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ABFCF" w14:textId="77777777" w:rsidR="005D2725" w:rsidRDefault="005D2725" w:rsidP="00505177">
      <w:pPr>
        <w:jc w:val="center"/>
        <w:rPr>
          <w:rFonts w:asciiTheme="majorBidi" w:hAnsiTheme="majorBidi" w:cstheme="majorBidi"/>
          <w:sz w:val="36"/>
          <w:szCs w:val="36"/>
        </w:rPr>
      </w:pPr>
      <w:bookmarkStart w:id="0" w:name="_Hlk81323779"/>
      <w:bookmarkEnd w:id="0"/>
    </w:p>
    <w:p w14:paraId="6F8E4621" w14:textId="77777777" w:rsidR="005D2725" w:rsidRDefault="005D2725" w:rsidP="00505177">
      <w:pPr>
        <w:jc w:val="center"/>
        <w:rPr>
          <w:rFonts w:asciiTheme="majorBidi" w:hAnsiTheme="majorBidi" w:cstheme="majorBidi"/>
          <w:sz w:val="36"/>
          <w:szCs w:val="36"/>
        </w:rPr>
      </w:pPr>
    </w:p>
    <w:p w14:paraId="7321DDFA" w14:textId="77777777" w:rsidR="005D2725" w:rsidRDefault="005D2725" w:rsidP="00505177">
      <w:pPr>
        <w:jc w:val="center"/>
        <w:rPr>
          <w:rFonts w:asciiTheme="majorBidi" w:hAnsiTheme="majorBidi" w:cstheme="majorBidi"/>
          <w:sz w:val="36"/>
          <w:szCs w:val="36"/>
        </w:rPr>
      </w:pPr>
    </w:p>
    <w:p w14:paraId="439E4E69" w14:textId="77777777" w:rsidR="005D2725" w:rsidRDefault="005D2725" w:rsidP="00505177">
      <w:pPr>
        <w:jc w:val="center"/>
        <w:rPr>
          <w:rFonts w:asciiTheme="majorBidi" w:hAnsiTheme="majorBidi" w:cstheme="majorBidi"/>
          <w:sz w:val="36"/>
          <w:szCs w:val="36"/>
        </w:rPr>
      </w:pPr>
    </w:p>
    <w:p w14:paraId="1566F0E3" w14:textId="27752177" w:rsidR="00F67543" w:rsidRPr="00505177" w:rsidRDefault="00F67543" w:rsidP="00505177">
      <w:pPr>
        <w:jc w:val="center"/>
        <w:rPr>
          <w:rFonts w:asciiTheme="majorBidi" w:hAnsiTheme="majorBidi" w:cstheme="majorBidi"/>
          <w:sz w:val="36"/>
          <w:szCs w:val="36"/>
        </w:rPr>
      </w:pPr>
      <w:r w:rsidRPr="00505177">
        <w:rPr>
          <w:rFonts w:asciiTheme="majorBidi" w:hAnsiTheme="majorBidi" w:cstheme="majorBidi"/>
          <w:sz w:val="36"/>
          <w:szCs w:val="36"/>
        </w:rPr>
        <w:t xml:space="preserve">The Last Sasanians </w:t>
      </w:r>
      <w:r w:rsidR="00D61DB4">
        <w:rPr>
          <w:rFonts w:asciiTheme="majorBidi" w:hAnsiTheme="majorBidi" w:cstheme="majorBidi"/>
          <w:sz w:val="36"/>
          <w:szCs w:val="36"/>
        </w:rPr>
        <w:t>and</w:t>
      </w:r>
      <w:r w:rsidRPr="00505177">
        <w:rPr>
          <w:rFonts w:asciiTheme="majorBidi" w:hAnsiTheme="majorBidi" w:cstheme="majorBidi"/>
          <w:sz w:val="36"/>
          <w:szCs w:val="36"/>
        </w:rPr>
        <w:t xml:space="preserve"> Ṭukhāristān</w:t>
      </w:r>
    </w:p>
    <w:p w14:paraId="122EF267" w14:textId="77777777" w:rsidR="005D2725" w:rsidRDefault="005D2725" w:rsidP="009A2020"/>
    <w:p w14:paraId="200D7273" w14:textId="77777777" w:rsidR="005D2725" w:rsidRDefault="005D2725" w:rsidP="009A2020"/>
    <w:p w14:paraId="100B778B" w14:textId="77777777" w:rsidR="005D2725" w:rsidRDefault="005D2725" w:rsidP="009A2020"/>
    <w:p w14:paraId="5C6E6A63" w14:textId="77777777" w:rsidR="005D2725" w:rsidRDefault="005D2725">
      <w:pPr>
        <w:widowControl/>
        <w:jc w:val="left"/>
      </w:pPr>
      <w:r>
        <w:br w:type="page"/>
      </w:r>
    </w:p>
    <w:p w14:paraId="435EA196" w14:textId="12F4516D" w:rsidR="009A2020" w:rsidRPr="00483225" w:rsidRDefault="009A2020" w:rsidP="005D2725">
      <w:pPr>
        <w:spacing w:line="360" w:lineRule="auto"/>
        <w:jc w:val="center"/>
        <w:rPr>
          <w:rFonts w:asciiTheme="majorBidi" w:hAnsiTheme="majorBidi" w:cstheme="majorBidi"/>
          <w:b/>
          <w:bCs/>
          <w:sz w:val="24"/>
          <w:szCs w:val="24"/>
        </w:rPr>
      </w:pPr>
      <w:r w:rsidRPr="00483225">
        <w:rPr>
          <w:rFonts w:asciiTheme="majorBidi" w:hAnsiTheme="majorBidi" w:cstheme="majorBidi"/>
          <w:b/>
          <w:bCs/>
          <w:sz w:val="24"/>
          <w:szCs w:val="24"/>
        </w:rPr>
        <w:lastRenderedPageBreak/>
        <w:t>Abstract</w:t>
      </w:r>
    </w:p>
    <w:p w14:paraId="41E486EF" w14:textId="77194B79" w:rsidR="005D2725" w:rsidRPr="005D2725" w:rsidRDefault="005D2725" w:rsidP="005D2725">
      <w:pPr>
        <w:spacing w:line="360" w:lineRule="auto"/>
        <w:rPr>
          <w:rFonts w:asciiTheme="majorBidi" w:hAnsiTheme="majorBidi" w:cstheme="majorBidi"/>
          <w:sz w:val="24"/>
          <w:szCs w:val="24"/>
        </w:rPr>
      </w:pPr>
    </w:p>
    <w:p w14:paraId="70C0B1AD" w14:textId="5A59EB27" w:rsidR="001D6270" w:rsidRDefault="001409C2" w:rsidP="005D2725">
      <w:pPr>
        <w:spacing w:line="360" w:lineRule="auto"/>
        <w:rPr>
          <w:rFonts w:asciiTheme="majorBidi" w:hAnsiTheme="majorBidi" w:cstheme="majorBidi"/>
          <w:sz w:val="24"/>
          <w:szCs w:val="24"/>
        </w:rPr>
      </w:pPr>
      <w:r>
        <w:rPr>
          <w:rFonts w:asciiTheme="majorBidi" w:hAnsiTheme="majorBidi" w:cstheme="majorBidi"/>
          <w:sz w:val="24"/>
          <w:szCs w:val="24"/>
        </w:rPr>
        <w:t xml:space="preserve">After the death of the last Sasanian monarch Yazdegerd III in 651 CE, his son Pērōz stayed in the court of the Yabghū in </w:t>
      </w:r>
      <w:r w:rsidR="005128ED">
        <w:rPr>
          <w:rFonts w:asciiTheme="majorBidi" w:hAnsiTheme="majorBidi" w:cstheme="majorBidi"/>
          <w:sz w:val="24"/>
          <w:szCs w:val="24"/>
        </w:rPr>
        <w:t>Ṭukhāristān (</w:t>
      </w:r>
      <w:r>
        <w:rPr>
          <w:rFonts w:asciiTheme="majorBidi" w:hAnsiTheme="majorBidi" w:cstheme="majorBidi"/>
          <w:sz w:val="24"/>
          <w:szCs w:val="24"/>
        </w:rPr>
        <w:t>modern northern Afghanistan</w:t>
      </w:r>
      <w:r w:rsidR="005128ED">
        <w:rPr>
          <w:rFonts w:asciiTheme="majorBidi" w:hAnsiTheme="majorBidi" w:cstheme="majorBidi"/>
          <w:sz w:val="24"/>
          <w:szCs w:val="24"/>
        </w:rPr>
        <w:t>)</w:t>
      </w:r>
      <w:r>
        <w:rPr>
          <w:rFonts w:asciiTheme="majorBidi" w:hAnsiTheme="majorBidi" w:cstheme="majorBidi"/>
          <w:sz w:val="24"/>
          <w:szCs w:val="24"/>
        </w:rPr>
        <w:t xml:space="preserve"> from 651 to circa 674 CE before fleeing to China; likewise, </w:t>
      </w:r>
      <w:r w:rsidR="00004B66">
        <w:rPr>
          <w:rFonts w:asciiTheme="majorBidi" w:hAnsiTheme="majorBidi" w:cstheme="majorBidi"/>
          <w:sz w:val="24"/>
          <w:szCs w:val="24"/>
        </w:rPr>
        <w:t xml:space="preserve">Pērōz’s son </w:t>
      </w:r>
      <w:r>
        <w:rPr>
          <w:rFonts w:asciiTheme="majorBidi" w:hAnsiTheme="majorBidi" w:cstheme="majorBidi"/>
          <w:sz w:val="24"/>
          <w:szCs w:val="24"/>
        </w:rPr>
        <w:t>Narseh lingered in the same region from 680 to circa 705 CE</w:t>
      </w:r>
      <w:r w:rsidR="00F74E89">
        <w:rPr>
          <w:rFonts w:asciiTheme="majorBidi" w:hAnsiTheme="majorBidi" w:cstheme="majorBidi"/>
          <w:sz w:val="24"/>
          <w:szCs w:val="24"/>
        </w:rPr>
        <w:t xml:space="preserve"> and fled to China as well</w:t>
      </w:r>
      <w:r>
        <w:rPr>
          <w:rFonts w:asciiTheme="majorBidi" w:hAnsiTheme="majorBidi" w:cstheme="majorBidi"/>
          <w:sz w:val="24"/>
          <w:szCs w:val="24"/>
        </w:rPr>
        <w:t xml:space="preserve">. The study seeks to reconstruct the experiences of these two Sasanian princes in Ṭukhāristān by </w:t>
      </w:r>
      <w:r w:rsidR="001D6270">
        <w:rPr>
          <w:rFonts w:asciiTheme="majorBidi" w:hAnsiTheme="majorBidi" w:cstheme="majorBidi"/>
          <w:sz w:val="24"/>
          <w:szCs w:val="24"/>
        </w:rPr>
        <w:t>combin</w:t>
      </w:r>
      <w:r>
        <w:rPr>
          <w:rFonts w:asciiTheme="majorBidi" w:hAnsiTheme="majorBidi" w:cstheme="majorBidi"/>
          <w:sz w:val="24"/>
          <w:szCs w:val="24"/>
        </w:rPr>
        <w:t>ing</w:t>
      </w:r>
      <w:r w:rsidR="00D61DB4">
        <w:rPr>
          <w:rFonts w:asciiTheme="majorBidi" w:hAnsiTheme="majorBidi" w:cstheme="majorBidi"/>
          <w:sz w:val="24"/>
          <w:szCs w:val="24"/>
        </w:rPr>
        <w:t xml:space="preserve"> </w:t>
      </w:r>
      <w:r w:rsidR="00004B66">
        <w:rPr>
          <w:rFonts w:asciiTheme="majorBidi" w:hAnsiTheme="majorBidi" w:cstheme="majorBidi"/>
          <w:sz w:val="24"/>
          <w:szCs w:val="24"/>
        </w:rPr>
        <w:t>multilingual</w:t>
      </w:r>
      <w:r w:rsidR="0003278C">
        <w:rPr>
          <w:rFonts w:asciiTheme="majorBidi" w:hAnsiTheme="majorBidi" w:cstheme="majorBidi"/>
          <w:sz w:val="24"/>
          <w:szCs w:val="24"/>
        </w:rPr>
        <w:t xml:space="preserve"> </w:t>
      </w:r>
      <w:r w:rsidR="00D61DB4">
        <w:rPr>
          <w:rFonts w:asciiTheme="majorBidi" w:hAnsiTheme="majorBidi" w:cstheme="majorBidi"/>
          <w:sz w:val="24"/>
          <w:szCs w:val="24"/>
        </w:rPr>
        <w:t xml:space="preserve">sources </w:t>
      </w:r>
      <w:r w:rsidR="00976A27">
        <w:rPr>
          <w:rFonts w:asciiTheme="majorBidi" w:hAnsiTheme="majorBidi" w:cstheme="majorBidi"/>
          <w:sz w:val="24"/>
          <w:szCs w:val="24"/>
        </w:rPr>
        <w:t xml:space="preserve">and numismatics </w:t>
      </w:r>
      <w:r>
        <w:rPr>
          <w:rFonts w:asciiTheme="majorBidi" w:hAnsiTheme="majorBidi" w:cstheme="majorBidi"/>
          <w:sz w:val="24"/>
          <w:szCs w:val="24"/>
        </w:rPr>
        <w:t>and to</w:t>
      </w:r>
      <w:r w:rsidR="00976A27">
        <w:rPr>
          <w:rFonts w:asciiTheme="majorBidi" w:hAnsiTheme="majorBidi" w:cstheme="majorBidi"/>
          <w:sz w:val="24"/>
          <w:szCs w:val="24"/>
        </w:rPr>
        <w:t xml:space="preserve"> understand </w:t>
      </w:r>
      <w:r w:rsidR="00F74E89">
        <w:rPr>
          <w:rFonts w:asciiTheme="majorBidi" w:hAnsiTheme="majorBidi" w:cstheme="majorBidi"/>
          <w:sz w:val="24"/>
          <w:szCs w:val="24"/>
        </w:rPr>
        <w:t>why they sought</w:t>
      </w:r>
      <w:r>
        <w:rPr>
          <w:rFonts w:asciiTheme="majorBidi" w:hAnsiTheme="majorBidi" w:cstheme="majorBidi"/>
          <w:sz w:val="24"/>
          <w:szCs w:val="24"/>
        </w:rPr>
        <w:t xml:space="preserve"> refuge in </w:t>
      </w:r>
      <w:r w:rsidR="00004B66">
        <w:rPr>
          <w:rFonts w:asciiTheme="majorBidi" w:hAnsiTheme="majorBidi" w:cstheme="majorBidi"/>
          <w:sz w:val="24"/>
          <w:szCs w:val="24"/>
        </w:rPr>
        <w:t>Ṭukhāristān</w:t>
      </w:r>
      <w:r>
        <w:rPr>
          <w:rFonts w:asciiTheme="majorBidi" w:hAnsiTheme="majorBidi" w:cstheme="majorBidi"/>
          <w:sz w:val="24"/>
          <w:szCs w:val="24"/>
        </w:rPr>
        <w:t xml:space="preserve"> and fle</w:t>
      </w:r>
      <w:r w:rsidR="00F74E89">
        <w:rPr>
          <w:rFonts w:asciiTheme="majorBidi" w:hAnsiTheme="majorBidi" w:cstheme="majorBidi"/>
          <w:sz w:val="24"/>
          <w:szCs w:val="24"/>
        </w:rPr>
        <w:t>d</w:t>
      </w:r>
      <w:r>
        <w:rPr>
          <w:rFonts w:asciiTheme="majorBidi" w:hAnsiTheme="majorBidi" w:cstheme="majorBidi"/>
          <w:sz w:val="24"/>
          <w:szCs w:val="24"/>
        </w:rPr>
        <w:t xml:space="preserve"> to China under </w:t>
      </w:r>
      <w:r w:rsidR="00F74E89">
        <w:rPr>
          <w:rFonts w:asciiTheme="majorBidi" w:hAnsiTheme="majorBidi" w:cstheme="majorBidi"/>
          <w:sz w:val="24"/>
          <w:szCs w:val="24"/>
        </w:rPr>
        <w:t xml:space="preserve">an </w:t>
      </w:r>
      <w:r>
        <w:rPr>
          <w:rFonts w:asciiTheme="majorBidi" w:hAnsiTheme="majorBidi" w:cstheme="majorBidi"/>
          <w:sz w:val="24"/>
          <w:szCs w:val="24"/>
        </w:rPr>
        <w:t xml:space="preserve">increasing pressure </w:t>
      </w:r>
      <w:r w:rsidR="00F74E89">
        <w:rPr>
          <w:rFonts w:asciiTheme="majorBidi" w:hAnsiTheme="majorBidi" w:cstheme="majorBidi"/>
          <w:sz w:val="24"/>
          <w:szCs w:val="24"/>
        </w:rPr>
        <w:t>of</w:t>
      </w:r>
      <w:r>
        <w:rPr>
          <w:rFonts w:asciiTheme="majorBidi" w:hAnsiTheme="majorBidi" w:cstheme="majorBidi"/>
          <w:sz w:val="24"/>
          <w:szCs w:val="24"/>
        </w:rPr>
        <w:t xml:space="preserve"> the Arabs. </w:t>
      </w:r>
      <w:r w:rsidR="00F74E89">
        <w:rPr>
          <w:rFonts w:asciiTheme="majorBidi" w:hAnsiTheme="majorBidi" w:cstheme="majorBidi"/>
          <w:sz w:val="24"/>
          <w:szCs w:val="24"/>
        </w:rPr>
        <w:t xml:space="preserve">The research shows that </w:t>
      </w:r>
      <w:r w:rsidR="005128ED">
        <w:rPr>
          <w:rFonts w:asciiTheme="majorBidi" w:hAnsiTheme="majorBidi" w:cstheme="majorBidi"/>
          <w:sz w:val="24"/>
          <w:szCs w:val="24"/>
        </w:rPr>
        <w:t xml:space="preserve">Pērōz and Narseh stayed in the Yabghū’s court mainly because of the Turkic dynasty’s power and influence. However, they </w:t>
      </w:r>
      <w:r w:rsidR="00F74E89">
        <w:rPr>
          <w:rFonts w:asciiTheme="majorBidi" w:hAnsiTheme="majorBidi" w:cstheme="majorBidi"/>
          <w:sz w:val="24"/>
          <w:szCs w:val="24"/>
        </w:rPr>
        <w:t xml:space="preserve">were no more than prominent fugitives who were dependent on the </w:t>
      </w:r>
      <w:r w:rsidR="005128ED">
        <w:rPr>
          <w:rFonts w:asciiTheme="majorBidi" w:hAnsiTheme="majorBidi" w:cstheme="majorBidi"/>
          <w:sz w:val="24"/>
          <w:szCs w:val="24"/>
        </w:rPr>
        <w:t xml:space="preserve">Turkic </w:t>
      </w:r>
      <w:r w:rsidR="00F74E89">
        <w:rPr>
          <w:rFonts w:asciiTheme="majorBidi" w:hAnsiTheme="majorBidi" w:cstheme="majorBidi"/>
          <w:sz w:val="24"/>
          <w:szCs w:val="24"/>
        </w:rPr>
        <w:t xml:space="preserve">dynasty and their attempts to restore the lost dynasty were fruitless. When the </w:t>
      </w:r>
      <w:r w:rsidR="0046168A">
        <w:rPr>
          <w:rFonts w:asciiTheme="majorBidi" w:hAnsiTheme="majorBidi" w:cstheme="majorBidi"/>
          <w:sz w:val="24"/>
          <w:szCs w:val="24"/>
        </w:rPr>
        <w:t xml:space="preserve">Arabs expanded into the region, </w:t>
      </w:r>
      <w:r w:rsidR="00F74E89">
        <w:rPr>
          <w:rFonts w:asciiTheme="majorBidi" w:hAnsiTheme="majorBidi" w:cstheme="majorBidi"/>
          <w:sz w:val="24"/>
          <w:szCs w:val="24"/>
        </w:rPr>
        <w:t xml:space="preserve">they fled to </w:t>
      </w:r>
      <w:r w:rsidR="00004B66">
        <w:rPr>
          <w:rFonts w:asciiTheme="majorBidi" w:hAnsiTheme="majorBidi" w:cstheme="majorBidi"/>
          <w:sz w:val="24"/>
          <w:szCs w:val="24"/>
        </w:rPr>
        <w:t>the Tang court instead of other polities</w:t>
      </w:r>
      <w:r w:rsidR="00F74E89">
        <w:rPr>
          <w:rFonts w:asciiTheme="majorBidi" w:hAnsiTheme="majorBidi" w:cstheme="majorBidi"/>
          <w:sz w:val="24"/>
          <w:szCs w:val="24"/>
        </w:rPr>
        <w:t xml:space="preserve">, </w:t>
      </w:r>
      <w:r w:rsidR="00A92B42">
        <w:rPr>
          <w:rFonts w:asciiTheme="majorBidi" w:hAnsiTheme="majorBidi" w:cstheme="majorBidi"/>
          <w:sz w:val="24"/>
          <w:szCs w:val="24"/>
        </w:rPr>
        <w:t xml:space="preserve">mainly because the </w:t>
      </w:r>
      <w:r w:rsidR="00120CF2">
        <w:rPr>
          <w:rFonts w:asciiTheme="majorBidi" w:hAnsiTheme="majorBidi" w:cstheme="majorBidi"/>
          <w:sz w:val="24"/>
          <w:szCs w:val="24"/>
        </w:rPr>
        <w:t>political</w:t>
      </w:r>
      <w:r w:rsidR="0046168A">
        <w:rPr>
          <w:rFonts w:asciiTheme="majorBidi" w:hAnsiTheme="majorBidi" w:cstheme="majorBidi"/>
          <w:sz w:val="24"/>
          <w:szCs w:val="24"/>
        </w:rPr>
        <w:t xml:space="preserve"> power of </w:t>
      </w:r>
      <w:r w:rsidR="00004B66">
        <w:rPr>
          <w:rFonts w:asciiTheme="majorBidi" w:hAnsiTheme="majorBidi" w:cstheme="majorBidi"/>
          <w:sz w:val="24"/>
          <w:szCs w:val="24"/>
        </w:rPr>
        <w:t>the Tang</w:t>
      </w:r>
      <w:r w:rsidR="0046168A">
        <w:rPr>
          <w:rFonts w:asciiTheme="majorBidi" w:hAnsiTheme="majorBidi" w:cstheme="majorBidi"/>
          <w:sz w:val="24"/>
          <w:szCs w:val="24"/>
        </w:rPr>
        <w:t xml:space="preserve"> would protect them from the Arabs, </w:t>
      </w:r>
      <w:r w:rsidR="00F74E89">
        <w:rPr>
          <w:rFonts w:asciiTheme="majorBidi" w:hAnsiTheme="majorBidi" w:cstheme="majorBidi"/>
          <w:sz w:val="24"/>
          <w:szCs w:val="24"/>
        </w:rPr>
        <w:t>w</w:t>
      </w:r>
      <w:r w:rsidR="0046168A">
        <w:rPr>
          <w:rFonts w:asciiTheme="majorBidi" w:hAnsiTheme="majorBidi" w:cstheme="majorBidi"/>
          <w:sz w:val="24"/>
          <w:szCs w:val="24"/>
        </w:rPr>
        <w:t xml:space="preserve">ith other royal </w:t>
      </w:r>
      <w:r w:rsidR="00F74E89">
        <w:rPr>
          <w:rFonts w:asciiTheme="majorBidi" w:hAnsiTheme="majorBidi" w:cstheme="majorBidi"/>
          <w:sz w:val="24"/>
          <w:szCs w:val="24"/>
        </w:rPr>
        <w:t>members scatter</w:t>
      </w:r>
      <w:r w:rsidR="0046168A">
        <w:rPr>
          <w:rFonts w:asciiTheme="majorBidi" w:hAnsiTheme="majorBidi" w:cstheme="majorBidi"/>
          <w:sz w:val="24"/>
          <w:szCs w:val="24"/>
        </w:rPr>
        <w:t>ing</w:t>
      </w:r>
      <w:r w:rsidR="00F74E89">
        <w:rPr>
          <w:rFonts w:asciiTheme="majorBidi" w:hAnsiTheme="majorBidi" w:cstheme="majorBidi"/>
          <w:sz w:val="24"/>
          <w:szCs w:val="24"/>
        </w:rPr>
        <w:t xml:space="preserve"> in the neighboring regions such as Transoxiana and south of the Hindukush.</w:t>
      </w:r>
      <w:r w:rsidR="00BC26CF">
        <w:rPr>
          <w:rFonts w:asciiTheme="majorBidi" w:hAnsiTheme="majorBidi" w:cstheme="majorBidi"/>
          <w:sz w:val="24"/>
          <w:szCs w:val="24"/>
        </w:rPr>
        <w:t xml:space="preserve"> </w:t>
      </w:r>
    </w:p>
    <w:p w14:paraId="18C8F181" w14:textId="77777777" w:rsidR="001D6270" w:rsidRDefault="001D6270" w:rsidP="005D2725">
      <w:pPr>
        <w:spacing w:line="360" w:lineRule="auto"/>
        <w:rPr>
          <w:rFonts w:asciiTheme="majorBidi" w:hAnsiTheme="majorBidi" w:cstheme="majorBidi"/>
          <w:sz w:val="24"/>
          <w:szCs w:val="24"/>
        </w:rPr>
      </w:pPr>
    </w:p>
    <w:p w14:paraId="20715A31" w14:textId="19E05454" w:rsidR="005D2725" w:rsidRPr="005D2725" w:rsidRDefault="001D6270" w:rsidP="005D2725">
      <w:pPr>
        <w:spacing w:line="360" w:lineRule="auto"/>
        <w:rPr>
          <w:rFonts w:asciiTheme="majorBidi" w:hAnsiTheme="majorBidi" w:cstheme="majorBidi"/>
          <w:sz w:val="24"/>
          <w:szCs w:val="24"/>
        </w:rPr>
      </w:pPr>
      <w:r>
        <w:rPr>
          <w:rFonts w:asciiTheme="majorBidi" w:hAnsiTheme="majorBidi" w:cstheme="majorBidi"/>
          <w:sz w:val="24"/>
          <w:szCs w:val="24"/>
        </w:rPr>
        <w:t>Keywords:</w:t>
      </w:r>
      <w:r w:rsidR="00483225" w:rsidRPr="00483225">
        <w:rPr>
          <w:rFonts w:asciiTheme="majorBidi" w:hAnsiTheme="majorBidi" w:cstheme="majorBidi"/>
          <w:sz w:val="24"/>
          <w:szCs w:val="24"/>
        </w:rPr>
        <w:t xml:space="preserve"> </w:t>
      </w:r>
      <w:r w:rsidR="0046168A">
        <w:rPr>
          <w:rFonts w:asciiTheme="majorBidi" w:hAnsiTheme="majorBidi" w:cstheme="majorBidi"/>
          <w:sz w:val="24"/>
          <w:szCs w:val="24"/>
        </w:rPr>
        <w:t xml:space="preserve">Pērōz; Narseh; </w:t>
      </w:r>
      <w:r w:rsidR="00483225">
        <w:rPr>
          <w:rFonts w:asciiTheme="majorBidi" w:hAnsiTheme="majorBidi" w:cstheme="majorBidi"/>
          <w:sz w:val="24"/>
          <w:szCs w:val="24"/>
        </w:rPr>
        <w:t>Ṭukhāristān; Yabghū;</w:t>
      </w:r>
      <w:r w:rsidR="00910264">
        <w:rPr>
          <w:rFonts w:asciiTheme="majorBidi" w:hAnsiTheme="majorBidi" w:cstheme="majorBidi"/>
          <w:sz w:val="24"/>
          <w:szCs w:val="24"/>
        </w:rPr>
        <w:t xml:space="preserve"> </w:t>
      </w:r>
      <w:r w:rsidR="00BC26CF">
        <w:rPr>
          <w:rFonts w:asciiTheme="majorBidi" w:hAnsiTheme="majorBidi" w:cstheme="majorBidi"/>
          <w:sz w:val="24"/>
          <w:szCs w:val="24"/>
        </w:rPr>
        <w:t xml:space="preserve">Arabs; </w:t>
      </w:r>
      <w:r w:rsidR="00910264">
        <w:rPr>
          <w:rFonts w:asciiTheme="majorBidi" w:hAnsiTheme="majorBidi" w:cstheme="majorBidi"/>
          <w:sz w:val="24"/>
          <w:szCs w:val="24"/>
        </w:rPr>
        <w:t>China.</w:t>
      </w:r>
    </w:p>
    <w:p w14:paraId="483D2807" w14:textId="77777777" w:rsidR="005D2725" w:rsidRPr="005D2725" w:rsidRDefault="005D2725" w:rsidP="005D2725">
      <w:pPr>
        <w:spacing w:line="360" w:lineRule="auto"/>
        <w:rPr>
          <w:rFonts w:asciiTheme="majorBidi" w:hAnsiTheme="majorBidi" w:cstheme="majorBidi"/>
          <w:sz w:val="24"/>
          <w:szCs w:val="24"/>
        </w:rPr>
      </w:pPr>
    </w:p>
    <w:p w14:paraId="353F2DC9" w14:textId="77777777" w:rsidR="009A2020" w:rsidRDefault="009A2020">
      <w:pPr>
        <w:widowControl/>
        <w:jc w:val="left"/>
      </w:pPr>
      <w:r>
        <w:br w:type="page"/>
      </w:r>
    </w:p>
    <w:sdt>
      <w:sdtPr>
        <w:rPr>
          <w:rFonts w:asciiTheme="majorBidi" w:eastAsiaTheme="minorEastAsia" w:hAnsiTheme="majorBidi" w:cstheme="minorBidi"/>
          <w:color w:val="auto"/>
          <w:kern w:val="2"/>
          <w:sz w:val="21"/>
          <w:szCs w:val="22"/>
          <w:lang w:eastAsia="zh-CN" w:bidi="he-IL"/>
        </w:rPr>
        <w:id w:val="-339935907"/>
        <w:docPartObj>
          <w:docPartGallery w:val="Table of Contents"/>
          <w:docPartUnique/>
        </w:docPartObj>
      </w:sdtPr>
      <w:sdtEndPr>
        <w:rPr>
          <w:rFonts w:asciiTheme="minorHAnsi" w:hAnsiTheme="minorHAnsi"/>
          <w:noProof/>
        </w:rPr>
      </w:sdtEndPr>
      <w:sdtContent>
        <w:p w14:paraId="2BE26B9D" w14:textId="69A9A370" w:rsidR="00505177" w:rsidRPr="00C606ED" w:rsidRDefault="00505177" w:rsidP="00505177">
          <w:pPr>
            <w:pStyle w:val="TOCHeading"/>
            <w:jc w:val="center"/>
            <w:rPr>
              <w:rFonts w:asciiTheme="majorBidi" w:hAnsiTheme="majorBidi"/>
              <w:color w:val="auto"/>
            </w:rPr>
          </w:pPr>
          <w:r w:rsidRPr="00C606ED">
            <w:rPr>
              <w:rFonts w:asciiTheme="majorBidi" w:hAnsiTheme="majorBidi"/>
              <w:color w:val="auto"/>
            </w:rPr>
            <w:t>Contents</w:t>
          </w:r>
        </w:p>
        <w:p w14:paraId="6300D06B" w14:textId="1C63091E" w:rsidR="00951CE1" w:rsidRPr="00951CE1" w:rsidRDefault="00505177">
          <w:pPr>
            <w:pStyle w:val="TOC2"/>
            <w:tabs>
              <w:tab w:val="right" w:leader="dot" w:pos="8296"/>
            </w:tabs>
            <w:rPr>
              <w:noProof/>
              <w:kern w:val="0"/>
              <w:sz w:val="22"/>
            </w:rPr>
          </w:pPr>
          <w:r w:rsidRPr="00951CE1">
            <w:fldChar w:fldCharType="begin"/>
          </w:r>
          <w:r w:rsidRPr="00951CE1">
            <w:instrText xml:space="preserve"> TOC \o "1-3" \h \z \u </w:instrText>
          </w:r>
          <w:r w:rsidRPr="00951CE1">
            <w:fldChar w:fldCharType="separate"/>
          </w:r>
          <w:hyperlink w:anchor="_Toc91623870" w:history="1">
            <w:r w:rsidR="00951CE1" w:rsidRPr="00951CE1">
              <w:rPr>
                <w:rStyle w:val="Hyperlink"/>
                <w:rFonts w:asciiTheme="majorBidi" w:hAnsiTheme="majorBidi"/>
                <w:noProof/>
              </w:rPr>
              <w:t>Introduction</w:t>
            </w:r>
            <w:r w:rsidR="00951CE1" w:rsidRPr="00951CE1">
              <w:rPr>
                <w:noProof/>
                <w:webHidden/>
              </w:rPr>
              <w:tab/>
            </w:r>
            <w:r w:rsidR="00951CE1" w:rsidRPr="00951CE1">
              <w:rPr>
                <w:noProof/>
                <w:webHidden/>
              </w:rPr>
              <w:fldChar w:fldCharType="begin"/>
            </w:r>
            <w:r w:rsidR="00951CE1" w:rsidRPr="00951CE1">
              <w:rPr>
                <w:noProof/>
                <w:webHidden/>
              </w:rPr>
              <w:instrText xml:space="preserve"> PAGEREF _Toc91623870 \h </w:instrText>
            </w:r>
            <w:r w:rsidR="00951CE1" w:rsidRPr="00951CE1">
              <w:rPr>
                <w:noProof/>
                <w:webHidden/>
              </w:rPr>
            </w:r>
            <w:r w:rsidR="00951CE1" w:rsidRPr="00951CE1">
              <w:rPr>
                <w:noProof/>
                <w:webHidden/>
              </w:rPr>
              <w:fldChar w:fldCharType="separate"/>
            </w:r>
            <w:r w:rsidR="00951CE1" w:rsidRPr="00951CE1">
              <w:rPr>
                <w:noProof/>
                <w:webHidden/>
              </w:rPr>
              <w:t>4</w:t>
            </w:r>
            <w:r w:rsidR="00951CE1" w:rsidRPr="00951CE1">
              <w:rPr>
                <w:noProof/>
                <w:webHidden/>
              </w:rPr>
              <w:fldChar w:fldCharType="end"/>
            </w:r>
          </w:hyperlink>
        </w:p>
        <w:p w14:paraId="3148775B" w14:textId="4E5407D4" w:rsidR="00951CE1" w:rsidRPr="00951CE1" w:rsidRDefault="00951CE1">
          <w:pPr>
            <w:pStyle w:val="TOC2"/>
            <w:tabs>
              <w:tab w:val="right" w:leader="dot" w:pos="8296"/>
            </w:tabs>
            <w:rPr>
              <w:noProof/>
              <w:kern w:val="0"/>
              <w:sz w:val="22"/>
            </w:rPr>
          </w:pPr>
          <w:hyperlink w:anchor="_Toc91623871" w:history="1">
            <w:r w:rsidRPr="00951CE1">
              <w:rPr>
                <w:rStyle w:val="Hyperlink"/>
                <w:rFonts w:asciiTheme="majorBidi" w:hAnsiTheme="majorBidi"/>
                <w:noProof/>
              </w:rPr>
              <w:t>1 Why Pērōz and his son Narseh sought refuge in Ṭukhāristān</w:t>
            </w:r>
            <w:r w:rsidRPr="00951CE1">
              <w:rPr>
                <w:noProof/>
                <w:webHidden/>
              </w:rPr>
              <w:tab/>
            </w:r>
            <w:r w:rsidRPr="00951CE1">
              <w:rPr>
                <w:noProof/>
                <w:webHidden/>
              </w:rPr>
              <w:fldChar w:fldCharType="begin"/>
            </w:r>
            <w:r w:rsidRPr="00951CE1">
              <w:rPr>
                <w:noProof/>
                <w:webHidden/>
              </w:rPr>
              <w:instrText xml:space="preserve"> PAGEREF _Toc91623871 \h </w:instrText>
            </w:r>
            <w:r w:rsidRPr="00951CE1">
              <w:rPr>
                <w:noProof/>
                <w:webHidden/>
              </w:rPr>
            </w:r>
            <w:r w:rsidRPr="00951CE1">
              <w:rPr>
                <w:noProof/>
                <w:webHidden/>
              </w:rPr>
              <w:fldChar w:fldCharType="separate"/>
            </w:r>
            <w:r w:rsidRPr="00951CE1">
              <w:rPr>
                <w:noProof/>
                <w:webHidden/>
              </w:rPr>
              <w:t>21</w:t>
            </w:r>
            <w:r w:rsidRPr="00951CE1">
              <w:rPr>
                <w:noProof/>
                <w:webHidden/>
              </w:rPr>
              <w:fldChar w:fldCharType="end"/>
            </w:r>
          </w:hyperlink>
        </w:p>
        <w:p w14:paraId="4417B9C5" w14:textId="08FDB525" w:rsidR="00951CE1" w:rsidRPr="00951CE1" w:rsidRDefault="00951CE1">
          <w:pPr>
            <w:pStyle w:val="TOC2"/>
            <w:tabs>
              <w:tab w:val="right" w:leader="dot" w:pos="8296"/>
            </w:tabs>
            <w:rPr>
              <w:noProof/>
              <w:kern w:val="0"/>
              <w:sz w:val="22"/>
            </w:rPr>
          </w:pPr>
          <w:hyperlink w:anchor="_Toc91623872" w:history="1">
            <w:r w:rsidRPr="00951CE1">
              <w:rPr>
                <w:rStyle w:val="Hyperlink"/>
                <w:rFonts w:asciiTheme="majorBidi" w:hAnsiTheme="majorBidi"/>
                <w:noProof/>
              </w:rPr>
              <w:t>2 What Pērōz and Narseh experienced in Ṭukhāristān</w:t>
            </w:r>
            <w:r w:rsidRPr="00951CE1">
              <w:rPr>
                <w:noProof/>
                <w:webHidden/>
              </w:rPr>
              <w:tab/>
            </w:r>
            <w:r w:rsidRPr="00951CE1">
              <w:rPr>
                <w:noProof/>
                <w:webHidden/>
              </w:rPr>
              <w:fldChar w:fldCharType="begin"/>
            </w:r>
            <w:r w:rsidRPr="00951CE1">
              <w:rPr>
                <w:noProof/>
                <w:webHidden/>
              </w:rPr>
              <w:instrText xml:space="preserve"> PAGEREF _Toc91623872 \h </w:instrText>
            </w:r>
            <w:r w:rsidRPr="00951CE1">
              <w:rPr>
                <w:noProof/>
                <w:webHidden/>
              </w:rPr>
            </w:r>
            <w:r w:rsidRPr="00951CE1">
              <w:rPr>
                <w:noProof/>
                <w:webHidden/>
              </w:rPr>
              <w:fldChar w:fldCharType="separate"/>
            </w:r>
            <w:r w:rsidRPr="00951CE1">
              <w:rPr>
                <w:noProof/>
                <w:webHidden/>
              </w:rPr>
              <w:t>29</w:t>
            </w:r>
            <w:r w:rsidRPr="00951CE1">
              <w:rPr>
                <w:noProof/>
                <w:webHidden/>
              </w:rPr>
              <w:fldChar w:fldCharType="end"/>
            </w:r>
          </w:hyperlink>
        </w:p>
        <w:p w14:paraId="5D3EA0FE" w14:textId="5B70CF09" w:rsidR="00951CE1" w:rsidRPr="00951CE1" w:rsidRDefault="00951CE1">
          <w:pPr>
            <w:pStyle w:val="TOC3"/>
            <w:tabs>
              <w:tab w:val="right" w:leader="dot" w:pos="8296"/>
            </w:tabs>
            <w:rPr>
              <w:noProof/>
              <w:kern w:val="0"/>
              <w:sz w:val="22"/>
            </w:rPr>
          </w:pPr>
          <w:hyperlink w:anchor="_Toc91623873" w:history="1">
            <w:r w:rsidRPr="00951CE1">
              <w:rPr>
                <w:rStyle w:val="Hyperlink"/>
                <w:rFonts w:asciiTheme="majorBidi" w:hAnsiTheme="majorBidi"/>
                <w:noProof/>
              </w:rPr>
              <w:t>2.1 The Yabghū dynasty</w:t>
            </w:r>
            <w:r w:rsidRPr="00951CE1">
              <w:rPr>
                <w:noProof/>
                <w:webHidden/>
              </w:rPr>
              <w:tab/>
            </w:r>
            <w:r w:rsidRPr="00951CE1">
              <w:rPr>
                <w:noProof/>
                <w:webHidden/>
              </w:rPr>
              <w:fldChar w:fldCharType="begin"/>
            </w:r>
            <w:r w:rsidRPr="00951CE1">
              <w:rPr>
                <w:noProof/>
                <w:webHidden/>
              </w:rPr>
              <w:instrText xml:space="preserve"> PAGEREF _Toc91623873 \h </w:instrText>
            </w:r>
            <w:r w:rsidRPr="00951CE1">
              <w:rPr>
                <w:noProof/>
                <w:webHidden/>
              </w:rPr>
            </w:r>
            <w:r w:rsidRPr="00951CE1">
              <w:rPr>
                <w:noProof/>
                <w:webHidden/>
              </w:rPr>
              <w:fldChar w:fldCharType="separate"/>
            </w:r>
            <w:r w:rsidRPr="00951CE1">
              <w:rPr>
                <w:noProof/>
                <w:webHidden/>
              </w:rPr>
              <w:t>30</w:t>
            </w:r>
            <w:r w:rsidRPr="00951CE1">
              <w:rPr>
                <w:noProof/>
                <w:webHidden/>
              </w:rPr>
              <w:fldChar w:fldCharType="end"/>
            </w:r>
          </w:hyperlink>
        </w:p>
        <w:p w14:paraId="46B315BA" w14:textId="6A78494A" w:rsidR="00951CE1" w:rsidRPr="00951CE1" w:rsidRDefault="00951CE1">
          <w:pPr>
            <w:pStyle w:val="TOC3"/>
            <w:tabs>
              <w:tab w:val="right" w:leader="dot" w:pos="8296"/>
            </w:tabs>
            <w:rPr>
              <w:noProof/>
              <w:kern w:val="0"/>
              <w:sz w:val="22"/>
            </w:rPr>
          </w:pPr>
          <w:hyperlink w:anchor="_Toc91623874" w:history="1">
            <w:r w:rsidRPr="00951CE1">
              <w:rPr>
                <w:rStyle w:val="Hyperlink"/>
                <w:rFonts w:asciiTheme="majorBidi" w:hAnsiTheme="majorBidi"/>
                <w:noProof/>
              </w:rPr>
              <w:t>2.2 The Nīzak dynasty and the Hephthalites</w:t>
            </w:r>
            <w:r w:rsidRPr="00951CE1">
              <w:rPr>
                <w:noProof/>
                <w:webHidden/>
              </w:rPr>
              <w:tab/>
            </w:r>
            <w:r w:rsidRPr="00951CE1">
              <w:rPr>
                <w:noProof/>
                <w:webHidden/>
              </w:rPr>
              <w:fldChar w:fldCharType="begin"/>
            </w:r>
            <w:r w:rsidRPr="00951CE1">
              <w:rPr>
                <w:noProof/>
                <w:webHidden/>
              </w:rPr>
              <w:instrText xml:space="preserve"> PAGEREF _Toc91623874 \h </w:instrText>
            </w:r>
            <w:r w:rsidRPr="00951CE1">
              <w:rPr>
                <w:noProof/>
                <w:webHidden/>
              </w:rPr>
            </w:r>
            <w:r w:rsidRPr="00951CE1">
              <w:rPr>
                <w:noProof/>
                <w:webHidden/>
              </w:rPr>
              <w:fldChar w:fldCharType="separate"/>
            </w:r>
            <w:r w:rsidRPr="00951CE1">
              <w:rPr>
                <w:noProof/>
                <w:webHidden/>
              </w:rPr>
              <w:t>35</w:t>
            </w:r>
            <w:r w:rsidRPr="00951CE1">
              <w:rPr>
                <w:noProof/>
                <w:webHidden/>
              </w:rPr>
              <w:fldChar w:fldCharType="end"/>
            </w:r>
          </w:hyperlink>
        </w:p>
        <w:p w14:paraId="5F555829" w14:textId="25D3589B" w:rsidR="00951CE1" w:rsidRPr="00951CE1" w:rsidRDefault="00951CE1">
          <w:pPr>
            <w:pStyle w:val="TOC3"/>
            <w:tabs>
              <w:tab w:val="right" w:leader="dot" w:pos="8296"/>
            </w:tabs>
            <w:rPr>
              <w:noProof/>
              <w:kern w:val="0"/>
              <w:sz w:val="22"/>
            </w:rPr>
          </w:pPr>
          <w:hyperlink w:anchor="_Toc91623875" w:history="1">
            <w:r w:rsidRPr="00951CE1">
              <w:rPr>
                <w:rStyle w:val="Hyperlink"/>
                <w:rFonts w:asciiTheme="majorBidi" w:hAnsiTheme="majorBidi"/>
                <w:noProof/>
              </w:rPr>
              <w:t>2.3 The tribal feuds between the Turks and the Hephthalites</w:t>
            </w:r>
            <w:r w:rsidRPr="00951CE1">
              <w:rPr>
                <w:noProof/>
                <w:webHidden/>
              </w:rPr>
              <w:tab/>
            </w:r>
            <w:r w:rsidRPr="00951CE1">
              <w:rPr>
                <w:noProof/>
                <w:webHidden/>
              </w:rPr>
              <w:fldChar w:fldCharType="begin"/>
            </w:r>
            <w:r w:rsidRPr="00951CE1">
              <w:rPr>
                <w:noProof/>
                <w:webHidden/>
              </w:rPr>
              <w:instrText xml:space="preserve"> PAGEREF _Toc91623875 \h </w:instrText>
            </w:r>
            <w:r w:rsidRPr="00951CE1">
              <w:rPr>
                <w:noProof/>
                <w:webHidden/>
              </w:rPr>
            </w:r>
            <w:r w:rsidRPr="00951CE1">
              <w:rPr>
                <w:noProof/>
                <w:webHidden/>
              </w:rPr>
              <w:fldChar w:fldCharType="separate"/>
            </w:r>
            <w:r w:rsidRPr="00951CE1">
              <w:rPr>
                <w:noProof/>
                <w:webHidden/>
              </w:rPr>
              <w:t>44</w:t>
            </w:r>
            <w:r w:rsidRPr="00951CE1">
              <w:rPr>
                <w:noProof/>
                <w:webHidden/>
              </w:rPr>
              <w:fldChar w:fldCharType="end"/>
            </w:r>
          </w:hyperlink>
        </w:p>
        <w:p w14:paraId="682403B2" w14:textId="1B8A5D5B" w:rsidR="00951CE1" w:rsidRPr="00951CE1" w:rsidRDefault="00951CE1">
          <w:pPr>
            <w:pStyle w:val="TOC3"/>
            <w:tabs>
              <w:tab w:val="right" w:leader="dot" w:pos="8296"/>
            </w:tabs>
            <w:rPr>
              <w:noProof/>
              <w:kern w:val="0"/>
              <w:sz w:val="22"/>
            </w:rPr>
          </w:pPr>
          <w:hyperlink w:anchor="_Toc91623876" w:history="1">
            <w:r w:rsidRPr="00951CE1">
              <w:rPr>
                <w:rStyle w:val="Hyperlink"/>
                <w:rFonts w:asciiTheme="majorBidi" w:hAnsiTheme="majorBidi"/>
                <w:noProof/>
              </w:rPr>
              <w:t>2.4 The Arab conquests of Ṭukhāristān</w:t>
            </w:r>
            <w:r w:rsidRPr="00951CE1">
              <w:rPr>
                <w:noProof/>
                <w:webHidden/>
              </w:rPr>
              <w:tab/>
            </w:r>
            <w:r w:rsidRPr="00951CE1">
              <w:rPr>
                <w:noProof/>
                <w:webHidden/>
              </w:rPr>
              <w:fldChar w:fldCharType="begin"/>
            </w:r>
            <w:r w:rsidRPr="00951CE1">
              <w:rPr>
                <w:noProof/>
                <w:webHidden/>
              </w:rPr>
              <w:instrText xml:space="preserve"> PAGEREF _Toc91623876 \h </w:instrText>
            </w:r>
            <w:r w:rsidRPr="00951CE1">
              <w:rPr>
                <w:noProof/>
                <w:webHidden/>
              </w:rPr>
            </w:r>
            <w:r w:rsidRPr="00951CE1">
              <w:rPr>
                <w:noProof/>
                <w:webHidden/>
              </w:rPr>
              <w:fldChar w:fldCharType="separate"/>
            </w:r>
            <w:r w:rsidRPr="00951CE1">
              <w:rPr>
                <w:noProof/>
                <w:webHidden/>
              </w:rPr>
              <w:t>47</w:t>
            </w:r>
            <w:r w:rsidRPr="00951CE1">
              <w:rPr>
                <w:noProof/>
                <w:webHidden/>
              </w:rPr>
              <w:fldChar w:fldCharType="end"/>
            </w:r>
          </w:hyperlink>
        </w:p>
        <w:p w14:paraId="48AEA598" w14:textId="5FF43504" w:rsidR="00951CE1" w:rsidRPr="00951CE1" w:rsidRDefault="00951CE1">
          <w:pPr>
            <w:pStyle w:val="TOC3"/>
            <w:tabs>
              <w:tab w:val="right" w:leader="dot" w:pos="8296"/>
            </w:tabs>
            <w:rPr>
              <w:noProof/>
              <w:kern w:val="0"/>
              <w:sz w:val="22"/>
            </w:rPr>
          </w:pPr>
          <w:hyperlink w:anchor="_Toc91623877" w:history="1">
            <w:r w:rsidRPr="00951CE1">
              <w:rPr>
                <w:rStyle w:val="Hyperlink"/>
                <w:rFonts w:asciiTheme="majorBidi" w:hAnsiTheme="majorBidi"/>
                <w:noProof/>
              </w:rPr>
              <w:t>2.5 The failure of Pērōz to restore the Sasanian dynasty</w:t>
            </w:r>
            <w:r w:rsidRPr="00951CE1">
              <w:rPr>
                <w:noProof/>
                <w:webHidden/>
              </w:rPr>
              <w:tab/>
            </w:r>
            <w:r w:rsidRPr="00951CE1">
              <w:rPr>
                <w:noProof/>
                <w:webHidden/>
              </w:rPr>
              <w:fldChar w:fldCharType="begin"/>
            </w:r>
            <w:r w:rsidRPr="00951CE1">
              <w:rPr>
                <w:noProof/>
                <w:webHidden/>
              </w:rPr>
              <w:instrText xml:space="preserve"> PAGEREF _Toc91623877 \h </w:instrText>
            </w:r>
            <w:r w:rsidRPr="00951CE1">
              <w:rPr>
                <w:noProof/>
                <w:webHidden/>
              </w:rPr>
            </w:r>
            <w:r w:rsidRPr="00951CE1">
              <w:rPr>
                <w:noProof/>
                <w:webHidden/>
              </w:rPr>
              <w:fldChar w:fldCharType="separate"/>
            </w:r>
            <w:r w:rsidRPr="00951CE1">
              <w:rPr>
                <w:noProof/>
                <w:webHidden/>
              </w:rPr>
              <w:t>52</w:t>
            </w:r>
            <w:r w:rsidRPr="00951CE1">
              <w:rPr>
                <w:noProof/>
                <w:webHidden/>
              </w:rPr>
              <w:fldChar w:fldCharType="end"/>
            </w:r>
          </w:hyperlink>
        </w:p>
        <w:p w14:paraId="6F13A191" w14:textId="5A945C68" w:rsidR="00951CE1" w:rsidRPr="00951CE1" w:rsidRDefault="00951CE1">
          <w:pPr>
            <w:pStyle w:val="TOC3"/>
            <w:tabs>
              <w:tab w:val="right" w:leader="dot" w:pos="8296"/>
            </w:tabs>
            <w:rPr>
              <w:noProof/>
              <w:kern w:val="0"/>
              <w:sz w:val="22"/>
            </w:rPr>
          </w:pPr>
          <w:hyperlink w:anchor="_Toc91623878" w:history="1">
            <w:r w:rsidRPr="00951CE1">
              <w:rPr>
                <w:rStyle w:val="Hyperlink"/>
                <w:rFonts w:asciiTheme="majorBidi" w:hAnsiTheme="majorBidi"/>
                <w:noProof/>
              </w:rPr>
              <w:t>2.6 The experiences of Narseh in Ṭukhāristān</w:t>
            </w:r>
            <w:r w:rsidRPr="00951CE1">
              <w:rPr>
                <w:noProof/>
                <w:webHidden/>
              </w:rPr>
              <w:tab/>
            </w:r>
            <w:r w:rsidRPr="00951CE1">
              <w:rPr>
                <w:noProof/>
                <w:webHidden/>
              </w:rPr>
              <w:fldChar w:fldCharType="begin"/>
            </w:r>
            <w:r w:rsidRPr="00951CE1">
              <w:rPr>
                <w:noProof/>
                <w:webHidden/>
              </w:rPr>
              <w:instrText xml:space="preserve"> PAGEREF _Toc91623878 \h </w:instrText>
            </w:r>
            <w:r w:rsidRPr="00951CE1">
              <w:rPr>
                <w:noProof/>
                <w:webHidden/>
              </w:rPr>
            </w:r>
            <w:r w:rsidRPr="00951CE1">
              <w:rPr>
                <w:noProof/>
                <w:webHidden/>
              </w:rPr>
              <w:fldChar w:fldCharType="separate"/>
            </w:r>
            <w:r w:rsidRPr="00951CE1">
              <w:rPr>
                <w:noProof/>
                <w:webHidden/>
              </w:rPr>
              <w:t>58</w:t>
            </w:r>
            <w:r w:rsidRPr="00951CE1">
              <w:rPr>
                <w:noProof/>
                <w:webHidden/>
              </w:rPr>
              <w:fldChar w:fldCharType="end"/>
            </w:r>
          </w:hyperlink>
        </w:p>
        <w:p w14:paraId="5F2A2059" w14:textId="621653F8" w:rsidR="00951CE1" w:rsidRPr="00951CE1" w:rsidRDefault="00951CE1">
          <w:pPr>
            <w:pStyle w:val="TOC2"/>
            <w:tabs>
              <w:tab w:val="right" w:leader="dot" w:pos="8296"/>
            </w:tabs>
            <w:rPr>
              <w:noProof/>
              <w:kern w:val="0"/>
              <w:sz w:val="22"/>
            </w:rPr>
          </w:pPr>
          <w:hyperlink w:anchor="_Toc91623879" w:history="1">
            <w:r w:rsidRPr="00951CE1">
              <w:rPr>
                <w:rStyle w:val="Hyperlink"/>
                <w:rFonts w:asciiTheme="majorBidi" w:hAnsiTheme="majorBidi"/>
                <w:noProof/>
              </w:rPr>
              <w:t>3 The Reasons behind Pērōz and Narseh's flight to China</w:t>
            </w:r>
            <w:r w:rsidRPr="00951CE1">
              <w:rPr>
                <w:noProof/>
                <w:webHidden/>
              </w:rPr>
              <w:tab/>
            </w:r>
            <w:r w:rsidRPr="00951CE1">
              <w:rPr>
                <w:noProof/>
                <w:webHidden/>
              </w:rPr>
              <w:fldChar w:fldCharType="begin"/>
            </w:r>
            <w:r w:rsidRPr="00951CE1">
              <w:rPr>
                <w:noProof/>
                <w:webHidden/>
              </w:rPr>
              <w:instrText xml:space="preserve"> PAGEREF _Toc91623879 \h </w:instrText>
            </w:r>
            <w:r w:rsidRPr="00951CE1">
              <w:rPr>
                <w:noProof/>
                <w:webHidden/>
              </w:rPr>
            </w:r>
            <w:r w:rsidRPr="00951CE1">
              <w:rPr>
                <w:noProof/>
                <w:webHidden/>
              </w:rPr>
              <w:fldChar w:fldCharType="separate"/>
            </w:r>
            <w:r w:rsidRPr="00951CE1">
              <w:rPr>
                <w:noProof/>
                <w:webHidden/>
              </w:rPr>
              <w:t>62</w:t>
            </w:r>
            <w:r w:rsidRPr="00951CE1">
              <w:rPr>
                <w:noProof/>
                <w:webHidden/>
              </w:rPr>
              <w:fldChar w:fldCharType="end"/>
            </w:r>
          </w:hyperlink>
        </w:p>
        <w:p w14:paraId="6E27ED17" w14:textId="6575AC26" w:rsidR="00951CE1" w:rsidRPr="00951CE1" w:rsidRDefault="00951CE1">
          <w:pPr>
            <w:pStyle w:val="TOC2"/>
            <w:tabs>
              <w:tab w:val="right" w:leader="dot" w:pos="8296"/>
            </w:tabs>
            <w:rPr>
              <w:noProof/>
              <w:kern w:val="0"/>
              <w:sz w:val="22"/>
            </w:rPr>
          </w:pPr>
          <w:hyperlink w:anchor="_Toc91623880" w:history="1">
            <w:r w:rsidRPr="00951CE1">
              <w:rPr>
                <w:rStyle w:val="Hyperlink"/>
                <w:rFonts w:asciiTheme="majorBidi" w:hAnsiTheme="majorBidi"/>
                <w:noProof/>
              </w:rPr>
              <w:t>Conclusions</w:t>
            </w:r>
            <w:r w:rsidRPr="00951CE1">
              <w:rPr>
                <w:noProof/>
                <w:webHidden/>
              </w:rPr>
              <w:tab/>
            </w:r>
            <w:r w:rsidRPr="00951CE1">
              <w:rPr>
                <w:noProof/>
                <w:webHidden/>
              </w:rPr>
              <w:fldChar w:fldCharType="begin"/>
            </w:r>
            <w:r w:rsidRPr="00951CE1">
              <w:rPr>
                <w:noProof/>
                <w:webHidden/>
              </w:rPr>
              <w:instrText xml:space="preserve"> PAGEREF _Toc91623880 \h </w:instrText>
            </w:r>
            <w:r w:rsidRPr="00951CE1">
              <w:rPr>
                <w:noProof/>
                <w:webHidden/>
              </w:rPr>
            </w:r>
            <w:r w:rsidRPr="00951CE1">
              <w:rPr>
                <w:noProof/>
                <w:webHidden/>
              </w:rPr>
              <w:fldChar w:fldCharType="separate"/>
            </w:r>
            <w:r w:rsidRPr="00951CE1">
              <w:rPr>
                <w:noProof/>
                <w:webHidden/>
              </w:rPr>
              <w:t>67</w:t>
            </w:r>
            <w:r w:rsidRPr="00951CE1">
              <w:rPr>
                <w:noProof/>
                <w:webHidden/>
              </w:rPr>
              <w:fldChar w:fldCharType="end"/>
            </w:r>
          </w:hyperlink>
        </w:p>
        <w:p w14:paraId="0CBF87BD" w14:textId="3E6815FA" w:rsidR="00951CE1" w:rsidRPr="00951CE1" w:rsidRDefault="00951CE1">
          <w:pPr>
            <w:pStyle w:val="TOC2"/>
            <w:tabs>
              <w:tab w:val="right" w:leader="dot" w:pos="8296"/>
            </w:tabs>
            <w:rPr>
              <w:noProof/>
              <w:kern w:val="0"/>
              <w:sz w:val="22"/>
            </w:rPr>
          </w:pPr>
          <w:hyperlink w:anchor="_Toc91623881" w:history="1">
            <w:r w:rsidRPr="00951CE1">
              <w:rPr>
                <w:rStyle w:val="Hyperlink"/>
                <w:rFonts w:asciiTheme="majorBidi" w:hAnsiTheme="majorBidi"/>
                <w:noProof/>
              </w:rPr>
              <w:t>Appendices</w:t>
            </w:r>
            <w:r w:rsidRPr="00951CE1">
              <w:rPr>
                <w:noProof/>
                <w:webHidden/>
              </w:rPr>
              <w:tab/>
            </w:r>
            <w:r w:rsidRPr="00951CE1">
              <w:rPr>
                <w:noProof/>
                <w:webHidden/>
              </w:rPr>
              <w:fldChar w:fldCharType="begin"/>
            </w:r>
            <w:r w:rsidRPr="00951CE1">
              <w:rPr>
                <w:noProof/>
                <w:webHidden/>
              </w:rPr>
              <w:instrText xml:space="preserve"> PAGEREF _Toc91623881 \h </w:instrText>
            </w:r>
            <w:r w:rsidRPr="00951CE1">
              <w:rPr>
                <w:noProof/>
                <w:webHidden/>
              </w:rPr>
            </w:r>
            <w:r w:rsidRPr="00951CE1">
              <w:rPr>
                <w:noProof/>
                <w:webHidden/>
              </w:rPr>
              <w:fldChar w:fldCharType="separate"/>
            </w:r>
            <w:r w:rsidRPr="00951CE1">
              <w:rPr>
                <w:noProof/>
                <w:webHidden/>
              </w:rPr>
              <w:t>69</w:t>
            </w:r>
            <w:r w:rsidRPr="00951CE1">
              <w:rPr>
                <w:noProof/>
                <w:webHidden/>
              </w:rPr>
              <w:fldChar w:fldCharType="end"/>
            </w:r>
          </w:hyperlink>
        </w:p>
        <w:p w14:paraId="2AC72538" w14:textId="010C165F" w:rsidR="00951CE1" w:rsidRPr="00951CE1" w:rsidRDefault="00951CE1">
          <w:pPr>
            <w:pStyle w:val="TOC3"/>
            <w:tabs>
              <w:tab w:val="right" w:leader="dot" w:pos="8296"/>
            </w:tabs>
            <w:rPr>
              <w:noProof/>
              <w:kern w:val="0"/>
              <w:sz w:val="22"/>
            </w:rPr>
          </w:pPr>
          <w:hyperlink w:anchor="_Toc91623882" w:history="1">
            <w:r w:rsidRPr="00951CE1">
              <w:rPr>
                <w:rStyle w:val="Hyperlink"/>
                <w:rFonts w:asciiTheme="majorBidi" w:hAnsiTheme="majorBidi"/>
                <w:noProof/>
              </w:rPr>
              <w:t>I Maps</w:t>
            </w:r>
            <w:r w:rsidRPr="00951CE1">
              <w:rPr>
                <w:noProof/>
                <w:webHidden/>
              </w:rPr>
              <w:tab/>
            </w:r>
            <w:r w:rsidRPr="00951CE1">
              <w:rPr>
                <w:noProof/>
                <w:webHidden/>
              </w:rPr>
              <w:fldChar w:fldCharType="begin"/>
            </w:r>
            <w:r w:rsidRPr="00951CE1">
              <w:rPr>
                <w:noProof/>
                <w:webHidden/>
              </w:rPr>
              <w:instrText xml:space="preserve"> PAGEREF _Toc91623882 \h </w:instrText>
            </w:r>
            <w:r w:rsidRPr="00951CE1">
              <w:rPr>
                <w:noProof/>
                <w:webHidden/>
              </w:rPr>
            </w:r>
            <w:r w:rsidRPr="00951CE1">
              <w:rPr>
                <w:noProof/>
                <w:webHidden/>
              </w:rPr>
              <w:fldChar w:fldCharType="separate"/>
            </w:r>
            <w:r w:rsidRPr="00951CE1">
              <w:rPr>
                <w:noProof/>
                <w:webHidden/>
              </w:rPr>
              <w:t>69</w:t>
            </w:r>
            <w:r w:rsidRPr="00951CE1">
              <w:rPr>
                <w:noProof/>
                <w:webHidden/>
              </w:rPr>
              <w:fldChar w:fldCharType="end"/>
            </w:r>
          </w:hyperlink>
        </w:p>
        <w:p w14:paraId="34EB9ABA" w14:textId="50A664BE" w:rsidR="00951CE1" w:rsidRPr="00951CE1" w:rsidRDefault="00951CE1">
          <w:pPr>
            <w:pStyle w:val="TOC3"/>
            <w:tabs>
              <w:tab w:val="right" w:leader="dot" w:pos="8296"/>
            </w:tabs>
            <w:rPr>
              <w:noProof/>
              <w:kern w:val="0"/>
              <w:sz w:val="22"/>
            </w:rPr>
          </w:pPr>
          <w:hyperlink w:anchor="_Toc91623883" w:history="1">
            <w:r w:rsidRPr="00951CE1">
              <w:rPr>
                <w:rStyle w:val="Hyperlink"/>
                <w:rFonts w:asciiTheme="majorBidi" w:hAnsiTheme="majorBidi"/>
                <w:noProof/>
              </w:rPr>
              <w:t xml:space="preserve">II The </w:t>
            </w:r>
            <w:r w:rsidRPr="00951CE1">
              <w:rPr>
                <w:rStyle w:val="Hyperlink"/>
                <w:rFonts w:asciiTheme="majorBidi" w:hAnsiTheme="majorBidi"/>
                <w:i/>
                <w:iCs/>
                <w:noProof/>
              </w:rPr>
              <w:t>Jiu Tangshu</w:t>
            </w:r>
            <w:r w:rsidRPr="00951CE1">
              <w:rPr>
                <w:rStyle w:val="Hyperlink"/>
                <w:rFonts w:asciiTheme="majorBidi" w:hAnsiTheme="majorBidi"/>
                <w:noProof/>
              </w:rPr>
              <w:t xml:space="preserve"> and the </w:t>
            </w:r>
            <w:r w:rsidRPr="00951CE1">
              <w:rPr>
                <w:rStyle w:val="Hyperlink"/>
                <w:rFonts w:asciiTheme="majorBidi" w:hAnsiTheme="majorBidi"/>
                <w:i/>
                <w:iCs/>
                <w:noProof/>
              </w:rPr>
              <w:t>Xin Tangshu</w:t>
            </w:r>
            <w:r w:rsidRPr="00951CE1">
              <w:rPr>
                <w:noProof/>
                <w:webHidden/>
              </w:rPr>
              <w:tab/>
            </w:r>
            <w:r w:rsidRPr="00951CE1">
              <w:rPr>
                <w:noProof/>
                <w:webHidden/>
              </w:rPr>
              <w:fldChar w:fldCharType="begin"/>
            </w:r>
            <w:r w:rsidRPr="00951CE1">
              <w:rPr>
                <w:noProof/>
                <w:webHidden/>
              </w:rPr>
              <w:instrText xml:space="preserve"> PAGEREF _Toc91623883 \h </w:instrText>
            </w:r>
            <w:r w:rsidRPr="00951CE1">
              <w:rPr>
                <w:noProof/>
                <w:webHidden/>
              </w:rPr>
            </w:r>
            <w:r w:rsidRPr="00951CE1">
              <w:rPr>
                <w:noProof/>
                <w:webHidden/>
              </w:rPr>
              <w:fldChar w:fldCharType="separate"/>
            </w:r>
            <w:r w:rsidRPr="00951CE1">
              <w:rPr>
                <w:noProof/>
                <w:webHidden/>
              </w:rPr>
              <w:t>71</w:t>
            </w:r>
            <w:r w:rsidRPr="00951CE1">
              <w:rPr>
                <w:noProof/>
                <w:webHidden/>
              </w:rPr>
              <w:fldChar w:fldCharType="end"/>
            </w:r>
          </w:hyperlink>
        </w:p>
        <w:p w14:paraId="4D9BB30D" w14:textId="3AC2642B" w:rsidR="00951CE1" w:rsidRPr="00951CE1" w:rsidRDefault="00951CE1">
          <w:pPr>
            <w:pStyle w:val="TOC3"/>
            <w:tabs>
              <w:tab w:val="right" w:leader="dot" w:pos="8296"/>
            </w:tabs>
            <w:rPr>
              <w:noProof/>
              <w:kern w:val="0"/>
              <w:sz w:val="22"/>
            </w:rPr>
          </w:pPr>
          <w:hyperlink w:anchor="_Toc91623884" w:history="1">
            <w:r w:rsidRPr="00951CE1">
              <w:rPr>
                <w:rStyle w:val="Hyperlink"/>
                <w:rFonts w:asciiTheme="majorBidi" w:hAnsiTheme="majorBidi"/>
                <w:noProof/>
              </w:rPr>
              <w:t>III The</w:t>
            </w:r>
            <w:r w:rsidRPr="00951CE1">
              <w:rPr>
                <w:rStyle w:val="Hyperlink"/>
                <w:rFonts w:asciiTheme="majorBidi" w:hAnsiTheme="majorBidi"/>
                <w:i/>
                <w:iCs/>
                <w:noProof/>
              </w:rPr>
              <w:t xml:space="preserve"> Biography of Sanzang Fashi of the Great Ci'en Monastery</w:t>
            </w:r>
            <w:r w:rsidRPr="00951CE1">
              <w:rPr>
                <w:noProof/>
                <w:webHidden/>
              </w:rPr>
              <w:tab/>
            </w:r>
            <w:r w:rsidRPr="00951CE1">
              <w:rPr>
                <w:noProof/>
                <w:webHidden/>
              </w:rPr>
              <w:fldChar w:fldCharType="begin"/>
            </w:r>
            <w:r w:rsidRPr="00951CE1">
              <w:rPr>
                <w:noProof/>
                <w:webHidden/>
              </w:rPr>
              <w:instrText xml:space="preserve"> PAGEREF _Toc91623884 \h </w:instrText>
            </w:r>
            <w:r w:rsidRPr="00951CE1">
              <w:rPr>
                <w:noProof/>
                <w:webHidden/>
              </w:rPr>
            </w:r>
            <w:r w:rsidRPr="00951CE1">
              <w:rPr>
                <w:noProof/>
                <w:webHidden/>
              </w:rPr>
              <w:fldChar w:fldCharType="separate"/>
            </w:r>
            <w:r w:rsidRPr="00951CE1">
              <w:rPr>
                <w:noProof/>
                <w:webHidden/>
              </w:rPr>
              <w:t>74</w:t>
            </w:r>
            <w:r w:rsidRPr="00951CE1">
              <w:rPr>
                <w:noProof/>
                <w:webHidden/>
              </w:rPr>
              <w:fldChar w:fldCharType="end"/>
            </w:r>
          </w:hyperlink>
        </w:p>
        <w:p w14:paraId="6930DF9F" w14:textId="6F29BAB7" w:rsidR="00951CE1" w:rsidRPr="00951CE1" w:rsidRDefault="00951CE1">
          <w:pPr>
            <w:pStyle w:val="TOC3"/>
            <w:tabs>
              <w:tab w:val="right" w:leader="dot" w:pos="8296"/>
            </w:tabs>
            <w:rPr>
              <w:noProof/>
              <w:kern w:val="0"/>
              <w:sz w:val="22"/>
            </w:rPr>
          </w:pPr>
          <w:hyperlink w:anchor="_Toc91623885" w:history="1">
            <w:r w:rsidRPr="00951CE1">
              <w:rPr>
                <w:rStyle w:val="Hyperlink"/>
                <w:rFonts w:asciiTheme="majorBidi" w:hAnsiTheme="majorBidi"/>
                <w:noProof/>
              </w:rPr>
              <w:t xml:space="preserve">IV The </w:t>
            </w:r>
            <w:r w:rsidRPr="00951CE1">
              <w:rPr>
                <w:rStyle w:val="Hyperlink"/>
                <w:rFonts w:asciiTheme="majorBidi" w:hAnsiTheme="majorBidi"/>
                <w:i/>
                <w:iCs/>
                <w:noProof/>
              </w:rPr>
              <w:t>Cefu yuangui</w:t>
            </w:r>
            <w:r w:rsidRPr="00951CE1">
              <w:rPr>
                <w:noProof/>
                <w:webHidden/>
              </w:rPr>
              <w:tab/>
            </w:r>
            <w:r w:rsidRPr="00951CE1">
              <w:rPr>
                <w:noProof/>
                <w:webHidden/>
              </w:rPr>
              <w:fldChar w:fldCharType="begin"/>
            </w:r>
            <w:r w:rsidRPr="00951CE1">
              <w:rPr>
                <w:noProof/>
                <w:webHidden/>
              </w:rPr>
              <w:instrText xml:space="preserve"> PAGEREF _Toc91623885 \h </w:instrText>
            </w:r>
            <w:r w:rsidRPr="00951CE1">
              <w:rPr>
                <w:noProof/>
                <w:webHidden/>
              </w:rPr>
            </w:r>
            <w:r w:rsidRPr="00951CE1">
              <w:rPr>
                <w:noProof/>
                <w:webHidden/>
              </w:rPr>
              <w:fldChar w:fldCharType="separate"/>
            </w:r>
            <w:r w:rsidRPr="00951CE1">
              <w:rPr>
                <w:noProof/>
                <w:webHidden/>
              </w:rPr>
              <w:t>76</w:t>
            </w:r>
            <w:r w:rsidRPr="00951CE1">
              <w:rPr>
                <w:noProof/>
                <w:webHidden/>
              </w:rPr>
              <w:fldChar w:fldCharType="end"/>
            </w:r>
          </w:hyperlink>
        </w:p>
        <w:p w14:paraId="12FFD82A" w14:textId="73044948" w:rsidR="00951CE1" w:rsidRPr="00951CE1" w:rsidRDefault="00951CE1">
          <w:pPr>
            <w:pStyle w:val="TOC3"/>
            <w:tabs>
              <w:tab w:val="right" w:leader="dot" w:pos="8296"/>
            </w:tabs>
            <w:rPr>
              <w:noProof/>
              <w:kern w:val="0"/>
              <w:sz w:val="22"/>
            </w:rPr>
          </w:pPr>
          <w:hyperlink w:anchor="_Toc91623886" w:history="1">
            <w:r w:rsidRPr="00951CE1">
              <w:rPr>
                <w:rStyle w:val="Hyperlink"/>
                <w:rFonts w:asciiTheme="majorBidi" w:hAnsiTheme="majorBidi"/>
                <w:noProof/>
              </w:rPr>
              <w:t>V Tables</w:t>
            </w:r>
            <w:r w:rsidRPr="00951CE1">
              <w:rPr>
                <w:noProof/>
                <w:webHidden/>
              </w:rPr>
              <w:tab/>
            </w:r>
            <w:r w:rsidRPr="00951CE1">
              <w:rPr>
                <w:noProof/>
                <w:webHidden/>
              </w:rPr>
              <w:fldChar w:fldCharType="begin"/>
            </w:r>
            <w:r w:rsidRPr="00951CE1">
              <w:rPr>
                <w:noProof/>
                <w:webHidden/>
              </w:rPr>
              <w:instrText xml:space="preserve"> PAGEREF _Toc91623886 \h </w:instrText>
            </w:r>
            <w:r w:rsidRPr="00951CE1">
              <w:rPr>
                <w:noProof/>
                <w:webHidden/>
              </w:rPr>
            </w:r>
            <w:r w:rsidRPr="00951CE1">
              <w:rPr>
                <w:noProof/>
                <w:webHidden/>
              </w:rPr>
              <w:fldChar w:fldCharType="separate"/>
            </w:r>
            <w:r w:rsidRPr="00951CE1">
              <w:rPr>
                <w:noProof/>
                <w:webHidden/>
              </w:rPr>
              <w:t>81</w:t>
            </w:r>
            <w:r w:rsidRPr="00951CE1">
              <w:rPr>
                <w:noProof/>
                <w:webHidden/>
              </w:rPr>
              <w:fldChar w:fldCharType="end"/>
            </w:r>
          </w:hyperlink>
        </w:p>
        <w:p w14:paraId="7C149154" w14:textId="6C2F1249" w:rsidR="00951CE1" w:rsidRPr="00951CE1" w:rsidRDefault="00951CE1">
          <w:pPr>
            <w:pStyle w:val="TOC2"/>
            <w:tabs>
              <w:tab w:val="right" w:leader="dot" w:pos="8296"/>
            </w:tabs>
            <w:rPr>
              <w:noProof/>
              <w:kern w:val="0"/>
              <w:sz w:val="22"/>
            </w:rPr>
          </w:pPr>
          <w:hyperlink w:anchor="_Toc91623887" w:history="1">
            <w:r w:rsidRPr="00951CE1">
              <w:rPr>
                <w:rStyle w:val="Hyperlink"/>
                <w:rFonts w:asciiTheme="majorBidi" w:hAnsiTheme="majorBidi"/>
                <w:noProof/>
              </w:rPr>
              <w:t>Bibliography</w:t>
            </w:r>
            <w:r w:rsidRPr="00951CE1">
              <w:rPr>
                <w:noProof/>
                <w:webHidden/>
              </w:rPr>
              <w:tab/>
            </w:r>
            <w:r w:rsidRPr="00951CE1">
              <w:rPr>
                <w:noProof/>
                <w:webHidden/>
              </w:rPr>
              <w:fldChar w:fldCharType="begin"/>
            </w:r>
            <w:r w:rsidRPr="00951CE1">
              <w:rPr>
                <w:noProof/>
                <w:webHidden/>
              </w:rPr>
              <w:instrText xml:space="preserve"> PAGEREF _Toc91623887 \h </w:instrText>
            </w:r>
            <w:r w:rsidRPr="00951CE1">
              <w:rPr>
                <w:noProof/>
                <w:webHidden/>
              </w:rPr>
            </w:r>
            <w:r w:rsidRPr="00951CE1">
              <w:rPr>
                <w:noProof/>
                <w:webHidden/>
              </w:rPr>
              <w:fldChar w:fldCharType="separate"/>
            </w:r>
            <w:r w:rsidRPr="00951CE1">
              <w:rPr>
                <w:noProof/>
                <w:webHidden/>
              </w:rPr>
              <w:t>89</w:t>
            </w:r>
            <w:r w:rsidRPr="00951CE1">
              <w:rPr>
                <w:noProof/>
                <w:webHidden/>
              </w:rPr>
              <w:fldChar w:fldCharType="end"/>
            </w:r>
          </w:hyperlink>
        </w:p>
        <w:p w14:paraId="47FA0BAD" w14:textId="2970AF46" w:rsidR="009A2020" w:rsidRPr="00FF7B51" w:rsidRDefault="00505177" w:rsidP="009D67A3">
          <w:r w:rsidRPr="00951CE1">
            <w:rPr>
              <w:noProof/>
            </w:rPr>
            <w:fldChar w:fldCharType="end"/>
          </w:r>
        </w:p>
      </w:sdtContent>
    </w:sdt>
    <w:p w14:paraId="0A0D59E4" w14:textId="77777777" w:rsidR="009A2020" w:rsidRPr="008E7A00" w:rsidRDefault="009A2020">
      <w:pPr>
        <w:widowControl/>
        <w:jc w:val="left"/>
        <w:rPr>
          <w:rFonts w:asciiTheme="majorBidi" w:eastAsiaTheme="majorEastAsia" w:hAnsiTheme="majorBidi" w:cstheme="majorBidi"/>
          <w:sz w:val="24"/>
          <w:szCs w:val="24"/>
        </w:rPr>
      </w:pPr>
      <w:r w:rsidRPr="008E7A00">
        <w:rPr>
          <w:rFonts w:asciiTheme="majorBidi" w:hAnsiTheme="majorBidi"/>
          <w:sz w:val="24"/>
          <w:szCs w:val="24"/>
        </w:rPr>
        <w:br w:type="page"/>
      </w:r>
      <w:bookmarkStart w:id="1" w:name="_GoBack"/>
      <w:bookmarkEnd w:id="1"/>
    </w:p>
    <w:p w14:paraId="6ED44FD2" w14:textId="020073A1" w:rsidR="00F67543" w:rsidRPr="00E41C4A" w:rsidRDefault="00F67543" w:rsidP="00F67543">
      <w:pPr>
        <w:pStyle w:val="Heading2"/>
        <w:rPr>
          <w:rFonts w:asciiTheme="majorBidi" w:hAnsiTheme="majorBidi"/>
          <w:sz w:val="24"/>
          <w:szCs w:val="24"/>
        </w:rPr>
      </w:pPr>
      <w:bookmarkStart w:id="2" w:name="_Toc91623870"/>
      <w:r w:rsidRPr="00E41C4A">
        <w:rPr>
          <w:rFonts w:asciiTheme="majorBidi" w:hAnsiTheme="majorBidi"/>
          <w:sz w:val="24"/>
          <w:szCs w:val="24"/>
        </w:rPr>
        <w:lastRenderedPageBreak/>
        <w:t>Introduction</w:t>
      </w:r>
      <w:bookmarkEnd w:id="2"/>
    </w:p>
    <w:p w14:paraId="3FDE9AAF" w14:textId="60BB2009" w:rsidR="00120CF2" w:rsidRDefault="00F67543" w:rsidP="00120CF2">
      <w:pPr>
        <w:spacing w:line="360" w:lineRule="auto"/>
        <w:rPr>
          <w:rFonts w:asciiTheme="majorBidi" w:hAnsiTheme="majorBidi" w:cstheme="majorBidi"/>
          <w:sz w:val="24"/>
          <w:szCs w:val="24"/>
        </w:rPr>
      </w:pPr>
      <w:r>
        <w:rPr>
          <w:rFonts w:asciiTheme="majorBidi" w:hAnsiTheme="majorBidi" w:cstheme="majorBidi"/>
          <w:sz w:val="24"/>
          <w:szCs w:val="24"/>
        </w:rPr>
        <w:t xml:space="preserve">When the Arabs were </w:t>
      </w:r>
      <w:r w:rsidR="00C47D81">
        <w:rPr>
          <w:rFonts w:asciiTheme="majorBidi" w:hAnsiTheme="majorBidi" w:cstheme="majorBidi"/>
          <w:sz w:val="24"/>
          <w:szCs w:val="24"/>
        </w:rPr>
        <w:t>making quick pro</w:t>
      </w:r>
      <w:r w:rsidR="005F3F4A">
        <w:rPr>
          <w:rFonts w:asciiTheme="majorBidi" w:hAnsiTheme="majorBidi" w:cstheme="majorBidi"/>
          <w:sz w:val="24"/>
          <w:szCs w:val="24"/>
        </w:rPr>
        <w:t>gr</w:t>
      </w:r>
      <w:r w:rsidR="00C47D81">
        <w:rPr>
          <w:rFonts w:asciiTheme="majorBidi" w:hAnsiTheme="majorBidi" w:cstheme="majorBidi"/>
          <w:sz w:val="24"/>
          <w:szCs w:val="24"/>
        </w:rPr>
        <w:t>ess in conquering</w:t>
      </w:r>
      <w:r>
        <w:rPr>
          <w:rFonts w:asciiTheme="majorBidi" w:hAnsiTheme="majorBidi" w:cstheme="majorBidi"/>
          <w:sz w:val="24"/>
          <w:szCs w:val="24"/>
        </w:rPr>
        <w:t xml:space="preserve"> the </w:t>
      </w:r>
      <w:r w:rsidR="00120CF2">
        <w:rPr>
          <w:rFonts w:asciiTheme="majorBidi" w:hAnsiTheme="majorBidi" w:cstheme="majorBidi"/>
          <w:sz w:val="24"/>
          <w:szCs w:val="24"/>
        </w:rPr>
        <w:t>territories of the Sasanian Empire (224-651 CE)</w:t>
      </w:r>
      <w:r>
        <w:rPr>
          <w:rFonts w:asciiTheme="majorBidi" w:hAnsiTheme="majorBidi" w:cstheme="majorBidi"/>
          <w:sz w:val="24"/>
          <w:szCs w:val="24"/>
        </w:rPr>
        <w:t xml:space="preserve">, </w:t>
      </w:r>
      <w:r w:rsidR="00945197">
        <w:rPr>
          <w:rFonts w:asciiTheme="majorBidi" w:hAnsiTheme="majorBidi" w:cstheme="majorBidi"/>
          <w:sz w:val="24"/>
          <w:szCs w:val="24"/>
        </w:rPr>
        <w:t xml:space="preserve">the last Sasanian monarch </w:t>
      </w:r>
      <w:r>
        <w:rPr>
          <w:rFonts w:asciiTheme="majorBidi" w:hAnsiTheme="majorBidi" w:cstheme="majorBidi"/>
          <w:sz w:val="24"/>
          <w:szCs w:val="24"/>
        </w:rPr>
        <w:t xml:space="preserve">Yazdegerd III </w:t>
      </w:r>
      <w:r w:rsidR="00120CF2">
        <w:rPr>
          <w:rFonts w:asciiTheme="majorBidi" w:hAnsiTheme="majorBidi" w:cstheme="majorBidi"/>
          <w:sz w:val="24"/>
          <w:szCs w:val="24"/>
        </w:rPr>
        <w:t xml:space="preserve">(632-651 CE) </w:t>
      </w:r>
      <w:r>
        <w:rPr>
          <w:rFonts w:asciiTheme="majorBidi" w:hAnsiTheme="majorBidi" w:cstheme="majorBidi"/>
          <w:sz w:val="24"/>
          <w:szCs w:val="24"/>
        </w:rPr>
        <w:t xml:space="preserve">fled eastward </w:t>
      </w:r>
      <w:r w:rsidR="00C47D81">
        <w:rPr>
          <w:rFonts w:asciiTheme="majorBidi" w:hAnsiTheme="majorBidi" w:cstheme="majorBidi"/>
          <w:sz w:val="24"/>
          <w:szCs w:val="24"/>
        </w:rPr>
        <w:t xml:space="preserve">until coming </w:t>
      </w:r>
      <w:r>
        <w:rPr>
          <w:rFonts w:asciiTheme="majorBidi" w:hAnsiTheme="majorBidi" w:cstheme="majorBidi"/>
          <w:sz w:val="24"/>
          <w:szCs w:val="24"/>
        </w:rPr>
        <w:t>to Marw</w:t>
      </w:r>
      <w:r w:rsidR="00120CF2">
        <w:rPr>
          <w:rFonts w:asciiTheme="majorBidi" w:hAnsiTheme="majorBidi" w:cstheme="majorBidi"/>
          <w:sz w:val="24"/>
          <w:szCs w:val="24"/>
        </w:rPr>
        <w:t xml:space="preserve"> in modern Turkmenistan</w:t>
      </w:r>
      <w:r>
        <w:rPr>
          <w:rFonts w:asciiTheme="majorBidi" w:hAnsiTheme="majorBidi" w:cstheme="majorBidi"/>
          <w:sz w:val="24"/>
          <w:szCs w:val="24"/>
        </w:rPr>
        <w:t xml:space="preserve"> and was killed there in 651 CE.</w:t>
      </w:r>
      <w:r w:rsidR="00945197">
        <w:rPr>
          <w:rFonts w:asciiTheme="majorBidi" w:hAnsiTheme="majorBidi" w:cstheme="majorBidi"/>
          <w:sz w:val="24"/>
          <w:szCs w:val="24"/>
        </w:rPr>
        <w:t xml:space="preserve"> </w:t>
      </w:r>
      <w:r w:rsidR="0090406E">
        <w:rPr>
          <w:rFonts w:asciiTheme="majorBidi" w:hAnsiTheme="majorBidi" w:cstheme="majorBidi"/>
          <w:sz w:val="24"/>
          <w:szCs w:val="24"/>
        </w:rPr>
        <w:t>Both the Armenian and the Muslim historians see Yazdegerd's death as the end of the Sasanians.</w:t>
      </w:r>
      <w:r w:rsidR="00301421" w:rsidRPr="006E74F2">
        <w:rPr>
          <w:rFonts w:asciiTheme="majorBidi" w:hAnsiTheme="majorBidi" w:cstheme="majorBidi"/>
          <w:sz w:val="24"/>
          <w:szCs w:val="24"/>
          <w:vertAlign w:val="superscript"/>
        </w:rPr>
        <w:footnoteReference w:id="1"/>
      </w:r>
    </w:p>
    <w:p w14:paraId="5FF12C99" w14:textId="2EA27EB2" w:rsidR="004674B4" w:rsidRDefault="00120CF2" w:rsidP="00660101">
      <w:pPr>
        <w:spacing w:line="360" w:lineRule="auto"/>
        <w:rPr>
          <w:rFonts w:asciiTheme="majorBidi" w:hAnsiTheme="majorBidi" w:cstheme="majorBidi"/>
          <w:sz w:val="24"/>
          <w:szCs w:val="24"/>
        </w:rPr>
      </w:pPr>
      <w:r>
        <w:rPr>
          <w:rFonts w:asciiTheme="majorBidi" w:hAnsiTheme="majorBidi" w:cstheme="majorBidi"/>
          <w:sz w:val="24"/>
          <w:szCs w:val="24"/>
        </w:rPr>
        <w:t xml:space="preserve">     Actually, after Yazdegerd’s death, the surviving Sasanian members continued to seek refuge. </w:t>
      </w:r>
      <w:r w:rsidR="00660101">
        <w:rPr>
          <w:rFonts w:asciiTheme="majorBidi" w:hAnsiTheme="majorBidi" w:cstheme="majorBidi"/>
          <w:sz w:val="24"/>
          <w:szCs w:val="24"/>
        </w:rPr>
        <w:t>Both the Muslim and the Chinese sources contain information of the last Sasanian princes, Yazdegerd's son Pērōz (d. 679 CE) and the latter's son Narseh (d. in the late 700s)</w:t>
      </w:r>
      <w:r w:rsidR="00841CC6">
        <w:rPr>
          <w:rFonts w:asciiTheme="majorBidi" w:hAnsiTheme="majorBidi" w:cstheme="majorBidi"/>
          <w:sz w:val="24"/>
          <w:szCs w:val="24"/>
        </w:rPr>
        <w:t xml:space="preserve">. They </w:t>
      </w:r>
      <w:r w:rsidR="00660101">
        <w:rPr>
          <w:rFonts w:asciiTheme="majorBidi" w:hAnsiTheme="majorBidi" w:cstheme="majorBidi"/>
          <w:sz w:val="24"/>
          <w:szCs w:val="24"/>
        </w:rPr>
        <w:t xml:space="preserve">stayed in </w:t>
      </w:r>
      <w:r w:rsidR="00660101" w:rsidRPr="009A6F7F">
        <w:rPr>
          <w:rFonts w:asciiTheme="majorBidi" w:hAnsiTheme="majorBidi" w:cstheme="majorBidi"/>
          <w:sz w:val="24"/>
          <w:szCs w:val="24"/>
        </w:rPr>
        <w:t>Ṭukhāristān</w:t>
      </w:r>
      <w:r w:rsidR="00660101">
        <w:rPr>
          <w:rFonts w:asciiTheme="majorBidi" w:hAnsiTheme="majorBidi" w:cstheme="majorBidi"/>
          <w:sz w:val="24"/>
          <w:szCs w:val="24"/>
        </w:rPr>
        <w:t xml:space="preserve"> (classical Bactria),</w:t>
      </w:r>
      <w:r w:rsidR="00660101">
        <w:rPr>
          <w:rStyle w:val="FootnoteReference"/>
          <w:rFonts w:asciiTheme="majorBidi" w:hAnsiTheme="majorBidi" w:cstheme="majorBidi"/>
          <w:sz w:val="24"/>
          <w:szCs w:val="24"/>
        </w:rPr>
        <w:footnoteReference w:id="2"/>
      </w:r>
      <w:r w:rsidR="00660101">
        <w:rPr>
          <w:rFonts w:asciiTheme="majorBidi" w:hAnsiTheme="majorBidi" w:cstheme="majorBidi"/>
          <w:sz w:val="24"/>
          <w:szCs w:val="24"/>
        </w:rPr>
        <w:t xml:space="preserve"> a medieval term for </w:t>
      </w:r>
      <w:r w:rsidR="00660101">
        <w:rPr>
          <w:rFonts w:asciiTheme="majorBidi" w:hAnsiTheme="majorBidi" w:cstheme="majorBidi"/>
          <w:sz w:val="24"/>
          <w:szCs w:val="24"/>
        </w:rPr>
        <w:lastRenderedPageBreak/>
        <w:t xml:space="preserve">modern northern Afghanistan, </w:t>
      </w:r>
      <w:r w:rsidR="00841CC6">
        <w:rPr>
          <w:rFonts w:asciiTheme="majorBidi" w:hAnsiTheme="majorBidi" w:cstheme="majorBidi"/>
          <w:sz w:val="24"/>
          <w:szCs w:val="24"/>
        </w:rPr>
        <w:t xml:space="preserve">respectively </w:t>
      </w:r>
      <w:r w:rsidR="00660101">
        <w:rPr>
          <w:rFonts w:asciiTheme="majorBidi" w:hAnsiTheme="majorBidi" w:cstheme="majorBidi"/>
          <w:sz w:val="24"/>
          <w:szCs w:val="24"/>
        </w:rPr>
        <w:t xml:space="preserve">for around two decades before arriving at the </w:t>
      </w:r>
      <w:r w:rsidR="00004B66">
        <w:rPr>
          <w:rFonts w:asciiTheme="majorBidi" w:hAnsiTheme="majorBidi" w:cstheme="majorBidi"/>
          <w:sz w:val="24"/>
          <w:szCs w:val="24"/>
        </w:rPr>
        <w:t xml:space="preserve">Chinese </w:t>
      </w:r>
      <w:r w:rsidR="00660101">
        <w:rPr>
          <w:rFonts w:asciiTheme="majorBidi" w:hAnsiTheme="majorBidi" w:cstheme="majorBidi"/>
          <w:sz w:val="24"/>
          <w:szCs w:val="24"/>
        </w:rPr>
        <w:t>Tang court.</w:t>
      </w:r>
      <w:r w:rsidR="00660101">
        <w:rPr>
          <w:rStyle w:val="FootnoteReference"/>
          <w:rFonts w:asciiTheme="majorBidi" w:hAnsiTheme="majorBidi" w:cstheme="majorBidi"/>
          <w:sz w:val="24"/>
          <w:szCs w:val="24"/>
        </w:rPr>
        <w:footnoteReference w:id="3"/>
      </w:r>
    </w:p>
    <w:p w14:paraId="5137173E" w14:textId="0EAD4D2D" w:rsidR="00CC0213" w:rsidRDefault="004674B4" w:rsidP="005846CF">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D702DF">
        <w:rPr>
          <w:rFonts w:asciiTheme="majorBidi" w:hAnsiTheme="majorBidi" w:cstheme="majorBidi"/>
          <w:sz w:val="24"/>
          <w:szCs w:val="24"/>
        </w:rPr>
        <w:t xml:space="preserve">When it comes to academic research about the history of the last Sasanian princes after Yazdegerd III, it </w:t>
      </w:r>
      <w:r>
        <w:rPr>
          <w:rFonts w:asciiTheme="majorBidi" w:hAnsiTheme="majorBidi" w:cstheme="majorBidi" w:hint="eastAsia"/>
          <w:sz w:val="24"/>
          <w:szCs w:val="24"/>
        </w:rPr>
        <w:t>is</w:t>
      </w:r>
      <w:r>
        <w:rPr>
          <w:rFonts w:asciiTheme="majorBidi" w:hAnsiTheme="majorBidi" w:cstheme="majorBidi"/>
          <w:sz w:val="24"/>
          <w:szCs w:val="24"/>
        </w:rPr>
        <w:t xml:space="preserve"> at best briefly mentioned </w:t>
      </w:r>
      <w:r w:rsidR="00913C21">
        <w:rPr>
          <w:rFonts w:asciiTheme="majorBidi" w:hAnsiTheme="majorBidi" w:cstheme="majorBidi"/>
          <w:sz w:val="24"/>
          <w:szCs w:val="24"/>
        </w:rPr>
        <w:t xml:space="preserve">by scholars of the Arab conquests of Khurasan such as </w:t>
      </w:r>
      <w:r w:rsidR="00883318">
        <w:rPr>
          <w:rFonts w:asciiTheme="majorBidi" w:hAnsiTheme="majorBidi" w:cstheme="majorBidi"/>
          <w:sz w:val="24"/>
          <w:szCs w:val="24"/>
        </w:rPr>
        <w:t xml:space="preserve">Hamilton </w:t>
      </w:r>
      <w:r>
        <w:rPr>
          <w:rFonts w:asciiTheme="majorBidi" w:hAnsiTheme="majorBidi" w:cstheme="majorBidi"/>
          <w:sz w:val="24"/>
          <w:szCs w:val="24"/>
        </w:rPr>
        <w:t xml:space="preserve">Gibb, </w:t>
      </w:r>
      <w:r w:rsidR="00883318">
        <w:rPr>
          <w:rFonts w:asciiTheme="majorBidi" w:hAnsiTheme="majorBidi" w:cstheme="majorBidi"/>
          <w:sz w:val="24"/>
          <w:szCs w:val="24"/>
        </w:rPr>
        <w:t xml:space="preserve">Muhammad </w:t>
      </w:r>
      <w:r>
        <w:rPr>
          <w:rFonts w:asciiTheme="majorBidi" w:hAnsiTheme="majorBidi" w:cstheme="majorBidi"/>
          <w:sz w:val="24"/>
          <w:szCs w:val="24"/>
        </w:rPr>
        <w:t xml:space="preserve">Shaban, </w:t>
      </w:r>
      <w:r w:rsidR="00883318">
        <w:rPr>
          <w:rFonts w:asciiTheme="majorBidi" w:hAnsiTheme="majorBidi" w:cstheme="majorBidi"/>
          <w:sz w:val="24"/>
          <w:szCs w:val="24"/>
        </w:rPr>
        <w:t xml:space="preserve">Hugh </w:t>
      </w:r>
      <w:r>
        <w:rPr>
          <w:rFonts w:asciiTheme="majorBidi" w:hAnsiTheme="majorBidi" w:cstheme="majorBidi"/>
          <w:sz w:val="24"/>
          <w:szCs w:val="24"/>
        </w:rPr>
        <w:t>Kennedy</w:t>
      </w:r>
      <w:r w:rsidR="00913C21">
        <w:rPr>
          <w:rFonts w:asciiTheme="majorBidi" w:hAnsiTheme="majorBidi" w:cstheme="majorBidi"/>
          <w:sz w:val="24"/>
          <w:szCs w:val="24"/>
        </w:rPr>
        <w:t xml:space="preserve"> and </w:t>
      </w:r>
      <w:r w:rsidR="00883318">
        <w:rPr>
          <w:rFonts w:asciiTheme="majorBidi" w:hAnsiTheme="majorBidi" w:cstheme="majorBidi"/>
          <w:sz w:val="24"/>
          <w:szCs w:val="24"/>
        </w:rPr>
        <w:t xml:space="preserve">Robert </w:t>
      </w:r>
      <w:r>
        <w:rPr>
          <w:rFonts w:asciiTheme="majorBidi" w:hAnsiTheme="majorBidi" w:cstheme="majorBidi"/>
          <w:sz w:val="24"/>
          <w:szCs w:val="24"/>
        </w:rPr>
        <w:t xml:space="preserve">Hoyland </w:t>
      </w:r>
      <w:r w:rsidR="00913C21">
        <w:rPr>
          <w:rFonts w:asciiTheme="majorBidi" w:hAnsiTheme="majorBidi" w:cstheme="majorBidi"/>
          <w:sz w:val="24"/>
          <w:szCs w:val="24"/>
        </w:rPr>
        <w:t>and by scholars of Sasanian history such as</w:t>
      </w:r>
      <w:r>
        <w:rPr>
          <w:rFonts w:asciiTheme="majorBidi" w:hAnsiTheme="majorBidi" w:cstheme="majorBidi"/>
          <w:sz w:val="24"/>
          <w:szCs w:val="24"/>
        </w:rPr>
        <w:t xml:space="preserve"> </w:t>
      </w:r>
      <w:r w:rsidR="00883318">
        <w:rPr>
          <w:rFonts w:asciiTheme="majorBidi" w:hAnsiTheme="majorBidi" w:cstheme="majorBidi"/>
          <w:sz w:val="24"/>
          <w:szCs w:val="24"/>
        </w:rPr>
        <w:t xml:space="preserve">Richard </w:t>
      </w:r>
      <w:r>
        <w:rPr>
          <w:rFonts w:asciiTheme="majorBidi" w:hAnsiTheme="majorBidi" w:cstheme="majorBidi"/>
          <w:sz w:val="24"/>
          <w:szCs w:val="24"/>
        </w:rPr>
        <w:t xml:space="preserve">Frye, </w:t>
      </w:r>
      <w:r w:rsidR="00883318">
        <w:rPr>
          <w:rFonts w:asciiTheme="majorBidi" w:hAnsiTheme="majorBidi" w:cstheme="majorBidi"/>
          <w:sz w:val="24"/>
          <w:szCs w:val="24"/>
        </w:rPr>
        <w:t xml:space="preserve">Arthur </w:t>
      </w:r>
      <w:r>
        <w:rPr>
          <w:rFonts w:asciiTheme="majorBidi" w:hAnsiTheme="majorBidi" w:cstheme="majorBidi"/>
          <w:sz w:val="24"/>
          <w:szCs w:val="24"/>
        </w:rPr>
        <w:t>Christens</w:t>
      </w:r>
      <w:r w:rsidR="00883318">
        <w:rPr>
          <w:rFonts w:asciiTheme="majorBidi" w:hAnsiTheme="majorBidi" w:cstheme="majorBidi"/>
          <w:sz w:val="24"/>
          <w:szCs w:val="24"/>
        </w:rPr>
        <w:t>e</w:t>
      </w:r>
      <w:r>
        <w:rPr>
          <w:rFonts w:asciiTheme="majorBidi" w:hAnsiTheme="majorBidi" w:cstheme="majorBidi"/>
          <w:sz w:val="24"/>
          <w:szCs w:val="24"/>
        </w:rPr>
        <w:t>n</w:t>
      </w:r>
      <w:r w:rsidR="002F1BB9" w:rsidRPr="002F1BB9">
        <w:rPr>
          <w:rFonts w:asciiTheme="majorBidi" w:hAnsiTheme="majorBidi" w:cstheme="majorBidi"/>
          <w:sz w:val="24"/>
          <w:szCs w:val="24"/>
        </w:rPr>
        <w:t xml:space="preserve"> </w:t>
      </w:r>
      <w:r w:rsidR="002F1BB9">
        <w:rPr>
          <w:rFonts w:asciiTheme="majorBidi" w:hAnsiTheme="majorBidi" w:cstheme="majorBidi"/>
          <w:sz w:val="24"/>
          <w:szCs w:val="24"/>
        </w:rPr>
        <w:t xml:space="preserve">and </w:t>
      </w:r>
      <w:r w:rsidR="00883318">
        <w:rPr>
          <w:rFonts w:asciiTheme="majorBidi" w:hAnsiTheme="majorBidi" w:cstheme="majorBidi"/>
          <w:sz w:val="24"/>
          <w:szCs w:val="24"/>
        </w:rPr>
        <w:t xml:space="preserve">Parvaneh </w:t>
      </w:r>
      <w:r w:rsidR="002F1BB9">
        <w:rPr>
          <w:rFonts w:asciiTheme="majorBidi" w:hAnsiTheme="majorBidi" w:cstheme="majorBidi"/>
          <w:sz w:val="24"/>
          <w:szCs w:val="24"/>
        </w:rPr>
        <w:t>Pourshariati</w:t>
      </w:r>
      <w:r w:rsidR="00004B66">
        <w:rPr>
          <w:rFonts w:asciiTheme="majorBidi" w:hAnsiTheme="majorBidi" w:cstheme="majorBidi"/>
          <w:sz w:val="24"/>
          <w:szCs w:val="24"/>
        </w:rPr>
        <w:t>. The reasons are twofold: firstly, the last Sasanian princes were of no great siginificance in both the history of the Arab conquests and the Sasanian dynasty; secondly, the Muslim sources are meagre, while the Chinese sources are unfamiliar to these scholars.</w:t>
      </w:r>
      <w:r w:rsidRPr="00730B47">
        <w:rPr>
          <w:rFonts w:asciiTheme="majorBidi" w:hAnsiTheme="majorBidi" w:cstheme="majorBidi"/>
          <w:sz w:val="24"/>
          <w:szCs w:val="24"/>
          <w:vertAlign w:val="superscript"/>
        </w:rPr>
        <w:footnoteReference w:id="4"/>
      </w:r>
    </w:p>
    <w:p w14:paraId="115AD718" w14:textId="39EBE64D" w:rsidR="001D3B25" w:rsidRPr="007317DB" w:rsidRDefault="001D3B25" w:rsidP="001D3B25">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31C83">
        <w:rPr>
          <w:rFonts w:asciiTheme="majorBidi" w:hAnsiTheme="majorBidi" w:cstheme="majorBidi"/>
          <w:sz w:val="24"/>
          <w:szCs w:val="24"/>
        </w:rPr>
        <w:t xml:space="preserve">The research of </w:t>
      </w:r>
      <w:r>
        <w:rPr>
          <w:rFonts w:asciiTheme="majorBidi" w:hAnsiTheme="majorBidi" w:cstheme="majorBidi"/>
          <w:sz w:val="24"/>
          <w:szCs w:val="24"/>
        </w:rPr>
        <w:t>Chinese scholars</w:t>
      </w:r>
      <w:r w:rsidR="00A31C83">
        <w:rPr>
          <w:rFonts w:asciiTheme="majorBidi" w:hAnsiTheme="majorBidi" w:cstheme="majorBidi"/>
          <w:sz w:val="24"/>
          <w:szCs w:val="24"/>
        </w:rPr>
        <w:t xml:space="preserve"> focusses on the Chinese sources</w:t>
      </w:r>
      <w:r w:rsidR="00325A35">
        <w:rPr>
          <w:rFonts w:asciiTheme="majorBidi" w:hAnsiTheme="majorBidi" w:cstheme="majorBidi"/>
          <w:sz w:val="24"/>
          <w:szCs w:val="24"/>
        </w:rPr>
        <w:t>, both written and archaeological</w:t>
      </w:r>
      <w:r w:rsidR="00A31C83">
        <w:rPr>
          <w:rFonts w:asciiTheme="majorBidi" w:hAnsiTheme="majorBidi" w:cstheme="majorBidi"/>
          <w:sz w:val="24"/>
          <w:szCs w:val="24"/>
        </w:rPr>
        <w:t>. T</w:t>
      </w:r>
      <w:r>
        <w:rPr>
          <w:rFonts w:asciiTheme="majorBidi" w:hAnsiTheme="majorBidi" w:cstheme="majorBidi"/>
          <w:sz w:val="24"/>
          <w:szCs w:val="24"/>
        </w:rPr>
        <w:t>he articles of both Liang &amp; Wen and Zhang study the list of the foreign rulers in the Qianling Mausoleum</w:t>
      </w:r>
      <w:r w:rsidR="00325A35">
        <w:rPr>
          <w:rFonts w:asciiTheme="majorBidi" w:hAnsiTheme="majorBidi" w:cstheme="majorBidi"/>
          <w:sz w:val="24"/>
          <w:szCs w:val="24"/>
        </w:rPr>
        <w:t xml:space="preserve"> (</w:t>
      </w:r>
      <w:r w:rsidR="00325A35">
        <w:rPr>
          <w:rFonts w:asciiTheme="majorBidi" w:hAnsiTheme="majorBidi" w:cstheme="majorBidi" w:hint="eastAsia"/>
          <w:sz w:val="24"/>
          <w:szCs w:val="24"/>
        </w:rPr>
        <w:t>乾陵</w:t>
      </w:r>
      <w:r w:rsidR="00325A35">
        <w:rPr>
          <w:rFonts w:asciiTheme="majorBidi" w:hAnsiTheme="majorBidi" w:cstheme="majorBidi"/>
          <w:sz w:val="24"/>
          <w:szCs w:val="24"/>
        </w:rPr>
        <w:t>)</w:t>
      </w:r>
      <w:r>
        <w:rPr>
          <w:rFonts w:asciiTheme="majorBidi" w:hAnsiTheme="majorBidi" w:cstheme="majorBidi"/>
          <w:sz w:val="24"/>
          <w:szCs w:val="24"/>
        </w:rPr>
        <w:t>.</w:t>
      </w:r>
      <w:r w:rsidRPr="009A6F7F">
        <w:rPr>
          <w:rFonts w:asciiTheme="majorBidi" w:hAnsiTheme="majorBidi" w:cstheme="majorBidi"/>
          <w:sz w:val="24"/>
          <w:szCs w:val="24"/>
          <w:vertAlign w:val="superscript"/>
        </w:rPr>
        <w:footnoteReference w:id="5"/>
      </w:r>
      <w:r>
        <w:rPr>
          <w:rFonts w:asciiTheme="majorBidi" w:hAnsiTheme="majorBidi" w:cstheme="majorBidi"/>
          <w:sz w:val="24"/>
          <w:szCs w:val="24"/>
        </w:rPr>
        <w:t xml:space="preserve"> Jiang notices the appearance of a </w:t>
      </w:r>
      <w:r>
        <w:rPr>
          <w:rFonts w:asciiTheme="majorBidi" w:hAnsiTheme="majorBidi" w:cstheme="majorBidi"/>
          <w:sz w:val="24"/>
          <w:szCs w:val="24"/>
        </w:rPr>
        <w:lastRenderedPageBreak/>
        <w:t>Persian army in the Turfan archives,</w:t>
      </w:r>
      <w:r>
        <w:rPr>
          <w:rStyle w:val="FootnoteReference"/>
          <w:rFonts w:asciiTheme="majorBidi" w:hAnsiTheme="majorBidi" w:cstheme="majorBidi"/>
          <w:sz w:val="24"/>
          <w:szCs w:val="24"/>
        </w:rPr>
        <w:footnoteReference w:id="6"/>
      </w:r>
      <w:r>
        <w:rPr>
          <w:rFonts w:asciiTheme="majorBidi" w:hAnsiTheme="majorBidi" w:cstheme="majorBidi"/>
          <w:sz w:val="24"/>
          <w:szCs w:val="24"/>
        </w:rPr>
        <w:t xml:space="preserve"> and argues that this confirms the </w:t>
      </w:r>
      <w:r w:rsidRPr="009A6F7F">
        <w:rPr>
          <w:rFonts w:asciiTheme="majorBidi" w:hAnsiTheme="majorBidi" w:cstheme="majorBidi"/>
          <w:i/>
          <w:iCs/>
          <w:sz w:val="24"/>
          <w:szCs w:val="24"/>
        </w:rPr>
        <w:t>Jiu Tangshu</w:t>
      </w:r>
      <w:r>
        <w:rPr>
          <w:rFonts w:asciiTheme="majorBidi" w:hAnsiTheme="majorBidi" w:cstheme="majorBidi"/>
          <w:sz w:val="24"/>
          <w:szCs w:val="24"/>
        </w:rPr>
        <w:t xml:space="preserve"> and the </w:t>
      </w:r>
      <w:r w:rsidRPr="009A6F7F">
        <w:rPr>
          <w:rFonts w:asciiTheme="majorBidi" w:hAnsiTheme="majorBidi" w:cstheme="majorBidi"/>
          <w:i/>
          <w:iCs/>
          <w:sz w:val="24"/>
          <w:szCs w:val="24"/>
        </w:rPr>
        <w:t>Xin Tangshu</w:t>
      </w:r>
      <w:r>
        <w:rPr>
          <w:rFonts w:asciiTheme="majorBidi" w:hAnsiTheme="majorBidi" w:cstheme="majorBidi"/>
          <w:sz w:val="24"/>
          <w:szCs w:val="24"/>
        </w:rPr>
        <w:t>'s records of Narseh’s returning to Ṭukhāristān in the late 670s.</w:t>
      </w:r>
      <w:r w:rsidRPr="009A6F7F">
        <w:rPr>
          <w:rFonts w:asciiTheme="majorBidi" w:hAnsiTheme="majorBidi" w:cstheme="majorBidi"/>
          <w:sz w:val="24"/>
          <w:szCs w:val="24"/>
          <w:vertAlign w:val="superscript"/>
        </w:rPr>
        <w:footnoteReference w:id="7"/>
      </w:r>
      <w:r>
        <w:rPr>
          <w:rFonts w:asciiTheme="majorBidi" w:hAnsiTheme="majorBidi" w:cstheme="majorBidi"/>
          <w:sz w:val="24"/>
          <w:szCs w:val="24"/>
        </w:rPr>
        <w:t xml:space="preserve"> Moreover, Xue argues that the Sasanian princes fought the Arabs actively during the century after Yazdegerd's death with the assistance of the </w:t>
      </w:r>
      <w:r w:rsidR="00325A35" w:rsidRPr="009A6F7F">
        <w:rPr>
          <w:rFonts w:asciiTheme="majorBidi" w:hAnsiTheme="majorBidi" w:cstheme="majorBidi"/>
          <w:sz w:val="24"/>
          <w:szCs w:val="24"/>
        </w:rPr>
        <w:t>Ṭukhārā</w:t>
      </w:r>
      <w:r w:rsidR="00325A35">
        <w:rPr>
          <w:rFonts w:asciiTheme="majorBidi" w:hAnsiTheme="majorBidi" w:cstheme="majorBidi"/>
          <w:sz w:val="24"/>
          <w:szCs w:val="24"/>
        </w:rPr>
        <w:t xml:space="preserve"> </w:t>
      </w:r>
      <w:r>
        <w:rPr>
          <w:rFonts w:asciiTheme="majorBidi" w:hAnsiTheme="majorBidi" w:cstheme="majorBidi"/>
          <w:sz w:val="24"/>
          <w:szCs w:val="24"/>
        </w:rPr>
        <w:t xml:space="preserve">Yabghū </w:t>
      </w:r>
      <w:r w:rsidRPr="009A6F7F">
        <w:rPr>
          <w:rFonts w:asciiTheme="majorBidi" w:hAnsiTheme="majorBidi" w:cstheme="majorBidi"/>
          <w:sz w:val="24"/>
          <w:szCs w:val="24"/>
        </w:rPr>
        <w:t xml:space="preserve">and the Tang </w:t>
      </w:r>
      <w:r>
        <w:rPr>
          <w:rFonts w:asciiTheme="majorBidi" w:hAnsiTheme="majorBidi" w:cstheme="majorBidi"/>
          <w:sz w:val="24"/>
          <w:szCs w:val="24"/>
        </w:rPr>
        <w:t>E</w:t>
      </w:r>
      <w:r w:rsidRPr="009A6F7F">
        <w:rPr>
          <w:rFonts w:asciiTheme="majorBidi" w:hAnsiTheme="majorBidi" w:cstheme="majorBidi"/>
          <w:sz w:val="24"/>
          <w:szCs w:val="24"/>
        </w:rPr>
        <w:t>mpire</w:t>
      </w:r>
      <w:r>
        <w:rPr>
          <w:rFonts w:asciiTheme="majorBidi" w:hAnsiTheme="majorBidi" w:cstheme="majorBidi"/>
          <w:sz w:val="24"/>
          <w:szCs w:val="24"/>
        </w:rPr>
        <w:t xml:space="preserve">, with the </w:t>
      </w:r>
      <w:r w:rsidR="009D2E78">
        <w:rPr>
          <w:rFonts w:asciiTheme="majorBidi" w:hAnsiTheme="majorBidi" w:cstheme="majorBidi"/>
          <w:sz w:val="24"/>
          <w:szCs w:val="24"/>
        </w:rPr>
        <w:t>Tang</w:t>
      </w:r>
      <w:r>
        <w:rPr>
          <w:rFonts w:asciiTheme="majorBidi" w:hAnsiTheme="majorBidi" w:cstheme="majorBidi"/>
          <w:sz w:val="24"/>
          <w:szCs w:val="24"/>
        </w:rPr>
        <w:t xml:space="preserve"> playing an important role in these political events.</w:t>
      </w:r>
      <w:r w:rsidRPr="009A6F7F">
        <w:rPr>
          <w:rFonts w:asciiTheme="majorBidi" w:hAnsiTheme="majorBidi" w:cstheme="majorBidi"/>
          <w:sz w:val="24"/>
          <w:szCs w:val="28"/>
          <w:vertAlign w:val="superscript"/>
        </w:rPr>
        <w:footnoteReference w:id="8"/>
      </w:r>
    </w:p>
    <w:p w14:paraId="358319E7" w14:textId="593E4F46" w:rsidR="00CD4F67" w:rsidRDefault="00690B2A" w:rsidP="00CD4F67">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CD4F67">
        <w:rPr>
          <w:rFonts w:asciiTheme="majorBidi" w:hAnsiTheme="majorBidi" w:cstheme="majorBidi"/>
          <w:sz w:val="24"/>
          <w:szCs w:val="24"/>
        </w:rPr>
        <w:t>The 21</w:t>
      </w:r>
      <w:r w:rsidR="00CD4F67" w:rsidRPr="000B79B9">
        <w:rPr>
          <w:rFonts w:asciiTheme="majorBidi" w:hAnsiTheme="majorBidi" w:cstheme="majorBidi"/>
          <w:sz w:val="24"/>
          <w:szCs w:val="24"/>
          <w:vertAlign w:val="superscript"/>
        </w:rPr>
        <w:t>st</w:t>
      </w:r>
      <w:r w:rsidR="00CD4F67">
        <w:rPr>
          <w:rFonts w:asciiTheme="majorBidi" w:hAnsiTheme="majorBidi" w:cstheme="majorBidi"/>
          <w:sz w:val="24"/>
          <w:szCs w:val="24"/>
        </w:rPr>
        <w:t xml:space="preserve"> century </w:t>
      </w:r>
      <w:r w:rsidR="00D14251">
        <w:rPr>
          <w:rFonts w:asciiTheme="majorBidi" w:hAnsiTheme="majorBidi" w:cstheme="majorBidi"/>
          <w:sz w:val="24"/>
          <w:szCs w:val="24"/>
        </w:rPr>
        <w:t xml:space="preserve">has </w:t>
      </w:r>
      <w:r w:rsidR="00CD4F67">
        <w:rPr>
          <w:rFonts w:asciiTheme="majorBidi" w:hAnsiTheme="majorBidi" w:cstheme="majorBidi"/>
          <w:sz w:val="24"/>
          <w:szCs w:val="24"/>
        </w:rPr>
        <w:t>witnesse</w:t>
      </w:r>
      <w:r w:rsidR="00D14251">
        <w:rPr>
          <w:rFonts w:asciiTheme="majorBidi" w:hAnsiTheme="majorBidi" w:cstheme="majorBidi"/>
          <w:sz w:val="24"/>
          <w:szCs w:val="24"/>
        </w:rPr>
        <w:t>d</w:t>
      </w:r>
      <w:r w:rsidR="00CD4F67">
        <w:rPr>
          <w:rFonts w:asciiTheme="majorBidi" w:hAnsiTheme="majorBidi" w:cstheme="majorBidi"/>
          <w:sz w:val="24"/>
          <w:szCs w:val="24"/>
        </w:rPr>
        <w:t xml:space="preserve"> a significant increase in relevant research. </w:t>
      </w:r>
      <w:r w:rsidR="00CD4F67">
        <w:rPr>
          <w:rFonts w:asciiTheme="majorBidi" w:eastAsiaTheme="minorHAnsi" w:hAnsiTheme="majorBidi" w:cstheme="majorBidi"/>
          <w:sz w:val="24"/>
          <w:szCs w:val="24"/>
        </w:rPr>
        <w:t>Scholars such as Compareti, Pashazanous</w:t>
      </w:r>
      <w:r w:rsidR="00CB3144">
        <w:rPr>
          <w:rFonts w:asciiTheme="majorBidi" w:eastAsiaTheme="minorHAnsi" w:hAnsiTheme="majorBidi" w:cstheme="majorBidi"/>
          <w:sz w:val="24"/>
          <w:szCs w:val="24"/>
        </w:rPr>
        <w:t xml:space="preserve"> and </w:t>
      </w:r>
      <w:r w:rsidR="00CD4F67">
        <w:rPr>
          <w:rFonts w:asciiTheme="majorBidi" w:eastAsiaTheme="minorHAnsi" w:hAnsiTheme="majorBidi" w:cstheme="majorBidi"/>
          <w:sz w:val="24"/>
          <w:szCs w:val="24"/>
        </w:rPr>
        <w:t xml:space="preserve">Stark </w:t>
      </w:r>
      <w:r w:rsidR="00CB3144">
        <w:rPr>
          <w:rFonts w:asciiTheme="majorBidi" w:eastAsiaTheme="minorHAnsi" w:hAnsiTheme="majorBidi" w:cstheme="majorBidi"/>
          <w:sz w:val="24"/>
          <w:szCs w:val="24"/>
        </w:rPr>
        <w:t>start to fully exploit</w:t>
      </w:r>
      <w:r w:rsidR="002D38F4">
        <w:rPr>
          <w:rFonts w:asciiTheme="majorBidi" w:eastAsiaTheme="minorHAnsi" w:hAnsiTheme="majorBidi" w:cstheme="majorBidi"/>
          <w:sz w:val="24"/>
          <w:szCs w:val="24"/>
        </w:rPr>
        <w:t xml:space="preserve"> the </w:t>
      </w:r>
      <w:r w:rsidR="00CD4F67">
        <w:rPr>
          <w:rFonts w:asciiTheme="majorBidi" w:eastAsiaTheme="minorHAnsi" w:hAnsiTheme="majorBidi" w:cstheme="majorBidi"/>
          <w:sz w:val="24"/>
          <w:szCs w:val="24"/>
        </w:rPr>
        <w:t>Chinese sources</w:t>
      </w:r>
      <w:r w:rsidR="00A31C83">
        <w:rPr>
          <w:rFonts w:asciiTheme="majorBidi" w:eastAsiaTheme="minorHAnsi" w:hAnsiTheme="majorBidi" w:cstheme="majorBidi"/>
          <w:sz w:val="24"/>
          <w:szCs w:val="24"/>
        </w:rPr>
        <w:t xml:space="preserve"> and combine them with other sources</w:t>
      </w:r>
      <w:r w:rsidR="00CD4F67">
        <w:rPr>
          <w:rFonts w:asciiTheme="majorBidi" w:eastAsiaTheme="minorHAnsi" w:hAnsiTheme="majorBidi" w:cstheme="majorBidi"/>
          <w:sz w:val="24"/>
          <w:szCs w:val="24"/>
        </w:rPr>
        <w:t>.</w:t>
      </w:r>
      <w:r w:rsidR="00CD4F67">
        <w:rPr>
          <w:rFonts w:asciiTheme="majorBidi" w:hAnsiTheme="majorBidi" w:cstheme="majorBidi"/>
          <w:sz w:val="24"/>
          <w:szCs w:val="24"/>
        </w:rPr>
        <w:t xml:space="preserve"> Compareti's </w:t>
      </w:r>
      <w:r w:rsidR="00325A35">
        <w:rPr>
          <w:rFonts w:asciiTheme="majorBidi" w:hAnsiTheme="majorBidi" w:cstheme="majorBidi"/>
          <w:sz w:val="24"/>
          <w:szCs w:val="24"/>
        </w:rPr>
        <w:t xml:space="preserve">2013 </w:t>
      </w:r>
      <w:r w:rsidR="00CD4F67">
        <w:rPr>
          <w:rFonts w:asciiTheme="majorBidi" w:hAnsiTheme="majorBidi" w:cstheme="majorBidi"/>
          <w:sz w:val="24"/>
          <w:szCs w:val="24"/>
        </w:rPr>
        <w:t>paper largely exhaust</w:t>
      </w:r>
      <w:r w:rsidR="009A7049">
        <w:rPr>
          <w:rFonts w:asciiTheme="majorBidi" w:hAnsiTheme="majorBidi" w:cstheme="majorBidi"/>
          <w:sz w:val="24"/>
          <w:szCs w:val="24"/>
        </w:rPr>
        <w:t>s</w:t>
      </w:r>
      <w:r w:rsidR="00CD4F67">
        <w:rPr>
          <w:rFonts w:asciiTheme="majorBidi" w:hAnsiTheme="majorBidi" w:cstheme="majorBidi"/>
          <w:sz w:val="24"/>
          <w:szCs w:val="24"/>
        </w:rPr>
        <w:t xml:space="preserve"> the available Chinese sources and present</w:t>
      </w:r>
      <w:r w:rsidR="009A7049">
        <w:rPr>
          <w:rFonts w:asciiTheme="majorBidi" w:hAnsiTheme="majorBidi" w:cstheme="majorBidi"/>
          <w:sz w:val="24"/>
          <w:szCs w:val="24"/>
        </w:rPr>
        <w:t>s</w:t>
      </w:r>
      <w:r w:rsidR="00CD4F67">
        <w:rPr>
          <w:rFonts w:asciiTheme="majorBidi" w:hAnsiTheme="majorBidi" w:cstheme="majorBidi"/>
          <w:sz w:val="24"/>
          <w:szCs w:val="24"/>
        </w:rPr>
        <w:t xml:space="preserve"> a comprehensive study of the Yazdegerd's successors</w:t>
      </w:r>
      <w:r w:rsidR="002D38F4">
        <w:rPr>
          <w:rFonts w:asciiTheme="majorBidi" w:hAnsiTheme="majorBidi" w:cstheme="majorBidi"/>
          <w:sz w:val="24"/>
          <w:szCs w:val="24"/>
        </w:rPr>
        <w:t>;</w:t>
      </w:r>
      <w:r w:rsidR="00CD4F67" w:rsidRPr="007317DB">
        <w:rPr>
          <w:rFonts w:asciiTheme="majorBidi" w:hAnsiTheme="majorBidi" w:cstheme="majorBidi"/>
          <w:sz w:val="24"/>
          <w:szCs w:val="24"/>
          <w:vertAlign w:val="superscript"/>
        </w:rPr>
        <w:footnoteReference w:id="9"/>
      </w:r>
      <w:r w:rsidR="00CD4F67">
        <w:rPr>
          <w:rFonts w:asciiTheme="majorBidi" w:hAnsiTheme="majorBidi" w:cstheme="majorBidi"/>
          <w:sz w:val="24"/>
          <w:szCs w:val="24"/>
        </w:rPr>
        <w:t xml:space="preserve"> Pashazanous and Sangari combine </w:t>
      </w:r>
      <w:r w:rsidR="00325A35">
        <w:rPr>
          <w:rFonts w:asciiTheme="majorBidi" w:hAnsiTheme="majorBidi" w:cstheme="majorBidi"/>
          <w:sz w:val="24"/>
          <w:szCs w:val="24"/>
        </w:rPr>
        <w:t xml:space="preserve">the </w:t>
      </w:r>
      <w:r w:rsidR="00CD4F67">
        <w:rPr>
          <w:rFonts w:asciiTheme="majorBidi" w:hAnsiTheme="majorBidi" w:cstheme="majorBidi"/>
          <w:sz w:val="24"/>
          <w:szCs w:val="24"/>
        </w:rPr>
        <w:t>Chinese sources and recent archaeological discoveries</w:t>
      </w:r>
      <w:r w:rsidR="00CB3144">
        <w:rPr>
          <w:rFonts w:asciiTheme="majorBidi" w:hAnsiTheme="majorBidi" w:cstheme="majorBidi"/>
          <w:sz w:val="24"/>
          <w:szCs w:val="24"/>
        </w:rPr>
        <w:t xml:space="preserve"> in China</w:t>
      </w:r>
      <w:r w:rsidR="003A361A">
        <w:rPr>
          <w:rFonts w:asciiTheme="majorBidi" w:hAnsiTheme="majorBidi" w:cstheme="majorBidi"/>
          <w:sz w:val="24"/>
          <w:szCs w:val="24"/>
        </w:rPr>
        <w:t xml:space="preserve"> to </w:t>
      </w:r>
      <w:r w:rsidR="00033673">
        <w:rPr>
          <w:rFonts w:asciiTheme="majorBidi" w:hAnsiTheme="majorBidi" w:cstheme="majorBidi"/>
          <w:sz w:val="24"/>
          <w:szCs w:val="24"/>
        </w:rPr>
        <w:t>trace the experiences of the Sasanian princes</w:t>
      </w:r>
      <w:r w:rsidR="00A31C83">
        <w:rPr>
          <w:rFonts w:asciiTheme="majorBidi" w:hAnsiTheme="majorBidi" w:cstheme="majorBidi"/>
          <w:sz w:val="24"/>
          <w:szCs w:val="24"/>
        </w:rPr>
        <w:t>.</w:t>
      </w:r>
      <w:r w:rsidR="00CD4F67" w:rsidRPr="007317DB">
        <w:rPr>
          <w:rFonts w:asciiTheme="majorBidi" w:hAnsiTheme="majorBidi" w:cstheme="majorBidi"/>
          <w:sz w:val="24"/>
          <w:szCs w:val="24"/>
          <w:vertAlign w:val="superscript"/>
        </w:rPr>
        <w:footnoteReference w:id="10"/>
      </w:r>
      <w:r w:rsidR="00CD4F67">
        <w:rPr>
          <w:rFonts w:asciiTheme="majorBidi" w:hAnsiTheme="majorBidi" w:cstheme="majorBidi"/>
          <w:sz w:val="24"/>
          <w:szCs w:val="24"/>
        </w:rPr>
        <w:t xml:space="preserve"> A</w:t>
      </w:r>
      <w:r w:rsidR="002D38F4">
        <w:rPr>
          <w:rFonts w:asciiTheme="majorBidi" w:hAnsiTheme="majorBidi" w:cstheme="majorBidi"/>
          <w:sz w:val="24"/>
          <w:szCs w:val="24"/>
        </w:rPr>
        <w:t>dditionally,</w:t>
      </w:r>
      <w:r w:rsidR="00CD4F67">
        <w:rPr>
          <w:rFonts w:asciiTheme="majorBidi" w:hAnsiTheme="majorBidi" w:cstheme="majorBidi"/>
          <w:sz w:val="24"/>
          <w:szCs w:val="24"/>
        </w:rPr>
        <w:t xml:space="preserve"> </w:t>
      </w:r>
      <w:r w:rsidR="00CB3144">
        <w:rPr>
          <w:rFonts w:asciiTheme="majorBidi" w:hAnsiTheme="majorBidi" w:cstheme="majorBidi"/>
          <w:sz w:val="24"/>
          <w:szCs w:val="24"/>
        </w:rPr>
        <w:t>based on the Chinese records of “Persian embassies” (</w:t>
      </w:r>
      <w:r w:rsidR="00325A35">
        <w:rPr>
          <w:rFonts w:asciiTheme="majorBidi" w:hAnsiTheme="majorBidi" w:cstheme="majorBidi" w:hint="eastAsia"/>
          <w:sz w:val="24"/>
          <w:szCs w:val="24"/>
        </w:rPr>
        <w:t>波斯</w:t>
      </w:r>
      <w:r w:rsidR="00CB3144">
        <w:rPr>
          <w:rFonts w:asciiTheme="majorBidi" w:hAnsiTheme="majorBidi" w:cstheme="majorBidi"/>
          <w:sz w:val="24"/>
          <w:szCs w:val="24"/>
        </w:rPr>
        <w:t xml:space="preserve">) in the eighth century, </w:t>
      </w:r>
      <w:r w:rsidR="00CD4F67">
        <w:rPr>
          <w:rFonts w:asciiTheme="majorBidi" w:hAnsiTheme="majorBidi" w:cstheme="majorBidi"/>
          <w:sz w:val="24"/>
          <w:szCs w:val="24"/>
        </w:rPr>
        <w:t xml:space="preserve">Agostini and Stark in </w:t>
      </w:r>
      <w:r w:rsidR="002D38F4">
        <w:rPr>
          <w:rFonts w:asciiTheme="majorBidi" w:hAnsiTheme="majorBidi" w:cstheme="majorBidi"/>
          <w:sz w:val="24"/>
          <w:szCs w:val="24"/>
        </w:rPr>
        <w:t xml:space="preserve">their </w:t>
      </w:r>
      <w:r w:rsidR="00325A35">
        <w:rPr>
          <w:rFonts w:asciiTheme="majorBidi" w:hAnsiTheme="majorBidi" w:cstheme="majorBidi"/>
          <w:sz w:val="24"/>
          <w:szCs w:val="24"/>
        </w:rPr>
        <w:t xml:space="preserve">2016 </w:t>
      </w:r>
      <w:r w:rsidR="002D38F4">
        <w:rPr>
          <w:rFonts w:asciiTheme="majorBidi" w:hAnsiTheme="majorBidi" w:cstheme="majorBidi"/>
          <w:sz w:val="24"/>
          <w:szCs w:val="24"/>
        </w:rPr>
        <w:t xml:space="preserve">article </w:t>
      </w:r>
      <w:r w:rsidR="00CD4F67">
        <w:rPr>
          <w:rFonts w:asciiTheme="majorBidi" w:hAnsiTheme="majorBidi" w:cstheme="majorBidi"/>
          <w:sz w:val="24"/>
          <w:szCs w:val="24"/>
        </w:rPr>
        <w:t xml:space="preserve">argue </w:t>
      </w:r>
      <w:r w:rsidR="002D38F4">
        <w:rPr>
          <w:rFonts w:asciiTheme="majorBidi" w:hAnsiTheme="majorBidi" w:cstheme="majorBidi"/>
          <w:sz w:val="24"/>
          <w:szCs w:val="24"/>
        </w:rPr>
        <w:t>that</w:t>
      </w:r>
      <w:r w:rsidR="00CD4F67">
        <w:rPr>
          <w:rFonts w:asciiTheme="majorBidi" w:hAnsiTheme="majorBidi" w:cstheme="majorBidi"/>
          <w:sz w:val="24"/>
          <w:szCs w:val="24"/>
        </w:rPr>
        <w:t xml:space="preserve"> a Sasanian court-in-exile </w:t>
      </w:r>
      <w:r w:rsidR="002D38F4">
        <w:rPr>
          <w:rFonts w:asciiTheme="majorBidi" w:hAnsiTheme="majorBidi" w:cstheme="majorBidi"/>
          <w:sz w:val="24"/>
          <w:szCs w:val="24"/>
        </w:rPr>
        <w:t xml:space="preserve">existed </w:t>
      </w:r>
      <w:r w:rsidR="00CD4F67">
        <w:rPr>
          <w:rFonts w:asciiTheme="majorBidi" w:hAnsiTheme="majorBidi" w:cstheme="majorBidi"/>
          <w:sz w:val="24"/>
          <w:szCs w:val="24"/>
        </w:rPr>
        <w:t xml:space="preserve">to the south of the Hindukush until at least the middle of the </w:t>
      </w:r>
      <w:r w:rsidR="00325A35">
        <w:rPr>
          <w:rFonts w:asciiTheme="majorBidi" w:hAnsiTheme="majorBidi" w:cstheme="majorBidi"/>
          <w:sz w:val="24"/>
          <w:szCs w:val="24"/>
        </w:rPr>
        <w:t>8</w:t>
      </w:r>
      <w:r w:rsidR="00325A35" w:rsidRPr="00325A35">
        <w:rPr>
          <w:rFonts w:asciiTheme="majorBidi" w:hAnsiTheme="majorBidi" w:cstheme="majorBidi"/>
          <w:sz w:val="24"/>
          <w:szCs w:val="24"/>
          <w:vertAlign w:val="superscript"/>
        </w:rPr>
        <w:t>th</w:t>
      </w:r>
      <w:r w:rsidR="00CD4F67">
        <w:rPr>
          <w:rFonts w:asciiTheme="majorBidi" w:hAnsiTheme="majorBidi" w:cstheme="majorBidi"/>
          <w:sz w:val="24"/>
          <w:szCs w:val="24"/>
        </w:rPr>
        <w:t xml:space="preserve"> century.</w:t>
      </w:r>
      <w:r w:rsidR="00CD4F67" w:rsidRPr="007317DB">
        <w:rPr>
          <w:rFonts w:asciiTheme="majorBidi" w:hAnsiTheme="majorBidi" w:cstheme="majorBidi"/>
          <w:sz w:val="24"/>
          <w:szCs w:val="24"/>
          <w:vertAlign w:val="superscript"/>
        </w:rPr>
        <w:footnoteReference w:id="11"/>
      </w:r>
    </w:p>
    <w:p w14:paraId="0C6029BF" w14:textId="20F246D0" w:rsidR="00C8793C" w:rsidRDefault="00CD4F67" w:rsidP="005F0505">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C8793C">
        <w:rPr>
          <w:rFonts w:asciiTheme="majorBidi" w:hAnsiTheme="majorBidi" w:cstheme="majorBidi"/>
          <w:sz w:val="24"/>
          <w:szCs w:val="24"/>
        </w:rPr>
        <w:t xml:space="preserve">When it comes to the last Sasanian princes in Ṭukhāristān, where Pērōz and his son Narseh respectively stayed for two decades and from where the Sasanians further scattered, </w:t>
      </w:r>
      <w:r w:rsidR="00A31C83">
        <w:rPr>
          <w:rFonts w:asciiTheme="majorBidi" w:hAnsiTheme="majorBidi" w:cstheme="majorBidi"/>
          <w:sz w:val="24"/>
          <w:szCs w:val="24"/>
        </w:rPr>
        <w:t xml:space="preserve">Haug presents a largely descriptive account of the career of Pērōz and Narseh in the frontier </w:t>
      </w:r>
      <w:r w:rsidR="00A31C83" w:rsidRPr="009A6F7F">
        <w:rPr>
          <w:rFonts w:asciiTheme="majorBidi" w:hAnsiTheme="majorBidi" w:cstheme="majorBidi"/>
          <w:sz w:val="24"/>
          <w:szCs w:val="24"/>
        </w:rPr>
        <w:t>Ṭukhāristān</w:t>
      </w:r>
      <w:r w:rsidR="00A31C83">
        <w:rPr>
          <w:rFonts w:asciiTheme="majorBidi" w:hAnsiTheme="majorBidi" w:cstheme="majorBidi"/>
          <w:sz w:val="24"/>
          <w:szCs w:val="24"/>
        </w:rPr>
        <w:t>.</w:t>
      </w:r>
      <w:r w:rsidR="00A31C83">
        <w:rPr>
          <w:rStyle w:val="FootnoteReference"/>
          <w:rFonts w:asciiTheme="majorBidi" w:hAnsiTheme="majorBidi" w:cstheme="majorBidi"/>
          <w:sz w:val="24"/>
          <w:szCs w:val="24"/>
        </w:rPr>
        <w:footnoteReference w:id="12"/>
      </w:r>
      <w:r w:rsidR="00A31C83">
        <w:rPr>
          <w:rFonts w:asciiTheme="majorBidi" w:hAnsiTheme="majorBidi" w:cstheme="majorBidi"/>
          <w:sz w:val="24"/>
          <w:szCs w:val="24"/>
        </w:rPr>
        <w:t xml:space="preserve"> </w:t>
      </w:r>
      <w:r w:rsidR="00C8793C">
        <w:rPr>
          <w:rFonts w:asciiTheme="majorBidi" w:hAnsiTheme="majorBidi" w:cstheme="majorBidi"/>
          <w:sz w:val="24"/>
          <w:szCs w:val="24"/>
        </w:rPr>
        <w:t>Pashazanous and Afkande’s article is by far the only detailed research</w:t>
      </w:r>
      <w:r w:rsidR="00D844D5">
        <w:rPr>
          <w:rFonts w:asciiTheme="majorBidi" w:hAnsiTheme="majorBidi" w:cstheme="majorBidi"/>
          <w:sz w:val="24"/>
          <w:szCs w:val="24"/>
        </w:rPr>
        <w:t>, locating Ji-ling-cheng (</w:t>
      </w:r>
      <w:r w:rsidR="00D844D5">
        <w:rPr>
          <w:rFonts w:asciiTheme="majorBidi" w:hAnsiTheme="majorBidi" w:cstheme="majorBidi" w:hint="eastAsia"/>
          <w:sz w:val="24"/>
          <w:szCs w:val="24"/>
        </w:rPr>
        <w:t>疾陵城</w:t>
      </w:r>
      <w:r w:rsidR="00D844D5">
        <w:rPr>
          <w:rFonts w:asciiTheme="majorBidi" w:hAnsiTheme="majorBidi" w:cstheme="majorBidi"/>
          <w:sz w:val="24"/>
          <w:szCs w:val="24"/>
        </w:rPr>
        <w:t>) that the center of the “Persian area command” (</w:t>
      </w:r>
      <w:r w:rsidR="00D844D5">
        <w:rPr>
          <w:rFonts w:asciiTheme="majorBidi" w:hAnsiTheme="majorBidi" w:cstheme="majorBidi" w:hint="eastAsia"/>
          <w:sz w:val="24"/>
          <w:szCs w:val="24"/>
        </w:rPr>
        <w:t>波斯都督府</w:t>
      </w:r>
      <w:r w:rsidR="00D844D5">
        <w:rPr>
          <w:rFonts w:asciiTheme="majorBidi" w:hAnsiTheme="majorBidi" w:cstheme="majorBidi"/>
          <w:sz w:val="24"/>
          <w:szCs w:val="24"/>
        </w:rPr>
        <w:t xml:space="preserve">) that Pērōz returned in </w:t>
      </w:r>
      <w:r w:rsidR="00D844D5" w:rsidRPr="009A6F7F">
        <w:rPr>
          <w:rFonts w:asciiTheme="majorBidi" w:hAnsiTheme="majorBidi" w:cstheme="majorBidi"/>
          <w:sz w:val="24"/>
          <w:szCs w:val="24"/>
        </w:rPr>
        <w:t>Ṭukhāristān</w:t>
      </w:r>
      <w:r w:rsidR="00D844D5">
        <w:rPr>
          <w:rFonts w:asciiTheme="majorBidi" w:hAnsiTheme="majorBidi" w:cstheme="majorBidi"/>
          <w:sz w:val="24"/>
          <w:szCs w:val="24"/>
        </w:rPr>
        <w:t xml:space="preserve"> instead of Zaranj</w:t>
      </w:r>
      <w:r w:rsidR="00553CDD">
        <w:rPr>
          <w:rFonts w:asciiTheme="majorBidi" w:hAnsiTheme="majorBidi" w:cstheme="majorBidi"/>
          <w:sz w:val="24"/>
          <w:szCs w:val="24"/>
        </w:rPr>
        <w:t xml:space="preserve"> (Persian Zarang)</w:t>
      </w:r>
      <w:r w:rsidR="00D844D5">
        <w:rPr>
          <w:rFonts w:asciiTheme="majorBidi" w:hAnsiTheme="majorBidi" w:cstheme="majorBidi"/>
          <w:sz w:val="24"/>
          <w:szCs w:val="24"/>
        </w:rPr>
        <w:t xml:space="preserve"> identified by other scholars such as Agostini and Stark</w:t>
      </w:r>
      <w:r w:rsidR="00C8793C">
        <w:rPr>
          <w:rFonts w:asciiTheme="majorBidi" w:hAnsiTheme="majorBidi" w:cstheme="majorBidi"/>
          <w:sz w:val="24"/>
          <w:szCs w:val="24"/>
        </w:rPr>
        <w:t>.</w:t>
      </w:r>
      <w:r w:rsidR="00D844D5">
        <w:rPr>
          <w:rStyle w:val="FootnoteReference"/>
          <w:rFonts w:asciiTheme="majorBidi" w:hAnsiTheme="majorBidi" w:cstheme="majorBidi"/>
          <w:sz w:val="24"/>
          <w:szCs w:val="24"/>
        </w:rPr>
        <w:footnoteReference w:id="13"/>
      </w:r>
      <w:r w:rsidR="00C8793C">
        <w:rPr>
          <w:rFonts w:asciiTheme="majorBidi" w:hAnsiTheme="majorBidi" w:cstheme="majorBidi"/>
          <w:sz w:val="24"/>
          <w:szCs w:val="24"/>
        </w:rPr>
        <w:t xml:space="preserve"> </w:t>
      </w:r>
    </w:p>
    <w:p w14:paraId="70C59A57" w14:textId="6BDD74B2" w:rsidR="0050041A" w:rsidRDefault="00C8793C" w:rsidP="005F0505">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     </w:t>
      </w:r>
      <w:r w:rsidR="0050041A">
        <w:rPr>
          <w:rFonts w:asciiTheme="majorBidi" w:hAnsiTheme="majorBidi" w:cstheme="majorBidi"/>
          <w:sz w:val="24"/>
          <w:szCs w:val="24"/>
        </w:rPr>
        <w:t>However, the previous research has mainly concentrated on describing the relations between the refugee Sasanian princes and the Tang court, establishing the exact chronology of the events and identifying the toponyms mentioned in the Chinese source</w:t>
      </w:r>
      <w:r w:rsidR="00D844D5">
        <w:rPr>
          <w:rFonts w:asciiTheme="majorBidi" w:hAnsiTheme="majorBidi" w:cstheme="majorBidi"/>
          <w:sz w:val="24"/>
          <w:szCs w:val="24"/>
        </w:rPr>
        <w:t xml:space="preserve"> such as the</w:t>
      </w:r>
      <w:r w:rsidR="0050041A">
        <w:rPr>
          <w:rFonts w:asciiTheme="majorBidi" w:hAnsiTheme="majorBidi" w:cstheme="majorBidi"/>
          <w:sz w:val="24"/>
          <w:szCs w:val="24"/>
        </w:rPr>
        <w:t xml:space="preserve"> controversial </w:t>
      </w:r>
      <w:r w:rsidR="00D844D5">
        <w:rPr>
          <w:rFonts w:asciiTheme="majorBidi" w:hAnsiTheme="majorBidi" w:cstheme="majorBidi"/>
          <w:sz w:val="24"/>
          <w:szCs w:val="24"/>
        </w:rPr>
        <w:t xml:space="preserve">identification of </w:t>
      </w:r>
      <w:r w:rsidR="0050041A" w:rsidRPr="00D432FF">
        <w:rPr>
          <w:rFonts w:asciiTheme="majorBidi" w:hAnsiTheme="majorBidi" w:cstheme="majorBidi"/>
          <w:sz w:val="24"/>
          <w:szCs w:val="24"/>
        </w:rPr>
        <w:t>Ji-ling-cheng</w:t>
      </w:r>
      <w:r w:rsidR="00D844D5">
        <w:rPr>
          <w:rFonts w:asciiTheme="majorBidi" w:hAnsiTheme="majorBidi" w:cstheme="majorBidi"/>
          <w:sz w:val="24"/>
          <w:szCs w:val="24"/>
        </w:rPr>
        <w:t>.</w:t>
      </w:r>
      <w:r w:rsidR="0050041A">
        <w:rPr>
          <w:rFonts w:asciiTheme="majorBidi" w:hAnsiTheme="majorBidi" w:cstheme="majorBidi"/>
          <w:sz w:val="24"/>
          <w:szCs w:val="24"/>
        </w:rPr>
        <w:t xml:space="preserve"> Little attention was paid to the events themselves, and to the political and military situation in Ṭukhāristān and Sīstān in this period, which was undoubtedly the major factor in the decisions taken by the last Sasanians in their ill-fated attempt to regain the throne of Iran.  </w:t>
      </w:r>
    </w:p>
    <w:p w14:paraId="1BE63262" w14:textId="37ECF6AC" w:rsidR="00C51B6C" w:rsidRDefault="00A31C83" w:rsidP="005F0505">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50041A">
        <w:rPr>
          <w:rFonts w:asciiTheme="majorBidi" w:hAnsiTheme="majorBidi" w:cstheme="majorBidi"/>
          <w:sz w:val="24"/>
          <w:szCs w:val="24"/>
        </w:rPr>
        <w:t xml:space="preserve">This study will, thus, </w:t>
      </w:r>
      <w:r w:rsidR="00C51B6C">
        <w:rPr>
          <w:rFonts w:asciiTheme="majorBidi" w:hAnsiTheme="majorBidi" w:cstheme="majorBidi"/>
          <w:sz w:val="24"/>
          <w:szCs w:val="24"/>
        </w:rPr>
        <w:t xml:space="preserve">deal with </w:t>
      </w:r>
      <w:r w:rsidR="00AC1FD1">
        <w:rPr>
          <w:rFonts w:asciiTheme="majorBidi" w:hAnsiTheme="majorBidi" w:cstheme="majorBidi"/>
          <w:sz w:val="24"/>
          <w:szCs w:val="24"/>
        </w:rPr>
        <w:t xml:space="preserve">Pērōz and Narseh </w:t>
      </w:r>
      <w:r w:rsidR="00C51B6C">
        <w:rPr>
          <w:rFonts w:asciiTheme="majorBidi" w:hAnsiTheme="majorBidi" w:cstheme="majorBidi"/>
          <w:sz w:val="24"/>
          <w:szCs w:val="24"/>
        </w:rPr>
        <w:t xml:space="preserve">in Ṭukhāristān and </w:t>
      </w:r>
      <w:r w:rsidR="0050041A">
        <w:rPr>
          <w:rFonts w:asciiTheme="majorBidi" w:hAnsiTheme="majorBidi" w:cstheme="majorBidi"/>
          <w:sz w:val="24"/>
          <w:szCs w:val="24"/>
        </w:rPr>
        <w:t xml:space="preserve">address the </w:t>
      </w:r>
      <w:r w:rsidR="00C51B6C">
        <w:rPr>
          <w:rFonts w:asciiTheme="majorBidi" w:hAnsiTheme="majorBidi" w:cstheme="majorBidi"/>
          <w:sz w:val="24"/>
          <w:szCs w:val="24"/>
        </w:rPr>
        <w:t xml:space="preserve">following </w:t>
      </w:r>
      <w:r w:rsidR="00C51B6C">
        <w:rPr>
          <w:rFonts w:asciiTheme="majorBidi" w:hAnsiTheme="majorBidi" w:cstheme="majorBidi" w:hint="eastAsia"/>
          <w:sz w:val="24"/>
          <w:szCs w:val="24"/>
        </w:rPr>
        <w:t>thre</w:t>
      </w:r>
      <w:r w:rsidR="00C51B6C">
        <w:rPr>
          <w:rFonts w:asciiTheme="majorBidi" w:hAnsiTheme="majorBidi" w:cstheme="majorBidi"/>
          <w:sz w:val="24"/>
          <w:szCs w:val="24"/>
        </w:rPr>
        <w:t>e</w:t>
      </w:r>
      <w:r w:rsidR="0050041A">
        <w:rPr>
          <w:rFonts w:asciiTheme="majorBidi" w:hAnsiTheme="majorBidi" w:cstheme="majorBidi"/>
          <w:sz w:val="24"/>
          <w:szCs w:val="24"/>
        </w:rPr>
        <w:t xml:space="preserve"> important questions</w:t>
      </w:r>
      <w:r w:rsidR="00C51B6C">
        <w:rPr>
          <w:rFonts w:asciiTheme="majorBidi" w:hAnsiTheme="majorBidi" w:cstheme="majorBidi"/>
          <w:sz w:val="24"/>
          <w:szCs w:val="24"/>
        </w:rPr>
        <w:t>:</w:t>
      </w:r>
    </w:p>
    <w:p w14:paraId="3FB058F0" w14:textId="0599F131" w:rsidR="00C51B6C" w:rsidRDefault="00C51B6C" w:rsidP="00C51B6C">
      <w:pPr>
        <w:spacing w:line="360" w:lineRule="auto"/>
        <w:ind w:firstLineChars="300" w:firstLine="720"/>
        <w:rPr>
          <w:rFonts w:asciiTheme="majorBidi" w:hAnsiTheme="majorBidi" w:cstheme="majorBidi"/>
          <w:sz w:val="24"/>
          <w:szCs w:val="24"/>
        </w:rPr>
      </w:pPr>
      <w:r>
        <w:rPr>
          <w:rFonts w:asciiTheme="majorBidi" w:hAnsiTheme="majorBidi" w:cstheme="majorBidi"/>
          <w:sz w:val="24"/>
          <w:szCs w:val="24"/>
        </w:rPr>
        <w:t xml:space="preserve">1 </w:t>
      </w:r>
      <w:r w:rsidR="0050041A">
        <w:rPr>
          <w:rFonts w:asciiTheme="majorBidi" w:hAnsiTheme="majorBidi" w:cstheme="majorBidi"/>
          <w:sz w:val="24"/>
          <w:szCs w:val="24"/>
        </w:rPr>
        <w:t xml:space="preserve">Why </w:t>
      </w:r>
      <w:r w:rsidR="00A31C83">
        <w:rPr>
          <w:rFonts w:asciiTheme="majorBidi" w:hAnsiTheme="majorBidi" w:cstheme="majorBidi"/>
          <w:sz w:val="24"/>
          <w:szCs w:val="24"/>
        </w:rPr>
        <w:t xml:space="preserve">did </w:t>
      </w:r>
      <w:r w:rsidR="0050041A">
        <w:rPr>
          <w:rFonts w:asciiTheme="majorBidi" w:hAnsiTheme="majorBidi" w:cstheme="majorBidi"/>
          <w:sz w:val="24"/>
          <w:szCs w:val="24"/>
        </w:rPr>
        <w:t>Pērōz s</w:t>
      </w:r>
      <w:r w:rsidR="00A31C83">
        <w:rPr>
          <w:rFonts w:asciiTheme="majorBidi" w:hAnsiTheme="majorBidi" w:cstheme="majorBidi"/>
          <w:sz w:val="24"/>
          <w:szCs w:val="24"/>
        </w:rPr>
        <w:t>eek</w:t>
      </w:r>
      <w:r w:rsidR="0050041A">
        <w:rPr>
          <w:rFonts w:asciiTheme="majorBidi" w:hAnsiTheme="majorBidi" w:cstheme="majorBidi"/>
          <w:sz w:val="24"/>
          <w:szCs w:val="24"/>
        </w:rPr>
        <w:t xml:space="preserve"> refuge in </w:t>
      </w:r>
      <w:r w:rsidR="00D844D5">
        <w:rPr>
          <w:rFonts w:asciiTheme="majorBidi" w:hAnsiTheme="majorBidi" w:cstheme="majorBidi"/>
          <w:sz w:val="24"/>
          <w:szCs w:val="24"/>
        </w:rPr>
        <w:t xml:space="preserve">the Yabghū’s court in </w:t>
      </w:r>
      <w:r w:rsidR="0050041A">
        <w:rPr>
          <w:rFonts w:asciiTheme="majorBidi" w:hAnsiTheme="majorBidi" w:cstheme="majorBidi"/>
          <w:sz w:val="24"/>
          <w:szCs w:val="24"/>
        </w:rPr>
        <w:t xml:space="preserve">Ṭukhāristān and not in other principalities to the east of the Sasanian </w:t>
      </w:r>
      <w:r w:rsidR="00A31C83">
        <w:rPr>
          <w:rFonts w:asciiTheme="majorBidi" w:hAnsiTheme="majorBidi" w:cstheme="majorBidi"/>
          <w:sz w:val="24"/>
          <w:szCs w:val="24"/>
        </w:rPr>
        <w:t>E</w:t>
      </w:r>
      <w:r w:rsidR="0050041A">
        <w:rPr>
          <w:rFonts w:asciiTheme="majorBidi" w:hAnsiTheme="majorBidi" w:cstheme="majorBidi"/>
          <w:sz w:val="24"/>
          <w:szCs w:val="24"/>
        </w:rPr>
        <w:t xml:space="preserve">mpire? </w:t>
      </w:r>
    </w:p>
    <w:p w14:paraId="341128EF" w14:textId="77777777" w:rsidR="00C51B6C" w:rsidRDefault="00C51B6C" w:rsidP="00C51B6C">
      <w:pPr>
        <w:spacing w:line="360" w:lineRule="auto"/>
        <w:ind w:firstLineChars="300" w:firstLine="720"/>
        <w:rPr>
          <w:rFonts w:asciiTheme="majorBidi" w:hAnsiTheme="majorBidi" w:cstheme="majorBidi"/>
          <w:sz w:val="24"/>
          <w:szCs w:val="24"/>
        </w:rPr>
      </w:pPr>
      <w:r>
        <w:rPr>
          <w:rFonts w:asciiTheme="majorBidi" w:hAnsiTheme="majorBidi" w:cstheme="majorBidi"/>
          <w:sz w:val="24"/>
          <w:szCs w:val="24"/>
        </w:rPr>
        <w:t xml:space="preserve">2 </w:t>
      </w:r>
      <w:r w:rsidR="0050041A">
        <w:rPr>
          <w:rFonts w:asciiTheme="majorBidi" w:hAnsiTheme="majorBidi" w:cstheme="majorBidi"/>
          <w:sz w:val="24"/>
          <w:szCs w:val="24"/>
        </w:rPr>
        <w:t xml:space="preserve">What </w:t>
      </w:r>
      <w:r w:rsidR="00A31C83">
        <w:rPr>
          <w:rFonts w:asciiTheme="majorBidi" w:hAnsiTheme="majorBidi" w:cstheme="majorBidi"/>
          <w:sz w:val="24"/>
          <w:szCs w:val="24"/>
        </w:rPr>
        <w:t xml:space="preserve">did </w:t>
      </w:r>
      <w:r w:rsidR="0050041A">
        <w:rPr>
          <w:rFonts w:asciiTheme="majorBidi" w:hAnsiTheme="majorBidi" w:cstheme="majorBidi"/>
          <w:sz w:val="24"/>
          <w:szCs w:val="24"/>
        </w:rPr>
        <w:t xml:space="preserve">Pērōz and Narseh </w:t>
      </w:r>
      <w:r w:rsidR="00A31C83">
        <w:rPr>
          <w:rFonts w:asciiTheme="majorBidi" w:hAnsiTheme="majorBidi" w:cstheme="majorBidi"/>
          <w:sz w:val="24"/>
          <w:szCs w:val="24"/>
        </w:rPr>
        <w:t>experience in</w:t>
      </w:r>
      <w:r w:rsidR="0050041A">
        <w:rPr>
          <w:rFonts w:asciiTheme="majorBidi" w:hAnsiTheme="majorBidi" w:cstheme="majorBidi"/>
          <w:sz w:val="24"/>
          <w:szCs w:val="24"/>
        </w:rPr>
        <w:t xml:space="preserve"> their stay in </w:t>
      </w:r>
      <w:r>
        <w:rPr>
          <w:rFonts w:asciiTheme="majorBidi" w:hAnsiTheme="majorBidi" w:cstheme="majorBidi"/>
          <w:sz w:val="24"/>
          <w:szCs w:val="24"/>
        </w:rPr>
        <w:t>Ṭukhāristān</w:t>
      </w:r>
      <w:r w:rsidR="0050041A">
        <w:rPr>
          <w:rFonts w:asciiTheme="majorBidi" w:hAnsiTheme="majorBidi" w:cstheme="majorBidi"/>
          <w:sz w:val="24"/>
          <w:szCs w:val="24"/>
        </w:rPr>
        <w:t xml:space="preserve"> between the 650s and the 700s, or in other words, what challenges they were faced with</w:t>
      </w:r>
      <w:r>
        <w:rPr>
          <w:rFonts w:asciiTheme="majorBidi" w:hAnsiTheme="majorBidi" w:cstheme="majorBidi"/>
          <w:sz w:val="24"/>
          <w:szCs w:val="24"/>
        </w:rPr>
        <w:t xml:space="preserve"> under the geopolitical situations of the region</w:t>
      </w:r>
      <w:r w:rsidR="0050041A">
        <w:rPr>
          <w:rFonts w:asciiTheme="majorBidi" w:hAnsiTheme="majorBidi" w:cstheme="majorBidi"/>
          <w:sz w:val="24"/>
          <w:szCs w:val="24"/>
        </w:rPr>
        <w:t>?</w:t>
      </w:r>
    </w:p>
    <w:p w14:paraId="1AED1257" w14:textId="183BBF01" w:rsidR="0050041A" w:rsidRDefault="00C51B6C" w:rsidP="00C51B6C">
      <w:pPr>
        <w:spacing w:line="360" w:lineRule="auto"/>
        <w:ind w:firstLineChars="300" w:firstLine="720"/>
        <w:rPr>
          <w:rFonts w:asciiTheme="majorBidi" w:hAnsiTheme="majorBidi" w:cstheme="majorBidi"/>
          <w:sz w:val="24"/>
          <w:szCs w:val="24"/>
        </w:rPr>
      </w:pPr>
      <w:r>
        <w:rPr>
          <w:rFonts w:asciiTheme="majorBidi" w:hAnsiTheme="majorBidi" w:cstheme="majorBidi"/>
          <w:sz w:val="24"/>
          <w:szCs w:val="24"/>
        </w:rPr>
        <w:t xml:space="preserve">3 </w:t>
      </w:r>
      <w:r w:rsidR="0050041A">
        <w:rPr>
          <w:rFonts w:asciiTheme="majorBidi" w:hAnsiTheme="majorBidi" w:cstheme="majorBidi"/>
          <w:sz w:val="24"/>
          <w:szCs w:val="24"/>
        </w:rPr>
        <w:t>What were the reasons behind their flight to China?</w:t>
      </w:r>
    </w:p>
    <w:p w14:paraId="602212EB" w14:textId="77777777" w:rsidR="004E193D" w:rsidRDefault="004E193D" w:rsidP="005F0505">
      <w:pPr>
        <w:spacing w:line="360" w:lineRule="auto"/>
        <w:rPr>
          <w:rFonts w:asciiTheme="majorBidi" w:hAnsiTheme="majorBidi" w:cstheme="majorBidi"/>
          <w:sz w:val="24"/>
          <w:szCs w:val="24"/>
        </w:rPr>
      </w:pPr>
    </w:p>
    <w:p w14:paraId="0C38C086" w14:textId="13E6B000" w:rsidR="00DA4554" w:rsidRPr="00DA4554" w:rsidRDefault="00FC3112" w:rsidP="00DA455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The </w:t>
      </w:r>
      <w:r w:rsidR="00DA4554" w:rsidRPr="00DA4554">
        <w:rPr>
          <w:rFonts w:asciiTheme="majorBidi" w:hAnsiTheme="majorBidi" w:cstheme="majorBidi"/>
          <w:b/>
          <w:bCs/>
          <w:sz w:val="24"/>
          <w:szCs w:val="24"/>
        </w:rPr>
        <w:t>Sources</w:t>
      </w:r>
    </w:p>
    <w:p w14:paraId="25488889" w14:textId="764903D2" w:rsidR="00B27A31" w:rsidRPr="00190E96" w:rsidRDefault="00C8793C" w:rsidP="00DA3552">
      <w:pPr>
        <w:spacing w:line="360" w:lineRule="auto"/>
        <w:rPr>
          <w:rFonts w:asciiTheme="majorBidi" w:hAnsiTheme="majorBidi" w:cstheme="majorBidi"/>
          <w:sz w:val="24"/>
          <w:szCs w:val="24"/>
        </w:rPr>
      </w:pPr>
      <w:r>
        <w:rPr>
          <w:rFonts w:asciiTheme="majorBidi" w:hAnsiTheme="majorBidi" w:cstheme="majorBidi"/>
          <w:sz w:val="24"/>
          <w:szCs w:val="24"/>
        </w:rPr>
        <w:t xml:space="preserve">In order to fulfill the </w:t>
      </w:r>
      <w:r w:rsidR="00D1425B">
        <w:rPr>
          <w:rFonts w:asciiTheme="majorBidi" w:hAnsiTheme="majorBidi" w:cstheme="majorBidi"/>
          <w:sz w:val="24"/>
          <w:szCs w:val="24"/>
        </w:rPr>
        <w:t xml:space="preserve">above-raised </w:t>
      </w:r>
      <w:r>
        <w:rPr>
          <w:rFonts w:asciiTheme="majorBidi" w:hAnsiTheme="majorBidi" w:cstheme="majorBidi"/>
          <w:sz w:val="24"/>
          <w:szCs w:val="24"/>
        </w:rPr>
        <w:t xml:space="preserve">tasks, </w:t>
      </w:r>
      <w:r w:rsidR="00D1425B">
        <w:rPr>
          <w:rFonts w:asciiTheme="majorBidi" w:hAnsiTheme="majorBidi" w:cstheme="majorBidi"/>
          <w:sz w:val="24"/>
          <w:szCs w:val="24"/>
        </w:rPr>
        <w:t>to reconstruct and understand the experiences of the last Sasanian princes in the wider context of the geopolitics of Ṭukhāristān, both from the side of the Turks and</w:t>
      </w:r>
      <w:r w:rsidR="005377B4">
        <w:rPr>
          <w:rFonts w:asciiTheme="majorBidi" w:hAnsiTheme="majorBidi" w:cstheme="majorBidi"/>
          <w:sz w:val="24"/>
          <w:szCs w:val="24"/>
        </w:rPr>
        <w:t xml:space="preserve"> </w:t>
      </w:r>
      <w:r w:rsidR="00D1425B">
        <w:rPr>
          <w:rFonts w:asciiTheme="majorBidi" w:hAnsiTheme="majorBidi" w:cstheme="majorBidi"/>
          <w:sz w:val="24"/>
          <w:szCs w:val="24"/>
        </w:rPr>
        <w:t xml:space="preserve">the Hephthalites </w:t>
      </w:r>
      <w:r w:rsidR="005377B4">
        <w:rPr>
          <w:rFonts w:asciiTheme="majorBidi" w:hAnsiTheme="majorBidi" w:cstheme="majorBidi"/>
          <w:sz w:val="24"/>
          <w:szCs w:val="24"/>
        </w:rPr>
        <w:t xml:space="preserve">who controlled the region </w:t>
      </w:r>
      <w:r w:rsidR="00D1425B">
        <w:rPr>
          <w:rFonts w:asciiTheme="majorBidi" w:hAnsiTheme="majorBidi" w:cstheme="majorBidi"/>
          <w:sz w:val="24"/>
          <w:szCs w:val="24"/>
        </w:rPr>
        <w:t>and from the side of the Arabs</w:t>
      </w:r>
      <w:r w:rsidR="005377B4">
        <w:rPr>
          <w:rFonts w:asciiTheme="majorBidi" w:hAnsiTheme="majorBidi" w:cstheme="majorBidi"/>
          <w:sz w:val="24"/>
          <w:szCs w:val="24"/>
        </w:rPr>
        <w:t xml:space="preserve"> who expanded into it</w:t>
      </w:r>
      <w:r w:rsidR="00D1425B">
        <w:rPr>
          <w:rFonts w:asciiTheme="majorBidi" w:hAnsiTheme="majorBidi" w:cstheme="majorBidi"/>
          <w:sz w:val="24"/>
          <w:szCs w:val="24"/>
        </w:rPr>
        <w:t xml:space="preserve">, </w:t>
      </w:r>
      <w:r>
        <w:rPr>
          <w:rFonts w:asciiTheme="majorBidi" w:hAnsiTheme="majorBidi" w:cstheme="majorBidi"/>
          <w:sz w:val="24"/>
          <w:szCs w:val="24"/>
        </w:rPr>
        <w:t xml:space="preserve">it is crucial to analyze </w:t>
      </w:r>
      <w:r w:rsidR="00D1425B">
        <w:rPr>
          <w:rFonts w:asciiTheme="majorBidi" w:hAnsiTheme="majorBidi" w:cstheme="majorBidi"/>
          <w:sz w:val="24"/>
          <w:szCs w:val="24"/>
        </w:rPr>
        <w:t>all the relevant sources</w:t>
      </w:r>
      <w:r w:rsidR="005377B4">
        <w:rPr>
          <w:rFonts w:asciiTheme="majorBidi" w:hAnsiTheme="majorBidi" w:cstheme="majorBidi"/>
          <w:sz w:val="24"/>
          <w:szCs w:val="24"/>
        </w:rPr>
        <w:t xml:space="preserve"> in order to minimize the negative influence of the</w:t>
      </w:r>
      <w:r w:rsidR="00DA3552">
        <w:rPr>
          <w:rFonts w:asciiTheme="majorBidi" w:hAnsiTheme="majorBidi" w:cstheme="majorBidi"/>
          <w:sz w:val="24"/>
          <w:szCs w:val="24"/>
        </w:rPr>
        <w:t xml:space="preserve"> </w:t>
      </w:r>
      <w:r w:rsidR="00D1425B">
        <w:rPr>
          <w:rFonts w:asciiTheme="majorBidi" w:hAnsiTheme="majorBidi" w:cstheme="majorBidi"/>
          <w:sz w:val="24"/>
          <w:szCs w:val="24"/>
        </w:rPr>
        <w:t xml:space="preserve">patchiness and </w:t>
      </w:r>
      <w:r w:rsidR="00DA3552">
        <w:rPr>
          <w:rFonts w:asciiTheme="majorBidi" w:hAnsiTheme="majorBidi" w:cstheme="majorBidi"/>
          <w:sz w:val="24"/>
          <w:szCs w:val="24"/>
        </w:rPr>
        <w:t>partiality</w:t>
      </w:r>
      <w:r w:rsidR="005377B4">
        <w:rPr>
          <w:rFonts w:asciiTheme="majorBidi" w:hAnsiTheme="majorBidi" w:cstheme="majorBidi"/>
          <w:sz w:val="24"/>
          <w:szCs w:val="24"/>
        </w:rPr>
        <w:t xml:space="preserve"> of the Muslim and Chinese sources</w:t>
      </w:r>
      <w:r w:rsidR="00D1425B">
        <w:rPr>
          <w:rFonts w:asciiTheme="majorBidi" w:hAnsiTheme="majorBidi" w:cstheme="majorBidi"/>
          <w:sz w:val="24"/>
          <w:szCs w:val="24"/>
        </w:rPr>
        <w:t>.</w:t>
      </w:r>
      <w:r w:rsidR="005F0505">
        <w:rPr>
          <w:rStyle w:val="FootnoteReference"/>
          <w:rFonts w:asciiTheme="majorBidi" w:hAnsiTheme="majorBidi" w:cstheme="majorBidi"/>
          <w:sz w:val="24"/>
          <w:szCs w:val="24"/>
        </w:rPr>
        <w:footnoteReference w:id="14"/>
      </w:r>
      <w:r w:rsidR="00D1425B">
        <w:rPr>
          <w:rFonts w:asciiTheme="majorBidi" w:hAnsiTheme="majorBidi" w:cstheme="majorBidi"/>
          <w:sz w:val="24"/>
          <w:szCs w:val="24"/>
        </w:rPr>
        <w:t xml:space="preserve">  </w:t>
      </w:r>
    </w:p>
    <w:p w14:paraId="0C5C3A2C" w14:textId="229EAC67" w:rsidR="008422BF" w:rsidRDefault="00554711" w:rsidP="006E74F2">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D1425B">
        <w:rPr>
          <w:rFonts w:asciiTheme="majorBidi" w:hAnsiTheme="majorBidi" w:cstheme="majorBidi"/>
          <w:sz w:val="24"/>
          <w:szCs w:val="24"/>
        </w:rPr>
        <w:t>The bulk of</w:t>
      </w:r>
      <w:r w:rsidR="007128AB">
        <w:rPr>
          <w:rFonts w:asciiTheme="majorBidi" w:hAnsiTheme="majorBidi" w:cstheme="majorBidi"/>
          <w:sz w:val="24"/>
          <w:szCs w:val="24"/>
        </w:rPr>
        <w:t xml:space="preserve"> the sources of the </w:t>
      </w:r>
      <w:r w:rsidR="005F0505">
        <w:rPr>
          <w:rFonts w:asciiTheme="majorBidi" w:hAnsiTheme="majorBidi" w:cstheme="majorBidi"/>
          <w:sz w:val="24"/>
          <w:szCs w:val="24"/>
        </w:rPr>
        <w:t xml:space="preserve">geopolitics of </w:t>
      </w:r>
      <w:r w:rsidR="008D0715">
        <w:rPr>
          <w:rFonts w:asciiTheme="majorBidi" w:hAnsiTheme="majorBidi" w:cstheme="majorBidi"/>
          <w:sz w:val="24"/>
          <w:szCs w:val="24"/>
        </w:rPr>
        <w:t>Ṭukhāristā</w:t>
      </w:r>
      <w:r w:rsidR="00DA3552">
        <w:rPr>
          <w:rFonts w:asciiTheme="majorBidi" w:hAnsiTheme="majorBidi" w:cstheme="majorBidi"/>
          <w:sz w:val="24"/>
          <w:szCs w:val="24"/>
        </w:rPr>
        <w:t>n</w:t>
      </w:r>
      <w:r w:rsidR="00CD1F77">
        <w:rPr>
          <w:rFonts w:asciiTheme="majorBidi" w:hAnsiTheme="majorBidi" w:cstheme="majorBidi"/>
          <w:sz w:val="24"/>
          <w:szCs w:val="24"/>
        </w:rPr>
        <w:t xml:space="preserve"> from the 650s to the 700s</w:t>
      </w:r>
      <w:r w:rsidR="00373360">
        <w:rPr>
          <w:rFonts w:asciiTheme="majorBidi" w:hAnsiTheme="majorBidi" w:cstheme="majorBidi"/>
          <w:sz w:val="24"/>
          <w:szCs w:val="24"/>
        </w:rPr>
        <w:t xml:space="preserve"> is the Muslim ones. And among the Muslim sources, </w:t>
      </w:r>
      <w:r w:rsidR="008D0715">
        <w:rPr>
          <w:rFonts w:asciiTheme="majorBidi" w:hAnsiTheme="majorBidi" w:cstheme="majorBidi"/>
          <w:sz w:val="24"/>
          <w:szCs w:val="24"/>
        </w:rPr>
        <w:t>a</w:t>
      </w:r>
      <w:r w:rsidR="00635E84">
        <w:rPr>
          <w:rFonts w:asciiTheme="majorBidi" w:hAnsiTheme="majorBidi" w:cstheme="majorBidi"/>
          <w:sz w:val="24"/>
          <w:szCs w:val="24"/>
        </w:rPr>
        <w:t>l-Ṭabarī</w:t>
      </w:r>
      <w:r w:rsidR="00526976">
        <w:rPr>
          <w:rFonts w:asciiTheme="majorBidi" w:hAnsiTheme="majorBidi" w:cstheme="majorBidi"/>
          <w:sz w:val="24"/>
          <w:szCs w:val="24"/>
        </w:rPr>
        <w:t>’s annals are</w:t>
      </w:r>
      <w:r w:rsidR="00635E84">
        <w:rPr>
          <w:rFonts w:asciiTheme="majorBidi" w:hAnsiTheme="majorBidi" w:cstheme="majorBidi"/>
          <w:sz w:val="24"/>
          <w:szCs w:val="24"/>
        </w:rPr>
        <w:t xml:space="preserve"> the most informative and </w:t>
      </w:r>
      <w:r w:rsidR="00526976">
        <w:rPr>
          <w:rFonts w:asciiTheme="majorBidi" w:hAnsiTheme="majorBidi" w:cstheme="majorBidi"/>
          <w:sz w:val="24"/>
          <w:szCs w:val="24"/>
        </w:rPr>
        <w:t>friendly to readers because of their clear chronology</w:t>
      </w:r>
      <w:r w:rsidR="00635E84">
        <w:rPr>
          <w:rFonts w:asciiTheme="majorBidi" w:hAnsiTheme="majorBidi" w:cstheme="majorBidi"/>
          <w:sz w:val="24"/>
          <w:szCs w:val="24"/>
        </w:rPr>
        <w:t xml:space="preserve">, while </w:t>
      </w:r>
      <w:r w:rsidR="00496F0E">
        <w:rPr>
          <w:rFonts w:asciiTheme="majorBidi" w:hAnsiTheme="majorBidi" w:cstheme="majorBidi"/>
          <w:sz w:val="24"/>
          <w:szCs w:val="24"/>
        </w:rPr>
        <w:t xml:space="preserve">others </w:t>
      </w:r>
      <w:r w:rsidR="00496F0E">
        <w:rPr>
          <w:rFonts w:asciiTheme="majorBidi" w:hAnsiTheme="majorBidi" w:cstheme="majorBidi"/>
          <w:sz w:val="24"/>
          <w:szCs w:val="24"/>
        </w:rPr>
        <w:lastRenderedPageBreak/>
        <w:t xml:space="preserve">provide a chance to check and supplement al-Ṭabarī’s records. These supplementary sources include </w:t>
      </w:r>
      <w:r w:rsidR="00635E84">
        <w:rPr>
          <w:rFonts w:asciiTheme="majorBidi" w:hAnsiTheme="majorBidi" w:cstheme="majorBidi"/>
          <w:sz w:val="24"/>
          <w:szCs w:val="24"/>
        </w:rPr>
        <w:t xml:space="preserve">the histories of </w:t>
      </w:r>
      <w:r w:rsidR="0000048E">
        <w:rPr>
          <w:rFonts w:asciiTheme="majorBidi" w:hAnsiTheme="majorBidi" w:cstheme="majorBidi"/>
          <w:sz w:val="24"/>
          <w:szCs w:val="24"/>
        </w:rPr>
        <w:t xml:space="preserve">the </w:t>
      </w:r>
      <w:r w:rsidR="00496F0E">
        <w:rPr>
          <w:rFonts w:asciiTheme="majorBidi" w:hAnsiTheme="majorBidi" w:cstheme="majorBidi"/>
          <w:sz w:val="24"/>
          <w:szCs w:val="24"/>
        </w:rPr>
        <w:t>earlier</w:t>
      </w:r>
      <w:r w:rsidR="00635E84">
        <w:rPr>
          <w:rFonts w:asciiTheme="majorBidi" w:hAnsiTheme="majorBidi" w:cstheme="majorBidi"/>
          <w:sz w:val="24"/>
          <w:szCs w:val="24"/>
        </w:rPr>
        <w:t xml:space="preserve"> Arabic historians </w:t>
      </w:r>
      <w:r w:rsidR="00643D91">
        <w:rPr>
          <w:rFonts w:asciiTheme="majorBidi" w:hAnsiTheme="majorBidi" w:cstheme="majorBidi"/>
          <w:sz w:val="24"/>
          <w:szCs w:val="24"/>
        </w:rPr>
        <w:t>al-Kūfī (active in 810s),</w:t>
      </w:r>
      <w:r w:rsidR="00FB5867">
        <w:rPr>
          <w:rStyle w:val="FootnoteReference"/>
          <w:rFonts w:asciiTheme="majorBidi" w:hAnsiTheme="majorBidi" w:cstheme="majorBidi"/>
          <w:sz w:val="24"/>
          <w:szCs w:val="24"/>
        </w:rPr>
        <w:footnoteReference w:id="15"/>
      </w:r>
      <w:r w:rsidR="00643D91">
        <w:rPr>
          <w:rFonts w:asciiTheme="majorBidi" w:hAnsiTheme="majorBidi" w:cstheme="majorBidi"/>
          <w:sz w:val="24"/>
          <w:szCs w:val="24"/>
        </w:rPr>
        <w:t xml:space="preserve"> </w:t>
      </w:r>
      <w:r w:rsidR="00F97906">
        <w:rPr>
          <w:rFonts w:asciiTheme="majorBidi" w:hAnsiTheme="majorBidi" w:cstheme="majorBidi"/>
          <w:sz w:val="24"/>
          <w:szCs w:val="24"/>
        </w:rPr>
        <w:t>Khalīfa ibn Khayyāṭ (d. 854 CE)</w:t>
      </w:r>
      <w:r w:rsidR="00635E84">
        <w:rPr>
          <w:rFonts w:asciiTheme="majorBidi" w:hAnsiTheme="majorBidi" w:cstheme="majorBidi"/>
          <w:sz w:val="24"/>
          <w:szCs w:val="24"/>
        </w:rPr>
        <w:t xml:space="preserve"> and</w:t>
      </w:r>
      <w:r w:rsidR="00F97906">
        <w:rPr>
          <w:rFonts w:asciiTheme="majorBidi" w:hAnsiTheme="majorBidi" w:cstheme="majorBidi"/>
          <w:sz w:val="24"/>
          <w:szCs w:val="24"/>
        </w:rPr>
        <w:t xml:space="preserve"> </w:t>
      </w:r>
      <w:r w:rsidR="00643D91">
        <w:rPr>
          <w:rFonts w:asciiTheme="majorBidi" w:hAnsiTheme="majorBidi" w:cstheme="majorBidi"/>
          <w:sz w:val="24"/>
          <w:szCs w:val="24"/>
        </w:rPr>
        <w:t>al-Balādhurī,</w:t>
      </w:r>
      <w:r w:rsidR="0011385F">
        <w:rPr>
          <w:rStyle w:val="FootnoteReference"/>
          <w:rFonts w:asciiTheme="majorBidi" w:hAnsiTheme="majorBidi" w:cstheme="majorBidi"/>
          <w:sz w:val="24"/>
          <w:szCs w:val="24"/>
        </w:rPr>
        <w:footnoteReference w:id="16"/>
      </w:r>
      <w:r w:rsidR="00643D91">
        <w:rPr>
          <w:rFonts w:asciiTheme="majorBidi" w:hAnsiTheme="majorBidi" w:cstheme="majorBidi"/>
          <w:sz w:val="24"/>
          <w:szCs w:val="24"/>
        </w:rPr>
        <w:t xml:space="preserve"> </w:t>
      </w:r>
      <w:r w:rsidR="00D1425B">
        <w:rPr>
          <w:rFonts w:asciiTheme="majorBidi" w:hAnsiTheme="majorBidi" w:cstheme="majorBidi"/>
          <w:sz w:val="24"/>
          <w:szCs w:val="24"/>
        </w:rPr>
        <w:t xml:space="preserve">of </w:t>
      </w:r>
      <w:r w:rsidR="0000048E">
        <w:rPr>
          <w:rFonts w:asciiTheme="majorBidi" w:hAnsiTheme="majorBidi" w:cstheme="majorBidi"/>
          <w:sz w:val="24"/>
          <w:szCs w:val="24"/>
        </w:rPr>
        <w:t xml:space="preserve">the </w:t>
      </w:r>
      <w:r w:rsidR="00635E84">
        <w:rPr>
          <w:rFonts w:asciiTheme="majorBidi" w:hAnsiTheme="majorBidi" w:cstheme="majorBidi"/>
          <w:sz w:val="24"/>
          <w:szCs w:val="24"/>
        </w:rPr>
        <w:t xml:space="preserve">contemporaneous </w:t>
      </w:r>
      <w:r w:rsidR="0000048E">
        <w:rPr>
          <w:rFonts w:asciiTheme="majorBidi" w:hAnsiTheme="majorBidi" w:cstheme="majorBidi"/>
          <w:sz w:val="24"/>
          <w:szCs w:val="24"/>
        </w:rPr>
        <w:t>al-</w:t>
      </w:r>
      <w:r w:rsidR="00643D91" w:rsidRPr="00EA5005">
        <w:rPr>
          <w:rFonts w:asciiTheme="majorBidi" w:hAnsiTheme="majorBidi" w:cstheme="majorBidi"/>
          <w:sz w:val="24"/>
          <w:szCs w:val="24"/>
        </w:rPr>
        <w:t>Dīnawarī</w:t>
      </w:r>
      <w:r w:rsidR="00635E84">
        <w:rPr>
          <w:rFonts w:asciiTheme="majorBidi" w:hAnsiTheme="majorBidi" w:cstheme="majorBidi"/>
          <w:sz w:val="24"/>
          <w:szCs w:val="24"/>
        </w:rPr>
        <w:t xml:space="preserve"> and</w:t>
      </w:r>
      <w:r w:rsidR="00643D91">
        <w:rPr>
          <w:rFonts w:asciiTheme="majorBidi" w:hAnsiTheme="majorBidi" w:cstheme="majorBidi"/>
          <w:sz w:val="24"/>
          <w:szCs w:val="24"/>
        </w:rPr>
        <w:t xml:space="preserve"> </w:t>
      </w:r>
      <w:r w:rsidR="008128A3">
        <w:rPr>
          <w:rFonts w:asciiTheme="majorBidi" w:hAnsiTheme="majorBidi" w:cstheme="majorBidi"/>
          <w:sz w:val="24"/>
          <w:szCs w:val="24"/>
        </w:rPr>
        <w:t>al-</w:t>
      </w:r>
      <w:r w:rsidR="008128A3" w:rsidRPr="00053E68">
        <w:rPr>
          <w:rFonts w:asciiTheme="majorBidi" w:hAnsiTheme="majorBidi" w:cstheme="majorBidi"/>
          <w:sz w:val="24"/>
          <w:szCs w:val="24"/>
        </w:rPr>
        <w:t xml:space="preserve">Yaʿqūbī </w:t>
      </w:r>
      <w:r w:rsidR="008128A3">
        <w:rPr>
          <w:rFonts w:asciiTheme="majorBidi" w:hAnsiTheme="majorBidi" w:cstheme="majorBidi"/>
          <w:sz w:val="24"/>
          <w:szCs w:val="24"/>
        </w:rPr>
        <w:t>(d. 897/8 CE),</w:t>
      </w:r>
      <w:r w:rsidR="00DA7456">
        <w:rPr>
          <w:rStyle w:val="FootnoteReference"/>
          <w:rFonts w:asciiTheme="majorBidi" w:hAnsiTheme="majorBidi" w:cstheme="majorBidi"/>
          <w:sz w:val="24"/>
          <w:szCs w:val="24"/>
        </w:rPr>
        <w:footnoteReference w:id="17"/>
      </w:r>
      <w:r w:rsidR="008128A3">
        <w:rPr>
          <w:rFonts w:asciiTheme="majorBidi" w:hAnsiTheme="majorBidi" w:cstheme="majorBidi"/>
          <w:sz w:val="24"/>
          <w:szCs w:val="24"/>
        </w:rPr>
        <w:t xml:space="preserve"> and</w:t>
      </w:r>
      <w:r w:rsidR="00643D91">
        <w:rPr>
          <w:rFonts w:asciiTheme="majorBidi" w:hAnsiTheme="majorBidi" w:cstheme="majorBidi"/>
          <w:sz w:val="24"/>
          <w:szCs w:val="24"/>
        </w:rPr>
        <w:t xml:space="preserve"> </w:t>
      </w:r>
      <w:r w:rsidR="00D1425B">
        <w:rPr>
          <w:rFonts w:asciiTheme="majorBidi" w:hAnsiTheme="majorBidi" w:cstheme="majorBidi"/>
          <w:sz w:val="24"/>
          <w:szCs w:val="24"/>
        </w:rPr>
        <w:t>of</w:t>
      </w:r>
      <w:r w:rsidR="0000048E">
        <w:rPr>
          <w:rFonts w:asciiTheme="majorBidi" w:hAnsiTheme="majorBidi" w:cstheme="majorBidi"/>
          <w:sz w:val="24"/>
          <w:szCs w:val="24"/>
        </w:rPr>
        <w:t xml:space="preserve"> the</w:t>
      </w:r>
      <w:r w:rsidR="00D1425B">
        <w:rPr>
          <w:rFonts w:asciiTheme="majorBidi" w:hAnsiTheme="majorBidi" w:cstheme="majorBidi"/>
          <w:sz w:val="24"/>
          <w:szCs w:val="24"/>
        </w:rPr>
        <w:t xml:space="preserve"> </w:t>
      </w:r>
      <w:r w:rsidR="00635E84">
        <w:rPr>
          <w:rFonts w:asciiTheme="majorBidi" w:hAnsiTheme="majorBidi" w:cstheme="majorBidi"/>
          <w:sz w:val="24"/>
          <w:szCs w:val="24"/>
        </w:rPr>
        <w:t xml:space="preserve">later </w:t>
      </w:r>
      <w:r w:rsidR="00643D91">
        <w:rPr>
          <w:rFonts w:asciiTheme="majorBidi" w:hAnsiTheme="majorBidi" w:cstheme="majorBidi"/>
          <w:sz w:val="24"/>
          <w:szCs w:val="24"/>
        </w:rPr>
        <w:t>Ibn-</w:t>
      </w:r>
      <w:r w:rsidR="00643D91" w:rsidRPr="00643D91">
        <w:rPr>
          <w:rFonts w:asciiTheme="majorBidi" w:hAnsiTheme="majorBidi" w:cstheme="majorBidi"/>
          <w:sz w:val="24"/>
          <w:szCs w:val="24"/>
        </w:rPr>
        <w:t>’Athīr (d. 1233)</w:t>
      </w:r>
      <w:r w:rsidR="008422BF">
        <w:rPr>
          <w:rFonts w:asciiTheme="majorBidi" w:hAnsiTheme="majorBidi" w:cstheme="majorBidi"/>
          <w:sz w:val="24"/>
          <w:szCs w:val="24"/>
        </w:rPr>
        <w:t>,</w:t>
      </w:r>
      <w:r w:rsidR="0011385F">
        <w:rPr>
          <w:rStyle w:val="FootnoteReference"/>
          <w:rFonts w:asciiTheme="majorBidi" w:hAnsiTheme="majorBidi" w:cstheme="majorBidi"/>
          <w:sz w:val="24"/>
          <w:szCs w:val="24"/>
        </w:rPr>
        <w:footnoteReference w:id="18"/>
      </w:r>
      <w:r w:rsidR="008422BF">
        <w:rPr>
          <w:rFonts w:asciiTheme="majorBidi" w:hAnsiTheme="majorBidi" w:cstheme="majorBidi"/>
          <w:sz w:val="24"/>
          <w:szCs w:val="24"/>
        </w:rPr>
        <w:t xml:space="preserve"> together with the Persian source</w:t>
      </w:r>
      <w:r w:rsidR="0088611D">
        <w:rPr>
          <w:rFonts w:asciiTheme="majorBidi" w:hAnsiTheme="majorBidi" w:cstheme="majorBidi"/>
          <w:sz w:val="24"/>
          <w:szCs w:val="24"/>
        </w:rPr>
        <w:t>s</w:t>
      </w:r>
      <w:r w:rsidR="0000048E">
        <w:rPr>
          <w:rFonts w:asciiTheme="majorBidi" w:hAnsiTheme="majorBidi" w:cstheme="majorBidi"/>
          <w:sz w:val="24"/>
          <w:szCs w:val="24"/>
        </w:rPr>
        <w:t xml:space="preserve"> of</w:t>
      </w:r>
      <w:r w:rsidR="008422BF">
        <w:rPr>
          <w:rFonts w:asciiTheme="majorBidi" w:hAnsiTheme="majorBidi" w:cstheme="majorBidi"/>
          <w:sz w:val="24"/>
          <w:szCs w:val="24"/>
        </w:rPr>
        <w:t xml:space="preserve"> </w:t>
      </w:r>
      <w:r w:rsidR="0088611D">
        <w:rPr>
          <w:rFonts w:asciiTheme="majorBidi" w:hAnsiTheme="majorBidi" w:cstheme="majorBidi"/>
          <w:sz w:val="24"/>
          <w:szCs w:val="24"/>
        </w:rPr>
        <w:t>Bal‘amī’s translation of al-Ṭabarī’s annals</w:t>
      </w:r>
      <w:r w:rsidR="00496F0E">
        <w:rPr>
          <w:rFonts w:asciiTheme="majorBidi" w:hAnsiTheme="majorBidi" w:cstheme="majorBidi"/>
          <w:sz w:val="24"/>
          <w:szCs w:val="24"/>
        </w:rPr>
        <w:t xml:space="preserve"> from the 10</w:t>
      </w:r>
      <w:r w:rsidR="00496F0E" w:rsidRPr="00496F0E">
        <w:rPr>
          <w:rFonts w:asciiTheme="majorBidi" w:hAnsiTheme="majorBidi" w:cstheme="majorBidi"/>
          <w:sz w:val="24"/>
          <w:szCs w:val="24"/>
          <w:vertAlign w:val="superscript"/>
        </w:rPr>
        <w:t>th</w:t>
      </w:r>
      <w:r w:rsidR="00496F0E">
        <w:rPr>
          <w:rFonts w:asciiTheme="majorBidi" w:hAnsiTheme="majorBidi" w:cstheme="majorBidi"/>
          <w:sz w:val="24"/>
          <w:szCs w:val="24"/>
        </w:rPr>
        <w:t xml:space="preserve"> century</w:t>
      </w:r>
      <w:r w:rsidR="008422BF">
        <w:rPr>
          <w:rFonts w:asciiTheme="majorBidi" w:hAnsiTheme="majorBidi" w:cstheme="majorBidi"/>
          <w:sz w:val="24"/>
          <w:szCs w:val="24"/>
        </w:rPr>
        <w:t>,</w:t>
      </w:r>
      <w:r w:rsidR="0088611D">
        <w:rPr>
          <w:rStyle w:val="FootnoteReference"/>
          <w:rFonts w:asciiTheme="majorBidi" w:hAnsiTheme="majorBidi" w:cstheme="majorBidi"/>
          <w:sz w:val="24"/>
          <w:szCs w:val="24"/>
        </w:rPr>
        <w:footnoteReference w:id="19"/>
      </w:r>
      <w:r w:rsidR="008422BF">
        <w:rPr>
          <w:rFonts w:asciiTheme="majorBidi" w:hAnsiTheme="majorBidi" w:cstheme="majorBidi"/>
          <w:sz w:val="24"/>
          <w:szCs w:val="24"/>
        </w:rPr>
        <w:t xml:space="preserve"> </w:t>
      </w:r>
      <w:r w:rsidR="00A73225" w:rsidRPr="00DB4D4D">
        <w:rPr>
          <w:rFonts w:asciiTheme="majorBidi" w:hAnsiTheme="majorBidi" w:cstheme="majorBidi"/>
          <w:i/>
          <w:iCs/>
          <w:sz w:val="24"/>
          <w:szCs w:val="24"/>
        </w:rPr>
        <w:t>Tārīkh</w:t>
      </w:r>
      <w:r w:rsidR="00A73225" w:rsidRPr="002E12CE">
        <w:rPr>
          <w:rFonts w:asciiTheme="majorBidi" w:hAnsiTheme="majorBidi" w:cstheme="majorBidi"/>
          <w:i/>
          <w:iCs/>
          <w:sz w:val="24"/>
          <w:szCs w:val="24"/>
        </w:rPr>
        <w:t>-i Sīstān</w:t>
      </w:r>
      <w:r w:rsidR="00A73225">
        <w:rPr>
          <w:rFonts w:asciiTheme="majorBidi" w:hAnsiTheme="majorBidi" w:cstheme="majorBidi"/>
          <w:sz w:val="24"/>
          <w:szCs w:val="24"/>
        </w:rPr>
        <w:t xml:space="preserve"> and </w:t>
      </w:r>
      <w:r w:rsidR="00A73225" w:rsidRPr="002E12CE">
        <w:rPr>
          <w:rFonts w:asciiTheme="majorBidi" w:hAnsiTheme="majorBidi" w:cstheme="majorBidi"/>
          <w:i/>
          <w:iCs/>
          <w:sz w:val="24"/>
          <w:szCs w:val="24"/>
        </w:rPr>
        <w:t>Tārīkh-</w:t>
      </w:r>
      <w:r w:rsidR="00A73225" w:rsidRPr="00A73225">
        <w:rPr>
          <w:rFonts w:asciiTheme="majorBidi" w:hAnsiTheme="majorBidi" w:cstheme="majorBidi"/>
          <w:i/>
          <w:iCs/>
          <w:sz w:val="24"/>
          <w:szCs w:val="24"/>
        </w:rPr>
        <w:t>i Gardīzī</w:t>
      </w:r>
      <w:r w:rsidR="00A73225">
        <w:rPr>
          <w:rFonts w:asciiTheme="majorBidi" w:hAnsiTheme="majorBidi" w:cstheme="majorBidi"/>
          <w:sz w:val="24"/>
          <w:szCs w:val="24"/>
        </w:rPr>
        <w:t xml:space="preserve"> from the 11</w:t>
      </w:r>
      <w:r w:rsidR="00A73225" w:rsidRPr="00496F0E">
        <w:rPr>
          <w:rFonts w:asciiTheme="majorBidi" w:hAnsiTheme="majorBidi" w:cstheme="majorBidi"/>
          <w:sz w:val="24"/>
          <w:szCs w:val="24"/>
          <w:vertAlign w:val="superscript"/>
        </w:rPr>
        <w:t>th</w:t>
      </w:r>
      <w:r w:rsidR="00A73225">
        <w:rPr>
          <w:rFonts w:asciiTheme="majorBidi" w:hAnsiTheme="majorBidi" w:cstheme="majorBidi"/>
          <w:sz w:val="24"/>
          <w:szCs w:val="24"/>
        </w:rPr>
        <w:t xml:space="preserve"> century,</w:t>
      </w:r>
      <w:r w:rsidR="00A73225">
        <w:rPr>
          <w:rStyle w:val="FootnoteReference"/>
          <w:rFonts w:asciiTheme="majorBidi" w:hAnsiTheme="majorBidi" w:cstheme="majorBidi"/>
          <w:sz w:val="24"/>
          <w:szCs w:val="24"/>
        </w:rPr>
        <w:footnoteReference w:id="20"/>
      </w:r>
      <w:r w:rsidR="00A73225" w:rsidRPr="00496F0E">
        <w:rPr>
          <w:rFonts w:asciiTheme="majorBidi" w:hAnsiTheme="majorBidi" w:cstheme="majorBidi"/>
          <w:sz w:val="24"/>
          <w:szCs w:val="24"/>
        </w:rPr>
        <w:t xml:space="preserve"> </w:t>
      </w:r>
      <w:r w:rsidR="00496F0E">
        <w:rPr>
          <w:rFonts w:asciiTheme="majorBidi" w:hAnsiTheme="majorBidi" w:cstheme="majorBidi"/>
          <w:sz w:val="24"/>
          <w:szCs w:val="24"/>
        </w:rPr>
        <w:t xml:space="preserve">and the local history of Balkh </w:t>
      </w:r>
      <w:r w:rsidR="00496F0E" w:rsidRPr="00496F0E">
        <w:rPr>
          <w:rFonts w:asciiTheme="majorBidi" w:hAnsiTheme="majorBidi" w:cstheme="majorBidi"/>
          <w:i/>
          <w:iCs/>
          <w:sz w:val="24"/>
          <w:szCs w:val="24"/>
        </w:rPr>
        <w:t xml:space="preserve">Faḍāʾil-i Balkh </w:t>
      </w:r>
      <w:r w:rsidR="00496F0E" w:rsidRPr="00496F0E">
        <w:rPr>
          <w:rFonts w:asciiTheme="majorBidi" w:hAnsiTheme="majorBidi" w:cstheme="majorBidi"/>
          <w:sz w:val="24"/>
          <w:szCs w:val="24"/>
        </w:rPr>
        <w:t>from the 13</w:t>
      </w:r>
      <w:r w:rsidR="005377B4" w:rsidRPr="005377B4">
        <w:rPr>
          <w:rFonts w:asciiTheme="majorBidi" w:hAnsiTheme="majorBidi" w:cstheme="majorBidi"/>
          <w:sz w:val="24"/>
          <w:szCs w:val="24"/>
          <w:vertAlign w:val="superscript"/>
        </w:rPr>
        <w:t>th</w:t>
      </w:r>
      <w:r w:rsidR="00496F0E" w:rsidRPr="00496F0E">
        <w:rPr>
          <w:rFonts w:asciiTheme="majorBidi" w:hAnsiTheme="majorBidi" w:cstheme="majorBidi"/>
          <w:sz w:val="24"/>
          <w:szCs w:val="24"/>
        </w:rPr>
        <w:t xml:space="preserve"> century</w:t>
      </w:r>
      <w:r w:rsidR="00FC1F59">
        <w:rPr>
          <w:rFonts w:asciiTheme="majorBidi" w:hAnsiTheme="majorBidi" w:cstheme="majorBidi"/>
          <w:sz w:val="24"/>
          <w:szCs w:val="24"/>
        </w:rPr>
        <w:t>.</w:t>
      </w:r>
      <w:r w:rsidR="00643D91">
        <w:rPr>
          <w:rStyle w:val="FootnoteReference"/>
          <w:rFonts w:asciiTheme="majorBidi" w:hAnsiTheme="majorBidi" w:cstheme="majorBidi"/>
          <w:sz w:val="24"/>
          <w:szCs w:val="24"/>
        </w:rPr>
        <w:footnoteReference w:id="21"/>
      </w:r>
    </w:p>
    <w:p w14:paraId="0280D61D" w14:textId="7AE3871D" w:rsidR="009A34D0" w:rsidRDefault="009A34D0" w:rsidP="006E74F2">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115156">
        <w:rPr>
          <w:rFonts w:asciiTheme="majorBidi" w:hAnsiTheme="majorBidi" w:cstheme="majorBidi"/>
          <w:sz w:val="24"/>
          <w:szCs w:val="24"/>
        </w:rPr>
        <w:t xml:space="preserve">The Middle Persian </w:t>
      </w:r>
      <w:r w:rsidR="00F132A9">
        <w:rPr>
          <w:rFonts w:asciiTheme="majorBidi" w:hAnsiTheme="majorBidi" w:cstheme="majorBidi"/>
          <w:sz w:val="24"/>
          <w:szCs w:val="24"/>
        </w:rPr>
        <w:t xml:space="preserve">or Pahlavi </w:t>
      </w:r>
      <w:r w:rsidR="00115156">
        <w:rPr>
          <w:rFonts w:asciiTheme="majorBidi" w:hAnsiTheme="majorBidi" w:cstheme="majorBidi"/>
          <w:sz w:val="24"/>
          <w:szCs w:val="24"/>
        </w:rPr>
        <w:t xml:space="preserve">sources </w:t>
      </w:r>
      <w:r w:rsidR="00CD1F77">
        <w:rPr>
          <w:rFonts w:asciiTheme="majorBidi" w:hAnsiTheme="majorBidi" w:cstheme="majorBidi"/>
          <w:sz w:val="24"/>
          <w:szCs w:val="24"/>
        </w:rPr>
        <w:t xml:space="preserve">such as chapter 33 of </w:t>
      </w:r>
      <w:r w:rsidR="00CD1F77" w:rsidRPr="00D1425B">
        <w:rPr>
          <w:rFonts w:asciiTheme="majorBidi" w:hAnsiTheme="majorBidi" w:cstheme="majorBidi"/>
          <w:i/>
          <w:iCs/>
          <w:sz w:val="24"/>
          <w:szCs w:val="24"/>
        </w:rPr>
        <w:t>Iranian Bundahišn</w:t>
      </w:r>
      <w:r w:rsidR="00CD1F77">
        <w:rPr>
          <w:rFonts w:asciiTheme="majorBidi" w:hAnsiTheme="majorBidi" w:cstheme="majorBidi"/>
          <w:sz w:val="24"/>
          <w:szCs w:val="24"/>
        </w:rPr>
        <w:t xml:space="preserve">, </w:t>
      </w:r>
      <w:r w:rsidR="00CD1F77" w:rsidRPr="00D1425B">
        <w:rPr>
          <w:rFonts w:asciiTheme="majorBidi" w:hAnsiTheme="majorBidi" w:cstheme="majorBidi"/>
          <w:i/>
          <w:iCs/>
          <w:sz w:val="24"/>
          <w:szCs w:val="24"/>
        </w:rPr>
        <w:t>the Zand ī Wahman Yasn</w:t>
      </w:r>
      <w:r w:rsidR="00CD1F77">
        <w:rPr>
          <w:rFonts w:asciiTheme="majorBidi" w:hAnsiTheme="majorBidi" w:cstheme="majorBidi"/>
          <w:sz w:val="24"/>
          <w:szCs w:val="24"/>
        </w:rPr>
        <w:t xml:space="preserve">, and the </w:t>
      </w:r>
      <w:r w:rsidR="00CD1F77" w:rsidRPr="00D1425B">
        <w:rPr>
          <w:rFonts w:asciiTheme="majorBidi" w:hAnsiTheme="majorBidi" w:cstheme="majorBidi"/>
          <w:i/>
          <w:iCs/>
          <w:sz w:val="24"/>
          <w:szCs w:val="24"/>
        </w:rPr>
        <w:t>Jāmāsp-Nāmag</w:t>
      </w:r>
      <w:r w:rsidR="00CD1F77">
        <w:rPr>
          <w:rFonts w:asciiTheme="majorBidi" w:hAnsiTheme="majorBidi" w:cstheme="majorBidi"/>
          <w:sz w:val="24"/>
          <w:szCs w:val="24"/>
        </w:rPr>
        <w:t xml:space="preserve"> </w:t>
      </w:r>
      <w:r w:rsidR="00115156">
        <w:rPr>
          <w:rFonts w:asciiTheme="majorBidi" w:hAnsiTheme="majorBidi" w:cstheme="majorBidi"/>
          <w:sz w:val="24"/>
          <w:szCs w:val="24"/>
        </w:rPr>
        <w:t xml:space="preserve">also </w:t>
      </w:r>
      <w:r w:rsidR="00D1425B">
        <w:rPr>
          <w:rFonts w:asciiTheme="majorBidi" w:hAnsiTheme="majorBidi" w:cstheme="majorBidi"/>
          <w:sz w:val="24"/>
          <w:szCs w:val="24"/>
        </w:rPr>
        <w:t>somewhat shed light on</w:t>
      </w:r>
      <w:r w:rsidR="00115156">
        <w:rPr>
          <w:rFonts w:asciiTheme="majorBidi" w:hAnsiTheme="majorBidi" w:cstheme="majorBidi"/>
          <w:sz w:val="24"/>
          <w:szCs w:val="24"/>
        </w:rPr>
        <w:t xml:space="preserve"> the </w:t>
      </w:r>
      <w:r w:rsidR="005128ED">
        <w:rPr>
          <w:rFonts w:asciiTheme="majorBidi" w:hAnsiTheme="majorBidi" w:cstheme="majorBidi"/>
          <w:sz w:val="24"/>
          <w:szCs w:val="24"/>
        </w:rPr>
        <w:t>last Sasanian princes</w:t>
      </w:r>
      <w:r w:rsidR="00115156">
        <w:rPr>
          <w:rFonts w:asciiTheme="majorBidi" w:hAnsiTheme="majorBidi" w:cstheme="majorBidi"/>
          <w:sz w:val="24"/>
          <w:szCs w:val="24"/>
        </w:rPr>
        <w:t xml:space="preserve">. However, they are </w:t>
      </w:r>
      <w:r w:rsidR="00E4557A">
        <w:rPr>
          <w:rFonts w:asciiTheme="majorBidi" w:hAnsiTheme="majorBidi" w:cstheme="majorBidi"/>
          <w:sz w:val="24"/>
          <w:szCs w:val="24"/>
        </w:rPr>
        <w:t>not only to be</w:t>
      </w:r>
      <w:r w:rsidR="00115156">
        <w:rPr>
          <w:rFonts w:asciiTheme="majorBidi" w:hAnsiTheme="majorBidi" w:cstheme="majorBidi"/>
          <w:sz w:val="24"/>
          <w:szCs w:val="24"/>
        </w:rPr>
        <w:t xml:space="preserve"> used with great caution</w:t>
      </w:r>
      <w:r w:rsidR="00E4557A">
        <w:rPr>
          <w:rFonts w:asciiTheme="majorBidi" w:hAnsiTheme="majorBidi" w:cstheme="majorBidi"/>
          <w:sz w:val="24"/>
          <w:szCs w:val="24"/>
        </w:rPr>
        <w:t xml:space="preserve"> because of </w:t>
      </w:r>
      <w:r w:rsidR="00E4557A">
        <w:rPr>
          <w:rFonts w:asciiTheme="majorBidi" w:hAnsiTheme="majorBidi" w:cstheme="majorBidi"/>
          <w:sz w:val="24"/>
          <w:szCs w:val="24"/>
        </w:rPr>
        <w:lastRenderedPageBreak/>
        <w:t xml:space="preserve">their </w:t>
      </w:r>
      <w:r w:rsidR="00115156">
        <w:rPr>
          <w:rFonts w:asciiTheme="majorBidi" w:hAnsiTheme="majorBidi" w:cstheme="majorBidi"/>
          <w:sz w:val="24"/>
          <w:szCs w:val="24"/>
        </w:rPr>
        <w:t xml:space="preserve">apocalyptic </w:t>
      </w:r>
      <w:r w:rsidR="00E4557A">
        <w:rPr>
          <w:rFonts w:asciiTheme="majorBidi" w:hAnsiTheme="majorBidi" w:cstheme="majorBidi"/>
          <w:sz w:val="24"/>
          <w:szCs w:val="24"/>
        </w:rPr>
        <w:t xml:space="preserve">nature, but also difficult to use </w:t>
      </w:r>
      <w:r w:rsidR="00526976">
        <w:rPr>
          <w:rFonts w:asciiTheme="majorBidi" w:hAnsiTheme="majorBidi" w:cstheme="majorBidi"/>
          <w:sz w:val="24"/>
          <w:szCs w:val="24"/>
        </w:rPr>
        <w:t xml:space="preserve">because of </w:t>
      </w:r>
      <w:r w:rsidR="005128ED">
        <w:rPr>
          <w:rFonts w:asciiTheme="majorBidi" w:hAnsiTheme="majorBidi" w:cstheme="majorBidi"/>
          <w:sz w:val="24"/>
          <w:szCs w:val="24"/>
        </w:rPr>
        <w:t xml:space="preserve">heavy later </w:t>
      </w:r>
      <w:r w:rsidR="00526976">
        <w:rPr>
          <w:rFonts w:asciiTheme="majorBidi" w:hAnsiTheme="majorBidi" w:cstheme="majorBidi"/>
          <w:sz w:val="24"/>
          <w:szCs w:val="24"/>
        </w:rPr>
        <w:t>editing</w:t>
      </w:r>
      <w:r w:rsidR="00E4557A">
        <w:rPr>
          <w:rFonts w:asciiTheme="majorBidi" w:hAnsiTheme="majorBidi" w:cstheme="majorBidi"/>
          <w:sz w:val="24"/>
          <w:szCs w:val="24"/>
        </w:rPr>
        <w:t>.</w:t>
      </w:r>
      <w:r w:rsidR="00CD1F77">
        <w:rPr>
          <w:rStyle w:val="FootnoteReference"/>
          <w:rFonts w:asciiTheme="majorBidi" w:hAnsiTheme="majorBidi" w:cstheme="majorBidi"/>
          <w:sz w:val="24"/>
          <w:szCs w:val="24"/>
        </w:rPr>
        <w:footnoteReference w:id="22"/>
      </w:r>
    </w:p>
    <w:p w14:paraId="7AD18BF4" w14:textId="79A738CC" w:rsidR="00E625F4" w:rsidRDefault="008422BF" w:rsidP="006E74F2">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FC1F59">
        <w:rPr>
          <w:rFonts w:asciiTheme="majorBidi" w:hAnsiTheme="majorBidi" w:cstheme="majorBidi"/>
          <w:sz w:val="24"/>
          <w:szCs w:val="24"/>
        </w:rPr>
        <w:t>The Chinese sources</w:t>
      </w:r>
      <w:r w:rsidR="00C1184C">
        <w:rPr>
          <w:rFonts w:asciiTheme="majorBidi" w:hAnsiTheme="majorBidi" w:cstheme="majorBidi"/>
          <w:sz w:val="24"/>
          <w:szCs w:val="24"/>
        </w:rPr>
        <w:t xml:space="preserve"> </w:t>
      </w:r>
      <w:r w:rsidR="000758BA">
        <w:rPr>
          <w:rFonts w:asciiTheme="majorBidi" w:hAnsiTheme="majorBidi" w:cstheme="majorBidi"/>
          <w:sz w:val="24"/>
          <w:szCs w:val="24"/>
        </w:rPr>
        <w:t xml:space="preserve">are or include </w:t>
      </w:r>
      <w:r w:rsidR="00C1184C">
        <w:rPr>
          <w:rFonts w:asciiTheme="majorBidi" w:hAnsiTheme="majorBidi" w:cstheme="majorBidi"/>
          <w:sz w:val="24"/>
          <w:szCs w:val="24"/>
        </w:rPr>
        <w:t xml:space="preserve">valuable contemporary </w:t>
      </w:r>
      <w:r w:rsidR="000758BA">
        <w:rPr>
          <w:rFonts w:asciiTheme="majorBidi" w:hAnsiTheme="majorBidi" w:cstheme="majorBidi"/>
          <w:sz w:val="24"/>
          <w:szCs w:val="24"/>
        </w:rPr>
        <w:t>records</w:t>
      </w:r>
      <w:r w:rsidR="00C1184C">
        <w:rPr>
          <w:rFonts w:asciiTheme="majorBidi" w:hAnsiTheme="majorBidi" w:cstheme="majorBidi"/>
          <w:sz w:val="24"/>
          <w:szCs w:val="24"/>
        </w:rPr>
        <w:t>:</w:t>
      </w:r>
      <w:r w:rsidR="00643D91">
        <w:rPr>
          <w:rFonts w:asciiTheme="majorBidi" w:hAnsiTheme="majorBidi" w:cstheme="majorBidi"/>
          <w:sz w:val="24"/>
          <w:szCs w:val="24"/>
        </w:rPr>
        <w:t xml:space="preserve"> especially the travelogues</w:t>
      </w:r>
      <w:r>
        <w:rPr>
          <w:rFonts w:asciiTheme="majorBidi" w:hAnsiTheme="majorBidi" w:cstheme="majorBidi"/>
          <w:sz w:val="24"/>
          <w:szCs w:val="24"/>
        </w:rPr>
        <w:t xml:space="preserve"> of </w:t>
      </w:r>
      <w:r w:rsidR="00DA3552">
        <w:rPr>
          <w:rFonts w:asciiTheme="majorBidi" w:hAnsiTheme="majorBidi" w:cstheme="majorBidi"/>
          <w:sz w:val="24"/>
          <w:szCs w:val="24"/>
        </w:rPr>
        <w:t xml:space="preserve">the Buddhist pilgrim </w:t>
      </w:r>
      <w:r>
        <w:rPr>
          <w:rFonts w:asciiTheme="majorBidi" w:hAnsiTheme="majorBidi" w:cstheme="majorBidi"/>
          <w:sz w:val="24"/>
          <w:szCs w:val="24"/>
        </w:rPr>
        <w:t>Xuanzang</w:t>
      </w:r>
      <w:r w:rsidR="00C10B7E">
        <w:rPr>
          <w:rFonts w:asciiTheme="majorBidi" w:hAnsiTheme="majorBidi" w:cstheme="majorBidi"/>
          <w:sz w:val="24"/>
          <w:szCs w:val="24"/>
        </w:rPr>
        <w:t xml:space="preserve"> (</w:t>
      </w:r>
      <w:r w:rsidR="00C10B7E">
        <w:rPr>
          <w:rFonts w:asciiTheme="majorBidi" w:hAnsiTheme="majorBidi" w:cstheme="majorBidi" w:hint="eastAsia"/>
          <w:sz w:val="24"/>
          <w:szCs w:val="24"/>
        </w:rPr>
        <w:t>玄奘</w:t>
      </w:r>
      <w:r w:rsidR="00C10B7E">
        <w:rPr>
          <w:rFonts w:asciiTheme="majorBidi" w:hAnsiTheme="majorBidi" w:cstheme="majorBidi"/>
          <w:sz w:val="24"/>
          <w:szCs w:val="24"/>
        </w:rPr>
        <w:t>)</w:t>
      </w:r>
      <w:r>
        <w:rPr>
          <w:rFonts w:asciiTheme="majorBidi" w:hAnsiTheme="majorBidi" w:cstheme="majorBidi"/>
          <w:sz w:val="24"/>
          <w:szCs w:val="24"/>
        </w:rPr>
        <w:t>, who traveled through Ṭukhāristān in 630</w:t>
      </w:r>
      <w:r w:rsidR="007F00B2">
        <w:rPr>
          <w:rFonts w:asciiTheme="majorBidi" w:hAnsiTheme="majorBidi" w:cstheme="majorBidi"/>
          <w:sz w:val="24"/>
          <w:szCs w:val="24"/>
        </w:rPr>
        <w:t xml:space="preserve"> CE</w:t>
      </w:r>
      <w:r>
        <w:rPr>
          <w:rFonts w:asciiTheme="majorBidi" w:hAnsiTheme="majorBidi" w:cstheme="majorBidi"/>
          <w:sz w:val="24"/>
          <w:szCs w:val="24"/>
        </w:rPr>
        <w:t xml:space="preserve"> and </w:t>
      </w:r>
      <w:r w:rsidR="007F00B2">
        <w:rPr>
          <w:rFonts w:asciiTheme="majorBidi" w:hAnsiTheme="majorBidi" w:cstheme="majorBidi"/>
          <w:sz w:val="24"/>
          <w:szCs w:val="24"/>
        </w:rPr>
        <w:t xml:space="preserve">the </w:t>
      </w:r>
      <w:r>
        <w:rPr>
          <w:rFonts w:asciiTheme="majorBidi" w:hAnsiTheme="majorBidi" w:cstheme="majorBidi"/>
          <w:sz w:val="24"/>
          <w:szCs w:val="24"/>
        </w:rPr>
        <w:t>640s,</w:t>
      </w:r>
      <w:r w:rsidR="00E9433A">
        <w:rPr>
          <w:rStyle w:val="FootnoteReference"/>
          <w:rFonts w:asciiTheme="majorBidi" w:hAnsiTheme="majorBidi" w:cstheme="majorBidi"/>
          <w:sz w:val="24"/>
          <w:szCs w:val="24"/>
        </w:rPr>
        <w:footnoteReference w:id="23"/>
      </w:r>
      <w:r>
        <w:rPr>
          <w:rFonts w:asciiTheme="majorBidi" w:hAnsiTheme="majorBidi" w:cstheme="majorBidi"/>
          <w:sz w:val="24"/>
          <w:szCs w:val="24"/>
        </w:rPr>
        <w:t xml:space="preserve"> and </w:t>
      </w:r>
      <w:r w:rsidR="00743735">
        <w:rPr>
          <w:rFonts w:asciiTheme="majorBidi" w:hAnsiTheme="majorBidi" w:cstheme="majorBidi"/>
          <w:sz w:val="24"/>
          <w:szCs w:val="24"/>
        </w:rPr>
        <w:t xml:space="preserve">of </w:t>
      </w:r>
      <w:r w:rsidR="00780517">
        <w:rPr>
          <w:rFonts w:asciiTheme="majorBidi" w:hAnsiTheme="majorBidi" w:cstheme="majorBidi"/>
          <w:sz w:val="24"/>
          <w:szCs w:val="24"/>
        </w:rPr>
        <w:t xml:space="preserve">the Korean monk </w:t>
      </w:r>
      <w:r>
        <w:rPr>
          <w:rFonts w:asciiTheme="majorBidi" w:hAnsiTheme="majorBidi" w:cstheme="majorBidi"/>
          <w:sz w:val="24"/>
          <w:szCs w:val="24"/>
        </w:rPr>
        <w:t xml:space="preserve">Huichao </w:t>
      </w:r>
      <w:r w:rsidR="00C10B7E">
        <w:rPr>
          <w:rFonts w:asciiTheme="majorBidi" w:hAnsiTheme="majorBidi" w:cstheme="majorBidi"/>
          <w:sz w:val="24"/>
          <w:szCs w:val="24"/>
        </w:rPr>
        <w:t>(</w:t>
      </w:r>
      <w:r w:rsidR="00C10B7E">
        <w:rPr>
          <w:rFonts w:asciiTheme="majorBidi" w:hAnsiTheme="majorBidi" w:cstheme="majorBidi" w:hint="eastAsia"/>
          <w:sz w:val="24"/>
          <w:szCs w:val="24"/>
        </w:rPr>
        <w:t>慧超</w:t>
      </w:r>
      <w:r w:rsidR="00C10B7E">
        <w:rPr>
          <w:rFonts w:asciiTheme="majorBidi" w:hAnsiTheme="majorBidi" w:cstheme="majorBidi"/>
          <w:sz w:val="24"/>
          <w:szCs w:val="24"/>
        </w:rPr>
        <w:t>)</w:t>
      </w:r>
      <w:r w:rsidR="00743735">
        <w:rPr>
          <w:rFonts w:asciiTheme="majorBidi" w:hAnsiTheme="majorBidi" w:cstheme="majorBidi"/>
          <w:sz w:val="24"/>
          <w:szCs w:val="24"/>
        </w:rPr>
        <w:t xml:space="preserve">, who went back to China through the region </w:t>
      </w:r>
      <w:r>
        <w:rPr>
          <w:rFonts w:asciiTheme="majorBidi" w:hAnsiTheme="majorBidi" w:cstheme="majorBidi"/>
          <w:sz w:val="24"/>
          <w:szCs w:val="24"/>
        </w:rPr>
        <w:t xml:space="preserve">in </w:t>
      </w:r>
      <w:r w:rsidR="00F967A4">
        <w:rPr>
          <w:rFonts w:asciiTheme="majorBidi" w:hAnsiTheme="majorBidi" w:cstheme="majorBidi"/>
          <w:sz w:val="24"/>
          <w:szCs w:val="24"/>
        </w:rPr>
        <w:t xml:space="preserve">the </w:t>
      </w:r>
      <w:r>
        <w:rPr>
          <w:rFonts w:asciiTheme="majorBidi" w:hAnsiTheme="majorBidi" w:cstheme="majorBidi"/>
          <w:sz w:val="24"/>
          <w:szCs w:val="24"/>
        </w:rPr>
        <w:t>720s</w:t>
      </w:r>
      <w:r w:rsidR="00643D91">
        <w:rPr>
          <w:rFonts w:asciiTheme="majorBidi" w:hAnsiTheme="majorBidi" w:cstheme="majorBidi"/>
          <w:sz w:val="24"/>
          <w:szCs w:val="24"/>
        </w:rPr>
        <w:t xml:space="preserve">, </w:t>
      </w:r>
      <w:r>
        <w:rPr>
          <w:rFonts w:asciiTheme="majorBidi" w:hAnsiTheme="majorBidi" w:cstheme="majorBidi"/>
          <w:sz w:val="24"/>
          <w:szCs w:val="24"/>
        </w:rPr>
        <w:t>leave</w:t>
      </w:r>
      <w:r w:rsidR="00E25E7C">
        <w:rPr>
          <w:rFonts w:asciiTheme="majorBidi" w:hAnsiTheme="majorBidi" w:cstheme="majorBidi"/>
          <w:sz w:val="24"/>
          <w:szCs w:val="24"/>
        </w:rPr>
        <w:t xml:space="preserve"> contempor</w:t>
      </w:r>
      <w:r w:rsidR="00BF1D34">
        <w:rPr>
          <w:rFonts w:asciiTheme="majorBidi" w:hAnsiTheme="majorBidi" w:cstheme="majorBidi"/>
          <w:sz w:val="24"/>
          <w:szCs w:val="24"/>
        </w:rPr>
        <w:t xml:space="preserve">ary </w:t>
      </w:r>
      <w:r>
        <w:rPr>
          <w:rFonts w:asciiTheme="majorBidi" w:hAnsiTheme="majorBidi" w:cstheme="majorBidi"/>
          <w:sz w:val="24"/>
          <w:szCs w:val="24"/>
        </w:rPr>
        <w:t xml:space="preserve">records of </w:t>
      </w:r>
      <w:r w:rsidR="00FC1F59">
        <w:rPr>
          <w:rFonts w:asciiTheme="majorBidi" w:hAnsiTheme="majorBidi" w:cstheme="majorBidi"/>
          <w:sz w:val="24"/>
          <w:szCs w:val="24"/>
        </w:rPr>
        <w:t>Ṭukhāristān</w:t>
      </w:r>
      <w:r w:rsidR="0017219D">
        <w:rPr>
          <w:rFonts w:asciiTheme="majorBidi" w:hAnsiTheme="majorBidi" w:cstheme="majorBidi"/>
          <w:sz w:val="24"/>
          <w:szCs w:val="24"/>
        </w:rPr>
        <w:t>'s geopolitic</w:t>
      </w:r>
      <w:r w:rsidR="00C1184C">
        <w:rPr>
          <w:rFonts w:asciiTheme="majorBidi" w:hAnsiTheme="majorBidi" w:cstheme="majorBidi"/>
          <w:sz w:val="24"/>
          <w:szCs w:val="24"/>
        </w:rPr>
        <w:t xml:space="preserve">s. Additionally, the two dynastic histories of the Tang Empire, the </w:t>
      </w:r>
      <w:r w:rsidR="00C1184C" w:rsidRPr="008422BF">
        <w:rPr>
          <w:rFonts w:asciiTheme="majorBidi" w:hAnsiTheme="majorBidi" w:cstheme="majorBidi"/>
          <w:i/>
          <w:iCs/>
          <w:sz w:val="24"/>
          <w:szCs w:val="24"/>
        </w:rPr>
        <w:t>Jiu Tangshu</w:t>
      </w:r>
      <w:r w:rsidR="00C1184C">
        <w:rPr>
          <w:rFonts w:asciiTheme="majorBidi" w:hAnsiTheme="majorBidi" w:cstheme="majorBidi"/>
          <w:sz w:val="24"/>
          <w:szCs w:val="24"/>
        </w:rPr>
        <w:t xml:space="preserve"> (</w:t>
      </w:r>
      <w:r w:rsidR="00C1184C">
        <w:rPr>
          <w:rFonts w:asciiTheme="majorBidi" w:hAnsiTheme="majorBidi" w:cstheme="majorBidi" w:hint="eastAsia"/>
          <w:sz w:val="24"/>
          <w:szCs w:val="24"/>
        </w:rPr>
        <w:t>旧唐书</w:t>
      </w:r>
      <w:r w:rsidR="00C1184C">
        <w:rPr>
          <w:rFonts w:asciiTheme="majorBidi" w:hAnsiTheme="majorBidi" w:cstheme="majorBidi"/>
          <w:sz w:val="24"/>
          <w:szCs w:val="24"/>
        </w:rPr>
        <w:t xml:space="preserve">) and the </w:t>
      </w:r>
      <w:r w:rsidR="00C1184C" w:rsidRPr="008422BF">
        <w:rPr>
          <w:rFonts w:asciiTheme="majorBidi" w:hAnsiTheme="majorBidi" w:cstheme="majorBidi"/>
          <w:i/>
          <w:iCs/>
          <w:sz w:val="24"/>
          <w:szCs w:val="24"/>
        </w:rPr>
        <w:t>Xin Tangshu</w:t>
      </w:r>
      <w:r w:rsidR="00C1184C">
        <w:rPr>
          <w:rFonts w:asciiTheme="majorBidi" w:hAnsiTheme="majorBidi" w:cstheme="majorBidi"/>
          <w:i/>
          <w:iCs/>
          <w:sz w:val="24"/>
          <w:szCs w:val="24"/>
        </w:rPr>
        <w:t xml:space="preserve"> </w:t>
      </w:r>
      <w:r w:rsidR="00C1184C" w:rsidRPr="00B81484">
        <w:rPr>
          <w:rFonts w:asciiTheme="majorBidi" w:hAnsiTheme="majorBidi" w:cstheme="majorBidi"/>
          <w:sz w:val="24"/>
          <w:szCs w:val="24"/>
        </w:rPr>
        <w:t>(</w:t>
      </w:r>
      <w:r w:rsidR="00C1184C" w:rsidRPr="00B81484">
        <w:rPr>
          <w:rFonts w:asciiTheme="majorBidi" w:hAnsiTheme="majorBidi" w:cstheme="majorBidi" w:hint="eastAsia"/>
          <w:sz w:val="24"/>
          <w:szCs w:val="24"/>
        </w:rPr>
        <w:t>新唐书</w:t>
      </w:r>
      <w:r w:rsidR="00C1184C" w:rsidRPr="00B81484">
        <w:rPr>
          <w:rFonts w:asciiTheme="majorBidi" w:hAnsiTheme="majorBidi" w:cstheme="majorBidi"/>
          <w:sz w:val="24"/>
          <w:szCs w:val="24"/>
        </w:rPr>
        <w:t>)</w:t>
      </w:r>
      <w:r w:rsidR="00C1184C">
        <w:rPr>
          <w:rFonts w:asciiTheme="majorBidi" w:hAnsiTheme="majorBidi" w:cstheme="majorBidi"/>
          <w:sz w:val="24"/>
          <w:szCs w:val="24"/>
        </w:rPr>
        <w:t>, compiled in 945 CE and 1060 CE</w:t>
      </w:r>
      <w:r w:rsidR="00C1184C" w:rsidRPr="00120CF2">
        <w:rPr>
          <w:rFonts w:asciiTheme="majorBidi" w:hAnsiTheme="majorBidi" w:cstheme="majorBidi"/>
          <w:sz w:val="24"/>
          <w:szCs w:val="24"/>
        </w:rPr>
        <w:t xml:space="preserve"> </w:t>
      </w:r>
      <w:r w:rsidR="00C1184C">
        <w:rPr>
          <w:rFonts w:asciiTheme="majorBidi" w:hAnsiTheme="majorBidi" w:cstheme="majorBidi"/>
          <w:sz w:val="24"/>
          <w:szCs w:val="24"/>
        </w:rPr>
        <w:t>respectively,</w:t>
      </w:r>
      <w:r w:rsidR="00743735">
        <w:rPr>
          <w:rFonts w:asciiTheme="majorBidi" w:hAnsiTheme="majorBidi" w:cstheme="majorBidi"/>
          <w:sz w:val="24"/>
          <w:szCs w:val="24"/>
        </w:rPr>
        <w:t xml:space="preserve"> incorporate</w:t>
      </w:r>
      <w:r>
        <w:rPr>
          <w:rFonts w:asciiTheme="majorBidi" w:hAnsiTheme="majorBidi" w:cstheme="majorBidi"/>
          <w:sz w:val="24"/>
          <w:szCs w:val="24"/>
        </w:rPr>
        <w:t xml:space="preserve"> relevant information from diplomatic reports.</w:t>
      </w:r>
      <w:r w:rsidR="000758BA">
        <w:rPr>
          <w:rStyle w:val="FootnoteReference"/>
          <w:rFonts w:asciiTheme="majorBidi" w:hAnsiTheme="majorBidi" w:cstheme="majorBidi"/>
          <w:sz w:val="24"/>
          <w:szCs w:val="24"/>
        </w:rPr>
        <w:footnoteReference w:id="24"/>
      </w:r>
      <w:r>
        <w:rPr>
          <w:rFonts w:asciiTheme="majorBidi" w:hAnsiTheme="majorBidi" w:cstheme="majorBidi"/>
          <w:sz w:val="24"/>
          <w:szCs w:val="24"/>
        </w:rPr>
        <w:t xml:space="preserve"> </w:t>
      </w:r>
      <w:r w:rsidR="00743735">
        <w:rPr>
          <w:rFonts w:asciiTheme="majorBidi" w:hAnsiTheme="majorBidi" w:cstheme="majorBidi"/>
          <w:sz w:val="24"/>
          <w:szCs w:val="24"/>
        </w:rPr>
        <w:t xml:space="preserve">Another </w:t>
      </w:r>
      <w:r>
        <w:rPr>
          <w:rFonts w:asciiTheme="majorBidi" w:hAnsiTheme="majorBidi" w:cstheme="majorBidi"/>
          <w:sz w:val="24"/>
          <w:szCs w:val="24"/>
        </w:rPr>
        <w:t xml:space="preserve">noteworthy </w:t>
      </w:r>
      <w:r w:rsidR="00B81484">
        <w:rPr>
          <w:rFonts w:asciiTheme="majorBidi" w:hAnsiTheme="majorBidi" w:cstheme="majorBidi"/>
          <w:sz w:val="24"/>
          <w:szCs w:val="24"/>
        </w:rPr>
        <w:t>source</w:t>
      </w:r>
      <w:r>
        <w:rPr>
          <w:rFonts w:asciiTheme="majorBidi" w:hAnsiTheme="majorBidi" w:cstheme="majorBidi"/>
          <w:sz w:val="24"/>
          <w:szCs w:val="24"/>
        </w:rPr>
        <w:t xml:space="preserve"> the </w:t>
      </w:r>
      <w:r w:rsidRPr="008422BF">
        <w:rPr>
          <w:rFonts w:asciiTheme="majorBidi" w:hAnsiTheme="majorBidi" w:cstheme="majorBidi"/>
          <w:i/>
          <w:iCs/>
          <w:sz w:val="24"/>
          <w:szCs w:val="24"/>
        </w:rPr>
        <w:t>Cefu yuangui</w:t>
      </w:r>
      <w:r w:rsidR="00B81484">
        <w:rPr>
          <w:rFonts w:asciiTheme="majorBidi" w:hAnsiTheme="majorBidi" w:cstheme="majorBidi"/>
          <w:sz w:val="24"/>
          <w:szCs w:val="24"/>
        </w:rPr>
        <w:t xml:space="preserve"> </w:t>
      </w:r>
      <w:r w:rsidR="00B81484">
        <w:rPr>
          <w:rFonts w:asciiTheme="majorBidi" w:hAnsiTheme="majorBidi" w:cstheme="majorBidi" w:hint="eastAsia"/>
          <w:sz w:val="24"/>
          <w:szCs w:val="24"/>
        </w:rPr>
        <w:t>(</w:t>
      </w:r>
      <w:r w:rsidR="00B81484">
        <w:rPr>
          <w:rFonts w:asciiTheme="majorBidi" w:hAnsiTheme="majorBidi" w:cstheme="majorBidi" w:hint="eastAsia"/>
          <w:sz w:val="24"/>
          <w:szCs w:val="24"/>
        </w:rPr>
        <w:t>册府元龟</w:t>
      </w:r>
      <w:r w:rsidR="00B81484">
        <w:rPr>
          <w:rFonts w:asciiTheme="majorBidi" w:hAnsiTheme="majorBidi" w:cstheme="majorBidi"/>
          <w:sz w:val="24"/>
          <w:szCs w:val="24"/>
        </w:rPr>
        <w:t>)</w:t>
      </w:r>
      <w:r w:rsidR="00743735">
        <w:rPr>
          <w:rFonts w:asciiTheme="majorBidi" w:hAnsiTheme="majorBidi" w:cstheme="majorBidi"/>
          <w:sz w:val="24"/>
          <w:szCs w:val="24"/>
        </w:rPr>
        <w:t>,</w:t>
      </w:r>
      <w:r w:rsidR="0017219D">
        <w:rPr>
          <w:rStyle w:val="FootnoteReference"/>
          <w:rFonts w:asciiTheme="majorBidi" w:hAnsiTheme="majorBidi" w:cstheme="majorBidi"/>
          <w:sz w:val="24"/>
          <w:szCs w:val="24"/>
        </w:rPr>
        <w:footnoteReference w:id="25"/>
      </w:r>
      <w:r w:rsidR="00743735">
        <w:rPr>
          <w:rFonts w:asciiTheme="majorBidi" w:hAnsiTheme="majorBidi" w:cstheme="majorBidi"/>
          <w:sz w:val="24"/>
          <w:szCs w:val="24"/>
        </w:rPr>
        <w:t xml:space="preserve"> which was presented to the </w:t>
      </w:r>
      <w:r w:rsidR="001A746A">
        <w:rPr>
          <w:rFonts w:asciiTheme="majorBidi" w:hAnsiTheme="majorBidi" w:cstheme="majorBidi"/>
          <w:sz w:val="24"/>
          <w:szCs w:val="24"/>
        </w:rPr>
        <w:t xml:space="preserve">Chinese Song </w:t>
      </w:r>
      <w:r w:rsidR="00743735">
        <w:rPr>
          <w:rFonts w:asciiTheme="majorBidi" w:hAnsiTheme="majorBidi" w:cstheme="majorBidi"/>
          <w:sz w:val="24"/>
          <w:szCs w:val="24"/>
        </w:rPr>
        <w:t>court</w:t>
      </w:r>
      <w:r w:rsidR="00B81484">
        <w:rPr>
          <w:rFonts w:asciiTheme="majorBidi" w:hAnsiTheme="majorBidi" w:cstheme="majorBidi"/>
          <w:sz w:val="24"/>
          <w:szCs w:val="24"/>
        </w:rPr>
        <w:t xml:space="preserve"> in 1013 CE,</w:t>
      </w:r>
      <w:r>
        <w:rPr>
          <w:rFonts w:asciiTheme="majorBidi" w:hAnsiTheme="majorBidi" w:cstheme="majorBidi"/>
          <w:sz w:val="24"/>
          <w:szCs w:val="24"/>
        </w:rPr>
        <w:t xml:space="preserve"> </w:t>
      </w:r>
      <w:r w:rsidR="00B81484">
        <w:rPr>
          <w:rFonts w:asciiTheme="majorBidi" w:hAnsiTheme="majorBidi" w:cstheme="majorBidi"/>
          <w:sz w:val="24"/>
          <w:szCs w:val="24"/>
        </w:rPr>
        <w:t xml:space="preserve">collects various information about foreign states including relevant records about Ṭukhāristān, Persia and so on. Moreover, relevant epitaphs are found in the </w:t>
      </w:r>
      <w:r w:rsidR="00B81484" w:rsidRPr="00B81484">
        <w:rPr>
          <w:rFonts w:asciiTheme="majorBidi" w:hAnsiTheme="majorBidi" w:cstheme="majorBidi"/>
          <w:i/>
          <w:iCs/>
          <w:sz w:val="24"/>
          <w:szCs w:val="24"/>
        </w:rPr>
        <w:t>Quan Tangwen</w:t>
      </w:r>
      <w:r w:rsidR="00B81484">
        <w:rPr>
          <w:rFonts w:asciiTheme="majorBidi" w:hAnsiTheme="majorBidi" w:cstheme="majorBidi"/>
          <w:sz w:val="24"/>
          <w:szCs w:val="24"/>
        </w:rPr>
        <w:t xml:space="preserve"> (</w:t>
      </w:r>
      <w:r w:rsidR="00B81484">
        <w:rPr>
          <w:rFonts w:asciiTheme="majorBidi" w:hAnsiTheme="majorBidi" w:cstheme="majorBidi" w:hint="eastAsia"/>
          <w:sz w:val="24"/>
          <w:szCs w:val="24"/>
        </w:rPr>
        <w:t>全唐文</w:t>
      </w:r>
      <w:r w:rsidR="00B81484">
        <w:rPr>
          <w:rFonts w:asciiTheme="majorBidi" w:hAnsiTheme="majorBidi" w:cstheme="majorBidi"/>
          <w:sz w:val="24"/>
          <w:szCs w:val="24"/>
        </w:rPr>
        <w:t xml:space="preserve">), a complete collection of </w:t>
      </w:r>
      <w:r w:rsidR="00E926B2">
        <w:rPr>
          <w:rFonts w:asciiTheme="majorBidi" w:hAnsiTheme="majorBidi" w:cstheme="majorBidi"/>
          <w:sz w:val="24"/>
          <w:szCs w:val="24"/>
        </w:rPr>
        <w:t xml:space="preserve">the </w:t>
      </w:r>
      <w:r w:rsidR="00B81484">
        <w:rPr>
          <w:rFonts w:asciiTheme="majorBidi" w:hAnsiTheme="majorBidi" w:cstheme="majorBidi"/>
          <w:sz w:val="24"/>
          <w:szCs w:val="24"/>
        </w:rPr>
        <w:t xml:space="preserve">proses composed during the Tang </w:t>
      </w:r>
      <w:r w:rsidR="00216A78">
        <w:rPr>
          <w:rFonts w:asciiTheme="majorBidi" w:hAnsiTheme="majorBidi" w:cstheme="majorBidi"/>
          <w:sz w:val="24"/>
          <w:szCs w:val="24"/>
        </w:rPr>
        <w:t>D</w:t>
      </w:r>
      <w:r w:rsidR="00B81484">
        <w:rPr>
          <w:rFonts w:asciiTheme="majorBidi" w:hAnsiTheme="majorBidi" w:cstheme="majorBidi"/>
          <w:sz w:val="24"/>
          <w:szCs w:val="24"/>
        </w:rPr>
        <w:t>ynasty.</w:t>
      </w:r>
    </w:p>
    <w:p w14:paraId="6A50BBD6" w14:textId="70EFBAAD" w:rsidR="00EE3951" w:rsidRDefault="00E625F4" w:rsidP="00EE3951">
      <w:pPr>
        <w:spacing w:line="360" w:lineRule="auto"/>
        <w:rPr>
          <w:rFonts w:asciiTheme="majorBidi" w:eastAsiaTheme="minorHAnsi" w:hAnsiTheme="majorBidi" w:cstheme="majorBidi"/>
          <w:sz w:val="24"/>
          <w:szCs w:val="24"/>
        </w:rPr>
      </w:pPr>
      <w:r>
        <w:rPr>
          <w:rFonts w:asciiTheme="majorBidi" w:hAnsiTheme="majorBidi" w:cstheme="majorBidi"/>
          <w:sz w:val="24"/>
          <w:szCs w:val="24"/>
        </w:rPr>
        <w:t xml:space="preserve">     </w:t>
      </w:r>
      <w:r w:rsidR="00C10B7E">
        <w:rPr>
          <w:rFonts w:asciiTheme="majorBidi" w:hAnsiTheme="majorBidi" w:cstheme="majorBidi"/>
          <w:sz w:val="24"/>
          <w:szCs w:val="24"/>
        </w:rPr>
        <w:t>Besides the Muslim and Chinese sources, t</w:t>
      </w:r>
      <w:r w:rsidR="004468E7">
        <w:rPr>
          <w:rFonts w:asciiTheme="majorBidi" w:hAnsiTheme="majorBidi" w:cstheme="majorBidi"/>
          <w:sz w:val="24"/>
          <w:szCs w:val="24"/>
        </w:rPr>
        <w:t xml:space="preserve">he study </w:t>
      </w:r>
      <w:r w:rsidR="002C339D">
        <w:rPr>
          <w:rFonts w:asciiTheme="majorBidi" w:hAnsiTheme="majorBidi" w:cstheme="majorBidi"/>
          <w:sz w:val="24"/>
          <w:szCs w:val="24"/>
        </w:rPr>
        <w:t xml:space="preserve">also </w:t>
      </w:r>
      <w:r w:rsidR="00BC4F6B">
        <w:rPr>
          <w:rFonts w:asciiTheme="majorBidi" w:hAnsiTheme="majorBidi" w:cstheme="majorBidi"/>
          <w:sz w:val="24"/>
          <w:szCs w:val="24"/>
        </w:rPr>
        <w:t>realizes the significance of the</w:t>
      </w:r>
      <w:r w:rsidR="004468E7">
        <w:rPr>
          <w:rFonts w:asciiTheme="majorBidi" w:hAnsiTheme="majorBidi" w:cstheme="majorBidi"/>
          <w:sz w:val="24"/>
          <w:szCs w:val="24"/>
        </w:rPr>
        <w:t xml:space="preserve"> </w:t>
      </w:r>
      <w:r w:rsidR="00C10B7E">
        <w:rPr>
          <w:rFonts w:asciiTheme="majorBidi" w:hAnsiTheme="majorBidi" w:cstheme="majorBidi"/>
          <w:sz w:val="24"/>
          <w:szCs w:val="24"/>
        </w:rPr>
        <w:t xml:space="preserve">Bactrian </w:t>
      </w:r>
      <w:r w:rsidR="00BC4F6B">
        <w:rPr>
          <w:rFonts w:asciiTheme="majorBidi" w:hAnsiTheme="majorBidi" w:cstheme="majorBidi"/>
          <w:sz w:val="24"/>
          <w:szCs w:val="24"/>
        </w:rPr>
        <w:t>documents</w:t>
      </w:r>
      <w:r w:rsidR="001A746A">
        <w:rPr>
          <w:rFonts w:asciiTheme="majorBidi" w:hAnsiTheme="majorBidi" w:cstheme="majorBidi"/>
          <w:sz w:val="24"/>
          <w:szCs w:val="24"/>
        </w:rPr>
        <w:t xml:space="preserve">. They were found </w:t>
      </w:r>
      <w:r w:rsidR="00CC28CB">
        <w:rPr>
          <w:rFonts w:asciiTheme="majorBidi" w:hAnsiTheme="majorBidi" w:cstheme="majorBidi"/>
          <w:sz w:val="24"/>
          <w:szCs w:val="24"/>
        </w:rPr>
        <w:t xml:space="preserve">mainly </w:t>
      </w:r>
      <w:r w:rsidR="001A746A">
        <w:rPr>
          <w:rFonts w:asciiTheme="majorBidi" w:hAnsiTheme="majorBidi" w:cstheme="majorBidi"/>
          <w:sz w:val="24"/>
          <w:szCs w:val="24"/>
        </w:rPr>
        <w:t>in the 1990s and include</w:t>
      </w:r>
      <w:r w:rsidR="00BC4F6B">
        <w:rPr>
          <w:rFonts w:asciiTheme="majorBidi" w:eastAsiaTheme="minorHAnsi" w:hAnsiTheme="majorBidi" w:cstheme="majorBidi"/>
          <w:sz w:val="24"/>
          <w:szCs w:val="24"/>
        </w:rPr>
        <w:t xml:space="preserve"> </w:t>
      </w:r>
      <w:r w:rsidR="00C10B7E">
        <w:rPr>
          <w:rFonts w:asciiTheme="majorBidi" w:eastAsiaTheme="minorHAnsi" w:hAnsiTheme="majorBidi" w:cstheme="majorBidi"/>
          <w:sz w:val="24"/>
          <w:szCs w:val="24"/>
        </w:rPr>
        <w:t xml:space="preserve">more than 150 legal and economic contracts dated to </w:t>
      </w:r>
      <w:r w:rsidR="001A746A">
        <w:rPr>
          <w:rFonts w:asciiTheme="majorBidi" w:eastAsiaTheme="minorHAnsi" w:hAnsiTheme="majorBidi" w:cstheme="majorBidi"/>
          <w:sz w:val="24"/>
          <w:szCs w:val="24"/>
        </w:rPr>
        <w:t xml:space="preserve">the </w:t>
      </w:r>
      <w:r w:rsidR="00C10B7E">
        <w:rPr>
          <w:rFonts w:asciiTheme="majorBidi" w:eastAsiaTheme="minorHAnsi" w:hAnsiTheme="majorBidi" w:cstheme="majorBidi"/>
          <w:sz w:val="24"/>
          <w:szCs w:val="24"/>
        </w:rPr>
        <w:t>an</w:t>
      </w:r>
      <w:r w:rsidR="001A746A">
        <w:rPr>
          <w:rFonts w:asciiTheme="majorBidi" w:eastAsiaTheme="minorHAnsi" w:hAnsiTheme="majorBidi" w:cstheme="majorBidi"/>
          <w:sz w:val="24"/>
          <w:szCs w:val="24"/>
        </w:rPr>
        <w:t xml:space="preserve">cient </w:t>
      </w:r>
      <w:r w:rsidR="00C10B7E">
        <w:rPr>
          <w:rFonts w:asciiTheme="majorBidi" w:eastAsiaTheme="minorHAnsi" w:hAnsiTheme="majorBidi" w:cstheme="majorBidi"/>
          <w:sz w:val="24"/>
          <w:szCs w:val="24"/>
        </w:rPr>
        <w:t xml:space="preserve">and </w:t>
      </w:r>
      <w:r w:rsidR="001A746A">
        <w:rPr>
          <w:rFonts w:asciiTheme="majorBidi" w:eastAsiaTheme="minorHAnsi" w:hAnsiTheme="majorBidi" w:cstheme="majorBidi"/>
          <w:sz w:val="24"/>
          <w:szCs w:val="24"/>
        </w:rPr>
        <w:t xml:space="preserve">the </w:t>
      </w:r>
      <w:r w:rsidR="00C10B7E">
        <w:rPr>
          <w:rFonts w:asciiTheme="majorBidi" w:eastAsiaTheme="minorHAnsi" w:hAnsiTheme="majorBidi" w:cstheme="majorBidi"/>
          <w:sz w:val="24"/>
          <w:szCs w:val="24"/>
        </w:rPr>
        <w:t>early medieval northern Afghanistan</w:t>
      </w:r>
      <w:r w:rsidR="00F42C1F">
        <w:rPr>
          <w:rFonts w:asciiTheme="majorBidi" w:eastAsiaTheme="minorHAnsi" w:hAnsiTheme="majorBidi" w:cstheme="majorBidi"/>
          <w:sz w:val="24"/>
          <w:szCs w:val="24"/>
        </w:rPr>
        <w:t>.</w:t>
      </w:r>
      <w:r w:rsidR="00C10B7E">
        <w:rPr>
          <w:rStyle w:val="FootnoteReference"/>
          <w:rFonts w:asciiTheme="majorBidi" w:hAnsiTheme="majorBidi" w:cstheme="majorBidi"/>
          <w:sz w:val="24"/>
          <w:szCs w:val="24"/>
        </w:rPr>
        <w:footnoteReference w:id="26"/>
      </w:r>
      <w:r w:rsidR="00C10B7E">
        <w:rPr>
          <w:rFonts w:asciiTheme="majorBidi" w:eastAsiaTheme="minorHAnsi" w:hAnsiTheme="majorBidi" w:cstheme="majorBidi"/>
          <w:sz w:val="24"/>
          <w:szCs w:val="24"/>
        </w:rPr>
        <w:t xml:space="preserve"> </w:t>
      </w:r>
      <w:r w:rsidR="00CC28CB">
        <w:rPr>
          <w:rFonts w:asciiTheme="majorBidi" w:eastAsiaTheme="minorHAnsi" w:hAnsiTheme="majorBidi" w:cstheme="majorBidi"/>
          <w:sz w:val="24"/>
          <w:szCs w:val="24"/>
        </w:rPr>
        <w:t>T</w:t>
      </w:r>
      <w:r w:rsidR="001A746A">
        <w:rPr>
          <w:rFonts w:asciiTheme="majorBidi" w:eastAsiaTheme="minorHAnsi" w:hAnsiTheme="majorBidi" w:cstheme="majorBidi"/>
          <w:sz w:val="24"/>
          <w:szCs w:val="24"/>
        </w:rPr>
        <w:t>he</w:t>
      </w:r>
      <w:r w:rsidR="00A90306">
        <w:rPr>
          <w:rFonts w:asciiTheme="majorBidi" w:eastAsiaTheme="minorHAnsi" w:hAnsiTheme="majorBidi" w:cstheme="majorBidi"/>
          <w:sz w:val="24"/>
          <w:szCs w:val="24"/>
        </w:rPr>
        <w:t xml:space="preserve">se </w:t>
      </w:r>
      <w:r w:rsidR="001A746A">
        <w:rPr>
          <w:rFonts w:asciiTheme="majorBidi" w:eastAsiaTheme="minorHAnsi" w:hAnsiTheme="majorBidi" w:cstheme="majorBidi"/>
          <w:sz w:val="24"/>
          <w:szCs w:val="24"/>
        </w:rPr>
        <w:t>local and contemporary</w:t>
      </w:r>
      <w:r w:rsidR="00EE3951">
        <w:rPr>
          <w:rFonts w:asciiTheme="majorBidi" w:eastAsiaTheme="minorHAnsi" w:hAnsiTheme="majorBidi" w:cstheme="majorBidi"/>
          <w:sz w:val="24"/>
          <w:szCs w:val="24"/>
        </w:rPr>
        <w:t xml:space="preserve"> documents also provide</w:t>
      </w:r>
      <w:r w:rsidR="001A746A">
        <w:rPr>
          <w:rFonts w:asciiTheme="majorBidi" w:eastAsiaTheme="minorHAnsi" w:hAnsiTheme="majorBidi" w:cstheme="majorBidi"/>
          <w:sz w:val="24"/>
          <w:szCs w:val="24"/>
        </w:rPr>
        <w:t xml:space="preserve"> </w:t>
      </w:r>
      <w:r w:rsidR="00CC28CB">
        <w:rPr>
          <w:rFonts w:asciiTheme="majorBidi" w:eastAsiaTheme="minorHAnsi" w:hAnsiTheme="majorBidi" w:cstheme="majorBidi"/>
          <w:sz w:val="24"/>
          <w:szCs w:val="24"/>
        </w:rPr>
        <w:t xml:space="preserve">provide precious </w:t>
      </w:r>
      <w:r w:rsidR="00EE3951">
        <w:rPr>
          <w:rFonts w:asciiTheme="majorBidi" w:eastAsiaTheme="minorHAnsi" w:hAnsiTheme="majorBidi" w:cstheme="majorBidi"/>
          <w:sz w:val="24"/>
          <w:szCs w:val="24"/>
        </w:rPr>
        <w:t xml:space="preserve">political information. Consequently, they </w:t>
      </w:r>
      <w:r w:rsidR="00BC4F6B">
        <w:rPr>
          <w:rFonts w:asciiTheme="majorBidi" w:eastAsiaTheme="minorHAnsi" w:hAnsiTheme="majorBidi" w:cstheme="majorBidi"/>
          <w:sz w:val="24"/>
          <w:szCs w:val="24"/>
        </w:rPr>
        <w:t>deserve preference</w:t>
      </w:r>
      <w:r w:rsidR="00A90306">
        <w:rPr>
          <w:rFonts w:asciiTheme="majorBidi" w:eastAsiaTheme="minorHAnsi" w:hAnsiTheme="majorBidi" w:cstheme="majorBidi"/>
          <w:sz w:val="24"/>
          <w:szCs w:val="24"/>
        </w:rPr>
        <w:t xml:space="preserve"> in the research</w:t>
      </w:r>
      <w:r w:rsidR="00BC4F6B">
        <w:rPr>
          <w:rFonts w:asciiTheme="majorBidi" w:eastAsiaTheme="minorHAnsi" w:hAnsiTheme="majorBidi" w:cstheme="majorBidi"/>
          <w:sz w:val="24"/>
          <w:szCs w:val="24"/>
        </w:rPr>
        <w:t>.</w:t>
      </w:r>
    </w:p>
    <w:p w14:paraId="05FADE6F" w14:textId="6BAE99B5" w:rsidR="009D2E78" w:rsidRDefault="00A90306" w:rsidP="009D2E78">
      <w:pPr>
        <w:spacing w:line="360" w:lineRule="auto"/>
        <w:rPr>
          <w:rFonts w:asciiTheme="majorBidi" w:hAnsiTheme="majorBidi" w:cstheme="majorBidi"/>
          <w:sz w:val="24"/>
          <w:szCs w:val="24"/>
        </w:rPr>
      </w:pPr>
      <w:r>
        <w:rPr>
          <w:rFonts w:asciiTheme="majorBidi" w:eastAsiaTheme="minorHAnsi" w:hAnsiTheme="majorBidi" w:cstheme="majorBidi"/>
          <w:sz w:val="24"/>
          <w:szCs w:val="24"/>
        </w:rPr>
        <w:lastRenderedPageBreak/>
        <w:t xml:space="preserve">    </w:t>
      </w:r>
      <w:r w:rsidR="00BC4F6B">
        <w:rPr>
          <w:rFonts w:asciiTheme="majorBidi" w:eastAsiaTheme="minorHAnsi" w:hAnsiTheme="majorBidi" w:cstheme="majorBidi"/>
          <w:sz w:val="24"/>
          <w:szCs w:val="24"/>
        </w:rPr>
        <w:t>Another</w:t>
      </w:r>
      <w:r w:rsidR="001A746A">
        <w:rPr>
          <w:rFonts w:asciiTheme="majorBidi" w:eastAsiaTheme="minorHAnsi" w:hAnsiTheme="majorBidi" w:cstheme="majorBidi"/>
          <w:sz w:val="24"/>
          <w:szCs w:val="24"/>
        </w:rPr>
        <w:t xml:space="preserve"> category of</w:t>
      </w:r>
      <w:r w:rsidR="00BC4F6B">
        <w:rPr>
          <w:rFonts w:asciiTheme="majorBidi" w:eastAsiaTheme="minorHAnsi" w:hAnsiTheme="majorBidi" w:cstheme="majorBidi"/>
          <w:sz w:val="24"/>
          <w:szCs w:val="24"/>
        </w:rPr>
        <w:t xml:space="preserve"> </w:t>
      </w:r>
      <w:r w:rsidR="001A746A">
        <w:rPr>
          <w:rFonts w:asciiTheme="majorBidi" w:eastAsiaTheme="minorHAnsi" w:hAnsiTheme="majorBidi" w:cstheme="majorBidi"/>
          <w:sz w:val="24"/>
          <w:szCs w:val="24"/>
        </w:rPr>
        <w:t xml:space="preserve">important </w:t>
      </w:r>
      <w:r w:rsidR="00BC4F6B">
        <w:rPr>
          <w:rFonts w:asciiTheme="majorBidi" w:eastAsiaTheme="minorHAnsi" w:hAnsiTheme="majorBidi" w:cstheme="majorBidi"/>
          <w:sz w:val="24"/>
          <w:szCs w:val="24"/>
        </w:rPr>
        <w:t>primary source</w:t>
      </w:r>
      <w:r>
        <w:rPr>
          <w:rFonts w:asciiTheme="majorBidi" w:eastAsiaTheme="minorHAnsi" w:hAnsiTheme="majorBidi" w:cstheme="majorBidi"/>
          <w:sz w:val="24"/>
          <w:szCs w:val="24"/>
        </w:rPr>
        <w:t>s</w:t>
      </w:r>
      <w:r w:rsidR="00BC4F6B">
        <w:rPr>
          <w:rFonts w:asciiTheme="majorBidi" w:eastAsiaTheme="minorHAnsi" w:hAnsiTheme="majorBidi" w:cstheme="majorBidi"/>
          <w:sz w:val="24"/>
          <w:szCs w:val="24"/>
        </w:rPr>
        <w:t xml:space="preserve"> is the</w:t>
      </w:r>
      <w:r w:rsidR="00C10B7E">
        <w:rPr>
          <w:rFonts w:asciiTheme="majorBidi" w:eastAsiaTheme="minorHAnsi" w:hAnsiTheme="majorBidi" w:cstheme="majorBidi"/>
          <w:sz w:val="24"/>
          <w:szCs w:val="24"/>
        </w:rPr>
        <w:t xml:space="preserve"> </w:t>
      </w:r>
      <w:r w:rsidR="00743735">
        <w:rPr>
          <w:rFonts w:asciiTheme="majorBidi" w:eastAsiaTheme="minorHAnsi" w:hAnsiTheme="majorBidi" w:cstheme="majorBidi"/>
          <w:sz w:val="24"/>
          <w:szCs w:val="24"/>
        </w:rPr>
        <w:t>numismatics</w:t>
      </w:r>
      <w:r w:rsidR="00C10B7E">
        <w:rPr>
          <w:rFonts w:asciiTheme="majorBidi" w:eastAsiaTheme="minorHAnsi" w:hAnsiTheme="majorBidi" w:cstheme="majorBidi"/>
          <w:sz w:val="24"/>
          <w:szCs w:val="24"/>
        </w:rPr>
        <w:t>,</w:t>
      </w:r>
      <w:r w:rsidR="00C10B7E">
        <w:rPr>
          <w:rStyle w:val="FootnoteReference"/>
          <w:rFonts w:asciiTheme="majorBidi" w:eastAsiaTheme="minorHAnsi" w:hAnsiTheme="majorBidi" w:cstheme="majorBidi"/>
          <w:sz w:val="24"/>
          <w:szCs w:val="24"/>
        </w:rPr>
        <w:footnoteReference w:id="27"/>
      </w:r>
      <w:r w:rsidR="00C10B7E">
        <w:rPr>
          <w:rFonts w:asciiTheme="majorBidi" w:eastAsiaTheme="minorHAnsi" w:hAnsiTheme="majorBidi" w:cstheme="majorBidi"/>
          <w:sz w:val="24"/>
          <w:szCs w:val="24"/>
        </w:rPr>
        <w:t xml:space="preserve"> </w:t>
      </w:r>
      <w:r w:rsidR="00BC4F6B">
        <w:rPr>
          <w:rFonts w:asciiTheme="majorBidi" w:eastAsiaTheme="minorHAnsi" w:hAnsiTheme="majorBidi" w:cstheme="majorBidi"/>
          <w:sz w:val="24"/>
          <w:szCs w:val="24"/>
        </w:rPr>
        <w:t xml:space="preserve">which are </w:t>
      </w:r>
      <w:r w:rsidR="00E65B64">
        <w:rPr>
          <w:rFonts w:asciiTheme="majorBidi" w:eastAsiaTheme="minorHAnsi" w:hAnsiTheme="majorBidi" w:cstheme="majorBidi"/>
          <w:sz w:val="24"/>
          <w:szCs w:val="24"/>
        </w:rPr>
        <w:t xml:space="preserve">important means for the rulers’ propaganda and </w:t>
      </w:r>
      <w:r w:rsidR="00BC4F6B">
        <w:rPr>
          <w:rFonts w:asciiTheme="majorBidi" w:eastAsiaTheme="minorHAnsi" w:hAnsiTheme="majorBidi" w:cstheme="majorBidi"/>
          <w:sz w:val="24"/>
          <w:szCs w:val="24"/>
        </w:rPr>
        <w:t xml:space="preserve">crucial </w:t>
      </w:r>
      <w:r w:rsidR="00143DB5">
        <w:rPr>
          <w:rFonts w:asciiTheme="majorBidi" w:eastAsiaTheme="minorHAnsi" w:hAnsiTheme="majorBidi" w:cstheme="majorBidi"/>
          <w:sz w:val="24"/>
          <w:szCs w:val="24"/>
        </w:rPr>
        <w:t>to understand the politics of this region</w:t>
      </w:r>
      <w:r w:rsidR="00EE3951">
        <w:rPr>
          <w:rFonts w:asciiTheme="majorBidi" w:eastAsiaTheme="minorHAnsi" w:hAnsiTheme="majorBidi" w:cstheme="majorBidi"/>
          <w:sz w:val="24"/>
          <w:szCs w:val="24"/>
        </w:rPr>
        <w:t xml:space="preserve">. The coins provide a chance to check and fill the gap of the meagre and pathy written historical sources of </w:t>
      </w:r>
      <w:r>
        <w:rPr>
          <w:rFonts w:asciiTheme="majorBidi" w:hAnsiTheme="majorBidi" w:cstheme="majorBidi"/>
          <w:sz w:val="24"/>
          <w:szCs w:val="24"/>
        </w:rPr>
        <w:t>Ṭukhāristān.</w:t>
      </w:r>
    </w:p>
    <w:p w14:paraId="57F9D25F" w14:textId="4E388DAF" w:rsidR="00056768" w:rsidRPr="009D2E78" w:rsidRDefault="009D2E78" w:rsidP="009D2E78">
      <w:pPr>
        <w:spacing w:line="360" w:lineRule="auto"/>
        <w:rPr>
          <w:rFonts w:asciiTheme="majorBidi" w:eastAsiaTheme="minorHAnsi" w:hAnsiTheme="majorBidi" w:cstheme="majorBidi"/>
          <w:sz w:val="24"/>
          <w:szCs w:val="24"/>
        </w:rPr>
      </w:pPr>
      <w:r>
        <w:rPr>
          <w:rFonts w:asciiTheme="majorBidi" w:hAnsiTheme="majorBidi" w:cstheme="majorBidi"/>
          <w:sz w:val="24"/>
          <w:szCs w:val="24"/>
        </w:rPr>
        <w:t xml:space="preserve">     </w:t>
      </w:r>
      <w:r w:rsidR="00E65B64">
        <w:rPr>
          <w:rFonts w:asciiTheme="majorBidi" w:hAnsiTheme="majorBidi" w:cstheme="majorBidi"/>
          <w:sz w:val="24"/>
          <w:szCs w:val="24"/>
        </w:rPr>
        <w:t xml:space="preserve">Unfortunately, although the different </w:t>
      </w:r>
      <w:r w:rsidR="005128ED">
        <w:rPr>
          <w:rFonts w:asciiTheme="majorBidi" w:hAnsiTheme="majorBidi" w:cstheme="majorBidi"/>
          <w:sz w:val="24"/>
          <w:szCs w:val="24"/>
        </w:rPr>
        <w:t xml:space="preserve">relevant </w:t>
      </w:r>
      <w:r w:rsidR="00E65B64">
        <w:rPr>
          <w:rFonts w:asciiTheme="majorBidi" w:hAnsiTheme="majorBidi" w:cstheme="majorBidi"/>
          <w:sz w:val="24"/>
          <w:szCs w:val="24"/>
        </w:rPr>
        <w:t xml:space="preserve">sources are </w:t>
      </w:r>
      <w:r w:rsidR="005128ED">
        <w:rPr>
          <w:rFonts w:asciiTheme="majorBidi" w:hAnsiTheme="majorBidi" w:cstheme="majorBidi"/>
          <w:sz w:val="24"/>
          <w:szCs w:val="24"/>
        </w:rPr>
        <w:t xml:space="preserve">collected and </w:t>
      </w:r>
      <w:r w:rsidR="00E65B64">
        <w:rPr>
          <w:rFonts w:asciiTheme="majorBidi" w:hAnsiTheme="majorBidi" w:cstheme="majorBidi"/>
          <w:sz w:val="24"/>
          <w:szCs w:val="24"/>
        </w:rPr>
        <w:t xml:space="preserve">combined, </w:t>
      </w:r>
      <w:r w:rsidR="005128ED">
        <w:rPr>
          <w:rFonts w:asciiTheme="majorBidi" w:hAnsiTheme="majorBidi" w:cstheme="majorBidi"/>
          <w:sz w:val="24"/>
          <w:szCs w:val="24"/>
        </w:rPr>
        <w:t>the picture of t</w:t>
      </w:r>
      <w:r w:rsidR="00E65B64">
        <w:rPr>
          <w:rFonts w:asciiTheme="majorBidi" w:hAnsiTheme="majorBidi" w:cstheme="majorBidi"/>
          <w:sz w:val="24"/>
          <w:szCs w:val="24"/>
        </w:rPr>
        <w:t xml:space="preserve">he political situation </w:t>
      </w:r>
      <w:r w:rsidR="005128ED">
        <w:rPr>
          <w:rFonts w:asciiTheme="majorBidi" w:hAnsiTheme="majorBidi" w:cstheme="majorBidi"/>
          <w:sz w:val="24"/>
          <w:szCs w:val="24"/>
        </w:rPr>
        <w:t xml:space="preserve">is still </w:t>
      </w:r>
      <w:r w:rsidR="00A90306">
        <w:rPr>
          <w:rFonts w:asciiTheme="majorBidi" w:hAnsiTheme="majorBidi" w:cstheme="majorBidi"/>
          <w:sz w:val="24"/>
          <w:szCs w:val="24"/>
        </w:rPr>
        <w:t>far from complete</w:t>
      </w:r>
      <w:r w:rsidR="00E65B64">
        <w:rPr>
          <w:rFonts w:asciiTheme="majorBidi" w:hAnsiTheme="majorBidi" w:cstheme="majorBidi"/>
          <w:sz w:val="24"/>
          <w:szCs w:val="24"/>
        </w:rPr>
        <w:t xml:space="preserve">. </w:t>
      </w:r>
      <w:r>
        <w:rPr>
          <w:rFonts w:asciiTheme="majorBidi" w:hAnsiTheme="majorBidi" w:cstheme="majorBidi"/>
          <w:sz w:val="24"/>
          <w:szCs w:val="24"/>
        </w:rPr>
        <w:t xml:space="preserve">As for Pērōz and his son Narseh's experiences in Ṭukhāristān, basically nothing is known except the brief records in the </w:t>
      </w:r>
      <w:r w:rsidRPr="009D2E78">
        <w:rPr>
          <w:rFonts w:asciiTheme="majorBidi" w:hAnsiTheme="majorBidi" w:cstheme="majorBidi"/>
          <w:i/>
          <w:iCs/>
          <w:sz w:val="24"/>
          <w:szCs w:val="24"/>
        </w:rPr>
        <w:t>Jiu Tangshu</w:t>
      </w:r>
      <w:r>
        <w:rPr>
          <w:rFonts w:asciiTheme="majorBidi" w:hAnsiTheme="majorBidi" w:cstheme="majorBidi"/>
          <w:sz w:val="24"/>
          <w:szCs w:val="24"/>
        </w:rPr>
        <w:t xml:space="preserve"> and the </w:t>
      </w:r>
      <w:r w:rsidRPr="009D2E78">
        <w:rPr>
          <w:rFonts w:asciiTheme="majorBidi" w:hAnsiTheme="majorBidi" w:cstheme="majorBidi"/>
          <w:i/>
          <w:iCs/>
          <w:sz w:val="24"/>
          <w:szCs w:val="24"/>
        </w:rPr>
        <w:t>Xin Tangshu</w:t>
      </w:r>
      <w:r>
        <w:rPr>
          <w:rFonts w:asciiTheme="majorBidi" w:hAnsiTheme="majorBidi" w:cstheme="majorBidi"/>
          <w:sz w:val="24"/>
          <w:szCs w:val="24"/>
        </w:rPr>
        <w:t xml:space="preserve">. </w:t>
      </w:r>
      <w:r w:rsidR="00E65B64">
        <w:rPr>
          <w:rFonts w:asciiTheme="majorBidi" w:hAnsiTheme="majorBidi" w:cstheme="majorBidi"/>
          <w:sz w:val="24"/>
          <w:szCs w:val="24"/>
        </w:rPr>
        <w:t xml:space="preserve">Consequently, </w:t>
      </w:r>
      <w:r w:rsidR="00A45F52">
        <w:rPr>
          <w:rFonts w:asciiTheme="majorBidi" w:hAnsiTheme="majorBidi" w:cstheme="majorBidi" w:hint="eastAsia"/>
          <w:sz w:val="24"/>
          <w:szCs w:val="24"/>
        </w:rPr>
        <w:t>t</w:t>
      </w:r>
      <w:r w:rsidR="00A45F52">
        <w:rPr>
          <w:rFonts w:asciiTheme="majorBidi" w:hAnsiTheme="majorBidi" w:cstheme="majorBidi"/>
          <w:sz w:val="24"/>
          <w:szCs w:val="24"/>
        </w:rPr>
        <w:t xml:space="preserve">he dearth of information makes is necessary to employ </w:t>
      </w:r>
      <w:r w:rsidR="00E65B64">
        <w:rPr>
          <w:rFonts w:asciiTheme="majorBidi" w:hAnsiTheme="majorBidi" w:cstheme="majorBidi"/>
          <w:sz w:val="24"/>
          <w:szCs w:val="24"/>
        </w:rPr>
        <w:t>reasonable speculation in the study.</w:t>
      </w:r>
    </w:p>
    <w:p w14:paraId="28FDA185" w14:textId="77777777" w:rsidR="004E193D" w:rsidRDefault="004E193D" w:rsidP="002C339D">
      <w:pPr>
        <w:spacing w:line="360" w:lineRule="auto"/>
        <w:rPr>
          <w:rFonts w:asciiTheme="majorBidi" w:hAnsiTheme="majorBidi" w:cstheme="majorBidi"/>
          <w:sz w:val="24"/>
          <w:szCs w:val="24"/>
        </w:rPr>
      </w:pPr>
    </w:p>
    <w:p w14:paraId="1E350778" w14:textId="2098A3E4" w:rsidR="00FC3112" w:rsidRPr="00FC3112" w:rsidRDefault="00FC3112" w:rsidP="00FC3112">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The </w:t>
      </w:r>
      <w:r w:rsidRPr="00FC3112">
        <w:rPr>
          <w:rFonts w:asciiTheme="majorBidi" w:hAnsiTheme="majorBidi" w:cstheme="majorBidi"/>
          <w:b/>
          <w:bCs/>
          <w:sz w:val="24"/>
          <w:szCs w:val="24"/>
        </w:rPr>
        <w:t xml:space="preserve">Historical </w:t>
      </w:r>
      <w:r>
        <w:rPr>
          <w:rFonts w:asciiTheme="majorBidi" w:hAnsiTheme="majorBidi" w:cstheme="majorBidi"/>
          <w:b/>
          <w:bCs/>
          <w:sz w:val="24"/>
          <w:szCs w:val="24"/>
        </w:rPr>
        <w:t>B</w:t>
      </w:r>
      <w:r w:rsidRPr="00FC3112">
        <w:rPr>
          <w:rFonts w:asciiTheme="majorBidi" w:hAnsiTheme="majorBidi" w:cstheme="majorBidi"/>
          <w:b/>
          <w:bCs/>
          <w:sz w:val="24"/>
          <w:szCs w:val="24"/>
        </w:rPr>
        <w:t>ackground</w:t>
      </w:r>
    </w:p>
    <w:p w14:paraId="0D334AA9" w14:textId="5025B9F8" w:rsidR="000326E3" w:rsidRDefault="004E7BA5" w:rsidP="002C339D">
      <w:pPr>
        <w:spacing w:line="360" w:lineRule="auto"/>
        <w:rPr>
          <w:rFonts w:asciiTheme="majorBidi" w:hAnsiTheme="majorBidi" w:cstheme="majorBidi"/>
          <w:sz w:val="24"/>
          <w:szCs w:val="24"/>
        </w:rPr>
      </w:pPr>
      <w:r>
        <w:rPr>
          <w:rFonts w:asciiTheme="majorBidi" w:hAnsiTheme="majorBidi" w:cstheme="majorBidi"/>
          <w:sz w:val="24"/>
          <w:szCs w:val="24"/>
        </w:rPr>
        <w:t>The study not only touches</w:t>
      </w:r>
      <w:r w:rsidR="00FC3112">
        <w:rPr>
          <w:rFonts w:asciiTheme="majorBidi" w:hAnsiTheme="majorBidi" w:cstheme="majorBidi"/>
          <w:sz w:val="24"/>
          <w:szCs w:val="24"/>
        </w:rPr>
        <w:t xml:space="preserve"> multilingual primary sources, but also</w:t>
      </w:r>
      <w:r>
        <w:rPr>
          <w:rFonts w:asciiTheme="majorBidi" w:hAnsiTheme="majorBidi" w:cstheme="majorBidi"/>
          <w:sz w:val="24"/>
          <w:szCs w:val="24"/>
        </w:rPr>
        <w:t xml:space="preserve"> involves the </w:t>
      </w:r>
      <w:r w:rsidR="00D53D26">
        <w:rPr>
          <w:rFonts w:asciiTheme="majorBidi" w:hAnsiTheme="majorBidi" w:cstheme="majorBidi"/>
          <w:sz w:val="24"/>
          <w:szCs w:val="24"/>
        </w:rPr>
        <w:t xml:space="preserve">big </w:t>
      </w:r>
      <w:r>
        <w:rPr>
          <w:rFonts w:asciiTheme="majorBidi" w:hAnsiTheme="majorBidi" w:cstheme="majorBidi"/>
          <w:sz w:val="24"/>
          <w:szCs w:val="24"/>
        </w:rPr>
        <w:t xml:space="preserve">powers </w:t>
      </w:r>
      <w:r w:rsidR="00D53D26">
        <w:rPr>
          <w:rFonts w:asciiTheme="majorBidi" w:hAnsiTheme="majorBidi" w:cstheme="majorBidi"/>
          <w:sz w:val="24"/>
          <w:szCs w:val="24"/>
        </w:rPr>
        <w:t>in or close to</w:t>
      </w:r>
      <w:r>
        <w:rPr>
          <w:rFonts w:asciiTheme="majorBidi" w:hAnsiTheme="majorBidi" w:cstheme="majorBidi"/>
          <w:sz w:val="24"/>
          <w:szCs w:val="24"/>
        </w:rPr>
        <w:t xml:space="preserve"> Central Asia</w:t>
      </w:r>
      <w:r w:rsidR="00D53D26">
        <w:rPr>
          <w:rFonts w:asciiTheme="majorBidi" w:hAnsiTheme="majorBidi" w:cstheme="majorBidi"/>
          <w:sz w:val="24"/>
          <w:szCs w:val="24"/>
        </w:rPr>
        <w:t>. And by Central Asia,</w:t>
      </w:r>
      <w:r w:rsidR="00CB67BA">
        <w:rPr>
          <w:rFonts w:asciiTheme="majorBidi" w:hAnsiTheme="majorBidi" w:cstheme="majorBidi"/>
          <w:sz w:val="24"/>
          <w:szCs w:val="24"/>
        </w:rPr>
        <w:t xml:space="preserve"> both the Tarim Basin in the east</w:t>
      </w:r>
      <w:r w:rsidR="00D53D26">
        <w:rPr>
          <w:rFonts w:asciiTheme="majorBidi" w:hAnsiTheme="majorBidi" w:cstheme="majorBidi"/>
          <w:sz w:val="24"/>
          <w:szCs w:val="24"/>
        </w:rPr>
        <w:t xml:space="preserve"> (modern Xinjiang)</w:t>
      </w:r>
      <w:r w:rsidR="00CB67BA">
        <w:rPr>
          <w:rFonts w:asciiTheme="majorBidi" w:hAnsiTheme="majorBidi" w:cstheme="majorBidi"/>
          <w:sz w:val="24"/>
          <w:szCs w:val="24"/>
        </w:rPr>
        <w:t>, Transoxiana</w:t>
      </w:r>
      <w:r w:rsidR="00D53D26">
        <w:rPr>
          <w:rFonts w:asciiTheme="majorBidi" w:hAnsiTheme="majorBidi" w:cstheme="majorBidi"/>
          <w:sz w:val="24"/>
          <w:szCs w:val="24"/>
        </w:rPr>
        <w:t xml:space="preserve"> (classical Sogdiana)</w:t>
      </w:r>
      <w:r w:rsidR="00FB78DD">
        <w:rPr>
          <w:rFonts w:asciiTheme="majorBidi" w:hAnsiTheme="majorBidi" w:cstheme="majorBidi"/>
          <w:sz w:val="24"/>
          <w:szCs w:val="24"/>
        </w:rPr>
        <w:t xml:space="preserve"> in modern Uzibekistan, Tajikistan</w:t>
      </w:r>
      <w:r w:rsidR="00CB67BA">
        <w:rPr>
          <w:rFonts w:asciiTheme="majorBidi" w:hAnsiTheme="majorBidi" w:cstheme="majorBidi"/>
          <w:sz w:val="24"/>
          <w:szCs w:val="24"/>
        </w:rPr>
        <w:t>,</w:t>
      </w:r>
      <w:r w:rsidR="00FB78DD">
        <w:rPr>
          <w:rFonts w:asciiTheme="majorBidi" w:hAnsiTheme="majorBidi" w:cstheme="majorBidi"/>
          <w:sz w:val="24"/>
          <w:szCs w:val="24"/>
        </w:rPr>
        <w:t xml:space="preserve"> southern Kazakhstan and southern Kyrgyzstan,</w:t>
      </w:r>
      <w:r w:rsidR="009B28E2">
        <w:rPr>
          <w:rStyle w:val="FootnoteReference"/>
          <w:rFonts w:asciiTheme="majorBidi" w:hAnsiTheme="majorBidi" w:cstheme="majorBidi"/>
          <w:sz w:val="24"/>
          <w:szCs w:val="24"/>
        </w:rPr>
        <w:footnoteReference w:id="28"/>
      </w:r>
      <w:r w:rsidR="00CB67BA">
        <w:rPr>
          <w:rFonts w:asciiTheme="majorBidi" w:hAnsiTheme="majorBidi" w:cstheme="majorBidi"/>
          <w:sz w:val="24"/>
          <w:szCs w:val="24"/>
        </w:rPr>
        <w:t xml:space="preserve"> and Ṭukhāristān in the south</w:t>
      </w:r>
      <w:r w:rsidR="00D53D26">
        <w:rPr>
          <w:rFonts w:asciiTheme="majorBidi" w:hAnsiTheme="majorBidi" w:cstheme="majorBidi"/>
          <w:sz w:val="24"/>
          <w:szCs w:val="24"/>
        </w:rPr>
        <w:t xml:space="preserve"> are included</w:t>
      </w:r>
      <w:r w:rsidR="00CB67BA">
        <w:rPr>
          <w:rFonts w:asciiTheme="majorBidi" w:hAnsiTheme="majorBidi" w:cstheme="majorBidi"/>
          <w:sz w:val="24"/>
          <w:szCs w:val="24"/>
        </w:rPr>
        <w:t xml:space="preserve">. </w:t>
      </w:r>
      <w:r>
        <w:rPr>
          <w:rFonts w:asciiTheme="majorBidi" w:hAnsiTheme="majorBidi" w:cstheme="majorBidi"/>
          <w:sz w:val="24"/>
          <w:szCs w:val="24"/>
        </w:rPr>
        <w:t>Besides the Arabs who expanded into Central Asia after the annihilation of the Sasanian Empire and the local political entities, the Western Turkic Khaganate</w:t>
      </w:r>
      <w:r w:rsidR="00AF5FA1">
        <w:rPr>
          <w:rFonts w:asciiTheme="majorBidi" w:hAnsiTheme="majorBidi" w:cstheme="majorBidi"/>
          <w:sz w:val="24"/>
          <w:szCs w:val="24"/>
        </w:rPr>
        <w:t xml:space="preserve"> (581-742 CE)</w:t>
      </w:r>
      <w:r>
        <w:rPr>
          <w:rFonts w:asciiTheme="majorBidi" w:hAnsiTheme="majorBidi" w:cstheme="majorBidi"/>
          <w:sz w:val="24"/>
          <w:szCs w:val="24"/>
        </w:rPr>
        <w:t xml:space="preserve">, the Tang Empire and the Tibetan Empire (618-842 CE) competed for the control of Central Asia and played a role in the </w:t>
      </w:r>
      <w:r w:rsidR="000326E3">
        <w:rPr>
          <w:rFonts w:asciiTheme="majorBidi" w:hAnsiTheme="majorBidi" w:cstheme="majorBidi"/>
          <w:sz w:val="24"/>
          <w:szCs w:val="24"/>
        </w:rPr>
        <w:t>history of this part of the world in the early medieval centuries</w:t>
      </w:r>
      <w:r w:rsidR="00033CC0">
        <w:rPr>
          <w:rFonts w:asciiTheme="majorBidi" w:hAnsiTheme="majorBidi" w:cstheme="majorBidi"/>
          <w:sz w:val="24"/>
          <w:szCs w:val="24"/>
        </w:rPr>
        <w:t xml:space="preserve"> (see map </w:t>
      </w:r>
      <w:r w:rsidR="00FB78DD">
        <w:rPr>
          <w:rFonts w:asciiTheme="majorBidi" w:hAnsiTheme="majorBidi" w:cstheme="majorBidi"/>
          <w:sz w:val="24"/>
          <w:szCs w:val="24"/>
        </w:rPr>
        <w:t>1</w:t>
      </w:r>
      <w:r w:rsidR="00033CC0">
        <w:rPr>
          <w:rFonts w:asciiTheme="majorBidi" w:hAnsiTheme="majorBidi" w:cstheme="majorBidi"/>
          <w:sz w:val="24"/>
          <w:szCs w:val="24"/>
        </w:rPr>
        <w:t xml:space="preserve"> in Appendix I)</w:t>
      </w:r>
      <w:r w:rsidR="000326E3">
        <w:rPr>
          <w:rFonts w:asciiTheme="majorBidi" w:hAnsiTheme="majorBidi" w:cstheme="majorBidi"/>
          <w:sz w:val="24"/>
          <w:szCs w:val="24"/>
        </w:rPr>
        <w:t>.</w:t>
      </w:r>
    </w:p>
    <w:p w14:paraId="67AC0D5E" w14:textId="3571CAA2" w:rsidR="006214FA" w:rsidRDefault="000326E3" w:rsidP="006214FA">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25535B">
        <w:rPr>
          <w:rFonts w:asciiTheme="majorBidi" w:hAnsiTheme="majorBidi" w:cstheme="majorBidi"/>
          <w:sz w:val="24"/>
          <w:szCs w:val="24"/>
        </w:rPr>
        <w:t xml:space="preserve">The Turks </w:t>
      </w:r>
      <w:r w:rsidR="00D53D26">
        <w:rPr>
          <w:rFonts w:asciiTheme="majorBidi" w:hAnsiTheme="majorBidi" w:cstheme="majorBidi"/>
          <w:sz w:val="24"/>
          <w:szCs w:val="24"/>
        </w:rPr>
        <w:t xml:space="preserve">threw off the yoke of the Rouran </w:t>
      </w:r>
      <w:r w:rsidR="009B28E2">
        <w:rPr>
          <w:rFonts w:asciiTheme="majorBidi" w:hAnsiTheme="majorBidi" w:cstheme="majorBidi"/>
          <w:sz w:val="24"/>
          <w:szCs w:val="24"/>
        </w:rPr>
        <w:t xml:space="preserve">Khaganate </w:t>
      </w:r>
      <w:r w:rsidR="00D53D26">
        <w:rPr>
          <w:rFonts w:asciiTheme="majorBidi" w:hAnsiTheme="majorBidi" w:cstheme="majorBidi"/>
          <w:sz w:val="24"/>
          <w:szCs w:val="24"/>
        </w:rPr>
        <w:t>(</w:t>
      </w:r>
      <w:r w:rsidR="00D53D26" w:rsidRPr="008A4C0A">
        <w:rPr>
          <w:rFonts w:asciiTheme="majorBidi" w:hAnsiTheme="majorBidi" w:cstheme="majorBidi" w:hint="eastAsia"/>
          <w:sz w:val="24"/>
          <w:szCs w:val="24"/>
        </w:rPr>
        <w:t>柔然</w:t>
      </w:r>
      <w:r w:rsidR="009B28E2" w:rsidRPr="008A4C0A">
        <w:rPr>
          <w:rFonts w:asciiTheme="majorBidi" w:hAnsiTheme="majorBidi" w:cstheme="majorBidi"/>
          <w:sz w:val="24"/>
          <w:szCs w:val="24"/>
        </w:rPr>
        <w:t xml:space="preserve">, </w:t>
      </w:r>
      <w:r w:rsidR="008A4C0A" w:rsidRPr="008A4C0A">
        <w:rPr>
          <w:rFonts w:asciiTheme="majorBidi" w:hAnsiTheme="majorBidi" w:cstheme="majorBidi"/>
          <w:sz w:val="24"/>
          <w:szCs w:val="24"/>
        </w:rPr>
        <w:t>330-555 CE</w:t>
      </w:r>
      <w:r w:rsidR="00D53D26">
        <w:rPr>
          <w:rFonts w:asciiTheme="majorBidi" w:hAnsiTheme="majorBidi" w:cstheme="majorBidi"/>
          <w:sz w:val="24"/>
          <w:szCs w:val="24"/>
        </w:rPr>
        <w:t>)</w:t>
      </w:r>
      <w:r w:rsidR="008A4C0A">
        <w:rPr>
          <w:rFonts w:asciiTheme="majorBidi" w:hAnsiTheme="majorBidi" w:cstheme="majorBidi"/>
          <w:sz w:val="24"/>
          <w:szCs w:val="24"/>
        </w:rPr>
        <w:t xml:space="preserve"> in</w:t>
      </w:r>
      <w:r w:rsidR="00D53D26">
        <w:rPr>
          <w:rFonts w:asciiTheme="majorBidi" w:hAnsiTheme="majorBidi" w:cstheme="majorBidi"/>
          <w:sz w:val="24"/>
          <w:szCs w:val="24"/>
        </w:rPr>
        <w:t xml:space="preserve"> the 550s,</w:t>
      </w:r>
      <w:r w:rsidR="008A4C0A">
        <w:rPr>
          <w:rStyle w:val="FootnoteReference"/>
          <w:rFonts w:asciiTheme="majorBidi" w:hAnsiTheme="majorBidi" w:cstheme="majorBidi"/>
          <w:sz w:val="24"/>
          <w:szCs w:val="24"/>
        </w:rPr>
        <w:footnoteReference w:id="29"/>
      </w:r>
      <w:r w:rsidR="00D53D26">
        <w:rPr>
          <w:rFonts w:asciiTheme="majorBidi" w:hAnsiTheme="majorBidi" w:cstheme="majorBidi"/>
          <w:sz w:val="24"/>
          <w:szCs w:val="24"/>
        </w:rPr>
        <w:t xml:space="preserve"> and quickly </w:t>
      </w:r>
      <w:r w:rsidR="0025535B">
        <w:rPr>
          <w:rFonts w:asciiTheme="majorBidi" w:hAnsiTheme="majorBidi" w:cstheme="majorBidi"/>
          <w:sz w:val="24"/>
          <w:szCs w:val="24"/>
        </w:rPr>
        <w:t xml:space="preserve">expanded into Central Asia from the steppes of Mongolia when </w:t>
      </w:r>
      <w:r w:rsidR="0025535B">
        <w:rPr>
          <w:rFonts w:asciiTheme="majorBidi" w:hAnsiTheme="majorBidi" w:cstheme="majorBidi"/>
          <w:sz w:val="24"/>
          <w:szCs w:val="24"/>
        </w:rPr>
        <w:lastRenderedPageBreak/>
        <w:t>they chased the Rouran</w:t>
      </w:r>
      <w:r w:rsidR="00D53D26">
        <w:rPr>
          <w:rFonts w:asciiTheme="majorBidi" w:hAnsiTheme="majorBidi" w:cstheme="majorBidi"/>
          <w:sz w:val="24"/>
          <w:szCs w:val="24"/>
        </w:rPr>
        <w:t xml:space="preserve"> westward</w:t>
      </w:r>
      <w:r w:rsidR="00AF5FA1">
        <w:rPr>
          <w:rFonts w:asciiTheme="majorBidi" w:hAnsiTheme="majorBidi" w:cstheme="majorBidi"/>
          <w:sz w:val="24"/>
          <w:szCs w:val="24"/>
        </w:rPr>
        <w:t>. In the 560s they collaborated with the Sasanian monarch Khosrow I (531-579 CE) and toppled the Hephthalite Empire (440s-560 CE)</w:t>
      </w:r>
      <w:r w:rsidR="00CA00DC">
        <w:rPr>
          <w:rFonts w:asciiTheme="majorBidi" w:hAnsiTheme="majorBidi" w:cstheme="majorBidi"/>
          <w:sz w:val="24"/>
          <w:szCs w:val="24"/>
        </w:rPr>
        <w:t>,</w:t>
      </w:r>
      <w:r w:rsidR="00CA00DC">
        <w:rPr>
          <w:rStyle w:val="FootnoteReference"/>
          <w:rFonts w:asciiTheme="majorBidi" w:hAnsiTheme="majorBidi" w:cstheme="majorBidi"/>
          <w:sz w:val="24"/>
          <w:szCs w:val="24"/>
        </w:rPr>
        <w:footnoteReference w:id="30"/>
      </w:r>
      <w:r w:rsidR="00CA00DC">
        <w:rPr>
          <w:rFonts w:asciiTheme="majorBidi" w:hAnsiTheme="majorBidi" w:cstheme="majorBidi"/>
          <w:sz w:val="24"/>
          <w:szCs w:val="24"/>
        </w:rPr>
        <w:t xml:space="preserve"> a nomadic confederation of Hunnic origin that migrated from the Altai into Central Asia in the </w:t>
      </w:r>
      <w:r w:rsidR="00FB78DD">
        <w:rPr>
          <w:rFonts w:asciiTheme="majorBidi" w:hAnsiTheme="majorBidi" w:cstheme="majorBidi"/>
          <w:sz w:val="24"/>
          <w:szCs w:val="24"/>
        </w:rPr>
        <w:t>2</w:t>
      </w:r>
      <w:r w:rsidR="00FB78DD" w:rsidRPr="00FB78DD">
        <w:rPr>
          <w:rFonts w:asciiTheme="majorBidi" w:hAnsiTheme="majorBidi" w:cstheme="majorBidi"/>
          <w:sz w:val="24"/>
          <w:szCs w:val="24"/>
          <w:vertAlign w:val="superscript"/>
        </w:rPr>
        <w:t>nd</w:t>
      </w:r>
      <w:r w:rsidR="00CA00DC">
        <w:rPr>
          <w:rFonts w:asciiTheme="majorBidi" w:hAnsiTheme="majorBidi" w:cstheme="majorBidi"/>
          <w:sz w:val="24"/>
          <w:szCs w:val="24"/>
        </w:rPr>
        <w:t xml:space="preserve"> half of the 4</w:t>
      </w:r>
      <w:r w:rsidR="00CA00DC" w:rsidRPr="00C83CC2">
        <w:rPr>
          <w:rFonts w:asciiTheme="majorBidi" w:hAnsiTheme="majorBidi" w:cstheme="majorBidi"/>
          <w:sz w:val="24"/>
          <w:szCs w:val="24"/>
          <w:vertAlign w:val="superscript"/>
        </w:rPr>
        <w:t>th</w:t>
      </w:r>
      <w:r w:rsidR="00CA00DC">
        <w:rPr>
          <w:rFonts w:asciiTheme="majorBidi" w:hAnsiTheme="majorBidi" w:cstheme="majorBidi"/>
          <w:sz w:val="24"/>
          <w:szCs w:val="24"/>
        </w:rPr>
        <w:t xml:space="preserve"> century and dominated Central Asia over a century between the mid-5</w:t>
      </w:r>
      <w:r w:rsidR="00CA00DC" w:rsidRPr="007F14F1">
        <w:rPr>
          <w:rFonts w:asciiTheme="majorBidi" w:hAnsiTheme="majorBidi" w:cstheme="majorBidi"/>
          <w:sz w:val="24"/>
          <w:szCs w:val="24"/>
          <w:vertAlign w:val="superscript"/>
        </w:rPr>
        <w:t>th</w:t>
      </w:r>
      <w:r w:rsidR="00CA00DC">
        <w:rPr>
          <w:rFonts w:asciiTheme="majorBidi" w:hAnsiTheme="majorBidi" w:cstheme="majorBidi"/>
          <w:sz w:val="24"/>
          <w:szCs w:val="24"/>
        </w:rPr>
        <w:t xml:space="preserve"> and the mid-6</w:t>
      </w:r>
      <w:r w:rsidR="00CA00DC" w:rsidRPr="007F14F1">
        <w:rPr>
          <w:rFonts w:asciiTheme="majorBidi" w:hAnsiTheme="majorBidi" w:cstheme="majorBidi"/>
          <w:sz w:val="24"/>
          <w:szCs w:val="24"/>
          <w:vertAlign w:val="superscript"/>
        </w:rPr>
        <w:t>th</w:t>
      </w:r>
      <w:r w:rsidR="00CA00DC">
        <w:rPr>
          <w:rFonts w:asciiTheme="majorBidi" w:hAnsiTheme="majorBidi" w:cstheme="majorBidi"/>
          <w:sz w:val="24"/>
          <w:szCs w:val="24"/>
        </w:rPr>
        <w:t xml:space="preserve"> century.</w:t>
      </w:r>
      <w:r w:rsidR="00CA00DC">
        <w:rPr>
          <w:rStyle w:val="FootnoteReference"/>
          <w:rFonts w:asciiTheme="majorBidi" w:hAnsiTheme="majorBidi" w:cstheme="majorBidi"/>
          <w:sz w:val="24"/>
          <w:szCs w:val="24"/>
        </w:rPr>
        <w:footnoteReference w:id="31"/>
      </w:r>
    </w:p>
    <w:p w14:paraId="3BF321CF" w14:textId="05D32189" w:rsidR="00CB67BA" w:rsidRDefault="006214FA" w:rsidP="006214FA">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F5FA1">
        <w:rPr>
          <w:rFonts w:asciiTheme="majorBidi" w:hAnsiTheme="majorBidi" w:cstheme="majorBidi"/>
          <w:sz w:val="24"/>
          <w:szCs w:val="24"/>
        </w:rPr>
        <w:t>When the Western Turks established the</w:t>
      </w:r>
      <w:r w:rsidR="00D53D26">
        <w:rPr>
          <w:rFonts w:asciiTheme="majorBidi" w:hAnsiTheme="majorBidi" w:cstheme="majorBidi"/>
          <w:sz w:val="24"/>
          <w:szCs w:val="24"/>
        </w:rPr>
        <w:t xml:space="preserve">ir suzerainty in </w:t>
      </w:r>
      <w:r>
        <w:rPr>
          <w:rFonts w:asciiTheme="majorBidi" w:hAnsiTheme="majorBidi" w:cstheme="majorBidi"/>
          <w:sz w:val="24"/>
          <w:szCs w:val="24"/>
        </w:rPr>
        <w:t>the Tarim Basin and Transoxiana</w:t>
      </w:r>
      <w:r w:rsidR="00AF5FA1">
        <w:rPr>
          <w:rFonts w:asciiTheme="majorBidi" w:hAnsiTheme="majorBidi" w:cstheme="majorBidi"/>
          <w:sz w:val="24"/>
          <w:szCs w:val="24"/>
        </w:rPr>
        <w:t xml:space="preserve">, they </w:t>
      </w:r>
      <w:r>
        <w:rPr>
          <w:rFonts w:asciiTheme="majorBidi" w:hAnsiTheme="majorBidi" w:cstheme="majorBidi"/>
          <w:sz w:val="24"/>
          <w:szCs w:val="24"/>
        </w:rPr>
        <w:t xml:space="preserve">were encouraged by the Sogdians to </w:t>
      </w:r>
      <w:r w:rsidR="00B508C5">
        <w:rPr>
          <w:rFonts w:asciiTheme="majorBidi" w:hAnsiTheme="majorBidi" w:cstheme="majorBidi"/>
          <w:sz w:val="24"/>
          <w:szCs w:val="24"/>
        </w:rPr>
        <w:t>open the trading routes to Byzantium</w:t>
      </w:r>
      <w:r>
        <w:rPr>
          <w:rFonts w:asciiTheme="majorBidi" w:hAnsiTheme="majorBidi" w:cstheme="majorBidi"/>
          <w:sz w:val="24"/>
          <w:szCs w:val="24"/>
        </w:rPr>
        <w:t xml:space="preserve"> through the Sasanian territories</w:t>
      </w:r>
      <w:r w:rsidR="00B508C5">
        <w:rPr>
          <w:rFonts w:asciiTheme="majorBidi" w:hAnsiTheme="majorBidi" w:cstheme="majorBidi"/>
          <w:sz w:val="24"/>
          <w:szCs w:val="24"/>
        </w:rPr>
        <w:t>. However, Khosrow I refused to cooperate with the Turks and the Sogdians.</w:t>
      </w:r>
      <w:r w:rsidR="006D4AAB">
        <w:rPr>
          <w:rStyle w:val="FootnoteReference"/>
          <w:rFonts w:asciiTheme="majorBidi" w:hAnsiTheme="majorBidi" w:cstheme="majorBidi"/>
          <w:sz w:val="24"/>
          <w:szCs w:val="24"/>
        </w:rPr>
        <w:footnoteReference w:id="32"/>
      </w:r>
      <w:r>
        <w:rPr>
          <w:rFonts w:asciiTheme="majorBidi" w:hAnsiTheme="majorBidi" w:cstheme="majorBidi"/>
          <w:sz w:val="24"/>
          <w:szCs w:val="24"/>
        </w:rPr>
        <w:t xml:space="preserve"> And t</w:t>
      </w:r>
      <w:r w:rsidR="00AF5FA1">
        <w:rPr>
          <w:rFonts w:asciiTheme="majorBidi" w:hAnsiTheme="majorBidi" w:cstheme="majorBidi"/>
          <w:sz w:val="24"/>
          <w:szCs w:val="24"/>
        </w:rPr>
        <w:t xml:space="preserve">he following decades </w:t>
      </w:r>
      <w:r w:rsidR="00B508C5">
        <w:rPr>
          <w:rFonts w:asciiTheme="majorBidi" w:hAnsiTheme="majorBidi" w:cstheme="majorBidi"/>
          <w:sz w:val="24"/>
          <w:szCs w:val="24"/>
        </w:rPr>
        <w:t xml:space="preserve">witness the competition </w:t>
      </w:r>
      <w:r w:rsidR="00AF5FA1">
        <w:rPr>
          <w:rFonts w:asciiTheme="majorBidi" w:hAnsiTheme="majorBidi" w:cstheme="majorBidi"/>
          <w:sz w:val="24"/>
          <w:szCs w:val="24"/>
        </w:rPr>
        <w:t>for the control of Central Asia</w:t>
      </w:r>
      <w:r w:rsidR="00B508C5">
        <w:rPr>
          <w:rFonts w:asciiTheme="majorBidi" w:hAnsiTheme="majorBidi" w:cstheme="majorBidi"/>
          <w:sz w:val="24"/>
          <w:szCs w:val="24"/>
        </w:rPr>
        <w:t xml:space="preserve"> between the Turks and the Sasanian Empire</w:t>
      </w:r>
      <w:r w:rsidR="00AF5FA1">
        <w:rPr>
          <w:rFonts w:asciiTheme="majorBidi" w:hAnsiTheme="majorBidi" w:cstheme="majorBidi"/>
          <w:sz w:val="24"/>
          <w:szCs w:val="24"/>
        </w:rPr>
        <w:t xml:space="preserve">. </w:t>
      </w:r>
      <w:r w:rsidR="004B7377">
        <w:rPr>
          <w:rFonts w:asciiTheme="majorBidi" w:hAnsiTheme="majorBidi" w:cstheme="majorBidi"/>
          <w:sz w:val="24"/>
          <w:szCs w:val="24"/>
        </w:rPr>
        <w:t xml:space="preserve">Although the Sasanians won several victories in military confrontations with the Turks, such as the campaigns led by the Sasanian general </w:t>
      </w:r>
      <w:r w:rsidR="00B74D0D">
        <w:rPr>
          <w:rFonts w:asciiTheme="majorBidi" w:hAnsiTheme="majorBidi" w:cstheme="majorBidi"/>
          <w:sz w:val="24"/>
          <w:szCs w:val="24"/>
        </w:rPr>
        <w:t>Bahrām</w:t>
      </w:r>
      <w:r w:rsidR="004B7377">
        <w:rPr>
          <w:rFonts w:asciiTheme="majorBidi" w:hAnsiTheme="majorBidi" w:cstheme="majorBidi"/>
          <w:sz w:val="24"/>
          <w:szCs w:val="24"/>
        </w:rPr>
        <w:t xml:space="preserve"> </w:t>
      </w:r>
      <w:r w:rsidR="004B7377" w:rsidRPr="004B7377">
        <w:rPr>
          <w:rFonts w:asciiTheme="majorBidi" w:hAnsiTheme="majorBidi" w:cstheme="majorBidi"/>
          <w:sz w:val="24"/>
          <w:szCs w:val="24"/>
        </w:rPr>
        <w:t>Chubineh</w:t>
      </w:r>
      <w:r w:rsidR="004B7377">
        <w:rPr>
          <w:rFonts w:asciiTheme="majorBidi" w:hAnsiTheme="majorBidi" w:cstheme="majorBidi"/>
          <w:sz w:val="24"/>
          <w:szCs w:val="24"/>
        </w:rPr>
        <w:t xml:space="preserve"> in the late 580s and by the Armenian </w:t>
      </w:r>
      <w:r w:rsidR="004B7377" w:rsidRPr="004B7377">
        <w:rPr>
          <w:rFonts w:asciiTheme="majorBidi" w:hAnsiTheme="majorBidi" w:cstheme="majorBidi"/>
          <w:sz w:val="24"/>
          <w:szCs w:val="24"/>
        </w:rPr>
        <w:t>general Smbat Bagratuni in the late 600s</w:t>
      </w:r>
      <w:r w:rsidR="004B7377">
        <w:rPr>
          <w:rFonts w:asciiTheme="majorBidi" w:hAnsiTheme="majorBidi" w:cstheme="majorBidi"/>
          <w:sz w:val="24"/>
          <w:szCs w:val="24"/>
        </w:rPr>
        <w:t>,</w:t>
      </w:r>
      <w:r w:rsidR="00C500E1">
        <w:rPr>
          <w:rStyle w:val="FootnoteReference"/>
          <w:rFonts w:asciiTheme="majorBidi" w:hAnsiTheme="majorBidi" w:cstheme="majorBidi"/>
          <w:sz w:val="24"/>
          <w:szCs w:val="24"/>
        </w:rPr>
        <w:footnoteReference w:id="33"/>
      </w:r>
      <w:r w:rsidR="004B7377">
        <w:rPr>
          <w:rFonts w:asciiTheme="majorBidi" w:hAnsiTheme="majorBidi" w:cstheme="majorBidi"/>
          <w:sz w:val="24"/>
          <w:szCs w:val="24"/>
        </w:rPr>
        <w:t xml:space="preserve"> the continuous warfare in the </w:t>
      </w:r>
      <w:r w:rsidR="004B7377">
        <w:rPr>
          <w:rFonts w:asciiTheme="majorBidi" w:hAnsiTheme="majorBidi" w:cstheme="majorBidi"/>
          <w:sz w:val="24"/>
          <w:szCs w:val="24"/>
        </w:rPr>
        <w:lastRenderedPageBreak/>
        <w:t>western front with the Byzantines in the first t</w:t>
      </w:r>
      <w:r w:rsidR="00FB78DD">
        <w:rPr>
          <w:rFonts w:asciiTheme="majorBidi" w:hAnsiTheme="majorBidi" w:cstheme="majorBidi"/>
          <w:sz w:val="24"/>
          <w:szCs w:val="24"/>
        </w:rPr>
        <w:t>hree</w:t>
      </w:r>
      <w:r w:rsidR="004B7377">
        <w:rPr>
          <w:rFonts w:asciiTheme="majorBidi" w:hAnsiTheme="majorBidi" w:cstheme="majorBidi"/>
          <w:sz w:val="24"/>
          <w:szCs w:val="24"/>
        </w:rPr>
        <w:t xml:space="preserve"> decades</w:t>
      </w:r>
      <w:r w:rsidR="0081043D">
        <w:rPr>
          <w:rFonts w:asciiTheme="majorBidi" w:hAnsiTheme="majorBidi" w:cstheme="majorBidi"/>
          <w:sz w:val="24"/>
          <w:szCs w:val="24"/>
        </w:rPr>
        <w:t xml:space="preserve"> of the 7</w:t>
      </w:r>
      <w:r w:rsidR="0081043D" w:rsidRPr="0081043D">
        <w:rPr>
          <w:rFonts w:asciiTheme="majorBidi" w:hAnsiTheme="majorBidi" w:cstheme="majorBidi"/>
          <w:sz w:val="24"/>
          <w:szCs w:val="24"/>
          <w:vertAlign w:val="superscript"/>
        </w:rPr>
        <w:t>th</w:t>
      </w:r>
      <w:r w:rsidR="0081043D">
        <w:rPr>
          <w:rFonts w:asciiTheme="majorBidi" w:hAnsiTheme="majorBidi" w:cstheme="majorBidi"/>
          <w:sz w:val="24"/>
          <w:szCs w:val="24"/>
        </w:rPr>
        <w:t xml:space="preserve"> century</w:t>
      </w:r>
      <w:r w:rsidR="004B7377">
        <w:rPr>
          <w:rFonts w:asciiTheme="majorBidi" w:hAnsiTheme="majorBidi" w:cstheme="majorBidi"/>
          <w:sz w:val="24"/>
          <w:szCs w:val="24"/>
        </w:rPr>
        <w:t xml:space="preserve"> and the internal instability</w:t>
      </w:r>
      <w:r w:rsidR="00FB78DD">
        <w:rPr>
          <w:rFonts w:asciiTheme="majorBidi" w:hAnsiTheme="majorBidi" w:cstheme="majorBidi"/>
          <w:sz w:val="24"/>
          <w:szCs w:val="24"/>
        </w:rPr>
        <w:t xml:space="preserve"> in the </w:t>
      </w:r>
      <w:r w:rsidR="005B18B5">
        <w:rPr>
          <w:rFonts w:asciiTheme="majorBidi" w:hAnsiTheme="majorBidi" w:cstheme="majorBidi"/>
          <w:sz w:val="24"/>
          <w:szCs w:val="24"/>
        </w:rPr>
        <w:t xml:space="preserve">late </w:t>
      </w:r>
      <w:r w:rsidR="00FB78DD">
        <w:rPr>
          <w:rFonts w:asciiTheme="majorBidi" w:hAnsiTheme="majorBidi" w:cstheme="majorBidi"/>
          <w:sz w:val="24"/>
          <w:szCs w:val="24"/>
        </w:rPr>
        <w:t>620s</w:t>
      </w:r>
      <w:r w:rsidR="004B7377">
        <w:rPr>
          <w:rFonts w:asciiTheme="majorBidi" w:hAnsiTheme="majorBidi" w:cstheme="majorBidi"/>
          <w:sz w:val="24"/>
          <w:szCs w:val="24"/>
        </w:rPr>
        <w:t xml:space="preserve"> </w:t>
      </w:r>
      <w:r w:rsidR="005B18B5">
        <w:rPr>
          <w:rFonts w:asciiTheme="majorBidi" w:hAnsiTheme="majorBidi" w:cstheme="majorBidi"/>
          <w:sz w:val="24"/>
          <w:szCs w:val="24"/>
        </w:rPr>
        <w:t xml:space="preserve">and the early 630s </w:t>
      </w:r>
      <w:r w:rsidR="004B7377">
        <w:rPr>
          <w:rFonts w:asciiTheme="majorBidi" w:hAnsiTheme="majorBidi" w:cstheme="majorBidi"/>
          <w:sz w:val="24"/>
          <w:szCs w:val="24"/>
        </w:rPr>
        <w:t xml:space="preserve">greatly undermine the capacity of the Sasanian Empire to control Central Asia. Consequently, the Western Turks became the </w:t>
      </w:r>
      <w:r w:rsidR="00CB67BA">
        <w:rPr>
          <w:rFonts w:asciiTheme="majorBidi" w:hAnsiTheme="majorBidi" w:cstheme="majorBidi"/>
          <w:sz w:val="24"/>
          <w:szCs w:val="24"/>
        </w:rPr>
        <w:t>lord of Central Asia until they were challenged by the Tang Empire</w:t>
      </w:r>
      <w:r>
        <w:rPr>
          <w:rFonts w:asciiTheme="majorBidi" w:hAnsiTheme="majorBidi" w:cstheme="majorBidi"/>
          <w:sz w:val="24"/>
          <w:szCs w:val="24"/>
        </w:rPr>
        <w:t xml:space="preserve"> from the east and the Arabs from the west</w:t>
      </w:r>
      <w:r w:rsidR="0081043D">
        <w:rPr>
          <w:rFonts w:asciiTheme="majorBidi" w:hAnsiTheme="majorBidi" w:cstheme="majorBidi"/>
          <w:sz w:val="24"/>
          <w:szCs w:val="24"/>
        </w:rPr>
        <w:t xml:space="preserve"> in the 650s</w:t>
      </w:r>
      <w:r w:rsidR="00CB67BA">
        <w:rPr>
          <w:rFonts w:asciiTheme="majorBidi" w:hAnsiTheme="majorBidi" w:cstheme="majorBidi"/>
          <w:sz w:val="24"/>
          <w:szCs w:val="24"/>
        </w:rPr>
        <w:t>.</w:t>
      </w:r>
      <w:r w:rsidR="00E770DA">
        <w:rPr>
          <w:rStyle w:val="FootnoteReference"/>
          <w:rFonts w:asciiTheme="majorBidi" w:hAnsiTheme="majorBidi" w:cstheme="majorBidi"/>
          <w:sz w:val="24"/>
          <w:szCs w:val="24"/>
        </w:rPr>
        <w:footnoteReference w:id="34"/>
      </w:r>
    </w:p>
    <w:p w14:paraId="2871BC72" w14:textId="6F8DA3AB" w:rsidR="00B508C5" w:rsidRDefault="00CB67BA" w:rsidP="00B508C5">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EE6E1F">
        <w:rPr>
          <w:rFonts w:asciiTheme="majorBidi" w:hAnsiTheme="majorBidi" w:cstheme="majorBidi"/>
          <w:sz w:val="24"/>
          <w:szCs w:val="24"/>
        </w:rPr>
        <w:t>After its establishment</w:t>
      </w:r>
      <w:r>
        <w:rPr>
          <w:rFonts w:asciiTheme="majorBidi" w:hAnsiTheme="majorBidi" w:cstheme="majorBidi"/>
          <w:sz w:val="24"/>
          <w:szCs w:val="24"/>
        </w:rPr>
        <w:t xml:space="preserve"> in 618 CE</w:t>
      </w:r>
      <w:r w:rsidR="00EE6E1F">
        <w:rPr>
          <w:rFonts w:asciiTheme="majorBidi" w:hAnsiTheme="majorBidi" w:cstheme="majorBidi"/>
          <w:sz w:val="24"/>
          <w:szCs w:val="24"/>
        </w:rPr>
        <w:t xml:space="preserve">, the Tang Empire was able to destroy the Eastern Turkic Khaganate in 630 CE. Afterwards, the Tang expanded westwards and gradually annexed </w:t>
      </w:r>
      <w:r w:rsidR="00ED57D5">
        <w:rPr>
          <w:rFonts w:asciiTheme="majorBidi" w:hAnsiTheme="majorBidi" w:cstheme="majorBidi"/>
          <w:sz w:val="24"/>
          <w:szCs w:val="24"/>
        </w:rPr>
        <w:t>the oas</w:t>
      </w:r>
      <w:r w:rsidR="0081043D">
        <w:rPr>
          <w:rFonts w:asciiTheme="majorBidi" w:hAnsiTheme="majorBidi" w:cstheme="majorBidi"/>
          <w:sz w:val="24"/>
          <w:szCs w:val="24"/>
        </w:rPr>
        <w:t>i</w:t>
      </w:r>
      <w:r w:rsidR="00ED57D5">
        <w:rPr>
          <w:rFonts w:asciiTheme="majorBidi" w:hAnsiTheme="majorBidi" w:cstheme="majorBidi"/>
          <w:sz w:val="24"/>
          <w:szCs w:val="24"/>
        </w:rPr>
        <w:t xml:space="preserve">s principalities in </w:t>
      </w:r>
      <w:r w:rsidR="00EE6E1F">
        <w:rPr>
          <w:rFonts w:asciiTheme="majorBidi" w:hAnsiTheme="majorBidi" w:cstheme="majorBidi"/>
          <w:sz w:val="24"/>
          <w:szCs w:val="24"/>
        </w:rPr>
        <w:t xml:space="preserve">the Tarim Basin. The local rulers remained, while the Tang </w:t>
      </w:r>
      <w:r w:rsidR="00ED57D5">
        <w:rPr>
          <w:rFonts w:asciiTheme="majorBidi" w:hAnsiTheme="majorBidi" w:cstheme="majorBidi"/>
          <w:sz w:val="24"/>
          <w:szCs w:val="24"/>
        </w:rPr>
        <w:t xml:space="preserve">exerted their influence and controlled the trading routes </w:t>
      </w:r>
      <w:r w:rsidR="00EE6E1F">
        <w:rPr>
          <w:rFonts w:asciiTheme="majorBidi" w:hAnsiTheme="majorBidi" w:cstheme="majorBidi"/>
          <w:sz w:val="24"/>
          <w:szCs w:val="24"/>
        </w:rPr>
        <w:t xml:space="preserve">by </w:t>
      </w:r>
      <w:r w:rsidR="00EE6E1F">
        <w:rPr>
          <w:rFonts w:asciiTheme="majorBidi" w:hAnsiTheme="majorBidi" w:cstheme="majorBidi" w:hint="eastAsia"/>
          <w:sz w:val="24"/>
          <w:szCs w:val="24"/>
        </w:rPr>
        <w:t>install</w:t>
      </w:r>
      <w:r w:rsidR="00EE6E1F">
        <w:rPr>
          <w:rFonts w:asciiTheme="majorBidi" w:hAnsiTheme="majorBidi" w:cstheme="majorBidi"/>
          <w:sz w:val="24"/>
          <w:szCs w:val="24"/>
        </w:rPr>
        <w:t>ing four garrisons in Kucha</w:t>
      </w:r>
      <w:r w:rsidR="0081043D">
        <w:rPr>
          <w:rFonts w:asciiTheme="majorBidi" w:hAnsiTheme="majorBidi" w:cstheme="majorBidi"/>
          <w:sz w:val="24"/>
          <w:szCs w:val="24"/>
        </w:rPr>
        <w:t xml:space="preserve"> (</w:t>
      </w:r>
      <w:r w:rsidR="0081043D">
        <w:rPr>
          <w:rFonts w:asciiTheme="majorBidi" w:hAnsiTheme="majorBidi" w:cstheme="majorBidi" w:hint="eastAsia"/>
          <w:sz w:val="24"/>
          <w:szCs w:val="24"/>
        </w:rPr>
        <w:t>龟兹</w:t>
      </w:r>
      <w:r w:rsidR="0081043D">
        <w:rPr>
          <w:rFonts w:asciiTheme="majorBidi" w:hAnsiTheme="majorBidi" w:cstheme="majorBidi"/>
          <w:sz w:val="24"/>
          <w:szCs w:val="24"/>
        </w:rPr>
        <w:t>)</w:t>
      </w:r>
      <w:r w:rsidR="00EE6E1F">
        <w:rPr>
          <w:rFonts w:asciiTheme="majorBidi" w:hAnsiTheme="majorBidi" w:cstheme="majorBidi"/>
          <w:sz w:val="24"/>
          <w:szCs w:val="24"/>
        </w:rPr>
        <w:t>, , Khotan</w:t>
      </w:r>
      <w:r w:rsidR="0081043D">
        <w:rPr>
          <w:rFonts w:asciiTheme="majorBidi" w:hAnsiTheme="majorBidi" w:cstheme="majorBidi"/>
          <w:sz w:val="24"/>
          <w:szCs w:val="24"/>
        </w:rPr>
        <w:t xml:space="preserve"> (</w:t>
      </w:r>
      <w:r w:rsidR="0081043D">
        <w:rPr>
          <w:rFonts w:asciiTheme="majorBidi" w:hAnsiTheme="majorBidi" w:cstheme="majorBidi" w:hint="eastAsia"/>
          <w:sz w:val="24"/>
          <w:szCs w:val="24"/>
        </w:rPr>
        <w:t>于阗</w:t>
      </w:r>
      <w:r w:rsidR="0081043D">
        <w:rPr>
          <w:rFonts w:asciiTheme="majorBidi" w:hAnsiTheme="majorBidi" w:cstheme="majorBidi"/>
          <w:sz w:val="24"/>
          <w:szCs w:val="24"/>
        </w:rPr>
        <w:t>)</w:t>
      </w:r>
      <w:r w:rsidR="00EE6E1F">
        <w:rPr>
          <w:rFonts w:asciiTheme="majorBidi" w:hAnsiTheme="majorBidi" w:cstheme="majorBidi"/>
          <w:sz w:val="24"/>
          <w:szCs w:val="24"/>
        </w:rPr>
        <w:t xml:space="preserve"> </w:t>
      </w:r>
      <w:r w:rsidR="0081043D">
        <w:rPr>
          <w:rFonts w:asciiTheme="majorBidi" w:hAnsiTheme="majorBidi" w:cstheme="majorBidi"/>
          <w:sz w:val="24"/>
          <w:szCs w:val="24"/>
        </w:rPr>
        <w:t>Kashgar (</w:t>
      </w:r>
      <w:r w:rsidR="0081043D">
        <w:rPr>
          <w:rFonts w:asciiTheme="majorBidi" w:hAnsiTheme="majorBidi" w:cstheme="majorBidi" w:hint="eastAsia"/>
          <w:sz w:val="24"/>
          <w:szCs w:val="24"/>
        </w:rPr>
        <w:t>疏勒</w:t>
      </w:r>
      <w:r w:rsidR="0081043D">
        <w:rPr>
          <w:rFonts w:asciiTheme="majorBidi" w:hAnsiTheme="majorBidi" w:cstheme="majorBidi"/>
          <w:sz w:val="24"/>
          <w:szCs w:val="24"/>
        </w:rPr>
        <w:t xml:space="preserve">) </w:t>
      </w:r>
      <w:r w:rsidR="00EE6E1F">
        <w:rPr>
          <w:rFonts w:asciiTheme="majorBidi" w:hAnsiTheme="majorBidi" w:cstheme="majorBidi"/>
          <w:sz w:val="24"/>
          <w:szCs w:val="24"/>
        </w:rPr>
        <w:t>and</w:t>
      </w:r>
      <w:r w:rsidR="0081043D" w:rsidRPr="0081043D">
        <w:rPr>
          <w:rFonts w:asciiTheme="majorBidi" w:hAnsiTheme="majorBidi" w:cstheme="majorBidi" w:hint="eastAsia"/>
          <w:sz w:val="24"/>
          <w:szCs w:val="24"/>
        </w:rPr>
        <w:t xml:space="preserve"> S</w:t>
      </w:r>
      <w:r w:rsidR="0081043D" w:rsidRPr="0081043D">
        <w:rPr>
          <w:rFonts w:asciiTheme="majorBidi" w:hAnsiTheme="majorBidi" w:cstheme="majorBidi"/>
          <w:sz w:val="24"/>
          <w:szCs w:val="24"/>
        </w:rPr>
        <w:t>ūyāb (</w:t>
      </w:r>
      <w:r w:rsidR="0081043D" w:rsidRPr="0081043D">
        <w:rPr>
          <w:rFonts w:asciiTheme="majorBidi" w:hAnsiTheme="majorBidi" w:cstheme="majorBidi" w:hint="eastAsia"/>
          <w:sz w:val="24"/>
          <w:szCs w:val="24"/>
        </w:rPr>
        <w:t>碎叶</w:t>
      </w:r>
      <w:r w:rsidR="0081043D" w:rsidRPr="0081043D">
        <w:rPr>
          <w:rFonts w:asciiTheme="majorBidi" w:hAnsiTheme="majorBidi" w:cstheme="majorBidi"/>
          <w:sz w:val="24"/>
          <w:szCs w:val="24"/>
        </w:rPr>
        <w:t>)</w:t>
      </w:r>
      <w:r w:rsidR="00EE6E1F">
        <w:rPr>
          <w:rFonts w:asciiTheme="majorBidi" w:hAnsiTheme="majorBidi" w:cstheme="majorBidi"/>
          <w:sz w:val="24"/>
          <w:szCs w:val="24"/>
        </w:rPr>
        <w:t xml:space="preserve"> in the 640s and the 650s.</w:t>
      </w:r>
      <w:r w:rsidR="0081043D">
        <w:rPr>
          <w:rStyle w:val="FootnoteReference"/>
          <w:rFonts w:asciiTheme="majorBidi" w:hAnsiTheme="majorBidi" w:cstheme="majorBidi"/>
          <w:sz w:val="24"/>
          <w:szCs w:val="24"/>
        </w:rPr>
        <w:footnoteReference w:id="35"/>
      </w:r>
      <w:r w:rsidR="00EE6E1F">
        <w:rPr>
          <w:rFonts w:asciiTheme="majorBidi" w:hAnsiTheme="majorBidi" w:cstheme="majorBidi"/>
          <w:sz w:val="24"/>
          <w:szCs w:val="24"/>
        </w:rPr>
        <w:t xml:space="preserve"> After capturing Helu</w:t>
      </w:r>
      <w:r w:rsidR="00ED57D5">
        <w:rPr>
          <w:rFonts w:asciiTheme="majorBidi" w:hAnsiTheme="majorBidi" w:cstheme="majorBidi"/>
          <w:sz w:val="24"/>
          <w:szCs w:val="24"/>
        </w:rPr>
        <w:t xml:space="preserve"> in 657 CE</w:t>
      </w:r>
      <w:r w:rsidR="00EE6E1F">
        <w:rPr>
          <w:rFonts w:asciiTheme="majorBidi" w:hAnsiTheme="majorBidi" w:cstheme="majorBidi"/>
          <w:sz w:val="24"/>
          <w:szCs w:val="24"/>
        </w:rPr>
        <w:t xml:space="preserve">, the Tang Empire </w:t>
      </w:r>
      <w:r w:rsidR="00C5360C">
        <w:rPr>
          <w:rFonts w:asciiTheme="majorBidi" w:hAnsiTheme="majorBidi" w:cstheme="majorBidi"/>
          <w:sz w:val="24"/>
          <w:szCs w:val="24"/>
        </w:rPr>
        <w:t>claimed the suzerainty over the Central Asian vassals of the Western Turks.</w:t>
      </w:r>
      <w:r w:rsidR="00ED57D5">
        <w:rPr>
          <w:rStyle w:val="FootnoteReference"/>
          <w:rFonts w:asciiTheme="majorBidi" w:hAnsiTheme="majorBidi" w:cstheme="majorBidi"/>
          <w:sz w:val="24"/>
          <w:szCs w:val="24"/>
        </w:rPr>
        <w:footnoteReference w:id="36"/>
      </w:r>
      <w:r w:rsidR="00C5360C">
        <w:rPr>
          <w:rFonts w:asciiTheme="majorBidi" w:hAnsiTheme="majorBidi" w:cstheme="majorBidi"/>
          <w:sz w:val="24"/>
          <w:szCs w:val="24"/>
        </w:rPr>
        <w:t xml:space="preserve"> Although a kind of administration was organized in Central Asia</w:t>
      </w:r>
      <w:r w:rsidR="00ED57D5">
        <w:rPr>
          <w:rFonts w:asciiTheme="majorBidi" w:hAnsiTheme="majorBidi" w:cstheme="majorBidi"/>
          <w:sz w:val="24"/>
          <w:szCs w:val="24"/>
        </w:rPr>
        <w:t xml:space="preserve"> by the Tang</w:t>
      </w:r>
      <w:r w:rsidR="00C5360C">
        <w:rPr>
          <w:rFonts w:asciiTheme="majorBidi" w:hAnsiTheme="majorBidi" w:cstheme="majorBidi"/>
          <w:sz w:val="24"/>
          <w:szCs w:val="24"/>
        </w:rPr>
        <w:t xml:space="preserve">, Wang and Haug point out that the military presence of the Tang was found in the Tarim Basin, while other parts of Central Asia </w:t>
      </w:r>
      <w:r w:rsidR="00222300">
        <w:rPr>
          <w:rFonts w:asciiTheme="majorBidi" w:hAnsiTheme="majorBidi" w:cstheme="majorBidi"/>
          <w:sz w:val="24"/>
          <w:szCs w:val="24"/>
        </w:rPr>
        <w:t xml:space="preserve">such as Ṭukhāristān </w:t>
      </w:r>
      <w:r w:rsidR="00C5360C">
        <w:rPr>
          <w:rFonts w:asciiTheme="majorBidi" w:hAnsiTheme="majorBidi" w:cstheme="majorBidi"/>
          <w:sz w:val="24"/>
          <w:szCs w:val="24"/>
        </w:rPr>
        <w:t>was mainly under the diplomatic influence of the Tang.</w:t>
      </w:r>
      <w:r w:rsidR="00C2029E">
        <w:rPr>
          <w:rStyle w:val="FootnoteReference"/>
          <w:rFonts w:asciiTheme="majorBidi" w:hAnsiTheme="majorBidi" w:cstheme="majorBidi"/>
          <w:sz w:val="24"/>
          <w:szCs w:val="24"/>
        </w:rPr>
        <w:footnoteReference w:id="37"/>
      </w:r>
    </w:p>
    <w:p w14:paraId="46BC4569" w14:textId="706A90A1" w:rsidR="00AF5FA1" w:rsidRDefault="00B76259" w:rsidP="009C66B1">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The </w:t>
      </w:r>
      <w:r w:rsidRPr="00B76259">
        <w:rPr>
          <w:rFonts w:asciiTheme="majorBidi" w:hAnsiTheme="majorBidi" w:cstheme="majorBidi"/>
          <w:i/>
          <w:iCs/>
          <w:sz w:val="24"/>
          <w:szCs w:val="24"/>
        </w:rPr>
        <w:t>Jiu Tangshu</w:t>
      </w:r>
      <w:r>
        <w:rPr>
          <w:rFonts w:asciiTheme="majorBidi" w:hAnsiTheme="majorBidi" w:cstheme="majorBidi"/>
          <w:sz w:val="24"/>
          <w:szCs w:val="24"/>
        </w:rPr>
        <w:t xml:space="preserve"> and the </w:t>
      </w:r>
      <w:r w:rsidRPr="00B76259">
        <w:rPr>
          <w:rFonts w:asciiTheme="majorBidi" w:hAnsiTheme="majorBidi" w:cstheme="majorBidi"/>
          <w:i/>
          <w:iCs/>
          <w:sz w:val="24"/>
          <w:szCs w:val="24"/>
        </w:rPr>
        <w:t>Xin Tangshu</w:t>
      </w:r>
      <w:r>
        <w:rPr>
          <w:rFonts w:asciiTheme="majorBidi" w:hAnsiTheme="majorBidi" w:cstheme="majorBidi"/>
          <w:sz w:val="24"/>
          <w:szCs w:val="24"/>
        </w:rPr>
        <w:t xml:space="preserve"> record the diplomatic relations between the Tang and the Sasanians.</w:t>
      </w:r>
      <w:r w:rsidR="00C2029E">
        <w:rPr>
          <w:rStyle w:val="FootnoteReference"/>
          <w:rFonts w:asciiTheme="majorBidi" w:hAnsiTheme="majorBidi" w:cstheme="majorBidi"/>
          <w:sz w:val="24"/>
          <w:szCs w:val="24"/>
        </w:rPr>
        <w:footnoteReference w:id="38"/>
      </w:r>
      <w:r w:rsidR="00C2029E">
        <w:rPr>
          <w:rFonts w:asciiTheme="majorBidi" w:hAnsiTheme="majorBidi" w:cstheme="majorBidi"/>
          <w:sz w:val="24"/>
          <w:szCs w:val="24"/>
        </w:rPr>
        <w:t xml:space="preserve"> Actually, the </w:t>
      </w:r>
      <w:r w:rsidR="00944AE0">
        <w:rPr>
          <w:rFonts w:asciiTheme="majorBidi" w:hAnsiTheme="majorBidi" w:cstheme="majorBidi"/>
          <w:sz w:val="24"/>
          <w:szCs w:val="24"/>
        </w:rPr>
        <w:t xml:space="preserve">Sasanians kept quite frequent diplomatic relations with China </w:t>
      </w:r>
      <w:r w:rsidR="00E52B64">
        <w:rPr>
          <w:rFonts w:asciiTheme="majorBidi" w:hAnsiTheme="majorBidi" w:cstheme="majorBidi"/>
          <w:sz w:val="24"/>
          <w:szCs w:val="24"/>
        </w:rPr>
        <w:t xml:space="preserve">in </w:t>
      </w:r>
      <w:r w:rsidR="00BD74AA">
        <w:rPr>
          <w:rFonts w:asciiTheme="majorBidi" w:hAnsiTheme="majorBidi" w:cstheme="majorBidi"/>
          <w:sz w:val="24"/>
          <w:szCs w:val="24"/>
        </w:rPr>
        <w:t xml:space="preserve">the earlier </w:t>
      </w:r>
      <w:r w:rsidR="00E52B64">
        <w:rPr>
          <w:rFonts w:asciiTheme="majorBidi" w:hAnsiTheme="majorBidi" w:cstheme="majorBidi"/>
          <w:sz w:val="24"/>
          <w:szCs w:val="24"/>
        </w:rPr>
        <w:t>Wei dynasty (386-581 CE) and the Sui dynasty (581-619 CE)</w:t>
      </w:r>
      <w:r w:rsidR="00735244">
        <w:rPr>
          <w:rFonts w:asciiTheme="majorBidi" w:hAnsiTheme="majorBidi" w:cstheme="majorBidi"/>
          <w:sz w:val="24"/>
          <w:szCs w:val="24"/>
        </w:rPr>
        <w:t>.</w:t>
      </w:r>
      <w:r w:rsidR="00E52B64">
        <w:rPr>
          <w:rStyle w:val="FootnoteReference"/>
          <w:rFonts w:asciiTheme="majorBidi" w:hAnsiTheme="majorBidi" w:cstheme="majorBidi"/>
          <w:sz w:val="24"/>
          <w:szCs w:val="24"/>
        </w:rPr>
        <w:footnoteReference w:id="39"/>
      </w:r>
      <w:r w:rsidR="00E52B64">
        <w:rPr>
          <w:rFonts w:asciiTheme="majorBidi" w:hAnsiTheme="majorBidi" w:cstheme="majorBidi"/>
          <w:sz w:val="24"/>
          <w:szCs w:val="24"/>
        </w:rPr>
        <w:t xml:space="preserve"> </w:t>
      </w:r>
      <w:r w:rsidR="00BC5A8D">
        <w:rPr>
          <w:rFonts w:asciiTheme="majorBidi" w:hAnsiTheme="majorBidi" w:cstheme="majorBidi"/>
          <w:sz w:val="24"/>
          <w:szCs w:val="24"/>
        </w:rPr>
        <w:t xml:space="preserve">The relations between China and the Sasanian Empire include not only </w:t>
      </w:r>
      <w:r w:rsidR="00BC5A8D">
        <w:rPr>
          <w:rFonts w:asciiTheme="majorBidi" w:hAnsiTheme="majorBidi" w:cstheme="majorBidi"/>
          <w:sz w:val="24"/>
          <w:szCs w:val="24"/>
        </w:rPr>
        <w:lastRenderedPageBreak/>
        <w:t xml:space="preserve">exchange of diplomats, but also trading, </w:t>
      </w:r>
      <w:r w:rsidR="00ED57D5">
        <w:rPr>
          <w:rFonts w:asciiTheme="majorBidi" w:hAnsiTheme="majorBidi" w:cstheme="majorBidi"/>
          <w:sz w:val="24"/>
          <w:szCs w:val="24"/>
        </w:rPr>
        <w:t xml:space="preserve">both overland and maritime, with </w:t>
      </w:r>
      <w:r w:rsidR="00D05C5E">
        <w:rPr>
          <w:rFonts w:asciiTheme="majorBidi" w:hAnsiTheme="majorBidi" w:cstheme="majorBidi"/>
          <w:sz w:val="24"/>
          <w:szCs w:val="24"/>
        </w:rPr>
        <w:t xml:space="preserve">direct </w:t>
      </w:r>
      <w:r w:rsidR="00BC5A8D">
        <w:rPr>
          <w:rFonts w:asciiTheme="majorBidi" w:hAnsiTheme="majorBidi" w:cstheme="majorBidi"/>
          <w:sz w:val="24"/>
          <w:szCs w:val="24"/>
        </w:rPr>
        <w:t xml:space="preserve">maritime trade </w:t>
      </w:r>
      <w:r w:rsidR="00ED57D5">
        <w:rPr>
          <w:rFonts w:asciiTheme="majorBidi" w:hAnsiTheme="majorBidi" w:cstheme="majorBidi"/>
          <w:sz w:val="24"/>
          <w:szCs w:val="24"/>
        </w:rPr>
        <w:t>being established</w:t>
      </w:r>
      <w:r w:rsidR="00D05C5E">
        <w:rPr>
          <w:rFonts w:asciiTheme="majorBidi" w:hAnsiTheme="majorBidi" w:cstheme="majorBidi"/>
          <w:sz w:val="24"/>
          <w:szCs w:val="24"/>
        </w:rPr>
        <w:t xml:space="preserve"> most probably in the 7</w:t>
      </w:r>
      <w:r w:rsidR="00D05C5E" w:rsidRPr="00D05C5E">
        <w:rPr>
          <w:rFonts w:asciiTheme="majorBidi" w:hAnsiTheme="majorBidi" w:cstheme="majorBidi"/>
          <w:sz w:val="24"/>
          <w:szCs w:val="24"/>
          <w:vertAlign w:val="superscript"/>
        </w:rPr>
        <w:t>th</w:t>
      </w:r>
      <w:r w:rsidR="00D05C5E">
        <w:rPr>
          <w:rFonts w:asciiTheme="majorBidi" w:hAnsiTheme="majorBidi" w:cstheme="majorBidi"/>
          <w:sz w:val="24"/>
          <w:szCs w:val="24"/>
        </w:rPr>
        <w:t xml:space="preserve"> century.</w:t>
      </w:r>
      <w:r w:rsidR="00D05C5E">
        <w:rPr>
          <w:rStyle w:val="FootnoteReference"/>
          <w:rFonts w:asciiTheme="majorBidi" w:hAnsiTheme="majorBidi" w:cstheme="majorBidi"/>
          <w:sz w:val="24"/>
          <w:szCs w:val="24"/>
        </w:rPr>
        <w:footnoteReference w:id="40"/>
      </w:r>
      <w:r w:rsidR="00C5360C">
        <w:rPr>
          <w:rFonts w:asciiTheme="majorBidi" w:hAnsiTheme="majorBidi" w:cstheme="majorBidi"/>
          <w:sz w:val="24"/>
          <w:szCs w:val="24"/>
        </w:rPr>
        <w:t xml:space="preserve">       </w:t>
      </w:r>
      <w:r w:rsidR="00EE6E1F">
        <w:rPr>
          <w:rFonts w:asciiTheme="majorBidi" w:hAnsiTheme="majorBidi" w:cstheme="majorBidi"/>
          <w:sz w:val="24"/>
          <w:szCs w:val="24"/>
        </w:rPr>
        <w:t xml:space="preserve">  </w:t>
      </w:r>
    </w:p>
    <w:p w14:paraId="50371C5F" w14:textId="30186D93" w:rsidR="00B32E99" w:rsidRDefault="00BD74AA" w:rsidP="00B32E99">
      <w:pPr>
        <w:spacing w:line="360" w:lineRule="auto"/>
        <w:rPr>
          <w:rFonts w:asciiTheme="majorBidi" w:hAnsiTheme="majorBidi" w:cstheme="majorBidi"/>
          <w:sz w:val="24"/>
          <w:szCs w:val="24"/>
        </w:rPr>
      </w:pPr>
      <w:r>
        <w:rPr>
          <w:rFonts w:asciiTheme="majorBidi" w:hAnsiTheme="majorBidi" w:cstheme="majorBidi"/>
          <w:sz w:val="24"/>
          <w:szCs w:val="24"/>
        </w:rPr>
        <w:t xml:space="preserve">     The Tibetan Empire (618-842 CE) </w:t>
      </w:r>
      <w:r w:rsidR="00817AA0">
        <w:rPr>
          <w:rFonts w:asciiTheme="majorBidi" w:hAnsiTheme="majorBidi" w:cstheme="majorBidi"/>
          <w:sz w:val="24"/>
          <w:szCs w:val="24"/>
        </w:rPr>
        <w:t xml:space="preserve">was founded in the Tibetan Plateau almost at the same time as the Tang Empire. After subjugating the principalities in the Plateau, </w:t>
      </w:r>
      <w:r w:rsidR="00A65E91">
        <w:rPr>
          <w:rFonts w:asciiTheme="majorBidi" w:hAnsiTheme="majorBidi" w:cstheme="majorBidi"/>
          <w:sz w:val="24"/>
          <w:szCs w:val="24"/>
        </w:rPr>
        <w:t>it</w:t>
      </w:r>
      <w:r w:rsidR="00817AA0">
        <w:rPr>
          <w:rFonts w:asciiTheme="majorBidi" w:hAnsiTheme="majorBidi" w:cstheme="majorBidi"/>
          <w:sz w:val="24"/>
          <w:szCs w:val="24"/>
        </w:rPr>
        <w:t xml:space="preserve"> expanded outwards. It first annexed its eastern neighbor the Tuyuhun, and started to challenge the Tang control of the Tarim Basin in the 670s.</w:t>
      </w:r>
      <w:r w:rsidR="002D3632">
        <w:rPr>
          <w:rStyle w:val="FootnoteReference"/>
          <w:rFonts w:asciiTheme="majorBidi" w:hAnsiTheme="majorBidi" w:cstheme="majorBidi"/>
          <w:sz w:val="24"/>
          <w:szCs w:val="24"/>
        </w:rPr>
        <w:footnoteReference w:id="41"/>
      </w:r>
      <w:r w:rsidR="00817AA0">
        <w:rPr>
          <w:rFonts w:asciiTheme="majorBidi" w:hAnsiTheme="majorBidi" w:cstheme="majorBidi"/>
          <w:sz w:val="24"/>
          <w:szCs w:val="24"/>
        </w:rPr>
        <w:t xml:space="preserve"> However, the Tang was able to control the Tarim Basin until the rebellion of An Lushan (</w:t>
      </w:r>
      <w:r w:rsidR="00CF583E">
        <w:rPr>
          <w:rFonts w:asciiTheme="majorBidi" w:hAnsiTheme="majorBidi" w:cstheme="majorBidi"/>
          <w:sz w:val="24"/>
          <w:szCs w:val="24"/>
        </w:rPr>
        <w:t>755-763 CE</w:t>
      </w:r>
      <w:r w:rsidR="00817AA0">
        <w:rPr>
          <w:rFonts w:asciiTheme="majorBidi" w:hAnsiTheme="majorBidi" w:cstheme="majorBidi"/>
          <w:sz w:val="24"/>
          <w:szCs w:val="24"/>
        </w:rPr>
        <w:t xml:space="preserve">), when the </w:t>
      </w:r>
      <w:r w:rsidR="00286A90">
        <w:rPr>
          <w:rFonts w:asciiTheme="majorBidi" w:hAnsiTheme="majorBidi" w:cstheme="majorBidi"/>
          <w:sz w:val="24"/>
          <w:szCs w:val="24"/>
        </w:rPr>
        <w:t xml:space="preserve">bulk of the </w:t>
      </w:r>
      <w:r w:rsidR="00817AA0">
        <w:rPr>
          <w:rFonts w:asciiTheme="majorBidi" w:hAnsiTheme="majorBidi" w:cstheme="majorBidi"/>
          <w:sz w:val="24"/>
          <w:szCs w:val="24"/>
        </w:rPr>
        <w:t xml:space="preserve">Tang </w:t>
      </w:r>
      <w:r w:rsidR="00286A90">
        <w:rPr>
          <w:rFonts w:asciiTheme="majorBidi" w:hAnsiTheme="majorBidi" w:cstheme="majorBidi"/>
          <w:sz w:val="24"/>
          <w:szCs w:val="24"/>
        </w:rPr>
        <w:t>army</w:t>
      </w:r>
      <w:r w:rsidR="00817AA0">
        <w:rPr>
          <w:rFonts w:asciiTheme="majorBidi" w:hAnsiTheme="majorBidi" w:cstheme="majorBidi"/>
          <w:sz w:val="24"/>
          <w:szCs w:val="24"/>
        </w:rPr>
        <w:t xml:space="preserve"> </w:t>
      </w:r>
      <w:r w:rsidR="00F9200C">
        <w:rPr>
          <w:rFonts w:asciiTheme="majorBidi" w:hAnsiTheme="majorBidi" w:cstheme="majorBidi"/>
          <w:sz w:val="24"/>
          <w:szCs w:val="24"/>
        </w:rPr>
        <w:t xml:space="preserve">in the west </w:t>
      </w:r>
      <w:r w:rsidR="005E4032">
        <w:rPr>
          <w:rFonts w:asciiTheme="majorBidi" w:hAnsiTheme="majorBidi" w:cstheme="majorBidi"/>
          <w:sz w:val="24"/>
          <w:szCs w:val="24"/>
        </w:rPr>
        <w:t>withdrew</w:t>
      </w:r>
      <w:r w:rsidR="00817AA0">
        <w:rPr>
          <w:rFonts w:asciiTheme="majorBidi" w:hAnsiTheme="majorBidi" w:cstheme="majorBidi"/>
          <w:sz w:val="24"/>
          <w:szCs w:val="24"/>
        </w:rPr>
        <w:t xml:space="preserve"> to the heartland of </w:t>
      </w:r>
      <w:r w:rsidR="00CF583E">
        <w:rPr>
          <w:rFonts w:asciiTheme="majorBidi" w:hAnsiTheme="majorBidi" w:cstheme="majorBidi"/>
          <w:sz w:val="24"/>
          <w:szCs w:val="24"/>
        </w:rPr>
        <w:t>China to fight the rebels</w:t>
      </w:r>
      <w:r w:rsidR="00286A90">
        <w:rPr>
          <w:rFonts w:asciiTheme="majorBidi" w:hAnsiTheme="majorBidi" w:cstheme="majorBidi"/>
          <w:sz w:val="24"/>
          <w:szCs w:val="24"/>
        </w:rPr>
        <w:t>, leaving the four isolated garrison towns to th Tibetans.</w:t>
      </w:r>
      <w:r w:rsidR="00286A90">
        <w:rPr>
          <w:rStyle w:val="FootnoteReference"/>
          <w:rFonts w:asciiTheme="majorBidi" w:hAnsiTheme="majorBidi" w:cstheme="majorBidi"/>
          <w:sz w:val="24"/>
          <w:szCs w:val="24"/>
        </w:rPr>
        <w:footnoteReference w:id="42"/>
      </w:r>
      <w:r w:rsidR="00B32E99">
        <w:rPr>
          <w:rFonts w:asciiTheme="majorBidi" w:hAnsiTheme="majorBidi" w:cstheme="majorBidi"/>
          <w:sz w:val="24"/>
          <w:szCs w:val="24"/>
        </w:rPr>
        <w:t xml:space="preserve">the Tibetans were able to </w:t>
      </w:r>
      <w:r w:rsidR="00B32E99">
        <w:rPr>
          <w:rFonts w:asciiTheme="majorBidi" w:hAnsiTheme="majorBidi" w:cstheme="majorBidi" w:hint="eastAsia"/>
          <w:sz w:val="24"/>
          <w:szCs w:val="24"/>
        </w:rPr>
        <w:t>capture</w:t>
      </w:r>
      <w:r w:rsidR="00B32E99">
        <w:rPr>
          <w:rFonts w:asciiTheme="majorBidi" w:hAnsiTheme="majorBidi" w:cstheme="majorBidi"/>
          <w:sz w:val="24"/>
          <w:szCs w:val="24"/>
        </w:rPr>
        <w:t xml:space="preserve"> </w:t>
      </w:r>
      <w:r w:rsidR="00145B23">
        <w:rPr>
          <w:rFonts w:asciiTheme="majorBidi" w:hAnsiTheme="majorBidi" w:cstheme="majorBidi"/>
          <w:sz w:val="24"/>
          <w:szCs w:val="24"/>
        </w:rPr>
        <w:t>the</w:t>
      </w:r>
      <w:r w:rsidR="00B32E99">
        <w:rPr>
          <w:rFonts w:asciiTheme="majorBidi" w:hAnsiTheme="majorBidi" w:cstheme="majorBidi"/>
          <w:sz w:val="24"/>
          <w:szCs w:val="24"/>
        </w:rPr>
        <w:t xml:space="preserve"> four</w:t>
      </w:r>
      <w:r w:rsidR="00145B23">
        <w:rPr>
          <w:rFonts w:asciiTheme="majorBidi" w:hAnsiTheme="majorBidi" w:cstheme="majorBidi"/>
          <w:sz w:val="24"/>
          <w:szCs w:val="24"/>
        </w:rPr>
        <w:t xml:space="preserve"> isolated garrisons </w:t>
      </w:r>
      <w:r w:rsidR="00B32E99">
        <w:rPr>
          <w:rFonts w:asciiTheme="majorBidi" w:hAnsiTheme="majorBidi" w:cstheme="majorBidi"/>
          <w:sz w:val="24"/>
          <w:szCs w:val="24"/>
        </w:rPr>
        <w:t xml:space="preserve">of the Tang only </w:t>
      </w:r>
      <w:r w:rsidR="004D02ED">
        <w:rPr>
          <w:rFonts w:asciiTheme="majorBidi" w:hAnsiTheme="majorBidi" w:cstheme="majorBidi"/>
          <w:sz w:val="24"/>
          <w:szCs w:val="24"/>
        </w:rPr>
        <w:t xml:space="preserve">at the </w:t>
      </w:r>
      <w:r w:rsidR="00145B23">
        <w:rPr>
          <w:rFonts w:asciiTheme="majorBidi" w:hAnsiTheme="majorBidi" w:cstheme="majorBidi"/>
          <w:sz w:val="24"/>
          <w:szCs w:val="24"/>
        </w:rPr>
        <w:t xml:space="preserve">end of the </w:t>
      </w:r>
      <w:r w:rsidR="00B32E99">
        <w:rPr>
          <w:rFonts w:asciiTheme="majorBidi" w:hAnsiTheme="majorBidi" w:cstheme="majorBidi"/>
          <w:sz w:val="24"/>
          <w:szCs w:val="24"/>
        </w:rPr>
        <w:t>8</w:t>
      </w:r>
      <w:r w:rsidR="00B32E99" w:rsidRPr="00B32E99">
        <w:rPr>
          <w:rFonts w:asciiTheme="majorBidi" w:hAnsiTheme="majorBidi" w:cstheme="majorBidi"/>
          <w:sz w:val="24"/>
          <w:szCs w:val="24"/>
          <w:vertAlign w:val="superscript"/>
        </w:rPr>
        <w:t>th</w:t>
      </w:r>
      <w:r w:rsidR="00145B23">
        <w:rPr>
          <w:rFonts w:asciiTheme="majorBidi" w:hAnsiTheme="majorBidi" w:cstheme="majorBidi"/>
          <w:sz w:val="24"/>
          <w:szCs w:val="24"/>
        </w:rPr>
        <w:t xml:space="preserve"> century</w:t>
      </w:r>
      <w:r w:rsidR="004D02ED">
        <w:rPr>
          <w:rFonts w:asciiTheme="majorBidi" w:hAnsiTheme="majorBidi" w:cstheme="majorBidi"/>
          <w:sz w:val="24"/>
          <w:szCs w:val="24"/>
        </w:rPr>
        <w:t>.</w:t>
      </w:r>
      <w:r w:rsidR="00780168">
        <w:rPr>
          <w:rStyle w:val="FootnoteReference"/>
          <w:rFonts w:asciiTheme="majorBidi" w:hAnsiTheme="majorBidi" w:cstheme="majorBidi"/>
          <w:sz w:val="24"/>
          <w:szCs w:val="24"/>
        </w:rPr>
        <w:footnoteReference w:id="43"/>
      </w:r>
    </w:p>
    <w:p w14:paraId="57EC549E" w14:textId="0183E1A4" w:rsidR="00934BAB" w:rsidRDefault="00B32E99" w:rsidP="00B32E99">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286A90">
        <w:rPr>
          <w:rFonts w:asciiTheme="majorBidi" w:hAnsiTheme="majorBidi" w:cstheme="majorBidi"/>
          <w:sz w:val="24"/>
          <w:szCs w:val="24"/>
        </w:rPr>
        <w:t>In the 2</w:t>
      </w:r>
      <w:r w:rsidR="00286A90" w:rsidRPr="00286A90">
        <w:rPr>
          <w:rFonts w:asciiTheme="majorBidi" w:hAnsiTheme="majorBidi" w:cstheme="majorBidi"/>
          <w:sz w:val="24"/>
          <w:szCs w:val="24"/>
          <w:vertAlign w:val="superscript"/>
        </w:rPr>
        <w:t>nd</w:t>
      </w:r>
      <w:r w:rsidR="00286A90">
        <w:rPr>
          <w:rFonts w:asciiTheme="majorBidi" w:hAnsiTheme="majorBidi" w:cstheme="majorBidi"/>
          <w:sz w:val="24"/>
          <w:szCs w:val="24"/>
        </w:rPr>
        <w:t xml:space="preserve"> half of the 8</w:t>
      </w:r>
      <w:r w:rsidR="00286A90" w:rsidRPr="00286A90">
        <w:rPr>
          <w:rFonts w:asciiTheme="majorBidi" w:hAnsiTheme="majorBidi" w:cstheme="majorBidi"/>
          <w:sz w:val="24"/>
          <w:szCs w:val="24"/>
          <w:vertAlign w:val="superscript"/>
        </w:rPr>
        <w:t>th</w:t>
      </w:r>
      <w:r w:rsidR="00286A90">
        <w:rPr>
          <w:rFonts w:asciiTheme="majorBidi" w:hAnsiTheme="majorBidi" w:cstheme="majorBidi"/>
          <w:sz w:val="24"/>
          <w:szCs w:val="24"/>
        </w:rPr>
        <w:t xml:space="preserve"> century and the early 9</w:t>
      </w:r>
      <w:r w:rsidR="00286A90" w:rsidRPr="00286A90">
        <w:rPr>
          <w:rFonts w:asciiTheme="majorBidi" w:hAnsiTheme="majorBidi" w:cstheme="majorBidi"/>
          <w:sz w:val="24"/>
          <w:szCs w:val="24"/>
          <w:vertAlign w:val="superscript"/>
        </w:rPr>
        <w:t>th</w:t>
      </w:r>
      <w:r w:rsidR="00286A90">
        <w:rPr>
          <w:rFonts w:asciiTheme="majorBidi" w:hAnsiTheme="majorBidi" w:cstheme="majorBidi"/>
          <w:sz w:val="24"/>
          <w:szCs w:val="24"/>
        </w:rPr>
        <w:t xml:space="preserve"> century</w:t>
      </w:r>
      <w:r w:rsidR="00871E06">
        <w:rPr>
          <w:rFonts w:asciiTheme="majorBidi" w:hAnsiTheme="majorBidi" w:cstheme="majorBidi"/>
          <w:sz w:val="24"/>
          <w:szCs w:val="24"/>
        </w:rPr>
        <w:t>, t</w:t>
      </w:r>
      <w:r>
        <w:rPr>
          <w:rFonts w:asciiTheme="majorBidi" w:hAnsiTheme="majorBidi" w:cstheme="majorBidi"/>
          <w:sz w:val="24"/>
          <w:szCs w:val="24"/>
        </w:rPr>
        <w:t xml:space="preserve">he power of the Tibetan Empire reached its </w:t>
      </w:r>
      <w:r w:rsidR="00871E06">
        <w:rPr>
          <w:rFonts w:asciiTheme="majorBidi" w:hAnsiTheme="majorBidi" w:cstheme="majorBidi"/>
          <w:sz w:val="24"/>
          <w:szCs w:val="24"/>
        </w:rPr>
        <w:t xml:space="preserve">peak. </w:t>
      </w:r>
      <w:r w:rsidR="00A6681F">
        <w:rPr>
          <w:rFonts w:asciiTheme="majorBidi" w:hAnsiTheme="majorBidi" w:cstheme="majorBidi"/>
          <w:sz w:val="24"/>
          <w:szCs w:val="24"/>
        </w:rPr>
        <w:t>And it</w:t>
      </w:r>
      <w:r w:rsidR="00871E06">
        <w:rPr>
          <w:rFonts w:asciiTheme="majorBidi" w:hAnsiTheme="majorBidi" w:cstheme="majorBidi"/>
          <w:sz w:val="24"/>
          <w:szCs w:val="24"/>
        </w:rPr>
        <w:t xml:space="preserve"> </w:t>
      </w:r>
      <w:r w:rsidR="004D02ED">
        <w:rPr>
          <w:rFonts w:asciiTheme="majorBidi" w:hAnsiTheme="majorBidi" w:cstheme="majorBidi"/>
          <w:sz w:val="24"/>
          <w:szCs w:val="24"/>
        </w:rPr>
        <w:t xml:space="preserve">organized an alliance to </w:t>
      </w:r>
      <w:r w:rsidR="00934BAB">
        <w:rPr>
          <w:rFonts w:asciiTheme="majorBidi" w:hAnsiTheme="majorBidi" w:cstheme="majorBidi"/>
          <w:sz w:val="24"/>
          <w:szCs w:val="24"/>
        </w:rPr>
        <w:t xml:space="preserve">compete with the Abbasid Empire (750-1258 CE) for the control of </w:t>
      </w:r>
      <w:r w:rsidR="004D02ED">
        <w:rPr>
          <w:rFonts w:asciiTheme="majorBidi" w:hAnsiTheme="majorBidi" w:cstheme="majorBidi"/>
          <w:sz w:val="24"/>
          <w:szCs w:val="24"/>
        </w:rPr>
        <w:t>western Central Asia since the end of the 8</w:t>
      </w:r>
      <w:r w:rsidR="004D02ED" w:rsidRPr="004D02ED">
        <w:rPr>
          <w:rFonts w:asciiTheme="majorBidi" w:hAnsiTheme="majorBidi" w:cstheme="majorBidi"/>
          <w:sz w:val="24"/>
          <w:szCs w:val="24"/>
          <w:vertAlign w:val="superscript"/>
        </w:rPr>
        <w:t>th</w:t>
      </w:r>
      <w:r w:rsidR="004D02ED">
        <w:rPr>
          <w:rFonts w:asciiTheme="majorBidi" w:hAnsiTheme="majorBidi" w:cstheme="majorBidi"/>
          <w:sz w:val="24"/>
          <w:szCs w:val="24"/>
        </w:rPr>
        <w:t xml:space="preserve"> </w:t>
      </w:r>
      <w:r w:rsidR="004D02ED">
        <w:rPr>
          <w:rFonts w:asciiTheme="majorBidi" w:hAnsiTheme="majorBidi" w:cstheme="majorBidi"/>
          <w:sz w:val="24"/>
          <w:szCs w:val="24"/>
        </w:rPr>
        <w:lastRenderedPageBreak/>
        <w:t>century and during the first two decades of the 9</w:t>
      </w:r>
      <w:r w:rsidR="004D02ED" w:rsidRPr="004D02ED">
        <w:rPr>
          <w:rFonts w:asciiTheme="majorBidi" w:hAnsiTheme="majorBidi" w:cstheme="majorBidi"/>
          <w:sz w:val="24"/>
          <w:szCs w:val="24"/>
          <w:vertAlign w:val="superscript"/>
        </w:rPr>
        <w:t>th</w:t>
      </w:r>
      <w:r w:rsidR="004D02ED">
        <w:rPr>
          <w:rFonts w:asciiTheme="majorBidi" w:hAnsiTheme="majorBidi" w:cstheme="majorBidi"/>
          <w:sz w:val="24"/>
          <w:szCs w:val="24"/>
        </w:rPr>
        <w:t xml:space="preserve"> century.</w:t>
      </w:r>
      <w:r w:rsidR="00BE572B">
        <w:rPr>
          <w:rStyle w:val="FootnoteReference"/>
          <w:rFonts w:asciiTheme="majorBidi" w:hAnsiTheme="majorBidi" w:cstheme="majorBidi"/>
          <w:sz w:val="24"/>
          <w:szCs w:val="24"/>
        </w:rPr>
        <w:footnoteReference w:id="44"/>
      </w:r>
      <w:r w:rsidR="00871E06">
        <w:rPr>
          <w:rFonts w:asciiTheme="majorBidi" w:hAnsiTheme="majorBidi" w:cstheme="majorBidi"/>
          <w:sz w:val="24"/>
          <w:szCs w:val="24"/>
        </w:rPr>
        <w:t xml:space="preserve"> However,</w:t>
      </w:r>
      <w:r w:rsidR="00286A90">
        <w:rPr>
          <w:rFonts w:asciiTheme="majorBidi" w:hAnsiTheme="majorBidi" w:cstheme="majorBidi"/>
          <w:sz w:val="24"/>
          <w:szCs w:val="24"/>
        </w:rPr>
        <w:t xml:space="preserve"> its</w:t>
      </w:r>
      <w:r w:rsidR="006254EE">
        <w:rPr>
          <w:rFonts w:asciiTheme="majorBidi" w:hAnsiTheme="majorBidi" w:cstheme="majorBidi"/>
          <w:sz w:val="24"/>
          <w:szCs w:val="24"/>
        </w:rPr>
        <w:t xml:space="preserve"> fighting </w:t>
      </w:r>
      <w:r w:rsidR="00286A90">
        <w:rPr>
          <w:rFonts w:asciiTheme="majorBidi" w:hAnsiTheme="majorBidi" w:cstheme="majorBidi"/>
          <w:sz w:val="24"/>
          <w:szCs w:val="24"/>
        </w:rPr>
        <w:t xml:space="preserve">in multi-fronts </w:t>
      </w:r>
      <w:r w:rsidR="00871E06">
        <w:rPr>
          <w:rFonts w:asciiTheme="majorBidi" w:hAnsiTheme="majorBidi" w:cstheme="majorBidi"/>
          <w:sz w:val="24"/>
          <w:szCs w:val="24"/>
        </w:rPr>
        <w:t xml:space="preserve">with </w:t>
      </w:r>
      <w:r w:rsidR="006254EE">
        <w:rPr>
          <w:rFonts w:asciiTheme="majorBidi" w:hAnsiTheme="majorBidi" w:cstheme="majorBidi"/>
          <w:sz w:val="24"/>
          <w:szCs w:val="24"/>
        </w:rPr>
        <w:t xml:space="preserve">the Tang, </w:t>
      </w:r>
      <w:r w:rsidR="00871E06">
        <w:rPr>
          <w:rFonts w:asciiTheme="majorBidi" w:hAnsiTheme="majorBidi" w:cstheme="majorBidi"/>
          <w:sz w:val="24"/>
          <w:szCs w:val="24"/>
        </w:rPr>
        <w:t>the Uyghur Khaganate (744-840 CE)</w:t>
      </w:r>
      <w:r w:rsidR="006254EE">
        <w:rPr>
          <w:rFonts w:asciiTheme="majorBidi" w:hAnsiTheme="majorBidi" w:cstheme="majorBidi"/>
          <w:sz w:val="24"/>
          <w:szCs w:val="24"/>
        </w:rPr>
        <w:t>,</w:t>
      </w:r>
      <w:r w:rsidR="00531E59">
        <w:rPr>
          <w:rStyle w:val="FootnoteReference"/>
          <w:rFonts w:asciiTheme="majorBidi" w:hAnsiTheme="majorBidi" w:cstheme="majorBidi"/>
          <w:sz w:val="24"/>
          <w:szCs w:val="24"/>
        </w:rPr>
        <w:footnoteReference w:id="45"/>
      </w:r>
      <w:r w:rsidR="006254EE">
        <w:rPr>
          <w:rFonts w:asciiTheme="majorBidi" w:hAnsiTheme="majorBidi" w:cstheme="majorBidi"/>
          <w:sz w:val="24"/>
          <w:szCs w:val="24"/>
        </w:rPr>
        <w:t xml:space="preserve"> Nan</w:t>
      </w:r>
      <w:r w:rsidR="00016B97">
        <w:rPr>
          <w:rFonts w:asciiTheme="majorBidi" w:hAnsiTheme="majorBidi" w:cstheme="majorBidi"/>
          <w:sz w:val="24"/>
          <w:szCs w:val="24"/>
        </w:rPr>
        <w:t>z</w:t>
      </w:r>
      <w:r w:rsidR="006254EE">
        <w:rPr>
          <w:rFonts w:asciiTheme="majorBidi" w:hAnsiTheme="majorBidi" w:cstheme="majorBidi"/>
          <w:sz w:val="24"/>
          <w:szCs w:val="24"/>
        </w:rPr>
        <w:t>hao (738-902) in modern Yunnan after its defecting to the Tang in 793 CE,</w:t>
      </w:r>
      <w:r w:rsidR="00531E59">
        <w:rPr>
          <w:rStyle w:val="FootnoteReference"/>
          <w:rFonts w:asciiTheme="majorBidi" w:hAnsiTheme="majorBidi" w:cstheme="majorBidi"/>
          <w:sz w:val="24"/>
          <w:szCs w:val="24"/>
        </w:rPr>
        <w:footnoteReference w:id="46"/>
      </w:r>
      <w:r w:rsidR="006254EE">
        <w:rPr>
          <w:rFonts w:asciiTheme="majorBidi" w:hAnsiTheme="majorBidi" w:cstheme="majorBidi"/>
          <w:sz w:val="24"/>
          <w:szCs w:val="24"/>
        </w:rPr>
        <w:t xml:space="preserve"> and the Arabs drained</w:t>
      </w:r>
      <w:r w:rsidR="006254EE" w:rsidRPr="006254EE">
        <w:rPr>
          <w:rFonts w:asciiTheme="majorBidi" w:hAnsiTheme="majorBidi" w:cstheme="majorBidi"/>
          <w:sz w:val="24"/>
          <w:szCs w:val="24"/>
        </w:rPr>
        <w:t xml:space="preserve"> </w:t>
      </w:r>
      <w:r w:rsidR="006254EE">
        <w:rPr>
          <w:rFonts w:asciiTheme="majorBidi" w:hAnsiTheme="majorBidi" w:cstheme="majorBidi"/>
          <w:sz w:val="24"/>
          <w:szCs w:val="24"/>
        </w:rPr>
        <w:t xml:space="preserve">the manpower of the </w:t>
      </w:r>
      <w:r w:rsidR="00A65E91">
        <w:rPr>
          <w:rFonts w:asciiTheme="majorBidi" w:hAnsiTheme="majorBidi" w:cstheme="majorBidi"/>
          <w:sz w:val="24"/>
          <w:szCs w:val="24"/>
        </w:rPr>
        <w:t>E</w:t>
      </w:r>
      <w:r w:rsidR="006254EE">
        <w:rPr>
          <w:rFonts w:asciiTheme="majorBidi" w:hAnsiTheme="majorBidi" w:cstheme="majorBidi"/>
          <w:sz w:val="24"/>
          <w:szCs w:val="24"/>
        </w:rPr>
        <w:t>mpire and led to its collapse around the mid-9</w:t>
      </w:r>
      <w:r w:rsidR="006254EE" w:rsidRPr="006254EE">
        <w:rPr>
          <w:rFonts w:asciiTheme="majorBidi" w:hAnsiTheme="majorBidi" w:cstheme="majorBidi"/>
          <w:sz w:val="24"/>
          <w:szCs w:val="24"/>
          <w:vertAlign w:val="superscript"/>
        </w:rPr>
        <w:t>th</w:t>
      </w:r>
      <w:r w:rsidR="006254EE">
        <w:rPr>
          <w:rFonts w:asciiTheme="majorBidi" w:hAnsiTheme="majorBidi" w:cstheme="majorBidi"/>
          <w:sz w:val="24"/>
          <w:szCs w:val="24"/>
        </w:rPr>
        <w:t xml:space="preserve"> century.</w:t>
      </w:r>
      <w:r w:rsidR="00780168">
        <w:rPr>
          <w:rStyle w:val="FootnoteReference"/>
          <w:rFonts w:asciiTheme="majorBidi" w:hAnsiTheme="majorBidi" w:cstheme="majorBidi"/>
          <w:sz w:val="24"/>
          <w:szCs w:val="24"/>
        </w:rPr>
        <w:footnoteReference w:id="47"/>
      </w:r>
    </w:p>
    <w:p w14:paraId="14E812F4" w14:textId="77777777" w:rsidR="00934BAB" w:rsidRDefault="00934BAB" w:rsidP="00CF583E">
      <w:pPr>
        <w:spacing w:line="360" w:lineRule="auto"/>
        <w:rPr>
          <w:rFonts w:asciiTheme="majorBidi" w:hAnsiTheme="majorBidi" w:cstheme="majorBidi"/>
          <w:sz w:val="24"/>
          <w:szCs w:val="24"/>
        </w:rPr>
      </w:pPr>
    </w:p>
    <w:p w14:paraId="2034CD58" w14:textId="77777777" w:rsidR="00934BAB" w:rsidRPr="00934BAB" w:rsidRDefault="00934BAB" w:rsidP="00934BAB">
      <w:pPr>
        <w:spacing w:line="360" w:lineRule="auto"/>
        <w:jc w:val="center"/>
        <w:rPr>
          <w:rFonts w:asciiTheme="majorBidi" w:hAnsiTheme="majorBidi" w:cstheme="majorBidi"/>
          <w:b/>
          <w:bCs/>
          <w:sz w:val="24"/>
          <w:szCs w:val="24"/>
        </w:rPr>
      </w:pPr>
      <w:r w:rsidRPr="00934BAB">
        <w:rPr>
          <w:rFonts w:asciiTheme="majorBidi" w:hAnsiTheme="majorBidi" w:cstheme="majorBidi"/>
          <w:b/>
          <w:bCs/>
          <w:sz w:val="24"/>
          <w:szCs w:val="24"/>
        </w:rPr>
        <w:t>The Geography</w:t>
      </w:r>
    </w:p>
    <w:p w14:paraId="6A0E8B27" w14:textId="15EFA022" w:rsidR="00BF6B86" w:rsidRDefault="007F78E6" w:rsidP="00CF583E">
      <w:pPr>
        <w:spacing w:line="360" w:lineRule="auto"/>
        <w:rPr>
          <w:rFonts w:asciiTheme="majorBidi" w:hAnsiTheme="majorBidi" w:cstheme="majorBidi"/>
          <w:sz w:val="24"/>
          <w:szCs w:val="24"/>
        </w:rPr>
      </w:pPr>
      <w:r>
        <w:rPr>
          <w:rFonts w:asciiTheme="majorBidi" w:hAnsiTheme="majorBidi" w:cstheme="majorBidi"/>
          <w:sz w:val="24"/>
          <w:szCs w:val="24"/>
        </w:rPr>
        <w:t>Besides the introduction of the political powers that are involved in the history of Central Asia in the 7</w:t>
      </w:r>
      <w:r w:rsidRPr="007F78E6">
        <w:rPr>
          <w:rFonts w:asciiTheme="majorBidi" w:hAnsiTheme="majorBidi" w:cstheme="majorBidi"/>
          <w:sz w:val="24"/>
          <w:szCs w:val="24"/>
          <w:vertAlign w:val="superscript"/>
        </w:rPr>
        <w:t>th</w:t>
      </w:r>
      <w:r>
        <w:rPr>
          <w:rFonts w:asciiTheme="majorBidi" w:hAnsiTheme="majorBidi" w:cstheme="majorBidi"/>
          <w:sz w:val="24"/>
          <w:szCs w:val="24"/>
        </w:rPr>
        <w:t xml:space="preserve"> and the 8</w:t>
      </w:r>
      <w:r w:rsidRPr="007F78E6">
        <w:rPr>
          <w:rFonts w:asciiTheme="majorBidi" w:hAnsiTheme="majorBidi" w:cstheme="majorBidi"/>
          <w:sz w:val="24"/>
          <w:szCs w:val="24"/>
          <w:vertAlign w:val="superscript"/>
        </w:rPr>
        <w:t>th</w:t>
      </w:r>
      <w:r>
        <w:rPr>
          <w:rFonts w:asciiTheme="majorBidi" w:hAnsiTheme="majorBidi" w:cstheme="majorBidi"/>
          <w:sz w:val="24"/>
          <w:szCs w:val="24"/>
        </w:rPr>
        <w:t xml:space="preserve"> century centuries, it also benefits to conduct a geographical survey of</w:t>
      </w:r>
      <w:r w:rsidRPr="007F78E6">
        <w:rPr>
          <w:rFonts w:asciiTheme="majorBidi" w:hAnsiTheme="majorBidi" w:cstheme="majorBidi"/>
          <w:sz w:val="24"/>
          <w:szCs w:val="24"/>
        </w:rPr>
        <w:t xml:space="preserve"> </w:t>
      </w:r>
      <w:r>
        <w:rPr>
          <w:rFonts w:asciiTheme="majorBidi" w:hAnsiTheme="majorBidi" w:cstheme="majorBidi"/>
          <w:sz w:val="24"/>
          <w:szCs w:val="24"/>
        </w:rPr>
        <w:t>Ṭukhāristān</w:t>
      </w:r>
      <w:r w:rsidR="00BF6B86">
        <w:rPr>
          <w:rFonts w:asciiTheme="majorBidi" w:hAnsiTheme="majorBidi" w:cstheme="majorBidi"/>
          <w:sz w:val="24"/>
          <w:szCs w:val="24"/>
        </w:rPr>
        <w:t>, where the historical events discussed in the research t</w:t>
      </w:r>
      <w:r w:rsidR="00F679E1">
        <w:rPr>
          <w:rFonts w:asciiTheme="majorBidi" w:hAnsiTheme="majorBidi" w:cstheme="majorBidi"/>
          <w:sz w:val="24"/>
          <w:szCs w:val="24"/>
        </w:rPr>
        <w:t>ook</w:t>
      </w:r>
      <w:r w:rsidR="00BF6B86">
        <w:rPr>
          <w:rFonts w:asciiTheme="majorBidi" w:hAnsiTheme="majorBidi" w:cstheme="majorBidi"/>
          <w:sz w:val="24"/>
          <w:szCs w:val="24"/>
        </w:rPr>
        <w:t xml:space="preserve"> place</w:t>
      </w:r>
      <w:r>
        <w:rPr>
          <w:rFonts w:asciiTheme="majorBidi" w:hAnsiTheme="majorBidi" w:cstheme="majorBidi"/>
          <w:sz w:val="24"/>
          <w:szCs w:val="24"/>
        </w:rPr>
        <w:t>.</w:t>
      </w:r>
      <w:r w:rsidR="00BF6B86">
        <w:rPr>
          <w:rFonts w:asciiTheme="majorBidi" w:hAnsiTheme="majorBidi" w:cstheme="majorBidi"/>
          <w:sz w:val="24"/>
          <w:szCs w:val="24"/>
        </w:rPr>
        <w:t xml:space="preserve"> Additionally, a brief description of the medieval routes </w:t>
      </w:r>
      <w:r w:rsidR="00DD1095">
        <w:rPr>
          <w:rFonts w:asciiTheme="majorBidi" w:hAnsiTheme="majorBidi" w:cstheme="majorBidi"/>
          <w:sz w:val="24"/>
          <w:szCs w:val="24"/>
        </w:rPr>
        <w:t xml:space="preserve">taken by the exiled Sasanian princes </w:t>
      </w:r>
      <w:r w:rsidR="00BF6B86">
        <w:rPr>
          <w:rFonts w:asciiTheme="majorBidi" w:hAnsiTheme="majorBidi" w:cstheme="majorBidi"/>
          <w:sz w:val="24"/>
          <w:szCs w:val="24"/>
        </w:rPr>
        <w:t>between Marw and Balkh,</w:t>
      </w:r>
      <w:r w:rsidR="00F679E1">
        <w:rPr>
          <w:rStyle w:val="FootnoteReference"/>
          <w:rFonts w:asciiTheme="majorBidi" w:hAnsiTheme="majorBidi" w:cstheme="majorBidi"/>
          <w:sz w:val="24"/>
          <w:szCs w:val="24"/>
        </w:rPr>
        <w:footnoteReference w:id="48"/>
      </w:r>
      <w:r w:rsidR="00BF6B86">
        <w:rPr>
          <w:rFonts w:asciiTheme="majorBidi" w:hAnsiTheme="majorBidi" w:cstheme="majorBidi"/>
          <w:sz w:val="24"/>
          <w:szCs w:val="24"/>
        </w:rPr>
        <w:t xml:space="preserve"> between Balkh and Sīstān,</w:t>
      </w:r>
      <w:r w:rsidR="00F679E1">
        <w:rPr>
          <w:rStyle w:val="FootnoteReference"/>
          <w:rFonts w:asciiTheme="majorBidi" w:hAnsiTheme="majorBidi" w:cstheme="majorBidi"/>
          <w:sz w:val="24"/>
          <w:szCs w:val="24"/>
        </w:rPr>
        <w:footnoteReference w:id="49"/>
      </w:r>
      <w:r w:rsidR="00BF6B86">
        <w:rPr>
          <w:rFonts w:asciiTheme="majorBidi" w:hAnsiTheme="majorBidi" w:cstheme="majorBidi"/>
          <w:sz w:val="24"/>
          <w:szCs w:val="24"/>
        </w:rPr>
        <w:t xml:space="preserve"> between Ṭukhāristān and China will be included.</w:t>
      </w:r>
      <w:r w:rsidR="00F679E1">
        <w:rPr>
          <w:rStyle w:val="FootnoteReference"/>
          <w:rFonts w:asciiTheme="majorBidi" w:hAnsiTheme="majorBidi" w:cstheme="majorBidi"/>
          <w:sz w:val="24"/>
          <w:szCs w:val="24"/>
        </w:rPr>
        <w:footnoteReference w:id="50"/>
      </w:r>
    </w:p>
    <w:p w14:paraId="19736774" w14:textId="6C268FCC" w:rsidR="00D4690A" w:rsidRPr="00A65E91" w:rsidRDefault="00300168" w:rsidP="00A65E91">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     The richest geographical information of Ṭukhāristān is found in the medieval Muslim geographies from the 9</w:t>
      </w:r>
      <w:r w:rsidRPr="00A01490">
        <w:rPr>
          <w:rFonts w:asciiTheme="majorBidi" w:hAnsiTheme="majorBidi" w:cstheme="majorBidi"/>
          <w:sz w:val="24"/>
          <w:szCs w:val="24"/>
          <w:vertAlign w:val="superscript"/>
        </w:rPr>
        <w:t>th</w:t>
      </w:r>
      <w:r>
        <w:rPr>
          <w:rFonts w:asciiTheme="majorBidi" w:hAnsiTheme="majorBidi" w:cstheme="majorBidi"/>
          <w:sz w:val="24"/>
          <w:szCs w:val="24"/>
        </w:rPr>
        <w:t xml:space="preserve"> and 10</w:t>
      </w:r>
      <w:r w:rsidRPr="00A01490">
        <w:rPr>
          <w:rFonts w:asciiTheme="majorBidi" w:hAnsiTheme="majorBidi" w:cstheme="majorBidi"/>
          <w:sz w:val="24"/>
          <w:szCs w:val="24"/>
          <w:vertAlign w:val="superscript"/>
        </w:rPr>
        <w:t>th</w:t>
      </w:r>
      <w:r>
        <w:rPr>
          <w:rFonts w:asciiTheme="majorBidi" w:hAnsiTheme="majorBidi" w:cstheme="majorBidi"/>
          <w:sz w:val="24"/>
          <w:szCs w:val="24"/>
        </w:rPr>
        <w:t xml:space="preserve"> centuries.</w:t>
      </w:r>
      <w:r>
        <w:rPr>
          <w:rStyle w:val="FootnoteReference"/>
          <w:rFonts w:asciiTheme="majorBidi" w:hAnsiTheme="majorBidi"/>
          <w:sz w:val="24"/>
          <w:szCs w:val="24"/>
        </w:rPr>
        <w:footnoteReference w:id="51"/>
      </w:r>
      <w:r>
        <w:rPr>
          <w:rFonts w:asciiTheme="majorBidi" w:hAnsiTheme="majorBidi" w:cstheme="majorBidi"/>
          <w:sz w:val="24"/>
          <w:szCs w:val="24"/>
        </w:rPr>
        <w:t xml:space="preserve"> </w:t>
      </w:r>
      <w:r w:rsidR="00EE0429">
        <w:rPr>
          <w:rFonts w:asciiTheme="majorBidi" w:hAnsiTheme="majorBidi" w:cstheme="majorBidi"/>
          <w:sz w:val="24"/>
          <w:szCs w:val="24"/>
        </w:rPr>
        <w:t xml:space="preserve">As </w:t>
      </w:r>
      <w:r>
        <w:rPr>
          <w:rFonts w:asciiTheme="majorBidi" w:hAnsiTheme="majorBidi" w:cstheme="majorBidi"/>
          <w:sz w:val="24"/>
          <w:szCs w:val="24"/>
        </w:rPr>
        <w:t xml:space="preserve">for contemporary sources, which are preferred, </w:t>
      </w:r>
      <w:r w:rsidR="00D4690A">
        <w:rPr>
          <w:rFonts w:asciiTheme="majorBidi" w:hAnsiTheme="majorBidi" w:cstheme="majorBidi"/>
          <w:sz w:val="24"/>
          <w:szCs w:val="24"/>
        </w:rPr>
        <w:t xml:space="preserve">the </w:t>
      </w:r>
      <w:r>
        <w:rPr>
          <w:rFonts w:asciiTheme="majorBidi" w:hAnsiTheme="majorBidi" w:cstheme="majorBidi"/>
          <w:sz w:val="24"/>
          <w:szCs w:val="24"/>
        </w:rPr>
        <w:t xml:space="preserve">local Bactrian documents simply mention </w:t>
      </w:r>
      <w:r w:rsidR="00DD1095">
        <w:rPr>
          <w:rFonts w:asciiTheme="majorBidi" w:hAnsiTheme="majorBidi" w:cstheme="majorBidi"/>
          <w:sz w:val="24"/>
          <w:szCs w:val="24"/>
        </w:rPr>
        <w:t xml:space="preserve">several subregions of Ṭukhāristān such as </w:t>
      </w:r>
      <w:r>
        <w:rPr>
          <w:rFonts w:asciiTheme="majorBidi" w:hAnsiTheme="majorBidi" w:cstheme="majorBidi"/>
          <w:sz w:val="24"/>
          <w:szCs w:val="24"/>
        </w:rPr>
        <w:t>Rūb, Siminjān,</w:t>
      </w:r>
      <w:r w:rsidRPr="00EF5D6E">
        <w:rPr>
          <w:rFonts w:asciiTheme="majorBidi" w:hAnsiTheme="majorBidi" w:cstheme="majorBidi"/>
          <w:sz w:val="24"/>
          <w:szCs w:val="24"/>
        </w:rPr>
        <w:t xml:space="preserve"> </w:t>
      </w:r>
      <w:r>
        <w:rPr>
          <w:rFonts w:asciiTheme="majorBidi" w:hAnsiTheme="majorBidi" w:cstheme="majorBidi"/>
          <w:sz w:val="24"/>
          <w:szCs w:val="24"/>
        </w:rPr>
        <w:t>Warwālīz, Kadagstan</w:t>
      </w:r>
      <w:r w:rsidR="00DD1095">
        <w:rPr>
          <w:rFonts w:asciiTheme="majorBidi" w:hAnsiTheme="majorBidi" w:cstheme="majorBidi"/>
          <w:sz w:val="24"/>
          <w:szCs w:val="24"/>
        </w:rPr>
        <w:t xml:space="preserve"> and </w:t>
      </w:r>
      <w:r>
        <w:rPr>
          <w:rFonts w:asciiTheme="majorBidi" w:hAnsiTheme="majorBidi" w:cstheme="majorBidi"/>
          <w:sz w:val="24"/>
          <w:szCs w:val="24"/>
        </w:rPr>
        <w:t>Gūzgān (Jūzjān in Arabic)</w:t>
      </w:r>
      <w:r w:rsidR="00D4690A">
        <w:rPr>
          <w:rFonts w:asciiTheme="majorBidi" w:hAnsiTheme="majorBidi" w:cstheme="majorBidi"/>
          <w:sz w:val="24"/>
          <w:szCs w:val="24"/>
        </w:rPr>
        <w:t>,</w:t>
      </w:r>
      <w:r>
        <w:rPr>
          <w:rStyle w:val="FootnoteReference"/>
          <w:rFonts w:asciiTheme="majorBidi" w:hAnsiTheme="majorBidi"/>
          <w:sz w:val="24"/>
          <w:szCs w:val="24"/>
        </w:rPr>
        <w:footnoteReference w:id="52"/>
      </w:r>
      <w:r>
        <w:rPr>
          <w:rFonts w:asciiTheme="majorBidi" w:hAnsiTheme="majorBidi" w:cstheme="majorBidi"/>
          <w:sz w:val="24"/>
          <w:szCs w:val="24"/>
        </w:rPr>
        <w:t xml:space="preserve"> </w:t>
      </w:r>
      <w:r w:rsidR="00D4690A">
        <w:rPr>
          <w:rFonts w:asciiTheme="majorBidi" w:hAnsiTheme="majorBidi" w:cstheme="majorBidi"/>
          <w:sz w:val="24"/>
          <w:szCs w:val="24"/>
        </w:rPr>
        <w:t>while t</w:t>
      </w:r>
      <w:r>
        <w:rPr>
          <w:rFonts w:asciiTheme="majorBidi" w:hAnsiTheme="majorBidi" w:cstheme="majorBidi"/>
          <w:sz w:val="24"/>
          <w:szCs w:val="24"/>
        </w:rPr>
        <w:t xml:space="preserve">he </w:t>
      </w:r>
      <w:r w:rsidR="00F9127B">
        <w:rPr>
          <w:rFonts w:asciiTheme="majorBidi" w:hAnsiTheme="majorBidi" w:cstheme="majorBidi"/>
          <w:sz w:val="24"/>
          <w:szCs w:val="24"/>
        </w:rPr>
        <w:t>main</w:t>
      </w:r>
      <w:r>
        <w:rPr>
          <w:rFonts w:asciiTheme="majorBidi" w:hAnsiTheme="majorBidi" w:cstheme="majorBidi"/>
          <w:sz w:val="24"/>
          <w:szCs w:val="24"/>
        </w:rPr>
        <w:t xml:space="preserve"> </w:t>
      </w:r>
      <w:r w:rsidR="00370792">
        <w:rPr>
          <w:rFonts w:asciiTheme="majorBidi" w:hAnsiTheme="majorBidi" w:cstheme="majorBidi"/>
          <w:sz w:val="24"/>
          <w:szCs w:val="24"/>
        </w:rPr>
        <w:t xml:space="preserve">contemporary </w:t>
      </w:r>
      <w:r>
        <w:rPr>
          <w:rFonts w:asciiTheme="majorBidi" w:hAnsiTheme="majorBidi" w:cstheme="majorBidi"/>
          <w:sz w:val="24"/>
          <w:szCs w:val="24"/>
        </w:rPr>
        <w:t xml:space="preserve">written sources </w:t>
      </w:r>
      <w:r w:rsidR="00F9127B">
        <w:rPr>
          <w:rFonts w:asciiTheme="majorBidi" w:hAnsiTheme="majorBidi" w:cstheme="majorBidi"/>
          <w:sz w:val="24"/>
          <w:szCs w:val="24"/>
        </w:rPr>
        <w:t>are</w:t>
      </w:r>
      <w:r>
        <w:rPr>
          <w:rFonts w:asciiTheme="majorBidi" w:hAnsiTheme="majorBidi" w:cstheme="majorBidi"/>
          <w:sz w:val="24"/>
          <w:szCs w:val="24"/>
        </w:rPr>
        <w:t xml:space="preserve"> the Chinese reports either </w:t>
      </w:r>
      <w:r w:rsidR="00EE0429">
        <w:rPr>
          <w:rFonts w:asciiTheme="majorBidi" w:hAnsiTheme="majorBidi" w:cstheme="majorBidi"/>
          <w:sz w:val="24"/>
          <w:szCs w:val="24"/>
        </w:rPr>
        <w:t xml:space="preserve">by Buddhist pilgrims such as Xuanzang and Huichao </w:t>
      </w:r>
      <w:r>
        <w:rPr>
          <w:rFonts w:asciiTheme="majorBidi" w:hAnsiTheme="majorBidi" w:cstheme="majorBidi"/>
          <w:sz w:val="24"/>
          <w:szCs w:val="24"/>
        </w:rPr>
        <w:t>from the 7</w:t>
      </w:r>
      <w:r w:rsidRPr="00A215C7">
        <w:rPr>
          <w:rFonts w:asciiTheme="majorBidi" w:hAnsiTheme="majorBidi" w:cstheme="majorBidi"/>
          <w:sz w:val="24"/>
          <w:szCs w:val="24"/>
          <w:vertAlign w:val="superscript"/>
        </w:rPr>
        <w:t>th</w:t>
      </w:r>
      <w:r>
        <w:rPr>
          <w:rFonts w:asciiTheme="majorBidi" w:hAnsiTheme="majorBidi" w:cstheme="majorBidi"/>
          <w:sz w:val="24"/>
          <w:szCs w:val="24"/>
        </w:rPr>
        <w:t xml:space="preserve"> and 8</w:t>
      </w:r>
      <w:r w:rsidRPr="00A215C7">
        <w:rPr>
          <w:rFonts w:asciiTheme="majorBidi" w:hAnsiTheme="majorBidi" w:cstheme="majorBidi"/>
          <w:sz w:val="24"/>
          <w:szCs w:val="24"/>
          <w:vertAlign w:val="superscript"/>
        </w:rPr>
        <w:t>th</w:t>
      </w:r>
      <w:r>
        <w:rPr>
          <w:rFonts w:asciiTheme="majorBidi" w:hAnsiTheme="majorBidi" w:cstheme="majorBidi"/>
          <w:sz w:val="24"/>
          <w:szCs w:val="24"/>
        </w:rPr>
        <w:t xml:space="preserve"> centuries or relevant records later compiled into the </w:t>
      </w:r>
      <w:r w:rsidRPr="00745119">
        <w:rPr>
          <w:rFonts w:asciiTheme="majorBidi" w:hAnsiTheme="majorBidi" w:cstheme="majorBidi"/>
          <w:i/>
          <w:iCs/>
          <w:sz w:val="24"/>
          <w:szCs w:val="24"/>
        </w:rPr>
        <w:t>Jiu Tangshu</w:t>
      </w:r>
      <w:r>
        <w:rPr>
          <w:rFonts w:asciiTheme="majorBidi" w:hAnsiTheme="majorBidi" w:cstheme="majorBidi"/>
          <w:sz w:val="24"/>
          <w:szCs w:val="24"/>
        </w:rPr>
        <w:t xml:space="preserve"> and the </w:t>
      </w:r>
      <w:r w:rsidRPr="00745119">
        <w:rPr>
          <w:rFonts w:asciiTheme="majorBidi" w:hAnsiTheme="majorBidi" w:cstheme="majorBidi"/>
          <w:i/>
          <w:iCs/>
          <w:sz w:val="24"/>
          <w:szCs w:val="24"/>
        </w:rPr>
        <w:t>Xin Tangshu</w:t>
      </w:r>
      <w:r>
        <w:rPr>
          <w:rFonts w:asciiTheme="majorBidi" w:hAnsiTheme="majorBidi" w:cstheme="majorBidi"/>
          <w:sz w:val="24"/>
          <w:szCs w:val="24"/>
        </w:rPr>
        <w:t>.</w:t>
      </w:r>
      <w:r>
        <w:rPr>
          <w:rStyle w:val="FootnoteReference"/>
          <w:rFonts w:asciiTheme="majorBidi" w:hAnsiTheme="majorBidi" w:cstheme="majorBidi"/>
          <w:sz w:val="24"/>
          <w:szCs w:val="24"/>
        </w:rPr>
        <w:footnoteReference w:id="53"/>
      </w:r>
      <w:r w:rsidR="00370792">
        <w:rPr>
          <w:rFonts w:asciiTheme="majorBidi" w:eastAsiaTheme="majorEastAsia" w:hAnsiTheme="majorBidi" w:cstheme="majorBidi"/>
          <w:b/>
          <w:bCs/>
          <w:sz w:val="24"/>
          <w:szCs w:val="24"/>
        </w:rPr>
        <w:t xml:space="preserve"> </w:t>
      </w:r>
      <w:r w:rsidR="00370792">
        <w:rPr>
          <w:rFonts w:asciiTheme="majorBidi" w:hAnsiTheme="majorBidi" w:cstheme="majorBidi"/>
          <w:sz w:val="24"/>
          <w:szCs w:val="24"/>
        </w:rPr>
        <w:t>Among the Chinese sources, t</w:t>
      </w:r>
      <w:r>
        <w:rPr>
          <w:rFonts w:asciiTheme="majorBidi" w:hAnsiTheme="majorBidi" w:cstheme="majorBidi"/>
          <w:sz w:val="24"/>
          <w:szCs w:val="24"/>
        </w:rPr>
        <w:t xml:space="preserve">he most prominent </w:t>
      </w:r>
      <w:r w:rsidR="00D4690A">
        <w:rPr>
          <w:rFonts w:asciiTheme="majorBidi" w:hAnsiTheme="majorBidi" w:cstheme="majorBidi"/>
          <w:sz w:val="24"/>
          <w:szCs w:val="24"/>
        </w:rPr>
        <w:t>is</w:t>
      </w:r>
      <w:r>
        <w:rPr>
          <w:rFonts w:asciiTheme="majorBidi" w:hAnsiTheme="majorBidi" w:cstheme="majorBidi"/>
          <w:sz w:val="24"/>
          <w:szCs w:val="24"/>
        </w:rPr>
        <w:t xml:space="preserve"> Xuanzang's </w:t>
      </w:r>
      <w:r w:rsidRPr="006E1B1A">
        <w:rPr>
          <w:rFonts w:asciiTheme="majorBidi" w:hAnsiTheme="majorBidi" w:cstheme="majorBidi"/>
          <w:sz w:val="24"/>
          <w:szCs w:val="24"/>
        </w:rPr>
        <w:t xml:space="preserve">travelogue </w:t>
      </w:r>
      <w:r w:rsidRPr="006E1B1A">
        <w:rPr>
          <w:rFonts w:asciiTheme="majorBidi" w:hAnsiTheme="majorBidi" w:cstheme="majorBidi"/>
          <w:i/>
          <w:iCs/>
          <w:sz w:val="24"/>
          <w:szCs w:val="24"/>
        </w:rPr>
        <w:t>the Great Tang Dynasty Record of the Western Regions</w:t>
      </w:r>
      <w:r w:rsidRPr="006E1B1A">
        <w:rPr>
          <w:rFonts w:asciiTheme="majorBidi" w:hAnsiTheme="majorBidi" w:cstheme="majorBidi"/>
          <w:sz w:val="24"/>
          <w:szCs w:val="24"/>
        </w:rPr>
        <w:t xml:space="preserve"> </w:t>
      </w:r>
      <w:r>
        <w:rPr>
          <w:rFonts w:asciiTheme="majorBidi" w:hAnsiTheme="majorBidi" w:cstheme="majorBidi"/>
          <w:sz w:val="24"/>
          <w:szCs w:val="24"/>
        </w:rPr>
        <w:t>(</w:t>
      </w:r>
      <w:r>
        <w:rPr>
          <w:rFonts w:asciiTheme="majorBidi" w:hAnsiTheme="majorBidi" w:cstheme="majorBidi" w:hint="eastAsia"/>
          <w:sz w:val="24"/>
          <w:szCs w:val="24"/>
        </w:rPr>
        <w:t>大唐西域记</w:t>
      </w:r>
      <w:r>
        <w:rPr>
          <w:rFonts w:asciiTheme="majorBidi" w:hAnsiTheme="majorBidi" w:cstheme="majorBidi"/>
          <w:sz w:val="24"/>
          <w:szCs w:val="24"/>
        </w:rPr>
        <w:t xml:space="preserve">) </w:t>
      </w:r>
      <w:r w:rsidRPr="006E1B1A">
        <w:rPr>
          <w:rFonts w:asciiTheme="majorBidi" w:hAnsiTheme="majorBidi" w:cstheme="majorBidi"/>
          <w:sz w:val="24"/>
          <w:szCs w:val="24"/>
        </w:rPr>
        <w:t>finished in 646 CE</w:t>
      </w:r>
      <w:r>
        <w:rPr>
          <w:rFonts w:asciiTheme="majorBidi" w:hAnsiTheme="majorBidi" w:cstheme="majorBidi"/>
          <w:sz w:val="24"/>
          <w:szCs w:val="24"/>
        </w:rPr>
        <w:t xml:space="preserve"> and his biography </w:t>
      </w:r>
      <w:r w:rsidRPr="006E1B1A">
        <w:rPr>
          <w:rFonts w:asciiTheme="majorBidi" w:hAnsiTheme="majorBidi" w:cstheme="majorBidi"/>
          <w:i/>
          <w:iCs/>
          <w:sz w:val="24"/>
          <w:szCs w:val="24"/>
        </w:rPr>
        <w:t>the Biography of Sanzang Fashi of the Great Ci</w:t>
      </w:r>
      <w:r>
        <w:rPr>
          <w:rFonts w:asciiTheme="majorBidi" w:hAnsiTheme="majorBidi" w:cstheme="majorBidi"/>
          <w:i/>
          <w:iCs/>
          <w:sz w:val="24"/>
          <w:szCs w:val="24"/>
        </w:rPr>
        <w:t>'</w:t>
      </w:r>
      <w:r w:rsidRPr="006E1B1A">
        <w:rPr>
          <w:rFonts w:asciiTheme="majorBidi" w:hAnsiTheme="majorBidi" w:cstheme="majorBidi"/>
          <w:i/>
          <w:iCs/>
          <w:sz w:val="24"/>
          <w:szCs w:val="24"/>
        </w:rPr>
        <w:t>en Monastery</w:t>
      </w:r>
      <w:r w:rsidRPr="006E1B1A">
        <w:rPr>
          <w:rFonts w:asciiTheme="majorBidi" w:hAnsiTheme="majorBidi" w:cstheme="majorBidi"/>
          <w:sz w:val="32"/>
          <w:szCs w:val="32"/>
        </w:rPr>
        <w:t xml:space="preserve"> </w:t>
      </w:r>
      <w:r>
        <w:rPr>
          <w:rFonts w:asciiTheme="majorBidi" w:hAnsiTheme="majorBidi" w:cstheme="majorBidi"/>
          <w:sz w:val="24"/>
          <w:szCs w:val="24"/>
        </w:rPr>
        <w:t>(</w:t>
      </w:r>
      <w:r>
        <w:rPr>
          <w:rFonts w:asciiTheme="majorBidi" w:hAnsiTheme="majorBidi" w:cstheme="majorBidi" w:hint="eastAsia"/>
          <w:sz w:val="24"/>
          <w:szCs w:val="24"/>
        </w:rPr>
        <w:t>大唐慈恩寺三藏法师传</w:t>
      </w:r>
      <w:r>
        <w:rPr>
          <w:rFonts w:asciiTheme="majorBidi" w:hAnsiTheme="majorBidi" w:cstheme="majorBidi"/>
          <w:sz w:val="24"/>
          <w:szCs w:val="24"/>
        </w:rPr>
        <w:t>) composed by two of his disciples Huili and Yancong in 688 CE.</w:t>
      </w:r>
    </w:p>
    <w:p w14:paraId="6816A490" w14:textId="485BD81A" w:rsidR="00D4690A" w:rsidRDefault="00300168" w:rsidP="008D3D4F">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According</w:t>
      </w:r>
      <w:r w:rsidR="00CE6AC1">
        <w:rPr>
          <w:rFonts w:asciiTheme="majorBidi" w:hAnsiTheme="majorBidi" w:cstheme="majorBidi"/>
          <w:sz w:val="24"/>
          <w:szCs w:val="24"/>
        </w:rPr>
        <w:t xml:space="preserve"> to Xuanzang’s travelogue and biography</w:t>
      </w:r>
      <w:r>
        <w:rPr>
          <w:rFonts w:asciiTheme="majorBidi" w:hAnsiTheme="majorBidi" w:cstheme="majorBidi"/>
          <w:sz w:val="24"/>
          <w:szCs w:val="24"/>
        </w:rPr>
        <w:t>, the Oxus</w:t>
      </w:r>
      <w:r w:rsidR="00D4690A">
        <w:rPr>
          <w:rFonts w:asciiTheme="majorBidi" w:hAnsiTheme="majorBidi" w:cstheme="majorBidi"/>
          <w:sz w:val="24"/>
          <w:szCs w:val="24"/>
        </w:rPr>
        <w:t xml:space="preserve"> runs</w:t>
      </w:r>
      <w:r>
        <w:rPr>
          <w:rFonts w:asciiTheme="majorBidi" w:hAnsiTheme="majorBidi" w:cstheme="majorBidi"/>
          <w:sz w:val="24"/>
          <w:szCs w:val="24"/>
        </w:rPr>
        <w:t xml:space="preserve"> through the center of </w:t>
      </w:r>
      <w:r w:rsidR="00D4690A">
        <w:rPr>
          <w:rFonts w:asciiTheme="majorBidi" w:hAnsiTheme="majorBidi" w:cstheme="majorBidi"/>
          <w:sz w:val="24"/>
          <w:szCs w:val="24"/>
        </w:rPr>
        <w:t xml:space="preserve">Ṭukhāristān </w:t>
      </w:r>
      <w:r>
        <w:rPr>
          <w:rFonts w:asciiTheme="majorBidi" w:hAnsiTheme="majorBidi" w:cstheme="majorBidi"/>
          <w:sz w:val="24"/>
          <w:szCs w:val="24"/>
        </w:rPr>
        <w:t xml:space="preserve">instead of </w:t>
      </w:r>
      <w:r w:rsidR="00370792">
        <w:rPr>
          <w:rFonts w:asciiTheme="majorBidi" w:hAnsiTheme="majorBidi" w:cstheme="majorBidi"/>
          <w:sz w:val="24"/>
          <w:szCs w:val="24"/>
        </w:rPr>
        <w:t>marking</w:t>
      </w:r>
      <w:r>
        <w:rPr>
          <w:rFonts w:asciiTheme="majorBidi" w:hAnsiTheme="majorBidi" w:cstheme="majorBidi"/>
          <w:sz w:val="24"/>
          <w:szCs w:val="24"/>
        </w:rPr>
        <w:t xml:space="preserve"> its </w:t>
      </w:r>
      <w:r w:rsidR="00D4690A">
        <w:rPr>
          <w:rFonts w:asciiTheme="majorBidi" w:hAnsiTheme="majorBidi" w:cstheme="majorBidi"/>
          <w:sz w:val="24"/>
          <w:szCs w:val="24"/>
        </w:rPr>
        <w:t xml:space="preserve">northern </w:t>
      </w:r>
      <w:r>
        <w:rPr>
          <w:rFonts w:asciiTheme="majorBidi" w:hAnsiTheme="majorBidi" w:cstheme="majorBidi"/>
          <w:sz w:val="24"/>
          <w:szCs w:val="24"/>
        </w:rPr>
        <w:t>border as the medieval Muslim geographies show</w:t>
      </w:r>
      <w:r w:rsidR="00D4690A">
        <w:rPr>
          <w:rFonts w:asciiTheme="majorBidi" w:hAnsiTheme="majorBidi" w:cstheme="majorBidi"/>
          <w:sz w:val="24"/>
          <w:szCs w:val="24"/>
        </w:rPr>
        <w:t>;</w:t>
      </w:r>
      <w:r>
        <w:rPr>
          <w:rStyle w:val="FootnoteReference"/>
          <w:rFonts w:asciiTheme="majorBidi" w:hAnsiTheme="majorBidi"/>
          <w:sz w:val="24"/>
          <w:szCs w:val="24"/>
        </w:rPr>
        <w:footnoteReference w:id="54"/>
      </w:r>
      <w:r w:rsidR="00D4690A" w:rsidRPr="00D4690A">
        <w:rPr>
          <w:rFonts w:asciiTheme="majorBidi" w:hAnsiTheme="majorBidi" w:cstheme="majorBidi"/>
          <w:sz w:val="24"/>
          <w:szCs w:val="24"/>
        </w:rPr>
        <w:t xml:space="preserve"> </w:t>
      </w:r>
      <w:r w:rsidR="00D4690A">
        <w:rPr>
          <w:rFonts w:asciiTheme="majorBidi" w:hAnsiTheme="majorBidi" w:cstheme="majorBidi"/>
          <w:sz w:val="24"/>
          <w:szCs w:val="24"/>
        </w:rPr>
        <w:t xml:space="preserve">Tirmidh, </w:t>
      </w:r>
      <w:r w:rsidR="00D4690A" w:rsidRPr="00D60C3A">
        <w:rPr>
          <w:rFonts w:asciiTheme="majorBidi" w:hAnsiTheme="majorBidi" w:cstheme="majorBidi"/>
          <w:sz w:val="24"/>
          <w:szCs w:val="24"/>
        </w:rPr>
        <w:t>Chaghāniyān</w:t>
      </w:r>
      <w:r w:rsidR="00D4690A">
        <w:rPr>
          <w:rFonts w:asciiTheme="majorBidi" w:hAnsiTheme="majorBidi" w:cstheme="majorBidi"/>
          <w:sz w:val="24"/>
          <w:szCs w:val="24"/>
        </w:rPr>
        <w:t xml:space="preserve">, </w:t>
      </w:r>
      <w:r w:rsidR="00D4690A" w:rsidRPr="00D60C3A">
        <w:rPr>
          <w:rFonts w:asciiTheme="majorBidi" w:hAnsiTheme="majorBidi" w:cstheme="majorBidi"/>
          <w:sz w:val="24"/>
          <w:szCs w:val="24"/>
        </w:rPr>
        <w:t>Akharūn and Shūmān</w:t>
      </w:r>
      <w:r w:rsidR="00D4690A">
        <w:rPr>
          <w:rFonts w:asciiTheme="majorBidi" w:hAnsiTheme="majorBidi" w:cstheme="majorBidi"/>
          <w:sz w:val="24"/>
          <w:szCs w:val="24"/>
        </w:rPr>
        <w:t>,</w:t>
      </w:r>
      <w:r w:rsidR="00D4690A">
        <w:rPr>
          <w:rStyle w:val="FootnoteReference"/>
          <w:rFonts w:asciiTheme="majorBidi" w:hAnsiTheme="majorBidi" w:cstheme="majorBidi"/>
          <w:sz w:val="24"/>
          <w:szCs w:val="24"/>
        </w:rPr>
        <w:footnoteReference w:id="55"/>
      </w:r>
      <w:r w:rsidR="00D4690A">
        <w:rPr>
          <w:rFonts w:asciiTheme="majorBidi" w:hAnsiTheme="majorBidi" w:cstheme="majorBidi"/>
          <w:sz w:val="24"/>
          <w:szCs w:val="24"/>
        </w:rPr>
        <w:t xml:space="preserve"> </w:t>
      </w:r>
      <w:r w:rsidR="00D4690A" w:rsidRPr="00D60C3A">
        <w:rPr>
          <w:rFonts w:asciiTheme="majorBidi" w:hAnsiTheme="majorBidi" w:cstheme="majorBidi"/>
          <w:sz w:val="24"/>
          <w:szCs w:val="24"/>
        </w:rPr>
        <w:t>Quwādhiyān</w:t>
      </w:r>
      <w:r w:rsidR="00D4690A" w:rsidRPr="00D4690A">
        <w:rPr>
          <w:rFonts w:asciiTheme="majorBidi" w:hAnsiTheme="majorBidi" w:cstheme="majorBidi"/>
          <w:sz w:val="24"/>
          <w:szCs w:val="24"/>
        </w:rPr>
        <w:t xml:space="preserve"> </w:t>
      </w:r>
      <w:r w:rsidR="00D4690A">
        <w:rPr>
          <w:rFonts w:asciiTheme="majorBidi" w:hAnsiTheme="majorBidi" w:cstheme="majorBidi"/>
          <w:sz w:val="24"/>
          <w:szCs w:val="24"/>
        </w:rPr>
        <w:t xml:space="preserve">in </w:t>
      </w:r>
      <w:r w:rsidR="00D4690A" w:rsidRPr="00D60C3A">
        <w:rPr>
          <w:rFonts w:asciiTheme="majorBidi" w:hAnsiTheme="majorBidi" w:cstheme="majorBidi"/>
          <w:sz w:val="24"/>
          <w:szCs w:val="24"/>
        </w:rPr>
        <w:t>the Kafirnihān river</w:t>
      </w:r>
      <w:r w:rsidR="00D4690A">
        <w:rPr>
          <w:rFonts w:asciiTheme="majorBidi" w:hAnsiTheme="majorBidi" w:cstheme="majorBidi"/>
          <w:sz w:val="24"/>
          <w:szCs w:val="24"/>
        </w:rPr>
        <w:t xml:space="preserve">, Wakhsh and </w:t>
      </w:r>
      <w:r w:rsidR="00D4690A" w:rsidRPr="00D60C3A">
        <w:rPr>
          <w:rFonts w:asciiTheme="majorBidi" w:hAnsiTheme="majorBidi" w:cstheme="majorBidi"/>
          <w:sz w:val="24"/>
          <w:szCs w:val="24"/>
        </w:rPr>
        <w:t xml:space="preserve">Khuttalān </w:t>
      </w:r>
      <w:r w:rsidR="00D4690A">
        <w:rPr>
          <w:rFonts w:asciiTheme="majorBidi" w:hAnsiTheme="majorBidi" w:cstheme="majorBidi"/>
          <w:sz w:val="24"/>
          <w:szCs w:val="24"/>
        </w:rPr>
        <w:t xml:space="preserve">between the Wakhsh River and the Panj </w:t>
      </w:r>
      <w:r w:rsidR="00D4690A">
        <w:rPr>
          <w:rFonts w:asciiTheme="majorBidi" w:hAnsiTheme="majorBidi" w:cstheme="majorBidi"/>
          <w:sz w:val="24"/>
          <w:szCs w:val="24"/>
        </w:rPr>
        <w:lastRenderedPageBreak/>
        <w:t>River, Huoguo (</w:t>
      </w:r>
      <w:r w:rsidR="00D4690A">
        <w:rPr>
          <w:rFonts w:asciiTheme="majorBidi" w:hAnsiTheme="majorBidi" w:cstheme="majorBidi" w:hint="eastAsia"/>
          <w:sz w:val="24"/>
          <w:szCs w:val="24"/>
        </w:rPr>
        <w:t>活国</w:t>
      </w:r>
      <w:r w:rsidR="00D4690A">
        <w:rPr>
          <w:rFonts w:asciiTheme="majorBidi" w:hAnsiTheme="majorBidi" w:cstheme="majorBidi"/>
          <w:sz w:val="24"/>
          <w:szCs w:val="24"/>
        </w:rPr>
        <w:t>)</w:t>
      </w:r>
      <w:r w:rsidR="008D3D4F">
        <w:rPr>
          <w:rFonts w:asciiTheme="majorBidi" w:hAnsiTheme="majorBidi" w:cstheme="majorBidi"/>
          <w:sz w:val="24"/>
          <w:szCs w:val="24"/>
        </w:rPr>
        <w:t>, where</w:t>
      </w:r>
      <w:r w:rsidR="00D4690A">
        <w:rPr>
          <w:rFonts w:asciiTheme="majorBidi" w:hAnsiTheme="majorBidi" w:cstheme="majorBidi"/>
          <w:sz w:val="24"/>
          <w:szCs w:val="24"/>
        </w:rPr>
        <w:t xml:space="preserve"> </w:t>
      </w:r>
      <w:r w:rsidR="008D3D4F">
        <w:rPr>
          <w:rFonts w:asciiTheme="majorBidi" w:hAnsiTheme="majorBidi" w:cstheme="majorBidi"/>
          <w:sz w:val="24"/>
          <w:szCs w:val="24"/>
        </w:rPr>
        <w:t>the Yabghū</w:t>
      </w:r>
      <w:r w:rsidR="00675FCE">
        <w:rPr>
          <w:rFonts w:asciiTheme="majorBidi" w:hAnsiTheme="majorBidi" w:cstheme="majorBidi"/>
          <w:sz w:val="24"/>
          <w:szCs w:val="24"/>
        </w:rPr>
        <w:t xml:space="preserve"> </w:t>
      </w:r>
      <w:r w:rsidR="008D3D4F">
        <w:rPr>
          <w:rFonts w:asciiTheme="majorBidi" w:hAnsiTheme="majorBidi" w:cstheme="majorBidi"/>
          <w:sz w:val="24"/>
          <w:szCs w:val="24"/>
        </w:rPr>
        <w:t>held his court,</w:t>
      </w:r>
      <w:r w:rsidR="008D3D4F">
        <w:rPr>
          <w:rStyle w:val="FootnoteReference"/>
          <w:rFonts w:asciiTheme="majorBidi" w:hAnsiTheme="majorBidi"/>
          <w:sz w:val="24"/>
          <w:szCs w:val="24"/>
        </w:rPr>
        <w:footnoteReference w:id="56"/>
      </w:r>
      <w:r w:rsidR="00D4690A">
        <w:rPr>
          <w:rFonts w:asciiTheme="majorBidi" w:hAnsiTheme="majorBidi" w:cstheme="majorBidi"/>
          <w:sz w:val="24"/>
          <w:szCs w:val="24"/>
        </w:rPr>
        <w:t xml:space="preserve"> </w:t>
      </w:r>
      <w:r w:rsidR="008D3D4F">
        <w:rPr>
          <w:rFonts w:asciiTheme="majorBidi" w:hAnsiTheme="majorBidi" w:cstheme="majorBidi"/>
          <w:sz w:val="24"/>
          <w:szCs w:val="24"/>
        </w:rPr>
        <w:t xml:space="preserve">Balkh, and so on </w:t>
      </w:r>
      <w:r w:rsidR="00D4690A">
        <w:rPr>
          <w:rFonts w:asciiTheme="majorBidi" w:hAnsiTheme="majorBidi" w:cstheme="majorBidi"/>
          <w:sz w:val="24"/>
          <w:szCs w:val="24"/>
        </w:rPr>
        <w:t>are found in northern Ṭukhāristān</w:t>
      </w:r>
      <w:r w:rsidR="008D3D4F">
        <w:rPr>
          <w:rFonts w:asciiTheme="majorBidi" w:hAnsiTheme="majorBidi" w:cstheme="majorBidi"/>
          <w:sz w:val="24"/>
          <w:szCs w:val="24"/>
        </w:rPr>
        <w:t xml:space="preserve">; Zumathān, Gūzgān and Ṭālaqān belong to western Ṭukhāristān; </w:t>
      </w:r>
      <w:r w:rsidR="00D4690A">
        <w:rPr>
          <w:rFonts w:asciiTheme="majorBidi" w:hAnsiTheme="majorBidi" w:cstheme="majorBidi"/>
          <w:sz w:val="24"/>
          <w:szCs w:val="24"/>
        </w:rPr>
        <w:t xml:space="preserve">southern Ṭukhāristān </w:t>
      </w:r>
      <w:r w:rsidR="008D3D4F">
        <w:rPr>
          <w:rFonts w:asciiTheme="majorBidi" w:hAnsiTheme="majorBidi" w:cstheme="majorBidi"/>
          <w:sz w:val="24"/>
          <w:szCs w:val="24"/>
        </w:rPr>
        <w:t xml:space="preserve">touches </w:t>
      </w:r>
      <w:r w:rsidR="00D4690A">
        <w:rPr>
          <w:rFonts w:asciiTheme="majorBidi" w:hAnsiTheme="majorBidi" w:cstheme="majorBidi"/>
          <w:sz w:val="24"/>
          <w:szCs w:val="24"/>
        </w:rPr>
        <w:t>Bāmyān</w:t>
      </w:r>
      <w:r w:rsidR="008D3D4F">
        <w:rPr>
          <w:rFonts w:asciiTheme="majorBidi" w:hAnsiTheme="majorBidi" w:cstheme="majorBidi"/>
          <w:sz w:val="24"/>
          <w:szCs w:val="24"/>
        </w:rPr>
        <w:t>;</w:t>
      </w:r>
      <w:r w:rsidR="00D4690A">
        <w:rPr>
          <w:rStyle w:val="FootnoteReference"/>
          <w:rFonts w:asciiTheme="majorBidi" w:hAnsiTheme="majorBidi"/>
          <w:sz w:val="24"/>
          <w:szCs w:val="24"/>
        </w:rPr>
        <w:footnoteReference w:id="57"/>
      </w:r>
      <w:r w:rsidR="00D4690A">
        <w:rPr>
          <w:rFonts w:asciiTheme="majorBidi" w:hAnsiTheme="majorBidi" w:cstheme="majorBidi"/>
          <w:sz w:val="24"/>
          <w:szCs w:val="24"/>
        </w:rPr>
        <w:t xml:space="preserve"> </w:t>
      </w:r>
      <w:r w:rsidR="00370792">
        <w:rPr>
          <w:rFonts w:asciiTheme="majorBidi" w:hAnsiTheme="majorBidi" w:cstheme="majorBidi"/>
          <w:sz w:val="24"/>
          <w:szCs w:val="24"/>
        </w:rPr>
        <w:t>its</w:t>
      </w:r>
      <w:r w:rsidR="008D3D4F">
        <w:rPr>
          <w:rFonts w:asciiTheme="majorBidi" w:hAnsiTheme="majorBidi" w:cstheme="majorBidi"/>
          <w:sz w:val="24"/>
          <w:szCs w:val="24"/>
        </w:rPr>
        <w:t xml:space="preserve"> eastern part includes </w:t>
      </w:r>
      <w:r w:rsidR="00D4690A">
        <w:rPr>
          <w:rFonts w:asciiTheme="majorBidi" w:hAnsiTheme="majorBidi" w:cstheme="majorBidi"/>
          <w:sz w:val="24"/>
          <w:szCs w:val="24"/>
        </w:rPr>
        <w:t xml:space="preserve">Khost, Mungān, Ārhan, Rāhula, Kishm, Pārghar, Hephthal, Badakhshān, Yamgān, Kurān and Dar-i Mastit </w:t>
      </w:r>
      <w:r w:rsidR="00370792">
        <w:rPr>
          <w:rFonts w:asciiTheme="majorBidi" w:hAnsiTheme="majorBidi" w:cstheme="majorBidi"/>
          <w:sz w:val="24"/>
          <w:szCs w:val="24"/>
        </w:rPr>
        <w:t xml:space="preserve">in the </w:t>
      </w:r>
      <w:r w:rsidR="00437269">
        <w:rPr>
          <w:rFonts w:asciiTheme="majorBidi" w:hAnsiTheme="majorBidi" w:cstheme="majorBidi"/>
          <w:sz w:val="24"/>
          <w:szCs w:val="24"/>
        </w:rPr>
        <w:t>Wakhān</w:t>
      </w:r>
      <w:r w:rsidR="00370792">
        <w:rPr>
          <w:rFonts w:asciiTheme="majorBidi" w:hAnsiTheme="majorBidi" w:cstheme="majorBidi"/>
          <w:sz w:val="24"/>
          <w:szCs w:val="24"/>
        </w:rPr>
        <w:t xml:space="preserve"> Corridor</w:t>
      </w:r>
      <w:r w:rsidR="00D4690A">
        <w:rPr>
          <w:rFonts w:asciiTheme="majorBidi" w:hAnsiTheme="majorBidi" w:cstheme="majorBidi"/>
          <w:sz w:val="24"/>
          <w:szCs w:val="24"/>
        </w:rPr>
        <w:t>.</w:t>
      </w:r>
      <w:r w:rsidR="00D4690A">
        <w:rPr>
          <w:rStyle w:val="FootnoteReference"/>
          <w:rFonts w:asciiTheme="majorBidi" w:hAnsiTheme="majorBidi"/>
          <w:sz w:val="24"/>
          <w:szCs w:val="24"/>
        </w:rPr>
        <w:footnoteReference w:id="58"/>
      </w:r>
      <w:r w:rsidR="008D3D4F" w:rsidRPr="008D3D4F">
        <w:rPr>
          <w:rFonts w:asciiTheme="majorBidi" w:hAnsiTheme="majorBidi" w:cstheme="majorBidi"/>
          <w:sz w:val="24"/>
          <w:szCs w:val="24"/>
        </w:rPr>
        <w:t xml:space="preserve"> </w:t>
      </w:r>
      <w:r w:rsidR="008D3D4F">
        <w:rPr>
          <w:rFonts w:asciiTheme="majorBidi" w:hAnsiTheme="majorBidi" w:cstheme="majorBidi"/>
          <w:sz w:val="24"/>
          <w:szCs w:val="24"/>
        </w:rPr>
        <w:t xml:space="preserve">In other words, Ṭukhāristān </w:t>
      </w:r>
      <w:r w:rsidR="00370792">
        <w:rPr>
          <w:rFonts w:asciiTheme="majorBidi" w:hAnsiTheme="majorBidi" w:cstheme="majorBidi"/>
          <w:sz w:val="24"/>
          <w:szCs w:val="24"/>
        </w:rPr>
        <w:t>was</w:t>
      </w:r>
      <w:r w:rsidR="008D3D4F">
        <w:rPr>
          <w:rFonts w:asciiTheme="majorBidi" w:hAnsiTheme="majorBidi" w:cstheme="majorBidi"/>
          <w:sz w:val="24"/>
          <w:szCs w:val="24"/>
        </w:rPr>
        <w:t xml:space="preserve"> not limited to modern northern Afghanistan, but include</w:t>
      </w:r>
      <w:r w:rsidR="00370792">
        <w:rPr>
          <w:rFonts w:asciiTheme="majorBidi" w:hAnsiTheme="majorBidi" w:cstheme="majorBidi"/>
          <w:sz w:val="24"/>
          <w:szCs w:val="24"/>
        </w:rPr>
        <w:t>d</w:t>
      </w:r>
      <w:r w:rsidR="008D3D4F">
        <w:rPr>
          <w:rFonts w:asciiTheme="majorBidi" w:hAnsiTheme="majorBidi" w:cstheme="majorBidi"/>
          <w:sz w:val="24"/>
          <w:szCs w:val="24"/>
        </w:rPr>
        <w:t xml:space="preserve"> regions in modern Uzbekistan and Tajikistan as well. </w:t>
      </w:r>
      <w:r w:rsidR="009275E2">
        <w:rPr>
          <w:rFonts w:asciiTheme="majorBidi" w:hAnsiTheme="majorBidi" w:cstheme="majorBidi"/>
          <w:sz w:val="24"/>
          <w:szCs w:val="24"/>
        </w:rPr>
        <w:t>Huoguo</w:t>
      </w:r>
      <w:r w:rsidR="008D3D4F">
        <w:rPr>
          <w:rFonts w:asciiTheme="majorBidi" w:hAnsiTheme="majorBidi" w:cstheme="majorBidi"/>
          <w:sz w:val="24"/>
          <w:szCs w:val="24"/>
        </w:rPr>
        <w:t xml:space="preserve"> was</w:t>
      </w:r>
      <w:r w:rsidR="00370792">
        <w:rPr>
          <w:rFonts w:asciiTheme="majorBidi" w:hAnsiTheme="majorBidi" w:cstheme="majorBidi"/>
          <w:sz w:val="24"/>
          <w:szCs w:val="24"/>
        </w:rPr>
        <w:t xml:space="preserve"> the</w:t>
      </w:r>
      <w:r w:rsidR="008D3D4F">
        <w:rPr>
          <w:rFonts w:asciiTheme="majorBidi" w:hAnsiTheme="majorBidi" w:cstheme="majorBidi"/>
          <w:sz w:val="24"/>
          <w:szCs w:val="24"/>
        </w:rPr>
        <w:t xml:space="preserve"> political center</w:t>
      </w:r>
      <w:r w:rsidR="00370792">
        <w:rPr>
          <w:rFonts w:asciiTheme="majorBidi" w:hAnsiTheme="majorBidi" w:cstheme="majorBidi"/>
          <w:sz w:val="24"/>
          <w:szCs w:val="24"/>
        </w:rPr>
        <w:t xml:space="preserve"> of the region</w:t>
      </w:r>
      <w:r w:rsidR="008D3D4F">
        <w:rPr>
          <w:rFonts w:asciiTheme="majorBidi" w:hAnsiTheme="majorBidi" w:cstheme="majorBidi"/>
          <w:sz w:val="24"/>
          <w:szCs w:val="24"/>
        </w:rPr>
        <w:t xml:space="preserve">, while </w:t>
      </w:r>
      <w:r w:rsidR="00E500E7">
        <w:rPr>
          <w:rFonts w:asciiTheme="majorBidi" w:hAnsiTheme="majorBidi" w:cstheme="majorBidi"/>
          <w:sz w:val="24"/>
          <w:szCs w:val="24"/>
        </w:rPr>
        <w:t>the traditional</w:t>
      </w:r>
      <w:r w:rsidR="008D3D4F">
        <w:rPr>
          <w:rFonts w:asciiTheme="majorBidi" w:hAnsiTheme="majorBidi" w:cstheme="majorBidi"/>
          <w:sz w:val="24"/>
          <w:szCs w:val="24"/>
        </w:rPr>
        <w:t xml:space="preserve"> capital Balkh played a major religious role</w:t>
      </w:r>
      <w:r w:rsidR="009275E2">
        <w:rPr>
          <w:rFonts w:asciiTheme="majorBidi" w:hAnsiTheme="majorBidi" w:cstheme="majorBidi"/>
          <w:sz w:val="24"/>
          <w:szCs w:val="24"/>
        </w:rPr>
        <w:t xml:space="preserve"> (see map 2 in Appendix I)</w:t>
      </w:r>
      <w:r w:rsidR="008D3D4F">
        <w:rPr>
          <w:rFonts w:asciiTheme="majorBidi" w:hAnsiTheme="majorBidi" w:cstheme="majorBidi"/>
          <w:sz w:val="24"/>
          <w:szCs w:val="24"/>
        </w:rPr>
        <w:t>.</w:t>
      </w:r>
      <w:r w:rsidR="008D3D4F">
        <w:rPr>
          <w:rStyle w:val="FootnoteReference"/>
          <w:rFonts w:asciiTheme="majorBidi" w:hAnsiTheme="majorBidi" w:cstheme="majorBidi"/>
          <w:sz w:val="24"/>
          <w:szCs w:val="24"/>
        </w:rPr>
        <w:footnoteReference w:id="59"/>
      </w:r>
    </w:p>
    <w:p w14:paraId="067E30C5" w14:textId="3221A872" w:rsidR="00D72BD3" w:rsidRDefault="00D72BD3" w:rsidP="008D3D4F">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And the region is fragmentary and divided into subregions by natural boundaries such as mountains and rivers.</w:t>
      </w:r>
      <w:r w:rsidRPr="0066640F">
        <w:rPr>
          <w:rFonts w:asciiTheme="majorBidi" w:hAnsiTheme="majorBidi" w:cstheme="majorBidi"/>
          <w:sz w:val="24"/>
          <w:szCs w:val="28"/>
          <w:vertAlign w:val="superscript"/>
        </w:rPr>
        <w:footnoteReference w:id="60"/>
      </w:r>
      <w:r>
        <w:rPr>
          <w:rFonts w:asciiTheme="majorBidi" w:hAnsiTheme="majorBidi" w:cstheme="majorBidi"/>
          <w:sz w:val="24"/>
          <w:szCs w:val="24"/>
        </w:rPr>
        <w:t xml:space="preserve"> As Haug described, these separate regions in Ṭukhāristān, being largely cities with dependent villages and agricultural hinterlands, </w:t>
      </w:r>
      <w:r>
        <w:rPr>
          <w:rFonts w:asciiTheme="majorBidi" w:hAnsiTheme="majorBidi" w:cstheme="majorBidi"/>
          <w:sz w:val="24"/>
          <w:szCs w:val="24"/>
        </w:rPr>
        <w:lastRenderedPageBreak/>
        <w:t>were connected by a web of routes.</w:t>
      </w:r>
      <w:r>
        <w:rPr>
          <w:rStyle w:val="FootnoteReference"/>
          <w:rFonts w:asciiTheme="majorBidi" w:hAnsiTheme="majorBidi" w:cstheme="majorBidi"/>
          <w:sz w:val="24"/>
          <w:szCs w:val="24"/>
        </w:rPr>
        <w:footnoteReference w:id="61"/>
      </w:r>
      <w:r>
        <w:rPr>
          <w:rFonts w:asciiTheme="majorBidi" w:hAnsiTheme="majorBidi" w:cstheme="majorBidi"/>
          <w:sz w:val="24"/>
          <w:szCs w:val="24"/>
        </w:rPr>
        <w:t xml:space="preserve"> Warwālīz, Bāghlān, Badakhshān and Himatala in the east of the region and Bādghīs and Gūzgān in the west had pastures and attracted the nomadic Hephthalites and Turks.</w:t>
      </w:r>
    </w:p>
    <w:p w14:paraId="76DBF711" w14:textId="7ACDAA00" w:rsidR="008D3D4F" w:rsidRDefault="00F9127B" w:rsidP="00A748BE">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Interestingly</w:t>
      </w:r>
      <w:r w:rsidR="00E876E9">
        <w:rPr>
          <w:rFonts w:asciiTheme="majorBidi" w:hAnsiTheme="majorBidi" w:cstheme="majorBidi"/>
          <w:sz w:val="24"/>
          <w:szCs w:val="24"/>
        </w:rPr>
        <w:t xml:space="preserve"> enough, Xuanzang uses</w:t>
      </w:r>
      <w:r w:rsidR="008D3D4F">
        <w:rPr>
          <w:rFonts w:asciiTheme="majorBidi" w:hAnsiTheme="majorBidi" w:cstheme="majorBidi"/>
          <w:sz w:val="24"/>
          <w:szCs w:val="24"/>
        </w:rPr>
        <w:t xml:space="preserve"> Ṭukhāristān in two different ways in his reports</w:t>
      </w:r>
      <w:r w:rsidR="008D3D4F" w:rsidRPr="00B37933">
        <w:rPr>
          <w:rFonts w:asciiTheme="majorBidi" w:hAnsiTheme="majorBidi" w:cstheme="majorBidi"/>
          <w:sz w:val="24"/>
          <w:szCs w:val="24"/>
        </w:rPr>
        <w:t xml:space="preserve">. </w:t>
      </w:r>
      <w:r>
        <w:rPr>
          <w:rFonts w:asciiTheme="majorBidi" w:hAnsiTheme="majorBidi" w:cstheme="majorBidi"/>
          <w:sz w:val="24"/>
          <w:szCs w:val="24"/>
        </w:rPr>
        <w:t>O</w:t>
      </w:r>
      <w:r w:rsidRPr="00F9127B">
        <w:rPr>
          <w:rFonts w:asciiTheme="majorBidi" w:hAnsiTheme="majorBidi" w:cstheme="majorBidi"/>
          <w:sz w:val="24"/>
          <w:szCs w:val="24"/>
        </w:rPr>
        <w:t xml:space="preserve">ne is the contemporaneous geographical region named </w:t>
      </w:r>
      <w:r>
        <w:rPr>
          <w:rFonts w:asciiTheme="majorBidi" w:hAnsiTheme="majorBidi" w:cstheme="majorBidi"/>
          <w:sz w:val="24"/>
          <w:szCs w:val="24"/>
        </w:rPr>
        <w:t>Ṭukhāristān</w:t>
      </w:r>
      <w:r w:rsidRPr="00F9127B">
        <w:rPr>
          <w:rFonts w:asciiTheme="majorBidi" w:hAnsiTheme="majorBidi" w:cstheme="majorBidi"/>
          <w:sz w:val="24"/>
          <w:szCs w:val="24"/>
        </w:rPr>
        <w:t xml:space="preserve"> and the other “the old territories” of </w:t>
      </w:r>
      <w:r w:rsidR="00996AD1">
        <w:rPr>
          <w:rFonts w:asciiTheme="majorBidi" w:hAnsiTheme="majorBidi" w:cstheme="majorBidi"/>
          <w:sz w:val="24"/>
          <w:szCs w:val="24"/>
        </w:rPr>
        <w:t xml:space="preserve">the state of </w:t>
      </w:r>
      <w:r>
        <w:rPr>
          <w:rFonts w:asciiTheme="majorBidi" w:hAnsiTheme="majorBidi" w:cstheme="majorBidi"/>
          <w:sz w:val="24"/>
          <w:szCs w:val="24"/>
        </w:rPr>
        <w:t>Ṭukhāristān</w:t>
      </w:r>
      <w:r w:rsidR="003420C7">
        <w:rPr>
          <w:rFonts w:asciiTheme="majorBidi" w:hAnsiTheme="majorBidi" w:cstheme="majorBidi"/>
          <w:sz w:val="24"/>
          <w:szCs w:val="24"/>
        </w:rPr>
        <w:t xml:space="preserve"> (</w:t>
      </w:r>
      <w:r w:rsidR="003420C7">
        <w:rPr>
          <w:rFonts w:asciiTheme="majorBidi" w:hAnsiTheme="majorBidi" w:cstheme="majorBidi" w:hint="eastAsia"/>
          <w:sz w:val="24"/>
          <w:szCs w:val="24"/>
        </w:rPr>
        <w:t>睹货逻国故地</w:t>
      </w:r>
      <w:r w:rsidR="003420C7">
        <w:rPr>
          <w:rFonts w:asciiTheme="majorBidi" w:hAnsiTheme="majorBidi" w:cstheme="majorBidi"/>
          <w:sz w:val="24"/>
          <w:szCs w:val="24"/>
        </w:rPr>
        <w:t xml:space="preserve">), </w:t>
      </w:r>
      <w:r w:rsidRPr="00F9127B">
        <w:rPr>
          <w:rFonts w:asciiTheme="majorBidi" w:hAnsiTheme="majorBidi" w:cstheme="majorBidi"/>
          <w:sz w:val="24"/>
          <w:szCs w:val="24"/>
        </w:rPr>
        <w:t xml:space="preserve">which </w:t>
      </w:r>
      <w:r w:rsidR="003420C7">
        <w:rPr>
          <w:rFonts w:asciiTheme="majorBidi" w:hAnsiTheme="majorBidi" w:cstheme="majorBidi"/>
          <w:sz w:val="24"/>
          <w:szCs w:val="24"/>
        </w:rPr>
        <w:t xml:space="preserve">apparently </w:t>
      </w:r>
      <w:r w:rsidRPr="00F9127B">
        <w:rPr>
          <w:rFonts w:asciiTheme="majorBidi" w:hAnsiTheme="majorBidi" w:cstheme="majorBidi"/>
          <w:sz w:val="24"/>
          <w:szCs w:val="24"/>
        </w:rPr>
        <w:t>refer to a no-longer-existing polity</w:t>
      </w:r>
      <w:r w:rsidR="003420C7">
        <w:rPr>
          <w:rFonts w:asciiTheme="majorBidi" w:hAnsiTheme="majorBidi" w:cstheme="majorBidi"/>
          <w:sz w:val="24"/>
          <w:szCs w:val="24"/>
        </w:rPr>
        <w:t>.</w:t>
      </w:r>
      <w:r>
        <w:rPr>
          <w:rStyle w:val="FootnoteReference"/>
          <w:rFonts w:asciiTheme="majorBidi" w:hAnsiTheme="majorBidi"/>
          <w:sz w:val="24"/>
          <w:szCs w:val="24"/>
        </w:rPr>
        <w:footnoteReference w:id="62"/>
      </w:r>
      <w:r w:rsidRPr="00F9127B">
        <w:rPr>
          <w:rFonts w:asciiTheme="majorBidi" w:hAnsiTheme="majorBidi" w:cstheme="majorBidi"/>
          <w:sz w:val="24"/>
          <w:szCs w:val="24"/>
        </w:rPr>
        <w:t xml:space="preserve"> </w:t>
      </w:r>
      <w:r w:rsidR="003420C7">
        <w:rPr>
          <w:rFonts w:asciiTheme="majorBidi" w:hAnsiTheme="majorBidi" w:cstheme="majorBidi"/>
          <w:sz w:val="24"/>
          <w:szCs w:val="24"/>
        </w:rPr>
        <w:t xml:space="preserve">And </w:t>
      </w:r>
      <w:r w:rsidR="003420C7">
        <w:rPr>
          <w:rFonts w:asciiTheme="majorBidi" w:hAnsiTheme="majorBidi" w:cstheme="majorBidi" w:hint="eastAsia"/>
          <w:sz w:val="24"/>
          <w:szCs w:val="24"/>
        </w:rPr>
        <w:t>most</w:t>
      </w:r>
      <w:r w:rsidR="003420C7">
        <w:rPr>
          <w:rFonts w:asciiTheme="majorBidi" w:hAnsiTheme="majorBidi" w:cstheme="majorBidi"/>
          <w:sz w:val="24"/>
          <w:szCs w:val="24"/>
        </w:rPr>
        <w:t xml:space="preserve"> </w:t>
      </w:r>
      <w:r w:rsidRPr="00F9127B">
        <w:rPr>
          <w:rFonts w:asciiTheme="majorBidi" w:hAnsiTheme="majorBidi" w:cstheme="majorBidi"/>
          <w:sz w:val="24"/>
          <w:szCs w:val="24"/>
        </w:rPr>
        <w:t>probably</w:t>
      </w:r>
      <w:r w:rsidR="003420C7" w:rsidRPr="003420C7">
        <w:rPr>
          <w:rFonts w:asciiTheme="majorBidi" w:hAnsiTheme="majorBidi" w:cstheme="majorBidi"/>
          <w:sz w:val="24"/>
          <w:szCs w:val="24"/>
        </w:rPr>
        <w:t xml:space="preserve"> </w:t>
      </w:r>
      <w:r w:rsidR="003420C7">
        <w:rPr>
          <w:rFonts w:asciiTheme="majorBidi" w:hAnsiTheme="majorBidi" w:cstheme="majorBidi"/>
          <w:sz w:val="24"/>
          <w:szCs w:val="24"/>
        </w:rPr>
        <w:t>it</w:t>
      </w:r>
      <w:r w:rsidRPr="00F9127B">
        <w:rPr>
          <w:rFonts w:asciiTheme="majorBidi" w:hAnsiTheme="majorBidi" w:cstheme="majorBidi"/>
          <w:sz w:val="24"/>
          <w:szCs w:val="24"/>
        </w:rPr>
        <w:t xml:space="preserve"> </w:t>
      </w:r>
      <w:r w:rsidR="003420C7">
        <w:rPr>
          <w:rFonts w:asciiTheme="majorBidi" w:hAnsiTheme="majorBidi" w:cstheme="majorBidi"/>
          <w:sz w:val="24"/>
          <w:szCs w:val="24"/>
        </w:rPr>
        <w:t xml:space="preserve">could be identified as </w:t>
      </w:r>
      <w:r w:rsidRPr="00F9127B">
        <w:rPr>
          <w:rFonts w:asciiTheme="majorBidi" w:hAnsiTheme="majorBidi" w:cstheme="majorBidi"/>
          <w:sz w:val="24"/>
          <w:szCs w:val="24"/>
        </w:rPr>
        <w:t>the Kushan Empire (20-230CE)</w:t>
      </w:r>
      <w:r w:rsidR="00996AD1">
        <w:rPr>
          <w:rFonts w:asciiTheme="majorBidi" w:hAnsiTheme="majorBidi" w:cstheme="majorBidi"/>
          <w:sz w:val="24"/>
          <w:szCs w:val="24"/>
        </w:rPr>
        <w:t>,</w:t>
      </w:r>
      <w:r>
        <w:rPr>
          <w:rStyle w:val="FootnoteReference"/>
          <w:rFonts w:asciiTheme="majorBidi" w:hAnsiTheme="majorBidi" w:cstheme="majorBidi"/>
          <w:sz w:val="24"/>
          <w:szCs w:val="24"/>
        </w:rPr>
        <w:footnoteReference w:id="63"/>
      </w:r>
      <w:r w:rsidR="00996AD1">
        <w:rPr>
          <w:rFonts w:asciiTheme="majorBidi" w:hAnsiTheme="majorBidi" w:cstheme="majorBidi"/>
          <w:sz w:val="24"/>
          <w:szCs w:val="24"/>
        </w:rPr>
        <w:t xml:space="preserve"> with Ṭukhāristān as the core territory of the Empire.</w:t>
      </w:r>
    </w:p>
    <w:p w14:paraId="5951806D" w14:textId="00771A87" w:rsidR="00A748BE" w:rsidRDefault="008D3D4F" w:rsidP="008D3D4F">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A comparison between </w:t>
      </w:r>
      <w:r w:rsidR="00996AD1">
        <w:rPr>
          <w:rFonts w:asciiTheme="majorBidi" w:hAnsiTheme="majorBidi" w:cstheme="majorBidi"/>
          <w:sz w:val="24"/>
          <w:szCs w:val="24"/>
        </w:rPr>
        <w:t>Xuanzang’s reports</w:t>
      </w:r>
      <w:r>
        <w:rPr>
          <w:rFonts w:asciiTheme="majorBidi" w:hAnsiTheme="majorBidi" w:cstheme="majorBidi"/>
          <w:sz w:val="24"/>
          <w:szCs w:val="24"/>
        </w:rPr>
        <w:t xml:space="preserve"> and the medieval Muslim geograph</w:t>
      </w:r>
      <w:r w:rsidR="00A748BE">
        <w:rPr>
          <w:rFonts w:asciiTheme="majorBidi" w:hAnsiTheme="majorBidi" w:cstheme="majorBidi"/>
          <w:sz w:val="24"/>
          <w:szCs w:val="24"/>
        </w:rPr>
        <w:t xml:space="preserve">ies </w:t>
      </w:r>
      <w:r>
        <w:rPr>
          <w:rFonts w:asciiTheme="majorBidi" w:hAnsiTheme="majorBidi" w:cstheme="majorBidi"/>
          <w:sz w:val="24"/>
          <w:szCs w:val="24"/>
        </w:rPr>
        <w:t xml:space="preserve">shows that there is a striking contrast between </w:t>
      </w:r>
      <w:r w:rsidR="00A748BE">
        <w:rPr>
          <w:rFonts w:asciiTheme="majorBidi" w:hAnsiTheme="majorBidi" w:cstheme="majorBidi"/>
          <w:sz w:val="24"/>
          <w:szCs w:val="24"/>
        </w:rPr>
        <w:t>the boundaries given by them</w:t>
      </w:r>
      <w:r>
        <w:rPr>
          <w:rFonts w:asciiTheme="majorBidi" w:hAnsiTheme="majorBidi" w:cstheme="majorBidi"/>
          <w:sz w:val="24"/>
          <w:szCs w:val="24"/>
        </w:rPr>
        <w:t xml:space="preserve">, with the Muslim </w:t>
      </w:r>
      <w:r w:rsidR="00A748BE">
        <w:rPr>
          <w:rFonts w:asciiTheme="majorBidi" w:hAnsiTheme="majorBidi" w:cstheme="majorBidi"/>
          <w:sz w:val="24"/>
          <w:szCs w:val="24"/>
        </w:rPr>
        <w:t>sources</w:t>
      </w:r>
      <w:r>
        <w:rPr>
          <w:rFonts w:asciiTheme="majorBidi" w:hAnsiTheme="majorBidi" w:cstheme="majorBidi"/>
          <w:sz w:val="24"/>
          <w:szCs w:val="24"/>
        </w:rPr>
        <w:t xml:space="preserve"> report</w:t>
      </w:r>
      <w:r w:rsidR="0078471D">
        <w:rPr>
          <w:rFonts w:asciiTheme="majorBidi" w:hAnsiTheme="majorBidi" w:cstheme="majorBidi"/>
          <w:sz w:val="24"/>
          <w:szCs w:val="24"/>
        </w:rPr>
        <w:t>ing</w:t>
      </w:r>
      <w:r>
        <w:rPr>
          <w:rFonts w:asciiTheme="majorBidi" w:hAnsiTheme="majorBidi" w:cstheme="majorBidi"/>
          <w:sz w:val="24"/>
          <w:szCs w:val="24"/>
        </w:rPr>
        <w:t xml:space="preserve"> that </w:t>
      </w:r>
      <w:r w:rsidR="00996AD1">
        <w:rPr>
          <w:rFonts w:asciiTheme="majorBidi" w:hAnsiTheme="majorBidi" w:cstheme="majorBidi"/>
          <w:sz w:val="24"/>
          <w:szCs w:val="24"/>
        </w:rPr>
        <w:t xml:space="preserve">Ṭukhāristān </w:t>
      </w:r>
      <w:r>
        <w:rPr>
          <w:rFonts w:asciiTheme="majorBidi" w:hAnsiTheme="majorBidi" w:cstheme="majorBidi"/>
          <w:sz w:val="24"/>
          <w:szCs w:val="24"/>
        </w:rPr>
        <w:t xml:space="preserve">was situated between </w:t>
      </w:r>
      <w:r w:rsidRPr="00CA398E">
        <w:rPr>
          <w:rFonts w:asciiTheme="majorBidi" w:hAnsiTheme="majorBidi" w:cstheme="majorBidi"/>
          <w:sz w:val="24"/>
          <w:szCs w:val="24"/>
        </w:rPr>
        <w:t xml:space="preserve">the Oxus in the north to the </w:t>
      </w:r>
      <w:r>
        <w:rPr>
          <w:rFonts w:asciiTheme="majorBidi" w:hAnsiTheme="majorBidi" w:cstheme="majorBidi"/>
          <w:sz w:val="24"/>
          <w:szCs w:val="24"/>
        </w:rPr>
        <w:t>Hindukush</w:t>
      </w:r>
      <w:r w:rsidRPr="00CA398E">
        <w:rPr>
          <w:rFonts w:asciiTheme="majorBidi" w:hAnsiTheme="majorBidi" w:cstheme="majorBidi"/>
          <w:sz w:val="24"/>
          <w:szCs w:val="24"/>
        </w:rPr>
        <w:t xml:space="preserve"> </w:t>
      </w:r>
      <w:r>
        <w:rPr>
          <w:rFonts w:asciiTheme="majorBidi" w:hAnsiTheme="majorBidi" w:cstheme="majorBidi"/>
          <w:sz w:val="24"/>
          <w:szCs w:val="24"/>
        </w:rPr>
        <w:t xml:space="preserve">passes </w:t>
      </w:r>
      <w:r w:rsidRPr="00CA398E">
        <w:rPr>
          <w:rFonts w:asciiTheme="majorBidi" w:hAnsiTheme="majorBidi" w:cstheme="majorBidi"/>
          <w:sz w:val="24"/>
          <w:szCs w:val="24"/>
        </w:rPr>
        <w:t xml:space="preserve">in the south, and between Balkh </w:t>
      </w:r>
      <w:r>
        <w:rPr>
          <w:rFonts w:asciiTheme="majorBidi" w:hAnsiTheme="majorBidi" w:cstheme="majorBidi"/>
          <w:sz w:val="24"/>
          <w:szCs w:val="24"/>
        </w:rPr>
        <w:t xml:space="preserve">and </w:t>
      </w:r>
      <w:r w:rsidRPr="00CA398E">
        <w:rPr>
          <w:rFonts w:asciiTheme="majorBidi" w:hAnsiTheme="majorBidi" w:cstheme="majorBidi"/>
          <w:sz w:val="24"/>
          <w:szCs w:val="24"/>
        </w:rPr>
        <w:t xml:space="preserve">Badakhshān </w:t>
      </w:r>
      <w:r>
        <w:rPr>
          <w:rFonts w:asciiTheme="majorBidi" w:hAnsiTheme="majorBidi" w:cstheme="majorBidi"/>
          <w:sz w:val="24"/>
          <w:szCs w:val="24"/>
        </w:rPr>
        <w:t>with both beyond the region.</w:t>
      </w:r>
      <w:r w:rsidRPr="00CA398E">
        <w:rPr>
          <w:rStyle w:val="FootnoteReference"/>
          <w:rFonts w:asciiTheme="majorBidi" w:hAnsiTheme="majorBidi"/>
          <w:sz w:val="24"/>
          <w:szCs w:val="24"/>
        </w:rPr>
        <w:footnoteReference w:id="64"/>
      </w:r>
    </w:p>
    <w:p w14:paraId="3F542917" w14:textId="16EBD1E3" w:rsidR="008D3D4F" w:rsidRDefault="00A748BE" w:rsidP="00DA0052">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An explanation is </w:t>
      </w:r>
      <w:r w:rsidR="008D3D4F">
        <w:rPr>
          <w:rFonts w:asciiTheme="majorBidi" w:hAnsiTheme="majorBidi" w:cstheme="majorBidi"/>
          <w:sz w:val="24"/>
          <w:szCs w:val="24"/>
        </w:rPr>
        <w:t xml:space="preserve">the borders of Ṭukhāristān change </w:t>
      </w:r>
      <w:r w:rsidR="0078471D">
        <w:rPr>
          <w:rFonts w:asciiTheme="majorBidi" w:hAnsiTheme="majorBidi" w:cstheme="majorBidi"/>
          <w:sz w:val="24"/>
          <w:szCs w:val="24"/>
        </w:rPr>
        <w:t>due to the administrative divisions during the 9</w:t>
      </w:r>
      <w:r w:rsidR="0078471D" w:rsidRPr="0078471D">
        <w:rPr>
          <w:rFonts w:asciiTheme="majorBidi" w:hAnsiTheme="majorBidi" w:cstheme="majorBidi"/>
          <w:sz w:val="24"/>
          <w:szCs w:val="24"/>
          <w:vertAlign w:val="superscript"/>
        </w:rPr>
        <w:t>th</w:t>
      </w:r>
      <w:r w:rsidR="0078471D">
        <w:rPr>
          <w:rFonts w:asciiTheme="majorBidi" w:hAnsiTheme="majorBidi" w:cstheme="majorBidi"/>
          <w:sz w:val="24"/>
          <w:szCs w:val="24"/>
        </w:rPr>
        <w:t xml:space="preserve"> and 10</w:t>
      </w:r>
      <w:r w:rsidR="0078471D" w:rsidRPr="0078471D">
        <w:rPr>
          <w:rFonts w:asciiTheme="majorBidi" w:hAnsiTheme="majorBidi" w:cstheme="majorBidi"/>
          <w:sz w:val="24"/>
          <w:szCs w:val="24"/>
          <w:vertAlign w:val="superscript"/>
        </w:rPr>
        <w:t>th</w:t>
      </w:r>
      <w:r w:rsidR="0078471D">
        <w:rPr>
          <w:rFonts w:asciiTheme="majorBidi" w:hAnsiTheme="majorBidi" w:cstheme="majorBidi"/>
          <w:sz w:val="24"/>
          <w:szCs w:val="24"/>
        </w:rPr>
        <w:t xml:space="preserve"> centuries</w:t>
      </w:r>
      <w:r w:rsidR="008D3D4F">
        <w:rPr>
          <w:rFonts w:asciiTheme="majorBidi" w:hAnsiTheme="majorBidi" w:cstheme="majorBidi"/>
          <w:sz w:val="24"/>
          <w:szCs w:val="24"/>
        </w:rPr>
        <w:t>.</w:t>
      </w:r>
      <w:r>
        <w:rPr>
          <w:rFonts w:asciiTheme="majorBidi" w:hAnsiTheme="majorBidi" w:cstheme="majorBidi"/>
          <w:sz w:val="24"/>
          <w:szCs w:val="24"/>
        </w:rPr>
        <w:t xml:space="preserve"> </w:t>
      </w:r>
      <w:r w:rsidR="00996AD1">
        <w:rPr>
          <w:rFonts w:asciiTheme="majorBidi" w:hAnsiTheme="majorBidi" w:cstheme="majorBidi"/>
          <w:sz w:val="24"/>
          <w:szCs w:val="24"/>
        </w:rPr>
        <w:t xml:space="preserve">And the explanation fits </w:t>
      </w:r>
      <w:r w:rsidR="0078471D">
        <w:rPr>
          <w:rFonts w:asciiTheme="majorBidi" w:hAnsiTheme="majorBidi" w:cstheme="majorBidi"/>
          <w:sz w:val="24"/>
          <w:szCs w:val="24"/>
        </w:rPr>
        <w:t>t</w:t>
      </w:r>
      <w:r>
        <w:rPr>
          <w:rFonts w:asciiTheme="majorBidi" w:hAnsiTheme="majorBidi" w:cstheme="majorBidi"/>
          <w:sz w:val="24"/>
          <w:szCs w:val="24"/>
        </w:rPr>
        <w:t xml:space="preserve">he </w:t>
      </w:r>
      <w:r w:rsidR="00DA0052">
        <w:rPr>
          <w:rFonts w:asciiTheme="majorBidi" w:hAnsiTheme="majorBidi" w:cstheme="majorBidi"/>
          <w:sz w:val="24"/>
          <w:szCs w:val="24"/>
        </w:rPr>
        <w:t xml:space="preserve">earlier </w:t>
      </w:r>
      <w:r>
        <w:rPr>
          <w:rFonts w:asciiTheme="majorBidi" w:hAnsiTheme="majorBidi" w:cstheme="majorBidi"/>
          <w:sz w:val="24"/>
          <w:szCs w:val="24"/>
        </w:rPr>
        <w:t xml:space="preserve">geographical information </w:t>
      </w:r>
      <w:r w:rsidR="0078471D">
        <w:rPr>
          <w:rFonts w:asciiTheme="majorBidi" w:hAnsiTheme="majorBidi" w:cstheme="majorBidi"/>
          <w:sz w:val="24"/>
          <w:szCs w:val="24"/>
        </w:rPr>
        <w:t xml:space="preserve">found </w:t>
      </w:r>
      <w:r>
        <w:rPr>
          <w:rFonts w:asciiTheme="majorBidi" w:hAnsiTheme="majorBidi" w:cstheme="majorBidi"/>
          <w:sz w:val="24"/>
          <w:szCs w:val="24"/>
        </w:rPr>
        <w:t>in al-Balādhurī’s history and al</w:t>
      </w:r>
      <w:r>
        <w:rPr>
          <w:rFonts w:asciiTheme="majorBidi" w:hAnsiTheme="majorBidi" w:cstheme="majorBidi"/>
          <w:sz w:val="20"/>
          <w:szCs w:val="20"/>
        </w:rPr>
        <w:t>-</w:t>
      </w:r>
      <w:r w:rsidRPr="00F358F8">
        <w:rPr>
          <w:rFonts w:asciiTheme="majorBidi" w:hAnsiTheme="majorBidi" w:cstheme="majorBidi"/>
          <w:sz w:val="24"/>
          <w:szCs w:val="24"/>
        </w:rPr>
        <w:t>Ṭabarī</w:t>
      </w:r>
      <w:r>
        <w:rPr>
          <w:rFonts w:asciiTheme="majorBidi" w:hAnsiTheme="majorBidi" w:cstheme="majorBidi"/>
          <w:sz w:val="24"/>
          <w:szCs w:val="24"/>
        </w:rPr>
        <w:t>’s annals</w:t>
      </w:r>
      <w:r w:rsidR="00DA0052">
        <w:rPr>
          <w:rFonts w:asciiTheme="majorBidi" w:hAnsiTheme="majorBidi" w:cstheme="majorBidi"/>
          <w:sz w:val="24"/>
          <w:szCs w:val="24"/>
        </w:rPr>
        <w:t xml:space="preserve">, </w:t>
      </w:r>
      <w:r w:rsidR="0078471D">
        <w:rPr>
          <w:rFonts w:asciiTheme="majorBidi" w:hAnsiTheme="majorBidi" w:cstheme="majorBidi"/>
          <w:sz w:val="24"/>
          <w:szCs w:val="24"/>
        </w:rPr>
        <w:t xml:space="preserve">which </w:t>
      </w:r>
      <w:r>
        <w:rPr>
          <w:rFonts w:asciiTheme="majorBidi" w:hAnsiTheme="majorBidi" w:cstheme="majorBidi"/>
          <w:sz w:val="24"/>
          <w:szCs w:val="24"/>
        </w:rPr>
        <w:lastRenderedPageBreak/>
        <w:t>agree</w:t>
      </w:r>
      <w:r w:rsidR="0078471D">
        <w:rPr>
          <w:rFonts w:asciiTheme="majorBidi" w:hAnsiTheme="majorBidi" w:cstheme="majorBidi"/>
          <w:sz w:val="24"/>
          <w:szCs w:val="24"/>
        </w:rPr>
        <w:t>s</w:t>
      </w:r>
      <w:r>
        <w:rPr>
          <w:rFonts w:asciiTheme="majorBidi" w:hAnsiTheme="majorBidi" w:cstheme="majorBidi"/>
          <w:sz w:val="24"/>
          <w:szCs w:val="24"/>
        </w:rPr>
        <w:t xml:space="preserve"> with Xuanzang</w:t>
      </w:r>
      <w:r w:rsidR="0078471D">
        <w:rPr>
          <w:rFonts w:asciiTheme="majorBidi" w:hAnsiTheme="majorBidi" w:cstheme="majorBidi"/>
          <w:sz w:val="24"/>
          <w:szCs w:val="24"/>
        </w:rPr>
        <w:t>'s reports</w:t>
      </w:r>
      <w:r w:rsidR="00996AD1">
        <w:rPr>
          <w:rFonts w:asciiTheme="majorBidi" w:hAnsiTheme="majorBidi" w:cstheme="majorBidi"/>
          <w:sz w:val="24"/>
          <w:szCs w:val="24"/>
        </w:rPr>
        <w:t xml:space="preserve"> and supports the explanation</w:t>
      </w:r>
      <w:r>
        <w:rPr>
          <w:rFonts w:asciiTheme="majorBidi" w:hAnsiTheme="majorBidi" w:cstheme="majorBidi"/>
          <w:sz w:val="24"/>
          <w:szCs w:val="24"/>
        </w:rPr>
        <w:t>.</w:t>
      </w:r>
      <w:r>
        <w:rPr>
          <w:rStyle w:val="FootnoteReference"/>
          <w:rFonts w:asciiTheme="majorBidi" w:hAnsiTheme="majorBidi" w:cstheme="majorBidi"/>
          <w:sz w:val="24"/>
          <w:szCs w:val="24"/>
        </w:rPr>
        <w:footnoteReference w:id="65"/>
      </w:r>
      <w:r>
        <w:rPr>
          <w:rFonts w:asciiTheme="majorBidi" w:hAnsiTheme="majorBidi" w:cstheme="majorBidi"/>
          <w:sz w:val="24"/>
          <w:szCs w:val="24"/>
        </w:rPr>
        <w:t xml:space="preserve"> </w:t>
      </w:r>
      <w:r w:rsidR="008D3D4F">
        <w:rPr>
          <w:rFonts w:asciiTheme="majorBidi" w:hAnsiTheme="majorBidi" w:cstheme="majorBidi"/>
          <w:sz w:val="24"/>
          <w:szCs w:val="24"/>
        </w:rPr>
        <w:t>Barthold</w:t>
      </w:r>
      <w:r w:rsidR="00DA0052">
        <w:rPr>
          <w:rFonts w:asciiTheme="majorBidi" w:hAnsiTheme="majorBidi" w:cstheme="majorBidi"/>
          <w:sz w:val="24"/>
          <w:szCs w:val="24"/>
        </w:rPr>
        <w:t xml:space="preserve"> fails to realize th</w:t>
      </w:r>
      <w:r w:rsidR="00996AD1">
        <w:rPr>
          <w:rFonts w:asciiTheme="majorBidi" w:hAnsiTheme="majorBidi" w:cstheme="majorBidi"/>
          <w:sz w:val="24"/>
          <w:szCs w:val="24"/>
        </w:rPr>
        <w:t>e historical development of the boundaries of Ṭukhāristān</w:t>
      </w:r>
      <w:r w:rsidR="00DA0052">
        <w:rPr>
          <w:rFonts w:asciiTheme="majorBidi" w:hAnsiTheme="majorBidi" w:cstheme="majorBidi"/>
          <w:sz w:val="24"/>
          <w:szCs w:val="24"/>
        </w:rPr>
        <w:t xml:space="preserve"> and</w:t>
      </w:r>
      <w:r w:rsidR="008D3D4F">
        <w:rPr>
          <w:rFonts w:asciiTheme="majorBidi" w:hAnsiTheme="majorBidi" w:cstheme="majorBidi"/>
          <w:sz w:val="24"/>
          <w:szCs w:val="24"/>
        </w:rPr>
        <w:t xml:space="preserve"> tries to reconcile the contrasting borders of the region found in the Muslim sources </w:t>
      </w:r>
      <w:r w:rsidR="00DA0052">
        <w:rPr>
          <w:rFonts w:asciiTheme="majorBidi" w:hAnsiTheme="majorBidi" w:cstheme="majorBidi"/>
          <w:sz w:val="24"/>
          <w:szCs w:val="24"/>
        </w:rPr>
        <w:t>by suggesting</w:t>
      </w:r>
      <w:r w:rsidR="008D3D4F">
        <w:rPr>
          <w:rFonts w:asciiTheme="majorBidi" w:hAnsiTheme="majorBidi" w:cstheme="majorBidi"/>
          <w:sz w:val="24"/>
          <w:szCs w:val="24"/>
        </w:rPr>
        <w:t xml:space="preserve"> t</w:t>
      </w:r>
      <w:r w:rsidR="00DA0052">
        <w:rPr>
          <w:rFonts w:asciiTheme="majorBidi" w:hAnsiTheme="majorBidi" w:cstheme="majorBidi"/>
          <w:sz w:val="24"/>
          <w:szCs w:val="24"/>
        </w:rPr>
        <w:t>hat t</w:t>
      </w:r>
      <w:r w:rsidR="008D3D4F">
        <w:rPr>
          <w:rFonts w:asciiTheme="majorBidi" w:hAnsiTheme="majorBidi" w:cstheme="majorBidi"/>
          <w:sz w:val="24"/>
          <w:szCs w:val="24"/>
        </w:rPr>
        <w:t>he usages of Ṭukhāristān in narrower and broader senses.</w:t>
      </w:r>
      <w:r w:rsidR="008D3D4F">
        <w:rPr>
          <w:rStyle w:val="FootnoteReference"/>
          <w:rFonts w:asciiTheme="majorBidi" w:hAnsiTheme="majorBidi" w:cstheme="majorBidi"/>
          <w:sz w:val="24"/>
          <w:szCs w:val="24"/>
        </w:rPr>
        <w:footnoteReference w:id="66"/>
      </w:r>
    </w:p>
    <w:p w14:paraId="4C312D64" w14:textId="048C8630" w:rsidR="008D3D4F" w:rsidRDefault="00DA0052" w:rsidP="00DF32C5">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Another issue is </w:t>
      </w:r>
      <w:r w:rsidR="00095055">
        <w:rPr>
          <w:rFonts w:asciiTheme="majorBidi" w:hAnsiTheme="majorBidi" w:cstheme="majorBidi"/>
          <w:sz w:val="24"/>
          <w:szCs w:val="24"/>
        </w:rPr>
        <w:t xml:space="preserve">that </w:t>
      </w:r>
      <w:r w:rsidR="00DF32C5">
        <w:rPr>
          <w:rFonts w:asciiTheme="majorBidi" w:hAnsiTheme="majorBidi" w:cstheme="majorBidi"/>
          <w:sz w:val="24"/>
          <w:szCs w:val="24"/>
        </w:rPr>
        <w:t>eastern and western Ṭukhāristān are used in the study instead of Upper and Lower Ṭukhāristān to avoid ambiguity,</w:t>
      </w:r>
      <w:r w:rsidR="00F27AE4">
        <w:rPr>
          <w:rStyle w:val="FootnoteReference"/>
          <w:rFonts w:asciiTheme="majorBidi" w:hAnsiTheme="majorBidi" w:cstheme="majorBidi"/>
          <w:sz w:val="24"/>
          <w:szCs w:val="24"/>
        </w:rPr>
        <w:footnoteReference w:id="67"/>
      </w:r>
      <w:r w:rsidR="00DF32C5">
        <w:rPr>
          <w:rFonts w:asciiTheme="majorBidi" w:hAnsiTheme="majorBidi" w:cstheme="majorBidi"/>
          <w:sz w:val="24"/>
          <w:szCs w:val="24"/>
        </w:rPr>
        <w:t xml:space="preserve"> although the two terms are found in medieval Muslim geographies. </w:t>
      </w:r>
      <w:r w:rsidR="008D3D4F">
        <w:rPr>
          <w:rFonts w:asciiTheme="majorBidi" w:hAnsiTheme="majorBidi" w:cstheme="majorBidi"/>
          <w:sz w:val="24"/>
          <w:szCs w:val="24"/>
        </w:rPr>
        <w:t>For example, Gibb employs the Lower Ṭukhāristān to refer to the regions between the Murghāb river and Balkh.</w:t>
      </w:r>
      <w:r w:rsidR="008D3D4F">
        <w:rPr>
          <w:rStyle w:val="FootnoteReference"/>
          <w:rFonts w:asciiTheme="majorBidi" w:hAnsiTheme="majorBidi" w:cstheme="majorBidi"/>
          <w:sz w:val="24"/>
          <w:szCs w:val="24"/>
        </w:rPr>
        <w:footnoteReference w:id="68"/>
      </w:r>
      <w:r w:rsidR="008D3D4F">
        <w:rPr>
          <w:rFonts w:asciiTheme="majorBidi" w:hAnsiTheme="majorBidi" w:cstheme="majorBidi"/>
          <w:sz w:val="24"/>
          <w:szCs w:val="24"/>
        </w:rPr>
        <w:t xml:space="preserve"> This is, however, problematic, since </w:t>
      </w:r>
      <w:r w:rsidR="00095055">
        <w:rPr>
          <w:rFonts w:asciiTheme="majorBidi" w:hAnsiTheme="majorBidi" w:cstheme="majorBidi"/>
          <w:sz w:val="24"/>
          <w:szCs w:val="24"/>
        </w:rPr>
        <w:t xml:space="preserve">Lower Ṭukhāristān </w:t>
      </w:r>
      <w:r w:rsidR="008D3D4F">
        <w:rPr>
          <w:rFonts w:asciiTheme="majorBidi" w:hAnsiTheme="majorBidi" w:cstheme="majorBidi"/>
          <w:sz w:val="24"/>
          <w:szCs w:val="24"/>
        </w:rPr>
        <w:t xml:space="preserve">was </w:t>
      </w:r>
      <w:r w:rsidR="00095055">
        <w:rPr>
          <w:rFonts w:asciiTheme="majorBidi" w:hAnsiTheme="majorBidi" w:cstheme="majorBidi"/>
          <w:sz w:val="24"/>
          <w:szCs w:val="24"/>
        </w:rPr>
        <w:t>a region</w:t>
      </w:r>
      <w:r w:rsidR="008D3D4F">
        <w:rPr>
          <w:rFonts w:asciiTheme="majorBidi" w:hAnsiTheme="majorBidi" w:cstheme="majorBidi"/>
          <w:sz w:val="24"/>
          <w:szCs w:val="24"/>
        </w:rPr>
        <w:t xml:space="preserve"> to the east of Balkh according to the medieval Muslim geographers.</w:t>
      </w:r>
      <w:r w:rsidR="008D3D4F">
        <w:rPr>
          <w:rStyle w:val="FootnoteReference"/>
          <w:rFonts w:asciiTheme="majorBidi" w:hAnsiTheme="majorBidi" w:cstheme="majorBidi"/>
          <w:sz w:val="24"/>
          <w:szCs w:val="24"/>
        </w:rPr>
        <w:footnoteReference w:id="69"/>
      </w:r>
      <w:r w:rsidR="008D3D4F">
        <w:rPr>
          <w:rFonts w:asciiTheme="majorBidi" w:hAnsiTheme="majorBidi" w:cstheme="majorBidi"/>
          <w:sz w:val="24"/>
          <w:szCs w:val="24"/>
        </w:rPr>
        <w:t xml:space="preserve"> </w:t>
      </w:r>
      <w:r w:rsidR="00D72BD3">
        <w:rPr>
          <w:rFonts w:asciiTheme="majorBidi" w:hAnsiTheme="majorBidi" w:cstheme="majorBidi"/>
          <w:sz w:val="24"/>
          <w:szCs w:val="24"/>
        </w:rPr>
        <w:t>Consequently, t</w:t>
      </w:r>
      <w:r w:rsidR="00095055">
        <w:rPr>
          <w:rFonts w:asciiTheme="majorBidi" w:hAnsiTheme="majorBidi" w:cstheme="majorBidi"/>
          <w:sz w:val="24"/>
          <w:szCs w:val="24"/>
        </w:rPr>
        <w:t xml:space="preserve">he study employs </w:t>
      </w:r>
    </w:p>
    <w:p w14:paraId="715D6B49" w14:textId="374DDCAF" w:rsidR="00DA0052" w:rsidRDefault="00DA0052" w:rsidP="00DA0052">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When it comes to the routes between Ṭukhāristān and China, </w:t>
      </w:r>
      <w:r w:rsidR="00FA6DD1">
        <w:rPr>
          <w:rFonts w:asciiTheme="majorBidi" w:hAnsiTheme="majorBidi" w:cstheme="majorBidi"/>
          <w:sz w:val="24"/>
          <w:szCs w:val="24"/>
        </w:rPr>
        <w:t>there were two ways. One was</w:t>
      </w:r>
      <w:r w:rsidR="0078471D">
        <w:rPr>
          <w:rFonts w:asciiTheme="majorBidi" w:hAnsiTheme="majorBidi" w:cstheme="majorBidi"/>
          <w:sz w:val="24"/>
          <w:szCs w:val="24"/>
        </w:rPr>
        <w:t xml:space="preserve"> through Transoxiana </w:t>
      </w:r>
      <w:r w:rsidR="00FA6DD1">
        <w:rPr>
          <w:rFonts w:asciiTheme="majorBidi" w:hAnsiTheme="majorBidi" w:cstheme="majorBidi"/>
          <w:sz w:val="24"/>
          <w:szCs w:val="24"/>
        </w:rPr>
        <w:t>and</w:t>
      </w:r>
      <w:r w:rsidR="0078471D">
        <w:rPr>
          <w:rFonts w:asciiTheme="majorBidi" w:hAnsiTheme="majorBidi" w:cstheme="majorBidi"/>
          <w:sz w:val="24"/>
          <w:szCs w:val="24"/>
        </w:rPr>
        <w:t xml:space="preserve"> much longer.</w:t>
      </w:r>
      <w:r w:rsidR="0078471D">
        <w:rPr>
          <w:rStyle w:val="FootnoteReference"/>
          <w:rFonts w:asciiTheme="majorBidi" w:hAnsiTheme="majorBidi"/>
          <w:sz w:val="24"/>
          <w:szCs w:val="24"/>
        </w:rPr>
        <w:footnoteReference w:id="70"/>
      </w:r>
      <w:r w:rsidR="0078471D">
        <w:rPr>
          <w:rFonts w:asciiTheme="majorBidi" w:hAnsiTheme="majorBidi" w:cstheme="majorBidi"/>
          <w:sz w:val="24"/>
          <w:szCs w:val="24"/>
        </w:rPr>
        <w:t xml:space="preserve"> Consequently, the alternative way through </w:t>
      </w:r>
      <w:r>
        <w:rPr>
          <w:rFonts w:asciiTheme="majorBidi" w:hAnsiTheme="majorBidi" w:cstheme="majorBidi"/>
          <w:sz w:val="24"/>
          <w:szCs w:val="24"/>
        </w:rPr>
        <w:t>Badakhshān</w:t>
      </w:r>
      <w:r w:rsidR="0078471D">
        <w:rPr>
          <w:rFonts w:asciiTheme="majorBidi" w:hAnsiTheme="majorBidi" w:cstheme="majorBidi"/>
          <w:sz w:val="24"/>
          <w:szCs w:val="24"/>
        </w:rPr>
        <w:t xml:space="preserve"> and the Wakh</w:t>
      </w:r>
      <w:r w:rsidR="00437269">
        <w:rPr>
          <w:rFonts w:asciiTheme="majorBidi" w:hAnsiTheme="majorBidi" w:cstheme="majorBidi"/>
          <w:sz w:val="24"/>
          <w:szCs w:val="24"/>
        </w:rPr>
        <w:t>ā</w:t>
      </w:r>
      <w:r w:rsidR="0078471D">
        <w:rPr>
          <w:rFonts w:asciiTheme="majorBidi" w:hAnsiTheme="majorBidi" w:cstheme="majorBidi"/>
          <w:sz w:val="24"/>
          <w:szCs w:val="24"/>
        </w:rPr>
        <w:t>n Corridor</w:t>
      </w:r>
      <w:r>
        <w:rPr>
          <w:rFonts w:asciiTheme="majorBidi" w:hAnsiTheme="majorBidi" w:cstheme="majorBidi"/>
          <w:sz w:val="24"/>
          <w:szCs w:val="24"/>
        </w:rPr>
        <w:t xml:space="preserve"> enjoyed greater popularity among Chinese, be they imperial emissaries such as Song Yun </w:t>
      </w:r>
      <w:r w:rsidR="00DF32C5">
        <w:rPr>
          <w:rFonts w:asciiTheme="majorBidi" w:hAnsiTheme="majorBidi" w:cstheme="majorBidi"/>
          <w:sz w:val="24"/>
          <w:szCs w:val="24"/>
        </w:rPr>
        <w:t>(</w:t>
      </w:r>
      <w:r w:rsidR="00DF32C5">
        <w:rPr>
          <w:rFonts w:asciiTheme="majorBidi" w:hAnsiTheme="majorBidi" w:cstheme="majorBidi" w:hint="eastAsia"/>
          <w:sz w:val="24"/>
          <w:szCs w:val="24"/>
        </w:rPr>
        <w:t>宋云</w:t>
      </w:r>
      <w:r w:rsidR="00DF32C5">
        <w:rPr>
          <w:rFonts w:asciiTheme="majorBidi" w:hAnsiTheme="majorBidi" w:cstheme="majorBidi"/>
          <w:sz w:val="24"/>
          <w:szCs w:val="24"/>
        </w:rPr>
        <w:t xml:space="preserve">) </w:t>
      </w:r>
      <w:r>
        <w:rPr>
          <w:rFonts w:asciiTheme="majorBidi" w:hAnsiTheme="majorBidi" w:cstheme="majorBidi"/>
          <w:sz w:val="24"/>
          <w:szCs w:val="24"/>
        </w:rPr>
        <w:t>and Wukong</w:t>
      </w:r>
      <w:r w:rsidR="00DF32C5">
        <w:rPr>
          <w:rFonts w:asciiTheme="majorBidi" w:hAnsiTheme="majorBidi" w:cstheme="majorBidi"/>
          <w:sz w:val="24"/>
          <w:szCs w:val="24"/>
        </w:rPr>
        <w:t xml:space="preserve"> (</w:t>
      </w:r>
      <w:r w:rsidR="00DF32C5">
        <w:rPr>
          <w:rFonts w:asciiTheme="majorBidi" w:hAnsiTheme="majorBidi" w:cstheme="majorBidi" w:hint="eastAsia"/>
          <w:sz w:val="24"/>
          <w:szCs w:val="24"/>
        </w:rPr>
        <w:t>悟空</w:t>
      </w:r>
      <w:r w:rsidR="00DF32C5">
        <w:rPr>
          <w:rFonts w:asciiTheme="majorBidi" w:hAnsiTheme="majorBidi" w:cstheme="majorBidi"/>
          <w:sz w:val="24"/>
          <w:szCs w:val="24"/>
        </w:rPr>
        <w:t>)</w:t>
      </w:r>
      <w:r>
        <w:rPr>
          <w:rFonts w:asciiTheme="majorBidi" w:hAnsiTheme="majorBidi" w:cstheme="majorBidi"/>
          <w:sz w:val="24"/>
          <w:szCs w:val="24"/>
        </w:rPr>
        <w:t>, and pilgrims such as Faxian</w:t>
      </w:r>
      <w:r w:rsidR="00DF32C5">
        <w:rPr>
          <w:rFonts w:asciiTheme="majorBidi" w:hAnsiTheme="majorBidi" w:cstheme="majorBidi"/>
          <w:sz w:val="24"/>
          <w:szCs w:val="24"/>
        </w:rPr>
        <w:t xml:space="preserve"> (</w:t>
      </w:r>
      <w:r w:rsidR="00DF32C5">
        <w:rPr>
          <w:rFonts w:asciiTheme="majorBidi" w:hAnsiTheme="majorBidi" w:cstheme="majorBidi" w:hint="eastAsia"/>
          <w:sz w:val="24"/>
          <w:szCs w:val="24"/>
        </w:rPr>
        <w:t>法显</w:t>
      </w:r>
      <w:r w:rsidR="00DF32C5">
        <w:rPr>
          <w:rFonts w:asciiTheme="majorBidi" w:hAnsiTheme="majorBidi" w:cstheme="majorBidi"/>
          <w:sz w:val="24"/>
          <w:szCs w:val="24"/>
        </w:rPr>
        <w:t>)</w:t>
      </w:r>
      <w:r>
        <w:rPr>
          <w:rFonts w:asciiTheme="majorBidi" w:hAnsiTheme="majorBidi" w:cstheme="majorBidi"/>
          <w:sz w:val="24"/>
          <w:szCs w:val="24"/>
        </w:rPr>
        <w:t xml:space="preserve"> and Huichao</w:t>
      </w:r>
      <w:r w:rsidR="00FA6DD1">
        <w:rPr>
          <w:rFonts w:asciiTheme="majorBidi" w:hAnsiTheme="majorBidi" w:cstheme="majorBidi"/>
          <w:sz w:val="24"/>
          <w:szCs w:val="24"/>
        </w:rPr>
        <w:t>.</w:t>
      </w:r>
      <w:r>
        <w:rPr>
          <w:rStyle w:val="FootnoteReference"/>
          <w:rFonts w:asciiTheme="majorBidi" w:hAnsiTheme="majorBidi"/>
          <w:sz w:val="24"/>
          <w:szCs w:val="24"/>
        </w:rPr>
        <w:footnoteReference w:id="71"/>
      </w:r>
    </w:p>
    <w:p w14:paraId="3BFB12CA" w14:textId="5C087662" w:rsidR="00300168" w:rsidRDefault="00DA0052" w:rsidP="00DA0052">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lastRenderedPageBreak/>
        <w:t>Other two routes include that between Marw and Balkh and between Balkh and Sīstān. The most frequented route by medieval travelers from Marw to Balkh would first follow the Murghāb river till Marw al-Rūd, and continued northeast for Balkh via Ṭālaqān of Gūzgān and Fāryāb.</w:t>
      </w:r>
      <w:r w:rsidR="00985CFB">
        <w:rPr>
          <w:rStyle w:val="FootnoteReference"/>
          <w:rFonts w:asciiTheme="majorBidi" w:hAnsiTheme="majorBidi" w:cstheme="majorBidi"/>
          <w:sz w:val="24"/>
          <w:szCs w:val="24"/>
        </w:rPr>
        <w:footnoteReference w:id="72"/>
      </w:r>
      <w:r>
        <w:rPr>
          <w:rFonts w:asciiTheme="majorBidi" w:hAnsiTheme="majorBidi" w:cstheme="majorBidi"/>
          <w:sz w:val="24"/>
          <w:szCs w:val="24"/>
        </w:rPr>
        <w:t xml:space="preserve"> This is probably the route that Pērōz traveled on his way to Ṭukhāristān after his father’s death. The second is the route from Balkh to Zaranj of Sīstān, which Pērōz traveled to recover the Sasanian territory during the First </w:t>
      </w:r>
      <w:r w:rsidRPr="001461BB">
        <w:rPr>
          <w:rFonts w:asciiTheme="majorBidi" w:hAnsiTheme="majorBidi" w:cstheme="majorBidi"/>
          <w:sz w:val="24"/>
          <w:szCs w:val="24"/>
        </w:rPr>
        <w:t>Fitna (656-661 CE)</w:t>
      </w:r>
      <w:r w:rsidR="00985CFB">
        <w:rPr>
          <w:rFonts w:asciiTheme="majorBidi" w:hAnsiTheme="majorBidi" w:cstheme="majorBidi"/>
          <w:sz w:val="24"/>
          <w:szCs w:val="24"/>
        </w:rPr>
        <w:t>, the first civil war of the Muslims after the caliph ‘Uthmān’s assassination</w:t>
      </w:r>
      <w:r>
        <w:rPr>
          <w:rFonts w:asciiTheme="majorBidi" w:hAnsiTheme="majorBidi" w:cstheme="majorBidi"/>
          <w:sz w:val="24"/>
          <w:szCs w:val="24"/>
        </w:rPr>
        <w:t>. The first leg of the route leads to Herat via Marw al-Rūd, and the second continues southward to Sīstān</w:t>
      </w:r>
      <w:r w:rsidRPr="001461BB">
        <w:rPr>
          <w:rFonts w:asciiTheme="majorBidi" w:hAnsiTheme="majorBidi" w:cstheme="majorBidi"/>
          <w:sz w:val="24"/>
          <w:szCs w:val="24"/>
        </w:rPr>
        <w:t>.</w:t>
      </w:r>
      <w:r w:rsidR="00985CFB">
        <w:rPr>
          <w:rStyle w:val="FootnoteReference"/>
          <w:rFonts w:asciiTheme="majorBidi" w:hAnsiTheme="majorBidi" w:cstheme="majorBidi"/>
          <w:sz w:val="24"/>
          <w:szCs w:val="24"/>
        </w:rPr>
        <w:footnoteReference w:id="73"/>
      </w:r>
    </w:p>
    <w:p w14:paraId="25B8CA9C" w14:textId="06A07C50" w:rsidR="00340401" w:rsidRDefault="00340401" w:rsidP="002C339D">
      <w:pPr>
        <w:spacing w:line="360" w:lineRule="auto"/>
        <w:rPr>
          <w:rFonts w:asciiTheme="majorBidi" w:hAnsiTheme="majorBidi" w:cstheme="majorBidi"/>
          <w:sz w:val="24"/>
          <w:szCs w:val="24"/>
        </w:rPr>
      </w:pPr>
      <w:r>
        <w:rPr>
          <w:rFonts w:asciiTheme="majorBidi" w:hAnsiTheme="majorBidi" w:cstheme="majorBidi"/>
          <w:sz w:val="24"/>
          <w:szCs w:val="24"/>
        </w:rPr>
        <w:t xml:space="preserve">   </w:t>
      </w:r>
    </w:p>
    <w:p w14:paraId="20AE184C" w14:textId="22944346" w:rsidR="005811DD" w:rsidRPr="005811DD" w:rsidRDefault="00056768" w:rsidP="005811DD">
      <w:pPr>
        <w:spacing w:line="360" w:lineRule="auto"/>
        <w:jc w:val="center"/>
        <w:rPr>
          <w:rFonts w:asciiTheme="majorBidi" w:hAnsiTheme="majorBidi" w:cstheme="majorBidi"/>
          <w:b/>
          <w:bCs/>
          <w:sz w:val="24"/>
          <w:szCs w:val="24"/>
        </w:rPr>
      </w:pPr>
      <w:r w:rsidRPr="005811DD">
        <w:rPr>
          <w:rFonts w:asciiTheme="majorBidi" w:hAnsiTheme="majorBidi" w:cstheme="majorBidi"/>
          <w:b/>
          <w:bCs/>
          <w:sz w:val="24"/>
          <w:szCs w:val="24"/>
        </w:rPr>
        <w:t xml:space="preserve">     </w:t>
      </w:r>
      <w:r w:rsidR="005811DD" w:rsidRPr="005811DD">
        <w:rPr>
          <w:rFonts w:asciiTheme="majorBidi" w:hAnsiTheme="majorBidi" w:cstheme="majorBidi"/>
          <w:b/>
          <w:bCs/>
          <w:sz w:val="24"/>
          <w:szCs w:val="24"/>
        </w:rPr>
        <w:t>The Structure</w:t>
      </w:r>
    </w:p>
    <w:p w14:paraId="2DBB9882" w14:textId="2DAE48D5" w:rsidR="00EB0390" w:rsidRDefault="00CC0BD0" w:rsidP="00C901F8">
      <w:pPr>
        <w:spacing w:line="360" w:lineRule="auto"/>
        <w:rPr>
          <w:rFonts w:asciiTheme="majorBidi" w:hAnsiTheme="majorBidi" w:cstheme="majorBidi"/>
          <w:sz w:val="24"/>
          <w:szCs w:val="24"/>
        </w:rPr>
      </w:pPr>
      <w:r>
        <w:rPr>
          <w:rFonts w:asciiTheme="majorBidi" w:hAnsiTheme="majorBidi" w:cstheme="majorBidi"/>
          <w:sz w:val="24"/>
          <w:szCs w:val="24"/>
        </w:rPr>
        <w:t xml:space="preserve">The research is arranged according to the </w:t>
      </w:r>
      <w:r w:rsidR="00C51B6C">
        <w:rPr>
          <w:rFonts w:asciiTheme="majorBidi" w:hAnsiTheme="majorBidi" w:cstheme="majorBidi"/>
          <w:sz w:val="24"/>
          <w:szCs w:val="24"/>
        </w:rPr>
        <w:t xml:space="preserve">three </w:t>
      </w:r>
      <w:r>
        <w:rPr>
          <w:rFonts w:asciiTheme="majorBidi" w:hAnsiTheme="majorBidi" w:cstheme="majorBidi"/>
          <w:sz w:val="24"/>
          <w:szCs w:val="24"/>
        </w:rPr>
        <w:t>questions</w:t>
      </w:r>
      <w:r w:rsidR="00C51B6C">
        <w:rPr>
          <w:rFonts w:asciiTheme="majorBidi" w:hAnsiTheme="majorBidi" w:cstheme="majorBidi"/>
          <w:sz w:val="24"/>
          <w:szCs w:val="24"/>
        </w:rPr>
        <w:t xml:space="preserve"> that have been raised above</w:t>
      </w:r>
      <w:r w:rsidR="00825665">
        <w:rPr>
          <w:rFonts w:asciiTheme="majorBidi" w:hAnsiTheme="majorBidi" w:cstheme="majorBidi"/>
          <w:sz w:val="24"/>
          <w:szCs w:val="24"/>
        </w:rPr>
        <w:t xml:space="preserve"> and divided into three chapters</w:t>
      </w:r>
      <w:r>
        <w:rPr>
          <w:rFonts w:asciiTheme="majorBidi" w:hAnsiTheme="majorBidi" w:cstheme="majorBidi"/>
          <w:sz w:val="24"/>
          <w:szCs w:val="24"/>
        </w:rPr>
        <w:t>. T</w:t>
      </w:r>
      <w:r w:rsidR="00143DB5">
        <w:rPr>
          <w:rFonts w:asciiTheme="majorBidi" w:hAnsiTheme="majorBidi" w:cstheme="majorBidi"/>
          <w:sz w:val="24"/>
          <w:szCs w:val="24"/>
        </w:rPr>
        <w:t xml:space="preserve">he first chapter discusses why Pērōz sought refuge in </w:t>
      </w:r>
      <w:r w:rsidR="00D31235">
        <w:rPr>
          <w:rFonts w:asciiTheme="majorBidi" w:hAnsiTheme="majorBidi" w:cstheme="majorBidi"/>
          <w:sz w:val="24"/>
          <w:szCs w:val="24"/>
        </w:rPr>
        <w:t>Ṭukhāristān</w:t>
      </w:r>
      <w:r w:rsidR="00143DB5">
        <w:rPr>
          <w:rFonts w:asciiTheme="majorBidi" w:hAnsiTheme="majorBidi" w:cstheme="majorBidi"/>
          <w:sz w:val="24"/>
          <w:szCs w:val="24"/>
        </w:rPr>
        <w:t xml:space="preserve"> instead of other principalities to the east of the Sasanian Empire</w:t>
      </w:r>
      <w:r>
        <w:rPr>
          <w:rFonts w:asciiTheme="majorBidi" w:hAnsiTheme="majorBidi" w:cstheme="majorBidi"/>
          <w:sz w:val="24"/>
          <w:szCs w:val="24"/>
        </w:rPr>
        <w:t>. T</w:t>
      </w:r>
      <w:r w:rsidR="00143DB5">
        <w:rPr>
          <w:rFonts w:asciiTheme="majorBidi" w:hAnsiTheme="majorBidi" w:cstheme="majorBidi"/>
          <w:sz w:val="24"/>
          <w:szCs w:val="24"/>
        </w:rPr>
        <w:t xml:space="preserve">he second chapter </w:t>
      </w:r>
      <w:r w:rsidR="00C619FB">
        <w:rPr>
          <w:rFonts w:asciiTheme="majorBidi" w:hAnsiTheme="majorBidi" w:cstheme="majorBidi"/>
          <w:sz w:val="24"/>
          <w:szCs w:val="24"/>
        </w:rPr>
        <w:t>starts with analyses</w:t>
      </w:r>
      <w:r w:rsidR="00143DB5">
        <w:rPr>
          <w:rFonts w:asciiTheme="majorBidi" w:hAnsiTheme="majorBidi" w:cstheme="majorBidi"/>
          <w:sz w:val="24"/>
          <w:szCs w:val="24"/>
        </w:rPr>
        <w:t xml:space="preserve"> </w:t>
      </w:r>
      <w:r w:rsidR="00C619FB">
        <w:rPr>
          <w:rFonts w:asciiTheme="majorBidi" w:hAnsiTheme="majorBidi" w:cstheme="majorBidi"/>
          <w:sz w:val="24"/>
          <w:szCs w:val="24"/>
        </w:rPr>
        <w:t xml:space="preserve">with </w:t>
      </w:r>
      <w:r w:rsidR="00143DB5">
        <w:rPr>
          <w:rFonts w:asciiTheme="majorBidi" w:hAnsiTheme="majorBidi" w:cstheme="majorBidi"/>
          <w:sz w:val="24"/>
          <w:szCs w:val="24"/>
        </w:rPr>
        <w:t xml:space="preserve">the local political situation </w:t>
      </w:r>
      <w:r w:rsidR="00C619FB">
        <w:rPr>
          <w:rFonts w:asciiTheme="majorBidi" w:hAnsiTheme="majorBidi" w:cstheme="majorBidi"/>
          <w:sz w:val="24"/>
          <w:szCs w:val="24"/>
        </w:rPr>
        <w:t>of</w:t>
      </w:r>
      <w:r w:rsidR="00143DB5">
        <w:rPr>
          <w:rFonts w:asciiTheme="majorBidi" w:hAnsiTheme="majorBidi" w:cstheme="majorBidi"/>
          <w:sz w:val="24"/>
          <w:szCs w:val="24"/>
        </w:rPr>
        <w:t xml:space="preserve"> Ṭukhāristān</w:t>
      </w:r>
      <w:r w:rsidR="00685228">
        <w:rPr>
          <w:rFonts w:asciiTheme="majorBidi" w:hAnsiTheme="majorBidi" w:cstheme="majorBidi"/>
          <w:sz w:val="24"/>
          <w:szCs w:val="24"/>
        </w:rPr>
        <w:t xml:space="preserve"> </w:t>
      </w:r>
      <w:r w:rsidR="00C901F8">
        <w:rPr>
          <w:rFonts w:asciiTheme="majorBidi" w:hAnsiTheme="majorBidi" w:cstheme="majorBidi"/>
          <w:sz w:val="24"/>
          <w:szCs w:val="24"/>
        </w:rPr>
        <w:t xml:space="preserve">from </w:t>
      </w:r>
      <w:r w:rsidR="007F00B2">
        <w:rPr>
          <w:rFonts w:asciiTheme="majorBidi" w:hAnsiTheme="majorBidi" w:cstheme="majorBidi"/>
          <w:sz w:val="24"/>
          <w:szCs w:val="24"/>
        </w:rPr>
        <w:t xml:space="preserve">the </w:t>
      </w:r>
      <w:r w:rsidR="00C901F8">
        <w:rPr>
          <w:rFonts w:asciiTheme="majorBidi" w:hAnsiTheme="majorBidi" w:cstheme="majorBidi"/>
          <w:sz w:val="24"/>
          <w:szCs w:val="24"/>
        </w:rPr>
        <w:t xml:space="preserve">650s to </w:t>
      </w:r>
      <w:r w:rsidR="007F00B2">
        <w:rPr>
          <w:rFonts w:asciiTheme="majorBidi" w:hAnsiTheme="majorBidi" w:cstheme="majorBidi"/>
          <w:sz w:val="24"/>
          <w:szCs w:val="24"/>
        </w:rPr>
        <w:t xml:space="preserve">the </w:t>
      </w:r>
      <w:r w:rsidR="00C901F8">
        <w:rPr>
          <w:rFonts w:asciiTheme="majorBidi" w:hAnsiTheme="majorBidi" w:cstheme="majorBidi"/>
          <w:sz w:val="24"/>
          <w:szCs w:val="24"/>
        </w:rPr>
        <w:t xml:space="preserve">700s, </w:t>
      </w:r>
      <w:r w:rsidR="005C3584">
        <w:rPr>
          <w:rFonts w:asciiTheme="majorBidi" w:hAnsiTheme="majorBidi" w:cstheme="majorBidi"/>
          <w:sz w:val="24"/>
          <w:szCs w:val="24"/>
        </w:rPr>
        <w:t xml:space="preserve">especially </w:t>
      </w:r>
      <w:r w:rsidR="00C619FB">
        <w:rPr>
          <w:rFonts w:asciiTheme="majorBidi" w:hAnsiTheme="majorBidi" w:cstheme="majorBidi"/>
          <w:sz w:val="24"/>
          <w:szCs w:val="24"/>
        </w:rPr>
        <w:t xml:space="preserve">about </w:t>
      </w:r>
      <w:r w:rsidR="002C41E3">
        <w:rPr>
          <w:rFonts w:asciiTheme="majorBidi" w:hAnsiTheme="majorBidi" w:cstheme="majorBidi"/>
          <w:sz w:val="24"/>
          <w:szCs w:val="24"/>
        </w:rPr>
        <w:t xml:space="preserve">the Yabghū </w:t>
      </w:r>
      <w:r w:rsidR="00685228">
        <w:rPr>
          <w:rFonts w:asciiTheme="majorBidi" w:hAnsiTheme="majorBidi" w:cstheme="majorBidi"/>
          <w:sz w:val="24"/>
          <w:szCs w:val="24"/>
        </w:rPr>
        <w:t xml:space="preserve">dynasty </w:t>
      </w:r>
      <w:r w:rsidR="002C41E3">
        <w:rPr>
          <w:rFonts w:asciiTheme="majorBidi" w:hAnsiTheme="majorBidi" w:cstheme="majorBidi"/>
          <w:sz w:val="24"/>
          <w:szCs w:val="24"/>
        </w:rPr>
        <w:t xml:space="preserve">and </w:t>
      </w:r>
      <w:r w:rsidR="00C619FB">
        <w:rPr>
          <w:rFonts w:asciiTheme="majorBidi" w:hAnsiTheme="majorBidi" w:cstheme="majorBidi"/>
          <w:sz w:val="24"/>
          <w:szCs w:val="24"/>
        </w:rPr>
        <w:t xml:space="preserve">its powerful </w:t>
      </w:r>
      <w:r w:rsidR="004468E7">
        <w:rPr>
          <w:rFonts w:asciiTheme="majorBidi" w:hAnsiTheme="majorBidi" w:cstheme="majorBidi"/>
          <w:sz w:val="24"/>
          <w:szCs w:val="24"/>
        </w:rPr>
        <w:t>vassal the</w:t>
      </w:r>
      <w:r w:rsidR="002C41E3">
        <w:rPr>
          <w:rFonts w:asciiTheme="majorBidi" w:hAnsiTheme="majorBidi" w:cstheme="majorBidi"/>
          <w:sz w:val="24"/>
          <w:szCs w:val="24"/>
        </w:rPr>
        <w:t xml:space="preserve"> Hephthalite Nīzak</w:t>
      </w:r>
      <w:r w:rsidR="00685228">
        <w:rPr>
          <w:rFonts w:asciiTheme="majorBidi" w:hAnsiTheme="majorBidi" w:cstheme="majorBidi"/>
          <w:sz w:val="24"/>
          <w:szCs w:val="24"/>
        </w:rPr>
        <w:t xml:space="preserve"> dynasty</w:t>
      </w:r>
      <w:r w:rsidR="00AB3858">
        <w:rPr>
          <w:rFonts w:asciiTheme="majorBidi" w:hAnsiTheme="majorBidi" w:cstheme="majorBidi"/>
          <w:sz w:val="24"/>
          <w:szCs w:val="24"/>
        </w:rPr>
        <w:t xml:space="preserve">, </w:t>
      </w:r>
      <w:r w:rsidR="00143DB5">
        <w:rPr>
          <w:rFonts w:asciiTheme="majorBidi" w:hAnsiTheme="majorBidi" w:cstheme="majorBidi"/>
          <w:sz w:val="24"/>
          <w:szCs w:val="24"/>
        </w:rPr>
        <w:t xml:space="preserve">and </w:t>
      </w:r>
      <w:r w:rsidR="00825665">
        <w:rPr>
          <w:rFonts w:asciiTheme="majorBidi" w:hAnsiTheme="majorBidi" w:cstheme="majorBidi"/>
          <w:sz w:val="24"/>
          <w:szCs w:val="24"/>
        </w:rPr>
        <w:t xml:space="preserve">with </w:t>
      </w:r>
      <w:r w:rsidR="00143DB5">
        <w:rPr>
          <w:rFonts w:asciiTheme="majorBidi" w:hAnsiTheme="majorBidi" w:cstheme="majorBidi"/>
          <w:sz w:val="24"/>
          <w:szCs w:val="24"/>
        </w:rPr>
        <w:t xml:space="preserve">the Arab </w:t>
      </w:r>
      <w:r w:rsidR="00825665">
        <w:rPr>
          <w:rFonts w:asciiTheme="majorBidi" w:hAnsiTheme="majorBidi" w:cstheme="majorBidi"/>
          <w:sz w:val="24"/>
          <w:szCs w:val="24"/>
        </w:rPr>
        <w:t xml:space="preserve">who expanded to </w:t>
      </w:r>
      <w:r w:rsidR="00143DB5">
        <w:rPr>
          <w:rFonts w:asciiTheme="majorBidi" w:hAnsiTheme="majorBidi" w:cstheme="majorBidi"/>
          <w:sz w:val="24"/>
          <w:szCs w:val="24"/>
        </w:rPr>
        <w:t>the region</w:t>
      </w:r>
      <w:r w:rsidR="00477646">
        <w:rPr>
          <w:rFonts w:asciiTheme="majorBidi" w:hAnsiTheme="majorBidi" w:cstheme="majorBidi"/>
          <w:sz w:val="24"/>
          <w:szCs w:val="24"/>
        </w:rPr>
        <w:t xml:space="preserve">, </w:t>
      </w:r>
      <w:r w:rsidR="00C619FB">
        <w:rPr>
          <w:rFonts w:asciiTheme="majorBidi" w:hAnsiTheme="majorBidi" w:cstheme="majorBidi"/>
          <w:sz w:val="24"/>
          <w:szCs w:val="24"/>
        </w:rPr>
        <w:t xml:space="preserve">and attempts </w:t>
      </w:r>
      <w:r w:rsidR="00C619FB">
        <w:rPr>
          <w:rFonts w:asciiTheme="majorBidi" w:hAnsiTheme="majorBidi" w:cstheme="majorBidi"/>
          <w:sz w:val="24"/>
          <w:szCs w:val="24"/>
        </w:rPr>
        <w:lastRenderedPageBreak/>
        <w:t>to</w:t>
      </w:r>
      <w:r w:rsidR="00143DB5">
        <w:rPr>
          <w:rFonts w:asciiTheme="majorBidi" w:hAnsiTheme="majorBidi" w:cstheme="majorBidi"/>
          <w:sz w:val="24"/>
          <w:szCs w:val="24"/>
        </w:rPr>
        <w:t xml:space="preserve"> reconstruct the e</w:t>
      </w:r>
      <w:r w:rsidR="00340401">
        <w:rPr>
          <w:rFonts w:asciiTheme="majorBidi" w:hAnsiTheme="majorBidi" w:cstheme="majorBidi"/>
          <w:sz w:val="24"/>
          <w:szCs w:val="24"/>
        </w:rPr>
        <w:t>xperiences of Pērōz and his son Narseh in the region</w:t>
      </w:r>
      <w:r w:rsidR="00825665">
        <w:rPr>
          <w:rFonts w:asciiTheme="majorBidi" w:hAnsiTheme="majorBidi" w:cstheme="majorBidi"/>
          <w:sz w:val="24"/>
          <w:szCs w:val="24"/>
        </w:rPr>
        <w:t xml:space="preserve"> based on the analyses of the political situation</w:t>
      </w:r>
      <w:r>
        <w:rPr>
          <w:rFonts w:asciiTheme="majorBidi" w:hAnsiTheme="majorBidi" w:cstheme="majorBidi"/>
          <w:sz w:val="24"/>
          <w:szCs w:val="24"/>
        </w:rPr>
        <w:t xml:space="preserve">. </w:t>
      </w:r>
      <w:r w:rsidR="00C619FB">
        <w:rPr>
          <w:rFonts w:asciiTheme="majorBidi" w:hAnsiTheme="majorBidi" w:cstheme="majorBidi"/>
          <w:sz w:val="24"/>
          <w:szCs w:val="24"/>
        </w:rPr>
        <w:t>And t</w:t>
      </w:r>
      <w:r w:rsidR="00340401">
        <w:rPr>
          <w:rFonts w:asciiTheme="majorBidi" w:hAnsiTheme="majorBidi" w:cstheme="majorBidi"/>
          <w:sz w:val="24"/>
          <w:szCs w:val="24"/>
        </w:rPr>
        <w:t>he third chapter seeks to understand why the</w:t>
      </w:r>
      <w:r>
        <w:rPr>
          <w:rFonts w:asciiTheme="majorBidi" w:hAnsiTheme="majorBidi" w:cstheme="majorBidi"/>
          <w:sz w:val="24"/>
          <w:szCs w:val="24"/>
        </w:rPr>
        <w:t xml:space="preserve">se two Sasanian princes </w:t>
      </w:r>
      <w:r w:rsidR="00340401">
        <w:rPr>
          <w:rFonts w:asciiTheme="majorBidi" w:hAnsiTheme="majorBidi" w:cstheme="majorBidi"/>
          <w:sz w:val="24"/>
          <w:szCs w:val="24"/>
        </w:rPr>
        <w:t xml:space="preserve">fled to China instead </w:t>
      </w:r>
      <w:r w:rsidR="00C619FB">
        <w:rPr>
          <w:rFonts w:asciiTheme="majorBidi" w:hAnsiTheme="majorBidi" w:cstheme="majorBidi"/>
          <w:sz w:val="24"/>
          <w:szCs w:val="24"/>
        </w:rPr>
        <w:t>of seeking refuge in</w:t>
      </w:r>
      <w:r w:rsidR="00340401">
        <w:rPr>
          <w:rFonts w:asciiTheme="majorBidi" w:hAnsiTheme="majorBidi" w:cstheme="majorBidi"/>
          <w:sz w:val="24"/>
          <w:szCs w:val="24"/>
        </w:rPr>
        <w:t xml:space="preserve"> other places</w:t>
      </w:r>
      <w:r>
        <w:rPr>
          <w:rFonts w:asciiTheme="majorBidi" w:hAnsiTheme="majorBidi" w:cstheme="majorBidi"/>
          <w:sz w:val="24"/>
          <w:szCs w:val="24"/>
        </w:rPr>
        <w:t xml:space="preserve"> after leaving Ṭukhāristān</w:t>
      </w:r>
      <w:r w:rsidR="00340401">
        <w:rPr>
          <w:rFonts w:asciiTheme="majorBidi" w:hAnsiTheme="majorBidi" w:cstheme="majorBidi"/>
          <w:sz w:val="24"/>
          <w:szCs w:val="24"/>
        </w:rPr>
        <w:t>.</w:t>
      </w:r>
    </w:p>
    <w:p w14:paraId="0A855835" w14:textId="11A71ED1" w:rsidR="00C644D5" w:rsidRDefault="00EB0390" w:rsidP="00DA0052">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5C4926">
        <w:rPr>
          <w:rFonts w:asciiTheme="majorBidi" w:hAnsiTheme="majorBidi" w:cstheme="majorBidi"/>
          <w:sz w:val="24"/>
          <w:szCs w:val="24"/>
        </w:rPr>
        <w:t xml:space="preserve">The study </w:t>
      </w:r>
      <w:r w:rsidR="00143DB5">
        <w:rPr>
          <w:rFonts w:asciiTheme="majorBidi" w:hAnsiTheme="majorBidi" w:cstheme="majorBidi"/>
          <w:sz w:val="24"/>
          <w:szCs w:val="24"/>
        </w:rPr>
        <w:t>argues</w:t>
      </w:r>
      <w:r w:rsidR="005C4926">
        <w:rPr>
          <w:rFonts w:asciiTheme="majorBidi" w:hAnsiTheme="majorBidi" w:cstheme="majorBidi"/>
          <w:sz w:val="24"/>
          <w:szCs w:val="24"/>
        </w:rPr>
        <w:t xml:space="preserve"> that </w:t>
      </w:r>
      <w:r w:rsidR="000117B2">
        <w:rPr>
          <w:rFonts w:asciiTheme="majorBidi" w:hAnsiTheme="majorBidi" w:cstheme="majorBidi"/>
          <w:sz w:val="24"/>
          <w:szCs w:val="24"/>
        </w:rPr>
        <w:t xml:space="preserve">the </w:t>
      </w:r>
      <w:r w:rsidR="00100450">
        <w:rPr>
          <w:rFonts w:asciiTheme="majorBidi" w:hAnsiTheme="majorBidi" w:cstheme="majorBidi"/>
          <w:sz w:val="24"/>
          <w:szCs w:val="24"/>
        </w:rPr>
        <w:t xml:space="preserve">Sasanian princes sought refuge in the court of the </w:t>
      </w:r>
      <w:r w:rsidR="00825665">
        <w:rPr>
          <w:rFonts w:asciiTheme="majorBidi" w:hAnsiTheme="majorBidi" w:cstheme="majorBidi"/>
          <w:sz w:val="24"/>
          <w:szCs w:val="24"/>
        </w:rPr>
        <w:t xml:space="preserve">Ṭukhārā </w:t>
      </w:r>
      <w:r w:rsidR="000117B2">
        <w:rPr>
          <w:rFonts w:asciiTheme="majorBidi" w:hAnsiTheme="majorBidi" w:cstheme="majorBidi"/>
          <w:sz w:val="24"/>
          <w:szCs w:val="24"/>
        </w:rPr>
        <w:t>Yabghū</w:t>
      </w:r>
      <w:r w:rsidR="00100450">
        <w:rPr>
          <w:rFonts w:asciiTheme="majorBidi" w:hAnsiTheme="majorBidi" w:cstheme="majorBidi"/>
          <w:sz w:val="24"/>
          <w:szCs w:val="24"/>
        </w:rPr>
        <w:t xml:space="preserve">, </w:t>
      </w:r>
      <w:r w:rsidR="00C644D5">
        <w:rPr>
          <w:rFonts w:asciiTheme="majorBidi" w:hAnsiTheme="majorBidi" w:cstheme="majorBidi"/>
          <w:sz w:val="24"/>
          <w:szCs w:val="24"/>
        </w:rPr>
        <w:t xml:space="preserve">mainly </w:t>
      </w:r>
      <w:r w:rsidR="00100450">
        <w:rPr>
          <w:rFonts w:asciiTheme="majorBidi" w:hAnsiTheme="majorBidi" w:cstheme="majorBidi"/>
          <w:sz w:val="24"/>
          <w:szCs w:val="24"/>
        </w:rPr>
        <w:t xml:space="preserve">because of the political power and influence of the Western Turks in Central Asia. </w:t>
      </w:r>
      <w:r w:rsidR="00C644D5">
        <w:rPr>
          <w:rFonts w:asciiTheme="majorBidi" w:hAnsiTheme="majorBidi" w:cstheme="majorBidi"/>
          <w:sz w:val="24"/>
          <w:szCs w:val="24"/>
        </w:rPr>
        <w:t>And the Yabghū received the exiled Sasanian royal members for prestige</w:t>
      </w:r>
      <w:r w:rsidR="00AA79F0">
        <w:rPr>
          <w:rFonts w:asciiTheme="majorBidi" w:hAnsiTheme="majorBidi" w:cstheme="majorBidi"/>
          <w:sz w:val="24"/>
          <w:szCs w:val="24"/>
        </w:rPr>
        <w:t>, and was glad to have an additional ally to fight the expanding Arabs</w:t>
      </w:r>
      <w:r w:rsidR="00C644D5">
        <w:rPr>
          <w:rFonts w:asciiTheme="majorBidi" w:hAnsiTheme="majorBidi" w:cstheme="majorBidi"/>
          <w:sz w:val="24"/>
          <w:szCs w:val="24"/>
        </w:rPr>
        <w:t>.</w:t>
      </w:r>
    </w:p>
    <w:p w14:paraId="5F907942" w14:textId="525ADE54" w:rsidR="00C644D5" w:rsidRDefault="00C619FB" w:rsidP="00C644D5">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However</w:t>
      </w:r>
      <w:r w:rsidR="00100450">
        <w:rPr>
          <w:rFonts w:asciiTheme="majorBidi" w:hAnsiTheme="majorBidi" w:cstheme="majorBidi"/>
          <w:sz w:val="24"/>
          <w:szCs w:val="24"/>
        </w:rPr>
        <w:t xml:space="preserve">, the Yabghū dynasty did not receive </w:t>
      </w:r>
      <w:r w:rsidR="000117B2">
        <w:rPr>
          <w:rFonts w:asciiTheme="majorBidi" w:hAnsiTheme="majorBidi" w:cstheme="majorBidi"/>
          <w:sz w:val="24"/>
          <w:szCs w:val="24"/>
        </w:rPr>
        <w:t xml:space="preserve">military assistance from the Western Turks </w:t>
      </w:r>
      <w:r w:rsidR="00AA79F0">
        <w:rPr>
          <w:rFonts w:asciiTheme="majorBidi" w:hAnsiTheme="majorBidi" w:cstheme="majorBidi"/>
          <w:sz w:val="24"/>
          <w:szCs w:val="24"/>
        </w:rPr>
        <w:t xml:space="preserve">or </w:t>
      </w:r>
      <w:r w:rsidR="000117B2">
        <w:rPr>
          <w:rFonts w:asciiTheme="majorBidi" w:hAnsiTheme="majorBidi" w:cstheme="majorBidi"/>
          <w:sz w:val="24"/>
          <w:szCs w:val="24"/>
        </w:rPr>
        <w:t>the Tang Empire</w:t>
      </w:r>
      <w:r w:rsidR="00D769C0">
        <w:rPr>
          <w:rFonts w:asciiTheme="majorBidi" w:hAnsiTheme="majorBidi" w:cstheme="majorBidi"/>
          <w:sz w:val="24"/>
          <w:szCs w:val="24"/>
        </w:rPr>
        <w:t xml:space="preserve">, and </w:t>
      </w:r>
      <w:r w:rsidR="00100450">
        <w:rPr>
          <w:rFonts w:asciiTheme="majorBidi" w:hAnsiTheme="majorBidi" w:cstheme="majorBidi"/>
          <w:sz w:val="24"/>
          <w:szCs w:val="24"/>
        </w:rPr>
        <w:t xml:space="preserve">probably </w:t>
      </w:r>
      <w:r w:rsidR="00D769C0">
        <w:rPr>
          <w:rFonts w:asciiTheme="majorBidi" w:hAnsiTheme="majorBidi" w:cstheme="majorBidi"/>
          <w:sz w:val="24"/>
          <w:szCs w:val="24"/>
        </w:rPr>
        <w:t>suffered from tribal feuds</w:t>
      </w:r>
      <w:r w:rsidR="00D769C0" w:rsidRPr="00D769C0">
        <w:rPr>
          <w:rFonts w:asciiTheme="majorBidi" w:hAnsiTheme="majorBidi" w:cstheme="majorBidi"/>
          <w:sz w:val="24"/>
          <w:szCs w:val="24"/>
        </w:rPr>
        <w:t xml:space="preserve"> </w:t>
      </w:r>
      <w:r w:rsidR="00D769C0">
        <w:rPr>
          <w:rFonts w:asciiTheme="majorBidi" w:hAnsiTheme="majorBidi" w:cstheme="majorBidi"/>
          <w:sz w:val="24"/>
          <w:szCs w:val="24"/>
        </w:rPr>
        <w:t xml:space="preserve">between the Turks and the Hephthalites. </w:t>
      </w:r>
      <w:r w:rsidR="00100450">
        <w:rPr>
          <w:rFonts w:asciiTheme="majorBidi" w:hAnsiTheme="majorBidi" w:cstheme="majorBidi"/>
          <w:sz w:val="24"/>
          <w:szCs w:val="24"/>
        </w:rPr>
        <w:t>As for t</w:t>
      </w:r>
      <w:r w:rsidR="00D769C0">
        <w:rPr>
          <w:rFonts w:asciiTheme="majorBidi" w:hAnsiTheme="majorBidi" w:cstheme="majorBidi"/>
          <w:sz w:val="24"/>
          <w:szCs w:val="24"/>
        </w:rPr>
        <w:t xml:space="preserve">he Arabs in Khurasan, </w:t>
      </w:r>
      <w:r w:rsidR="00100450">
        <w:rPr>
          <w:rFonts w:asciiTheme="majorBidi" w:hAnsiTheme="majorBidi" w:cstheme="majorBidi"/>
          <w:sz w:val="24"/>
          <w:szCs w:val="24"/>
        </w:rPr>
        <w:t>the Umayyad</w:t>
      </w:r>
      <w:r w:rsidR="00D769C0">
        <w:rPr>
          <w:rFonts w:asciiTheme="majorBidi" w:hAnsiTheme="majorBidi" w:cstheme="majorBidi"/>
          <w:sz w:val="24"/>
          <w:szCs w:val="24"/>
        </w:rPr>
        <w:t xml:space="preserve"> government </w:t>
      </w:r>
      <w:r w:rsidR="00100450">
        <w:rPr>
          <w:rFonts w:asciiTheme="majorBidi" w:hAnsiTheme="majorBidi" w:cstheme="majorBidi"/>
          <w:sz w:val="24"/>
          <w:szCs w:val="24"/>
        </w:rPr>
        <w:t>both</w:t>
      </w:r>
      <w:r w:rsidR="00D769C0">
        <w:rPr>
          <w:rFonts w:asciiTheme="majorBidi" w:hAnsiTheme="majorBidi" w:cstheme="majorBidi"/>
          <w:sz w:val="24"/>
          <w:szCs w:val="24"/>
        </w:rPr>
        <w:t xml:space="preserve"> check</w:t>
      </w:r>
      <w:r w:rsidR="00100450">
        <w:rPr>
          <w:rFonts w:asciiTheme="majorBidi" w:hAnsiTheme="majorBidi" w:cstheme="majorBidi"/>
          <w:sz w:val="24"/>
          <w:szCs w:val="24"/>
        </w:rPr>
        <w:t>ed</w:t>
      </w:r>
      <w:r w:rsidR="00D769C0">
        <w:rPr>
          <w:rFonts w:asciiTheme="majorBidi" w:hAnsiTheme="majorBidi" w:cstheme="majorBidi"/>
          <w:sz w:val="24"/>
          <w:szCs w:val="24"/>
        </w:rPr>
        <w:t xml:space="preserve"> the tribal feuds and provide</w:t>
      </w:r>
      <w:r w:rsidR="00100450">
        <w:rPr>
          <w:rFonts w:asciiTheme="majorBidi" w:hAnsiTheme="majorBidi" w:cstheme="majorBidi"/>
          <w:sz w:val="24"/>
          <w:szCs w:val="24"/>
        </w:rPr>
        <w:t>d</w:t>
      </w:r>
      <w:r w:rsidR="00D769C0">
        <w:rPr>
          <w:rFonts w:asciiTheme="majorBidi" w:hAnsiTheme="majorBidi" w:cstheme="majorBidi"/>
          <w:sz w:val="24"/>
          <w:szCs w:val="24"/>
        </w:rPr>
        <w:t xml:space="preserve"> reinforcements. </w:t>
      </w:r>
      <w:r w:rsidR="00100450">
        <w:rPr>
          <w:rFonts w:asciiTheme="majorBidi" w:hAnsiTheme="majorBidi" w:cstheme="majorBidi"/>
          <w:sz w:val="24"/>
          <w:szCs w:val="24"/>
        </w:rPr>
        <w:t>T</w:t>
      </w:r>
      <w:r w:rsidR="00D769C0">
        <w:rPr>
          <w:rFonts w:asciiTheme="majorBidi" w:hAnsiTheme="majorBidi" w:cstheme="majorBidi"/>
          <w:sz w:val="24"/>
          <w:szCs w:val="24"/>
        </w:rPr>
        <w:t>he</w:t>
      </w:r>
      <w:r w:rsidR="00100450">
        <w:rPr>
          <w:rFonts w:asciiTheme="majorBidi" w:hAnsiTheme="majorBidi" w:cstheme="majorBidi"/>
          <w:sz w:val="24"/>
          <w:szCs w:val="24"/>
        </w:rPr>
        <w:t>y</w:t>
      </w:r>
      <w:r w:rsidR="00D769C0">
        <w:rPr>
          <w:rFonts w:asciiTheme="majorBidi" w:hAnsiTheme="majorBidi" w:cstheme="majorBidi"/>
          <w:sz w:val="24"/>
          <w:szCs w:val="24"/>
        </w:rPr>
        <w:t xml:space="preserve"> gradually got the upper hand in </w:t>
      </w:r>
      <w:r w:rsidR="00AA79F0">
        <w:rPr>
          <w:rFonts w:asciiTheme="majorBidi" w:hAnsiTheme="majorBidi" w:cstheme="majorBidi"/>
          <w:sz w:val="24"/>
          <w:szCs w:val="24"/>
        </w:rPr>
        <w:t>the</w:t>
      </w:r>
      <w:r w:rsidR="00D769C0">
        <w:rPr>
          <w:rFonts w:asciiTheme="majorBidi" w:hAnsiTheme="majorBidi" w:cstheme="majorBidi"/>
          <w:sz w:val="24"/>
          <w:szCs w:val="24"/>
        </w:rPr>
        <w:t xml:space="preserve"> competition for the control of Ṭukhāristān with the Turks and the Hephthalites. </w:t>
      </w:r>
      <w:r w:rsidR="00C644D5">
        <w:rPr>
          <w:rFonts w:asciiTheme="majorBidi" w:hAnsiTheme="majorBidi" w:cstheme="majorBidi"/>
          <w:sz w:val="24"/>
          <w:szCs w:val="24"/>
        </w:rPr>
        <w:t>As for</w:t>
      </w:r>
      <w:r w:rsidR="00100450">
        <w:rPr>
          <w:rFonts w:asciiTheme="majorBidi" w:hAnsiTheme="majorBidi" w:cstheme="majorBidi"/>
          <w:sz w:val="24"/>
          <w:szCs w:val="24"/>
        </w:rPr>
        <w:t xml:space="preserve"> </w:t>
      </w:r>
      <w:r w:rsidR="00D769C0">
        <w:rPr>
          <w:rFonts w:asciiTheme="majorBidi" w:hAnsiTheme="majorBidi" w:cstheme="majorBidi"/>
          <w:sz w:val="24"/>
          <w:szCs w:val="24"/>
        </w:rPr>
        <w:t>Pērōz and Narseh</w:t>
      </w:r>
      <w:r w:rsidR="00C644D5">
        <w:rPr>
          <w:rFonts w:asciiTheme="majorBidi" w:hAnsiTheme="majorBidi" w:cstheme="majorBidi"/>
          <w:sz w:val="24"/>
          <w:szCs w:val="24"/>
        </w:rPr>
        <w:t xml:space="preserve">, they were </w:t>
      </w:r>
      <w:r w:rsidR="00100450">
        <w:rPr>
          <w:rFonts w:asciiTheme="majorBidi" w:hAnsiTheme="majorBidi" w:cstheme="majorBidi"/>
          <w:sz w:val="24"/>
          <w:szCs w:val="24"/>
        </w:rPr>
        <w:t>dependent on the Turks</w:t>
      </w:r>
      <w:r w:rsidR="00C644D5">
        <w:rPr>
          <w:rFonts w:asciiTheme="majorBidi" w:hAnsiTheme="majorBidi" w:cstheme="majorBidi"/>
          <w:sz w:val="24"/>
          <w:szCs w:val="24"/>
        </w:rPr>
        <w:t xml:space="preserve">; they </w:t>
      </w:r>
      <w:r w:rsidR="00AA79F0">
        <w:rPr>
          <w:rFonts w:asciiTheme="majorBidi" w:hAnsiTheme="majorBidi" w:cstheme="majorBidi"/>
          <w:sz w:val="24"/>
          <w:szCs w:val="24"/>
        </w:rPr>
        <w:t>did</w:t>
      </w:r>
      <w:r w:rsidR="00C644D5">
        <w:rPr>
          <w:rFonts w:asciiTheme="majorBidi" w:hAnsiTheme="majorBidi" w:cstheme="majorBidi"/>
          <w:sz w:val="24"/>
          <w:szCs w:val="24"/>
        </w:rPr>
        <w:t xml:space="preserve"> not pose threat to the Arabs and attempted to restore the lost dynasty in vain.</w:t>
      </w:r>
    </w:p>
    <w:p w14:paraId="65E6102B" w14:textId="7E8781F5" w:rsidR="00AB55D9" w:rsidRPr="00DA0052" w:rsidRDefault="00AF7923" w:rsidP="00C644D5">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When the Arabs expanded deep </w:t>
      </w:r>
      <w:r w:rsidR="00AA79F0">
        <w:rPr>
          <w:rFonts w:asciiTheme="majorBidi" w:hAnsiTheme="majorBidi" w:cstheme="majorBidi"/>
          <w:sz w:val="24"/>
          <w:szCs w:val="24"/>
        </w:rPr>
        <w:t>to Ṭukhāristān</w:t>
      </w:r>
      <w:r>
        <w:rPr>
          <w:rFonts w:asciiTheme="majorBidi" w:hAnsiTheme="majorBidi" w:cstheme="majorBidi"/>
          <w:sz w:val="24"/>
          <w:szCs w:val="24"/>
        </w:rPr>
        <w:t xml:space="preserve">, </w:t>
      </w:r>
      <w:r w:rsidR="00AA79F0">
        <w:rPr>
          <w:rFonts w:asciiTheme="majorBidi" w:hAnsiTheme="majorBidi" w:cstheme="majorBidi"/>
          <w:sz w:val="24"/>
          <w:szCs w:val="24"/>
        </w:rPr>
        <w:t xml:space="preserve">Pērōz and Narseh </w:t>
      </w:r>
      <w:r w:rsidR="00100450">
        <w:rPr>
          <w:rFonts w:asciiTheme="majorBidi" w:hAnsiTheme="majorBidi" w:cstheme="majorBidi"/>
          <w:sz w:val="24"/>
          <w:szCs w:val="24"/>
        </w:rPr>
        <w:t>fled to China, mainly because the political power of the Tang Empire would provide a safe refuge for them, with other Sasanian members scattered in</w:t>
      </w:r>
      <w:r w:rsidR="00984F87">
        <w:rPr>
          <w:rFonts w:asciiTheme="majorBidi" w:hAnsiTheme="majorBidi" w:cstheme="majorBidi"/>
          <w:sz w:val="24"/>
          <w:szCs w:val="24"/>
        </w:rPr>
        <w:t xml:space="preserve"> </w:t>
      </w:r>
      <w:r w:rsidR="00946F12">
        <w:rPr>
          <w:rFonts w:asciiTheme="majorBidi" w:hAnsiTheme="majorBidi" w:cstheme="majorBidi"/>
          <w:sz w:val="24"/>
          <w:szCs w:val="24"/>
        </w:rPr>
        <w:t>Sogdiana</w:t>
      </w:r>
      <w:r w:rsidR="000A59C5">
        <w:rPr>
          <w:rFonts w:asciiTheme="majorBidi" w:hAnsiTheme="majorBidi" w:cstheme="majorBidi"/>
          <w:sz w:val="24"/>
          <w:szCs w:val="24"/>
        </w:rPr>
        <w:t>,</w:t>
      </w:r>
      <w:r w:rsidR="00946F12">
        <w:rPr>
          <w:rFonts w:asciiTheme="majorBidi" w:hAnsiTheme="majorBidi" w:cstheme="majorBidi"/>
          <w:sz w:val="24"/>
          <w:szCs w:val="24"/>
        </w:rPr>
        <w:t xml:space="preserve"> </w:t>
      </w:r>
      <w:r w:rsidR="00984F87">
        <w:rPr>
          <w:rFonts w:asciiTheme="majorBidi" w:hAnsiTheme="majorBidi" w:cstheme="majorBidi"/>
          <w:sz w:val="24"/>
          <w:szCs w:val="24"/>
        </w:rPr>
        <w:t xml:space="preserve">and regions </w:t>
      </w:r>
      <w:r w:rsidR="00946F12">
        <w:rPr>
          <w:rFonts w:asciiTheme="majorBidi" w:hAnsiTheme="majorBidi" w:cstheme="majorBidi"/>
          <w:sz w:val="24"/>
          <w:szCs w:val="24"/>
        </w:rPr>
        <w:t xml:space="preserve">to the south of the </w:t>
      </w:r>
      <w:r w:rsidR="005C5123">
        <w:rPr>
          <w:rFonts w:asciiTheme="majorBidi" w:hAnsiTheme="majorBidi" w:cstheme="majorBidi"/>
          <w:sz w:val="24"/>
          <w:szCs w:val="24"/>
        </w:rPr>
        <w:t>Hindukush</w:t>
      </w:r>
      <w:r w:rsidR="00946F12">
        <w:rPr>
          <w:rFonts w:asciiTheme="majorBidi" w:hAnsiTheme="majorBidi" w:cstheme="majorBidi"/>
          <w:sz w:val="24"/>
          <w:szCs w:val="24"/>
        </w:rPr>
        <w:t>.</w:t>
      </w:r>
      <w:r w:rsidR="0037053F">
        <w:rPr>
          <w:rFonts w:asciiTheme="majorBidi" w:hAnsiTheme="majorBidi" w:cstheme="majorBidi"/>
          <w:sz w:val="24"/>
          <w:szCs w:val="24"/>
        </w:rPr>
        <w:t xml:space="preserve"> </w:t>
      </w:r>
      <w:r w:rsidR="00AA79F0">
        <w:rPr>
          <w:rFonts w:asciiTheme="majorBidi" w:hAnsiTheme="majorBidi" w:cstheme="majorBidi"/>
          <w:sz w:val="24"/>
          <w:szCs w:val="24"/>
        </w:rPr>
        <w:t xml:space="preserve">Still, </w:t>
      </w:r>
      <w:r w:rsidR="00B74D0D">
        <w:rPr>
          <w:rFonts w:asciiTheme="majorBidi" w:hAnsiTheme="majorBidi" w:cstheme="majorBidi"/>
          <w:sz w:val="24"/>
          <w:szCs w:val="24"/>
        </w:rPr>
        <w:t xml:space="preserve">because of the meagerness of relevant information in the sources, the reconstruction </w:t>
      </w:r>
      <w:r w:rsidR="0037053F">
        <w:rPr>
          <w:rFonts w:asciiTheme="majorBidi" w:hAnsiTheme="majorBidi" w:cstheme="majorBidi"/>
          <w:sz w:val="24"/>
          <w:szCs w:val="24"/>
        </w:rPr>
        <w:t>lack</w:t>
      </w:r>
      <w:r w:rsidR="00984F87">
        <w:rPr>
          <w:rFonts w:asciiTheme="majorBidi" w:hAnsiTheme="majorBidi" w:cstheme="majorBidi"/>
          <w:sz w:val="24"/>
          <w:szCs w:val="24"/>
        </w:rPr>
        <w:t>s</w:t>
      </w:r>
      <w:r w:rsidR="0037053F">
        <w:rPr>
          <w:rFonts w:asciiTheme="majorBidi" w:hAnsiTheme="majorBidi" w:cstheme="majorBidi"/>
          <w:sz w:val="24"/>
          <w:szCs w:val="24"/>
        </w:rPr>
        <w:t xml:space="preserve"> details and concrete chronology.</w:t>
      </w:r>
      <w:r w:rsidR="00AB55D9">
        <w:rPr>
          <w:rFonts w:asciiTheme="majorBidi" w:hAnsiTheme="majorBidi"/>
          <w:sz w:val="24"/>
          <w:szCs w:val="24"/>
        </w:rPr>
        <w:br w:type="page"/>
      </w:r>
    </w:p>
    <w:p w14:paraId="20BA778C" w14:textId="7BC72418" w:rsidR="00146AA9" w:rsidRDefault="00DA0052" w:rsidP="006C7EB2">
      <w:pPr>
        <w:pStyle w:val="Heading2"/>
        <w:rPr>
          <w:rFonts w:asciiTheme="majorBidi" w:hAnsiTheme="majorBidi"/>
          <w:sz w:val="24"/>
          <w:szCs w:val="24"/>
        </w:rPr>
      </w:pPr>
      <w:bookmarkStart w:id="4" w:name="_Toc91623871"/>
      <w:r>
        <w:rPr>
          <w:rFonts w:asciiTheme="majorBidi" w:hAnsiTheme="majorBidi"/>
          <w:sz w:val="24"/>
          <w:szCs w:val="24"/>
        </w:rPr>
        <w:lastRenderedPageBreak/>
        <w:t>1 Why Pērōz and his son Narseh sought refuge in</w:t>
      </w:r>
      <w:r w:rsidR="007B09B6" w:rsidRPr="006C7EB2">
        <w:rPr>
          <w:rFonts w:asciiTheme="majorBidi" w:hAnsiTheme="majorBidi"/>
          <w:sz w:val="24"/>
          <w:szCs w:val="24"/>
        </w:rPr>
        <w:t xml:space="preserve"> </w:t>
      </w:r>
      <w:r w:rsidR="006258B5" w:rsidRPr="006C7EB2">
        <w:rPr>
          <w:rFonts w:asciiTheme="majorBidi" w:hAnsiTheme="majorBidi"/>
          <w:sz w:val="24"/>
          <w:szCs w:val="24"/>
        </w:rPr>
        <w:t>Ṭukhāristān</w:t>
      </w:r>
      <w:bookmarkEnd w:id="4"/>
    </w:p>
    <w:p w14:paraId="05160131" w14:textId="70E4DC43" w:rsidR="00660101" w:rsidRDefault="00660101" w:rsidP="00660101">
      <w:pPr>
        <w:spacing w:line="360" w:lineRule="auto"/>
        <w:rPr>
          <w:rFonts w:asciiTheme="majorBidi" w:hAnsiTheme="majorBidi" w:cstheme="majorBidi"/>
          <w:sz w:val="24"/>
          <w:szCs w:val="24"/>
        </w:rPr>
      </w:pPr>
      <w:r>
        <w:rPr>
          <w:rFonts w:asciiTheme="majorBidi" w:hAnsiTheme="majorBidi" w:cstheme="majorBidi"/>
          <w:sz w:val="24"/>
          <w:szCs w:val="24"/>
        </w:rPr>
        <w:t xml:space="preserve">According to the Arab </w:t>
      </w:r>
      <w:r w:rsidR="00E042A9">
        <w:rPr>
          <w:rFonts w:asciiTheme="majorBidi" w:hAnsiTheme="majorBidi" w:cstheme="majorBidi"/>
          <w:sz w:val="24"/>
          <w:szCs w:val="24"/>
        </w:rPr>
        <w:t>scholar al-</w:t>
      </w:r>
      <w:r w:rsidR="00E042A9" w:rsidRPr="008D2AB3">
        <w:rPr>
          <w:rFonts w:asciiTheme="majorBidi" w:hAnsiTheme="majorBidi" w:cstheme="majorBidi"/>
          <w:sz w:val="24"/>
          <w:szCs w:val="24"/>
        </w:rPr>
        <w:t>Masʿūdī</w:t>
      </w:r>
      <w:r w:rsidR="00E042A9">
        <w:rPr>
          <w:rFonts w:asciiTheme="majorBidi" w:hAnsiTheme="majorBidi" w:cstheme="majorBidi"/>
          <w:sz w:val="24"/>
          <w:szCs w:val="24"/>
        </w:rPr>
        <w:t>’s (d. 956 CE), Yazdegerd had two sons</w:t>
      </w:r>
      <w:r w:rsidR="00C1184C">
        <w:rPr>
          <w:rFonts w:asciiTheme="majorBidi" w:hAnsiTheme="majorBidi" w:cstheme="majorBidi"/>
          <w:sz w:val="24"/>
          <w:szCs w:val="24"/>
        </w:rPr>
        <w:t xml:space="preserve">, </w:t>
      </w:r>
      <w:r w:rsidR="006B0C51">
        <w:rPr>
          <w:rFonts w:asciiTheme="majorBidi" w:hAnsiTheme="majorBidi" w:cstheme="majorBidi"/>
          <w:sz w:val="24"/>
          <w:szCs w:val="24"/>
        </w:rPr>
        <w:t>W</w:t>
      </w:r>
      <w:r w:rsidR="00C1184C">
        <w:rPr>
          <w:rFonts w:asciiTheme="majorBidi" w:hAnsiTheme="majorBidi" w:cstheme="majorBidi"/>
          <w:sz w:val="24"/>
          <w:szCs w:val="24"/>
        </w:rPr>
        <w:t>ahrām and Pērōz.</w:t>
      </w:r>
      <w:r w:rsidR="00C1184C">
        <w:rPr>
          <w:rStyle w:val="FootnoteReference"/>
          <w:rFonts w:asciiTheme="majorBidi" w:hAnsiTheme="majorBidi" w:cstheme="majorBidi"/>
          <w:sz w:val="24"/>
          <w:szCs w:val="24"/>
        </w:rPr>
        <w:footnoteReference w:id="74"/>
      </w:r>
      <w:r w:rsidR="00E042A9">
        <w:rPr>
          <w:rFonts w:asciiTheme="majorBidi" w:hAnsiTheme="majorBidi" w:cstheme="majorBidi"/>
          <w:sz w:val="24"/>
          <w:szCs w:val="24"/>
        </w:rPr>
        <w:t xml:space="preserve"> </w:t>
      </w:r>
      <w:r w:rsidR="00C1184C">
        <w:rPr>
          <w:rFonts w:asciiTheme="majorBidi" w:hAnsiTheme="majorBidi" w:cstheme="majorBidi"/>
          <w:sz w:val="24"/>
          <w:szCs w:val="24"/>
        </w:rPr>
        <w:t>The historian a</w:t>
      </w:r>
      <w:r>
        <w:rPr>
          <w:rFonts w:asciiTheme="majorBidi" w:hAnsiTheme="majorBidi" w:cstheme="majorBidi"/>
          <w:sz w:val="24"/>
          <w:szCs w:val="24"/>
        </w:rPr>
        <w:t>l-Balādhurī (d. 892 CE)</w:t>
      </w:r>
      <w:r w:rsidR="00C1184C">
        <w:rPr>
          <w:rFonts w:asciiTheme="majorBidi" w:hAnsiTheme="majorBidi" w:cstheme="majorBidi"/>
          <w:sz w:val="24"/>
          <w:szCs w:val="24"/>
        </w:rPr>
        <w:t xml:space="preserve"> reports that</w:t>
      </w:r>
      <w:r>
        <w:rPr>
          <w:rFonts w:asciiTheme="majorBidi" w:hAnsiTheme="majorBidi" w:cstheme="majorBidi"/>
          <w:sz w:val="24"/>
          <w:szCs w:val="24"/>
        </w:rPr>
        <w:t xml:space="preserve"> Pērōz </w:t>
      </w:r>
      <w:r w:rsidR="00F37D5E">
        <w:rPr>
          <w:rFonts w:asciiTheme="majorBidi" w:hAnsiTheme="majorBidi" w:cstheme="majorBidi"/>
          <w:sz w:val="24"/>
          <w:szCs w:val="24"/>
        </w:rPr>
        <w:t xml:space="preserve">fell to the Turks, </w:t>
      </w:r>
      <w:r>
        <w:rPr>
          <w:rFonts w:asciiTheme="majorBidi" w:hAnsiTheme="majorBidi" w:cstheme="majorBidi"/>
          <w:sz w:val="24"/>
          <w:szCs w:val="24"/>
        </w:rPr>
        <w:t>married a Turkish woman and settled among the</w:t>
      </w:r>
      <w:r w:rsidR="00F37D5E">
        <w:rPr>
          <w:rFonts w:asciiTheme="majorBidi" w:hAnsiTheme="majorBidi" w:cstheme="majorBidi"/>
          <w:sz w:val="24"/>
          <w:szCs w:val="24"/>
        </w:rPr>
        <w:t>m</w:t>
      </w:r>
      <w:r>
        <w:rPr>
          <w:rFonts w:asciiTheme="majorBidi" w:hAnsiTheme="majorBidi" w:cstheme="majorBidi"/>
          <w:sz w:val="24"/>
          <w:szCs w:val="24"/>
        </w:rPr>
        <w:t>.</w:t>
      </w:r>
      <w:r w:rsidRPr="00730B47">
        <w:rPr>
          <w:rFonts w:asciiTheme="majorBidi" w:hAnsiTheme="majorBidi" w:cstheme="majorBidi"/>
          <w:sz w:val="24"/>
          <w:szCs w:val="28"/>
          <w:vertAlign w:val="superscript"/>
        </w:rPr>
        <w:footnoteReference w:id="75"/>
      </w:r>
      <w:r>
        <w:rPr>
          <w:rFonts w:asciiTheme="majorBidi" w:hAnsiTheme="majorBidi" w:cstheme="majorBidi"/>
          <w:sz w:val="24"/>
          <w:szCs w:val="24"/>
        </w:rPr>
        <w:t xml:space="preserve"> </w:t>
      </w:r>
      <w:r w:rsidR="00D70CC0">
        <w:rPr>
          <w:rFonts w:asciiTheme="majorBidi" w:hAnsiTheme="majorBidi" w:cstheme="majorBidi"/>
          <w:sz w:val="24"/>
          <w:szCs w:val="24"/>
        </w:rPr>
        <w:t>And t</w:t>
      </w:r>
      <w:r w:rsidR="007B1F80">
        <w:rPr>
          <w:rFonts w:asciiTheme="majorBidi" w:hAnsiTheme="majorBidi" w:cstheme="majorBidi"/>
          <w:sz w:val="24"/>
          <w:szCs w:val="24"/>
        </w:rPr>
        <w:t>his should be a Turkic princess</w:t>
      </w:r>
      <w:r w:rsidR="00D70CC0">
        <w:rPr>
          <w:rFonts w:asciiTheme="majorBidi" w:hAnsiTheme="majorBidi" w:cstheme="majorBidi"/>
          <w:sz w:val="24"/>
          <w:szCs w:val="24"/>
        </w:rPr>
        <w:t>.</w:t>
      </w:r>
      <w:r w:rsidR="007B1F80">
        <w:rPr>
          <w:rStyle w:val="FootnoteReference"/>
          <w:rFonts w:asciiTheme="majorBidi" w:hAnsiTheme="majorBidi" w:cstheme="majorBidi"/>
          <w:sz w:val="24"/>
          <w:szCs w:val="24"/>
        </w:rPr>
        <w:footnoteReference w:id="76"/>
      </w:r>
      <w:r w:rsidR="007B1F80">
        <w:rPr>
          <w:rFonts w:asciiTheme="majorBidi" w:hAnsiTheme="majorBidi" w:cstheme="majorBidi"/>
          <w:sz w:val="24"/>
          <w:szCs w:val="24"/>
        </w:rPr>
        <w:t xml:space="preserve"> Clearly, as Kavad I, Pērōz intermarried with the Turks in order to win their support.</w:t>
      </w:r>
      <w:r w:rsidR="001B1E13">
        <w:rPr>
          <w:rFonts w:asciiTheme="majorBidi" w:hAnsiTheme="majorBidi" w:cstheme="majorBidi"/>
          <w:sz w:val="24"/>
          <w:szCs w:val="24"/>
        </w:rPr>
        <w:t xml:space="preserve"> </w:t>
      </w:r>
      <w:r>
        <w:rPr>
          <w:rFonts w:asciiTheme="majorBidi" w:hAnsiTheme="majorBidi" w:cstheme="majorBidi"/>
          <w:sz w:val="24"/>
          <w:szCs w:val="24"/>
        </w:rPr>
        <w:t xml:space="preserve">However, these are </w:t>
      </w:r>
      <w:r w:rsidR="00C1184C">
        <w:rPr>
          <w:rFonts w:asciiTheme="majorBidi" w:hAnsiTheme="majorBidi" w:cstheme="majorBidi"/>
          <w:sz w:val="24"/>
          <w:szCs w:val="24"/>
        </w:rPr>
        <w:t xml:space="preserve">basically </w:t>
      </w:r>
      <w:r>
        <w:rPr>
          <w:rFonts w:asciiTheme="majorBidi" w:hAnsiTheme="majorBidi" w:cstheme="majorBidi"/>
          <w:sz w:val="24"/>
          <w:szCs w:val="24"/>
        </w:rPr>
        <w:t>the only information about th</w:t>
      </w:r>
      <w:r w:rsidR="00C1184C">
        <w:rPr>
          <w:rFonts w:asciiTheme="majorBidi" w:hAnsiTheme="majorBidi" w:cstheme="majorBidi"/>
          <w:sz w:val="24"/>
          <w:szCs w:val="24"/>
        </w:rPr>
        <w:t>ese two</w:t>
      </w:r>
      <w:r>
        <w:rPr>
          <w:rFonts w:asciiTheme="majorBidi" w:hAnsiTheme="majorBidi" w:cstheme="majorBidi"/>
          <w:sz w:val="24"/>
          <w:szCs w:val="24"/>
        </w:rPr>
        <w:t xml:space="preserve"> Sasanian prince</w:t>
      </w:r>
      <w:r w:rsidR="00C1184C">
        <w:rPr>
          <w:rFonts w:asciiTheme="majorBidi" w:hAnsiTheme="majorBidi" w:cstheme="majorBidi"/>
          <w:sz w:val="24"/>
          <w:szCs w:val="24"/>
        </w:rPr>
        <w:t>s</w:t>
      </w:r>
      <w:r>
        <w:rPr>
          <w:rFonts w:asciiTheme="majorBidi" w:hAnsiTheme="majorBidi" w:cstheme="majorBidi"/>
          <w:sz w:val="24"/>
          <w:szCs w:val="24"/>
        </w:rPr>
        <w:t xml:space="preserve"> in the Muslim sources, although miscellaneous records about other Sasanian members are found.</w:t>
      </w:r>
      <w:r>
        <w:rPr>
          <w:rStyle w:val="FootnoteReference"/>
          <w:rFonts w:asciiTheme="majorBidi" w:hAnsiTheme="majorBidi" w:cstheme="majorBidi"/>
          <w:sz w:val="24"/>
          <w:szCs w:val="24"/>
        </w:rPr>
        <w:footnoteReference w:id="77"/>
      </w:r>
    </w:p>
    <w:p w14:paraId="38387610" w14:textId="79C6BF3D" w:rsidR="00660101" w:rsidRDefault="00660101" w:rsidP="00660101">
      <w:pPr>
        <w:spacing w:line="360" w:lineRule="auto"/>
        <w:rPr>
          <w:rFonts w:asciiTheme="majorBidi" w:hAnsiTheme="majorBidi" w:cstheme="majorBidi"/>
          <w:sz w:val="24"/>
          <w:szCs w:val="24"/>
        </w:rPr>
      </w:pPr>
      <w:r>
        <w:rPr>
          <w:rFonts w:asciiTheme="majorBidi" w:hAnsiTheme="majorBidi" w:cstheme="majorBidi"/>
          <w:sz w:val="24"/>
          <w:szCs w:val="24"/>
        </w:rPr>
        <w:t xml:space="preserve">     The Chinese sources are more informative concerning the career of Pērōz. </w:t>
      </w:r>
      <w:r w:rsidR="00C1184C">
        <w:rPr>
          <w:rFonts w:asciiTheme="majorBidi" w:hAnsiTheme="majorBidi" w:cstheme="majorBidi"/>
          <w:sz w:val="24"/>
          <w:szCs w:val="24"/>
        </w:rPr>
        <w:t>T</w:t>
      </w:r>
      <w:r>
        <w:rPr>
          <w:rFonts w:asciiTheme="majorBidi" w:hAnsiTheme="majorBidi" w:cstheme="majorBidi"/>
          <w:sz w:val="24"/>
          <w:szCs w:val="24"/>
        </w:rPr>
        <w:t xml:space="preserve">he </w:t>
      </w:r>
      <w:r w:rsidRPr="008422BF">
        <w:rPr>
          <w:rFonts w:asciiTheme="majorBidi" w:hAnsiTheme="majorBidi" w:cstheme="majorBidi"/>
          <w:i/>
          <w:iCs/>
          <w:sz w:val="24"/>
          <w:szCs w:val="24"/>
        </w:rPr>
        <w:t>Jiu Tangshu</w:t>
      </w:r>
      <w:r w:rsidR="00C1184C">
        <w:rPr>
          <w:rFonts w:asciiTheme="majorBidi" w:hAnsiTheme="majorBidi" w:cstheme="majorBidi"/>
          <w:sz w:val="24"/>
          <w:szCs w:val="24"/>
        </w:rPr>
        <w:t xml:space="preserve"> </w:t>
      </w:r>
      <w:r>
        <w:rPr>
          <w:rFonts w:asciiTheme="majorBidi" w:hAnsiTheme="majorBidi" w:cstheme="majorBidi"/>
          <w:sz w:val="24"/>
          <w:szCs w:val="24"/>
        </w:rPr>
        <w:t xml:space="preserve">and the </w:t>
      </w:r>
      <w:r w:rsidRPr="008422BF">
        <w:rPr>
          <w:rFonts w:asciiTheme="majorBidi" w:hAnsiTheme="majorBidi" w:cstheme="majorBidi"/>
          <w:i/>
          <w:iCs/>
          <w:sz w:val="24"/>
          <w:szCs w:val="24"/>
        </w:rPr>
        <w:t>Xin Tangshu</w:t>
      </w:r>
      <w:r>
        <w:rPr>
          <w:rFonts w:asciiTheme="majorBidi" w:hAnsiTheme="majorBidi" w:cstheme="majorBidi"/>
          <w:i/>
          <w:iCs/>
          <w:sz w:val="24"/>
          <w:szCs w:val="24"/>
        </w:rPr>
        <w:t xml:space="preserve"> </w:t>
      </w:r>
      <w:r>
        <w:rPr>
          <w:rFonts w:asciiTheme="majorBidi" w:hAnsiTheme="majorBidi" w:cstheme="majorBidi"/>
          <w:sz w:val="24"/>
          <w:szCs w:val="24"/>
        </w:rPr>
        <w:t>report that</w:t>
      </w:r>
      <w:r w:rsidR="00841CC6">
        <w:rPr>
          <w:rFonts w:asciiTheme="majorBidi" w:hAnsiTheme="majorBidi" w:cstheme="majorBidi"/>
          <w:sz w:val="24"/>
          <w:szCs w:val="24"/>
        </w:rPr>
        <w:t xml:space="preserve"> </w:t>
      </w:r>
      <w:r>
        <w:rPr>
          <w:rFonts w:asciiTheme="majorBidi" w:hAnsiTheme="majorBidi" w:cstheme="majorBidi"/>
          <w:sz w:val="24"/>
          <w:szCs w:val="24"/>
        </w:rPr>
        <w:t xml:space="preserve">Pērōz stayed in the court of the </w:t>
      </w:r>
      <w:r w:rsidR="005128ED">
        <w:rPr>
          <w:rFonts w:asciiTheme="majorBidi" w:hAnsiTheme="majorBidi" w:cstheme="majorBidi"/>
          <w:sz w:val="24"/>
          <w:szCs w:val="24"/>
        </w:rPr>
        <w:t>Ṭukhārā</w:t>
      </w:r>
      <w:r>
        <w:rPr>
          <w:rFonts w:asciiTheme="majorBidi" w:hAnsiTheme="majorBidi" w:cstheme="majorBidi"/>
          <w:sz w:val="24"/>
          <w:szCs w:val="24"/>
        </w:rPr>
        <w:t xml:space="preserve"> </w:t>
      </w:r>
      <w:r>
        <w:rPr>
          <w:rFonts w:asciiTheme="majorBidi" w:hAnsiTheme="majorBidi" w:cstheme="majorBidi"/>
          <w:sz w:val="24"/>
          <w:szCs w:val="24"/>
        </w:rPr>
        <w:lastRenderedPageBreak/>
        <w:t>Yabghū</w:t>
      </w:r>
      <w:r w:rsidR="007155D7">
        <w:rPr>
          <w:rFonts w:asciiTheme="majorBidi" w:hAnsiTheme="majorBidi" w:cstheme="majorBidi"/>
          <w:sz w:val="24"/>
          <w:szCs w:val="24"/>
        </w:rPr>
        <w:t xml:space="preserve"> </w:t>
      </w:r>
      <w:r w:rsidR="00841CC6">
        <w:rPr>
          <w:rFonts w:asciiTheme="majorBidi" w:hAnsiTheme="majorBidi" w:cstheme="majorBidi"/>
          <w:sz w:val="24"/>
          <w:szCs w:val="24"/>
        </w:rPr>
        <w:t>during the 650s and 660s</w:t>
      </w:r>
      <w:r>
        <w:rPr>
          <w:rFonts w:asciiTheme="majorBidi" w:hAnsiTheme="majorBidi" w:cstheme="majorBidi"/>
          <w:sz w:val="24"/>
          <w:szCs w:val="24"/>
        </w:rPr>
        <w:t xml:space="preserve"> before arriving at the Tang court</w:t>
      </w:r>
      <w:r w:rsidR="00841CC6">
        <w:rPr>
          <w:rFonts w:asciiTheme="majorBidi" w:hAnsiTheme="majorBidi" w:cstheme="majorBidi"/>
          <w:sz w:val="24"/>
          <w:szCs w:val="24"/>
        </w:rPr>
        <w:t xml:space="preserve"> in the mid-670s</w:t>
      </w:r>
      <w:r>
        <w:rPr>
          <w:rFonts w:asciiTheme="majorBidi" w:hAnsiTheme="majorBidi" w:cstheme="majorBidi"/>
          <w:sz w:val="24"/>
          <w:szCs w:val="24"/>
        </w:rPr>
        <w:t xml:space="preserve">; likewise, his son Narseh lingered in the same region </w:t>
      </w:r>
      <w:r w:rsidR="00841CC6">
        <w:rPr>
          <w:rFonts w:asciiTheme="majorBidi" w:hAnsiTheme="majorBidi" w:cstheme="majorBidi"/>
          <w:sz w:val="24"/>
          <w:szCs w:val="24"/>
        </w:rPr>
        <w:t>between the 680s and the 690s and</w:t>
      </w:r>
      <w:r>
        <w:rPr>
          <w:rFonts w:asciiTheme="majorBidi" w:hAnsiTheme="majorBidi" w:cstheme="majorBidi"/>
          <w:sz w:val="24"/>
          <w:szCs w:val="24"/>
        </w:rPr>
        <w:t xml:space="preserve"> ended in China </w:t>
      </w:r>
      <w:r w:rsidR="00841CC6">
        <w:rPr>
          <w:rFonts w:asciiTheme="majorBidi" w:hAnsiTheme="majorBidi" w:cstheme="majorBidi"/>
          <w:sz w:val="24"/>
          <w:szCs w:val="24"/>
        </w:rPr>
        <w:t>in the late 700s</w:t>
      </w:r>
      <w:r>
        <w:rPr>
          <w:rFonts w:asciiTheme="majorBidi" w:hAnsiTheme="majorBidi" w:cstheme="majorBidi"/>
          <w:sz w:val="24"/>
          <w:szCs w:val="24"/>
        </w:rPr>
        <w:t>.</w:t>
      </w:r>
      <w:r>
        <w:rPr>
          <w:rStyle w:val="FootnoteReference"/>
          <w:rFonts w:asciiTheme="majorBidi" w:hAnsiTheme="majorBidi" w:cstheme="majorBidi"/>
          <w:sz w:val="24"/>
          <w:szCs w:val="24"/>
        </w:rPr>
        <w:footnoteReference w:id="78"/>
      </w:r>
    </w:p>
    <w:p w14:paraId="5B6C145A" w14:textId="10F8B960" w:rsidR="00DC2282" w:rsidRDefault="00841CC6" w:rsidP="00D06FA7">
      <w:pPr>
        <w:spacing w:line="360" w:lineRule="auto"/>
        <w:rPr>
          <w:rFonts w:asciiTheme="majorBidi" w:hAnsiTheme="majorBidi" w:cstheme="majorBidi"/>
          <w:sz w:val="24"/>
          <w:szCs w:val="24"/>
        </w:rPr>
      </w:pPr>
      <w:r>
        <w:rPr>
          <w:rFonts w:asciiTheme="majorBidi" w:hAnsiTheme="majorBidi" w:cstheme="majorBidi"/>
          <w:sz w:val="24"/>
          <w:szCs w:val="24"/>
        </w:rPr>
        <w:t xml:space="preserve">     A question </w:t>
      </w:r>
      <w:r w:rsidR="005A72A4">
        <w:rPr>
          <w:rFonts w:asciiTheme="majorBidi" w:hAnsiTheme="majorBidi" w:cstheme="majorBidi"/>
          <w:sz w:val="24"/>
          <w:szCs w:val="24"/>
        </w:rPr>
        <w:t>that this chapter will deal with is why</w:t>
      </w:r>
      <w:r>
        <w:rPr>
          <w:rFonts w:asciiTheme="majorBidi" w:hAnsiTheme="majorBidi" w:cstheme="majorBidi"/>
          <w:sz w:val="24"/>
          <w:szCs w:val="24"/>
        </w:rPr>
        <w:t xml:space="preserve"> </w:t>
      </w:r>
      <w:r w:rsidR="00AF6CD9">
        <w:rPr>
          <w:rFonts w:asciiTheme="majorBidi" w:hAnsiTheme="majorBidi" w:cstheme="majorBidi"/>
          <w:sz w:val="24"/>
          <w:szCs w:val="24"/>
        </w:rPr>
        <w:t xml:space="preserve">both </w:t>
      </w:r>
      <w:r>
        <w:rPr>
          <w:rFonts w:asciiTheme="majorBidi" w:hAnsiTheme="majorBidi" w:cstheme="majorBidi"/>
          <w:sz w:val="24"/>
          <w:szCs w:val="24"/>
        </w:rPr>
        <w:t xml:space="preserve">Pērōz and </w:t>
      </w:r>
      <w:r w:rsidR="005A72A4">
        <w:rPr>
          <w:rFonts w:asciiTheme="majorBidi" w:hAnsiTheme="majorBidi" w:cstheme="majorBidi"/>
          <w:sz w:val="24"/>
          <w:szCs w:val="24"/>
        </w:rPr>
        <w:t xml:space="preserve">his son </w:t>
      </w:r>
      <w:r>
        <w:rPr>
          <w:rFonts w:asciiTheme="majorBidi" w:hAnsiTheme="majorBidi" w:cstheme="majorBidi"/>
          <w:sz w:val="24"/>
          <w:szCs w:val="24"/>
        </w:rPr>
        <w:t xml:space="preserve">Narseh sought refuge in </w:t>
      </w:r>
      <w:r w:rsidRPr="009A6F7F">
        <w:rPr>
          <w:rFonts w:asciiTheme="majorBidi" w:hAnsiTheme="majorBidi" w:cstheme="majorBidi"/>
          <w:sz w:val="24"/>
          <w:szCs w:val="24"/>
        </w:rPr>
        <w:t>Ṭukhāristān</w:t>
      </w:r>
      <w:r>
        <w:rPr>
          <w:rFonts w:asciiTheme="majorBidi" w:hAnsiTheme="majorBidi" w:cstheme="majorBidi"/>
          <w:sz w:val="24"/>
          <w:szCs w:val="24"/>
        </w:rPr>
        <w:t xml:space="preserve">. </w:t>
      </w:r>
      <w:r w:rsidR="005A72A4">
        <w:rPr>
          <w:rFonts w:asciiTheme="majorBidi" w:hAnsiTheme="majorBidi" w:cstheme="majorBidi"/>
          <w:sz w:val="24"/>
          <w:szCs w:val="24"/>
        </w:rPr>
        <w:t xml:space="preserve">For Pērōz, </w:t>
      </w:r>
      <w:r w:rsidR="00E67E2C">
        <w:rPr>
          <w:rFonts w:asciiTheme="majorBidi" w:hAnsiTheme="majorBidi" w:cstheme="majorBidi"/>
          <w:sz w:val="24"/>
          <w:szCs w:val="24"/>
        </w:rPr>
        <w:t xml:space="preserve">Ḥitti translates </w:t>
      </w:r>
      <w:r w:rsidR="00D06FA7">
        <w:rPr>
          <w:rFonts w:asciiTheme="majorBidi" w:hAnsiTheme="majorBidi" w:cstheme="majorBidi"/>
          <w:sz w:val="24"/>
          <w:szCs w:val="24"/>
        </w:rPr>
        <w:t>al-Balādhurī</w:t>
      </w:r>
      <w:r w:rsidR="00E67E2C">
        <w:rPr>
          <w:rFonts w:asciiTheme="majorBidi" w:hAnsiTheme="majorBidi" w:cstheme="majorBidi"/>
          <w:sz w:val="24"/>
          <w:szCs w:val="24"/>
        </w:rPr>
        <w:t>'s re</w:t>
      </w:r>
      <w:r w:rsidR="005A72A4">
        <w:rPr>
          <w:rFonts w:asciiTheme="majorBidi" w:hAnsiTheme="majorBidi" w:cstheme="majorBidi"/>
          <w:sz w:val="24"/>
          <w:szCs w:val="24"/>
        </w:rPr>
        <w:t>cord</w:t>
      </w:r>
      <w:r w:rsidR="00E67E2C">
        <w:rPr>
          <w:rFonts w:asciiTheme="majorBidi" w:hAnsiTheme="majorBidi" w:cstheme="majorBidi"/>
          <w:sz w:val="24"/>
          <w:szCs w:val="24"/>
        </w:rPr>
        <w:t xml:space="preserve"> </w:t>
      </w:r>
      <w:r w:rsidR="00E67E2C" w:rsidRPr="00510DAA">
        <w:rPr>
          <w:rFonts w:asciiTheme="majorBidi" w:hAnsiTheme="majorBidi" w:cstheme="majorBidi"/>
          <w:i/>
          <w:iCs/>
          <w:sz w:val="24"/>
          <w:szCs w:val="24"/>
        </w:rPr>
        <w:t xml:space="preserve">waqaʿa </w:t>
      </w:r>
      <w:r w:rsidR="007155D7">
        <w:rPr>
          <w:rFonts w:asciiTheme="majorBidi" w:hAnsiTheme="majorBidi" w:cstheme="majorBidi"/>
          <w:i/>
          <w:iCs/>
          <w:sz w:val="24"/>
          <w:szCs w:val="24"/>
        </w:rPr>
        <w:t>f</w:t>
      </w:r>
      <w:r w:rsidR="00E67E2C">
        <w:rPr>
          <w:rFonts w:asciiTheme="majorBidi" w:hAnsiTheme="majorBidi" w:cstheme="majorBidi"/>
          <w:i/>
          <w:iCs/>
          <w:sz w:val="24"/>
          <w:szCs w:val="24"/>
        </w:rPr>
        <w:t>ī</w:t>
      </w:r>
      <w:r w:rsidR="00E67E2C" w:rsidRPr="00510DAA">
        <w:rPr>
          <w:rFonts w:asciiTheme="majorBidi" w:hAnsiTheme="majorBidi" w:cstheme="majorBidi"/>
          <w:i/>
          <w:iCs/>
          <w:sz w:val="24"/>
          <w:szCs w:val="24"/>
        </w:rPr>
        <w:t>r</w:t>
      </w:r>
      <w:r w:rsidR="00E67E2C">
        <w:rPr>
          <w:rFonts w:asciiTheme="majorBidi" w:hAnsiTheme="majorBidi" w:cstheme="majorBidi"/>
          <w:i/>
          <w:iCs/>
          <w:sz w:val="24"/>
          <w:szCs w:val="24"/>
        </w:rPr>
        <w:t>ū</w:t>
      </w:r>
      <w:r w:rsidR="00E67E2C" w:rsidRPr="00510DAA">
        <w:rPr>
          <w:rFonts w:asciiTheme="majorBidi" w:hAnsiTheme="majorBidi" w:cstheme="majorBidi"/>
          <w:i/>
          <w:iCs/>
          <w:sz w:val="24"/>
          <w:szCs w:val="24"/>
        </w:rPr>
        <w:t xml:space="preserve">z ibn </w:t>
      </w:r>
      <w:r w:rsidR="00E67E2C">
        <w:rPr>
          <w:rFonts w:asciiTheme="majorBidi" w:hAnsiTheme="majorBidi" w:cstheme="majorBidi"/>
          <w:i/>
          <w:iCs/>
          <w:sz w:val="24"/>
          <w:szCs w:val="24"/>
        </w:rPr>
        <w:t>y</w:t>
      </w:r>
      <w:r w:rsidR="00E67E2C" w:rsidRPr="00510DAA">
        <w:rPr>
          <w:rFonts w:asciiTheme="majorBidi" w:hAnsiTheme="majorBidi" w:cstheme="majorBidi"/>
          <w:i/>
          <w:iCs/>
          <w:sz w:val="24"/>
          <w:szCs w:val="24"/>
        </w:rPr>
        <w:t>azd</w:t>
      </w:r>
      <w:r w:rsidR="00E67E2C">
        <w:rPr>
          <w:rFonts w:asciiTheme="majorBidi" w:hAnsiTheme="majorBidi" w:cstheme="majorBidi"/>
          <w:i/>
          <w:iCs/>
          <w:sz w:val="24"/>
          <w:szCs w:val="24"/>
        </w:rPr>
        <w:t>j</w:t>
      </w:r>
      <w:r w:rsidR="00E67E2C" w:rsidRPr="00510DAA">
        <w:rPr>
          <w:rFonts w:asciiTheme="majorBidi" w:hAnsiTheme="majorBidi" w:cstheme="majorBidi"/>
          <w:i/>
          <w:iCs/>
          <w:sz w:val="24"/>
          <w:szCs w:val="24"/>
        </w:rPr>
        <w:t>ird ila al-turk</w:t>
      </w:r>
      <w:r w:rsidR="00E67E2C">
        <w:rPr>
          <w:rFonts w:asciiTheme="majorBidi" w:hAnsiTheme="majorBidi" w:cstheme="majorBidi"/>
          <w:sz w:val="24"/>
          <w:szCs w:val="24"/>
        </w:rPr>
        <w:t xml:space="preserve"> as </w:t>
      </w:r>
      <w:r w:rsidR="00D06FA7">
        <w:rPr>
          <w:rFonts w:asciiTheme="majorBidi" w:hAnsiTheme="majorBidi" w:cstheme="majorBidi"/>
          <w:sz w:val="24"/>
          <w:szCs w:val="24"/>
        </w:rPr>
        <w:t xml:space="preserve">Pērōz </w:t>
      </w:r>
      <w:r w:rsidR="00E67E2C">
        <w:rPr>
          <w:rFonts w:asciiTheme="majorBidi" w:hAnsiTheme="majorBidi" w:cstheme="majorBidi"/>
          <w:sz w:val="24"/>
          <w:szCs w:val="24"/>
        </w:rPr>
        <w:t>was captured by the Turks.</w:t>
      </w:r>
      <w:r w:rsidR="00D06FA7">
        <w:rPr>
          <w:rStyle w:val="FootnoteReference"/>
          <w:rFonts w:asciiTheme="majorBidi" w:hAnsiTheme="majorBidi" w:cstheme="majorBidi"/>
          <w:sz w:val="24"/>
          <w:szCs w:val="24"/>
        </w:rPr>
        <w:footnoteReference w:id="79"/>
      </w:r>
      <w:r w:rsidR="00D06FA7">
        <w:rPr>
          <w:rFonts w:asciiTheme="majorBidi" w:hAnsiTheme="majorBidi" w:cstheme="majorBidi"/>
          <w:sz w:val="24"/>
          <w:szCs w:val="24"/>
        </w:rPr>
        <w:t xml:space="preserve"> </w:t>
      </w:r>
      <w:r w:rsidR="00E67E2C" w:rsidRPr="00E67E2C">
        <w:rPr>
          <w:rFonts w:asciiTheme="majorBidi" w:eastAsiaTheme="minorHAnsi" w:hAnsiTheme="majorBidi" w:cstheme="majorBidi"/>
          <w:sz w:val="24"/>
          <w:szCs w:val="24"/>
        </w:rPr>
        <w:t xml:space="preserve">Ḥitti’s translation is </w:t>
      </w:r>
      <w:r w:rsidR="00F37D5E">
        <w:rPr>
          <w:rFonts w:asciiTheme="majorBidi" w:eastAsiaTheme="minorHAnsi" w:hAnsiTheme="majorBidi" w:cstheme="majorBidi"/>
          <w:sz w:val="24"/>
          <w:szCs w:val="24"/>
        </w:rPr>
        <w:t>accepted by</w:t>
      </w:r>
      <w:r w:rsidR="00E67E2C" w:rsidRPr="00E67E2C">
        <w:rPr>
          <w:rFonts w:asciiTheme="majorBidi" w:eastAsiaTheme="minorHAnsi" w:hAnsiTheme="majorBidi" w:cstheme="majorBidi"/>
          <w:sz w:val="24"/>
          <w:szCs w:val="24"/>
        </w:rPr>
        <w:t xml:space="preserve"> scholars</w:t>
      </w:r>
      <w:r w:rsidR="00E67E2C">
        <w:rPr>
          <w:rFonts w:asciiTheme="majorBidi" w:eastAsiaTheme="minorHAnsi" w:hAnsiTheme="majorBidi" w:cstheme="majorBidi"/>
          <w:sz w:val="24"/>
          <w:szCs w:val="24"/>
        </w:rPr>
        <w:t xml:space="preserve"> such as </w:t>
      </w:r>
      <w:r w:rsidR="00E67E2C" w:rsidRPr="00E67E2C">
        <w:rPr>
          <w:rFonts w:asciiTheme="majorBidi" w:eastAsiaTheme="minorHAnsi" w:hAnsiTheme="majorBidi" w:cstheme="majorBidi"/>
          <w:sz w:val="24"/>
          <w:szCs w:val="24"/>
        </w:rPr>
        <w:t>Pashazanous and Afkande</w:t>
      </w:r>
      <w:r w:rsidR="00E67E2C">
        <w:rPr>
          <w:rFonts w:asciiTheme="majorBidi" w:eastAsiaTheme="minorHAnsi" w:hAnsiTheme="majorBidi" w:cstheme="majorBidi"/>
          <w:sz w:val="24"/>
          <w:szCs w:val="24"/>
        </w:rPr>
        <w:t xml:space="preserve">, </w:t>
      </w:r>
      <w:r w:rsidR="00E67E2C" w:rsidRPr="00E67E2C">
        <w:rPr>
          <w:rFonts w:asciiTheme="majorBidi" w:eastAsiaTheme="minorHAnsi" w:hAnsiTheme="majorBidi" w:cstheme="majorBidi"/>
          <w:sz w:val="24"/>
          <w:szCs w:val="24"/>
        </w:rPr>
        <w:t>Khazaee</w:t>
      </w:r>
      <w:r w:rsidR="00E67E2C">
        <w:rPr>
          <w:rFonts w:asciiTheme="majorBidi" w:eastAsiaTheme="minorHAnsi" w:hAnsiTheme="majorBidi" w:cstheme="majorBidi"/>
          <w:sz w:val="24"/>
          <w:szCs w:val="24"/>
        </w:rPr>
        <w:t xml:space="preserve"> and Haug</w:t>
      </w:r>
      <w:r w:rsidR="00E67E2C" w:rsidRPr="00E67E2C">
        <w:rPr>
          <w:rFonts w:asciiTheme="majorBidi" w:eastAsiaTheme="minorHAnsi" w:hAnsiTheme="majorBidi" w:cstheme="majorBidi"/>
          <w:sz w:val="24"/>
          <w:szCs w:val="24"/>
        </w:rPr>
        <w:t>.</w:t>
      </w:r>
      <w:r w:rsidR="00E67E2C">
        <w:rPr>
          <w:rStyle w:val="FootnoteReference"/>
          <w:rFonts w:asciiTheme="majorBidi" w:eastAsiaTheme="minorHAnsi" w:hAnsiTheme="majorBidi" w:cstheme="majorBidi"/>
          <w:sz w:val="24"/>
          <w:szCs w:val="24"/>
        </w:rPr>
        <w:footnoteReference w:id="80"/>
      </w:r>
      <w:r w:rsidR="00E67E2C" w:rsidRPr="00E67E2C">
        <w:rPr>
          <w:rFonts w:asciiTheme="majorBidi" w:eastAsiaTheme="minorHAnsi" w:hAnsiTheme="majorBidi" w:cstheme="majorBidi"/>
          <w:sz w:val="24"/>
          <w:szCs w:val="24"/>
        </w:rPr>
        <w:t xml:space="preserve"> </w:t>
      </w:r>
      <w:r w:rsidR="00F37D5E">
        <w:rPr>
          <w:rFonts w:asciiTheme="majorBidi" w:hAnsiTheme="majorBidi" w:cstheme="majorBidi"/>
          <w:sz w:val="24"/>
          <w:szCs w:val="24"/>
        </w:rPr>
        <w:t xml:space="preserve">If this translation is followed, it seems that Pērōz did not seek refuge </w:t>
      </w:r>
      <w:r w:rsidR="007155D7">
        <w:rPr>
          <w:rFonts w:asciiTheme="majorBidi" w:hAnsiTheme="majorBidi" w:cstheme="majorBidi"/>
          <w:sz w:val="24"/>
          <w:szCs w:val="24"/>
        </w:rPr>
        <w:t xml:space="preserve">among the Turks in </w:t>
      </w:r>
      <w:r w:rsidR="007155D7" w:rsidRPr="009A6F7F">
        <w:rPr>
          <w:rFonts w:asciiTheme="majorBidi" w:hAnsiTheme="majorBidi" w:cstheme="majorBidi"/>
          <w:sz w:val="24"/>
          <w:szCs w:val="24"/>
        </w:rPr>
        <w:t>Ṭukhāristān</w:t>
      </w:r>
      <w:r w:rsidR="00F37D5E">
        <w:rPr>
          <w:rFonts w:asciiTheme="majorBidi" w:hAnsiTheme="majorBidi" w:cstheme="majorBidi"/>
          <w:sz w:val="24"/>
          <w:szCs w:val="24"/>
        </w:rPr>
        <w:t xml:space="preserve"> out of his own will.</w:t>
      </w:r>
    </w:p>
    <w:p w14:paraId="003696AD" w14:textId="3A184368" w:rsidR="00F37D5E" w:rsidRDefault="00DC2282" w:rsidP="005A72A4">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8A7AC8">
        <w:rPr>
          <w:rFonts w:asciiTheme="majorBidi" w:hAnsiTheme="majorBidi" w:cstheme="majorBidi"/>
          <w:sz w:val="24"/>
          <w:szCs w:val="24"/>
        </w:rPr>
        <w:t>Actually</w:t>
      </w:r>
      <w:r w:rsidR="00D06FA7">
        <w:rPr>
          <w:rFonts w:asciiTheme="majorBidi" w:hAnsiTheme="majorBidi" w:cstheme="majorBidi"/>
          <w:sz w:val="24"/>
          <w:szCs w:val="24"/>
        </w:rPr>
        <w:t>,</w:t>
      </w:r>
      <w:r w:rsidR="00D06FA7" w:rsidRPr="00510DAA">
        <w:rPr>
          <w:rFonts w:asciiTheme="majorBidi" w:hAnsiTheme="majorBidi" w:cstheme="majorBidi"/>
          <w:i/>
          <w:iCs/>
          <w:sz w:val="24"/>
          <w:szCs w:val="24"/>
        </w:rPr>
        <w:t xml:space="preserve"> </w:t>
      </w:r>
      <w:r w:rsidR="008A7AC8">
        <w:rPr>
          <w:rFonts w:asciiTheme="majorBidi" w:hAnsiTheme="majorBidi" w:cstheme="majorBidi"/>
          <w:sz w:val="24"/>
          <w:szCs w:val="24"/>
        </w:rPr>
        <w:t>the</w:t>
      </w:r>
      <w:r w:rsidR="00D06FA7">
        <w:rPr>
          <w:rFonts w:asciiTheme="majorBidi" w:hAnsiTheme="majorBidi" w:cstheme="majorBidi"/>
          <w:sz w:val="24"/>
          <w:szCs w:val="24"/>
        </w:rPr>
        <w:t xml:space="preserve"> </w:t>
      </w:r>
      <w:r w:rsidR="00412D55">
        <w:rPr>
          <w:rFonts w:asciiTheme="majorBidi" w:hAnsiTheme="majorBidi" w:cstheme="majorBidi"/>
          <w:sz w:val="24"/>
          <w:szCs w:val="24"/>
        </w:rPr>
        <w:t xml:space="preserve">above-quoted </w:t>
      </w:r>
      <w:r w:rsidR="00D06FA7">
        <w:rPr>
          <w:rFonts w:asciiTheme="majorBidi" w:hAnsiTheme="majorBidi" w:cstheme="majorBidi"/>
          <w:sz w:val="24"/>
          <w:szCs w:val="24"/>
        </w:rPr>
        <w:t xml:space="preserve">Arabic </w:t>
      </w:r>
      <w:r w:rsidR="008A7AC8">
        <w:rPr>
          <w:rFonts w:asciiTheme="majorBidi" w:hAnsiTheme="majorBidi" w:cstheme="majorBidi"/>
          <w:sz w:val="24"/>
          <w:szCs w:val="24"/>
        </w:rPr>
        <w:t xml:space="preserve">sentence </w:t>
      </w:r>
      <w:r w:rsidR="00D06FA7">
        <w:rPr>
          <w:rFonts w:asciiTheme="majorBidi" w:hAnsiTheme="majorBidi" w:cstheme="majorBidi"/>
          <w:sz w:val="24"/>
          <w:szCs w:val="24"/>
        </w:rPr>
        <w:t xml:space="preserve">could plainly mean </w:t>
      </w:r>
      <w:r w:rsidR="008A7AC8">
        <w:rPr>
          <w:rFonts w:asciiTheme="majorBidi" w:hAnsiTheme="majorBidi" w:cstheme="majorBidi"/>
          <w:sz w:val="24"/>
          <w:szCs w:val="24"/>
        </w:rPr>
        <w:t>that Pērōz</w:t>
      </w:r>
      <w:r w:rsidR="00D06FA7">
        <w:rPr>
          <w:rFonts w:asciiTheme="majorBidi" w:hAnsiTheme="majorBidi" w:cstheme="majorBidi"/>
          <w:sz w:val="24"/>
          <w:szCs w:val="24"/>
        </w:rPr>
        <w:t xml:space="preserve"> came to the Turks. The</w:t>
      </w:r>
      <w:r w:rsidR="000D6934">
        <w:rPr>
          <w:rFonts w:asciiTheme="majorBidi" w:hAnsiTheme="majorBidi" w:cstheme="majorBidi"/>
          <w:sz w:val="24"/>
          <w:szCs w:val="24"/>
        </w:rPr>
        <w:t xml:space="preserve"> records of the</w:t>
      </w:r>
      <w:r w:rsidR="00D06FA7">
        <w:rPr>
          <w:rFonts w:asciiTheme="majorBidi" w:hAnsiTheme="majorBidi" w:cstheme="majorBidi"/>
          <w:sz w:val="24"/>
          <w:szCs w:val="24"/>
        </w:rPr>
        <w:t xml:space="preserve"> </w:t>
      </w:r>
      <w:r w:rsidR="00D06FA7" w:rsidRPr="00246069">
        <w:rPr>
          <w:rFonts w:asciiTheme="majorBidi" w:hAnsiTheme="majorBidi" w:cstheme="majorBidi"/>
          <w:i/>
          <w:iCs/>
          <w:sz w:val="24"/>
          <w:szCs w:val="24"/>
        </w:rPr>
        <w:t>Jiu Tangshu</w:t>
      </w:r>
      <w:r w:rsidR="00D06FA7">
        <w:rPr>
          <w:rFonts w:asciiTheme="majorBidi" w:hAnsiTheme="majorBidi" w:cstheme="majorBidi"/>
          <w:sz w:val="24"/>
          <w:szCs w:val="24"/>
        </w:rPr>
        <w:t xml:space="preserve"> and the </w:t>
      </w:r>
      <w:r w:rsidR="00D06FA7" w:rsidRPr="00246069">
        <w:rPr>
          <w:rFonts w:asciiTheme="majorBidi" w:hAnsiTheme="majorBidi" w:cstheme="majorBidi"/>
          <w:i/>
          <w:iCs/>
          <w:sz w:val="24"/>
          <w:szCs w:val="24"/>
        </w:rPr>
        <w:t>Xin Tangshu</w:t>
      </w:r>
      <w:r w:rsidR="00D06FA7">
        <w:rPr>
          <w:rFonts w:asciiTheme="majorBidi" w:hAnsiTheme="majorBidi" w:cstheme="majorBidi"/>
          <w:sz w:val="24"/>
          <w:szCs w:val="24"/>
        </w:rPr>
        <w:t xml:space="preserve"> </w:t>
      </w:r>
      <w:r w:rsidR="005A72A4">
        <w:rPr>
          <w:rFonts w:asciiTheme="majorBidi" w:hAnsiTheme="majorBidi" w:cstheme="majorBidi"/>
          <w:sz w:val="24"/>
          <w:szCs w:val="24"/>
        </w:rPr>
        <w:t>support</w:t>
      </w:r>
      <w:r w:rsidR="00D06FA7">
        <w:rPr>
          <w:rFonts w:asciiTheme="majorBidi" w:hAnsiTheme="majorBidi" w:cstheme="majorBidi"/>
          <w:sz w:val="24"/>
          <w:szCs w:val="24"/>
        </w:rPr>
        <w:t xml:space="preserve"> the second translation</w:t>
      </w:r>
      <w:r w:rsidR="005A72A4">
        <w:rPr>
          <w:rFonts w:asciiTheme="majorBidi" w:hAnsiTheme="majorBidi" w:cstheme="majorBidi"/>
          <w:sz w:val="24"/>
          <w:szCs w:val="24"/>
        </w:rPr>
        <w:t xml:space="preserve"> and show that he </w:t>
      </w:r>
      <w:r w:rsidR="007155D7">
        <w:rPr>
          <w:rFonts w:asciiTheme="majorBidi" w:hAnsiTheme="majorBidi" w:cstheme="majorBidi"/>
          <w:sz w:val="24"/>
          <w:szCs w:val="24"/>
        </w:rPr>
        <w:t>sought refuge in</w:t>
      </w:r>
      <w:r w:rsidR="005A72A4" w:rsidRPr="005A72A4">
        <w:rPr>
          <w:rFonts w:asciiTheme="majorBidi" w:hAnsiTheme="majorBidi" w:cstheme="majorBidi"/>
          <w:sz w:val="24"/>
          <w:szCs w:val="24"/>
        </w:rPr>
        <w:t xml:space="preserve"> </w:t>
      </w:r>
      <w:r w:rsidR="005A72A4" w:rsidRPr="009A6F7F">
        <w:rPr>
          <w:rFonts w:asciiTheme="majorBidi" w:hAnsiTheme="majorBidi" w:cstheme="majorBidi"/>
          <w:sz w:val="24"/>
          <w:szCs w:val="24"/>
        </w:rPr>
        <w:t>Ṭukhāristān</w:t>
      </w:r>
      <w:r w:rsidR="005A72A4">
        <w:rPr>
          <w:rStyle w:val="FootnoteReference"/>
          <w:rFonts w:asciiTheme="majorBidi" w:hAnsiTheme="majorBidi" w:cstheme="majorBidi"/>
          <w:sz w:val="24"/>
          <w:szCs w:val="24"/>
        </w:rPr>
        <w:t xml:space="preserve"> </w:t>
      </w:r>
      <w:r w:rsidR="005A72A4">
        <w:rPr>
          <w:rFonts w:asciiTheme="majorBidi" w:hAnsiTheme="majorBidi" w:cstheme="majorBidi"/>
          <w:sz w:val="24"/>
          <w:szCs w:val="24"/>
        </w:rPr>
        <w:t>voluntarily.</w:t>
      </w:r>
      <w:r w:rsidR="00D06FA7">
        <w:rPr>
          <w:rStyle w:val="FootnoteReference"/>
          <w:rFonts w:asciiTheme="majorBidi" w:hAnsiTheme="majorBidi" w:cstheme="majorBidi"/>
          <w:sz w:val="24"/>
          <w:szCs w:val="24"/>
        </w:rPr>
        <w:footnoteReference w:id="81"/>
      </w:r>
      <w:r w:rsidR="005A72A4">
        <w:rPr>
          <w:rFonts w:asciiTheme="majorBidi" w:hAnsiTheme="majorBidi" w:cstheme="majorBidi"/>
          <w:sz w:val="24"/>
          <w:szCs w:val="24"/>
        </w:rPr>
        <w:t xml:space="preserve"> </w:t>
      </w:r>
      <w:r w:rsidR="00D06FA7" w:rsidRPr="005A72A4">
        <w:rPr>
          <w:rFonts w:asciiTheme="majorBidi" w:hAnsiTheme="majorBidi" w:cstheme="majorBidi"/>
          <w:sz w:val="24"/>
          <w:szCs w:val="24"/>
        </w:rPr>
        <w:t xml:space="preserve">Moreover, the Chinese sources clarify that </w:t>
      </w:r>
      <w:r w:rsidR="00F37D5E" w:rsidRPr="005A72A4">
        <w:rPr>
          <w:rFonts w:asciiTheme="majorBidi" w:hAnsiTheme="majorBidi" w:cstheme="majorBidi"/>
          <w:sz w:val="24"/>
          <w:szCs w:val="24"/>
        </w:rPr>
        <w:t xml:space="preserve">Pērōz </w:t>
      </w:r>
      <w:r w:rsidR="00D06FA7" w:rsidRPr="005A72A4">
        <w:rPr>
          <w:rFonts w:asciiTheme="majorBidi" w:hAnsiTheme="majorBidi" w:cstheme="majorBidi"/>
          <w:sz w:val="24"/>
          <w:szCs w:val="24"/>
        </w:rPr>
        <w:t xml:space="preserve">went to the court of the </w:t>
      </w:r>
      <w:r w:rsidR="005128ED">
        <w:rPr>
          <w:rFonts w:asciiTheme="majorBidi" w:hAnsiTheme="majorBidi" w:cstheme="majorBidi"/>
          <w:sz w:val="24"/>
          <w:szCs w:val="24"/>
        </w:rPr>
        <w:t>Ṭukhārā</w:t>
      </w:r>
      <w:r w:rsidR="00F37D5E" w:rsidRPr="005A72A4">
        <w:rPr>
          <w:rFonts w:asciiTheme="majorBidi" w:hAnsiTheme="majorBidi" w:cstheme="majorBidi"/>
          <w:sz w:val="24"/>
          <w:szCs w:val="24"/>
        </w:rPr>
        <w:t xml:space="preserve"> </w:t>
      </w:r>
      <w:r w:rsidR="00D06FA7" w:rsidRPr="005A72A4">
        <w:rPr>
          <w:rFonts w:asciiTheme="majorBidi" w:hAnsiTheme="majorBidi" w:cstheme="majorBidi"/>
          <w:sz w:val="24"/>
          <w:szCs w:val="24"/>
        </w:rPr>
        <w:t>Yabghū.</w:t>
      </w:r>
      <w:r w:rsidR="005A72A4">
        <w:rPr>
          <w:rFonts w:asciiTheme="majorBidi" w:hAnsiTheme="majorBidi" w:cstheme="majorBidi"/>
          <w:sz w:val="24"/>
          <w:szCs w:val="24"/>
        </w:rPr>
        <w:t xml:space="preserve"> Therefore, the reasons are sought </w:t>
      </w:r>
      <w:r w:rsidR="007155D7">
        <w:rPr>
          <w:rFonts w:asciiTheme="majorBidi" w:hAnsiTheme="majorBidi" w:cstheme="majorBidi"/>
          <w:sz w:val="24"/>
          <w:szCs w:val="24"/>
        </w:rPr>
        <w:t xml:space="preserve">both from the side of </w:t>
      </w:r>
      <w:r w:rsidR="007155D7" w:rsidRPr="005A72A4">
        <w:rPr>
          <w:rFonts w:asciiTheme="majorBidi" w:hAnsiTheme="majorBidi" w:cstheme="majorBidi"/>
          <w:sz w:val="24"/>
          <w:szCs w:val="24"/>
        </w:rPr>
        <w:t>Pērōz</w:t>
      </w:r>
      <w:r w:rsidR="007155D7">
        <w:rPr>
          <w:rFonts w:asciiTheme="majorBidi" w:hAnsiTheme="majorBidi" w:cstheme="majorBidi"/>
          <w:sz w:val="24"/>
          <w:szCs w:val="24"/>
        </w:rPr>
        <w:t xml:space="preserve"> and the Yabgh</w:t>
      </w:r>
      <w:r w:rsidR="007155D7" w:rsidRPr="005A72A4">
        <w:rPr>
          <w:rFonts w:asciiTheme="majorBidi" w:hAnsiTheme="majorBidi" w:cstheme="majorBidi"/>
          <w:sz w:val="24"/>
          <w:szCs w:val="24"/>
        </w:rPr>
        <w:t>ū</w:t>
      </w:r>
      <w:r w:rsidR="005A72A4">
        <w:rPr>
          <w:rFonts w:asciiTheme="majorBidi" w:hAnsiTheme="majorBidi" w:cstheme="majorBidi"/>
          <w:sz w:val="24"/>
          <w:szCs w:val="24"/>
        </w:rPr>
        <w:t>.</w:t>
      </w:r>
    </w:p>
    <w:p w14:paraId="3D04D972" w14:textId="56BFB588" w:rsidR="00DA5155" w:rsidRPr="00D06FA7" w:rsidRDefault="00AC1FD1" w:rsidP="00DA5155">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From the side of Pērōz, it stands to reason that he would seek refuge of an ally, whose political and military power could provide him and his followers protection. Therefore, it is logical that he went to the Turks.</w:t>
      </w:r>
      <w:r w:rsidR="00892ADC">
        <w:rPr>
          <w:rFonts w:asciiTheme="majorBidi" w:hAnsiTheme="majorBidi" w:cstheme="majorBidi"/>
          <w:sz w:val="24"/>
          <w:szCs w:val="24"/>
        </w:rPr>
        <w:t xml:space="preserve"> It is the same logic that the Sasanian monarchs</w:t>
      </w:r>
      <w:r w:rsidR="00DA5155">
        <w:rPr>
          <w:rFonts w:asciiTheme="majorBidi" w:hAnsiTheme="majorBidi" w:cstheme="majorBidi"/>
          <w:sz w:val="24"/>
          <w:szCs w:val="24"/>
        </w:rPr>
        <w:t xml:space="preserve"> Pērōz I (459-484 CE) and Kavad I (488-496, 498-531 CE) </w:t>
      </w:r>
      <w:r w:rsidR="00892ADC">
        <w:rPr>
          <w:rFonts w:asciiTheme="majorBidi" w:hAnsiTheme="majorBidi" w:cstheme="majorBidi"/>
          <w:sz w:val="24"/>
          <w:szCs w:val="24"/>
        </w:rPr>
        <w:t>fled to the Hephthalites, when they fled from the</w:t>
      </w:r>
      <w:r w:rsidR="00DA5155">
        <w:rPr>
          <w:rFonts w:asciiTheme="majorBidi" w:hAnsiTheme="majorBidi" w:cstheme="majorBidi"/>
          <w:sz w:val="24"/>
          <w:szCs w:val="24"/>
        </w:rPr>
        <w:t xml:space="preserve"> internal disaster.</w:t>
      </w:r>
      <w:r w:rsidR="00DA5155">
        <w:rPr>
          <w:rStyle w:val="FootnoteReference"/>
          <w:rFonts w:asciiTheme="majorBidi" w:hAnsiTheme="majorBidi" w:cstheme="majorBidi"/>
          <w:sz w:val="24"/>
          <w:szCs w:val="24"/>
        </w:rPr>
        <w:footnoteReference w:id="82"/>
      </w:r>
      <w:r w:rsidR="00DA5155">
        <w:rPr>
          <w:rFonts w:asciiTheme="majorBidi" w:hAnsiTheme="majorBidi" w:cstheme="majorBidi"/>
          <w:sz w:val="24"/>
          <w:szCs w:val="24"/>
        </w:rPr>
        <w:t xml:space="preserve"> The only difference is that the </w:t>
      </w:r>
      <w:r w:rsidR="007155D7">
        <w:rPr>
          <w:rFonts w:asciiTheme="majorBidi" w:hAnsiTheme="majorBidi" w:cstheme="majorBidi"/>
          <w:sz w:val="24"/>
          <w:szCs w:val="24"/>
        </w:rPr>
        <w:t xml:space="preserve">hegonomy of the </w:t>
      </w:r>
      <w:r w:rsidR="00DA5155">
        <w:rPr>
          <w:rFonts w:asciiTheme="majorBidi" w:hAnsiTheme="majorBidi" w:cstheme="majorBidi"/>
          <w:sz w:val="24"/>
          <w:szCs w:val="24"/>
        </w:rPr>
        <w:t>Hephthalites</w:t>
      </w:r>
      <w:r w:rsidR="007155D7">
        <w:rPr>
          <w:rFonts w:asciiTheme="majorBidi" w:hAnsiTheme="majorBidi" w:cstheme="majorBidi"/>
          <w:sz w:val="24"/>
          <w:szCs w:val="24"/>
        </w:rPr>
        <w:t xml:space="preserve"> in Central Asia</w:t>
      </w:r>
      <w:r w:rsidR="00DA5155">
        <w:rPr>
          <w:rFonts w:asciiTheme="majorBidi" w:hAnsiTheme="majorBidi" w:cstheme="majorBidi"/>
          <w:sz w:val="24"/>
          <w:szCs w:val="24"/>
        </w:rPr>
        <w:t xml:space="preserve">, who </w:t>
      </w:r>
      <w:r w:rsidR="00892ADC">
        <w:rPr>
          <w:rFonts w:asciiTheme="majorBidi" w:hAnsiTheme="majorBidi" w:cstheme="majorBidi"/>
          <w:sz w:val="24"/>
          <w:szCs w:val="24"/>
        </w:rPr>
        <w:t>assisted Pērōz I and Kavad I to reclaim</w:t>
      </w:r>
      <w:r w:rsidR="00DA5155">
        <w:rPr>
          <w:rFonts w:asciiTheme="majorBidi" w:hAnsiTheme="majorBidi" w:cstheme="majorBidi"/>
          <w:sz w:val="24"/>
          <w:szCs w:val="24"/>
        </w:rPr>
        <w:t xml:space="preserve"> their thrones, had been replaced by the Turks.</w:t>
      </w:r>
    </w:p>
    <w:p w14:paraId="5070FF49" w14:textId="77777777" w:rsidR="00221E2E" w:rsidRDefault="00DA5155" w:rsidP="00221E2E">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     </w:t>
      </w:r>
      <w:r w:rsidR="001470A3">
        <w:rPr>
          <w:rFonts w:asciiTheme="majorBidi" w:hAnsiTheme="majorBidi" w:cstheme="majorBidi"/>
          <w:sz w:val="24"/>
          <w:szCs w:val="24"/>
        </w:rPr>
        <w:t>Actually, according to al-</w:t>
      </w:r>
      <w:r w:rsidR="001470A3" w:rsidRPr="001470A3">
        <w:rPr>
          <w:rFonts w:asciiTheme="majorBidi" w:hAnsiTheme="majorBidi" w:cstheme="majorBidi"/>
          <w:sz w:val="24"/>
          <w:szCs w:val="24"/>
        </w:rPr>
        <w:t xml:space="preserve">Ṭabarī, </w:t>
      </w:r>
      <w:r w:rsidR="00C54A97">
        <w:rPr>
          <w:rFonts w:asciiTheme="majorBidi" w:hAnsiTheme="majorBidi" w:cstheme="majorBidi"/>
          <w:sz w:val="24"/>
          <w:szCs w:val="24"/>
        </w:rPr>
        <w:t xml:space="preserve">Yazdegerd III had </w:t>
      </w:r>
      <w:r w:rsidR="00A62E4E">
        <w:rPr>
          <w:rFonts w:asciiTheme="majorBidi" w:hAnsiTheme="majorBidi" w:cstheme="majorBidi"/>
          <w:sz w:val="24"/>
          <w:szCs w:val="24"/>
        </w:rPr>
        <w:t>written to the Khāqān of the Turks, the king of the Sogdians and the king of China to seek their</w:t>
      </w:r>
      <w:r w:rsidR="00C54A97">
        <w:rPr>
          <w:rFonts w:asciiTheme="majorBidi" w:hAnsiTheme="majorBidi" w:cstheme="majorBidi"/>
          <w:sz w:val="24"/>
          <w:szCs w:val="24"/>
        </w:rPr>
        <w:t xml:space="preserve"> reinforcements </w:t>
      </w:r>
      <w:r w:rsidR="00A62E4E">
        <w:rPr>
          <w:rFonts w:asciiTheme="majorBidi" w:hAnsiTheme="majorBidi" w:cstheme="majorBidi"/>
          <w:sz w:val="24"/>
          <w:szCs w:val="24"/>
        </w:rPr>
        <w:t>in order</w:t>
      </w:r>
      <w:r w:rsidR="00C54A97">
        <w:rPr>
          <w:rFonts w:asciiTheme="majorBidi" w:hAnsiTheme="majorBidi" w:cstheme="majorBidi"/>
          <w:sz w:val="24"/>
          <w:szCs w:val="24"/>
        </w:rPr>
        <w:t xml:space="preserve"> to fight the Arabs</w:t>
      </w:r>
      <w:r w:rsidR="009E7E43">
        <w:rPr>
          <w:rFonts w:asciiTheme="majorBidi" w:hAnsiTheme="majorBidi" w:cstheme="majorBidi"/>
          <w:sz w:val="24"/>
          <w:szCs w:val="24"/>
        </w:rPr>
        <w:t>.</w:t>
      </w:r>
      <w:r w:rsidR="009E7E43">
        <w:rPr>
          <w:rStyle w:val="FootnoteReference"/>
          <w:rFonts w:asciiTheme="majorBidi" w:hAnsiTheme="majorBidi" w:cstheme="majorBidi"/>
          <w:sz w:val="24"/>
          <w:szCs w:val="24"/>
        </w:rPr>
        <w:footnoteReference w:id="83"/>
      </w:r>
      <w:r w:rsidR="009E7E43">
        <w:rPr>
          <w:rFonts w:asciiTheme="majorBidi" w:hAnsiTheme="majorBidi" w:cstheme="majorBidi"/>
          <w:sz w:val="24"/>
          <w:szCs w:val="24"/>
        </w:rPr>
        <w:t xml:space="preserve"> </w:t>
      </w:r>
      <w:r w:rsidR="00CB440C">
        <w:rPr>
          <w:rFonts w:asciiTheme="majorBidi" w:hAnsiTheme="majorBidi" w:cstheme="majorBidi"/>
          <w:sz w:val="24"/>
          <w:szCs w:val="24"/>
        </w:rPr>
        <w:t xml:space="preserve">And </w:t>
      </w:r>
      <w:r w:rsidR="002B5ABE">
        <w:rPr>
          <w:rFonts w:asciiTheme="majorBidi" w:hAnsiTheme="majorBidi" w:cstheme="majorBidi"/>
          <w:sz w:val="24"/>
          <w:szCs w:val="24"/>
        </w:rPr>
        <w:t xml:space="preserve">Yazdegerd also planned to </w:t>
      </w:r>
      <w:r w:rsidR="008047A0">
        <w:rPr>
          <w:rFonts w:asciiTheme="majorBidi" w:hAnsiTheme="majorBidi" w:cstheme="majorBidi"/>
          <w:sz w:val="24"/>
          <w:szCs w:val="24"/>
        </w:rPr>
        <w:t>join</w:t>
      </w:r>
      <w:r w:rsidR="00AC1FD1">
        <w:rPr>
          <w:rFonts w:asciiTheme="majorBidi" w:hAnsiTheme="majorBidi" w:cstheme="majorBidi"/>
          <w:sz w:val="24"/>
          <w:szCs w:val="24"/>
        </w:rPr>
        <w:t xml:space="preserve"> the ruler of the Turks or </w:t>
      </w:r>
      <w:r w:rsidR="008047A0">
        <w:rPr>
          <w:rFonts w:asciiTheme="majorBidi" w:hAnsiTheme="majorBidi" w:cstheme="majorBidi"/>
          <w:sz w:val="24"/>
          <w:szCs w:val="24"/>
        </w:rPr>
        <w:t xml:space="preserve">go to </w:t>
      </w:r>
      <w:r w:rsidR="00AC1FD1">
        <w:rPr>
          <w:rFonts w:asciiTheme="majorBidi" w:hAnsiTheme="majorBidi" w:cstheme="majorBidi"/>
          <w:sz w:val="24"/>
          <w:szCs w:val="24"/>
        </w:rPr>
        <w:t>China</w:t>
      </w:r>
      <w:r w:rsidR="008047A0">
        <w:rPr>
          <w:rFonts w:asciiTheme="majorBidi" w:hAnsiTheme="majorBidi" w:cstheme="majorBidi"/>
          <w:sz w:val="24"/>
          <w:szCs w:val="24"/>
        </w:rPr>
        <w:t xml:space="preserve">, when </w:t>
      </w:r>
      <w:r w:rsidR="00FC7BFA">
        <w:rPr>
          <w:rFonts w:asciiTheme="majorBidi" w:hAnsiTheme="majorBidi" w:cstheme="majorBidi"/>
          <w:sz w:val="24"/>
          <w:szCs w:val="24"/>
        </w:rPr>
        <w:t>he was asked by the Persian nobles</w:t>
      </w:r>
      <w:r w:rsidR="002B5ABE">
        <w:rPr>
          <w:rFonts w:asciiTheme="majorBidi" w:hAnsiTheme="majorBidi" w:cstheme="majorBidi"/>
          <w:sz w:val="24"/>
          <w:szCs w:val="24"/>
        </w:rPr>
        <w:t xml:space="preserve"> about his plan in front of the chasing Arabs</w:t>
      </w:r>
      <w:r w:rsidR="00FC7BFA">
        <w:rPr>
          <w:rFonts w:asciiTheme="majorBidi" w:hAnsiTheme="majorBidi" w:cstheme="majorBidi"/>
          <w:sz w:val="24"/>
          <w:szCs w:val="24"/>
        </w:rPr>
        <w:t>.</w:t>
      </w:r>
      <w:r w:rsidR="008047A0">
        <w:rPr>
          <w:rFonts w:asciiTheme="majorBidi" w:hAnsiTheme="majorBidi" w:cstheme="majorBidi"/>
          <w:sz w:val="24"/>
          <w:szCs w:val="24"/>
        </w:rPr>
        <w:t xml:space="preserve"> </w:t>
      </w:r>
      <w:r w:rsidR="002B5ABE">
        <w:rPr>
          <w:rFonts w:asciiTheme="majorBidi" w:hAnsiTheme="majorBidi" w:cstheme="majorBidi"/>
          <w:sz w:val="24"/>
          <w:szCs w:val="24"/>
        </w:rPr>
        <w:t>Again</w:t>
      </w:r>
      <w:r w:rsidR="00FC7BFA">
        <w:rPr>
          <w:rFonts w:asciiTheme="majorBidi" w:hAnsiTheme="majorBidi" w:cstheme="majorBidi"/>
          <w:sz w:val="24"/>
          <w:szCs w:val="24"/>
        </w:rPr>
        <w:t>, al-</w:t>
      </w:r>
      <w:r w:rsidR="00FC7BFA" w:rsidRPr="001470A3">
        <w:rPr>
          <w:rFonts w:asciiTheme="majorBidi" w:hAnsiTheme="majorBidi" w:cstheme="majorBidi"/>
          <w:sz w:val="24"/>
          <w:szCs w:val="24"/>
        </w:rPr>
        <w:t>Ṭabarī</w:t>
      </w:r>
      <w:r w:rsidR="002B5ABE">
        <w:rPr>
          <w:rFonts w:asciiTheme="majorBidi" w:hAnsiTheme="majorBidi" w:cstheme="majorBidi"/>
          <w:sz w:val="24"/>
          <w:szCs w:val="24"/>
        </w:rPr>
        <w:t>’s</w:t>
      </w:r>
      <w:r w:rsidR="00FC7BFA">
        <w:rPr>
          <w:rFonts w:asciiTheme="majorBidi" w:hAnsiTheme="majorBidi" w:cstheme="majorBidi"/>
          <w:sz w:val="24"/>
          <w:szCs w:val="24"/>
        </w:rPr>
        <w:t xml:space="preserve"> report </w:t>
      </w:r>
      <w:r w:rsidR="002B5ABE">
        <w:rPr>
          <w:rFonts w:asciiTheme="majorBidi" w:hAnsiTheme="majorBidi" w:cstheme="majorBidi"/>
          <w:sz w:val="24"/>
          <w:szCs w:val="24"/>
        </w:rPr>
        <w:t>of his</w:t>
      </w:r>
      <w:r w:rsidR="008047A0">
        <w:rPr>
          <w:rFonts w:asciiTheme="majorBidi" w:hAnsiTheme="majorBidi" w:cstheme="majorBidi"/>
          <w:sz w:val="24"/>
          <w:szCs w:val="24"/>
        </w:rPr>
        <w:t xml:space="preserve"> </w:t>
      </w:r>
      <w:r w:rsidR="000F79A1">
        <w:rPr>
          <w:rFonts w:asciiTheme="majorBidi" w:hAnsiTheme="majorBidi" w:cstheme="majorBidi"/>
          <w:sz w:val="24"/>
          <w:szCs w:val="24"/>
        </w:rPr>
        <w:t>cross</w:t>
      </w:r>
      <w:r w:rsidR="002B5ABE">
        <w:rPr>
          <w:rFonts w:asciiTheme="majorBidi" w:hAnsiTheme="majorBidi" w:cstheme="majorBidi"/>
          <w:sz w:val="24"/>
          <w:szCs w:val="24"/>
        </w:rPr>
        <w:t>ing t</w:t>
      </w:r>
      <w:r w:rsidR="000F79A1">
        <w:rPr>
          <w:rFonts w:asciiTheme="majorBidi" w:hAnsiTheme="majorBidi" w:cstheme="majorBidi"/>
          <w:sz w:val="24"/>
          <w:szCs w:val="24"/>
        </w:rPr>
        <w:t>he Oxus</w:t>
      </w:r>
      <w:r w:rsidR="00EC5490">
        <w:rPr>
          <w:rFonts w:asciiTheme="majorBidi" w:hAnsiTheme="majorBidi" w:cstheme="majorBidi"/>
          <w:sz w:val="24"/>
          <w:szCs w:val="24"/>
        </w:rPr>
        <w:t xml:space="preserve"> with his dependents and family</w:t>
      </w:r>
      <w:r w:rsidR="000F79A1">
        <w:rPr>
          <w:rFonts w:asciiTheme="majorBidi" w:hAnsiTheme="majorBidi" w:cstheme="majorBidi"/>
          <w:sz w:val="24"/>
          <w:szCs w:val="24"/>
        </w:rPr>
        <w:t xml:space="preserve"> and </w:t>
      </w:r>
      <w:r w:rsidR="002B5ABE">
        <w:rPr>
          <w:rFonts w:asciiTheme="majorBidi" w:hAnsiTheme="majorBidi" w:cstheme="majorBidi"/>
          <w:sz w:val="24"/>
          <w:szCs w:val="24"/>
        </w:rPr>
        <w:t>joining</w:t>
      </w:r>
      <w:r w:rsidR="000F79A1">
        <w:rPr>
          <w:rFonts w:asciiTheme="majorBidi" w:hAnsiTheme="majorBidi" w:cstheme="majorBidi"/>
          <w:sz w:val="24"/>
          <w:szCs w:val="24"/>
        </w:rPr>
        <w:t xml:space="preserve"> the Khāqān of the Turks</w:t>
      </w:r>
      <w:r w:rsidR="008047A0">
        <w:rPr>
          <w:rFonts w:asciiTheme="majorBidi" w:hAnsiTheme="majorBidi" w:cstheme="majorBidi"/>
          <w:sz w:val="24"/>
          <w:szCs w:val="24"/>
        </w:rPr>
        <w:t xml:space="preserve"> </w:t>
      </w:r>
      <w:r w:rsidR="005D0CCC">
        <w:rPr>
          <w:rFonts w:asciiTheme="majorBidi" w:hAnsiTheme="majorBidi" w:cstheme="majorBidi"/>
          <w:sz w:val="24"/>
          <w:szCs w:val="24"/>
        </w:rPr>
        <w:t xml:space="preserve">in Farghānah </w:t>
      </w:r>
      <w:r w:rsidR="008047A0">
        <w:rPr>
          <w:rFonts w:asciiTheme="majorBidi" w:hAnsiTheme="majorBidi" w:cstheme="majorBidi"/>
          <w:sz w:val="24"/>
          <w:szCs w:val="24"/>
        </w:rPr>
        <w:t xml:space="preserve">in </w:t>
      </w:r>
      <w:r w:rsidR="00EC5490">
        <w:rPr>
          <w:rFonts w:asciiTheme="majorBidi" w:hAnsiTheme="majorBidi" w:cstheme="majorBidi"/>
          <w:sz w:val="24"/>
          <w:szCs w:val="24"/>
        </w:rPr>
        <w:t>‘Umar’s years</w:t>
      </w:r>
      <w:r w:rsidR="002B5ABE">
        <w:rPr>
          <w:rFonts w:asciiTheme="majorBidi" w:hAnsiTheme="majorBidi" w:cstheme="majorBidi"/>
          <w:sz w:val="24"/>
          <w:szCs w:val="24"/>
        </w:rPr>
        <w:t xml:space="preserve"> is historical unreliable</w:t>
      </w:r>
      <w:r w:rsidR="00EC5490">
        <w:rPr>
          <w:rFonts w:asciiTheme="majorBidi" w:hAnsiTheme="majorBidi" w:cstheme="majorBidi"/>
          <w:sz w:val="24"/>
          <w:szCs w:val="24"/>
        </w:rPr>
        <w:t>.</w:t>
      </w:r>
      <w:r w:rsidR="00EC5490">
        <w:rPr>
          <w:rStyle w:val="FootnoteReference"/>
          <w:rFonts w:asciiTheme="majorBidi" w:hAnsiTheme="majorBidi" w:cstheme="majorBidi"/>
          <w:sz w:val="24"/>
          <w:szCs w:val="24"/>
        </w:rPr>
        <w:footnoteReference w:id="84"/>
      </w:r>
      <w:r w:rsidR="00221E2E">
        <w:rPr>
          <w:rFonts w:asciiTheme="majorBidi" w:hAnsiTheme="majorBidi" w:cstheme="majorBidi" w:hint="eastAsia"/>
          <w:sz w:val="24"/>
          <w:szCs w:val="24"/>
        </w:rPr>
        <w:t xml:space="preserve"> </w:t>
      </w:r>
      <w:r w:rsidR="00EC5490">
        <w:rPr>
          <w:rFonts w:asciiTheme="majorBidi" w:hAnsiTheme="majorBidi" w:cstheme="majorBidi"/>
          <w:sz w:val="24"/>
          <w:szCs w:val="24"/>
        </w:rPr>
        <w:t xml:space="preserve">However, </w:t>
      </w:r>
      <w:r w:rsidR="00221E2E">
        <w:rPr>
          <w:rFonts w:asciiTheme="majorBidi" w:hAnsiTheme="majorBidi" w:cstheme="majorBidi"/>
          <w:sz w:val="24"/>
          <w:szCs w:val="24"/>
        </w:rPr>
        <w:t xml:space="preserve">Yazdegerd was clearly on his way to </w:t>
      </w:r>
      <w:r w:rsidR="00221E2E" w:rsidRPr="009A6F7F">
        <w:rPr>
          <w:rFonts w:asciiTheme="majorBidi" w:hAnsiTheme="majorBidi" w:cstheme="majorBidi"/>
          <w:sz w:val="24"/>
          <w:szCs w:val="24"/>
        </w:rPr>
        <w:t>Ṭukhāristān</w:t>
      </w:r>
      <w:r w:rsidR="00221E2E">
        <w:rPr>
          <w:rFonts w:asciiTheme="majorBidi" w:hAnsiTheme="majorBidi" w:cstheme="majorBidi"/>
          <w:sz w:val="24"/>
          <w:szCs w:val="24"/>
        </w:rPr>
        <w:t xml:space="preserve"> when being killed in 651 CE.</w:t>
      </w:r>
      <w:r w:rsidR="00221E2E">
        <w:rPr>
          <w:rStyle w:val="FootnoteReference"/>
          <w:rFonts w:asciiTheme="majorBidi" w:hAnsiTheme="majorBidi" w:cstheme="majorBidi"/>
          <w:sz w:val="24"/>
          <w:szCs w:val="24"/>
        </w:rPr>
        <w:footnoteReference w:id="85"/>
      </w:r>
    </w:p>
    <w:p w14:paraId="5C5C948C" w14:textId="5CF3C9CA" w:rsidR="008E6E8C" w:rsidRDefault="00221E2E" w:rsidP="003E7991">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Why would Yazdegerd </w:t>
      </w:r>
      <w:r w:rsidR="003E7991">
        <w:rPr>
          <w:rFonts w:asciiTheme="majorBidi" w:hAnsiTheme="majorBidi" w:cstheme="majorBidi"/>
          <w:sz w:val="24"/>
          <w:szCs w:val="24"/>
        </w:rPr>
        <w:t xml:space="preserve">choose to </w:t>
      </w:r>
      <w:r>
        <w:rPr>
          <w:rFonts w:asciiTheme="majorBidi" w:hAnsiTheme="majorBidi" w:cstheme="majorBidi"/>
          <w:sz w:val="24"/>
          <w:szCs w:val="24"/>
        </w:rPr>
        <w:t>go to</w:t>
      </w:r>
      <w:r w:rsidRPr="00BC4CD0">
        <w:rPr>
          <w:rFonts w:asciiTheme="majorBidi" w:hAnsiTheme="majorBidi" w:cstheme="majorBidi"/>
          <w:sz w:val="24"/>
          <w:szCs w:val="24"/>
        </w:rPr>
        <w:t xml:space="preserve"> </w:t>
      </w:r>
      <w:r w:rsidRPr="009A6F7F">
        <w:rPr>
          <w:rFonts w:asciiTheme="majorBidi" w:hAnsiTheme="majorBidi" w:cstheme="majorBidi"/>
          <w:sz w:val="24"/>
          <w:szCs w:val="24"/>
        </w:rPr>
        <w:t>Ṭukhāristān</w:t>
      </w:r>
      <w:r>
        <w:rPr>
          <w:rFonts w:asciiTheme="majorBidi" w:hAnsiTheme="majorBidi" w:cstheme="majorBidi"/>
          <w:sz w:val="24"/>
          <w:szCs w:val="24"/>
        </w:rPr>
        <w:t xml:space="preserve"> instead of Sūyāb or </w:t>
      </w:r>
      <w:r w:rsidR="007F6E5E">
        <w:rPr>
          <w:rFonts w:asciiTheme="majorBidi" w:hAnsiTheme="majorBidi" w:cstheme="majorBidi"/>
          <w:sz w:val="24"/>
          <w:szCs w:val="24"/>
        </w:rPr>
        <w:t>Farghānah, which was</w:t>
      </w:r>
      <w:r>
        <w:rPr>
          <w:rFonts w:asciiTheme="majorBidi" w:hAnsiTheme="majorBidi" w:cstheme="majorBidi"/>
          <w:sz w:val="24"/>
          <w:szCs w:val="24"/>
        </w:rPr>
        <w:t xml:space="preserve"> closer to the </w:t>
      </w:r>
      <w:r w:rsidR="007F6E5E">
        <w:rPr>
          <w:rFonts w:asciiTheme="majorBidi" w:hAnsiTheme="majorBidi" w:cstheme="majorBidi"/>
          <w:sz w:val="24"/>
          <w:szCs w:val="24"/>
        </w:rPr>
        <w:t xml:space="preserve">center of the </w:t>
      </w:r>
      <w:r>
        <w:rPr>
          <w:rFonts w:asciiTheme="majorBidi" w:hAnsiTheme="majorBidi" w:cstheme="majorBidi"/>
          <w:sz w:val="24"/>
          <w:szCs w:val="24"/>
        </w:rPr>
        <w:t>Western Turks</w:t>
      </w:r>
      <w:r w:rsidR="007F6E5E">
        <w:rPr>
          <w:rFonts w:asciiTheme="majorBidi" w:hAnsiTheme="majorBidi" w:cstheme="majorBidi"/>
          <w:sz w:val="24"/>
          <w:szCs w:val="24"/>
        </w:rPr>
        <w:t xml:space="preserve">, </w:t>
      </w:r>
      <w:r>
        <w:rPr>
          <w:rFonts w:asciiTheme="majorBidi" w:hAnsiTheme="majorBidi" w:cstheme="majorBidi"/>
          <w:sz w:val="24"/>
          <w:szCs w:val="24"/>
        </w:rPr>
        <w:t>when they were still the biggest power in Central Asia?</w:t>
      </w:r>
      <w:r>
        <w:rPr>
          <w:rStyle w:val="FootnoteReference"/>
          <w:rFonts w:asciiTheme="majorBidi" w:hAnsiTheme="majorBidi" w:cstheme="majorBidi"/>
          <w:sz w:val="24"/>
          <w:szCs w:val="24"/>
        </w:rPr>
        <w:footnoteReference w:id="86"/>
      </w:r>
      <w:r w:rsidR="003E7991">
        <w:rPr>
          <w:rFonts w:asciiTheme="majorBidi" w:hAnsiTheme="majorBidi" w:cstheme="majorBidi"/>
          <w:sz w:val="24"/>
          <w:szCs w:val="24"/>
        </w:rPr>
        <w:t xml:space="preserve"> In other words, why did</w:t>
      </w:r>
      <w:r w:rsidR="00FC7BFA">
        <w:rPr>
          <w:rFonts w:asciiTheme="majorBidi" w:hAnsiTheme="majorBidi" w:cstheme="majorBidi"/>
          <w:sz w:val="24"/>
          <w:szCs w:val="24"/>
        </w:rPr>
        <w:t xml:space="preserve"> Pērōz</w:t>
      </w:r>
      <w:r w:rsidR="003E7991">
        <w:rPr>
          <w:rFonts w:asciiTheme="majorBidi" w:hAnsiTheme="majorBidi" w:cstheme="majorBidi"/>
          <w:sz w:val="24"/>
          <w:szCs w:val="24"/>
        </w:rPr>
        <w:t xml:space="preserve"> carry out his father’s aborted plan and flee</w:t>
      </w:r>
      <w:r w:rsidR="00FC7BFA">
        <w:rPr>
          <w:rFonts w:asciiTheme="majorBidi" w:hAnsiTheme="majorBidi" w:cstheme="majorBidi"/>
          <w:sz w:val="24"/>
          <w:szCs w:val="24"/>
        </w:rPr>
        <w:t xml:space="preserve"> to </w:t>
      </w:r>
      <w:r w:rsidR="00FC7BFA" w:rsidRPr="009A6F7F">
        <w:rPr>
          <w:rFonts w:asciiTheme="majorBidi" w:hAnsiTheme="majorBidi" w:cstheme="majorBidi"/>
          <w:sz w:val="24"/>
          <w:szCs w:val="24"/>
        </w:rPr>
        <w:t>Ṭukhāristān</w:t>
      </w:r>
      <w:r w:rsidR="003E7991">
        <w:rPr>
          <w:rFonts w:asciiTheme="majorBidi" w:hAnsiTheme="majorBidi" w:cstheme="majorBidi"/>
          <w:sz w:val="24"/>
          <w:szCs w:val="24"/>
        </w:rPr>
        <w:t xml:space="preserve">? </w:t>
      </w:r>
      <w:r w:rsidR="00FC7BFA">
        <w:rPr>
          <w:rFonts w:asciiTheme="majorBidi" w:hAnsiTheme="majorBidi" w:cstheme="majorBidi"/>
          <w:sz w:val="24"/>
          <w:szCs w:val="24"/>
        </w:rPr>
        <w:t>Th</w:t>
      </w:r>
      <w:r w:rsidR="007F6E5E">
        <w:rPr>
          <w:rFonts w:asciiTheme="majorBidi" w:hAnsiTheme="majorBidi" w:cstheme="majorBidi"/>
          <w:sz w:val="24"/>
          <w:szCs w:val="24"/>
        </w:rPr>
        <w:t>e explanation lies in</w:t>
      </w:r>
      <w:r w:rsidR="00FC7BFA">
        <w:rPr>
          <w:rFonts w:asciiTheme="majorBidi" w:hAnsiTheme="majorBidi" w:cstheme="majorBidi"/>
          <w:sz w:val="24"/>
          <w:szCs w:val="24"/>
        </w:rPr>
        <w:t xml:space="preserve"> the development of the political situation of the Western Turks.</w:t>
      </w:r>
    </w:p>
    <w:p w14:paraId="3E879F1C" w14:textId="5DEC440B" w:rsidR="00EA4531" w:rsidRDefault="008E6E8C" w:rsidP="009222EA">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6769C7">
        <w:rPr>
          <w:rFonts w:asciiTheme="majorBidi" w:hAnsiTheme="majorBidi" w:cstheme="majorBidi"/>
          <w:sz w:val="24"/>
          <w:szCs w:val="24"/>
        </w:rPr>
        <w:t>The</w:t>
      </w:r>
      <w:r>
        <w:rPr>
          <w:rFonts w:asciiTheme="majorBidi" w:hAnsiTheme="majorBidi" w:cstheme="majorBidi"/>
          <w:sz w:val="24"/>
          <w:szCs w:val="24"/>
        </w:rPr>
        <w:t xml:space="preserve"> Western Turks</w:t>
      </w:r>
      <w:r w:rsidR="006769C7">
        <w:rPr>
          <w:rFonts w:asciiTheme="majorBidi" w:hAnsiTheme="majorBidi" w:cstheme="majorBidi"/>
          <w:sz w:val="24"/>
          <w:szCs w:val="24"/>
        </w:rPr>
        <w:t xml:space="preserve"> </w:t>
      </w:r>
      <w:r w:rsidR="003E46BD">
        <w:rPr>
          <w:rFonts w:asciiTheme="majorBidi" w:hAnsiTheme="majorBidi" w:cstheme="majorBidi"/>
          <w:sz w:val="24"/>
          <w:szCs w:val="24"/>
        </w:rPr>
        <w:t xml:space="preserve">suffered from </w:t>
      </w:r>
      <w:r w:rsidR="006769C7">
        <w:rPr>
          <w:rFonts w:asciiTheme="majorBidi" w:hAnsiTheme="majorBidi" w:cstheme="majorBidi"/>
          <w:sz w:val="24"/>
          <w:szCs w:val="24"/>
        </w:rPr>
        <w:t>internal strife during</w:t>
      </w:r>
      <w:r w:rsidR="00EA4531">
        <w:rPr>
          <w:rFonts w:asciiTheme="majorBidi" w:hAnsiTheme="majorBidi" w:cstheme="majorBidi"/>
          <w:sz w:val="24"/>
          <w:szCs w:val="24"/>
        </w:rPr>
        <w:t xml:space="preserve"> the 640s and the 650s.</w:t>
      </w:r>
      <w:r w:rsidR="00EA4531">
        <w:rPr>
          <w:rStyle w:val="FootnoteReference"/>
          <w:rFonts w:asciiTheme="majorBidi" w:hAnsiTheme="majorBidi" w:cstheme="majorBidi"/>
          <w:sz w:val="24"/>
          <w:szCs w:val="24"/>
        </w:rPr>
        <w:footnoteReference w:id="87"/>
      </w:r>
      <w:r w:rsidR="00EA4531">
        <w:rPr>
          <w:rFonts w:asciiTheme="majorBidi" w:hAnsiTheme="majorBidi" w:cstheme="majorBidi"/>
          <w:sz w:val="24"/>
          <w:szCs w:val="24"/>
        </w:rPr>
        <w:t xml:space="preserve"> </w:t>
      </w:r>
      <w:r w:rsidR="006769C7">
        <w:rPr>
          <w:rFonts w:asciiTheme="majorBidi" w:hAnsiTheme="majorBidi" w:cstheme="majorBidi"/>
          <w:sz w:val="24"/>
          <w:szCs w:val="24"/>
        </w:rPr>
        <w:t xml:space="preserve">Irbis Duolu Khāqān was </w:t>
      </w:r>
      <w:r w:rsidR="003E46BD">
        <w:rPr>
          <w:rFonts w:asciiTheme="majorBidi" w:hAnsiTheme="majorBidi" w:cstheme="majorBidi"/>
          <w:sz w:val="24"/>
          <w:szCs w:val="24"/>
        </w:rPr>
        <w:t>attacked and</w:t>
      </w:r>
      <w:r w:rsidR="009222EA">
        <w:rPr>
          <w:rFonts w:asciiTheme="majorBidi" w:hAnsiTheme="majorBidi" w:cstheme="majorBidi"/>
          <w:sz w:val="24"/>
          <w:szCs w:val="24"/>
        </w:rPr>
        <w:t xml:space="preserve"> fled to </w:t>
      </w:r>
      <w:r w:rsidR="009222EA" w:rsidRPr="009A6F7F">
        <w:rPr>
          <w:rFonts w:asciiTheme="majorBidi" w:hAnsiTheme="majorBidi" w:cstheme="majorBidi"/>
          <w:sz w:val="24"/>
          <w:szCs w:val="24"/>
        </w:rPr>
        <w:t>Ṭukhāristān</w:t>
      </w:r>
      <w:r w:rsidR="009222EA">
        <w:rPr>
          <w:rFonts w:asciiTheme="majorBidi" w:hAnsiTheme="majorBidi" w:cstheme="majorBidi"/>
          <w:sz w:val="24"/>
          <w:szCs w:val="24"/>
        </w:rPr>
        <w:t>,</w:t>
      </w:r>
      <w:r w:rsidR="009222EA">
        <w:rPr>
          <w:rStyle w:val="FootnoteReference"/>
          <w:rFonts w:asciiTheme="majorBidi" w:hAnsiTheme="majorBidi" w:cstheme="majorBidi"/>
          <w:sz w:val="24"/>
          <w:szCs w:val="24"/>
        </w:rPr>
        <w:footnoteReference w:id="88"/>
      </w:r>
      <w:r w:rsidR="009222EA">
        <w:rPr>
          <w:rFonts w:asciiTheme="majorBidi" w:hAnsiTheme="majorBidi" w:cstheme="majorBidi"/>
          <w:sz w:val="24"/>
          <w:szCs w:val="24"/>
        </w:rPr>
        <w:t xml:space="preserve"> most probably because he could find support in the region that he </w:t>
      </w:r>
      <w:r w:rsidR="00615738">
        <w:rPr>
          <w:rFonts w:asciiTheme="majorBidi" w:hAnsiTheme="majorBidi" w:cstheme="majorBidi"/>
          <w:sz w:val="24"/>
          <w:szCs w:val="24"/>
        </w:rPr>
        <w:t xml:space="preserve">had </w:t>
      </w:r>
      <w:r w:rsidR="009222EA">
        <w:rPr>
          <w:rFonts w:asciiTheme="majorBidi" w:hAnsiTheme="majorBidi" w:cstheme="majorBidi"/>
          <w:sz w:val="24"/>
          <w:szCs w:val="24"/>
        </w:rPr>
        <w:t xml:space="preserve">campaigned. </w:t>
      </w:r>
      <w:r w:rsidR="00615738">
        <w:rPr>
          <w:rFonts w:asciiTheme="majorBidi" w:hAnsiTheme="majorBidi" w:cstheme="majorBidi"/>
          <w:sz w:val="24"/>
          <w:szCs w:val="24"/>
        </w:rPr>
        <w:t xml:space="preserve">And this Khāqān stayed in </w:t>
      </w:r>
      <w:r w:rsidR="00615738" w:rsidRPr="009A6F7F">
        <w:rPr>
          <w:rFonts w:asciiTheme="majorBidi" w:hAnsiTheme="majorBidi" w:cstheme="majorBidi"/>
          <w:sz w:val="24"/>
          <w:szCs w:val="24"/>
        </w:rPr>
        <w:lastRenderedPageBreak/>
        <w:t>Ṭukhāristān</w:t>
      </w:r>
      <w:r w:rsidR="00615738">
        <w:rPr>
          <w:rFonts w:asciiTheme="majorBidi" w:hAnsiTheme="majorBidi" w:cstheme="majorBidi"/>
          <w:sz w:val="24"/>
          <w:szCs w:val="24"/>
        </w:rPr>
        <w:t xml:space="preserve"> until his death in 653 CE.</w:t>
      </w:r>
      <w:r w:rsidR="00615738">
        <w:rPr>
          <w:rStyle w:val="FootnoteReference"/>
          <w:rFonts w:asciiTheme="majorBidi" w:hAnsiTheme="majorBidi" w:cstheme="majorBidi"/>
          <w:sz w:val="24"/>
          <w:szCs w:val="24"/>
        </w:rPr>
        <w:footnoteReference w:id="89"/>
      </w:r>
      <w:r w:rsidR="00615738">
        <w:rPr>
          <w:rFonts w:asciiTheme="majorBidi" w:hAnsiTheme="majorBidi" w:cstheme="majorBidi"/>
          <w:sz w:val="24"/>
          <w:szCs w:val="24"/>
        </w:rPr>
        <w:t xml:space="preserve"> </w:t>
      </w:r>
      <w:r w:rsidR="003E46BD">
        <w:rPr>
          <w:rFonts w:asciiTheme="majorBidi" w:hAnsiTheme="majorBidi" w:cstheme="majorBidi"/>
          <w:sz w:val="24"/>
          <w:szCs w:val="24"/>
        </w:rPr>
        <w:t>T</w:t>
      </w:r>
      <w:r w:rsidR="009222EA">
        <w:rPr>
          <w:rFonts w:asciiTheme="majorBidi" w:hAnsiTheme="majorBidi" w:cstheme="majorBidi"/>
          <w:sz w:val="24"/>
          <w:szCs w:val="24"/>
        </w:rPr>
        <w:t xml:space="preserve">he relations between the new ruler </w:t>
      </w:r>
      <w:r w:rsidR="009222EA" w:rsidRPr="009222EA">
        <w:rPr>
          <w:rFonts w:asciiTheme="majorBidi" w:hAnsiTheme="majorBidi" w:cstheme="majorBidi"/>
          <w:sz w:val="24"/>
          <w:szCs w:val="24"/>
        </w:rPr>
        <w:t>Irbis Shekui Khagan</w:t>
      </w:r>
      <w:r w:rsidR="009222EA">
        <w:rPr>
          <w:rFonts w:asciiTheme="majorBidi" w:hAnsiTheme="majorBidi" w:cstheme="majorBidi"/>
          <w:sz w:val="24"/>
          <w:szCs w:val="24"/>
        </w:rPr>
        <w:t xml:space="preserve"> (</w:t>
      </w:r>
      <w:r w:rsidR="009222EA">
        <w:rPr>
          <w:rFonts w:asciiTheme="majorBidi" w:hAnsiTheme="majorBidi" w:cstheme="majorBidi" w:hint="eastAsia"/>
          <w:sz w:val="24"/>
          <w:szCs w:val="24"/>
          <w:lang w:bidi="ar-JO"/>
        </w:rPr>
        <w:t>乙毗射匮可汗</w:t>
      </w:r>
      <w:r w:rsidR="009222EA">
        <w:rPr>
          <w:rFonts w:asciiTheme="majorBidi" w:hAnsiTheme="majorBidi" w:cstheme="majorBidi" w:hint="eastAsia"/>
          <w:sz w:val="24"/>
          <w:szCs w:val="24"/>
          <w:lang w:bidi="ar-JO"/>
        </w:rPr>
        <w:t>,</w:t>
      </w:r>
      <w:r w:rsidR="009222EA">
        <w:rPr>
          <w:rFonts w:asciiTheme="majorBidi" w:hAnsiTheme="majorBidi" w:cstheme="majorBidi"/>
          <w:sz w:val="24"/>
          <w:szCs w:val="24"/>
          <w:lang w:bidi="ar-JO"/>
        </w:rPr>
        <w:t xml:space="preserve"> </w:t>
      </w:r>
      <w:r w:rsidR="009222EA">
        <w:rPr>
          <w:rFonts w:asciiTheme="majorBidi" w:hAnsiTheme="majorBidi" w:cstheme="majorBidi"/>
          <w:sz w:val="24"/>
          <w:szCs w:val="24"/>
        </w:rPr>
        <w:t xml:space="preserve">642-651 CE) and </w:t>
      </w:r>
      <w:r w:rsidR="009222EA" w:rsidRPr="009A6F7F">
        <w:rPr>
          <w:rFonts w:asciiTheme="majorBidi" w:hAnsiTheme="majorBidi" w:cstheme="majorBidi"/>
          <w:sz w:val="24"/>
          <w:szCs w:val="24"/>
        </w:rPr>
        <w:t>Ṭukhāristān</w:t>
      </w:r>
      <w:r w:rsidR="009222EA">
        <w:rPr>
          <w:rFonts w:asciiTheme="majorBidi" w:hAnsiTheme="majorBidi" w:cstheme="majorBidi"/>
          <w:sz w:val="24"/>
          <w:szCs w:val="24"/>
        </w:rPr>
        <w:t xml:space="preserve"> </w:t>
      </w:r>
      <w:r w:rsidR="003E46BD">
        <w:rPr>
          <w:rFonts w:asciiTheme="majorBidi" w:hAnsiTheme="majorBidi" w:cstheme="majorBidi"/>
          <w:sz w:val="24"/>
          <w:szCs w:val="24"/>
        </w:rPr>
        <w:t>was expected to turn</w:t>
      </w:r>
      <w:r w:rsidR="009222EA">
        <w:rPr>
          <w:rFonts w:asciiTheme="majorBidi" w:hAnsiTheme="majorBidi" w:cstheme="majorBidi"/>
          <w:sz w:val="24"/>
          <w:szCs w:val="24"/>
        </w:rPr>
        <w:t xml:space="preserve"> sour. </w:t>
      </w:r>
      <w:r w:rsidR="00872C94">
        <w:rPr>
          <w:rFonts w:asciiTheme="majorBidi" w:hAnsiTheme="majorBidi" w:cstheme="majorBidi"/>
          <w:sz w:val="24"/>
          <w:szCs w:val="24"/>
        </w:rPr>
        <w:t xml:space="preserve">Yazdegerd and </w:t>
      </w:r>
      <w:r w:rsidR="00EA4531">
        <w:rPr>
          <w:rFonts w:asciiTheme="majorBidi" w:hAnsiTheme="majorBidi" w:cstheme="majorBidi"/>
          <w:sz w:val="24"/>
          <w:szCs w:val="24"/>
        </w:rPr>
        <w:t xml:space="preserve">Pērōz apparently </w:t>
      </w:r>
      <w:r w:rsidR="003E46BD">
        <w:rPr>
          <w:rFonts w:asciiTheme="majorBidi" w:hAnsiTheme="majorBidi" w:cstheme="majorBidi"/>
          <w:sz w:val="24"/>
          <w:szCs w:val="24"/>
        </w:rPr>
        <w:t xml:space="preserve">were </w:t>
      </w:r>
      <w:r w:rsidR="00EA4531">
        <w:rPr>
          <w:rFonts w:asciiTheme="majorBidi" w:hAnsiTheme="majorBidi" w:cstheme="majorBidi"/>
          <w:sz w:val="24"/>
          <w:szCs w:val="24"/>
        </w:rPr>
        <w:t xml:space="preserve">aware of the situation of the Western Turks and </w:t>
      </w:r>
      <w:r w:rsidR="009222EA">
        <w:rPr>
          <w:rFonts w:asciiTheme="majorBidi" w:hAnsiTheme="majorBidi" w:cstheme="majorBidi"/>
          <w:sz w:val="24"/>
          <w:szCs w:val="24"/>
        </w:rPr>
        <w:t xml:space="preserve">decided to join the </w:t>
      </w:r>
      <w:r>
        <w:rPr>
          <w:rFonts w:asciiTheme="majorBidi" w:hAnsiTheme="majorBidi" w:cstheme="majorBidi"/>
          <w:sz w:val="24"/>
          <w:szCs w:val="24"/>
        </w:rPr>
        <w:t xml:space="preserve">deposed Khāqān who </w:t>
      </w:r>
      <w:r w:rsidR="00615738">
        <w:rPr>
          <w:rFonts w:asciiTheme="majorBidi" w:hAnsiTheme="majorBidi" w:cstheme="majorBidi"/>
          <w:sz w:val="24"/>
          <w:szCs w:val="24"/>
        </w:rPr>
        <w:t xml:space="preserve">probably had </w:t>
      </w:r>
      <w:r>
        <w:rPr>
          <w:rFonts w:asciiTheme="majorBidi" w:hAnsiTheme="majorBidi" w:cstheme="majorBidi"/>
          <w:sz w:val="24"/>
          <w:szCs w:val="24"/>
        </w:rPr>
        <w:t>assisted them</w:t>
      </w:r>
      <w:r w:rsidR="00EA4531">
        <w:rPr>
          <w:rFonts w:asciiTheme="majorBidi" w:hAnsiTheme="majorBidi" w:cstheme="majorBidi"/>
          <w:sz w:val="24"/>
          <w:szCs w:val="24"/>
        </w:rPr>
        <w:t>.</w:t>
      </w:r>
    </w:p>
    <w:p w14:paraId="626ACDDE" w14:textId="11201EBE" w:rsidR="00AC1FD1" w:rsidRDefault="00615738" w:rsidP="003E46BD">
      <w:pPr>
        <w:spacing w:line="360" w:lineRule="auto"/>
        <w:rPr>
          <w:rFonts w:asciiTheme="majorBidi" w:hAnsiTheme="majorBidi" w:cstheme="majorBidi"/>
          <w:sz w:val="24"/>
          <w:szCs w:val="24"/>
        </w:rPr>
      </w:pPr>
      <w:r>
        <w:rPr>
          <w:rFonts w:asciiTheme="majorBidi" w:hAnsiTheme="majorBidi" w:cstheme="majorBidi" w:hint="eastAsia"/>
          <w:sz w:val="24"/>
          <w:szCs w:val="24"/>
        </w:rPr>
        <w:t xml:space="preserve"> </w:t>
      </w:r>
      <w:r>
        <w:rPr>
          <w:rFonts w:asciiTheme="majorBidi" w:hAnsiTheme="majorBidi" w:cstheme="majorBidi"/>
          <w:sz w:val="24"/>
          <w:szCs w:val="24"/>
        </w:rPr>
        <w:t xml:space="preserve">    However, after the death of Irbis Duolu Khāqān, </w:t>
      </w:r>
      <w:r w:rsidR="00F12564">
        <w:rPr>
          <w:rFonts w:asciiTheme="majorBidi" w:hAnsiTheme="majorBidi" w:cstheme="majorBidi"/>
          <w:sz w:val="24"/>
          <w:szCs w:val="24"/>
        </w:rPr>
        <w:t xml:space="preserve">Pērōz still stayed in </w:t>
      </w:r>
      <w:r w:rsidR="00F12564" w:rsidRPr="009A6F7F">
        <w:rPr>
          <w:rFonts w:asciiTheme="majorBidi" w:hAnsiTheme="majorBidi" w:cstheme="majorBidi"/>
          <w:sz w:val="24"/>
          <w:szCs w:val="24"/>
        </w:rPr>
        <w:t>Ṭukhāristān</w:t>
      </w:r>
      <w:r w:rsidR="00F12564">
        <w:rPr>
          <w:rFonts w:asciiTheme="majorBidi" w:hAnsiTheme="majorBidi" w:cstheme="majorBidi"/>
          <w:sz w:val="24"/>
          <w:szCs w:val="24"/>
        </w:rPr>
        <w:t>. This also needs an explanation. On the one hand, he married a Turkic princess and settled down; on the other hand, as the deputy of the Western Turks to the south of Oxus</w:t>
      </w:r>
      <w:r w:rsidR="007F1B1B">
        <w:rPr>
          <w:rFonts w:asciiTheme="majorBidi" w:hAnsiTheme="majorBidi" w:cstheme="majorBidi"/>
          <w:sz w:val="24"/>
          <w:szCs w:val="24"/>
        </w:rPr>
        <w:t xml:space="preserve"> since the 620s</w:t>
      </w:r>
      <w:r w:rsidR="00F12564">
        <w:rPr>
          <w:rFonts w:asciiTheme="majorBidi" w:hAnsiTheme="majorBidi" w:cstheme="majorBidi"/>
          <w:sz w:val="24"/>
          <w:szCs w:val="24"/>
        </w:rPr>
        <w:t>,</w:t>
      </w:r>
      <w:r w:rsidR="007F1B1B">
        <w:rPr>
          <w:rStyle w:val="FootnoteReference"/>
          <w:rFonts w:asciiTheme="majorBidi" w:hAnsiTheme="majorBidi" w:cstheme="majorBidi"/>
          <w:sz w:val="24"/>
          <w:szCs w:val="24"/>
        </w:rPr>
        <w:footnoteReference w:id="90"/>
      </w:r>
      <w:r w:rsidR="00F12564">
        <w:rPr>
          <w:rFonts w:asciiTheme="majorBidi" w:hAnsiTheme="majorBidi" w:cstheme="majorBidi"/>
          <w:sz w:val="24"/>
          <w:szCs w:val="24"/>
        </w:rPr>
        <w:t xml:space="preserve"> the Yabghū was the nominal lord of larger territories, including </w:t>
      </w:r>
      <w:r w:rsidR="00F12564" w:rsidRPr="009A6F7F">
        <w:rPr>
          <w:rFonts w:asciiTheme="majorBidi" w:hAnsiTheme="majorBidi" w:cstheme="majorBidi"/>
          <w:sz w:val="24"/>
          <w:szCs w:val="24"/>
        </w:rPr>
        <w:t>Ṭukhāristān</w:t>
      </w:r>
      <w:r w:rsidR="00F12564">
        <w:rPr>
          <w:rFonts w:asciiTheme="majorBidi" w:hAnsiTheme="majorBidi" w:cstheme="majorBidi"/>
          <w:sz w:val="24"/>
          <w:szCs w:val="24"/>
        </w:rPr>
        <w:t>, Tr</w:t>
      </w:r>
      <w:r w:rsidR="00AA4353">
        <w:rPr>
          <w:rFonts w:asciiTheme="majorBidi" w:hAnsiTheme="majorBidi" w:cstheme="majorBidi"/>
          <w:sz w:val="24"/>
          <w:szCs w:val="24"/>
        </w:rPr>
        <w:t>an</w:t>
      </w:r>
      <w:r w:rsidR="00F12564">
        <w:rPr>
          <w:rFonts w:asciiTheme="majorBidi" w:hAnsiTheme="majorBidi" w:cstheme="majorBidi"/>
          <w:sz w:val="24"/>
          <w:szCs w:val="24"/>
        </w:rPr>
        <w:t>soxiana and the regions to the south of the Hindukush according to the Chinese sources and numismatics</w:t>
      </w:r>
      <w:r w:rsidR="00EA4531">
        <w:rPr>
          <w:rFonts w:asciiTheme="majorBidi" w:hAnsiTheme="majorBidi" w:cstheme="majorBidi"/>
          <w:sz w:val="24"/>
          <w:szCs w:val="24"/>
        </w:rPr>
        <w:t>.</w:t>
      </w:r>
      <w:r w:rsidR="00EA4531">
        <w:rPr>
          <w:rStyle w:val="FootnoteReference"/>
          <w:rFonts w:asciiTheme="majorBidi" w:hAnsiTheme="majorBidi" w:cstheme="majorBidi"/>
          <w:sz w:val="24"/>
          <w:szCs w:val="24"/>
        </w:rPr>
        <w:footnoteReference w:id="91"/>
      </w:r>
    </w:p>
    <w:p w14:paraId="1CCFAB5D" w14:textId="751F4B7A" w:rsidR="00412D55" w:rsidRDefault="00AA4353" w:rsidP="00AA4353">
      <w:pPr>
        <w:spacing w:line="360" w:lineRule="auto"/>
        <w:rPr>
          <w:rFonts w:asciiTheme="majorBidi" w:hAnsiTheme="majorBidi" w:cstheme="majorBidi"/>
          <w:sz w:val="24"/>
          <w:szCs w:val="24"/>
        </w:rPr>
      </w:pPr>
      <w:r>
        <w:rPr>
          <w:rFonts w:asciiTheme="majorBidi" w:hAnsiTheme="majorBidi" w:cstheme="majorBidi" w:hint="eastAsia"/>
          <w:sz w:val="24"/>
          <w:szCs w:val="24"/>
        </w:rPr>
        <w:t xml:space="preserve"> </w:t>
      </w:r>
      <w:r>
        <w:rPr>
          <w:rFonts w:asciiTheme="majorBidi" w:hAnsiTheme="majorBidi" w:cstheme="majorBidi"/>
          <w:sz w:val="24"/>
          <w:szCs w:val="24"/>
        </w:rPr>
        <w:t xml:space="preserve">    It is clear that Pērōz was pulled to </w:t>
      </w:r>
      <w:r w:rsidRPr="009A6F7F">
        <w:rPr>
          <w:rFonts w:asciiTheme="majorBidi" w:hAnsiTheme="majorBidi" w:cstheme="majorBidi"/>
          <w:sz w:val="24"/>
          <w:szCs w:val="24"/>
        </w:rPr>
        <w:t>Ṭukhāristān</w:t>
      </w:r>
      <w:r>
        <w:rPr>
          <w:rFonts w:asciiTheme="majorBidi" w:hAnsiTheme="majorBidi" w:cstheme="majorBidi"/>
          <w:sz w:val="24"/>
          <w:szCs w:val="24"/>
        </w:rPr>
        <w:t xml:space="preserve"> by the political power of the Western Turks, which would both protect him from the Arabs and assist him to restore the lost dynasty. This is shown by his choosing </w:t>
      </w:r>
      <w:r w:rsidRPr="009A6F7F">
        <w:rPr>
          <w:rFonts w:asciiTheme="majorBidi" w:hAnsiTheme="majorBidi" w:cstheme="majorBidi"/>
          <w:sz w:val="24"/>
          <w:szCs w:val="24"/>
        </w:rPr>
        <w:t>Ṭukhāristān</w:t>
      </w:r>
      <w:r>
        <w:rPr>
          <w:rFonts w:asciiTheme="majorBidi" w:hAnsiTheme="majorBidi" w:cstheme="majorBidi"/>
          <w:sz w:val="24"/>
          <w:szCs w:val="24"/>
        </w:rPr>
        <w:t xml:space="preserve"> instead of Transoxiana or the regions to the south of the Hindukush, since </w:t>
      </w:r>
      <w:r>
        <w:rPr>
          <w:rFonts w:asciiTheme="majorBidi" w:hAnsiTheme="majorBidi" w:cstheme="majorBidi" w:hint="eastAsia"/>
          <w:sz w:val="24"/>
          <w:szCs w:val="24"/>
        </w:rPr>
        <w:t>t</w:t>
      </w:r>
      <w:r w:rsidR="004E2C3C">
        <w:rPr>
          <w:rFonts w:asciiTheme="majorBidi" w:hAnsiTheme="majorBidi" w:cstheme="majorBidi"/>
          <w:sz w:val="24"/>
          <w:szCs w:val="24"/>
        </w:rPr>
        <w:t>he plains in western Ṭukhāristān were easier for the Arabs to traverse, while Transoxiana is separated from Marw by the Oxus and the regions to the south of the Hindukush protected by difficult terrains</w:t>
      </w:r>
      <w:r w:rsidR="004E2C3C" w:rsidRPr="00261DCD">
        <w:rPr>
          <w:rFonts w:asciiTheme="majorBidi" w:hAnsiTheme="majorBidi" w:cstheme="majorBidi"/>
          <w:sz w:val="24"/>
          <w:szCs w:val="24"/>
        </w:rPr>
        <w:t xml:space="preserve"> </w:t>
      </w:r>
      <w:r w:rsidR="004E2C3C">
        <w:rPr>
          <w:rFonts w:asciiTheme="majorBidi" w:hAnsiTheme="majorBidi" w:cstheme="majorBidi"/>
          <w:sz w:val="24"/>
          <w:szCs w:val="24"/>
        </w:rPr>
        <w:t xml:space="preserve">from the </w:t>
      </w:r>
      <w:r w:rsidR="004E2C3C">
        <w:rPr>
          <w:rFonts w:asciiTheme="majorBidi" w:hAnsiTheme="majorBidi" w:cstheme="majorBidi"/>
          <w:sz w:val="24"/>
          <w:szCs w:val="24"/>
        </w:rPr>
        <w:lastRenderedPageBreak/>
        <w:t>Arabs based in Sīstān.</w:t>
      </w:r>
      <w:r w:rsidR="00B84DAC">
        <w:rPr>
          <w:rStyle w:val="FootnoteReference"/>
          <w:rFonts w:asciiTheme="majorBidi" w:hAnsiTheme="majorBidi" w:cstheme="majorBidi"/>
          <w:sz w:val="24"/>
          <w:szCs w:val="24"/>
        </w:rPr>
        <w:footnoteReference w:id="92"/>
      </w:r>
      <w:r w:rsidR="004E2C3C">
        <w:rPr>
          <w:rFonts w:asciiTheme="majorBidi" w:hAnsiTheme="majorBidi" w:cstheme="majorBidi"/>
          <w:sz w:val="24"/>
          <w:szCs w:val="24"/>
        </w:rPr>
        <w:t xml:space="preserve"> In other words, Ṭukhāristān was the most dangerous comparing to Transoxiana and Kabul and Zabul to the south of the Hindukush.</w:t>
      </w:r>
    </w:p>
    <w:p w14:paraId="6A1EB59B" w14:textId="105F6273" w:rsidR="00235A14" w:rsidRDefault="0010221E" w:rsidP="0010221E">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A possible reason of Pērōz's avoiding Zabul or Kabul is probably </w:t>
      </w:r>
      <w:r w:rsidR="00B84DAC">
        <w:rPr>
          <w:rFonts w:asciiTheme="majorBidi" w:hAnsiTheme="majorBidi" w:cstheme="majorBidi"/>
          <w:sz w:val="24"/>
          <w:szCs w:val="24"/>
        </w:rPr>
        <w:t xml:space="preserve">because of his brother </w:t>
      </w:r>
      <w:r w:rsidR="006B0C51">
        <w:rPr>
          <w:rFonts w:asciiTheme="majorBidi" w:hAnsiTheme="majorBidi" w:cstheme="majorBidi"/>
          <w:sz w:val="24"/>
          <w:szCs w:val="24"/>
        </w:rPr>
        <w:t>W</w:t>
      </w:r>
      <w:r w:rsidR="00B84DAC">
        <w:rPr>
          <w:rFonts w:asciiTheme="majorBidi" w:hAnsiTheme="majorBidi" w:cstheme="majorBidi"/>
          <w:sz w:val="24"/>
          <w:szCs w:val="24"/>
        </w:rPr>
        <w:t>ahrām, if the reports of the Middle Persian sources</w:t>
      </w:r>
      <w:r>
        <w:rPr>
          <w:rFonts w:asciiTheme="majorBidi" w:hAnsiTheme="majorBidi" w:cstheme="majorBidi"/>
          <w:sz w:val="24"/>
          <w:szCs w:val="24"/>
        </w:rPr>
        <w:t xml:space="preserve"> </w:t>
      </w:r>
      <w:r w:rsidR="00B84DAC">
        <w:rPr>
          <w:rFonts w:asciiTheme="majorBidi" w:hAnsiTheme="majorBidi" w:cstheme="majorBidi"/>
          <w:sz w:val="24"/>
          <w:szCs w:val="24"/>
        </w:rPr>
        <w:t xml:space="preserve">of </w:t>
      </w:r>
      <w:r w:rsidR="006B0C51">
        <w:rPr>
          <w:rFonts w:asciiTheme="majorBidi" w:hAnsiTheme="majorBidi" w:cstheme="majorBidi"/>
          <w:sz w:val="24"/>
          <w:szCs w:val="24"/>
        </w:rPr>
        <w:t>W</w:t>
      </w:r>
      <w:r w:rsidR="00B84DAC">
        <w:rPr>
          <w:rFonts w:asciiTheme="majorBidi" w:hAnsiTheme="majorBidi" w:cstheme="majorBidi"/>
          <w:sz w:val="24"/>
          <w:szCs w:val="24"/>
        </w:rPr>
        <w:t>ahrām seeking refuge to the south of the Hindukush are historically reliable</w:t>
      </w:r>
      <w:r>
        <w:rPr>
          <w:rFonts w:asciiTheme="majorBidi" w:hAnsiTheme="majorBidi" w:cstheme="majorBidi"/>
          <w:sz w:val="24"/>
          <w:szCs w:val="24"/>
        </w:rPr>
        <w:t>.</w:t>
      </w:r>
      <w:r w:rsidR="00235A14">
        <w:rPr>
          <w:rStyle w:val="FootnoteReference"/>
          <w:rFonts w:asciiTheme="majorBidi" w:hAnsiTheme="majorBidi" w:cstheme="majorBidi"/>
          <w:sz w:val="24"/>
          <w:szCs w:val="24"/>
        </w:rPr>
        <w:footnoteReference w:id="93"/>
      </w:r>
      <w:r>
        <w:rPr>
          <w:rFonts w:asciiTheme="majorBidi" w:hAnsiTheme="majorBidi" w:cstheme="majorBidi"/>
          <w:sz w:val="24"/>
          <w:szCs w:val="24"/>
        </w:rPr>
        <w:t xml:space="preserve"> </w:t>
      </w:r>
      <w:r w:rsidR="006B0C51">
        <w:rPr>
          <w:rFonts w:asciiTheme="majorBidi" w:hAnsiTheme="majorBidi" w:cstheme="majorBidi"/>
          <w:sz w:val="24"/>
          <w:szCs w:val="24"/>
        </w:rPr>
        <w:t>W</w:t>
      </w:r>
      <w:r>
        <w:rPr>
          <w:rFonts w:asciiTheme="majorBidi" w:hAnsiTheme="majorBidi" w:cstheme="majorBidi"/>
          <w:sz w:val="24"/>
          <w:szCs w:val="24"/>
        </w:rPr>
        <w:t>ahrām was lauded in a medieval Zoroastrian poem that he would return with a big army of the Indians and the Chinese to restore the Sasanian dynasty.</w:t>
      </w:r>
      <w:r w:rsidRPr="0052478F">
        <w:rPr>
          <w:rFonts w:asciiTheme="majorBidi" w:hAnsiTheme="majorBidi" w:cstheme="majorBidi"/>
          <w:sz w:val="24"/>
          <w:szCs w:val="24"/>
          <w:vertAlign w:val="superscript"/>
        </w:rPr>
        <w:footnoteReference w:id="94"/>
      </w:r>
      <w:r>
        <w:rPr>
          <w:rFonts w:asciiTheme="majorBidi" w:hAnsiTheme="majorBidi" w:cstheme="majorBidi"/>
          <w:sz w:val="24"/>
          <w:szCs w:val="24"/>
        </w:rPr>
        <w:t xml:space="preserve"> It is possible that </w:t>
      </w:r>
      <w:r w:rsidR="006B0C51">
        <w:rPr>
          <w:rFonts w:asciiTheme="majorBidi" w:hAnsiTheme="majorBidi" w:cstheme="majorBidi"/>
          <w:sz w:val="24"/>
          <w:szCs w:val="24"/>
        </w:rPr>
        <w:t>W</w:t>
      </w:r>
      <w:r>
        <w:rPr>
          <w:rFonts w:asciiTheme="majorBidi" w:hAnsiTheme="majorBidi" w:cstheme="majorBidi"/>
          <w:sz w:val="24"/>
          <w:szCs w:val="24"/>
        </w:rPr>
        <w:t xml:space="preserve">ahrām </w:t>
      </w:r>
      <w:r w:rsidR="00235A14">
        <w:rPr>
          <w:rFonts w:asciiTheme="majorBidi" w:hAnsiTheme="majorBidi" w:cstheme="majorBidi"/>
          <w:sz w:val="24"/>
          <w:szCs w:val="24"/>
        </w:rPr>
        <w:t xml:space="preserve">traveled </w:t>
      </w:r>
      <w:r>
        <w:rPr>
          <w:rFonts w:asciiTheme="majorBidi" w:hAnsiTheme="majorBidi" w:cstheme="majorBidi"/>
          <w:sz w:val="24"/>
          <w:szCs w:val="24"/>
        </w:rPr>
        <w:t xml:space="preserve">along the Helmand valley to the regions to the south of Hindukush when </w:t>
      </w:r>
      <w:r w:rsidRPr="0052478F">
        <w:rPr>
          <w:rFonts w:asciiTheme="majorBidi" w:hAnsiTheme="majorBidi" w:cstheme="majorBidi"/>
          <w:sz w:val="24"/>
          <w:szCs w:val="24"/>
        </w:rPr>
        <w:t>Yazdegerd fled Sīstān for Marw.</w:t>
      </w:r>
      <w:r w:rsidRPr="0052478F">
        <w:rPr>
          <w:rFonts w:asciiTheme="majorBidi" w:hAnsiTheme="majorBidi" w:cstheme="majorBidi"/>
          <w:sz w:val="24"/>
          <w:szCs w:val="24"/>
          <w:vertAlign w:val="superscript"/>
        </w:rPr>
        <w:footnoteReference w:id="95"/>
      </w:r>
      <w:r w:rsidR="00E77D08">
        <w:rPr>
          <w:rFonts w:asciiTheme="majorBidi" w:hAnsiTheme="majorBidi" w:cstheme="majorBidi"/>
          <w:sz w:val="24"/>
          <w:szCs w:val="24"/>
        </w:rPr>
        <w:t xml:space="preserve"> And Pērōz chose Ṭukhāristān so that the two princes would not meedle with each other.</w:t>
      </w:r>
      <w:r w:rsidR="00E77D08">
        <w:rPr>
          <w:rStyle w:val="FootnoteReference"/>
          <w:rFonts w:asciiTheme="majorBidi" w:hAnsiTheme="majorBidi" w:cstheme="majorBidi"/>
          <w:sz w:val="24"/>
          <w:szCs w:val="24"/>
        </w:rPr>
        <w:footnoteReference w:id="96"/>
      </w:r>
    </w:p>
    <w:p w14:paraId="21530ACE" w14:textId="5E49916D" w:rsidR="008B3140" w:rsidRDefault="00DA5155" w:rsidP="00E851BD">
      <w:pPr>
        <w:spacing w:line="360" w:lineRule="auto"/>
        <w:rPr>
          <w:rFonts w:asciiTheme="majorBidi" w:hAnsiTheme="majorBidi" w:cstheme="majorBidi"/>
          <w:sz w:val="24"/>
          <w:szCs w:val="24"/>
        </w:rPr>
      </w:pPr>
      <w:r>
        <w:rPr>
          <w:rFonts w:asciiTheme="majorBidi" w:hAnsiTheme="majorBidi" w:cstheme="majorBidi"/>
          <w:sz w:val="24"/>
          <w:szCs w:val="24"/>
        </w:rPr>
        <w:t xml:space="preserve">     From the side of the Yabghū, it is not only to host Pērōz and his immediate family, but also his dependents</w:t>
      </w:r>
      <w:r w:rsidR="0007484C">
        <w:rPr>
          <w:rFonts w:asciiTheme="majorBidi" w:hAnsiTheme="majorBidi" w:cstheme="majorBidi"/>
          <w:sz w:val="24"/>
          <w:szCs w:val="24"/>
        </w:rPr>
        <w:t>, which most probably numbered several thousands</w:t>
      </w:r>
      <w:r w:rsidR="00872C94">
        <w:rPr>
          <w:rFonts w:asciiTheme="majorBidi" w:hAnsiTheme="majorBidi" w:cstheme="majorBidi"/>
          <w:sz w:val="24"/>
          <w:szCs w:val="24"/>
        </w:rPr>
        <w:t xml:space="preserve">. </w:t>
      </w:r>
      <w:r w:rsidR="00E851BD">
        <w:rPr>
          <w:rFonts w:asciiTheme="majorBidi" w:hAnsiTheme="majorBidi" w:cstheme="majorBidi"/>
          <w:sz w:val="24"/>
          <w:szCs w:val="24"/>
        </w:rPr>
        <w:t>Al</w:t>
      </w:r>
      <w:r w:rsidR="0007484C">
        <w:rPr>
          <w:rFonts w:asciiTheme="majorBidi" w:hAnsiTheme="majorBidi" w:cstheme="majorBidi"/>
          <w:sz w:val="24"/>
          <w:szCs w:val="24"/>
        </w:rPr>
        <w:t>-</w:t>
      </w:r>
      <w:r w:rsidR="0007484C" w:rsidRPr="001470A3">
        <w:rPr>
          <w:rFonts w:asciiTheme="majorBidi" w:hAnsiTheme="majorBidi" w:cstheme="majorBidi"/>
          <w:sz w:val="24"/>
          <w:szCs w:val="24"/>
        </w:rPr>
        <w:t>Ṭabarī</w:t>
      </w:r>
      <w:r w:rsidR="0007484C">
        <w:rPr>
          <w:rFonts w:asciiTheme="majorBidi" w:hAnsiTheme="majorBidi" w:cstheme="majorBidi"/>
          <w:sz w:val="24"/>
          <w:szCs w:val="24"/>
        </w:rPr>
        <w:t xml:space="preserve"> </w:t>
      </w:r>
      <w:r w:rsidR="0007484C">
        <w:rPr>
          <w:rFonts w:asciiTheme="majorBidi" w:hAnsiTheme="majorBidi" w:cstheme="majorBidi"/>
          <w:sz w:val="24"/>
          <w:szCs w:val="24"/>
        </w:rPr>
        <w:lastRenderedPageBreak/>
        <w:t xml:space="preserve">reports that </w:t>
      </w:r>
      <w:r w:rsidR="00E851BD">
        <w:rPr>
          <w:rFonts w:asciiTheme="majorBidi" w:hAnsiTheme="majorBidi" w:cstheme="majorBidi"/>
          <w:sz w:val="24"/>
          <w:szCs w:val="24"/>
        </w:rPr>
        <w:t>Yazdegerd were accompanied by 4000 men when he approached Marw;</w:t>
      </w:r>
      <w:r w:rsidR="00872C94">
        <w:rPr>
          <w:rStyle w:val="FootnoteReference"/>
          <w:rFonts w:asciiTheme="majorBidi" w:hAnsiTheme="majorBidi" w:cstheme="majorBidi"/>
          <w:sz w:val="24"/>
          <w:szCs w:val="24"/>
        </w:rPr>
        <w:footnoteReference w:id="97"/>
      </w:r>
      <w:r w:rsidR="00E851BD" w:rsidRPr="00E851BD">
        <w:rPr>
          <w:rFonts w:asciiTheme="majorBidi" w:hAnsiTheme="majorBidi" w:cstheme="majorBidi"/>
          <w:sz w:val="24"/>
          <w:szCs w:val="24"/>
        </w:rPr>
        <w:t xml:space="preserve"> </w:t>
      </w:r>
      <w:r w:rsidR="00AF3400">
        <w:rPr>
          <w:rFonts w:asciiTheme="majorBidi" w:hAnsiTheme="majorBidi" w:cstheme="majorBidi"/>
          <w:sz w:val="24"/>
          <w:szCs w:val="24"/>
        </w:rPr>
        <w:t xml:space="preserve">while </w:t>
      </w:r>
      <w:r w:rsidR="00E851BD">
        <w:rPr>
          <w:rFonts w:asciiTheme="majorBidi" w:hAnsiTheme="majorBidi" w:cstheme="majorBidi"/>
          <w:sz w:val="24"/>
          <w:szCs w:val="24"/>
        </w:rPr>
        <w:t>the Chinese sources record that Pērōz’s son Narseh had several thousand companions in the 680s.</w:t>
      </w:r>
      <w:r w:rsidR="00E851BD">
        <w:rPr>
          <w:rStyle w:val="FootnoteReference"/>
          <w:rFonts w:asciiTheme="majorBidi" w:hAnsiTheme="majorBidi" w:cstheme="majorBidi"/>
          <w:sz w:val="24"/>
          <w:szCs w:val="24"/>
        </w:rPr>
        <w:footnoteReference w:id="98"/>
      </w:r>
      <w:r w:rsidR="00E851BD">
        <w:rPr>
          <w:rFonts w:asciiTheme="majorBidi" w:hAnsiTheme="majorBidi" w:cstheme="majorBidi"/>
          <w:sz w:val="24"/>
          <w:szCs w:val="24"/>
        </w:rPr>
        <w:t xml:space="preserve"> </w:t>
      </w:r>
      <w:r w:rsidR="00AF3400">
        <w:rPr>
          <w:rFonts w:asciiTheme="majorBidi" w:hAnsiTheme="majorBidi" w:cstheme="majorBidi"/>
          <w:sz w:val="24"/>
          <w:szCs w:val="24"/>
        </w:rPr>
        <w:t>Therefore</w:t>
      </w:r>
      <w:r w:rsidR="00E851BD">
        <w:rPr>
          <w:rFonts w:asciiTheme="majorBidi" w:hAnsiTheme="majorBidi" w:cstheme="majorBidi"/>
          <w:sz w:val="24"/>
          <w:szCs w:val="24"/>
        </w:rPr>
        <w:t>, it is reasonable to suggest that Pērōz’s companions numbered several thousand</w:t>
      </w:r>
      <w:r w:rsidR="00A8503B">
        <w:rPr>
          <w:rFonts w:asciiTheme="majorBidi" w:hAnsiTheme="majorBidi" w:cstheme="majorBidi"/>
          <w:sz w:val="24"/>
          <w:szCs w:val="24"/>
        </w:rPr>
        <w:t>s</w:t>
      </w:r>
      <w:r w:rsidR="00E851BD">
        <w:rPr>
          <w:rFonts w:asciiTheme="majorBidi" w:hAnsiTheme="majorBidi" w:cstheme="majorBidi"/>
          <w:sz w:val="24"/>
          <w:szCs w:val="24"/>
        </w:rPr>
        <w:t xml:space="preserve">, although </w:t>
      </w:r>
      <w:r w:rsidR="00AF3400">
        <w:rPr>
          <w:rFonts w:asciiTheme="majorBidi" w:hAnsiTheme="majorBidi" w:cstheme="majorBidi"/>
          <w:sz w:val="24"/>
          <w:szCs w:val="24"/>
        </w:rPr>
        <w:t>the number is not</w:t>
      </w:r>
      <w:r w:rsidR="00E851BD">
        <w:rPr>
          <w:rFonts w:asciiTheme="majorBidi" w:hAnsiTheme="majorBidi" w:cstheme="majorBidi"/>
          <w:sz w:val="24"/>
          <w:szCs w:val="24"/>
        </w:rPr>
        <w:t xml:space="preserve"> explicitly given. The question is w</w:t>
      </w:r>
      <w:r>
        <w:rPr>
          <w:rFonts w:asciiTheme="majorBidi" w:hAnsiTheme="majorBidi" w:cstheme="majorBidi"/>
          <w:sz w:val="24"/>
          <w:szCs w:val="24"/>
        </w:rPr>
        <w:t>hy the Yabghū</w:t>
      </w:r>
      <w:r w:rsidR="00AF3400">
        <w:rPr>
          <w:rFonts w:asciiTheme="majorBidi" w:hAnsiTheme="majorBidi" w:cstheme="majorBidi"/>
          <w:sz w:val="24"/>
          <w:szCs w:val="24"/>
        </w:rPr>
        <w:t xml:space="preserve"> would receive</w:t>
      </w:r>
      <w:r>
        <w:rPr>
          <w:rFonts w:asciiTheme="majorBidi" w:hAnsiTheme="majorBidi" w:cstheme="majorBidi"/>
          <w:sz w:val="24"/>
          <w:szCs w:val="24"/>
        </w:rPr>
        <w:t xml:space="preserve"> the last </w:t>
      </w:r>
      <w:r w:rsidR="00E851BD">
        <w:rPr>
          <w:rFonts w:asciiTheme="majorBidi" w:hAnsiTheme="majorBidi" w:cstheme="majorBidi"/>
          <w:sz w:val="24"/>
          <w:szCs w:val="24"/>
        </w:rPr>
        <w:t>S</w:t>
      </w:r>
      <w:r>
        <w:rPr>
          <w:rFonts w:asciiTheme="majorBidi" w:hAnsiTheme="majorBidi" w:cstheme="majorBidi"/>
          <w:sz w:val="24"/>
          <w:szCs w:val="24"/>
        </w:rPr>
        <w:t>asanians</w:t>
      </w:r>
      <w:r w:rsidR="00E851BD">
        <w:rPr>
          <w:rFonts w:asciiTheme="majorBidi" w:hAnsiTheme="majorBidi" w:cstheme="majorBidi"/>
          <w:sz w:val="24"/>
          <w:szCs w:val="24"/>
        </w:rPr>
        <w:t xml:space="preserve"> with such a big retinue.</w:t>
      </w:r>
      <w:r w:rsidR="008B3140">
        <w:rPr>
          <w:rFonts w:asciiTheme="majorBidi" w:hAnsiTheme="majorBidi" w:cstheme="majorBidi"/>
          <w:sz w:val="24"/>
          <w:szCs w:val="24"/>
        </w:rPr>
        <w:t xml:space="preserve"> </w:t>
      </w:r>
    </w:p>
    <w:p w14:paraId="2198561D" w14:textId="2ACA339C" w:rsidR="00D06FA7" w:rsidRDefault="00F02A60" w:rsidP="00840B61">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Wu-shi-bow</w:t>
      </w:r>
      <w:r w:rsidR="00F92F06">
        <w:rPr>
          <w:rFonts w:asciiTheme="majorBidi" w:hAnsiTheme="majorBidi" w:cstheme="majorBidi"/>
          <w:sz w:val="24"/>
          <w:szCs w:val="24"/>
        </w:rPr>
        <w:t>, who ascended the throne most probably in 651 CE,</w:t>
      </w:r>
      <w:r w:rsidR="00910FE7">
        <w:rPr>
          <w:rFonts w:asciiTheme="majorBidi" w:hAnsiTheme="majorBidi" w:cstheme="majorBidi"/>
          <w:sz w:val="24"/>
          <w:szCs w:val="24"/>
        </w:rPr>
        <w:t xml:space="preserve"> was probably the Yabghū who received Pērōz and his dependents</w:t>
      </w:r>
      <w:r w:rsidR="00D96CC8">
        <w:rPr>
          <w:rFonts w:asciiTheme="majorBidi" w:hAnsiTheme="majorBidi" w:cstheme="majorBidi"/>
          <w:sz w:val="24"/>
          <w:szCs w:val="24"/>
        </w:rPr>
        <w:t xml:space="preserve"> in the early 650s</w:t>
      </w:r>
      <w:r w:rsidR="00910FE7">
        <w:rPr>
          <w:rFonts w:asciiTheme="majorBidi" w:hAnsiTheme="majorBidi" w:cstheme="majorBidi"/>
          <w:sz w:val="24"/>
          <w:szCs w:val="24"/>
        </w:rPr>
        <w:t>.</w:t>
      </w:r>
      <w:r w:rsidR="008C29B7">
        <w:rPr>
          <w:rStyle w:val="FootnoteReference"/>
          <w:rFonts w:asciiTheme="majorBidi" w:hAnsiTheme="majorBidi" w:cstheme="majorBidi"/>
          <w:sz w:val="24"/>
          <w:szCs w:val="24"/>
        </w:rPr>
        <w:footnoteReference w:id="99"/>
      </w:r>
      <w:r w:rsidR="008C29B7">
        <w:rPr>
          <w:rFonts w:asciiTheme="majorBidi" w:hAnsiTheme="majorBidi" w:cstheme="majorBidi"/>
          <w:sz w:val="24"/>
          <w:szCs w:val="24"/>
        </w:rPr>
        <w:t xml:space="preserve"> </w:t>
      </w:r>
      <w:r w:rsidR="00840B61">
        <w:rPr>
          <w:rFonts w:asciiTheme="majorBidi" w:hAnsiTheme="majorBidi" w:cstheme="majorBidi"/>
          <w:sz w:val="24"/>
          <w:szCs w:val="24"/>
        </w:rPr>
        <w:t xml:space="preserve">Although the presence of the Sasanian prince in the Yabghū's court </w:t>
      </w:r>
      <w:r w:rsidR="009F273D">
        <w:rPr>
          <w:rFonts w:asciiTheme="majorBidi" w:hAnsiTheme="majorBidi" w:cstheme="majorBidi"/>
          <w:sz w:val="24"/>
          <w:szCs w:val="24"/>
        </w:rPr>
        <w:t xml:space="preserve">would </w:t>
      </w:r>
      <w:r w:rsidR="00840B61">
        <w:rPr>
          <w:rFonts w:asciiTheme="majorBidi" w:hAnsiTheme="majorBidi" w:cstheme="majorBidi"/>
          <w:sz w:val="24"/>
          <w:szCs w:val="24"/>
        </w:rPr>
        <w:t>surely increase his prestige, there must be practical reasons for his hosting Pērōz</w:t>
      </w:r>
      <w:r w:rsidR="009F273D">
        <w:rPr>
          <w:rFonts w:asciiTheme="majorBidi" w:hAnsiTheme="majorBidi" w:cstheme="majorBidi"/>
          <w:sz w:val="24"/>
          <w:szCs w:val="24"/>
        </w:rPr>
        <w:t xml:space="preserve"> and his</w:t>
      </w:r>
      <w:r w:rsidR="00840B61">
        <w:rPr>
          <w:rFonts w:asciiTheme="majorBidi" w:hAnsiTheme="majorBidi" w:cstheme="majorBidi"/>
          <w:sz w:val="24"/>
          <w:szCs w:val="24"/>
        </w:rPr>
        <w:t xml:space="preserve"> large </w:t>
      </w:r>
      <w:r w:rsidR="009F273D">
        <w:rPr>
          <w:rFonts w:asciiTheme="majorBidi" w:hAnsiTheme="majorBidi" w:cstheme="majorBidi"/>
          <w:sz w:val="24"/>
          <w:szCs w:val="24"/>
        </w:rPr>
        <w:t>retinue</w:t>
      </w:r>
      <w:r w:rsidR="00840B61">
        <w:rPr>
          <w:rFonts w:asciiTheme="majorBidi" w:hAnsiTheme="majorBidi" w:cstheme="majorBidi"/>
          <w:sz w:val="24"/>
          <w:szCs w:val="24"/>
        </w:rPr>
        <w:t>.</w:t>
      </w:r>
    </w:p>
    <w:p w14:paraId="1B021D2D" w14:textId="5D8BDABD" w:rsidR="00840B61" w:rsidRDefault="00840B61" w:rsidP="008B3140">
      <w:pPr>
        <w:spacing w:line="360" w:lineRule="auto"/>
        <w:ind w:firstLineChars="250" w:firstLine="600"/>
        <w:rPr>
          <w:rFonts w:asciiTheme="majorBidi" w:hAnsiTheme="majorBidi" w:cstheme="majorBidi"/>
          <w:sz w:val="24"/>
          <w:szCs w:val="24"/>
        </w:rPr>
      </w:pPr>
      <w:r w:rsidRPr="00840B61">
        <w:rPr>
          <w:rFonts w:asciiTheme="majorBidi" w:hAnsiTheme="majorBidi" w:cstheme="majorBidi"/>
          <w:sz w:val="24"/>
          <w:szCs w:val="24"/>
        </w:rPr>
        <w:t xml:space="preserve">Actually, western </w:t>
      </w:r>
      <w:r>
        <w:rPr>
          <w:rFonts w:asciiTheme="majorBidi" w:hAnsiTheme="majorBidi" w:cstheme="majorBidi"/>
          <w:sz w:val="24"/>
          <w:szCs w:val="24"/>
        </w:rPr>
        <w:t>Ṭukhāristān</w:t>
      </w:r>
      <w:r w:rsidR="00007730" w:rsidRPr="00840B61">
        <w:rPr>
          <w:rFonts w:asciiTheme="majorBidi" w:hAnsiTheme="majorBidi" w:cstheme="majorBidi"/>
          <w:sz w:val="24"/>
          <w:szCs w:val="24"/>
        </w:rPr>
        <w:t xml:space="preserve"> </w:t>
      </w:r>
      <w:r w:rsidRPr="00840B61">
        <w:rPr>
          <w:rFonts w:asciiTheme="majorBidi" w:hAnsiTheme="majorBidi" w:cstheme="majorBidi"/>
          <w:sz w:val="24"/>
          <w:szCs w:val="24"/>
        </w:rPr>
        <w:t>was under attack of the Arabs in the 6</w:t>
      </w:r>
      <w:r w:rsidR="009F273D">
        <w:rPr>
          <w:rFonts w:asciiTheme="majorBidi" w:hAnsiTheme="majorBidi" w:cstheme="majorBidi"/>
          <w:sz w:val="24"/>
          <w:szCs w:val="24"/>
        </w:rPr>
        <w:t>5</w:t>
      </w:r>
      <w:r w:rsidRPr="00840B61">
        <w:rPr>
          <w:rFonts w:asciiTheme="majorBidi" w:hAnsiTheme="majorBidi" w:cstheme="majorBidi"/>
          <w:sz w:val="24"/>
          <w:szCs w:val="24"/>
        </w:rPr>
        <w:t>0s,</w:t>
      </w:r>
      <w:r>
        <w:rPr>
          <w:rFonts w:asciiTheme="majorBidi" w:hAnsiTheme="majorBidi" w:cstheme="majorBidi"/>
          <w:sz w:val="24"/>
          <w:szCs w:val="24"/>
        </w:rPr>
        <w:t xml:space="preserve"> </w:t>
      </w:r>
      <w:r w:rsidR="009F273D">
        <w:rPr>
          <w:rFonts w:asciiTheme="majorBidi" w:hAnsiTheme="majorBidi" w:cstheme="majorBidi"/>
          <w:sz w:val="24"/>
          <w:szCs w:val="24"/>
        </w:rPr>
        <w:t xml:space="preserve">with </w:t>
      </w:r>
      <w:r>
        <w:rPr>
          <w:rFonts w:asciiTheme="majorBidi" w:hAnsiTheme="majorBidi" w:cstheme="majorBidi"/>
          <w:sz w:val="24"/>
          <w:szCs w:val="24"/>
        </w:rPr>
        <w:t xml:space="preserve">Aḥnaf </w:t>
      </w:r>
      <w:r w:rsidR="009F273D">
        <w:rPr>
          <w:rFonts w:asciiTheme="majorBidi" w:hAnsiTheme="majorBidi" w:cstheme="majorBidi"/>
          <w:sz w:val="24"/>
          <w:szCs w:val="24"/>
        </w:rPr>
        <w:t xml:space="preserve">b. al-Qays </w:t>
      </w:r>
      <w:r>
        <w:rPr>
          <w:rFonts w:asciiTheme="majorBidi" w:hAnsiTheme="majorBidi" w:cstheme="majorBidi"/>
          <w:sz w:val="24"/>
          <w:szCs w:val="24"/>
        </w:rPr>
        <w:t xml:space="preserve">penetrated as </w:t>
      </w:r>
      <w:r w:rsidR="009F273D">
        <w:rPr>
          <w:rFonts w:asciiTheme="majorBidi" w:hAnsiTheme="majorBidi" w:cstheme="majorBidi"/>
          <w:sz w:val="24"/>
          <w:szCs w:val="24"/>
        </w:rPr>
        <w:t>deep</w:t>
      </w:r>
      <w:r>
        <w:rPr>
          <w:rFonts w:asciiTheme="majorBidi" w:hAnsiTheme="majorBidi" w:cstheme="majorBidi"/>
          <w:sz w:val="24"/>
          <w:szCs w:val="24"/>
        </w:rPr>
        <w:t xml:space="preserve"> as Balkh.</w:t>
      </w:r>
      <w:r>
        <w:rPr>
          <w:rStyle w:val="FootnoteReference"/>
          <w:rFonts w:asciiTheme="majorBidi" w:hAnsiTheme="majorBidi" w:cstheme="majorBidi"/>
          <w:sz w:val="24"/>
          <w:szCs w:val="24"/>
        </w:rPr>
        <w:footnoteReference w:id="100"/>
      </w:r>
      <w:r>
        <w:rPr>
          <w:rFonts w:asciiTheme="majorBidi" w:hAnsiTheme="majorBidi" w:cstheme="majorBidi"/>
          <w:sz w:val="24"/>
          <w:szCs w:val="24"/>
        </w:rPr>
        <w:t xml:space="preserve"> Since Ṭukhāristān was threatened by the Arabs, Pērōz and his dependents were welcomed as allies to fight their common enemy the Arabs.</w:t>
      </w:r>
    </w:p>
    <w:p w14:paraId="2854F70F" w14:textId="1D623045" w:rsidR="00E10B1F" w:rsidRDefault="0043741A" w:rsidP="00233FF7">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B51D22">
        <w:rPr>
          <w:rFonts w:asciiTheme="majorBidi" w:hAnsiTheme="majorBidi" w:cstheme="majorBidi"/>
          <w:sz w:val="24"/>
          <w:szCs w:val="24"/>
        </w:rPr>
        <w:t xml:space="preserve">As for </w:t>
      </w:r>
      <w:r w:rsidR="00203F34">
        <w:rPr>
          <w:rFonts w:asciiTheme="majorBidi" w:hAnsiTheme="majorBidi" w:cstheme="majorBidi"/>
          <w:sz w:val="24"/>
          <w:szCs w:val="24"/>
        </w:rPr>
        <w:t xml:space="preserve">Narseh, </w:t>
      </w:r>
      <w:r w:rsidR="00B51D22">
        <w:rPr>
          <w:rFonts w:asciiTheme="majorBidi" w:hAnsiTheme="majorBidi" w:cstheme="majorBidi"/>
          <w:sz w:val="24"/>
          <w:szCs w:val="24"/>
        </w:rPr>
        <w:t>Pērōz</w:t>
      </w:r>
      <w:r w:rsidR="00BE27C8">
        <w:rPr>
          <w:rFonts w:asciiTheme="majorBidi" w:hAnsiTheme="majorBidi" w:cstheme="majorBidi"/>
          <w:sz w:val="24"/>
          <w:szCs w:val="24"/>
        </w:rPr>
        <w:t>’s son</w:t>
      </w:r>
      <w:r w:rsidR="00B51D22">
        <w:rPr>
          <w:rFonts w:asciiTheme="majorBidi" w:hAnsiTheme="majorBidi" w:cstheme="majorBidi"/>
          <w:sz w:val="24"/>
          <w:szCs w:val="24"/>
        </w:rPr>
        <w:t xml:space="preserve">, </w:t>
      </w:r>
      <w:r w:rsidR="00203F34">
        <w:rPr>
          <w:rFonts w:asciiTheme="majorBidi" w:hAnsiTheme="majorBidi" w:cstheme="majorBidi"/>
          <w:sz w:val="24"/>
          <w:szCs w:val="24"/>
        </w:rPr>
        <w:t xml:space="preserve">nothing is known about his early life except that he </w:t>
      </w:r>
      <w:r w:rsidR="00203F34">
        <w:rPr>
          <w:rFonts w:asciiTheme="majorBidi" w:hAnsiTheme="majorBidi" w:cstheme="majorBidi"/>
          <w:sz w:val="24"/>
          <w:szCs w:val="24"/>
        </w:rPr>
        <w:lastRenderedPageBreak/>
        <w:t>was staying in Chang’an as a hostage</w:t>
      </w:r>
      <w:r w:rsidR="00BE27C8">
        <w:rPr>
          <w:rFonts w:asciiTheme="majorBidi" w:hAnsiTheme="majorBidi" w:cstheme="majorBidi"/>
          <w:sz w:val="24"/>
          <w:szCs w:val="24"/>
        </w:rPr>
        <w:t xml:space="preserve"> and probably served as a royal guard</w:t>
      </w:r>
      <w:r w:rsidR="00203F34">
        <w:rPr>
          <w:rFonts w:asciiTheme="majorBidi" w:hAnsiTheme="majorBidi" w:cstheme="majorBidi"/>
          <w:sz w:val="24"/>
          <w:szCs w:val="24"/>
        </w:rPr>
        <w:t>.</w:t>
      </w:r>
      <w:r>
        <w:rPr>
          <w:rStyle w:val="FootnoteReference"/>
          <w:rFonts w:asciiTheme="majorBidi" w:hAnsiTheme="majorBidi" w:cstheme="majorBidi"/>
          <w:sz w:val="24"/>
          <w:szCs w:val="24"/>
        </w:rPr>
        <w:footnoteReference w:id="101"/>
      </w:r>
      <w:r w:rsidR="00203F34">
        <w:rPr>
          <w:rFonts w:asciiTheme="majorBidi" w:hAnsiTheme="majorBidi" w:cstheme="majorBidi"/>
          <w:sz w:val="24"/>
          <w:szCs w:val="24"/>
        </w:rPr>
        <w:t xml:space="preserve"> </w:t>
      </w:r>
      <w:r w:rsidR="00B51D22">
        <w:rPr>
          <w:rFonts w:asciiTheme="majorBidi" w:hAnsiTheme="majorBidi" w:cstheme="majorBidi"/>
          <w:sz w:val="24"/>
          <w:szCs w:val="24"/>
        </w:rPr>
        <w:t xml:space="preserve">After his father’s death in </w:t>
      </w:r>
      <w:r w:rsidR="00233FF7">
        <w:rPr>
          <w:rFonts w:asciiTheme="majorBidi" w:hAnsiTheme="majorBidi" w:cstheme="majorBidi"/>
          <w:sz w:val="24"/>
          <w:szCs w:val="24"/>
        </w:rPr>
        <w:t>the late 670s</w:t>
      </w:r>
      <w:r w:rsidR="00B51D22">
        <w:rPr>
          <w:rFonts w:asciiTheme="majorBidi" w:hAnsiTheme="majorBidi" w:cstheme="majorBidi"/>
          <w:sz w:val="24"/>
          <w:szCs w:val="24"/>
        </w:rPr>
        <w:t>, the Tang court bestowed on him the title king of Persia and dispatched a Chinese army named the Persian army (</w:t>
      </w:r>
      <w:r w:rsidR="00B51D22">
        <w:rPr>
          <w:rFonts w:asciiTheme="majorBidi" w:hAnsiTheme="majorBidi" w:cstheme="majorBidi" w:hint="eastAsia"/>
          <w:sz w:val="24"/>
          <w:szCs w:val="24"/>
        </w:rPr>
        <w:t>波斯军</w:t>
      </w:r>
      <w:r w:rsidR="00B51D22">
        <w:rPr>
          <w:rFonts w:asciiTheme="majorBidi" w:hAnsiTheme="majorBidi" w:cstheme="majorBidi"/>
          <w:sz w:val="24"/>
          <w:szCs w:val="24"/>
        </w:rPr>
        <w:t>) led by Pei Xingjian, the vice minister of the Board of Personnel</w:t>
      </w:r>
      <w:r w:rsidR="00BE27C8">
        <w:rPr>
          <w:rFonts w:asciiTheme="majorBidi" w:hAnsiTheme="majorBidi" w:cstheme="majorBidi"/>
          <w:sz w:val="24"/>
          <w:szCs w:val="24"/>
        </w:rPr>
        <w:t xml:space="preserve"> (</w:t>
      </w:r>
      <w:r w:rsidR="00BE27C8">
        <w:rPr>
          <w:rFonts w:asciiTheme="majorBidi" w:hAnsiTheme="majorBidi" w:cstheme="majorBidi" w:hint="eastAsia"/>
          <w:sz w:val="24"/>
          <w:szCs w:val="24"/>
          <w:lang w:bidi="ar-SY"/>
        </w:rPr>
        <w:t>吏部侍郎</w:t>
      </w:r>
      <w:r w:rsidR="00BE27C8">
        <w:rPr>
          <w:rFonts w:asciiTheme="majorBidi" w:hAnsiTheme="majorBidi" w:cstheme="majorBidi"/>
          <w:sz w:val="24"/>
          <w:szCs w:val="24"/>
        </w:rPr>
        <w:t>)</w:t>
      </w:r>
      <w:r w:rsidR="00B51D22">
        <w:rPr>
          <w:rFonts w:asciiTheme="majorBidi" w:hAnsiTheme="majorBidi" w:cstheme="majorBidi"/>
          <w:sz w:val="24"/>
          <w:szCs w:val="24"/>
        </w:rPr>
        <w:t>, to escort him to his country.</w:t>
      </w:r>
      <w:r w:rsidR="00B51D22">
        <w:rPr>
          <w:rStyle w:val="FootnoteReference"/>
          <w:rFonts w:asciiTheme="majorBidi" w:hAnsiTheme="majorBidi" w:cstheme="majorBidi"/>
          <w:sz w:val="24"/>
          <w:szCs w:val="24"/>
        </w:rPr>
        <w:footnoteReference w:id="102"/>
      </w:r>
      <w:r w:rsidR="00447151" w:rsidRPr="00447151">
        <w:rPr>
          <w:rFonts w:asciiTheme="majorBidi" w:hAnsiTheme="majorBidi" w:cstheme="majorBidi"/>
          <w:sz w:val="24"/>
          <w:szCs w:val="24"/>
        </w:rPr>
        <w:t xml:space="preserve"> </w:t>
      </w:r>
      <w:r w:rsidR="00233FF7">
        <w:rPr>
          <w:rFonts w:asciiTheme="majorBidi" w:hAnsiTheme="majorBidi" w:cstheme="majorBidi"/>
          <w:sz w:val="24"/>
          <w:szCs w:val="24"/>
        </w:rPr>
        <w:t xml:space="preserve">About the date of the event, Cen suggests that 679 CE given in the </w:t>
      </w:r>
      <w:r w:rsidR="00233FF7" w:rsidRPr="00444D4A">
        <w:rPr>
          <w:rFonts w:asciiTheme="majorBidi" w:hAnsiTheme="majorBidi" w:cstheme="majorBidi"/>
          <w:i/>
          <w:iCs/>
          <w:sz w:val="24"/>
          <w:szCs w:val="24"/>
        </w:rPr>
        <w:t>Xin Tangshu</w:t>
      </w:r>
      <w:r w:rsidR="00233FF7">
        <w:rPr>
          <w:rFonts w:asciiTheme="majorBidi" w:hAnsiTheme="majorBidi" w:cstheme="majorBidi"/>
          <w:sz w:val="24"/>
          <w:szCs w:val="24"/>
        </w:rPr>
        <w:t xml:space="preserve"> is more reliable than 678 CE found in the </w:t>
      </w:r>
      <w:r w:rsidR="00233FF7" w:rsidRPr="007A6DF9">
        <w:rPr>
          <w:rFonts w:asciiTheme="majorBidi" w:hAnsiTheme="majorBidi" w:cstheme="majorBidi"/>
          <w:i/>
          <w:iCs/>
          <w:sz w:val="24"/>
          <w:szCs w:val="24"/>
        </w:rPr>
        <w:t>Jiu Tangshu</w:t>
      </w:r>
      <w:r w:rsidR="00233FF7">
        <w:rPr>
          <w:rFonts w:asciiTheme="majorBidi" w:hAnsiTheme="majorBidi" w:cstheme="majorBidi"/>
          <w:sz w:val="24"/>
          <w:szCs w:val="24"/>
        </w:rPr>
        <w:t>.</w:t>
      </w:r>
      <w:r w:rsidR="00233FF7">
        <w:rPr>
          <w:rStyle w:val="FootnoteReference"/>
          <w:rFonts w:asciiTheme="majorBidi" w:hAnsiTheme="majorBidi" w:cstheme="majorBidi"/>
          <w:sz w:val="24"/>
          <w:szCs w:val="24"/>
        </w:rPr>
        <w:footnoteReference w:id="103"/>
      </w:r>
      <w:r w:rsidR="00233FF7">
        <w:rPr>
          <w:rFonts w:asciiTheme="majorBidi" w:hAnsiTheme="majorBidi" w:cstheme="majorBidi"/>
          <w:sz w:val="24"/>
          <w:szCs w:val="24"/>
        </w:rPr>
        <w:t xml:space="preserve"> Moreover, the relevant Turfan manuscript shows that Narseh was not completely deserted but escorted by </w:t>
      </w:r>
      <w:r w:rsidR="00C47895">
        <w:rPr>
          <w:rFonts w:asciiTheme="majorBidi" w:hAnsiTheme="majorBidi" w:cstheme="majorBidi"/>
          <w:sz w:val="24"/>
          <w:szCs w:val="24"/>
        </w:rPr>
        <w:t xml:space="preserve">a small unit of </w:t>
      </w:r>
      <w:r w:rsidR="00233FF7">
        <w:rPr>
          <w:rFonts w:asciiTheme="majorBidi" w:hAnsiTheme="majorBidi" w:cstheme="majorBidi"/>
          <w:sz w:val="24"/>
          <w:szCs w:val="24"/>
        </w:rPr>
        <w:t xml:space="preserve">the Tang </w:t>
      </w:r>
      <w:r w:rsidR="00C47895">
        <w:rPr>
          <w:rFonts w:asciiTheme="majorBidi" w:hAnsiTheme="majorBidi" w:cstheme="majorBidi"/>
          <w:sz w:val="24"/>
          <w:szCs w:val="24"/>
        </w:rPr>
        <w:t>army</w:t>
      </w:r>
      <w:r w:rsidR="00233FF7">
        <w:rPr>
          <w:rFonts w:asciiTheme="majorBidi" w:hAnsiTheme="majorBidi" w:cstheme="majorBidi"/>
          <w:sz w:val="24"/>
          <w:szCs w:val="24"/>
        </w:rPr>
        <w:t xml:space="preserve"> until late 680 CE.</w:t>
      </w:r>
      <w:r w:rsidR="00233FF7">
        <w:rPr>
          <w:rStyle w:val="FootnoteReference"/>
          <w:rFonts w:asciiTheme="majorBidi" w:hAnsiTheme="majorBidi" w:cstheme="majorBidi"/>
          <w:sz w:val="24"/>
          <w:szCs w:val="24"/>
        </w:rPr>
        <w:footnoteReference w:id="104"/>
      </w:r>
    </w:p>
    <w:p w14:paraId="6006974E" w14:textId="55FDF49D" w:rsidR="00B307F9" w:rsidRDefault="00B51D22" w:rsidP="00E10B1F">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However,</w:t>
      </w:r>
      <w:r w:rsidR="00C47895">
        <w:rPr>
          <w:rFonts w:asciiTheme="majorBidi" w:hAnsiTheme="majorBidi" w:cstheme="majorBidi"/>
          <w:sz w:val="24"/>
          <w:szCs w:val="24"/>
        </w:rPr>
        <w:t xml:space="preserve"> Narseh</w:t>
      </w:r>
      <w:r>
        <w:rPr>
          <w:rFonts w:asciiTheme="majorBidi" w:hAnsiTheme="majorBidi" w:cstheme="majorBidi"/>
          <w:sz w:val="24"/>
          <w:szCs w:val="24"/>
        </w:rPr>
        <w:t xml:space="preserve"> could not return to his country because of the presence of the Arabs, and </w:t>
      </w:r>
      <w:r w:rsidR="00C47895">
        <w:rPr>
          <w:rFonts w:asciiTheme="majorBidi" w:hAnsiTheme="majorBidi" w:cstheme="majorBidi"/>
          <w:sz w:val="24"/>
          <w:szCs w:val="24"/>
        </w:rPr>
        <w:t>sought refuge</w:t>
      </w:r>
      <w:r>
        <w:rPr>
          <w:rFonts w:asciiTheme="majorBidi" w:hAnsiTheme="majorBidi" w:cstheme="majorBidi"/>
          <w:sz w:val="24"/>
          <w:szCs w:val="24"/>
        </w:rPr>
        <w:t xml:space="preserve"> in Ṭukhāristān </w:t>
      </w:r>
      <w:r w:rsidR="00C47895">
        <w:rPr>
          <w:rFonts w:asciiTheme="majorBidi" w:hAnsiTheme="majorBidi" w:cstheme="majorBidi"/>
          <w:sz w:val="24"/>
          <w:szCs w:val="24"/>
        </w:rPr>
        <w:t>as his father</w:t>
      </w:r>
      <w:r>
        <w:rPr>
          <w:rFonts w:asciiTheme="majorBidi" w:hAnsiTheme="majorBidi" w:cstheme="majorBidi"/>
          <w:sz w:val="24"/>
          <w:szCs w:val="24"/>
        </w:rPr>
        <w:t>.</w:t>
      </w:r>
      <w:r w:rsidR="00E10B1F">
        <w:rPr>
          <w:rStyle w:val="FootnoteReference"/>
          <w:rFonts w:asciiTheme="majorBidi" w:hAnsiTheme="majorBidi" w:cstheme="majorBidi"/>
          <w:sz w:val="24"/>
          <w:szCs w:val="24"/>
        </w:rPr>
        <w:footnoteReference w:id="105"/>
      </w:r>
      <w:r w:rsidR="00E10B1F">
        <w:rPr>
          <w:rFonts w:asciiTheme="majorBidi" w:hAnsiTheme="majorBidi" w:cstheme="majorBidi"/>
          <w:sz w:val="24"/>
          <w:szCs w:val="24"/>
        </w:rPr>
        <w:t xml:space="preserve"> Firstly, </w:t>
      </w:r>
      <w:r>
        <w:rPr>
          <w:rFonts w:asciiTheme="majorBidi" w:hAnsiTheme="majorBidi" w:cstheme="majorBidi"/>
          <w:sz w:val="24"/>
          <w:szCs w:val="24"/>
        </w:rPr>
        <w:t xml:space="preserve">he </w:t>
      </w:r>
      <w:r w:rsidR="00E10B1F">
        <w:rPr>
          <w:rFonts w:asciiTheme="majorBidi" w:hAnsiTheme="majorBidi" w:cstheme="majorBidi"/>
          <w:sz w:val="24"/>
          <w:szCs w:val="24"/>
        </w:rPr>
        <w:t xml:space="preserve">was familiar with Ṭukhāristān and the elite of the Yabghū dynasty, where he </w:t>
      </w:r>
      <w:r>
        <w:rPr>
          <w:rFonts w:asciiTheme="majorBidi" w:hAnsiTheme="majorBidi" w:cstheme="majorBidi"/>
          <w:sz w:val="24"/>
          <w:szCs w:val="24"/>
        </w:rPr>
        <w:t xml:space="preserve">had stayed </w:t>
      </w:r>
      <w:r w:rsidR="00E10B1F">
        <w:rPr>
          <w:rFonts w:asciiTheme="majorBidi" w:hAnsiTheme="majorBidi" w:cstheme="majorBidi"/>
          <w:sz w:val="24"/>
          <w:szCs w:val="24"/>
        </w:rPr>
        <w:t>for a certain period of time before traveling to China. And part of his family must still linger in the region, and the bulk of his father's dependents.</w:t>
      </w:r>
    </w:p>
    <w:p w14:paraId="08E712B4" w14:textId="0EF82A0F" w:rsidR="00007730" w:rsidRDefault="00B307F9" w:rsidP="00C47895">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From the side of the Yabghū, he was not under the Arab expansions in the 680s and had no problem to host Narseh. When Yazīd I (680-683 CE) inherited his father </w:t>
      </w:r>
      <w:r w:rsidRPr="00D22B69">
        <w:rPr>
          <w:rFonts w:asciiTheme="majorBidi" w:hAnsiTheme="majorBidi" w:cstheme="majorBidi"/>
          <w:sz w:val="24"/>
          <w:szCs w:val="24"/>
        </w:rPr>
        <w:t>Muʿāwiya </w:t>
      </w:r>
      <w:r>
        <w:rPr>
          <w:rFonts w:asciiTheme="majorBidi" w:hAnsiTheme="majorBidi" w:cstheme="majorBidi"/>
          <w:sz w:val="24"/>
          <w:szCs w:val="24"/>
        </w:rPr>
        <w:t xml:space="preserve">I </w:t>
      </w:r>
      <w:r w:rsidR="00984F80">
        <w:rPr>
          <w:rFonts w:asciiTheme="majorBidi" w:hAnsiTheme="majorBidi" w:cstheme="majorBidi"/>
          <w:sz w:val="24"/>
          <w:szCs w:val="24"/>
        </w:rPr>
        <w:t>(</w:t>
      </w:r>
      <w:r w:rsidR="008028D8">
        <w:rPr>
          <w:rFonts w:asciiTheme="majorBidi" w:hAnsiTheme="majorBidi" w:cstheme="majorBidi"/>
          <w:sz w:val="24"/>
          <w:szCs w:val="24"/>
        </w:rPr>
        <w:t>661-680 CE</w:t>
      </w:r>
      <w:r w:rsidR="00984F80">
        <w:rPr>
          <w:rFonts w:asciiTheme="majorBidi" w:hAnsiTheme="majorBidi" w:cstheme="majorBidi"/>
          <w:sz w:val="24"/>
          <w:szCs w:val="24"/>
        </w:rPr>
        <w:t xml:space="preserve">) </w:t>
      </w:r>
      <w:r>
        <w:rPr>
          <w:rFonts w:asciiTheme="majorBidi" w:hAnsiTheme="majorBidi" w:cstheme="majorBidi"/>
          <w:sz w:val="24"/>
          <w:szCs w:val="24"/>
        </w:rPr>
        <w:t xml:space="preserve">as the new caliph, the dispute over leadership erupted and </w:t>
      </w:r>
      <w:r>
        <w:rPr>
          <w:rFonts w:asciiTheme="majorBidi" w:hAnsiTheme="majorBidi" w:cstheme="majorBidi"/>
          <w:sz w:val="24"/>
          <w:szCs w:val="24"/>
        </w:rPr>
        <w:lastRenderedPageBreak/>
        <w:t>deteriorated into the Second Fitna</w:t>
      </w:r>
      <w:r w:rsidR="009532E0">
        <w:rPr>
          <w:rFonts w:asciiTheme="majorBidi" w:hAnsiTheme="majorBidi" w:cstheme="majorBidi"/>
          <w:sz w:val="24"/>
          <w:szCs w:val="24"/>
        </w:rPr>
        <w:t xml:space="preserve"> (680-692 CE)</w:t>
      </w:r>
      <w:r>
        <w:rPr>
          <w:rFonts w:asciiTheme="majorBidi" w:hAnsiTheme="majorBidi" w:cstheme="majorBidi"/>
          <w:sz w:val="24"/>
          <w:szCs w:val="24"/>
        </w:rPr>
        <w:t>. Lack of records related to Ṭukhāristān in al-</w:t>
      </w:r>
      <w:bookmarkStart w:id="5" w:name="_Hlk80964378"/>
      <w:r w:rsidRPr="00E51116">
        <w:rPr>
          <w:rFonts w:asciiTheme="majorBidi" w:hAnsiTheme="majorBidi" w:cstheme="majorBidi"/>
          <w:sz w:val="24"/>
          <w:szCs w:val="24"/>
        </w:rPr>
        <w:t>Ṭabarī</w:t>
      </w:r>
      <w:bookmarkEnd w:id="5"/>
      <w:r w:rsidRPr="00E51116">
        <w:rPr>
          <w:rFonts w:asciiTheme="majorBidi" w:hAnsiTheme="majorBidi" w:cstheme="majorBidi"/>
          <w:sz w:val="24"/>
          <w:szCs w:val="24"/>
        </w:rPr>
        <w:t>’s</w:t>
      </w:r>
      <w:r>
        <w:rPr>
          <w:rFonts w:asciiTheme="majorBidi" w:hAnsiTheme="majorBidi" w:cstheme="majorBidi"/>
          <w:sz w:val="24"/>
          <w:szCs w:val="24"/>
        </w:rPr>
        <w:t xml:space="preserve"> annals in the first years of the 680s suggests that the Arabs controlled the western part of the region but did not expand into the eastern part.</w:t>
      </w:r>
      <w:r>
        <w:rPr>
          <w:rStyle w:val="FootnoteReference"/>
          <w:rFonts w:asciiTheme="majorBidi" w:hAnsiTheme="majorBidi" w:cstheme="majorBidi"/>
          <w:sz w:val="24"/>
          <w:szCs w:val="24"/>
        </w:rPr>
        <w:footnoteReference w:id="106"/>
      </w:r>
      <w:r>
        <w:rPr>
          <w:rFonts w:asciiTheme="majorBidi" w:hAnsiTheme="majorBidi" w:cstheme="majorBidi"/>
          <w:sz w:val="24"/>
          <w:szCs w:val="24"/>
        </w:rPr>
        <w:t xml:space="preserve"> In such a situation, the Sasanian claimant was able to join his family in Ṭukhāristān </w:t>
      </w:r>
      <w:r w:rsidR="00C47895">
        <w:rPr>
          <w:rFonts w:asciiTheme="majorBidi" w:hAnsiTheme="majorBidi" w:cstheme="majorBidi"/>
          <w:sz w:val="24"/>
          <w:szCs w:val="24"/>
        </w:rPr>
        <w:t>and gather around him</w:t>
      </w:r>
      <w:r>
        <w:rPr>
          <w:rFonts w:asciiTheme="majorBidi" w:hAnsiTheme="majorBidi" w:cstheme="majorBidi"/>
          <w:sz w:val="24"/>
          <w:szCs w:val="24"/>
        </w:rPr>
        <w:t xml:space="preserve"> several thousand adherents.</w:t>
      </w:r>
      <w:r>
        <w:rPr>
          <w:rStyle w:val="FootnoteReference"/>
          <w:rFonts w:asciiTheme="majorBidi" w:hAnsiTheme="majorBidi" w:cstheme="majorBidi"/>
          <w:sz w:val="24"/>
          <w:szCs w:val="24"/>
        </w:rPr>
        <w:footnoteReference w:id="107"/>
      </w:r>
    </w:p>
    <w:p w14:paraId="012E46F1" w14:textId="77777777" w:rsidR="00A8503B" w:rsidRDefault="00A8503B">
      <w:pPr>
        <w:widowControl/>
        <w:jc w:val="left"/>
        <w:rPr>
          <w:rFonts w:asciiTheme="majorBidi" w:eastAsiaTheme="majorEastAsia" w:hAnsiTheme="majorBidi" w:cstheme="majorBidi"/>
          <w:b/>
          <w:bCs/>
          <w:sz w:val="24"/>
          <w:szCs w:val="24"/>
        </w:rPr>
      </w:pPr>
      <w:r>
        <w:rPr>
          <w:rFonts w:asciiTheme="majorBidi" w:hAnsiTheme="majorBidi"/>
          <w:sz w:val="24"/>
          <w:szCs w:val="24"/>
        </w:rPr>
        <w:br w:type="page"/>
      </w:r>
    </w:p>
    <w:p w14:paraId="12441830" w14:textId="014B85CC" w:rsidR="001470A3" w:rsidRDefault="00EA7A77" w:rsidP="00A8503B">
      <w:pPr>
        <w:pStyle w:val="Heading2"/>
        <w:rPr>
          <w:rFonts w:asciiTheme="majorBidi" w:hAnsiTheme="majorBidi"/>
          <w:sz w:val="24"/>
          <w:szCs w:val="24"/>
        </w:rPr>
      </w:pPr>
      <w:bookmarkStart w:id="6" w:name="_Toc91623872"/>
      <w:r w:rsidRPr="00A8503B">
        <w:rPr>
          <w:rFonts w:asciiTheme="majorBidi" w:hAnsiTheme="majorBidi"/>
          <w:sz w:val="24"/>
          <w:szCs w:val="24"/>
        </w:rPr>
        <w:lastRenderedPageBreak/>
        <w:t>2</w:t>
      </w:r>
      <w:r w:rsidR="006C7EB2" w:rsidRPr="00A8503B">
        <w:rPr>
          <w:rFonts w:asciiTheme="majorBidi" w:hAnsiTheme="majorBidi"/>
          <w:sz w:val="24"/>
          <w:szCs w:val="24"/>
        </w:rPr>
        <w:t xml:space="preserve"> </w:t>
      </w:r>
      <w:r w:rsidR="00A8503B">
        <w:rPr>
          <w:rFonts w:asciiTheme="majorBidi" w:hAnsiTheme="majorBidi"/>
          <w:sz w:val="24"/>
          <w:szCs w:val="24"/>
        </w:rPr>
        <w:t>What Pērōz and Narseh experience</w:t>
      </w:r>
      <w:r w:rsidR="00A8503B" w:rsidRPr="00A8503B">
        <w:rPr>
          <w:rFonts w:asciiTheme="majorBidi" w:hAnsiTheme="majorBidi"/>
          <w:sz w:val="24"/>
          <w:szCs w:val="24"/>
        </w:rPr>
        <w:t>d</w:t>
      </w:r>
      <w:r w:rsidR="00A8503B">
        <w:rPr>
          <w:rFonts w:asciiTheme="majorBidi" w:hAnsiTheme="majorBidi"/>
          <w:sz w:val="24"/>
          <w:szCs w:val="24"/>
        </w:rPr>
        <w:t xml:space="preserve"> in </w:t>
      </w:r>
      <w:r w:rsidR="006E6653" w:rsidRPr="00A8503B">
        <w:rPr>
          <w:rFonts w:asciiTheme="majorBidi" w:hAnsiTheme="majorBidi"/>
          <w:sz w:val="24"/>
          <w:szCs w:val="24"/>
        </w:rPr>
        <w:t>Ṭukhāristān</w:t>
      </w:r>
      <w:bookmarkEnd w:id="6"/>
    </w:p>
    <w:p w14:paraId="3F24694C" w14:textId="77777777" w:rsidR="00BF5A09" w:rsidRDefault="003307DD" w:rsidP="0096435E">
      <w:pPr>
        <w:spacing w:line="360" w:lineRule="auto"/>
        <w:rPr>
          <w:rFonts w:asciiTheme="majorBidi" w:hAnsiTheme="majorBidi"/>
          <w:sz w:val="24"/>
          <w:szCs w:val="24"/>
        </w:rPr>
      </w:pPr>
      <w:r>
        <w:rPr>
          <w:rFonts w:asciiTheme="majorBidi" w:hAnsiTheme="majorBidi" w:cstheme="majorBidi"/>
          <w:sz w:val="24"/>
          <w:szCs w:val="24"/>
        </w:rPr>
        <w:t xml:space="preserve">It seems that </w:t>
      </w:r>
      <w:r>
        <w:rPr>
          <w:rFonts w:asciiTheme="majorBidi" w:hAnsiTheme="majorBidi"/>
          <w:sz w:val="24"/>
          <w:szCs w:val="24"/>
        </w:rPr>
        <w:t>Pērōz</w:t>
      </w:r>
      <w:r>
        <w:rPr>
          <w:rFonts w:asciiTheme="majorBidi" w:hAnsiTheme="majorBidi" w:cstheme="majorBidi"/>
          <w:sz w:val="24"/>
          <w:szCs w:val="24"/>
        </w:rPr>
        <w:t xml:space="preserve"> was right to seek refuge in the Yabghū’s court. According to the Chinese sources, the Turkic ruler did send an army to escort </w:t>
      </w:r>
      <w:r>
        <w:rPr>
          <w:rFonts w:asciiTheme="majorBidi" w:hAnsiTheme="majorBidi"/>
          <w:sz w:val="24"/>
          <w:szCs w:val="24"/>
        </w:rPr>
        <w:t>Pērōz</w:t>
      </w:r>
      <w:r>
        <w:rPr>
          <w:rFonts w:asciiTheme="majorBidi" w:hAnsiTheme="majorBidi" w:cstheme="majorBidi"/>
          <w:sz w:val="24"/>
          <w:szCs w:val="24"/>
        </w:rPr>
        <w:t xml:space="preserve"> to Ji-ling-cheng, which had been found within the territories of the Sasanian Empire in the late 650s.</w:t>
      </w:r>
      <w:r>
        <w:rPr>
          <w:rStyle w:val="FootnoteReference"/>
          <w:rFonts w:asciiTheme="majorBidi" w:hAnsiTheme="majorBidi" w:cstheme="majorBidi"/>
          <w:sz w:val="24"/>
          <w:szCs w:val="24"/>
        </w:rPr>
        <w:footnoteReference w:id="108"/>
      </w:r>
      <w:r>
        <w:rPr>
          <w:rFonts w:asciiTheme="majorBidi" w:hAnsiTheme="majorBidi" w:cstheme="majorBidi"/>
          <w:sz w:val="24"/>
          <w:szCs w:val="24"/>
        </w:rPr>
        <w:t xml:space="preserve"> </w:t>
      </w:r>
      <w:r w:rsidR="00103C13">
        <w:rPr>
          <w:rFonts w:asciiTheme="majorBidi" w:hAnsiTheme="majorBidi" w:cstheme="majorBidi"/>
          <w:sz w:val="24"/>
          <w:szCs w:val="24"/>
        </w:rPr>
        <w:t xml:space="preserve">Besides his return to Ji-ling-cheng, </w:t>
      </w:r>
      <w:r w:rsidR="00103C13">
        <w:rPr>
          <w:rFonts w:asciiTheme="majorBidi" w:hAnsiTheme="majorBidi"/>
          <w:sz w:val="24"/>
          <w:szCs w:val="24"/>
        </w:rPr>
        <w:t xml:space="preserve">the </w:t>
      </w:r>
      <w:r w:rsidR="00103C13" w:rsidRPr="00ED790F">
        <w:rPr>
          <w:rFonts w:asciiTheme="majorBidi" w:hAnsiTheme="majorBidi"/>
          <w:i/>
          <w:iCs/>
          <w:sz w:val="24"/>
          <w:szCs w:val="24"/>
        </w:rPr>
        <w:t>Jiu Tangshu</w:t>
      </w:r>
      <w:r w:rsidR="00103C13">
        <w:rPr>
          <w:rFonts w:asciiTheme="majorBidi" w:hAnsiTheme="majorBidi"/>
          <w:sz w:val="24"/>
          <w:szCs w:val="24"/>
        </w:rPr>
        <w:t xml:space="preserve"> and the </w:t>
      </w:r>
      <w:r w:rsidR="00103C13" w:rsidRPr="00ED790F">
        <w:rPr>
          <w:rFonts w:asciiTheme="majorBidi" w:hAnsiTheme="majorBidi"/>
          <w:i/>
          <w:iCs/>
          <w:sz w:val="24"/>
          <w:szCs w:val="24"/>
        </w:rPr>
        <w:t>Xin Tangshu</w:t>
      </w:r>
      <w:r w:rsidR="00103C13">
        <w:rPr>
          <w:rFonts w:asciiTheme="majorBidi" w:hAnsiTheme="majorBidi"/>
          <w:sz w:val="24"/>
          <w:szCs w:val="24"/>
        </w:rPr>
        <w:t xml:space="preserve"> plainly report that </w:t>
      </w:r>
      <w:r w:rsidR="002F7587">
        <w:rPr>
          <w:rFonts w:asciiTheme="majorBidi" w:hAnsiTheme="majorBidi"/>
          <w:sz w:val="24"/>
          <w:szCs w:val="24"/>
        </w:rPr>
        <w:t>Pērōz</w:t>
      </w:r>
      <w:r w:rsidR="002F7587">
        <w:rPr>
          <w:rFonts w:asciiTheme="majorBidi" w:hAnsiTheme="majorBidi" w:cstheme="majorBidi"/>
          <w:sz w:val="24"/>
          <w:szCs w:val="24"/>
        </w:rPr>
        <w:t xml:space="preserve"> and his son Narseh </w:t>
      </w:r>
      <w:r w:rsidR="00103C13">
        <w:rPr>
          <w:rFonts w:asciiTheme="majorBidi" w:hAnsiTheme="majorBidi"/>
          <w:sz w:val="24"/>
          <w:szCs w:val="24"/>
        </w:rPr>
        <w:t>stayed in the region respectively for two decades before leaving for China</w:t>
      </w:r>
      <w:r w:rsidR="002F7587">
        <w:rPr>
          <w:rFonts w:asciiTheme="majorBidi" w:hAnsiTheme="majorBidi" w:cstheme="majorBidi"/>
          <w:sz w:val="24"/>
          <w:szCs w:val="24"/>
        </w:rPr>
        <w:t>, while t</w:t>
      </w:r>
      <w:r w:rsidR="000D52C9">
        <w:rPr>
          <w:rFonts w:asciiTheme="majorBidi" w:hAnsiTheme="majorBidi" w:cstheme="majorBidi"/>
          <w:sz w:val="24"/>
          <w:szCs w:val="24"/>
        </w:rPr>
        <w:t xml:space="preserve">he Muslim sources are </w:t>
      </w:r>
      <w:r w:rsidR="00593C06">
        <w:rPr>
          <w:rFonts w:asciiTheme="majorBidi" w:hAnsiTheme="majorBidi" w:cstheme="majorBidi"/>
          <w:sz w:val="24"/>
          <w:szCs w:val="24"/>
        </w:rPr>
        <w:t xml:space="preserve">almost </w:t>
      </w:r>
      <w:r w:rsidR="000D52C9">
        <w:rPr>
          <w:rFonts w:asciiTheme="majorBidi" w:hAnsiTheme="majorBidi" w:cstheme="majorBidi"/>
          <w:sz w:val="24"/>
          <w:szCs w:val="24"/>
        </w:rPr>
        <w:t xml:space="preserve">completely silent about </w:t>
      </w:r>
      <w:r w:rsidR="002F7587">
        <w:rPr>
          <w:rFonts w:asciiTheme="majorBidi" w:hAnsiTheme="majorBidi"/>
          <w:sz w:val="24"/>
          <w:szCs w:val="24"/>
        </w:rPr>
        <w:t>their</w:t>
      </w:r>
      <w:r w:rsidR="000D52C9">
        <w:rPr>
          <w:rFonts w:asciiTheme="majorBidi" w:hAnsiTheme="majorBidi" w:cstheme="majorBidi"/>
          <w:sz w:val="24"/>
          <w:szCs w:val="24"/>
        </w:rPr>
        <w:t xml:space="preserve"> experiences in </w:t>
      </w:r>
      <w:r w:rsidR="000D52C9" w:rsidRPr="00A8503B">
        <w:rPr>
          <w:rFonts w:asciiTheme="majorBidi" w:hAnsiTheme="majorBidi"/>
          <w:sz w:val="24"/>
          <w:szCs w:val="24"/>
        </w:rPr>
        <w:t>Ṭukhāristān</w:t>
      </w:r>
      <w:r w:rsidR="00802619">
        <w:rPr>
          <w:rFonts w:asciiTheme="majorBidi" w:hAnsiTheme="majorBidi"/>
          <w:sz w:val="24"/>
          <w:szCs w:val="24"/>
        </w:rPr>
        <w:t>.</w:t>
      </w:r>
      <w:r w:rsidR="00593C06">
        <w:rPr>
          <w:rStyle w:val="FootnoteReference"/>
          <w:rFonts w:asciiTheme="majorBidi" w:hAnsiTheme="majorBidi"/>
          <w:sz w:val="24"/>
          <w:szCs w:val="24"/>
        </w:rPr>
        <w:footnoteReference w:id="109"/>
      </w:r>
    </w:p>
    <w:p w14:paraId="6828380F" w14:textId="224BDCD2" w:rsidR="00B51D22" w:rsidRPr="0096435E" w:rsidRDefault="00BF5A09" w:rsidP="00DB6D3C">
      <w:pPr>
        <w:spacing w:line="360" w:lineRule="auto"/>
        <w:rPr>
          <w:rFonts w:asciiTheme="majorBidi" w:hAnsiTheme="majorBidi" w:cstheme="majorBidi"/>
          <w:sz w:val="24"/>
          <w:szCs w:val="24"/>
        </w:rPr>
      </w:pPr>
      <w:r>
        <w:rPr>
          <w:rFonts w:asciiTheme="majorBidi" w:hAnsiTheme="majorBidi" w:cstheme="majorBidi" w:hint="eastAsia"/>
          <w:sz w:val="24"/>
          <w:szCs w:val="24"/>
        </w:rPr>
        <w:t xml:space="preserve"> </w:t>
      </w:r>
      <w:r>
        <w:rPr>
          <w:rFonts w:asciiTheme="majorBidi" w:hAnsiTheme="majorBidi" w:cstheme="majorBidi"/>
          <w:sz w:val="24"/>
          <w:szCs w:val="24"/>
        </w:rPr>
        <w:t xml:space="preserve">    Although no sources explicitly connect Pērōz and Narseh’s leaving </w:t>
      </w:r>
      <w:r w:rsidRPr="000058F3">
        <w:rPr>
          <w:rFonts w:asciiTheme="majorBidi" w:hAnsiTheme="majorBidi" w:cstheme="majorBidi"/>
          <w:sz w:val="24"/>
          <w:szCs w:val="24"/>
        </w:rPr>
        <w:t>Ṭukhāristān</w:t>
      </w:r>
      <w:r>
        <w:rPr>
          <w:rFonts w:asciiTheme="majorBidi" w:hAnsiTheme="majorBidi" w:cstheme="majorBidi"/>
          <w:sz w:val="24"/>
          <w:szCs w:val="24"/>
        </w:rPr>
        <w:t xml:space="preserve"> to the pressure of the Arabs imposed on the Yabghū dynasty, clearly the failure of the dynasty to resist the Arabs is directly responsible for their departure. In order to verify the suggestion, it is necessary to trace the Arabs’ expansion to the region and pay attention to the wellbeing of the Yabghū dynasty.</w:t>
      </w:r>
      <w:r w:rsidR="00DB6D3C">
        <w:rPr>
          <w:rFonts w:asciiTheme="majorBidi" w:hAnsiTheme="majorBidi" w:cstheme="majorBidi"/>
          <w:sz w:val="24"/>
          <w:szCs w:val="24"/>
        </w:rPr>
        <w:t xml:space="preserve"> </w:t>
      </w:r>
      <w:r>
        <w:rPr>
          <w:rFonts w:asciiTheme="majorBidi" w:hAnsiTheme="majorBidi"/>
          <w:sz w:val="24"/>
          <w:szCs w:val="24"/>
        </w:rPr>
        <w:t>And both to</w:t>
      </w:r>
      <w:r w:rsidR="00ED790F">
        <w:rPr>
          <w:rFonts w:asciiTheme="majorBidi" w:hAnsiTheme="majorBidi"/>
          <w:sz w:val="24"/>
          <w:szCs w:val="24"/>
        </w:rPr>
        <w:t xml:space="preserve"> understand the </w:t>
      </w:r>
      <w:r w:rsidR="002F7587">
        <w:rPr>
          <w:rFonts w:asciiTheme="majorBidi" w:hAnsiTheme="majorBidi"/>
          <w:sz w:val="24"/>
          <w:szCs w:val="24"/>
        </w:rPr>
        <w:t xml:space="preserve">brief </w:t>
      </w:r>
      <w:r w:rsidR="00ED790F">
        <w:rPr>
          <w:rFonts w:asciiTheme="majorBidi" w:hAnsiTheme="majorBidi"/>
          <w:sz w:val="24"/>
          <w:szCs w:val="24"/>
        </w:rPr>
        <w:t xml:space="preserve">records </w:t>
      </w:r>
      <w:r w:rsidR="00802619">
        <w:rPr>
          <w:rFonts w:asciiTheme="majorBidi" w:hAnsiTheme="majorBidi"/>
          <w:sz w:val="24"/>
          <w:szCs w:val="24"/>
        </w:rPr>
        <w:t xml:space="preserve">and </w:t>
      </w:r>
      <w:r>
        <w:rPr>
          <w:rFonts w:asciiTheme="majorBidi" w:hAnsiTheme="majorBidi"/>
          <w:sz w:val="24"/>
          <w:szCs w:val="24"/>
        </w:rPr>
        <w:t xml:space="preserve">to </w:t>
      </w:r>
      <w:r w:rsidR="00802619">
        <w:rPr>
          <w:rFonts w:asciiTheme="majorBidi" w:hAnsiTheme="majorBidi"/>
          <w:sz w:val="24"/>
          <w:szCs w:val="24"/>
        </w:rPr>
        <w:t>reconstruct the</w:t>
      </w:r>
      <w:r>
        <w:rPr>
          <w:rFonts w:asciiTheme="majorBidi" w:hAnsiTheme="majorBidi"/>
          <w:sz w:val="24"/>
          <w:szCs w:val="24"/>
        </w:rPr>
        <w:t xml:space="preserve"> </w:t>
      </w:r>
      <w:r w:rsidR="00802619">
        <w:rPr>
          <w:rFonts w:asciiTheme="majorBidi" w:hAnsiTheme="majorBidi"/>
          <w:sz w:val="24"/>
          <w:szCs w:val="24"/>
        </w:rPr>
        <w:t xml:space="preserve">experiences </w:t>
      </w:r>
      <w:r>
        <w:rPr>
          <w:rFonts w:asciiTheme="majorBidi" w:hAnsiTheme="majorBidi"/>
          <w:sz w:val="24"/>
          <w:szCs w:val="24"/>
        </w:rPr>
        <w:t xml:space="preserve">of </w:t>
      </w:r>
      <w:r>
        <w:rPr>
          <w:rFonts w:asciiTheme="majorBidi" w:hAnsiTheme="majorBidi" w:cstheme="majorBidi"/>
          <w:sz w:val="24"/>
          <w:szCs w:val="24"/>
        </w:rPr>
        <w:t>Pērōz and Narseh</w:t>
      </w:r>
      <w:r>
        <w:rPr>
          <w:rFonts w:asciiTheme="majorBidi" w:hAnsiTheme="majorBidi"/>
          <w:sz w:val="24"/>
          <w:szCs w:val="24"/>
        </w:rPr>
        <w:t xml:space="preserve"> are carried out </w:t>
      </w:r>
      <w:r w:rsidR="00593C06">
        <w:rPr>
          <w:rFonts w:asciiTheme="majorBidi" w:hAnsiTheme="majorBidi"/>
          <w:sz w:val="24"/>
          <w:szCs w:val="24"/>
        </w:rPr>
        <w:t>in the context of</w:t>
      </w:r>
      <w:r w:rsidR="00ED790F">
        <w:rPr>
          <w:rFonts w:asciiTheme="majorBidi" w:hAnsiTheme="majorBidi"/>
          <w:sz w:val="24"/>
          <w:szCs w:val="24"/>
        </w:rPr>
        <w:t xml:space="preserve"> the political situation of </w:t>
      </w:r>
      <w:r w:rsidR="00ED790F" w:rsidRPr="00A8503B">
        <w:rPr>
          <w:rFonts w:asciiTheme="majorBidi" w:hAnsiTheme="majorBidi"/>
          <w:sz w:val="24"/>
          <w:szCs w:val="24"/>
        </w:rPr>
        <w:t>Ṭukhāristān</w:t>
      </w:r>
      <w:r w:rsidR="00ED790F">
        <w:rPr>
          <w:rFonts w:asciiTheme="majorBidi" w:hAnsiTheme="majorBidi"/>
          <w:sz w:val="24"/>
          <w:szCs w:val="24"/>
        </w:rPr>
        <w:t>.</w:t>
      </w:r>
      <w:r w:rsidR="00DB6D3C">
        <w:rPr>
          <w:rFonts w:asciiTheme="majorBidi" w:hAnsiTheme="majorBidi"/>
          <w:sz w:val="24"/>
          <w:szCs w:val="24"/>
        </w:rPr>
        <w:t xml:space="preserve"> A</w:t>
      </w:r>
      <w:r w:rsidR="00ED790F">
        <w:rPr>
          <w:rFonts w:asciiTheme="majorBidi" w:hAnsiTheme="majorBidi"/>
          <w:sz w:val="24"/>
          <w:szCs w:val="24"/>
        </w:rPr>
        <w:t xml:space="preserve">dditional details, if there are any, are </w:t>
      </w:r>
      <w:r w:rsidR="00802619">
        <w:rPr>
          <w:rFonts w:asciiTheme="majorBidi" w:hAnsiTheme="majorBidi"/>
          <w:sz w:val="24"/>
          <w:szCs w:val="24"/>
        </w:rPr>
        <w:t>at best reasonable speculations</w:t>
      </w:r>
      <w:r w:rsidR="00ED790F">
        <w:rPr>
          <w:rFonts w:asciiTheme="majorBidi" w:hAnsiTheme="majorBidi"/>
          <w:sz w:val="24"/>
          <w:szCs w:val="24"/>
        </w:rPr>
        <w:t>.</w:t>
      </w:r>
    </w:p>
    <w:p w14:paraId="18BBE0A1" w14:textId="72EBA326" w:rsidR="00802619" w:rsidRDefault="00802619" w:rsidP="00802619">
      <w:pPr>
        <w:spacing w:line="360" w:lineRule="auto"/>
        <w:rPr>
          <w:rFonts w:asciiTheme="majorBidi" w:hAnsiTheme="majorBidi" w:cstheme="majorBidi"/>
          <w:sz w:val="24"/>
          <w:szCs w:val="24"/>
        </w:rPr>
      </w:pPr>
      <w:r>
        <w:rPr>
          <w:rFonts w:asciiTheme="majorBidi" w:hAnsiTheme="majorBidi" w:cstheme="majorBidi"/>
          <w:sz w:val="24"/>
          <w:szCs w:val="24"/>
        </w:rPr>
        <w:t xml:space="preserve">     According to Xuanzang, </w:t>
      </w:r>
      <w:r w:rsidRPr="00A8503B">
        <w:rPr>
          <w:rFonts w:asciiTheme="majorBidi" w:hAnsiTheme="majorBidi"/>
          <w:sz w:val="24"/>
          <w:szCs w:val="24"/>
        </w:rPr>
        <w:t>Ṭukhāristān</w:t>
      </w:r>
      <w:r>
        <w:rPr>
          <w:rFonts w:asciiTheme="majorBidi" w:hAnsiTheme="majorBidi" w:cstheme="majorBidi"/>
          <w:sz w:val="24"/>
          <w:szCs w:val="24"/>
        </w:rPr>
        <w:t xml:space="preserve"> was </w:t>
      </w:r>
      <w:r w:rsidR="00E57F86">
        <w:rPr>
          <w:rFonts w:asciiTheme="majorBidi" w:hAnsiTheme="majorBidi" w:cstheme="majorBidi"/>
          <w:sz w:val="24"/>
          <w:szCs w:val="24"/>
        </w:rPr>
        <w:t>not under a centralized power such as the Kushan Empire and the Hephthalite Empire but in a state of political fragmentation</w:t>
      </w:r>
      <w:r>
        <w:rPr>
          <w:rFonts w:asciiTheme="majorBidi" w:hAnsiTheme="majorBidi" w:cstheme="majorBidi"/>
          <w:sz w:val="24"/>
          <w:szCs w:val="24"/>
        </w:rPr>
        <w:t xml:space="preserve"> and divided into 27 principalities in the 630s and the 640s </w:t>
      </w:r>
      <w:r w:rsidR="000A0B25">
        <w:rPr>
          <w:rFonts w:asciiTheme="majorBidi" w:hAnsiTheme="majorBidi" w:cstheme="majorBidi"/>
          <w:sz w:val="24"/>
          <w:szCs w:val="24"/>
        </w:rPr>
        <w:t>by</w:t>
      </w:r>
      <w:r>
        <w:rPr>
          <w:rFonts w:asciiTheme="majorBidi" w:hAnsiTheme="majorBidi" w:cstheme="majorBidi"/>
          <w:sz w:val="24"/>
          <w:szCs w:val="24"/>
        </w:rPr>
        <w:t xml:space="preserve"> the </w:t>
      </w:r>
      <w:r w:rsidR="00E57F86">
        <w:rPr>
          <w:rFonts w:asciiTheme="majorBidi" w:hAnsiTheme="majorBidi" w:cstheme="majorBidi"/>
          <w:sz w:val="24"/>
          <w:szCs w:val="24"/>
        </w:rPr>
        <w:t xml:space="preserve">natural barriers such as </w:t>
      </w:r>
      <w:r>
        <w:rPr>
          <w:rFonts w:asciiTheme="majorBidi" w:hAnsiTheme="majorBidi" w:cstheme="majorBidi"/>
          <w:sz w:val="24"/>
          <w:szCs w:val="24"/>
        </w:rPr>
        <w:t>mountains and rivers. These principalities, be the</w:t>
      </w:r>
      <w:r w:rsidR="000A0B25">
        <w:rPr>
          <w:rFonts w:asciiTheme="majorBidi" w:hAnsiTheme="majorBidi" w:cstheme="majorBidi"/>
          <w:sz w:val="24"/>
          <w:szCs w:val="24"/>
        </w:rPr>
        <w:t>y</w:t>
      </w:r>
      <w:r>
        <w:rPr>
          <w:rFonts w:asciiTheme="majorBidi" w:hAnsiTheme="majorBidi" w:cstheme="majorBidi"/>
          <w:sz w:val="24"/>
          <w:szCs w:val="24"/>
        </w:rPr>
        <w:t xml:space="preserve"> Iranians or Hephthalites, were all dependent on the Turks.</w:t>
      </w:r>
      <w:r>
        <w:rPr>
          <w:rStyle w:val="FootnoteReference"/>
          <w:rFonts w:asciiTheme="majorBidi" w:hAnsiTheme="majorBidi" w:cstheme="majorBidi"/>
          <w:sz w:val="24"/>
          <w:szCs w:val="24"/>
        </w:rPr>
        <w:footnoteReference w:id="110"/>
      </w:r>
      <w:r>
        <w:rPr>
          <w:rFonts w:asciiTheme="majorBidi" w:hAnsiTheme="majorBidi" w:cstheme="majorBidi"/>
          <w:sz w:val="24"/>
          <w:szCs w:val="24"/>
        </w:rPr>
        <w:t xml:space="preserve"> </w:t>
      </w:r>
      <w:r w:rsidR="000A0B25">
        <w:rPr>
          <w:rFonts w:asciiTheme="majorBidi" w:hAnsiTheme="majorBidi" w:cstheme="majorBidi"/>
          <w:sz w:val="24"/>
          <w:szCs w:val="24"/>
        </w:rPr>
        <w:t>Thus, t</w:t>
      </w:r>
      <w:r w:rsidR="00EB077A">
        <w:rPr>
          <w:rFonts w:asciiTheme="majorBidi" w:hAnsiTheme="majorBidi" w:cstheme="majorBidi"/>
          <w:sz w:val="24"/>
          <w:szCs w:val="24"/>
        </w:rPr>
        <w:t xml:space="preserve">he analyses of the political situation will be </w:t>
      </w:r>
      <w:r>
        <w:rPr>
          <w:rFonts w:asciiTheme="majorBidi" w:hAnsiTheme="majorBidi"/>
          <w:sz w:val="24"/>
          <w:szCs w:val="24"/>
        </w:rPr>
        <w:t xml:space="preserve">from </w:t>
      </w:r>
      <w:r>
        <w:rPr>
          <w:rFonts w:asciiTheme="majorBidi" w:hAnsiTheme="majorBidi"/>
          <w:sz w:val="24"/>
          <w:szCs w:val="24"/>
        </w:rPr>
        <w:lastRenderedPageBreak/>
        <w:t>both the side of the local powers, especially the Yabgh</w:t>
      </w:r>
      <w:r w:rsidRPr="00802619">
        <w:rPr>
          <w:rFonts w:asciiTheme="majorBidi" w:hAnsiTheme="majorBidi"/>
          <w:sz w:val="24"/>
          <w:szCs w:val="24"/>
        </w:rPr>
        <w:t>ū</w:t>
      </w:r>
      <w:r>
        <w:rPr>
          <w:rFonts w:asciiTheme="majorBidi" w:hAnsiTheme="majorBidi"/>
          <w:sz w:val="24"/>
          <w:szCs w:val="24"/>
        </w:rPr>
        <w:t xml:space="preserve"> dynasty and the Hephthalite N</w:t>
      </w:r>
      <w:r w:rsidRPr="00802619">
        <w:rPr>
          <w:rFonts w:asciiTheme="majorBidi" w:hAnsiTheme="majorBidi"/>
          <w:sz w:val="24"/>
          <w:szCs w:val="24"/>
        </w:rPr>
        <w:t>ī</w:t>
      </w:r>
      <w:r>
        <w:rPr>
          <w:rFonts w:asciiTheme="majorBidi" w:hAnsiTheme="majorBidi"/>
          <w:sz w:val="24"/>
          <w:szCs w:val="24"/>
        </w:rPr>
        <w:t xml:space="preserve">zak dynasty, and </w:t>
      </w:r>
      <w:r w:rsidR="000A0B25">
        <w:rPr>
          <w:rFonts w:asciiTheme="majorBidi" w:hAnsiTheme="majorBidi"/>
          <w:sz w:val="24"/>
          <w:szCs w:val="24"/>
        </w:rPr>
        <w:t xml:space="preserve">from </w:t>
      </w:r>
      <w:r>
        <w:rPr>
          <w:rFonts w:asciiTheme="majorBidi" w:hAnsiTheme="majorBidi"/>
          <w:sz w:val="24"/>
          <w:szCs w:val="24"/>
        </w:rPr>
        <w:t>the side of the Arabs</w:t>
      </w:r>
      <w:r w:rsidR="00EB077A">
        <w:rPr>
          <w:rFonts w:asciiTheme="majorBidi" w:hAnsiTheme="majorBidi" w:cstheme="majorBidi"/>
          <w:sz w:val="24"/>
          <w:szCs w:val="24"/>
        </w:rPr>
        <w:t>.</w:t>
      </w:r>
    </w:p>
    <w:p w14:paraId="59EA5835" w14:textId="77777777" w:rsidR="00A8503B" w:rsidRPr="00A8503B" w:rsidRDefault="00A8503B" w:rsidP="00A8503B">
      <w:pPr>
        <w:pStyle w:val="Heading3"/>
        <w:spacing w:line="360" w:lineRule="auto"/>
        <w:rPr>
          <w:rFonts w:asciiTheme="majorBidi" w:hAnsiTheme="majorBidi"/>
          <w:b/>
          <w:bCs/>
          <w:color w:val="auto"/>
        </w:rPr>
      </w:pPr>
      <w:bookmarkStart w:id="7" w:name="_Toc91623873"/>
      <w:r w:rsidRPr="00A8503B">
        <w:rPr>
          <w:rFonts w:asciiTheme="majorBidi" w:hAnsiTheme="majorBidi"/>
          <w:b/>
          <w:bCs/>
          <w:color w:val="auto"/>
        </w:rPr>
        <w:t>2.1 The Yabghū dynasty</w:t>
      </w:r>
      <w:bookmarkEnd w:id="7"/>
    </w:p>
    <w:p w14:paraId="04F46CA3" w14:textId="458E888E" w:rsidR="006015CD" w:rsidRPr="0008004F" w:rsidRDefault="000B12F6" w:rsidP="00973672">
      <w:pPr>
        <w:spacing w:line="360" w:lineRule="auto"/>
        <w:rPr>
          <w:rFonts w:asciiTheme="majorBidi" w:hAnsiTheme="majorBidi" w:cstheme="majorBidi"/>
          <w:sz w:val="24"/>
          <w:szCs w:val="24"/>
        </w:rPr>
      </w:pPr>
      <w:r>
        <w:rPr>
          <w:rFonts w:asciiTheme="majorBidi" w:hAnsiTheme="majorBidi" w:cstheme="majorBidi"/>
          <w:sz w:val="24"/>
          <w:szCs w:val="24"/>
        </w:rPr>
        <w:t>Our knowledge of the dynasty is quite limited. Even a complete list of the rulers cannot be given.</w:t>
      </w:r>
      <w:r>
        <w:rPr>
          <w:rStyle w:val="FootnoteReference"/>
          <w:rFonts w:asciiTheme="majorBidi" w:hAnsiTheme="majorBidi" w:cstheme="majorBidi"/>
          <w:sz w:val="24"/>
          <w:szCs w:val="24"/>
        </w:rPr>
        <w:footnoteReference w:id="111"/>
      </w:r>
      <w:r>
        <w:rPr>
          <w:rFonts w:asciiTheme="majorBidi" w:hAnsiTheme="majorBidi" w:cstheme="majorBidi"/>
          <w:sz w:val="24"/>
          <w:szCs w:val="24"/>
        </w:rPr>
        <w:t xml:space="preserve"> </w:t>
      </w:r>
      <w:r w:rsidR="00017AE5" w:rsidRPr="00F253F3">
        <w:rPr>
          <w:rFonts w:asciiTheme="majorBidi" w:hAnsiTheme="majorBidi" w:cstheme="majorBidi"/>
          <w:sz w:val="24"/>
          <w:szCs w:val="24"/>
        </w:rPr>
        <w:t xml:space="preserve">In their studies of the Arab conquests </w:t>
      </w:r>
      <w:r w:rsidR="00F253F3">
        <w:rPr>
          <w:rFonts w:asciiTheme="majorBidi" w:hAnsiTheme="majorBidi" w:cstheme="majorBidi"/>
          <w:sz w:val="24"/>
          <w:szCs w:val="24"/>
        </w:rPr>
        <w:t xml:space="preserve">of </w:t>
      </w:r>
      <w:r w:rsidR="00017AE5" w:rsidRPr="00F253F3">
        <w:rPr>
          <w:rFonts w:asciiTheme="majorBidi" w:hAnsiTheme="majorBidi" w:cstheme="majorBidi"/>
          <w:sz w:val="24"/>
          <w:szCs w:val="24"/>
        </w:rPr>
        <w:t>Ṭukhāristān, scholars such as Gibb, Barthold and Shaban have touched the local polities.</w:t>
      </w:r>
      <w:r w:rsidR="00017AE5" w:rsidRPr="00F253F3">
        <w:rPr>
          <w:rStyle w:val="FootnoteReference"/>
          <w:rFonts w:asciiTheme="majorBidi" w:hAnsiTheme="majorBidi" w:cstheme="majorBidi"/>
          <w:sz w:val="24"/>
          <w:szCs w:val="24"/>
        </w:rPr>
        <w:footnoteReference w:id="112"/>
      </w:r>
      <w:r w:rsidR="00017AE5" w:rsidRPr="00F253F3">
        <w:rPr>
          <w:rFonts w:asciiTheme="majorBidi" w:hAnsiTheme="majorBidi" w:cstheme="majorBidi"/>
          <w:sz w:val="24"/>
          <w:szCs w:val="24"/>
        </w:rPr>
        <w:t xml:space="preserve"> However, the focus is their interaction with the Arabs.</w:t>
      </w:r>
      <w:r w:rsidR="00F253F3">
        <w:rPr>
          <w:rFonts w:asciiTheme="majorBidi" w:hAnsiTheme="majorBidi" w:cstheme="majorBidi"/>
          <w:sz w:val="24"/>
          <w:szCs w:val="24"/>
        </w:rPr>
        <w:t xml:space="preserve"> As for the Chinese sources, the interest is largely limited to the diplomatic relations with the Tang court.</w:t>
      </w:r>
      <w:r w:rsidR="00973672" w:rsidRPr="00973672">
        <w:rPr>
          <w:rFonts w:asciiTheme="majorBidi" w:hAnsiTheme="majorBidi" w:cstheme="majorBidi"/>
          <w:sz w:val="24"/>
          <w:szCs w:val="24"/>
        </w:rPr>
        <w:t xml:space="preserve"> </w:t>
      </w:r>
      <w:r w:rsidR="00973672">
        <w:rPr>
          <w:rFonts w:asciiTheme="majorBidi" w:hAnsiTheme="majorBidi" w:cstheme="majorBidi"/>
          <w:sz w:val="24"/>
          <w:szCs w:val="24"/>
        </w:rPr>
        <w:t>In other words, t</w:t>
      </w:r>
      <w:r w:rsidR="00973672" w:rsidRPr="00F253F3">
        <w:rPr>
          <w:rFonts w:asciiTheme="majorBidi" w:hAnsiTheme="majorBidi" w:cstheme="majorBidi"/>
          <w:sz w:val="24"/>
          <w:szCs w:val="24"/>
        </w:rPr>
        <w:t>he internal politics of the Yabghū dynasty, mainly its relations with the vassals, is barely studied</w:t>
      </w:r>
      <w:r w:rsidR="00973672">
        <w:rPr>
          <w:rFonts w:asciiTheme="majorBidi" w:hAnsiTheme="majorBidi" w:cstheme="majorBidi"/>
          <w:sz w:val="24"/>
          <w:szCs w:val="24"/>
        </w:rPr>
        <w:t>.</w:t>
      </w:r>
    </w:p>
    <w:p w14:paraId="4D69FC31" w14:textId="0579E185" w:rsidR="00105402" w:rsidRDefault="006015CD" w:rsidP="00973672">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0B12F6">
        <w:rPr>
          <w:rFonts w:asciiTheme="majorBidi" w:hAnsiTheme="majorBidi" w:cstheme="majorBidi"/>
          <w:sz w:val="24"/>
          <w:szCs w:val="24"/>
        </w:rPr>
        <w:t>The contemporary Bactrian documents shed light on the taxation relations between the suzerain and its vassals</w:t>
      </w:r>
      <w:r w:rsidR="001E56BB">
        <w:rPr>
          <w:rFonts w:asciiTheme="majorBidi" w:hAnsiTheme="majorBidi" w:cstheme="majorBidi"/>
          <w:sz w:val="24"/>
          <w:szCs w:val="24"/>
        </w:rPr>
        <w:t>.</w:t>
      </w:r>
      <w:r w:rsidR="0011485A">
        <w:rPr>
          <w:rFonts w:asciiTheme="majorBidi" w:hAnsiTheme="majorBidi" w:cstheme="majorBidi"/>
          <w:sz w:val="24"/>
          <w:szCs w:val="24"/>
        </w:rPr>
        <w:t xml:space="preserve"> </w:t>
      </w:r>
      <w:r w:rsidR="001E56BB">
        <w:rPr>
          <w:rFonts w:asciiTheme="majorBidi" w:hAnsiTheme="majorBidi" w:cstheme="majorBidi"/>
          <w:sz w:val="24"/>
          <w:szCs w:val="24"/>
        </w:rPr>
        <w:t>Although the documents of taxation delivery are from the Hephthalite period,</w:t>
      </w:r>
      <w:r w:rsidR="001E56BB">
        <w:rPr>
          <w:rStyle w:val="FootnoteReference"/>
          <w:rFonts w:asciiTheme="majorBidi" w:hAnsiTheme="majorBidi" w:cstheme="majorBidi"/>
          <w:sz w:val="24"/>
          <w:szCs w:val="24"/>
        </w:rPr>
        <w:footnoteReference w:id="113"/>
      </w:r>
      <w:r w:rsidR="001E56BB">
        <w:rPr>
          <w:rFonts w:asciiTheme="majorBidi" w:hAnsiTheme="majorBidi" w:cstheme="majorBidi"/>
          <w:sz w:val="24"/>
          <w:szCs w:val="24"/>
        </w:rPr>
        <w:t xml:space="preserve"> </w:t>
      </w:r>
      <w:r w:rsidR="0011485A">
        <w:rPr>
          <w:rFonts w:asciiTheme="majorBidi" w:hAnsiTheme="majorBidi" w:cstheme="majorBidi"/>
          <w:sz w:val="24"/>
          <w:szCs w:val="24"/>
        </w:rPr>
        <w:t>it stands to reason</w:t>
      </w:r>
      <w:r w:rsidR="003A26CF">
        <w:rPr>
          <w:rFonts w:asciiTheme="majorBidi" w:hAnsiTheme="majorBidi" w:cstheme="majorBidi"/>
          <w:sz w:val="24"/>
          <w:szCs w:val="24"/>
        </w:rPr>
        <w:t xml:space="preserve"> that the Yabghū </w:t>
      </w:r>
      <w:r w:rsidR="00032908">
        <w:rPr>
          <w:rFonts w:asciiTheme="majorBidi" w:hAnsiTheme="majorBidi" w:cstheme="majorBidi" w:hint="eastAsia"/>
          <w:sz w:val="24"/>
          <w:szCs w:val="24"/>
        </w:rPr>
        <w:t>dynasty</w:t>
      </w:r>
      <w:r w:rsidR="00032908">
        <w:rPr>
          <w:rFonts w:asciiTheme="majorBidi" w:hAnsiTheme="majorBidi" w:cstheme="majorBidi"/>
          <w:sz w:val="24"/>
          <w:szCs w:val="24"/>
        </w:rPr>
        <w:t xml:space="preserve"> </w:t>
      </w:r>
      <w:r w:rsidR="003A26CF">
        <w:rPr>
          <w:rFonts w:asciiTheme="majorBidi" w:hAnsiTheme="majorBidi" w:cstheme="majorBidi"/>
          <w:sz w:val="24"/>
          <w:szCs w:val="24"/>
        </w:rPr>
        <w:t xml:space="preserve">followed the </w:t>
      </w:r>
      <w:r w:rsidR="001E56BB">
        <w:rPr>
          <w:rFonts w:asciiTheme="majorBidi" w:hAnsiTheme="majorBidi" w:cstheme="majorBidi"/>
          <w:sz w:val="24"/>
          <w:szCs w:val="24"/>
        </w:rPr>
        <w:t xml:space="preserve">Hephthalite </w:t>
      </w:r>
      <w:r w:rsidR="003A26CF">
        <w:rPr>
          <w:rFonts w:asciiTheme="majorBidi" w:hAnsiTheme="majorBidi" w:cstheme="majorBidi"/>
          <w:sz w:val="24"/>
          <w:szCs w:val="24"/>
        </w:rPr>
        <w:t>tradition and appointed representatives among the vassals to collect the annual taxation from the local principalities ruling the cities, villages and agricultural hinterlands. And the taxation could be grains, animals or money</w:t>
      </w:r>
      <w:r w:rsidR="00017808">
        <w:rPr>
          <w:rFonts w:asciiTheme="majorBidi" w:hAnsiTheme="majorBidi" w:cstheme="majorBidi"/>
          <w:sz w:val="24"/>
          <w:szCs w:val="24"/>
        </w:rPr>
        <w:t>.</w:t>
      </w:r>
      <w:r w:rsidR="001E56BB">
        <w:rPr>
          <w:rStyle w:val="FootnoteReference"/>
          <w:rFonts w:asciiTheme="majorBidi" w:hAnsiTheme="majorBidi" w:cstheme="majorBidi"/>
          <w:sz w:val="24"/>
          <w:szCs w:val="24"/>
        </w:rPr>
        <w:footnoteReference w:id="114"/>
      </w:r>
      <w:r w:rsidR="00973672">
        <w:rPr>
          <w:rFonts w:asciiTheme="majorBidi" w:hAnsiTheme="majorBidi" w:cstheme="majorBidi"/>
          <w:sz w:val="24"/>
          <w:szCs w:val="24"/>
        </w:rPr>
        <w:t xml:space="preserve"> Moreover, the vassals most probably </w:t>
      </w:r>
      <w:r w:rsidR="00DE75E0">
        <w:rPr>
          <w:rFonts w:asciiTheme="majorBidi" w:hAnsiTheme="majorBidi" w:cstheme="majorBidi"/>
          <w:sz w:val="24"/>
          <w:szCs w:val="24"/>
        </w:rPr>
        <w:t>were obliged to</w:t>
      </w:r>
      <w:r w:rsidR="00887522">
        <w:rPr>
          <w:rFonts w:asciiTheme="majorBidi" w:hAnsiTheme="majorBidi" w:cstheme="majorBidi"/>
          <w:sz w:val="24"/>
          <w:szCs w:val="24"/>
        </w:rPr>
        <w:t xml:space="preserve"> </w:t>
      </w:r>
      <w:r w:rsidR="00DE75E0">
        <w:rPr>
          <w:rFonts w:asciiTheme="majorBidi" w:hAnsiTheme="majorBidi" w:cstheme="majorBidi"/>
          <w:sz w:val="24"/>
          <w:szCs w:val="24"/>
        </w:rPr>
        <w:t>provide troops for the Yabghū in his military campaigns.</w:t>
      </w:r>
      <w:r w:rsidR="000D0984">
        <w:rPr>
          <w:rFonts w:asciiTheme="majorBidi" w:hAnsiTheme="majorBidi" w:cstheme="majorBidi"/>
          <w:sz w:val="24"/>
          <w:szCs w:val="24"/>
        </w:rPr>
        <w:t xml:space="preserve"> </w:t>
      </w:r>
      <w:r w:rsidR="0086336F">
        <w:rPr>
          <w:rFonts w:asciiTheme="majorBidi" w:hAnsiTheme="majorBidi" w:cstheme="majorBidi"/>
          <w:sz w:val="24"/>
          <w:szCs w:val="24"/>
        </w:rPr>
        <w:t xml:space="preserve">For the Yabghū dynasty, </w:t>
      </w:r>
      <w:r w:rsidR="000D0984">
        <w:rPr>
          <w:rFonts w:asciiTheme="majorBidi" w:hAnsiTheme="majorBidi" w:cstheme="majorBidi"/>
          <w:sz w:val="24"/>
          <w:szCs w:val="24"/>
        </w:rPr>
        <w:t xml:space="preserve">the fiscal and military obligations of the principalities are </w:t>
      </w:r>
      <w:r w:rsidR="00C041D9">
        <w:rPr>
          <w:rFonts w:asciiTheme="majorBidi" w:hAnsiTheme="majorBidi" w:cstheme="majorBidi"/>
          <w:sz w:val="24"/>
          <w:szCs w:val="24"/>
        </w:rPr>
        <w:t xml:space="preserve">of critical importance, </w:t>
      </w:r>
      <w:r w:rsidR="002F60CF">
        <w:rPr>
          <w:rFonts w:asciiTheme="majorBidi" w:hAnsiTheme="majorBidi" w:cstheme="majorBidi"/>
          <w:sz w:val="24"/>
          <w:szCs w:val="24"/>
        </w:rPr>
        <w:t>and</w:t>
      </w:r>
      <w:r w:rsidR="0086336F">
        <w:rPr>
          <w:rFonts w:asciiTheme="majorBidi" w:hAnsiTheme="majorBidi" w:cstheme="majorBidi"/>
          <w:sz w:val="24"/>
          <w:szCs w:val="24"/>
        </w:rPr>
        <w:t xml:space="preserve"> the</w:t>
      </w:r>
      <w:r w:rsidR="00C041D9">
        <w:rPr>
          <w:rFonts w:asciiTheme="majorBidi" w:hAnsiTheme="majorBidi" w:cstheme="majorBidi"/>
          <w:sz w:val="24"/>
          <w:szCs w:val="24"/>
        </w:rPr>
        <w:t xml:space="preserve"> military power and financial income </w:t>
      </w:r>
      <w:r w:rsidR="0086336F">
        <w:rPr>
          <w:rFonts w:asciiTheme="majorBidi" w:hAnsiTheme="majorBidi" w:cstheme="majorBidi"/>
          <w:sz w:val="24"/>
          <w:szCs w:val="24"/>
        </w:rPr>
        <w:t xml:space="preserve">of the dynasty </w:t>
      </w:r>
      <w:r w:rsidR="00C041D9">
        <w:rPr>
          <w:rFonts w:asciiTheme="majorBidi" w:hAnsiTheme="majorBidi" w:cstheme="majorBidi"/>
          <w:sz w:val="24"/>
          <w:szCs w:val="24"/>
        </w:rPr>
        <w:t>rel</w:t>
      </w:r>
      <w:r w:rsidR="0086336F">
        <w:rPr>
          <w:rFonts w:asciiTheme="majorBidi" w:hAnsiTheme="majorBidi" w:cstheme="majorBidi"/>
          <w:sz w:val="24"/>
          <w:szCs w:val="24"/>
        </w:rPr>
        <w:t>y</w:t>
      </w:r>
      <w:r w:rsidR="00C041D9">
        <w:rPr>
          <w:rFonts w:asciiTheme="majorBidi" w:hAnsiTheme="majorBidi" w:cstheme="majorBidi"/>
          <w:sz w:val="24"/>
          <w:szCs w:val="24"/>
        </w:rPr>
        <w:t xml:space="preserve"> heavily</w:t>
      </w:r>
      <w:r w:rsidR="0086336F">
        <w:rPr>
          <w:rFonts w:asciiTheme="majorBidi" w:hAnsiTheme="majorBidi" w:cstheme="majorBidi"/>
          <w:sz w:val="24"/>
          <w:szCs w:val="24"/>
        </w:rPr>
        <w:t xml:space="preserve"> upon</w:t>
      </w:r>
      <w:r w:rsidR="002F60CF">
        <w:rPr>
          <w:rFonts w:asciiTheme="majorBidi" w:hAnsiTheme="majorBidi" w:cstheme="majorBidi"/>
          <w:sz w:val="24"/>
          <w:szCs w:val="24"/>
        </w:rPr>
        <w:t xml:space="preserve"> them</w:t>
      </w:r>
      <w:r w:rsidR="00C041D9">
        <w:rPr>
          <w:rFonts w:asciiTheme="majorBidi" w:hAnsiTheme="majorBidi" w:cstheme="majorBidi"/>
          <w:sz w:val="24"/>
          <w:szCs w:val="24"/>
        </w:rPr>
        <w:t>.</w:t>
      </w:r>
    </w:p>
    <w:p w14:paraId="7018598A" w14:textId="385E42A9" w:rsidR="00FB6CB3" w:rsidRDefault="00105402" w:rsidP="00D4144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4B37AF">
        <w:rPr>
          <w:rFonts w:asciiTheme="majorBidi" w:hAnsiTheme="majorBidi" w:cstheme="majorBidi"/>
          <w:sz w:val="24"/>
          <w:szCs w:val="24"/>
        </w:rPr>
        <w:t>The case of Tirmidh</w:t>
      </w:r>
      <w:r w:rsidR="002A627E" w:rsidRPr="000058F3">
        <w:rPr>
          <w:rFonts w:asciiTheme="majorBidi" w:hAnsiTheme="majorBidi" w:cstheme="majorBidi"/>
          <w:sz w:val="24"/>
          <w:szCs w:val="24"/>
        </w:rPr>
        <w:t xml:space="preserve">, </w:t>
      </w:r>
      <w:r w:rsidR="00D64323">
        <w:rPr>
          <w:rFonts w:asciiTheme="majorBidi" w:hAnsiTheme="majorBidi" w:cstheme="majorBidi"/>
          <w:sz w:val="24"/>
          <w:szCs w:val="24"/>
        </w:rPr>
        <w:t>probably a mint city</w:t>
      </w:r>
      <w:r w:rsidR="002A627E" w:rsidRPr="000058F3">
        <w:rPr>
          <w:rFonts w:asciiTheme="majorBidi" w:hAnsiTheme="majorBidi" w:cstheme="majorBidi"/>
          <w:sz w:val="24"/>
          <w:szCs w:val="24"/>
        </w:rPr>
        <w:t xml:space="preserve"> in </w:t>
      </w:r>
      <w:r w:rsidR="00701604" w:rsidRPr="000058F3">
        <w:rPr>
          <w:rFonts w:asciiTheme="majorBidi" w:hAnsiTheme="majorBidi" w:cstheme="majorBidi"/>
          <w:sz w:val="24"/>
          <w:szCs w:val="24"/>
        </w:rPr>
        <w:t>Ṭukhāristān</w:t>
      </w:r>
      <w:r w:rsidR="002A627E" w:rsidRPr="000058F3">
        <w:rPr>
          <w:rFonts w:asciiTheme="majorBidi" w:hAnsiTheme="majorBidi" w:cstheme="majorBidi"/>
          <w:sz w:val="24"/>
          <w:szCs w:val="24"/>
        </w:rPr>
        <w:t>,</w:t>
      </w:r>
      <w:r w:rsidR="002A627E" w:rsidRPr="000058F3">
        <w:rPr>
          <w:rStyle w:val="FootnoteReference"/>
          <w:rFonts w:asciiTheme="majorBidi" w:hAnsiTheme="majorBidi" w:cstheme="majorBidi"/>
          <w:sz w:val="24"/>
          <w:szCs w:val="24"/>
        </w:rPr>
        <w:footnoteReference w:id="115"/>
      </w:r>
      <w:r w:rsidR="002A627E" w:rsidRPr="000058F3">
        <w:rPr>
          <w:rFonts w:asciiTheme="majorBidi" w:hAnsiTheme="majorBidi" w:cstheme="majorBidi"/>
          <w:sz w:val="24"/>
          <w:szCs w:val="24"/>
        </w:rPr>
        <w:t xml:space="preserve"> </w:t>
      </w:r>
      <w:r w:rsidR="001E56BB">
        <w:rPr>
          <w:rFonts w:asciiTheme="majorBidi" w:hAnsiTheme="majorBidi" w:cstheme="majorBidi"/>
          <w:sz w:val="24"/>
          <w:szCs w:val="24"/>
        </w:rPr>
        <w:t>exemplifies</w:t>
      </w:r>
      <w:r w:rsidR="00FB6CB3" w:rsidRPr="000058F3">
        <w:rPr>
          <w:rFonts w:asciiTheme="majorBidi" w:hAnsiTheme="majorBidi" w:cstheme="majorBidi"/>
          <w:sz w:val="24"/>
          <w:szCs w:val="24"/>
        </w:rPr>
        <w:t xml:space="preserve"> the</w:t>
      </w:r>
      <w:r w:rsidR="004B37AF">
        <w:rPr>
          <w:rFonts w:asciiTheme="majorBidi" w:hAnsiTheme="majorBidi" w:cstheme="majorBidi"/>
          <w:sz w:val="24"/>
          <w:szCs w:val="24"/>
        </w:rPr>
        <w:t xml:space="preserve"> </w:t>
      </w:r>
      <w:r w:rsidR="004B37AF">
        <w:rPr>
          <w:rFonts w:asciiTheme="majorBidi" w:hAnsiTheme="majorBidi" w:cstheme="majorBidi"/>
          <w:sz w:val="24"/>
          <w:szCs w:val="24"/>
        </w:rPr>
        <w:lastRenderedPageBreak/>
        <w:t xml:space="preserve">relations between </w:t>
      </w:r>
      <w:r w:rsidR="00D4302D">
        <w:rPr>
          <w:rFonts w:asciiTheme="majorBidi" w:hAnsiTheme="majorBidi" w:cstheme="majorBidi"/>
          <w:sz w:val="24"/>
          <w:szCs w:val="24"/>
        </w:rPr>
        <w:t xml:space="preserve">a vassal </w:t>
      </w:r>
      <w:r w:rsidR="004B37AF">
        <w:rPr>
          <w:rFonts w:asciiTheme="majorBidi" w:hAnsiTheme="majorBidi" w:cstheme="majorBidi"/>
          <w:sz w:val="24"/>
          <w:szCs w:val="24"/>
        </w:rPr>
        <w:t xml:space="preserve">principality and </w:t>
      </w:r>
      <w:r w:rsidR="00D4302D">
        <w:rPr>
          <w:rFonts w:asciiTheme="majorBidi" w:hAnsiTheme="majorBidi" w:cstheme="majorBidi"/>
          <w:sz w:val="24"/>
          <w:szCs w:val="24"/>
        </w:rPr>
        <w:t>its suzerain</w:t>
      </w:r>
      <w:r w:rsidR="00680C62">
        <w:rPr>
          <w:rFonts w:asciiTheme="majorBidi" w:hAnsiTheme="majorBidi" w:cstheme="majorBidi"/>
          <w:sz w:val="24"/>
          <w:szCs w:val="24"/>
        </w:rPr>
        <w:t>, although no source</w:t>
      </w:r>
      <w:r w:rsidR="000663D5">
        <w:rPr>
          <w:rFonts w:asciiTheme="majorBidi" w:hAnsiTheme="majorBidi" w:cstheme="majorBidi"/>
          <w:sz w:val="24"/>
          <w:szCs w:val="24"/>
        </w:rPr>
        <w:t>s</w:t>
      </w:r>
      <w:r w:rsidR="00680C62">
        <w:rPr>
          <w:rFonts w:asciiTheme="majorBidi" w:hAnsiTheme="majorBidi" w:cstheme="majorBidi"/>
          <w:sz w:val="24"/>
          <w:szCs w:val="24"/>
        </w:rPr>
        <w:t xml:space="preserve"> show that it was necessarily a vassal of the Yabghū dynasty</w:t>
      </w:r>
      <w:r w:rsidR="00FB6CB3" w:rsidRPr="000058F3">
        <w:rPr>
          <w:rFonts w:asciiTheme="majorBidi" w:hAnsiTheme="majorBidi" w:cstheme="majorBidi"/>
          <w:sz w:val="24"/>
          <w:szCs w:val="24"/>
        </w:rPr>
        <w:t>.</w:t>
      </w:r>
      <w:r w:rsidR="00D4302D">
        <w:rPr>
          <w:rStyle w:val="FootnoteReference"/>
          <w:rFonts w:asciiTheme="majorBidi" w:hAnsiTheme="majorBidi" w:cstheme="majorBidi"/>
          <w:sz w:val="24"/>
          <w:szCs w:val="24"/>
        </w:rPr>
        <w:footnoteReference w:id="116"/>
      </w:r>
      <w:r w:rsidR="00FB6CB3" w:rsidRPr="000058F3">
        <w:rPr>
          <w:rFonts w:asciiTheme="majorBidi" w:hAnsiTheme="majorBidi" w:cstheme="majorBidi"/>
          <w:sz w:val="24"/>
          <w:szCs w:val="24"/>
        </w:rPr>
        <w:t xml:space="preserve"> </w:t>
      </w:r>
      <w:r w:rsidR="00D4144C">
        <w:rPr>
          <w:rFonts w:asciiTheme="majorBidi" w:hAnsiTheme="majorBidi" w:cstheme="majorBidi"/>
          <w:sz w:val="24"/>
          <w:szCs w:val="24"/>
        </w:rPr>
        <w:t>According to al-</w:t>
      </w:r>
      <w:r w:rsidR="00D4144C" w:rsidRPr="001929BC">
        <w:rPr>
          <w:rFonts w:asciiTheme="majorBidi" w:hAnsiTheme="majorBidi" w:cstheme="majorBidi"/>
          <w:sz w:val="24"/>
          <w:szCs w:val="24"/>
        </w:rPr>
        <w:t>Ṭabarī</w:t>
      </w:r>
      <w:r w:rsidR="00D4144C">
        <w:rPr>
          <w:rFonts w:asciiTheme="majorBidi" w:hAnsiTheme="majorBidi" w:cstheme="majorBidi"/>
          <w:sz w:val="24"/>
          <w:szCs w:val="24"/>
        </w:rPr>
        <w:t xml:space="preserve">, the king of Tirmidh Tirmidhshāh went to the Turks for help, when </w:t>
      </w:r>
      <w:r w:rsidR="004B37AF">
        <w:rPr>
          <w:rFonts w:asciiTheme="majorBidi" w:hAnsiTheme="majorBidi" w:cstheme="majorBidi"/>
          <w:sz w:val="24"/>
          <w:szCs w:val="24"/>
        </w:rPr>
        <w:t xml:space="preserve">Mūsā b. ‘Abdallāh b. Khāzim al-Sulamī, a son of the Zubayrid governor of Khurasan ‘Abdallāh ibn al-Khāzim, </w:t>
      </w:r>
      <w:r w:rsidR="00D4144C">
        <w:rPr>
          <w:rFonts w:asciiTheme="majorBidi" w:hAnsiTheme="majorBidi" w:cstheme="majorBidi"/>
          <w:sz w:val="24"/>
          <w:szCs w:val="24"/>
        </w:rPr>
        <w:t>expelled him from Tirmidh and seized it</w:t>
      </w:r>
      <w:r w:rsidR="00915822">
        <w:rPr>
          <w:rFonts w:asciiTheme="majorBidi" w:hAnsiTheme="majorBidi" w:cstheme="majorBidi"/>
          <w:sz w:val="24"/>
          <w:szCs w:val="24"/>
        </w:rPr>
        <w:t xml:space="preserve"> in 690 CE</w:t>
      </w:r>
      <w:r w:rsidR="00D4144C">
        <w:rPr>
          <w:rFonts w:asciiTheme="majorBidi" w:hAnsiTheme="majorBidi" w:cstheme="majorBidi"/>
          <w:sz w:val="24"/>
          <w:szCs w:val="24"/>
        </w:rPr>
        <w:t>.</w:t>
      </w:r>
      <w:r w:rsidR="00D4144C">
        <w:rPr>
          <w:rStyle w:val="FootnoteReference"/>
          <w:rFonts w:asciiTheme="majorBidi" w:hAnsiTheme="majorBidi" w:cstheme="majorBidi"/>
          <w:sz w:val="24"/>
          <w:szCs w:val="24"/>
        </w:rPr>
        <w:footnoteReference w:id="117"/>
      </w:r>
      <w:r w:rsidR="00D4144C">
        <w:rPr>
          <w:rFonts w:asciiTheme="majorBidi" w:hAnsiTheme="majorBidi" w:cstheme="majorBidi"/>
          <w:sz w:val="24"/>
          <w:szCs w:val="24"/>
        </w:rPr>
        <w:t xml:space="preserve"> </w:t>
      </w:r>
      <w:r w:rsidR="00680C62">
        <w:rPr>
          <w:rFonts w:asciiTheme="majorBidi" w:hAnsiTheme="majorBidi" w:cstheme="majorBidi"/>
          <w:sz w:val="24"/>
          <w:szCs w:val="24"/>
        </w:rPr>
        <w:t xml:space="preserve">If </w:t>
      </w:r>
      <w:r w:rsidR="00D4144C">
        <w:rPr>
          <w:rFonts w:asciiTheme="majorBidi" w:hAnsiTheme="majorBidi" w:cstheme="majorBidi"/>
          <w:sz w:val="24"/>
          <w:szCs w:val="24"/>
        </w:rPr>
        <w:t>the Yabghū</w:t>
      </w:r>
      <w:r w:rsidR="00680C62">
        <w:rPr>
          <w:rFonts w:asciiTheme="majorBidi" w:hAnsiTheme="majorBidi" w:cstheme="majorBidi"/>
          <w:sz w:val="24"/>
          <w:szCs w:val="24"/>
        </w:rPr>
        <w:t xml:space="preserve">, as a suzerain, </w:t>
      </w:r>
      <w:r w:rsidR="00D4144C">
        <w:rPr>
          <w:rFonts w:asciiTheme="majorBidi" w:hAnsiTheme="majorBidi" w:cstheme="majorBidi"/>
          <w:sz w:val="24"/>
          <w:szCs w:val="24"/>
        </w:rPr>
        <w:t xml:space="preserve">was </w:t>
      </w:r>
      <w:r w:rsidR="00915822">
        <w:rPr>
          <w:rFonts w:asciiTheme="majorBidi" w:hAnsiTheme="majorBidi" w:cstheme="majorBidi"/>
          <w:sz w:val="24"/>
          <w:szCs w:val="24"/>
        </w:rPr>
        <w:t>un</w:t>
      </w:r>
      <w:r w:rsidR="00D4144C">
        <w:rPr>
          <w:rFonts w:asciiTheme="majorBidi" w:hAnsiTheme="majorBidi" w:cstheme="majorBidi"/>
          <w:sz w:val="24"/>
          <w:szCs w:val="24"/>
        </w:rPr>
        <w:t xml:space="preserve">able to protect his vassal from the foreign invaders, </w:t>
      </w:r>
      <w:r w:rsidR="00680C62">
        <w:rPr>
          <w:rFonts w:asciiTheme="majorBidi" w:hAnsiTheme="majorBidi" w:cstheme="majorBidi"/>
          <w:sz w:val="24"/>
          <w:szCs w:val="24"/>
        </w:rPr>
        <w:t>he</w:t>
      </w:r>
      <w:r w:rsidR="00D4144C">
        <w:rPr>
          <w:rFonts w:asciiTheme="majorBidi" w:hAnsiTheme="majorBidi" w:cstheme="majorBidi"/>
          <w:sz w:val="24"/>
          <w:szCs w:val="24"/>
        </w:rPr>
        <w:t xml:space="preserve"> suffered from losing a source of income</w:t>
      </w:r>
      <w:r w:rsidR="004B37AF">
        <w:rPr>
          <w:rFonts w:asciiTheme="majorBidi" w:hAnsiTheme="majorBidi" w:cstheme="majorBidi"/>
          <w:sz w:val="24"/>
          <w:szCs w:val="24"/>
        </w:rPr>
        <w:t>.</w:t>
      </w:r>
    </w:p>
    <w:p w14:paraId="4C7513ED" w14:textId="57597CE4" w:rsidR="00B608FC" w:rsidRDefault="00887522" w:rsidP="004C1C06">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B608FC">
        <w:rPr>
          <w:rFonts w:asciiTheme="majorBidi" w:hAnsiTheme="majorBidi" w:cstheme="majorBidi"/>
          <w:sz w:val="24"/>
          <w:szCs w:val="24"/>
        </w:rPr>
        <w:t>The case of Tirmidh also shows that</w:t>
      </w:r>
      <w:r w:rsidR="00680C62">
        <w:rPr>
          <w:rFonts w:asciiTheme="majorBidi" w:hAnsiTheme="majorBidi" w:cstheme="majorBidi"/>
          <w:sz w:val="24"/>
          <w:szCs w:val="24"/>
        </w:rPr>
        <w:t xml:space="preserve"> the </w:t>
      </w:r>
      <w:r w:rsidR="00F52E65">
        <w:rPr>
          <w:rFonts w:asciiTheme="majorBidi" w:hAnsiTheme="majorBidi" w:cstheme="majorBidi"/>
          <w:sz w:val="24"/>
          <w:szCs w:val="24"/>
        </w:rPr>
        <w:t>political influence</w:t>
      </w:r>
      <w:r w:rsidR="00680C62">
        <w:rPr>
          <w:rFonts w:asciiTheme="majorBidi" w:hAnsiTheme="majorBidi" w:cstheme="majorBidi"/>
          <w:sz w:val="24"/>
          <w:szCs w:val="24"/>
        </w:rPr>
        <w:t xml:space="preserve"> of the Yabghū</w:t>
      </w:r>
      <w:r w:rsidR="00F52E65">
        <w:rPr>
          <w:rFonts w:asciiTheme="majorBidi" w:hAnsiTheme="majorBidi" w:cstheme="majorBidi"/>
          <w:sz w:val="24"/>
          <w:szCs w:val="24"/>
        </w:rPr>
        <w:t xml:space="preserve"> dynasty</w:t>
      </w:r>
      <w:r w:rsidR="00B608FC">
        <w:rPr>
          <w:rFonts w:asciiTheme="majorBidi" w:hAnsiTheme="majorBidi" w:cstheme="majorBidi"/>
          <w:sz w:val="24"/>
          <w:szCs w:val="24"/>
        </w:rPr>
        <w:t xml:space="preserve"> </w:t>
      </w:r>
      <w:r w:rsidR="00F52E65">
        <w:rPr>
          <w:rFonts w:asciiTheme="majorBidi" w:hAnsiTheme="majorBidi" w:cstheme="majorBidi"/>
          <w:sz w:val="24"/>
          <w:szCs w:val="24"/>
        </w:rPr>
        <w:t xml:space="preserve">was shifting and </w:t>
      </w:r>
      <w:r w:rsidR="00B608FC">
        <w:rPr>
          <w:rFonts w:asciiTheme="majorBidi" w:hAnsiTheme="majorBidi" w:cstheme="majorBidi"/>
          <w:sz w:val="24"/>
          <w:szCs w:val="24"/>
        </w:rPr>
        <w:t xml:space="preserve">dynamic. </w:t>
      </w:r>
      <w:r w:rsidR="004C1C06">
        <w:rPr>
          <w:rFonts w:asciiTheme="majorBidi" w:hAnsiTheme="majorBidi" w:cstheme="majorBidi"/>
          <w:sz w:val="24"/>
          <w:szCs w:val="24"/>
        </w:rPr>
        <w:t xml:space="preserve">When the dynasty was powerful, it was able to </w:t>
      </w:r>
      <w:r w:rsidR="00F52E65">
        <w:rPr>
          <w:rFonts w:asciiTheme="majorBidi" w:hAnsiTheme="majorBidi" w:cstheme="majorBidi"/>
          <w:sz w:val="24"/>
          <w:szCs w:val="24"/>
        </w:rPr>
        <w:t>impose</w:t>
      </w:r>
      <w:r w:rsidR="004C1C06">
        <w:rPr>
          <w:rFonts w:asciiTheme="majorBidi" w:hAnsiTheme="majorBidi" w:cstheme="majorBidi"/>
          <w:sz w:val="24"/>
          <w:szCs w:val="24"/>
        </w:rPr>
        <w:t xml:space="preserve"> the </w:t>
      </w:r>
      <w:r w:rsidR="00F52E65">
        <w:rPr>
          <w:rFonts w:asciiTheme="majorBidi" w:hAnsiTheme="majorBidi" w:cstheme="majorBidi"/>
          <w:sz w:val="24"/>
          <w:szCs w:val="24"/>
        </w:rPr>
        <w:t xml:space="preserve">financial and military </w:t>
      </w:r>
      <w:r w:rsidR="004C1C06">
        <w:rPr>
          <w:rFonts w:asciiTheme="majorBidi" w:hAnsiTheme="majorBidi" w:cstheme="majorBidi"/>
          <w:sz w:val="24"/>
          <w:szCs w:val="24"/>
        </w:rPr>
        <w:t xml:space="preserve">obligations upon its vassals. </w:t>
      </w:r>
      <w:r w:rsidR="00F52E65">
        <w:rPr>
          <w:rFonts w:asciiTheme="majorBidi" w:hAnsiTheme="majorBidi" w:cstheme="majorBidi"/>
          <w:sz w:val="24"/>
          <w:szCs w:val="24"/>
        </w:rPr>
        <w:t xml:space="preserve">And its decline led to losing vassals to its competitors, who were not only the Arabs, but also the </w:t>
      </w:r>
      <w:r w:rsidR="00B608FC">
        <w:rPr>
          <w:rFonts w:asciiTheme="majorBidi" w:hAnsiTheme="majorBidi" w:cstheme="majorBidi"/>
          <w:sz w:val="24"/>
          <w:szCs w:val="24"/>
        </w:rPr>
        <w:t>Hephthalites</w:t>
      </w:r>
      <w:r w:rsidR="00BB44F1">
        <w:rPr>
          <w:rFonts w:asciiTheme="majorBidi" w:hAnsiTheme="majorBidi" w:cstheme="majorBidi"/>
          <w:sz w:val="24"/>
          <w:szCs w:val="24"/>
        </w:rPr>
        <w:t>.</w:t>
      </w:r>
    </w:p>
    <w:p w14:paraId="2DCA1E47" w14:textId="4FCB8A5E" w:rsidR="00887522" w:rsidRDefault="00877BC3" w:rsidP="00C11676">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696D5C">
        <w:rPr>
          <w:rFonts w:asciiTheme="majorBidi" w:hAnsiTheme="majorBidi" w:cstheme="majorBidi"/>
          <w:sz w:val="24"/>
          <w:szCs w:val="24"/>
        </w:rPr>
        <w:t xml:space="preserve">Actually, </w:t>
      </w:r>
      <w:r w:rsidR="00C11676">
        <w:rPr>
          <w:rFonts w:asciiTheme="majorBidi" w:hAnsiTheme="majorBidi" w:cstheme="majorBidi"/>
          <w:sz w:val="24"/>
          <w:szCs w:val="24"/>
        </w:rPr>
        <w:t xml:space="preserve">the Yabghū dynasty </w:t>
      </w:r>
      <w:r w:rsidR="00566670">
        <w:rPr>
          <w:rFonts w:asciiTheme="majorBidi" w:hAnsiTheme="majorBidi" w:cstheme="majorBidi"/>
          <w:sz w:val="24"/>
          <w:szCs w:val="24"/>
        </w:rPr>
        <w:t xml:space="preserve">not only continued with the </w:t>
      </w:r>
      <w:r w:rsidR="00F52E65">
        <w:rPr>
          <w:rFonts w:asciiTheme="majorBidi" w:hAnsiTheme="majorBidi" w:cstheme="majorBidi"/>
          <w:sz w:val="24"/>
          <w:szCs w:val="24"/>
        </w:rPr>
        <w:t xml:space="preserve">Hephthalite tradition of </w:t>
      </w:r>
      <w:r w:rsidR="00566670">
        <w:rPr>
          <w:rFonts w:asciiTheme="majorBidi" w:hAnsiTheme="majorBidi" w:cstheme="majorBidi"/>
          <w:sz w:val="24"/>
          <w:szCs w:val="24"/>
        </w:rPr>
        <w:t xml:space="preserve">taxation, but </w:t>
      </w:r>
      <w:r w:rsidR="00F52E65">
        <w:rPr>
          <w:rFonts w:asciiTheme="majorBidi" w:hAnsiTheme="majorBidi" w:cstheme="majorBidi"/>
          <w:sz w:val="24"/>
          <w:szCs w:val="24"/>
        </w:rPr>
        <w:t xml:space="preserve">also </w:t>
      </w:r>
      <w:r w:rsidR="00C11676">
        <w:rPr>
          <w:rFonts w:asciiTheme="majorBidi" w:hAnsiTheme="majorBidi" w:cstheme="majorBidi"/>
          <w:sz w:val="24"/>
          <w:szCs w:val="24"/>
        </w:rPr>
        <w:t xml:space="preserve">did not </w:t>
      </w:r>
      <w:r w:rsidR="00591B1A">
        <w:rPr>
          <w:rFonts w:asciiTheme="majorBidi" w:hAnsiTheme="majorBidi" w:cstheme="majorBidi"/>
          <w:sz w:val="24"/>
          <w:szCs w:val="24"/>
        </w:rPr>
        <w:t>cha</w:t>
      </w:r>
      <w:r w:rsidR="00566670">
        <w:rPr>
          <w:rFonts w:asciiTheme="majorBidi" w:hAnsiTheme="majorBidi" w:cstheme="majorBidi"/>
          <w:sz w:val="24"/>
          <w:szCs w:val="24"/>
        </w:rPr>
        <w:t>llenge t</w:t>
      </w:r>
      <w:r w:rsidR="00C11676">
        <w:rPr>
          <w:rFonts w:asciiTheme="majorBidi" w:hAnsiTheme="majorBidi" w:cstheme="majorBidi"/>
          <w:sz w:val="24"/>
          <w:szCs w:val="24"/>
        </w:rPr>
        <w:t xml:space="preserve">he religious status quo </w:t>
      </w:r>
      <w:r w:rsidR="00F52E65">
        <w:rPr>
          <w:rFonts w:asciiTheme="majorBidi" w:hAnsiTheme="majorBidi" w:cstheme="majorBidi"/>
          <w:sz w:val="24"/>
          <w:szCs w:val="24"/>
        </w:rPr>
        <w:t>of</w:t>
      </w:r>
      <w:r w:rsidR="00566670">
        <w:rPr>
          <w:rFonts w:asciiTheme="majorBidi" w:hAnsiTheme="majorBidi" w:cstheme="majorBidi"/>
          <w:sz w:val="24"/>
          <w:szCs w:val="24"/>
        </w:rPr>
        <w:t xml:space="preserve"> the region</w:t>
      </w:r>
      <w:r w:rsidR="00C11676">
        <w:rPr>
          <w:rFonts w:asciiTheme="majorBidi" w:hAnsiTheme="majorBidi" w:cstheme="majorBidi"/>
          <w:sz w:val="24"/>
          <w:szCs w:val="24"/>
        </w:rPr>
        <w:t xml:space="preserve">. </w:t>
      </w:r>
      <w:r w:rsidR="00887522">
        <w:rPr>
          <w:rFonts w:asciiTheme="majorBidi" w:hAnsiTheme="majorBidi" w:cstheme="majorBidi"/>
          <w:sz w:val="24"/>
          <w:szCs w:val="24"/>
        </w:rPr>
        <w:t xml:space="preserve">The </w:t>
      </w:r>
      <w:r w:rsidR="00836CA6">
        <w:rPr>
          <w:rFonts w:asciiTheme="majorBidi" w:hAnsiTheme="majorBidi" w:cstheme="majorBidi"/>
          <w:sz w:val="24"/>
          <w:szCs w:val="24"/>
        </w:rPr>
        <w:t xml:space="preserve">Turkic elite </w:t>
      </w:r>
      <w:r w:rsidR="00887522">
        <w:rPr>
          <w:rFonts w:asciiTheme="majorBidi" w:hAnsiTheme="majorBidi" w:cstheme="majorBidi"/>
          <w:sz w:val="24"/>
          <w:szCs w:val="24"/>
        </w:rPr>
        <w:t>probably remained adhering to Shamanism</w:t>
      </w:r>
      <w:r w:rsidR="00CF474B">
        <w:rPr>
          <w:rFonts w:asciiTheme="majorBidi" w:hAnsiTheme="majorBidi" w:cstheme="majorBidi"/>
          <w:sz w:val="24"/>
          <w:szCs w:val="24"/>
        </w:rPr>
        <w:t xml:space="preserve"> in the early stage</w:t>
      </w:r>
      <w:r w:rsidR="00887522">
        <w:rPr>
          <w:rFonts w:asciiTheme="majorBidi" w:hAnsiTheme="majorBidi" w:cstheme="majorBidi"/>
          <w:sz w:val="24"/>
          <w:szCs w:val="24"/>
        </w:rPr>
        <w:t>.</w:t>
      </w:r>
      <w:r w:rsidR="00887522">
        <w:rPr>
          <w:rStyle w:val="FootnoteReference"/>
          <w:rFonts w:asciiTheme="majorBidi" w:hAnsiTheme="majorBidi" w:cstheme="majorBidi"/>
          <w:sz w:val="24"/>
          <w:szCs w:val="24"/>
        </w:rPr>
        <w:footnoteReference w:id="118"/>
      </w:r>
      <w:r w:rsidR="00887522">
        <w:rPr>
          <w:rFonts w:asciiTheme="majorBidi" w:hAnsiTheme="majorBidi" w:cstheme="majorBidi"/>
          <w:sz w:val="24"/>
          <w:szCs w:val="24"/>
        </w:rPr>
        <w:t xml:space="preserve"> However, </w:t>
      </w:r>
      <w:r w:rsidR="00CF474B">
        <w:rPr>
          <w:rFonts w:asciiTheme="majorBidi" w:hAnsiTheme="majorBidi" w:cstheme="majorBidi"/>
          <w:sz w:val="24"/>
          <w:szCs w:val="24"/>
        </w:rPr>
        <w:t>they</w:t>
      </w:r>
      <w:r w:rsidR="00887522">
        <w:rPr>
          <w:rFonts w:asciiTheme="majorBidi" w:hAnsiTheme="majorBidi" w:cstheme="majorBidi"/>
          <w:sz w:val="24"/>
          <w:szCs w:val="24"/>
        </w:rPr>
        <w:t xml:space="preserve"> respected</w:t>
      </w:r>
      <w:r w:rsidR="00CF474B">
        <w:rPr>
          <w:rFonts w:asciiTheme="majorBidi" w:hAnsiTheme="majorBidi" w:cstheme="majorBidi"/>
          <w:sz w:val="24"/>
          <w:szCs w:val="24"/>
        </w:rPr>
        <w:t xml:space="preserve">, </w:t>
      </w:r>
      <w:r w:rsidR="00887522">
        <w:rPr>
          <w:rFonts w:asciiTheme="majorBidi" w:hAnsiTheme="majorBidi" w:cstheme="majorBidi"/>
          <w:sz w:val="24"/>
          <w:szCs w:val="24"/>
        </w:rPr>
        <w:t xml:space="preserve">patronized </w:t>
      </w:r>
      <w:r w:rsidR="00CF474B">
        <w:rPr>
          <w:rFonts w:asciiTheme="majorBidi" w:hAnsiTheme="majorBidi" w:cstheme="majorBidi"/>
          <w:sz w:val="24"/>
          <w:szCs w:val="24"/>
        </w:rPr>
        <w:t xml:space="preserve">and gradually converted to </w:t>
      </w:r>
      <w:r w:rsidR="00566670">
        <w:rPr>
          <w:rFonts w:asciiTheme="majorBidi" w:hAnsiTheme="majorBidi" w:cstheme="majorBidi"/>
          <w:sz w:val="24"/>
          <w:szCs w:val="24"/>
        </w:rPr>
        <w:t xml:space="preserve">the predominant </w:t>
      </w:r>
      <w:r w:rsidR="00887522">
        <w:rPr>
          <w:rFonts w:asciiTheme="majorBidi" w:hAnsiTheme="majorBidi" w:cstheme="majorBidi"/>
          <w:sz w:val="24"/>
          <w:szCs w:val="24"/>
        </w:rPr>
        <w:t xml:space="preserve">Buddhism, which was </w:t>
      </w:r>
      <w:r w:rsidR="00566670">
        <w:rPr>
          <w:rFonts w:asciiTheme="majorBidi" w:hAnsiTheme="majorBidi" w:cstheme="majorBidi"/>
          <w:sz w:val="24"/>
          <w:szCs w:val="24"/>
        </w:rPr>
        <w:t>popular in</w:t>
      </w:r>
      <w:r w:rsidR="00887522">
        <w:rPr>
          <w:rFonts w:asciiTheme="majorBidi" w:hAnsiTheme="majorBidi" w:cstheme="majorBidi"/>
          <w:sz w:val="24"/>
          <w:szCs w:val="24"/>
        </w:rPr>
        <w:t xml:space="preserve"> Balkh</w:t>
      </w:r>
      <w:r w:rsidR="00566670">
        <w:rPr>
          <w:rFonts w:asciiTheme="majorBidi" w:hAnsiTheme="majorBidi" w:cstheme="majorBidi"/>
          <w:sz w:val="24"/>
          <w:szCs w:val="24"/>
        </w:rPr>
        <w:t xml:space="preserve"> and present in</w:t>
      </w:r>
      <w:r w:rsidR="00887522">
        <w:rPr>
          <w:rFonts w:asciiTheme="majorBidi" w:hAnsiTheme="majorBidi" w:cstheme="majorBidi"/>
          <w:sz w:val="24"/>
          <w:szCs w:val="24"/>
        </w:rPr>
        <w:t xml:space="preserve"> </w:t>
      </w:r>
      <w:r w:rsidR="00887522" w:rsidRPr="001C3F7C">
        <w:rPr>
          <w:rFonts w:asciiTheme="majorBidi" w:hAnsiTheme="majorBidi" w:cstheme="majorBidi"/>
          <w:sz w:val="24"/>
          <w:szCs w:val="24"/>
        </w:rPr>
        <w:t>Gūzgān,</w:t>
      </w:r>
      <w:r w:rsidR="00887522">
        <w:rPr>
          <w:rFonts w:asciiTheme="majorBidi" w:hAnsiTheme="majorBidi" w:cstheme="majorBidi"/>
          <w:sz w:val="24"/>
          <w:szCs w:val="24"/>
        </w:rPr>
        <w:t xml:space="preserve"> </w:t>
      </w:r>
      <w:r w:rsidR="00887522" w:rsidRPr="001C3F7C">
        <w:rPr>
          <w:rFonts w:asciiTheme="majorBidi" w:hAnsiTheme="majorBidi" w:cstheme="majorBidi"/>
          <w:sz w:val="24"/>
          <w:szCs w:val="24"/>
        </w:rPr>
        <w:t xml:space="preserve">Zumathān, Rūb, </w:t>
      </w:r>
      <w:r w:rsidR="00887522">
        <w:rPr>
          <w:rFonts w:asciiTheme="majorBidi" w:hAnsiTheme="majorBidi" w:cstheme="majorBidi"/>
          <w:sz w:val="24"/>
          <w:szCs w:val="24"/>
        </w:rPr>
        <w:t>Siminjān</w:t>
      </w:r>
      <w:r w:rsidR="00887522" w:rsidRPr="001C3F7C">
        <w:rPr>
          <w:rFonts w:asciiTheme="majorBidi" w:hAnsiTheme="majorBidi" w:cstheme="majorBidi"/>
          <w:sz w:val="24"/>
          <w:szCs w:val="24"/>
        </w:rPr>
        <w:t xml:space="preserve"> and so on</w:t>
      </w:r>
      <w:r w:rsidR="00F52E65">
        <w:rPr>
          <w:rFonts w:asciiTheme="majorBidi" w:hAnsiTheme="majorBidi" w:cstheme="majorBidi"/>
          <w:sz w:val="24"/>
          <w:szCs w:val="24"/>
        </w:rPr>
        <w:t>, although the local cults were not limited to Buddhism</w:t>
      </w:r>
      <w:r w:rsidR="00887522">
        <w:rPr>
          <w:rFonts w:asciiTheme="majorBidi" w:hAnsiTheme="majorBidi" w:cstheme="majorBidi"/>
          <w:sz w:val="24"/>
          <w:szCs w:val="24"/>
        </w:rPr>
        <w:t>.</w:t>
      </w:r>
      <w:r w:rsidR="00887522">
        <w:rPr>
          <w:rStyle w:val="FootnoteReference"/>
          <w:rFonts w:asciiTheme="majorBidi" w:hAnsiTheme="majorBidi" w:cstheme="majorBidi"/>
          <w:sz w:val="24"/>
          <w:szCs w:val="24"/>
        </w:rPr>
        <w:footnoteReference w:id="119"/>
      </w:r>
    </w:p>
    <w:p w14:paraId="47E176AF" w14:textId="031CE6AD" w:rsidR="008A3643" w:rsidRDefault="003A0D56" w:rsidP="0020330F">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lastRenderedPageBreak/>
        <w:t xml:space="preserve">Although </w:t>
      </w:r>
      <w:r w:rsidR="00375A9A">
        <w:rPr>
          <w:rFonts w:asciiTheme="majorBidi" w:hAnsiTheme="majorBidi" w:cstheme="majorBidi"/>
          <w:sz w:val="24"/>
          <w:szCs w:val="24"/>
        </w:rPr>
        <w:t xml:space="preserve">the </w:t>
      </w:r>
      <w:r>
        <w:rPr>
          <w:rFonts w:asciiTheme="majorBidi" w:hAnsiTheme="majorBidi" w:cstheme="majorBidi"/>
          <w:sz w:val="24"/>
          <w:szCs w:val="24"/>
        </w:rPr>
        <w:t>political and economic importance</w:t>
      </w:r>
      <w:r w:rsidR="00375A9A">
        <w:rPr>
          <w:rFonts w:asciiTheme="majorBidi" w:hAnsiTheme="majorBidi" w:cstheme="majorBidi"/>
          <w:sz w:val="24"/>
          <w:szCs w:val="24"/>
        </w:rPr>
        <w:t xml:space="preserve"> of Balkh</w:t>
      </w:r>
      <w:r>
        <w:rPr>
          <w:rFonts w:asciiTheme="majorBidi" w:hAnsiTheme="majorBidi" w:cstheme="majorBidi"/>
          <w:sz w:val="24"/>
          <w:szCs w:val="24"/>
        </w:rPr>
        <w:t xml:space="preserve"> declined even before Xuanzang's visit</w:t>
      </w:r>
      <w:r w:rsidR="006C2B0B">
        <w:rPr>
          <w:rFonts w:asciiTheme="majorBidi" w:hAnsiTheme="majorBidi" w:cstheme="majorBidi"/>
          <w:sz w:val="24"/>
          <w:szCs w:val="24"/>
        </w:rPr>
        <w:t xml:space="preserve"> in 630 CE</w:t>
      </w:r>
      <w:r>
        <w:rPr>
          <w:rFonts w:asciiTheme="majorBidi" w:hAnsiTheme="majorBidi" w:cstheme="majorBidi"/>
          <w:sz w:val="24"/>
          <w:szCs w:val="24"/>
        </w:rPr>
        <w:t>,</w:t>
      </w:r>
      <w:r w:rsidR="006C2B0B">
        <w:rPr>
          <w:rStyle w:val="FootnoteReference"/>
          <w:rFonts w:asciiTheme="majorBidi" w:hAnsiTheme="majorBidi" w:cstheme="majorBidi"/>
          <w:sz w:val="24"/>
          <w:szCs w:val="24"/>
        </w:rPr>
        <w:footnoteReference w:id="120"/>
      </w:r>
      <w:r>
        <w:rPr>
          <w:rFonts w:asciiTheme="majorBidi" w:hAnsiTheme="majorBidi" w:cstheme="majorBidi"/>
          <w:sz w:val="24"/>
          <w:szCs w:val="24"/>
        </w:rPr>
        <w:t xml:space="preserve"> </w:t>
      </w:r>
      <w:r w:rsidR="00375A9A">
        <w:rPr>
          <w:rFonts w:asciiTheme="majorBidi" w:hAnsiTheme="majorBidi" w:cstheme="majorBidi"/>
          <w:sz w:val="24"/>
          <w:szCs w:val="24"/>
        </w:rPr>
        <w:t>it remained</w:t>
      </w:r>
      <w:r w:rsidR="00887522">
        <w:rPr>
          <w:rFonts w:asciiTheme="majorBidi" w:hAnsiTheme="majorBidi" w:cstheme="majorBidi"/>
          <w:sz w:val="24"/>
          <w:szCs w:val="24"/>
        </w:rPr>
        <w:t xml:space="preserve"> </w:t>
      </w:r>
      <w:r w:rsidR="00032908">
        <w:rPr>
          <w:rFonts w:asciiTheme="majorBidi" w:hAnsiTheme="majorBidi" w:cstheme="majorBidi"/>
          <w:sz w:val="24"/>
          <w:szCs w:val="24"/>
        </w:rPr>
        <w:t>as the center of</w:t>
      </w:r>
      <w:r>
        <w:rPr>
          <w:rFonts w:asciiTheme="majorBidi" w:hAnsiTheme="majorBidi" w:cstheme="majorBidi"/>
          <w:sz w:val="24"/>
          <w:szCs w:val="24"/>
        </w:rPr>
        <w:t xml:space="preserve"> Buddhism in </w:t>
      </w:r>
      <w:r w:rsidR="00887522">
        <w:rPr>
          <w:rFonts w:asciiTheme="majorBidi" w:hAnsiTheme="majorBidi" w:cstheme="majorBidi"/>
          <w:sz w:val="24"/>
          <w:szCs w:val="24"/>
        </w:rPr>
        <w:t>Ṭukhāristān</w:t>
      </w:r>
      <w:r w:rsidR="00375A9A">
        <w:rPr>
          <w:rFonts w:asciiTheme="majorBidi" w:hAnsiTheme="majorBidi" w:cstheme="majorBidi"/>
          <w:sz w:val="24"/>
          <w:szCs w:val="24"/>
        </w:rPr>
        <w:t xml:space="preserve">. </w:t>
      </w:r>
      <w:r w:rsidR="008A3643">
        <w:rPr>
          <w:rFonts w:asciiTheme="majorBidi" w:hAnsiTheme="majorBidi" w:cstheme="majorBidi"/>
          <w:sz w:val="24"/>
          <w:szCs w:val="24"/>
        </w:rPr>
        <w:t>The famous Nawbahār monastery held relics and attracted both Buddhist scholars and pilgrims from far and wide.</w:t>
      </w:r>
      <w:r w:rsidR="008A3643">
        <w:rPr>
          <w:rStyle w:val="FootnoteReference"/>
          <w:rFonts w:asciiTheme="majorBidi" w:hAnsiTheme="majorBidi" w:cstheme="majorBidi"/>
          <w:sz w:val="24"/>
          <w:szCs w:val="24"/>
        </w:rPr>
        <w:footnoteReference w:id="121"/>
      </w:r>
      <w:r w:rsidR="008A3643">
        <w:rPr>
          <w:rFonts w:asciiTheme="majorBidi" w:hAnsiTheme="majorBidi" w:cstheme="majorBidi"/>
          <w:sz w:val="24"/>
          <w:szCs w:val="24"/>
        </w:rPr>
        <w:t xml:space="preserve"> The Barmakids, </w:t>
      </w:r>
      <w:r w:rsidR="00375A9A">
        <w:rPr>
          <w:rFonts w:asciiTheme="majorBidi" w:hAnsiTheme="majorBidi" w:cstheme="majorBidi"/>
          <w:sz w:val="24"/>
          <w:szCs w:val="24"/>
        </w:rPr>
        <w:t xml:space="preserve">its </w:t>
      </w:r>
      <w:r w:rsidR="008A3643">
        <w:rPr>
          <w:rFonts w:asciiTheme="majorBidi" w:hAnsiTheme="majorBidi" w:cstheme="majorBidi"/>
          <w:sz w:val="24"/>
          <w:szCs w:val="24"/>
        </w:rPr>
        <w:t xml:space="preserve">hereditary administrators, </w:t>
      </w:r>
      <w:r w:rsidR="00375A9A">
        <w:rPr>
          <w:rFonts w:asciiTheme="majorBidi" w:hAnsiTheme="majorBidi" w:cstheme="majorBidi"/>
          <w:sz w:val="24"/>
          <w:szCs w:val="24"/>
        </w:rPr>
        <w:t>enjoyed privileges such as possessing</w:t>
      </w:r>
      <w:r w:rsidR="008A3643">
        <w:rPr>
          <w:rFonts w:asciiTheme="majorBidi" w:hAnsiTheme="majorBidi" w:cstheme="majorBidi"/>
          <w:sz w:val="24"/>
          <w:szCs w:val="24"/>
        </w:rPr>
        <w:t xml:space="preserve"> large portions of lands </w:t>
      </w:r>
      <w:r w:rsidR="00375A9A">
        <w:rPr>
          <w:rFonts w:asciiTheme="majorBidi" w:hAnsiTheme="majorBidi" w:cstheme="majorBidi"/>
          <w:sz w:val="24"/>
          <w:szCs w:val="24"/>
        </w:rPr>
        <w:t>surrounding</w:t>
      </w:r>
      <w:r w:rsidR="008A3643">
        <w:rPr>
          <w:rFonts w:asciiTheme="majorBidi" w:hAnsiTheme="majorBidi" w:cstheme="majorBidi"/>
          <w:sz w:val="24"/>
          <w:szCs w:val="24"/>
        </w:rPr>
        <w:t xml:space="preserve"> the monastery,</w:t>
      </w:r>
      <w:r w:rsidR="008A3643">
        <w:rPr>
          <w:rStyle w:val="FootnoteReference"/>
          <w:rFonts w:asciiTheme="majorBidi" w:hAnsiTheme="majorBidi" w:cstheme="majorBidi"/>
          <w:sz w:val="24"/>
          <w:szCs w:val="24"/>
        </w:rPr>
        <w:footnoteReference w:id="122"/>
      </w:r>
      <w:r w:rsidR="008A3643">
        <w:rPr>
          <w:rFonts w:asciiTheme="majorBidi" w:hAnsiTheme="majorBidi" w:cstheme="majorBidi"/>
          <w:sz w:val="24"/>
          <w:szCs w:val="24"/>
        </w:rPr>
        <w:t xml:space="preserve"> which remained </w:t>
      </w:r>
      <w:r w:rsidR="00CE0F02">
        <w:rPr>
          <w:rFonts w:asciiTheme="majorBidi" w:hAnsiTheme="majorBidi" w:cstheme="majorBidi"/>
          <w:sz w:val="24"/>
          <w:szCs w:val="24"/>
        </w:rPr>
        <w:t xml:space="preserve">largely </w:t>
      </w:r>
      <w:r w:rsidR="008A3643">
        <w:rPr>
          <w:rFonts w:asciiTheme="majorBidi" w:hAnsiTheme="majorBidi" w:cstheme="majorBidi"/>
          <w:sz w:val="24"/>
          <w:szCs w:val="24"/>
        </w:rPr>
        <w:t>intact under the rule of the Yabghū dynasty.</w:t>
      </w:r>
      <w:r w:rsidR="004075A8">
        <w:rPr>
          <w:rStyle w:val="FootnoteReference"/>
          <w:rFonts w:asciiTheme="majorBidi" w:hAnsiTheme="majorBidi" w:cstheme="majorBidi"/>
          <w:sz w:val="24"/>
          <w:szCs w:val="24"/>
        </w:rPr>
        <w:footnoteReference w:id="123"/>
      </w:r>
    </w:p>
    <w:p w14:paraId="04832A3B" w14:textId="138E1861" w:rsidR="000D2A64" w:rsidRDefault="000D2A64" w:rsidP="00BF77AA">
      <w:pPr>
        <w:spacing w:line="360" w:lineRule="auto"/>
        <w:rPr>
          <w:rFonts w:asciiTheme="majorBidi" w:hAnsiTheme="majorBidi" w:cstheme="majorBidi"/>
          <w:sz w:val="24"/>
          <w:szCs w:val="24"/>
        </w:rPr>
      </w:pPr>
      <w:r>
        <w:rPr>
          <w:rFonts w:asciiTheme="majorBidi" w:hAnsiTheme="majorBidi" w:cstheme="majorBidi"/>
          <w:sz w:val="24"/>
          <w:szCs w:val="24"/>
        </w:rPr>
        <w:t xml:space="preserve">     When it comes to the foreign relations of the Yabghū dynasty, it was apparently independent when Irbis Duolu Khāqān fled to the region in the 640s,</w:t>
      </w:r>
      <w:r>
        <w:rPr>
          <w:rStyle w:val="FootnoteReference"/>
          <w:rFonts w:asciiTheme="majorBidi" w:hAnsiTheme="majorBidi" w:cstheme="majorBidi"/>
          <w:sz w:val="24"/>
          <w:szCs w:val="24"/>
        </w:rPr>
        <w:footnoteReference w:id="124"/>
      </w:r>
      <w:r>
        <w:rPr>
          <w:rFonts w:asciiTheme="majorBidi" w:hAnsiTheme="majorBidi" w:cstheme="majorBidi"/>
          <w:sz w:val="24"/>
          <w:szCs w:val="24"/>
        </w:rPr>
        <w:t xml:space="preserve"> although it was established in the 620s as a vassal of the Western Turks. The de facto independence of the regime is reflected by the </w:t>
      </w:r>
      <w:r w:rsidR="00BF77AA">
        <w:rPr>
          <w:rFonts w:asciiTheme="majorBidi" w:hAnsiTheme="majorBidi" w:cstheme="majorBidi"/>
          <w:sz w:val="24"/>
          <w:szCs w:val="24"/>
        </w:rPr>
        <w:t xml:space="preserve">shifting of the </w:t>
      </w:r>
      <w:r>
        <w:rPr>
          <w:rFonts w:asciiTheme="majorBidi" w:hAnsiTheme="majorBidi" w:cstheme="majorBidi"/>
          <w:sz w:val="24"/>
          <w:szCs w:val="24"/>
        </w:rPr>
        <w:t xml:space="preserve">ruler's title from </w:t>
      </w:r>
      <w:r w:rsidRPr="005B0A50">
        <w:rPr>
          <w:rFonts w:asciiTheme="majorBidi" w:hAnsiTheme="majorBidi" w:cstheme="majorBidi"/>
          <w:i/>
          <w:iCs/>
          <w:sz w:val="24"/>
          <w:szCs w:val="24"/>
        </w:rPr>
        <w:t>shad</w:t>
      </w:r>
      <w:r>
        <w:rPr>
          <w:rFonts w:asciiTheme="majorBidi" w:hAnsiTheme="majorBidi" w:cstheme="majorBidi"/>
          <w:sz w:val="24"/>
          <w:szCs w:val="24"/>
        </w:rPr>
        <w:t xml:space="preserve"> to </w:t>
      </w:r>
      <w:r w:rsidRPr="005B0A50">
        <w:rPr>
          <w:rFonts w:asciiTheme="majorBidi" w:hAnsiTheme="majorBidi" w:cstheme="majorBidi"/>
          <w:i/>
          <w:iCs/>
          <w:sz w:val="24"/>
          <w:szCs w:val="24"/>
        </w:rPr>
        <w:t>yabghū</w:t>
      </w:r>
      <w:r>
        <w:rPr>
          <w:rFonts w:asciiTheme="majorBidi" w:hAnsiTheme="majorBidi" w:cstheme="majorBidi"/>
          <w:sz w:val="24"/>
          <w:szCs w:val="24"/>
        </w:rPr>
        <w:t xml:space="preserve"> during </w:t>
      </w:r>
      <w:r w:rsidR="00BF77AA">
        <w:rPr>
          <w:rFonts w:asciiTheme="majorBidi" w:hAnsiTheme="majorBidi" w:cstheme="majorBidi"/>
          <w:sz w:val="24"/>
          <w:szCs w:val="24"/>
        </w:rPr>
        <w:t>the second Yabghū</w:t>
      </w:r>
      <w:r>
        <w:rPr>
          <w:rFonts w:asciiTheme="majorBidi" w:hAnsiTheme="majorBidi" w:cstheme="majorBidi"/>
          <w:sz w:val="24"/>
          <w:szCs w:val="24"/>
        </w:rPr>
        <w:t xml:space="preserve"> Ishbara’s reign as attested by both Xuanzang's report and coins.</w:t>
      </w:r>
      <w:r>
        <w:rPr>
          <w:rStyle w:val="FootnoteReference"/>
          <w:rFonts w:asciiTheme="majorBidi" w:hAnsiTheme="majorBidi" w:cstheme="majorBidi"/>
          <w:sz w:val="24"/>
          <w:szCs w:val="24"/>
        </w:rPr>
        <w:footnoteReference w:id="125"/>
      </w:r>
      <w:r>
        <w:rPr>
          <w:rFonts w:asciiTheme="majorBidi" w:hAnsiTheme="majorBidi" w:cstheme="majorBidi"/>
          <w:sz w:val="24"/>
          <w:szCs w:val="24"/>
        </w:rPr>
        <w:t xml:space="preserve"> </w:t>
      </w:r>
      <w:r>
        <w:rPr>
          <w:rFonts w:asciiTheme="majorBidi" w:hAnsiTheme="majorBidi" w:cstheme="majorBidi"/>
          <w:sz w:val="24"/>
          <w:szCs w:val="24"/>
        </w:rPr>
        <w:lastRenderedPageBreak/>
        <w:t xml:space="preserve">Although </w:t>
      </w:r>
      <w:r w:rsidRPr="00907BEF">
        <w:rPr>
          <w:rFonts w:asciiTheme="majorBidi" w:hAnsiTheme="majorBidi" w:cstheme="majorBidi"/>
          <w:i/>
          <w:iCs/>
          <w:sz w:val="24"/>
          <w:szCs w:val="24"/>
        </w:rPr>
        <w:t>yabghū</w:t>
      </w:r>
      <w:r>
        <w:rPr>
          <w:rFonts w:asciiTheme="majorBidi" w:hAnsiTheme="majorBidi" w:cstheme="majorBidi"/>
          <w:sz w:val="24"/>
          <w:szCs w:val="24"/>
        </w:rPr>
        <w:t xml:space="preserve"> was </w:t>
      </w:r>
      <w:r w:rsidR="00864D39">
        <w:rPr>
          <w:rFonts w:asciiTheme="majorBidi" w:hAnsiTheme="majorBidi" w:cstheme="majorBidi"/>
          <w:sz w:val="24"/>
          <w:szCs w:val="24"/>
        </w:rPr>
        <w:t>attested</w:t>
      </w:r>
      <w:r>
        <w:rPr>
          <w:rFonts w:asciiTheme="majorBidi" w:hAnsiTheme="majorBidi" w:cstheme="majorBidi"/>
          <w:sz w:val="24"/>
          <w:szCs w:val="24"/>
        </w:rPr>
        <w:t xml:space="preserve"> in</w:t>
      </w:r>
      <w:r w:rsidRPr="007F4F65">
        <w:rPr>
          <w:rFonts w:asciiTheme="majorBidi" w:hAnsiTheme="majorBidi" w:cstheme="majorBidi"/>
          <w:sz w:val="24"/>
          <w:szCs w:val="24"/>
        </w:rPr>
        <w:t xml:space="preserve"> </w:t>
      </w:r>
      <w:r w:rsidRPr="00C43B5F">
        <w:rPr>
          <w:rFonts w:asciiTheme="majorBidi" w:hAnsiTheme="majorBidi" w:cstheme="majorBidi"/>
          <w:sz w:val="24"/>
          <w:szCs w:val="24"/>
        </w:rPr>
        <w:t>Ṭukhāristān</w:t>
      </w:r>
      <w:r>
        <w:rPr>
          <w:rFonts w:asciiTheme="majorBidi" w:hAnsiTheme="majorBidi" w:cstheme="majorBidi"/>
          <w:sz w:val="24"/>
          <w:szCs w:val="24"/>
        </w:rPr>
        <w:t xml:space="preserve"> since the Yuezhi,</w:t>
      </w:r>
      <w:r>
        <w:rPr>
          <w:rStyle w:val="FootnoteReference"/>
          <w:rFonts w:asciiTheme="majorBidi" w:hAnsiTheme="majorBidi" w:cstheme="majorBidi"/>
          <w:sz w:val="24"/>
          <w:szCs w:val="24"/>
        </w:rPr>
        <w:footnoteReference w:id="126"/>
      </w:r>
      <w:r>
        <w:rPr>
          <w:rFonts w:asciiTheme="majorBidi" w:hAnsiTheme="majorBidi" w:cstheme="majorBidi"/>
          <w:sz w:val="24"/>
          <w:szCs w:val="24"/>
        </w:rPr>
        <w:t xml:space="preserve"> its appearance on the ruler's coins</w:t>
      </w:r>
      <w:r w:rsidR="00BF77AA">
        <w:rPr>
          <w:rFonts w:asciiTheme="majorBidi" w:hAnsiTheme="majorBidi" w:cstheme="majorBidi"/>
          <w:sz w:val="24"/>
          <w:szCs w:val="24"/>
        </w:rPr>
        <w:t xml:space="preserve"> </w:t>
      </w:r>
      <w:r>
        <w:rPr>
          <w:rFonts w:asciiTheme="majorBidi" w:hAnsiTheme="majorBidi" w:cstheme="majorBidi"/>
          <w:sz w:val="24"/>
          <w:szCs w:val="24"/>
        </w:rPr>
        <w:t xml:space="preserve">supports Wang's suggestion that Ishbara was adopting </w:t>
      </w:r>
      <w:r w:rsidR="0043741A">
        <w:rPr>
          <w:rFonts w:asciiTheme="majorBidi" w:hAnsiTheme="majorBidi" w:cstheme="majorBidi"/>
          <w:sz w:val="24"/>
          <w:szCs w:val="24"/>
        </w:rPr>
        <w:t xml:space="preserve">a </w:t>
      </w:r>
      <w:r w:rsidR="00BF77AA">
        <w:rPr>
          <w:rFonts w:asciiTheme="majorBidi" w:hAnsiTheme="majorBidi" w:cstheme="majorBidi"/>
          <w:sz w:val="24"/>
          <w:szCs w:val="24"/>
        </w:rPr>
        <w:t>higher-ranking</w:t>
      </w:r>
      <w:r>
        <w:rPr>
          <w:rFonts w:asciiTheme="majorBidi" w:hAnsiTheme="majorBidi" w:cstheme="majorBidi"/>
          <w:sz w:val="24"/>
          <w:szCs w:val="24"/>
        </w:rPr>
        <w:t xml:space="preserve"> title in the </w:t>
      </w:r>
      <w:r w:rsidR="0043741A">
        <w:rPr>
          <w:rFonts w:asciiTheme="majorBidi" w:hAnsiTheme="majorBidi" w:cstheme="majorBidi"/>
          <w:sz w:val="24"/>
          <w:szCs w:val="24"/>
        </w:rPr>
        <w:t xml:space="preserve">Turkic </w:t>
      </w:r>
      <w:r>
        <w:rPr>
          <w:rFonts w:asciiTheme="majorBidi" w:hAnsiTheme="majorBidi" w:cstheme="majorBidi"/>
          <w:sz w:val="24"/>
          <w:szCs w:val="24"/>
        </w:rPr>
        <w:t xml:space="preserve">titular system to demonstrate </w:t>
      </w:r>
      <w:r w:rsidR="00BF77AA">
        <w:rPr>
          <w:rFonts w:asciiTheme="majorBidi" w:hAnsiTheme="majorBidi" w:cstheme="majorBidi"/>
          <w:sz w:val="24"/>
          <w:szCs w:val="24"/>
        </w:rPr>
        <w:t>his de facto</w:t>
      </w:r>
      <w:r>
        <w:rPr>
          <w:rFonts w:asciiTheme="majorBidi" w:hAnsiTheme="majorBidi" w:cstheme="majorBidi"/>
          <w:sz w:val="24"/>
          <w:szCs w:val="24"/>
        </w:rPr>
        <w:t xml:space="preserve"> independence.</w:t>
      </w:r>
      <w:r>
        <w:rPr>
          <w:rStyle w:val="FootnoteReference"/>
          <w:rFonts w:asciiTheme="majorBidi" w:hAnsiTheme="majorBidi" w:cstheme="majorBidi"/>
          <w:sz w:val="24"/>
          <w:szCs w:val="24"/>
        </w:rPr>
        <w:footnoteReference w:id="127"/>
      </w:r>
      <w:r w:rsidR="00BF77AA">
        <w:rPr>
          <w:rFonts w:asciiTheme="majorBidi" w:hAnsiTheme="majorBidi" w:cstheme="majorBidi"/>
          <w:sz w:val="24"/>
          <w:szCs w:val="24"/>
        </w:rPr>
        <w:t xml:space="preserve"> </w:t>
      </w:r>
      <w:r>
        <w:rPr>
          <w:rFonts w:asciiTheme="majorBidi" w:hAnsiTheme="majorBidi" w:cstheme="majorBidi"/>
          <w:sz w:val="24"/>
          <w:szCs w:val="24"/>
        </w:rPr>
        <w:t>The nominal suzerainty over Ṭukhāristān passed to the Tang in the late 650s, when the Tang army defeated Khāqān Helu in 657 CE.</w:t>
      </w:r>
      <w:r>
        <w:rPr>
          <w:rStyle w:val="FootnoteReference"/>
          <w:rFonts w:asciiTheme="majorBidi" w:hAnsiTheme="majorBidi" w:cstheme="majorBidi"/>
          <w:sz w:val="24"/>
          <w:szCs w:val="24"/>
        </w:rPr>
        <w:footnoteReference w:id="128"/>
      </w:r>
      <w:r>
        <w:rPr>
          <w:rFonts w:asciiTheme="majorBidi" w:hAnsiTheme="majorBidi" w:cstheme="majorBidi"/>
          <w:sz w:val="24"/>
          <w:szCs w:val="24"/>
        </w:rPr>
        <w:t xml:space="preserve"> The suzerainty of the Tang, however, meant less to the </w:t>
      </w:r>
      <w:r w:rsidR="00441869">
        <w:rPr>
          <w:rFonts w:asciiTheme="majorBidi" w:hAnsiTheme="majorBidi" w:cstheme="majorBidi"/>
          <w:sz w:val="24"/>
          <w:szCs w:val="24"/>
        </w:rPr>
        <w:t xml:space="preserve">remote </w:t>
      </w:r>
      <w:r>
        <w:rPr>
          <w:rFonts w:asciiTheme="majorBidi" w:hAnsiTheme="majorBidi" w:cstheme="majorBidi"/>
          <w:sz w:val="24"/>
          <w:szCs w:val="24"/>
        </w:rPr>
        <w:t>region</w:t>
      </w:r>
      <w:r w:rsidR="00441869">
        <w:rPr>
          <w:rFonts w:asciiTheme="majorBidi" w:hAnsiTheme="majorBidi" w:cstheme="majorBidi"/>
          <w:sz w:val="24"/>
          <w:szCs w:val="24"/>
        </w:rPr>
        <w:t xml:space="preserve"> of Ṭukhāristān</w:t>
      </w:r>
      <w:r>
        <w:rPr>
          <w:rFonts w:asciiTheme="majorBidi" w:hAnsiTheme="majorBidi" w:cstheme="majorBidi"/>
          <w:sz w:val="24"/>
          <w:szCs w:val="24"/>
        </w:rPr>
        <w:t>.</w:t>
      </w:r>
      <w:r>
        <w:rPr>
          <w:rStyle w:val="FootnoteReference"/>
          <w:rFonts w:asciiTheme="majorBidi" w:hAnsiTheme="majorBidi" w:cstheme="majorBidi"/>
          <w:sz w:val="24"/>
          <w:szCs w:val="24"/>
        </w:rPr>
        <w:footnoteReference w:id="129"/>
      </w:r>
      <w:r>
        <w:rPr>
          <w:rFonts w:asciiTheme="majorBidi" w:hAnsiTheme="majorBidi" w:cstheme="majorBidi"/>
          <w:sz w:val="24"/>
          <w:szCs w:val="24"/>
        </w:rPr>
        <w:t xml:space="preserve"> In a nutshell, Ṭukhāristān remained largely independent from the Western Turks and the Tang </w:t>
      </w:r>
      <w:r w:rsidR="0043741A">
        <w:rPr>
          <w:rFonts w:asciiTheme="majorBidi" w:hAnsiTheme="majorBidi" w:cstheme="majorBidi"/>
          <w:sz w:val="24"/>
          <w:szCs w:val="24"/>
        </w:rPr>
        <w:t>in the 2</w:t>
      </w:r>
      <w:r w:rsidR="0043741A" w:rsidRPr="0043741A">
        <w:rPr>
          <w:rFonts w:asciiTheme="majorBidi" w:hAnsiTheme="majorBidi" w:cstheme="majorBidi"/>
          <w:sz w:val="24"/>
          <w:szCs w:val="24"/>
          <w:vertAlign w:val="superscript"/>
        </w:rPr>
        <w:t>nd</w:t>
      </w:r>
      <w:r w:rsidR="0043741A">
        <w:rPr>
          <w:rFonts w:asciiTheme="majorBidi" w:hAnsiTheme="majorBidi" w:cstheme="majorBidi"/>
          <w:sz w:val="24"/>
          <w:szCs w:val="24"/>
        </w:rPr>
        <w:t xml:space="preserve"> half of the 7</w:t>
      </w:r>
      <w:r w:rsidR="0043741A" w:rsidRPr="0043741A">
        <w:rPr>
          <w:rFonts w:asciiTheme="majorBidi" w:hAnsiTheme="majorBidi" w:cstheme="majorBidi"/>
          <w:sz w:val="24"/>
          <w:szCs w:val="24"/>
          <w:vertAlign w:val="superscript"/>
        </w:rPr>
        <w:t>th</w:t>
      </w:r>
      <w:r w:rsidR="0043741A">
        <w:rPr>
          <w:rFonts w:asciiTheme="majorBidi" w:hAnsiTheme="majorBidi" w:cstheme="majorBidi"/>
          <w:sz w:val="24"/>
          <w:szCs w:val="24"/>
        </w:rPr>
        <w:t xml:space="preserve"> century</w:t>
      </w:r>
      <w:r>
        <w:rPr>
          <w:rFonts w:asciiTheme="majorBidi" w:hAnsiTheme="majorBidi" w:cstheme="majorBidi"/>
          <w:sz w:val="24"/>
          <w:szCs w:val="24"/>
        </w:rPr>
        <w:t>.</w:t>
      </w:r>
      <w:r w:rsidR="0043741A">
        <w:rPr>
          <w:rFonts w:asciiTheme="majorBidi" w:hAnsiTheme="majorBidi" w:cstheme="majorBidi"/>
          <w:sz w:val="24"/>
          <w:szCs w:val="24"/>
        </w:rPr>
        <w:t xml:space="preserve"> And the biggest external threat were the Arabs from the west.</w:t>
      </w:r>
    </w:p>
    <w:p w14:paraId="2ABD74F0" w14:textId="536D4CBA" w:rsidR="00497B9B" w:rsidRDefault="00930707" w:rsidP="00497B9B">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66751E" w:rsidRPr="00497B9B">
        <w:rPr>
          <w:rFonts w:asciiTheme="majorBidi" w:hAnsiTheme="majorBidi" w:cstheme="majorBidi"/>
          <w:sz w:val="24"/>
          <w:szCs w:val="24"/>
        </w:rPr>
        <w:t xml:space="preserve">On the one hand, the two Fitnas slowed down the Arabs’ expansion to the Yabghū’s realm. On the other hand, its geographical location in eastern Ṭukhāristān means a greater distance to the base of the Arabs in Marw. Thanks to the two factors, the dynasty was </w:t>
      </w:r>
      <w:r w:rsidR="0059308E" w:rsidRPr="00497B9B">
        <w:rPr>
          <w:rFonts w:asciiTheme="majorBidi" w:hAnsiTheme="majorBidi" w:cstheme="majorBidi"/>
          <w:sz w:val="24"/>
          <w:szCs w:val="24"/>
        </w:rPr>
        <w:t>largely intact in the early of the 700s. Nevertheless, w</w:t>
      </w:r>
      <w:r w:rsidRPr="00497B9B">
        <w:rPr>
          <w:rFonts w:asciiTheme="majorBidi" w:hAnsiTheme="majorBidi" w:cstheme="majorBidi"/>
          <w:sz w:val="24"/>
          <w:szCs w:val="24"/>
        </w:rPr>
        <w:t>hen Qutayba became governor of Khurasan in 705 CE, the Yabghū failed to resist the Arabs because he was weak.</w:t>
      </w:r>
      <w:r w:rsidRPr="00497B9B">
        <w:rPr>
          <w:rStyle w:val="FootnoteReference"/>
          <w:rFonts w:asciiTheme="majorBidi" w:hAnsiTheme="majorBidi" w:cstheme="majorBidi"/>
          <w:sz w:val="24"/>
          <w:szCs w:val="24"/>
        </w:rPr>
        <w:footnoteReference w:id="130"/>
      </w:r>
    </w:p>
    <w:p w14:paraId="60CDD14C" w14:textId="015A3379" w:rsidR="00497B9B" w:rsidRDefault="00930707" w:rsidP="00223BAD">
      <w:pPr>
        <w:spacing w:line="360" w:lineRule="auto"/>
        <w:ind w:firstLineChars="250" w:firstLine="600"/>
        <w:rPr>
          <w:rFonts w:asciiTheme="majorBidi" w:hAnsiTheme="majorBidi" w:cstheme="majorBidi"/>
          <w:color w:val="FF0000"/>
          <w:sz w:val="24"/>
          <w:szCs w:val="24"/>
        </w:rPr>
      </w:pPr>
      <w:r w:rsidRPr="00497B9B">
        <w:rPr>
          <w:rFonts w:asciiTheme="majorBidi" w:hAnsiTheme="majorBidi" w:cstheme="majorBidi"/>
          <w:sz w:val="24"/>
          <w:szCs w:val="24"/>
        </w:rPr>
        <w:t>In contrast, the memoire presented to the Tang court by Du-ni-li’s brother Puluo portraits the Yabghū as an active defender against the Arabs and the Tibetans</w:t>
      </w:r>
      <w:r w:rsidR="0059308E" w:rsidRPr="00497B9B">
        <w:rPr>
          <w:rFonts w:asciiTheme="majorBidi" w:hAnsiTheme="majorBidi" w:cstheme="majorBidi"/>
          <w:sz w:val="24"/>
          <w:szCs w:val="24"/>
        </w:rPr>
        <w:t xml:space="preserve"> up to 705 CE</w:t>
      </w:r>
      <w:r w:rsidRPr="00497B9B">
        <w:rPr>
          <w:rFonts w:asciiTheme="majorBidi" w:hAnsiTheme="majorBidi" w:cstheme="majorBidi"/>
          <w:sz w:val="24"/>
          <w:szCs w:val="24"/>
        </w:rPr>
        <w:t>, who never failed to levy and lead his vassals to fight the invading Arabs.</w:t>
      </w:r>
      <w:r w:rsidRPr="00497B9B">
        <w:rPr>
          <w:rStyle w:val="FootnoteReference"/>
          <w:rFonts w:asciiTheme="majorBidi" w:hAnsiTheme="majorBidi" w:cstheme="majorBidi"/>
          <w:sz w:val="24"/>
          <w:szCs w:val="24"/>
        </w:rPr>
        <w:footnoteReference w:id="131"/>
      </w:r>
      <w:r w:rsidR="0059308E" w:rsidRPr="00497B9B">
        <w:rPr>
          <w:rFonts w:asciiTheme="majorBidi" w:hAnsiTheme="majorBidi" w:cstheme="majorBidi"/>
          <w:sz w:val="24"/>
          <w:szCs w:val="24"/>
        </w:rPr>
        <w:t xml:space="preserve"> </w:t>
      </w:r>
      <w:r w:rsidRPr="00497B9B">
        <w:rPr>
          <w:rFonts w:asciiTheme="majorBidi" w:hAnsiTheme="majorBidi" w:cstheme="majorBidi"/>
          <w:sz w:val="24"/>
          <w:szCs w:val="24"/>
        </w:rPr>
        <w:t xml:space="preserve">Puluo's </w:t>
      </w:r>
      <w:r w:rsidRPr="00497B9B">
        <w:rPr>
          <w:rFonts w:asciiTheme="majorBidi" w:hAnsiTheme="majorBidi" w:cstheme="majorBidi"/>
          <w:sz w:val="24"/>
          <w:szCs w:val="24"/>
        </w:rPr>
        <w:lastRenderedPageBreak/>
        <w:t xml:space="preserve">memoire is of apologetic nature with exaggerated numbers of his vassals’ troops in order to portray the Yabghū as a dutiful vassal of the Tang in defending the frontiers from both the Arabs and the Tibetans. Therefore, his fighting the Arabs is historically not trustworthy. </w:t>
      </w:r>
      <w:r w:rsidR="00A9601E">
        <w:rPr>
          <w:rFonts w:asciiTheme="majorBidi" w:hAnsiTheme="majorBidi" w:cstheme="majorBidi"/>
          <w:sz w:val="24"/>
          <w:szCs w:val="24"/>
        </w:rPr>
        <w:t>If t</w:t>
      </w:r>
      <w:r w:rsidRPr="00497B9B">
        <w:rPr>
          <w:rFonts w:asciiTheme="majorBidi" w:hAnsiTheme="majorBidi" w:cstheme="majorBidi"/>
          <w:sz w:val="24"/>
          <w:szCs w:val="24"/>
        </w:rPr>
        <w:t xml:space="preserve">he Yabghūdid </w:t>
      </w:r>
      <w:r w:rsidR="00A9601E">
        <w:rPr>
          <w:rFonts w:asciiTheme="majorBidi" w:hAnsiTheme="majorBidi" w:cstheme="majorBidi"/>
          <w:sz w:val="24"/>
          <w:szCs w:val="24"/>
        </w:rPr>
        <w:t>did engage</w:t>
      </w:r>
      <w:r w:rsidRPr="00497B9B">
        <w:rPr>
          <w:rFonts w:asciiTheme="majorBidi" w:hAnsiTheme="majorBidi" w:cstheme="majorBidi"/>
          <w:sz w:val="24"/>
          <w:szCs w:val="24"/>
        </w:rPr>
        <w:t xml:space="preserve"> the Arabs</w:t>
      </w:r>
      <w:r w:rsidR="00A9601E">
        <w:rPr>
          <w:rFonts w:asciiTheme="majorBidi" w:hAnsiTheme="majorBidi" w:cstheme="majorBidi"/>
          <w:sz w:val="24"/>
          <w:szCs w:val="24"/>
        </w:rPr>
        <w:t>, he fought them in a modest way.</w:t>
      </w:r>
    </w:p>
    <w:p w14:paraId="36FD311A" w14:textId="132F705B" w:rsidR="00930707" w:rsidRPr="00223BAD" w:rsidRDefault="00930707" w:rsidP="00223BAD">
      <w:pPr>
        <w:spacing w:line="360" w:lineRule="auto"/>
        <w:ind w:firstLineChars="250" w:firstLine="600"/>
        <w:rPr>
          <w:rFonts w:asciiTheme="majorBidi" w:hAnsiTheme="majorBidi" w:cstheme="majorBidi"/>
          <w:sz w:val="24"/>
          <w:szCs w:val="24"/>
        </w:rPr>
      </w:pPr>
      <w:r w:rsidRPr="00223BAD">
        <w:rPr>
          <w:rFonts w:asciiTheme="majorBidi" w:hAnsiTheme="majorBidi" w:cstheme="majorBidi"/>
          <w:sz w:val="24"/>
          <w:szCs w:val="24"/>
        </w:rPr>
        <w:t>If the Yabghū was inactive militarily, he was not so diplomatically.</w:t>
      </w:r>
      <w:r w:rsidR="00A9601E" w:rsidRPr="00223BAD">
        <w:rPr>
          <w:rFonts w:asciiTheme="majorBidi" w:hAnsiTheme="majorBidi" w:cstheme="majorBidi"/>
          <w:sz w:val="24"/>
          <w:szCs w:val="24"/>
        </w:rPr>
        <w:t xml:space="preserve"> </w:t>
      </w:r>
      <w:r w:rsidRPr="00223BAD">
        <w:rPr>
          <w:rFonts w:asciiTheme="majorBidi" w:hAnsiTheme="majorBidi" w:cstheme="majorBidi"/>
          <w:sz w:val="24"/>
          <w:szCs w:val="24"/>
        </w:rPr>
        <w:t>Even before Qutayba</w:t>
      </w:r>
      <w:r w:rsidR="00A9601E" w:rsidRPr="00223BAD">
        <w:rPr>
          <w:rFonts w:asciiTheme="majorBidi" w:hAnsiTheme="majorBidi" w:cstheme="majorBidi"/>
          <w:sz w:val="24"/>
          <w:szCs w:val="24"/>
        </w:rPr>
        <w:t xml:space="preserve"> arrived at</w:t>
      </w:r>
      <w:r w:rsidRPr="00223BAD">
        <w:rPr>
          <w:rFonts w:asciiTheme="majorBidi" w:hAnsiTheme="majorBidi" w:cstheme="majorBidi"/>
          <w:sz w:val="24"/>
          <w:szCs w:val="24"/>
        </w:rPr>
        <w:t xml:space="preserve"> Khurasan in 705 CE, </w:t>
      </w:r>
      <w:r w:rsidR="00A9601E" w:rsidRPr="00223BAD">
        <w:rPr>
          <w:rFonts w:asciiTheme="majorBidi" w:hAnsiTheme="majorBidi" w:cstheme="majorBidi"/>
          <w:sz w:val="24"/>
          <w:szCs w:val="24"/>
        </w:rPr>
        <w:t>the Yabghū had</w:t>
      </w:r>
      <w:r w:rsidRPr="00223BAD">
        <w:rPr>
          <w:rFonts w:asciiTheme="majorBidi" w:hAnsiTheme="majorBidi" w:cstheme="majorBidi"/>
          <w:sz w:val="24"/>
          <w:szCs w:val="24"/>
        </w:rPr>
        <w:t xml:space="preserve"> already sent his brother to the Tang court as a hostage to request the Tang assistance</w:t>
      </w:r>
      <w:r w:rsidR="00A9601E" w:rsidRPr="00223BAD">
        <w:rPr>
          <w:rFonts w:asciiTheme="majorBidi" w:hAnsiTheme="majorBidi" w:cstheme="majorBidi"/>
          <w:sz w:val="24"/>
          <w:szCs w:val="24"/>
        </w:rPr>
        <w:t xml:space="preserve"> in order to deal with the</w:t>
      </w:r>
      <w:r w:rsidRPr="00223BAD">
        <w:rPr>
          <w:rFonts w:asciiTheme="majorBidi" w:hAnsiTheme="majorBidi" w:cstheme="majorBidi"/>
          <w:sz w:val="24"/>
          <w:szCs w:val="24"/>
        </w:rPr>
        <w:t xml:space="preserve"> trouble in two fronts, with the Arabs in the west and the Tibetans in the east. The failure of the Tang army to show up in Ṭukhāristān and the appearance of a more formidable Arab governor in Khurasan must lead to the Yabghū’s change of policy from fight to talk.</w:t>
      </w:r>
    </w:p>
    <w:p w14:paraId="4D49EC66" w14:textId="451F4C5C" w:rsidR="00930707" w:rsidRPr="00293DD5" w:rsidRDefault="00930707" w:rsidP="00C34874">
      <w:pPr>
        <w:spacing w:line="360" w:lineRule="auto"/>
        <w:rPr>
          <w:rFonts w:asciiTheme="majorBidi" w:hAnsiTheme="majorBidi" w:cstheme="majorBidi"/>
          <w:sz w:val="24"/>
          <w:szCs w:val="24"/>
        </w:rPr>
      </w:pPr>
      <w:r w:rsidRPr="00930707">
        <w:rPr>
          <w:rFonts w:asciiTheme="majorBidi" w:hAnsiTheme="majorBidi" w:cstheme="majorBidi"/>
          <w:color w:val="FF0000"/>
          <w:sz w:val="24"/>
          <w:szCs w:val="24"/>
        </w:rPr>
        <w:t xml:space="preserve">    </w:t>
      </w:r>
      <w:r w:rsidRPr="00293DD5">
        <w:rPr>
          <w:rFonts w:asciiTheme="majorBidi" w:hAnsiTheme="majorBidi" w:cstheme="majorBidi"/>
          <w:sz w:val="24"/>
          <w:szCs w:val="24"/>
        </w:rPr>
        <w:t xml:space="preserve"> Now it is clear that the Yabghū's weakness in his choosing to talk instead of fighting the Arabs</w:t>
      </w:r>
      <w:r w:rsidR="00223BAD" w:rsidRPr="00293DD5">
        <w:rPr>
          <w:rFonts w:asciiTheme="majorBidi" w:hAnsiTheme="majorBidi" w:cstheme="majorBidi"/>
          <w:sz w:val="24"/>
          <w:szCs w:val="24"/>
        </w:rPr>
        <w:t xml:space="preserve"> actually reflects his shrewdness as a politician</w:t>
      </w:r>
      <w:r w:rsidRPr="00293DD5">
        <w:rPr>
          <w:rFonts w:asciiTheme="majorBidi" w:hAnsiTheme="majorBidi" w:cstheme="majorBidi"/>
          <w:sz w:val="24"/>
          <w:szCs w:val="24"/>
        </w:rPr>
        <w:t xml:space="preserve">. </w:t>
      </w:r>
      <w:r w:rsidR="00223BAD" w:rsidRPr="00293DD5">
        <w:rPr>
          <w:rFonts w:asciiTheme="majorBidi" w:hAnsiTheme="majorBidi" w:cstheme="majorBidi"/>
          <w:sz w:val="24"/>
          <w:szCs w:val="24"/>
        </w:rPr>
        <w:t>He was reluctant to fight the Arabs, because he had no reinforcements</w:t>
      </w:r>
      <w:r w:rsidRPr="00293DD5">
        <w:rPr>
          <w:rFonts w:asciiTheme="majorBidi" w:hAnsiTheme="majorBidi" w:cstheme="majorBidi"/>
          <w:sz w:val="24"/>
          <w:szCs w:val="24"/>
        </w:rPr>
        <w:t xml:space="preserve"> from the big powers</w:t>
      </w:r>
      <w:r w:rsidR="00C34874" w:rsidRPr="00293DD5">
        <w:rPr>
          <w:rFonts w:asciiTheme="majorBidi" w:hAnsiTheme="majorBidi" w:cstheme="majorBidi"/>
          <w:sz w:val="24"/>
          <w:szCs w:val="24"/>
        </w:rPr>
        <w:t xml:space="preserve"> </w:t>
      </w:r>
      <w:r w:rsidR="007A7DD3" w:rsidRPr="00293DD5">
        <w:rPr>
          <w:rFonts w:asciiTheme="majorBidi" w:hAnsiTheme="majorBidi" w:cstheme="majorBidi"/>
          <w:sz w:val="24"/>
          <w:szCs w:val="24"/>
        </w:rPr>
        <w:t xml:space="preserve">and failed </w:t>
      </w:r>
      <w:r w:rsidRPr="00293DD5">
        <w:rPr>
          <w:rFonts w:asciiTheme="majorBidi" w:hAnsiTheme="majorBidi" w:cstheme="majorBidi"/>
          <w:sz w:val="24"/>
          <w:szCs w:val="24"/>
        </w:rPr>
        <w:t>to enlist the support of his vassals for military campaigns.</w:t>
      </w:r>
      <w:r w:rsidR="007A7DD3" w:rsidRPr="00293DD5">
        <w:rPr>
          <w:rStyle w:val="FootnoteReference"/>
          <w:rFonts w:asciiTheme="majorBidi" w:hAnsiTheme="majorBidi" w:cstheme="majorBidi"/>
          <w:sz w:val="24"/>
          <w:szCs w:val="24"/>
        </w:rPr>
        <w:footnoteReference w:id="132"/>
      </w:r>
      <w:r w:rsidR="00C34874" w:rsidRPr="00293DD5">
        <w:rPr>
          <w:rFonts w:asciiTheme="majorBidi" w:hAnsiTheme="majorBidi" w:cstheme="majorBidi"/>
          <w:sz w:val="24"/>
          <w:szCs w:val="24"/>
        </w:rPr>
        <w:t xml:space="preserve"> </w:t>
      </w:r>
      <w:r w:rsidRPr="00293DD5">
        <w:rPr>
          <w:rFonts w:asciiTheme="majorBidi" w:hAnsiTheme="majorBidi" w:cstheme="majorBidi"/>
          <w:sz w:val="24"/>
          <w:szCs w:val="24"/>
        </w:rPr>
        <w:t xml:space="preserve">The independence of the Hephthalites means that the fighting forces of the Yabghū diminished greatly. However, the trades </w:t>
      </w:r>
      <w:proofErr w:type="gramStart"/>
      <w:r w:rsidRPr="00293DD5">
        <w:rPr>
          <w:rFonts w:asciiTheme="majorBidi" w:hAnsiTheme="majorBidi" w:cstheme="majorBidi"/>
          <w:sz w:val="24"/>
          <w:szCs w:val="24"/>
        </w:rPr>
        <w:t>was</w:t>
      </w:r>
      <w:proofErr w:type="gramEnd"/>
      <w:r w:rsidRPr="00293DD5">
        <w:rPr>
          <w:rFonts w:asciiTheme="majorBidi" w:hAnsiTheme="majorBidi" w:cstheme="majorBidi"/>
          <w:sz w:val="24"/>
          <w:szCs w:val="24"/>
        </w:rPr>
        <w:t xml:space="preserve"> interrupted by the hostility between the big powers.</w:t>
      </w:r>
      <w:r w:rsidRPr="00293DD5">
        <w:rPr>
          <w:rStyle w:val="FootnoteReference"/>
          <w:rFonts w:asciiTheme="majorBidi" w:hAnsiTheme="majorBidi" w:cstheme="majorBidi"/>
          <w:sz w:val="24"/>
          <w:szCs w:val="24"/>
        </w:rPr>
        <w:footnoteReference w:id="133"/>
      </w:r>
    </w:p>
    <w:p w14:paraId="28CAF397" w14:textId="4C2A11A3" w:rsidR="00AE743C" w:rsidRDefault="00AE743C" w:rsidP="009817D0">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     </w:t>
      </w:r>
      <w:r w:rsidR="00870603">
        <w:rPr>
          <w:rFonts w:asciiTheme="majorBidi" w:hAnsiTheme="majorBidi" w:cstheme="majorBidi"/>
          <w:sz w:val="24"/>
          <w:szCs w:val="24"/>
        </w:rPr>
        <w:t>T</w:t>
      </w:r>
      <w:r w:rsidR="001B0100">
        <w:rPr>
          <w:rFonts w:asciiTheme="majorBidi" w:hAnsiTheme="majorBidi" w:cstheme="majorBidi"/>
          <w:sz w:val="24"/>
          <w:szCs w:val="24"/>
        </w:rPr>
        <w:t xml:space="preserve">he Yabghū was </w:t>
      </w:r>
      <w:r w:rsidR="00870603">
        <w:rPr>
          <w:rFonts w:asciiTheme="majorBidi" w:hAnsiTheme="majorBidi" w:cstheme="majorBidi"/>
          <w:sz w:val="24"/>
          <w:szCs w:val="24"/>
        </w:rPr>
        <w:t xml:space="preserve">first </w:t>
      </w:r>
      <w:r w:rsidR="001B0100">
        <w:rPr>
          <w:rFonts w:asciiTheme="majorBidi" w:hAnsiTheme="majorBidi" w:cstheme="majorBidi"/>
          <w:sz w:val="24"/>
          <w:szCs w:val="24"/>
        </w:rPr>
        <w:t xml:space="preserve">detained by </w:t>
      </w:r>
      <w:r w:rsidR="00BF1247">
        <w:rPr>
          <w:rFonts w:asciiTheme="majorBidi" w:hAnsiTheme="majorBidi" w:cstheme="majorBidi"/>
          <w:sz w:val="24"/>
          <w:szCs w:val="24"/>
        </w:rPr>
        <w:t xml:space="preserve">his vassal the </w:t>
      </w:r>
      <w:r w:rsidR="001B0100">
        <w:rPr>
          <w:rFonts w:asciiTheme="majorBidi" w:hAnsiTheme="majorBidi" w:cstheme="majorBidi"/>
          <w:sz w:val="24"/>
          <w:szCs w:val="24"/>
        </w:rPr>
        <w:t>Hephthalite Nīzak in 709 CE</w:t>
      </w:r>
      <w:r w:rsidR="00870603">
        <w:rPr>
          <w:rFonts w:asciiTheme="majorBidi" w:hAnsiTheme="majorBidi" w:cstheme="majorBidi"/>
          <w:sz w:val="24"/>
          <w:szCs w:val="24"/>
        </w:rPr>
        <w:t>,</w:t>
      </w:r>
      <w:r w:rsidR="009817D0">
        <w:rPr>
          <w:rStyle w:val="FootnoteReference"/>
          <w:rFonts w:asciiTheme="majorBidi" w:hAnsiTheme="majorBidi" w:cstheme="majorBidi"/>
          <w:sz w:val="24"/>
          <w:szCs w:val="24"/>
        </w:rPr>
        <w:footnoteReference w:id="134"/>
      </w:r>
      <w:r w:rsidR="00870603">
        <w:rPr>
          <w:rFonts w:asciiTheme="majorBidi" w:hAnsiTheme="majorBidi" w:cstheme="majorBidi"/>
          <w:sz w:val="24"/>
          <w:szCs w:val="24"/>
        </w:rPr>
        <w:t xml:space="preserve"> and sent by Qutayba</w:t>
      </w:r>
      <w:r>
        <w:rPr>
          <w:rFonts w:asciiTheme="majorBidi" w:hAnsiTheme="majorBidi" w:cstheme="majorBidi"/>
          <w:sz w:val="24"/>
          <w:szCs w:val="24"/>
        </w:rPr>
        <w:t xml:space="preserve"> to the Umayyad caliph al-Walīd (705-15 CE) in Damascus as a </w:t>
      </w:r>
      <w:r w:rsidRPr="00756018">
        <w:rPr>
          <w:rFonts w:asciiTheme="majorBidi" w:hAnsiTheme="majorBidi" w:cstheme="majorBidi"/>
          <w:sz w:val="24"/>
          <w:szCs w:val="24"/>
        </w:rPr>
        <w:t>hostage</w:t>
      </w:r>
      <w:r w:rsidR="00870603">
        <w:rPr>
          <w:rFonts w:asciiTheme="majorBidi" w:hAnsiTheme="majorBidi" w:cstheme="majorBidi"/>
          <w:sz w:val="24"/>
          <w:szCs w:val="24"/>
        </w:rPr>
        <w:t xml:space="preserve"> after the capture and execution of Nīzak</w:t>
      </w:r>
      <w:r w:rsidRPr="00756018">
        <w:rPr>
          <w:rFonts w:asciiTheme="majorBidi" w:hAnsiTheme="majorBidi" w:cstheme="majorBidi"/>
          <w:sz w:val="24"/>
          <w:szCs w:val="24"/>
        </w:rPr>
        <w:t>.</w:t>
      </w:r>
      <w:r w:rsidRPr="00756018">
        <w:rPr>
          <w:rStyle w:val="FootnoteReference"/>
          <w:rFonts w:asciiTheme="majorBidi" w:hAnsiTheme="majorBidi" w:cstheme="majorBidi"/>
          <w:sz w:val="24"/>
          <w:szCs w:val="24"/>
        </w:rPr>
        <w:footnoteReference w:id="135"/>
      </w:r>
      <w:r w:rsidR="009817D0">
        <w:rPr>
          <w:rFonts w:asciiTheme="majorBidi" w:hAnsiTheme="majorBidi" w:cstheme="majorBidi"/>
          <w:sz w:val="24"/>
          <w:szCs w:val="24"/>
        </w:rPr>
        <w:t xml:space="preserve"> </w:t>
      </w:r>
      <w:r w:rsidR="00870603">
        <w:rPr>
          <w:rFonts w:asciiTheme="majorBidi" w:hAnsiTheme="majorBidi" w:cstheme="majorBidi"/>
          <w:sz w:val="24"/>
          <w:szCs w:val="24"/>
        </w:rPr>
        <w:t xml:space="preserve">Why did Nīzak detain his lord the Yabghū instead of fighting the Arabs together? In order to answer the question, </w:t>
      </w:r>
      <w:r w:rsidR="009817D0">
        <w:rPr>
          <w:rFonts w:asciiTheme="majorBidi" w:hAnsiTheme="majorBidi" w:cstheme="majorBidi"/>
          <w:sz w:val="24"/>
          <w:szCs w:val="24"/>
        </w:rPr>
        <w:t xml:space="preserve">a study of the Hephthalite princepalites in </w:t>
      </w:r>
      <w:r w:rsidR="009817D0" w:rsidRPr="000058F3">
        <w:rPr>
          <w:rFonts w:asciiTheme="majorBidi" w:hAnsiTheme="majorBidi" w:cstheme="majorBidi"/>
          <w:sz w:val="24"/>
          <w:szCs w:val="24"/>
        </w:rPr>
        <w:t>Ṭukhāristān</w:t>
      </w:r>
      <w:r w:rsidR="009817D0">
        <w:rPr>
          <w:rFonts w:asciiTheme="majorBidi" w:hAnsiTheme="majorBidi" w:cstheme="majorBidi"/>
          <w:sz w:val="24"/>
          <w:szCs w:val="24"/>
        </w:rPr>
        <w:t xml:space="preserve"> is necessary.</w:t>
      </w:r>
    </w:p>
    <w:p w14:paraId="6B1A8FE9" w14:textId="537E967D" w:rsidR="00145434" w:rsidRPr="006C7EB2" w:rsidRDefault="00EA7A77" w:rsidP="008F6460">
      <w:pPr>
        <w:pStyle w:val="Heading3"/>
        <w:spacing w:line="360" w:lineRule="auto"/>
        <w:rPr>
          <w:rFonts w:asciiTheme="majorBidi" w:hAnsiTheme="majorBidi"/>
          <w:b/>
          <w:bCs/>
          <w:color w:val="auto"/>
        </w:rPr>
      </w:pPr>
      <w:bookmarkStart w:id="8" w:name="_Toc91623874"/>
      <w:r>
        <w:rPr>
          <w:rFonts w:asciiTheme="majorBidi" w:hAnsiTheme="majorBidi"/>
          <w:b/>
          <w:bCs/>
          <w:color w:val="auto"/>
        </w:rPr>
        <w:t>2</w:t>
      </w:r>
      <w:r w:rsidR="0063525E">
        <w:rPr>
          <w:rFonts w:asciiTheme="majorBidi" w:hAnsiTheme="majorBidi"/>
          <w:b/>
          <w:bCs/>
          <w:color w:val="auto"/>
        </w:rPr>
        <w:t>.</w:t>
      </w:r>
      <w:r w:rsidR="006E6653" w:rsidRPr="006C7EB2">
        <w:rPr>
          <w:rFonts w:asciiTheme="majorBidi" w:hAnsiTheme="majorBidi"/>
          <w:b/>
          <w:bCs/>
          <w:color w:val="auto"/>
        </w:rPr>
        <w:t xml:space="preserve">2 </w:t>
      </w:r>
      <w:r w:rsidR="00EF7AF4">
        <w:rPr>
          <w:rFonts w:asciiTheme="majorBidi" w:hAnsiTheme="majorBidi"/>
          <w:b/>
          <w:bCs/>
          <w:color w:val="auto"/>
        </w:rPr>
        <w:t xml:space="preserve">The </w:t>
      </w:r>
      <w:r w:rsidR="00145434" w:rsidRPr="006C7EB2">
        <w:rPr>
          <w:rFonts w:asciiTheme="majorBidi" w:hAnsiTheme="majorBidi"/>
          <w:b/>
          <w:bCs/>
          <w:color w:val="auto"/>
        </w:rPr>
        <w:t xml:space="preserve">Nīzak </w:t>
      </w:r>
      <w:r w:rsidR="0036029A">
        <w:rPr>
          <w:rFonts w:asciiTheme="majorBidi" w:hAnsiTheme="majorBidi"/>
          <w:b/>
          <w:bCs/>
          <w:color w:val="auto"/>
        </w:rPr>
        <w:t>dynasty</w:t>
      </w:r>
      <w:r w:rsidR="007F24F4" w:rsidRPr="006C7EB2">
        <w:rPr>
          <w:rFonts w:asciiTheme="majorBidi" w:hAnsiTheme="majorBidi"/>
          <w:b/>
          <w:bCs/>
          <w:color w:val="auto"/>
        </w:rPr>
        <w:t xml:space="preserve"> </w:t>
      </w:r>
      <w:r w:rsidR="007F24F4" w:rsidRPr="006C7EB2">
        <w:rPr>
          <w:rFonts w:asciiTheme="majorBidi" w:hAnsiTheme="majorBidi" w:hint="eastAsia"/>
          <w:b/>
          <w:bCs/>
          <w:color w:val="auto"/>
        </w:rPr>
        <w:t>a</w:t>
      </w:r>
      <w:r w:rsidR="007F24F4" w:rsidRPr="006C7EB2">
        <w:rPr>
          <w:rFonts w:asciiTheme="majorBidi" w:hAnsiTheme="majorBidi"/>
          <w:b/>
          <w:bCs/>
          <w:color w:val="auto"/>
        </w:rPr>
        <w:t>nd the Hephthalites</w:t>
      </w:r>
      <w:bookmarkEnd w:id="8"/>
    </w:p>
    <w:p w14:paraId="6CC9B907" w14:textId="515699D1" w:rsidR="00DB6D3C" w:rsidRPr="00032908" w:rsidRDefault="00DB6D3C" w:rsidP="00DB6D3C">
      <w:pPr>
        <w:spacing w:line="360" w:lineRule="auto"/>
        <w:rPr>
          <w:rFonts w:asciiTheme="majorBidi" w:hAnsiTheme="majorBidi" w:cstheme="majorBidi"/>
          <w:sz w:val="24"/>
          <w:szCs w:val="24"/>
        </w:rPr>
      </w:pPr>
      <w:r>
        <w:rPr>
          <w:rFonts w:asciiTheme="majorBidi" w:hAnsiTheme="majorBidi" w:cstheme="majorBidi"/>
          <w:sz w:val="24"/>
          <w:szCs w:val="24"/>
        </w:rPr>
        <w:t xml:space="preserve">Although both the Muslim and Chinese sources record that the Yabghū dynasty was the suzerain of </w:t>
      </w:r>
      <w:r w:rsidRPr="00A8503B">
        <w:rPr>
          <w:rFonts w:asciiTheme="majorBidi" w:hAnsiTheme="majorBidi"/>
          <w:sz w:val="24"/>
          <w:szCs w:val="24"/>
        </w:rPr>
        <w:t>Ṭukhāristān</w:t>
      </w:r>
      <w:r>
        <w:rPr>
          <w:rFonts w:asciiTheme="majorBidi" w:hAnsiTheme="majorBidi" w:cstheme="majorBidi"/>
          <w:sz w:val="24"/>
          <w:szCs w:val="24"/>
        </w:rPr>
        <w:t xml:space="preserve">, the power and influence of the dynasty was largely limited to eastern </w:t>
      </w:r>
      <w:r w:rsidRPr="00A8503B">
        <w:rPr>
          <w:rFonts w:asciiTheme="majorBidi" w:hAnsiTheme="majorBidi"/>
          <w:sz w:val="24"/>
          <w:szCs w:val="24"/>
        </w:rPr>
        <w:t>Ṭukhāristān</w:t>
      </w:r>
      <w:r>
        <w:rPr>
          <w:rFonts w:asciiTheme="majorBidi" w:hAnsiTheme="majorBidi"/>
          <w:sz w:val="24"/>
          <w:szCs w:val="24"/>
        </w:rPr>
        <w:t xml:space="preserve"> and not beyond Balkh because of the insignificant number of Turkic immigrants into the region,</w:t>
      </w:r>
      <w:r>
        <w:rPr>
          <w:rStyle w:val="FootnoteReference"/>
          <w:rFonts w:asciiTheme="majorBidi" w:hAnsiTheme="majorBidi"/>
          <w:sz w:val="24"/>
          <w:szCs w:val="24"/>
        </w:rPr>
        <w:footnoteReference w:id="136"/>
      </w:r>
      <w:r>
        <w:rPr>
          <w:rFonts w:asciiTheme="majorBidi" w:hAnsiTheme="majorBidi"/>
          <w:sz w:val="24"/>
          <w:szCs w:val="24"/>
        </w:rPr>
        <w:t xml:space="preserve"> while the Hephthalite principalities dominated </w:t>
      </w:r>
      <w:r>
        <w:rPr>
          <w:rFonts w:asciiTheme="majorBidi" w:hAnsiTheme="majorBidi"/>
          <w:sz w:val="24"/>
          <w:szCs w:val="24"/>
        </w:rPr>
        <w:lastRenderedPageBreak/>
        <w:t>but not were limited to western</w:t>
      </w:r>
      <w:r>
        <w:rPr>
          <w:rFonts w:asciiTheme="majorBidi" w:hAnsiTheme="majorBidi" w:cstheme="majorBidi"/>
          <w:sz w:val="24"/>
          <w:szCs w:val="24"/>
        </w:rPr>
        <w:t xml:space="preserve"> </w:t>
      </w:r>
      <w:r w:rsidR="00222C66" w:rsidRPr="00A8503B">
        <w:rPr>
          <w:rFonts w:asciiTheme="majorBidi" w:hAnsiTheme="majorBidi"/>
          <w:sz w:val="24"/>
          <w:szCs w:val="24"/>
        </w:rPr>
        <w:t>Ṭukhāristān</w:t>
      </w:r>
      <w:r w:rsidR="00222C66">
        <w:rPr>
          <w:rFonts w:asciiTheme="majorBidi" w:hAnsiTheme="majorBidi" w:cstheme="majorBidi"/>
          <w:sz w:val="24"/>
          <w:szCs w:val="24"/>
        </w:rPr>
        <w:t xml:space="preserve"> because of their quantity superiority</w:t>
      </w:r>
      <w:r>
        <w:rPr>
          <w:rFonts w:asciiTheme="majorBidi" w:hAnsiTheme="majorBidi" w:cstheme="majorBidi"/>
          <w:sz w:val="24"/>
          <w:szCs w:val="24"/>
        </w:rPr>
        <w:t xml:space="preserve">. </w:t>
      </w:r>
      <w:r w:rsidR="00222C66">
        <w:rPr>
          <w:rFonts w:asciiTheme="majorBidi" w:hAnsiTheme="majorBidi" w:cstheme="majorBidi"/>
          <w:sz w:val="24"/>
          <w:szCs w:val="24"/>
        </w:rPr>
        <w:t>Gradually, they became de facto independent or semi-independent,</w:t>
      </w:r>
      <w:r w:rsidR="00222C66">
        <w:rPr>
          <w:rStyle w:val="FootnoteReference"/>
          <w:rFonts w:asciiTheme="majorBidi" w:hAnsiTheme="majorBidi" w:cstheme="majorBidi"/>
          <w:sz w:val="24"/>
          <w:szCs w:val="24"/>
        </w:rPr>
        <w:footnoteReference w:id="137"/>
      </w:r>
      <w:r w:rsidR="00222C66">
        <w:rPr>
          <w:rFonts w:asciiTheme="majorBidi" w:hAnsiTheme="majorBidi" w:cstheme="majorBidi"/>
          <w:sz w:val="24"/>
          <w:szCs w:val="24"/>
        </w:rPr>
        <w:t xml:space="preserve"> and were merely nominal vassals of the Turks.</w:t>
      </w:r>
      <w:r w:rsidR="00222C66">
        <w:rPr>
          <w:rStyle w:val="FootnoteReference"/>
          <w:rFonts w:asciiTheme="majorBidi" w:hAnsiTheme="majorBidi" w:cstheme="majorBidi"/>
          <w:sz w:val="24"/>
          <w:szCs w:val="24"/>
        </w:rPr>
        <w:footnoteReference w:id="138"/>
      </w:r>
    </w:p>
    <w:p w14:paraId="42ABC5C5" w14:textId="1169EAAE" w:rsidR="00DC41C8" w:rsidRDefault="004C1C06" w:rsidP="00BA50E3">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36029A">
        <w:rPr>
          <w:rFonts w:asciiTheme="majorBidi" w:hAnsiTheme="majorBidi" w:cstheme="majorBidi"/>
          <w:sz w:val="24"/>
          <w:szCs w:val="24"/>
        </w:rPr>
        <w:t>And the most prominent of the Hepthalite principalities was the N</w:t>
      </w:r>
      <w:r w:rsidR="0036029A" w:rsidRPr="0036029A">
        <w:rPr>
          <w:rFonts w:asciiTheme="majorBidi" w:hAnsiTheme="majorBidi" w:cstheme="majorBidi"/>
          <w:sz w:val="24"/>
          <w:szCs w:val="24"/>
        </w:rPr>
        <w:t>īzak dynasty</w:t>
      </w:r>
      <w:r w:rsidR="006B12CA">
        <w:rPr>
          <w:rFonts w:asciiTheme="majorBidi" w:hAnsiTheme="majorBidi" w:cstheme="majorBidi"/>
          <w:sz w:val="24"/>
          <w:szCs w:val="24"/>
        </w:rPr>
        <w:t xml:space="preserve"> based in Bādghīs</w:t>
      </w:r>
      <w:r w:rsidR="00222C66">
        <w:rPr>
          <w:rFonts w:asciiTheme="majorBidi" w:hAnsiTheme="majorBidi" w:cstheme="majorBidi"/>
          <w:sz w:val="24"/>
          <w:szCs w:val="24"/>
        </w:rPr>
        <w:t xml:space="preserve">, a region to </w:t>
      </w:r>
      <w:r w:rsidR="00222C66" w:rsidRPr="000A0B25">
        <w:rPr>
          <w:rFonts w:asciiTheme="majorBidi" w:hAnsiTheme="majorBidi" w:cstheme="majorBidi"/>
          <w:sz w:val="24"/>
          <w:szCs w:val="24"/>
        </w:rPr>
        <w:t>the right bank of the Harī Rūd and to the left bank of the Murghāb and lying between Herat and Sarakhs</w:t>
      </w:r>
      <w:r w:rsidR="0036029A" w:rsidRPr="0036029A">
        <w:rPr>
          <w:rFonts w:asciiTheme="majorBidi" w:hAnsiTheme="majorBidi" w:cstheme="majorBidi"/>
          <w:sz w:val="24"/>
          <w:szCs w:val="24"/>
        </w:rPr>
        <w:t xml:space="preserve">. </w:t>
      </w:r>
      <w:r w:rsidR="0036029A">
        <w:rPr>
          <w:rFonts w:asciiTheme="majorBidi" w:hAnsiTheme="majorBidi" w:cstheme="majorBidi"/>
          <w:sz w:val="24"/>
          <w:szCs w:val="24"/>
        </w:rPr>
        <w:t xml:space="preserve">Due to </w:t>
      </w:r>
      <w:r w:rsidR="006B12CA">
        <w:rPr>
          <w:rFonts w:asciiTheme="majorBidi" w:hAnsiTheme="majorBidi" w:cstheme="majorBidi"/>
          <w:sz w:val="24"/>
          <w:szCs w:val="24"/>
        </w:rPr>
        <w:t xml:space="preserve">its closeness to Marw, where the Arabs of Khurasan based, the dynasty interacted more frequently with the Arabs. </w:t>
      </w:r>
      <w:r w:rsidR="000967D0">
        <w:rPr>
          <w:rFonts w:asciiTheme="majorBidi" w:hAnsiTheme="majorBidi" w:cstheme="majorBidi"/>
          <w:sz w:val="24"/>
          <w:szCs w:val="24"/>
        </w:rPr>
        <w:t>And</w:t>
      </w:r>
      <w:r w:rsidR="006B12CA">
        <w:rPr>
          <w:rFonts w:asciiTheme="majorBidi" w:hAnsiTheme="majorBidi" w:cstheme="majorBidi"/>
          <w:sz w:val="24"/>
          <w:szCs w:val="24"/>
        </w:rPr>
        <w:t xml:space="preserve"> relevant</w:t>
      </w:r>
      <w:r w:rsidR="000967D0">
        <w:rPr>
          <w:rFonts w:asciiTheme="majorBidi" w:hAnsiTheme="majorBidi" w:cstheme="majorBidi"/>
          <w:sz w:val="24"/>
          <w:szCs w:val="24"/>
        </w:rPr>
        <w:t>ly rich</w:t>
      </w:r>
      <w:r w:rsidR="006B12CA">
        <w:rPr>
          <w:rFonts w:asciiTheme="majorBidi" w:hAnsiTheme="majorBidi" w:cstheme="majorBidi"/>
          <w:sz w:val="24"/>
          <w:szCs w:val="24"/>
        </w:rPr>
        <w:t xml:space="preserve"> records are found in the Muslim sources.</w:t>
      </w:r>
    </w:p>
    <w:p w14:paraId="2C64B89C" w14:textId="124DC7B4" w:rsidR="00752E4F" w:rsidRDefault="00464CBA" w:rsidP="00DC41C8">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As mentioned above, </w:t>
      </w:r>
      <w:r w:rsidR="004A683D">
        <w:rPr>
          <w:rFonts w:asciiTheme="majorBidi" w:hAnsiTheme="majorBidi" w:cstheme="majorBidi"/>
          <w:sz w:val="24"/>
          <w:szCs w:val="24"/>
        </w:rPr>
        <w:t xml:space="preserve">a certain </w:t>
      </w:r>
      <w:r w:rsidR="0009025B">
        <w:rPr>
          <w:rFonts w:asciiTheme="majorBidi" w:hAnsiTheme="majorBidi" w:cstheme="majorBidi"/>
          <w:sz w:val="24"/>
          <w:szCs w:val="24"/>
        </w:rPr>
        <w:t>Nīzak Ṭarkhān</w:t>
      </w:r>
      <w:r w:rsidR="00AE1EFD">
        <w:rPr>
          <w:rFonts w:asciiTheme="majorBidi" w:hAnsiTheme="majorBidi" w:cstheme="majorBidi"/>
          <w:sz w:val="24"/>
          <w:szCs w:val="24"/>
        </w:rPr>
        <w:t xml:space="preserve">, </w:t>
      </w:r>
      <w:r w:rsidR="006D2A0A">
        <w:rPr>
          <w:rFonts w:asciiTheme="majorBidi" w:hAnsiTheme="majorBidi" w:cstheme="majorBidi"/>
          <w:sz w:val="24"/>
          <w:szCs w:val="24"/>
        </w:rPr>
        <w:t>detained</w:t>
      </w:r>
      <w:r w:rsidR="00AE1EFD">
        <w:rPr>
          <w:rFonts w:asciiTheme="majorBidi" w:hAnsiTheme="majorBidi" w:cstheme="majorBidi"/>
          <w:sz w:val="24"/>
          <w:szCs w:val="24"/>
        </w:rPr>
        <w:t xml:space="preserve"> his lord the Yabghū</w:t>
      </w:r>
      <w:r w:rsidR="00B71ACA">
        <w:rPr>
          <w:rFonts w:asciiTheme="majorBidi" w:hAnsiTheme="majorBidi" w:cstheme="majorBidi"/>
          <w:sz w:val="24"/>
          <w:szCs w:val="24"/>
        </w:rPr>
        <w:t xml:space="preserve"> and rebell</w:t>
      </w:r>
      <w:r w:rsidR="00CC45E9">
        <w:rPr>
          <w:rFonts w:asciiTheme="majorBidi" w:hAnsiTheme="majorBidi" w:cstheme="majorBidi"/>
          <w:sz w:val="24"/>
          <w:szCs w:val="24"/>
        </w:rPr>
        <w:t>ed</w:t>
      </w:r>
      <w:r w:rsidR="00B71ACA">
        <w:rPr>
          <w:rFonts w:asciiTheme="majorBidi" w:hAnsiTheme="majorBidi" w:cstheme="majorBidi"/>
          <w:sz w:val="24"/>
          <w:szCs w:val="24"/>
        </w:rPr>
        <w:t xml:space="preserve"> against Qutayba</w:t>
      </w:r>
      <w:r w:rsidR="00AE1EFD">
        <w:rPr>
          <w:rFonts w:asciiTheme="majorBidi" w:hAnsiTheme="majorBidi" w:cstheme="majorBidi"/>
          <w:sz w:val="24"/>
          <w:szCs w:val="24"/>
        </w:rPr>
        <w:t>.</w:t>
      </w:r>
      <w:r w:rsidR="006D2A0A">
        <w:rPr>
          <w:rStyle w:val="FootnoteReference"/>
          <w:rFonts w:asciiTheme="majorBidi" w:hAnsiTheme="majorBidi" w:cstheme="majorBidi"/>
          <w:sz w:val="24"/>
          <w:szCs w:val="24"/>
        </w:rPr>
        <w:footnoteReference w:id="139"/>
      </w:r>
      <w:r w:rsidR="00AE1EFD">
        <w:rPr>
          <w:rFonts w:asciiTheme="majorBidi" w:hAnsiTheme="majorBidi" w:cstheme="majorBidi"/>
          <w:sz w:val="24"/>
          <w:szCs w:val="24"/>
        </w:rPr>
        <w:t xml:space="preserve"> </w:t>
      </w:r>
      <w:r>
        <w:rPr>
          <w:rFonts w:asciiTheme="majorBidi" w:hAnsiTheme="majorBidi" w:cstheme="majorBidi"/>
          <w:sz w:val="24"/>
          <w:szCs w:val="24"/>
        </w:rPr>
        <w:t xml:space="preserve">This Nīzak, who </w:t>
      </w:r>
      <w:r w:rsidR="0009025B">
        <w:rPr>
          <w:rFonts w:asciiTheme="majorBidi" w:hAnsiTheme="majorBidi" w:cstheme="majorBidi"/>
          <w:sz w:val="24"/>
          <w:szCs w:val="24"/>
        </w:rPr>
        <w:t xml:space="preserve">was active in </w:t>
      </w:r>
      <w:r w:rsidR="0009025B" w:rsidRPr="00C43B5F">
        <w:rPr>
          <w:rFonts w:asciiTheme="majorBidi" w:hAnsiTheme="majorBidi" w:cstheme="majorBidi"/>
          <w:sz w:val="24"/>
          <w:szCs w:val="24"/>
        </w:rPr>
        <w:t>Ṭukhāristān</w:t>
      </w:r>
      <w:r w:rsidR="0009025B">
        <w:rPr>
          <w:rFonts w:asciiTheme="majorBidi" w:hAnsiTheme="majorBidi" w:cstheme="majorBidi"/>
          <w:sz w:val="24"/>
          <w:szCs w:val="24"/>
        </w:rPr>
        <w:t xml:space="preserve"> in </w:t>
      </w:r>
      <w:r w:rsidR="00F967A4">
        <w:rPr>
          <w:rFonts w:asciiTheme="majorBidi" w:hAnsiTheme="majorBidi" w:cstheme="majorBidi"/>
          <w:sz w:val="24"/>
          <w:szCs w:val="24"/>
        </w:rPr>
        <w:t xml:space="preserve">the </w:t>
      </w:r>
      <w:r w:rsidR="0009025B">
        <w:rPr>
          <w:rFonts w:asciiTheme="majorBidi" w:hAnsiTheme="majorBidi" w:cstheme="majorBidi"/>
          <w:sz w:val="24"/>
          <w:szCs w:val="24"/>
        </w:rPr>
        <w:t xml:space="preserve">690s and </w:t>
      </w:r>
      <w:r w:rsidR="00F967A4">
        <w:rPr>
          <w:rFonts w:asciiTheme="majorBidi" w:hAnsiTheme="majorBidi" w:cstheme="majorBidi"/>
          <w:sz w:val="24"/>
          <w:szCs w:val="24"/>
        </w:rPr>
        <w:t xml:space="preserve">the </w:t>
      </w:r>
      <w:r w:rsidR="0009025B">
        <w:rPr>
          <w:rFonts w:asciiTheme="majorBidi" w:hAnsiTheme="majorBidi" w:cstheme="majorBidi"/>
          <w:sz w:val="24"/>
          <w:szCs w:val="24"/>
        </w:rPr>
        <w:t>700s</w:t>
      </w:r>
      <w:r>
        <w:rPr>
          <w:rFonts w:asciiTheme="majorBidi" w:hAnsiTheme="majorBidi" w:cstheme="majorBidi"/>
          <w:sz w:val="24"/>
          <w:szCs w:val="24"/>
        </w:rPr>
        <w:t>,</w:t>
      </w:r>
      <w:r w:rsidR="00BA50E3">
        <w:rPr>
          <w:rStyle w:val="FootnoteReference"/>
          <w:rFonts w:asciiTheme="majorBidi" w:hAnsiTheme="majorBidi" w:cstheme="majorBidi"/>
          <w:sz w:val="24"/>
          <w:szCs w:val="24"/>
        </w:rPr>
        <w:footnoteReference w:id="140"/>
      </w:r>
      <w:r w:rsidR="00C76C7E">
        <w:rPr>
          <w:rFonts w:asciiTheme="majorBidi" w:hAnsiTheme="majorBidi" w:cstheme="majorBidi"/>
          <w:sz w:val="24"/>
          <w:szCs w:val="24"/>
        </w:rPr>
        <w:t xml:space="preserve"> </w:t>
      </w:r>
      <w:r>
        <w:rPr>
          <w:rFonts w:asciiTheme="majorBidi" w:hAnsiTheme="majorBidi" w:cstheme="majorBidi"/>
          <w:sz w:val="24"/>
          <w:szCs w:val="24"/>
        </w:rPr>
        <w:t xml:space="preserve">is not the only ruler bearing the same name. According to al-Ṭabarī, Nīzak Ṭarkhān fought Yazdegerd III in 651 CE when called by the </w:t>
      </w:r>
      <w:r w:rsidRPr="00527E5C">
        <w:rPr>
          <w:rFonts w:asciiTheme="majorBidi" w:hAnsiTheme="majorBidi" w:cstheme="majorBidi"/>
          <w:i/>
          <w:iCs/>
          <w:sz w:val="24"/>
          <w:szCs w:val="24"/>
        </w:rPr>
        <w:t xml:space="preserve">marzbān </w:t>
      </w:r>
      <w:r>
        <w:rPr>
          <w:rFonts w:asciiTheme="majorBidi" w:hAnsiTheme="majorBidi" w:cstheme="majorBidi"/>
          <w:sz w:val="24"/>
          <w:szCs w:val="24"/>
        </w:rPr>
        <w:t>of Marw.</w:t>
      </w:r>
      <w:r>
        <w:rPr>
          <w:rStyle w:val="FootnoteReference"/>
          <w:rFonts w:asciiTheme="majorBidi" w:hAnsiTheme="majorBidi" w:cstheme="majorBidi"/>
          <w:sz w:val="24"/>
          <w:szCs w:val="24"/>
        </w:rPr>
        <w:footnoteReference w:id="141"/>
      </w:r>
      <w:r>
        <w:rPr>
          <w:rFonts w:asciiTheme="majorBidi" w:hAnsiTheme="majorBidi" w:cstheme="majorBidi"/>
          <w:sz w:val="24"/>
          <w:szCs w:val="24"/>
        </w:rPr>
        <w:t xml:space="preserve"> And it is reasonable to suggest that there were two Nīzaks of the same dynasty, since it is unlikely that the same ruler could be active for nearly six decades.</w:t>
      </w:r>
      <w:r>
        <w:rPr>
          <w:rStyle w:val="FootnoteReference"/>
          <w:rFonts w:asciiTheme="majorBidi" w:hAnsiTheme="majorBidi" w:cstheme="majorBidi"/>
          <w:sz w:val="24"/>
          <w:szCs w:val="24"/>
        </w:rPr>
        <w:footnoteReference w:id="142"/>
      </w:r>
      <w:r>
        <w:rPr>
          <w:rFonts w:asciiTheme="majorBidi" w:hAnsiTheme="majorBidi" w:cstheme="majorBidi"/>
          <w:sz w:val="24"/>
          <w:szCs w:val="24"/>
        </w:rPr>
        <w:t xml:space="preserve"> </w:t>
      </w:r>
      <w:r w:rsidR="00B87F41">
        <w:rPr>
          <w:rFonts w:asciiTheme="majorBidi" w:hAnsiTheme="majorBidi" w:cstheme="majorBidi"/>
          <w:sz w:val="24"/>
          <w:szCs w:val="24"/>
        </w:rPr>
        <w:t>Moreover, t</w:t>
      </w:r>
      <w:r w:rsidR="00494790">
        <w:rPr>
          <w:rFonts w:asciiTheme="majorBidi" w:hAnsiTheme="majorBidi" w:cstheme="majorBidi"/>
          <w:sz w:val="24"/>
          <w:szCs w:val="24"/>
        </w:rPr>
        <w:t xml:space="preserve">hese </w:t>
      </w:r>
      <w:r w:rsidR="00494790">
        <w:rPr>
          <w:rFonts w:asciiTheme="majorBidi" w:hAnsiTheme="majorBidi" w:cstheme="majorBidi"/>
          <w:sz w:val="24"/>
          <w:szCs w:val="24"/>
        </w:rPr>
        <w:lastRenderedPageBreak/>
        <w:t xml:space="preserve">reports clearly depict </w:t>
      </w:r>
      <w:r w:rsidR="006D2A0A">
        <w:rPr>
          <w:rFonts w:asciiTheme="majorBidi" w:hAnsiTheme="majorBidi" w:cstheme="majorBidi"/>
          <w:sz w:val="24"/>
          <w:szCs w:val="24"/>
        </w:rPr>
        <w:t>a</w:t>
      </w:r>
      <w:r w:rsidR="006066A7">
        <w:rPr>
          <w:rFonts w:asciiTheme="majorBidi" w:hAnsiTheme="majorBidi" w:cstheme="majorBidi"/>
          <w:sz w:val="24"/>
          <w:szCs w:val="24"/>
        </w:rPr>
        <w:t xml:space="preserve"> </w:t>
      </w:r>
      <w:r w:rsidR="006D2A0A">
        <w:rPr>
          <w:rFonts w:asciiTheme="majorBidi" w:hAnsiTheme="majorBidi" w:cstheme="majorBidi"/>
          <w:sz w:val="24"/>
          <w:szCs w:val="24"/>
        </w:rPr>
        <w:t>power strong enough to</w:t>
      </w:r>
      <w:r w:rsidR="006066A7">
        <w:rPr>
          <w:rFonts w:asciiTheme="majorBidi" w:hAnsiTheme="majorBidi" w:cstheme="majorBidi"/>
          <w:sz w:val="24"/>
          <w:szCs w:val="24"/>
        </w:rPr>
        <w:t xml:space="preserve"> challenge</w:t>
      </w:r>
      <w:r w:rsidR="00494790">
        <w:rPr>
          <w:rFonts w:asciiTheme="majorBidi" w:hAnsiTheme="majorBidi" w:cstheme="majorBidi"/>
          <w:sz w:val="24"/>
          <w:szCs w:val="24"/>
        </w:rPr>
        <w:t xml:space="preserve"> his lord and </w:t>
      </w:r>
      <w:r w:rsidR="006066A7">
        <w:rPr>
          <w:rFonts w:asciiTheme="majorBidi" w:hAnsiTheme="majorBidi" w:cstheme="majorBidi"/>
          <w:sz w:val="24"/>
          <w:szCs w:val="24"/>
        </w:rPr>
        <w:t>to organize</w:t>
      </w:r>
      <w:r w:rsidR="00494790">
        <w:rPr>
          <w:rFonts w:asciiTheme="majorBidi" w:hAnsiTheme="majorBidi" w:cstheme="majorBidi"/>
          <w:sz w:val="24"/>
          <w:szCs w:val="24"/>
        </w:rPr>
        <w:t xml:space="preserve"> an anti-Arab coalition in </w:t>
      </w:r>
      <w:r w:rsidR="00494790" w:rsidRPr="00C43B5F">
        <w:rPr>
          <w:rFonts w:asciiTheme="majorBidi" w:hAnsiTheme="majorBidi" w:cstheme="majorBidi"/>
          <w:sz w:val="24"/>
          <w:szCs w:val="24"/>
        </w:rPr>
        <w:t>Ṭukhāristān</w:t>
      </w:r>
      <w:r w:rsidR="00494790">
        <w:rPr>
          <w:rFonts w:asciiTheme="majorBidi" w:hAnsiTheme="majorBidi" w:cstheme="majorBidi"/>
          <w:sz w:val="24"/>
          <w:szCs w:val="24"/>
        </w:rPr>
        <w:t xml:space="preserve"> in 709 CE.</w:t>
      </w:r>
      <w:r w:rsidR="006D2A0A">
        <w:rPr>
          <w:rStyle w:val="FootnoteReference"/>
          <w:rFonts w:asciiTheme="majorBidi" w:hAnsiTheme="majorBidi" w:cstheme="majorBidi"/>
          <w:sz w:val="24"/>
          <w:szCs w:val="24"/>
        </w:rPr>
        <w:footnoteReference w:id="143"/>
      </w:r>
    </w:p>
    <w:p w14:paraId="07819402" w14:textId="1C014D5B" w:rsidR="00D661B7" w:rsidRDefault="00752E4F" w:rsidP="00752E4F">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B87F41">
        <w:rPr>
          <w:rFonts w:asciiTheme="majorBidi" w:hAnsiTheme="majorBidi" w:cstheme="majorBidi"/>
          <w:sz w:val="24"/>
          <w:szCs w:val="24"/>
        </w:rPr>
        <w:t>Nevertheless, t</w:t>
      </w:r>
      <w:r w:rsidR="003F0A73">
        <w:rPr>
          <w:rFonts w:asciiTheme="majorBidi" w:hAnsiTheme="majorBidi" w:cstheme="majorBidi"/>
          <w:sz w:val="24"/>
          <w:szCs w:val="24"/>
        </w:rPr>
        <w:t xml:space="preserve">he origin of the powerful dynasty is </w:t>
      </w:r>
      <w:r w:rsidR="00464CBA">
        <w:rPr>
          <w:rFonts w:asciiTheme="majorBidi" w:hAnsiTheme="majorBidi" w:cstheme="majorBidi"/>
          <w:sz w:val="24"/>
          <w:szCs w:val="24"/>
        </w:rPr>
        <w:t>not reported in historical sources;</w:t>
      </w:r>
      <w:r w:rsidR="003F0A73">
        <w:rPr>
          <w:rStyle w:val="FootnoteReference"/>
          <w:rFonts w:asciiTheme="majorBidi" w:hAnsiTheme="majorBidi" w:cstheme="majorBidi"/>
          <w:sz w:val="24"/>
          <w:szCs w:val="24"/>
        </w:rPr>
        <w:footnoteReference w:id="144"/>
      </w:r>
      <w:r w:rsidR="003F0A73">
        <w:rPr>
          <w:rFonts w:asciiTheme="majorBidi" w:hAnsiTheme="majorBidi" w:cstheme="majorBidi"/>
          <w:sz w:val="24"/>
          <w:szCs w:val="24"/>
        </w:rPr>
        <w:t xml:space="preserve"> </w:t>
      </w:r>
      <w:r w:rsidR="00464CBA">
        <w:rPr>
          <w:rFonts w:asciiTheme="majorBidi" w:hAnsiTheme="majorBidi" w:cstheme="majorBidi"/>
          <w:sz w:val="24"/>
          <w:szCs w:val="24"/>
        </w:rPr>
        <w:t>i</w:t>
      </w:r>
      <w:r w:rsidR="003F0A73">
        <w:rPr>
          <w:rFonts w:asciiTheme="majorBidi" w:hAnsiTheme="majorBidi" w:cstheme="majorBidi"/>
          <w:sz w:val="24"/>
          <w:szCs w:val="24"/>
        </w:rPr>
        <w:t>ts identity is also</w:t>
      </w:r>
      <w:r w:rsidR="00D661B7">
        <w:rPr>
          <w:rFonts w:asciiTheme="majorBidi" w:hAnsiTheme="majorBidi" w:cstheme="majorBidi"/>
          <w:sz w:val="24"/>
          <w:szCs w:val="24"/>
        </w:rPr>
        <w:t xml:space="preserve"> ambiguous in the Muslim sources and disputed among modern scholars</w:t>
      </w:r>
      <w:r w:rsidR="00537F1B">
        <w:rPr>
          <w:rFonts w:asciiTheme="majorBidi" w:hAnsiTheme="majorBidi" w:cstheme="majorBidi"/>
          <w:sz w:val="24"/>
          <w:szCs w:val="24"/>
        </w:rPr>
        <w:t xml:space="preserve"> with the</w:t>
      </w:r>
      <w:r w:rsidR="006D54C3">
        <w:rPr>
          <w:rFonts w:asciiTheme="majorBidi" w:hAnsiTheme="majorBidi" w:cstheme="majorBidi"/>
          <w:sz w:val="24"/>
          <w:szCs w:val="24"/>
        </w:rPr>
        <w:t xml:space="preserve"> vast majority arguing for its being Hephthalite</w:t>
      </w:r>
      <w:r w:rsidR="00D661B7">
        <w:rPr>
          <w:rFonts w:asciiTheme="majorBidi" w:hAnsiTheme="majorBidi" w:cstheme="majorBidi"/>
          <w:sz w:val="24"/>
          <w:szCs w:val="24"/>
        </w:rPr>
        <w:t>.</w:t>
      </w:r>
      <w:r w:rsidR="006D54C3">
        <w:rPr>
          <w:rStyle w:val="FootnoteReference"/>
          <w:rFonts w:asciiTheme="majorBidi" w:hAnsiTheme="majorBidi" w:cstheme="majorBidi"/>
          <w:sz w:val="24"/>
          <w:szCs w:val="24"/>
        </w:rPr>
        <w:footnoteReference w:id="145"/>
      </w:r>
      <w:r>
        <w:rPr>
          <w:rFonts w:asciiTheme="majorBidi" w:hAnsiTheme="majorBidi" w:cstheme="majorBidi"/>
          <w:sz w:val="24"/>
          <w:szCs w:val="24"/>
        </w:rPr>
        <w:t xml:space="preserve"> Instead of focusing on the ethnic terms, </w:t>
      </w:r>
      <w:r w:rsidR="00464CBA">
        <w:rPr>
          <w:rFonts w:asciiTheme="majorBidi" w:hAnsiTheme="majorBidi" w:cstheme="majorBidi"/>
          <w:sz w:val="24"/>
          <w:szCs w:val="24"/>
        </w:rPr>
        <w:t>the following analyses attempt to</w:t>
      </w:r>
      <w:r w:rsidR="00B87F41">
        <w:rPr>
          <w:rFonts w:asciiTheme="majorBidi" w:hAnsiTheme="majorBidi" w:cstheme="majorBidi"/>
          <w:sz w:val="24"/>
          <w:szCs w:val="24"/>
        </w:rPr>
        <w:t xml:space="preserve"> discuss the dynasty's identity</w:t>
      </w:r>
      <w:r w:rsidR="00464CBA">
        <w:rPr>
          <w:rFonts w:asciiTheme="majorBidi" w:hAnsiTheme="majorBidi" w:cstheme="majorBidi"/>
          <w:sz w:val="24"/>
          <w:szCs w:val="24"/>
        </w:rPr>
        <w:t xml:space="preserve"> </w:t>
      </w:r>
      <w:r>
        <w:rPr>
          <w:rFonts w:asciiTheme="majorBidi" w:hAnsiTheme="majorBidi" w:cstheme="majorBidi"/>
          <w:sz w:val="24"/>
          <w:szCs w:val="24"/>
        </w:rPr>
        <w:t>from different perspectives.</w:t>
      </w:r>
    </w:p>
    <w:p w14:paraId="3EFE8CE3" w14:textId="7AC98D39" w:rsidR="009D3EE5" w:rsidRDefault="00A9679F" w:rsidP="00817C22">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A</w:t>
      </w:r>
      <w:r w:rsidR="00873D2F">
        <w:rPr>
          <w:rFonts w:asciiTheme="majorBidi" w:hAnsiTheme="majorBidi" w:cstheme="majorBidi"/>
          <w:sz w:val="24"/>
          <w:szCs w:val="24"/>
        </w:rPr>
        <w:t>l-Ṭabarī</w:t>
      </w:r>
      <w:r w:rsidR="00086BEB">
        <w:rPr>
          <w:rFonts w:asciiTheme="majorBidi" w:hAnsiTheme="majorBidi" w:cstheme="majorBidi"/>
          <w:sz w:val="24"/>
          <w:szCs w:val="24"/>
        </w:rPr>
        <w:t xml:space="preserve"> </w:t>
      </w:r>
      <w:r w:rsidR="00873D2F">
        <w:rPr>
          <w:rFonts w:asciiTheme="majorBidi" w:hAnsiTheme="majorBidi" w:cstheme="majorBidi"/>
          <w:sz w:val="24"/>
          <w:szCs w:val="24"/>
        </w:rPr>
        <w:t xml:space="preserve">reports that </w:t>
      </w:r>
      <w:r w:rsidR="00393484">
        <w:rPr>
          <w:rFonts w:asciiTheme="majorBidi" w:hAnsiTheme="majorBidi" w:cstheme="majorBidi"/>
          <w:sz w:val="24"/>
          <w:szCs w:val="24"/>
        </w:rPr>
        <w:t xml:space="preserve">in the 700s </w:t>
      </w:r>
      <w:r w:rsidR="00873D2F">
        <w:rPr>
          <w:rFonts w:asciiTheme="majorBidi" w:hAnsiTheme="majorBidi" w:cstheme="majorBidi"/>
          <w:sz w:val="24"/>
          <w:szCs w:val="24"/>
        </w:rPr>
        <w:t>Nīzak was found in Bādghīs,</w:t>
      </w:r>
      <w:r w:rsidR="00873D2F">
        <w:rPr>
          <w:rStyle w:val="FootnoteReference"/>
          <w:rFonts w:asciiTheme="majorBidi" w:hAnsiTheme="majorBidi" w:cstheme="majorBidi"/>
          <w:sz w:val="24"/>
          <w:szCs w:val="24"/>
        </w:rPr>
        <w:footnoteReference w:id="146"/>
      </w:r>
      <w:r w:rsidR="00873D2F">
        <w:rPr>
          <w:rFonts w:asciiTheme="majorBidi" w:hAnsiTheme="majorBidi" w:cstheme="majorBidi"/>
          <w:sz w:val="24"/>
          <w:szCs w:val="24"/>
        </w:rPr>
        <w:t xml:space="preserve"> </w:t>
      </w:r>
      <w:r w:rsidR="00896C08">
        <w:rPr>
          <w:rFonts w:asciiTheme="majorBidi" w:hAnsiTheme="majorBidi" w:cstheme="majorBidi"/>
          <w:sz w:val="24"/>
          <w:szCs w:val="24"/>
        </w:rPr>
        <w:t>which, together with the neighboring Herat and Q</w:t>
      </w:r>
      <w:r w:rsidR="00896C08" w:rsidRPr="00922115">
        <w:rPr>
          <w:rFonts w:asciiTheme="majorBidi" w:hAnsiTheme="majorBidi" w:cstheme="majorBidi"/>
          <w:sz w:val="24"/>
          <w:szCs w:val="24"/>
        </w:rPr>
        <w:t>ūhistān</w:t>
      </w:r>
      <w:r w:rsidR="00896C08">
        <w:rPr>
          <w:rFonts w:asciiTheme="majorBidi" w:hAnsiTheme="majorBidi" w:cstheme="majorBidi"/>
          <w:sz w:val="24"/>
          <w:szCs w:val="24"/>
        </w:rPr>
        <w:t xml:space="preserve">, is reported by </w:t>
      </w:r>
      <w:r>
        <w:rPr>
          <w:rFonts w:asciiTheme="majorBidi" w:hAnsiTheme="majorBidi" w:cstheme="majorBidi"/>
          <w:sz w:val="24"/>
          <w:szCs w:val="24"/>
        </w:rPr>
        <w:t>al-Balādhurī, al-Ṭabarī</w:t>
      </w:r>
      <w:r w:rsidR="00902FCD">
        <w:rPr>
          <w:rFonts w:asciiTheme="majorBidi" w:hAnsiTheme="majorBidi" w:cstheme="majorBidi"/>
          <w:sz w:val="24"/>
          <w:szCs w:val="24"/>
        </w:rPr>
        <w:t>, Gardīzī,</w:t>
      </w:r>
      <w:r>
        <w:rPr>
          <w:rFonts w:asciiTheme="majorBidi" w:hAnsiTheme="majorBidi" w:cstheme="majorBidi"/>
          <w:sz w:val="24"/>
          <w:szCs w:val="24"/>
        </w:rPr>
        <w:t xml:space="preserve"> and</w:t>
      </w:r>
      <w:r w:rsidRPr="000356AB">
        <w:rPr>
          <w:rFonts w:asciiTheme="majorBidi" w:hAnsiTheme="majorBidi" w:cstheme="majorBidi"/>
          <w:sz w:val="24"/>
          <w:szCs w:val="24"/>
        </w:rPr>
        <w:t xml:space="preserve"> </w:t>
      </w:r>
      <w:r>
        <w:rPr>
          <w:rFonts w:asciiTheme="majorBidi" w:hAnsiTheme="majorBidi" w:cstheme="majorBidi"/>
          <w:sz w:val="24"/>
          <w:szCs w:val="24"/>
        </w:rPr>
        <w:t xml:space="preserve">Yāqūt (d. 1229 CE) </w:t>
      </w:r>
      <w:r w:rsidR="00896C08">
        <w:rPr>
          <w:rFonts w:asciiTheme="majorBidi" w:hAnsiTheme="majorBidi" w:cstheme="majorBidi"/>
          <w:sz w:val="24"/>
          <w:szCs w:val="24"/>
        </w:rPr>
        <w:t xml:space="preserve">being </w:t>
      </w:r>
      <w:r w:rsidR="00086BEB">
        <w:rPr>
          <w:rFonts w:asciiTheme="majorBidi" w:hAnsiTheme="majorBidi" w:cstheme="majorBidi"/>
          <w:sz w:val="24"/>
          <w:szCs w:val="24"/>
        </w:rPr>
        <w:t xml:space="preserve">dominated by the Hephthalites </w:t>
      </w:r>
      <w:r w:rsidR="00873D2F">
        <w:rPr>
          <w:rFonts w:asciiTheme="majorBidi" w:hAnsiTheme="majorBidi" w:cstheme="majorBidi"/>
          <w:sz w:val="24"/>
          <w:szCs w:val="24"/>
        </w:rPr>
        <w:t xml:space="preserve">in the early </w:t>
      </w:r>
      <w:r w:rsidR="00873D2F">
        <w:rPr>
          <w:rFonts w:asciiTheme="majorBidi" w:hAnsiTheme="majorBidi" w:cstheme="majorBidi"/>
          <w:sz w:val="24"/>
          <w:szCs w:val="24"/>
        </w:rPr>
        <w:lastRenderedPageBreak/>
        <w:t>medieval centuries</w:t>
      </w:r>
      <w:r w:rsidR="00683084">
        <w:rPr>
          <w:rFonts w:asciiTheme="majorBidi" w:hAnsiTheme="majorBidi" w:cstheme="majorBidi"/>
          <w:sz w:val="24"/>
          <w:szCs w:val="24"/>
        </w:rPr>
        <w:t xml:space="preserve"> since no later than the 650s</w:t>
      </w:r>
      <w:r w:rsidR="00086BEB">
        <w:rPr>
          <w:rFonts w:asciiTheme="majorBidi" w:hAnsiTheme="majorBidi" w:cstheme="majorBidi"/>
          <w:sz w:val="24"/>
          <w:szCs w:val="24"/>
        </w:rPr>
        <w:t>.</w:t>
      </w:r>
      <w:r w:rsidR="00086BEB">
        <w:rPr>
          <w:rStyle w:val="FootnoteReference"/>
          <w:rFonts w:asciiTheme="majorBidi" w:hAnsiTheme="majorBidi" w:cstheme="majorBidi"/>
          <w:sz w:val="24"/>
          <w:szCs w:val="24"/>
        </w:rPr>
        <w:footnoteReference w:id="147"/>
      </w:r>
      <w:r w:rsidR="00086BEB">
        <w:rPr>
          <w:rFonts w:asciiTheme="majorBidi" w:hAnsiTheme="majorBidi" w:cstheme="majorBidi"/>
          <w:sz w:val="24"/>
          <w:szCs w:val="24"/>
        </w:rPr>
        <w:t xml:space="preserve"> </w:t>
      </w:r>
      <w:r w:rsidR="00817C22">
        <w:rPr>
          <w:rFonts w:asciiTheme="majorBidi" w:hAnsiTheme="majorBidi" w:cstheme="majorBidi"/>
          <w:sz w:val="24"/>
          <w:szCs w:val="24"/>
        </w:rPr>
        <w:t>Therefore, t</w:t>
      </w:r>
      <w:r w:rsidR="00C836E5">
        <w:rPr>
          <w:rFonts w:asciiTheme="majorBidi" w:hAnsiTheme="majorBidi" w:cstheme="majorBidi"/>
          <w:sz w:val="24"/>
          <w:szCs w:val="24"/>
        </w:rPr>
        <w:t xml:space="preserve">he </w:t>
      </w:r>
      <w:r w:rsidR="00683084">
        <w:rPr>
          <w:rFonts w:asciiTheme="majorBidi" w:hAnsiTheme="majorBidi" w:cstheme="majorBidi"/>
          <w:sz w:val="24"/>
          <w:szCs w:val="24"/>
        </w:rPr>
        <w:t xml:space="preserve">Nīzak </w:t>
      </w:r>
      <w:r w:rsidR="00C836E5">
        <w:rPr>
          <w:rFonts w:asciiTheme="majorBidi" w:hAnsiTheme="majorBidi" w:cstheme="majorBidi"/>
          <w:sz w:val="24"/>
          <w:szCs w:val="24"/>
        </w:rPr>
        <w:t xml:space="preserve">dynasty based in </w:t>
      </w:r>
      <w:r w:rsidR="00683084">
        <w:rPr>
          <w:rFonts w:asciiTheme="majorBidi" w:hAnsiTheme="majorBidi" w:cstheme="majorBidi"/>
          <w:sz w:val="24"/>
          <w:szCs w:val="24"/>
        </w:rPr>
        <w:t xml:space="preserve">Bādghīs </w:t>
      </w:r>
      <w:r w:rsidR="00C836E5">
        <w:rPr>
          <w:rFonts w:asciiTheme="majorBidi" w:hAnsiTheme="majorBidi" w:cstheme="majorBidi"/>
          <w:sz w:val="24"/>
          <w:szCs w:val="24"/>
        </w:rPr>
        <w:t>is</w:t>
      </w:r>
      <w:r w:rsidR="00683084">
        <w:rPr>
          <w:rFonts w:asciiTheme="majorBidi" w:hAnsiTheme="majorBidi" w:cstheme="majorBidi"/>
          <w:sz w:val="24"/>
          <w:szCs w:val="24"/>
        </w:rPr>
        <w:t xml:space="preserve"> most likely </w:t>
      </w:r>
      <w:r w:rsidR="00C836E5">
        <w:rPr>
          <w:rFonts w:asciiTheme="majorBidi" w:hAnsiTheme="majorBidi" w:cstheme="majorBidi"/>
          <w:sz w:val="24"/>
          <w:szCs w:val="24"/>
        </w:rPr>
        <w:t>Hephthalite</w:t>
      </w:r>
      <w:r w:rsidR="00683084">
        <w:rPr>
          <w:rFonts w:asciiTheme="majorBidi" w:hAnsiTheme="majorBidi" w:cstheme="majorBidi"/>
          <w:sz w:val="24"/>
          <w:szCs w:val="24"/>
        </w:rPr>
        <w:t xml:space="preserve">. And it is reasonable to suggest that it was established </w:t>
      </w:r>
      <w:r w:rsidR="00C836E5">
        <w:rPr>
          <w:rFonts w:asciiTheme="majorBidi" w:hAnsiTheme="majorBidi" w:cstheme="majorBidi"/>
          <w:sz w:val="24"/>
          <w:szCs w:val="24"/>
        </w:rPr>
        <w:t xml:space="preserve">in </w:t>
      </w:r>
      <w:r w:rsidR="00683084">
        <w:rPr>
          <w:rFonts w:asciiTheme="majorBidi" w:hAnsiTheme="majorBidi" w:cstheme="majorBidi"/>
          <w:sz w:val="24"/>
          <w:szCs w:val="24"/>
        </w:rPr>
        <w:t xml:space="preserve">the region before </w:t>
      </w:r>
      <w:r w:rsidR="00C836E5">
        <w:rPr>
          <w:rFonts w:asciiTheme="majorBidi" w:hAnsiTheme="majorBidi" w:cstheme="majorBidi"/>
          <w:sz w:val="24"/>
          <w:szCs w:val="24"/>
        </w:rPr>
        <w:t>the 650s, whence Nīzak sent out to meet Yazdegerd in Marw.</w:t>
      </w:r>
      <w:r w:rsidR="00C836E5">
        <w:rPr>
          <w:rStyle w:val="FootnoteReference"/>
          <w:rFonts w:asciiTheme="majorBidi" w:hAnsiTheme="majorBidi" w:cstheme="majorBidi"/>
          <w:sz w:val="24"/>
          <w:szCs w:val="24"/>
        </w:rPr>
        <w:footnoteReference w:id="148"/>
      </w:r>
    </w:p>
    <w:p w14:paraId="119F852A" w14:textId="6783F817" w:rsidR="004D670E" w:rsidRDefault="002F348F" w:rsidP="004D670E">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The reasons</w:t>
      </w:r>
      <w:r w:rsidR="00BC1281">
        <w:rPr>
          <w:rFonts w:asciiTheme="majorBidi" w:hAnsiTheme="majorBidi" w:cstheme="majorBidi"/>
          <w:sz w:val="24"/>
          <w:szCs w:val="24"/>
        </w:rPr>
        <w:t xml:space="preserve"> behind Bādghīs</w:t>
      </w:r>
      <w:r>
        <w:rPr>
          <w:rFonts w:asciiTheme="majorBidi" w:hAnsiTheme="majorBidi" w:cstheme="majorBidi"/>
          <w:sz w:val="24"/>
          <w:szCs w:val="24"/>
        </w:rPr>
        <w:t>'</w:t>
      </w:r>
      <w:r w:rsidR="00BC1281">
        <w:rPr>
          <w:rFonts w:asciiTheme="majorBidi" w:hAnsiTheme="majorBidi" w:cstheme="majorBidi"/>
          <w:sz w:val="24"/>
          <w:szCs w:val="24"/>
        </w:rPr>
        <w:t xml:space="preserve"> becoming the power base of the Nīzak dynasty includ</w:t>
      </w:r>
      <w:r>
        <w:rPr>
          <w:rFonts w:asciiTheme="majorBidi" w:hAnsiTheme="majorBidi" w:cstheme="majorBidi"/>
          <w:sz w:val="24"/>
          <w:szCs w:val="24"/>
        </w:rPr>
        <w:t>e</w:t>
      </w:r>
      <w:r w:rsidR="00BC1281">
        <w:rPr>
          <w:rFonts w:asciiTheme="majorBidi" w:hAnsiTheme="majorBidi" w:cstheme="majorBidi"/>
          <w:sz w:val="24"/>
          <w:szCs w:val="24"/>
        </w:rPr>
        <w:t xml:space="preserve"> </w:t>
      </w:r>
      <w:r w:rsidR="002F5CF4">
        <w:rPr>
          <w:rFonts w:asciiTheme="majorBidi" w:hAnsiTheme="majorBidi" w:cstheme="majorBidi"/>
          <w:sz w:val="24"/>
          <w:szCs w:val="24"/>
        </w:rPr>
        <w:t>it</w:t>
      </w:r>
      <w:r w:rsidR="00BC1281">
        <w:rPr>
          <w:rFonts w:asciiTheme="majorBidi" w:hAnsiTheme="majorBidi" w:cstheme="majorBidi"/>
          <w:sz w:val="24"/>
          <w:szCs w:val="24"/>
        </w:rPr>
        <w:t xml:space="preserve"> </w:t>
      </w:r>
      <w:r>
        <w:rPr>
          <w:rFonts w:asciiTheme="majorBidi" w:hAnsiTheme="majorBidi" w:cstheme="majorBidi"/>
          <w:sz w:val="24"/>
          <w:szCs w:val="24"/>
        </w:rPr>
        <w:t>having</w:t>
      </w:r>
      <w:r w:rsidR="00BC1281">
        <w:rPr>
          <w:rFonts w:asciiTheme="majorBidi" w:hAnsiTheme="majorBidi" w:cstheme="majorBidi"/>
          <w:sz w:val="24"/>
          <w:szCs w:val="24"/>
        </w:rPr>
        <w:t xml:space="preserve"> excellent pastures </w:t>
      </w:r>
      <w:r w:rsidR="00DE09AB">
        <w:rPr>
          <w:rFonts w:asciiTheme="majorBidi" w:hAnsiTheme="majorBidi" w:cstheme="majorBidi"/>
          <w:sz w:val="24"/>
          <w:szCs w:val="24"/>
        </w:rPr>
        <w:t>upon which</w:t>
      </w:r>
      <w:r w:rsidR="00BC1281">
        <w:rPr>
          <w:rFonts w:asciiTheme="majorBidi" w:hAnsiTheme="majorBidi" w:cstheme="majorBidi"/>
          <w:sz w:val="24"/>
          <w:szCs w:val="24"/>
        </w:rPr>
        <w:t xml:space="preserve"> the Hephthalite tribes </w:t>
      </w:r>
      <w:r w:rsidR="002F5CF4">
        <w:rPr>
          <w:rFonts w:asciiTheme="majorBidi" w:hAnsiTheme="majorBidi" w:cstheme="majorBidi"/>
          <w:sz w:val="24"/>
          <w:szCs w:val="24"/>
        </w:rPr>
        <w:t>relied,</w:t>
      </w:r>
      <w:r w:rsidR="00BC1281">
        <w:rPr>
          <w:rStyle w:val="FootnoteReference"/>
          <w:rFonts w:asciiTheme="majorBidi" w:hAnsiTheme="majorBidi" w:cstheme="majorBidi"/>
          <w:sz w:val="24"/>
          <w:szCs w:val="24"/>
        </w:rPr>
        <w:footnoteReference w:id="149"/>
      </w:r>
      <w:r w:rsidR="00BC1281">
        <w:rPr>
          <w:rFonts w:asciiTheme="majorBidi" w:hAnsiTheme="majorBidi" w:cstheme="majorBidi"/>
          <w:sz w:val="24"/>
          <w:szCs w:val="24"/>
        </w:rPr>
        <w:t xml:space="preserve"> </w:t>
      </w:r>
      <w:r w:rsidR="002F5CF4">
        <w:rPr>
          <w:rFonts w:asciiTheme="majorBidi" w:hAnsiTheme="majorBidi" w:cstheme="majorBidi"/>
          <w:sz w:val="24"/>
          <w:szCs w:val="24"/>
        </w:rPr>
        <w:t>since the nomadic tribes still</w:t>
      </w:r>
      <w:r w:rsidR="00793EE0">
        <w:rPr>
          <w:rFonts w:asciiTheme="majorBidi" w:hAnsiTheme="majorBidi" w:cstheme="majorBidi"/>
          <w:sz w:val="24"/>
          <w:szCs w:val="24"/>
        </w:rPr>
        <w:t xml:space="preserve"> constituted the backbone of the military power of the dynasty,</w:t>
      </w:r>
      <w:r w:rsidR="00793EE0">
        <w:rPr>
          <w:rStyle w:val="FootnoteReference"/>
          <w:rFonts w:asciiTheme="majorBidi" w:hAnsiTheme="majorBidi" w:cstheme="majorBidi"/>
          <w:sz w:val="24"/>
          <w:szCs w:val="24"/>
        </w:rPr>
        <w:footnoteReference w:id="150"/>
      </w:r>
      <w:r w:rsidR="00793EE0">
        <w:rPr>
          <w:rFonts w:asciiTheme="majorBidi" w:hAnsiTheme="majorBidi" w:cstheme="majorBidi"/>
          <w:sz w:val="24"/>
          <w:szCs w:val="24"/>
        </w:rPr>
        <w:t xml:space="preserve"> </w:t>
      </w:r>
      <w:r w:rsidR="00DE09AB">
        <w:rPr>
          <w:rFonts w:asciiTheme="majorBidi" w:hAnsiTheme="majorBidi" w:cstheme="majorBidi"/>
          <w:sz w:val="24"/>
          <w:szCs w:val="24"/>
        </w:rPr>
        <w:t>even though</w:t>
      </w:r>
      <w:r w:rsidR="004D670E">
        <w:rPr>
          <w:rFonts w:asciiTheme="majorBidi" w:hAnsiTheme="majorBidi" w:cstheme="majorBidi"/>
          <w:sz w:val="24"/>
          <w:szCs w:val="24"/>
        </w:rPr>
        <w:t xml:space="preserve"> the Hephthalites </w:t>
      </w:r>
      <w:r w:rsidR="00793EE0">
        <w:rPr>
          <w:rFonts w:asciiTheme="majorBidi" w:hAnsiTheme="majorBidi" w:cstheme="majorBidi"/>
          <w:sz w:val="24"/>
          <w:szCs w:val="24"/>
        </w:rPr>
        <w:t xml:space="preserve">had started </w:t>
      </w:r>
      <w:r>
        <w:rPr>
          <w:rFonts w:asciiTheme="majorBidi" w:hAnsiTheme="majorBidi" w:cstheme="majorBidi"/>
          <w:sz w:val="24"/>
          <w:szCs w:val="24"/>
        </w:rPr>
        <w:t>settling</w:t>
      </w:r>
      <w:r w:rsidR="004D670E">
        <w:rPr>
          <w:rFonts w:asciiTheme="majorBidi" w:hAnsiTheme="majorBidi" w:cstheme="majorBidi"/>
          <w:sz w:val="24"/>
          <w:szCs w:val="24"/>
        </w:rPr>
        <w:t xml:space="preserve"> down in cities</w:t>
      </w:r>
      <w:r w:rsidR="00793EE0">
        <w:rPr>
          <w:rFonts w:asciiTheme="majorBidi" w:hAnsiTheme="majorBidi" w:cstheme="majorBidi"/>
          <w:sz w:val="24"/>
          <w:szCs w:val="24"/>
        </w:rPr>
        <w:t xml:space="preserve"> </w:t>
      </w:r>
      <w:r w:rsidR="00DE09AB">
        <w:rPr>
          <w:rFonts w:asciiTheme="majorBidi" w:hAnsiTheme="majorBidi" w:cstheme="majorBidi"/>
          <w:sz w:val="24"/>
          <w:szCs w:val="24"/>
        </w:rPr>
        <w:t xml:space="preserve">since the </w:t>
      </w:r>
      <w:r w:rsidR="001036C8">
        <w:rPr>
          <w:rFonts w:asciiTheme="majorBidi" w:hAnsiTheme="majorBidi" w:cstheme="majorBidi"/>
          <w:sz w:val="24"/>
          <w:szCs w:val="24"/>
        </w:rPr>
        <w:t>1</w:t>
      </w:r>
      <w:r w:rsidR="001036C8" w:rsidRPr="001036C8">
        <w:rPr>
          <w:rFonts w:asciiTheme="majorBidi" w:hAnsiTheme="majorBidi" w:cstheme="majorBidi"/>
          <w:sz w:val="24"/>
          <w:szCs w:val="24"/>
          <w:vertAlign w:val="superscript"/>
        </w:rPr>
        <w:t>st</w:t>
      </w:r>
      <w:r w:rsidR="001036C8">
        <w:rPr>
          <w:rFonts w:asciiTheme="majorBidi" w:hAnsiTheme="majorBidi" w:cstheme="majorBidi"/>
          <w:sz w:val="24"/>
          <w:szCs w:val="24"/>
        </w:rPr>
        <w:t xml:space="preserve"> </w:t>
      </w:r>
      <w:r w:rsidR="00DE09AB">
        <w:rPr>
          <w:rFonts w:asciiTheme="majorBidi" w:hAnsiTheme="majorBidi" w:cstheme="majorBidi"/>
          <w:sz w:val="24"/>
          <w:szCs w:val="24"/>
        </w:rPr>
        <w:t xml:space="preserve">half of the </w:t>
      </w:r>
      <w:r w:rsidR="001036C8">
        <w:rPr>
          <w:rFonts w:asciiTheme="majorBidi" w:hAnsiTheme="majorBidi" w:cstheme="majorBidi"/>
          <w:sz w:val="24"/>
          <w:szCs w:val="24"/>
        </w:rPr>
        <w:t>6</w:t>
      </w:r>
      <w:r w:rsidR="001036C8" w:rsidRPr="001036C8">
        <w:rPr>
          <w:rFonts w:asciiTheme="majorBidi" w:hAnsiTheme="majorBidi" w:cstheme="majorBidi"/>
          <w:sz w:val="24"/>
          <w:szCs w:val="24"/>
          <w:vertAlign w:val="superscript"/>
        </w:rPr>
        <w:t>th</w:t>
      </w:r>
      <w:r w:rsidR="001036C8">
        <w:rPr>
          <w:rFonts w:asciiTheme="majorBidi" w:hAnsiTheme="majorBidi" w:cstheme="majorBidi"/>
          <w:sz w:val="24"/>
          <w:szCs w:val="24"/>
        </w:rPr>
        <w:t xml:space="preserve"> </w:t>
      </w:r>
      <w:r w:rsidR="00DE09AB">
        <w:rPr>
          <w:rFonts w:asciiTheme="majorBidi" w:hAnsiTheme="majorBidi" w:cstheme="majorBidi"/>
          <w:sz w:val="24"/>
          <w:szCs w:val="24"/>
        </w:rPr>
        <w:t>century</w:t>
      </w:r>
      <w:r w:rsidR="00793EE0">
        <w:rPr>
          <w:rFonts w:asciiTheme="majorBidi" w:hAnsiTheme="majorBidi" w:cstheme="majorBidi"/>
          <w:sz w:val="24"/>
          <w:szCs w:val="24"/>
        </w:rPr>
        <w:t>.</w:t>
      </w:r>
      <w:r w:rsidR="004D670E">
        <w:rPr>
          <w:rStyle w:val="FootnoteReference"/>
          <w:rFonts w:asciiTheme="majorBidi" w:hAnsiTheme="majorBidi" w:cstheme="majorBidi"/>
          <w:sz w:val="24"/>
          <w:szCs w:val="24"/>
        </w:rPr>
        <w:footnoteReference w:id="151"/>
      </w:r>
    </w:p>
    <w:p w14:paraId="4F555403" w14:textId="32861C73" w:rsidR="00F1425F" w:rsidRDefault="00051906" w:rsidP="000436FF">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Secondly, both the titles </w:t>
      </w:r>
      <w:r w:rsidRPr="00A13B53">
        <w:rPr>
          <w:rFonts w:asciiTheme="majorBidi" w:hAnsiTheme="majorBidi" w:cstheme="majorBidi"/>
          <w:sz w:val="24"/>
          <w:szCs w:val="24"/>
        </w:rPr>
        <w:t xml:space="preserve">Nīzak </w:t>
      </w:r>
      <w:r>
        <w:rPr>
          <w:rFonts w:asciiTheme="majorBidi" w:hAnsiTheme="majorBidi" w:cstheme="majorBidi"/>
          <w:sz w:val="24"/>
          <w:szCs w:val="24"/>
        </w:rPr>
        <w:t xml:space="preserve">and </w:t>
      </w:r>
      <w:r w:rsidRPr="00A13B53">
        <w:rPr>
          <w:rFonts w:asciiTheme="majorBidi" w:hAnsiTheme="majorBidi" w:cstheme="majorBidi"/>
          <w:sz w:val="24"/>
          <w:szCs w:val="24"/>
        </w:rPr>
        <w:t>Ṭarkhān</w:t>
      </w:r>
      <w:r>
        <w:rPr>
          <w:rFonts w:asciiTheme="majorBidi" w:hAnsiTheme="majorBidi" w:cstheme="majorBidi"/>
          <w:sz w:val="24"/>
          <w:szCs w:val="24"/>
        </w:rPr>
        <w:t xml:space="preserve"> do not conflict with t</w:t>
      </w:r>
      <w:r w:rsidR="004A2D09" w:rsidRPr="00A13B53">
        <w:rPr>
          <w:rFonts w:asciiTheme="majorBidi" w:hAnsiTheme="majorBidi" w:cstheme="majorBidi"/>
          <w:sz w:val="24"/>
          <w:szCs w:val="24"/>
        </w:rPr>
        <w:t xml:space="preserve">he </w:t>
      </w:r>
      <w:r w:rsidR="00A13B53" w:rsidRPr="00A13B53">
        <w:rPr>
          <w:rFonts w:asciiTheme="majorBidi" w:hAnsiTheme="majorBidi" w:cstheme="majorBidi"/>
          <w:sz w:val="24"/>
          <w:szCs w:val="24"/>
        </w:rPr>
        <w:t>Hephthalite identity of the dynasty</w:t>
      </w:r>
      <w:r>
        <w:rPr>
          <w:rFonts w:asciiTheme="majorBidi" w:hAnsiTheme="majorBidi" w:cstheme="majorBidi"/>
          <w:sz w:val="24"/>
          <w:szCs w:val="24"/>
        </w:rPr>
        <w:t>.</w:t>
      </w:r>
      <w:r w:rsidR="00464CBA">
        <w:rPr>
          <w:rStyle w:val="FootnoteReference"/>
          <w:rFonts w:asciiTheme="majorBidi" w:hAnsiTheme="majorBidi" w:cstheme="majorBidi"/>
          <w:sz w:val="24"/>
          <w:szCs w:val="24"/>
        </w:rPr>
        <w:footnoteReference w:id="152"/>
      </w:r>
      <w:r w:rsidR="00B87F41">
        <w:rPr>
          <w:rFonts w:asciiTheme="majorBidi" w:hAnsiTheme="majorBidi" w:cstheme="majorBidi"/>
          <w:sz w:val="24"/>
          <w:szCs w:val="24"/>
        </w:rPr>
        <w:t xml:space="preserve"> </w:t>
      </w:r>
      <w:r w:rsidR="00ED3FEA">
        <w:rPr>
          <w:rFonts w:asciiTheme="majorBidi" w:hAnsiTheme="majorBidi" w:cstheme="majorBidi"/>
          <w:sz w:val="24"/>
          <w:szCs w:val="24"/>
        </w:rPr>
        <w:t xml:space="preserve">The term </w:t>
      </w:r>
      <w:r w:rsidRPr="00A13B53">
        <w:rPr>
          <w:rFonts w:asciiTheme="majorBidi" w:hAnsiTheme="majorBidi" w:cstheme="majorBidi"/>
          <w:sz w:val="24"/>
          <w:szCs w:val="24"/>
        </w:rPr>
        <w:t>Nīzak</w:t>
      </w:r>
      <w:r>
        <w:rPr>
          <w:rFonts w:asciiTheme="majorBidi" w:hAnsiTheme="majorBidi" w:cstheme="majorBidi"/>
          <w:sz w:val="24"/>
          <w:szCs w:val="24"/>
        </w:rPr>
        <w:t xml:space="preserve"> </w:t>
      </w:r>
      <w:r w:rsidR="00A13B53">
        <w:rPr>
          <w:rFonts w:asciiTheme="majorBidi" w:hAnsiTheme="majorBidi" w:cstheme="majorBidi"/>
          <w:sz w:val="24"/>
          <w:szCs w:val="24"/>
        </w:rPr>
        <w:t>is attested by coins minted by a</w:t>
      </w:r>
      <w:r w:rsidR="009C14FA">
        <w:rPr>
          <w:rFonts w:asciiTheme="majorBidi" w:hAnsiTheme="majorBidi" w:cstheme="majorBidi"/>
          <w:sz w:val="24"/>
          <w:szCs w:val="24"/>
        </w:rPr>
        <w:t xml:space="preserve"> distinct</w:t>
      </w:r>
      <w:r w:rsidR="00A13B53">
        <w:rPr>
          <w:rFonts w:asciiTheme="majorBidi" w:hAnsiTheme="majorBidi" w:cstheme="majorBidi"/>
          <w:sz w:val="24"/>
          <w:szCs w:val="24"/>
        </w:rPr>
        <w:t xml:space="preserve"> </w:t>
      </w:r>
      <w:r w:rsidR="00A13B53">
        <w:rPr>
          <w:rFonts w:asciiTheme="majorBidi" w:hAnsiTheme="majorBidi" w:cstheme="majorBidi"/>
          <w:sz w:val="24"/>
          <w:szCs w:val="24"/>
        </w:rPr>
        <w:lastRenderedPageBreak/>
        <w:t xml:space="preserve">Hephthalite </w:t>
      </w:r>
      <w:r w:rsidR="009C14FA">
        <w:rPr>
          <w:rFonts w:asciiTheme="majorBidi" w:hAnsiTheme="majorBidi" w:cstheme="majorBidi"/>
          <w:sz w:val="24"/>
          <w:szCs w:val="24"/>
        </w:rPr>
        <w:t>dynasty</w:t>
      </w:r>
      <w:r w:rsidR="00A13B53">
        <w:rPr>
          <w:rFonts w:asciiTheme="majorBidi" w:hAnsiTheme="majorBidi" w:cstheme="majorBidi"/>
          <w:sz w:val="24"/>
          <w:szCs w:val="24"/>
        </w:rPr>
        <w:t xml:space="preserve"> found to the south of the Hindukush</w:t>
      </w:r>
      <w:r>
        <w:rPr>
          <w:rFonts w:asciiTheme="majorBidi" w:hAnsiTheme="majorBidi" w:cstheme="majorBidi"/>
          <w:sz w:val="24"/>
          <w:szCs w:val="24"/>
        </w:rPr>
        <w:t>,</w:t>
      </w:r>
      <w:r w:rsidR="00CA1C96">
        <w:rPr>
          <w:rStyle w:val="FootnoteReference"/>
          <w:rFonts w:asciiTheme="majorBidi" w:hAnsiTheme="majorBidi" w:cstheme="majorBidi"/>
          <w:sz w:val="24"/>
          <w:szCs w:val="24"/>
        </w:rPr>
        <w:footnoteReference w:id="153"/>
      </w:r>
      <w:r w:rsidR="000436FF" w:rsidRPr="00A13B53">
        <w:rPr>
          <w:rFonts w:asciiTheme="majorBidi" w:hAnsiTheme="majorBidi" w:cstheme="majorBidi"/>
          <w:sz w:val="24"/>
          <w:szCs w:val="24"/>
        </w:rPr>
        <w:t xml:space="preserve"> </w:t>
      </w:r>
      <w:r>
        <w:rPr>
          <w:rFonts w:asciiTheme="majorBidi" w:hAnsiTheme="majorBidi" w:cstheme="majorBidi"/>
          <w:sz w:val="24"/>
          <w:szCs w:val="24"/>
        </w:rPr>
        <w:t xml:space="preserve">while </w:t>
      </w:r>
      <w:r w:rsidR="005368B2">
        <w:rPr>
          <w:rFonts w:asciiTheme="majorBidi" w:hAnsiTheme="majorBidi" w:cstheme="majorBidi"/>
          <w:sz w:val="24"/>
          <w:szCs w:val="24"/>
        </w:rPr>
        <w:t xml:space="preserve">the </w:t>
      </w:r>
      <w:r>
        <w:rPr>
          <w:rFonts w:asciiTheme="majorBidi" w:hAnsiTheme="majorBidi" w:cstheme="majorBidi"/>
          <w:sz w:val="24"/>
          <w:szCs w:val="24"/>
        </w:rPr>
        <w:t xml:space="preserve">Chinese sources show that </w:t>
      </w:r>
      <w:r w:rsidR="00A13B53" w:rsidRPr="00A13B53">
        <w:rPr>
          <w:rFonts w:asciiTheme="majorBidi" w:hAnsiTheme="majorBidi" w:cstheme="majorBidi"/>
          <w:sz w:val="24"/>
          <w:szCs w:val="24"/>
        </w:rPr>
        <w:t>Ṭarkhān</w:t>
      </w:r>
      <w:r w:rsidR="00A13B53">
        <w:rPr>
          <w:rFonts w:asciiTheme="majorBidi" w:hAnsiTheme="majorBidi" w:cstheme="majorBidi"/>
          <w:sz w:val="24"/>
          <w:szCs w:val="24"/>
        </w:rPr>
        <w:t xml:space="preserve"> </w:t>
      </w:r>
      <w:r w:rsidR="00783246">
        <w:rPr>
          <w:rFonts w:asciiTheme="majorBidi" w:hAnsiTheme="majorBidi" w:cstheme="majorBidi"/>
          <w:sz w:val="24"/>
          <w:szCs w:val="24"/>
        </w:rPr>
        <w:t xml:space="preserve">was </w:t>
      </w:r>
      <w:r w:rsidR="00A13B53">
        <w:rPr>
          <w:rFonts w:asciiTheme="majorBidi" w:hAnsiTheme="majorBidi" w:cstheme="majorBidi"/>
          <w:sz w:val="24"/>
          <w:szCs w:val="24"/>
        </w:rPr>
        <w:t>circulat</w:t>
      </w:r>
      <w:r w:rsidR="00783246">
        <w:rPr>
          <w:rFonts w:asciiTheme="majorBidi" w:hAnsiTheme="majorBidi" w:cstheme="majorBidi"/>
          <w:sz w:val="24"/>
          <w:szCs w:val="24"/>
        </w:rPr>
        <w:t xml:space="preserve">ing </w:t>
      </w:r>
      <w:r w:rsidR="00A13B53">
        <w:rPr>
          <w:rFonts w:asciiTheme="majorBidi" w:hAnsiTheme="majorBidi" w:cstheme="majorBidi"/>
          <w:sz w:val="24"/>
          <w:szCs w:val="24"/>
        </w:rPr>
        <w:t xml:space="preserve">among the Hephthalites as a title for </w:t>
      </w:r>
      <w:r w:rsidR="00845F8E">
        <w:rPr>
          <w:rFonts w:asciiTheme="majorBidi" w:hAnsiTheme="majorBidi" w:cstheme="majorBidi"/>
          <w:sz w:val="24"/>
          <w:szCs w:val="24"/>
        </w:rPr>
        <w:t xml:space="preserve">their </w:t>
      </w:r>
      <w:r w:rsidR="00A13B53">
        <w:rPr>
          <w:rFonts w:asciiTheme="majorBidi" w:hAnsiTheme="majorBidi" w:cstheme="majorBidi"/>
          <w:sz w:val="24"/>
          <w:szCs w:val="24"/>
        </w:rPr>
        <w:t xml:space="preserve">chieftains </w:t>
      </w:r>
      <w:r w:rsidR="00845F8E">
        <w:rPr>
          <w:rFonts w:asciiTheme="majorBidi" w:hAnsiTheme="majorBidi" w:cstheme="majorBidi"/>
          <w:sz w:val="24"/>
          <w:szCs w:val="24"/>
        </w:rPr>
        <w:t>since</w:t>
      </w:r>
      <w:r w:rsidR="00A13B53">
        <w:rPr>
          <w:rFonts w:asciiTheme="majorBidi" w:hAnsiTheme="majorBidi" w:cstheme="majorBidi"/>
          <w:sz w:val="24"/>
          <w:szCs w:val="24"/>
        </w:rPr>
        <w:t xml:space="preserve"> pre-Turkic times</w:t>
      </w:r>
      <w:r w:rsidR="00845F8E">
        <w:rPr>
          <w:rFonts w:asciiTheme="majorBidi" w:hAnsiTheme="majorBidi" w:cstheme="majorBidi"/>
          <w:sz w:val="24"/>
          <w:szCs w:val="24"/>
        </w:rPr>
        <w:t xml:space="preserve">, </w:t>
      </w:r>
      <w:r w:rsidR="00DE09AB">
        <w:rPr>
          <w:rFonts w:asciiTheme="majorBidi" w:hAnsiTheme="majorBidi" w:cstheme="majorBidi"/>
          <w:sz w:val="24"/>
          <w:szCs w:val="24"/>
        </w:rPr>
        <w:t>although</w:t>
      </w:r>
      <w:r w:rsidR="00845F8E">
        <w:rPr>
          <w:rFonts w:asciiTheme="majorBidi" w:hAnsiTheme="majorBidi" w:cstheme="majorBidi"/>
          <w:sz w:val="24"/>
          <w:szCs w:val="24"/>
        </w:rPr>
        <w:t xml:space="preserve"> </w:t>
      </w:r>
      <w:r w:rsidR="00A13B53">
        <w:rPr>
          <w:rFonts w:asciiTheme="majorBidi" w:hAnsiTheme="majorBidi" w:cstheme="majorBidi"/>
          <w:sz w:val="24"/>
          <w:szCs w:val="24"/>
        </w:rPr>
        <w:t xml:space="preserve">it was </w:t>
      </w:r>
      <w:r w:rsidR="000436FF">
        <w:rPr>
          <w:rFonts w:asciiTheme="majorBidi" w:hAnsiTheme="majorBidi" w:cstheme="majorBidi"/>
          <w:sz w:val="24"/>
          <w:szCs w:val="24"/>
        </w:rPr>
        <w:t>found among the Western Turks</w:t>
      </w:r>
      <w:r w:rsidR="00CA1C96">
        <w:rPr>
          <w:rFonts w:asciiTheme="majorBidi" w:hAnsiTheme="majorBidi" w:cstheme="majorBidi"/>
          <w:sz w:val="24"/>
          <w:szCs w:val="24"/>
        </w:rPr>
        <w:t xml:space="preserve"> and bore by the close companions of the Yabghū </w:t>
      </w:r>
      <w:r w:rsidR="00783246">
        <w:rPr>
          <w:rFonts w:asciiTheme="majorBidi" w:hAnsiTheme="majorBidi" w:cstheme="majorBidi"/>
          <w:sz w:val="24"/>
          <w:szCs w:val="24"/>
        </w:rPr>
        <w:t>as well</w:t>
      </w:r>
      <w:r w:rsidR="000436FF">
        <w:rPr>
          <w:rFonts w:asciiTheme="majorBidi" w:hAnsiTheme="majorBidi" w:cstheme="majorBidi"/>
          <w:sz w:val="24"/>
          <w:szCs w:val="24"/>
        </w:rPr>
        <w:t>.</w:t>
      </w:r>
      <w:r w:rsidR="000436FF">
        <w:rPr>
          <w:rStyle w:val="FootnoteReference"/>
          <w:rFonts w:asciiTheme="majorBidi" w:hAnsiTheme="majorBidi" w:cstheme="majorBidi"/>
          <w:sz w:val="24"/>
          <w:szCs w:val="24"/>
        </w:rPr>
        <w:footnoteReference w:id="154"/>
      </w:r>
    </w:p>
    <w:p w14:paraId="6819B05F" w14:textId="1D6BF625" w:rsidR="00CA1C96" w:rsidRDefault="00051906" w:rsidP="00666D18">
      <w:pPr>
        <w:spacing w:line="360" w:lineRule="auto"/>
        <w:ind w:firstLineChars="250" w:firstLine="600"/>
        <w:rPr>
          <w:rFonts w:asciiTheme="majorBidi" w:hAnsiTheme="majorBidi" w:cstheme="majorBidi"/>
          <w:sz w:val="24"/>
          <w:szCs w:val="24"/>
        </w:rPr>
      </w:pPr>
      <w:r w:rsidRPr="00A60BCB">
        <w:rPr>
          <w:rFonts w:asciiTheme="majorBidi" w:hAnsiTheme="majorBidi" w:cstheme="majorBidi"/>
          <w:sz w:val="24"/>
          <w:szCs w:val="24"/>
        </w:rPr>
        <w:t xml:space="preserve">Thirdly, </w:t>
      </w:r>
      <w:r w:rsidR="00F1425F" w:rsidRPr="00A60BCB">
        <w:rPr>
          <w:rFonts w:asciiTheme="majorBidi" w:hAnsiTheme="majorBidi" w:cstheme="majorBidi"/>
          <w:sz w:val="24"/>
          <w:szCs w:val="24"/>
        </w:rPr>
        <w:t>Nīzak’s adherence</w:t>
      </w:r>
      <w:r w:rsidR="00702D20">
        <w:rPr>
          <w:rFonts w:asciiTheme="majorBidi" w:hAnsiTheme="majorBidi" w:cstheme="majorBidi"/>
          <w:sz w:val="24"/>
          <w:szCs w:val="24"/>
        </w:rPr>
        <w:t xml:space="preserve"> to Buddhism</w:t>
      </w:r>
      <w:r w:rsidRPr="00A60BCB">
        <w:rPr>
          <w:rFonts w:asciiTheme="majorBidi" w:hAnsiTheme="majorBidi" w:cstheme="majorBidi"/>
          <w:sz w:val="24"/>
          <w:szCs w:val="24"/>
        </w:rPr>
        <w:t xml:space="preserve"> </w:t>
      </w:r>
      <w:r w:rsidR="00F22F52">
        <w:rPr>
          <w:rFonts w:asciiTheme="majorBidi" w:hAnsiTheme="majorBidi" w:cstheme="majorBidi"/>
          <w:sz w:val="24"/>
          <w:szCs w:val="24"/>
        </w:rPr>
        <w:t>works well with</w:t>
      </w:r>
      <w:r w:rsidRPr="00A60BCB">
        <w:rPr>
          <w:rFonts w:asciiTheme="majorBidi" w:hAnsiTheme="majorBidi" w:cstheme="majorBidi"/>
          <w:sz w:val="24"/>
          <w:szCs w:val="24"/>
        </w:rPr>
        <w:t xml:space="preserve"> his Hephthalite identity</w:t>
      </w:r>
      <w:r w:rsidR="00F1425F" w:rsidRPr="00A60BCB">
        <w:rPr>
          <w:rFonts w:asciiTheme="majorBidi" w:hAnsiTheme="majorBidi" w:cstheme="majorBidi"/>
          <w:sz w:val="24"/>
          <w:szCs w:val="24"/>
        </w:rPr>
        <w:t xml:space="preserve">. </w:t>
      </w:r>
      <w:r w:rsidR="006D42B2">
        <w:rPr>
          <w:rFonts w:asciiTheme="majorBidi" w:hAnsiTheme="majorBidi" w:cstheme="majorBidi"/>
          <w:sz w:val="24"/>
          <w:szCs w:val="24"/>
        </w:rPr>
        <w:t>R</w:t>
      </w:r>
      <w:r w:rsidR="00F22F52">
        <w:rPr>
          <w:rFonts w:asciiTheme="majorBidi" w:hAnsiTheme="majorBidi" w:cstheme="majorBidi"/>
          <w:sz w:val="24"/>
          <w:szCs w:val="24"/>
        </w:rPr>
        <w:t>ich reports about Nīzak’s religion</w:t>
      </w:r>
      <w:r w:rsidR="006D42B2">
        <w:rPr>
          <w:rFonts w:asciiTheme="majorBidi" w:hAnsiTheme="majorBidi" w:cstheme="majorBidi"/>
          <w:sz w:val="24"/>
          <w:szCs w:val="24"/>
        </w:rPr>
        <w:t xml:space="preserve"> are found in the Muslim sources</w:t>
      </w:r>
      <w:r w:rsidR="005229A1">
        <w:rPr>
          <w:rFonts w:asciiTheme="majorBidi" w:hAnsiTheme="majorBidi" w:cstheme="majorBidi"/>
          <w:sz w:val="24"/>
          <w:szCs w:val="24"/>
        </w:rPr>
        <w:t>.</w:t>
      </w:r>
      <w:r w:rsidR="00F22F52">
        <w:rPr>
          <w:rFonts w:asciiTheme="majorBidi" w:hAnsiTheme="majorBidi" w:cstheme="majorBidi"/>
          <w:sz w:val="24"/>
          <w:szCs w:val="24"/>
        </w:rPr>
        <w:t xml:space="preserve"> </w:t>
      </w:r>
      <w:r w:rsidR="00093E3F">
        <w:rPr>
          <w:rFonts w:asciiTheme="majorBidi" w:hAnsiTheme="majorBidi" w:cstheme="majorBidi"/>
          <w:sz w:val="24"/>
          <w:szCs w:val="24"/>
        </w:rPr>
        <w:t>He</w:t>
      </w:r>
      <w:r w:rsidR="006F1D77">
        <w:rPr>
          <w:rFonts w:asciiTheme="majorBidi" w:hAnsiTheme="majorBidi" w:cstheme="majorBidi"/>
          <w:sz w:val="24"/>
          <w:szCs w:val="24"/>
        </w:rPr>
        <w:t xml:space="preserve"> was a Buddhist and</w:t>
      </w:r>
      <w:r w:rsidR="00F1425F" w:rsidRPr="00A60BCB">
        <w:rPr>
          <w:rFonts w:asciiTheme="majorBidi" w:hAnsiTheme="majorBidi" w:cstheme="majorBidi"/>
          <w:sz w:val="24"/>
          <w:szCs w:val="24"/>
        </w:rPr>
        <w:t xml:space="preserve"> execut</w:t>
      </w:r>
      <w:r w:rsidR="00F22F52">
        <w:rPr>
          <w:rFonts w:asciiTheme="majorBidi" w:hAnsiTheme="majorBidi" w:cstheme="majorBidi"/>
          <w:sz w:val="24"/>
          <w:szCs w:val="24"/>
        </w:rPr>
        <w:t xml:space="preserve">ed </w:t>
      </w:r>
      <w:r w:rsidR="00F1425F" w:rsidRPr="00A60BCB">
        <w:rPr>
          <w:rFonts w:asciiTheme="majorBidi" w:hAnsiTheme="majorBidi" w:cstheme="majorBidi"/>
          <w:sz w:val="24"/>
          <w:szCs w:val="24"/>
        </w:rPr>
        <w:t>Barmak</w:t>
      </w:r>
      <w:r w:rsidR="00093E3F">
        <w:rPr>
          <w:rFonts w:asciiTheme="majorBidi" w:hAnsiTheme="majorBidi" w:cstheme="majorBidi"/>
          <w:sz w:val="24"/>
          <w:szCs w:val="24"/>
        </w:rPr>
        <w:t xml:space="preserve"> in the 700s</w:t>
      </w:r>
      <w:r w:rsidR="00F1425F" w:rsidRPr="00A60BCB">
        <w:rPr>
          <w:rFonts w:asciiTheme="majorBidi" w:hAnsiTheme="majorBidi" w:cstheme="majorBidi"/>
          <w:sz w:val="24"/>
          <w:szCs w:val="24"/>
        </w:rPr>
        <w:t>, when</w:t>
      </w:r>
      <w:r w:rsidR="006D42B2">
        <w:rPr>
          <w:rFonts w:asciiTheme="majorBidi" w:hAnsiTheme="majorBidi" w:cstheme="majorBidi"/>
          <w:sz w:val="24"/>
          <w:szCs w:val="24"/>
        </w:rPr>
        <w:t xml:space="preserve"> Barmak converted to Islam and</w:t>
      </w:r>
      <w:r w:rsidR="00F22F52">
        <w:rPr>
          <w:rFonts w:asciiTheme="majorBidi" w:hAnsiTheme="majorBidi" w:cstheme="majorBidi"/>
          <w:sz w:val="24"/>
          <w:szCs w:val="24"/>
        </w:rPr>
        <w:t xml:space="preserve"> </w:t>
      </w:r>
      <w:r w:rsidR="00F1425F" w:rsidRPr="00A60BCB">
        <w:rPr>
          <w:rFonts w:asciiTheme="majorBidi" w:hAnsiTheme="majorBidi" w:cstheme="majorBidi"/>
          <w:sz w:val="24"/>
          <w:szCs w:val="24"/>
        </w:rPr>
        <w:t>refused to return to Buddhism.</w:t>
      </w:r>
      <w:r w:rsidR="00F1425F" w:rsidRPr="00A60BCB">
        <w:rPr>
          <w:rStyle w:val="FootnoteReference"/>
          <w:rFonts w:asciiTheme="majorBidi" w:hAnsiTheme="majorBidi" w:cstheme="majorBidi"/>
          <w:sz w:val="24"/>
          <w:szCs w:val="24"/>
        </w:rPr>
        <w:footnoteReference w:id="155"/>
      </w:r>
      <w:r w:rsidR="005F0412">
        <w:rPr>
          <w:rFonts w:asciiTheme="majorBidi" w:hAnsiTheme="majorBidi" w:cstheme="majorBidi"/>
          <w:sz w:val="24"/>
          <w:szCs w:val="24"/>
        </w:rPr>
        <w:t xml:space="preserve"> </w:t>
      </w:r>
      <w:r w:rsidR="00510E11">
        <w:rPr>
          <w:rFonts w:asciiTheme="majorBidi" w:hAnsiTheme="majorBidi" w:cstheme="majorBidi"/>
          <w:sz w:val="24"/>
          <w:szCs w:val="24"/>
        </w:rPr>
        <w:t>A</w:t>
      </w:r>
      <w:r w:rsidR="00510E11" w:rsidRPr="00A60BCB">
        <w:rPr>
          <w:rFonts w:asciiTheme="majorBidi" w:hAnsiTheme="majorBidi" w:cstheme="majorBidi"/>
          <w:sz w:val="24"/>
          <w:szCs w:val="24"/>
        </w:rPr>
        <w:t>l-Kūfī</w:t>
      </w:r>
      <w:r w:rsidR="00257C87">
        <w:rPr>
          <w:rFonts w:asciiTheme="majorBidi" w:hAnsiTheme="majorBidi" w:cstheme="majorBidi"/>
          <w:sz w:val="24"/>
          <w:szCs w:val="24"/>
        </w:rPr>
        <w:t xml:space="preserve"> </w:t>
      </w:r>
      <w:r w:rsidR="00093E3F">
        <w:rPr>
          <w:rFonts w:asciiTheme="majorBidi" w:hAnsiTheme="majorBidi" w:cstheme="majorBidi"/>
          <w:sz w:val="24"/>
          <w:szCs w:val="24"/>
        </w:rPr>
        <w:t xml:space="preserve">reports </w:t>
      </w:r>
      <w:r w:rsidR="00510E11">
        <w:rPr>
          <w:rFonts w:asciiTheme="majorBidi" w:hAnsiTheme="majorBidi" w:cstheme="majorBidi"/>
          <w:sz w:val="24"/>
          <w:szCs w:val="24"/>
        </w:rPr>
        <w:t>that</w:t>
      </w:r>
      <w:r w:rsidR="00F1425F" w:rsidRPr="00A60BCB">
        <w:rPr>
          <w:rFonts w:asciiTheme="majorBidi" w:hAnsiTheme="majorBidi" w:cstheme="majorBidi"/>
          <w:sz w:val="24"/>
          <w:szCs w:val="24"/>
        </w:rPr>
        <w:t xml:space="preserve"> Nīzak</w:t>
      </w:r>
      <w:r w:rsidR="00510E11">
        <w:rPr>
          <w:rFonts w:asciiTheme="majorBidi" w:hAnsiTheme="majorBidi" w:cstheme="majorBidi"/>
          <w:sz w:val="24"/>
          <w:szCs w:val="24"/>
        </w:rPr>
        <w:t xml:space="preserve"> converted to Islam</w:t>
      </w:r>
      <w:r w:rsidR="006D42B2">
        <w:rPr>
          <w:rFonts w:asciiTheme="majorBidi" w:hAnsiTheme="majorBidi" w:cstheme="majorBidi"/>
          <w:sz w:val="24"/>
          <w:szCs w:val="24"/>
        </w:rPr>
        <w:t xml:space="preserve"> as well</w:t>
      </w:r>
      <w:r w:rsidR="00510E11">
        <w:rPr>
          <w:rFonts w:asciiTheme="majorBidi" w:hAnsiTheme="majorBidi" w:cstheme="majorBidi"/>
          <w:sz w:val="24"/>
          <w:szCs w:val="24"/>
        </w:rPr>
        <w:t>, but latter apostat</w:t>
      </w:r>
      <w:r w:rsidR="006F1D77">
        <w:rPr>
          <w:rFonts w:asciiTheme="majorBidi" w:hAnsiTheme="majorBidi" w:cstheme="majorBidi"/>
          <w:sz w:val="24"/>
          <w:szCs w:val="24"/>
        </w:rPr>
        <w:t>ized</w:t>
      </w:r>
      <w:r w:rsidR="00F1425F" w:rsidRPr="00A60BCB">
        <w:rPr>
          <w:rFonts w:asciiTheme="majorBidi" w:hAnsiTheme="majorBidi" w:cstheme="majorBidi"/>
          <w:sz w:val="24"/>
          <w:szCs w:val="24"/>
        </w:rPr>
        <w:t>.</w:t>
      </w:r>
      <w:r w:rsidR="00F1425F" w:rsidRPr="00A60BCB">
        <w:rPr>
          <w:rStyle w:val="FootnoteReference"/>
          <w:rFonts w:asciiTheme="majorBidi" w:hAnsiTheme="majorBidi" w:cstheme="majorBidi"/>
          <w:sz w:val="24"/>
          <w:szCs w:val="24"/>
        </w:rPr>
        <w:footnoteReference w:id="156"/>
      </w:r>
      <w:r w:rsidR="00F1425F" w:rsidRPr="00A60BCB">
        <w:rPr>
          <w:rFonts w:asciiTheme="majorBidi" w:hAnsiTheme="majorBidi" w:cstheme="majorBidi"/>
          <w:sz w:val="24"/>
          <w:szCs w:val="24"/>
        </w:rPr>
        <w:t xml:space="preserve"> </w:t>
      </w:r>
      <w:r w:rsidR="00093E3F">
        <w:rPr>
          <w:rFonts w:asciiTheme="majorBidi" w:hAnsiTheme="majorBidi" w:cstheme="majorBidi"/>
          <w:sz w:val="24"/>
          <w:szCs w:val="24"/>
        </w:rPr>
        <w:t xml:space="preserve">And </w:t>
      </w:r>
      <w:r w:rsidR="006D42B2">
        <w:rPr>
          <w:rFonts w:asciiTheme="majorBidi" w:hAnsiTheme="majorBidi" w:cstheme="majorBidi"/>
          <w:sz w:val="24"/>
          <w:szCs w:val="24"/>
        </w:rPr>
        <w:t xml:space="preserve">according to </w:t>
      </w:r>
      <w:r w:rsidR="00093E3F">
        <w:rPr>
          <w:rFonts w:asciiTheme="majorBidi" w:hAnsiTheme="majorBidi" w:cstheme="majorBidi"/>
          <w:sz w:val="24"/>
          <w:szCs w:val="24"/>
        </w:rPr>
        <w:t>a</w:t>
      </w:r>
      <w:r w:rsidR="005F0412">
        <w:rPr>
          <w:rFonts w:asciiTheme="majorBidi" w:hAnsiTheme="majorBidi" w:cstheme="majorBidi"/>
          <w:sz w:val="24"/>
          <w:szCs w:val="24"/>
        </w:rPr>
        <w:t>l-</w:t>
      </w:r>
      <w:r w:rsidR="005F0412" w:rsidRPr="005F0412">
        <w:rPr>
          <w:rFonts w:asciiTheme="majorBidi" w:hAnsiTheme="majorBidi" w:cstheme="majorBidi"/>
          <w:sz w:val="24"/>
          <w:szCs w:val="24"/>
        </w:rPr>
        <w:t>Ṭabarī</w:t>
      </w:r>
      <w:r w:rsidR="006D42B2">
        <w:rPr>
          <w:rFonts w:asciiTheme="majorBidi" w:hAnsiTheme="majorBidi" w:cstheme="majorBidi"/>
          <w:sz w:val="24"/>
          <w:szCs w:val="24"/>
        </w:rPr>
        <w:t xml:space="preserve">, </w:t>
      </w:r>
      <w:r w:rsidR="005F0412">
        <w:rPr>
          <w:rFonts w:asciiTheme="majorBidi" w:hAnsiTheme="majorBidi" w:cstheme="majorBidi"/>
          <w:sz w:val="24"/>
          <w:szCs w:val="24"/>
        </w:rPr>
        <w:t xml:space="preserve">Nīzak </w:t>
      </w:r>
      <w:r w:rsidR="00093E3F">
        <w:rPr>
          <w:rFonts w:asciiTheme="majorBidi" w:hAnsiTheme="majorBidi" w:cstheme="majorBidi"/>
          <w:sz w:val="24"/>
          <w:szCs w:val="24"/>
        </w:rPr>
        <w:t>prayed</w:t>
      </w:r>
      <w:r w:rsidR="00F1425F" w:rsidRPr="00A60BCB">
        <w:rPr>
          <w:rFonts w:asciiTheme="majorBidi" w:hAnsiTheme="majorBidi" w:cstheme="majorBidi"/>
          <w:sz w:val="24"/>
          <w:szCs w:val="24"/>
        </w:rPr>
        <w:t xml:space="preserve"> </w:t>
      </w:r>
      <w:r w:rsidR="00257C87">
        <w:rPr>
          <w:rFonts w:asciiTheme="majorBidi" w:hAnsiTheme="majorBidi" w:cstheme="majorBidi"/>
          <w:sz w:val="24"/>
          <w:szCs w:val="24"/>
        </w:rPr>
        <w:t xml:space="preserve">for blessing </w:t>
      </w:r>
      <w:r w:rsidR="00BB188E" w:rsidRPr="00A60BCB">
        <w:rPr>
          <w:rFonts w:asciiTheme="majorBidi" w:hAnsiTheme="majorBidi" w:cstheme="majorBidi"/>
          <w:sz w:val="24"/>
          <w:szCs w:val="24"/>
        </w:rPr>
        <w:t>in the Nawbahār</w:t>
      </w:r>
      <w:r w:rsidR="00F1425F" w:rsidRPr="00A60BCB">
        <w:rPr>
          <w:rFonts w:asciiTheme="majorBidi" w:hAnsiTheme="majorBidi" w:cstheme="majorBidi"/>
          <w:sz w:val="24"/>
          <w:szCs w:val="24"/>
        </w:rPr>
        <w:t xml:space="preserve"> </w:t>
      </w:r>
      <w:r w:rsidR="00BB188E" w:rsidRPr="00A60BCB">
        <w:rPr>
          <w:rFonts w:asciiTheme="majorBidi" w:hAnsiTheme="majorBidi" w:cstheme="majorBidi"/>
          <w:sz w:val="24"/>
          <w:szCs w:val="24"/>
        </w:rPr>
        <w:lastRenderedPageBreak/>
        <w:t xml:space="preserve">monastery </w:t>
      </w:r>
      <w:r w:rsidR="006D42B2">
        <w:rPr>
          <w:rFonts w:asciiTheme="majorBidi" w:hAnsiTheme="majorBidi" w:cstheme="majorBidi"/>
          <w:sz w:val="24"/>
          <w:szCs w:val="24"/>
        </w:rPr>
        <w:t>when fleeing</w:t>
      </w:r>
      <w:r w:rsidR="00BB188E" w:rsidRPr="00A60BCB">
        <w:rPr>
          <w:rFonts w:asciiTheme="majorBidi" w:hAnsiTheme="majorBidi" w:cstheme="majorBidi"/>
          <w:sz w:val="24"/>
          <w:szCs w:val="24"/>
        </w:rPr>
        <w:t xml:space="preserve"> from </w:t>
      </w:r>
      <w:r w:rsidR="00D452C1" w:rsidRPr="00A60BCB">
        <w:rPr>
          <w:rFonts w:asciiTheme="majorBidi" w:hAnsiTheme="majorBidi" w:cstheme="majorBidi"/>
          <w:sz w:val="24"/>
          <w:szCs w:val="24"/>
        </w:rPr>
        <w:t>Qutayba</w:t>
      </w:r>
      <w:r w:rsidR="00F1425F" w:rsidRPr="00A60BCB">
        <w:rPr>
          <w:rFonts w:asciiTheme="majorBidi" w:hAnsiTheme="majorBidi" w:cstheme="majorBidi"/>
          <w:sz w:val="24"/>
          <w:szCs w:val="24"/>
        </w:rPr>
        <w:t>.</w:t>
      </w:r>
      <w:r w:rsidR="00F1425F" w:rsidRPr="00A60BCB">
        <w:rPr>
          <w:rStyle w:val="FootnoteReference"/>
          <w:rFonts w:asciiTheme="majorBidi" w:hAnsiTheme="majorBidi" w:cstheme="majorBidi"/>
          <w:sz w:val="24"/>
          <w:szCs w:val="24"/>
        </w:rPr>
        <w:footnoteReference w:id="157"/>
      </w:r>
      <w:r w:rsidR="00666D18" w:rsidRPr="00A60BCB">
        <w:rPr>
          <w:rFonts w:asciiTheme="majorBidi" w:hAnsiTheme="majorBidi" w:cstheme="majorBidi"/>
          <w:sz w:val="24"/>
          <w:szCs w:val="24"/>
        </w:rPr>
        <w:t xml:space="preserve"> </w:t>
      </w:r>
      <w:r w:rsidR="003217FB">
        <w:rPr>
          <w:rFonts w:asciiTheme="majorBidi" w:hAnsiTheme="majorBidi" w:cstheme="majorBidi"/>
          <w:sz w:val="24"/>
          <w:szCs w:val="24"/>
        </w:rPr>
        <w:t xml:space="preserve">Although the story of Barmak is legendary and the credibility of Nīzak’s conversion is </w:t>
      </w:r>
      <w:r w:rsidR="00EE7D00">
        <w:rPr>
          <w:rFonts w:asciiTheme="majorBidi" w:hAnsiTheme="majorBidi" w:cstheme="majorBidi"/>
          <w:sz w:val="24"/>
          <w:szCs w:val="24"/>
        </w:rPr>
        <w:t>disputed</w:t>
      </w:r>
      <w:r w:rsidR="003217FB">
        <w:rPr>
          <w:rFonts w:asciiTheme="majorBidi" w:hAnsiTheme="majorBidi" w:cstheme="majorBidi"/>
          <w:sz w:val="24"/>
          <w:szCs w:val="24"/>
        </w:rPr>
        <w:t>, Nīzak</w:t>
      </w:r>
      <w:r w:rsidR="006D42B2">
        <w:rPr>
          <w:rFonts w:asciiTheme="majorBidi" w:hAnsiTheme="majorBidi" w:cstheme="majorBidi"/>
          <w:sz w:val="24"/>
          <w:szCs w:val="24"/>
        </w:rPr>
        <w:t xml:space="preserve"> as a Buddhist is</w:t>
      </w:r>
      <w:r w:rsidR="003217FB">
        <w:rPr>
          <w:rFonts w:asciiTheme="majorBidi" w:hAnsiTheme="majorBidi" w:cstheme="majorBidi"/>
          <w:sz w:val="24"/>
          <w:szCs w:val="24"/>
        </w:rPr>
        <w:t xml:space="preserve"> </w:t>
      </w:r>
      <w:r w:rsidR="00093E3F">
        <w:rPr>
          <w:rFonts w:asciiTheme="majorBidi" w:hAnsiTheme="majorBidi" w:cstheme="majorBidi"/>
          <w:sz w:val="24"/>
          <w:szCs w:val="24"/>
        </w:rPr>
        <w:t>a credible fact</w:t>
      </w:r>
      <w:r w:rsidR="003217FB">
        <w:rPr>
          <w:rFonts w:asciiTheme="majorBidi" w:hAnsiTheme="majorBidi" w:cstheme="majorBidi"/>
          <w:sz w:val="24"/>
          <w:szCs w:val="24"/>
        </w:rPr>
        <w:t>, from which</w:t>
      </w:r>
      <w:r w:rsidR="00257C87">
        <w:rPr>
          <w:rFonts w:asciiTheme="majorBidi" w:hAnsiTheme="majorBidi" w:cstheme="majorBidi"/>
          <w:sz w:val="24"/>
          <w:szCs w:val="24"/>
        </w:rPr>
        <w:t xml:space="preserve"> </w:t>
      </w:r>
      <w:r w:rsidR="006D42B2">
        <w:rPr>
          <w:rFonts w:asciiTheme="majorBidi" w:hAnsiTheme="majorBidi" w:cstheme="majorBidi"/>
          <w:sz w:val="24"/>
          <w:szCs w:val="24"/>
        </w:rPr>
        <w:t>latter</w:t>
      </w:r>
      <w:r w:rsidR="00257C87">
        <w:rPr>
          <w:rFonts w:asciiTheme="majorBidi" w:hAnsiTheme="majorBidi" w:cstheme="majorBidi"/>
          <w:sz w:val="24"/>
          <w:szCs w:val="24"/>
        </w:rPr>
        <w:t xml:space="preserve"> </w:t>
      </w:r>
      <w:r w:rsidR="003217FB">
        <w:rPr>
          <w:rFonts w:asciiTheme="majorBidi" w:hAnsiTheme="majorBidi" w:cstheme="majorBidi"/>
          <w:sz w:val="24"/>
          <w:szCs w:val="24"/>
        </w:rPr>
        <w:t xml:space="preserve">stories evolve. </w:t>
      </w:r>
      <w:r w:rsidR="00F1425F" w:rsidRPr="00A60BCB">
        <w:rPr>
          <w:rFonts w:asciiTheme="majorBidi" w:hAnsiTheme="majorBidi" w:cstheme="majorBidi"/>
          <w:sz w:val="24"/>
          <w:szCs w:val="24"/>
        </w:rPr>
        <w:t xml:space="preserve">Actually, Nīzak's </w:t>
      </w:r>
      <w:r w:rsidR="003217FB">
        <w:rPr>
          <w:rFonts w:asciiTheme="majorBidi" w:hAnsiTheme="majorBidi" w:cstheme="majorBidi"/>
          <w:sz w:val="24"/>
          <w:szCs w:val="24"/>
        </w:rPr>
        <w:t xml:space="preserve">religion </w:t>
      </w:r>
      <w:r w:rsidR="00257C87">
        <w:rPr>
          <w:rFonts w:asciiTheme="majorBidi" w:hAnsiTheme="majorBidi" w:cstheme="majorBidi"/>
          <w:sz w:val="24"/>
          <w:szCs w:val="24"/>
        </w:rPr>
        <w:t>is a continuation of the</w:t>
      </w:r>
      <w:r w:rsidR="003217FB">
        <w:rPr>
          <w:rFonts w:asciiTheme="majorBidi" w:hAnsiTheme="majorBidi" w:cstheme="majorBidi"/>
          <w:sz w:val="24"/>
          <w:szCs w:val="24"/>
        </w:rPr>
        <w:t xml:space="preserve"> Hephthalite tradition </w:t>
      </w:r>
      <w:r w:rsidR="006D42B2">
        <w:rPr>
          <w:rFonts w:asciiTheme="majorBidi" w:hAnsiTheme="majorBidi" w:cstheme="majorBidi"/>
          <w:sz w:val="24"/>
          <w:szCs w:val="24"/>
        </w:rPr>
        <w:t>that started from</w:t>
      </w:r>
      <w:r w:rsidR="003217FB">
        <w:rPr>
          <w:rFonts w:asciiTheme="majorBidi" w:hAnsiTheme="majorBidi" w:cstheme="majorBidi"/>
          <w:sz w:val="24"/>
          <w:szCs w:val="24"/>
        </w:rPr>
        <w:t xml:space="preserve"> the imperial period, when </w:t>
      </w:r>
      <w:r w:rsidR="00F1425F" w:rsidRPr="00A60BCB">
        <w:rPr>
          <w:rFonts w:asciiTheme="majorBidi" w:hAnsiTheme="majorBidi" w:cstheme="majorBidi"/>
          <w:sz w:val="24"/>
          <w:szCs w:val="24"/>
        </w:rPr>
        <w:t xml:space="preserve">the rulers on both sides of the Hindukush </w:t>
      </w:r>
      <w:r w:rsidR="006D42B2">
        <w:rPr>
          <w:rFonts w:asciiTheme="majorBidi" w:hAnsiTheme="majorBidi" w:cstheme="majorBidi"/>
          <w:sz w:val="24"/>
          <w:szCs w:val="24"/>
        </w:rPr>
        <w:t>adopted the predominant religion in Central Asia</w:t>
      </w:r>
      <w:r w:rsidR="00F1425F" w:rsidRPr="00A60BCB">
        <w:rPr>
          <w:rFonts w:asciiTheme="majorBidi" w:hAnsiTheme="majorBidi" w:cstheme="majorBidi"/>
          <w:sz w:val="24"/>
          <w:szCs w:val="24"/>
        </w:rPr>
        <w:t>.</w:t>
      </w:r>
      <w:r w:rsidR="00F1425F" w:rsidRPr="00A60BCB">
        <w:rPr>
          <w:rStyle w:val="FootnoteReference"/>
          <w:rFonts w:asciiTheme="majorBidi" w:hAnsiTheme="majorBidi" w:cstheme="majorBidi"/>
          <w:sz w:val="24"/>
          <w:szCs w:val="24"/>
        </w:rPr>
        <w:footnoteReference w:id="158"/>
      </w:r>
    </w:p>
    <w:p w14:paraId="1AB88BE9" w14:textId="24401176" w:rsidR="00752E4F" w:rsidRDefault="00EE7D00" w:rsidP="00752E4F">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To combine the above analyses from different perspectives, it seems secure to conclude that</w:t>
      </w:r>
      <w:r w:rsidR="00796B21">
        <w:rPr>
          <w:rFonts w:asciiTheme="majorBidi" w:hAnsiTheme="majorBidi" w:cstheme="majorBidi"/>
          <w:sz w:val="24"/>
          <w:szCs w:val="24"/>
        </w:rPr>
        <w:t xml:space="preserve"> the Nīzak dynasty was Hephthaltie</w:t>
      </w:r>
      <w:r w:rsidR="009E0B3C">
        <w:rPr>
          <w:rFonts w:asciiTheme="majorBidi" w:hAnsiTheme="majorBidi" w:cstheme="majorBidi"/>
          <w:sz w:val="24"/>
          <w:szCs w:val="24"/>
        </w:rPr>
        <w:t xml:space="preserve">. If this is the case, </w:t>
      </w:r>
      <w:r w:rsidR="00796B21">
        <w:rPr>
          <w:rFonts w:asciiTheme="majorBidi" w:hAnsiTheme="majorBidi" w:cstheme="majorBidi"/>
          <w:sz w:val="24"/>
          <w:szCs w:val="24"/>
        </w:rPr>
        <w:t>an interesting question to raise is that are</w:t>
      </w:r>
      <w:r w:rsidR="00666D18">
        <w:rPr>
          <w:rFonts w:asciiTheme="majorBidi" w:hAnsiTheme="majorBidi" w:cstheme="majorBidi"/>
          <w:sz w:val="24"/>
          <w:szCs w:val="24"/>
        </w:rPr>
        <w:t xml:space="preserve"> </w:t>
      </w:r>
      <w:r w:rsidR="0092189B">
        <w:rPr>
          <w:rFonts w:asciiTheme="majorBidi" w:hAnsiTheme="majorBidi" w:cstheme="majorBidi"/>
          <w:sz w:val="24"/>
          <w:szCs w:val="24"/>
        </w:rPr>
        <w:t xml:space="preserve">the Muslim </w:t>
      </w:r>
      <w:r w:rsidR="00F24E60">
        <w:rPr>
          <w:rFonts w:asciiTheme="majorBidi" w:hAnsiTheme="majorBidi" w:cstheme="majorBidi"/>
          <w:sz w:val="24"/>
          <w:szCs w:val="24"/>
        </w:rPr>
        <w:t>sources</w:t>
      </w:r>
      <w:r w:rsidR="00796B21">
        <w:rPr>
          <w:rFonts w:asciiTheme="majorBidi" w:hAnsiTheme="majorBidi" w:cstheme="majorBidi"/>
          <w:sz w:val="24"/>
          <w:szCs w:val="24"/>
        </w:rPr>
        <w:t xml:space="preserve"> wrong in </w:t>
      </w:r>
      <w:r w:rsidR="00702D20">
        <w:rPr>
          <w:rFonts w:asciiTheme="majorBidi" w:hAnsiTheme="majorBidi" w:cstheme="majorBidi"/>
          <w:sz w:val="24"/>
          <w:szCs w:val="24"/>
        </w:rPr>
        <w:t xml:space="preserve">repoting </w:t>
      </w:r>
      <w:r w:rsidR="0092189B">
        <w:rPr>
          <w:rFonts w:asciiTheme="majorBidi" w:hAnsiTheme="majorBidi" w:cstheme="majorBidi"/>
          <w:sz w:val="24"/>
          <w:szCs w:val="24"/>
        </w:rPr>
        <w:t xml:space="preserve">Nīzak </w:t>
      </w:r>
      <w:r w:rsidR="00F24E60">
        <w:rPr>
          <w:rFonts w:asciiTheme="majorBidi" w:hAnsiTheme="majorBidi" w:cstheme="majorBidi"/>
          <w:sz w:val="24"/>
          <w:szCs w:val="24"/>
        </w:rPr>
        <w:t>as</w:t>
      </w:r>
      <w:r w:rsidR="0092189B">
        <w:rPr>
          <w:rFonts w:asciiTheme="majorBidi" w:hAnsiTheme="majorBidi" w:cstheme="majorBidi"/>
          <w:sz w:val="24"/>
          <w:szCs w:val="24"/>
        </w:rPr>
        <w:t xml:space="preserve"> the ruler of the Turks</w:t>
      </w:r>
      <w:r w:rsidR="00796B21">
        <w:rPr>
          <w:rFonts w:asciiTheme="majorBidi" w:hAnsiTheme="majorBidi" w:cstheme="majorBidi"/>
          <w:sz w:val="24"/>
          <w:szCs w:val="24"/>
        </w:rPr>
        <w:t>.</w:t>
      </w:r>
      <w:r w:rsidR="0092189B">
        <w:rPr>
          <w:rFonts w:asciiTheme="majorBidi" w:hAnsiTheme="majorBidi" w:cstheme="majorBidi"/>
          <w:sz w:val="24"/>
          <w:szCs w:val="24"/>
        </w:rPr>
        <w:t xml:space="preserve"> </w:t>
      </w:r>
      <w:r w:rsidR="00796B21">
        <w:rPr>
          <w:rFonts w:asciiTheme="majorBidi" w:hAnsiTheme="majorBidi" w:cstheme="majorBidi"/>
          <w:sz w:val="24"/>
          <w:szCs w:val="24"/>
        </w:rPr>
        <w:t>Since it does not bother the present study, it is sufficient to say that the Hepthalites were under the suzerainty of the Turks.</w:t>
      </w:r>
      <w:r w:rsidR="00AB4C2E">
        <w:rPr>
          <w:rStyle w:val="FootnoteReference"/>
          <w:rFonts w:asciiTheme="majorBidi" w:hAnsiTheme="majorBidi" w:cstheme="majorBidi"/>
          <w:sz w:val="24"/>
          <w:szCs w:val="24"/>
        </w:rPr>
        <w:footnoteReference w:id="159"/>
      </w:r>
    </w:p>
    <w:p w14:paraId="7239A329" w14:textId="60DAD3BB" w:rsidR="000436FF" w:rsidRPr="006A7CF7" w:rsidRDefault="005256FA" w:rsidP="00FE5B7D">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However, the term Turks gradually becomes a general designation for nomads </w:t>
      </w:r>
      <w:r w:rsidR="00561D4D">
        <w:rPr>
          <w:rFonts w:asciiTheme="majorBidi" w:hAnsiTheme="majorBidi" w:cstheme="majorBidi"/>
          <w:sz w:val="24"/>
          <w:szCs w:val="24"/>
        </w:rPr>
        <w:t>on</w:t>
      </w:r>
      <w:r>
        <w:rPr>
          <w:rFonts w:asciiTheme="majorBidi" w:hAnsiTheme="majorBidi" w:cstheme="majorBidi"/>
          <w:sz w:val="24"/>
          <w:szCs w:val="24"/>
        </w:rPr>
        <w:t xml:space="preserve"> the eastern frontiers</w:t>
      </w:r>
      <w:r w:rsidR="00847B2D" w:rsidRPr="00847B2D">
        <w:rPr>
          <w:rFonts w:asciiTheme="majorBidi" w:hAnsiTheme="majorBidi" w:cstheme="majorBidi"/>
          <w:sz w:val="24"/>
          <w:szCs w:val="24"/>
        </w:rPr>
        <w:t xml:space="preserve"> </w:t>
      </w:r>
      <w:r w:rsidR="00847B2D">
        <w:rPr>
          <w:rFonts w:asciiTheme="majorBidi" w:hAnsiTheme="majorBidi" w:cstheme="majorBidi"/>
          <w:sz w:val="24"/>
          <w:szCs w:val="24"/>
        </w:rPr>
        <w:t>in the later Muslim sources</w:t>
      </w:r>
      <w:r>
        <w:rPr>
          <w:rFonts w:asciiTheme="majorBidi" w:hAnsiTheme="majorBidi" w:cstheme="majorBidi"/>
          <w:sz w:val="24"/>
          <w:szCs w:val="24"/>
        </w:rPr>
        <w:t>,</w:t>
      </w:r>
      <w:r w:rsidR="00847B2D">
        <w:rPr>
          <w:rStyle w:val="FootnoteReference"/>
          <w:rFonts w:asciiTheme="majorBidi" w:hAnsiTheme="majorBidi" w:cstheme="majorBidi"/>
          <w:sz w:val="24"/>
          <w:szCs w:val="24"/>
        </w:rPr>
        <w:footnoteReference w:id="160"/>
      </w:r>
      <w:r>
        <w:rPr>
          <w:rFonts w:asciiTheme="majorBidi" w:hAnsiTheme="majorBidi" w:cstheme="majorBidi"/>
          <w:sz w:val="24"/>
          <w:szCs w:val="24"/>
        </w:rPr>
        <w:t xml:space="preserve"> due to later historical development, </w:t>
      </w:r>
      <w:r>
        <w:rPr>
          <w:rFonts w:asciiTheme="majorBidi" w:hAnsiTheme="majorBidi" w:cstheme="majorBidi"/>
          <w:sz w:val="24"/>
          <w:szCs w:val="24"/>
        </w:rPr>
        <w:lastRenderedPageBreak/>
        <w:t>namely the enduring predominance of the Turks in Central Asia and the decline and final disappearance of the Hephthalites.</w:t>
      </w:r>
      <w:r w:rsidR="00FE5B7D">
        <w:rPr>
          <w:rFonts w:asciiTheme="majorBidi" w:hAnsiTheme="majorBidi" w:cstheme="majorBidi" w:hint="eastAsia"/>
          <w:sz w:val="24"/>
          <w:szCs w:val="24"/>
        </w:rPr>
        <w:t xml:space="preserve"> </w:t>
      </w:r>
      <w:r w:rsidR="00847B2D">
        <w:rPr>
          <w:rFonts w:asciiTheme="majorBidi" w:hAnsiTheme="majorBidi" w:cstheme="majorBidi"/>
          <w:sz w:val="24"/>
          <w:szCs w:val="24"/>
        </w:rPr>
        <w:t xml:space="preserve">To take </w:t>
      </w:r>
      <w:r w:rsidR="000D1C50">
        <w:rPr>
          <w:rFonts w:asciiTheme="majorBidi" w:hAnsiTheme="majorBidi" w:cstheme="majorBidi"/>
          <w:sz w:val="24"/>
          <w:szCs w:val="24"/>
        </w:rPr>
        <w:t xml:space="preserve">the Turks </w:t>
      </w:r>
      <w:r w:rsidR="00847B2D">
        <w:rPr>
          <w:rFonts w:asciiTheme="majorBidi" w:hAnsiTheme="majorBidi" w:cstheme="majorBidi"/>
          <w:sz w:val="24"/>
          <w:szCs w:val="24"/>
        </w:rPr>
        <w:t xml:space="preserve">as a frozen term </w:t>
      </w:r>
      <w:r w:rsidR="000D1C50">
        <w:rPr>
          <w:rFonts w:asciiTheme="majorBidi" w:hAnsiTheme="majorBidi" w:cstheme="majorBidi"/>
          <w:sz w:val="24"/>
          <w:szCs w:val="24"/>
        </w:rPr>
        <w:t>can be misleading</w:t>
      </w:r>
      <w:r w:rsidR="00D552DF">
        <w:rPr>
          <w:rFonts w:asciiTheme="majorBidi" w:hAnsiTheme="majorBidi" w:cstheme="majorBidi"/>
          <w:sz w:val="24"/>
          <w:szCs w:val="24"/>
        </w:rPr>
        <w:t xml:space="preserve">. </w:t>
      </w:r>
      <w:r w:rsidR="00A61B51" w:rsidRPr="006A7CF7">
        <w:rPr>
          <w:rFonts w:asciiTheme="majorBidi" w:hAnsiTheme="majorBidi" w:cstheme="majorBidi"/>
          <w:sz w:val="24"/>
          <w:szCs w:val="24"/>
        </w:rPr>
        <w:t xml:space="preserve">Finally, </w:t>
      </w:r>
      <w:r w:rsidR="00D552DF">
        <w:rPr>
          <w:rFonts w:asciiTheme="majorBidi" w:hAnsiTheme="majorBidi" w:cstheme="majorBidi"/>
          <w:sz w:val="24"/>
          <w:szCs w:val="24"/>
        </w:rPr>
        <w:t xml:space="preserve">as de la </w:t>
      </w:r>
      <w:r w:rsidR="00D552DF" w:rsidRPr="006A7CF7">
        <w:rPr>
          <w:rFonts w:asciiTheme="majorBidi" w:hAnsiTheme="majorBidi" w:cstheme="majorBidi"/>
          <w:sz w:val="24"/>
          <w:szCs w:val="24"/>
        </w:rPr>
        <w:t xml:space="preserve">Vassière </w:t>
      </w:r>
      <w:r w:rsidR="00D552DF">
        <w:rPr>
          <w:rFonts w:asciiTheme="majorBidi" w:hAnsiTheme="majorBidi" w:cstheme="majorBidi"/>
          <w:sz w:val="24"/>
          <w:szCs w:val="24"/>
        </w:rPr>
        <w:t>point</w:t>
      </w:r>
      <w:r w:rsidR="00C8189D">
        <w:rPr>
          <w:rFonts w:asciiTheme="majorBidi" w:hAnsiTheme="majorBidi" w:cstheme="majorBidi"/>
          <w:sz w:val="24"/>
          <w:szCs w:val="24"/>
        </w:rPr>
        <w:t>s</w:t>
      </w:r>
      <w:r w:rsidR="00D552DF">
        <w:rPr>
          <w:rFonts w:asciiTheme="majorBidi" w:hAnsiTheme="majorBidi" w:cstheme="majorBidi"/>
          <w:sz w:val="24"/>
          <w:szCs w:val="24"/>
        </w:rPr>
        <w:t xml:space="preserve"> out, </w:t>
      </w:r>
      <w:r w:rsidR="00A61B51" w:rsidRPr="006A7CF7">
        <w:rPr>
          <w:rFonts w:asciiTheme="majorBidi" w:hAnsiTheme="majorBidi" w:cstheme="majorBidi"/>
          <w:sz w:val="24"/>
          <w:szCs w:val="24"/>
        </w:rPr>
        <w:t xml:space="preserve">Hephthalite is more precisely a political </w:t>
      </w:r>
      <w:r w:rsidR="00164000">
        <w:rPr>
          <w:rFonts w:asciiTheme="majorBidi" w:hAnsiTheme="majorBidi" w:cstheme="majorBidi"/>
          <w:sz w:val="24"/>
          <w:szCs w:val="24"/>
        </w:rPr>
        <w:t xml:space="preserve">identity that took shape </w:t>
      </w:r>
      <w:r w:rsidR="004D6193">
        <w:rPr>
          <w:rFonts w:asciiTheme="majorBidi" w:hAnsiTheme="majorBidi" w:cstheme="majorBidi"/>
          <w:sz w:val="24"/>
          <w:szCs w:val="24"/>
        </w:rPr>
        <w:t xml:space="preserve">most probably before or </w:t>
      </w:r>
      <w:r w:rsidR="00164000">
        <w:rPr>
          <w:rFonts w:asciiTheme="majorBidi" w:hAnsiTheme="majorBidi" w:cstheme="majorBidi"/>
          <w:sz w:val="24"/>
          <w:szCs w:val="24"/>
        </w:rPr>
        <w:t xml:space="preserve">during the imperial period </w:t>
      </w:r>
      <w:r w:rsidR="00A61B51" w:rsidRPr="006A7CF7">
        <w:rPr>
          <w:rFonts w:asciiTheme="majorBidi" w:hAnsiTheme="majorBidi" w:cstheme="majorBidi"/>
          <w:sz w:val="24"/>
          <w:szCs w:val="24"/>
        </w:rPr>
        <w:t xml:space="preserve">instead of an ethnic </w:t>
      </w:r>
      <w:r w:rsidR="00164000">
        <w:rPr>
          <w:rFonts w:asciiTheme="majorBidi" w:hAnsiTheme="majorBidi" w:cstheme="majorBidi"/>
          <w:sz w:val="24"/>
          <w:szCs w:val="24"/>
        </w:rPr>
        <w:t>one</w:t>
      </w:r>
      <w:r w:rsidR="00A61B51" w:rsidRPr="006A7CF7">
        <w:rPr>
          <w:rFonts w:asciiTheme="majorBidi" w:hAnsiTheme="majorBidi" w:cstheme="majorBidi"/>
          <w:sz w:val="24"/>
          <w:szCs w:val="24"/>
        </w:rPr>
        <w:t>.</w:t>
      </w:r>
      <w:r w:rsidR="00A61B51" w:rsidRPr="006A7CF7">
        <w:rPr>
          <w:rStyle w:val="FootnoteReference"/>
          <w:rFonts w:asciiTheme="majorBidi" w:hAnsiTheme="majorBidi" w:cstheme="majorBidi"/>
          <w:sz w:val="24"/>
          <w:szCs w:val="24"/>
        </w:rPr>
        <w:footnoteReference w:id="161"/>
      </w:r>
    </w:p>
    <w:p w14:paraId="5CB9D171" w14:textId="1BC4095A" w:rsidR="00836E44" w:rsidRDefault="00D0215D" w:rsidP="00C07535">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Despite its power and influence, the Nīzak dynasty </w:t>
      </w:r>
      <w:r w:rsidR="00D572D7">
        <w:rPr>
          <w:rFonts w:asciiTheme="majorBidi" w:hAnsiTheme="majorBidi" w:cstheme="majorBidi"/>
          <w:sz w:val="24"/>
          <w:szCs w:val="24"/>
        </w:rPr>
        <w:t>wa</w:t>
      </w:r>
      <w:r>
        <w:rPr>
          <w:rFonts w:asciiTheme="majorBidi" w:hAnsiTheme="majorBidi" w:cstheme="majorBidi"/>
          <w:sz w:val="24"/>
          <w:szCs w:val="24"/>
        </w:rPr>
        <w:t xml:space="preserve">s far from </w:t>
      </w:r>
      <w:r w:rsidR="00561D4D">
        <w:rPr>
          <w:rFonts w:asciiTheme="majorBidi" w:hAnsiTheme="majorBidi" w:cstheme="majorBidi"/>
          <w:sz w:val="24"/>
          <w:szCs w:val="24"/>
        </w:rPr>
        <w:t xml:space="preserve">being </w:t>
      </w:r>
      <w:r>
        <w:rPr>
          <w:rFonts w:asciiTheme="majorBidi" w:hAnsiTheme="majorBidi" w:cstheme="majorBidi"/>
          <w:sz w:val="24"/>
          <w:szCs w:val="24"/>
        </w:rPr>
        <w:t>the only Hephthalite principali</w:t>
      </w:r>
      <w:r w:rsidR="00561D4D">
        <w:rPr>
          <w:rFonts w:asciiTheme="majorBidi" w:hAnsiTheme="majorBidi" w:cstheme="majorBidi"/>
          <w:sz w:val="24"/>
          <w:szCs w:val="24"/>
        </w:rPr>
        <w:t>ty</w:t>
      </w:r>
      <w:r>
        <w:rPr>
          <w:rFonts w:asciiTheme="majorBidi" w:hAnsiTheme="majorBidi" w:cstheme="majorBidi"/>
          <w:sz w:val="24"/>
          <w:szCs w:val="24"/>
        </w:rPr>
        <w:t xml:space="preserve"> at this stage. </w:t>
      </w:r>
      <w:r w:rsidR="00836E44">
        <w:rPr>
          <w:rFonts w:asciiTheme="majorBidi" w:hAnsiTheme="majorBidi" w:cstheme="majorBidi"/>
          <w:sz w:val="24"/>
          <w:szCs w:val="24"/>
        </w:rPr>
        <w:t xml:space="preserve">After the collapse of the Hephthalite Empire, various Hephthalite </w:t>
      </w:r>
      <w:r>
        <w:rPr>
          <w:rFonts w:asciiTheme="majorBidi" w:hAnsiTheme="majorBidi" w:cstheme="majorBidi"/>
          <w:sz w:val="24"/>
          <w:szCs w:val="24"/>
        </w:rPr>
        <w:t>polities</w:t>
      </w:r>
      <w:r w:rsidR="00836E44">
        <w:rPr>
          <w:rFonts w:asciiTheme="majorBidi" w:hAnsiTheme="majorBidi" w:cstheme="majorBidi"/>
          <w:sz w:val="24"/>
          <w:szCs w:val="24"/>
        </w:rPr>
        <w:t xml:space="preserve"> emerged on both sides of the Hindukush, among which the dynasty that was best known by their coins under the title </w:t>
      </w:r>
      <w:r w:rsidR="00836E44" w:rsidRPr="00836E44">
        <w:rPr>
          <w:rFonts w:asciiTheme="majorBidi" w:hAnsiTheme="majorBidi" w:cstheme="majorBidi"/>
          <w:i/>
          <w:iCs/>
          <w:sz w:val="24"/>
          <w:szCs w:val="24"/>
        </w:rPr>
        <w:t>nyčky</w:t>
      </w:r>
      <w:r w:rsidR="00836E44" w:rsidRPr="00836E44">
        <w:rPr>
          <w:rFonts w:asciiTheme="majorBidi" w:hAnsiTheme="majorBidi" w:cstheme="majorBidi"/>
          <w:sz w:val="24"/>
          <w:szCs w:val="24"/>
        </w:rPr>
        <w:t xml:space="preserve"> MLK῾ </w:t>
      </w:r>
      <w:r w:rsidR="00836E44">
        <w:rPr>
          <w:rFonts w:asciiTheme="majorBidi" w:hAnsiTheme="majorBidi" w:cstheme="majorBidi"/>
          <w:sz w:val="24"/>
          <w:szCs w:val="24"/>
        </w:rPr>
        <w:t xml:space="preserve">in Pahlavi based in Kabul. </w:t>
      </w:r>
      <w:r>
        <w:rPr>
          <w:rFonts w:asciiTheme="majorBidi" w:hAnsiTheme="majorBidi" w:cstheme="majorBidi"/>
          <w:sz w:val="24"/>
          <w:szCs w:val="24"/>
        </w:rPr>
        <w:t xml:space="preserve">Even in </w:t>
      </w:r>
      <w:r w:rsidRPr="00C43B5F">
        <w:rPr>
          <w:rFonts w:asciiTheme="majorBidi" w:hAnsiTheme="majorBidi" w:cstheme="majorBidi"/>
          <w:sz w:val="24"/>
          <w:szCs w:val="24"/>
        </w:rPr>
        <w:t>Ṭukhāristān</w:t>
      </w:r>
      <w:r>
        <w:rPr>
          <w:rFonts w:asciiTheme="majorBidi" w:hAnsiTheme="majorBidi" w:cstheme="majorBidi"/>
          <w:sz w:val="24"/>
          <w:szCs w:val="24"/>
        </w:rPr>
        <w:t>, t</w:t>
      </w:r>
      <w:r w:rsidR="00836E44">
        <w:rPr>
          <w:rFonts w:asciiTheme="majorBidi" w:hAnsiTheme="majorBidi" w:cstheme="majorBidi"/>
          <w:sz w:val="24"/>
          <w:szCs w:val="24"/>
        </w:rPr>
        <w:t xml:space="preserve">here </w:t>
      </w:r>
      <w:r>
        <w:rPr>
          <w:rFonts w:asciiTheme="majorBidi" w:hAnsiTheme="majorBidi" w:cstheme="majorBidi"/>
          <w:sz w:val="24"/>
          <w:szCs w:val="24"/>
        </w:rPr>
        <w:t>we</w:t>
      </w:r>
      <w:r w:rsidR="00836E44">
        <w:rPr>
          <w:rFonts w:asciiTheme="majorBidi" w:hAnsiTheme="majorBidi" w:cstheme="majorBidi"/>
          <w:sz w:val="24"/>
          <w:szCs w:val="24"/>
        </w:rPr>
        <w:t>re other Hephthalite p</w:t>
      </w:r>
      <w:r w:rsidR="00420227">
        <w:rPr>
          <w:rFonts w:asciiTheme="majorBidi" w:hAnsiTheme="majorBidi" w:cstheme="majorBidi"/>
          <w:sz w:val="24"/>
          <w:szCs w:val="24"/>
        </w:rPr>
        <w:t>olities</w:t>
      </w:r>
      <w:r w:rsidR="00836E44">
        <w:rPr>
          <w:rFonts w:asciiTheme="majorBidi" w:hAnsiTheme="majorBidi" w:cstheme="majorBidi"/>
          <w:sz w:val="24"/>
          <w:szCs w:val="24"/>
        </w:rPr>
        <w:t xml:space="preserve"> in the 7</w:t>
      </w:r>
      <w:r w:rsidR="00836E44" w:rsidRPr="00836E44">
        <w:rPr>
          <w:rFonts w:asciiTheme="majorBidi" w:hAnsiTheme="majorBidi" w:cstheme="majorBidi"/>
          <w:sz w:val="24"/>
          <w:szCs w:val="24"/>
          <w:vertAlign w:val="superscript"/>
        </w:rPr>
        <w:t>th</w:t>
      </w:r>
      <w:r w:rsidR="00836E44">
        <w:rPr>
          <w:rFonts w:asciiTheme="majorBidi" w:hAnsiTheme="majorBidi" w:cstheme="majorBidi"/>
          <w:sz w:val="24"/>
          <w:szCs w:val="24"/>
        </w:rPr>
        <w:t xml:space="preserve"> and 8</w:t>
      </w:r>
      <w:r w:rsidR="00836E44" w:rsidRPr="00836E44">
        <w:rPr>
          <w:rFonts w:asciiTheme="majorBidi" w:hAnsiTheme="majorBidi" w:cstheme="majorBidi"/>
          <w:sz w:val="24"/>
          <w:szCs w:val="24"/>
          <w:vertAlign w:val="superscript"/>
        </w:rPr>
        <w:t>th</w:t>
      </w:r>
      <w:r w:rsidR="00836E44">
        <w:rPr>
          <w:rFonts w:asciiTheme="majorBidi" w:hAnsiTheme="majorBidi" w:cstheme="majorBidi"/>
          <w:sz w:val="24"/>
          <w:szCs w:val="24"/>
        </w:rPr>
        <w:t xml:space="preserve"> centuries such as </w:t>
      </w:r>
      <w:r w:rsidR="00D572D7">
        <w:rPr>
          <w:rFonts w:asciiTheme="majorBidi" w:hAnsiTheme="majorBidi" w:cstheme="majorBidi"/>
          <w:sz w:val="24"/>
          <w:szCs w:val="24"/>
        </w:rPr>
        <w:t xml:space="preserve">Chaghāniyān and </w:t>
      </w:r>
      <w:r w:rsidR="00836E44">
        <w:rPr>
          <w:rFonts w:asciiTheme="majorBidi" w:hAnsiTheme="majorBidi" w:cstheme="majorBidi"/>
          <w:sz w:val="24"/>
          <w:szCs w:val="24"/>
        </w:rPr>
        <w:t>Khutta</w:t>
      </w:r>
      <w:r w:rsidR="00D572D7">
        <w:rPr>
          <w:rFonts w:asciiTheme="majorBidi" w:hAnsiTheme="majorBidi" w:cstheme="majorBidi"/>
          <w:sz w:val="24"/>
          <w:szCs w:val="24"/>
        </w:rPr>
        <w:t>l.</w:t>
      </w:r>
      <w:r w:rsidR="00EE025D">
        <w:rPr>
          <w:rStyle w:val="FootnoteReference"/>
          <w:rFonts w:asciiTheme="majorBidi" w:hAnsiTheme="majorBidi" w:cstheme="majorBidi"/>
          <w:sz w:val="24"/>
          <w:szCs w:val="24"/>
        </w:rPr>
        <w:footnoteReference w:id="162"/>
      </w:r>
      <w:r w:rsidR="00836E44">
        <w:rPr>
          <w:rFonts w:asciiTheme="majorBidi" w:hAnsiTheme="majorBidi" w:cstheme="majorBidi"/>
          <w:sz w:val="24"/>
          <w:szCs w:val="24"/>
        </w:rPr>
        <w:t xml:space="preserve"> A</w:t>
      </w:r>
      <w:r w:rsidR="00420227">
        <w:rPr>
          <w:rFonts w:asciiTheme="majorBidi" w:hAnsiTheme="majorBidi" w:cstheme="majorBidi"/>
          <w:sz w:val="24"/>
          <w:szCs w:val="24"/>
        </w:rPr>
        <w:t xml:space="preserve">nother </w:t>
      </w:r>
      <w:r w:rsidR="00D572D7">
        <w:rPr>
          <w:rFonts w:asciiTheme="majorBidi" w:hAnsiTheme="majorBidi" w:cstheme="majorBidi"/>
          <w:sz w:val="24"/>
          <w:szCs w:val="24"/>
        </w:rPr>
        <w:t xml:space="preserve">noteworthy </w:t>
      </w:r>
      <w:r w:rsidR="00836E44">
        <w:rPr>
          <w:rFonts w:asciiTheme="majorBidi" w:hAnsiTheme="majorBidi" w:cstheme="majorBidi"/>
          <w:sz w:val="24"/>
          <w:szCs w:val="24"/>
        </w:rPr>
        <w:t xml:space="preserve">Hephthalite polity </w:t>
      </w:r>
      <w:r w:rsidR="00D572D7">
        <w:rPr>
          <w:rFonts w:asciiTheme="majorBidi" w:hAnsiTheme="majorBidi" w:cstheme="majorBidi"/>
          <w:sz w:val="24"/>
          <w:szCs w:val="24"/>
        </w:rPr>
        <w:t xml:space="preserve">existed, </w:t>
      </w:r>
      <w:r w:rsidR="00836E44">
        <w:rPr>
          <w:rFonts w:asciiTheme="majorBidi" w:hAnsiTheme="majorBidi" w:cstheme="majorBidi"/>
          <w:sz w:val="24"/>
          <w:szCs w:val="24"/>
        </w:rPr>
        <w:t xml:space="preserve">about which the discussion starts with a </w:t>
      </w:r>
      <w:r w:rsidR="00420227">
        <w:rPr>
          <w:rFonts w:asciiTheme="majorBidi" w:hAnsiTheme="majorBidi" w:cstheme="majorBidi"/>
          <w:sz w:val="24"/>
          <w:szCs w:val="24"/>
        </w:rPr>
        <w:t>confusing</w:t>
      </w:r>
      <w:r w:rsidR="00836E44">
        <w:rPr>
          <w:rFonts w:asciiTheme="majorBidi" w:hAnsiTheme="majorBidi" w:cstheme="majorBidi"/>
          <w:sz w:val="24"/>
          <w:szCs w:val="24"/>
        </w:rPr>
        <w:t xml:space="preserve"> record of al-</w:t>
      </w:r>
      <w:r w:rsidR="00836E44" w:rsidRPr="00836E44">
        <w:rPr>
          <w:rFonts w:asciiTheme="majorBidi" w:hAnsiTheme="majorBidi" w:cstheme="majorBidi"/>
          <w:sz w:val="24"/>
          <w:szCs w:val="24"/>
        </w:rPr>
        <w:t>Ṭabarī</w:t>
      </w:r>
      <w:r w:rsidR="00836E44">
        <w:rPr>
          <w:rFonts w:asciiTheme="majorBidi" w:hAnsiTheme="majorBidi" w:cstheme="majorBidi"/>
          <w:sz w:val="24"/>
          <w:szCs w:val="24"/>
        </w:rPr>
        <w:t>.</w:t>
      </w:r>
    </w:p>
    <w:p w14:paraId="584D9EFC" w14:textId="178437E8" w:rsidR="00D0215D" w:rsidRDefault="00D0215D" w:rsidP="00D0215D">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After capturing Nīzak, Qutayba asked the Hephthalite prince if al-Sabal, the king of Khuttal, and the </w:t>
      </w:r>
      <w:r w:rsidR="00384C7E">
        <w:rPr>
          <w:rFonts w:asciiTheme="majorBidi" w:hAnsiTheme="majorBidi" w:cstheme="majorBidi"/>
          <w:sz w:val="24"/>
          <w:szCs w:val="24"/>
        </w:rPr>
        <w:t xml:space="preserve">mytherious </w:t>
      </w:r>
      <w:r>
        <w:rPr>
          <w:rFonts w:asciiTheme="majorBidi" w:hAnsiTheme="majorBidi" w:cstheme="majorBidi"/>
          <w:sz w:val="24"/>
          <w:szCs w:val="24"/>
        </w:rPr>
        <w:t xml:space="preserve">Shadh would come to his call. </w:t>
      </w:r>
      <w:r w:rsidR="00561D4D">
        <w:rPr>
          <w:rFonts w:asciiTheme="majorBidi" w:hAnsiTheme="majorBidi" w:cstheme="majorBidi"/>
          <w:sz w:val="24"/>
          <w:szCs w:val="24"/>
        </w:rPr>
        <w:t>Even though</w:t>
      </w:r>
      <w:r>
        <w:rPr>
          <w:rFonts w:asciiTheme="majorBidi" w:hAnsiTheme="majorBidi" w:cstheme="majorBidi"/>
          <w:sz w:val="24"/>
          <w:szCs w:val="24"/>
        </w:rPr>
        <w:t xml:space="preserve"> Nīzak responded negatively, they did show up. When the four rulers met, the Shadh prostrated himself before the Yabghū, acknowledging the later both as his lord and enemy, while Nīzak addressed the Shadh as his lord and greeted him by kissing </w:t>
      </w:r>
      <w:r w:rsidR="007D6C7F">
        <w:rPr>
          <w:rFonts w:asciiTheme="majorBidi" w:hAnsiTheme="majorBidi" w:cstheme="majorBidi"/>
          <w:sz w:val="24"/>
          <w:szCs w:val="24"/>
        </w:rPr>
        <w:t xml:space="preserve">his </w:t>
      </w:r>
      <w:r>
        <w:rPr>
          <w:rFonts w:asciiTheme="majorBidi" w:hAnsiTheme="majorBidi" w:cstheme="majorBidi"/>
          <w:sz w:val="24"/>
          <w:szCs w:val="24"/>
        </w:rPr>
        <w:t>hand.</w:t>
      </w:r>
      <w:r>
        <w:rPr>
          <w:rStyle w:val="FootnoteReference"/>
          <w:rFonts w:asciiTheme="majorBidi" w:hAnsiTheme="majorBidi" w:cstheme="majorBidi"/>
          <w:sz w:val="24"/>
          <w:szCs w:val="24"/>
        </w:rPr>
        <w:footnoteReference w:id="163"/>
      </w:r>
    </w:p>
    <w:p w14:paraId="0C036303" w14:textId="77777777" w:rsidR="0042443B" w:rsidRDefault="00032368" w:rsidP="008B4750">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The meagre information poses difficulty to </w:t>
      </w:r>
      <w:r w:rsidR="00EE025D">
        <w:rPr>
          <w:rFonts w:asciiTheme="majorBidi" w:hAnsiTheme="majorBidi" w:cstheme="majorBidi"/>
          <w:sz w:val="24"/>
          <w:szCs w:val="24"/>
        </w:rPr>
        <w:t xml:space="preserve">identify </w:t>
      </w:r>
      <w:r>
        <w:rPr>
          <w:rFonts w:asciiTheme="majorBidi" w:hAnsiTheme="majorBidi" w:cstheme="majorBidi"/>
          <w:sz w:val="24"/>
          <w:szCs w:val="24"/>
        </w:rPr>
        <w:t>the Shadh</w:t>
      </w:r>
      <w:r w:rsidR="00EE025D">
        <w:rPr>
          <w:rFonts w:asciiTheme="majorBidi" w:hAnsiTheme="majorBidi" w:cstheme="majorBidi"/>
          <w:sz w:val="24"/>
          <w:szCs w:val="24"/>
        </w:rPr>
        <w:t>.</w:t>
      </w:r>
      <w:r>
        <w:rPr>
          <w:rFonts w:asciiTheme="majorBidi" w:hAnsiTheme="majorBidi" w:cstheme="majorBidi"/>
          <w:sz w:val="24"/>
          <w:szCs w:val="24"/>
        </w:rPr>
        <w:t xml:space="preserve"> </w:t>
      </w:r>
      <w:r w:rsidR="00EE025D">
        <w:rPr>
          <w:rFonts w:asciiTheme="majorBidi" w:hAnsiTheme="majorBidi" w:cstheme="majorBidi"/>
          <w:sz w:val="24"/>
          <w:szCs w:val="24"/>
        </w:rPr>
        <w:t>A</w:t>
      </w:r>
      <w:r>
        <w:rPr>
          <w:rFonts w:asciiTheme="majorBidi" w:hAnsiTheme="majorBidi" w:cstheme="majorBidi"/>
          <w:sz w:val="24"/>
          <w:szCs w:val="24"/>
        </w:rPr>
        <w:t>nother piece of information from al-</w:t>
      </w:r>
      <w:r w:rsidRPr="00836E44">
        <w:rPr>
          <w:rFonts w:asciiTheme="majorBidi" w:hAnsiTheme="majorBidi" w:cstheme="majorBidi"/>
          <w:sz w:val="24"/>
          <w:szCs w:val="24"/>
        </w:rPr>
        <w:t>Ṭabarī</w:t>
      </w:r>
      <w:r w:rsidR="00EE025D">
        <w:rPr>
          <w:rFonts w:asciiTheme="majorBidi" w:hAnsiTheme="majorBidi" w:cstheme="majorBidi"/>
          <w:sz w:val="24"/>
          <w:szCs w:val="24"/>
        </w:rPr>
        <w:t xml:space="preserve">, which reports </w:t>
      </w:r>
      <w:r>
        <w:rPr>
          <w:rFonts w:asciiTheme="majorBidi" w:hAnsiTheme="majorBidi" w:cstheme="majorBidi"/>
          <w:sz w:val="24"/>
          <w:szCs w:val="24"/>
        </w:rPr>
        <w:t xml:space="preserve">that </w:t>
      </w:r>
      <w:r w:rsidR="00EE025D">
        <w:rPr>
          <w:rFonts w:asciiTheme="majorBidi" w:hAnsiTheme="majorBidi" w:cstheme="majorBidi"/>
          <w:sz w:val="24"/>
          <w:szCs w:val="24"/>
        </w:rPr>
        <w:t xml:space="preserve">Shadh </w:t>
      </w:r>
      <w:r>
        <w:rPr>
          <w:rFonts w:asciiTheme="majorBidi" w:hAnsiTheme="majorBidi" w:cstheme="majorBidi"/>
          <w:sz w:val="24"/>
          <w:szCs w:val="24"/>
        </w:rPr>
        <w:t>was the name of the Yabghū</w:t>
      </w:r>
      <w:r w:rsidR="00EE025D">
        <w:rPr>
          <w:rFonts w:asciiTheme="majorBidi" w:hAnsiTheme="majorBidi" w:cstheme="majorBidi"/>
          <w:sz w:val="24"/>
          <w:szCs w:val="24"/>
        </w:rPr>
        <w:t>,</w:t>
      </w:r>
      <w:r>
        <w:rPr>
          <w:rStyle w:val="FootnoteReference"/>
          <w:rFonts w:asciiTheme="majorBidi" w:hAnsiTheme="majorBidi" w:cstheme="majorBidi"/>
          <w:sz w:val="24"/>
          <w:szCs w:val="24"/>
        </w:rPr>
        <w:footnoteReference w:id="164"/>
      </w:r>
      <w:r w:rsidR="00EE025D">
        <w:rPr>
          <w:rFonts w:asciiTheme="majorBidi" w:hAnsiTheme="majorBidi" w:cstheme="majorBidi"/>
          <w:sz w:val="24"/>
          <w:szCs w:val="24"/>
        </w:rPr>
        <w:t xml:space="preserve"> further drags the identification into a </w:t>
      </w:r>
      <w:r w:rsidR="007D6C7F">
        <w:rPr>
          <w:rFonts w:asciiTheme="majorBidi" w:hAnsiTheme="majorBidi" w:cstheme="majorBidi"/>
          <w:sz w:val="24"/>
          <w:szCs w:val="24"/>
        </w:rPr>
        <w:t xml:space="preserve">self-contradictory </w:t>
      </w:r>
      <w:r w:rsidR="00EE025D">
        <w:rPr>
          <w:rFonts w:asciiTheme="majorBidi" w:hAnsiTheme="majorBidi" w:cstheme="majorBidi"/>
          <w:sz w:val="24"/>
          <w:szCs w:val="24"/>
        </w:rPr>
        <w:t>dead end.</w:t>
      </w:r>
      <w:r w:rsidR="00D13938">
        <w:rPr>
          <w:rFonts w:asciiTheme="majorBidi" w:hAnsiTheme="majorBidi" w:cstheme="majorBidi"/>
          <w:sz w:val="24"/>
          <w:szCs w:val="24"/>
        </w:rPr>
        <w:t xml:space="preserve"> Al</w:t>
      </w:r>
      <w:r w:rsidR="00420227">
        <w:rPr>
          <w:rFonts w:asciiTheme="majorBidi" w:hAnsiTheme="majorBidi" w:cstheme="majorBidi"/>
          <w:sz w:val="24"/>
          <w:szCs w:val="24"/>
        </w:rPr>
        <w:t>-</w:t>
      </w:r>
      <w:r w:rsidR="00420227" w:rsidRPr="00836E44">
        <w:rPr>
          <w:rFonts w:asciiTheme="majorBidi" w:hAnsiTheme="majorBidi" w:cstheme="majorBidi"/>
          <w:sz w:val="24"/>
          <w:szCs w:val="24"/>
        </w:rPr>
        <w:t>Ṭabarī</w:t>
      </w:r>
      <w:r w:rsidR="00420227">
        <w:rPr>
          <w:rFonts w:asciiTheme="majorBidi" w:hAnsiTheme="majorBidi" w:cstheme="majorBidi"/>
          <w:sz w:val="24"/>
          <w:szCs w:val="24"/>
        </w:rPr>
        <w:t xml:space="preserve">'s report of Shadh as the Yabghū's name seems wrong, since both </w:t>
      </w:r>
      <w:r w:rsidR="00420227" w:rsidRPr="001520AE">
        <w:rPr>
          <w:rFonts w:asciiTheme="majorBidi" w:hAnsiTheme="majorBidi" w:cstheme="majorBidi"/>
          <w:i/>
          <w:iCs/>
          <w:sz w:val="24"/>
          <w:szCs w:val="24"/>
        </w:rPr>
        <w:t>shadh</w:t>
      </w:r>
      <w:r w:rsidR="00420227">
        <w:rPr>
          <w:rFonts w:asciiTheme="majorBidi" w:hAnsiTheme="majorBidi" w:cstheme="majorBidi"/>
          <w:sz w:val="24"/>
          <w:szCs w:val="24"/>
        </w:rPr>
        <w:t xml:space="preserve"> and </w:t>
      </w:r>
      <w:r w:rsidR="00420227" w:rsidRPr="001520AE">
        <w:rPr>
          <w:rFonts w:asciiTheme="majorBidi" w:hAnsiTheme="majorBidi" w:cstheme="majorBidi"/>
          <w:i/>
          <w:iCs/>
          <w:sz w:val="24"/>
          <w:szCs w:val="24"/>
        </w:rPr>
        <w:t>yabghū</w:t>
      </w:r>
      <w:r w:rsidR="00420227">
        <w:rPr>
          <w:rFonts w:asciiTheme="majorBidi" w:hAnsiTheme="majorBidi" w:cstheme="majorBidi"/>
          <w:sz w:val="24"/>
          <w:szCs w:val="24"/>
        </w:rPr>
        <w:t xml:space="preserve"> were titles and </w:t>
      </w:r>
      <w:r w:rsidR="00D13938">
        <w:rPr>
          <w:rFonts w:asciiTheme="majorBidi" w:hAnsiTheme="majorBidi" w:cstheme="majorBidi"/>
          <w:sz w:val="24"/>
          <w:szCs w:val="24"/>
        </w:rPr>
        <w:lastRenderedPageBreak/>
        <w:t xml:space="preserve">could </w:t>
      </w:r>
      <w:r w:rsidR="00420227">
        <w:rPr>
          <w:rFonts w:asciiTheme="majorBidi" w:hAnsiTheme="majorBidi" w:cstheme="majorBidi"/>
          <w:sz w:val="24"/>
          <w:szCs w:val="24"/>
        </w:rPr>
        <w:t xml:space="preserve">not </w:t>
      </w:r>
      <w:r w:rsidR="00D13938">
        <w:rPr>
          <w:rFonts w:asciiTheme="majorBidi" w:hAnsiTheme="majorBidi" w:cstheme="majorBidi"/>
          <w:sz w:val="24"/>
          <w:szCs w:val="24"/>
        </w:rPr>
        <w:t>apply</w:t>
      </w:r>
      <w:r w:rsidR="00420227">
        <w:rPr>
          <w:rFonts w:asciiTheme="majorBidi" w:hAnsiTheme="majorBidi" w:cstheme="majorBidi"/>
          <w:sz w:val="24"/>
          <w:szCs w:val="24"/>
        </w:rPr>
        <w:t xml:space="preserve"> to the same person at the same time.</w:t>
      </w:r>
      <w:r w:rsidR="00420227">
        <w:rPr>
          <w:rStyle w:val="FootnoteReference"/>
          <w:rFonts w:asciiTheme="majorBidi" w:hAnsiTheme="majorBidi" w:cstheme="majorBidi"/>
          <w:sz w:val="24"/>
          <w:szCs w:val="24"/>
        </w:rPr>
        <w:footnoteReference w:id="165"/>
      </w:r>
      <w:r w:rsidR="00D13938">
        <w:rPr>
          <w:rFonts w:asciiTheme="majorBidi" w:hAnsiTheme="majorBidi" w:cstheme="majorBidi"/>
          <w:sz w:val="24"/>
          <w:szCs w:val="24"/>
        </w:rPr>
        <w:t xml:space="preserve"> Qutayba asked Nīzak about the attitudes of al-Sabal and the Shadh towards the Arabs, because they were all Hephthalites. Gibb's suggestion that the Shadh was the supreme ruler of the Hephthalites makes sense, although </w:t>
      </w:r>
      <w:r w:rsidR="008B4750">
        <w:rPr>
          <w:rFonts w:asciiTheme="majorBidi" w:hAnsiTheme="majorBidi" w:cstheme="majorBidi"/>
          <w:sz w:val="24"/>
          <w:szCs w:val="24"/>
        </w:rPr>
        <w:t>he awkwardly propose</w:t>
      </w:r>
      <w:r w:rsidR="00C8189D">
        <w:rPr>
          <w:rFonts w:asciiTheme="majorBidi" w:hAnsiTheme="majorBidi" w:cstheme="majorBidi"/>
          <w:sz w:val="24"/>
          <w:szCs w:val="24"/>
        </w:rPr>
        <w:t>s</w:t>
      </w:r>
      <w:r w:rsidR="008B4750">
        <w:rPr>
          <w:rFonts w:asciiTheme="majorBidi" w:hAnsiTheme="majorBidi" w:cstheme="majorBidi"/>
          <w:sz w:val="24"/>
          <w:szCs w:val="24"/>
        </w:rPr>
        <w:t xml:space="preserve"> the Shadh as the</w:t>
      </w:r>
      <w:r w:rsidR="008B4750" w:rsidRPr="008B179E">
        <w:rPr>
          <w:rFonts w:asciiTheme="majorBidi" w:hAnsiTheme="majorBidi" w:cstheme="majorBidi"/>
          <w:sz w:val="24"/>
          <w:szCs w:val="24"/>
        </w:rPr>
        <w:t xml:space="preserve"> ruler of Chaghāniyān Tīsh</w:t>
      </w:r>
      <w:r w:rsidR="008B4750">
        <w:rPr>
          <w:rFonts w:asciiTheme="majorBidi" w:hAnsiTheme="majorBidi" w:cstheme="majorBidi"/>
          <w:sz w:val="24"/>
          <w:szCs w:val="24"/>
        </w:rPr>
        <w:t xml:space="preserve"> without textual evidence.</w:t>
      </w:r>
      <w:r w:rsidR="008B4750">
        <w:rPr>
          <w:rStyle w:val="FootnoteReference"/>
          <w:rFonts w:asciiTheme="majorBidi" w:hAnsiTheme="majorBidi" w:cstheme="majorBidi"/>
          <w:sz w:val="24"/>
          <w:szCs w:val="24"/>
        </w:rPr>
        <w:footnoteReference w:id="166"/>
      </w:r>
    </w:p>
    <w:p w14:paraId="35C5FFA5" w14:textId="4B06F1C3" w:rsidR="00032368" w:rsidRDefault="0042443B" w:rsidP="008B4750">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It is understandable that the Muslim sources have no further information about the Shadh, who was found most probably in eastern </w:t>
      </w:r>
      <w:r w:rsidRPr="006663BF">
        <w:rPr>
          <w:rFonts w:asciiTheme="majorBidi" w:hAnsiTheme="majorBidi" w:cstheme="majorBidi"/>
          <w:sz w:val="24"/>
          <w:szCs w:val="24"/>
        </w:rPr>
        <w:t xml:space="preserve">Ṭukhāristān </w:t>
      </w:r>
      <w:r>
        <w:rPr>
          <w:rFonts w:asciiTheme="majorBidi" w:hAnsiTheme="majorBidi" w:cstheme="majorBidi"/>
          <w:sz w:val="24"/>
          <w:szCs w:val="24"/>
        </w:rPr>
        <w:t xml:space="preserve">and close to Khuttal, because of lack of interaction with the Arabs. </w:t>
      </w:r>
      <w:r w:rsidR="008B4750">
        <w:rPr>
          <w:rFonts w:asciiTheme="majorBidi" w:hAnsiTheme="majorBidi" w:cstheme="majorBidi"/>
          <w:sz w:val="24"/>
          <w:szCs w:val="24"/>
        </w:rPr>
        <w:t xml:space="preserve">Fortunately, the Chinese sources shed light on the further identification of </w:t>
      </w:r>
      <w:r w:rsidR="00665EA7">
        <w:rPr>
          <w:rFonts w:asciiTheme="majorBidi" w:hAnsiTheme="majorBidi" w:cstheme="majorBidi"/>
          <w:sz w:val="24"/>
          <w:szCs w:val="24"/>
        </w:rPr>
        <w:t>the Shadh, the supreme ruler of the Hephthalites</w:t>
      </w:r>
      <w:r w:rsidR="008B4750">
        <w:rPr>
          <w:rFonts w:asciiTheme="majorBidi" w:hAnsiTheme="majorBidi" w:cstheme="majorBidi"/>
          <w:sz w:val="24"/>
          <w:szCs w:val="24"/>
        </w:rPr>
        <w:t>.</w:t>
      </w:r>
    </w:p>
    <w:p w14:paraId="114FB83B" w14:textId="3A5B76FE" w:rsidR="00FE0689" w:rsidRDefault="0042443B" w:rsidP="005616EB">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The </w:t>
      </w:r>
      <w:r w:rsidR="00FB2340" w:rsidRPr="00FB2340">
        <w:rPr>
          <w:rFonts w:asciiTheme="majorBidi" w:hAnsiTheme="majorBidi" w:cstheme="majorBidi"/>
          <w:i/>
          <w:iCs/>
          <w:sz w:val="24"/>
          <w:szCs w:val="24"/>
        </w:rPr>
        <w:t>Cefu yuangui</w:t>
      </w:r>
      <w:r w:rsidR="00FB2340">
        <w:rPr>
          <w:rFonts w:asciiTheme="majorBidi" w:hAnsiTheme="majorBidi" w:cstheme="majorBidi"/>
          <w:sz w:val="24"/>
          <w:szCs w:val="24"/>
        </w:rPr>
        <w:t xml:space="preserve"> records a memoire that the </w:t>
      </w:r>
      <w:r>
        <w:rPr>
          <w:rFonts w:asciiTheme="majorBidi" w:hAnsiTheme="majorBidi" w:cstheme="majorBidi"/>
          <w:sz w:val="24"/>
          <w:szCs w:val="24"/>
        </w:rPr>
        <w:t>Yabghū</w:t>
      </w:r>
      <w:r w:rsidR="00FB2340">
        <w:rPr>
          <w:rFonts w:asciiTheme="majorBidi" w:hAnsiTheme="majorBidi" w:cstheme="majorBidi"/>
          <w:sz w:val="24"/>
          <w:szCs w:val="24"/>
        </w:rPr>
        <w:t>’s brother Puluo presented to the Tang court in 718 CE. The memoire gives a list of the Yabghū’s vassals including their number of troops.</w:t>
      </w:r>
      <w:r w:rsidR="00FE0689">
        <w:rPr>
          <w:rStyle w:val="FootnoteReference"/>
          <w:rFonts w:asciiTheme="majorBidi" w:hAnsiTheme="majorBidi" w:cstheme="majorBidi"/>
          <w:sz w:val="24"/>
          <w:szCs w:val="24"/>
        </w:rPr>
        <w:footnoteReference w:id="167"/>
      </w:r>
      <w:r w:rsidR="00FB2340">
        <w:rPr>
          <w:rFonts w:asciiTheme="majorBidi" w:hAnsiTheme="majorBidi" w:cstheme="majorBidi"/>
          <w:sz w:val="24"/>
          <w:szCs w:val="24"/>
        </w:rPr>
        <w:t xml:space="preserve"> </w:t>
      </w:r>
      <w:r w:rsidR="00A97676" w:rsidRPr="00665EA7">
        <w:rPr>
          <w:rFonts w:asciiTheme="majorBidi" w:hAnsiTheme="majorBidi" w:cstheme="majorBidi"/>
          <w:sz w:val="24"/>
          <w:szCs w:val="24"/>
        </w:rPr>
        <w:t>Could the Shadh be the ruler of the Yida dynasty</w:t>
      </w:r>
      <w:r w:rsidR="00FB2340">
        <w:rPr>
          <w:rFonts w:asciiTheme="majorBidi" w:hAnsiTheme="majorBidi" w:cstheme="majorBidi"/>
          <w:sz w:val="24"/>
          <w:szCs w:val="24"/>
        </w:rPr>
        <w:t xml:space="preserve"> in the list</w:t>
      </w:r>
      <w:r w:rsidR="00A97676" w:rsidRPr="00665EA7">
        <w:rPr>
          <w:rFonts w:asciiTheme="majorBidi" w:hAnsiTheme="majorBidi" w:cstheme="majorBidi"/>
          <w:sz w:val="24"/>
          <w:szCs w:val="24"/>
        </w:rPr>
        <w:t>, namely the Hephthalite dynasty?</w:t>
      </w:r>
    </w:p>
    <w:p w14:paraId="07304ED6" w14:textId="62280758" w:rsidR="00C07535" w:rsidRDefault="00FF2984" w:rsidP="005616EB">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Kuwayama propose</w:t>
      </w:r>
      <w:r w:rsidR="00C8189D">
        <w:rPr>
          <w:rFonts w:asciiTheme="majorBidi" w:hAnsiTheme="majorBidi" w:cstheme="majorBidi"/>
          <w:sz w:val="24"/>
          <w:szCs w:val="24"/>
        </w:rPr>
        <w:t>s</w:t>
      </w:r>
      <w:r>
        <w:rPr>
          <w:rFonts w:asciiTheme="majorBidi" w:hAnsiTheme="majorBidi" w:cstheme="majorBidi"/>
          <w:sz w:val="24"/>
          <w:szCs w:val="24"/>
        </w:rPr>
        <w:t xml:space="preserve"> the </w:t>
      </w:r>
      <w:r w:rsidR="00D50574">
        <w:rPr>
          <w:rFonts w:asciiTheme="majorBidi" w:hAnsiTheme="majorBidi" w:cstheme="majorBidi"/>
          <w:sz w:val="24"/>
          <w:szCs w:val="24"/>
        </w:rPr>
        <w:t>Yida dynasty</w:t>
      </w:r>
      <w:r>
        <w:rPr>
          <w:rFonts w:asciiTheme="majorBidi" w:hAnsiTheme="majorBidi" w:cstheme="majorBidi"/>
          <w:sz w:val="24"/>
          <w:szCs w:val="24"/>
        </w:rPr>
        <w:t xml:space="preserve"> in Bāghlān in winter months, a region on the western fringes of Badakhshān, and in Himatala in </w:t>
      </w:r>
      <w:r w:rsidR="009D3954">
        <w:rPr>
          <w:rFonts w:asciiTheme="majorBidi" w:hAnsiTheme="majorBidi" w:cstheme="majorBidi"/>
          <w:sz w:val="24"/>
          <w:szCs w:val="24"/>
        </w:rPr>
        <w:t>summer</w:t>
      </w:r>
      <w:r>
        <w:rPr>
          <w:rFonts w:asciiTheme="majorBidi" w:hAnsiTheme="majorBidi" w:cstheme="majorBidi"/>
          <w:sz w:val="24"/>
          <w:szCs w:val="24"/>
        </w:rPr>
        <w:t xml:space="preserve"> months</w:t>
      </w:r>
      <w:r w:rsidR="00D50574">
        <w:rPr>
          <w:rFonts w:asciiTheme="majorBidi" w:hAnsiTheme="majorBidi" w:cstheme="majorBidi"/>
          <w:sz w:val="24"/>
          <w:szCs w:val="24"/>
        </w:rPr>
        <w:t>,</w:t>
      </w:r>
      <w:r w:rsidR="00D50574">
        <w:rPr>
          <w:rStyle w:val="FootnoteReference"/>
          <w:rFonts w:asciiTheme="majorBidi" w:hAnsiTheme="majorBidi" w:cstheme="majorBidi"/>
          <w:sz w:val="24"/>
          <w:szCs w:val="24"/>
        </w:rPr>
        <w:footnoteReference w:id="168"/>
      </w:r>
      <w:r>
        <w:rPr>
          <w:rFonts w:asciiTheme="majorBidi" w:hAnsiTheme="majorBidi" w:cstheme="majorBidi"/>
          <w:sz w:val="24"/>
          <w:szCs w:val="24"/>
        </w:rPr>
        <w:t xml:space="preserve"> </w:t>
      </w:r>
      <w:r w:rsidR="00D50574">
        <w:rPr>
          <w:rFonts w:asciiTheme="majorBidi" w:hAnsiTheme="majorBidi" w:cstheme="majorBidi"/>
          <w:sz w:val="24"/>
          <w:szCs w:val="24"/>
        </w:rPr>
        <w:t>and argues</w:t>
      </w:r>
      <w:r w:rsidR="00AE7102">
        <w:rPr>
          <w:rFonts w:asciiTheme="majorBidi" w:hAnsiTheme="majorBidi" w:cstheme="majorBidi"/>
          <w:sz w:val="24"/>
          <w:szCs w:val="24"/>
        </w:rPr>
        <w:t xml:space="preserve"> that this dynasty was the </w:t>
      </w:r>
      <w:r w:rsidR="005616EB">
        <w:rPr>
          <w:rFonts w:asciiTheme="majorBidi" w:hAnsiTheme="majorBidi" w:cstheme="majorBidi"/>
          <w:sz w:val="24"/>
          <w:szCs w:val="24"/>
        </w:rPr>
        <w:t xml:space="preserve">lord of all the Hephthalite principalities </w:t>
      </w:r>
      <w:r w:rsidR="004A622F">
        <w:rPr>
          <w:rFonts w:asciiTheme="majorBidi" w:hAnsiTheme="majorBidi" w:cstheme="majorBidi"/>
          <w:sz w:val="24"/>
          <w:szCs w:val="24"/>
        </w:rPr>
        <w:t xml:space="preserve">in </w:t>
      </w:r>
      <w:r w:rsidR="004A622F" w:rsidRPr="00C43B5F">
        <w:rPr>
          <w:rFonts w:asciiTheme="majorBidi" w:hAnsiTheme="majorBidi" w:cstheme="majorBidi"/>
          <w:sz w:val="24"/>
          <w:szCs w:val="24"/>
        </w:rPr>
        <w:t>Ṭukhāristān</w:t>
      </w:r>
      <w:r w:rsidR="004A622F">
        <w:rPr>
          <w:rFonts w:asciiTheme="majorBidi" w:hAnsiTheme="majorBidi" w:cstheme="majorBidi"/>
          <w:sz w:val="24"/>
          <w:szCs w:val="24"/>
        </w:rPr>
        <w:t xml:space="preserve"> </w:t>
      </w:r>
      <w:r w:rsidR="005616EB">
        <w:rPr>
          <w:rFonts w:asciiTheme="majorBidi" w:hAnsiTheme="majorBidi" w:cstheme="majorBidi"/>
          <w:sz w:val="24"/>
          <w:szCs w:val="24"/>
        </w:rPr>
        <w:t>including the Nīzak dynasty and its ruler was the Shadh found in al-</w:t>
      </w:r>
      <w:r w:rsidR="005616EB" w:rsidRPr="005616EB">
        <w:rPr>
          <w:rFonts w:asciiTheme="majorBidi" w:hAnsiTheme="majorBidi" w:cstheme="majorBidi"/>
          <w:sz w:val="24"/>
          <w:szCs w:val="24"/>
        </w:rPr>
        <w:t>Ṭabarī's</w:t>
      </w:r>
      <w:r w:rsidR="005616EB">
        <w:rPr>
          <w:rFonts w:asciiTheme="majorBidi" w:hAnsiTheme="majorBidi" w:cstheme="majorBidi"/>
          <w:sz w:val="24"/>
          <w:szCs w:val="24"/>
        </w:rPr>
        <w:t xml:space="preserve"> annals</w:t>
      </w:r>
      <w:r w:rsidR="008A1B30">
        <w:rPr>
          <w:rFonts w:asciiTheme="majorBidi" w:hAnsiTheme="majorBidi" w:cstheme="majorBidi"/>
          <w:sz w:val="24"/>
          <w:szCs w:val="24"/>
        </w:rPr>
        <w:t>.</w:t>
      </w:r>
      <w:r w:rsidR="008A1B30">
        <w:rPr>
          <w:rStyle w:val="FootnoteReference"/>
          <w:rFonts w:asciiTheme="majorBidi" w:hAnsiTheme="majorBidi" w:cstheme="majorBidi"/>
          <w:sz w:val="24"/>
          <w:szCs w:val="24"/>
        </w:rPr>
        <w:footnoteReference w:id="169"/>
      </w:r>
    </w:p>
    <w:p w14:paraId="6A5007A2" w14:textId="0F9BAC27" w:rsidR="005B07DB" w:rsidRDefault="00401402" w:rsidP="005B07DB">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lastRenderedPageBreak/>
        <w:t xml:space="preserve">Among the Hephthalite principalities, </w:t>
      </w:r>
      <w:r w:rsidR="001E53AD">
        <w:rPr>
          <w:rFonts w:asciiTheme="majorBidi" w:hAnsiTheme="majorBidi" w:cstheme="majorBidi"/>
          <w:sz w:val="24"/>
          <w:szCs w:val="24"/>
        </w:rPr>
        <w:t xml:space="preserve">the </w:t>
      </w:r>
      <w:r>
        <w:rPr>
          <w:rFonts w:asciiTheme="majorBidi" w:hAnsiTheme="majorBidi" w:cstheme="majorBidi"/>
          <w:sz w:val="24"/>
          <w:szCs w:val="24"/>
        </w:rPr>
        <w:t xml:space="preserve">Muslim sources show that there was </w:t>
      </w:r>
      <w:r w:rsidR="003D5344">
        <w:rPr>
          <w:rFonts w:asciiTheme="majorBidi" w:hAnsiTheme="majorBidi" w:cstheme="majorBidi"/>
          <w:sz w:val="24"/>
          <w:szCs w:val="24"/>
        </w:rPr>
        <w:t xml:space="preserve">a </w:t>
      </w:r>
      <w:r>
        <w:rPr>
          <w:rFonts w:asciiTheme="majorBidi" w:hAnsiTheme="majorBidi" w:cstheme="majorBidi"/>
          <w:sz w:val="24"/>
          <w:szCs w:val="24"/>
        </w:rPr>
        <w:t xml:space="preserve">kind of solidarity. </w:t>
      </w:r>
      <w:r w:rsidR="002F5A8A">
        <w:rPr>
          <w:rFonts w:asciiTheme="majorBidi" w:hAnsiTheme="majorBidi" w:cstheme="majorBidi"/>
          <w:sz w:val="24"/>
          <w:szCs w:val="24"/>
        </w:rPr>
        <w:t>When the Arab general</w:t>
      </w:r>
      <w:r>
        <w:rPr>
          <w:rFonts w:asciiTheme="majorBidi" w:hAnsiTheme="majorBidi" w:cstheme="majorBidi"/>
          <w:sz w:val="24"/>
          <w:szCs w:val="24"/>
        </w:rPr>
        <w:t xml:space="preserve"> a</w:t>
      </w:r>
      <w:r w:rsidRPr="00E70F91">
        <w:rPr>
          <w:rFonts w:asciiTheme="majorBidi" w:hAnsiTheme="majorBidi" w:cstheme="majorBidi"/>
          <w:sz w:val="24"/>
          <w:szCs w:val="24"/>
        </w:rPr>
        <w:t xml:space="preserve">l-Aḥnaf </w:t>
      </w:r>
      <w:r w:rsidR="003D5344">
        <w:rPr>
          <w:rFonts w:asciiTheme="majorBidi" w:hAnsiTheme="majorBidi" w:cstheme="majorBidi"/>
          <w:sz w:val="24"/>
          <w:szCs w:val="24"/>
        </w:rPr>
        <w:t>b. al-Qays</w:t>
      </w:r>
      <w:r>
        <w:rPr>
          <w:rFonts w:asciiTheme="majorBidi" w:hAnsiTheme="majorBidi" w:cstheme="majorBidi"/>
          <w:sz w:val="24"/>
          <w:szCs w:val="24"/>
        </w:rPr>
        <w:t xml:space="preserve"> campaigned in </w:t>
      </w:r>
      <w:r w:rsidRPr="00E70F91">
        <w:rPr>
          <w:rFonts w:asciiTheme="majorBidi" w:hAnsiTheme="majorBidi" w:cstheme="majorBidi"/>
          <w:sz w:val="24"/>
          <w:szCs w:val="24"/>
        </w:rPr>
        <w:t>Marw</w:t>
      </w:r>
      <w:r w:rsidR="002F5A8A">
        <w:rPr>
          <w:rFonts w:asciiTheme="majorBidi" w:hAnsiTheme="majorBidi" w:cstheme="majorBidi"/>
          <w:sz w:val="24"/>
          <w:szCs w:val="24"/>
        </w:rPr>
        <w:t xml:space="preserve"> al-R</w:t>
      </w:r>
      <w:r w:rsidRPr="00E70F91">
        <w:rPr>
          <w:rFonts w:asciiTheme="majorBidi" w:hAnsiTheme="majorBidi" w:cstheme="majorBidi"/>
          <w:sz w:val="24"/>
          <w:szCs w:val="24"/>
        </w:rPr>
        <w:t>ūdh</w:t>
      </w:r>
      <w:r>
        <w:rPr>
          <w:rFonts w:asciiTheme="majorBidi" w:hAnsiTheme="majorBidi" w:cstheme="majorBidi"/>
          <w:sz w:val="24"/>
          <w:szCs w:val="24"/>
        </w:rPr>
        <w:t xml:space="preserve">, Tālaqān, Fāryāb, Gūzgūn, </w:t>
      </w:r>
      <w:r w:rsidRPr="00E70F91">
        <w:rPr>
          <w:rFonts w:asciiTheme="majorBidi" w:hAnsiTheme="majorBidi" w:cstheme="majorBidi"/>
          <w:sz w:val="24"/>
          <w:szCs w:val="24"/>
        </w:rPr>
        <w:t>Herāt and Bādghīs</w:t>
      </w:r>
      <w:r w:rsidR="002F5A8A">
        <w:rPr>
          <w:rFonts w:asciiTheme="majorBidi" w:hAnsiTheme="majorBidi" w:cstheme="majorBidi"/>
          <w:sz w:val="24"/>
          <w:szCs w:val="24"/>
        </w:rPr>
        <w:t xml:space="preserve"> in 652/3 CE</w:t>
      </w:r>
      <w:r>
        <w:rPr>
          <w:rFonts w:asciiTheme="majorBidi" w:hAnsiTheme="majorBidi" w:cstheme="majorBidi"/>
          <w:sz w:val="24"/>
          <w:szCs w:val="24"/>
        </w:rPr>
        <w:t xml:space="preserve">, </w:t>
      </w:r>
      <w:r w:rsidR="002F5A8A">
        <w:rPr>
          <w:rFonts w:asciiTheme="majorBidi" w:hAnsiTheme="majorBidi" w:cstheme="majorBidi"/>
          <w:sz w:val="24"/>
          <w:szCs w:val="24"/>
        </w:rPr>
        <w:t>he fought not only the Hephthalites from these places, but also those from</w:t>
      </w:r>
      <w:r>
        <w:rPr>
          <w:rFonts w:asciiTheme="majorBidi" w:hAnsiTheme="majorBidi" w:cstheme="majorBidi"/>
          <w:sz w:val="24"/>
          <w:szCs w:val="24"/>
        </w:rPr>
        <w:t xml:space="preserve"> </w:t>
      </w:r>
      <w:r w:rsidRPr="00AF41BB">
        <w:rPr>
          <w:rFonts w:asciiTheme="majorBidi" w:hAnsiTheme="majorBidi" w:cstheme="majorBidi"/>
          <w:sz w:val="24"/>
          <w:szCs w:val="24"/>
        </w:rPr>
        <w:t xml:space="preserve">Chaghāniyān who came </w:t>
      </w:r>
      <w:r w:rsidR="00581E86">
        <w:rPr>
          <w:rFonts w:asciiTheme="majorBidi" w:hAnsiTheme="majorBidi" w:cstheme="majorBidi"/>
          <w:sz w:val="24"/>
          <w:szCs w:val="24"/>
        </w:rPr>
        <w:t>for assistance</w:t>
      </w:r>
      <w:r w:rsidRPr="00AF41BB">
        <w:rPr>
          <w:rFonts w:asciiTheme="majorBidi" w:hAnsiTheme="majorBidi" w:cstheme="majorBidi"/>
          <w:sz w:val="24"/>
          <w:szCs w:val="24"/>
        </w:rPr>
        <w:t>.</w:t>
      </w:r>
      <w:r>
        <w:rPr>
          <w:rStyle w:val="FootnoteReference"/>
          <w:rFonts w:asciiTheme="majorBidi" w:hAnsiTheme="majorBidi" w:cstheme="majorBidi"/>
          <w:sz w:val="24"/>
          <w:szCs w:val="24"/>
        </w:rPr>
        <w:footnoteReference w:id="170"/>
      </w:r>
      <w:r w:rsidRPr="00AF41BB">
        <w:rPr>
          <w:rFonts w:asciiTheme="majorBidi" w:hAnsiTheme="majorBidi" w:cstheme="majorBidi"/>
          <w:sz w:val="24"/>
          <w:szCs w:val="24"/>
        </w:rPr>
        <w:t xml:space="preserve"> </w:t>
      </w:r>
      <w:r w:rsidR="00ED7DD2">
        <w:rPr>
          <w:rFonts w:asciiTheme="majorBidi" w:hAnsiTheme="majorBidi" w:cstheme="majorBidi"/>
          <w:sz w:val="24"/>
          <w:szCs w:val="24"/>
        </w:rPr>
        <w:t xml:space="preserve">Shaban </w:t>
      </w:r>
      <w:r w:rsidR="000F3BE5">
        <w:rPr>
          <w:rFonts w:asciiTheme="majorBidi" w:hAnsiTheme="majorBidi" w:cstheme="majorBidi"/>
          <w:sz w:val="24"/>
          <w:szCs w:val="24"/>
        </w:rPr>
        <w:t xml:space="preserve">and Haug </w:t>
      </w:r>
      <w:r w:rsidR="00ED7DD2">
        <w:rPr>
          <w:rFonts w:asciiTheme="majorBidi" w:hAnsiTheme="majorBidi" w:cstheme="majorBidi"/>
          <w:sz w:val="24"/>
          <w:szCs w:val="24"/>
        </w:rPr>
        <w:t>sensibly point out that the Turks who raided to the east of Nīshāpūr</w:t>
      </w:r>
      <w:r w:rsidR="008D389B">
        <w:rPr>
          <w:rFonts w:asciiTheme="majorBidi" w:hAnsiTheme="majorBidi" w:cstheme="majorBidi"/>
          <w:sz w:val="24"/>
          <w:szCs w:val="24"/>
        </w:rPr>
        <w:t xml:space="preserve"> in 683/4 CE</w:t>
      </w:r>
      <w:r w:rsidR="00ED7DD2">
        <w:rPr>
          <w:rFonts w:asciiTheme="majorBidi" w:hAnsiTheme="majorBidi" w:cstheme="majorBidi"/>
          <w:sz w:val="24"/>
          <w:szCs w:val="24"/>
        </w:rPr>
        <w:t>, w</w:t>
      </w:r>
      <w:r>
        <w:rPr>
          <w:rFonts w:asciiTheme="majorBidi" w:hAnsiTheme="majorBidi" w:cstheme="majorBidi"/>
          <w:sz w:val="24"/>
          <w:szCs w:val="24"/>
        </w:rPr>
        <w:t xml:space="preserve">hen </w:t>
      </w:r>
      <w:r w:rsidR="008D389B">
        <w:rPr>
          <w:rFonts w:asciiTheme="majorBidi" w:hAnsiTheme="majorBidi" w:cstheme="majorBidi"/>
          <w:sz w:val="24"/>
          <w:szCs w:val="24"/>
        </w:rPr>
        <w:t xml:space="preserve">the Arabs in Khurasan were preoccupied with tribal factions, </w:t>
      </w:r>
      <w:r w:rsidR="00581E86">
        <w:rPr>
          <w:rFonts w:asciiTheme="majorBidi" w:hAnsiTheme="majorBidi" w:cstheme="majorBidi"/>
          <w:sz w:val="24"/>
          <w:szCs w:val="24"/>
        </w:rPr>
        <w:t>were actually</w:t>
      </w:r>
      <w:r>
        <w:rPr>
          <w:rFonts w:asciiTheme="majorBidi" w:hAnsiTheme="majorBidi" w:cstheme="majorBidi"/>
          <w:sz w:val="24"/>
          <w:szCs w:val="24"/>
        </w:rPr>
        <w:t xml:space="preserve"> the Hephthalites.</w:t>
      </w:r>
      <w:r>
        <w:rPr>
          <w:rStyle w:val="FootnoteReference"/>
          <w:rFonts w:asciiTheme="majorBidi" w:hAnsiTheme="majorBidi" w:cstheme="majorBidi"/>
          <w:sz w:val="24"/>
          <w:szCs w:val="24"/>
        </w:rPr>
        <w:footnoteReference w:id="171"/>
      </w:r>
      <w:r>
        <w:rPr>
          <w:rFonts w:asciiTheme="majorBidi" w:hAnsiTheme="majorBidi" w:cstheme="majorBidi"/>
          <w:sz w:val="24"/>
          <w:szCs w:val="24"/>
        </w:rPr>
        <w:t xml:space="preserve"> </w:t>
      </w:r>
      <w:r w:rsidR="004F6EC7">
        <w:rPr>
          <w:rFonts w:asciiTheme="majorBidi" w:hAnsiTheme="majorBidi" w:cstheme="majorBidi"/>
          <w:sz w:val="24"/>
          <w:szCs w:val="24"/>
        </w:rPr>
        <w:t>And the</w:t>
      </w:r>
      <w:r w:rsidR="00581E86">
        <w:rPr>
          <w:rFonts w:asciiTheme="majorBidi" w:hAnsiTheme="majorBidi" w:cstheme="majorBidi"/>
          <w:sz w:val="24"/>
          <w:szCs w:val="24"/>
        </w:rPr>
        <w:t xml:space="preserve"> third case </w:t>
      </w:r>
      <w:r w:rsidR="00F45F83">
        <w:rPr>
          <w:rFonts w:asciiTheme="majorBidi" w:hAnsiTheme="majorBidi" w:cstheme="majorBidi"/>
          <w:sz w:val="24"/>
          <w:szCs w:val="24"/>
        </w:rPr>
        <w:t xml:space="preserve">is the coordinated </w:t>
      </w:r>
      <w:r w:rsidR="00581E86">
        <w:rPr>
          <w:rFonts w:asciiTheme="majorBidi" w:hAnsiTheme="majorBidi" w:cstheme="majorBidi"/>
          <w:sz w:val="24"/>
          <w:szCs w:val="24"/>
        </w:rPr>
        <w:t>insurrection</w:t>
      </w:r>
      <w:r w:rsidR="00F45F83">
        <w:rPr>
          <w:rFonts w:asciiTheme="majorBidi" w:hAnsiTheme="majorBidi" w:cstheme="majorBidi"/>
          <w:sz w:val="24"/>
          <w:szCs w:val="24"/>
        </w:rPr>
        <w:t xml:space="preserve"> led by Nīzak against </w:t>
      </w:r>
      <w:r w:rsidR="00D452C1">
        <w:rPr>
          <w:rFonts w:asciiTheme="majorBidi" w:hAnsiTheme="majorBidi" w:cstheme="majorBidi"/>
          <w:sz w:val="24"/>
          <w:szCs w:val="24"/>
        </w:rPr>
        <w:t>Qutayba</w:t>
      </w:r>
      <w:r w:rsidR="00F45F83">
        <w:rPr>
          <w:rFonts w:asciiTheme="majorBidi" w:hAnsiTheme="majorBidi" w:cstheme="majorBidi"/>
          <w:sz w:val="24"/>
          <w:szCs w:val="24"/>
        </w:rPr>
        <w:t xml:space="preserve"> </w:t>
      </w:r>
      <w:r w:rsidR="00581E86">
        <w:rPr>
          <w:rFonts w:asciiTheme="majorBidi" w:hAnsiTheme="majorBidi" w:cstheme="majorBidi"/>
          <w:sz w:val="24"/>
          <w:szCs w:val="24"/>
        </w:rPr>
        <w:t>from</w:t>
      </w:r>
      <w:r w:rsidR="00F45F83">
        <w:rPr>
          <w:rFonts w:asciiTheme="majorBidi" w:hAnsiTheme="majorBidi" w:cstheme="majorBidi"/>
          <w:sz w:val="24"/>
          <w:szCs w:val="24"/>
        </w:rPr>
        <w:t xml:space="preserve"> 708</w:t>
      </w:r>
      <w:r w:rsidR="00581E86">
        <w:rPr>
          <w:rFonts w:asciiTheme="majorBidi" w:hAnsiTheme="majorBidi" w:cstheme="majorBidi"/>
          <w:sz w:val="24"/>
          <w:szCs w:val="24"/>
        </w:rPr>
        <w:t xml:space="preserve"> to 7</w:t>
      </w:r>
      <w:r w:rsidR="00F45F83">
        <w:rPr>
          <w:rFonts w:asciiTheme="majorBidi" w:hAnsiTheme="majorBidi" w:cstheme="majorBidi"/>
          <w:sz w:val="24"/>
          <w:szCs w:val="24"/>
        </w:rPr>
        <w:t>10 CE.</w:t>
      </w:r>
    </w:p>
    <w:p w14:paraId="0A708F60" w14:textId="77777777" w:rsidR="00C32CB2" w:rsidRDefault="00847F7B" w:rsidP="00043290">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8D389B">
        <w:rPr>
          <w:rFonts w:asciiTheme="majorBidi" w:hAnsiTheme="majorBidi" w:cstheme="majorBidi"/>
          <w:sz w:val="24"/>
          <w:szCs w:val="24"/>
        </w:rPr>
        <w:t>T</w:t>
      </w:r>
      <w:r>
        <w:rPr>
          <w:rFonts w:asciiTheme="majorBidi" w:hAnsiTheme="majorBidi" w:cstheme="majorBidi"/>
          <w:sz w:val="24"/>
          <w:szCs w:val="24"/>
        </w:rPr>
        <w:t xml:space="preserve">he solidarity </w:t>
      </w:r>
      <w:r w:rsidR="00043290">
        <w:rPr>
          <w:rFonts w:asciiTheme="majorBidi" w:hAnsiTheme="majorBidi" w:cstheme="majorBidi"/>
          <w:sz w:val="24"/>
          <w:szCs w:val="24"/>
        </w:rPr>
        <w:t>wa</w:t>
      </w:r>
      <w:r>
        <w:rPr>
          <w:rFonts w:asciiTheme="majorBidi" w:hAnsiTheme="majorBidi" w:cstheme="majorBidi"/>
          <w:sz w:val="24"/>
          <w:szCs w:val="24"/>
        </w:rPr>
        <w:t xml:space="preserve">s </w:t>
      </w:r>
      <w:r w:rsidR="008D389B">
        <w:rPr>
          <w:rFonts w:asciiTheme="majorBidi" w:hAnsiTheme="majorBidi" w:cstheme="majorBidi"/>
          <w:sz w:val="24"/>
          <w:szCs w:val="24"/>
        </w:rPr>
        <w:t xml:space="preserve">most probably </w:t>
      </w:r>
      <w:r>
        <w:rPr>
          <w:rFonts w:asciiTheme="majorBidi" w:hAnsiTheme="majorBidi" w:cstheme="majorBidi"/>
          <w:sz w:val="24"/>
          <w:szCs w:val="24"/>
        </w:rPr>
        <w:t>built on common culture and common region Buddhism.</w:t>
      </w:r>
      <w:r>
        <w:rPr>
          <w:rStyle w:val="FootnoteReference"/>
          <w:rFonts w:asciiTheme="majorBidi" w:hAnsiTheme="majorBidi" w:cstheme="majorBidi"/>
          <w:sz w:val="24"/>
          <w:szCs w:val="24"/>
        </w:rPr>
        <w:footnoteReference w:id="172"/>
      </w:r>
      <w:r>
        <w:rPr>
          <w:rFonts w:asciiTheme="majorBidi" w:hAnsiTheme="majorBidi" w:cstheme="majorBidi"/>
          <w:sz w:val="24"/>
          <w:szCs w:val="24"/>
        </w:rPr>
        <w:t xml:space="preserve"> An example is Nīzak most probably</w:t>
      </w:r>
      <w:r w:rsidRPr="006663BF">
        <w:rPr>
          <w:rFonts w:asciiTheme="majorBidi" w:hAnsiTheme="majorBidi" w:cstheme="majorBidi"/>
          <w:sz w:val="24"/>
          <w:szCs w:val="24"/>
        </w:rPr>
        <w:t xml:space="preserve"> played the religious card to rally allies to his side. </w:t>
      </w:r>
      <w:r w:rsidR="00C32CB2">
        <w:rPr>
          <w:rFonts w:asciiTheme="majorBidi" w:hAnsiTheme="majorBidi" w:cstheme="majorBidi"/>
          <w:sz w:val="24"/>
          <w:szCs w:val="24"/>
        </w:rPr>
        <w:t>He traveled</w:t>
      </w:r>
      <w:r w:rsidRPr="006663BF">
        <w:rPr>
          <w:rFonts w:asciiTheme="majorBidi" w:hAnsiTheme="majorBidi" w:cstheme="majorBidi"/>
          <w:sz w:val="24"/>
          <w:szCs w:val="24"/>
        </w:rPr>
        <w:t xml:space="preserve"> to Balkh and pray</w:t>
      </w:r>
      <w:r w:rsidR="00C32CB2">
        <w:rPr>
          <w:rFonts w:asciiTheme="majorBidi" w:hAnsiTheme="majorBidi" w:cstheme="majorBidi"/>
          <w:sz w:val="24"/>
          <w:szCs w:val="24"/>
        </w:rPr>
        <w:t>ed</w:t>
      </w:r>
      <w:r w:rsidRPr="006663BF">
        <w:rPr>
          <w:rFonts w:asciiTheme="majorBidi" w:hAnsiTheme="majorBidi" w:cstheme="majorBidi"/>
          <w:sz w:val="24"/>
          <w:szCs w:val="24"/>
        </w:rPr>
        <w:t xml:space="preserve"> in the Nawbahār monastery in 708 CE</w:t>
      </w:r>
      <w:r w:rsidR="00C32CB2">
        <w:rPr>
          <w:rFonts w:asciiTheme="majorBidi" w:hAnsiTheme="majorBidi" w:cstheme="majorBidi"/>
          <w:sz w:val="24"/>
          <w:szCs w:val="24"/>
        </w:rPr>
        <w:t>; only afterwards,</w:t>
      </w:r>
      <w:r w:rsidRPr="006663BF">
        <w:rPr>
          <w:rFonts w:asciiTheme="majorBidi" w:hAnsiTheme="majorBidi" w:cstheme="majorBidi"/>
          <w:sz w:val="24"/>
          <w:szCs w:val="24"/>
        </w:rPr>
        <w:t xml:space="preserve"> he wrote to invite his allies to rebel against Qutayba.</w:t>
      </w:r>
      <w:r w:rsidRPr="006663BF">
        <w:rPr>
          <w:rStyle w:val="FootnoteReference"/>
          <w:rFonts w:asciiTheme="majorBidi" w:hAnsiTheme="majorBidi" w:cstheme="majorBidi"/>
          <w:sz w:val="24"/>
          <w:szCs w:val="24"/>
        </w:rPr>
        <w:footnoteReference w:id="173"/>
      </w:r>
    </w:p>
    <w:p w14:paraId="1650B50A" w14:textId="43FB0F77" w:rsidR="00847F7B" w:rsidRDefault="00C32CB2" w:rsidP="00C32CB2">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Nevertheless, t</w:t>
      </w:r>
      <w:r w:rsidR="00043290">
        <w:rPr>
          <w:rFonts w:asciiTheme="majorBidi" w:hAnsiTheme="majorBidi" w:cstheme="majorBidi"/>
          <w:sz w:val="24"/>
          <w:szCs w:val="24"/>
        </w:rPr>
        <w:t xml:space="preserve">he solidarity </w:t>
      </w:r>
      <w:r>
        <w:rPr>
          <w:rFonts w:asciiTheme="majorBidi" w:hAnsiTheme="majorBidi" w:cstheme="majorBidi"/>
          <w:sz w:val="24"/>
          <w:szCs w:val="24"/>
        </w:rPr>
        <w:t>is expected to be both limited and fragile, since it was</w:t>
      </w:r>
      <w:r w:rsidR="00043290">
        <w:rPr>
          <w:rFonts w:asciiTheme="majorBidi" w:hAnsiTheme="majorBidi" w:cstheme="majorBidi"/>
          <w:sz w:val="24"/>
          <w:szCs w:val="24"/>
        </w:rPr>
        <w:t xml:space="preserve"> based on </w:t>
      </w:r>
      <w:r w:rsidR="00581E86">
        <w:rPr>
          <w:rFonts w:asciiTheme="majorBidi" w:hAnsiTheme="majorBidi" w:cstheme="majorBidi"/>
          <w:sz w:val="24"/>
          <w:szCs w:val="24"/>
        </w:rPr>
        <w:t>common interest</w:t>
      </w:r>
      <w:r w:rsidR="005E31D8">
        <w:rPr>
          <w:rFonts w:asciiTheme="majorBidi" w:hAnsiTheme="majorBidi" w:cstheme="majorBidi"/>
          <w:sz w:val="24"/>
          <w:szCs w:val="24"/>
        </w:rPr>
        <w:t>s</w:t>
      </w:r>
      <w:r w:rsidR="00581E86">
        <w:rPr>
          <w:rFonts w:asciiTheme="majorBidi" w:hAnsiTheme="majorBidi" w:cstheme="majorBidi"/>
          <w:sz w:val="24"/>
          <w:szCs w:val="24"/>
        </w:rPr>
        <w:t xml:space="preserve">, either to </w:t>
      </w:r>
      <w:r w:rsidR="004F6EC7">
        <w:rPr>
          <w:rFonts w:asciiTheme="majorBidi" w:hAnsiTheme="majorBidi" w:cstheme="majorBidi"/>
          <w:sz w:val="24"/>
          <w:szCs w:val="24"/>
        </w:rPr>
        <w:t xml:space="preserve">defend the </w:t>
      </w:r>
      <w:r w:rsidR="000F3BE5">
        <w:rPr>
          <w:rFonts w:asciiTheme="majorBidi" w:hAnsiTheme="majorBidi" w:cstheme="majorBidi"/>
          <w:sz w:val="24"/>
          <w:szCs w:val="24"/>
        </w:rPr>
        <w:t xml:space="preserve">raiding Arabs </w:t>
      </w:r>
      <w:r w:rsidR="00581E86">
        <w:rPr>
          <w:rFonts w:asciiTheme="majorBidi" w:hAnsiTheme="majorBidi" w:cstheme="majorBidi"/>
          <w:sz w:val="24"/>
          <w:szCs w:val="24"/>
        </w:rPr>
        <w:t xml:space="preserve">or </w:t>
      </w:r>
      <w:r w:rsidR="006D2D69">
        <w:rPr>
          <w:rFonts w:asciiTheme="majorBidi" w:hAnsiTheme="majorBidi" w:cstheme="majorBidi"/>
          <w:sz w:val="24"/>
          <w:szCs w:val="24"/>
        </w:rPr>
        <w:t>for expansion</w:t>
      </w:r>
      <w:r w:rsidR="00581E86">
        <w:rPr>
          <w:rFonts w:asciiTheme="majorBidi" w:hAnsiTheme="majorBidi" w:cstheme="majorBidi"/>
          <w:sz w:val="24"/>
          <w:szCs w:val="24"/>
        </w:rPr>
        <w:t xml:space="preserve">. </w:t>
      </w:r>
      <w:r>
        <w:rPr>
          <w:rFonts w:asciiTheme="majorBidi" w:hAnsiTheme="majorBidi" w:cstheme="majorBidi"/>
          <w:sz w:val="24"/>
          <w:szCs w:val="24"/>
        </w:rPr>
        <w:t xml:space="preserve">On the </w:t>
      </w:r>
      <w:r>
        <w:rPr>
          <w:rFonts w:asciiTheme="majorBidi" w:hAnsiTheme="majorBidi" w:cstheme="majorBidi"/>
          <w:sz w:val="24"/>
          <w:szCs w:val="24"/>
        </w:rPr>
        <w:lastRenderedPageBreak/>
        <w:t xml:space="preserve">one hand, </w:t>
      </w:r>
      <w:r w:rsidR="00043290">
        <w:rPr>
          <w:rFonts w:asciiTheme="majorBidi" w:hAnsiTheme="majorBidi" w:cstheme="majorBidi"/>
          <w:sz w:val="24"/>
          <w:szCs w:val="24"/>
        </w:rPr>
        <w:t>n</w:t>
      </w:r>
      <w:r w:rsidR="00581E86">
        <w:rPr>
          <w:rFonts w:asciiTheme="majorBidi" w:hAnsiTheme="majorBidi" w:cstheme="majorBidi"/>
          <w:sz w:val="24"/>
          <w:szCs w:val="24"/>
        </w:rPr>
        <w:t>ot every Hephthalite principality</w:t>
      </w:r>
      <w:r w:rsidR="007832A6">
        <w:rPr>
          <w:rFonts w:asciiTheme="majorBidi" w:hAnsiTheme="majorBidi" w:cstheme="majorBidi"/>
          <w:sz w:val="24"/>
          <w:szCs w:val="24"/>
        </w:rPr>
        <w:t xml:space="preserve"> </w:t>
      </w:r>
      <w:r w:rsidR="009D7724">
        <w:rPr>
          <w:rFonts w:asciiTheme="majorBidi" w:hAnsiTheme="majorBidi" w:cstheme="majorBidi"/>
          <w:sz w:val="24"/>
          <w:szCs w:val="24"/>
        </w:rPr>
        <w:t>would join</w:t>
      </w:r>
      <w:r w:rsidR="00581E86">
        <w:rPr>
          <w:rFonts w:asciiTheme="majorBidi" w:hAnsiTheme="majorBidi" w:cstheme="majorBidi"/>
          <w:sz w:val="24"/>
          <w:szCs w:val="24"/>
        </w:rPr>
        <w:t xml:space="preserve"> </w:t>
      </w:r>
      <w:r w:rsidR="009B1607">
        <w:rPr>
          <w:rFonts w:asciiTheme="majorBidi" w:hAnsiTheme="majorBidi" w:cstheme="majorBidi"/>
          <w:sz w:val="24"/>
          <w:szCs w:val="24"/>
        </w:rPr>
        <w:t>the coalition</w:t>
      </w:r>
      <w:r w:rsidR="004F6EC7">
        <w:rPr>
          <w:rFonts w:asciiTheme="majorBidi" w:hAnsiTheme="majorBidi" w:cstheme="majorBidi"/>
          <w:sz w:val="24"/>
          <w:szCs w:val="24"/>
        </w:rPr>
        <w:t xml:space="preserve"> on every occasion</w:t>
      </w:r>
      <w:r w:rsidR="00581E86">
        <w:rPr>
          <w:rFonts w:asciiTheme="majorBidi" w:hAnsiTheme="majorBidi" w:cstheme="majorBidi"/>
          <w:sz w:val="24"/>
          <w:szCs w:val="24"/>
        </w:rPr>
        <w:t xml:space="preserve">, </w:t>
      </w:r>
      <w:r w:rsidR="004F6EC7">
        <w:rPr>
          <w:rFonts w:asciiTheme="majorBidi" w:hAnsiTheme="majorBidi" w:cstheme="majorBidi"/>
          <w:sz w:val="24"/>
          <w:szCs w:val="24"/>
        </w:rPr>
        <w:t>for example</w:t>
      </w:r>
      <w:r w:rsidR="00581E86">
        <w:rPr>
          <w:rFonts w:asciiTheme="majorBidi" w:hAnsiTheme="majorBidi" w:cstheme="majorBidi"/>
          <w:sz w:val="24"/>
          <w:szCs w:val="24"/>
        </w:rPr>
        <w:t xml:space="preserve"> both Ch</w:t>
      </w:r>
      <w:r w:rsidR="00581E86" w:rsidRPr="00AF41BB">
        <w:rPr>
          <w:rFonts w:asciiTheme="majorBidi" w:hAnsiTheme="majorBidi" w:cstheme="majorBidi"/>
          <w:sz w:val="24"/>
          <w:szCs w:val="24"/>
        </w:rPr>
        <w:t>aghāniyān</w:t>
      </w:r>
      <w:r w:rsidR="00581E86">
        <w:rPr>
          <w:rFonts w:asciiTheme="majorBidi" w:hAnsiTheme="majorBidi" w:cstheme="majorBidi"/>
          <w:sz w:val="24"/>
          <w:szCs w:val="24"/>
        </w:rPr>
        <w:t xml:space="preserve"> and Baghlān were </w:t>
      </w:r>
      <w:r w:rsidR="004F6EC7">
        <w:rPr>
          <w:rFonts w:asciiTheme="majorBidi" w:hAnsiTheme="majorBidi" w:cstheme="majorBidi"/>
          <w:sz w:val="24"/>
          <w:szCs w:val="24"/>
        </w:rPr>
        <w:t>not part</w:t>
      </w:r>
      <w:r w:rsidR="00581E86">
        <w:rPr>
          <w:rFonts w:asciiTheme="majorBidi" w:hAnsiTheme="majorBidi" w:cstheme="majorBidi"/>
          <w:sz w:val="24"/>
          <w:szCs w:val="24"/>
        </w:rPr>
        <w:t xml:space="preserve"> of the insurrection </w:t>
      </w:r>
      <w:r>
        <w:rPr>
          <w:rFonts w:asciiTheme="majorBidi" w:hAnsiTheme="majorBidi" w:cstheme="majorBidi"/>
          <w:sz w:val="24"/>
          <w:szCs w:val="24"/>
        </w:rPr>
        <w:t xml:space="preserve">led </w:t>
      </w:r>
      <w:r w:rsidR="00581E86">
        <w:rPr>
          <w:rFonts w:asciiTheme="majorBidi" w:hAnsiTheme="majorBidi" w:cstheme="majorBidi"/>
          <w:sz w:val="24"/>
          <w:szCs w:val="24"/>
        </w:rPr>
        <w:t>by Nīzak</w:t>
      </w:r>
      <w:r>
        <w:rPr>
          <w:rFonts w:asciiTheme="majorBidi" w:hAnsiTheme="majorBidi" w:cstheme="majorBidi"/>
          <w:sz w:val="24"/>
          <w:szCs w:val="24"/>
        </w:rPr>
        <w:t>; on the other hand,</w:t>
      </w:r>
      <w:r w:rsidR="00043290">
        <w:rPr>
          <w:rFonts w:asciiTheme="majorBidi" w:hAnsiTheme="majorBidi" w:cstheme="majorBidi"/>
          <w:sz w:val="24"/>
          <w:szCs w:val="24"/>
        </w:rPr>
        <w:t xml:space="preserve"> </w:t>
      </w:r>
      <w:r w:rsidR="005B07DB">
        <w:rPr>
          <w:rFonts w:asciiTheme="majorBidi" w:hAnsiTheme="majorBidi" w:cstheme="majorBidi"/>
          <w:sz w:val="24"/>
          <w:szCs w:val="24"/>
        </w:rPr>
        <w:t xml:space="preserve">the alliance lacked sturdiness in front of real </w:t>
      </w:r>
      <w:r w:rsidR="006E7EB3">
        <w:rPr>
          <w:rFonts w:asciiTheme="majorBidi" w:hAnsiTheme="majorBidi" w:cstheme="majorBidi"/>
          <w:sz w:val="24"/>
          <w:szCs w:val="24"/>
        </w:rPr>
        <w:t xml:space="preserve">challenges such as </w:t>
      </w:r>
      <w:r w:rsidR="0011294C">
        <w:rPr>
          <w:rFonts w:asciiTheme="majorBidi" w:hAnsiTheme="majorBidi" w:cstheme="majorBidi"/>
          <w:sz w:val="24"/>
          <w:szCs w:val="24"/>
        </w:rPr>
        <w:t>the</w:t>
      </w:r>
      <w:r w:rsidR="006E7EB3">
        <w:rPr>
          <w:rFonts w:asciiTheme="majorBidi" w:hAnsiTheme="majorBidi" w:cstheme="majorBidi"/>
          <w:sz w:val="24"/>
          <w:szCs w:val="24"/>
        </w:rPr>
        <w:t xml:space="preserve"> cruel punitive expeditions</w:t>
      </w:r>
      <w:r w:rsidR="0011294C">
        <w:rPr>
          <w:rFonts w:asciiTheme="majorBidi" w:hAnsiTheme="majorBidi" w:cstheme="majorBidi"/>
          <w:sz w:val="24"/>
          <w:szCs w:val="24"/>
        </w:rPr>
        <w:t xml:space="preserve"> that </w:t>
      </w:r>
      <w:r w:rsidR="004F6EC7">
        <w:rPr>
          <w:rFonts w:asciiTheme="majorBidi" w:hAnsiTheme="majorBidi" w:cstheme="majorBidi"/>
          <w:sz w:val="24"/>
          <w:szCs w:val="24"/>
        </w:rPr>
        <w:t>Qutayba</w:t>
      </w:r>
      <w:r w:rsidR="0011294C">
        <w:rPr>
          <w:rFonts w:asciiTheme="majorBidi" w:hAnsiTheme="majorBidi" w:cstheme="majorBidi"/>
          <w:sz w:val="24"/>
          <w:szCs w:val="24"/>
        </w:rPr>
        <w:t xml:space="preserve"> led</w:t>
      </w:r>
      <w:r w:rsidR="00192CA0">
        <w:rPr>
          <w:rFonts w:asciiTheme="majorBidi" w:hAnsiTheme="majorBidi" w:cstheme="majorBidi"/>
          <w:sz w:val="24"/>
          <w:szCs w:val="24"/>
        </w:rPr>
        <w:t>.</w:t>
      </w:r>
    </w:p>
    <w:p w14:paraId="77BB4D2C" w14:textId="1045508F" w:rsidR="001B0100" w:rsidRPr="004F33D0" w:rsidRDefault="004F33D0" w:rsidP="00A07869">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As for the</w:t>
      </w:r>
      <w:r w:rsidRPr="004F33D0">
        <w:rPr>
          <w:rFonts w:asciiTheme="majorBidi" w:hAnsiTheme="majorBidi" w:cstheme="majorBidi"/>
          <w:sz w:val="24"/>
          <w:szCs w:val="24"/>
        </w:rPr>
        <w:t xml:space="preserve"> Nīzak dynasty</w:t>
      </w:r>
      <w:r>
        <w:rPr>
          <w:rFonts w:asciiTheme="majorBidi" w:hAnsiTheme="majorBidi" w:cstheme="majorBidi"/>
          <w:sz w:val="24"/>
          <w:szCs w:val="24"/>
        </w:rPr>
        <w:t xml:space="preserve">, </w:t>
      </w:r>
      <w:r w:rsidR="00A07869">
        <w:rPr>
          <w:rFonts w:asciiTheme="majorBidi" w:hAnsiTheme="majorBidi" w:cstheme="majorBidi"/>
          <w:sz w:val="24"/>
          <w:szCs w:val="24"/>
        </w:rPr>
        <w:t xml:space="preserve">despite being </w:t>
      </w:r>
      <w:r w:rsidRPr="004F33D0">
        <w:rPr>
          <w:rFonts w:asciiTheme="majorBidi" w:hAnsiTheme="majorBidi" w:cstheme="majorBidi"/>
          <w:sz w:val="24"/>
          <w:szCs w:val="24"/>
        </w:rPr>
        <w:t xml:space="preserve">a </w:t>
      </w:r>
      <w:r>
        <w:rPr>
          <w:rFonts w:asciiTheme="majorBidi" w:hAnsiTheme="majorBidi" w:cstheme="majorBidi"/>
          <w:sz w:val="24"/>
          <w:szCs w:val="24"/>
        </w:rPr>
        <w:t xml:space="preserve">nominal </w:t>
      </w:r>
      <w:r w:rsidRPr="004F33D0">
        <w:rPr>
          <w:rFonts w:asciiTheme="majorBidi" w:hAnsiTheme="majorBidi" w:cstheme="majorBidi"/>
          <w:sz w:val="24"/>
          <w:szCs w:val="24"/>
        </w:rPr>
        <w:t xml:space="preserve">vassal of the Yabghū dynasty and a subordinate of the supreme Hephthalite dynasty in Bāghlān, it was the most formidable military power in Ṭukhāristān in the 700s. </w:t>
      </w:r>
      <w:r w:rsidR="00A07869">
        <w:rPr>
          <w:rFonts w:asciiTheme="majorBidi" w:hAnsiTheme="majorBidi" w:cstheme="majorBidi"/>
          <w:sz w:val="24"/>
          <w:szCs w:val="24"/>
        </w:rPr>
        <w:t xml:space="preserve">And its power nourished its appetite for independence. </w:t>
      </w:r>
      <w:r w:rsidRPr="004F33D0">
        <w:rPr>
          <w:rFonts w:asciiTheme="majorBidi" w:hAnsiTheme="majorBidi" w:cstheme="majorBidi"/>
          <w:sz w:val="24"/>
          <w:szCs w:val="24"/>
        </w:rPr>
        <w:t xml:space="preserve">The dynasty allied with the </w:t>
      </w:r>
      <w:r w:rsidRPr="004F33D0">
        <w:rPr>
          <w:rFonts w:asciiTheme="majorBidi" w:hAnsiTheme="majorBidi" w:cstheme="majorBidi"/>
          <w:i/>
          <w:iCs/>
          <w:sz w:val="24"/>
          <w:szCs w:val="24"/>
        </w:rPr>
        <w:t>marzbān</w:t>
      </w:r>
      <w:r w:rsidRPr="004F33D0">
        <w:rPr>
          <w:rFonts w:asciiTheme="majorBidi" w:hAnsiTheme="majorBidi" w:cstheme="majorBidi"/>
          <w:sz w:val="24"/>
          <w:szCs w:val="24"/>
        </w:rPr>
        <w:t xml:space="preserve"> of Marw against Yazdegerd, since both rulers were against the Sasanian monarch</w:t>
      </w:r>
      <w:r w:rsidR="00043290">
        <w:rPr>
          <w:rFonts w:asciiTheme="majorBidi" w:hAnsiTheme="majorBidi" w:cstheme="majorBidi"/>
          <w:sz w:val="24"/>
          <w:szCs w:val="24"/>
        </w:rPr>
        <w:t>’s attempt</w:t>
      </w:r>
      <w:r w:rsidRPr="004F33D0">
        <w:rPr>
          <w:rFonts w:asciiTheme="majorBidi" w:hAnsiTheme="majorBidi" w:cstheme="majorBidi"/>
          <w:sz w:val="24"/>
          <w:szCs w:val="24"/>
        </w:rPr>
        <w:t xml:space="preserve"> to establish a central administration in their realms.</w:t>
      </w:r>
      <w:r w:rsidRPr="004F33D0">
        <w:rPr>
          <w:rStyle w:val="FootnoteReference"/>
          <w:rFonts w:asciiTheme="majorBidi" w:hAnsiTheme="majorBidi" w:cstheme="majorBidi"/>
          <w:sz w:val="24"/>
          <w:szCs w:val="24"/>
        </w:rPr>
        <w:footnoteReference w:id="174"/>
      </w:r>
      <w:r w:rsidR="00A07869">
        <w:rPr>
          <w:rFonts w:asciiTheme="majorBidi" w:hAnsiTheme="majorBidi" w:cstheme="majorBidi"/>
          <w:sz w:val="24"/>
          <w:szCs w:val="24"/>
        </w:rPr>
        <w:t xml:space="preserve"> In the late 7</w:t>
      </w:r>
      <w:r w:rsidR="00A07869" w:rsidRPr="00A07869">
        <w:rPr>
          <w:rFonts w:asciiTheme="majorBidi" w:hAnsiTheme="majorBidi" w:cstheme="majorBidi"/>
          <w:sz w:val="24"/>
          <w:szCs w:val="24"/>
          <w:vertAlign w:val="superscript"/>
        </w:rPr>
        <w:t>th</w:t>
      </w:r>
      <w:r w:rsidR="00A07869">
        <w:rPr>
          <w:rFonts w:asciiTheme="majorBidi" w:hAnsiTheme="majorBidi" w:cstheme="majorBidi"/>
          <w:sz w:val="24"/>
          <w:szCs w:val="24"/>
        </w:rPr>
        <w:t xml:space="preserve"> and the early 8</w:t>
      </w:r>
      <w:r w:rsidR="00A07869" w:rsidRPr="00A07869">
        <w:rPr>
          <w:rFonts w:asciiTheme="majorBidi" w:hAnsiTheme="majorBidi" w:cstheme="majorBidi"/>
          <w:sz w:val="24"/>
          <w:szCs w:val="24"/>
          <w:vertAlign w:val="superscript"/>
        </w:rPr>
        <w:t>th</w:t>
      </w:r>
      <w:r w:rsidR="00A07869">
        <w:rPr>
          <w:rFonts w:asciiTheme="majorBidi" w:hAnsiTheme="majorBidi" w:cstheme="majorBidi"/>
          <w:sz w:val="24"/>
          <w:szCs w:val="24"/>
        </w:rPr>
        <w:t xml:space="preserve"> centuries,</w:t>
      </w:r>
      <w:r w:rsidR="00C32CB2">
        <w:rPr>
          <w:rFonts w:asciiTheme="majorBidi" w:hAnsiTheme="majorBidi" w:cstheme="majorBidi"/>
          <w:sz w:val="24"/>
          <w:szCs w:val="24"/>
        </w:rPr>
        <w:t xml:space="preserve"> the biggest threat to </w:t>
      </w:r>
      <w:r w:rsidR="00145E60">
        <w:rPr>
          <w:rFonts w:asciiTheme="majorBidi" w:hAnsiTheme="majorBidi" w:cstheme="majorBidi"/>
          <w:sz w:val="24"/>
          <w:szCs w:val="24"/>
        </w:rPr>
        <w:t>its independence was not the Yabghū dynasty from the east, but the Arabs from the west</w:t>
      </w:r>
      <w:r w:rsidR="00A07869">
        <w:rPr>
          <w:rFonts w:asciiTheme="majorBidi" w:hAnsiTheme="majorBidi" w:cstheme="majorBidi"/>
          <w:sz w:val="24"/>
          <w:szCs w:val="24"/>
        </w:rPr>
        <w:t xml:space="preserve">. </w:t>
      </w:r>
      <w:r w:rsidR="00BC2999">
        <w:rPr>
          <w:rFonts w:asciiTheme="majorBidi" w:hAnsiTheme="majorBidi" w:cstheme="majorBidi"/>
          <w:sz w:val="24"/>
          <w:szCs w:val="24"/>
        </w:rPr>
        <w:t xml:space="preserve">Nīzak </w:t>
      </w:r>
      <w:r w:rsidR="00A07869">
        <w:rPr>
          <w:rFonts w:asciiTheme="majorBidi" w:hAnsiTheme="majorBidi" w:cstheme="majorBidi"/>
          <w:sz w:val="24"/>
          <w:szCs w:val="24"/>
        </w:rPr>
        <w:t>is expected to</w:t>
      </w:r>
      <w:r w:rsidR="00BC2999">
        <w:rPr>
          <w:rFonts w:asciiTheme="majorBidi" w:hAnsiTheme="majorBidi" w:cstheme="majorBidi"/>
          <w:sz w:val="24"/>
          <w:szCs w:val="24"/>
        </w:rPr>
        <w:t xml:space="preserve"> attempt to forge an alliance with </w:t>
      </w:r>
      <w:r w:rsidR="00C874BE">
        <w:rPr>
          <w:rFonts w:asciiTheme="majorBidi" w:hAnsiTheme="majorBidi" w:cstheme="majorBidi"/>
          <w:sz w:val="24"/>
          <w:szCs w:val="24"/>
        </w:rPr>
        <w:t xml:space="preserve">both the Hephthalites and </w:t>
      </w:r>
      <w:r w:rsidR="00BC2999">
        <w:rPr>
          <w:rFonts w:asciiTheme="majorBidi" w:hAnsiTheme="majorBidi" w:cstheme="majorBidi"/>
          <w:sz w:val="24"/>
          <w:szCs w:val="24"/>
        </w:rPr>
        <w:t xml:space="preserve">the Yabghū to fight the </w:t>
      </w:r>
      <w:r w:rsidR="00C874BE">
        <w:rPr>
          <w:rFonts w:asciiTheme="majorBidi" w:hAnsiTheme="majorBidi" w:cstheme="majorBidi"/>
          <w:sz w:val="24"/>
          <w:szCs w:val="24"/>
        </w:rPr>
        <w:t xml:space="preserve">common enemy the </w:t>
      </w:r>
      <w:r w:rsidR="00BC2999">
        <w:rPr>
          <w:rFonts w:asciiTheme="majorBidi" w:hAnsiTheme="majorBidi" w:cstheme="majorBidi"/>
          <w:sz w:val="24"/>
          <w:szCs w:val="24"/>
        </w:rPr>
        <w:t xml:space="preserve">Arabs. What happened, however, </w:t>
      </w:r>
      <w:r w:rsidR="00A07869">
        <w:rPr>
          <w:rFonts w:asciiTheme="majorBidi" w:hAnsiTheme="majorBidi" w:cstheme="majorBidi"/>
          <w:sz w:val="24"/>
          <w:szCs w:val="24"/>
        </w:rPr>
        <w:t>was that he detained his lord.</w:t>
      </w:r>
    </w:p>
    <w:p w14:paraId="352C3C6F" w14:textId="7AADC0D2" w:rsidR="002238ED" w:rsidRPr="002238ED" w:rsidRDefault="00EA7A77" w:rsidP="002238ED">
      <w:pPr>
        <w:pStyle w:val="Heading3"/>
        <w:spacing w:line="360" w:lineRule="auto"/>
        <w:rPr>
          <w:rFonts w:asciiTheme="majorBidi" w:hAnsiTheme="majorBidi"/>
          <w:b/>
          <w:bCs/>
          <w:color w:val="auto"/>
        </w:rPr>
      </w:pPr>
      <w:bookmarkStart w:id="9" w:name="_Toc91623875"/>
      <w:r>
        <w:rPr>
          <w:rFonts w:asciiTheme="majorBidi" w:hAnsiTheme="majorBidi"/>
          <w:b/>
          <w:bCs/>
          <w:color w:val="auto"/>
        </w:rPr>
        <w:t>2</w:t>
      </w:r>
      <w:r w:rsidR="002238ED" w:rsidRPr="002238ED">
        <w:rPr>
          <w:rFonts w:asciiTheme="majorBidi" w:hAnsiTheme="majorBidi"/>
          <w:b/>
          <w:bCs/>
          <w:color w:val="auto"/>
        </w:rPr>
        <w:t>.3 The tribal feuds between the Turks and the Hephthalites</w:t>
      </w:r>
      <w:bookmarkEnd w:id="9"/>
    </w:p>
    <w:p w14:paraId="7728CEBD" w14:textId="73E9FFF2" w:rsidR="000A2DF8" w:rsidRDefault="004F33D0" w:rsidP="00847F7B">
      <w:pPr>
        <w:spacing w:line="360" w:lineRule="auto"/>
        <w:rPr>
          <w:rFonts w:asciiTheme="majorBidi" w:hAnsiTheme="majorBidi" w:cstheme="majorBidi"/>
          <w:sz w:val="24"/>
          <w:szCs w:val="24"/>
        </w:rPr>
      </w:pPr>
      <w:r>
        <w:rPr>
          <w:rFonts w:asciiTheme="majorBidi" w:hAnsiTheme="majorBidi" w:cstheme="majorBidi"/>
          <w:sz w:val="24"/>
          <w:szCs w:val="24"/>
        </w:rPr>
        <w:t>Why did</w:t>
      </w:r>
      <w:r w:rsidR="00E63C98">
        <w:rPr>
          <w:rFonts w:asciiTheme="majorBidi" w:hAnsiTheme="majorBidi" w:cstheme="majorBidi"/>
          <w:sz w:val="24"/>
          <w:szCs w:val="24"/>
        </w:rPr>
        <w:t xml:space="preserve"> Nīzak</w:t>
      </w:r>
      <w:r>
        <w:rPr>
          <w:rFonts w:asciiTheme="majorBidi" w:hAnsiTheme="majorBidi" w:cstheme="majorBidi"/>
          <w:sz w:val="24"/>
          <w:szCs w:val="24"/>
        </w:rPr>
        <w:t xml:space="preserve"> detained his lord</w:t>
      </w:r>
      <w:r w:rsidR="00E63C98">
        <w:rPr>
          <w:rFonts w:asciiTheme="majorBidi" w:hAnsiTheme="majorBidi" w:cstheme="majorBidi"/>
          <w:sz w:val="24"/>
          <w:szCs w:val="24"/>
        </w:rPr>
        <w:t xml:space="preserve"> the Yabghū</w:t>
      </w:r>
      <w:r w:rsidR="00667EC4">
        <w:rPr>
          <w:rFonts w:asciiTheme="majorBidi" w:hAnsiTheme="majorBidi" w:cstheme="majorBidi"/>
          <w:sz w:val="24"/>
          <w:szCs w:val="24"/>
        </w:rPr>
        <w:t xml:space="preserve"> </w:t>
      </w:r>
      <w:r w:rsidR="00667EC4">
        <w:rPr>
          <w:rFonts w:asciiTheme="majorBidi" w:hAnsiTheme="majorBidi" w:cstheme="majorBidi" w:hint="eastAsia"/>
          <w:sz w:val="24"/>
          <w:szCs w:val="24"/>
        </w:rPr>
        <w:t>instead</w:t>
      </w:r>
      <w:r w:rsidR="00667EC4">
        <w:rPr>
          <w:rFonts w:asciiTheme="majorBidi" w:hAnsiTheme="majorBidi" w:cstheme="majorBidi"/>
          <w:sz w:val="24"/>
          <w:szCs w:val="24"/>
        </w:rPr>
        <w:t xml:space="preserve"> of allying with him when the Arabs were expanding to </w:t>
      </w:r>
      <w:r w:rsidR="00667EC4" w:rsidRPr="004F33D0">
        <w:rPr>
          <w:rFonts w:asciiTheme="majorBidi" w:hAnsiTheme="majorBidi" w:cstheme="majorBidi"/>
          <w:sz w:val="24"/>
          <w:szCs w:val="24"/>
        </w:rPr>
        <w:t>Ṭukhāristān</w:t>
      </w:r>
      <w:r w:rsidR="00667EC4">
        <w:rPr>
          <w:rFonts w:asciiTheme="majorBidi" w:hAnsiTheme="majorBidi" w:cstheme="majorBidi"/>
          <w:sz w:val="24"/>
          <w:szCs w:val="24"/>
        </w:rPr>
        <w:t xml:space="preserve"> in 709 CE</w:t>
      </w:r>
      <w:r>
        <w:rPr>
          <w:rFonts w:asciiTheme="majorBidi" w:hAnsiTheme="majorBidi" w:cstheme="majorBidi"/>
          <w:sz w:val="24"/>
          <w:szCs w:val="24"/>
        </w:rPr>
        <w:t>?</w:t>
      </w:r>
      <w:r w:rsidR="00E63C98">
        <w:rPr>
          <w:rFonts w:asciiTheme="majorBidi" w:hAnsiTheme="majorBidi" w:cstheme="majorBidi"/>
          <w:sz w:val="24"/>
          <w:szCs w:val="24"/>
        </w:rPr>
        <w:t xml:space="preserve"> Shaban propose</w:t>
      </w:r>
      <w:r w:rsidR="00991EA1">
        <w:rPr>
          <w:rFonts w:asciiTheme="majorBidi" w:hAnsiTheme="majorBidi" w:cstheme="majorBidi"/>
          <w:sz w:val="24"/>
          <w:szCs w:val="24"/>
        </w:rPr>
        <w:t>s</w:t>
      </w:r>
      <w:r w:rsidR="00E63C98">
        <w:rPr>
          <w:rFonts w:asciiTheme="majorBidi" w:hAnsiTheme="majorBidi" w:cstheme="majorBidi"/>
          <w:sz w:val="24"/>
          <w:szCs w:val="24"/>
        </w:rPr>
        <w:t xml:space="preserve"> that he acted likewise so the Yabghū’s vassals would join in the insurrection to defend their lord.</w:t>
      </w:r>
      <w:r w:rsidR="00E63C98">
        <w:rPr>
          <w:rStyle w:val="FootnoteReference"/>
          <w:rFonts w:asciiTheme="majorBidi" w:hAnsiTheme="majorBidi" w:cstheme="majorBidi"/>
          <w:sz w:val="24"/>
          <w:szCs w:val="24"/>
        </w:rPr>
        <w:footnoteReference w:id="175"/>
      </w:r>
      <w:r w:rsidR="00E63C98">
        <w:rPr>
          <w:rFonts w:asciiTheme="majorBidi" w:hAnsiTheme="majorBidi" w:cstheme="majorBidi"/>
          <w:sz w:val="24"/>
          <w:szCs w:val="24"/>
        </w:rPr>
        <w:t xml:space="preserve"> </w:t>
      </w:r>
      <w:r w:rsidR="00667EC4">
        <w:rPr>
          <w:rFonts w:asciiTheme="majorBidi" w:hAnsiTheme="majorBidi" w:cstheme="majorBidi"/>
          <w:sz w:val="24"/>
          <w:szCs w:val="24"/>
        </w:rPr>
        <w:t>The logic is</w:t>
      </w:r>
      <w:r w:rsidR="00A43A32">
        <w:rPr>
          <w:rFonts w:asciiTheme="majorBidi" w:hAnsiTheme="majorBidi" w:cstheme="majorBidi"/>
          <w:sz w:val="24"/>
          <w:szCs w:val="24"/>
        </w:rPr>
        <w:t xml:space="preserve">, </w:t>
      </w:r>
      <w:r w:rsidR="00667EC4">
        <w:rPr>
          <w:rFonts w:asciiTheme="majorBidi" w:hAnsiTheme="majorBidi" w:cstheme="majorBidi"/>
          <w:sz w:val="24"/>
          <w:szCs w:val="24"/>
        </w:rPr>
        <w:t xml:space="preserve">however, weird, since the Yabghū was clearly treated as a captive, </w:t>
      </w:r>
      <w:r w:rsidR="00A43A32">
        <w:rPr>
          <w:rFonts w:asciiTheme="majorBidi" w:hAnsiTheme="majorBidi" w:cstheme="majorBidi"/>
          <w:sz w:val="24"/>
          <w:szCs w:val="24"/>
        </w:rPr>
        <w:t>although he was put in golden fetters</w:t>
      </w:r>
      <w:r w:rsidR="00FB2FDC">
        <w:rPr>
          <w:rFonts w:asciiTheme="majorBidi" w:hAnsiTheme="majorBidi" w:cstheme="majorBidi"/>
          <w:sz w:val="24"/>
          <w:szCs w:val="24"/>
        </w:rPr>
        <w:t>.</w:t>
      </w:r>
      <w:r w:rsidR="009805A0">
        <w:rPr>
          <w:rStyle w:val="FootnoteReference"/>
          <w:rFonts w:asciiTheme="majorBidi" w:hAnsiTheme="majorBidi" w:cstheme="majorBidi"/>
          <w:sz w:val="24"/>
          <w:szCs w:val="24"/>
        </w:rPr>
        <w:footnoteReference w:id="176"/>
      </w:r>
      <w:r w:rsidR="00FB2FDC">
        <w:rPr>
          <w:rFonts w:asciiTheme="majorBidi" w:hAnsiTheme="majorBidi" w:cstheme="majorBidi"/>
          <w:sz w:val="24"/>
          <w:szCs w:val="24"/>
        </w:rPr>
        <w:t xml:space="preserve"> Al-Kūfī’s record that Nīzak looted the Yabghū’s golden girdle further reinforces the argument.</w:t>
      </w:r>
      <w:r w:rsidR="00FB2FDC">
        <w:rPr>
          <w:rStyle w:val="FootnoteReference"/>
          <w:rFonts w:asciiTheme="majorBidi" w:hAnsiTheme="majorBidi" w:cstheme="majorBidi"/>
          <w:sz w:val="24"/>
          <w:szCs w:val="24"/>
        </w:rPr>
        <w:footnoteReference w:id="177"/>
      </w:r>
      <w:r w:rsidR="00FB2FDC">
        <w:rPr>
          <w:rFonts w:asciiTheme="majorBidi" w:hAnsiTheme="majorBidi" w:cstheme="majorBidi"/>
          <w:sz w:val="24"/>
          <w:szCs w:val="24"/>
        </w:rPr>
        <w:t xml:space="preserve"> </w:t>
      </w:r>
      <w:r w:rsidR="000A2DF8">
        <w:rPr>
          <w:rFonts w:asciiTheme="majorBidi" w:hAnsiTheme="majorBidi" w:cstheme="majorBidi"/>
          <w:sz w:val="24"/>
          <w:szCs w:val="24"/>
        </w:rPr>
        <w:t xml:space="preserve">In short, the relations between Nīzak and the </w:t>
      </w:r>
      <w:r w:rsidR="000A2DF8">
        <w:rPr>
          <w:rFonts w:asciiTheme="majorBidi" w:hAnsiTheme="majorBidi" w:cstheme="majorBidi"/>
          <w:sz w:val="24"/>
          <w:szCs w:val="24"/>
        </w:rPr>
        <w:lastRenderedPageBreak/>
        <w:t xml:space="preserve">Yabghū </w:t>
      </w:r>
      <w:r w:rsidR="00667EC4">
        <w:rPr>
          <w:rFonts w:asciiTheme="majorBidi" w:hAnsiTheme="majorBidi" w:cstheme="majorBidi"/>
          <w:sz w:val="24"/>
          <w:szCs w:val="24"/>
        </w:rPr>
        <w:t>wa</w:t>
      </w:r>
      <w:r w:rsidR="000A2DF8">
        <w:rPr>
          <w:rFonts w:asciiTheme="majorBidi" w:hAnsiTheme="majorBidi" w:cstheme="majorBidi"/>
          <w:sz w:val="24"/>
          <w:szCs w:val="24"/>
        </w:rPr>
        <w:t>s hostile. Is the hostility related to their ethnic identity, namely Nīzak as a Hephthalite and the Yabghū a Turk?</w:t>
      </w:r>
    </w:p>
    <w:p w14:paraId="2D3D0B82" w14:textId="77F37542" w:rsidR="008F3979" w:rsidRDefault="00DC776E" w:rsidP="008A7D06">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N</w:t>
      </w:r>
      <w:r w:rsidR="004F296B" w:rsidRPr="00052162">
        <w:rPr>
          <w:rFonts w:asciiTheme="majorBidi" w:hAnsiTheme="majorBidi" w:cstheme="majorBidi"/>
          <w:sz w:val="24"/>
          <w:szCs w:val="24"/>
        </w:rPr>
        <w:t xml:space="preserve">ot only Nīzak was hostile to the Yabghū, </w:t>
      </w:r>
      <w:r w:rsidR="00B50B61" w:rsidRPr="00052162">
        <w:rPr>
          <w:rFonts w:asciiTheme="majorBidi" w:hAnsiTheme="majorBidi" w:cstheme="majorBidi"/>
          <w:sz w:val="24"/>
          <w:szCs w:val="24"/>
        </w:rPr>
        <w:t xml:space="preserve">but also the Shadh, the supreme ruler of the Hephthalites, </w:t>
      </w:r>
      <w:r w:rsidR="00381E84">
        <w:rPr>
          <w:rFonts w:asciiTheme="majorBidi" w:hAnsiTheme="majorBidi" w:cstheme="majorBidi"/>
          <w:sz w:val="24"/>
          <w:szCs w:val="24"/>
        </w:rPr>
        <w:t>referred to</w:t>
      </w:r>
      <w:r w:rsidR="00B50B61" w:rsidRPr="00052162">
        <w:rPr>
          <w:rFonts w:asciiTheme="majorBidi" w:hAnsiTheme="majorBidi" w:cstheme="majorBidi"/>
          <w:sz w:val="24"/>
          <w:szCs w:val="24"/>
        </w:rPr>
        <w:t xml:space="preserve"> the Yabghū </w:t>
      </w:r>
      <w:r w:rsidR="00381E84">
        <w:rPr>
          <w:rFonts w:asciiTheme="majorBidi" w:hAnsiTheme="majorBidi" w:cstheme="majorBidi"/>
          <w:sz w:val="24"/>
          <w:szCs w:val="24"/>
        </w:rPr>
        <w:t>as</w:t>
      </w:r>
      <w:r w:rsidR="00B50B61" w:rsidRPr="00052162">
        <w:rPr>
          <w:rFonts w:asciiTheme="majorBidi" w:hAnsiTheme="majorBidi" w:cstheme="majorBidi"/>
          <w:sz w:val="24"/>
          <w:szCs w:val="24"/>
        </w:rPr>
        <w:t xml:space="preserve"> both his lord and enemy.</w:t>
      </w:r>
      <w:r w:rsidR="00381E84">
        <w:rPr>
          <w:rStyle w:val="FootnoteReference"/>
          <w:rFonts w:asciiTheme="majorBidi" w:hAnsiTheme="majorBidi" w:cstheme="majorBidi"/>
          <w:sz w:val="24"/>
          <w:szCs w:val="24"/>
        </w:rPr>
        <w:footnoteReference w:id="178"/>
      </w:r>
      <w:r w:rsidR="00B50B61" w:rsidRPr="00052162">
        <w:rPr>
          <w:rFonts w:asciiTheme="majorBidi" w:hAnsiTheme="majorBidi" w:cstheme="majorBidi"/>
          <w:sz w:val="24"/>
          <w:szCs w:val="24"/>
        </w:rPr>
        <w:t xml:space="preserve"> </w:t>
      </w:r>
      <w:r w:rsidR="008A7D06">
        <w:rPr>
          <w:rFonts w:asciiTheme="majorBidi" w:hAnsiTheme="majorBidi" w:cstheme="majorBidi"/>
          <w:sz w:val="24"/>
          <w:szCs w:val="24"/>
        </w:rPr>
        <w:t xml:space="preserve">Although the origin </w:t>
      </w:r>
      <w:r w:rsidR="00F55752">
        <w:rPr>
          <w:rFonts w:asciiTheme="majorBidi" w:hAnsiTheme="majorBidi" w:cstheme="majorBidi"/>
          <w:sz w:val="24"/>
          <w:szCs w:val="24"/>
        </w:rPr>
        <w:t xml:space="preserve">and development </w:t>
      </w:r>
      <w:r w:rsidR="008A7D06">
        <w:rPr>
          <w:rFonts w:asciiTheme="majorBidi" w:hAnsiTheme="majorBidi" w:cstheme="majorBidi"/>
          <w:sz w:val="24"/>
          <w:szCs w:val="24"/>
        </w:rPr>
        <w:t>of the hostility is not clear,</w:t>
      </w:r>
      <w:r w:rsidR="008A7D06">
        <w:rPr>
          <w:rStyle w:val="FootnoteReference"/>
          <w:rFonts w:asciiTheme="majorBidi" w:hAnsiTheme="majorBidi" w:cstheme="majorBidi"/>
          <w:sz w:val="24"/>
          <w:szCs w:val="24"/>
        </w:rPr>
        <w:footnoteReference w:id="179"/>
      </w:r>
      <w:r w:rsidR="00F55752">
        <w:rPr>
          <w:rFonts w:asciiTheme="majorBidi" w:hAnsiTheme="majorBidi" w:cstheme="majorBidi"/>
          <w:sz w:val="24"/>
          <w:szCs w:val="24"/>
        </w:rPr>
        <w:t xml:space="preserve"> the isolation of the Yabghū from the Western Turks </w:t>
      </w:r>
      <w:r w:rsidR="007A5D41">
        <w:rPr>
          <w:rFonts w:asciiTheme="majorBidi" w:hAnsiTheme="majorBidi" w:cstheme="majorBidi"/>
          <w:sz w:val="24"/>
          <w:szCs w:val="24"/>
        </w:rPr>
        <w:t xml:space="preserve">emboldened the Hephthalite princiaplies, especially those in western </w:t>
      </w:r>
      <w:r w:rsidR="007A5D41" w:rsidRPr="004F33D0">
        <w:rPr>
          <w:rFonts w:asciiTheme="majorBidi" w:hAnsiTheme="majorBidi" w:cstheme="majorBidi"/>
          <w:sz w:val="24"/>
          <w:szCs w:val="24"/>
        </w:rPr>
        <w:t>Ṭukhāristān</w:t>
      </w:r>
      <w:r w:rsidR="007A5D41">
        <w:rPr>
          <w:rFonts w:asciiTheme="majorBidi" w:hAnsiTheme="majorBidi" w:cstheme="majorBidi"/>
          <w:sz w:val="24"/>
          <w:szCs w:val="24"/>
        </w:rPr>
        <w:t>, to challenge the hegemony of the Turks and seek for independence.</w:t>
      </w:r>
    </w:p>
    <w:p w14:paraId="411A3E4D" w14:textId="51F4129D" w:rsidR="008A7D06" w:rsidRDefault="008F3979" w:rsidP="008A7D06">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And the independence of the Hephthalite principalities weakened the Yabghū dynasty both financially and militarily. The financial difficulty probably caused the Turkic principalities fall on the Hephthalite ones and vice versa.</w:t>
      </w:r>
      <w:r w:rsidR="00DC776E">
        <w:rPr>
          <w:rStyle w:val="FootnoteReference"/>
          <w:rFonts w:asciiTheme="majorBidi" w:hAnsiTheme="majorBidi" w:cstheme="majorBidi"/>
          <w:sz w:val="24"/>
          <w:szCs w:val="24"/>
        </w:rPr>
        <w:footnoteReference w:id="180"/>
      </w:r>
      <w:r w:rsidR="00DC776E">
        <w:rPr>
          <w:rFonts w:asciiTheme="majorBidi" w:hAnsiTheme="majorBidi" w:cstheme="majorBidi"/>
          <w:sz w:val="24"/>
          <w:szCs w:val="24"/>
        </w:rPr>
        <w:t xml:space="preserve"> The tribal conflicts probably initated as local such as the strife between the Hephthalite ruler of</w:t>
      </w:r>
      <w:r w:rsidR="00DC776E" w:rsidRPr="00AE0A0B">
        <w:rPr>
          <w:rFonts w:asciiTheme="majorBidi" w:hAnsiTheme="majorBidi" w:cstheme="majorBidi"/>
          <w:sz w:val="24"/>
          <w:szCs w:val="24"/>
        </w:rPr>
        <w:t xml:space="preserve"> </w:t>
      </w:r>
      <w:r w:rsidR="00DC776E">
        <w:rPr>
          <w:rFonts w:asciiTheme="majorBidi" w:hAnsiTheme="majorBidi" w:cstheme="majorBidi"/>
          <w:sz w:val="24"/>
          <w:szCs w:val="24"/>
        </w:rPr>
        <w:t>Chaghāniyān and the Turkic Akharūn and Shūmān in 705 CE,</w:t>
      </w:r>
      <w:r w:rsidR="005348FD">
        <w:rPr>
          <w:rStyle w:val="FootnoteReference"/>
          <w:rFonts w:asciiTheme="majorBidi" w:hAnsiTheme="majorBidi" w:cstheme="majorBidi"/>
          <w:sz w:val="24"/>
          <w:szCs w:val="24"/>
        </w:rPr>
        <w:footnoteReference w:id="181"/>
      </w:r>
      <w:r w:rsidR="00DC776E">
        <w:rPr>
          <w:rFonts w:asciiTheme="majorBidi" w:hAnsiTheme="majorBidi" w:cstheme="majorBidi"/>
          <w:sz w:val="24"/>
          <w:szCs w:val="24"/>
        </w:rPr>
        <w:t xml:space="preserve"> dragged both the Yabghū and the Shadh in, and deteriorated as a general strife between the Turks and the Hephthalites.</w:t>
      </w:r>
    </w:p>
    <w:p w14:paraId="2FA2FFCA" w14:textId="4059F413" w:rsidR="00D363E8" w:rsidRDefault="00AE0A0B" w:rsidP="003B1C06">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If an ethnic hostility did exist, </w:t>
      </w:r>
      <w:r w:rsidR="00A11913">
        <w:rPr>
          <w:rFonts w:asciiTheme="majorBidi" w:hAnsiTheme="majorBidi" w:cstheme="majorBidi"/>
          <w:sz w:val="24"/>
          <w:szCs w:val="24"/>
        </w:rPr>
        <w:t>its</w:t>
      </w:r>
      <w:r>
        <w:rPr>
          <w:rFonts w:asciiTheme="majorBidi" w:hAnsiTheme="majorBidi" w:cstheme="majorBidi"/>
          <w:sz w:val="24"/>
          <w:szCs w:val="24"/>
        </w:rPr>
        <w:t xml:space="preserve"> eruption was </w:t>
      </w:r>
      <w:r w:rsidR="007B1A2D">
        <w:rPr>
          <w:rFonts w:asciiTheme="majorBidi" w:hAnsiTheme="majorBidi" w:cstheme="majorBidi"/>
          <w:sz w:val="24"/>
          <w:szCs w:val="24"/>
        </w:rPr>
        <w:t>both ethnic and geopolitical</w:t>
      </w:r>
      <w:r>
        <w:rPr>
          <w:rFonts w:asciiTheme="majorBidi" w:hAnsiTheme="majorBidi" w:cstheme="majorBidi"/>
          <w:sz w:val="24"/>
          <w:szCs w:val="24"/>
        </w:rPr>
        <w:t>.</w:t>
      </w:r>
      <w:r w:rsidR="00754CAC">
        <w:rPr>
          <w:rStyle w:val="FootnoteReference"/>
          <w:rFonts w:asciiTheme="majorBidi" w:hAnsiTheme="majorBidi" w:cstheme="majorBidi"/>
          <w:sz w:val="24"/>
          <w:szCs w:val="24"/>
        </w:rPr>
        <w:footnoteReference w:id="182"/>
      </w:r>
      <w:r w:rsidR="00BD318B" w:rsidRPr="00052162">
        <w:rPr>
          <w:rFonts w:asciiTheme="majorBidi" w:hAnsiTheme="majorBidi" w:cstheme="majorBidi"/>
          <w:sz w:val="24"/>
          <w:szCs w:val="24"/>
        </w:rPr>
        <w:t xml:space="preserve"> </w:t>
      </w:r>
      <w:r>
        <w:rPr>
          <w:rFonts w:asciiTheme="majorBidi" w:hAnsiTheme="majorBidi" w:cstheme="majorBidi"/>
          <w:sz w:val="24"/>
          <w:szCs w:val="24"/>
        </w:rPr>
        <w:lastRenderedPageBreak/>
        <w:t xml:space="preserve">An example is </w:t>
      </w:r>
      <w:r w:rsidR="001952A4">
        <w:rPr>
          <w:rFonts w:asciiTheme="majorBidi" w:hAnsiTheme="majorBidi" w:cstheme="majorBidi"/>
          <w:sz w:val="24"/>
          <w:szCs w:val="24"/>
        </w:rPr>
        <w:t xml:space="preserve">the above-mentioned </w:t>
      </w:r>
      <w:r>
        <w:rPr>
          <w:rFonts w:asciiTheme="majorBidi" w:hAnsiTheme="majorBidi" w:cstheme="majorBidi"/>
          <w:sz w:val="24"/>
          <w:szCs w:val="24"/>
        </w:rPr>
        <w:t>Chaghāniyān</w:t>
      </w:r>
      <w:r w:rsidR="001952A4">
        <w:rPr>
          <w:rFonts w:asciiTheme="majorBidi" w:hAnsiTheme="majorBidi" w:cstheme="majorBidi"/>
          <w:sz w:val="24"/>
          <w:szCs w:val="24"/>
        </w:rPr>
        <w:t xml:space="preserve">’s conflict with </w:t>
      </w:r>
      <w:r w:rsidR="00071F9E">
        <w:rPr>
          <w:rFonts w:asciiTheme="majorBidi" w:hAnsiTheme="majorBidi" w:cstheme="majorBidi"/>
          <w:sz w:val="24"/>
          <w:szCs w:val="24"/>
        </w:rPr>
        <w:t>Akharūn and Shūmān</w:t>
      </w:r>
      <w:r w:rsidR="0078463B">
        <w:rPr>
          <w:rFonts w:asciiTheme="majorBidi" w:hAnsiTheme="majorBidi" w:cstheme="majorBidi"/>
          <w:sz w:val="24"/>
          <w:szCs w:val="24"/>
        </w:rPr>
        <w:t xml:space="preserve"> in 705 CE</w:t>
      </w:r>
      <w:r w:rsidR="001952A4">
        <w:rPr>
          <w:rFonts w:asciiTheme="majorBidi" w:hAnsiTheme="majorBidi" w:cstheme="majorBidi"/>
          <w:sz w:val="24"/>
          <w:szCs w:val="24"/>
        </w:rPr>
        <w:t>.</w:t>
      </w:r>
      <w:r w:rsidR="00CE2D48">
        <w:rPr>
          <w:rFonts w:asciiTheme="majorBidi" w:hAnsiTheme="majorBidi" w:cstheme="majorBidi"/>
          <w:sz w:val="24"/>
          <w:szCs w:val="24"/>
        </w:rPr>
        <w:t xml:space="preserve"> If the strife was a purely ethnic one, Tīsh</w:t>
      </w:r>
      <w:r w:rsidR="008A7D06">
        <w:rPr>
          <w:rFonts w:asciiTheme="majorBidi" w:hAnsiTheme="majorBidi" w:cstheme="majorBidi"/>
          <w:sz w:val="24"/>
          <w:szCs w:val="24"/>
        </w:rPr>
        <w:t xml:space="preserve"> would turn to</w:t>
      </w:r>
      <w:r w:rsidR="00734621">
        <w:rPr>
          <w:rFonts w:asciiTheme="majorBidi" w:hAnsiTheme="majorBidi" w:cstheme="majorBidi"/>
          <w:sz w:val="24"/>
          <w:szCs w:val="24"/>
        </w:rPr>
        <w:t xml:space="preserve"> the Shadh or Nīzak</w:t>
      </w:r>
      <w:r w:rsidR="008A7D06">
        <w:rPr>
          <w:rFonts w:asciiTheme="majorBidi" w:hAnsiTheme="majorBidi" w:cstheme="majorBidi"/>
          <w:sz w:val="24"/>
          <w:szCs w:val="24"/>
        </w:rPr>
        <w:t xml:space="preserve"> instead of Qutayba for assistance</w:t>
      </w:r>
      <w:r w:rsidR="00734621">
        <w:rPr>
          <w:rFonts w:asciiTheme="majorBidi" w:hAnsiTheme="majorBidi" w:cstheme="majorBidi"/>
          <w:sz w:val="24"/>
          <w:szCs w:val="24"/>
        </w:rPr>
        <w:t>.</w:t>
      </w:r>
    </w:p>
    <w:p w14:paraId="5E4EDA9C" w14:textId="599961C4" w:rsidR="007B1A2D" w:rsidRDefault="00D363E8" w:rsidP="002464C3">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7B1A2D">
        <w:rPr>
          <w:rFonts w:asciiTheme="majorBidi" w:hAnsiTheme="majorBidi" w:cstheme="majorBidi"/>
          <w:sz w:val="24"/>
          <w:szCs w:val="24"/>
        </w:rPr>
        <w:t xml:space="preserve">Actually, the conflict between the Yabghū and Nīzak was also both ethnic and geopolitical. </w:t>
      </w:r>
      <w:r w:rsidR="00355670">
        <w:rPr>
          <w:rFonts w:asciiTheme="majorBidi" w:hAnsiTheme="majorBidi" w:cstheme="majorBidi"/>
          <w:sz w:val="24"/>
          <w:szCs w:val="24"/>
        </w:rPr>
        <w:t>When Nīzak rebelled against Qutayba, the</w:t>
      </w:r>
      <w:r w:rsidR="00355670" w:rsidRPr="006663BF">
        <w:rPr>
          <w:rFonts w:asciiTheme="majorBidi" w:hAnsiTheme="majorBidi" w:cstheme="majorBidi"/>
          <w:sz w:val="24"/>
          <w:szCs w:val="24"/>
        </w:rPr>
        <w:t xml:space="preserve"> Yabghū</w:t>
      </w:r>
      <w:r w:rsidR="00355670">
        <w:rPr>
          <w:rFonts w:asciiTheme="majorBidi" w:hAnsiTheme="majorBidi" w:cstheme="majorBidi"/>
          <w:sz w:val="24"/>
          <w:szCs w:val="24"/>
        </w:rPr>
        <w:t xml:space="preserve"> chose to stay out, since his</w:t>
      </w:r>
      <w:r w:rsidR="00355670" w:rsidRPr="006663BF">
        <w:rPr>
          <w:rFonts w:asciiTheme="majorBidi" w:hAnsiTheme="majorBidi" w:cstheme="majorBidi"/>
          <w:sz w:val="24"/>
          <w:szCs w:val="24"/>
        </w:rPr>
        <w:t xml:space="preserve"> territories were found in eastern Ṭukhāristān and secure from the threat of the Arabs, while Nīzak's territories were in western Ṭukhāristān and </w:t>
      </w:r>
      <w:r w:rsidR="00355670">
        <w:rPr>
          <w:rFonts w:asciiTheme="majorBidi" w:hAnsiTheme="majorBidi" w:cstheme="majorBidi"/>
          <w:sz w:val="24"/>
          <w:szCs w:val="24"/>
        </w:rPr>
        <w:t>bore the brunt of</w:t>
      </w:r>
      <w:r w:rsidR="00355670" w:rsidRPr="006663BF">
        <w:rPr>
          <w:rFonts w:asciiTheme="majorBidi" w:hAnsiTheme="majorBidi" w:cstheme="majorBidi"/>
          <w:sz w:val="24"/>
          <w:szCs w:val="24"/>
        </w:rPr>
        <w:t xml:space="preserve"> the Arab</w:t>
      </w:r>
      <w:r w:rsidR="00355670">
        <w:rPr>
          <w:rFonts w:asciiTheme="majorBidi" w:hAnsiTheme="majorBidi" w:cstheme="majorBidi"/>
          <w:sz w:val="24"/>
          <w:szCs w:val="24"/>
        </w:rPr>
        <w:t xml:space="preserve"> expansions</w:t>
      </w:r>
      <w:r w:rsidR="00355670" w:rsidRPr="006663BF">
        <w:rPr>
          <w:rFonts w:asciiTheme="majorBidi" w:hAnsiTheme="majorBidi" w:cstheme="majorBidi"/>
          <w:sz w:val="24"/>
          <w:szCs w:val="24"/>
        </w:rPr>
        <w:t xml:space="preserve">. </w:t>
      </w:r>
      <w:r w:rsidR="00355670">
        <w:rPr>
          <w:rFonts w:asciiTheme="majorBidi" w:hAnsiTheme="majorBidi" w:cstheme="majorBidi"/>
          <w:sz w:val="24"/>
          <w:szCs w:val="24"/>
        </w:rPr>
        <w:t xml:space="preserve">The caculation was not limited to the Yabghū, but shared by </w:t>
      </w:r>
      <w:r w:rsidR="00355670" w:rsidRPr="006663BF">
        <w:rPr>
          <w:rFonts w:asciiTheme="majorBidi" w:hAnsiTheme="majorBidi" w:cstheme="majorBidi"/>
          <w:sz w:val="24"/>
          <w:szCs w:val="24"/>
        </w:rPr>
        <w:t>the Hephthalites in Baghlān, Khuttal and Chaghāniyān</w:t>
      </w:r>
      <w:r w:rsidR="00355670">
        <w:rPr>
          <w:rFonts w:asciiTheme="majorBidi" w:hAnsiTheme="majorBidi" w:cstheme="majorBidi"/>
          <w:sz w:val="24"/>
          <w:szCs w:val="24"/>
        </w:rPr>
        <w:t>, whose</w:t>
      </w:r>
      <w:r w:rsidR="00355670" w:rsidRPr="006663BF">
        <w:rPr>
          <w:rFonts w:asciiTheme="majorBidi" w:hAnsiTheme="majorBidi" w:cstheme="majorBidi"/>
          <w:sz w:val="24"/>
          <w:szCs w:val="24"/>
        </w:rPr>
        <w:t xml:space="preserve"> </w:t>
      </w:r>
      <w:r w:rsidR="00355670">
        <w:rPr>
          <w:rFonts w:asciiTheme="majorBidi" w:hAnsiTheme="majorBidi" w:cstheme="majorBidi"/>
          <w:sz w:val="24"/>
          <w:szCs w:val="24"/>
        </w:rPr>
        <w:t>did not participate the</w:t>
      </w:r>
      <w:r w:rsidR="00355670" w:rsidRPr="006663BF">
        <w:rPr>
          <w:rFonts w:asciiTheme="majorBidi" w:hAnsiTheme="majorBidi" w:cstheme="majorBidi"/>
          <w:sz w:val="24"/>
          <w:szCs w:val="24"/>
        </w:rPr>
        <w:t xml:space="preserve"> </w:t>
      </w:r>
      <w:r w:rsidR="00355670">
        <w:rPr>
          <w:rFonts w:asciiTheme="majorBidi" w:hAnsiTheme="majorBidi" w:cstheme="majorBidi"/>
          <w:sz w:val="24"/>
          <w:szCs w:val="24"/>
        </w:rPr>
        <w:t>rebellion</w:t>
      </w:r>
      <w:r w:rsidR="00355670" w:rsidRPr="006663BF">
        <w:rPr>
          <w:rFonts w:asciiTheme="majorBidi" w:hAnsiTheme="majorBidi" w:cstheme="majorBidi"/>
          <w:sz w:val="24"/>
          <w:szCs w:val="24"/>
        </w:rPr>
        <w:t xml:space="preserve"> </w:t>
      </w:r>
      <w:r w:rsidR="00F86EAC">
        <w:rPr>
          <w:rFonts w:asciiTheme="majorBidi" w:hAnsiTheme="majorBidi" w:cstheme="majorBidi"/>
          <w:sz w:val="24"/>
          <w:szCs w:val="24"/>
        </w:rPr>
        <w:t>led</w:t>
      </w:r>
      <w:r w:rsidR="00355670" w:rsidRPr="006663BF">
        <w:rPr>
          <w:rFonts w:asciiTheme="majorBidi" w:hAnsiTheme="majorBidi" w:cstheme="majorBidi"/>
          <w:sz w:val="24"/>
          <w:szCs w:val="24"/>
        </w:rPr>
        <w:t xml:space="preserve"> by Nīzak as well.</w:t>
      </w:r>
      <w:r w:rsidR="00355670" w:rsidRPr="006663BF">
        <w:rPr>
          <w:rStyle w:val="FootnoteReference"/>
          <w:rFonts w:asciiTheme="majorBidi" w:hAnsiTheme="majorBidi" w:cstheme="majorBidi"/>
          <w:sz w:val="24"/>
          <w:szCs w:val="24"/>
        </w:rPr>
        <w:footnoteReference w:id="183"/>
      </w:r>
      <w:r w:rsidR="00355670">
        <w:rPr>
          <w:rFonts w:asciiTheme="majorBidi" w:hAnsiTheme="majorBidi" w:cstheme="majorBidi"/>
          <w:sz w:val="24"/>
          <w:szCs w:val="24"/>
        </w:rPr>
        <w:t xml:space="preserve"> He probably was </w:t>
      </w:r>
      <w:r w:rsidR="00F86EAC">
        <w:rPr>
          <w:rFonts w:asciiTheme="majorBidi" w:hAnsiTheme="majorBidi" w:cstheme="majorBidi"/>
          <w:sz w:val="24"/>
          <w:szCs w:val="24"/>
        </w:rPr>
        <w:t>glad to see</w:t>
      </w:r>
      <w:r w:rsidR="00355670">
        <w:rPr>
          <w:rFonts w:asciiTheme="majorBidi" w:hAnsiTheme="majorBidi" w:cstheme="majorBidi"/>
          <w:sz w:val="24"/>
          <w:szCs w:val="24"/>
        </w:rPr>
        <w:t xml:space="preserve"> that the Arabs could extinguish the Nīzak dynasty, </w:t>
      </w:r>
      <w:r w:rsidR="00F86EAC">
        <w:rPr>
          <w:rFonts w:asciiTheme="majorBidi" w:hAnsiTheme="majorBidi" w:cstheme="majorBidi"/>
          <w:sz w:val="24"/>
          <w:szCs w:val="24"/>
        </w:rPr>
        <w:t xml:space="preserve">the biggest challenger of his hegemony </w:t>
      </w:r>
      <w:r w:rsidR="00355670">
        <w:rPr>
          <w:rFonts w:asciiTheme="majorBidi" w:hAnsiTheme="majorBidi" w:cstheme="majorBidi"/>
          <w:sz w:val="24"/>
          <w:szCs w:val="24"/>
        </w:rPr>
        <w:t xml:space="preserve">in </w:t>
      </w:r>
      <w:r w:rsidR="00355670" w:rsidRPr="006663BF">
        <w:rPr>
          <w:rFonts w:asciiTheme="majorBidi" w:hAnsiTheme="majorBidi" w:cstheme="majorBidi"/>
          <w:sz w:val="24"/>
          <w:szCs w:val="24"/>
        </w:rPr>
        <w:t>Ṭukhāristān</w:t>
      </w:r>
      <w:r w:rsidR="00355670">
        <w:rPr>
          <w:rFonts w:asciiTheme="majorBidi" w:hAnsiTheme="majorBidi" w:cstheme="majorBidi"/>
          <w:sz w:val="24"/>
          <w:szCs w:val="24"/>
        </w:rPr>
        <w:t>.</w:t>
      </w:r>
    </w:p>
    <w:p w14:paraId="1D512C6E" w14:textId="0EE1508A" w:rsidR="002464C3" w:rsidRDefault="00F86EAC" w:rsidP="007B1A2D">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When the Yabghū would not join in the rebellion, Nīzak detained the Turkic ruler to</w:t>
      </w:r>
      <w:r w:rsidR="002464C3" w:rsidRPr="00F86EAC">
        <w:rPr>
          <w:rFonts w:asciiTheme="majorBidi" w:hAnsiTheme="majorBidi" w:cstheme="majorBidi"/>
          <w:sz w:val="24"/>
          <w:szCs w:val="24"/>
        </w:rPr>
        <w:t xml:space="preserve"> present himself as the leader of the Hephthalites to confront the Turks and to organize a Hephthalite coalition to fight the Arabs instead of inviting the Yabghū's vassals to defend their lord as Shaban suggested.</w:t>
      </w:r>
    </w:p>
    <w:p w14:paraId="444F346A" w14:textId="69ED2D83" w:rsidR="00F1430E" w:rsidRDefault="002464C3" w:rsidP="002464C3">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F2043">
        <w:rPr>
          <w:rFonts w:asciiTheme="majorBidi" w:hAnsiTheme="majorBidi" w:cstheme="majorBidi"/>
          <w:sz w:val="24"/>
          <w:szCs w:val="24"/>
        </w:rPr>
        <w:t>Th</w:t>
      </w:r>
      <w:r w:rsidR="00D37605">
        <w:rPr>
          <w:rFonts w:asciiTheme="majorBidi" w:hAnsiTheme="majorBidi" w:cstheme="majorBidi"/>
          <w:sz w:val="24"/>
          <w:szCs w:val="24"/>
        </w:rPr>
        <w:t>e tribal feuds continue</w:t>
      </w:r>
      <w:r>
        <w:rPr>
          <w:rFonts w:asciiTheme="majorBidi" w:hAnsiTheme="majorBidi" w:cstheme="majorBidi"/>
          <w:sz w:val="24"/>
          <w:szCs w:val="24"/>
        </w:rPr>
        <w:t>d</w:t>
      </w:r>
      <w:r w:rsidR="00D37605">
        <w:rPr>
          <w:rFonts w:asciiTheme="majorBidi" w:hAnsiTheme="majorBidi" w:cstheme="majorBidi"/>
          <w:sz w:val="24"/>
          <w:szCs w:val="24"/>
        </w:rPr>
        <w:t xml:space="preserve"> until the </w:t>
      </w:r>
      <w:r w:rsidR="00AF2043">
        <w:rPr>
          <w:rFonts w:asciiTheme="majorBidi" w:hAnsiTheme="majorBidi" w:cstheme="majorBidi"/>
          <w:sz w:val="24"/>
          <w:szCs w:val="24"/>
        </w:rPr>
        <w:t>last days of</w:t>
      </w:r>
      <w:r w:rsidR="00D37605">
        <w:rPr>
          <w:rFonts w:asciiTheme="majorBidi" w:hAnsiTheme="majorBidi" w:cstheme="majorBidi"/>
          <w:sz w:val="24"/>
          <w:szCs w:val="24"/>
        </w:rPr>
        <w:t xml:space="preserve"> N</w:t>
      </w:r>
      <w:r w:rsidR="00F8407D">
        <w:rPr>
          <w:rFonts w:asciiTheme="majorBidi" w:hAnsiTheme="majorBidi" w:cstheme="majorBidi"/>
          <w:sz w:val="24"/>
          <w:szCs w:val="24"/>
        </w:rPr>
        <w:t>īzak</w:t>
      </w:r>
      <w:r w:rsidR="00D37605">
        <w:rPr>
          <w:rFonts w:asciiTheme="majorBidi" w:hAnsiTheme="majorBidi" w:cstheme="majorBidi"/>
          <w:sz w:val="24"/>
          <w:szCs w:val="24"/>
        </w:rPr>
        <w:t>’s rebellion</w:t>
      </w:r>
      <w:r>
        <w:rPr>
          <w:rFonts w:asciiTheme="majorBidi" w:hAnsiTheme="majorBidi" w:cstheme="majorBidi"/>
          <w:sz w:val="24"/>
          <w:szCs w:val="24"/>
        </w:rPr>
        <w:t xml:space="preserve"> and led to his capture</w:t>
      </w:r>
      <w:r w:rsidR="00D37605">
        <w:rPr>
          <w:rFonts w:asciiTheme="majorBidi" w:hAnsiTheme="majorBidi" w:cstheme="majorBidi"/>
          <w:sz w:val="24"/>
          <w:szCs w:val="24"/>
        </w:rPr>
        <w:t xml:space="preserve">. When </w:t>
      </w:r>
      <w:r>
        <w:rPr>
          <w:rFonts w:asciiTheme="majorBidi" w:hAnsiTheme="majorBidi" w:cstheme="majorBidi"/>
          <w:sz w:val="24"/>
          <w:szCs w:val="24"/>
        </w:rPr>
        <w:t>Nīzak</w:t>
      </w:r>
      <w:r w:rsidR="00F8407D">
        <w:rPr>
          <w:rFonts w:asciiTheme="majorBidi" w:hAnsiTheme="majorBidi" w:cstheme="majorBidi"/>
          <w:sz w:val="24"/>
          <w:szCs w:val="24"/>
        </w:rPr>
        <w:t xml:space="preserve"> </w:t>
      </w:r>
      <w:r w:rsidR="00223EC1">
        <w:rPr>
          <w:rFonts w:asciiTheme="majorBidi" w:hAnsiTheme="majorBidi" w:cstheme="majorBidi"/>
          <w:sz w:val="24"/>
          <w:szCs w:val="24"/>
        </w:rPr>
        <w:t xml:space="preserve">fled </w:t>
      </w:r>
      <w:r w:rsidR="00C574CC">
        <w:rPr>
          <w:rFonts w:asciiTheme="majorBidi" w:hAnsiTheme="majorBidi" w:cstheme="majorBidi"/>
          <w:sz w:val="24"/>
          <w:szCs w:val="24"/>
        </w:rPr>
        <w:t xml:space="preserve">from </w:t>
      </w:r>
      <w:r w:rsidR="00D452C1">
        <w:rPr>
          <w:rFonts w:asciiTheme="majorBidi" w:hAnsiTheme="majorBidi" w:cstheme="majorBidi"/>
          <w:sz w:val="24"/>
          <w:szCs w:val="24"/>
        </w:rPr>
        <w:t>Qutayba</w:t>
      </w:r>
      <w:r w:rsidR="00C574CC">
        <w:rPr>
          <w:rFonts w:asciiTheme="majorBidi" w:hAnsiTheme="majorBidi" w:cstheme="majorBidi"/>
          <w:sz w:val="24"/>
          <w:szCs w:val="24"/>
        </w:rPr>
        <w:t xml:space="preserve"> </w:t>
      </w:r>
      <w:r w:rsidR="00223EC1">
        <w:rPr>
          <w:rFonts w:asciiTheme="majorBidi" w:hAnsiTheme="majorBidi" w:cstheme="majorBidi"/>
          <w:sz w:val="24"/>
          <w:szCs w:val="24"/>
        </w:rPr>
        <w:t xml:space="preserve">and </w:t>
      </w:r>
      <w:r w:rsidR="00AF2043">
        <w:rPr>
          <w:rFonts w:asciiTheme="majorBidi" w:hAnsiTheme="majorBidi" w:cstheme="majorBidi"/>
          <w:sz w:val="24"/>
          <w:szCs w:val="24"/>
        </w:rPr>
        <w:t>camped</w:t>
      </w:r>
      <w:r w:rsidR="003F4A0D">
        <w:rPr>
          <w:rFonts w:asciiTheme="majorBidi" w:hAnsiTheme="majorBidi" w:cstheme="majorBidi"/>
          <w:sz w:val="24"/>
          <w:szCs w:val="24"/>
        </w:rPr>
        <w:t xml:space="preserve"> in a fortress behind a de</w:t>
      </w:r>
      <w:r w:rsidR="00F8407D">
        <w:rPr>
          <w:rFonts w:asciiTheme="majorBidi" w:hAnsiTheme="majorBidi" w:cstheme="majorBidi"/>
          <w:sz w:val="24"/>
          <w:szCs w:val="24"/>
        </w:rPr>
        <w:t>file</w:t>
      </w:r>
      <w:r>
        <w:rPr>
          <w:rFonts w:asciiTheme="majorBidi" w:hAnsiTheme="majorBidi" w:cstheme="majorBidi"/>
          <w:sz w:val="24"/>
          <w:szCs w:val="24"/>
        </w:rPr>
        <w:t xml:space="preserve"> in Bāghlān</w:t>
      </w:r>
      <w:r w:rsidR="00F8407D">
        <w:rPr>
          <w:rFonts w:asciiTheme="majorBidi" w:hAnsiTheme="majorBidi" w:cstheme="majorBidi"/>
          <w:sz w:val="24"/>
          <w:szCs w:val="24"/>
        </w:rPr>
        <w:t xml:space="preserve">, </w:t>
      </w:r>
      <w:r>
        <w:rPr>
          <w:rFonts w:asciiTheme="majorBidi" w:hAnsiTheme="majorBidi" w:cstheme="majorBidi"/>
          <w:sz w:val="24"/>
          <w:szCs w:val="24"/>
        </w:rPr>
        <w:t xml:space="preserve">the </w:t>
      </w:r>
      <w:r w:rsidR="00AF2043">
        <w:rPr>
          <w:rFonts w:asciiTheme="majorBidi" w:hAnsiTheme="majorBidi" w:cstheme="majorBidi"/>
          <w:sz w:val="24"/>
          <w:szCs w:val="24"/>
        </w:rPr>
        <w:t xml:space="preserve">difficult terrains stopped the chasing </w:t>
      </w:r>
      <w:r>
        <w:rPr>
          <w:rFonts w:asciiTheme="majorBidi" w:hAnsiTheme="majorBidi" w:cstheme="majorBidi"/>
          <w:sz w:val="24"/>
          <w:szCs w:val="24"/>
        </w:rPr>
        <w:t>Arabs</w:t>
      </w:r>
      <w:r w:rsidR="00AF2043">
        <w:rPr>
          <w:rFonts w:asciiTheme="majorBidi" w:hAnsiTheme="majorBidi" w:cstheme="majorBidi"/>
          <w:sz w:val="24"/>
          <w:szCs w:val="24"/>
        </w:rPr>
        <w:t xml:space="preserve"> for months</w:t>
      </w:r>
      <w:r w:rsidR="00F8407D">
        <w:rPr>
          <w:rFonts w:asciiTheme="majorBidi" w:hAnsiTheme="majorBidi" w:cstheme="majorBidi"/>
          <w:sz w:val="24"/>
          <w:szCs w:val="24"/>
        </w:rPr>
        <w:t xml:space="preserve">. </w:t>
      </w:r>
      <w:r w:rsidR="00303291">
        <w:rPr>
          <w:rFonts w:asciiTheme="majorBidi" w:hAnsiTheme="majorBidi" w:cstheme="majorBidi"/>
          <w:sz w:val="24"/>
          <w:szCs w:val="24"/>
        </w:rPr>
        <w:t xml:space="preserve">However, </w:t>
      </w:r>
      <w:r>
        <w:rPr>
          <w:rFonts w:asciiTheme="majorBidi" w:hAnsiTheme="majorBidi" w:cstheme="majorBidi"/>
          <w:sz w:val="24"/>
          <w:szCs w:val="24"/>
        </w:rPr>
        <w:t>they</w:t>
      </w:r>
      <w:r w:rsidR="00F8407D">
        <w:rPr>
          <w:rFonts w:asciiTheme="majorBidi" w:hAnsiTheme="majorBidi" w:cstheme="majorBidi"/>
          <w:sz w:val="24"/>
          <w:szCs w:val="24"/>
        </w:rPr>
        <w:t xml:space="preserve"> </w:t>
      </w:r>
      <w:r w:rsidR="00F1430E">
        <w:rPr>
          <w:rFonts w:asciiTheme="majorBidi" w:hAnsiTheme="majorBidi" w:cstheme="majorBidi"/>
          <w:sz w:val="24"/>
          <w:szCs w:val="24"/>
        </w:rPr>
        <w:t>bypassed</w:t>
      </w:r>
      <w:r w:rsidR="00F8407D">
        <w:rPr>
          <w:rFonts w:asciiTheme="majorBidi" w:hAnsiTheme="majorBidi" w:cstheme="majorBidi"/>
          <w:sz w:val="24"/>
          <w:szCs w:val="24"/>
        </w:rPr>
        <w:t xml:space="preserve"> the defile with the help of the Khān, the ruler of Rūb and Siminjān</w:t>
      </w:r>
      <w:r w:rsidR="00223EC1">
        <w:rPr>
          <w:rFonts w:asciiTheme="majorBidi" w:hAnsiTheme="majorBidi" w:cstheme="majorBidi"/>
          <w:sz w:val="24"/>
          <w:szCs w:val="24"/>
        </w:rPr>
        <w:t>, who showed the</w:t>
      </w:r>
      <w:r>
        <w:rPr>
          <w:rFonts w:asciiTheme="majorBidi" w:hAnsiTheme="majorBidi" w:cstheme="majorBidi"/>
          <w:sz w:val="24"/>
          <w:szCs w:val="24"/>
        </w:rPr>
        <w:t xml:space="preserve">m </w:t>
      </w:r>
      <w:r w:rsidR="00223EC1">
        <w:rPr>
          <w:rFonts w:asciiTheme="majorBidi" w:hAnsiTheme="majorBidi" w:cstheme="majorBidi"/>
          <w:sz w:val="24"/>
          <w:szCs w:val="24"/>
        </w:rPr>
        <w:t xml:space="preserve">a </w:t>
      </w:r>
      <w:r w:rsidR="00AF2043">
        <w:rPr>
          <w:rFonts w:asciiTheme="majorBidi" w:hAnsiTheme="majorBidi" w:cstheme="majorBidi"/>
          <w:sz w:val="24"/>
          <w:szCs w:val="24"/>
        </w:rPr>
        <w:t>path</w:t>
      </w:r>
      <w:r w:rsidR="00223EC1">
        <w:rPr>
          <w:rFonts w:asciiTheme="majorBidi" w:hAnsiTheme="majorBidi" w:cstheme="majorBidi"/>
          <w:sz w:val="24"/>
          <w:szCs w:val="24"/>
        </w:rPr>
        <w:t xml:space="preserve"> to </w:t>
      </w:r>
      <w:r>
        <w:rPr>
          <w:rFonts w:asciiTheme="majorBidi" w:hAnsiTheme="majorBidi" w:cstheme="majorBidi"/>
          <w:sz w:val="24"/>
          <w:szCs w:val="24"/>
        </w:rPr>
        <w:t>the fortress</w:t>
      </w:r>
      <w:r w:rsidR="00F8407D">
        <w:rPr>
          <w:rFonts w:asciiTheme="majorBidi" w:hAnsiTheme="majorBidi" w:cstheme="majorBidi"/>
          <w:sz w:val="24"/>
          <w:szCs w:val="24"/>
        </w:rPr>
        <w:t>.</w:t>
      </w:r>
      <w:r w:rsidR="00223EC1">
        <w:rPr>
          <w:rStyle w:val="FootnoteReference"/>
          <w:rFonts w:asciiTheme="majorBidi" w:hAnsiTheme="majorBidi" w:cstheme="majorBidi"/>
          <w:sz w:val="24"/>
          <w:szCs w:val="24"/>
        </w:rPr>
        <w:footnoteReference w:id="184"/>
      </w:r>
      <w:r w:rsidR="00303291">
        <w:rPr>
          <w:rFonts w:asciiTheme="majorBidi" w:hAnsiTheme="majorBidi" w:cstheme="majorBidi"/>
          <w:sz w:val="24"/>
          <w:szCs w:val="24"/>
        </w:rPr>
        <w:t xml:space="preserve"> </w:t>
      </w:r>
      <w:r w:rsidR="00F1430E">
        <w:rPr>
          <w:rFonts w:asciiTheme="majorBidi" w:hAnsiTheme="majorBidi" w:cstheme="majorBidi"/>
          <w:sz w:val="24"/>
          <w:szCs w:val="24"/>
        </w:rPr>
        <w:t>His t</w:t>
      </w:r>
      <w:r w:rsidR="00303291">
        <w:rPr>
          <w:rFonts w:asciiTheme="majorBidi" w:hAnsiTheme="majorBidi" w:cstheme="majorBidi"/>
          <w:sz w:val="24"/>
          <w:szCs w:val="24"/>
        </w:rPr>
        <w:t xml:space="preserve">itle </w:t>
      </w:r>
      <w:r w:rsidR="005701C7">
        <w:rPr>
          <w:rFonts w:asciiTheme="majorBidi" w:hAnsiTheme="majorBidi" w:cstheme="majorBidi"/>
          <w:sz w:val="24"/>
          <w:szCs w:val="24"/>
        </w:rPr>
        <w:t xml:space="preserve">Khān </w:t>
      </w:r>
      <w:r w:rsidR="00F1430E">
        <w:rPr>
          <w:rFonts w:asciiTheme="majorBidi" w:hAnsiTheme="majorBidi" w:cstheme="majorBidi"/>
          <w:sz w:val="24"/>
          <w:szCs w:val="24"/>
        </w:rPr>
        <w:t>reveals</w:t>
      </w:r>
      <w:r w:rsidR="00303291">
        <w:rPr>
          <w:rFonts w:asciiTheme="majorBidi" w:hAnsiTheme="majorBidi" w:cstheme="majorBidi"/>
          <w:sz w:val="24"/>
          <w:szCs w:val="24"/>
        </w:rPr>
        <w:t xml:space="preserve"> that the ruler was </w:t>
      </w:r>
      <w:r w:rsidR="00F1430E">
        <w:rPr>
          <w:rFonts w:asciiTheme="majorBidi" w:hAnsiTheme="majorBidi" w:cstheme="majorBidi"/>
          <w:sz w:val="24"/>
          <w:szCs w:val="24"/>
        </w:rPr>
        <w:t xml:space="preserve">probably a </w:t>
      </w:r>
      <w:r w:rsidR="00303291">
        <w:rPr>
          <w:rFonts w:asciiTheme="majorBidi" w:hAnsiTheme="majorBidi" w:cstheme="majorBidi"/>
          <w:sz w:val="24"/>
          <w:szCs w:val="24"/>
        </w:rPr>
        <w:t>Turk</w:t>
      </w:r>
      <w:r w:rsidR="00D37605">
        <w:rPr>
          <w:rFonts w:asciiTheme="majorBidi" w:hAnsiTheme="majorBidi" w:cstheme="majorBidi"/>
          <w:sz w:val="24"/>
          <w:szCs w:val="24"/>
        </w:rPr>
        <w:t>.</w:t>
      </w:r>
      <w:r w:rsidR="00597323">
        <w:rPr>
          <w:rStyle w:val="FootnoteReference"/>
          <w:rFonts w:asciiTheme="majorBidi" w:hAnsiTheme="majorBidi" w:cstheme="majorBidi"/>
          <w:sz w:val="24"/>
          <w:szCs w:val="24"/>
        </w:rPr>
        <w:footnoteReference w:id="185"/>
      </w:r>
      <w:r w:rsidR="00D37605">
        <w:rPr>
          <w:rFonts w:asciiTheme="majorBidi" w:hAnsiTheme="majorBidi" w:cstheme="majorBidi"/>
          <w:sz w:val="24"/>
          <w:szCs w:val="24"/>
        </w:rPr>
        <w:t xml:space="preserve"> He</w:t>
      </w:r>
      <w:r w:rsidR="00F1430E">
        <w:rPr>
          <w:rFonts w:asciiTheme="majorBidi" w:hAnsiTheme="majorBidi" w:cstheme="majorBidi"/>
          <w:sz w:val="24"/>
          <w:szCs w:val="24"/>
        </w:rPr>
        <w:t xml:space="preserve"> cooperated </w:t>
      </w:r>
      <w:r w:rsidR="00303291">
        <w:rPr>
          <w:rFonts w:asciiTheme="majorBidi" w:hAnsiTheme="majorBidi" w:cstheme="majorBidi"/>
          <w:sz w:val="24"/>
          <w:szCs w:val="24"/>
        </w:rPr>
        <w:t xml:space="preserve">with the Arabs </w:t>
      </w:r>
      <w:r w:rsidR="00D37605">
        <w:rPr>
          <w:rFonts w:asciiTheme="majorBidi" w:hAnsiTheme="majorBidi" w:cstheme="majorBidi"/>
          <w:sz w:val="24"/>
          <w:szCs w:val="24"/>
        </w:rPr>
        <w:t xml:space="preserve">most probably not only for a safe-conduct, but also to </w:t>
      </w:r>
      <w:r w:rsidR="00634A01">
        <w:rPr>
          <w:rFonts w:asciiTheme="majorBidi" w:hAnsiTheme="majorBidi" w:cstheme="majorBidi"/>
          <w:sz w:val="24"/>
          <w:szCs w:val="24"/>
        </w:rPr>
        <w:t xml:space="preserve">correct the wrong that Nīzak did to </w:t>
      </w:r>
      <w:r w:rsidR="00223EC1">
        <w:rPr>
          <w:rFonts w:asciiTheme="majorBidi" w:hAnsiTheme="majorBidi" w:cstheme="majorBidi"/>
          <w:sz w:val="24"/>
          <w:szCs w:val="24"/>
        </w:rPr>
        <w:t xml:space="preserve">the </w:t>
      </w:r>
      <w:r w:rsidR="005701C7">
        <w:rPr>
          <w:rFonts w:asciiTheme="majorBidi" w:hAnsiTheme="majorBidi" w:cstheme="majorBidi"/>
          <w:sz w:val="24"/>
          <w:szCs w:val="24"/>
        </w:rPr>
        <w:t xml:space="preserve">Yabghū </w:t>
      </w:r>
      <w:r w:rsidR="00634A01">
        <w:rPr>
          <w:rFonts w:asciiTheme="majorBidi" w:hAnsiTheme="majorBidi" w:cstheme="majorBidi"/>
          <w:sz w:val="24"/>
          <w:szCs w:val="24"/>
        </w:rPr>
        <w:t>by the swords of the Arabs</w:t>
      </w:r>
      <w:r w:rsidR="00223EC1">
        <w:rPr>
          <w:rFonts w:asciiTheme="majorBidi" w:hAnsiTheme="majorBidi" w:cstheme="majorBidi"/>
          <w:sz w:val="24"/>
          <w:szCs w:val="24"/>
        </w:rPr>
        <w:t>.</w:t>
      </w:r>
    </w:p>
    <w:p w14:paraId="28CD763B" w14:textId="5773E233" w:rsidR="001E3303" w:rsidRDefault="00F1430E" w:rsidP="00F1430E">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9627DB">
        <w:rPr>
          <w:rFonts w:asciiTheme="majorBidi" w:hAnsiTheme="majorBidi" w:cstheme="majorBidi"/>
          <w:sz w:val="24"/>
          <w:szCs w:val="24"/>
        </w:rPr>
        <w:t xml:space="preserve">To sum up, the Muslim sources show that </w:t>
      </w:r>
      <w:r w:rsidR="00D618BD">
        <w:rPr>
          <w:rFonts w:asciiTheme="majorBidi" w:hAnsiTheme="majorBidi" w:cstheme="majorBidi"/>
          <w:sz w:val="24"/>
          <w:szCs w:val="24"/>
        </w:rPr>
        <w:t>t</w:t>
      </w:r>
      <w:r>
        <w:rPr>
          <w:rFonts w:asciiTheme="majorBidi" w:hAnsiTheme="majorBidi" w:cstheme="majorBidi"/>
          <w:sz w:val="24"/>
          <w:szCs w:val="24"/>
        </w:rPr>
        <w:t xml:space="preserve">he feuds between the Turks and the Hephthalites </w:t>
      </w:r>
      <w:r w:rsidR="00D618BD">
        <w:rPr>
          <w:rFonts w:asciiTheme="majorBidi" w:hAnsiTheme="majorBidi" w:cstheme="majorBidi"/>
          <w:sz w:val="24"/>
          <w:szCs w:val="24"/>
        </w:rPr>
        <w:t xml:space="preserve">flared up in </w:t>
      </w:r>
      <w:r w:rsidR="00F967A4">
        <w:rPr>
          <w:rFonts w:asciiTheme="majorBidi" w:hAnsiTheme="majorBidi" w:cstheme="majorBidi"/>
          <w:sz w:val="24"/>
          <w:szCs w:val="24"/>
        </w:rPr>
        <w:t xml:space="preserve">the </w:t>
      </w:r>
      <w:r w:rsidR="00D618BD">
        <w:rPr>
          <w:rFonts w:asciiTheme="majorBidi" w:hAnsiTheme="majorBidi" w:cstheme="majorBidi"/>
          <w:sz w:val="24"/>
          <w:szCs w:val="24"/>
        </w:rPr>
        <w:t>700s</w:t>
      </w:r>
      <w:r w:rsidR="00754CAC">
        <w:rPr>
          <w:rFonts w:asciiTheme="majorBidi" w:hAnsiTheme="majorBidi" w:cstheme="majorBidi"/>
          <w:sz w:val="24"/>
          <w:szCs w:val="24"/>
        </w:rPr>
        <w:t xml:space="preserve"> from local to general</w:t>
      </w:r>
      <w:r w:rsidR="005701C7">
        <w:rPr>
          <w:rFonts w:asciiTheme="majorBidi" w:hAnsiTheme="majorBidi" w:cstheme="majorBidi"/>
          <w:sz w:val="24"/>
          <w:szCs w:val="24"/>
        </w:rPr>
        <w:t xml:space="preserve">. </w:t>
      </w:r>
      <w:r w:rsidR="00754CAC">
        <w:rPr>
          <w:rFonts w:asciiTheme="majorBidi" w:hAnsiTheme="majorBidi" w:cstheme="majorBidi"/>
          <w:sz w:val="24"/>
          <w:szCs w:val="24"/>
        </w:rPr>
        <w:t xml:space="preserve">Together with the geopolitical calculations, the ethnic strife hindered the Turkic and the Hepthalite principalities to </w:t>
      </w:r>
      <w:r w:rsidR="00754CAC">
        <w:rPr>
          <w:rFonts w:asciiTheme="majorBidi" w:hAnsiTheme="majorBidi" w:cstheme="majorBidi"/>
          <w:sz w:val="24"/>
          <w:szCs w:val="24"/>
        </w:rPr>
        <w:lastRenderedPageBreak/>
        <w:t>form a general alliance to resist the Arabs. As for the Arabs, t</w:t>
      </w:r>
      <w:r w:rsidR="005701C7">
        <w:rPr>
          <w:rFonts w:asciiTheme="majorBidi" w:hAnsiTheme="majorBidi" w:cstheme="majorBidi"/>
          <w:sz w:val="24"/>
          <w:szCs w:val="24"/>
        </w:rPr>
        <w:t>he situation</w:t>
      </w:r>
      <w:r w:rsidR="00D618BD">
        <w:rPr>
          <w:rFonts w:asciiTheme="majorBidi" w:hAnsiTheme="majorBidi" w:cstheme="majorBidi"/>
          <w:sz w:val="24"/>
          <w:szCs w:val="24"/>
        </w:rPr>
        <w:t xml:space="preserve"> </w:t>
      </w:r>
      <w:r w:rsidR="00F91494">
        <w:rPr>
          <w:rFonts w:asciiTheme="majorBidi" w:hAnsiTheme="majorBidi" w:cstheme="majorBidi"/>
          <w:sz w:val="24"/>
          <w:szCs w:val="24"/>
        </w:rPr>
        <w:t>facilitated</w:t>
      </w:r>
      <w:r>
        <w:rPr>
          <w:rFonts w:asciiTheme="majorBidi" w:hAnsiTheme="majorBidi" w:cstheme="majorBidi"/>
          <w:sz w:val="24"/>
          <w:szCs w:val="24"/>
        </w:rPr>
        <w:t xml:space="preserve"> </w:t>
      </w:r>
      <w:r w:rsidR="00754CAC">
        <w:rPr>
          <w:rFonts w:asciiTheme="majorBidi" w:hAnsiTheme="majorBidi" w:cstheme="majorBidi"/>
          <w:sz w:val="24"/>
          <w:szCs w:val="24"/>
        </w:rPr>
        <w:t xml:space="preserve">them </w:t>
      </w:r>
      <w:r>
        <w:rPr>
          <w:rFonts w:asciiTheme="majorBidi" w:hAnsiTheme="majorBidi" w:cstheme="majorBidi"/>
          <w:sz w:val="24"/>
          <w:szCs w:val="24"/>
        </w:rPr>
        <w:t>to divide and rule</w:t>
      </w:r>
      <w:r w:rsidR="005701C7">
        <w:rPr>
          <w:rFonts w:asciiTheme="majorBidi" w:hAnsiTheme="majorBidi" w:cstheme="majorBidi"/>
          <w:sz w:val="24"/>
          <w:szCs w:val="24"/>
        </w:rPr>
        <w:t>.</w:t>
      </w:r>
    </w:p>
    <w:p w14:paraId="7DBEA6F0" w14:textId="66263C84" w:rsidR="00923F3A" w:rsidRPr="00923F3A" w:rsidRDefault="00EA7A77" w:rsidP="00923F3A">
      <w:pPr>
        <w:pStyle w:val="Heading3"/>
        <w:spacing w:line="360" w:lineRule="auto"/>
        <w:rPr>
          <w:rFonts w:asciiTheme="majorBidi" w:hAnsiTheme="majorBidi"/>
          <w:b/>
          <w:bCs/>
          <w:color w:val="auto"/>
        </w:rPr>
      </w:pPr>
      <w:bookmarkStart w:id="10" w:name="_Toc91623876"/>
      <w:r>
        <w:rPr>
          <w:rFonts w:asciiTheme="majorBidi" w:hAnsiTheme="majorBidi"/>
          <w:b/>
          <w:bCs/>
          <w:color w:val="auto"/>
        </w:rPr>
        <w:t>2</w:t>
      </w:r>
      <w:r w:rsidR="00923F3A" w:rsidRPr="00923F3A">
        <w:rPr>
          <w:rFonts w:asciiTheme="majorBidi" w:hAnsiTheme="majorBidi"/>
          <w:b/>
          <w:bCs/>
          <w:color w:val="auto"/>
        </w:rPr>
        <w:t xml:space="preserve">.4 </w:t>
      </w:r>
      <w:r w:rsidR="00EF7AF4">
        <w:rPr>
          <w:rFonts w:asciiTheme="majorBidi" w:hAnsiTheme="majorBidi"/>
          <w:b/>
          <w:bCs/>
          <w:color w:val="auto"/>
        </w:rPr>
        <w:t xml:space="preserve">The </w:t>
      </w:r>
      <w:r w:rsidR="003B492E">
        <w:rPr>
          <w:rFonts w:asciiTheme="majorBidi" w:hAnsiTheme="majorBidi"/>
          <w:b/>
          <w:bCs/>
          <w:color w:val="auto"/>
        </w:rPr>
        <w:t>Arab</w:t>
      </w:r>
      <w:r w:rsidR="00923F3A" w:rsidRPr="00923F3A">
        <w:rPr>
          <w:rFonts w:asciiTheme="majorBidi" w:hAnsiTheme="majorBidi"/>
          <w:b/>
          <w:bCs/>
          <w:color w:val="auto"/>
        </w:rPr>
        <w:t xml:space="preserve"> conquests of Ṭukhāristān</w:t>
      </w:r>
      <w:bookmarkEnd w:id="10"/>
    </w:p>
    <w:p w14:paraId="3ECB8B57" w14:textId="294F36DC" w:rsidR="006A1D92" w:rsidRPr="009F4D8F" w:rsidRDefault="00BA5A80" w:rsidP="00923F3A">
      <w:pPr>
        <w:spacing w:line="360" w:lineRule="auto"/>
        <w:rPr>
          <w:rFonts w:asciiTheme="majorBidi" w:hAnsiTheme="majorBidi" w:cstheme="majorBidi"/>
          <w:sz w:val="24"/>
          <w:szCs w:val="24"/>
        </w:rPr>
      </w:pPr>
      <w:r>
        <w:rPr>
          <w:rFonts w:asciiTheme="majorBidi" w:hAnsiTheme="majorBidi" w:cstheme="majorBidi"/>
          <w:sz w:val="24"/>
          <w:szCs w:val="24"/>
        </w:rPr>
        <w:t>A</w:t>
      </w:r>
      <w:r w:rsidR="006A1D92" w:rsidRPr="009F4D8F">
        <w:rPr>
          <w:rFonts w:asciiTheme="majorBidi" w:hAnsiTheme="majorBidi" w:cstheme="majorBidi"/>
          <w:sz w:val="24"/>
          <w:szCs w:val="24"/>
        </w:rPr>
        <w:t>s Gibb observ</w:t>
      </w:r>
      <w:r w:rsidR="00B619FA">
        <w:rPr>
          <w:rFonts w:asciiTheme="majorBidi" w:hAnsiTheme="majorBidi" w:cstheme="majorBidi"/>
          <w:sz w:val="24"/>
          <w:szCs w:val="24"/>
        </w:rPr>
        <w:t>es</w:t>
      </w:r>
      <w:r w:rsidR="006A1D92" w:rsidRPr="009F4D8F">
        <w:rPr>
          <w:rFonts w:asciiTheme="majorBidi" w:hAnsiTheme="majorBidi" w:cstheme="majorBidi"/>
          <w:sz w:val="24"/>
          <w:szCs w:val="24"/>
        </w:rPr>
        <w:t xml:space="preserve">, Ṭukhāristān was unimportant for the Arabs, and its conquest </w:t>
      </w:r>
      <w:r w:rsidR="00B619FA">
        <w:rPr>
          <w:rFonts w:asciiTheme="majorBidi" w:hAnsiTheme="majorBidi" w:cstheme="majorBidi"/>
          <w:sz w:val="24"/>
          <w:szCs w:val="24"/>
        </w:rPr>
        <w:t>is</w:t>
      </w:r>
      <w:r w:rsidR="006A1D92" w:rsidRPr="009F4D8F">
        <w:rPr>
          <w:rFonts w:asciiTheme="majorBidi" w:hAnsiTheme="majorBidi" w:cstheme="majorBidi"/>
          <w:sz w:val="24"/>
          <w:szCs w:val="24"/>
        </w:rPr>
        <w:t xml:space="preserve"> not reported in </w:t>
      </w:r>
      <w:r w:rsidR="009031DA" w:rsidRPr="009F4D8F">
        <w:rPr>
          <w:rFonts w:asciiTheme="majorBidi" w:hAnsiTheme="majorBidi" w:cstheme="majorBidi"/>
          <w:sz w:val="24"/>
          <w:szCs w:val="24"/>
        </w:rPr>
        <w:t>detail</w:t>
      </w:r>
      <w:r w:rsidR="007000FD" w:rsidRPr="009F4D8F">
        <w:rPr>
          <w:rFonts w:asciiTheme="majorBidi" w:hAnsiTheme="majorBidi" w:cstheme="majorBidi"/>
          <w:sz w:val="24"/>
          <w:szCs w:val="24"/>
        </w:rPr>
        <w:t xml:space="preserve"> </w:t>
      </w:r>
      <w:r w:rsidR="003015BB">
        <w:rPr>
          <w:rFonts w:asciiTheme="majorBidi" w:hAnsiTheme="majorBidi" w:cstheme="majorBidi"/>
          <w:sz w:val="24"/>
          <w:szCs w:val="24"/>
        </w:rPr>
        <w:t>as</w:t>
      </w:r>
      <w:r w:rsidR="007000FD" w:rsidRPr="009F4D8F">
        <w:rPr>
          <w:rFonts w:asciiTheme="majorBidi" w:hAnsiTheme="majorBidi" w:cstheme="majorBidi"/>
          <w:sz w:val="24"/>
          <w:szCs w:val="24"/>
        </w:rPr>
        <w:t xml:space="preserve"> Transoxiana</w:t>
      </w:r>
      <w:r w:rsidR="006A1D92" w:rsidRPr="009F4D8F">
        <w:rPr>
          <w:rFonts w:asciiTheme="majorBidi" w:hAnsiTheme="majorBidi" w:cstheme="majorBidi"/>
          <w:sz w:val="24"/>
          <w:szCs w:val="24"/>
        </w:rPr>
        <w:t>.</w:t>
      </w:r>
      <w:r w:rsidR="006A1D92" w:rsidRPr="009F4D8F">
        <w:rPr>
          <w:rStyle w:val="FootnoteReference"/>
          <w:rFonts w:asciiTheme="majorBidi" w:hAnsiTheme="majorBidi" w:cstheme="majorBidi"/>
          <w:sz w:val="24"/>
          <w:szCs w:val="24"/>
        </w:rPr>
        <w:footnoteReference w:id="186"/>
      </w:r>
      <w:r w:rsidR="006A1D92" w:rsidRPr="009F4D8F">
        <w:rPr>
          <w:rFonts w:asciiTheme="majorBidi" w:hAnsiTheme="majorBidi" w:cstheme="majorBidi"/>
          <w:sz w:val="24"/>
          <w:szCs w:val="24"/>
        </w:rPr>
        <w:t xml:space="preserve"> </w:t>
      </w:r>
      <w:r w:rsidR="003015BB">
        <w:rPr>
          <w:rFonts w:asciiTheme="majorBidi" w:hAnsiTheme="majorBidi" w:cstheme="majorBidi"/>
          <w:sz w:val="24"/>
          <w:szCs w:val="24"/>
        </w:rPr>
        <w:t>And m</w:t>
      </w:r>
      <w:r w:rsidR="006A1D92" w:rsidRPr="009F4D8F">
        <w:rPr>
          <w:rFonts w:asciiTheme="majorBidi" w:hAnsiTheme="majorBidi" w:cstheme="majorBidi"/>
          <w:sz w:val="24"/>
          <w:szCs w:val="24"/>
        </w:rPr>
        <w:t>odern scholars of the Arab conquests of Central Asia pa</w:t>
      </w:r>
      <w:r w:rsidR="00B619FA">
        <w:rPr>
          <w:rFonts w:asciiTheme="majorBidi" w:hAnsiTheme="majorBidi" w:cstheme="majorBidi"/>
          <w:sz w:val="24"/>
          <w:szCs w:val="24"/>
        </w:rPr>
        <w:t>y</w:t>
      </w:r>
      <w:r w:rsidR="006A1D92" w:rsidRPr="009F4D8F">
        <w:rPr>
          <w:rFonts w:asciiTheme="majorBidi" w:hAnsiTheme="majorBidi" w:cstheme="majorBidi"/>
          <w:sz w:val="24"/>
          <w:szCs w:val="24"/>
        </w:rPr>
        <w:t xml:space="preserve"> </w:t>
      </w:r>
      <w:r w:rsidR="009F4D8F" w:rsidRPr="009F4D8F">
        <w:rPr>
          <w:rFonts w:asciiTheme="majorBidi" w:hAnsiTheme="majorBidi" w:cstheme="majorBidi"/>
          <w:sz w:val="24"/>
          <w:szCs w:val="24"/>
        </w:rPr>
        <w:t xml:space="preserve">more </w:t>
      </w:r>
      <w:r w:rsidR="006A1D92" w:rsidRPr="009F4D8F">
        <w:rPr>
          <w:rFonts w:asciiTheme="majorBidi" w:hAnsiTheme="majorBidi" w:cstheme="majorBidi"/>
          <w:sz w:val="24"/>
          <w:szCs w:val="24"/>
        </w:rPr>
        <w:t xml:space="preserve">attention to </w:t>
      </w:r>
      <w:r w:rsidR="009F4D8F" w:rsidRPr="009F4D8F">
        <w:rPr>
          <w:rFonts w:asciiTheme="majorBidi" w:hAnsiTheme="majorBidi" w:cstheme="majorBidi"/>
          <w:sz w:val="24"/>
          <w:szCs w:val="24"/>
        </w:rPr>
        <w:t xml:space="preserve">Transoxiana than </w:t>
      </w:r>
      <w:r w:rsidR="006A1D92" w:rsidRPr="009F4D8F">
        <w:rPr>
          <w:rFonts w:asciiTheme="majorBidi" w:hAnsiTheme="majorBidi" w:cstheme="majorBidi"/>
          <w:sz w:val="24"/>
          <w:szCs w:val="24"/>
        </w:rPr>
        <w:t>Ṭukhāristān</w:t>
      </w:r>
      <w:r w:rsidR="00D539E1" w:rsidRPr="009F4D8F">
        <w:rPr>
          <w:rFonts w:asciiTheme="majorBidi" w:hAnsiTheme="majorBidi" w:cstheme="majorBidi"/>
          <w:sz w:val="24"/>
          <w:szCs w:val="24"/>
        </w:rPr>
        <w:t xml:space="preserve"> </w:t>
      </w:r>
      <w:r w:rsidR="009F4D8F" w:rsidRPr="009F4D8F">
        <w:rPr>
          <w:rFonts w:asciiTheme="majorBidi" w:hAnsiTheme="majorBidi" w:cstheme="majorBidi"/>
          <w:sz w:val="24"/>
          <w:szCs w:val="24"/>
        </w:rPr>
        <w:t>as well</w:t>
      </w:r>
      <w:r w:rsidR="006A1D92" w:rsidRPr="009F4D8F">
        <w:rPr>
          <w:rFonts w:asciiTheme="majorBidi" w:hAnsiTheme="majorBidi" w:cstheme="majorBidi"/>
          <w:sz w:val="24"/>
          <w:szCs w:val="24"/>
        </w:rPr>
        <w:t xml:space="preserve">. </w:t>
      </w:r>
      <w:r w:rsidR="003015BB">
        <w:rPr>
          <w:rFonts w:asciiTheme="majorBidi" w:hAnsiTheme="majorBidi" w:cstheme="majorBidi"/>
          <w:sz w:val="24"/>
          <w:szCs w:val="24"/>
        </w:rPr>
        <w:t xml:space="preserve">Therefore, </w:t>
      </w:r>
      <w:r w:rsidR="009F4D8F" w:rsidRPr="009F4D8F">
        <w:rPr>
          <w:rFonts w:asciiTheme="majorBidi" w:hAnsiTheme="majorBidi" w:cstheme="majorBidi"/>
          <w:sz w:val="24"/>
          <w:szCs w:val="24"/>
        </w:rPr>
        <w:t>s</w:t>
      </w:r>
      <w:r w:rsidR="006A1D92" w:rsidRPr="009F4D8F">
        <w:rPr>
          <w:rFonts w:asciiTheme="majorBidi" w:hAnsiTheme="majorBidi" w:cstheme="majorBidi"/>
          <w:sz w:val="24"/>
          <w:szCs w:val="24"/>
        </w:rPr>
        <w:t>everal comments on the Arab conquests of the region are justified.</w:t>
      </w:r>
    </w:p>
    <w:p w14:paraId="161734C2" w14:textId="08E59076" w:rsidR="00923F3A" w:rsidRDefault="006A1D92" w:rsidP="00256637">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3B492E">
        <w:rPr>
          <w:rFonts w:asciiTheme="majorBidi" w:hAnsiTheme="majorBidi" w:cstheme="majorBidi"/>
          <w:sz w:val="24"/>
          <w:szCs w:val="24"/>
        </w:rPr>
        <w:t xml:space="preserve">When it comes to the Arab conquests, </w:t>
      </w:r>
      <w:r w:rsidR="00F50B6C">
        <w:rPr>
          <w:rFonts w:asciiTheme="majorBidi" w:hAnsiTheme="majorBidi" w:cstheme="majorBidi"/>
          <w:sz w:val="24"/>
          <w:szCs w:val="24"/>
        </w:rPr>
        <w:t>both</w:t>
      </w:r>
      <w:r>
        <w:rPr>
          <w:rFonts w:asciiTheme="majorBidi" w:hAnsiTheme="majorBidi" w:cstheme="majorBidi"/>
          <w:sz w:val="24"/>
          <w:szCs w:val="24"/>
        </w:rPr>
        <w:t xml:space="preserve"> of Central Asia in general </w:t>
      </w:r>
      <w:r w:rsidR="00C92D13">
        <w:rPr>
          <w:rFonts w:asciiTheme="majorBidi" w:hAnsiTheme="majorBidi" w:cstheme="majorBidi"/>
          <w:sz w:val="24"/>
          <w:szCs w:val="24"/>
        </w:rPr>
        <w:t>and</w:t>
      </w:r>
      <w:r>
        <w:rPr>
          <w:rFonts w:asciiTheme="majorBidi" w:hAnsiTheme="majorBidi" w:cstheme="majorBidi"/>
          <w:sz w:val="24"/>
          <w:szCs w:val="24"/>
        </w:rPr>
        <w:t xml:space="preserve"> of Ṭukhāristān specifically, </w:t>
      </w:r>
      <w:r w:rsidR="003B492E">
        <w:rPr>
          <w:rFonts w:asciiTheme="majorBidi" w:hAnsiTheme="majorBidi" w:cstheme="majorBidi"/>
          <w:sz w:val="24"/>
          <w:szCs w:val="24"/>
        </w:rPr>
        <w:t>other terms such as</w:t>
      </w:r>
      <w:r w:rsidR="004C1111">
        <w:rPr>
          <w:rFonts w:asciiTheme="majorBidi" w:hAnsiTheme="majorBidi" w:cstheme="majorBidi"/>
          <w:sz w:val="24"/>
          <w:szCs w:val="24"/>
        </w:rPr>
        <w:t xml:space="preserve"> the</w:t>
      </w:r>
      <w:r w:rsidR="003B492E">
        <w:rPr>
          <w:rFonts w:asciiTheme="majorBidi" w:hAnsiTheme="majorBidi" w:cstheme="majorBidi"/>
          <w:sz w:val="24"/>
          <w:szCs w:val="24"/>
        </w:rPr>
        <w:t xml:space="preserve"> Muslim and Islamic conquests are used </w:t>
      </w:r>
      <w:r>
        <w:rPr>
          <w:rFonts w:asciiTheme="majorBidi" w:hAnsiTheme="majorBidi" w:cstheme="majorBidi"/>
          <w:sz w:val="24"/>
          <w:szCs w:val="24"/>
        </w:rPr>
        <w:t>by scholars in order to clarify that non-Arabs were also part of the conquerors</w:t>
      </w:r>
      <w:r w:rsidR="003B492E">
        <w:rPr>
          <w:rFonts w:asciiTheme="majorBidi" w:hAnsiTheme="majorBidi" w:cstheme="majorBidi"/>
          <w:sz w:val="24"/>
          <w:szCs w:val="24"/>
        </w:rPr>
        <w:t>.</w:t>
      </w:r>
      <w:r w:rsidR="003B492E">
        <w:rPr>
          <w:rStyle w:val="FootnoteReference"/>
          <w:rFonts w:asciiTheme="majorBidi" w:hAnsiTheme="majorBidi" w:cstheme="majorBidi"/>
          <w:sz w:val="24"/>
          <w:szCs w:val="24"/>
        </w:rPr>
        <w:footnoteReference w:id="187"/>
      </w:r>
      <w:r w:rsidR="003B492E">
        <w:rPr>
          <w:rFonts w:asciiTheme="majorBidi" w:hAnsiTheme="majorBidi" w:cstheme="majorBidi"/>
          <w:sz w:val="24"/>
          <w:szCs w:val="24"/>
        </w:rPr>
        <w:t xml:space="preserve"> </w:t>
      </w:r>
      <w:r w:rsidR="00593170">
        <w:rPr>
          <w:rFonts w:asciiTheme="majorBidi" w:hAnsiTheme="majorBidi" w:cstheme="majorBidi"/>
          <w:sz w:val="24"/>
          <w:szCs w:val="24"/>
        </w:rPr>
        <w:t>It is ture that not all</w:t>
      </w:r>
      <w:r w:rsidR="00D0142D">
        <w:rPr>
          <w:rFonts w:asciiTheme="majorBidi" w:hAnsiTheme="majorBidi" w:cstheme="majorBidi"/>
          <w:sz w:val="24"/>
          <w:szCs w:val="24"/>
        </w:rPr>
        <w:t xml:space="preserve"> the conquerors were </w:t>
      </w:r>
      <w:r w:rsidR="00593170">
        <w:rPr>
          <w:rFonts w:asciiTheme="majorBidi" w:hAnsiTheme="majorBidi" w:cstheme="majorBidi"/>
          <w:sz w:val="24"/>
          <w:szCs w:val="24"/>
        </w:rPr>
        <w:t>Arabs, but they were not limited to the Mmuslims as well</w:t>
      </w:r>
      <w:r w:rsidR="00D0142D">
        <w:rPr>
          <w:rFonts w:asciiTheme="majorBidi" w:hAnsiTheme="majorBidi" w:cstheme="majorBidi"/>
          <w:sz w:val="24"/>
          <w:szCs w:val="24"/>
        </w:rPr>
        <w:t>.</w:t>
      </w:r>
      <w:r w:rsidR="00D0142D">
        <w:rPr>
          <w:rStyle w:val="FootnoteReference"/>
          <w:rFonts w:asciiTheme="majorBidi" w:hAnsiTheme="majorBidi" w:cstheme="majorBidi"/>
          <w:sz w:val="24"/>
          <w:szCs w:val="24"/>
        </w:rPr>
        <w:footnoteReference w:id="188"/>
      </w:r>
      <w:r w:rsidR="00D0142D">
        <w:rPr>
          <w:rFonts w:asciiTheme="majorBidi" w:hAnsiTheme="majorBidi" w:cstheme="majorBidi"/>
          <w:sz w:val="24"/>
          <w:szCs w:val="24"/>
        </w:rPr>
        <w:t xml:space="preserve"> </w:t>
      </w:r>
      <w:r w:rsidR="00593170">
        <w:rPr>
          <w:rFonts w:asciiTheme="majorBidi" w:hAnsiTheme="majorBidi" w:cstheme="majorBidi"/>
          <w:sz w:val="24"/>
          <w:szCs w:val="24"/>
        </w:rPr>
        <w:t>And t</w:t>
      </w:r>
      <w:r w:rsidR="0032141F">
        <w:rPr>
          <w:rFonts w:asciiTheme="majorBidi" w:hAnsiTheme="majorBidi" w:cstheme="majorBidi"/>
          <w:sz w:val="24"/>
          <w:szCs w:val="24"/>
        </w:rPr>
        <w:t>his is true for a frontier region such as Ṭukhāristān</w:t>
      </w:r>
      <w:r w:rsidR="00593170">
        <w:rPr>
          <w:rFonts w:asciiTheme="majorBidi" w:hAnsiTheme="majorBidi" w:cstheme="majorBidi"/>
          <w:sz w:val="24"/>
          <w:szCs w:val="24"/>
        </w:rPr>
        <w:t xml:space="preserve"> since the 650s</w:t>
      </w:r>
      <w:r w:rsidR="0032141F">
        <w:rPr>
          <w:rFonts w:asciiTheme="majorBidi" w:hAnsiTheme="majorBidi" w:cstheme="majorBidi"/>
          <w:sz w:val="24"/>
          <w:szCs w:val="24"/>
        </w:rPr>
        <w:t>. C</w:t>
      </w:r>
      <w:r w:rsidR="00D0142D">
        <w:rPr>
          <w:rFonts w:asciiTheme="majorBidi" w:hAnsiTheme="majorBidi" w:cstheme="majorBidi"/>
          <w:sz w:val="24"/>
          <w:szCs w:val="24"/>
        </w:rPr>
        <w:t>ases such as Aḥnaf</w:t>
      </w:r>
      <w:r w:rsidR="00256637">
        <w:rPr>
          <w:rFonts w:asciiTheme="majorBidi" w:hAnsiTheme="majorBidi" w:cstheme="majorBidi"/>
          <w:sz w:val="24"/>
          <w:szCs w:val="24"/>
        </w:rPr>
        <w:t xml:space="preserve"> ibn al-Qays</w:t>
      </w:r>
      <w:r w:rsidR="00D0142D">
        <w:rPr>
          <w:rFonts w:asciiTheme="majorBidi" w:hAnsiTheme="majorBidi" w:cstheme="majorBidi"/>
          <w:sz w:val="24"/>
          <w:szCs w:val="24"/>
        </w:rPr>
        <w:t xml:space="preserve">’s treaty with Marw al-Rūd in </w:t>
      </w:r>
      <w:r w:rsidR="007F00B2">
        <w:rPr>
          <w:rFonts w:asciiTheme="majorBidi" w:hAnsiTheme="majorBidi" w:cstheme="majorBidi"/>
          <w:sz w:val="24"/>
          <w:szCs w:val="24"/>
        </w:rPr>
        <w:t xml:space="preserve">the </w:t>
      </w:r>
      <w:r w:rsidR="00D0142D">
        <w:rPr>
          <w:rFonts w:asciiTheme="majorBidi" w:hAnsiTheme="majorBidi" w:cstheme="majorBidi"/>
          <w:sz w:val="24"/>
          <w:szCs w:val="24"/>
        </w:rPr>
        <w:t xml:space="preserve">650s and </w:t>
      </w:r>
      <w:r w:rsidR="00D452C1">
        <w:rPr>
          <w:rFonts w:asciiTheme="majorBidi" w:hAnsiTheme="majorBidi" w:cstheme="majorBidi"/>
          <w:sz w:val="24"/>
          <w:szCs w:val="24"/>
        </w:rPr>
        <w:t>Qutayba</w:t>
      </w:r>
      <w:r w:rsidR="00D0142D">
        <w:rPr>
          <w:rFonts w:asciiTheme="majorBidi" w:hAnsiTheme="majorBidi" w:cstheme="majorBidi"/>
          <w:sz w:val="24"/>
          <w:szCs w:val="24"/>
        </w:rPr>
        <w:t xml:space="preserve">’s treaty with Nīzak of Bādghīs in </w:t>
      </w:r>
      <w:r w:rsidR="00F967A4">
        <w:rPr>
          <w:rFonts w:asciiTheme="majorBidi" w:hAnsiTheme="majorBidi" w:cstheme="majorBidi"/>
          <w:sz w:val="24"/>
          <w:szCs w:val="24"/>
        </w:rPr>
        <w:t xml:space="preserve">the </w:t>
      </w:r>
      <w:r w:rsidR="00D0142D">
        <w:rPr>
          <w:rFonts w:asciiTheme="majorBidi" w:hAnsiTheme="majorBidi" w:cstheme="majorBidi"/>
          <w:sz w:val="24"/>
          <w:szCs w:val="24"/>
        </w:rPr>
        <w:t xml:space="preserve">700s show </w:t>
      </w:r>
      <w:r w:rsidR="0032141F">
        <w:rPr>
          <w:rFonts w:asciiTheme="majorBidi" w:hAnsiTheme="majorBidi" w:cstheme="majorBidi"/>
          <w:sz w:val="24"/>
          <w:szCs w:val="24"/>
        </w:rPr>
        <w:t xml:space="preserve">that the </w:t>
      </w:r>
      <w:r w:rsidR="00B026FF">
        <w:rPr>
          <w:rFonts w:asciiTheme="majorBidi" w:hAnsiTheme="majorBidi" w:cstheme="majorBidi"/>
          <w:sz w:val="24"/>
          <w:szCs w:val="24"/>
        </w:rPr>
        <w:t xml:space="preserve">conquered principalities </w:t>
      </w:r>
      <w:r w:rsidR="00D0142D">
        <w:rPr>
          <w:rFonts w:asciiTheme="majorBidi" w:hAnsiTheme="majorBidi" w:cstheme="majorBidi"/>
          <w:sz w:val="24"/>
          <w:szCs w:val="24"/>
        </w:rPr>
        <w:t xml:space="preserve">were </w:t>
      </w:r>
      <w:r w:rsidR="00B026FF">
        <w:rPr>
          <w:rFonts w:asciiTheme="majorBidi" w:hAnsiTheme="majorBidi" w:cstheme="majorBidi"/>
          <w:sz w:val="24"/>
          <w:szCs w:val="24"/>
        </w:rPr>
        <w:t>now and then obliged to provide auxiliary</w:t>
      </w:r>
      <w:r w:rsidR="00D0142D">
        <w:rPr>
          <w:rFonts w:asciiTheme="majorBidi" w:hAnsiTheme="majorBidi" w:cstheme="majorBidi"/>
          <w:sz w:val="24"/>
          <w:szCs w:val="24"/>
        </w:rPr>
        <w:t xml:space="preserve"> troops to the Arabs</w:t>
      </w:r>
      <w:r w:rsidR="00923F3A">
        <w:rPr>
          <w:rFonts w:asciiTheme="majorBidi" w:hAnsiTheme="majorBidi" w:cstheme="majorBidi"/>
          <w:sz w:val="24"/>
          <w:szCs w:val="24"/>
        </w:rPr>
        <w:t xml:space="preserve">, </w:t>
      </w:r>
      <w:r w:rsidR="0032141F">
        <w:rPr>
          <w:rFonts w:asciiTheme="majorBidi" w:hAnsiTheme="majorBidi" w:cstheme="majorBidi"/>
          <w:sz w:val="24"/>
          <w:szCs w:val="24"/>
        </w:rPr>
        <w:t xml:space="preserve">who needed the cooperation of the local allies because of the manpower </w:t>
      </w:r>
      <w:r w:rsidR="009D2E41">
        <w:rPr>
          <w:rFonts w:asciiTheme="majorBidi" w:hAnsiTheme="majorBidi" w:cstheme="majorBidi"/>
          <w:sz w:val="24"/>
          <w:szCs w:val="24"/>
        </w:rPr>
        <w:t xml:space="preserve">crisis </w:t>
      </w:r>
      <w:r w:rsidR="0032141F">
        <w:rPr>
          <w:rFonts w:asciiTheme="majorBidi" w:hAnsiTheme="majorBidi" w:cstheme="majorBidi"/>
          <w:sz w:val="24"/>
          <w:szCs w:val="24"/>
        </w:rPr>
        <w:t>in their continuous expansions</w:t>
      </w:r>
      <w:r w:rsidR="00923F3A">
        <w:rPr>
          <w:rFonts w:asciiTheme="majorBidi" w:hAnsiTheme="majorBidi" w:cstheme="majorBidi"/>
          <w:sz w:val="24"/>
          <w:szCs w:val="24"/>
        </w:rPr>
        <w:t>.</w:t>
      </w:r>
      <w:r w:rsidR="00256637">
        <w:rPr>
          <w:rFonts w:asciiTheme="majorBidi" w:hAnsiTheme="majorBidi" w:cstheme="majorBidi" w:hint="eastAsia"/>
          <w:sz w:val="24"/>
          <w:szCs w:val="24"/>
        </w:rPr>
        <w:t xml:space="preserve"> </w:t>
      </w:r>
      <w:r w:rsidR="009D2E41">
        <w:rPr>
          <w:rFonts w:asciiTheme="majorBidi" w:hAnsiTheme="majorBidi" w:cstheme="majorBidi"/>
          <w:sz w:val="24"/>
          <w:szCs w:val="24"/>
        </w:rPr>
        <w:t>Altogether, none of the terms is precise. And t</w:t>
      </w:r>
      <w:r w:rsidR="001C249F">
        <w:rPr>
          <w:rFonts w:asciiTheme="majorBidi" w:hAnsiTheme="majorBidi" w:cstheme="majorBidi"/>
          <w:sz w:val="24"/>
          <w:szCs w:val="24"/>
        </w:rPr>
        <w:t xml:space="preserve">he present study continues using </w:t>
      </w:r>
      <w:r w:rsidR="0032141F">
        <w:rPr>
          <w:rFonts w:asciiTheme="majorBidi" w:hAnsiTheme="majorBidi" w:cstheme="majorBidi"/>
          <w:sz w:val="24"/>
          <w:szCs w:val="24"/>
        </w:rPr>
        <w:t>the term</w:t>
      </w:r>
      <w:r w:rsidR="00D0142D">
        <w:rPr>
          <w:rFonts w:asciiTheme="majorBidi" w:hAnsiTheme="majorBidi" w:cstheme="majorBidi"/>
          <w:sz w:val="24"/>
          <w:szCs w:val="24"/>
        </w:rPr>
        <w:t xml:space="preserve"> </w:t>
      </w:r>
      <w:r w:rsidR="00637A13">
        <w:rPr>
          <w:rFonts w:asciiTheme="majorBidi" w:hAnsiTheme="majorBidi" w:cstheme="majorBidi"/>
          <w:sz w:val="24"/>
          <w:szCs w:val="24"/>
        </w:rPr>
        <w:t xml:space="preserve">the </w:t>
      </w:r>
      <w:r w:rsidR="00D0142D">
        <w:rPr>
          <w:rFonts w:asciiTheme="majorBidi" w:hAnsiTheme="majorBidi" w:cstheme="majorBidi"/>
          <w:sz w:val="24"/>
          <w:szCs w:val="24"/>
        </w:rPr>
        <w:t>Arab conquests</w:t>
      </w:r>
      <w:r w:rsidR="0032141F">
        <w:rPr>
          <w:rFonts w:asciiTheme="majorBidi" w:hAnsiTheme="majorBidi" w:cstheme="majorBidi"/>
          <w:sz w:val="24"/>
          <w:szCs w:val="24"/>
        </w:rPr>
        <w:t xml:space="preserve"> to avoid ambiguity</w:t>
      </w:r>
      <w:r w:rsidR="00256637">
        <w:rPr>
          <w:rFonts w:asciiTheme="majorBidi" w:hAnsiTheme="majorBidi" w:cstheme="majorBidi"/>
          <w:sz w:val="24"/>
          <w:szCs w:val="24"/>
        </w:rPr>
        <w:t xml:space="preserve">. It is also interesting to be aware that </w:t>
      </w:r>
      <w:r w:rsidR="00875EDE">
        <w:rPr>
          <w:rFonts w:asciiTheme="majorBidi" w:hAnsiTheme="majorBidi" w:cstheme="majorBidi"/>
          <w:sz w:val="24"/>
          <w:szCs w:val="24"/>
        </w:rPr>
        <w:t>the identity of Arab</w:t>
      </w:r>
      <w:r w:rsidR="00FE695D">
        <w:rPr>
          <w:rFonts w:asciiTheme="majorBidi" w:hAnsiTheme="majorBidi" w:cstheme="majorBidi"/>
          <w:sz w:val="24"/>
          <w:szCs w:val="24"/>
        </w:rPr>
        <w:t xml:space="preserve"> </w:t>
      </w:r>
      <w:r w:rsidR="0032141F">
        <w:rPr>
          <w:rFonts w:asciiTheme="majorBidi" w:hAnsiTheme="majorBidi" w:cstheme="majorBidi"/>
          <w:sz w:val="24"/>
          <w:szCs w:val="24"/>
        </w:rPr>
        <w:t>i</w:t>
      </w:r>
      <w:r w:rsidR="00FE695D">
        <w:rPr>
          <w:rFonts w:asciiTheme="majorBidi" w:hAnsiTheme="majorBidi" w:cstheme="majorBidi"/>
          <w:sz w:val="24"/>
          <w:szCs w:val="24"/>
        </w:rPr>
        <w:t>s</w:t>
      </w:r>
      <w:r w:rsidR="00256637">
        <w:rPr>
          <w:rFonts w:asciiTheme="majorBidi" w:hAnsiTheme="majorBidi" w:cstheme="majorBidi"/>
          <w:sz w:val="24"/>
          <w:szCs w:val="24"/>
        </w:rPr>
        <w:t xml:space="preserve"> </w:t>
      </w:r>
      <w:r w:rsidR="00A327F5">
        <w:rPr>
          <w:rFonts w:asciiTheme="majorBidi" w:hAnsiTheme="majorBidi" w:cstheme="majorBidi"/>
          <w:sz w:val="24"/>
          <w:szCs w:val="24"/>
        </w:rPr>
        <w:t xml:space="preserve">far from frozen </w:t>
      </w:r>
      <w:r w:rsidR="0032141F">
        <w:rPr>
          <w:rFonts w:asciiTheme="majorBidi" w:hAnsiTheme="majorBidi" w:cstheme="majorBidi"/>
          <w:sz w:val="24"/>
          <w:szCs w:val="24"/>
        </w:rPr>
        <w:t>and</w:t>
      </w:r>
      <w:r w:rsidR="00A327F5">
        <w:rPr>
          <w:rFonts w:asciiTheme="majorBidi" w:hAnsiTheme="majorBidi" w:cstheme="majorBidi"/>
          <w:sz w:val="24"/>
          <w:szCs w:val="24"/>
        </w:rPr>
        <w:t xml:space="preserve"> </w:t>
      </w:r>
      <w:r w:rsidR="00FE695D">
        <w:rPr>
          <w:rFonts w:asciiTheme="majorBidi" w:hAnsiTheme="majorBidi" w:cstheme="majorBidi"/>
          <w:sz w:val="24"/>
          <w:szCs w:val="24"/>
        </w:rPr>
        <w:t xml:space="preserve">a product of </w:t>
      </w:r>
      <w:r w:rsidR="00A327F5">
        <w:rPr>
          <w:rFonts w:asciiTheme="majorBidi" w:hAnsiTheme="majorBidi" w:cstheme="majorBidi"/>
          <w:sz w:val="24"/>
          <w:szCs w:val="24"/>
        </w:rPr>
        <w:t xml:space="preserve">the </w:t>
      </w:r>
      <w:r w:rsidR="00FE695D">
        <w:rPr>
          <w:rFonts w:asciiTheme="majorBidi" w:hAnsiTheme="majorBidi" w:cstheme="majorBidi"/>
          <w:sz w:val="24"/>
          <w:szCs w:val="24"/>
        </w:rPr>
        <w:t>early Islam</w:t>
      </w:r>
      <w:r w:rsidR="00A327F5">
        <w:rPr>
          <w:rFonts w:asciiTheme="majorBidi" w:hAnsiTheme="majorBidi" w:cstheme="majorBidi"/>
          <w:sz w:val="24"/>
          <w:szCs w:val="24"/>
        </w:rPr>
        <w:t>ic history</w:t>
      </w:r>
      <w:r w:rsidR="00D0142D">
        <w:rPr>
          <w:rFonts w:asciiTheme="majorBidi" w:hAnsiTheme="majorBidi" w:cstheme="majorBidi"/>
          <w:sz w:val="24"/>
          <w:szCs w:val="24"/>
        </w:rPr>
        <w:t>.</w:t>
      </w:r>
      <w:r w:rsidR="00FE695D">
        <w:rPr>
          <w:rStyle w:val="FootnoteReference"/>
          <w:rFonts w:asciiTheme="majorBidi" w:hAnsiTheme="majorBidi" w:cstheme="majorBidi"/>
          <w:sz w:val="24"/>
          <w:szCs w:val="24"/>
        </w:rPr>
        <w:footnoteReference w:id="189"/>
      </w:r>
    </w:p>
    <w:p w14:paraId="134FBBCA" w14:textId="52F5DECA" w:rsidR="00923F3A" w:rsidRDefault="00923F3A" w:rsidP="00923F3A">
      <w:pPr>
        <w:spacing w:line="360" w:lineRule="auto"/>
        <w:rPr>
          <w:rFonts w:asciiTheme="majorBidi" w:hAnsiTheme="majorBidi" w:cstheme="majorBidi"/>
          <w:sz w:val="24"/>
          <w:szCs w:val="24"/>
        </w:rPr>
      </w:pPr>
      <w:r>
        <w:rPr>
          <w:rFonts w:asciiTheme="majorBidi" w:hAnsiTheme="majorBidi" w:cstheme="majorBidi"/>
          <w:sz w:val="24"/>
          <w:szCs w:val="24"/>
        </w:rPr>
        <w:t xml:space="preserve">     For the </w:t>
      </w:r>
      <w:r w:rsidR="004C1111">
        <w:rPr>
          <w:rFonts w:asciiTheme="majorBidi" w:hAnsiTheme="majorBidi" w:cstheme="majorBidi"/>
          <w:sz w:val="24"/>
          <w:szCs w:val="24"/>
        </w:rPr>
        <w:t>Arab</w:t>
      </w:r>
      <w:r>
        <w:rPr>
          <w:rFonts w:asciiTheme="majorBidi" w:hAnsiTheme="majorBidi" w:cstheme="majorBidi"/>
          <w:sz w:val="24"/>
          <w:szCs w:val="24"/>
        </w:rPr>
        <w:t xml:space="preserve"> expansion</w:t>
      </w:r>
      <w:r w:rsidR="0032141F">
        <w:rPr>
          <w:rFonts w:asciiTheme="majorBidi" w:hAnsiTheme="majorBidi" w:cstheme="majorBidi"/>
          <w:sz w:val="24"/>
          <w:szCs w:val="24"/>
        </w:rPr>
        <w:t>s</w:t>
      </w:r>
      <w:r>
        <w:rPr>
          <w:rFonts w:asciiTheme="majorBidi" w:hAnsiTheme="majorBidi" w:cstheme="majorBidi"/>
          <w:sz w:val="24"/>
          <w:szCs w:val="24"/>
        </w:rPr>
        <w:t xml:space="preserve"> to the eastern frontiers, the Muslim historians such as al-Kūfī, al-Balādhurī</w:t>
      </w:r>
      <w:r w:rsidR="00634A01">
        <w:rPr>
          <w:rFonts w:asciiTheme="majorBidi" w:hAnsiTheme="majorBidi" w:cstheme="majorBidi"/>
          <w:sz w:val="24"/>
          <w:szCs w:val="24"/>
        </w:rPr>
        <w:t xml:space="preserve"> and </w:t>
      </w:r>
      <w:r w:rsidRPr="00AE7FED">
        <w:rPr>
          <w:rFonts w:asciiTheme="majorBidi" w:hAnsiTheme="majorBidi" w:cstheme="majorBidi"/>
          <w:sz w:val="24"/>
          <w:szCs w:val="24"/>
        </w:rPr>
        <w:t>al-Ṭabarī</w:t>
      </w:r>
      <w:r>
        <w:rPr>
          <w:rFonts w:asciiTheme="majorBidi" w:hAnsiTheme="majorBidi" w:cstheme="majorBidi"/>
          <w:sz w:val="24"/>
          <w:szCs w:val="24"/>
        </w:rPr>
        <w:t xml:space="preserve">narrated from the starting stage that the </w:t>
      </w:r>
      <w:r w:rsidR="007000FD">
        <w:rPr>
          <w:rFonts w:asciiTheme="majorBidi" w:hAnsiTheme="majorBidi" w:cstheme="majorBidi"/>
          <w:sz w:val="24"/>
          <w:szCs w:val="24"/>
        </w:rPr>
        <w:t>Arab</w:t>
      </w:r>
      <w:r>
        <w:rPr>
          <w:rFonts w:asciiTheme="majorBidi" w:hAnsiTheme="majorBidi" w:cstheme="majorBidi"/>
          <w:sz w:val="24"/>
          <w:szCs w:val="24"/>
        </w:rPr>
        <w:t xml:space="preserve">s conquered such and such a city of </w:t>
      </w:r>
      <w:r w:rsidR="007000FD">
        <w:rPr>
          <w:rFonts w:asciiTheme="majorBidi" w:hAnsiTheme="majorBidi" w:cstheme="majorBidi"/>
          <w:sz w:val="24"/>
          <w:szCs w:val="24"/>
        </w:rPr>
        <w:t>Central Asia</w:t>
      </w:r>
      <w:r>
        <w:rPr>
          <w:rFonts w:asciiTheme="majorBidi" w:hAnsiTheme="majorBidi" w:cstheme="majorBidi"/>
          <w:sz w:val="24"/>
          <w:szCs w:val="24"/>
        </w:rPr>
        <w:t xml:space="preserve"> either by force or </w:t>
      </w:r>
      <w:r w:rsidR="00634A01">
        <w:rPr>
          <w:rFonts w:asciiTheme="majorBidi" w:hAnsiTheme="majorBidi" w:cstheme="majorBidi"/>
          <w:sz w:val="24"/>
          <w:szCs w:val="24"/>
        </w:rPr>
        <w:t>by treaty</w:t>
      </w:r>
      <w:r>
        <w:rPr>
          <w:rFonts w:asciiTheme="majorBidi" w:hAnsiTheme="majorBidi" w:cstheme="majorBidi"/>
          <w:sz w:val="24"/>
          <w:szCs w:val="24"/>
        </w:rPr>
        <w:t xml:space="preserve">. When it rebelled, the </w:t>
      </w:r>
      <w:r w:rsidR="004C1111">
        <w:rPr>
          <w:rFonts w:asciiTheme="majorBidi" w:hAnsiTheme="majorBidi" w:cstheme="majorBidi"/>
          <w:sz w:val="24"/>
          <w:szCs w:val="24"/>
        </w:rPr>
        <w:t>Arab</w:t>
      </w:r>
      <w:r>
        <w:rPr>
          <w:rFonts w:asciiTheme="majorBidi" w:hAnsiTheme="majorBidi" w:cstheme="majorBidi"/>
          <w:sz w:val="24"/>
          <w:szCs w:val="24"/>
        </w:rPr>
        <w:t>s returned to reconquer it</w:t>
      </w:r>
      <w:r w:rsidR="004C1111">
        <w:rPr>
          <w:rFonts w:asciiTheme="majorBidi" w:hAnsiTheme="majorBidi" w:cstheme="majorBidi"/>
          <w:sz w:val="24"/>
          <w:szCs w:val="24"/>
        </w:rPr>
        <w:t>.</w:t>
      </w:r>
      <w:r w:rsidR="004C1111">
        <w:rPr>
          <w:rStyle w:val="FootnoteReference"/>
          <w:rFonts w:asciiTheme="majorBidi" w:hAnsiTheme="majorBidi" w:cstheme="majorBidi"/>
          <w:sz w:val="24"/>
          <w:szCs w:val="24"/>
        </w:rPr>
        <w:footnoteReference w:id="190"/>
      </w:r>
      <w:r w:rsidR="004C1111">
        <w:rPr>
          <w:rFonts w:asciiTheme="majorBidi" w:hAnsiTheme="majorBidi" w:cstheme="majorBidi"/>
          <w:sz w:val="24"/>
          <w:szCs w:val="24"/>
        </w:rPr>
        <w:t xml:space="preserve"> However, </w:t>
      </w:r>
      <w:r w:rsidR="00B04C56">
        <w:rPr>
          <w:rFonts w:asciiTheme="majorBidi" w:hAnsiTheme="majorBidi" w:cstheme="majorBidi"/>
          <w:sz w:val="24"/>
          <w:szCs w:val="24"/>
        </w:rPr>
        <w:t xml:space="preserve">the model </w:t>
      </w:r>
      <w:r w:rsidR="0032141F">
        <w:rPr>
          <w:rFonts w:asciiTheme="majorBidi" w:hAnsiTheme="majorBidi" w:cstheme="majorBidi"/>
          <w:sz w:val="24"/>
          <w:szCs w:val="24"/>
        </w:rPr>
        <w:t xml:space="preserve">of conquest-rebellion-reconquest presented by </w:t>
      </w:r>
      <w:r>
        <w:rPr>
          <w:rFonts w:asciiTheme="majorBidi" w:hAnsiTheme="majorBidi" w:cstheme="majorBidi"/>
          <w:sz w:val="24"/>
          <w:szCs w:val="24"/>
        </w:rPr>
        <w:t xml:space="preserve">the victors </w:t>
      </w:r>
      <w:r w:rsidR="00B04C56">
        <w:rPr>
          <w:rFonts w:asciiTheme="majorBidi" w:hAnsiTheme="majorBidi" w:cstheme="majorBidi"/>
          <w:sz w:val="24"/>
          <w:szCs w:val="24"/>
        </w:rPr>
        <w:t>is</w:t>
      </w:r>
      <w:r w:rsidR="004C1111">
        <w:rPr>
          <w:rFonts w:asciiTheme="majorBidi" w:hAnsiTheme="majorBidi" w:cstheme="majorBidi"/>
          <w:sz w:val="24"/>
          <w:szCs w:val="24"/>
        </w:rPr>
        <w:t xml:space="preserve"> </w:t>
      </w:r>
      <w:r w:rsidR="009031DA">
        <w:rPr>
          <w:rFonts w:asciiTheme="majorBidi" w:hAnsiTheme="majorBidi" w:cstheme="majorBidi"/>
          <w:sz w:val="24"/>
          <w:szCs w:val="24"/>
        </w:rPr>
        <w:t>misleading</w:t>
      </w:r>
      <w:r>
        <w:rPr>
          <w:rFonts w:asciiTheme="majorBidi" w:hAnsiTheme="majorBidi" w:cstheme="majorBidi"/>
          <w:sz w:val="24"/>
          <w:szCs w:val="24"/>
        </w:rPr>
        <w:t>.</w:t>
      </w:r>
    </w:p>
    <w:p w14:paraId="38D3CD98" w14:textId="39A1BCF7" w:rsidR="00BB7F6E" w:rsidRDefault="00923F3A" w:rsidP="00591270">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     </w:t>
      </w:r>
      <w:r w:rsidR="00256637">
        <w:rPr>
          <w:rFonts w:asciiTheme="majorBidi" w:hAnsiTheme="majorBidi" w:cstheme="majorBidi"/>
          <w:sz w:val="24"/>
          <w:szCs w:val="24"/>
        </w:rPr>
        <w:t>A better model is proposed by Haug: raid-abandon-raid again,</w:t>
      </w:r>
      <w:r w:rsidR="000D2A11">
        <w:rPr>
          <w:rStyle w:val="FootnoteReference"/>
          <w:rFonts w:asciiTheme="majorBidi" w:hAnsiTheme="majorBidi" w:cstheme="majorBidi"/>
          <w:sz w:val="24"/>
          <w:szCs w:val="24"/>
        </w:rPr>
        <w:footnoteReference w:id="191"/>
      </w:r>
      <w:r w:rsidR="00256637">
        <w:rPr>
          <w:rFonts w:asciiTheme="majorBidi" w:hAnsiTheme="majorBidi" w:cstheme="majorBidi"/>
          <w:sz w:val="24"/>
          <w:szCs w:val="24"/>
        </w:rPr>
        <w:t xml:space="preserve"> with the most important objective of the campaigns being economic gains, including booty, slaves and tribute from urban centers and fertile agricultural lands instead of occupying territories and establishing an administration.</w:t>
      </w:r>
      <w:r w:rsidR="00256637">
        <w:rPr>
          <w:rStyle w:val="FootnoteReference"/>
          <w:rFonts w:asciiTheme="majorBidi" w:hAnsiTheme="majorBidi" w:cstheme="majorBidi"/>
          <w:sz w:val="24"/>
          <w:szCs w:val="24"/>
        </w:rPr>
        <w:footnoteReference w:id="192"/>
      </w:r>
      <w:r w:rsidR="00256637">
        <w:rPr>
          <w:rFonts w:asciiTheme="majorBidi" w:hAnsiTheme="majorBidi" w:cstheme="majorBidi"/>
          <w:sz w:val="24"/>
          <w:szCs w:val="24"/>
        </w:rPr>
        <w:t xml:space="preserve"> </w:t>
      </w:r>
      <w:r w:rsidR="00591270">
        <w:rPr>
          <w:rFonts w:asciiTheme="majorBidi" w:hAnsiTheme="majorBidi" w:cstheme="majorBidi"/>
          <w:sz w:val="24"/>
          <w:szCs w:val="24"/>
        </w:rPr>
        <w:t xml:space="preserve">The settling of 50,000 Arab families in Marw in 670 CE </w:t>
      </w:r>
      <w:r w:rsidR="00634A01">
        <w:rPr>
          <w:rFonts w:asciiTheme="majorBidi" w:hAnsiTheme="majorBidi" w:cstheme="majorBidi"/>
          <w:sz w:val="24"/>
          <w:szCs w:val="24"/>
        </w:rPr>
        <w:t>did not change</w:t>
      </w:r>
      <w:r w:rsidR="00591270">
        <w:rPr>
          <w:rFonts w:asciiTheme="majorBidi" w:hAnsiTheme="majorBidi" w:cstheme="majorBidi"/>
          <w:sz w:val="24"/>
          <w:szCs w:val="24"/>
        </w:rPr>
        <w:t xml:space="preserve"> the nature of the military campaigns but only facilitated their raiding.</w:t>
      </w:r>
      <w:r w:rsidR="00591270">
        <w:rPr>
          <w:rStyle w:val="FootnoteReference"/>
          <w:rFonts w:asciiTheme="majorBidi" w:hAnsiTheme="majorBidi" w:cstheme="majorBidi"/>
          <w:sz w:val="24"/>
          <w:szCs w:val="24"/>
        </w:rPr>
        <w:footnoteReference w:id="193"/>
      </w:r>
      <w:r w:rsidR="00591270">
        <w:rPr>
          <w:rFonts w:asciiTheme="majorBidi" w:hAnsiTheme="majorBidi" w:cstheme="majorBidi"/>
          <w:sz w:val="24"/>
          <w:szCs w:val="24"/>
        </w:rPr>
        <w:t xml:space="preserve"> Even Qutayba’s campaigns w</w:t>
      </w:r>
      <w:r w:rsidR="000F375A">
        <w:rPr>
          <w:rFonts w:asciiTheme="majorBidi" w:hAnsiTheme="majorBidi" w:cstheme="majorBidi"/>
          <w:sz w:val="24"/>
          <w:szCs w:val="24"/>
        </w:rPr>
        <w:t xml:space="preserve">ere </w:t>
      </w:r>
      <w:r w:rsidR="00591270">
        <w:rPr>
          <w:rFonts w:asciiTheme="majorBidi" w:hAnsiTheme="majorBidi" w:cstheme="majorBidi"/>
          <w:sz w:val="24"/>
          <w:szCs w:val="24"/>
        </w:rPr>
        <w:t>for economic gains.</w:t>
      </w:r>
      <w:r w:rsidR="00591270">
        <w:rPr>
          <w:rStyle w:val="FootnoteReference"/>
          <w:rFonts w:asciiTheme="majorBidi" w:hAnsiTheme="majorBidi" w:cstheme="majorBidi"/>
          <w:sz w:val="24"/>
          <w:szCs w:val="24"/>
        </w:rPr>
        <w:footnoteReference w:id="194"/>
      </w:r>
    </w:p>
    <w:p w14:paraId="2CC77A58" w14:textId="46CB2BEF" w:rsidR="00DD208C" w:rsidRDefault="00923F3A" w:rsidP="004B6F19">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BB7F6E">
        <w:rPr>
          <w:rFonts w:asciiTheme="majorBidi" w:hAnsiTheme="majorBidi" w:cstheme="majorBidi"/>
          <w:sz w:val="24"/>
          <w:szCs w:val="24"/>
        </w:rPr>
        <w:t>However, even Haug’s model is not perfect. It fits better the early expansion to Ṭukhāristān</w:t>
      </w:r>
      <w:r w:rsidR="00A40669">
        <w:rPr>
          <w:rFonts w:asciiTheme="majorBidi" w:hAnsiTheme="majorBidi" w:cstheme="majorBidi"/>
          <w:sz w:val="24"/>
          <w:szCs w:val="24"/>
        </w:rPr>
        <w:t xml:space="preserve"> before the 690s</w:t>
      </w:r>
      <w:r w:rsidR="00BB7F6E">
        <w:rPr>
          <w:rFonts w:asciiTheme="majorBidi" w:hAnsiTheme="majorBidi" w:cstheme="majorBidi"/>
          <w:sz w:val="24"/>
          <w:szCs w:val="24"/>
        </w:rPr>
        <w:t xml:space="preserve">, since the </w:t>
      </w:r>
      <w:r w:rsidR="00A40669">
        <w:rPr>
          <w:rFonts w:asciiTheme="majorBidi" w:hAnsiTheme="majorBidi" w:cstheme="majorBidi"/>
          <w:sz w:val="24"/>
          <w:szCs w:val="24"/>
        </w:rPr>
        <w:t>690s and the 700s witness the establishment of the Arab rule in the region especially after Qutayba’s crushing Nīzak’s rebellion. And it is necessary to explain the rule of the Arabs. The local rulers remained with the administration. And th</w:t>
      </w:r>
      <w:r w:rsidR="006834E6">
        <w:rPr>
          <w:rFonts w:asciiTheme="majorBidi" w:hAnsiTheme="majorBidi" w:cstheme="majorBidi"/>
          <w:sz w:val="24"/>
          <w:szCs w:val="24"/>
        </w:rPr>
        <w:t>e Arabs imposed upon them taxation and military obligation.</w:t>
      </w:r>
      <w:r w:rsidR="006834E6">
        <w:rPr>
          <w:rStyle w:val="FootnoteReference"/>
          <w:rFonts w:asciiTheme="majorBidi" w:hAnsiTheme="majorBidi" w:cstheme="majorBidi"/>
          <w:sz w:val="24"/>
          <w:szCs w:val="24"/>
        </w:rPr>
        <w:footnoteReference w:id="195"/>
      </w:r>
      <w:r w:rsidR="00117294">
        <w:rPr>
          <w:rFonts w:asciiTheme="majorBidi" w:hAnsiTheme="majorBidi" w:cstheme="majorBidi"/>
          <w:sz w:val="24"/>
          <w:szCs w:val="24"/>
        </w:rPr>
        <w:t xml:space="preserve"> </w:t>
      </w:r>
      <w:r w:rsidR="00117294">
        <w:rPr>
          <w:rFonts w:asciiTheme="majorBidi" w:hAnsiTheme="majorBidi" w:cstheme="majorBidi"/>
          <w:sz w:val="24"/>
          <w:szCs w:val="24"/>
        </w:rPr>
        <w:lastRenderedPageBreak/>
        <w:t>Because of this reason, Arab expansions instead of conquests are preferred in the study.</w:t>
      </w:r>
    </w:p>
    <w:p w14:paraId="7040A1A1" w14:textId="621D7E10" w:rsidR="00745734" w:rsidRDefault="00DD208C" w:rsidP="00DD208C">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Apparently,</w:t>
      </w:r>
      <w:r w:rsidR="006834E6">
        <w:rPr>
          <w:rFonts w:asciiTheme="majorBidi" w:hAnsiTheme="majorBidi" w:cstheme="majorBidi"/>
          <w:sz w:val="24"/>
          <w:szCs w:val="24"/>
        </w:rPr>
        <w:t xml:space="preserve"> the rule of the Arabs in Ṭukhāristān </w:t>
      </w:r>
      <w:r>
        <w:rPr>
          <w:rFonts w:asciiTheme="majorBidi" w:hAnsiTheme="majorBidi" w:cstheme="majorBidi"/>
          <w:sz w:val="24"/>
          <w:szCs w:val="24"/>
        </w:rPr>
        <w:t>resembles to</w:t>
      </w:r>
      <w:r w:rsidR="006834E6">
        <w:rPr>
          <w:rFonts w:asciiTheme="majorBidi" w:hAnsiTheme="majorBidi" w:cstheme="majorBidi"/>
          <w:sz w:val="24"/>
          <w:szCs w:val="24"/>
        </w:rPr>
        <w:t xml:space="preserve"> that of the Turks and the Hephthalites.</w:t>
      </w:r>
      <w:r w:rsidR="006834E6">
        <w:rPr>
          <w:rStyle w:val="FootnoteReference"/>
          <w:rFonts w:asciiTheme="majorBidi" w:hAnsiTheme="majorBidi" w:cstheme="majorBidi"/>
          <w:sz w:val="24"/>
          <w:szCs w:val="24"/>
        </w:rPr>
        <w:footnoteReference w:id="196"/>
      </w:r>
      <w:r>
        <w:rPr>
          <w:rFonts w:asciiTheme="majorBidi" w:hAnsiTheme="majorBidi" w:cstheme="majorBidi"/>
          <w:sz w:val="24"/>
          <w:szCs w:val="24"/>
        </w:rPr>
        <w:t xml:space="preserve"> In other words, </w:t>
      </w:r>
      <w:r w:rsidR="00745734">
        <w:rPr>
          <w:rFonts w:asciiTheme="majorBidi" w:hAnsiTheme="majorBidi" w:cstheme="majorBidi"/>
          <w:sz w:val="24"/>
          <w:szCs w:val="24"/>
        </w:rPr>
        <w:t xml:space="preserve">the Arabs competeted with the Turks and the Hephthalites to control </w:t>
      </w:r>
      <w:r w:rsidR="004938C3">
        <w:rPr>
          <w:rFonts w:asciiTheme="majorBidi" w:hAnsiTheme="majorBidi" w:cstheme="majorBidi"/>
          <w:sz w:val="24"/>
          <w:szCs w:val="24"/>
        </w:rPr>
        <w:t xml:space="preserve">the principalities of </w:t>
      </w:r>
      <w:r w:rsidR="00745734">
        <w:rPr>
          <w:rFonts w:asciiTheme="majorBidi" w:hAnsiTheme="majorBidi" w:cstheme="majorBidi"/>
          <w:sz w:val="24"/>
          <w:szCs w:val="24"/>
        </w:rPr>
        <w:t xml:space="preserve">Ṭukhāristān. As for </w:t>
      </w:r>
      <w:r>
        <w:rPr>
          <w:rFonts w:asciiTheme="majorBidi" w:hAnsiTheme="majorBidi" w:cstheme="majorBidi"/>
          <w:sz w:val="24"/>
          <w:szCs w:val="24"/>
        </w:rPr>
        <w:t>the local principalities</w:t>
      </w:r>
      <w:r w:rsidR="00745734">
        <w:rPr>
          <w:rFonts w:asciiTheme="majorBidi" w:hAnsiTheme="majorBidi" w:cstheme="majorBidi"/>
          <w:sz w:val="24"/>
          <w:szCs w:val="24"/>
        </w:rPr>
        <w:t>, they</w:t>
      </w:r>
      <w:r>
        <w:rPr>
          <w:rFonts w:asciiTheme="majorBidi" w:hAnsiTheme="majorBidi" w:cstheme="majorBidi"/>
          <w:sz w:val="24"/>
          <w:szCs w:val="24"/>
        </w:rPr>
        <w:t xml:space="preserve"> had to choose to side either with the Arabs or the </w:t>
      </w:r>
      <w:r w:rsidR="000663D5">
        <w:rPr>
          <w:rFonts w:asciiTheme="majorBidi" w:hAnsiTheme="majorBidi" w:cstheme="majorBidi"/>
          <w:sz w:val="24"/>
          <w:szCs w:val="24"/>
        </w:rPr>
        <w:t>local big powers, be it the Yabghū dynasty or the Nīzak dynasty</w:t>
      </w:r>
      <w:r>
        <w:rPr>
          <w:rFonts w:asciiTheme="majorBidi" w:hAnsiTheme="majorBidi" w:cstheme="majorBidi"/>
          <w:sz w:val="24"/>
          <w:szCs w:val="24"/>
        </w:rPr>
        <w:t>.</w:t>
      </w:r>
      <w:r w:rsidR="00B213DE">
        <w:rPr>
          <w:rStyle w:val="FootnoteReference"/>
          <w:rFonts w:asciiTheme="majorBidi" w:hAnsiTheme="majorBidi" w:cstheme="majorBidi"/>
          <w:sz w:val="24"/>
          <w:szCs w:val="24"/>
        </w:rPr>
        <w:footnoteReference w:id="197"/>
      </w:r>
    </w:p>
    <w:p w14:paraId="621F057D" w14:textId="7251214A" w:rsidR="00923F3A" w:rsidRDefault="00923F3A" w:rsidP="00923F3A">
      <w:pPr>
        <w:spacing w:line="360" w:lineRule="auto"/>
        <w:ind w:firstLine="475"/>
        <w:rPr>
          <w:rFonts w:asciiTheme="majorBidi" w:hAnsiTheme="majorBidi" w:cstheme="majorBidi"/>
          <w:sz w:val="24"/>
          <w:szCs w:val="24"/>
        </w:rPr>
      </w:pPr>
      <w:r>
        <w:rPr>
          <w:rFonts w:asciiTheme="majorBidi" w:hAnsiTheme="majorBidi" w:cstheme="majorBidi"/>
          <w:sz w:val="24"/>
          <w:szCs w:val="24"/>
        </w:rPr>
        <w:t xml:space="preserve">When Nīzak rebelled against </w:t>
      </w:r>
      <w:r w:rsidR="00D452C1">
        <w:rPr>
          <w:rFonts w:asciiTheme="majorBidi" w:hAnsiTheme="majorBidi" w:cstheme="majorBidi"/>
          <w:sz w:val="24"/>
          <w:szCs w:val="24"/>
        </w:rPr>
        <w:t>Qutayba</w:t>
      </w:r>
      <w:r>
        <w:rPr>
          <w:rFonts w:asciiTheme="majorBidi" w:hAnsiTheme="majorBidi" w:cstheme="majorBidi"/>
          <w:sz w:val="24"/>
          <w:szCs w:val="24"/>
        </w:rPr>
        <w:t xml:space="preserve"> in 709/10 CE, the local principalities faced the same problem of choosing to side with the </w:t>
      </w:r>
      <w:r w:rsidR="00584F71">
        <w:rPr>
          <w:rFonts w:asciiTheme="majorBidi" w:hAnsiTheme="majorBidi" w:cstheme="majorBidi"/>
          <w:sz w:val="24"/>
          <w:szCs w:val="24"/>
        </w:rPr>
        <w:t xml:space="preserve">Arabs or the </w:t>
      </w:r>
      <w:r>
        <w:rPr>
          <w:rFonts w:asciiTheme="majorBidi" w:hAnsiTheme="majorBidi" w:cstheme="majorBidi"/>
          <w:sz w:val="24"/>
          <w:szCs w:val="24"/>
        </w:rPr>
        <w:t>Hephthalites and/or the Turks. Marw al-Rūd, Tālaqān, Fāryāb and Gūzgān responded to Nīzak’s call for an insurrection, while Nīshāpūr, Bīward, Sar</w:t>
      </w:r>
      <w:r w:rsidR="00991EA1">
        <w:rPr>
          <w:rFonts w:asciiTheme="majorBidi" w:hAnsiTheme="majorBidi" w:cstheme="majorBidi"/>
          <w:sz w:val="24"/>
          <w:szCs w:val="24"/>
        </w:rPr>
        <w:t>a</w:t>
      </w:r>
      <w:r>
        <w:rPr>
          <w:rFonts w:asciiTheme="majorBidi" w:hAnsiTheme="majorBidi" w:cstheme="majorBidi"/>
          <w:sz w:val="24"/>
          <w:szCs w:val="24"/>
        </w:rPr>
        <w:t xml:space="preserve">khs and Herat followed </w:t>
      </w:r>
      <w:r w:rsidR="00D452C1">
        <w:rPr>
          <w:rFonts w:asciiTheme="majorBidi" w:hAnsiTheme="majorBidi" w:cstheme="majorBidi"/>
          <w:sz w:val="24"/>
          <w:szCs w:val="24"/>
        </w:rPr>
        <w:t>Qutayba</w:t>
      </w:r>
      <w:r>
        <w:rPr>
          <w:rFonts w:asciiTheme="majorBidi" w:hAnsiTheme="majorBidi" w:cstheme="majorBidi"/>
          <w:sz w:val="24"/>
          <w:szCs w:val="24"/>
        </w:rPr>
        <w:t xml:space="preserve"> in his punitive campaigns.</w:t>
      </w:r>
      <w:r>
        <w:rPr>
          <w:rStyle w:val="FootnoteReference"/>
          <w:rFonts w:asciiTheme="majorBidi" w:hAnsiTheme="majorBidi" w:cstheme="majorBidi"/>
          <w:sz w:val="24"/>
          <w:szCs w:val="24"/>
        </w:rPr>
        <w:footnoteReference w:id="198"/>
      </w:r>
    </w:p>
    <w:p w14:paraId="2190C302" w14:textId="5428D0BF" w:rsidR="00EB1B8A" w:rsidRDefault="00584F71" w:rsidP="00923F3A">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The division clearly shows that</w:t>
      </w:r>
      <w:r w:rsidR="00923F3A">
        <w:rPr>
          <w:rFonts w:asciiTheme="majorBidi" w:hAnsiTheme="majorBidi" w:cstheme="majorBidi"/>
          <w:sz w:val="24"/>
          <w:szCs w:val="24"/>
        </w:rPr>
        <w:t xml:space="preserve"> the </w:t>
      </w:r>
      <w:r w:rsidR="007000FD">
        <w:rPr>
          <w:rFonts w:asciiTheme="majorBidi" w:hAnsiTheme="majorBidi" w:cstheme="majorBidi"/>
          <w:sz w:val="24"/>
          <w:szCs w:val="24"/>
        </w:rPr>
        <w:t>Arab</w:t>
      </w:r>
      <w:r w:rsidR="00923F3A">
        <w:rPr>
          <w:rFonts w:asciiTheme="majorBidi" w:hAnsiTheme="majorBidi" w:cstheme="majorBidi"/>
          <w:sz w:val="24"/>
          <w:szCs w:val="24"/>
        </w:rPr>
        <w:t>s were gradually getting the upper hand over the Hephthalites and/or the Turks in winning the local principalities in</w:t>
      </w:r>
      <w:r w:rsidR="00F967A4">
        <w:rPr>
          <w:rFonts w:asciiTheme="majorBidi" w:hAnsiTheme="majorBidi" w:cstheme="majorBidi"/>
          <w:sz w:val="24"/>
          <w:szCs w:val="24"/>
        </w:rPr>
        <w:t xml:space="preserve"> the</w:t>
      </w:r>
      <w:r w:rsidR="00923F3A">
        <w:rPr>
          <w:rFonts w:asciiTheme="majorBidi" w:hAnsiTheme="majorBidi" w:cstheme="majorBidi"/>
          <w:sz w:val="24"/>
          <w:szCs w:val="24"/>
        </w:rPr>
        <w:t xml:space="preserve"> 700s. </w:t>
      </w:r>
      <w:r w:rsidR="00E400EE">
        <w:rPr>
          <w:rFonts w:asciiTheme="majorBidi" w:hAnsiTheme="majorBidi" w:cstheme="majorBidi"/>
          <w:sz w:val="24"/>
          <w:szCs w:val="24"/>
        </w:rPr>
        <w:t>Even the</w:t>
      </w:r>
      <w:r w:rsidR="00923F3A">
        <w:rPr>
          <w:rFonts w:asciiTheme="majorBidi" w:hAnsiTheme="majorBidi" w:cstheme="majorBidi"/>
          <w:sz w:val="24"/>
          <w:szCs w:val="24"/>
        </w:rPr>
        <w:t xml:space="preserve"> Nīzak</w:t>
      </w:r>
      <w:r w:rsidR="00E400EE">
        <w:rPr>
          <w:rFonts w:asciiTheme="majorBidi" w:hAnsiTheme="majorBidi" w:cstheme="majorBidi"/>
          <w:sz w:val="24"/>
          <w:szCs w:val="24"/>
        </w:rPr>
        <w:t xml:space="preserve"> dynasty, the most formidable power in western Ṭukhāristān, had to negotiate terms with the Arabs in order to maintain the status quo.</w:t>
      </w:r>
      <w:r w:rsidR="00923F3A">
        <w:rPr>
          <w:rFonts w:asciiTheme="majorBidi" w:hAnsiTheme="majorBidi" w:cstheme="majorBidi"/>
          <w:sz w:val="24"/>
          <w:szCs w:val="24"/>
        </w:rPr>
        <w:t xml:space="preserve"> </w:t>
      </w:r>
      <w:r w:rsidR="00EB1B8A">
        <w:rPr>
          <w:rFonts w:asciiTheme="majorBidi" w:hAnsiTheme="majorBidi" w:cstheme="majorBidi"/>
          <w:sz w:val="24"/>
          <w:szCs w:val="24"/>
        </w:rPr>
        <w:t>The following question to ask is what contributed to the Arabs’ success?</w:t>
      </w:r>
    </w:p>
    <w:p w14:paraId="650FBF24" w14:textId="77777777" w:rsidR="00EB1B8A" w:rsidRDefault="00923F3A" w:rsidP="00EB1B8A">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lastRenderedPageBreak/>
        <w:t xml:space="preserve">Although </w:t>
      </w:r>
      <w:r w:rsidR="00D452C1">
        <w:rPr>
          <w:rFonts w:asciiTheme="majorBidi" w:hAnsiTheme="majorBidi" w:cstheme="majorBidi"/>
          <w:sz w:val="24"/>
          <w:szCs w:val="24"/>
        </w:rPr>
        <w:t>Qutayba</w:t>
      </w:r>
      <w:r>
        <w:rPr>
          <w:rFonts w:asciiTheme="majorBidi" w:hAnsiTheme="majorBidi" w:cstheme="majorBidi"/>
          <w:sz w:val="24"/>
          <w:szCs w:val="24"/>
        </w:rPr>
        <w:t xml:space="preserve">’s leadership played a significant role in the </w:t>
      </w:r>
      <w:r w:rsidR="00E964E0">
        <w:rPr>
          <w:rFonts w:asciiTheme="majorBidi" w:hAnsiTheme="majorBidi" w:cstheme="majorBidi"/>
          <w:sz w:val="24"/>
          <w:szCs w:val="24"/>
        </w:rPr>
        <w:t>Arab</w:t>
      </w:r>
      <w:r>
        <w:rPr>
          <w:rFonts w:asciiTheme="majorBidi" w:hAnsiTheme="majorBidi" w:cstheme="majorBidi"/>
          <w:sz w:val="24"/>
          <w:szCs w:val="24"/>
        </w:rPr>
        <w:t>s</w:t>
      </w:r>
      <w:r w:rsidR="00E400EE">
        <w:rPr>
          <w:rFonts w:asciiTheme="majorBidi" w:hAnsiTheme="majorBidi" w:cstheme="majorBidi"/>
          <w:sz w:val="24"/>
          <w:szCs w:val="24"/>
        </w:rPr>
        <w:t>’ expansion</w:t>
      </w:r>
      <w:r>
        <w:rPr>
          <w:rFonts w:asciiTheme="majorBidi" w:hAnsiTheme="majorBidi" w:cstheme="majorBidi"/>
          <w:sz w:val="24"/>
          <w:szCs w:val="24"/>
        </w:rPr>
        <w:t>,</w:t>
      </w:r>
      <w:r w:rsidR="00E964E0">
        <w:rPr>
          <w:rStyle w:val="FootnoteReference"/>
          <w:rFonts w:asciiTheme="majorBidi" w:hAnsiTheme="majorBidi" w:cstheme="majorBidi"/>
          <w:sz w:val="24"/>
          <w:szCs w:val="24"/>
        </w:rPr>
        <w:footnoteReference w:id="199"/>
      </w:r>
      <w:r>
        <w:rPr>
          <w:rFonts w:asciiTheme="majorBidi" w:hAnsiTheme="majorBidi" w:cstheme="majorBidi"/>
          <w:sz w:val="24"/>
          <w:szCs w:val="24"/>
        </w:rPr>
        <w:t xml:space="preserve"> </w:t>
      </w:r>
      <w:r w:rsidR="00EB1B8A">
        <w:rPr>
          <w:rFonts w:asciiTheme="majorBidi" w:hAnsiTheme="majorBidi" w:cstheme="majorBidi"/>
          <w:sz w:val="24"/>
          <w:szCs w:val="24"/>
        </w:rPr>
        <w:t>the comparison between the Arabs and the local powers in</w:t>
      </w:r>
      <w:r w:rsidR="00EB1B8A" w:rsidRPr="00EB1B8A">
        <w:rPr>
          <w:rFonts w:asciiTheme="majorBidi" w:hAnsiTheme="majorBidi" w:cstheme="majorBidi"/>
          <w:sz w:val="24"/>
          <w:szCs w:val="24"/>
        </w:rPr>
        <w:t xml:space="preserve"> </w:t>
      </w:r>
      <w:r w:rsidR="00EB1B8A">
        <w:rPr>
          <w:rFonts w:asciiTheme="majorBidi" w:hAnsiTheme="majorBidi" w:cstheme="majorBidi"/>
          <w:sz w:val="24"/>
          <w:szCs w:val="24"/>
        </w:rPr>
        <w:t xml:space="preserve">Ṭukhāristān shows that </w:t>
      </w:r>
      <w:r w:rsidR="004739D9">
        <w:rPr>
          <w:rFonts w:asciiTheme="majorBidi" w:hAnsiTheme="majorBidi" w:cstheme="majorBidi"/>
          <w:sz w:val="24"/>
          <w:szCs w:val="24"/>
        </w:rPr>
        <w:t xml:space="preserve">the existence of a central government is </w:t>
      </w:r>
      <w:r w:rsidR="00E400EE">
        <w:rPr>
          <w:rFonts w:asciiTheme="majorBidi" w:hAnsiTheme="majorBidi" w:cstheme="majorBidi"/>
          <w:sz w:val="24"/>
          <w:szCs w:val="24"/>
        </w:rPr>
        <w:t>critical</w:t>
      </w:r>
      <w:r>
        <w:rPr>
          <w:rFonts w:asciiTheme="majorBidi" w:hAnsiTheme="majorBidi" w:cstheme="majorBidi"/>
          <w:sz w:val="24"/>
          <w:szCs w:val="24"/>
        </w:rPr>
        <w:t>.</w:t>
      </w:r>
      <w:r w:rsidR="00EB1B8A">
        <w:rPr>
          <w:rFonts w:asciiTheme="majorBidi" w:hAnsiTheme="majorBidi" w:cstheme="majorBidi" w:hint="eastAsia"/>
          <w:sz w:val="24"/>
          <w:szCs w:val="24"/>
        </w:rPr>
        <w:t xml:space="preserve"> </w:t>
      </w:r>
      <w:r w:rsidR="00E400EE">
        <w:rPr>
          <w:rFonts w:asciiTheme="majorBidi" w:hAnsiTheme="majorBidi" w:cstheme="majorBidi"/>
          <w:sz w:val="24"/>
          <w:szCs w:val="24"/>
        </w:rPr>
        <w:t>The Umayyad government</w:t>
      </w:r>
      <w:r w:rsidR="009A6469">
        <w:rPr>
          <w:rFonts w:asciiTheme="majorBidi" w:hAnsiTheme="majorBidi" w:cstheme="majorBidi"/>
          <w:sz w:val="24"/>
          <w:szCs w:val="24"/>
        </w:rPr>
        <w:t xml:space="preserve"> </w:t>
      </w:r>
      <w:r w:rsidR="00D60FD7">
        <w:rPr>
          <w:rFonts w:asciiTheme="majorBidi" w:hAnsiTheme="majorBidi" w:cstheme="majorBidi"/>
          <w:sz w:val="24"/>
          <w:szCs w:val="24"/>
        </w:rPr>
        <w:t>put out the tribal factions and united them for military expansions</w:t>
      </w:r>
      <w:r w:rsidR="004739D9">
        <w:rPr>
          <w:rFonts w:asciiTheme="majorBidi" w:hAnsiTheme="majorBidi" w:cstheme="majorBidi"/>
          <w:sz w:val="24"/>
          <w:szCs w:val="24"/>
        </w:rPr>
        <w:t>.</w:t>
      </w:r>
      <w:r w:rsidR="00E20F0E">
        <w:rPr>
          <w:rStyle w:val="FootnoteReference"/>
          <w:rFonts w:asciiTheme="majorBidi" w:hAnsiTheme="majorBidi" w:cstheme="majorBidi"/>
          <w:sz w:val="24"/>
          <w:szCs w:val="24"/>
        </w:rPr>
        <w:footnoteReference w:id="200"/>
      </w:r>
      <w:r w:rsidR="00D60FD7">
        <w:rPr>
          <w:rFonts w:asciiTheme="majorBidi" w:hAnsiTheme="majorBidi" w:cstheme="majorBidi"/>
          <w:sz w:val="24"/>
          <w:szCs w:val="24"/>
        </w:rPr>
        <w:t xml:space="preserve"> </w:t>
      </w:r>
      <w:r w:rsidR="00E400EE">
        <w:rPr>
          <w:rFonts w:asciiTheme="majorBidi" w:hAnsiTheme="majorBidi" w:cstheme="majorBidi"/>
          <w:sz w:val="24"/>
          <w:szCs w:val="24"/>
        </w:rPr>
        <w:t>Furthermore</w:t>
      </w:r>
      <w:r w:rsidR="004739D9">
        <w:rPr>
          <w:rFonts w:asciiTheme="majorBidi" w:hAnsiTheme="majorBidi" w:cstheme="majorBidi"/>
          <w:sz w:val="24"/>
          <w:szCs w:val="24"/>
        </w:rPr>
        <w:t xml:space="preserve">, it </w:t>
      </w:r>
      <w:r w:rsidR="00D60FD7">
        <w:rPr>
          <w:rFonts w:asciiTheme="majorBidi" w:hAnsiTheme="majorBidi" w:cstheme="majorBidi" w:hint="eastAsia"/>
          <w:sz w:val="24"/>
          <w:szCs w:val="24"/>
        </w:rPr>
        <w:t>suppli</w:t>
      </w:r>
      <w:r w:rsidR="00D60FD7">
        <w:rPr>
          <w:rFonts w:asciiTheme="majorBidi" w:hAnsiTheme="majorBidi" w:cstheme="majorBidi"/>
          <w:sz w:val="24"/>
          <w:szCs w:val="24"/>
        </w:rPr>
        <w:t xml:space="preserve">ed </w:t>
      </w:r>
      <w:r>
        <w:rPr>
          <w:rFonts w:asciiTheme="majorBidi" w:hAnsiTheme="majorBidi" w:cstheme="majorBidi"/>
          <w:sz w:val="24"/>
          <w:szCs w:val="24"/>
        </w:rPr>
        <w:t>external reinforcement of both manpower and finance</w:t>
      </w:r>
      <w:r w:rsidR="00747579">
        <w:rPr>
          <w:rFonts w:asciiTheme="majorBidi" w:hAnsiTheme="majorBidi" w:cstheme="majorBidi"/>
          <w:sz w:val="24"/>
          <w:szCs w:val="24"/>
        </w:rPr>
        <w:t xml:space="preserve"> to the Arabs in Khurasan</w:t>
      </w:r>
      <w:r w:rsidR="007C29B2">
        <w:rPr>
          <w:rFonts w:asciiTheme="majorBidi" w:hAnsiTheme="majorBidi" w:cstheme="majorBidi"/>
          <w:sz w:val="24"/>
          <w:szCs w:val="24"/>
        </w:rPr>
        <w:t>. T</w:t>
      </w:r>
      <w:r w:rsidR="00E800AC">
        <w:rPr>
          <w:rFonts w:asciiTheme="majorBidi" w:hAnsiTheme="majorBidi" w:cstheme="majorBidi"/>
          <w:sz w:val="24"/>
          <w:szCs w:val="24"/>
        </w:rPr>
        <w:t>he settling of 50,000 Arab families in Marw</w:t>
      </w:r>
      <w:r w:rsidR="007C29B2">
        <w:rPr>
          <w:rFonts w:asciiTheme="majorBidi" w:hAnsiTheme="majorBidi" w:cstheme="majorBidi"/>
          <w:sz w:val="24"/>
          <w:szCs w:val="24"/>
        </w:rPr>
        <w:t>, for example,</w:t>
      </w:r>
      <w:r w:rsidR="00E800AC">
        <w:rPr>
          <w:rFonts w:asciiTheme="majorBidi" w:hAnsiTheme="majorBidi" w:cstheme="majorBidi"/>
          <w:sz w:val="24"/>
          <w:szCs w:val="24"/>
        </w:rPr>
        <w:t xml:space="preserve"> </w:t>
      </w:r>
      <w:r>
        <w:rPr>
          <w:rFonts w:asciiTheme="majorBidi" w:hAnsiTheme="majorBidi" w:cstheme="majorBidi"/>
          <w:sz w:val="24"/>
          <w:szCs w:val="24"/>
        </w:rPr>
        <w:t>plays a decisive role in the Muslims’ expansion in Ṭukhāristān</w:t>
      </w:r>
      <w:r w:rsidR="004739D9">
        <w:rPr>
          <w:rFonts w:asciiTheme="majorBidi" w:hAnsiTheme="majorBidi" w:cstheme="majorBidi"/>
          <w:sz w:val="24"/>
          <w:szCs w:val="24"/>
        </w:rPr>
        <w:t>.</w:t>
      </w:r>
      <w:r w:rsidR="009A6469">
        <w:rPr>
          <w:rStyle w:val="FootnoteReference"/>
          <w:rFonts w:asciiTheme="majorBidi" w:hAnsiTheme="majorBidi" w:cstheme="majorBidi"/>
          <w:sz w:val="24"/>
          <w:szCs w:val="24"/>
        </w:rPr>
        <w:footnoteReference w:id="201"/>
      </w:r>
    </w:p>
    <w:p w14:paraId="2927B083" w14:textId="38E92DBB" w:rsidR="00B40E1E" w:rsidRPr="00070E9E" w:rsidRDefault="004739D9" w:rsidP="00070E9E">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As for t</w:t>
      </w:r>
      <w:r w:rsidR="00923F3A">
        <w:rPr>
          <w:rFonts w:asciiTheme="majorBidi" w:hAnsiTheme="majorBidi" w:cstheme="majorBidi"/>
          <w:sz w:val="24"/>
          <w:szCs w:val="24"/>
        </w:rPr>
        <w:t xml:space="preserve">he Hephthalites and/or the Turks </w:t>
      </w:r>
      <w:r>
        <w:rPr>
          <w:rFonts w:asciiTheme="majorBidi" w:hAnsiTheme="majorBidi" w:cstheme="majorBidi"/>
          <w:sz w:val="24"/>
          <w:szCs w:val="24"/>
        </w:rPr>
        <w:t xml:space="preserve">in Ṭukhāristān, </w:t>
      </w:r>
      <w:r w:rsidR="00747579">
        <w:rPr>
          <w:rFonts w:asciiTheme="majorBidi" w:hAnsiTheme="majorBidi" w:cstheme="majorBidi"/>
          <w:sz w:val="24"/>
          <w:szCs w:val="24"/>
        </w:rPr>
        <w:t>their lack of</w:t>
      </w:r>
      <w:r>
        <w:rPr>
          <w:rFonts w:asciiTheme="majorBidi" w:hAnsiTheme="majorBidi" w:cstheme="majorBidi"/>
          <w:sz w:val="24"/>
          <w:szCs w:val="24"/>
        </w:rPr>
        <w:t xml:space="preserve"> a central government</w:t>
      </w:r>
      <w:r w:rsidR="00747579">
        <w:rPr>
          <w:rFonts w:asciiTheme="majorBidi" w:hAnsiTheme="majorBidi" w:cstheme="majorBidi"/>
          <w:sz w:val="24"/>
          <w:szCs w:val="24"/>
        </w:rPr>
        <w:t xml:space="preserve"> means that</w:t>
      </w:r>
      <w:r>
        <w:rPr>
          <w:rFonts w:asciiTheme="majorBidi" w:hAnsiTheme="majorBidi" w:cstheme="majorBidi"/>
          <w:sz w:val="24"/>
          <w:szCs w:val="24"/>
        </w:rPr>
        <w:t xml:space="preserve"> </w:t>
      </w:r>
      <w:r w:rsidR="00E40784">
        <w:rPr>
          <w:rFonts w:asciiTheme="majorBidi" w:hAnsiTheme="majorBidi" w:cstheme="majorBidi"/>
          <w:sz w:val="24"/>
          <w:szCs w:val="24"/>
        </w:rPr>
        <w:t>external reinforcements</w:t>
      </w:r>
      <w:r>
        <w:rPr>
          <w:rFonts w:asciiTheme="majorBidi" w:hAnsiTheme="majorBidi" w:cstheme="majorBidi"/>
          <w:sz w:val="24"/>
          <w:szCs w:val="24"/>
        </w:rPr>
        <w:t xml:space="preserve"> would </w:t>
      </w:r>
      <w:r w:rsidR="00747579">
        <w:rPr>
          <w:rFonts w:asciiTheme="majorBidi" w:hAnsiTheme="majorBidi" w:cstheme="majorBidi"/>
          <w:sz w:val="24"/>
          <w:szCs w:val="24"/>
        </w:rPr>
        <w:t xml:space="preserve">not </w:t>
      </w:r>
      <w:r>
        <w:rPr>
          <w:rFonts w:asciiTheme="majorBidi" w:hAnsiTheme="majorBidi" w:cstheme="majorBidi"/>
          <w:sz w:val="24"/>
          <w:szCs w:val="24"/>
        </w:rPr>
        <w:t>arrive</w:t>
      </w:r>
      <w:r w:rsidR="00747579">
        <w:rPr>
          <w:rFonts w:asciiTheme="majorBidi" w:hAnsiTheme="majorBidi" w:cstheme="majorBidi"/>
          <w:sz w:val="24"/>
          <w:szCs w:val="24"/>
        </w:rPr>
        <w:t xml:space="preserve"> and the order among the principalities would not be maintained</w:t>
      </w:r>
      <w:r w:rsidR="00923F3A">
        <w:rPr>
          <w:rFonts w:asciiTheme="majorBidi" w:hAnsiTheme="majorBidi" w:cstheme="majorBidi"/>
          <w:sz w:val="24"/>
          <w:szCs w:val="24"/>
        </w:rPr>
        <w:t>.</w:t>
      </w:r>
      <w:r w:rsidR="00747579">
        <w:rPr>
          <w:rStyle w:val="FootnoteReference"/>
          <w:rFonts w:asciiTheme="majorBidi" w:hAnsiTheme="majorBidi" w:cstheme="majorBidi"/>
          <w:sz w:val="24"/>
          <w:szCs w:val="24"/>
        </w:rPr>
        <w:footnoteReference w:id="202"/>
      </w:r>
      <w:r w:rsidR="009445B7">
        <w:rPr>
          <w:rFonts w:asciiTheme="majorBidi" w:hAnsiTheme="majorBidi" w:cstheme="majorBidi"/>
          <w:sz w:val="24"/>
          <w:szCs w:val="24"/>
        </w:rPr>
        <w:t xml:space="preserve"> The r</w:t>
      </w:r>
      <w:r w:rsidR="00CE2AE3">
        <w:rPr>
          <w:rFonts w:asciiTheme="majorBidi" w:hAnsiTheme="majorBidi" w:cstheme="majorBidi"/>
          <w:sz w:val="24"/>
          <w:szCs w:val="24"/>
        </w:rPr>
        <w:t xml:space="preserve">ivalry between the principalities </w:t>
      </w:r>
      <w:r w:rsidR="00503A03">
        <w:rPr>
          <w:rFonts w:asciiTheme="majorBidi" w:hAnsiTheme="majorBidi" w:cstheme="majorBidi"/>
          <w:sz w:val="24"/>
          <w:szCs w:val="24"/>
        </w:rPr>
        <w:t xml:space="preserve">was not checked </w:t>
      </w:r>
      <w:r w:rsidR="00CE2AE3">
        <w:rPr>
          <w:rFonts w:asciiTheme="majorBidi" w:hAnsiTheme="majorBidi" w:cstheme="majorBidi"/>
          <w:sz w:val="24"/>
          <w:szCs w:val="24"/>
        </w:rPr>
        <w:t xml:space="preserve">and </w:t>
      </w:r>
      <w:r w:rsidR="0099651C">
        <w:rPr>
          <w:rFonts w:asciiTheme="majorBidi" w:hAnsiTheme="majorBidi" w:cstheme="majorBidi"/>
          <w:sz w:val="24"/>
          <w:szCs w:val="24"/>
        </w:rPr>
        <w:t xml:space="preserve">probably </w:t>
      </w:r>
      <w:r w:rsidR="00CE2AE3">
        <w:rPr>
          <w:rFonts w:asciiTheme="majorBidi" w:hAnsiTheme="majorBidi" w:cstheme="majorBidi"/>
          <w:sz w:val="24"/>
          <w:szCs w:val="24"/>
        </w:rPr>
        <w:t xml:space="preserve">deteriorated into </w:t>
      </w:r>
      <w:r>
        <w:rPr>
          <w:rFonts w:asciiTheme="majorBidi" w:hAnsiTheme="majorBidi" w:cstheme="majorBidi"/>
          <w:sz w:val="24"/>
          <w:szCs w:val="24"/>
        </w:rPr>
        <w:t>large-scale</w:t>
      </w:r>
      <w:r w:rsidR="00923F3A">
        <w:rPr>
          <w:rFonts w:asciiTheme="majorBidi" w:hAnsiTheme="majorBidi" w:cstheme="majorBidi"/>
          <w:sz w:val="24"/>
          <w:szCs w:val="24"/>
        </w:rPr>
        <w:t xml:space="preserve"> tribal feuds </w:t>
      </w:r>
      <w:r w:rsidR="00CE2AE3">
        <w:rPr>
          <w:rFonts w:asciiTheme="majorBidi" w:hAnsiTheme="majorBidi" w:cstheme="majorBidi"/>
          <w:sz w:val="24"/>
          <w:szCs w:val="24"/>
        </w:rPr>
        <w:t xml:space="preserve">between </w:t>
      </w:r>
      <w:r w:rsidR="00923F3A">
        <w:rPr>
          <w:rFonts w:asciiTheme="majorBidi" w:hAnsiTheme="majorBidi" w:cstheme="majorBidi"/>
          <w:sz w:val="24"/>
          <w:szCs w:val="24"/>
        </w:rPr>
        <w:t xml:space="preserve">the </w:t>
      </w:r>
      <w:r w:rsidR="00503A03">
        <w:rPr>
          <w:rFonts w:asciiTheme="majorBidi" w:hAnsiTheme="majorBidi" w:cstheme="majorBidi"/>
          <w:sz w:val="24"/>
          <w:szCs w:val="24"/>
        </w:rPr>
        <w:t xml:space="preserve">Turks and the </w:t>
      </w:r>
      <w:r w:rsidR="00923F3A">
        <w:rPr>
          <w:rFonts w:asciiTheme="majorBidi" w:hAnsiTheme="majorBidi" w:cstheme="majorBidi"/>
          <w:sz w:val="24"/>
          <w:szCs w:val="24"/>
        </w:rPr>
        <w:t>Hephthalites</w:t>
      </w:r>
      <w:r w:rsidR="00CE2AE3">
        <w:rPr>
          <w:rFonts w:asciiTheme="majorBidi" w:hAnsiTheme="majorBidi" w:cstheme="majorBidi"/>
          <w:sz w:val="24"/>
          <w:szCs w:val="24"/>
        </w:rPr>
        <w:t>.</w:t>
      </w:r>
      <w:r w:rsidR="00F72221">
        <w:rPr>
          <w:rFonts w:asciiTheme="majorBidi" w:hAnsiTheme="majorBidi" w:cstheme="majorBidi"/>
          <w:sz w:val="24"/>
          <w:szCs w:val="24"/>
        </w:rPr>
        <w:t xml:space="preserve"> The rivalry and feuds </w:t>
      </w:r>
      <w:r w:rsidR="00503A03">
        <w:rPr>
          <w:rFonts w:asciiTheme="majorBidi" w:hAnsiTheme="majorBidi" w:cstheme="majorBidi"/>
          <w:sz w:val="24"/>
          <w:szCs w:val="24"/>
        </w:rPr>
        <w:t xml:space="preserve">significantly </w:t>
      </w:r>
      <w:r w:rsidR="00F72221">
        <w:rPr>
          <w:rFonts w:asciiTheme="majorBidi" w:hAnsiTheme="majorBidi" w:cstheme="majorBidi"/>
          <w:sz w:val="24"/>
          <w:szCs w:val="24"/>
        </w:rPr>
        <w:t>un</w:t>
      </w:r>
      <w:r w:rsidR="00CE2AE3">
        <w:rPr>
          <w:rFonts w:asciiTheme="majorBidi" w:hAnsiTheme="majorBidi" w:cstheme="majorBidi"/>
          <w:sz w:val="24"/>
          <w:szCs w:val="24"/>
        </w:rPr>
        <w:t>dermine their</w:t>
      </w:r>
      <w:r w:rsidR="00923F3A">
        <w:rPr>
          <w:rFonts w:asciiTheme="majorBidi" w:hAnsiTheme="majorBidi" w:cstheme="majorBidi"/>
          <w:sz w:val="24"/>
          <w:szCs w:val="24"/>
        </w:rPr>
        <w:t xml:space="preserve"> capacity to resist the </w:t>
      </w:r>
      <w:r w:rsidR="007000FD">
        <w:rPr>
          <w:rFonts w:asciiTheme="majorBidi" w:hAnsiTheme="majorBidi" w:cstheme="majorBidi"/>
          <w:sz w:val="24"/>
          <w:szCs w:val="24"/>
        </w:rPr>
        <w:t>Arab</w:t>
      </w:r>
      <w:r w:rsidR="00923F3A">
        <w:rPr>
          <w:rFonts w:asciiTheme="majorBidi" w:hAnsiTheme="majorBidi" w:cstheme="majorBidi"/>
          <w:sz w:val="24"/>
          <w:szCs w:val="24"/>
        </w:rPr>
        <w:t xml:space="preserve">s. </w:t>
      </w:r>
      <w:r w:rsidR="00923F3A" w:rsidRPr="005F6470">
        <w:rPr>
          <w:rFonts w:asciiTheme="majorBidi" w:hAnsiTheme="majorBidi" w:cstheme="majorBidi"/>
          <w:sz w:val="24"/>
          <w:szCs w:val="24"/>
        </w:rPr>
        <w:t>Chaghāniyān</w:t>
      </w:r>
      <w:r w:rsidR="0099651C">
        <w:rPr>
          <w:rFonts w:asciiTheme="majorBidi" w:hAnsiTheme="majorBidi" w:cstheme="majorBidi"/>
          <w:sz w:val="24"/>
          <w:szCs w:val="24"/>
        </w:rPr>
        <w:t>’s conflict with</w:t>
      </w:r>
      <w:r w:rsidR="00923F3A" w:rsidRPr="005F6470">
        <w:rPr>
          <w:rFonts w:asciiTheme="majorBidi" w:hAnsiTheme="majorBidi" w:cstheme="majorBidi"/>
          <w:sz w:val="24"/>
          <w:szCs w:val="24"/>
        </w:rPr>
        <w:t xml:space="preserve"> Akharūn and Shūmān </w:t>
      </w:r>
      <w:r w:rsidR="00923F3A">
        <w:rPr>
          <w:rFonts w:asciiTheme="majorBidi" w:hAnsiTheme="majorBidi" w:cstheme="majorBidi"/>
          <w:sz w:val="24"/>
          <w:szCs w:val="24"/>
        </w:rPr>
        <w:t xml:space="preserve">facilitated </w:t>
      </w:r>
      <w:r w:rsidR="00D452C1">
        <w:rPr>
          <w:rFonts w:asciiTheme="majorBidi" w:hAnsiTheme="majorBidi" w:cstheme="majorBidi"/>
          <w:sz w:val="24"/>
          <w:szCs w:val="24"/>
        </w:rPr>
        <w:t>Qutayba</w:t>
      </w:r>
      <w:r w:rsidR="00923F3A">
        <w:rPr>
          <w:rFonts w:asciiTheme="majorBidi" w:hAnsiTheme="majorBidi" w:cstheme="majorBidi"/>
          <w:sz w:val="24"/>
          <w:szCs w:val="24"/>
        </w:rPr>
        <w:t>’s subjugating all three principalities.</w:t>
      </w:r>
      <w:r w:rsidR="00923F3A" w:rsidRPr="005F6470">
        <w:rPr>
          <w:rStyle w:val="FootnoteReference"/>
          <w:rFonts w:asciiTheme="majorBidi" w:hAnsiTheme="majorBidi" w:cstheme="majorBidi"/>
          <w:sz w:val="24"/>
          <w:szCs w:val="24"/>
        </w:rPr>
        <w:footnoteReference w:id="203"/>
      </w:r>
      <w:r w:rsidR="00923F3A">
        <w:rPr>
          <w:rFonts w:asciiTheme="majorBidi" w:hAnsiTheme="majorBidi" w:cstheme="majorBidi"/>
          <w:sz w:val="24"/>
          <w:szCs w:val="24"/>
        </w:rPr>
        <w:t xml:space="preserve"> </w:t>
      </w:r>
      <w:r w:rsidR="00F5767C">
        <w:rPr>
          <w:rFonts w:asciiTheme="majorBidi" w:hAnsiTheme="majorBidi" w:cstheme="majorBidi"/>
          <w:sz w:val="24"/>
          <w:szCs w:val="24"/>
        </w:rPr>
        <w:t>Another example is</w:t>
      </w:r>
      <w:r w:rsidR="00923F3A">
        <w:rPr>
          <w:rFonts w:asciiTheme="majorBidi" w:hAnsiTheme="majorBidi" w:cstheme="majorBidi"/>
          <w:sz w:val="24"/>
          <w:szCs w:val="24"/>
        </w:rPr>
        <w:t xml:space="preserve"> </w:t>
      </w:r>
      <w:r w:rsidR="00F5767C">
        <w:rPr>
          <w:rFonts w:asciiTheme="majorBidi" w:hAnsiTheme="majorBidi" w:cstheme="majorBidi"/>
          <w:sz w:val="24"/>
          <w:szCs w:val="24"/>
        </w:rPr>
        <w:t xml:space="preserve">that </w:t>
      </w:r>
      <w:r w:rsidR="00923F3A">
        <w:rPr>
          <w:rFonts w:asciiTheme="majorBidi" w:hAnsiTheme="majorBidi" w:cstheme="majorBidi"/>
          <w:sz w:val="24"/>
          <w:szCs w:val="24"/>
        </w:rPr>
        <w:t>the Khān of Rūb and Siminjān</w:t>
      </w:r>
      <w:r w:rsidR="00F5767C">
        <w:rPr>
          <w:rFonts w:asciiTheme="majorBidi" w:hAnsiTheme="majorBidi" w:cstheme="majorBidi"/>
          <w:sz w:val="24"/>
          <w:szCs w:val="24"/>
        </w:rPr>
        <w:t xml:space="preserve"> cooperated with Qutayba to capture Nīzak probably because of Nīzak’s detaining the Yabghū</w:t>
      </w:r>
      <w:r w:rsidR="00923F3A">
        <w:rPr>
          <w:rFonts w:asciiTheme="majorBidi" w:hAnsiTheme="majorBidi" w:cstheme="majorBidi"/>
          <w:sz w:val="24"/>
          <w:szCs w:val="24"/>
        </w:rPr>
        <w:t>.</w:t>
      </w:r>
      <w:r w:rsidR="00923F3A">
        <w:rPr>
          <w:rStyle w:val="FootnoteReference"/>
          <w:rFonts w:asciiTheme="majorBidi" w:hAnsiTheme="majorBidi" w:cstheme="majorBidi"/>
          <w:sz w:val="24"/>
          <w:szCs w:val="24"/>
        </w:rPr>
        <w:footnoteReference w:id="204"/>
      </w:r>
    </w:p>
    <w:p w14:paraId="0CF510E4" w14:textId="121444D3" w:rsidR="009E27C9" w:rsidRDefault="00B96F57" w:rsidP="009E27C9">
      <w:pPr>
        <w:spacing w:line="360" w:lineRule="auto"/>
        <w:ind w:firstLineChars="250" w:firstLine="600"/>
        <w:rPr>
          <w:rFonts w:asciiTheme="majorBidi" w:hAnsiTheme="majorBidi" w:cstheme="majorBidi"/>
          <w:sz w:val="24"/>
          <w:szCs w:val="24"/>
        </w:rPr>
      </w:pPr>
      <w:r w:rsidRPr="00C9028D">
        <w:rPr>
          <w:rFonts w:asciiTheme="majorBidi" w:hAnsiTheme="majorBidi" w:cstheme="majorBidi"/>
          <w:sz w:val="24"/>
          <w:szCs w:val="24"/>
        </w:rPr>
        <w:t>Qutayba punished the rebelled Nīzak</w:t>
      </w:r>
      <w:r w:rsidR="009E27C9">
        <w:rPr>
          <w:rFonts w:asciiTheme="majorBidi" w:hAnsiTheme="majorBidi" w:cstheme="majorBidi"/>
          <w:sz w:val="24"/>
          <w:szCs w:val="24"/>
        </w:rPr>
        <w:t>:</w:t>
      </w:r>
      <w:r w:rsidR="00C9028D">
        <w:rPr>
          <w:rStyle w:val="FootnoteReference"/>
          <w:rFonts w:asciiTheme="majorBidi" w:hAnsiTheme="majorBidi" w:cstheme="majorBidi"/>
          <w:sz w:val="24"/>
          <w:szCs w:val="24"/>
        </w:rPr>
        <w:footnoteReference w:id="205"/>
      </w:r>
      <w:r w:rsidRPr="00C9028D">
        <w:rPr>
          <w:rFonts w:asciiTheme="majorBidi" w:hAnsiTheme="majorBidi" w:cstheme="majorBidi"/>
          <w:sz w:val="24"/>
          <w:szCs w:val="24"/>
        </w:rPr>
        <w:t xml:space="preserve"> </w:t>
      </w:r>
      <w:r w:rsidR="009E27C9">
        <w:rPr>
          <w:rFonts w:asciiTheme="majorBidi" w:hAnsiTheme="majorBidi" w:cstheme="majorBidi"/>
          <w:sz w:val="24"/>
          <w:szCs w:val="24"/>
        </w:rPr>
        <w:t>h</w:t>
      </w:r>
      <w:r w:rsidRPr="00C9028D">
        <w:rPr>
          <w:rFonts w:asciiTheme="majorBidi" w:hAnsiTheme="majorBidi" w:cstheme="majorBidi"/>
          <w:sz w:val="24"/>
          <w:szCs w:val="24"/>
        </w:rPr>
        <w:t xml:space="preserve">e executed </w:t>
      </w:r>
      <w:r w:rsidR="00767FE9">
        <w:rPr>
          <w:rFonts w:asciiTheme="majorBidi" w:hAnsiTheme="majorBidi" w:cstheme="majorBidi"/>
          <w:sz w:val="24"/>
          <w:szCs w:val="24"/>
        </w:rPr>
        <w:t>him</w:t>
      </w:r>
      <w:r w:rsidRPr="00C9028D">
        <w:rPr>
          <w:rFonts w:asciiTheme="majorBidi" w:hAnsiTheme="majorBidi" w:cstheme="majorBidi"/>
          <w:sz w:val="24"/>
          <w:szCs w:val="24"/>
        </w:rPr>
        <w:t xml:space="preserve"> together with his male </w:t>
      </w:r>
      <w:r w:rsidRPr="00C9028D">
        <w:rPr>
          <w:rFonts w:asciiTheme="majorBidi" w:hAnsiTheme="majorBidi" w:cstheme="majorBidi"/>
          <w:sz w:val="24"/>
          <w:szCs w:val="24"/>
        </w:rPr>
        <w:lastRenderedPageBreak/>
        <w:t>family members and close dependents.</w:t>
      </w:r>
      <w:r w:rsidRPr="00C9028D">
        <w:rPr>
          <w:rStyle w:val="FootnoteReference"/>
          <w:rFonts w:asciiTheme="majorBidi" w:hAnsiTheme="majorBidi" w:cstheme="majorBidi"/>
          <w:sz w:val="24"/>
          <w:szCs w:val="24"/>
        </w:rPr>
        <w:footnoteReference w:id="206"/>
      </w:r>
      <w:r w:rsidRPr="00C9028D">
        <w:rPr>
          <w:rFonts w:asciiTheme="majorBidi" w:hAnsiTheme="majorBidi" w:cstheme="majorBidi"/>
          <w:sz w:val="24"/>
          <w:szCs w:val="24"/>
        </w:rPr>
        <w:t xml:space="preserve"> In other words, he terminated the Nīzak dynasty.</w:t>
      </w:r>
      <w:r w:rsidRPr="00C9028D">
        <w:rPr>
          <w:rFonts w:asciiTheme="majorBidi" w:hAnsiTheme="majorBidi" w:cstheme="majorBidi" w:hint="eastAsia"/>
          <w:sz w:val="24"/>
          <w:szCs w:val="24"/>
        </w:rPr>
        <w:t xml:space="preserve"> </w:t>
      </w:r>
      <w:r w:rsidR="00070E9E">
        <w:rPr>
          <w:rFonts w:asciiTheme="majorBidi" w:hAnsiTheme="majorBidi" w:cstheme="majorBidi"/>
          <w:sz w:val="24"/>
          <w:szCs w:val="24"/>
        </w:rPr>
        <w:t>As for t</w:t>
      </w:r>
      <w:r w:rsidRPr="00C9028D">
        <w:rPr>
          <w:rFonts w:asciiTheme="majorBidi" w:hAnsiTheme="majorBidi" w:cstheme="majorBidi"/>
          <w:sz w:val="24"/>
          <w:szCs w:val="24"/>
        </w:rPr>
        <w:t>he Yabghū dynasty</w:t>
      </w:r>
      <w:r w:rsidR="00070E9E">
        <w:rPr>
          <w:rFonts w:asciiTheme="majorBidi" w:hAnsiTheme="majorBidi" w:cstheme="majorBidi"/>
          <w:sz w:val="24"/>
          <w:szCs w:val="24"/>
        </w:rPr>
        <w:t>, it</w:t>
      </w:r>
      <w:r w:rsidR="00B40E1E">
        <w:rPr>
          <w:rFonts w:asciiTheme="majorBidi" w:hAnsiTheme="majorBidi" w:cstheme="majorBidi"/>
          <w:sz w:val="24"/>
          <w:szCs w:val="24"/>
        </w:rPr>
        <w:t xml:space="preserve"> </w:t>
      </w:r>
      <w:r w:rsidRPr="00C9028D">
        <w:rPr>
          <w:rFonts w:asciiTheme="majorBidi" w:hAnsiTheme="majorBidi" w:cstheme="majorBidi"/>
          <w:sz w:val="24"/>
          <w:szCs w:val="24"/>
        </w:rPr>
        <w:t>ceded vassals to the Arabs,</w:t>
      </w:r>
      <w:r w:rsidRPr="00C9028D">
        <w:rPr>
          <w:rStyle w:val="FootnoteReference"/>
          <w:rFonts w:asciiTheme="majorBidi" w:hAnsiTheme="majorBidi" w:cstheme="majorBidi"/>
          <w:sz w:val="24"/>
          <w:szCs w:val="24"/>
        </w:rPr>
        <w:footnoteReference w:id="207"/>
      </w:r>
      <w:r w:rsidRPr="00C9028D">
        <w:rPr>
          <w:rFonts w:asciiTheme="majorBidi" w:hAnsiTheme="majorBidi" w:cstheme="majorBidi"/>
          <w:sz w:val="24"/>
          <w:szCs w:val="24"/>
        </w:rPr>
        <w:t xml:space="preserve"> probably ceased minting coins, and retreated to Badakhshān at this period.</w:t>
      </w:r>
      <w:r w:rsidRPr="00C9028D">
        <w:rPr>
          <w:rStyle w:val="FootnoteReference"/>
          <w:rFonts w:asciiTheme="majorBidi" w:hAnsiTheme="majorBidi" w:cstheme="majorBidi"/>
          <w:sz w:val="24"/>
          <w:szCs w:val="24"/>
        </w:rPr>
        <w:footnoteReference w:id="208"/>
      </w:r>
      <w:r w:rsidRPr="00C9028D">
        <w:rPr>
          <w:rFonts w:asciiTheme="majorBidi" w:hAnsiTheme="majorBidi" w:cstheme="majorBidi"/>
          <w:sz w:val="24"/>
          <w:szCs w:val="24"/>
        </w:rPr>
        <w:t xml:space="preserve"> However, because of its non-violence policy towards the Arabs, </w:t>
      </w:r>
      <w:r w:rsidR="00C9028D" w:rsidRPr="00C9028D">
        <w:rPr>
          <w:rFonts w:asciiTheme="majorBidi" w:hAnsiTheme="majorBidi" w:cstheme="majorBidi"/>
          <w:sz w:val="24"/>
          <w:szCs w:val="24"/>
        </w:rPr>
        <w:t>Qutayba</w:t>
      </w:r>
      <w:r w:rsidRPr="00C9028D">
        <w:rPr>
          <w:rFonts w:asciiTheme="majorBidi" w:hAnsiTheme="majorBidi" w:cstheme="majorBidi"/>
          <w:sz w:val="24"/>
          <w:szCs w:val="24"/>
        </w:rPr>
        <w:t xml:space="preserve"> let the dynasty survive under the hegemony of the Arabs and maintain its administration and foreign relations.</w:t>
      </w:r>
      <w:r w:rsidRPr="00C9028D">
        <w:rPr>
          <w:rStyle w:val="FootnoteReference"/>
          <w:rFonts w:asciiTheme="majorBidi" w:hAnsiTheme="majorBidi" w:cstheme="majorBidi"/>
          <w:sz w:val="24"/>
          <w:szCs w:val="24"/>
        </w:rPr>
        <w:footnoteReference w:id="209"/>
      </w:r>
      <w:r w:rsidR="009E27C9">
        <w:rPr>
          <w:rFonts w:asciiTheme="majorBidi" w:hAnsiTheme="majorBidi" w:cstheme="majorBidi"/>
          <w:sz w:val="24"/>
          <w:szCs w:val="24"/>
        </w:rPr>
        <w:t xml:space="preserve"> </w:t>
      </w:r>
    </w:p>
    <w:p w14:paraId="1FD7981E" w14:textId="39D47739" w:rsidR="00401DB6" w:rsidRDefault="009E27C9" w:rsidP="009E27C9">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lastRenderedPageBreak/>
        <w:t>T</w:t>
      </w:r>
      <w:r w:rsidRPr="00B40E1E">
        <w:rPr>
          <w:rFonts w:asciiTheme="majorBidi" w:hAnsiTheme="majorBidi" w:cstheme="majorBidi"/>
          <w:sz w:val="24"/>
          <w:szCs w:val="24"/>
        </w:rPr>
        <w:t>he Arabs were able to control the whole of Ṭukhāristān including the Hephthalite Bāghlān and the Yabghū’s Badakhshān in eastern Ṭukhāristān</w:t>
      </w:r>
      <w:r w:rsidR="00767FE9">
        <w:rPr>
          <w:rFonts w:asciiTheme="majorBidi" w:hAnsiTheme="majorBidi" w:cstheme="majorBidi"/>
          <w:sz w:val="24"/>
          <w:szCs w:val="24"/>
        </w:rPr>
        <w:t>, with</w:t>
      </w:r>
      <w:r w:rsidRPr="00B40E1E">
        <w:rPr>
          <w:rFonts w:asciiTheme="majorBidi" w:hAnsiTheme="majorBidi" w:cstheme="majorBidi"/>
          <w:sz w:val="24"/>
          <w:szCs w:val="24"/>
        </w:rPr>
        <w:t xml:space="preserve"> Balkh </w:t>
      </w:r>
      <w:r w:rsidR="00767FE9">
        <w:rPr>
          <w:rFonts w:asciiTheme="majorBidi" w:hAnsiTheme="majorBidi" w:cstheme="majorBidi"/>
          <w:sz w:val="24"/>
          <w:szCs w:val="24"/>
        </w:rPr>
        <w:t>becoming an</w:t>
      </w:r>
      <w:r w:rsidRPr="00B40E1E">
        <w:rPr>
          <w:rFonts w:asciiTheme="majorBidi" w:hAnsiTheme="majorBidi" w:cstheme="majorBidi"/>
          <w:sz w:val="24"/>
          <w:szCs w:val="24"/>
        </w:rPr>
        <w:t xml:space="preserve"> Arab </w:t>
      </w:r>
      <w:r w:rsidR="00767FE9">
        <w:rPr>
          <w:rFonts w:asciiTheme="majorBidi" w:hAnsiTheme="majorBidi" w:cstheme="majorBidi"/>
          <w:sz w:val="24"/>
          <w:szCs w:val="24"/>
        </w:rPr>
        <w:t>garrison town</w:t>
      </w:r>
      <w:r w:rsidRPr="00B40E1E">
        <w:rPr>
          <w:rFonts w:asciiTheme="majorBidi" w:hAnsiTheme="majorBidi" w:cstheme="majorBidi"/>
          <w:sz w:val="24"/>
          <w:szCs w:val="24"/>
        </w:rPr>
        <w:t>.</w:t>
      </w:r>
      <w:r>
        <w:rPr>
          <w:rStyle w:val="FootnoteReference"/>
          <w:rFonts w:asciiTheme="majorBidi" w:hAnsiTheme="majorBidi" w:cstheme="majorBidi"/>
          <w:sz w:val="24"/>
          <w:szCs w:val="24"/>
        </w:rPr>
        <w:footnoteReference w:id="210"/>
      </w:r>
      <w:r>
        <w:rPr>
          <w:rFonts w:asciiTheme="majorBidi" w:hAnsiTheme="majorBidi" w:cstheme="majorBidi"/>
          <w:sz w:val="24"/>
          <w:szCs w:val="24"/>
        </w:rPr>
        <w:t xml:space="preserve"> </w:t>
      </w:r>
      <w:r w:rsidR="00503A03">
        <w:rPr>
          <w:rFonts w:asciiTheme="majorBidi" w:hAnsiTheme="majorBidi" w:cstheme="majorBidi"/>
          <w:sz w:val="24"/>
          <w:szCs w:val="24"/>
        </w:rPr>
        <w:t xml:space="preserve">Ṭukhāristān </w:t>
      </w:r>
      <w:r w:rsidR="00FF3E4E">
        <w:rPr>
          <w:rFonts w:asciiTheme="majorBidi" w:hAnsiTheme="majorBidi" w:cstheme="majorBidi"/>
          <w:sz w:val="24"/>
          <w:szCs w:val="24"/>
        </w:rPr>
        <w:t>was incorporated</w:t>
      </w:r>
      <w:r w:rsidR="00503A03">
        <w:rPr>
          <w:rFonts w:asciiTheme="majorBidi" w:hAnsiTheme="majorBidi" w:cstheme="majorBidi"/>
          <w:sz w:val="24"/>
          <w:szCs w:val="24"/>
        </w:rPr>
        <w:t xml:space="preserve"> into the Muslim world and started the slow but steady process of Islamization.</w:t>
      </w:r>
      <w:r w:rsidR="00503A03">
        <w:rPr>
          <w:rStyle w:val="FootnoteReference"/>
          <w:rFonts w:asciiTheme="majorBidi" w:hAnsiTheme="majorBidi" w:cstheme="majorBidi"/>
          <w:sz w:val="24"/>
          <w:szCs w:val="24"/>
        </w:rPr>
        <w:footnoteReference w:id="211"/>
      </w:r>
      <w:r w:rsidR="00503A03">
        <w:rPr>
          <w:rFonts w:asciiTheme="majorBidi" w:hAnsiTheme="majorBidi" w:cstheme="majorBidi"/>
          <w:sz w:val="24"/>
          <w:szCs w:val="24"/>
        </w:rPr>
        <w:t xml:space="preserve"> </w:t>
      </w:r>
      <w:r>
        <w:rPr>
          <w:rFonts w:asciiTheme="majorBidi" w:hAnsiTheme="majorBidi" w:cstheme="majorBidi"/>
          <w:sz w:val="24"/>
          <w:szCs w:val="24"/>
        </w:rPr>
        <w:t>And the Arabs</w:t>
      </w:r>
      <w:r w:rsidR="00503A03">
        <w:rPr>
          <w:rFonts w:asciiTheme="majorBidi" w:hAnsiTheme="majorBidi" w:cstheme="majorBidi"/>
          <w:sz w:val="24"/>
          <w:szCs w:val="24"/>
        </w:rPr>
        <w:t xml:space="preserve"> </w:t>
      </w:r>
      <w:r w:rsidR="002D37A5">
        <w:rPr>
          <w:rFonts w:asciiTheme="majorBidi" w:hAnsiTheme="majorBidi" w:cstheme="majorBidi"/>
          <w:sz w:val="24"/>
          <w:szCs w:val="24"/>
        </w:rPr>
        <w:t>could cross the Oxus with a more secure base</w:t>
      </w:r>
      <w:r w:rsidR="00503A03">
        <w:rPr>
          <w:rFonts w:asciiTheme="majorBidi" w:hAnsiTheme="majorBidi" w:cstheme="majorBidi"/>
          <w:sz w:val="24"/>
          <w:szCs w:val="24"/>
        </w:rPr>
        <w:t>.</w:t>
      </w:r>
    </w:p>
    <w:p w14:paraId="42E02517" w14:textId="5CD9A970" w:rsidR="002F7587" w:rsidRPr="002F7587" w:rsidRDefault="00CD1232" w:rsidP="002F7587">
      <w:pPr>
        <w:pStyle w:val="Heading3"/>
        <w:spacing w:line="360" w:lineRule="auto"/>
        <w:rPr>
          <w:rFonts w:asciiTheme="majorBidi" w:hAnsiTheme="majorBidi"/>
          <w:b/>
          <w:bCs/>
          <w:color w:val="auto"/>
        </w:rPr>
      </w:pPr>
      <w:bookmarkStart w:id="11" w:name="_Toc91623877"/>
      <w:r w:rsidRPr="00401DB6">
        <w:rPr>
          <w:rFonts w:asciiTheme="majorBidi" w:hAnsiTheme="majorBidi"/>
          <w:b/>
          <w:bCs/>
          <w:color w:val="auto"/>
        </w:rPr>
        <w:t>2.5 The failure of Pērōz to restore the Sasanian dynasty</w:t>
      </w:r>
      <w:bookmarkEnd w:id="11"/>
      <w:r w:rsidR="008A5DA5" w:rsidRPr="00401DB6">
        <w:rPr>
          <w:rStyle w:val="Heading3Char"/>
          <w:rFonts w:asciiTheme="majorBidi" w:hAnsiTheme="majorBidi"/>
          <w:b/>
          <w:bCs/>
          <w:color w:val="auto"/>
        </w:rPr>
        <w:t xml:space="preserve">    </w:t>
      </w:r>
    </w:p>
    <w:p w14:paraId="098D51B6" w14:textId="4D60230F" w:rsidR="007F3ACE" w:rsidRDefault="003E5FB3" w:rsidP="00EF47AB">
      <w:pPr>
        <w:spacing w:line="360" w:lineRule="auto"/>
        <w:rPr>
          <w:rFonts w:asciiTheme="majorBidi" w:hAnsiTheme="majorBidi" w:cstheme="majorBidi"/>
          <w:sz w:val="24"/>
          <w:szCs w:val="24"/>
        </w:rPr>
      </w:pPr>
      <w:r>
        <w:rPr>
          <w:rFonts w:asciiTheme="majorBidi" w:hAnsiTheme="majorBidi" w:cstheme="majorBidi"/>
          <w:sz w:val="24"/>
          <w:szCs w:val="24"/>
        </w:rPr>
        <w:t>A</w:t>
      </w:r>
      <w:r>
        <w:rPr>
          <w:rFonts w:asciiTheme="majorBidi" w:hAnsiTheme="majorBidi" w:cstheme="majorBidi" w:hint="eastAsia"/>
          <w:sz w:val="24"/>
          <w:szCs w:val="24"/>
        </w:rPr>
        <w:t>fter</w:t>
      </w:r>
      <w:r>
        <w:rPr>
          <w:rFonts w:asciiTheme="majorBidi" w:hAnsiTheme="majorBidi" w:cstheme="majorBidi"/>
          <w:sz w:val="24"/>
          <w:szCs w:val="24"/>
        </w:rPr>
        <w:t xml:space="preserve"> studying the political situation from both the side of the local dynasties and the side of the Arabs, the ground is prepared to analyze Pērōz and his son Narseh’s experiences in </w:t>
      </w:r>
      <w:r w:rsidRPr="00D432FF">
        <w:rPr>
          <w:rFonts w:asciiTheme="majorBidi" w:hAnsiTheme="majorBidi" w:cstheme="majorBidi"/>
          <w:sz w:val="24"/>
          <w:szCs w:val="24"/>
        </w:rPr>
        <w:t>Ṭukhāristān</w:t>
      </w:r>
      <w:r>
        <w:rPr>
          <w:rFonts w:asciiTheme="majorBidi" w:hAnsiTheme="majorBidi" w:cstheme="majorBidi"/>
          <w:sz w:val="24"/>
          <w:szCs w:val="24"/>
        </w:rPr>
        <w:t xml:space="preserve">. </w:t>
      </w:r>
      <w:r w:rsidR="004E1A83">
        <w:rPr>
          <w:rFonts w:asciiTheme="majorBidi" w:hAnsiTheme="majorBidi" w:cstheme="majorBidi"/>
          <w:sz w:val="24"/>
          <w:szCs w:val="24"/>
        </w:rPr>
        <w:t>According to the Chinese sources, Pērōz’s</w:t>
      </w:r>
      <w:r w:rsidR="007F3ACE">
        <w:rPr>
          <w:rFonts w:asciiTheme="majorBidi" w:hAnsiTheme="majorBidi" w:cstheme="majorBidi"/>
          <w:sz w:val="24"/>
          <w:szCs w:val="24"/>
        </w:rPr>
        <w:t xml:space="preserve"> biggest achievement is the recovery of Ji-ling-cheng</w:t>
      </w:r>
      <w:r w:rsidR="004E1A83">
        <w:rPr>
          <w:rFonts w:asciiTheme="majorBidi" w:hAnsiTheme="majorBidi" w:cstheme="majorBidi"/>
          <w:sz w:val="24"/>
          <w:szCs w:val="24"/>
        </w:rPr>
        <w:t>, whither he returned under the military escort of the Yabghū’s troops,</w:t>
      </w:r>
      <w:r w:rsidR="004E1A83">
        <w:rPr>
          <w:rStyle w:val="FootnoteReference"/>
          <w:rFonts w:asciiTheme="majorBidi" w:hAnsiTheme="majorBidi" w:cstheme="majorBidi"/>
          <w:sz w:val="24"/>
          <w:szCs w:val="24"/>
        </w:rPr>
        <w:footnoteReference w:id="212"/>
      </w:r>
      <w:r w:rsidR="004E1A83">
        <w:rPr>
          <w:rFonts w:asciiTheme="majorBidi" w:hAnsiTheme="majorBidi" w:cstheme="majorBidi"/>
          <w:sz w:val="24"/>
          <w:szCs w:val="24"/>
        </w:rPr>
        <w:t xml:space="preserve"> </w:t>
      </w:r>
      <w:r w:rsidR="007F3ACE">
        <w:rPr>
          <w:rFonts w:asciiTheme="majorBidi" w:hAnsiTheme="majorBidi" w:cstheme="majorBidi"/>
          <w:sz w:val="24"/>
          <w:szCs w:val="24"/>
        </w:rPr>
        <w:t>w</w:t>
      </w:r>
      <w:r w:rsidR="00EF47AB">
        <w:rPr>
          <w:rFonts w:asciiTheme="majorBidi" w:hAnsiTheme="majorBidi" w:cstheme="majorBidi"/>
          <w:sz w:val="24"/>
          <w:szCs w:val="24"/>
        </w:rPr>
        <w:t>hen the Arabs retreated</w:t>
      </w:r>
      <w:r w:rsidR="004E1A83">
        <w:rPr>
          <w:rFonts w:asciiTheme="majorBidi" w:hAnsiTheme="majorBidi" w:cstheme="majorBidi"/>
          <w:sz w:val="24"/>
          <w:szCs w:val="24"/>
        </w:rPr>
        <w:t>.</w:t>
      </w:r>
      <w:r w:rsidR="000D2A64">
        <w:rPr>
          <w:rStyle w:val="FootnoteReference"/>
          <w:rFonts w:asciiTheme="majorBidi" w:hAnsiTheme="majorBidi" w:cstheme="majorBidi"/>
          <w:sz w:val="24"/>
          <w:szCs w:val="24"/>
        </w:rPr>
        <w:footnoteReference w:id="213"/>
      </w:r>
    </w:p>
    <w:p w14:paraId="49E6410A" w14:textId="46EF7214" w:rsidR="00EF47AB" w:rsidRDefault="007F3ACE" w:rsidP="00EF47AB">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     Concerning the location of Ji-ling-cheng, </w:t>
      </w:r>
      <w:r w:rsidR="00EF47AB" w:rsidRPr="00D432FF">
        <w:rPr>
          <w:rFonts w:asciiTheme="majorBidi" w:hAnsiTheme="majorBidi" w:cstheme="majorBidi"/>
          <w:sz w:val="24"/>
          <w:szCs w:val="24"/>
        </w:rPr>
        <w:t>Pashazanous and Afkande argue against the identification of Ji-ling-cheng as</w:t>
      </w:r>
      <w:r w:rsidR="00EF47AB">
        <w:rPr>
          <w:rFonts w:asciiTheme="majorBidi" w:hAnsiTheme="majorBidi" w:cstheme="majorBidi"/>
          <w:sz w:val="24"/>
          <w:szCs w:val="24"/>
        </w:rPr>
        <w:t xml:space="preserve"> the capital of </w:t>
      </w:r>
      <w:r w:rsidR="00EF47AB" w:rsidRPr="00121C9E">
        <w:rPr>
          <w:rFonts w:asciiTheme="majorBidi" w:hAnsiTheme="majorBidi" w:cstheme="majorBidi"/>
          <w:sz w:val="24"/>
          <w:szCs w:val="24"/>
        </w:rPr>
        <w:t>Sīstān</w:t>
      </w:r>
      <w:r w:rsidR="00EF47AB" w:rsidRPr="00D432FF">
        <w:rPr>
          <w:rFonts w:asciiTheme="majorBidi" w:hAnsiTheme="majorBidi" w:cstheme="majorBidi"/>
          <w:sz w:val="24"/>
          <w:szCs w:val="24"/>
        </w:rPr>
        <w:t xml:space="preserve"> Zaranj, and suggest </w:t>
      </w:r>
      <w:r>
        <w:rPr>
          <w:rFonts w:asciiTheme="majorBidi" w:hAnsiTheme="majorBidi" w:cstheme="majorBidi"/>
          <w:sz w:val="24"/>
          <w:szCs w:val="24"/>
        </w:rPr>
        <w:t>that it was</w:t>
      </w:r>
      <w:r w:rsidR="00EF47AB" w:rsidRPr="00D432FF">
        <w:rPr>
          <w:rFonts w:asciiTheme="majorBidi" w:hAnsiTheme="majorBidi" w:cstheme="majorBidi"/>
          <w:sz w:val="24"/>
          <w:szCs w:val="24"/>
        </w:rPr>
        <w:t xml:space="preserve"> in</w:t>
      </w:r>
      <w:r w:rsidR="00EF47AB" w:rsidRPr="00B44DD4">
        <w:rPr>
          <w:rFonts w:asciiTheme="majorBidi" w:hAnsiTheme="majorBidi" w:cstheme="majorBidi"/>
          <w:sz w:val="24"/>
          <w:szCs w:val="24"/>
        </w:rPr>
        <w:t xml:space="preserve"> </w:t>
      </w:r>
      <w:r w:rsidR="00EF47AB" w:rsidRPr="00D432FF">
        <w:rPr>
          <w:rFonts w:asciiTheme="majorBidi" w:hAnsiTheme="majorBidi" w:cstheme="majorBidi"/>
          <w:sz w:val="24"/>
          <w:szCs w:val="24"/>
        </w:rPr>
        <w:t>Ṭukhāristān.</w:t>
      </w:r>
      <w:r w:rsidR="00EF47AB">
        <w:rPr>
          <w:rStyle w:val="FootnoteReference"/>
          <w:rFonts w:asciiTheme="majorBidi" w:hAnsiTheme="majorBidi" w:cstheme="majorBidi"/>
          <w:sz w:val="24"/>
          <w:szCs w:val="24"/>
        </w:rPr>
        <w:footnoteReference w:id="214"/>
      </w:r>
      <w:r w:rsidR="00EF47AB" w:rsidRPr="00D432FF">
        <w:rPr>
          <w:rFonts w:asciiTheme="majorBidi" w:hAnsiTheme="majorBidi" w:cstheme="majorBidi"/>
          <w:sz w:val="24"/>
          <w:szCs w:val="24"/>
        </w:rPr>
        <w:t xml:space="preserve"> </w:t>
      </w:r>
      <w:r w:rsidR="00EF47AB">
        <w:rPr>
          <w:rFonts w:asciiTheme="majorBidi" w:hAnsiTheme="majorBidi" w:cstheme="majorBidi"/>
          <w:sz w:val="24"/>
          <w:szCs w:val="24"/>
        </w:rPr>
        <w:t xml:space="preserve">However, a close reading of both the </w:t>
      </w:r>
      <w:r w:rsidR="00EF47AB" w:rsidRPr="00684088">
        <w:rPr>
          <w:rFonts w:asciiTheme="majorBidi" w:hAnsiTheme="majorBidi" w:cstheme="majorBidi"/>
          <w:i/>
          <w:iCs/>
          <w:sz w:val="24"/>
          <w:szCs w:val="24"/>
        </w:rPr>
        <w:t>Jiu</w:t>
      </w:r>
      <w:r w:rsidR="00EF47AB">
        <w:rPr>
          <w:rFonts w:asciiTheme="majorBidi" w:hAnsiTheme="majorBidi" w:cstheme="majorBidi"/>
          <w:sz w:val="24"/>
          <w:szCs w:val="24"/>
        </w:rPr>
        <w:t xml:space="preserve"> </w:t>
      </w:r>
      <w:r w:rsidR="00EF47AB">
        <w:rPr>
          <w:rFonts w:asciiTheme="majorBidi" w:hAnsiTheme="majorBidi" w:cstheme="majorBidi"/>
          <w:i/>
          <w:iCs/>
          <w:sz w:val="24"/>
          <w:szCs w:val="24"/>
        </w:rPr>
        <w:t>T</w:t>
      </w:r>
      <w:r w:rsidR="00EF47AB" w:rsidRPr="00B846B9">
        <w:rPr>
          <w:rFonts w:asciiTheme="majorBidi" w:hAnsiTheme="majorBidi" w:cstheme="majorBidi"/>
          <w:i/>
          <w:iCs/>
          <w:sz w:val="24"/>
          <w:szCs w:val="24"/>
        </w:rPr>
        <w:t>angshu</w:t>
      </w:r>
      <w:r w:rsidR="00EF47AB">
        <w:rPr>
          <w:rFonts w:asciiTheme="majorBidi" w:hAnsiTheme="majorBidi" w:cstheme="majorBidi"/>
          <w:sz w:val="24"/>
          <w:szCs w:val="24"/>
        </w:rPr>
        <w:t xml:space="preserve"> and the </w:t>
      </w:r>
      <w:r w:rsidR="00EF47AB" w:rsidRPr="00B846B9">
        <w:rPr>
          <w:rFonts w:asciiTheme="majorBidi" w:hAnsiTheme="majorBidi" w:cstheme="majorBidi"/>
          <w:i/>
          <w:iCs/>
          <w:sz w:val="24"/>
          <w:szCs w:val="24"/>
        </w:rPr>
        <w:t>Zizhi tongjian</w:t>
      </w:r>
      <w:r w:rsidR="00EF47AB">
        <w:rPr>
          <w:rFonts w:asciiTheme="majorBidi" w:hAnsiTheme="majorBidi" w:cstheme="majorBidi"/>
          <w:sz w:val="24"/>
          <w:szCs w:val="24"/>
        </w:rPr>
        <w:t xml:space="preserve"> </w:t>
      </w:r>
      <w:r w:rsidR="000F79CC">
        <w:rPr>
          <w:rFonts w:asciiTheme="majorBidi" w:hAnsiTheme="majorBidi" w:cstheme="majorBidi"/>
          <w:sz w:val="24"/>
          <w:szCs w:val="24"/>
        </w:rPr>
        <w:t xml:space="preserve">shows that Ji-ling-cheng used to be part of the Sasanian territories and was out of </w:t>
      </w:r>
      <w:r w:rsidR="000F79CC" w:rsidRPr="00D432FF">
        <w:rPr>
          <w:rFonts w:asciiTheme="majorBidi" w:hAnsiTheme="majorBidi" w:cstheme="majorBidi"/>
          <w:sz w:val="24"/>
          <w:szCs w:val="24"/>
        </w:rPr>
        <w:t>Ṭukhāristān</w:t>
      </w:r>
      <w:r w:rsidR="00EF47AB">
        <w:rPr>
          <w:rFonts w:asciiTheme="majorBidi" w:hAnsiTheme="majorBidi" w:cstheme="majorBidi"/>
          <w:sz w:val="24"/>
          <w:szCs w:val="24"/>
        </w:rPr>
        <w:t>.</w:t>
      </w:r>
      <w:r w:rsidR="00EF47AB">
        <w:rPr>
          <w:rStyle w:val="FootnoteReference"/>
          <w:rFonts w:asciiTheme="majorBidi" w:hAnsiTheme="majorBidi" w:cstheme="majorBidi"/>
          <w:sz w:val="24"/>
          <w:szCs w:val="24"/>
        </w:rPr>
        <w:footnoteReference w:id="215"/>
      </w:r>
    </w:p>
    <w:p w14:paraId="52A6C18A" w14:textId="74610D42" w:rsidR="00984F80" w:rsidRDefault="00EF47AB" w:rsidP="00984F80">
      <w:pPr>
        <w:spacing w:line="360" w:lineRule="auto"/>
        <w:rPr>
          <w:rFonts w:asciiTheme="majorBidi" w:hAnsiTheme="majorBidi" w:cstheme="majorBidi"/>
          <w:sz w:val="24"/>
          <w:szCs w:val="24"/>
        </w:rPr>
      </w:pPr>
      <w:r>
        <w:rPr>
          <w:rFonts w:asciiTheme="majorBidi" w:hAnsiTheme="majorBidi" w:cstheme="majorBidi"/>
          <w:sz w:val="24"/>
          <w:szCs w:val="24"/>
        </w:rPr>
        <w:t xml:space="preserve">     It is already clear that </w:t>
      </w:r>
      <w:r w:rsidR="007F3ACE">
        <w:rPr>
          <w:rFonts w:asciiTheme="majorBidi" w:hAnsiTheme="majorBidi" w:cstheme="majorBidi"/>
          <w:sz w:val="24"/>
          <w:szCs w:val="24"/>
        </w:rPr>
        <w:t xml:space="preserve">the region that </w:t>
      </w:r>
      <w:r>
        <w:rPr>
          <w:rFonts w:asciiTheme="majorBidi" w:hAnsiTheme="majorBidi" w:cstheme="majorBidi"/>
          <w:sz w:val="24"/>
          <w:szCs w:val="24"/>
        </w:rPr>
        <w:t xml:space="preserve">Pērōz returned to was Sīstān. The next issue is when he returned. The </w:t>
      </w:r>
      <w:r w:rsidRPr="00DA1910">
        <w:rPr>
          <w:rFonts w:asciiTheme="majorBidi" w:hAnsiTheme="majorBidi" w:cstheme="majorBidi"/>
          <w:i/>
          <w:iCs/>
          <w:sz w:val="24"/>
          <w:szCs w:val="24"/>
        </w:rPr>
        <w:t>Jiu Tangshu</w:t>
      </w:r>
      <w:r>
        <w:rPr>
          <w:rFonts w:asciiTheme="majorBidi" w:hAnsiTheme="majorBidi" w:cstheme="majorBidi"/>
          <w:sz w:val="24"/>
          <w:szCs w:val="24"/>
        </w:rPr>
        <w:t xml:space="preserve"> and the </w:t>
      </w:r>
      <w:r w:rsidRPr="00DA1910">
        <w:rPr>
          <w:rFonts w:asciiTheme="majorBidi" w:hAnsiTheme="majorBidi" w:cstheme="majorBidi"/>
          <w:i/>
          <w:iCs/>
          <w:sz w:val="24"/>
          <w:szCs w:val="24"/>
        </w:rPr>
        <w:t>Xin Tangshu</w:t>
      </w:r>
      <w:r>
        <w:rPr>
          <w:rFonts w:asciiTheme="majorBidi" w:hAnsiTheme="majorBidi" w:cstheme="majorBidi"/>
          <w:sz w:val="24"/>
          <w:szCs w:val="24"/>
        </w:rPr>
        <w:t xml:space="preserve"> do not give a specific year, while </w:t>
      </w:r>
      <w:r w:rsidRPr="00DA1910">
        <w:rPr>
          <w:rFonts w:asciiTheme="majorBidi" w:hAnsiTheme="majorBidi" w:cstheme="majorBidi"/>
          <w:i/>
          <w:iCs/>
          <w:sz w:val="24"/>
          <w:szCs w:val="24"/>
        </w:rPr>
        <w:t>the Zizhi tongjian</w:t>
      </w:r>
      <w:r>
        <w:rPr>
          <w:rFonts w:asciiTheme="majorBidi" w:hAnsiTheme="majorBidi" w:cstheme="majorBidi"/>
          <w:sz w:val="24"/>
          <w:szCs w:val="24"/>
        </w:rPr>
        <w:t xml:space="preserve"> </w:t>
      </w:r>
      <w:r w:rsidR="00753105">
        <w:rPr>
          <w:rFonts w:asciiTheme="majorBidi" w:hAnsiTheme="majorBidi" w:cstheme="majorBidi"/>
          <w:sz w:val="24"/>
          <w:szCs w:val="24"/>
        </w:rPr>
        <w:t>gives the date of</w:t>
      </w:r>
      <w:r>
        <w:rPr>
          <w:rFonts w:asciiTheme="majorBidi" w:hAnsiTheme="majorBidi" w:cstheme="majorBidi"/>
          <w:sz w:val="24"/>
          <w:szCs w:val="24"/>
        </w:rPr>
        <w:t xml:space="preserve"> 654 CE.</w:t>
      </w:r>
      <w:r>
        <w:rPr>
          <w:rStyle w:val="FootnoteReference"/>
          <w:rFonts w:asciiTheme="majorBidi" w:hAnsiTheme="majorBidi" w:cstheme="majorBidi"/>
          <w:sz w:val="24"/>
          <w:szCs w:val="24"/>
        </w:rPr>
        <w:footnoteReference w:id="216"/>
      </w:r>
      <w:r>
        <w:rPr>
          <w:rFonts w:asciiTheme="majorBidi" w:hAnsiTheme="majorBidi" w:cstheme="majorBidi"/>
          <w:sz w:val="24"/>
          <w:szCs w:val="24"/>
        </w:rPr>
        <w:t xml:space="preserve"> </w:t>
      </w:r>
      <w:r w:rsidR="005C5ACB">
        <w:rPr>
          <w:rFonts w:asciiTheme="majorBidi" w:hAnsiTheme="majorBidi" w:cstheme="majorBidi"/>
          <w:sz w:val="24"/>
          <w:szCs w:val="24"/>
        </w:rPr>
        <w:t xml:space="preserve">However, the date is impossible, since the rebellion in Sīstān </w:t>
      </w:r>
      <w:r w:rsidR="00984F80">
        <w:rPr>
          <w:rFonts w:asciiTheme="majorBidi" w:hAnsiTheme="majorBidi" w:cstheme="majorBidi"/>
          <w:sz w:val="24"/>
          <w:szCs w:val="24"/>
        </w:rPr>
        <w:t xml:space="preserve">is reported by both al-Balādhurī’s history and the local Persian history </w:t>
      </w:r>
      <w:r w:rsidR="00984F80" w:rsidRPr="00CF36FD">
        <w:rPr>
          <w:rFonts w:asciiTheme="majorBidi" w:hAnsiTheme="majorBidi" w:cstheme="majorBidi"/>
          <w:i/>
          <w:iCs/>
          <w:sz w:val="24"/>
          <w:szCs w:val="24"/>
        </w:rPr>
        <w:t>Tārīkh-e Sīstān</w:t>
      </w:r>
      <w:r w:rsidR="00984F80">
        <w:rPr>
          <w:rFonts w:asciiTheme="majorBidi" w:hAnsiTheme="majorBidi" w:cstheme="majorBidi"/>
          <w:sz w:val="24"/>
          <w:szCs w:val="24"/>
        </w:rPr>
        <w:t xml:space="preserve"> taking place when </w:t>
      </w:r>
      <w:r>
        <w:rPr>
          <w:rFonts w:asciiTheme="majorBidi" w:hAnsiTheme="majorBidi" w:cstheme="majorBidi"/>
          <w:sz w:val="24"/>
          <w:szCs w:val="24"/>
        </w:rPr>
        <w:t xml:space="preserve">the Arab governor of Sīstān ‘Abd al-Raḥmān ibn Samura left Sīstān to join </w:t>
      </w:r>
      <w:proofErr w:type="gramStart"/>
      <w:r>
        <w:rPr>
          <w:rFonts w:asciiTheme="majorBidi" w:hAnsiTheme="majorBidi" w:cstheme="majorBidi"/>
          <w:sz w:val="24"/>
          <w:szCs w:val="24"/>
        </w:rPr>
        <w:t>Mu‘</w:t>
      </w:r>
      <w:proofErr w:type="gramEnd"/>
      <w:r>
        <w:rPr>
          <w:rFonts w:asciiTheme="majorBidi" w:hAnsiTheme="majorBidi" w:cstheme="majorBidi"/>
          <w:sz w:val="24"/>
          <w:szCs w:val="24"/>
        </w:rPr>
        <w:t>awiya after the death of ‘Uthmān in 656 CE</w:t>
      </w:r>
      <w:r w:rsidR="00984F80">
        <w:rPr>
          <w:rFonts w:asciiTheme="majorBidi" w:hAnsiTheme="majorBidi" w:cstheme="majorBidi"/>
          <w:sz w:val="24"/>
          <w:szCs w:val="24"/>
        </w:rPr>
        <w:t>.</w:t>
      </w:r>
      <w:r>
        <w:rPr>
          <w:rFonts w:asciiTheme="majorBidi" w:hAnsiTheme="majorBidi" w:cstheme="majorBidi"/>
          <w:sz w:val="24"/>
          <w:szCs w:val="24"/>
        </w:rPr>
        <w:t xml:space="preserve"> </w:t>
      </w:r>
      <w:r w:rsidR="00984F80">
        <w:rPr>
          <w:rFonts w:asciiTheme="majorBidi" w:hAnsiTheme="majorBidi" w:cstheme="majorBidi"/>
          <w:sz w:val="24"/>
          <w:szCs w:val="24"/>
        </w:rPr>
        <w:t>T</w:t>
      </w:r>
      <w:r>
        <w:rPr>
          <w:rFonts w:asciiTheme="majorBidi" w:hAnsiTheme="majorBidi" w:cstheme="majorBidi"/>
          <w:sz w:val="24"/>
          <w:szCs w:val="24"/>
        </w:rPr>
        <w:t xml:space="preserve">he locals expelled his viceroy and </w:t>
      </w:r>
      <w:r w:rsidR="00984F80">
        <w:rPr>
          <w:rFonts w:asciiTheme="majorBidi" w:hAnsiTheme="majorBidi" w:cstheme="majorBidi"/>
          <w:sz w:val="24"/>
          <w:szCs w:val="24"/>
        </w:rPr>
        <w:t>withdrew</w:t>
      </w:r>
      <w:r>
        <w:rPr>
          <w:rFonts w:asciiTheme="majorBidi" w:hAnsiTheme="majorBidi" w:cstheme="majorBidi"/>
          <w:sz w:val="24"/>
          <w:szCs w:val="24"/>
        </w:rPr>
        <w:t xml:space="preserve"> the annual tribute imposed </w:t>
      </w:r>
      <w:r w:rsidR="00E037B9">
        <w:rPr>
          <w:rFonts w:asciiTheme="majorBidi" w:hAnsiTheme="majorBidi" w:cstheme="majorBidi"/>
          <w:sz w:val="24"/>
          <w:szCs w:val="24"/>
        </w:rPr>
        <w:t>upon them</w:t>
      </w:r>
      <w:r>
        <w:rPr>
          <w:rFonts w:asciiTheme="majorBidi" w:hAnsiTheme="majorBidi" w:cstheme="majorBidi"/>
          <w:sz w:val="24"/>
          <w:szCs w:val="24"/>
        </w:rPr>
        <w:t>.</w:t>
      </w:r>
      <w:r>
        <w:rPr>
          <w:rStyle w:val="FootnoteReference"/>
          <w:rFonts w:asciiTheme="majorBidi" w:hAnsiTheme="majorBidi" w:cstheme="majorBidi"/>
          <w:sz w:val="24"/>
          <w:szCs w:val="24"/>
        </w:rPr>
        <w:footnoteReference w:id="217"/>
      </w:r>
      <w:r>
        <w:rPr>
          <w:rFonts w:asciiTheme="majorBidi" w:hAnsiTheme="majorBidi" w:cstheme="majorBidi"/>
          <w:sz w:val="24"/>
          <w:szCs w:val="24"/>
        </w:rPr>
        <w:t xml:space="preserve"> </w:t>
      </w:r>
      <w:r w:rsidR="00753105">
        <w:rPr>
          <w:rFonts w:asciiTheme="majorBidi" w:hAnsiTheme="majorBidi" w:cstheme="majorBidi"/>
          <w:sz w:val="24"/>
          <w:szCs w:val="24"/>
        </w:rPr>
        <w:t>T</w:t>
      </w:r>
      <w:r>
        <w:rPr>
          <w:rFonts w:asciiTheme="majorBidi" w:hAnsiTheme="majorBidi" w:cstheme="majorBidi"/>
          <w:sz w:val="24"/>
          <w:szCs w:val="24"/>
        </w:rPr>
        <w:t xml:space="preserve">he rebellion </w:t>
      </w:r>
      <w:r w:rsidR="00984F80">
        <w:rPr>
          <w:rFonts w:asciiTheme="majorBidi" w:hAnsiTheme="majorBidi" w:cstheme="majorBidi"/>
          <w:sz w:val="24"/>
          <w:szCs w:val="24"/>
        </w:rPr>
        <w:t>lasted until</w:t>
      </w:r>
      <w:r>
        <w:rPr>
          <w:rFonts w:asciiTheme="majorBidi" w:hAnsiTheme="majorBidi" w:cstheme="majorBidi"/>
          <w:sz w:val="24"/>
          <w:szCs w:val="24"/>
        </w:rPr>
        <w:t xml:space="preserve"> ‘Abd al-Raḥmān ibn Samura return</w:t>
      </w:r>
      <w:r w:rsidR="00984F80">
        <w:rPr>
          <w:rFonts w:asciiTheme="majorBidi" w:hAnsiTheme="majorBidi" w:cstheme="majorBidi"/>
          <w:sz w:val="24"/>
          <w:szCs w:val="24"/>
        </w:rPr>
        <w:t>ing</w:t>
      </w:r>
      <w:r>
        <w:rPr>
          <w:rFonts w:asciiTheme="majorBidi" w:hAnsiTheme="majorBidi" w:cstheme="majorBidi"/>
          <w:sz w:val="24"/>
          <w:szCs w:val="24"/>
        </w:rPr>
        <w:t xml:space="preserve"> to the region.</w:t>
      </w:r>
    </w:p>
    <w:p w14:paraId="14FD9E5D" w14:textId="2061223D" w:rsidR="00EF47AB" w:rsidRDefault="00984F80" w:rsidP="00984F80">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A</w:t>
      </w:r>
      <w:r w:rsidR="00EF47AB">
        <w:rPr>
          <w:rFonts w:asciiTheme="majorBidi" w:hAnsiTheme="majorBidi" w:cstheme="majorBidi"/>
          <w:sz w:val="24"/>
          <w:szCs w:val="24"/>
        </w:rPr>
        <w:t xml:space="preserve">l-Balādhurī’s report varies from </w:t>
      </w:r>
      <w:r w:rsidR="00EF47AB" w:rsidRPr="00CF36FD">
        <w:rPr>
          <w:rFonts w:asciiTheme="majorBidi" w:hAnsiTheme="majorBidi" w:cstheme="majorBidi"/>
          <w:i/>
          <w:iCs/>
          <w:sz w:val="24"/>
          <w:szCs w:val="24"/>
        </w:rPr>
        <w:t>Tārīkh-e Sīstān</w:t>
      </w:r>
      <w:r w:rsidR="00EF47AB">
        <w:rPr>
          <w:rFonts w:asciiTheme="majorBidi" w:hAnsiTheme="majorBidi" w:cstheme="majorBidi"/>
          <w:sz w:val="24"/>
          <w:szCs w:val="24"/>
        </w:rPr>
        <w:t xml:space="preserve"> concerning ‘Abd al-Raḥmān ibn Samura’s whereabouts during the Fitna.</w:t>
      </w:r>
      <w:r w:rsidR="00EF47AB">
        <w:rPr>
          <w:rStyle w:val="FootnoteReference"/>
          <w:rFonts w:asciiTheme="majorBidi" w:hAnsiTheme="majorBidi" w:cstheme="majorBidi"/>
          <w:sz w:val="24"/>
          <w:szCs w:val="24"/>
        </w:rPr>
        <w:footnoteReference w:id="218"/>
      </w:r>
      <w:r w:rsidR="00EF47AB">
        <w:rPr>
          <w:rFonts w:asciiTheme="majorBidi" w:hAnsiTheme="majorBidi" w:cstheme="majorBidi"/>
          <w:sz w:val="24"/>
          <w:szCs w:val="24"/>
        </w:rPr>
        <w:t xml:space="preserve"> Bosworth tries to reconcile the two sources and suggests that the governor was campaigning in Zābulistān.</w:t>
      </w:r>
      <w:r w:rsidR="00EF47AB">
        <w:rPr>
          <w:rStyle w:val="FootnoteReference"/>
          <w:rFonts w:asciiTheme="majorBidi" w:hAnsiTheme="majorBidi" w:cstheme="majorBidi"/>
          <w:sz w:val="24"/>
          <w:szCs w:val="24"/>
        </w:rPr>
        <w:footnoteReference w:id="219"/>
      </w:r>
      <w:r w:rsidR="00EF47AB">
        <w:rPr>
          <w:rFonts w:asciiTheme="majorBidi" w:hAnsiTheme="majorBidi" w:cstheme="majorBidi"/>
          <w:sz w:val="24"/>
          <w:szCs w:val="24"/>
        </w:rPr>
        <w:t xml:space="preserve"> However, to campaign in a difficult region with a turbulent base is high improbable. A more likely </w:t>
      </w:r>
      <w:r w:rsidR="00EF47AB">
        <w:rPr>
          <w:rFonts w:asciiTheme="majorBidi" w:hAnsiTheme="majorBidi" w:cstheme="majorBidi"/>
          <w:sz w:val="24"/>
          <w:szCs w:val="24"/>
        </w:rPr>
        <w:lastRenderedPageBreak/>
        <w:t xml:space="preserve">solution is to follow the earlier historian al-Balādhurī instead of the late and chronologically difficult </w:t>
      </w:r>
      <w:r w:rsidR="00EF47AB" w:rsidRPr="00CF36FD">
        <w:rPr>
          <w:rFonts w:asciiTheme="majorBidi" w:hAnsiTheme="majorBidi" w:cstheme="majorBidi"/>
          <w:i/>
          <w:iCs/>
          <w:sz w:val="24"/>
          <w:szCs w:val="24"/>
        </w:rPr>
        <w:t>Tārīkh-e Sīstān</w:t>
      </w:r>
      <w:r w:rsidR="00EF47AB">
        <w:rPr>
          <w:rFonts w:asciiTheme="majorBidi" w:hAnsiTheme="majorBidi" w:cstheme="majorBidi"/>
          <w:sz w:val="24"/>
          <w:szCs w:val="24"/>
        </w:rPr>
        <w:t xml:space="preserve">. In other words, ‘Abd al-Raḥmān ibn Samura was absent from Sīstān until returning </w:t>
      </w:r>
      <w:r>
        <w:rPr>
          <w:rFonts w:asciiTheme="majorBidi" w:hAnsiTheme="majorBidi" w:cstheme="majorBidi"/>
          <w:sz w:val="24"/>
          <w:szCs w:val="24"/>
        </w:rPr>
        <w:t xml:space="preserve">as a representative of </w:t>
      </w:r>
      <w:r w:rsidRPr="00D22B69">
        <w:rPr>
          <w:rFonts w:asciiTheme="majorBidi" w:hAnsiTheme="majorBidi" w:cstheme="majorBidi"/>
          <w:sz w:val="24"/>
          <w:szCs w:val="24"/>
        </w:rPr>
        <w:t>Muʿāwiya </w:t>
      </w:r>
      <w:r>
        <w:rPr>
          <w:rFonts w:asciiTheme="majorBidi" w:hAnsiTheme="majorBidi" w:cstheme="majorBidi"/>
          <w:sz w:val="24"/>
          <w:szCs w:val="24"/>
        </w:rPr>
        <w:t xml:space="preserve">I </w:t>
      </w:r>
      <w:r w:rsidR="00EF47AB">
        <w:rPr>
          <w:rFonts w:asciiTheme="majorBidi" w:hAnsiTheme="majorBidi" w:cstheme="majorBidi"/>
          <w:sz w:val="24"/>
          <w:szCs w:val="24"/>
        </w:rPr>
        <w:t>in 661 CE, while Al</w:t>
      </w:r>
      <w:r w:rsidR="00753105">
        <w:rPr>
          <w:rFonts w:asciiTheme="majorBidi" w:hAnsiTheme="majorBidi" w:cstheme="majorBidi"/>
          <w:sz w:val="24"/>
          <w:szCs w:val="24"/>
        </w:rPr>
        <w:t xml:space="preserve">ī </w:t>
      </w:r>
      <w:r w:rsidR="00EF47AB">
        <w:rPr>
          <w:rFonts w:asciiTheme="majorBidi" w:hAnsiTheme="majorBidi" w:cstheme="majorBidi"/>
          <w:sz w:val="24"/>
          <w:szCs w:val="24"/>
        </w:rPr>
        <w:t>also failed to establish order in the region</w:t>
      </w:r>
      <w:r w:rsidR="008028D8">
        <w:rPr>
          <w:rFonts w:asciiTheme="majorBidi" w:hAnsiTheme="majorBidi" w:cstheme="majorBidi"/>
          <w:sz w:val="24"/>
          <w:szCs w:val="24"/>
        </w:rPr>
        <w:t xml:space="preserve"> during ‘Abd al-Raḥmān ibn Samura’s absence</w:t>
      </w:r>
      <w:r w:rsidR="00EF47AB">
        <w:rPr>
          <w:rFonts w:asciiTheme="majorBidi" w:hAnsiTheme="majorBidi" w:cstheme="majorBidi"/>
          <w:sz w:val="24"/>
          <w:szCs w:val="24"/>
        </w:rPr>
        <w:t xml:space="preserve">. </w:t>
      </w:r>
      <w:r w:rsidR="008028D8">
        <w:rPr>
          <w:rFonts w:asciiTheme="majorBidi" w:hAnsiTheme="majorBidi" w:cstheme="majorBidi"/>
          <w:sz w:val="24"/>
          <w:szCs w:val="24"/>
        </w:rPr>
        <w:t>Therefore, t</w:t>
      </w:r>
      <w:r w:rsidR="00EF47AB">
        <w:rPr>
          <w:rFonts w:asciiTheme="majorBidi" w:hAnsiTheme="majorBidi" w:cstheme="majorBidi"/>
          <w:sz w:val="24"/>
          <w:szCs w:val="24"/>
        </w:rPr>
        <w:t>he rebellion took place between 656 and 661 CE.</w:t>
      </w:r>
      <w:r w:rsidR="00A414C2">
        <w:rPr>
          <w:rStyle w:val="FootnoteReference"/>
          <w:rFonts w:asciiTheme="majorBidi" w:hAnsiTheme="majorBidi" w:cstheme="majorBidi"/>
          <w:sz w:val="24"/>
          <w:szCs w:val="24"/>
        </w:rPr>
        <w:footnoteReference w:id="220"/>
      </w:r>
      <w:r w:rsidR="00EF47AB">
        <w:rPr>
          <w:rFonts w:asciiTheme="majorBidi" w:hAnsiTheme="majorBidi" w:cstheme="majorBidi"/>
          <w:sz w:val="24"/>
          <w:szCs w:val="24"/>
        </w:rPr>
        <w:t xml:space="preserve"> And Pērōz </w:t>
      </w:r>
      <w:r w:rsidR="008028D8">
        <w:rPr>
          <w:rFonts w:asciiTheme="majorBidi" w:hAnsiTheme="majorBidi" w:cstheme="majorBidi"/>
          <w:sz w:val="24"/>
          <w:szCs w:val="24"/>
        </w:rPr>
        <w:t>returned</w:t>
      </w:r>
      <w:r w:rsidR="00EF47AB">
        <w:rPr>
          <w:rFonts w:asciiTheme="majorBidi" w:hAnsiTheme="majorBidi" w:cstheme="majorBidi"/>
          <w:sz w:val="24"/>
          <w:szCs w:val="24"/>
        </w:rPr>
        <w:t xml:space="preserve"> to Sīstān only during the rebellion instead of before it. In other words, the year found in the </w:t>
      </w:r>
      <w:r w:rsidR="00EF47AB" w:rsidRPr="00D841F8">
        <w:rPr>
          <w:rFonts w:asciiTheme="majorBidi" w:hAnsiTheme="majorBidi" w:cstheme="majorBidi"/>
          <w:i/>
          <w:iCs/>
          <w:sz w:val="24"/>
          <w:szCs w:val="24"/>
        </w:rPr>
        <w:t>Zizhi tongjian</w:t>
      </w:r>
      <w:r w:rsidR="00EF47AB">
        <w:rPr>
          <w:rFonts w:asciiTheme="majorBidi" w:hAnsiTheme="majorBidi" w:cstheme="majorBidi"/>
          <w:sz w:val="24"/>
          <w:szCs w:val="24"/>
        </w:rPr>
        <w:t xml:space="preserve"> is not reliable.</w:t>
      </w:r>
      <w:r w:rsidR="00EF47AB">
        <w:rPr>
          <w:rStyle w:val="FootnoteReference"/>
          <w:rFonts w:asciiTheme="majorBidi" w:hAnsiTheme="majorBidi" w:cstheme="majorBidi"/>
          <w:sz w:val="24"/>
          <w:szCs w:val="24"/>
        </w:rPr>
        <w:footnoteReference w:id="221"/>
      </w:r>
      <w:r w:rsidR="00EF47AB">
        <w:rPr>
          <w:rFonts w:asciiTheme="majorBidi" w:hAnsiTheme="majorBidi" w:cstheme="majorBidi"/>
          <w:sz w:val="24"/>
          <w:szCs w:val="24"/>
        </w:rPr>
        <w:t xml:space="preserve"> As for the exact year of Pērōz’s returning, no source</w:t>
      </w:r>
      <w:r w:rsidR="000663D5">
        <w:rPr>
          <w:rFonts w:asciiTheme="majorBidi" w:hAnsiTheme="majorBidi" w:cstheme="majorBidi"/>
          <w:sz w:val="24"/>
          <w:szCs w:val="24"/>
        </w:rPr>
        <w:t>s</w:t>
      </w:r>
      <w:r w:rsidR="00EF47AB">
        <w:rPr>
          <w:rFonts w:asciiTheme="majorBidi" w:hAnsiTheme="majorBidi" w:cstheme="majorBidi"/>
          <w:sz w:val="24"/>
          <w:szCs w:val="24"/>
        </w:rPr>
        <w:t xml:space="preserve"> shed light on this issue.</w:t>
      </w:r>
    </w:p>
    <w:p w14:paraId="60B10896" w14:textId="11018DF6" w:rsidR="00EF47AB" w:rsidRDefault="008028D8" w:rsidP="00EF47AB">
      <w:pPr>
        <w:spacing w:line="360" w:lineRule="auto"/>
        <w:ind w:firstLine="480"/>
        <w:rPr>
          <w:rFonts w:asciiTheme="majorBidi" w:hAnsiTheme="majorBidi" w:cstheme="majorBidi"/>
          <w:sz w:val="24"/>
          <w:szCs w:val="24"/>
        </w:rPr>
      </w:pPr>
      <w:r>
        <w:rPr>
          <w:rFonts w:asciiTheme="majorBidi" w:hAnsiTheme="majorBidi" w:cstheme="majorBidi"/>
          <w:sz w:val="24"/>
          <w:szCs w:val="24"/>
        </w:rPr>
        <w:t xml:space="preserve">If Pērōz was present in the rebellion, why the Muslim sources do not </w:t>
      </w:r>
      <w:r w:rsidR="00F045AB">
        <w:rPr>
          <w:rFonts w:asciiTheme="majorBidi" w:hAnsiTheme="majorBidi" w:cstheme="majorBidi"/>
          <w:sz w:val="24"/>
          <w:szCs w:val="24"/>
        </w:rPr>
        <w:t>mention</w:t>
      </w:r>
      <w:r>
        <w:rPr>
          <w:rFonts w:asciiTheme="majorBidi" w:hAnsiTheme="majorBidi" w:cstheme="majorBidi"/>
          <w:sz w:val="24"/>
          <w:szCs w:val="24"/>
        </w:rPr>
        <w:t xml:space="preserve"> him? </w:t>
      </w:r>
      <w:r w:rsidR="00EF47AB">
        <w:rPr>
          <w:rFonts w:asciiTheme="majorBidi" w:hAnsiTheme="majorBidi" w:cstheme="majorBidi"/>
          <w:sz w:val="24"/>
          <w:szCs w:val="24"/>
        </w:rPr>
        <w:t>Do the Muslim historians deliberately erase any records of him? According to Bosworth, the sources reflect that Pērōz did not rule Zaranj.</w:t>
      </w:r>
      <w:r w:rsidR="00EF47AB" w:rsidRPr="00121C9E">
        <w:rPr>
          <w:rStyle w:val="FootnoteReference"/>
          <w:rFonts w:asciiTheme="majorBidi" w:hAnsiTheme="majorBidi" w:cstheme="majorBidi"/>
          <w:sz w:val="24"/>
          <w:szCs w:val="24"/>
        </w:rPr>
        <w:footnoteReference w:id="222"/>
      </w:r>
      <w:r w:rsidR="00EF47AB" w:rsidRPr="00121C9E">
        <w:rPr>
          <w:rFonts w:asciiTheme="majorBidi" w:hAnsiTheme="majorBidi" w:cstheme="majorBidi"/>
          <w:sz w:val="24"/>
          <w:szCs w:val="24"/>
        </w:rPr>
        <w:t xml:space="preserve"> </w:t>
      </w:r>
      <w:r w:rsidR="00EF47AB">
        <w:rPr>
          <w:rFonts w:asciiTheme="majorBidi" w:hAnsiTheme="majorBidi" w:cstheme="majorBidi"/>
          <w:sz w:val="24"/>
          <w:szCs w:val="24"/>
        </w:rPr>
        <w:t xml:space="preserve">The argument makes sense. Nevertheless, it does not mean that the Sasanian prince was not involved in the rebellion at all. He was </w:t>
      </w:r>
      <w:r w:rsidR="00F045AB">
        <w:rPr>
          <w:rFonts w:asciiTheme="majorBidi" w:hAnsiTheme="majorBidi" w:cstheme="majorBidi"/>
          <w:sz w:val="24"/>
          <w:szCs w:val="24"/>
        </w:rPr>
        <w:t>most probably a symbolic head both politically and religiously instead of</w:t>
      </w:r>
      <w:r w:rsidR="00EF47AB">
        <w:rPr>
          <w:rFonts w:asciiTheme="majorBidi" w:hAnsiTheme="majorBidi" w:cstheme="majorBidi"/>
          <w:sz w:val="24"/>
          <w:szCs w:val="24"/>
        </w:rPr>
        <w:t xml:space="preserve"> the initiator or the person-in-charge.</w:t>
      </w:r>
    </w:p>
    <w:p w14:paraId="22A67CC3" w14:textId="4BBCCE39" w:rsidR="00F045AB" w:rsidRDefault="00D3322A" w:rsidP="00F045AB">
      <w:pPr>
        <w:spacing w:line="360" w:lineRule="auto"/>
        <w:ind w:firstLine="480"/>
        <w:rPr>
          <w:rFonts w:asciiTheme="majorBidi" w:hAnsiTheme="majorBidi" w:cstheme="majorBidi"/>
          <w:color w:val="FF0000"/>
          <w:sz w:val="24"/>
          <w:szCs w:val="24"/>
        </w:rPr>
      </w:pPr>
      <w:r>
        <w:rPr>
          <w:rFonts w:asciiTheme="majorBidi" w:hAnsiTheme="majorBidi" w:cstheme="majorBidi"/>
          <w:sz w:val="24"/>
          <w:szCs w:val="24"/>
        </w:rPr>
        <w:t>During the turbulent years, t</w:t>
      </w:r>
      <w:r w:rsidR="00EF47AB">
        <w:rPr>
          <w:rFonts w:asciiTheme="majorBidi" w:hAnsiTheme="majorBidi" w:cstheme="majorBidi"/>
          <w:sz w:val="24"/>
          <w:szCs w:val="24"/>
        </w:rPr>
        <w:t xml:space="preserve">he </w:t>
      </w:r>
      <w:r w:rsidR="00753105">
        <w:rPr>
          <w:rFonts w:asciiTheme="majorBidi" w:hAnsiTheme="majorBidi" w:cstheme="majorBidi"/>
          <w:sz w:val="24"/>
          <w:szCs w:val="24"/>
        </w:rPr>
        <w:t xml:space="preserve">local rulers </w:t>
      </w:r>
      <w:r w:rsidR="00EF47AB">
        <w:rPr>
          <w:rFonts w:asciiTheme="majorBidi" w:hAnsiTheme="majorBidi" w:cstheme="majorBidi"/>
          <w:sz w:val="24"/>
          <w:szCs w:val="24"/>
        </w:rPr>
        <w:t xml:space="preserve">in </w:t>
      </w:r>
      <w:r w:rsidR="00EF47AB" w:rsidRPr="00121C9E">
        <w:rPr>
          <w:rFonts w:asciiTheme="majorBidi" w:hAnsiTheme="majorBidi" w:cstheme="majorBidi"/>
          <w:sz w:val="24"/>
          <w:szCs w:val="24"/>
        </w:rPr>
        <w:t>Sīstān</w:t>
      </w:r>
      <w:r w:rsidR="00EF47AB">
        <w:rPr>
          <w:rFonts w:asciiTheme="majorBidi" w:hAnsiTheme="majorBidi" w:cstheme="majorBidi"/>
          <w:sz w:val="24"/>
          <w:szCs w:val="24"/>
        </w:rPr>
        <w:t xml:space="preserve"> were similar to those in Nīshāpūr, Marw</w:t>
      </w:r>
      <w:r w:rsidR="00EF47AB" w:rsidRPr="00DC4910">
        <w:rPr>
          <w:rFonts w:asciiTheme="majorBidi" w:hAnsiTheme="majorBidi" w:cstheme="majorBidi"/>
          <w:sz w:val="24"/>
          <w:szCs w:val="24"/>
        </w:rPr>
        <w:t xml:space="preserve"> </w:t>
      </w:r>
      <w:r w:rsidR="00EF47AB">
        <w:rPr>
          <w:rFonts w:asciiTheme="majorBidi" w:hAnsiTheme="majorBidi" w:cstheme="majorBidi"/>
          <w:sz w:val="24"/>
          <w:szCs w:val="24"/>
        </w:rPr>
        <w:t>and Marw al-Rūd,</w:t>
      </w:r>
      <w:r w:rsidR="00DE43E8">
        <w:rPr>
          <w:rStyle w:val="FootnoteReference"/>
          <w:rFonts w:asciiTheme="majorBidi" w:hAnsiTheme="majorBidi" w:cstheme="majorBidi"/>
          <w:sz w:val="24"/>
          <w:szCs w:val="24"/>
        </w:rPr>
        <w:footnoteReference w:id="223"/>
      </w:r>
      <w:r w:rsidR="00EF47AB">
        <w:rPr>
          <w:rFonts w:asciiTheme="majorBidi" w:hAnsiTheme="majorBidi" w:cstheme="majorBidi"/>
          <w:sz w:val="24"/>
          <w:szCs w:val="24"/>
        </w:rPr>
        <w:t xml:space="preserve"> seeking for independence and viewing any outsiders, be they the Sasanian monarch or the Arabs, as threat. They threw off the yoke of the Arabs for independence, and were reluctant to receive the Sasanian </w:t>
      </w:r>
      <w:r>
        <w:rPr>
          <w:rFonts w:asciiTheme="majorBidi" w:hAnsiTheme="majorBidi" w:cstheme="majorBidi"/>
          <w:sz w:val="24"/>
          <w:szCs w:val="24"/>
        </w:rPr>
        <w:t>claimant Pērōz</w:t>
      </w:r>
      <w:r w:rsidR="00EF47AB">
        <w:rPr>
          <w:rFonts w:asciiTheme="majorBidi" w:hAnsiTheme="majorBidi" w:cstheme="majorBidi"/>
          <w:sz w:val="24"/>
          <w:szCs w:val="24"/>
        </w:rPr>
        <w:t>. The unwelcome Pērōz was most probably imposed forcibly by the Yabghū when the Arabs retreated.</w:t>
      </w:r>
      <w:r w:rsidR="00EF47AB">
        <w:rPr>
          <w:rStyle w:val="FootnoteReference"/>
          <w:rFonts w:asciiTheme="majorBidi" w:hAnsiTheme="majorBidi" w:cstheme="majorBidi"/>
          <w:sz w:val="24"/>
          <w:szCs w:val="24"/>
        </w:rPr>
        <w:footnoteReference w:id="224"/>
      </w:r>
      <w:r w:rsidR="00B525C6" w:rsidRPr="00B525C6">
        <w:rPr>
          <w:rFonts w:asciiTheme="majorBidi" w:hAnsiTheme="majorBidi" w:cstheme="majorBidi"/>
          <w:sz w:val="24"/>
          <w:szCs w:val="24"/>
        </w:rPr>
        <w:t xml:space="preserve"> </w:t>
      </w:r>
      <w:r w:rsidR="00B525C6">
        <w:rPr>
          <w:rFonts w:asciiTheme="majorBidi" w:hAnsiTheme="majorBidi" w:cstheme="majorBidi"/>
          <w:sz w:val="24"/>
          <w:szCs w:val="24"/>
        </w:rPr>
        <w:t xml:space="preserve">Neverethless, the local rulers held power firmly, and wound not </w:t>
      </w:r>
      <w:r w:rsidR="00B525C6">
        <w:rPr>
          <w:rFonts w:asciiTheme="majorBidi" w:hAnsiTheme="majorBidi" w:cstheme="majorBidi"/>
          <w:sz w:val="24"/>
          <w:szCs w:val="24"/>
        </w:rPr>
        <w:lastRenderedPageBreak/>
        <w:t xml:space="preserve">hand </w:t>
      </w:r>
      <w:r w:rsidR="004A2271">
        <w:rPr>
          <w:rFonts w:asciiTheme="majorBidi" w:hAnsiTheme="majorBidi" w:cstheme="majorBidi"/>
          <w:sz w:val="24"/>
          <w:szCs w:val="24"/>
        </w:rPr>
        <w:t>over to him</w:t>
      </w:r>
      <w:r w:rsidR="00B525C6">
        <w:rPr>
          <w:rFonts w:asciiTheme="majorBidi" w:hAnsiTheme="majorBidi" w:cstheme="majorBidi"/>
          <w:sz w:val="24"/>
          <w:szCs w:val="24"/>
        </w:rPr>
        <w:t xml:space="preserve"> the military or financial power.</w:t>
      </w:r>
    </w:p>
    <w:p w14:paraId="4C2E9077" w14:textId="426E668E" w:rsidR="00EF47AB" w:rsidRDefault="00EF47AB" w:rsidP="00EF47AB">
      <w:pPr>
        <w:spacing w:line="360" w:lineRule="auto"/>
        <w:ind w:firstLine="480"/>
        <w:rPr>
          <w:rFonts w:asciiTheme="majorBidi" w:hAnsiTheme="majorBidi" w:cstheme="majorBidi"/>
          <w:sz w:val="24"/>
          <w:szCs w:val="24"/>
        </w:rPr>
      </w:pPr>
      <w:r>
        <w:rPr>
          <w:rFonts w:asciiTheme="majorBidi" w:hAnsiTheme="majorBidi" w:cstheme="majorBidi"/>
          <w:sz w:val="24"/>
          <w:szCs w:val="24"/>
        </w:rPr>
        <w:t xml:space="preserve">The argument finds support in </w:t>
      </w:r>
      <w:r w:rsidR="004A2271">
        <w:rPr>
          <w:rFonts w:asciiTheme="majorBidi" w:hAnsiTheme="majorBidi" w:cstheme="majorBidi"/>
          <w:sz w:val="24"/>
          <w:szCs w:val="24"/>
        </w:rPr>
        <w:t>both the absence of</w:t>
      </w:r>
      <w:r w:rsidRPr="00B71365">
        <w:rPr>
          <w:rFonts w:asciiTheme="majorBidi" w:hAnsiTheme="majorBidi" w:cstheme="majorBidi"/>
          <w:sz w:val="24"/>
          <w:szCs w:val="24"/>
        </w:rPr>
        <w:t xml:space="preserve"> </w:t>
      </w:r>
      <w:r>
        <w:rPr>
          <w:rFonts w:asciiTheme="majorBidi" w:hAnsiTheme="majorBidi" w:cstheme="majorBidi"/>
          <w:sz w:val="24"/>
          <w:szCs w:val="24"/>
        </w:rPr>
        <w:t xml:space="preserve">Pērōz </w:t>
      </w:r>
      <w:r w:rsidR="004A2271">
        <w:rPr>
          <w:rFonts w:asciiTheme="majorBidi" w:hAnsiTheme="majorBidi" w:cstheme="majorBidi"/>
          <w:sz w:val="24"/>
          <w:szCs w:val="24"/>
        </w:rPr>
        <w:t>in the Muslim sources and the missing of his coins,</w:t>
      </w:r>
      <w:r>
        <w:rPr>
          <w:rFonts w:asciiTheme="majorBidi" w:hAnsiTheme="majorBidi" w:cstheme="majorBidi"/>
          <w:sz w:val="24"/>
          <w:szCs w:val="24"/>
        </w:rPr>
        <w:t xml:space="preserve"> which are critical for political propaganda.</w:t>
      </w:r>
      <w:r>
        <w:rPr>
          <w:rStyle w:val="FootnoteReference"/>
          <w:rFonts w:asciiTheme="majorBidi" w:hAnsiTheme="majorBidi" w:cstheme="majorBidi"/>
          <w:sz w:val="24"/>
          <w:szCs w:val="24"/>
        </w:rPr>
        <w:footnoteReference w:id="225"/>
      </w:r>
      <w:r>
        <w:rPr>
          <w:rFonts w:asciiTheme="majorBidi" w:hAnsiTheme="majorBidi" w:cstheme="majorBidi"/>
          <w:sz w:val="24"/>
          <w:szCs w:val="24"/>
        </w:rPr>
        <w:t xml:space="preserve"> Scholars actually debated over </w:t>
      </w:r>
      <w:r w:rsidR="004A2271">
        <w:rPr>
          <w:rFonts w:asciiTheme="majorBidi" w:hAnsiTheme="majorBidi" w:cstheme="majorBidi"/>
          <w:sz w:val="24"/>
          <w:szCs w:val="24"/>
        </w:rPr>
        <w:t>the missing of Pērōz’s coins</w:t>
      </w:r>
      <w:r>
        <w:rPr>
          <w:rFonts w:asciiTheme="majorBidi" w:hAnsiTheme="majorBidi" w:cstheme="majorBidi"/>
          <w:sz w:val="24"/>
          <w:szCs w:val="24"/>
        </w:rPr>
        <w:t>. Daryaee and Khazaee suggest that the Sasanian claimant continued to mint coins in his father’s name, while Pashazanous and Afkande argue that Pērōz did not mint any coins, neither in his father’s nor his own name.</w:t>
      </w:r>
      <w:r>
        <w:rPr>
          <w:rStyle w:val="FootnoteReference"/>
          <w:rFonts w:asciiTheme="majorBidi" w:hAnsiTheme="majorBidi" w:cstheme="majorBidi"/>
          <w:sz w:val="24"/>
          <w:szCs w:val="24"/>
        </w:rPr>
        <w:footnoteReference w:id="226"/>
      </w:r>
      <w:r>
        <w:rPr>
          <w:rFonts w:asciiTheme="majorBidi" w:hAnsiTheme="majorBidi" w:cstheme="majorBidi"/>
          <w:sz w:val="24"/>
          <w:szCs w:val="24"/>
        </w:rPr>
        <w:t xml:space="preserve"> Pashazanous and Afkande’s argument is </w:t>
      </w:r>
      <w:r w:rsidR="00A414C2">
        <w:rPr>
          <w:rFonts w:asciiTheme="majorBidi" w:hAnsiTheme="majorBidi" w:cstheme="majorBidi"/>
          <w:sz w:val="24"/>
          <w:szCs w:val="24"/>
        </w:rPr>
        <w:t>more</w:t>
      </w:r>
      <w:r>
        <w:rPr>
          <w:rFonts w:asciiTheme="majorBidi" w:hAnsiTheme="majorBidi" w:cstheme="majorBidi"/>
          <w:sz w:val="24"/>
          <w:szCs w:val="24"/>
        </w:rPr>
        <w:t xml:space="preserve"> convincing: Pērōz did not mint coins in his own name, </w:t>
      </w:r>
      <w:r w:rsidR="00AF4A4F">
        <w:rPr>
          <w:rFonts w:asciiTheme="majorBidi" w:hAnsiTheme="majorBidi" w:cstheme="majorBidi"/>
          <w:sz w:val="24"/>
          <w:szCs w:val="24"/>
        </w:rPr>
        <w:t xml:space="preserve">not </w:t>
      </w:r>
      <w:r>
        <w:rPr>
          <w:rFonts w:asciiTheme="majorBidi" w:hAnsiTheme="majorBidi" w:cstheme="majorBidi"/>
          <w:sz w:val="24"/>
          <w:szCs w:val="24"/>
        </w:rPr>
        <w:t>because he minted in his father’s name or ruled only briefly.</w:t>
      </w:r>
      <w:r>
        <w:rPr>
          <w:rStyle w:val="FootnoteReference"/>
          <w:rFonts w:asciiTheme="majorBidi" w:hAnsiTheme="majorBidi" w:cstheme="majorBidi"/>
          <w:sz w:val="24"/>
          <w:szCs w:val="24"/>
        </w:rPr>
        <w:footnoteReference w:id="227"/>
      </w:r>
      <w:r>
        <w:rPr>
          <w:rFonts w:asciiTheme="majorBidi" w:hAnsiTheme="majorBidi" w:cstheme="majorBidi"/>
          <w:sz w:val="24"/>
          <w:szCs w:val="24"/>
        </w:rPr>
        <w:t xml:space="preserve"> The Sasanian monarchs who ruled briefly such as Kavad II and</w:t>
      </w:r>
      <w:r w:rsidRPr="0002340C">
        <w:rPr>
          <w:rFonts w:asciiTheme="majorBidi" w:hAnsiTheme="majorBidi" w:cstheme="majorBidi"/>
          <w:sz w:val="24"/>
          <w:szCs w:val="24"/>
        </w:rPr>
        <w:t xml:space="preserve"> Queen Būrān</w:t>
      </w:r>
      <w:r>
        <w:rPr>
          <w:rFonts w:asciiTheme="majorBidi" w:hAnsiTheme="majorBidi" w:cstheme="majorBidi"/>
          <w:sz w:val="24"/>
          <w:szCs w:val="24"/>
        </w:rPr>
        <w:t xml:space="preserve"> minted coins with a considerable number of mints.</w:t>
      </w:r>
      <w:r>
        <w:rPr>
          <w:rStyle w:val="FootnoteReference"/>
          <w:rFonts w:asciiTheme="majorBidi" w:hAnsiTheme="majorBidi" w:cstheme="majorBidi"/>
          <w:sz w:val="24"/>
          <w:szCs w:val="24"/>
        </w:rPr>
        <w:footnoteReference w:id="228"/>
      </w:r>
    </w:p>
    <w:p w14:paraId="2FE292B0" w14:textId="53682BDB" w:rsidR="0043741A" w:rsidRDefault="007F3ACE" w:rsidP="0043741A">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EF47AB">
        <w:rPr>
          <w:rFonts w:asciiTheme="majorBidi" w:hAnsiTheme="majorBidi" w:cstheme="majorBidi"/>
          <w:sz w:val="24"/>
          <w:szCs w:val="24"/>
        </w:rPr>
        <w:t xml:space="preserve">To conclude, </w:t>
      </w:r>
      <w:r w:rsidR="00AF4A4F">
        <w:rPr>
          <w:rFonts w:asciiTheme="majorBidi" w:hAnsiTheme="majorBidi" w:cstheme="majorBidi"/>
          <w:sz w:val="24"/>
          <w:szCs w:val="24"/>
        </w:rPr>
        <w:t>the</w:t>
      </w:r>
      <w:r w:rsidR="00EF47AB">
        <w:rPr>
          <w:rFonts w:asciiTheme="majorBidi" w:hAnsiTheme="majorBidi" w:cstheme="majorBidi"/>
          <w:sz w:val="24"/>
          <w:szCs w:val="24"/>
        </w:rPr>
        <w:t xml:space="preserve"> lack of </w:t>
      </w:r>
      <w:r w:rsidR="00AF4A4F">
        <w:rPr>
          <w:rFonts w:asciiTheme="majorBidi" w:hAnsiTheme="majorBidi" w:cstheme="majorBidi"/>
          <w:sz w:val="24"/>
          <w:szCs w:val="24"/>
        </w:rPr>
        <w:t xml:space="preserve">both </w:t>
      </w:r>
      <w:r w:rsidR="00EF47AB">
        <w:rPr>
          <w:rFonts w:asciiTheme="majorBidi" w:hAnsiTheme="majorBidi" w:cstheme="majorBidi"/>
          <w:sz w:val="24"/>
          <w:szCs w:val="24"/>
        </w:rPr>
        <w:t>mention</w:t>
      </w:r>
      <w:r w:rsidR="00AF4A4F">
        <w:rPr>
          <w:rFonts w:asciiTheme="majorBidi" w:hAnsiTheme="majorBidi" w:cstheme="majorBidi"/>
          <w:sz w:val="24"/>
          <w:szCs w:val="24"/>
        </w:rPr>
        <w:t>s</w:t>
      </w:r>
      <w:r w:rsidR="00EF47AB">
        <w:rPr>
          <w:rFonts w:asciiTheme="majorBidi" w:hAnsiTheme="majorBidi" w:cstheme="majorBidi"/>
          <w:sz w:val="24"/>
          <w:szCs w:val="24"/>
        </w:rPr>
        <w:t xml:space="preserve"> in the Muslim sources and coins minted in his own name clarify that Pērōz played but a minor role during the rebellion of Sīstān. When </w:t>
      </w:r>
      <w:r w:rsidR="00EF47AB" w:rsidRPr="00D22B69">
        <w:rPr>
          <w:rFonts w:asciiTheme="majorBidi" w:hAnsiTheme="majorBidi" w:cstheme="majorBidi"/>
          <w:sz w:val="24"/>
          <w:szCs w:val="24"/>
        </w:rPr>
        <w:t>Muʿāwiya </w:t>
      </w:r>
      <w:r w:rsidR="00EF47AB">
        <w:rPr>
          <w:rFonts w:asciiTheme="majorBidi" w:hAnsiTheme="majorBidi" w:cstheme="majorBidi"/>
          <w:sz w:val="24"/>
          <w:szCs w:val="24"/>
        </w:rPr>
        <w:t>I (661-680 CE) established his dynasty and started to pacify Khurasan, ‘Abd al-Raḥmān ibn Samura returned to Sīstān, while Pērōz retreated to the Yabghū’s court and stayed there for another decade.</w:t>
      </w:r>
      <w:r w:rsidR="00EF47AB">
        <w:rPr>
          <w:rStyle w:val="FootnoteReference"/>
          <w:rFonts w:asciiTheme="majorBidi" w:hAnsiTheme="majorBidi" w:cstheme="majorBidi"/>
          <w:sz w:val="24"/>
          <w:szCs w:val="24"/>
        </w:rPr>
        <w:footnoteReference w:id="229"/>
      </w:r>
      <w:r w:rsidR="00EF47AB">
        <w:rPr>
          <w:rFonts w:asciiTheme="majorBidi" w:hAnsiTheme="majorBidi" w:cstheme="majorBidi"/>
          <w:sz w:val="24"/>
          <w:szCs w:val="24"/>
        </w:rPr>
        <w:t xml:space="preserve"> </w:t>
      </w:r>
    </w:p>
    <w:p w14:paraId="300348C2" w14:textId="4C3B9759" w:rsidR="0043741A" w:rsidRDefault="0043741A" w:rsidP="0043741A">
      <w:pPr>
        <w:spacing w:line="360" w:lineRule="auto"/>
        <w:rPr>
          <w:rFonts w:asciiTheme="majorBidi" w:hAnsiTheme="majorBidi" w:cstheme="majorBidi"/>
          <w:sz w:val="24"/>
          <w:szCs w:val="24"/>
        </w:rPr>
      </w:pPr>
      <w:r>
        <w:rPr>
          <w:rFonts w:asciiTheme="majorBidi" w:hAnsiTheme="majorBidi" w:cstheme="majorBidi"/>
          <w:sz w:val="24"/>
          <w:szCs w:val="24"/>
        </w:rPr>
        <w:t xml:space="preserve">     During the decade, Pērōz sent embassies </w:t>
      </w:r>
      <w:r w:rsidR="00AF4A4F">
        <w:rPr>
          <w:rFonts w:asciiTheme="majorBidi" w:hAnsiTheme="majorBidi" w:cstheme="majorBidi"/>
          <w:sz w:val="24"/>
          <w:szCs w:val="24"/>
        </w:rPr>
        <w:t xml:space="preserve">to the Tang court </w:t>
      </w:r>
      <w:r>
        <w:rPr>
          <w:rFonts w:asciiTheme="majorBidi" w:hAnsiTheme="majorBidi" w:cstheme="majorBidi"/>
          <w:sz w:val="24"/>
          <w:szCs w:val="24"/>
        </w:rPr>
        <w:t xml:space="preserve">in </w:t>
      </w:r>
      <w:r w:rsidR="00AF4A4F">
        <w:rPr>
          <w:rFonts w:asciiTheme="majorBidi" w:hAnsiTheme="majorBidi" w:cstheme="majorBidi"/>
          <w:sz w:val="24"/>
          <w:szCs w:val="24"/>
        </w:rPr>
        <w:t>greater</w:t>
      </w:r>
      <w:r>
        <w:rPr>
          <w:rFonts w:asciiTheme="majorBidi" w:hAnsiTheme="majorBidi" w:cstheme="majorBidi"/>
          <w:sz w:val="24"/>
          <w:szCs w:val="24"/>
        </w:rPr>
        <w:t xml:space="preserve"> frequency </w:t>
      </w:r>
      <w:r>
        <w:rPr>
          <w:rFonts w:asciiTheme="majorBidi" w:hAnsiTheme="majorBidi" w:cstheme="majorBidi"/>
          <w:sz w:val="24"/>
          <w:szCs w:val="24"/>
        </w:rPr>
        <w:lastRenderedPageBreak/>
        <w:t>under the increasing pressure from the Arabs,</w:t>
      </w:r>
      <w:r w:rsidR="00637DED">
        <w:rPr>
          <w:rStyle w:val="FootnoteReference"/>
          <w:rFonts w:asciiTheme="majorBidi" w:hAnsiTheme="majorBidi" w:cstheme="majorBidi"/>
          <w:sz w:val="24"/>
          <w:szCs w:val="24"/>
        </w:rPr>
        <w:footnoteReference w:id="230"/>
      </w:r>
      <w:r>
        <w:rPr>
          <w:rFonts w:asciiTheme="majorBidi" w:hAnsiTheme="majorBidi" w:cstheme="majorBidi"/>
          <w:sz w:val="24"/>
          <w:szCs w:val="24"/>
        </w:rPr>
        <w:t xml:space="preserve"> and most probably </w:t>
      </w:r>
      <w:r w:rsidR="00413FCA">
        <w:rPr>
          <w:rFonts w:asciiTheme="majorBidi" w:hAnsiTheme="majorBidi" w:cstheme="majorBidi"/>
          <w:sz w:val="24"/>
          <w:szCs w:val="24"/>
        </w:rPr>
        <w:t xml:space="preserve">sent </w:t>
      </w:r>
      <w:r>
        <w:rPr>
          <w:rFonts w:asciiTheme="majorBidi" w:hAnsiTheme="majorBidi" w:cstheme="majorBidi"/>
          <w:sz w:val="24"/>
          <w:szCs w:val="24"/>
        </w:rPr>
        <w:t>his son Narseh as hostage</w:t>
      </w:r>
      <w:r w:rsidRPr="003E3155">
        <w:rPr>
          <w:rFonts w:asciiTheme="majorBidi" w:hAnsiTheme="majorBidi" w:cstheme="majorBidi"/>
          <w:sz w:val="24"/>
          <w:szCs w:val="24"/>
        </w:rPr>
        <w:t xml:space="preserve"> </w:t>
      </w:r>
      <w:r w:rsidR="00637DED">
        <w:rPr>
          <w:rFonts w:asciiTheme="majorBidi" w:hAnsiTheme="majorBidi" w:cstheme="majorBidi"/>
          <w:sz w:val="24"/>
          <w:szCs w:val="24"/>
        </w:rPr>
        <w:t>in the 660s</w:t>
      </w:r>
      <w:r>
        <w:rPr>
          <w:rFonts w:asciiTheme="majorBidi" w:hAnsiTheme="majorBidi" w:cstheme="majorBidi"/>
          <w:sz w:val="24"/>
          <w:szCs w:val="24"/>
        </w:rPr>
        <w:t>.</w:t>
      </w:r>
      <w:r>
        <w:rPr>
          <w:rStyle w:val="FootnoteReference"/>
          <w:rFonts w:asciiTheme="majorBidi" w:hAnsiTheme="majorBidi" w:cstheme="majorBidi"/>
          <w:sz w:val="24"/>
          <w:szCs w:val="24"/>
        </w:rPr>
        <w:footnoteReference w:id="231"/>
      </w:r>
      <w:r>
        <w:rPr>
          <w:rFonts w:asciiTheme="majorBidi" w:hAnsiTheme="majorBidi" w:cstheme="majorBidi"/>
          <w:sz w:val="24"/>
          <w:szCs w:val="24"/>
        </w:rPr>
        <w:t xml:space="preserve"> However, the Tang policy in the region, as Haug explains, was sharply different from the Arabs. Instead of </w:t>
      </w:r>
      <w:r w:rsidR="00637DED">
        <w:rPr>
          <w:rFonts w:asciiTheme="majorBidi" w:hAnsiTheme="majorBidi" w:cstheme="majorBidi"/>
          <w:sz w:val="24"/>
          <w:szCs w:val="24"/>
        </w:rPr>
        <w:t xml:space="preserve">seeking for </w:t>
      </w:r>
      <w:r>
        <w:rPr>
          <w:rFonts w:asciiTheme="majorBidi" w:hAnsiTheme="majorBidi" w:cstheme="majorBidi"/>
          <w:sz w:val="24"/>
          <w:szCs w:val="24"/>
        </w:rPr>
        <w:t>military conquest, only a kind of nominal suzerainty was established without any effective control.</w:t>
      </w:r>
      <w:r>
        <w:rPr>
          <w:rStyle w:val="FootnoteReference"/>
          <w:rFonts w:asciiTheme="majorBidi" w:hAnsiTheme="majorBidi" w:cstheme="majorBidi"/>
          <w:sz w:val="24"/>
          <w:szCs w:val="24"/>
        </w:rPr>
        <w:footnoteReference w:id="232"/>
      </w:r>
      <w:r>
        <w:rPr>
          <w:rFonts w:asciiTheme="majorBidi" w:hAnsiTheme="majorBidi" w:cstheme="majorBidi"/>
          <w:sz w:val="24"/>
          <w:szCs w:val="24"/>
        </w:rPr>
        <w:t xml:space="preserve"> Although the Tang court was generous to bestow titles </w:t>
      </w:r>
      <w:r w:rsidR="00637DED">
        <w:rPr>
          <w:rFonts w:asciiTheme="majorBidi" w:hAnsiTheme="majorBidi" w:cstheme="majorBidi"/>
          <w:sz w:val="24"/>
          <w:szCs w:val="24"/>
        </w:rPr>
        <w:t>on</w:t>
      </w:r>
      <w:r>
        <w:rPr>
          <w:rFonts w:asciiTheme="majorBidi" w:hAnsiTheme="majorBidi" w:cstheme="majorBidi"/>
          <w:sz w:val="24"/>
          <w:szCs w:val="24"/>
        </w:rPr>
        <w:t xml:space="preserve"> </w:t>
      </w:r>
      <w:r w:rsidR="00637DED">
        <w:rPr>
          <w:rFonts w:asciiTheme="majorBidi" w:hAnsiTheme="majorBidi" w:cstheme="majorBidi"/>
          <w:sz w:val="24"/>
          <w:szCs w:val="24"/>
        </w:rPr>
        <w:t>Pērōz</w:t>
      </w:r>
      <w:r>
        <w:rPr>
          <w:rFonts w:asciiTheme="majorBidi" w:hAnsiTheme="majorBidi" w:cstheme="majorBidi"/>
          <w:sz w:val="24"/>
          <w:szCs w:val="24"/>
        </w:rPr>
        <w:t xml:space="preserve"> and ready to confirm what</w:t>
      </w:r>
      <w:r w:rsidR="00637DED">
        <w:rPr>
          <w:rFonts w:asciiTheme="majorBidi" w:hAnsiTheme="majorBidi" w:cstheme="majorBidi"/>
          <w:sz w:val="24"/>
          <w:szCs w:val="24"/>
        </w:rPr>
        <w:t>ever</w:t>
      </w:r>
      <w:r>
        <w:rPr>
          <w:rFonts w:asciiTheme="majorBidi" w:hAnsiTheme="majorBidi" w:cstheme="majorBidi"/>
          <w:sz w:val="24"/>
          <w:szCs w:val="24"/>
        </w:rPr>
        <w:t xml:space="preserve"> he had achieved,</w:t>
      </w:r>
      <w:r>
        <w:rPr>
          <w:rStyle w:val="FootnoteReference"/>
          <w:rFonts w:asciiTheme="majorBidi" w:hAnsiTheme="majorBidi" w:cstheme="majorBidi"/>
          <w:sz w:val="24"/>
          <w:szCs w:val="24"/>
        </w:rPr>
        <w:footnoteReference w:id="233"/>
      </w:r>
      <w:r>
        <w:rPr>
          <w:rFonts w:asciiTheme="majorBidi" w:hAnsiTheme="majorBidi" w:cstheme="majorBidi"/>
          <w:sz w:val="24"/>
          <w:szCs w:val="24"/>
        </w:rPr>
        <w:t xml:space="preserve"> the military assistance of the Tang army did not materialize.</w:t>
      </w:r>
      <w:r>
        <w:rPr>
          <w:rStyle w:val="FootnoteReference"/>
          <w:rFonts w:asciiTheme="majorBidi" w:hAnsiTheme="majorBidi" w:cstheme="majorBidi"/>
          <w:sz w:val="24"/>
          <w:szCs w:val="24"/>
        </w:rPr>
        <w:footnoteReference w:id="234"/>
      </w:r>
    </w:p>
    <w:p w14:paraId="2D6393F1" w14:textId="6000DDF8" w:rsidR="00517682" w:rsidRDefault="002B7135" w:rsidP="007F3ACE">
      <w:pPr>
        <w:spacing w:line="360" w:lineRule="auto"/>
        <w:rPr>
          <w:rFonts w:asciiTheme="majorBidi" w:hAnsiTheme="majorBidi" w:cstheme="majorBidi"/>
          <w:sz w:val="24"/>
          <w:szCs w:val="24"/>
        </w:rPr>
      </w:pPr>
      <w:r>
        <w:rPr>
          <w:rFonts w:asciiTheme="majorBidi" w:hAnsiTheme="majorBidi" w:cstheme="majorBidi"/>
          <w:sz w:val="24"/>
          <w:szCs w:val="24"/>
        </w:rPr>
        <w:t xml:space="preserve">     Along with the viceroy of Iraq </w:t>
      </w:r>
      <w:r w:rsidR="00EF47AB" w:rsidRPr="00DB474F">
        <w:rPr>
          <w:rFonts w:asciiTheme="majorBidi" w:hAnsiTheme="majorBidi" w:cstheme="majorBidi"/>
          <w:sz w:val="24"/>
          <w:szCs w:val="24"/>
        </w:rPr>
        <w:t>Ziyād ibn Abī Sufyān</w:t>
      </w:r>
      <w:r w:rsidR="00EF47AB">
        <w:rPr>
          <w:rFonts w:asciiTheme="majorBidi" w:hAnsiTheme="majorBidi" w:cstheme="majorBidi"/>
          <w:sz w:val="24"/>
          <w:szCs w:val="24"/>
        </w:rPr>
        <w:t>’s settling 50,000 Iraqi Arab families in Marw in 671 CE</w:t>
      </w:r>
      <w:r>
        <w:rPr>
          <w:rFonts w:asciiTheme="majorBidi" w:hAnsiTheme="majorBidi" w:cstheme="majorBidi"/>
          <w:sz w:val="24"/>
          <w:szCs w:val="24"/>
        </w:rPr>
        <w:t>, the Arabs expanded more effectively to</w:t>
      </w:r>
      <w:r w:rsidR="00EF47AB">
        <w:rPr>
          <w:rFonts w:asciiTheme="majorBidi" w:hAnsiTheme="majorBidi" w:cstheme="majorBidi"/>
          <w:sz w:val="24"/>
          <w:szCs w:val="24"/>
        </w:rPr>
        <w:t xml:space="preserve"> the eastern frontiers.</w:t>
      </w:r>
      <w:r w:rsidR="00EF47AB">
        <w:rPr>
          <w:rStyle w:val="FootnoteReference"/>
          <w:rFonts w:asciiTheme="majorBidi" w:hAnsiTheme="majorBidi" w:cstheme="majorBidi"/>
          <w:sz w:val="24"/>
          <w:szCs w:val="24"/>
        </w:rPr>
        <w:footnoteReference w:id="235"/>
      </w:r>
      <w:r w:rsidR="00EF47AB">
        <w:rPr>
          <w:rFonts w:asciiTheme="majorBidi" w:hAnsiTheme="majorBidi" w:cstheme="majorBidi"/>
          <w:sz w:val="24"/>
          <w:szCs w:val="24"/>
        </w:rPr>
        <w:t xml:space="preserve"> When Balkh submitted to Arab rule in 671/2 CE, the Yabghū </w:t>
      </w:r>
      <w:r w:rsidR="00517682">
        <w:rPr>
          <w:rFonts w:asciiTheme="majorBidi" w:hAnsiTheme="majorBidi" w:cstheme="majorBidi"/>
          <w:sz w:val="24"/>
          <w:szCs w:val="24"/>
        </w:rPr>
        <w:t>probably was no longer able to keep</w:t>
      </w:r>
      <w:r w:rsidR="00517682" w:rsidRPr="00517682">
        <w:rPr>
          <w:rFonts w:asciiTheme="majorBidi" w:hAnsiTheme="majorBidi" w:cstheme="majorBidi"/>
          <w:sz w:val="24"/>
          <w:szCs w:val="24"/>
        </w:rPr>
        <w:t xml:space="preserve"> </w:t>
      </w:r>
      <w:r w:rsidR="00517682" w:rsidRPr="006B7EAB">
        <w:rPr>
          <w:rFonts w:asciiTheme="majorBidi" w:hAnsiTheme="majorBidi" w:cstheme="majorBidi"/>
          <w:sz w:val="24"/>
          <w:szCs w:val="24"/>
        </w:rPr>
        <w:t>Pērōz</w:t>
      </w:r>
      <w:r w:rsidR="00517682">
        <w:rPr>
          <w:rFonts w:asciiTheme="majorBidi" w:hAnsiTheme="majorBidi" w:cstheme="majorBidi"/>
          <w:sz w:val="24"/>
          <w:szCs w:val="24"/>
        </w:rPr>
        <w:t xml:space="preserve"> in his court because of t</w:t>
      </w:r>
      <w:r w:rsidR="00EF47AB">
        <w:rPr>
          <w:rFonts w:asciiTheme="majorBidi" w:hAnsiTheme="majorBidi" w:cstheme="majorBidi"/>
          <w:sz w:val="24"/>
          <w:szCs w:val="24"/>
        </w:rPr>
        <w:t xml:space="preserve">he </w:t>
      </w:r>
      <w:r w:rsidR="00517682">
        <w:rPr>
          <w:rFonts w:asciiTheme="majorBidi" w:hAnsiTheme="majorBidi" w:cstheme="majorBidi"/>
          <w:sz w:val="24"/>
          <w:szCs w:val="24"/>
        </w:rPr>
        <w:t xml:space="preserve">pressure of the </w:t>
      </w:r>
      <w:r w:rsidR="00EF47AB">
        <w:rPr>
          <w:rFonts w:asciiTheme="majorBidi" w:hAnsiTheme="majorBidi" w:cstheme="majorBidi"/>
          <w:sz w:val="24"/>
          <w:szCs w:val="24"/>
        </w:rPr>
        <w:t>Arabs.</w:t>
      </w:r>
    </w:p>
    <w:p w14:paraId="782680D2" w14:textId="1E95F5B0" w:rsidR="00284E07" w:rsidRDefault="00517682" w:rsidP="007F3ACE">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EF47AB">
        <w:rPr>
          <w:rFonts w:asciiTheme="majorBidi" w:hAnsiTheme="majorBidi" w:cstheme="majorBidi"/>
          <w:sz w:val="24"/>
          <w:szCs w:val="24"/>
        </w:rPr>
        <w:t xml:space="preserve">As for </w:t>
      </w:r>
      <w:r w:rsidR="00EF47AB" w:rsidRPr="006B7EAB">
        <w:rPr>
          <w:rFonts w:asciiTheme="majorBidi" w:hAnsiTheme="majorBidi" w:cstheme="majorBidi"/>
          <w:sz w:val="24"/>
          <w:szCs w:val="24"/>
        </w:rPr>
        <w:t xml:space="preserve">Pērōz, throughout the two decades, he is not mentioned in the Muslim histories in any of the military campaigns carried out by the Arabs in Khurasan from </w:t>
      </w:r>
      <w:r w:rsidR="00EF47AB" w:rsidRPr="006B7EAB">
        <w:rPr>
          <w:rFonts w:asciiTheme="majorBidi" w:hAnsiTheme="majorBidi" w:cstheme="majorBidi"/>
          <w:sz w:val="24"/>
          <w:szCs w:val="24"/>
        </w:rPr>
        <w:lastRenderedPageBreak/>
        <w:t>the 650s to the early 670s.</w:t>
      </w:r>
      <w:r w:rsidR="00EF47AB" w:rsidRPr="006B7EAB">
        <w:rPr>
          <w:rStyle w:val="FootnoteReference"/>
          <w:rFonts w:asciiTheme="majorBidi" w:hAnsiTheme="majorBidi" w:cstheme="majorBidi"/>
          <w:sz w:val="24"/>
          <w:szCs w:val="24"/>
        </w:rPr>
        <w:footnoteReference w:id="236"/>
      </w:r>
      <w:r w:rsidR="00EF47AB" w:rsidRPr="006B7EAB">
        <w:rPr>
          <w:rFonts w:asciiTheme="majorBidi" w:hAnsiTheme="majorBidi" w:cstheme="majorBidi"/>
          <w:sz w:val="24"/>
          <w:szCs w:val="24"/>
        </w:rPr>
        <w:t xml:space="preserve"> </w:t>
      </w:r>
      <w:r w:rsidR="009A22A4">
        <w:rPr>
          <w:rFonts w:asciiTheme="majorBidi" w:hAnsiTheme="majorBidi" w:cstheme="majorBidi"/>
          <w:sz w:val="24"/>
          <w:szCs w:val="24"/>
        </w:rPr>
        <w:t>Xue’s argument of Pērōz actively fighting the Arabs is not correct.</w:t>
      </w:r>
      <w:r w:rsidR="00BB409D">
        <w:rPr>
          <w:rStyle w:val="FootnoteReference"/>
          <w:rFonts w:asciiTheme="majorBidi" w:hAnsiTheme="majorBidi" w:cstheme="majorBidi"/>
          <w:sz w:val="24"/>
          <w:szCs w:val="24"/>
        </w:rPr>
        <w:footnoteReference w:id="237"/>
      </w:r>
      <w:r w:rsidR="009A22A4">
        <w:rPr>
          <w:rFonts w:asciiTheme="majorBidi" w:hAnsiTheme="majorBidi" w:cstheme="majorBidi"/>
          <w:sz w:val="24"/>
          <w:szCs w:val="24"/>
        </w:rPr>
        <w:t xml:space="preserve"> </w:t>
      </w:r>
      <w:r w:rsidR="00BB409D">
        <w:rPr>
          <w:rFonts w:asciiTheme="majorBidi" w:hAnsiTheme="majorBidi" w:cstheme="majorBidi"/>
          <w:sz w:val="24"/>
          <w:szCs w:val="24"/>
        </w:rPr>
        <w:t xml:space="preserve">Instead, </w:t>
      </w:r>
      <w:r w:rsidR="00AD298E">
        <w:rPr>
          <w:rFonts w:asciiTheme="majorBidi" w:hAnsiTheme="majorBidi" w:cstheme="majorBidi"/>
          <w:sz w:val="24"/>
          <w:szCs w:val="24"/>
        </w:rPr>
        <w:t xml:space="preserve">he was </w:t>
      </w:r>
      <w:r w:rsidR="00BB409D">
        <w:rPr>
          <w:rFonts w:asciiTheme="majorBidi" w:hAnsiTheme="majorBidi" w:cstheme="majorBidi"/>
          <w:sz w:val="24"/>
          <w:szCs w:val="24"/>
        </w:rPr>
        <w:t xml:space="preserve">apparently </w:t>
      </w:r>
      <w:r w:rsidR="00AD298E">
        <w:rPr>
          <w:rFonts w:asciiTheme="majorBidi" w:hAnsiTheme="majorBidi" w:cstheme="majorBidi"/>
          <w:sz w:val="24"/>
          <w:szCs w:val="24"/>
        </w:rPr>
        <w:t>not a threat to the Arabs, and did not achieve anything significant</w:t>
      </w:r>
      <w:r w:rsidR="00284E07">
        <w:rPr>
          <w:rFonts w:asciiTheme="majorBidi" w:hAnsiTheme="majorBidi" w:cstheme="majorBidi"/>
          <w:sz w:val="24"/>
          <w:szCs w:val="24"/>
        </w:rPr>
        <w:t>, because he had no power base to enlist soldiers and to exact taxation,</w:t>
      </w:r>
      <w:r w:rsidR="00284E07">
        <w:rPr>
          <w:rStyle w:val="FootnoteReference"/>
          <w:rFonts w:asciiTheme="majorBidi" w:hAnsiTheme="majorBidi" w:cstheme="majorBidi"/>
          <w:sz w:val="24"/>
          <w:szCs w:val="24"/>
        </w:rPr>
        <w:footnoteReference w:id="238"/>
      </w:r>
      <w:r w:rsidR="00284E07">
        <w:rPr>
          <w:rFonts w:asciiTheme="majorBidi" w:hAnsiTheme="majorBidi" w:cstheme="majorBidi"/>
          <w:sz w:val="24"/>
          <w:szCs w:val="24"/>
        </w:rPr>
        <w:t xml:space="preserve"> and had to depend almost totally on the Yabghū. </w:t>
      </w:r>
    </w:p>
    <w:p w14:paraId="3FA30405" w14:textId="56B2E1B1" w:rsidR="007F3ACE" w:rsidRDefault="00284E07" w:rsidP="00284E07">
      <w:pPr>
        <w:spacing w:line="360" w:lineRule="auto"/>
        <w:rPr>
          <w:rFonts w:asciiTheme="majorBidi" w:hAnsiTheme="majorBidi" w:cstheme="majorBidi"/>
          <w:sz w:val="24"/>
          <w:szCs w:val="24"/>
        </w:rPr>
      </w:pPr>
      <w:r>
        <w:rPr>
          <w:rFonts w:asciiTheme="majorBidi" w:hAnsiTheme="majorBidi" w:cstheme="majorBidi"/>
          <w:sz w:val="24"/>
          <w:szCs w:val="24"/>
        </w:rPr>
        <w:t xml:space="preserve">     When e</w:t>
      </w:r>
      <w:r w:rsidR="00EF47AB">
        <w:rPr>
          <w:rFonts w:asciiTheme="majorBidi" w:hAnsiTheme="majorBidi" w:cstheme="majorBidi"/>
          <w:sz w:val="24"/>
          <w:szCs w:val="24"/>
        </w:rPr>
        <w:t>ven eastern</w:t>
      </w:r>
      <w:r w:rsidR="00EF47AB" w:rsidRPr="003D71A4">
        <w:rPr>
          <w:rFonts w:asciiTheme="majorBidi" w:hAnsiTheme="majorBidi" w:cstheme="majorBidi"/>
          <w:sz w:val="24"/>
          <w:szCs w:val="24"/>
        </w:rPr>
        <w:t xml:space="preserve"> </w:t>
      </w:r>
      <w:r w:rsidR="00EF47AB" w:rsidRPr="00D432FF">
        <w:rPr>
          <w:rFonts w:asciiTheme="majorBidi" w:hAnsiTheme="majorBidi" w:cstheme="majorBidi"/>
          <w:sz w:val="24"/>
          <w:szCs w:val="24"/>
        </w:rPr>
        <w:t>Ṭukhāristān</w:t>
      </w:r>
      <w:r w:rsidR="00EF47AB">
        <w:rPr>
          <w:rFonts w:asciiTheme="majorBidi" w:hAnsiTheme="majorBidi" w:cstheme="majorBidi"/>
          <w:sz w:val="24"/>
          <w:szCs w:val="24"/>
        </w:rPr>
        <w:t xml:space="preserve"> was no longer safe for </w:t>
      </w:r>
      <w:r>
        <w:rPr>
          <w:rFonts w:asciiTheme="majorBidi" w:hAnsiTheme="majorBidi" w:cstheme="majorBidi"/>
          <w:sz w:val="24"/>
          <w:szCs w:val="24"/>
        </w:rPr>
        <w:t xml:space="preserve">him, </w:t>
      </w:r>
      <w:r w:rsidRPr="006B7EAB">
        <w:rPr>
          <w:rFonts w:asciiTheme="majorBidi" w:hAnsiTheme="majorBidi" w:cstheme="majorBidi"/>
          <w:sz w:val="24"/>
          <w:szCs w:val="24"/>
        </w:rPr>
        <w:t>Pērōz</w:t>
      </w:r>
      <w:r w:rsidR="00EF47AB">
        <w:rPr>
          <w:rFonts w:asciiTheme="majorBidi" w:hAnsiTheme="majorBidi" w:cstheme="majorBidi"/>
          <w:sz w:val="24"/>
          <w:szCs w:val="24"/>
        </w:rPr>
        <w:t xml:space="preserve"> climbed the Pamirs, traveled eastward until arriving at the Tang court together with part of his family and the diehard adherents.</w:t>
      </w:r>
      <w:r w:rsidR="00EF47AB">
        <w:rPr>
          <w:rStyle w:val="FootnoteReference"/>
          <w:rFonts w:asciiTheme="majorBidi" w:hAnsiTheme="majorBidi" w:cstheme="majorBidi"/>
          <w:sz w:val="24"/>
          <w:szCs w:val="24"/>
        </w:rPr>
        <w:footnoteReference w:id="239"/>
      </w:r>
      <w:r>
        <w:rPr>
          <w:rFonts w:asciiTheme="majorBidi" w:hAnsiTheme="majorBidi" w:cstheme="majorBidi"/>
          <w:sz w:val="24"/>
          <w:szCs w:val="24"/>
        </w:rPr>
        <w:t xml:space="preserve"> </w:t>
      </w:r>
      <w:r w:rsidR="00EF47AB">
        <w:rPr>
          <w:rFonts w:asciiTheme="majorBidi" w:hAnsiTheme="majorBidi" w:cstheme="majorBidi"/>
          <w:sz w:val="24"/>
          <w:szCs w:val="24"/>
        </w:rPr>
        <w:t>The Chinese records about the date of Pērōz’s arrival are contradictory. Pashazanous and Afkande and Haug were confused and drew the conclusion that Pērōz arrived at the Tang court twice, respectively in 673 and 675 CE.</w:t>
      </w:r>
      <w:r w:rsidR="00EF47AB">
        <w:rPr>
          <w:rStyle w:val="FootnoteReference"/>
          <w:rFonts w:asciiTheme="majorBidi" w:hAnsiTheme="majorBidi" w:cstheme="majorBidi"/>
          <w:sz w:val="24"/>
          <w:szCs w:val="24"/>
        </w:rPr>
        <w:footnoteReference w:id="240"/>
      </w:r>
      <w:r w:rsidR="00EF47AB">
        <w:rPr>
          <w:rFonts w:asciiTheme="majorBidi" w:hAnsiTheme="majorBidi" w:cstheme="majorBidi" w:hint="eastAsia"/>
          <w:sz w:val="24"/>
          <w:szCs w:val="24"/>
        </w:rPr>
        <w:t xml:space="preserve"> </w:t>
      </w:r>
      <w:r w:rsidR="00EF47AB">
        <w:rPr>
          <w:rFonts w:asciiTheme="majorBidi" w:hAnsiTheme="majorBidi" w:cstheme="majorBidi"/>
          <w:sz w:val="24"/>
          <w:szCs w:val="24"/>
        </w:rPr>
        <w:t xml:space="preserve">This is highly improbable, since it means that Pērōz would incredibly </w:t>
      </w:r>
      <w:r>
        <w:rPr>
          <w:rFonts w:asciiTheme="majorBidi" w:hAnsiTheme="majorBidi" w:cstheme="majorBidi"/>
          <w:sz w:val="24"/>
          <w:szCs w:val="24"/>
        </w:rPr>
        <w:t>travel</w:t>
      </w:r>
      <w:r w:rsidR="00EF47AB">
        <w:rPr>
          <w:rFonts w:asciiTheme="majorBidi" w:hAnsiTheme="majorBidi" w:cstheme="majorBidi"/>
          <w:sz w:val="24"/>
          <w:szCs w:val="24"/>
        </w:rPr>
        <w:t xml:space="preserve"> on the way for three continuous years. The most </w:t>
      </w:r>
      <w:r w:rsidR="001F2D03">
        <w:rPr>
          <w:rFonts w:asciiTheme="majorBidi" w:hAnsiTheme="majorBidi" w:cstheme="majorBidi"/>
          <w:sz w:val="24"/>
          <w:szCs w:val="24"/>
        </w:rPr>
        <w:t>compelling</w:t>
      </w:r>
      <w:r w:rsidR="00EF47AB">
        <w:rPr>
          <w:rFonts w:asciiTheme="majorBidi" w:hAnsiTheme="majorBidi" w:cstheme="majorBidi"/>
          <w:sz w:val="24"/>
          <w:szCs w:val="24"/>
        </w:rPr>
        <w:t xml:space="preserve"> solution </w:t>
      </w:r>
      <w:r w:rsidR="00BB409D">
        <w:rPr>
          <w:rFonts w:asciiTheme="majorBidi" w:hAnsiTheme="majorBidi" w:cstheme="majorBidi"/>
          <w:sz w:val="24"/>
          <w:szCs w:val="24"/>
        </w:rPr>
        <w:t xml:space="preserve">of his arrival seems to be </w:t>
      </w:r>
      <w:r w:rsidR="00EF47AB">
        <w:rPr>
          <w:rFonts w:asciiTheme="majorBidi" w:hAnsiTheme="majorBidi" w:cstheme="majorBidi"/>
          <w:sz w:val="24"/>
          <w:szCs w:val="24"/>
        </w:rPr>
        <w:t xml:space="preserve">early 675 CE found in the annals of the Gaozong Emperor in the </w:t>
      </w:r>
      <w:r w:rsidR="00EF47AB" w:rsidRPr="00D36550">
        <w:rPr>
          <w:rFonts w:asciiTheme="majorBidi" w:hAnsiTheme="majorBidi" w:cstheme="majorBidi"/>
          <w:i/>
          <w:iCs/>
          <w:sz w:val="24"/>
          <w:szCs w:val="24"/>
        </w:rPr>
        <w:t>Jiu Tangshu</w:t>
      </w:r>
      <w:r w:rsidR="00EF47AB">
        <w:rPr>
          <w:rFonts w:asciiTheme="majorBidi" w:hAnsiTheme="majorBidi" w:cstheme="majorBidi"/>
          <w:sz w:val="24"/>
          <w:szCs w:val="24"/>
        </w:rPr>
        <w:t>.</w:t>
      </w:r>
      <w:r w:rsidR="00EF47AB">
        <w:rPr>
          <w:rStyle w:val="FootnoteReference"/>
          <w:rFonts w:asciiTheme="majorBidi" w:hAnsiTheme="majorBidi" w:cstheme="majorBidi"/>
          <w:sz w:val="24"/>
          <w:szCs w:val="24"/>
        </w:rPr>
        <w:footnoteReference w:id="241"/>
      </w:r>
    </w:p>
    <w:p w14:paraId="2A72DA2C" w14:textId="7806125E" w:rsidR="00EF47AB" w:rsidRDefault="007F3ACE" w:rsidP="007F3ACE">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EF47AB">
        <w:rPr>
          <w:rFonts w:asciiTheme="majorBidi" w:hAnsiTheme="majorBidi" w:cstheme="majorBidi"/>
          <w:sz w:val="24"/>
          <w:szCs w:val="24"/>
        </w:rPr>
        <w:t xml:space="preserve">Pērōz was treated well by the Emperor until his death in 679 CE. The Tang court </w:t>
      </w:r>
      <w:r w:rsidR="00BB409D">
        <w:rPr>
          <w:rFonts w:asciiTheme="majorBidi" w:hAnsiTheme="majorBidi" w:cstheme="majorBidi"/>
          <w:sz w:val="24"/>
          <w:szCs w:val="24"/>
        </w:rPr>
        <w:t>granted him allowances besides honorary titles</w:t>
      </w:r>
      <w:r w:rsidR="00EF47AB">
        <w:rPr>
          <w:rFonts w:asciiTheme="majorBidi" w:hAnsiTheme="majorBidi" w:cstheme="majorBidi"/>
          <w:sz w:val="24"/>
          <w:szCs w:val="24"/>
        </w:rPr>
        <w:t>.</w:t>
      </w:r>
      <w:r w:rsidR="00EF47AB">
        <w:rPr>
          <w:rStyle w:val="FootnoteReference"/>
          <w:rFonts w:asciiTheme="majorBidi" w:hAnsiTheme="majorBidi" w:cstheme="majorBidi"/>
          <w:sz w:val="24"/>
          <w:szCs w:val="24"/>
        </w:rPr>
        <w:footnoteReference w:id="242"/>
      </w:r>
      <w:r w:rsidR="00EF47AB">
        <w:rPr>
          <w:rFonts w:asciiTheme="majorBidi" w:hAnsiTheme="majorBidi" w:cstheme="majorBidi"/>
          <w:sz w:val="24"/>
          <w:szCs w:val="24"/>
        </w:rPr>
        <w:t xml:space="preserve"> And a Persian temple was built in Chang’an in 677 CE </w:t>
      </w:r>
      <w:r w:rsidR="00B328E1">
        <w:rPr>
          <w:rFonts w:asciiTheme="majorBidi" w:hAnsiTheme="majorBidi" w:cstheme="majorBidi"/>
          <w:sz w:val="24"/>
          <w:szCs w:val="24"/>
        </w:rPr>
        <w:t xml:space="preserve">in response to </w:t>
      </w:r>
      <w:r w:rsidR="00EF47AB">
        <w:rPr>
          <w:rFonts w:asciiTheme="majorBidi" w:hAnsiTheme="majorBidi" w:cstheme="majorBidi"/>
          <w:sz w:val="24"/>
          <w:szCs w:val="24"/>
        </w:rPr>
        <w:t>Pērōz’s request.</w:t>
      </w:r>
      <w:r w:rsidR="00EF47AB">
        <w:rPr>
          <w:rStyle w:val="FootnoteReference"/>
          <w:rFonts w:asciiTheme="majorBidi" w:hAnsiTheme="majorBidi" w:cstheme="majorBidi"/>
          <w:sz w:val="24"/>
          <w:szCs w:val="24"/>
        </w:rPr>
        <w:footnoteReference w:id="243"/>
      </w:r>
      <w:r w:rsidR="00EF47AB">
        <w:rPr>
          <w:rFonts w:asciiTheme="majorBidi" w:hAnsiTheme="majorBidi" w:cstheme="majorBidi"/>
          <w:sz w:val="24"/>
          <w:szCs w:val="24"/>
        </w:rPr>
        <w:t xml:space="preserve"> Additionally, a statue of hi</w:t>
      </w:r>
      <w:r w:rsidR="00185137">
        <w:rPr>
          <w:rFonts w:asciiTheme="majorBidi" w:hAnsiTheme="majorBidi" w:cstheme="majorBidi"/>
          <w:sz w:val="24"/>
          <w:szCs w:val="24"/>
        </w:rPr>
        <w:t>s</w:t>
      </w:r>
      <w:r w:rsidR="00EF47AB">
        <w:rPr>
          <w:rFonts w:asciiTheme="majorBidi" w:hAnsiTheme="majorBidi" w:cstheme="majorBidi"/>
          <w:sz w:val="24"/>
          <w:szCs w:val="24"/>
        </w:rPr>
        <w:t xml:space="preserve"> was </w:t>
      </w:r>
      <w:r w:rsidR="00EF47AB">
        <w:rPr>
          <w:rFonts w:asciiTheme="majorBidi" w:hAnsiTheme="majorBidi" w:cstheme="majorBidi"/>
          <w:sz w:val="24"/>
          <w:szCs w:val="24"/>
        </w:rPr>
        <w:lastRenderedPageBreak/>
        <w:t xml:space="preserve">erected in the mausoleum of the Gaozong Emperor and the </w:t>
      </w:r>
      <w:r w:rsidR="001F2D03">
        <w:rPr>
          <w:rFonts w:asciiTheme="majorBidi" w:hAnsiTheme="majorBidi" w:cstheme="majorBidi"/>
          <w:sz w:val="24"/>
          <w:szCs w:val="24"/>
        </w:rPr>
        <w:t>Empress</w:t>
      </w:r>
      <w:r w:rsidR="00EF47AB">
        <w:rPr>
          <w:rFonts w:asciiTheme="majorBidi" w:hAnsiTheme="majorBidi" w:cstheme="majorBidi"/>
          <w:sz w:val="24"/>
          <w:szCs w:val="24"/>
        </w:rPr>
        <w:t xml:space="preserve"> Wu Zetian.</w:t>
      </w:r>
      <w:r w:rsidR="00EF47AB">
        <w:rPr>
          <w:rStyle w:val="FootnoteReference"/>
          <w:rFonts w:asciiTheme="majorBidi" w:hAnsiTheme="majorBidi" w:cstheme="majorBidi"/>
          <w:sz w:val="24"/>
          <w:szCs w:val="24"/>
        </w:rPr>
        <w:footnoteReference w:id="244"/>
      </w:r>
    </w:p>
    <w:p w14:paraId="6BDB730D" w14:textId="31632D0B" w:rsidR="00517682" w:rsidRPr="00517682" w:rsidRDefault="00517682" w:rsidP="00517682">
      <w:pPr>
        <w:pStyle w:val="Heading3"/>
        <w:spacing w:line="360" w:lineRule="auto"/>
        <w:rPr>
          <w:rFonts w:asciiTheme="majorBidi" w:hAnsiTheme="majorBidi"/>
          <w:b/>
          <w:bCs/>
          <w:color w:val="auto"/>
        </w:rPr>
      </w:pPr>
      <w:bookmarkStart w:id="12" w:name="_Toc91623878"/>
      <w:r w:rsidRPr="00517682">
        <w:rPr>
          <w:rFonts w:asciiTheme="majorBidi" w:hAnsiTheme="majorBidi"/>
          <w:b/>
          <w:bCs/>
          <w:color w:val="auto"/>
        </w:rPr>
        <w:t>2.6 The experiences of Narseh in Ṭukhāristān</w:t>
      </w:r>
      <w:bookmarkEnd w:id="12"/>
      <w:r w:rsidRPr="00517682">
        <w:rPr>
          <w:rFonts w:asciiTheme="majorBidi" w:hAnsiTheme="majorBidi"/>
          <w:b/>
          <w:bCs/>
          <w:color w:val="auto"/>
        </w:rPr>
        <w:t xml:space="preserve"> </w:t>
      </w:r>
    </w:p>
    <w:p w14:paraId="20A795EC" w14:textId="73D217F5" w:rsidR="002100F2" w:rsidRDefault="002100F2" w:rsidP="002100F2">
      <w:pPr>
        <w:spacing w:line="360" w:lineRule="auto"/>
        <w:rPr>
          <w:rFonts w:asciiTheme="majorBidi" w:hAnsiTheme="majorBidi" w:cstheme="majorBidi"/>
          <w:sz w:val="24"/>
          <w:szCs w:val="24"/>
        </w:rPr>
      </w:pPr>
      <w:r>
        <w:rPr>
          <w:rFonts w:asciiTheme="majorBidi" w:hAnsiTheme="majorBidi" w:cstheme="majorBidi"/>
          <w:sz w:val="24"/>
          <w:szCs w:val="24"/>
        </w:rPr>
        <w:t xml:space="preserve">After his father’s death in Chang’an in </w:t>
      </w:r>
      <w:r w:rsidR="00233FF7">
        <w:rPr>
          <w:rFonts w:asciiTheme="majorBidi" w:hAnsiTheme="majorBidi" w:cstheme="majorBidi"/>
          <w:sz w:val="24"/>
          <w:szCs w:val="24"/>
        </w:rPr>
        <w:t>the late 670s</w:t>
      </w:r>
      <w:r>
        <w:rPr>
          <w:rFonts w:asciiTheme="majorBidi" w:hAnsiTheme="majorBidi" w:cstheme="majorBidi"/>
          <w:sz w:val="24"/>
          <w:szCs w:val="24"/>
        </w:rPr>
        <w:t xml:space="preserve">, </w:t>
      </w:r>
      <w:r w:rsidR="00447151">
        <w:rPr>
          <w:rFonts w:asciiTheme="majorBidi" w:hAnsiTheme="majorBidi" w:cstheme="majorBidi"/>
          <w:sz w:val="24"/>
          <w:szCs w:val="24"/>
        </w:rPr>
        <w:t xml:space="preserve">Narseh was granted the title the king of Persia by the Tang court and was escorted by </w:t>
      </w:r>
      <w:r>
        <w:rPr>
          <w:rFonts w:asciiTheme="majorBidi" w:hAnsiTheme="majorBidi" w:cstheme="majorBidi"/>
          <w:sz w:val="24"/>
          <w:szCs w:val="24"/>
        </w:rPr>
        <w:t xml:space="preserve">an army </w:t>
      </w:r>
      <w:r w:rsidR="00447151">
        <w:rPr>
          <w:rFonts w:asciiTheme="majorBidi" w:hAnsiTheme="majorBidi" w:cstheme="majorBidi"/>
          <w:sz w:val="24"/>
          <w:szCs w:val="24"/>
        </w:rPr>
        <w:t>led by Pei Xingjian back to his own country</w:t>
      </w:r>
      <w:r w:rsidR="00233FF7">
        <w:rPr>
          <w:rFonts w:asciiTheme="majorBidi" w:hAnsiTheme="majorBidi" w:cstheme="majorBidi"/>
          <w:sz w:val="24"/>
          <w:szCs w:val="24"/>
        </w:rPr>
        <w:t xml:space="preserve"> in 679 CE</w:t>
      </w:r>
      <w:r>
        <w:rPr>
          <w:rFonts w:asciiTheme="majorBidi" w:hAnsiTheme="majorBidi" w:cstheme="majorBidi"/>
          <w:sz w:val="24"/>
          <w:szCs w:val="24"/>
        </w:rPr>
        <w:t>. However, the real purpose of the expedition is to crush the potential military rebellion of the Western Turks, while to escort Narseh simply serve</w:t>
      </w:r>
      <w:r w:rsidR="00531AEB">
        <w:rPr>
          <w:rFonts w:asciiTheme="majorBidi" w:hAnsiTheme="majorBidi" w:cstheme="majorBidi"/>
          <w:sz w:val="24"/>
          <w:szCs w:val="24"/>
        </w:rPr>
        <w:t>d</w:t>
      </w:r>
      <w:r>
        <w:rPr>
          <w:rFonts w:asciiTheme="majorBidi" w:hAnsiTheme="majorBidi" w:cstheme="majorBidi"/>
          <w:sz w:val="24"/>
          <w:szCs w:val="24"/>
        </w:rPr>
        <w:t xml:space="preserve"> to cover up the plan. So, it is not surprising that Pei stopped at Sūyāb and left Narseh to continue the journey by himself</w:t>
      </w:r>
      <w:r w:rsidR="00C378D5">
        <w:rPr>
          <w:rFonts w:asciiTheme="majorBidi" w:hAnsiTheme="majorBidi" w:cstheme="majorBidi"/>
          <w:sz w:val="24"/>
          <w:szCs w:val="24"/>
        </w:rPr>
        <w:t xml:space="preserve"> with a much smaller number of escorts</w:t>
      </w:r>
      <w:r>
        <w:rPr>
          <w:rFonts w:asciiTheme="majorBidi" w:hAnsiTheme="majorBidi" w:cstheme="majorBidi"/>
          <w:sz w:val="24"/>
          <w:szCs w:val="24"/>
        </w:rPr>
        <w:t>.</w:t>
      </w:r>
      <w:r>
        <w:rPr>
          <w:rStyle w:val="FootnoteReference"/>
          <w:rFonts w:asciiTheme="majorBidi" w:hAnsiTheme="majorBidi" w:cstheme="majorBidi"/>
          <w:sz w:val="24"/>
          <w:szCs w:val="24"/>
        </w:rPr>
        <w:footnoteReference w:id="245"/>
      </w:r>
      <w:r>
        <w:rPr>
          <w:rFonts w:asciiTheme="majorBidi" w:hAnsiTheme="majorBidi" w:cstheme="majorBidi"/>
          <w:sz w:val="24"/>
          <w:szCs w:val="24"/>
        </w:rPr>
        <w:t xml:space="preserve"> </w:t>
      </w:r>
    </w:p>
    <w:p w14:paraId="1EB4D22F" w14:textId="7CDE1EC7" w:rsidR="006D2D69" w:rsidRPr="006D2D69" w:rsidRDefault="002100F2" w:rsidP="006D2D69">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As for Narseh’s experiences in Ṭukhāristān, the Chinese sources simply record that his adherents gradually deserted him and he stayed in Ṭukhāristān for around two decades before returning to the Tang capital.</w:t>
      </w:r>
      <w:r>
        <w:rPr>
          <w:rStyle w:val="FootnoteReference"/>
          <w:rFonts w:asciiTheme="majorBidi" w:hAnsiTheme="majorBidi" w:cstheme="majorBidi"/>
          <w:sz w:val="24"/>
          <w:szCs w:val="24"/>
        </w:rPr>
        <w:footnoteReference w:id="246"/>
      </w:r>
      <w:r>
        <w:rPr>
          <w:rFonts w:asciiTheme="majorBidi" w:hAnsiTheme="majorBidi" w:cstheme="majorBidi"/>
          <w:sz w:val="24"/>
          <w:szCs w:val="24"/>
        </w:rPr>
        <w:t xml:space="preserve"> </w:t>
      </w:r>
      <w:r w:rsidR="00C378D5">
        <w:rPr>
          <w:rFonts w:asciiTheme="majorBidi" w:hAnsiTheme="majorBidi" w:cstheme="majorBidi"/>
          <w:sz w:val="24"/>
          <w:szCs w:val="24"/>
        </w:rPr>
        <w:t>The above</w:t>
      </w:r>
      <w:r w:rsidR="006D2D69">
        <w:rPr>
          <w:rFonts w:asciiTheme="majorBidi" w:hAnsiTheme="majorBidi" w:cstheme="majorBidi"/>
          <w:sz w:val="24"/>
          <w:szCs w:val="24"/>
        </w:rPr>
        <w:t xml:space="preserve"> analyses of the political situation from the side of the local dynasties in Ṭukhāristān</w:t>
      </w:r>
      <w:r w:rsidR="006D2D69" w:rsidRPr="006D2D69">
        <w:rPr>
          <w:rFonts w:asciiTheme="majorBidi" w:hAnsiTheme="majorBidi" w:cstheme="majorBidi"/>
          <w:sz w:val="24"/>
          <w:szCs w:val="24"/>
        </w:rPr>
        <w:t xml:space="preserve"> and from the side of the Arabs in Khurasan </w:t>
      </w:r>
      <w:r w:rsidR="00C378D5">
        <w:rPr>
          <w:rFonts w:asciiTheme="majorBidi" w:hAnsiTheme="majorBidi" w:cstheme="majorBidi"/>
          <w:sz w:val="24"/>
          <w:szCs w:val="24"/>
        </w:rPr>
        <w:t>permit further reconstruction of his</w:t>
      </w:r>
      <w:r w:rsidR="006D2D69" w:rsidRPr="006D2D69">
        <w:rPr>
          <w:rFonts w:asciiTheme="majorBidi" w:hAnsiTheme="majorBidi" w:cstheme="majorBidi"/>
          <w:sz w:val="24"/>
          <w:szCs w:val="24"/>
        </w:rPr>
        <w:t xml:space="preserve"> experiences.</w:t>
      </w:r>
    </w:p>
    <w:p w14:paraId="7B4C0D52" w14:textId="4B2B5BF9" w:rsidR="0009299D" w:rsidRDefault="00BD7E7D" w:rsidP="00213AEF">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After </w:t>
      </w:r>
      <w:r w:rsidRPr="00D22B69">
        <w:rPr>
          <w:rFonts w:asciiTheme="majorBidi" w:hAnsiTheme="majorBidi" w:cstheme="majorBidi"/>
          <w:sz w:val="24"/>
          <w:szCs w:val="24"/>
        </w:rPr>
        <w:t>Muʿāwiya </w:t>
      </w:r>
      <w:r>
        <w:rPr>
          <w:rFonts w:asciiTheme="majorBidi" w:hAnsiTheme="majorBidi" w:cstheme="majorBidi"/>
          <w:sz w:val="24"/>
          <w:szCs w:val="24"/>
        </w:rPr>
        <w:t xml:space="preserve">I’s death, the Second Fitna tormented the Umayyad dynasty for more than one decade. As for the Arabs in Khurasan, they suffered from ferocious tribal factions. </w:t>
      </w:r>
      <w:r w:rsidR="00BF1954" w:rsidRPr="00BD7E7D">
        <w:rPr>
          <w:rFonts w:asciiTheme="majorBidi" w:hAnsiTheme="majorBidi" w:cstheme="majorBidi"/>
          <w:sz w:val="24"/>
          <w:szCs w:val="24"/>
        </w:rPr>
        <w:t xml:space="preserve">It is secure to suggest that </w:t>
      </w:r>
      <w:r w:rsidR="008A5772">
        <w:rPr>
          <w:rFonts w:asciiTheme="majorBidi" w:hAnsiTheme="majorBidi" w:cstheme="majorBidi"/>
          <w:sz w:val="24"/>
          <w:szCs w:val="24"/>
        </w:rPr>
        <w:t>the Yabghū was able to host Narseh, who</w:t>
      </w:r>
      <w:r w:rsidR="00BF1954" w:rsidRPr="00BD7E7D">
        <w:rPr>
          <w:rFonts w:asciiTheme="majorBidi" w:hAnsiTheme="majorBidi" w:cstheme="majorBidi"/>
          <w:sz w:val="24"/>
          <w:szCs w:val="24"/>
        </w:rPr>
        <w:t xml:space="preserve"> was at ease in the Yabghū’s court in eastern Ṭukhāristān in the 680s </w:t>
      </w:r>
      <w:r w:rsidR="008A5772">
        <w:rPr>
          <w:rFonts w:asciiTheme="majorBidi" w:hAnsiTheme="majorBidi" w:cstheme="majorBidi"/>
          <w:sz w:val="24"/>
          <w:szCs w:val="24"/>
        </w:rPr>
        <w:t>and the</w:t>
      </w:r>
      <w:r w:rsidR="00BF1954" w:rsidRPr="00BD7E7D">
        <w:rPr>
          <w:rFonts w:asciiTheme="majorBidi" w:hAnsiTheme="majorBidi" w:cstheme="majorBidi"/>
          <w:sz w:val="24"/>
          <w:szCs w:val="24"/>
        </w:rPr>
        <w:t xml:space="preserve"> 690s</w:t>
      </w:r>
      <w:r w:rsidR="006D2D69" w:rsidRPr="00BD7E7D">
        <w:rPr>
          <w:rFonts w:asciiTheme="majorBidi" w:hAnsiTheme="majorBidi" w:cstheme="majorBidi"/>
          <w:sz w:val="24"/>
          <w:szCs w:val="24"/>
        </w:rPr>
        <w:t xml:space="preserve">. </w:t>
      </w:r>
      <w:r w:rsidR="00BF1954" w:rsidRPr="00BD7E7D">
        <w:rPr>
          <w:rFonts w:asciiTheme="majorBidi" w:hAnsiTheme="majorBidi" w:cstheme="majorBidi"/>
          <w:sz w:val="24"/>
          <w:szCs w:val="24"/>
        </w:rPr>
        <w:t>Although there is room even to argue that</w:t>
      </w:r>
      <w:r w:rsidR="006D2D69" w:rsidRPr="00BD7E7D">
        <w:rPr>
          <w:rFonts w:asciiTheme="majorBidi" w:hAnsiTheme="majorBidi" w:cstheme="majorBidi"/>
          <w:sz w:val="24"/>
          <w:szCs w:val="24"/>
        </w:rPr>
        <w:t xml:space="preserve"> Narseh </w:t>
      </w:r>
      <w:r w:rsidR="008A5772">
        <w:rPr>
          <w:rFonts w:asciiTheme="majorBidi" w:hAnsiTheme="majorBidi" w:cstheme="majorBidi"/>
          <w:sz w:val="24"/>
          <w:szCs w:val="24"/>
        </w:rPr>
        <w:t xml:space="preserve">was staying </w:t>
      </w:r>
      <w:r w:rsidR="006D2D69" w:rsidRPr="00BD7E7D">
        <w:rPr>
          <w:rFonts w:asciiTheme="majorBidi" w:hAnsiTheme="majorBidi" w:cstheme="majorBidi"/>
          <w:sz w:val="24"/>
          <w:szCs w:val="24"/>
        </w:rPr>
        <w:t>in western Ṭukhāristān</w:t>
      </w:r>
      <w:r w:rsidR="00213AEF">
        <w:rPr>
          <w:rFonts w:asciiTheme="majorBidi" w:hAnsiTheme="majorBidi" w:cstheme="majorBidi"/>
          <w:sz w:val="24"/>
          <w:szCs w:val="24"/>
        </w:rPr>
        <w:t xml:space="preserve"> in the 690s and the early 700s</w:t>
      </w:r>
      <w:r w:rsidR="00BF1954" w:rsidRPr="00BD7E7D">
        <w:rPr>
          <w:rFonts w:asciiTheme="majorBidi" w:hAnsiTheme="majorBidi" w:cstheme="majorBidi"/>
          <w:sz w:val="24"/>
          <w:szCs w:val="24"/>
        </w:rPr>
        <w:t>,</w:t>
      </w:r>
      <w:r w:rsidR="006D2D69" w:rsidRPr="00BD7E7D">
        <w:rPr>
          <w:rFonts w:asciiTheme="majorBidi" w:hAnsiTheme="majorBidi" w:cstheme="majorBidi"/>
          <w:sz w:val="24"/>
          <w:szCs w:val="24"/>
        </w:rPr>
        <w:t xml:space="preserve"> when Umayyah</w:t>
      </w:r>
      <w:r w:rsidR="00BF1954" w:rsidRPr="00BD7E7D">
        <w:rPr>
          <w:rFonts w:asciiTheme="majorBidi" w:hAnsiTheme="majorBidi" w:cstheme="majorBidi"/>
          <w:sz w:val="24"/>
          <w:szCs w:val="24"/>
        </w:rPr>
        <w:t xml:space="preserve"> </w:t>
      </w:r>
      <w:r w:rsidR="008B481D">
        <w:rPr>
          <w:rFonts w:asciiTheme="majorBidi" w:hAnsiTheme="majorBidi" w:cstheme="majorBidi"/>
          <w:sz w:val="24"/>
          <w:szCs w:val="24"/>
        </w:rPr>
        <w:t xml:space="preserve">b. ‘Abdallāh b. Khālid </w:t>
      </w:r>
      <w:r w:rsidR="00BF1954" w:rsidRPr="00BD7E7D">
        <w:rPr>
          <w:rFonts w:asciiTheme="majorBidi" w:hAnsiTheme="majorBidi" w:cstheme="majorBidi"/>
          <w:sz w:val="24"/>
          <w:szCs w:val="24"/>
        </w:rPr>
        <w:t>(693/4-697/8 CE)</w:t>
      </w:r>
      <w:r w:rsidR="006D2D69" w:rsidRPr="00BD7E7D">
        <w:rPr>
          <w:rFonts w:asciiTheme="majorBidi" w:hAnsiTheme="majorBidi" w:cstheme="majorBidi"/>
          <w:sz w:val="24"/>
          <w:szCs w:val="24"/>
        </w:rPr>
        <w:t xml:space="preserve"> and al-Muhallab</w:t>
      </w:r>
      <w:r w:rsidR="008B481D">
        <w:rPr>
          <w:rFonts w:asciiTheme="majorBidi" w:hAnsiTheme="majorBidi" w:cstheme="majorBidi"/>
          <w:sz w:val="24"/>
          <w:szCs w:val="24"/>
        </w:rPr>
        <w:t xml:space="preserve"> b. Abī Ṣufra</w:t>
      </w:r>
      <w:r w:rsidR="00BF1954" w:rsidRPr="00BD7E7D">
        <w:rPr>
          <w:rFonts w:asciiTheme="majorBidi" w:hAnsiTheme="majorBidi" w:cstheme="majorBidi"/>
          <w:sz w:val="24"/>
          <w:szCs w:val="24"/>
        </w:rPr>
        <w:t xml:space="preserve"> (697/8-702/3 CE)</w:t>
      </w:r>
      <w:r w:rsidR="006D2D69" w:rsidRPr="00BD7E7D">
        <w:rPr>
          <w:rFonts w:asciiTheme="majorBidi" w:hAnsiTheme="majorBidi" w:cstheme="majorBidi"/>
          <w:sz w:val="24"/>
          <w:szCs w:val="24"/>
        </w:rPr>
        <w:t xml:space="preserve"> were governors of Khurasan</w:t>
      </w:r>
      <w:r w:rsidR="00BF1954" w:rsidRPr="00BD7E7D">
        <w:rPr>
          <w:rFonts w:asciiTheme="majorBidi" w:hAnsiTheme="majorBidi" w:cstheme="majorBidi"/>
          <w:sz w:val="24"/>
          <w:szCs w:val="24"/>
        </w:rPr>
        <w:t>,</w:t>
      </w:r>
      <w:r w:rsidR="00BF1954" w:rsidRPr="00BD7E7D">
        <w:rPr>
          <w:rStyle w:val="FootnoteReference"/>
          <w:rFonts w:asciiTheme="majorBidi" w:hAnsiTheme="majorBidi" w:cstheme="majorBidi"/>
          <w:sz w:val="24"/>
          <w:szCs w:val="24"/>
        </w:rPr>
        <w:footnoteReference w:id="247"/>
      </w:r>
      <w:r w:rsidR="00BF1954" w:rsidRPr="00BD7E7D">
        <w:rPr>
          <w:rFonts w:asciiTheme="majorBidi" w:hAnsiTheme="majorBidi" w:cstheme="majorBidi"/>
          <w:sz w:val="24"/>
          <w:szCs w:val="24"/>
        </w:rPr>
        <w:t xml:space="preserve"> and </w:t>
      </w:r>
      <w:r w:rsidR="00BF1954" w:rsidRPr="00BD7E7D">
        <w:rPr>
          <w:rFonts w:asciiTheme="majorBidi" w:hAnsiTheme="majorBidi" w:cstheme="majorBidi"/>
          <w:sz w:val="24"/>
          <w:szCs w:val="24"/>
        </w:rPr>
        <w:lastRenderedPageBreak/>
        <w:t xml:space="preserve">developed close relations with </w:t>
      </w:r>
      <w:r w:rsidR="00213AEF">
        <w:rPr>
          <w:rFonts w:asciiTheme="majorBidi" w:hAnsiTheme="majorBidi" w:cstheme="majorBidi"/>
          <w:sz w:val="24"/>
          <w:szCs w:val="24"/>
        </w:rPr>
        <w:t xml:space="preserve">the powerful </w:t>
      </w:r>
      <w:r w:rsidR="00BF1954" w:rsidRPr="00BD7E7D">
        <w:rPr>
          <w:rFonts w:asciiTheme="majorBidi" w:hAnsiTheme="majorBidi" w:cstheme="majorBidi"/>
          <w:sz w:val="24"/>
          <w:szCs w:val="24"/>
        </w:rPr>
        <w:t>Nīzak</w:t>
      </w:r>
      <w:r w:rsidR="006D2D69" w:rsidRPr="00BD7E7D">
        <w:rPr>
          <w:rFonts w:asciiTheme="majorBidi" w:hAnsiTheme="majorBidi" w:cstheme="majorBidi"/>
          <w:sz w:val="24"/>
          <w:szCs w:val="24"/>
        </w:rPr>
        <w:t>,</w:t>
      </w:r>
      <w:r w:rsidR="006D2D69" w:rsidRPr="00BD7E7D">
        <w:rPr>
          <w:rStyle w:val="FootnoteReference"/>
          <w:rFonts w:asciiTheme="majorBidi" w:hAnsiTheme="majorBidi" w:cstheme="majorBidi"/>
          <w:sz w:val="24"/>
          <w:szCs w:val="24"/>
        </w:rPr>
        <w:footnoteReference w:id="248"/>
      </w:r>
      <w:r w:rsidR="00BF1954" w:rsidRPr="00BD7E7D">
        <w:rPr>
          <w:rFonts w:asciiTheme="majorBidi" w:hAnsiTheme="majorBidi" w:cstheme="majorBidi"/>
          <w:sz w:val="24"/>
          <w:szCs w:val="24"/>
        </w:rPr>
        <w:t xml:space="preserve"> the complete absence of Narseh</w:t>
      </w:r>
      <w:r w:rsidR="006D2D69" w:rsidRPr="00BD7E7D">
        <w:rPr>
          <w:rFonts w:asciiTheme="majorBidi" w:hAnsiTheme="majorBidi" w:cstheme="majorBidi"/>
          <w:sz w:val="24"/>
          <w:szCs w:val="24"/>
        </w:rPr>
        <w:t xml:space="preserve"> </w:t>
      </w:r>
      <w:r w:rsidR="00BF1954" w:rsidRPr="00BD7E7D">
        <w:rPr>
          <w:rFonts w:asciiTheme="majorBidi" w:hAnsiTheme="majorBidi" w:cstheme="majorBidi"/>
          <w:sz w:val="24"/>
          <w:szCs w:val="24"/>
        </w:rPr>
        <w:t>in the Muslim sources does not support the argument.</w:t>
      </w:r>
    </w:p>
    <w:p w14:paraId="67C0EC31" w14:textId="243AD132" w:rsidR="00BA5A80" w:rsidRPr="00223BAD" w:rsidRDefault="004F33D0" w:rsidP="00223BAD">
      <w:pPr>
        <w:spacing w:line="360" w:lineRule="auto"/>
        <w:rPr>
          <w:rFonts w:asciiTheme="majorBidi" w:hAnsiTheme="majorBidi" w:cstheme="majorBidi"/>
          <w:color w:val="FF0000"/>
          <w:sz w:val="24"/>
          <w:szCs w:val="24"/>
        </w:rPr>
      </w:pPr>
      <w:r w:rsidRPr="006663BF">
        <w:rPr>
          <w:rFonts w:asciiTheme="majorBidi" w:hAnsiTheme="majorBidi" w:cstheme="majorBidi"/>
          <w:sz w:val="24"/>
          <w:szCs w:val="24"/>
        </w:rPr>
        <w:t xml:space="preserve">     </w:t>
      </w:r>
      <w:r w:rsidR="008F7DF7" w:rsidRPr="00E112A2">
        <w:rPr>
          <w:rFonts w:asciiTheme="majorBidi" w:hAnsiTheme="majorBidi" w:cstheme="majorBidi"/>
          <w:sz w:val="24"/>
          <w:szCs w:val="24"/>
        </w:rPr>
        <w:t>When Qutayba arrived at Ṭukhāristān in 705 CE, the Yabghū chose to talk instead of fighting the Arabs because of both his military incapability and the</w:t>
      </w:r>
      <w:r w:rsidR="006663BF" w:rsidRPr="00E112A2">
        <w:rPr>
          <w:rFonts w:asciiTheme="majorBidi" w:hAnsiTheme="majorBidi" w:cstheme="majorBidi"/>
          <w:sz w:val="24"/>
          <w:szCs w:val="24"/>
        </w:rPr>
        <w:t xml:space="preserve"> geopolitical</w:t>
      </w:r>
      <w:r w:rsidR="008F7DF7" w:rsidRPr="00E112A2">
        <w:rPr>
          <w:rFonts w:asciiTheme="majorBidi" w:hAnsiTheme="majorBidi" w:cstheme="majorBidi"/>
          <w:sz w:val="24"/>
          <w:szCs w:val="24"/>
        </w:rPr>
        <w:t xml:space="preserve"> calculations at the expenses of the principalities in western Ṭukhāristān such as the Nīzak dynasty.</w:t>
      </w:r>
      <w:r w:rsidR="006663BF" w:rsidRPr="00E112A2">
        <w:rPr>
          <w:rFonts w:asciiTheme="majorBidi" w:hAnsiTheme="majorBidi" w:cstheme="majorBidi"/>
          <w:sz w:val="24"/>
          <w:szCs w:val="24"/>
        </w:rPr>
        <w:t xml:space="preserve"> </w:t>
      </w:r>
      <w:r w:rsidR="00711A59" w:rsidRPr="00E112A2">
        <w:rPr>
          <w:rFonts w:asciiTheme="majorBidi" w:hAnsiTheme="majorBidi" w:cstheme="majorBidi"/>
          <w:sz w:val="24"/>
          <w:szCs w:val="24"/>
        </w:rPr>
        <w:t xml:space="preserve">He probably was expecting that the Arabs could extinguish the unpleasant Nīzak dynasty, which </w:t>
      </w:r>
      <w:r w:rsidR="00E112A2" w:rsidRPr="00E112A2">
        <w:rPr>
          <w:rFonts w:asciiTheme="majorBidi" w:hAnsiTheme="majorBidi" w:cstheme="majorBidi"/>
          <w:sz w:val="24"/>
          <w:szCs w:val="24"/>
        </w:rPr>
        <w:t>challenged his hegomony</w:t>
      </w:r>
      <w:r w:rsidR="00711A59" w:rsidRPr="00E112A2">
        <w:rPr>
          <w:rFonts w:asciiTheme="majorBidi" w:hAnsiTheme="majorBidi" w:cstheme="majorBidi"/>
          <w:sz w:val="24"/>
          <w:szCs w:val="24"/>
        </w:rPr>
        <w:t xml:space="preserve"> in Ṭukhāristān.</w:t>
      </w:r>
    </w:p>
    <w:p w14:paraId="5A8DC1AA" w14:textId="15BF6B09" w:rsidR="00931C9F" w:rsidRPr="00D57853" w:rsidRDefault="00E112A2" w:rsidP="009F2EE1">
      <w:pPr>
        <w:spacing w:line="360" w:lineRule="auto"/>
        <w:ind w:firstLineChars="250" w:firstLine="600"/>
        <w:rPr>
          <w:rFonts w:asciiTheme="majorBidi" w:hAnsiTheme="majorBidi" w:cstheme="majorBidi"/>
          <w:color w:val="FF0000"/>
          <w:sz w:val="24"/>
          <w:szCs w:val="24"/>
        </w:rPr>
      </w:pPr>
      <w:r>
        <w:rPr>
          <w:rFonts w:asciiTheme="majorBidi" w:hAnsiTheme="majorBidi" w:cstheme="majorBidi"/>
          <w:sz w:val="24"/>
          <w:szCs w:val="24"/>
        </w:rPr>
        <w:t>When t</w:t>
      </w:r>
      <w:r w:rsidR="005F6C49" w:rsidRPr="005F6C49">
        <w:rPr>
          <w:rFonts w:asciiTheme="majorBidi" w:hAnsiTheme="majorBidi" w:cstheme="majorBidi"/>
          <w:sz w:val="24"/>
          <w:szCs w:val="24"/>
        </w:rPr>
        <w:t xml:space="preserve">he Yabghū chose to </w:t>
      </w:r>
      <w:r>
        <w:rPr>
          <w:rFonts w:asciiTheme="majorBidi" w:hAnsiTheme="majorBidi" w:cstheme="majorBidi"/>
          <w:sz w:val="24"/>
          <w:szCs w:val="24"/>
        </w:rPr>
        <w:t>talk with</w:t>
      </w:r>
      <w:r w:rsidR="005F6C49" w:rsidRPr="005F6C49">
        <w:rPr>
          <w:rFonts w:asciiTheme="majorBidi" w:hAnsiTheme="majorBidi" w:cstheme="majorBidi"/>
          <w:sz w:val="24"/>
          <w:szCs w:val="24"/>
        </w:rPr>
        <w:t xml:space="preserve"> the Arabs, Narseh had to leave the region</w:t>
      </w:r>
      <w:r>
        <w:rPr>
          <w:rFonts w:asciiTheme="majorBidi" w:hAnsiTheme="majorBidi" w:cstheme="majorBidi"/>
          <w:sz w:val="24"/>
          <w:szCs w:val="24"/>
        </w:rPr>
        <w:t>. He was</w:t>
      </w:r>
      <w:r w:rsidR="005F6C49" w:rsidRPr="005F6C49">
        <w:rPr>
          <w:rFonts w:asciiTheme="majorBidi" w:hAnsiTheme="majorBidi" w:cstheme="majorBidi"/>
          <w:sz w:val="24"/>
          <w:szCs w:val="24"/>
        </w:rPr>
        <w:t xml:space="preserve"> already in the Tang court in 708 CE</w:t>
      </w:r>
      <w:r>
        <w:rPr>
          <w:rFonts w:asciiTheme="majorBidi" w:hAnsiTheme="majorBidi" w:cstheme="majorBidi"/>
          <w:sz w:val="24"/>
          <w:szCs w:val="24"/>
        </w:rPr>
        <w:t>,</w:t>
      </w:r>
      <w:r w:rsidR="005F6C49" w:rsidRPr="005F6C49">
        <w:rPr>
          <w:rStyle w:val="FootnoteReference"/>
          <w:rFonts w:asciiTheme="majorBidi" w:hAnsiTheme="majorBidi" w:cstheme="majorBidi"/>
          <w:sz w:val="24"/>
          <w:szCs w:val="24"/>
        </w:rPr>
        <w:footnoteReference w:id="249"/>
      </w:r>
      <w:r w:rsidR="005F6C49" w:rsidRPr="005F6C49">
        <w:rPr>
          <w:rFonts w:asciiTheme="majorBidi" w:hAnsiTheme="majorBidi" w:cstheme="majorBidi"/>
          <w:sz w:val="24"/>
          <w:szCs w:val="24"/>
        </w:rPr>
        <w:t xml:space="preserve"> </w:t>
      </w:r>
      <w:r>
        <w:rPr>
          <w:rFonts w:asciiTheme="majorBidi" w:hAnsiTheme="majorBidi" w:cstheme="majorBidi"/>
          <w:sz w:val="24"/>
          <w:szCs w:val="24"/>
        </w:rPr>
        <w:t xml:space="preserve">and </w:t>
      </w:r>
      <w:r w:rsidR="005F6C49" w:rsidRPr="005F6C49">
        <w:rPr>
          <w:rFonts w:asciiTheme="majorBidi" w:hAnsiTheme="majorBidi" w:cstheme="majorBidi"/>
          <w:sz w:val="24"/>
          <w:szCs w:val="24"/>
        </w:rPr>
        <w:t>witness</w:t>
      </w:r>
      <w:r>
        <w:rPr>
          <w:rFonts w:asciiTheme="majorBidi" w:hAnsiTheme="majorBidi" w:cstheme="majorBidi"/>
          <w:sz w:val="24"/>
          <w:szCs w:val="24"/>
        </w:rPr>
        <w:t>ed</w:t>
      </w:r>
      <w:r w:rsidR="005F6C49" w:rsidRPr="005F6C49">
        <w:rPr>
          <w:rFonts w:asciiTheme="majorBidi" w:hAnsiTheme="majorBidi" w:cstheme="majorBidi"/>
          <w:sz w:val="24"/>
          <w:szCs w:val="24"/>
        </w:rPr>
        <w:t xml:space="preserve"> </w:t>
      </w:r>
      <w:r>
        <w:rPr>
          <w:rFonts w:asciiTheme="majorBidi" w:hAnsiTheme="majorBidi" w:cstheme="majorBidi"/>
          <w:sz w:val="24"/>
          <w:szCs w:val="24"/>
        </w:rPr>
        <w:t>n</w:t>
      </w:r>
      <w:r w:rsidR="005F6C49" w:rsidRPr="005F6C49">
        <w:rPr>
          <w:rFonts w:asciiTheme="majorBidi" w:hAnsiTheme="majorBidi" w:cstheme="majorBidi"/>
          <w:sz w:val="24"/>
          <w:szCs w:val="24"/>
        </w:rPr>
        <w:t>either Nīzak’s last stand against the Arabs nor the humiliation that the</w:t>
      </w:r>
      <w:r w:rsidR="005F6C49" w:rsidRPr="005F6C49">
        <w:rPr>
          <w:rFonts w:asciiTheme="majorBidi" w:hAnsiTheme="majorBidi" w:cstheme="majorBidi"/>
          <w:color w:val="FF0000"/>
          <w:sz w:val="24"/>
          <w:szCs w:val="24"/>
        </w:rPr>
        <w:t xml:space="preserve"> </w:t>
      </w:r>
      <w:r w:rsidR="007E4E9B" w:rsidRPr="005F6C49">
        <w:rPr>
          <w:rFonts w:asciiTheme="majorBidi" w:hAnsiTheme="majorBidi" w:cstheme="majorBidi"/>
          <w:sz w:val="24"/>
          <w:szCs w:val="24"/>
        </w:rPr>
        <w:t>Yabghū</w:t>
      </w:r>
      <w:r w:rsidR="005F6C49" w:rsidRPr="005F6C49">
        <w:rPr>
          <w:rFonts w:asciiTheme="majorBidi" w:hAnsiTheme="majorBidi" w:cstheme="majorBidi"/>
          <w:sz w:val="24"/>
          <w:szCs w:val="24"/>
        </w:rPr>
        <w:t xml:space="preserve"> sufferd first at Nīzak’s and then at Qutayba’s hands.</w:t>
      </w:r>
    </w:p>
    <w:p w14:paraId="37742B21" w14:textId="5B21458C" w:rsidR="00D57853" w:rsidRDefault="002233D4" w:rsidP="002233D4">
      <w:pPr>
        <w:spacing w:line="360" w:lineRule="auto"/>
        <w:ind w:firstLineChars="250" w:firstLine="600"/>
        <w:rPr>
          <w:rFonts w:asciiTheme="majorBidi" w:hAnsiTheme="majorBidi" w:cstheme="majorBidi"/>
          <w:sz w:val="24"/>
          <w:szCs w:val="24"/>
        </w:rPr>
      </w:pPr>
      <w:r w:rsidRPr="002233D4">
        <w:rPr>
          <w:rFonts w:asciiTheme="majorBidi" w:hAnsiTheme="majorBidi" w:cstheme="majorBidi"/>
          <w:sz w:val="24"/>
          <w:szCs w:val="24"/>
        </w:rPr>
        <w:t>Although</w:t>
      </w:r>
      <w:r w:rsidR="00D57853" w:rsidRPr="002233D4">
        <w:rPr>
          <w:rFonts w:asciiTheme="majorBidi" w:hAnsiTheme="majorBidi" w:cstheme="majorBidi"/>
          <w:sz w:val="24"/>
          <w:szCs w:val="24"/>
        </w:rPr>
        <w:t xml:space="preserve"> he stayed in Ṭukhāristān for </w:t>
      </w:r>
      <w:r w:rsidRPr="002233D4">
        <w:rPr>
          <w:rFonts w:asciiTheme="majorBidi" w:hAnsiTheme="majorBidi" w:cstheme="majorBidi"/>
          <w:sz w:val="24"/>
          <w:szCs w:val="24"/>
        </w:rPr>
        <w:t xml:space="preserve">more than </w:t>
      </w:r>
      <w:r w:rsidR="00D57853" w:rsidRPr="002233D4">
        <w:rPr>
          <w:rFonts w:asciiTheme="majorBidi" w:hAnsiTheme="majorBidi" w:cstheme="majorBidi"/>
          <w:sz w:val="24"/>
          <w:szCs w:val="24"/>
        </w:rPr>
        <w:t xml:space="preserve">two decades, Narseh was </w:t>
      </w:r>
      <w:r w:rsidRPr="002233D4">
        <w:rPr>
          <w:rFonts w:asciiTheme="majorBidi" w:hAnsiTheme="majorBidi" w:cstheme="majorBidi"/>
          <w:sz w:val="24"/>
          <w:szCs w:val="24"/>
        </w:rPr>
        <w:t>similar to his father in failing to restore the dynasty</w:t>
      </w:r>
      <w:r w:rsidR="00D57853" w:rsidRPr="002233D4">
        <w:rPr>
          <w:rFonts w:asciiTheme="majorBidi" w:hAnsiTheme="majorBidi" w:cstheme="majorBidi"/>
          <w:sz w:val="24"/>
          <w:szCs w:val="24"/>
        </w:rPr>
        <w:t xml:space="preserve">. </w:t>
      </w:r>
      <w:r w:rsidR="00C40462">
        <w:rPr>
          <w:rFonts w:asciiTheme="majorBidi" w:hAnsiTheme="majorBidi" w:cstheme="majorBidi"/>
          <w:sz w:val="24"/>
          <w:szCs w:val="24"/>
        </w:rPr>
        <w:t>Xue’s argu</w:t>
      </w:r>
      <w:r w:rsidR="001B0100">
        <w:rPr>
          <w:rFonts w:asciiTheme="majorBidi" w:hAnsiTheme="majorBidi" w:cstheme="majorBidi"/>
          <w:sz w:val="24"/>
          <w:szCs w:val="24"/>
        </w:rPr>
        <w:t>ment that Narseh fought actively the Arabs is baseless.</w:t>
      </w:r>
      <w:r w:rsidR="00C40462">
        <w:rPr>
          <w:rStyle w:val="FootnoteReference"/>
          <w:rFonts w:asciiTheme="majorBidi" w:hAnsiTheme="majorBidi" w:cstheme="majorBidi"/>
          <w:sz w:val="24"/>
          <w:szCs w:val="24"/>
        </w:rPr>
        <w:footnoteReference w:id="250"/>
      </w:r>
      <w:r w:rsidR="00C40462">
        <w:rPr>
          <w:rFonts w:asciiTheme="majorBidi" w:hAnsiTheme="majorBidi" w:cstheme="majorBidi"/>
          <w:sz w:val="24"/>
          <w:szCs w:val="24"/>
        </w:rPr>
        <w:t xml:space="preserve"> </w:t>
      </w:r>
      <w:r w:rsidR="001B0100">
        <w:rPr>
          <w:rFonts w:asciiTheme="majorBidi" w:hAnsiTheme="majorBidi" w:cstheme="majorBidi"/>
          <w:sz w:val="24"/>
          <w:szCs w:val="24"/>
        </w:rPr>
        <w:t>T</w:t>
      </w:r>
      <w:r w:rsidRPr="002233D4">
        <w:rPr>
          <w:rFonts w:asciiTheme="majorBidi" w:hAnsiTheme="majorBidi" w:cstheme="majorBidi"/>
          <w:sz w:val="24"/>
          <w:szCs w:val="24"/>
        </w:rPr>
        <w:t xml:space="preserve">he complete </w:t>
      </w:r>
      <w:r w:rsidR="00E112A2">
        <w:rPr>
          <w:rFonts w:asciiTheme="majorBidi" w:hAnsiTheme="majorBidi" w:cstheme="majorBidi"/>
          <w:sz w:val="24"/>
          <w:szCs w:val="24"/>
        </w:rPr>
        <w:t>absence of</w:t>
      </w:r>
      <w:r w:rsidRPr="002233D4">
        <w:rPr>
          <w:rFonts w:asciiTheme="majorBidi" w:hAnsiTheme="majorBidi" w:cstheme="majorBidi"/>
          <w:sz w:val="24"/>
          <w:szCs w:val="24"/>
        </w:rPr>
        <w:t xml:space="preserve"> his name in the Muslim sources</w:t>
      </w:r>
      <w:r w:rsidR="00C40462">
        <w:rPr>
          <w:rFonts w:asciiTheme="majorBidi" w:hAnsiTheme="majorBidi" w:cstheme="majorBidi"/>
          <w:sz w:val="24"/>
          <w:szCs w:val="24"/>
        </w:rPr>
        <w:t xml:space="preserve"> shows that he most probably did not fight the Arabs</w:t>
      </w:r>
      <w:r w:rsidRPr="002233D4">
        <w:rPr>
          <w:rFonts w:asciiTheme="majorBidi" w:hAnsiTheme="majorBidi" w:cstheme="majorBidi"/>
          <w:sz w:val="24"/>
          <w:szCs w:val="24"/>
        </w:rPr>
        <w:t>.</w:t>
      </w:r>
      <w:r w:rsidR="007B2A25">
        <w:rPr>
          <w:rStyle w:val="FootnoteReference"/>
          <w:rFonts w:asciiTheme="majorBidi" w:hAnsiTheme="majorBidi" w:cstheme="majorBidi"/>
          <w:sz w:val="24"/>
          <w:szCs w:val="24"/>
        </w:rPr>
        <w:footnoteReference w:id="251"/>
      </w:r>
      <w:r w:rsidRPr="002233D4">
        <w:rPr>
          <w:rFonts w:asciiTheme="majorBidi" w:hAnsiTheme="majorBidi" w:cstheme="majorBidi"/>
          <w:sz w:val="24"/>
          <w:szCs w:val="24"/>
        </w:rPr>
        <w:t xml:space="preserve"> </w:t>
      </w:r>
      <w:r w:rsidR="00C40462">
        <w:rPr>
          <w:rFonts w:asciiTheme="majorBidi" w:hAnsiTheme="majorBidi" w:cstheme="majorBidi"/>
          <w:sz w:val="24"/>
          <w:szCs w:val="24"/>
        </w:rPr>
        <w:t>This is expected, since h</w:t>
      </w:r>
      <w:r w:rsidR="009F2EE1">
        <w:rPr>
          <w:rFonts w:asciiTheme="majorBidi" w:hAnsiTheme="majorBidi" w:cstheme="majorBidi"/>
          <w:sz w:val="24"/>
          <w:szCs w:val="24"/>
        </w:rPr>
        <w:t xml:space="preserve">e </w:t>
      </w:r>
      <w:r w:rsidR="001B0100">
        <w:rPr>
          <w:rFonts w:asciiTheme="majorBidi" w:hAnsiTheme="majorBidi" w:cstheme="majorBidi"/>
          <w:sz w:val="24"/>
          <w:szCs w:val="24"/>
        </w:rPr>
        <w:t xml:space="preserve">was totally dependent on the </w:t>
      </w:r>
      <w:r w:rsidR="00E112A2">
        <w:rPr>
          <w:rFonts w:asciiTheme="majorBidi" w:hAnsiTheme="majorBidi" w:cstheme="majorBidi"/>
          <w:sz w:val="24"/>
          <w:szCs w:val="24"/>
        </w:rPr>
        <w:t>Yabghū</w:t>
      </w:r>
      <w:r w:rsidR="004A2C55">
        <w:rPr>
          <w:rFonts w:asciiTheme="majorBidi" w:hAnsiTheme="majorBidi" w:cstheme="majorBidi"/>
          <w:sz w:val="24"/>
          <w:szCs w:val="24"/>
        </w:rPr>
        <w:t xml:space="preserve"> </w:t>
      </w:r>
      <w:r w:rsidR="009F2EE1">
        <w:rPr>
          <w:rFonts w:asciiTheme="majorBidi" w:hAnsiTheme="majorBidi" w:cstheme="majorBidi"/>
          <w:sz w:val="24"/>
          <w:szCs w:val="24"/>
        </w:rPr>
        <w:t>because of lack</w:t>
      </w:r>
      <w:r>
        <w:rPr>
          <w:rFonts w:asciiTheme="majorBidi" w:hAnsiTheme="majorBidi" w:cstheme="majorBidi"/>
          <w:sz w:val="24"/>
          <w:szCs w:val="24"/>
        </w:rPr>
        <w:t xml:space="preserve"> man and money.</w:t>
      </w:r>
      <w:r w:rsidR="00065E2A">
        <w:rPr>
          <w:rFonts w:asciiTheme="majorBidi" w:hAnsiTheme="majorBidi" w:cstheme="majorBidi"/>
          <w:sz w:val="24"/>
          <w:szCs w:val="24"/>
        </w:rPr>
        <w:t xml:space="preserve"> And his dependents, </w:t>
      </w:r>
      <w:r w:rsidR="00065E2A">
        <w:rPr>
          <w:rFonts w:asciiTheme="majorBidi" w:hAnsiTheme="majorBidi" w:cstheme="majorBidi"/>
          <w:sz w:val="24"/>
          <w:szCs w:val="24"/>
        </w:rPr>
        <w:lastRenderedPageBreak/>
        <w:t>numbering several thousands, gradually dispersed during the two decades</w:t>
      </w:r>
      <w:r w:rsidR="004A2C55">
        <w:rPr>
          <w:rFonts w:asciiTheme="majorBidi" w:hAnsiTheme="majorBidi" w:cstheme="majorBidi"/>
          <w:sz w:val="24"/>
          <w:szCs w:val="24"/>
        </w:rPr>
        <w:t>.</w:t>
      </w:r>
      <w:r w:rsidR="00065E2A">
        <w:rPr>
          <w:rStyle w:val="FootnoteReference"/>
          <w:rFonts w:asciiTheme="majorBidi" w:hAnsiTheme="majorBidi" w:cstheme="majorBidi"/>
          <w:sz w:val="24"/>
          <w:szCs w:val="24"/>
        </w:rPr>
        <w:footnoteReference w:id="252"/>
      </w:r>
      <w:r w:rsidR="00065E2A">
        <w:rPr>
          <w:rFonts w:asciiTheme="majorBidi" w:hAnsiTheme="majorBidi" w:cstheme="majorBidi"/>
          <w:sz w:val="24"/>
          <w:szCs w:val="24"/>
        </w:rPr>
        <w:t xml:space="preserve"> Not only his dependents, but also the Sasanian members scattered in other regions.</w:t>
      </w:r>
    </w:p>
    <w:p w14:paraId="7E105640" w14:textId="0738A193" w:rsidR="00CD1232" w:rsidRPr="00E47024" w:rsidRDefault="009366CC" w:rsidP="00E47024">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As for the Sasanians, </w:t>
      </w:r>
      <w:r w:rsidR="0013605D">
        <w:rPr>
          <w:rFonts w:asciiTheme="majorBidi" w:hAnsiTheme="majorBidi" w:cstheme="majorBidi"/>
          <w:sz w:val="24"/>
          <w:szCs w:val="24"/>
        </w:rPr>
        <w:t>their scattering</w:t>
      </w:r>
      <w:r w:rsidR="00E47024">
        <w:rPr>
          <w:rFonts w:asciiTheme="majorBidi" w:hAnsiTheme="majorBidi" w:cstheme="majorBidi"/>
          <w:sz w:val="24"/>
          <w:szCs w:val="24"/>
        </w:rPr>
        <w:t xml:space="preserve"> </w:t>
      </w:r>
      <w:r w:rsidR="0013605D">
        <w:rPr>
          <w:rFonts w:asciiTheme="majorBidi" w:hAnsiTheme="majorBidi" w:cstheme="majorBidi"/>
          <w:sz w:val="24"/>
          <w:szCs w:val="24"/>
        </w:rPr>
        <w:t>started even before Yazdegerd III’s death,</w:t>
      </w:r>
      <w:r w:rsidR="0013605D">
        <w:rPr>
          <w:rStyle w:val="FootnoteReference"/>
          <w:rFonts w:asciiTheme="majorBidi" w:hAnsiTheme="majorBidi" w:cstheme="majorBidi"/>
          <w:sz w:val="24"/>
          <w:szCs w:val="24"/>
        </w:rPr>
        <w:footnoteReference w:id="253"/>
      </w:r>
      <w:r w:rsidR="0013605D">
        <w:rPr>
          <w:rFonts w:asciiTheme="majorBidi" w:hAnsiTheme="majorBidi" w:cstheme="majorBidi"/>
          <w:sz w:val="24"/>
          <w:szCs w:val="24"/>
        </w:rPr>
        <w:t xml:space="preserve"> continued </w:t>
      </w:r>
      <w:r w:rsidR="00E47024">
        <w:rPr>
          <w:rFonts w:asciiTheme="majorBidi" w:hAnsiTheme="majorBidi" w:cstheme="majorBidi"/>
          <w:sz w:val="24"/>
          <w:szCs w:val="24"/>
        </w:rPr>
        <w:t>in</w:t>
      </w:r>
      <w:r w:rsidR="0013605D">
        <w:rPr>
          <w:rFonts w:asciiTheme="majorBidi" w:hAnsiTheme="majorBidi" w:cstheme="majorBidi"/>
          <w:sz w:val="24"/>
          <w:szCs w:val="24"/>
        </w:rPr>
        <w:t xml:space="preserve"> Pērōz’s years, and speeded up during Narseh’s time.</w:t>
      </w:r>
      <w:r w:rsidR="0013605D">
        <w:rPr>
          <w:rStyle w:val="FootnoteReference"/>
          <w:rFonts w:asciiTheme="majorBidi" w:hAnsiTheme="majorBidi" w:cstheme="majorBidi"/>
          <w:sz w:val="24"/>
          <w:szCs w:val="24"/>
        </w:rPr>
        <w:footnoteReference w:id="254"/>
      </w:r>
      <w:r w:rsidR="00931C9F">
        <w:rPr>
          <w:rFonts w:asciiTheme="majorBidi" w:hAnsiTheme="majorBidi" w:cstheme="majorBidi"/>
          <w:sz w:val="24"/>
          <w:szCs w:val="24"/>
        </w:rPr>
        <w:t xml:space="preserve"> </w:t>
      </w:r>
      <w:r w:rsidR="0084712A">
        <w:rPr>
          <w:rFonts w:asciiTheme="majorBidi" w:hAnsiTheme="majorBidi" w:cstheme="majorBidi"/>
          <w:sz w:val="24"/>
          <w:szCs w:val="24"/>
        </w:rPr>
        <w:t xml:space="preserve">When Narseh left </w:t>
      </w:r>
      <w:r w:rsidR="0084712A" w:rsidRPr="002233D4">
        <w:rPr>
          <w:rFonts w:asciiTheme="majorBidi" w:hAnsiTheme="majorBidi" w:cstheme="majorBidi"/>
          <w:sz w:val="24"/>
          <w:szCs w:val="24"/>
        </w:rPr>
        <w:t>Ṭukhāristān</w:t>
      </w:r>
      <w:r w:rsidR="0084712A">
        <w:rPr>
          <w:rFonts w:asciiTheme="majorBidi" w:hAnsiTheme="majorBidi" w:cstheme="majorBidi"/>
          <w:sz w:val="24"/>
          <w:szCs w:val="24"/>
        </w:rPr>
        <w:t xml:space="preserve">, they further scattered </w:t>
      </w:r>
      <w:r w:rsidR="008C7AC4">
        <w:rPr>
          <w:rFonts w:asciiTheme="majorBidi" w:hAnsiTheme="majorBidi" w:cstheme="majorBidi"/>
          <w:sz w:val="24"/>
          <w:szCs w:val="24"/>
        </w:rPr>
        <w:t>in</w:t>
      </w:r>
      <w:r w:rsidR="0084712A">
        <w:rPr>
          <w:rFonts w:asciiTheme="majorBidi" w:hAnsiTheme="majorBidi" w:cstheme="majorBidi"/>
          <w:sz w:val="24"/>
          <w:szCs w:val="24"/>
        </w:rPr>
        <w:t xml:space="preserve"> </w:t>
      </w:r>
      <w:r w:rsidR="00403313">
        <w:rPr>
          <w:rFonts w:asciiTheme="majorBidi" w:hAnsiTheme="majorBidi" w:cstheme="majorBidi"/>
          <w:sz w:val="24"/>
          <w:szCs w:val="24"/>
        </w:rPr>
        <w:t>Sogdiana</w:t>
      </w:r>
      <w:r w:rsidR="0084712A">
        <w:rPr>
          <w:rFonts w:asciiTheme="majorBidi" w:hAnsiTheme="majorBidi" w:cstheme="majorBidi"/>
          <w:sz w:val="24"/>
          <w:szCs w:val="24"/>
        </w:rPr>
        <w:t xml:space="preserve"> to the north of the Oxus</w:t>
      </w:r>
      <w:r w:rsidR="00931C9F">
        <w:rPr>
          <w:rFonts w:asciiTheme="majorBidi" w:hAnsiTheme="majorBidi" w:cstheme="majorBidi"/>
          <w:sz w:val="24"/>
          <w:szCs w:val="24"/>
        </w:rPr>
        <w:t>,</w:t>
      </w:r>
      <w:r w:rsidR="00931C9F">
        <w:rPr>
          <w:rStyle w:val="FootnoteReference"/>
          <w:rFonts w:asciiTheme="majorBidi" w:hAnsiTheme="majorBidi" w:cstheme="majorBidi"/>
          <w:sz w:val="24"/>
          <w:szCs w:val="24"/>
        </w:rPr>
        <w:footnoteReference w:id="255"/>
      </w:r>
      <w:r w:rsidR="00931C9F">
        <w:rPr>
          <w:rFonts w:asciiTheme="majorBidi" w:hAnsiTheme="majorBidi" w:cstheme="majorBidi"/>
          <w:sz w:val="24"/>
          <w:szCs w:val="24"/>
        </w:rPr>
        <w:t xml:space="preserve"> China</w:t>
      </w:r>
      <w:r w:rsidR="008C7AC4">
        <w:rPr>
          <w:rFonts w:asciiTheme="majorBidi" w:hAnsiTheme="majorBidi" w:cstheme="majorBidi"/>
          <w:sz w:val="24"/>
          <w:szCs w:val="24"/>
        </w:rPr>
        <w:t xml:space="preserve"> to the east of the Pamirs</w:t>
      </w:r>
      <w:r w:rsidR="00931C9F">
        <w:rPr>
          <w:rFonts w:asciiTheme="majorBidi" w:hAnsiTheme="majorBidi" w:cstheme="majorBidi"/>
          <w:sz w:val="24"/>
          <w:szCs w:val="24"/>
        </w:rPr>
        <w:t>,</w:t>
      </w:r>
      <w:r w:rsidR="00931C9F">
        <w:rPr>
          <w:rStyle w:val="FootnoteReference"/>
          <w:rFonts w:asciiTheme="majorBidi" w:hAnsiTheme="majorBidi" w:cstheme="majorBidi"/>
          <w:sz w:val="24"/>
          <w:szCs w:val="24"/>
        </w:rPr>
        <w:footnoteReference w:id="256"/>
      </w:r>
      <w:r w:rsidR="00931C9F">
        <w:rPr>
          <w:rFonts w:asciiTheme="majorBidi" w:hAnsiTheme="majorBidi" w:cstheme="majorBidi"/>
          <w:sz w:val="24"/>
          <w:szCs w:val="24"/>
        </w:rPr>
        <w:t xml:space="preserve"> or modern southern Afghanistan</w:t>
      </w:r>
      <w:r w:rsidR="008C7AC4">
        <w:rPr>
          <w:rFonts w:asciiTheme="majorBidi" w:hAnsiTheme="majorBidi" w:cstheme="majorBidi"/>
          <w:sz w:val="24"/>
          <w:szCs w:val="24"/>
        </w:rPr>
        <w:t xml:space="preserve"> to the south of the Hindukush</w:t>
      </w:r>
      <w:r w:rsidR="00931C9F">
        <w:rPr>
          <w:rFonts w:asciiTheme="majorBidi" w:hAnsiTheme="majorBidi" w:cstheme="majorBidi"/>
          <w:sz w:val="24"/>
          <w:szCs w:val="24"/>
        </w:rPr>
        <w:t>.</w:t>
      </w:r>
      <w:r w:rsidR="00931C9F">
        <w:rPr>
          <w:rStyle w:val="FootnoteReference"/>
          <w:rFonts w:asciiTheme="majorBidi" w:hAnsiTheme="majorBidi" w:cstheme="majorBidi"/>
          <w:sz w:val="24"/>
          <w:szCs w:val="24"/>
        </w:rPr>
        <w:footnoteReference w:id="257"/>
      </w:r>
      <w:r w:rsidR="00E47024">
        <w:rPr>
          <w:rFonts w:asciiTheme="majorBidi" w:hAnsiTheme="majorBidi" w:cstheme="majorBidi" w:hint="eastAsia"/>
          <w:sz w:val="24"/>
          <w:szCs w:val="24"/>
        </w:rPr>
        <w:t xml:space="preserve"> </w:t>
      </w:r>
      <w:r w:rsidR="00682696">
        <w:rPr>
          <w:rFonts w:asciiTheme="majorBidi" w:hAnsiTheme="majorBidi" w:cstheme="majorBidi"/>
          <w:sz w:val="24"/>
          <w:szCs w:val="24"/>
        </w:rPr>
        <w:t>The most famous report is found in a</w:t>
      </w:r>
      <w:r w:rsidR="00682696" w:rsidRPr="00945A21">
        <w:rPr>
          <w:rFonts w:asciiTheme="majorBidi" w:hAnsiTheme="majorBidi" w:cstheme="majorBidi"/>
          <w:sz w:val="24"/>
          <w:szCs w:val="24"/>
        </w:rPr>
        <w:t>l-Ṭabarī</w:t>
      </w:r>
      <w:r w:rsidR="00682696">
        <w:rPr>
          <w:rFonts w:asciiTheme="majorBidi" w:hAnsiTheme="majorBidi" w:cstheme="majorBidi"/>
          <w:sz w:val="24"/>
          <w:szCs w:val="24"/>
        </w:rPr>
        <w:t>’s annals. When Qutayba campaigned in Sogdiana, one of Yazdegerd’s granddaughters was captured.</w:t>
      </w:r>
      <w:r w:rsidR="006421F5">
        <w:rPr>
          <w:rStyle w:val="FootnoteReference"/>
          <w:rFonts w:asciiTheme="majorBidi" w:hAnsiTheme="majorBidi" w:cstheme="majorBidi"/>
          <w:sz w:val="24"/>
          <w:szCs w:val="24"/>
        </w:rPr>
        <w:footnoteReference w:id="258"/>
      </w:r>
      <w:r w:rsidR="00682696">
        <w:rPr>
          <w:rFonts w:asciiTheme="majorBidi" w:hAnsiTheme="majorBidi" w:cstheme="majorBidi"/>
          <w:sz w:val="24"/>
          <w:szCs w:val="24"/>
        </w:rPr>
        <w:t xml:space="preserve"> The </w:t>
      </w:r>
      <w:r w:rsidR="00682696">
        <w:rPr>
          <w:rFonts w:asciiTheme="majorBidi" w:hAnsiTheme="majorBidi" w:cstheme="majorBidi"/>
          <w:sz w:val="24"/>
          <w:szCs w:val="24"/>
        </w:rPr>
        <w:lastRenderedPageBreak/>
        <w:t xml:space="preserve">Arab governor sent </w:t>
      </w:r>
      <w:r w:rsidR="00711CDD">
        <w:rPr>
          <w:rFonts w:asciiTheme="majorBidi" w:hAnsiTheme="majorBidi" w:cstheme="majorBidi"/>
          <w:sz w:val="24"/>
          <w:szCs w:val="24"/>
        </w:rPr>
        <w:t>this Sasanian princess</w:t>
      </w:r>
      <w:r w:rsidR="00682696">
        <w:rPr>
          <w:rFonts w:asciiTheme="majorBidi" w:hAnsiTheme="majorBidi" w:cstheme="majorBidi"/>
          <w:sz w:val="24"/>
          <w:szCs w:val="24"/>
        </w:rPr>
        <w:t xml:space="preserve"> to the Caliph al-Walīd; she later mothered Yazīd III.</w:t>
      </w:r>
      <w:r w:rsidR="00682696">
        <w:rPr>
          <w:rStyle w:val="FootnoteReference"/>
          <w:rFonts w:asciiTheme="majorBidi" w:hAnsiTheme="majorBidi" w:cstheme="majorBidi"/>
          <w:sz w:val="24"/>
          <w:szCs w:val="24"/>
        </w:rPr>
        <w:footnoteReference w:id="259"/>
      </w:r>
      <w:r w:rsidR="00682696">
        <w:rPr>
          <w:rFonts w:asciiTheme="majorBidi" w:hAnsiTheme="majorBidi" w:cstheme="majorBidi"/>
          <w:sz w:val="24"/>
          <w:szCs w:val="24"/>
        </w:rPr>
        <w:t xml:space="preserve"> However, it is impossible to reconstruct a clear chronology of their scattering. As for Ṭukhāristān, n</w:t>
      </w:r>
      <w:r w:rsidR="00931C9F">
        <w:rPr>
          <w:rFonts w:asciiTheme="majorBidi" w:hAnsiTheme="majorBidi" w:cstheme="majorBidi"/>
          <w:sz w:val="24"/>
          <w:szCs w:val="24"/>
        </w:rPr>
        <w:t xml:space="preserve">o sources show that the Sasanian princes still remained in </w:t>
      </w:r>
      <w:r w:rsidR="00682696">
        <w:rPr>
          <w:rFonts w:asciiTheme="majorBidi" w:hAnsiTheme="majorBidi" w:cstheme="majorBidi"/>
          <w:sz w:val="24"/>
          <w:szCs w:val="24"/>
        </w:rPr>
        <w:t>the region,</w:t>
      </w:r>
      <w:r w:rsidR="00931C9F">
        <w:rPr>
          <w:rFonts w:asciiTheme="majorBidi" w:hAnsiTheme="majorBidi" w:cstheme="majorBidi"/>
          <w:sz w:val="24"/>
          <w:szCs w:val="24"/>
        </w:rPr>
        <w:t xml:space="preserve"> although the prestige of the dynasty would remain for centuries in Khurasan.</w:t>
      </w:r>
      <w:r w:rsidR="00931C9F">
        <w:rPr>
          <w:rStyle w:val="FootnoteReference"/>
          <w:rFonts w:asciiTheme="majorBidi" w:hAnsiTheme="majorBidi" w:cstheme="majorBidi"/>
          <w:sz w:val="24"/>
          <w:szCs w:val="24"/>
        </w:rPr>
        <w:footnoteReference w:id="260"/>
      </w:r>
      <w:r w:rsidR="00CD1232">
        <w:rPr>
          <w:rFonts w:asciiTheme="majorBidi" w:hAnsiTheme="majorBidi"/>
          <w:sz w:val="24"/>
          <w:szCs w:val="24"/>
        </w:rPr>
        <w:br w:type="page"/>
      </w:r>
    </w:p>
    <w:p w14:paraId="4D353786" w14:textId="205A0AF2" w:rsidR="00E257BD" w:rsidRPr="00CD1232" w:rsidRDefault="00CD1232" w:rsidP="00CD1232">
      <w:pPr>
        <w:pStyle w:val="Heading2"/>
        <w:rPr>
          <w:rFonts w:asciiTheme="majorBidi" w:hAnsiTheme="majorBidi"/>
          <w:sz w:val="24"/>
          <w:szCs w:val="24"/>
        </w:rPr>
      </w:pPr>
      <w:bookmarkStart w:id="13" w:name="_Toc91623879"/>
      <w:r w:rsidRPr="00CD1232">
        <w:rPr>
          <w:rFonts w:asciiTheme="majorBidi" w:hAnsiTheme="majorBidi"/>
          <w:sz w:val="24"/>
          <w:szCs w:val="24"/>
        </w:rPr>
        <w:lastRenderedPageBreak/>
        <w:t>3</w:t>
      </w:r>
      <w:r w:rsidR="00E257BD" w:rsidRPr="00CD1232">
        <w:rPr>
          <w:rFonts w:asciiTheme="majorBidi" w:hAnsiTheme="majorBidi"/>
          <w:sz w:val="24"/>
          <w:szCs w:val="24"/>
        </w:rPr>
        <w:t xml:space="preserve"> </w:t>
      </w:r>
      <w:r w:rsidR="00246F2D" w:rsidRPr="00CD1232">
        <w:rPr>
          <w:rFonts w:asciiTheme="majorBidi" w:hAnsiTheme="majorBidi"/>
          <w:sz w:val="24"/>
          <w:szCs w:val="24"/>
        </w:rPr>
        <w:t xml:space="preserve">The </w:t>
      </w:r>
      <w:r w:rsidR="0096204A" w:rsidRPr="00CD1232">
        <w:rPr>
          <w:rFonts w:asciiTheme="majorBidi" w:hAnsiTheme="majorBidi"/>
          <w:sz w:val="24"/>
          <w:szCs w:val="24"/>
        </w:rPr>
        <w:t xml:space="preserve">Reasons behind </w:t>
      </w:r>
      <w:r w:rsidR="009E11BA" w:rsidRPr="00CD1232">
        <w:rPr>
          <w:rFonts w:asciiTheme="majorBidi" w:hAnsiTheme="majorBidi"/>
          <w:sz w:val="24"/>
          <w:szCs w:val="24"/>
        </w:rPr>
        <w:t>Pērōz</w:t>
      </w:r>
      <w:r w:rsidR="0096204A" w:rsidRPr="00CD1232">
        <w:rPr>
          <w:rFonts w:asciiTheme="majorBidi" w:hAnsiTheme="majorBidi"/>
          <w:sz w:val="24"/>
          <w:szCs w:val="24"/>
        </w:rPr>
        <w:t xml:space="preserve"> </w:t>
      </w:r>
      <w:r w:rsidR="009E11BA" w:rsidRPr="00CD1232">
        <w:rPr>
          <w:rFonts w:asciiTheme="majorBidi" w:hAnsiTheme="majorBidi"/>
          <w:sz w:val="24"/>
          <w:szCs w:val="24"/>
        </w:rPr>
        <w:t xml:space="preserve">and Narseh's </w:t>
      </w:r>
      <w:r w:rsidR="0096204A" w:rsidRPr="00CD1232">
        <w:rPr>
          <w:rFonts w:asciiTheme="majorBidi" w:hAnsiTheme="majorBidi"/>
          <w:sz w:val="24"/>
          <w:szCs w:val="24"/>
        </w:rPr>
        <w:t>fl</w:t>
      </w:r>
      <w:r w:rsidR="00531AEB">
        <w:rPr>
          <w:rFonts w:asciiTheme="majorBidi" w:hAnsiTheme="majorBidi"/>
          <w:sz w:val="24"/>
          <w:szCs w:val="24"/>
        </w:rPr>
        <w:t>ight</w:t>
      </w:r>
      <w:r w:rsidR="0096204A" w:rsidRPr="00CD1232">
        <w:rPr>
          <w:rFonts w:asciiTheme="majorBidi" w:hAnsiTheme="majorBidi"/>
          <w:sz w:val="24"/>
          <w:szCs w:val="24"/>
        </w:rPr>
        <w:t xml:space="preserve"> t</w:t>
      </w:r>
      <w:r w:rsidR="00E257BD" w:rsidRPr="00CD1232">
        <w:rPr>
          <w:rFonts w:asciiTheme="majorBidi" w:hAnsiTheme="majorBidi"/>
          <w:sz w:val="24"/>
          <w:szCs w:val="24"/>
        </w:rPr>
        <w:t>o China</w:t>
      </w:r>
      <w:bookmarkEnd w:id="13"/>
    </w:p>
    <w:p w14:paraId="6ED1A4FE" w14:textId="2D8A1A98" w:rsidR="00DB60BE" w:rsidRDefault="007814DA" w:rsidP="00DB60BE">
      <w:pPr>
        <w:spacing w:line="360" w:lineRule="auto"/>
        <w:rPr>
          <w:rFonts w:asciiTheme="majorBidi" w:hAnsiTheme="majorBidi" w:cstheme="majorBidi"/>
          <w:sz w:val="24"/>
          <w:szCs w:val="24"/>
        </w:rPr>
      </w:pPr>
      <w:r>
        <w:rPr>
          <w:rFonts w:asciiTheme="majorBidi" w:hAnsiTheme="majorBidi" w:cstheme="majorBidi"/>
          <w:sz w:val="24"/>
          <w:szCs w:val="24"/>
        </w:rPr>
        <w:t>Both</w:t>
      </w:r>
      <w:r w:rsidR="00DB60BE" w:rsidRPr="00CD377B">
        <w:rPr>
          <w:rFonts w:asciiTheme="majorBidi" w:hAnsiTheme="majorBidi" w:cstheme="majorBidi"/>
          <w:sz w:val="24"/>
          <w:szCs w:val="24"/>
        </w:rPr>
        <w:t xml:space="preserve"> </w:t>
      </w:r>
      <w:r w:rsidR="00DB60BE">
        <w:rPr>
          <w:rFonts w:asciiTheme="majorBidi" w:hAnsiTheme="majorBidi" w:cstheme="majorBidi"/>
          <w:sz w:val="24"/>
          <w:szCs w:val="24"/>
        </w:rPr>
        <w:t xml:space="preserve">Pērōz and Narseh </w:t>
      </w:r>
      <w:r>
        <w:rPr>
          <w:rFonts w:asciiTheme="majorBidi" w:hAnsiTheme="majorBidi" w:cstheme="majorBidi"/>
          <w:sz w:val="24"/>
          <w:szCs w:val="24"/>
        </w:rPr>
        <w:t>left Ṭukhāristān for China.</w:t>
      </w:r>
      <w:r w:rsidR="00DB60BE">
        <w:rPr>
          <w:rFonts w:asciiTheme="majorBidi" w:hAnsiTheme="majorBidi" w:cstheme="majorBidi"/>
          <w:sz w:val="24"/>
          <w:szCs w:val="24"/>
        </w:rPr>
        <w:t xml:space="preserve"> For Narseh, it </w:t>
      </w:r>
      <w:r w:rsidR="00F47E2D">
        <w:rPr>
          <w:rFonts w:asciiTheme="majorBidi" w:hAnsiTheme="majorBidi" w:cstheme="majorBidi"/>
          <w:sz w:val="24"/>
          <w:szCs w:val="24"/>
        </w:rPr>
        <w:t xml:space="preserve">is </w:t>
      </w:r>
      <w:r w:rsidR="004D1CFA">
        <w:rPr>
          <w:rFonts w:asciiTheme="majorBidi" w:hAnsiTheme="majorBidi" w:cstheme="majorBidi"/>
          <w:sz w:val="24"/>
          <w:szCs w:val="24"/>
        </w:rPr>
        <w:t>a simpler</w:t>
      </w:r>
      <w:r w:rsidR="00DB60BE">
        <w:rPr>
          <w:rFonts w:asciiTheme="majorBidi" w:hAnsiTheme="majorBidi" w:cstheme="majorBidi"/>
          <w:sz w:val="24"/>
          <w:szCs w:val="24"/>
        </w:rPr>
        <w:t xml:space="preserve"> decision, since </w:t>
      </w:r>
      <w:r w:rsidR="009B5446">
        <w:rPr>
          <w:rFonts w:asciiTheme="majorBidi" w:hAnsiTheme="majorBidi" w:cstheme="majorBidi"/>
          <w:sz w:val="24"/>
          <w:szCs w:val="24"/>
        </w:rPr>
        <w:t>h</w:t>
      </w:r>
      <w:r w:rsidR="00DB60BE">
        <w:rPr>
          <w:rFonts w:asciiTheme="majorBidi" w:hAnsiTheme="majorBidi" w:cstheme="majorBidi"/>
          <w:sz w:val="24"/>
          <w:szCs w:val="24"/>
        </w:rPr>
        <w:t xml:space="preserve">e had </w:t>
      </w:r>
      <w:r w:rsidR="00F47E2D">
        <w:rPr>
          <w:rFonts w:asciiTheme="majorBidi" w:hAnsiTheme="majorBidi" w:cstheme="majorBidi"/>
          <w:sz w:val="24"/>
          <w:szCs w:val="24"/>
        </w:rPr>
        <w:t xml:space="preserve">already </w:t>
      </w:r>
      <w:r w:rsidR="004D1CFA">
        <w:rPr>
          <w:rFonts w:asciiTheme="majorBidi" w:hAnsiTheme="majorBidi" w:cstheme="majorBidi"/>
          <w:sz w:val="24"/>
          <w:szCs w:val="24"/>
        </w:rPr>
        <w:t xml:space="preserve">stayed </w:t>
      </w:r>
      <w:r w:rsidR="00F47E2D">
        <w:rPr>
          <w:rFonts w:asciiTheme="majorBidi" w:hAnsiTheme="majorBidi" w:cstheme="majorBidi"/>
          <w:sz w:val="24"/>
          <w:szCs w:val="24"/>
        </w:rPr>
        <w:t>in Chang’an</w:t>
      </w:r>
      <w:r w:rsidR="004D1CFA">
        <w:rPr>
          <w:rFonts w:asciiTheme="majorBidi" w:hAnsiTheme="majorBidi" w:cstheme="majorBidi"/>
          <w:sz w:val="24"/>
          <w:szCs w:val="24"/>
        </w:rPr>
        <w:t xml:space="preserve"> for</w:t>
      </w:r>
      <w:r w:rsidR="00DB60BE">
        <w:rPr>
          <w:rFonts w:asciiTheme="majorBidi" w:hAnsiTheme="majorBidi" w:cstheme="majorBidi"/>
          <w:sz w:val="24"/>
          <w:szCs w:val="24"/>
        </w:rPr>
        <w:t xml:space="preserve"> </w:t>
      </w:r>
      <w:r w:rsidR="00F47E2D">
        <w:rPr>
          <w:rFonts w:asciiTheme="majorBidi" w:hAnsiTheme="majorBidi" w:cstheme="majorBidi"/>
          <w:sz w:val="24"/>
          <w:szCs w:val="24"/>
        </w:rPr>
        <w:t>several years</w:t>
      </w:r>
      <w:r w:rsidR="00DB60BE">
        <w:rPr>
          <w:rFonts w:asciiTheme="majorBidi" w:hAnsiTheme="majorBidi" w:cstheme="majorBidi"/>
          <w:sz w:val="24"/>
          <w:szCs w:val="24"/>
        </w:rPr>
        <w:t xml:space="preserve">. </w:t>
      </w:r>
      <w:r w:rsidR="009B5446">
        <w:rPr>
          <w:rFonts w:asciiTheme="majorBidi" w:hAnsiTheme="majorBidi" w:cstheme="majorBidi"/>
          <w:sz w:val="24"/>
          <w:szCs w:val="24"/>
        </w:rPr>
        <w:t xml:space="preserve">Consequently, </w:t>
      </w:r>
      <w:r w:rsidR="00DB60BE">
        <w:rPr>
          <w:rFonts w:asciiTheme="majorBidi" w:hAnsiTheme="majorBidi" w:cstheme="majorBidi"/>
          <w:sz w:val="24"/>
          <w:szCs w:val="24"/>
        </w:rPr>
        <w:t xml:space="preserve">it is </w:t>
      </w:r>
      <w:r w:rsidR="004D1CFA">
        <w:rPr>
          <w:rFonts w:asciiTheme="majorBidi" w:hAnsiTheme="majorBidi" w:cstheme="majorBidi"/>
          <w:sz w:val="24"/>
          <w:szCs w:val="24"/>
        </w:rPr>
        <w:t>of greater necessity</w:t>
      </w:r>
      <w:r w:rsidR="00DB60BE">
        <w:rPr>
          <w:rFonts w:asciiTheme="majorBidi" w:hAnsiTheme="majorBidi" w:cstheme="majorBidi"/>
          <w:sz w:val="24"/>
          <w:szCs w:val="24"/>
        </w:rPr>
        <w:t xml:space="preserve"> to understand why Pērōz decided to </w:t>
      </w:r>
      <w:r w:rsidR="009B5446">
        <w:rPr>
          <w:rFonts w:asciiTheme="majorBidi" w:hAnsiTheme="majorBidi" w:cstheme="majorBidi"/>
          <w:sz w:val="24"/>
          <w:szCs w:val="24"/>
        </w:rPr>
        <w:t>travel all the way</w:t>
      </w:r>
      <w:r w:rsidR="00DB60BE">
        <w:rPr>
          <w:rFonts w:asciiTheme="majorBidi" w:hAnsiTheme="majorBidi" w:cstheme="majorBidi"/>
          <w:sz w:val="24"/>
          <w:szCs w:val="24"/>
        </w:rPr>
        <w:t xml:space="preserve"> to </w:t>
      </w:r>
      <w:r w:rsidR="009B5446">
        <w:rPr>
          <w:rFonts w:asciiTheme="majorBidi" w:hAnsiTheme="majorBidi" w:cstheme="majorBidi"/>
          <w:sz w:val="24"/>
          <w:szCs w:val="24"/>
        </w:rPr>
        <w:t xml:space="preserve">distant </w:t>
      </w:r>
      <w:r w:rsidR="00DB60BE">
        <w:rPr>
          <w:rFonts w:asciiTheme="majorBidi" w:hAnsiTheme="majorBidi" w:cstheme="majorBidi"/>
          <w:sz w:val="24"/>
          <w:szCs w:val="24"/>
        </w:rPr>
        <w:t>China instead of other destinations.</w:t>
      </w:r>
    </w:p>
    <w:p w14:paraId="3835E28E" w14:textId="1701C496" w:rsidR="0042752C" w:rsidRDefault="00DB60BE" w:rsidP="00DB60BE">
      <w:pPr>
        <w:spacing w:line="360" w:lineRule="auto"/>
        <w:rPr>
          <w:rFonts w:asciiTheme="majorBidi" w:hAnsiTheme="majorBidi" w:cstheme="majorBidi"/>
          <w:sz w:val="24"/>
          <w:szCs w:val="24"/>
        </w:rPr>
      </w:pPr>
      <w:r>
        <w:rPr>
          <w:rFonts w:asciiTheme="majorBidi" w:hAnsiTheme="majorBidi" w:cstheme="majorBidi"/>
          <w:sz w:val="24"/>
          <w:szCs w:val="24"/>
        </w:rPr>
        <w:t xml:space="preserve">     Byzantium was in the remote west and certainly out of the question. However, other options such as the Western Turks, </w:t>
      </w:r>
      <w:r w:rsidR="00295994">
        <w:rPr>
          <w:rFonts w:asciiTheme="majorBidi" w:hAnsiTheme="majorBidi" w:cstheme="majorBidi" w:hint="eastAsia"/>
          <w:sz w:val="24"/>
          <w:szCs w:val="24"/>
        </w:rPr>
        <w:t>the</w:t>
      </w:r>
      <w:r w:rsidR="00295994">
        <w:rPr>
          <w:rFonts w:asciiTheme="majorBidi" w:hAnsiTheme="majorBidi" w:cstheme="majorBidi"/>
          <w:sz w:val="24"/>
          <w:szCs w:val="24"/>
        </w:rPr>
        <w:t xml:space="preserve"> </w:t>
      </w:r>
      <w:r>
        <w:rPr>
          <w:rFonts w:asciiTheme="majorBidi" w:hAnsiTheme="majorBidi" w:cstheme="majorBidi"/>
          <w:sz w:val="24"/>
          <w:szCs w:val="24"/>
        </w:rPr>
        <w:t>India</w:t>
      </w:r>
      <w:r w:rsidR="00295994">
        <w:rPr>
          <w:rFonts w:asciiTheme="majorBidi" w:hAnsiTheme="majorBidi" w:cstheme="majorBidi"/>
          <w:sz w:val="24"/>
          <w:szCs w:val="24"/>
        </w:rPr>
        <w:t>n world</w:t>
      </w:r>
      <w:r>
        <w:rPr>
          <w:rFonts w:asciiTheme="majorBidi" w:hAnsiTheme="majorBidi" w:cstheme="majorBidi"/>
          <w:sz w:val="24"/>
          <w:szCs w:val="24"/>
        </w:rPr>
        <w:t xml:space="preserve"> and even the Tibetan Empire</w:t>
      </w:r>
      <w:r w:rsidR="004D1CFA">
        <w:rPr>
          <w:rFonts w:asciiTheme="majorBidi" w:hAnsiTheme="majorBidi" w:cstheme="majorBidi"/>
          <w:sz w:val="24"/>
          <w:szCs w:val="24"/>
        </w:rPr>
        <w:t xml:space="preserve"> still exist</w:t>
      </w:r>
      <w:r w:rsidR="00531AEB">
        <w:rPr>
          <w:rFonts w:asciiTheme="majorBidi" w:hAnsiTheme="majorBidi" w:cstheme="majorBidi"/>
          <w:sz w:val="24"/>
          <w:szCs w:val="24"/>
        </w:rPr>
        <w:t>ed</w:t>
      </w:r>
      <w:r>
        <w:rPr>
          <w:rFonts w:asciiTheme="majorBidi" w:hAnsiTheme="majorBidi" w:cstheme="majorBidi"/>
          <w:sz w:val="24"/>
          <w:szCs w:val="24"/>
        </w:rPr>
        <w:t>.</w:t>
      </w:r>
      <w:r w:rsidR="00295994">
        <w:rPr>
          <w:rStyle w:val="FootnoteReference"/>
          <w:rFonts w:asciiTheme="majorBidi" w:hAnsiTheme="majorBidi" w:cstheme="majorBidi"/>
          <w:sz w:val="24"/>
          <w:szCs w:val="24"/>
        </w:rPr>
        <w:footnoteReference w:id="261"/>
      </w:r>
      <w:r>
        <w:rPr>
          <w:rFonts w:asciiTheme="majorBidi" w:hAnsiTheme="majorBidi" w:cstheme="majorBidi"/>
          <w:sz w:val="24"/>
          <w:szCs w:val="24"/>
        </w:rPr>
        <w:t xml:space="preserve"> </w:t>
      </w:r>
      <w:r w:rsidR="0042752C">
        <w:rPr>
          <w:rFonts w:asciiTheme="majorBidi" w:hAnsiTheme="majorBidi" w:cstheme="majorBidi"/>
          <w:sz w:val="24"/>
          <w:szCs w:val="24"/>
        </w:rPr>
        <w:t xml:space="preserve">Actually, </w:t>
      </w:r>
      <w:r w:rsidR="00F47E2D">
        <w:rPr>
          <w:rFonts w:asciiTheme="majorBidi" w:hAnsiTheme="majorBidi" w:cstheme="majorBidi"/>
          <w:sz w:val="24"/>
          <w:szCs w:val="24"/>
        </w:rPr>
        <w:t xml:space="preserve">as discussed above, </w:t>
      </w:r>
      <w:r w:rsidR="0042752C">
        <w:rPr>
          <w:rFonts w:asciiTheme="majorBidi" w:hAnsiTheme="majorBidi" w:cstheme="majorBidi"/>
          <w:sz w:val="24"/>
          <w:szCs w:val="24"/>
        </w:rPr>
        <w:t xml:space="preserve">relevant Pahlavi literature </w:t>
      </w:r>
      <w:r w:rsidR="005C2D5E">
        <w:rPr>
          <w:rFonts w:asciiTheme="majorBidi" w:hAnsiTheme="majorBidi" w:cstheme="majorBidi"/>
          <w:sz w:val="24"/>
          <w:szCs w:val="24"/>
        </w:rPr>
        <w:t>seems</w:t>
      </w:r>
      <w:r w:rsidR="004D1CFA">
        <w:rPr>
          <w:rFonts w:asciiTheme="majorBidi" w:hAnsiTheme="majorBidi" w:cstheme="majorBidi"/>
          <w:sz w:val="24"/>
          <w:szCs w:val="24"/>
        </w:rPr>
        <w:t xml:space="preserve"> </w:t>
      </w:r>
      <w:r w:rsidR="00011D75">
        <w:rPr>
          <w:rFonts w:asciiTheme="majorBidi" w:hAnsiTheme="majorBidi" w:cstheme="majorBidi"/>
          <w:sz w:val="24"/>
          <w:szCs w:val="24"/>
        </w:rPr>
        <w:t xml:space="preserve">to </w:t>
      </w:r>
      <w:r w:rsidR="004D1CFA">
        <w:rPr>
          <w:rFonts w:asciiTheme="majorBidi" w:hAnsiTheme="majorBidi" w:cstheme="majorBidi"/>
          <w:sz w:val="24"/>
          <w:szCs w:val="24"/>
        </w:rPr>
        <w:t>suggest</w:t>
      </w:r>
      <w:r w:rsidR="0042752C">
        <w:rPr>
          <w:rFonts w:asciiTheme="majorBidi" w:hAnsiTheme="majorBidi" w:cstheme="majorBidi"/>
          <w:sz w:val="24"/>
          <w:szCs w:val="24"/>
        </w:rPr>
        <w:t xml:space="preserve"> that a group of Sasanian fugitives </w:t>
      </w:r>
      <w:r w:rsidR="005C2D5E">
        <w:rPr>
          <w:rFonts w:asciiTheme="majorBidi" w:hAnsiTheme="majorBidi" w:cstheme="majorBidi"/>
          <w:sz w:val="24"/>
          <w:szCs w:val="24"/>
        </w:rPr>
        <w:t xml:space="preserve">under the leadership of Pērōz's brother Wahrām </w:t>
      </w:r>
      <w:r w:rsidR="004D1CFA">
        <w:rPr>
          <w:rFonts w:asciiTheme="majorBidi" w:hAnsiTheme="majorBidi" w:cstheme="majorBidi"/>
          <w:sz w:val="24"/>
          <w:szCs w:val="24"/>
        </w:rPr>
        <w:t>were found to the south of the Hindukush</w:t>
      </w:r>
      <w:r w:rsidR="0042752C">
        <w:rPr>
          <w:rFonts w:asciiTheme="majorBidi" w:hAnsiTheme="majorBidi" w:cstheme="majorBidi"/>
          <w:sz w:val="24"/>
          <w:szCs w:val="24"/>
        </w:rPr>
        <w:t xml:space="preserve"> and sought refuge in the Indian world.</w:t>
      </w:r>
      <w:r w:rsidR="0042752C">
        <w:rPr>
          <w:rStyle w:val="FootnoteReference"/>
          <w:rFonts w:asciiTheme="majorBidi" w:hAnsiTheme="majorBidi" w:cstheme="majorBidi"/>
          <w:sz w:val="24"/>
          <w:szCs w:val="24"/>
        </w:rPr>
        <w:footnoteReference w:id="262"/>
      </w:r>
      <w:r w:rsidR="0042752C">
        <w:rPr>
          <w:rFonts w:asciiTheme="majorBidi" w:hAnsiTheme="majorBidi" w:cstheme="majorBidi"/>
          <w:sz w:val="24"/>
          <w:szCs w:val="24"/>
        </w:rPr>
        <w:t xml:space="preserve"> </w:t>
      </w:r>
      <w:r w:rsidR="00F47E2D">
        <w:rPr>
          <w:rFonts w:asciiTheme="majorBidi" w:hAnsiTheme="majorBidi" w:cstheme="majorBidi"/>
          <w:sz w:val="24"/>
          <w:szCs w:val="24"/>
        </w:rPr>
        <w:t>However,</w:t>
      </w:r>
      <w:r w:rsidR="0042752C">
        <w:rPr>
          <w:rFonts w:asciiTheme="majorBidi" w:hAnsiTheme="majorBidi" w:cstheme="majorBidi"/>
          <w:sz w:val="24"/>
          <w:szCs w:val="24"/>
        </w:rPr>
        <w:t xml:space="preserve"> the prince</w:t>
      </w:r>
      <w:r w:rsidR="00F47E2D">
        <w:rPr>
          <w:rFonts w:asciiTheme="majorBidi" w:hAnsiTheme="majorBidi" w:cstheme="majorBidi"/>
          <w:sz w:val="24"/>
          <w:szCs w:val="24"/>
        </w:rPr>
        <w:t xml:space="preserve"> </w:t>
      </w:r>
      <w:r w:rsidR="006B0C51">
        <w:rPr>
          <w:rFonts w:asciiTheme="majorBidi" w:hAnsiTheme="majorBidi" w:cstheme="majorBidi"/>
          <w:sz w:val="24"/>
          <w:szCs w:val="24"/>
        </w:rPr>
        <w:t>made no achievement</w:t>
      </w:r>
      <w:r w:rsidR="00F47E2D">
        <w:rPr>
          <w:rFonts w:asciiTheme="majorBidi" w:hAnsiTheme="majorBidi" w:cstheme="majorBidi"/>
          <w:sz w:val="24"/>
          <w:szCs w:val="24"/>
        </w:rPr>
        <w:t xml:space="preserve"> during hi</w:t>
      </w:r>
      <w:r w:rsidR="0042752C">
        <w:rPr>
          <w:rFonts w:asciiTheme="majorBidi" w:hAnsiTheme="majorBidi" w:cstheme="majorBidi"/>
          <w:sz w:val="24"/>
          <w:szCs w:val="24"/>
        </w:rPr>
        <w:t xml:space="preserve">s lifetime, the expectation </w:t>
      </w:r>
      <w:r w:rsidR="006B0C51">
        <w:rPr>
          <w:rFonts w:asciiTheme="majorBidi" w:hAnsiTheme="majorBidi" w:cstheme="majorBidi"/>
          <w:sz w:val="24"/>
          <w:szCs w:val="24"/>
        </w:rPr>
        <w:t xml:space="preserve">for him </w:t>
      </w:r>
      <w:r w:rsidR="00F47E2D">
        <w:rPr>
          <w:rFonts w:asciiTheme="majorBidi" w:hAnsiTheme="majorBidi" w:cstheme="majorBidi"/>
          <w:sz w:val="24"/>
          <w:szCs w:val="24"/>
        </w:rPr>
        <w:t xml:space="preserve">to restore the dynasty </w:t>
      </w:r>
      <w:r w:rsidR="0042752C">
        <w:rPr>
          <w:rFonts w:asciiTheme="majorBidi" w:hAnsiTheme="majorBidi" w:cstheme="majorBidi"/>
          <w:sz w:val="24"/>
          <w:szCs w:val="24"/>
        </w:rPr>
        <w:t>turn</w:t>
      </w:r>
      <w:r w:rsidR="00F47E2D">
        <w:rPr>
          <w:rFonts w:asciiTheme="majorBidi" w:hAnsiTheme="majorBidi" w:cstheme="majorBidi"/>
          <w:sz w:val="24"/>
          <w:szCs w:val="24"/>
        </w:rPr>
        <w:t>ed</w:t>
      </w:r>
      <w:r w:rsidR="0042752C">
        <w:rPr>
          <w:rFonts w:asciiTheme="majorBidi" w:hAnsiTheme="majorBidi" w:cstheme="majorBidi"/>
          <w:sz w:val="24"/>
          <w:szCs w:val="24"/>
        </w:rPr>
        <w:t xml:space="preserve"> out to be </w:t>
      </w:r>
      <w:r w:rsidR="004D1CFA">
        <w:rPr>
          <w:rFonts w:asciiTheme="majorBidi" w:hAnsiTheme="majorBidi" w:cstheme="majorBidi"/>
          <w:sz w:val="24"/>
          <w:szCs w:val="24"/>
        </w:rPr>
        <w:t xml:space="preserve">a </w:t>
      </w:r>
      <w:r w:rsidR="0042752C">
        <w:rPr>
          <w:rFonts w:asciiTheme="majorBidi" w:hAnsiTheme="majorBidi" w:cstheme="majorBidi"/>
          <w:sz w:val="24"/>
          <w:szCs w:val="24"/>
        </w:rPr>
        <w:t xml:space="preserve">religious </w:t>
      </w:r>
      <w:r w:rsidR="004D1CFA">
        <w:rPr>
          <w:rFonts w:asciiTheme="majorBidi" w:hAnsiTheme="majorBidi" w:cstheme="majorBidi"/>
          <w:sz w:val="24"/>
          <w:szCs w:val="24"/>
        </w:rPr>
        <w:t xml:space="preserve">one </w:t>
      </w:r>
      <w:r w:rsidR="0042752C">
        <w:rPr>
          <w:rFonts w:asciiTheme="majorBidi" w:hAnsiTheme="majorBidi" w:cstheme="majorBidi"/>
          <w:sz w:val="24"/>
          <w:szCs w:val="24"/>
        </w:rPr>
        <w:t xml:space="preserve">and </w:t>
      </w:r>
      <w:r w:rsidR="00F47E2D">
        <w:rPr>
          <w:rFonts w:asciiTheme="majorBidi" w:hAnsiTheme="majorBidi" w:cstheme="majorBidi"/>
          <w:sz w:val="24"/>
          <w:szCs w:val="24"/>
        </w:rPr>
        <w:t xml:space="preserve">was </w:t>
      </w:r>
      <w:r w:rsidR="0042752C">
        <w:rPr>
          <w:rFonts w:asciiTheme="majorBidi" w:hAnsiTheme="majorBidi" w:cstheme="majorBidi"/>
          <w:sz w:val="24"/>
          <w:szCs w:val="24"/>
        </w:rPr>
        <w:t>circulat</w:t>
      </w:r>
      <w:r w:rsidR="00F47E2D">
        <w:rPr>
          <w:rFonts w:asciiTheme="majorBidi" w:hAnsiTheme="majorBidi" w:cstheme="majorBidi"/>
          <w:sz w:val="24"/>
          <w:szCs w:val="24"/>
        </w:rPr>
        <w:t>ing</w:t>
      </w:r>
      <w:r w:rsidR="0042752C">
        <w:rPr>
          <w:rFonts w:asciiTheme="majorBidi" w:hAnsiTheme="majorBidi" w:cstheme="majorBidi"/>
          <w:sz w:val="24"/>
          <w:szCs w:val="24"/>
        </w:rPr>
        <w:t xml:space="preserve"> among the Zoroastrians</w:t>
      </w:r>
      <w:r w:rsidR="006B0C51">
        <w:rPr>
          <w:rFonts w:asciiTheme="majorBidi" w:hAnsiTheme="majorBidi" w:cstheme="majorBidi"/>
          <w:sz w:val="24"/>
          <w:szCs w:val="24"/>
        </w:rPr>
        <w:t xml:space="preserve"> in the Indian world</w:t>
      </w:r>
      <w:r w:rsidR="0042752C">
        <w:rPr>
          <w:rFonts w:asciiTheme="majorBidi" w:hAnsiTheme="majorBidi" w:cstheme="majorBidi"/>
          <w:sz w:val="24"/>
          <w:szCs w:val="24"/>
        </w:rPr>
        <w:t>.</w:t>
      </w:r>
    </w:p>
    <w:p w14:paraId="048AF520" w14:textId="7CCEA62F" w:rsidR="007814DA" w:rsidRDefault="0042752C" w:rsidP="00F47E2D">
      <w:pPr>
        <w:spacing w:line="360" w:lineRule="auto"/>
        <w:rPr>
          <w:rFonts w:asciiTheme="majorBidi" w:hAnsiTheme="majorBidi" w:cstheme="majorBidi"/>
          <w:sz w:val="24"/>
          <w:szCs w:val="24"/>
        </w:rPr>
      </w:pPr>
      <w:r>
        <w:rPr>
          <w:rFonts w:asciiTheme="majorBidi" w:hAnsiTheme="majorBidi" w:cstheme="majorBidi"/>
          <w:sz w:val="24"/>
          <w:szCs w:val="24"/>
        </w:rPr>
        <w:t xml:space="preserve">     Pērōz separated </w:t>
      </w:r>
      <w:r w:rsidR="00BA2D77">
        <w:rPr>
          <w:rFonts w:asciiTheme="majorBidi" w:hAnsiTheme="majorBidi" w:cstheme="majorBidi"/>
          <w:sz w:val="24"/>
          <w:szCs w:val="24"/>
        </w:rPr>
        <w:t xml:space="preserve">from </w:t>
      </w:r>
      <w:r>
        <w:rPr>
          <w:rFonts w:asciiTheme="majorBidi" w:hAnsiTheme="majorBidi" w:cstheme="majorBidi"/>
          <w:sz w:val="24"/>
          <w:szCs w:val="24"/>
        </w:rPr>
        <w:t xml:space="preserve">his brother and </w:t>
      </w:r>
      <w:r w:rsidR="005C2D5E">
        <w:rPr>
          <w:rFonts w:asciiTheme="majorBidi" w:hAnsiTheme="majorBidi" w:cstheme="majorBidi"/>
          <w:sz w:val="24"/>
          <w:szCs w:val="24"/>
        </w:rPr>
        <w:t>sought</w:t>
      </w:r>
      <w:r w:rsidR="004D1CFA">
        <w:rPr>
          <w:rFonts w:asciiTheme="majorBidi" w:hAnsiTheme="majorBidi" w:cstheme="majorBidi"/>
          <w:sz w:val="24"/>
          <w:szCs w:val="24"/>
        </w:rPr>
        <w:t xml:space="preserve"> refuge</w:t>
      </w:r>
      <w:r>
        <w:rPr>
          <w:rFonts w:asciiTheme="majorBidi" w:hAnsiTheme="majorBidi" w:cstheme="majorBidi"/>
          <w:sz w:val="24"/>
          <w:szCs w:val="24"/>
        </w:rPr>
        <w:t xml:space="preserve"> in Ṭukhāristān</w:t>
      </w:r>
      <w:r w:rsidR="00F47E2D">
        <w:rPr>
          <w:rFonts w:asciiTheme="majorBidi" w:hAnsiTheme="majorBidi" w:cstheme="majorBidi"/>
          <w:sz w:val="24"/>
          <w:szCs w:val="24"/>
        </w:rPr>
        <w:t>,</w:t>
      </w:r>
      <w:r w:rsidR="00DB60BE">
        <w:rPr>
          <w:rFonts w:asciiTheme="majorBidi" w:hAnsiTheme="majorBidi" w:cstheme="majorBidi"/>
          <w:sz w:val="24"/>
          <w:szCs w:val="24"/>
        </w:rPr>
        <w:t xml:space="preserve"> </w:t>
      </w:r>
      <w:r w:rsidR="00F47E2D">
        <w:rPr>
          <w:rFonts w:asciiTheme="majorBidi" w:hAnsiTheme="majorBidi" w:cstheme="majorBidi"/>
          <w:sz w:val="24"/>
          <w:szCs w:val="24"/>
        </w:rPr>
        <w:t>where he stayed among the Turks. When he</w:t>
      </w:r>
      <w:r w:rsidR="004D1CFA">
        <w:rPr>
          <w:rFonts w:asciiTheme="majorBidi" w:hAnsiTheme="majorBidi" w:cstheme="majorBidi"/>
          <w:sz w:val="24"/>
          <w:szCs w:val="24"/>
        </w:rPr>
        <w:t xml:space="preserve"> could no longer stay in Ṭukhāristān</w:t>
      </w:r>
      <w:r w:rsidR="005C2D5E">
        <w:rPr>
          <w:rFonts w:asciiTheme="majorBidi" w:hAnsiTheme="majorBidi" w:cstheme="majorBidi"/>
          <w:sz w:val="24"/>
          <w:szCs w:val="24"/>
        </w:rPr>
        <w:t xml:space="preserve">, they went to the Tang court, </w:t>
      </w:r>
      <w:r w:rsidR="00F47E2D">
        <w:rPr>
          <w:rFonts w:asciiTheme="majorBidi" w:hAnsiTheme="majorBidi" w:cstheme="majorBidi"/>
          <w:sz w:val="24"/>
          <w:szCs w:val="24"/>
        </w:rPr>
        <w:t>from which</w:t>
      </w:r>
      <w:r w:rsidR="005C2D5E">
        <w:rPr>
          <w:rFonts w:asciiTheme="majorBidi" w:hAnsiTheme="majorBidi" w:cstheme="majorBidi"/>
          <w:sz w:val="24"/>
          <w:szCs w:val="24"/>
        </w:rPr>
        <w:t xml:space="preserve"> both </w:t>
      </w:r>
      <w:r w:rsidR="006B0C51">
        <w:rPr>
          <w:rFonts w:asciiTheme="majorBidi" w:hAnsiTheme="majorBidi" w:cstheme="majorBidi"/>
          <w:sz w:val="24"/>
          <w:szCs w:val="24"/>
        </w:rPr>
        <w:t>his</w:t>
      </w:r>
      <w:r w:rsidR="005C2D5E">
        <w:rPr>
          <w:rFonts w:asciiTheme="majorBidi" w:hAnsiTheme="majorBidi" w:cstheme="majorBidi"/>
          <w:sz w:val="24"/>
          <w:szCs w:val="24"/>
        </w:rPr>
        <w:t xml:space="preserve"> father </w:t>
      </w:r>
      <w:r w:rsidR="006B0C51">
        <w:rPr>
          <w:rFonts w:asciiTheme="majorBidi" w:hAnsiTheme="majorBidi" w:cstheme="majorBidi"/>
          <w:sz w:val="24"/>
          <w:szCs w:val="24"/>
        </w:rPr>
        <w:t xml:space="preserve">Yazdegerd </w:t>
      </w:r>
      <w:r w:rsidR="005C2D5E">
        <w:rPr>
          <w:rFonts w:asciiTheme="majorBidi" w:hAnsiTheme="majorBidi" w:cstheme="majorBidi"/>
          <w:sz w:val="24"/>
          <w:szCs w:val="24"/>
        </w:rPr>
        <w:t xml:space="preserve">and </w:t>
      </w:r>
      <w:r w:rsidR="006B0C51">
        <w:rPr>
          <w:rFonts w:asciiTheme="majorBidi" w:hAnsiTheme="majorBidi" w:cstheme="majorBidi"/>
          <w:sz w:val="24"/>
          <w:szCs w:val="24"/>
        </w:rPr>
        <w:t xml:space="preserve">Pērōz himself </w:t>
      </w:r>
      <w:r w:rsidR="005C2D5E">
        <w:rPr>
          <w:rFonts w:asciiTheme="majorBidi" w:hAnsiTheme="majorBidi" w:cstheme="majorBidi"/>
          <w:sz w:val="24"/>
          <w:szCs w:val="24"/>
        </w:rPr>
        <w:t>sought military assistance.</w:t>
      </w:r>
      <w:r w:rsidR="00F47E2D">
        <w:rPr>
          <w:rFonts w:asciiTheme="majorBidi" w:hAnsiTheme="majorBidi" w:cstheme="majorBidi"/>
          <w:sz w:val="24"/>
          <w:szCs w:val="24"/>
        </w:rPr>
        <w:t xml:space="preserve"> </w:t>
      </w:r>
      <w:r w:rsidR="008B6236">
        <w:rPr>
          <w:rFonts w:asciiTheme="majorBidi" w:hAnsiTheme="majorBidi" w:cstheme="majorBidi"/>
          <w:sz w:val="24"/>
          <w:szCs w:val="24"/>
        </w:rPr>
        <w:t xml:space="preserve">According to </w:t>
      </w:r>
      <w:r w:rsidR="00F47E2D">
        <w:rPr>
          <w:rFonts w:asciiTheme="majorBidi" w:hAnsiTheme="majorBidi" w:cstheme="majorBidi"/>
          <w:sz w:val="24"/>
          <w:szCs w:val="24"/>
        </w:rPr>
        <w:t xml:space="preserve">the </w:t>
      </w:r>
      <w:r w:rsidR="008B6236">
        <w:rPr>
          <w:rFonts w:asciiTheme="majorBidi" w:hAnsiTheme="majorBidi" w:cstheme="majorBidi"/>
          <w:sz w:val="24"/>
          <w:szCs w:val="24"/>
        </w:rPr>
        <w:t xml:space="preserve">Chinese sources, Yazdegerd III sent emissaries to the Tang court </w:t>
      </w:r>
      <w:r w:rsidR="00DC3BFA">
        <w:rPr>
          <w:rFonts w:asciiTheme="majorBidi" w:hAnsiTheme="majorBidi" w:cstheme="majorBidi"/>
          <w:sz w:val="24"/>
          <w:szCs w:val="24"/>
        </w:rPr>
        <w:t>both</w:t>
      </w:r>
      <w:r w:rsidR="008B6236">
        <w:rPr>
          <w:rFonts w:asciiTheme="majorBidi" w:hAnsiTheme="majorBidi" w:cstheme="majorBidi"/>
          <w:sz w:val="24"/>
          <w:szCs w:val="24"/>
        </w:rPr>
        <w:t xml:space="preserve"> in 639/40 </w:t>
      </w:r>
      <w:r w:rsidR="00F47E2D">
        <w:rPr>
          <w:rFonts w:asciiTheme="majorBidi" w:hAnsiTheme="majorBidi" w:cstheme="majorBidi"/>
          <w:sz w:val="24"/>
          <w:szCs w:val="24"/>
        </w:rPr>
        <w:t xml:space="preserve">CE </w:t>
      </w:r>
      <w:r w:rsidR="008B6236">
        <w:rPr>
          <w:rFonts w:asciiTheme="majorBidi" w:hAnsiTheme="majorBidi" w:cstheme="majorBidi"/>
          <w:sz w:val="24"/>
          <w:szCs w:val="24"/>
        </w:rPr>
        <w:t>and in 647/8</w:t>
      </w:r>
      <w:r w:rsidR="00F47E2D">
        <w:rPr>
          <w:rFonts w:asciiTheme="majorBidi" w:hAnsiTheme="majorBidi" w:cstheme="majorBidi"/>
          <w:sz w:val="24"/>
          <w:szCs w:val="24"/>
        </w:rPr>
        <w:t xml:space="preserve"> CE</w:t>
      </w:r>
      <w:r w:rsidR="008B6236">
        <w:rPr>
          <w:rFonts w:asciiTheme="majorBidi" w:hAnsiTheme="majorBidi" w:cstheme="majorBidi"/>
          <w:sz w:val="24"/>
          <w:szCs w:val="24"/>
        </w:rPr>
        <w:t>.</w:t>
      </w:r>
      <w:r w:rsidR="008B6236">
        <w:rPr>
          <w:rStyle w:val="FootnoteReference"/>
          <w:rFonts w:asciiTheme="majorBidi" w:hAnsiTheme="majorBidi" w:cstheme="majorBidi"/>
          <w:sz w:val="24"/>
          <w:szCs w:val="24"/>
        </w:rPr>
        <w:footnoteReference w:id="263"/>
      </w:r>
      <w:r w:rsidR="008B6236">
        <w:rPr>
          <w:rFonts w:asciiTheme="majorBidi" w:hAnsiTheme="majorBidi" w:cstheme="majorBidi"/>
          <w:sz w:val="24"/>
          <w:szCs w:val="24"/>
        </w:rPr>
        <w:t xml:space="preserve"> The purpose was more than to present gifts</w:t>
      </w:r>
      <w:r w:rsidR="00DC3BFA">
        <w:rPr>
          <w:rFonts w:asciiTheme="majorBidi" w:hAnsiTheme="majorBidi" w:cstheme="majorBidi"/>
          <w:sz w:val="24"/>
          <w:szCs w:val="24"/>
        </w:rPr>
        <w:t xml:space="preserve"> as the Chinese sources report.</w:t>
      </w:r>
      <w:r w:rsidR="008B6236">
        <w:rPr>
          <w:rStyle w:val="FootnoteReference"/>
          <w:rFonts w:asciiTheme="majorBidi" w:hAnsiTheme="majorBidi" w:cstheme="majorBidi"/>
          <w:sz w:val="24"/>
          <w:szCs w:val="24"/>
        </w:rPr>
        <w:footnoteReference w:id="264"/>
      </w:r>
      <w:r w:rsidR="008B6236">
        <w:rPr>
          <w:rFonts w:asciiTheme="majorBidi" w:hAnsiTheme="majorBidi" w:cstheme="majorBidi"/>
          <w:sz w:val="24"/>
          <w:szCs w:val="24"/>
        </w:rPr>
        <w:t xml:space="preserve"> </w:t>
      </w:r>
      <w:r w:rsidR="00DC3BFA">
        <w:rPr>
          <w:rFonts w:asciiTheme="majorBidi" w:hAnsiTheme="majorBidi" w:cstheme="majorBidi"/>
          <w:sz w:val="24"/>
          <w:szCs w:val="24"/>
        </w:rPr>
        <w:t>This is clarified by a</w:t>
      </w:r>
      <w:r w:rsidR="008B6236">
        <w:rPr>
          <w:rFonts w:asciiTheme="majorBidi" w:hAnsiTheme="majorBidi" w:cstheme="majorBidi"/>
          <w:sz w:val="24"/>
          <w:szCs w:val="24"/>
        </w:rPr>
        <w:t>l-</w:t>
      </w:r>
      <w:r w:rsidR="008B6236" w:rsidRPr="00836512">
        <w:rPr>
          <w:rFonts w:asciiTheme="majorBidi" w:hAnsiTheme="majorBidi" w:cstheme="majorBidi"/>
          <w:sz w:val="24"/>
          <w:szCs w:val="24"/>
        </w:rPr>
        <w:t>Ṭabarī</w:t>
      </w:r>
      <w:r w:rsidR="00DC3BFA">
        <w:rPr>
          <w:rFonts w:asciiTheme="majorBidi" w:hAnsiTheme="majorBidi" w:cstheme="majorBidi"/>
          <w:sz w:val="24"/>
          <w:szCs w:val="24"/>
        </w:rPr>
        <w:t>, who</w:t>
      </w:r>
      <w:r w:rsidR="008B6236" w:rsidRPr="00836512">
        <w:rPr>
          <w:rFonts w:asciiTheme="majorBidi" w:hAnsiTheme="majorBidi" w:cstheme="majorBidi"/>
          <w:sz w:val="24"/>
          <w:szCs w:val="24"/>
        </w:rPr>
        <w:t xml:space="preserve"> </w:t>
      </w:r>
      <w:r w:rsidR="008B6236">
        <w:rPr>
          <w:rFonts w:asciiTheme="majorBidi" w:hAnsiTheme="majorBidi" w:cstheme="majorBidi"/>
          <w:sz w:val="24"/>
          <w:szCs w:val="24"/>
        </w:rPr>
        <w:t>r</w:t>
      </w:r>
      <w:r w:rsidR="000D144C">
        <w:rPr>
          <w:rFonts w:asciiTheme="majorBidi" w:hAnsiTheme="majorBidi" w:cstheme="majorBidi"/>
          <w:sz w:val="24"/>
          <w:szCs w:val="24"/>
        </w:rPr>
        <w:t>eports</w:t>
      </w:r>
      <w:r w:rsidR="008B6236">
        <w:rPr>
          <w:rFonts w:asciiTheme="majorBidi" w:hAnsiTheme="majorBidi" w:cstheme="majorBidi"/>
          <w:sz w:val="24"/>
          <w:szCs w:val="24"/>
        </w:rPr>
        <w:t xml:space="preserve"> </w:t>
      </w:r>
      <w:r w:rsidR="00DC3BFA">
        <w:rPr>
          <w:rFonts w:asciiTheme="majorBidi" w:hAnsiTheme="majorBidi" w:cstheme="majorBidi"/>
          <w:sz w:val="24"/>
          <w:szCs w:val="24"/>
        </w:rPr>
        <w:t xml:space="preserve">that Yazdegerd sent emissaries to the Tang in 647/8 CE to ask </w:t>
      </w:r>
      <w:r w:rsidR="008B6236">
        <w:rPr>
          <w:rFonts w:asciiTheme="majorBidi" w:hAnsiTheme="majorBidi" w:cstheme="majorBidi"/>
          <w:sz w:val="24"/>
          <w:szCs w:val="24"/>
        </w:rPr>
        <w:t>for military assistance.</w:t>
      </w:r>
      <w:r w:rsidR="008B6236">
        <w:rPr>
          <w:rStyle w:val="FootnoteReference"/>
          <w:rFonts w:asciiTheme="majorBidi" w:hAnsiTheme="majorBidi" w:cstheme="majorBidi"/>
          <w:sz w:val="24"/>
          <w:szCs w:val="24"/>
        </w:rPr>
        <w:footnoteReference w:id="265"/>
      </w:r>
      <w:r w:rsidR="008B6236" w:rsidRPr="008B6236">
        <w:rPr>
          <w:rFonts w:asciiTheme="majorBidi" w:hAnsiTheme="majorBidi" w:cstheme="majorBidi"/>
          <w:sz w:val="24"/>
          <w:szCs w:val="24"/>
        </w:rPr>
        <w:t xml:space="preserve"> </w:t>
      </w:r>
      <w:r w:rsidR="007814DA">
        <w:rPr>
          <w:rFonts w:asciiTheme="majorBidi" w:hAnsiTheme="majorBidi" w:cstheme="majorBidi"/>
          <w:sz w:val="24"/>
          <w:szCs w:val="24"/>
        </w:rPr>
        <w:t>Actually, if al-</w:t>
      </w:r>
      <w:r w:rsidR="007814DA" w:rsidRPr="00836512">
        <w:rPr>
          <w:rFonts w:asciiTheme="majorBidi" w:hAnsiTheme="majorBidi" w:cstheme="majorBidi"/>
          <w:sz w:val="24"/>
          <w:szCs w:val="24"/>
        </w:rPr>
        <w:t>Ṭabarī</w:t>
      </w:r>
      <w:r w:rsidR="007814DA">
        <w:rPr>
          <w:rFonts w:asciiTheme="majorBidi" w:hAnsiTheme="majorBidi" w:cstheme="majorBidi"/>
          <w:sz w:val="24"/>
          <w:szCs w:val="24"/>
        </w:rPr>
        <w:t xml:space="preserve">’s report is trusted, </w:t>
      </w:r>
      <w:r w:rsidR="006B0C51">
        <w:rPr>
          <w:rFonts w:asciiTheme="majorBidi" w:hAnsiTheme="majorBidi" w:cstheme="majorBidi"/>
          <w:sz w:val="24"/>
          <w:szCs w:val="24"/>
        </w:rPr>
        <w:t xml:space="preserve">even </w:t>
      </w:r>
      <w:r w:rsidR="007814DA">
        <w:rPr>
          <w:rFonts w:asciiTheme="majorBidi" w:hAnsiTheme="majorBidi" w:cstheme="majorBidi"/>
          <w:sz w:val="24"/>
          <w:szCs w:val="24"/>
        </w:rPr>
        <w:t xml:space="preserve">Yazdegerd himself thought of seeking </w:t>
      </w:r>
      <w:r w:rsidR="007814DA">
        <w:rPr>
          <w:rFonts w:asciiTheme="majorBidi" w:hAnsiTheme="majorBidi" w:cstheme="majorBidi"/>
          <w:sz w:val="24"/>
          <w:szCs w:val="24"/>
        </w:rPr>
        <w:lastRenderedPageBreak/>
        <w:t>refuge in China, when he was asked by the Persian nobles.</w:t>
      </w:r>
      <w:r w:rsidR="007814DA">
        <w:rPr>
          <w:rStyle w:val="FootnoteReference"/>
          <w:rFonts w:asciiTheme="majorBidi" w:hAnsiTheme="majorBidi" w:cstheme="majorBidi"/>
          <w:sz w:val="24"/>
          <w:szCs w:val="24"/>
        </w:rPr>
        <w:footnoteReference w:id="266"/>
      </w:r>
      <w:r w:rsidR="007814DA">
        <w:rPr>
          <w:rFonts w:asciiTheme="majorBidi" w:hAnsiTheme="majorBidi" w:cstheme="majorBidi"/>
          <w:sz w:val="24"/>
          <w:szCs w:val="24"/>
        </w:rPr>
        <w:t xml:space="preserve"> </w:t>
      </w:r>
    </w:p>
    <w:p w14:paraId="72504553" w14:textId="1AE11284" w:rsidR="008B6236" w:rsidRDefault="007814DA" w:rsidP="00F47E2D">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480BDD">
        <w:rPr>
          <w:rFonts w:asciiTheme="majorBidi" w:hAnsiTheme="majorBidi" w:cstheme="majorBidi"/>
          <w:sz w:val="24"/>
          <w:szCs w:val="24"/>
        </w:rPr>
        <w:t>Yazdegerd requested reinforcements of the Turks and China, while Pērōz sent emissaries to the Tang court in a greater frequency to ask for military expedition against the Arabs.</w:t>
      </w:r>
      <w:r w:rsidR="00480BDD">
        <w:rPr>
          <w:rStyle w:val="FootnoteReference"/>
          <w:rFonts w:asciiTheme="majorBidi" w:hAnsiTheme="majorBidi" w:cstheme="majorBidi"/>
          <w:sz w:val="24"/>
          <w:szCs w:val="24"/>
        </w:rPr>
        <w:footnoteReference w:id="267"/>
      </w:r>
      <w:r w:rsidR="00480BDD">
        <w:rPr>
          <w:rFonts w:asciiTheme="majorBidi" w:hAnsiTheme="majorBidi" w:cstheme="majorBidi"/>
          <w:sz w:val="24"/>
          <w:szCs w:val="24"/>
        </w:rPr>
        <w:t xml:space="preserve"> In order to reinforce the alliance, Pērōz sent his son Narseh to Chang'an as a hostage. Yazdegerd planned to go to the Turks and to China, while Pērōz indeed traveled first to the Turks and then to China.</w:t>
      </w:r>
    </w:p>
    <w:p w14:paraId="7AFF8A0E" w14:textId="52BF0788" w:rsidR="007F0D09" w:rsidRDefault="008B6236" w:rsidP="008B6236">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480BDD">
        <w:rPr>
          <w:rFonts w:asciiTheme="majorBidi" w:hAnsiTheme="majorBidi" w:cstheme="majorBidi"/>
          <w:sz w:val="24"/>
          <w:szCs w:val="24"/>
        </w:rPr>
        <w:t xml:space="preserve">They turned to the Turks because of their political power. </w:t>
      </w:r>
      <w:r w:rsidR="000B2880">
        <w:rPr>
          <w:rFonts w:asciiTheme="majorBidi" w:hAnsiTheme="majorBidi" w:cstheme="majorBidi"/>
          <w:sz w:val="24"/>
          <w:szCs w:val="24"/>
        </w:rPr>
        <w:t>T</w:t>
      </w:r>
      <w:r w:rsidR="00480BDD">
        <w:rPr>
          <w:rFonts w:asciiTheme="majorBidi" w:hAnsiTheme="majorBidi" w:cstheme="majorBidi"/>
          <w:sz w:val="24"/>
          <w:szCs w:val="24"/>
        </w:rPr>
        <w:t>hey turned to the Chinese Tang</w:t>
      </w:r>
      <w:r w:rsidR="000B2880">
        <w:rPr>
          <w:rFonts w:asciiTheme="majorBidi" w:hAnsiTheme="majorBidi" w:cstheme="majorBidi"/>
          <w:sz w:val="24"/>
          <w:szCs w:val="24"/>
        </w:rPr>
        <w:t xml:space="preserve"> following the same logic</w:t>
      </w:r>
      <w:r w:rsidR="00480BDD">
        <w:rPr>
          <w:rFonts w:asciiTheme="majorBidi" w:hAnsiTheme="majorBidi" w:cstheme="majorBidi"/>
          <w:sz w:val="24"/>
          <w:szCs w:val="24"/>
        </w:rPr>
        <w:t xml:space="preserve">. The </w:t>
      </w:r>
      <w:r>
        <w:rPr>
          <w:rFonts w:asciiTheme="majorBidi" w:hAnsiTheme="majorBidi" w:cstheme="majorBidi"/>
          <w:sz w:val="24"/>
          <w:szCs w:val="24"/>
        </w:rPr>
        <w:t xml:space="preserve">prestige </w:t>
      </w:r>
      <w:r w:rsidR="00480BDD">
        <w:rPr>
          <w:rFonts w:asciiTheme="majorBidi" w:hAnsiTheme="majorBidi" w:cstheme="majorBidi"/>
          <w:sz w:val="24"/>
          <w:szCs w:val="24"/>
        </w:rPr>
        <w:t xml:space="preserve">of the Tang’s political power </w:t>
      </w:r>
      <w:r>
        <w:rPr>
          <w:rFonts w:asciiTheme="majorBidi" w:hAnsiTheme="majorBidi" w:cstheme="majorBidi"/>
          <w:sz w:val="24"/>
          <w:szCs w:val="24"/>
        </w:rPr>
        <w:t xml:space="preserve">among the Sasanians </w:t>
      </w:r>
      <w:r w:rsidR="00480BDD">
        <w:rPr>
          <w:rFonts w:asciiTheme="majorBidi" w:hAnsiTheme="majorBidi" w:cstheme="majorBidi"/>
          <w:sz w:val="24"/>
          <w:szCs w:val="24"/>
        </w:rPr>
        <w:t xml:space="preserve">must be closely related to </w:t>
      </w:r>
      <w:r>
        <w:rPr>
          <w:rFonts w:asciiTheme="majorBidi" w:hAnsiTheme="majorBidi" w:cstheme="majorBidi"/>
          <w:sz w:val="24"/>
          <w:szCs w:val="24"/>
        </w:rPr>
        <w:t>the</w:t>
      </w:r>
      <w:r w:rsidR="000B2880">
        <w:rPr>
          <w:rFonts w:asciiTheme="majorBidi" w:hAnsiTheme="majorBidi" w:cstheme="majorBidi"/>
          <w:sz w:val="24"/>
          <w:szCs w:val="24"/>
        </w:rPr>
        <w:t xml:space="preserve"> Tang’s</w:t>
      </w:r>
      <w:r>
        <w:rPr>
          <w:rFonts w:asciiTheme="majorBidi" w:hAnsiTheme="majorBidi" w:cstheme="majorBidi"/>
          <w:sz w:val="24"/>
          <w:szCs w:val="24"/>
        </w:rPr>
        <w:t xml:space="preserve"> victory over the Turks. </w:t>
      </w:r>
      <w:r w:rsidR="00480BDD">
        <w:rPr>
          <w:rFonts w:asciiTheme="majorBidi" w:hAnsiTheme="majorBidi" w:cstheme="majorBidi"/>
          <w:sz w:val="24"/>
          <w:szCs w:val="24"/>
        </w:rPr>
        <w:t>What is more</w:t>
      </w:r>
      <w:r>
        <w:rPr>
          <w:rFonts w:asciiTheme="majorBidi" w:hAnsiTheme="majorBidi" w:cstheme="majorBidi"/>
          <w:sz w:val="24"/>
          <w:szCs w:val="24"/>
        </w:rPr>
        <w:t xml:space="preserve">, this is </w:t>
      </w:r>
      <w:r w:rsidR="00480BDD">
        <w:rPr>
          <w:rFonts w:asciiTheme="majorBidi" w:hAnsiTheme="majorBidi" w:cstheme="majorBidi"/>
          <w:sz w:val="24"/>
          <w:szCs w:val="24"/>
        </w:rPr>
        <w:t>the most important reason tha</w:t>
      </w:r>
      <w:r>
        <w:rPr>
          <w:rFonts w:asciiTheme="majorBidi" w:hAnsiTheme="majorBidi" w:cstheme="majorBidi"/>
          <w:sz w:val="24"/>
          <w:szCs w:val="24"/>
        </w:rPr>
        <w:t>t leads to Pērōz’s decision to fleeing to China</w:t>
      </w:r>
      <w:r w:rsidR="00480BDD">
        <w:rPr>
          <w:rFonts w:asciiTheme="majorBidi" w:hAnsiTheme="majorBidi" w:cstheme="majorBidi"/>
          <w:sz w:val="24"/>
          <w:szCs w:val="24"/>
        </w:rPr>
        <w:t>, although the</w:t>
      </w:r>
      <w:r>
        <w:rPr>
          <w:rFonts w:asciiTheme="majorBidi" w:hAnsiTheme="majorBidi" w:cstheme="majorBidi"/>
          <w:sz w:val="24"/>
          <w:szCs w:val="24"/>
        </w:rPr>
        <w:t xml:space="preserve"> existence of </w:t>
      </w:r>
      <w:r w:rsidR="007F0D09">
        <w:rPr>
          <w:rFonts w:asciiTheme="majorBidi" w:hAnsiTheme="majorBidi" w:cstheme="majorBidi"/>
          <w:sz w:val="24"/>
          <w:szCs w:val="24"/>
        </w:rPr>
        <w:t xml:space="preserve">prosperous </w:t>
      </w:r>
      <w:r>
        <w:rPr>
          <w:rFonts w:asciiTheme="majorBidi" w:hAnsiTheme="majorBidi" w:cstheme="majorBidi"/>
          <w:sz w:val="24"/>
          <w:szCs w:val="24"/>
        </w:rPr>
        <w:t>Persian communities in China</w:t>
      </w:r>
      <w:r w:rsidR="00480BDD">
        <w:rPr>
          <w:rFonts w:asciiTheme="majorBidi" w:hAnsiTheme="majorBidi" w:cstheme="majorBidi"/>
          <w:sz w:val="24"/>
          <w:szCs w:val="24"/>
        </w:rPr>
        <w:t xml:space="preserve"> probably also plays a role</w:t>
      </w:r>
      <w:r>
        <w:rPr>
          <w:rFonts w:asciiTheme="majorBidi" w:hAnsiTheme="majorBidi" w:cstheme="majorBidi"/>
          <w:sz w:val="24"/>
          <w:szCs w:val="24"/>
        </w:rPr>
        <w:t>.</w:t>
      </w:r>
    </w:p>
    <w:p w14:paraId="41DE8DCF" w14:textId="42B97503" w:rsidR="00EB4E7A" w:rsidRDefault="007F0D09" w:rsidP="00A5696F">
      <w:pPr>
        <w:spacing w:line="360" w:lineRule="auto"/>
        <w:rPr>
          <w:rFonts w:asciiTheme="majorBidi" w:hAnsiTheme="majorBidi" w:cstheme="majorBidi"/>
          <w:sz w:val="24"/>
          <w:szCs w:val="24"/>
        </w:rPr>
      </w:pPr>
      <w:r>
        <w:rPr>
          <w:rFonts w:asciiTheme="majorBidi" w:hAnsiTheme="majorBidi" w:cstheme="majorBidi"/>
          <w:sz w:val="24"/>
          <w:szCs w:val="24"/>
        </w:rPr>
        <w:t xml:space="preserve">     The </w:t>
      </w:r>
      <w:r w:rsidR="00090F35">
        <w:rPr>
          <w:rFonts w:asciiTheme="majorBidi" w:hAnsiTheme="majorBidi" w:cstheme="majorBidi"/>
          <w:sz w:val="24"/>
          <w:szCs w:val="24"/>
        </w:rPr>
        <w:t xml:space="preserve">bulk of the </w:t>
      </w:r>
      <w:r>
        <w:rPr>
          <w:rFonts w:asciiTheme="majorBidi" w:hAnsiTheme="majorBidi" w:cstheme="majorBidi"/>
          <w:sz w:val="24"/>
          <w:szCs w:val="24"/>
        </w:rPr>
        <w:t>Persians in China during the 7</w:t>
      </w:r>
      <w:r w:rsidRPr="000761E7">
        <w:rPr>
          <w:rFonts w:asciiTheme="majorBidi" w:hAnsiTheme="majorBidi" w:cstheme="majorBidi"/>
          <w:sz w:val="24"/>
          <w:szCs w:val="24"/>
          <w:vertAlign w:val="superscript"/>
        </w:rPr>
        <w:t>th</w:t>
      </w:r>
      <w:r>
        <w:rPr>
          <w:rFonts w:asciiTheme="majorBidi" w:hAnsiTheme="majorBidi" w:cstheme="majorBidi"/>
          <w:sz w:val="24"/>
          <w:szCs w:val="24"/>
        </w:rPr>
        <w:t xml:space="preserve"> and 8</w:t>
      </w:r>
      <w:r w:rsidRPr="000761E7">
        <w:rPr>
          <w:rFonts w:asciiTheme="majorBidi" w:hAnsiTheme="majorBidi" w:cstheme="majorBidi"/>
          <w:sz w:val="24"/>
          <w:szCs w:val="24"/>
          <w:vertAlign w:val="superscript"/>
        </w:rPr>
        <w:t>th</w:t>
      </w:r>
      <w:r>
        <w:rPr>
          <w:rFonts w:asciiTheme="majorBidi" w:hAnsiTheme="majorBidi" w:cstheme="majorBidi"/>
          <w:sz w:val="24"/>
          <w:szCs w:val="24"/>
        </w:rPr>
        <w:t xml:space="preserve"> centuries were mainly merchants. It is clear that the prosperity of the maritime trade between </w:t>
      </w:r>
      <w:r w:rsidR="00090F35">
        <w:rPr>
          <w:rFonts w:asciiTheme="majorBidi" w:hAnsiTheme="majorBidi" w:cstheme="majorBidi"/>
          <w:sz w:val="24"/>
          <w:szCs w:val="24"/>
        </w:rPr>
        <w:t xml:space="preserve">the </w:t>
      </w:r>
      <w:r>
        <w:rPr>
          <w:rFonts w:asciiTheme="majorBidi" w:hAnsiTheme="majorBidi" w:cstheme="majorBidi"/>
          <w:sz w:val="24"/>
          <w:szCs w:val="24"/>
        </w:rPr>
        <w:t>Persia</w:t>
      </w:r>
      <w:r w:rsidR="00090F35">
        <w:rPr>
          <w:rFonts w:asciiTheme="majorBidi" w:hAnsiTheme="majorBidi" w:cstheme="majorBidi"/>
          <w:sz w:val="24"/>
          <w:szCs w:val="24"/>
        </w:rPr>
        <w:t>n Gulf</w:t>
      </w:r>
      <w:r>
        <w:rPr>
          <w:rFonts w:asciiTheme="majorBidi" w:hAnsiTheme="majorBidi" w:cstheme="majorBidi"/>
          <w:sz w:val="24"/>
          <w:szCs w:val="24"/>
        </w:rPr>
        <w:t xml:space="preserve"> and China brought them to </w:t>
      </w:r>
      <w:r w:rsidR="00DC3BFA">
        <w:rPr>
          <w:rFonts w:asciiTheme="majorBidi" w:hAnsiTheme="majorBidi" w:cstheme="majorBidi"/>
          <w:sz w:val="24"/>
          <w:szCs w:val="24"/>
        </w:rPr>
        <w:t xml:space="preserve">the </w:t>
      </w:r>
      <w:r>
        <w:rPr>
          <w:rFonts w:asciiTheme="majorBidi" w:hAnsiTheme="majorBidi" w:cstheme="majorBidi"/>
          <w:sz w:val="24"/>
          <w:szCs w:val="24"/>
        </w:rPr>
        <w:t xml:space="preserve">ports </w:t>
      </w:r>
      <w:r w:rsidR="00DC3BFA">
        <w:rPr>
          <w:rFonts w:asciiTheme="majorBidi" w:hAnsiTheme="majorBidi" w:cstheme="majorBidi"/>
          <w:sz w:val="24"/>
          <w:szCs w:val="24"/>
        </w:rPr>
        <w:t xml:space="preserve">of China </w:t>
      </w:r>
      <w:r>
        <w:rPr>
          <w:rFonts w:asciiTheme="majorBidi" w:hAnsiTheme="majorBidi" w:cstheme="majorBidi"/>
          <w:sz w:val="24"/>
          <w:szCs w:val="24"/>
        </w:rPr>
        <w:t xml:space="preserve">such as Guangzhou and Yangzhou. </w:t>
      </w:r>
      <w:r w:rsidR="00DC3BFA">
        <w:rPr>
          <w:rFonts w:asciiTheme="majorBidi" w:hAnsiTheme="majorBidi" w:cstheme="majorBidi"/>
          <w:sz w:val="24"/>
          <w:szCs w:val="24"/>
        </w:rPr>
        <w:t>And r</w:t>
      </w:r>
      <w:r>
        <w:rPr>
          <w:rFonts w:asciiTheme="majorBidi" w:hAnsiTheme="majorBidi" w:cstheme="majorBidi"/>
          <w:sz w:val="24"/>
          <w:szCs w:val="24"/>
        </w:rPr>
        <w:t>ich Persian merchants were found in Chang’an and Luoyang as well.</w:t>
      </w:r>
      <w:r>
        <w:rPr>
          <w:rStyle w:val="FootnoteReference"/>
          <w:rFonts w:asciiTheme="majorBidi" w:hAnsiTheme="majorBidi" w:cstheme="majorBidi"/>
          <w:sz w:val="24"/>
          <w:szCs w:val="24"/>
        </w:rPr>
        <w:footnoteReference w:id="268"/>
      </w:r>
      <w:r>
        <w:rPr>
          <w:rFonts w:asciiTheme="majorBidi" w:hAnsiTheme="majorBidi" w:cstheme="majorBidi"/>
          <w:sz w:val="24"/>
          <w:szCs w:val="24"/>
        </w:rPr>
        <w:t xml:space="preserve"> The communities were joined by the fugitive nobles such as Nanmei,</w:t>
      </w:r>
      <w:r w:rsidR="00F66F98">
        <w:rPr>
          <w:rStyle w:val="FootnoteReference"/>
          <w:rFonts w:asciiTheme="majorBidi" w:hAnsiTheme="majorBidi" w:cstheme="majorBidi"/>
          <w:sz w:val="24"/>
          <w:szCs w:val="24"/>
        </w:rPr>
        <w:footnoteReference w:id="269"/>
      </w:r>
      <w:r>
        <w:rPr>
          <w:rFonts w:asciiTheme="majorBidi" w:hAnsiTheme="majorBidi" w:cstheme="majorBidi"/>
          <w:sz w:val="24"/>
          <w:szCs w:val="24"/>
        </w:rPr>
        <w:t xml:space="preserve"> A-luo-han,</w:t>
      </w:r>
      <w:r w:rsidR="00F66F98">
        <w:rPr>
          <w:rStyle w:val="FootnoteReference"/>
          <w:rFonts w:asciiTheme="majorBidi" w:hAnsiTheme="majorBidi" w:cstheme="majorBidi"/>
          <w:sz w:val="24"/>
          <w:szCs w:val="24"/>
        </w:rPr>
        <w:footnoteReference w:id="270"/>
      </w:r>
      <w:r>
        <w:rPr>
          <w:rFonts w:asciiTheme="majorBidi" w:hAnsiTheme="majorBidi" w:cstheme="majorBidi"/>
          <w:sz w:val="24"/>
          <w:szCs w:val="24"/>
        </w:rPr>
        <w:t xml:space="preserve"> </w:t>
      </w:r>
      <w:r>
        <w:rPr>
          <w:rFonts w:asciiTheme="majorBidi" w:hAnsiTheme="majorBidi" w:cstheme="majorBidi"/>
          <w:sz w:val="24"/>
          <w:szCs w:val="24"/>
        </w:rPr>
        <w:lastRenderedPageBreak/>
        <w:t>members of the Suren family and so on.</w:t>
      </w:r>
      <w:r w:rsidR="00090F35">
        <w:rPr>
          <w:rStyle w:val="FootnoteReference"/>
          <w:rFonts w:asciiTheme="majorBidi" w:hAnsiTheme="majorBidi" w:cstheme="majorBidi"/>
          <w:sz w:val="24"/>
          <w:szCs w:val="24"/>
        </w:rPr>
        <w:footnoteReference w:id="271"/>
      </w:r>
      <w:r>
        <w:rPr>
          <w:rFonts w:asciiTheme="majorBidi" w:hAnsiTheme="majorBidi" w:cstheme="majorBidi"/>
          <w:sz w:val="24"/>
          <w:szCs w:val="24"/>
        </w:rPr>
        <w:t xml:space="preserve"> </w:t>
      </w:r>
      <w:r w:rsidR="00A5696F">
        <w:rPr>
          <w:rFonts w:asciiTheme="majorBidi" w:hAnsiTheme="majorBidi" w:cstheme="majorBidi"/>
          <w:sz w:val="24"/>
          <w:szCs w:val="24"/>
        </w:rPr>
        <w:t>Although it is impossible to trace the time of their coming to China, it is certain that some nobles such as A-luo-han arrived at the Tang court independently before Pērōz</w:t>
      </w:r>
      <w:r w:rsidR="00EB4E7A">
        <w:rPr>
          <w:rFonts w:asciiTheme="majorBidi" w:hAnsiTheme="majorBidi" w:cstheme="majorBidi"/>
          <w:sz w:val="24"/>
          <w:szCs w:val="24"/>
        </w:rPr>
        <w:t>.</w:t>
      </w:r>
    </w:p>
    <w:p w14:paraId="25A698EE" w14:textId="66B7B299" w:rsidR="008B6236" w:rsidRDefault="00A5696F" w:rsidP="008B6236">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Besides the building of a probable</w:t>
      </w:r>
      <w:r w:rsidR="008B6236">
        <w:rPr>
          <w:rFonts w:asciiTheme="majorBidi" w:hAnsiTheme="majorBidi" w:cstheme="majorBidi"/>
          <w:sz w:val="24"/>
          <w:szCs w:val="24"/>
        </w:rPr>
        <w:t xml:space="preserve"> Nestorian temple in Chang’an </w:t>
      </w:r>
      <w:r w:rsidR="000B2880">
        <w:rPr>
          <w:rFonts w:asciiTheme="majorBidi" w:hAnsiTheme="majorBidi" w:cstheme="majorBidi"/>
          <w:sz w:val="24"/>
          <w:szCs w:val="24"/>
        </w:rPr>
        <w:t>in response to</w:t>
      </w:r>
      <w:r w:rsidR="008B6236">
        <w:rPr>
          <w:rFonts w:asciiTheme="majorBidi" w:hAnsiTheme="majorBidi" w:cstheme="majorBidi"/>
          <w:sz w:val="24"/>
          <w:szCs w:val="24"/>
        </w:rPr>
        <w:t xml:space="preserve"> Pērōz’s request</w:t>
      </w:r>
      <w:r>
        <w:rPr>
          <w:rFonts w:asciiTheme="majorBidi" w:hAnsiTheme="majorBidi" w:cstheme="majorBidi"/>
          <w:sz w:val="24"/>
          <w:szCs w:val="24"/>
        </w:rPr>
        <w:t>, t</w:t>
      </w:r>
      <w:r w:rsidR="008B6236">
        <w:rPr>
          <w:rFonts w:asciiTheme="majorBidi" w:hAnsiTheme="majorBidi" w:cstheme="majorBidi"/>
          <w:sz w:val="24"/>
          <w:szCs w:val="24"/>
        </w:rPr>
        <w:t xml:space="preserve">emples of Zoroastrianism and Manicheanism were actually built since the </w:t>
      </w:r>
      <w:r w:rsidR="000B2880">
        <w:rPr>
          <w:rFonts w:asciiTheme="majorBidi" w:hAnsiTheme="majorBidi" w:cstheme="majorBidi"/>
          <w:sz w:val="24"/>
          <w:szCs w:val="24"/>
        </w:rPr>
        <w:t>1</w:t>
      </w:r>
      <w:r w:rsidR="000B2880" w:rsidRPr="000B2880">
        <w:rPr>
          <w:rFonts w:asciiTheme="majorBidi" w:hAnsiTheme="majorBidi" w:cstheme="majorBidi"/>
          <w:sz w:val="24"/>
          <w:szCs w:val="24"/>
          <w:vertAlign w:val="superscript"/>
        </w:rPr>
        <w:t>st</w:t>
      </w:r>
      <w:r w:rsidR="000B2880">
        <w:rPr>
          <w:rFonts w:asciiTheme="majorBidi" w:hAnsiTheme="majorBidi" w:cstheme="majorBidi"/>
          <w:sz w:val="24"/>
          <w:szCs w:val="24"/>
        </w:rPr>
        <w:t xml:space="preserve"> </w:t>
      </w:r>
      <w:r w:rsidR="008B6236">
        <w:rPr>
          <w:rFonts w:asciiTheme="majorBidi" w:hAnsiTheme="majorBidi" w:cstheme="majorBidi"/>
          <w:sz w:val="24"/>
          <w:szCs w:val="24"/>
        </w:rPr>
        <w:t>half of the 7</w:t>
      </w:r>
      <w:r w:rsidR="008B6236" w:rsidRPr="0075074C">
        <w:rPr>
          <w:rFonts w:asciiTheme="majorBidi" w:hAnsiTheme="majorBidi" w:cstheme="majorBidi"/>
          <w:sz w:val="24"/>
          <w:szCs w:val="24"/>
          <w:vertAlign w:val="superscript"/>
        </w:rPr>
        <w:t>th</w:t>
      </w:r>
      <w:r w:rsidR="008B6236">
        <w:rPr>
          <w:rFonts w:asciiTheme="majorBidi" w:hAnsiTheme="majorBidi" w:cstheme="majorBidi"/>
          <w:sz w:val="24"/>
          <w:szCs w:val="24"/>
        </w:rPr>
        <w:t xml:space="preserve"> century. A</w:t>
      </w:r>
      <w:r w:rsidR="008B6236">
        <w:rPr>
          <w:rFonts w:asciiTheme="majorBidi" w:hAnsiTheme="majorBidi" w:cstheme="majorBidi" w:hint="eastAsia"/>
          <w:sz w:val="24"/>
          <w:szCs w:val="24"/>
        </w:rPr>
        <w:t>s</w:t>
      </w:r>
      <w:r w:rsidR="008B6236">
        <w:rPr>
          <w:rFonts w:asciiTheme="majorBidi" w:hAnsiTheme="majorBidi" w:cstheme="majorBidi"/>
          <w:sz w:val="24"/>
          <w:szCs w:val="24"/>
        </w:rPr>
        <w:t xml:space="preserve"> Leslie commented, the foreign religions were largely limited to foreigners, while the native Chinese were forbidden to convert to them.</w:t>
      </w:r>
      <w:r w:rsidR="008B6236">
        <w:rPr>
          <w:rStyle w:val="FootnoteReference"/>
          <w:rFonts w:asciiTheme="majorBidi" w:hAnsiTheme="majorBidi" w:cstheme="majorBidi"/>
          <w:sz w:val="24"/>
          <w:szCs w:val="24"/>
        </w:rPr>
        <w:footnoteReference w:id="272"/>
      </w:r>
      <w:r w:rsidR="008B6236">
        <w:rPr>
          <w:rFonts w:asciiTheme="majorBidi" w:hAnsiTheme="majorBidi" w:cstheme="majorBidi"/>
          <w:sz w:val="24"/>
          <w:szCs w:val="24"/>
        </w:rPr>
        <w:t xml:space="preserve"> Consequently, the continuing flourish of the temples in the 8</w:t>
      </w:r>
      <w:r w:rsidR="008B6236" w:rsidRPr="0075074C">
        <w:rPr>
          <w:rFonts w:asciiTheme="majorBidi" w:hAnsiTheme="majorBidi" w:cstheme="majorBidi"/>
          <w:sz w:val="24"/>
          <w:szCs w:val="24"/>
          <w:vertAlign w:val="superscript"/>
        </w:rPr>
        <w:t>th</w:t>
      </w:r>
      <w:r w:rsidR="008B6236">
        <w:rPr>
          <w:rFonts w:asciiTheme="majorBidi" w:hAnsiTheme="majorBidi" w:cstheme="majorBidi"/>
          <w:sz w:val="24"/>
          <w:szCs w:val="24"/>
        </w:rPr>
        <w:t xml:space="preserve"> century </w:t>
      </w:r>
      <w:r w:rsidR="000B2880">
        <w:rPr>
          <w:rFonts w:asciiTheme="majorBidi" w:hAnsiTheme="majorBidi" w:cstheme="majorBidi"/>
          <w:sz w:val="24"/>
          <w:szCs w:val="24"/>
        </w:rPr>
        <w:t xml:space="preserve">also </w:t>
      </w:r>
      <w:r w:rsidR="00F37D2A">
        <w:rPr>
          <w:rFonts w:asciiTheme="majorBidi" w:hAnsiTheme="majorBidi" w:cstheme="majorBidi"/>
          <w:sz w:val="24"/>
          <w:szCs w:val="24"/>
        </w:rPr>
        <w:t>reflect</w:t>
      </w:r>
      <w:r w:rsidR="008B6236">
        <w:rPr>
          <w:rFonts w:asciiTheme="majorBidi" w:hAnsiTheme="majorBidi" w:cstheme="majorBidi"/>
          <w:sz w:val="24"/>
          <w:szCs w:val="24"/>
        </w:rPr>
        <w:t>s the prosperity of the Persian communities in the heartland of China.</w:t>
      </w:r>
      <w:r w:rsidR="008B6236">
        <w:rPr>
          <w:rStyle w:val="FootnoteReference"/>
          <w:rFonts w:asciiTheme="majorBidi" w:hAnsiTheme="majorBidi" w:cstheme="majorBidi"/>
          <w:sz w:val="24"/>
          <w:szCs w:val="24"/>
        </w:rPr>
        <w:footnoteReference w:id="273"/>
      </w:r>
    </w:p>
    <w:p w14:paraId="11266238" w14:textId="77777777" w:rsidR="000B2880" w:rsidRDefault="00A5696F" w:rsidP="00A5696F">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With prosperous Persian communities in China, the Sasanian claimants </w:t>
      </w:r>
      <w:r w:rsidR="003553AE">
        <w:rPr>
          <w:rFonts w:asciiTheme="majorBidi" w:hAnsiTheme="majorBidi" w:cstheme="majorBidi"/>
          <w:sz w:val="24"/>
          <w:szCs w:val="24"/>
        </w:rPr>
        <w:t xml:space="preserve">who </w:t>
      </w:r>
      <w:r>
        <w:rPr>
          <w:rFonts w:asciiTheme="majorBidi" w:hAnsiTheme="majorBidi" w:cstheme="majorBidi"/>
          <w:sz w:val="24"/>
          <w:szCs w:val="24"/>
        </w:rPr>
        <w:t xml:space="preserve">fled to China </w:t>
      </w:r>
      <w:r w:rsidR="00F37D2A">
        <w:rPr>
          <w:rFonts w:asciiTheme="majorBidi" w:hAnsiTheme="majorBidi" w:cstheme="majorBidi"/>
          <w:sz w:val="24"/>
          <w:szCs w:val="24"/>
        </w:rPr>
        <w:t xml:space="preserve">could still play with the aspiration to </w:t>
      </w:r>
      <w:r>
        <w:rPr>
          <w:rFonts w:asciiTheme="majorBidi" w:hAnsiTheme="majorBidi" w:cstheme="majorBidi"/>
          <w:sz w:val="24"/>
          <w:szCs w:val="24"/>
        </w:rPr>
        <w:t>restore the</w:t>
      </w:r>
      <w:r w:rsidR="00CC499C">
        <w:rPr>
          <w:rFonts w:asciiTheme="majorBidi" w:hAnsiTheme="majorBidi" w:cstheme="majorBidi"/>
          <w:sz w:val="24"/>
          <w:szCs w:val="24"/>
        </w:rPr>
        <w:t xml:space="preserve"> lost</w:t>
      </w:r>
      <w:r>
        <w:rPr>
          <w:rFonts w:asciiTheme="majorBidi" w:hAnsiTheme="majorBidi" w:cstheme="majorBidi"/>
          <w:sz w:val="24"/>
          <w:szCs w:val="24"/>
        </w:rPr>
        <w:t xml:space="preserve"> dynasty. </w:t>
      </w:r>
      <w:r w:rsidR="008B6236">
        <w:rPr>
          <w:rFonts w:asciiTheme="majorBidi" w:hAnsiTheme="majorBidi" w:cstheme="majorBidi"/>
          <w:sz w:val="24"/>
          <w:szCs w:val="24"/>
        </w:rPr>
        <w:t xml:space="preserve">On the one hand, </w:t>
      </w:r>
      <w:r>
        <w:rPr>
          <w:rFonts w:asciiTheme="majorBidi" w:hAnsiTheme="majorBidi" w:cstheme="majorBidi"/>
          <w:sz w:val="24"/>
          <w:szCs w:val="24"/>
        </w:rPr>
        <w:t>they</w:t>
      </w:r>
      <w:r w:rsidR="008B6236">
        <w:rPr>
          <w:rFonts w:asciiTheme="majorBidi" w:hAnsiTheme="majorBidi" w:cstheme="majorBidi"/>
          <w:sz w:val="24"/>
          <w:szCs w:val="24"/>
        </w:rPr>
        <w:t xml:space="preserve"> could try to earn the support of the Sasanian nobles and build a political base</w:t>
      </w:r>
      <w:r w:rsidR="00CC499C">
        <w:rPr>
          <w:rFonts w:asciiTheme="majorBidi" w:hAnsiTheme="majorBidi" w:cstheme="majorBidi"/>
          <w:sz w:val="24"/>
          <w:szCs w:val="24"/>
        </w:rPr>
        <w:t xml:space="preserve"> for the future restoration</w:t>
      </w:r>
      <w:r w:rsidR="00D374C2">
        <w:rPr>
          <w:rFonts w:asciiTheme="majorBidi" w:hAnsiTheme="majorBidi" w:cstheme="majorBidi"/>
          <w:sz w:val="24"/>
          <w:szCs w:val="24"/>
        </w:rPr>
        <w:t>.</w:t>
      </w:r>
      <w:r w:rsidR="008B6236">
        <w:rPr>
          <w:rFonts w:asciiTheme="majorBidi" w:hAnsiTheme="majorBidi" w:cstheme="majorBidi"/>
          <w:sz w:val="24"/>
          <w:szCs w:val="24"/>
        </w:rPr>
        <w:t xml:space="preserve"> On the other hand, the rich Persian communities in China certainly gave them hope to collect money and </w:t>
      </w:r>
      <w:r w:rsidR="00CC499C">
        <w:rPr>
          <w:rFonts w:asciiTheme="majorBidi" w:hAnsiTheme="majorBidi" w:cstheme="majorBidi"/>
          <w:sz w:val="24"/>
          <w:szCs w:val="24"/>
        </w:rPr>
        <w:t xml:space="preserve">rally </w:t>
      </w:r>
      <w:r w:rsidR="009B5446">
        <w:rPr>
          <w:rFonts w:asciiTheme="majorBidi" w:hAnsiTheme="majorBidi" w:cstheme="majorBidi"/>
          <w:sz w:val="24"/>
          <w:szCs w:val="24"/>
        </w:rPr>
        <w:t>support</w:t>
      </w:r>
      <w:r w:rsidR="008B6236">
        <w:rPr>
          <w:rFonts w:asciiTheme="majorBidi" w:hAnsiTheme="majorBidi" w:cstheme="majorBidi"/>
          <w:sz w:val="24"/>
          <w:szCs w:val="24"/>
        </w:rPr>
        <w:t xml:space="preserve"> for further attempts of restoration.</w:t>
      </w:r>
    </w:p>
    <w:p w14:paraId="66DD6C8C" w14:textId="17D64AF9" w:rsidR="008B6236" w:rsidRDefault="00480BDD" w:rsidP="00A5696F">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 xml:space="preserve">However, it is wrong to assume the existence of </w:t>
      </w:r>
      <w:r w:rsidR="000B2880">
        <w:rPr>
          <w:rFonts w:asciiTheme="majorBidi" w:hAnsiTheme="majorBidi" w:cstheme="majorBidi"/>
          <w:sz w:val="24"/>
          <w:szCs w:val="24"/>
        </w:rPr>
        <w:t xml:space="preserve">the </w:t>
      </w:r>
      <w:r>
        <w:rPr>
          <w:rFonts w:asciiTheme="majorBidi" w:hAnsiTheme="majorBidi" w:cstheme="majorBidi"/>
          <w:sz w:val="24"/>
          <w:szCs w:val="24"/>
        </w:rPr>
        <w:t>Persian communities as the major reason</w:t>
      </w:r>
      <w:r w:rsidR="000B2880">
        <w:rPr>
          <w:rFonts w:asciiTheme="majorBidi" w:hAnsiTheme="majorBidi" w:cstheme="majorBidi"/>
          <w:sz w:val="24"/>
          <w:szCs w:val="24"/>
        </w:rPr>
        <w:t xml:space="preserve"> of Pērōz’s fleeing to China</w:t>
      </w:r>
      <w:r>
        <w:rPr>
          <w:rFonts w:asciiTheme="majorBidi" w:hAnsiTheme="majorBidi" w:cstheme="majorBidi"/>
          <w:sz w:val="24"/>
          <w:szCs w:val="24"/>
        </w:rPr>
        <w:t xml:space="preserve">, since the maritime trading in the Indian Ocean also led to establishment of Persian communities in the </w:t>
      </w:r>
      <w:r w:rsidR="00B80557">
        <w:rPr>
          <w:rFonts w:asciiTheme="majorBidi" w:hAnsiTheme="majorBidi" w:cstheme="majorBidi"/>
          <w:sz w:val="24"/>
          <w:szCs w:val="24"/>
        </w:rPr>
        <w:t xml:space="preserve">ports of the </w:t>
      </w:r>
      <w:r>
        <w:rPr>
          <w:rFonts w:asciiTheme="majorBidi" w:hAnsiTheme="majorBidi" w:cstheme="majorBidi"/>
          <w:sz w:val="24"/>
          <w:szCs w:val="24"/>
        </w:rPr>
        <w:t>Indian subcontinent.</w:t>
      </w:r>
      <w:r w:rsidR="00825619">
        <w:rPr>
          <w:rStyle w:val="FootnoteReference"/>
          <w:rFonts w:asciiTheme="majorBidi" w:hAnsiTheme="majorBidi" w:cstheme="majorBidi"/>
          <w:sz w:val="24"/>
          <w:szCs w:val="24"/>
        </w:rPr>
        <w:footnoteReference w:id="274"/>
      </w:r>
      <w:r w:rsidR="00C90A73">
        <w:rPr>
          <w:rFonts w:asciiTheme="majorBidi" w:hAnsiTheme="majorBidi" w:cstheme="majorBidi"/>
          <w:sz w:val="24"/>
          <w:szCs w:val="24"/>
        </w:rPr>
        <w:t xml:space="preserve"> And even in China, </w:t>
      </w:r>
      <w:r w:rsidR="003553AE">
        <w:rPr>
          <w:rFonts w:asciiTheme="majorBidi" w:hAnsiTheme="majorBidi" w:cstheme="majorBidi"/>
          <w:sz w:val="24"/>
          <w:szCs w:val="24"/>
        </w:rPr>
        <w:t>Pērōz and Narseh stayed in the political center Chang’an instead of Guangzhou or Yangzhou, where the biggest communities of the Perian merchants were found.</w:t>
      </w:r>
    </w:p>
    <w:p w14:paraId="61A55999" w14:textId="15CC25C3" w:rsidR="00524930" w:rsidRDefault="008B6236" w:rsidP="00524930">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     </w:t>
      </w:r>
      <w:r w:rsidR="00A5696F">
        <w:rPr>
          <w:rFonts w:asciiTheme="majorBidi" w:hAnsiTheme="majorBidi" w:cstheme="majorBidi"/>
          <w:sz w:val="24"/>
          <w:szCs w:val="24"/>
        </w:rPr>
        <w:t xml:space="preserve">Last but not least, </w:t>
      </w:r>
      <w:r w:rsidR="00B4457E">
        <w:rPr>
          <w:rFonts w:asciiTheme="majorBidi" w:hAnsiTheme="majorBidi" w:cstheme="majorBidi"/>
          <w:sz w:val="24"/>
          <w:szCs w:val="24"/>
        </w:rPr>
        <w:t>the fugitive princes and his adherents were able to live comfortably</w:t>
      </w:r>
      <w:r w:rsidR="009B17BC">
        <w:rPr>
          <w:rFonts w:asciiTheme="majorBidi" w:hAnsiTheme="majorBidi" w:cstheme="majorBidi"/>
          <w:sz w:val="24"/>
          <w:szCs w:val="24"/>
        </w:rPr>
        <w:t xml:space="preserve"> by relying on the allowance</w:t>
      </w:r>
      <w:r w:rsidR="00CC499C">
        <w:rPr>
          <w:rFonts w:asciiTheme="majorBidi" w:hAnsiTheme="majorBidi" w:cstheme="majorBidi"/>
          <w:sz w:val="24"/>
          <w:szCs w:val="24"/>
        </w:rPr>
        <w:t>s</w:t>
      </w:r>
      <w:r w:rsidR="009B17BC">
        <w:rPr>
          <w:rFonts w:asciiTheme="majorBidi" w:hAnsiTheme="majorBidi" w:cstheme="majorBidi"/>
          <w:sz w:val="24"/>
          <w:szCs w:val="24"/>
        </w:rPr>
        <w:t xml:space="preserve"> granted by the Tang court</w:t>
      </w:r>
      <w:r w:rsidR="00B4457E">
        <w:rPr>
          <w:rFonts w:asciiTheme="majorBidi" w:hAnsiTheme="majorBidi" w:cstheme="majorBidi"/>
          <w:sz w:val="24"/>
          <w:szCs w:val="24"/>
        </w:rPr>
        <w:t>,</w:t>
      </w:r>
      <w:r w:rsidR="006A3646">
        <w:rPr>
          <w:rStyle w:val="FootnoteReference"/>
          <w:rFonts w:asciiTheme="majorBidi" w:hAnsiTheme="majorBidi" w:cstheme="majorBidi"/>
          <w:sz w:val="24"/>
          <w:szCs w:val="24"/>
        </w:rPr>
        <w:footnoteReference w:id="275"/>
      </w:r>
      <w:r w:rsidR="00B4457E">
        <w:rPr>
          <w:rFonts w:asciiTheme="majorBidi" w:hAnsiTheme="majorBidi" w:cstheme="majorBidi"/>
          <w:sz w:val="24"/>
          <w:szCs w:val="24"/>
        </w:rPr>
        <w:t xml:space="preserve"> </w:t>
      </w:r>
      <w:r w:rsidR="009B17BC">
        <w:rPr>
          <w:rFonts w:asciiTheme="majorBidi" w:hAnsiTheme="majorBidi" w:cstheme="majorBidi"/>
          <w:sz w:val="24"/>
          <w:szCs w:val="24"/>
        </w:rPr>
        <w:t>which w</w:t>
      </w:r>
      <w:r w:rsidR="00CC499C">
        <w:rPr>
          <w:rFonts w:asciiTheme="majorBidi" w:hAnsiTheme="majorBidi" w:cstheme="majorBidi"/>
          <w:sz w:val="24"/>
          <w:szCs w:val="24"/>
        </w:rPr>
        <w:t xml:space="preserve">ere </w:t>
      </w:r>
      <w:r w:rsidR="009B17BC">
        <w:rPr>
          <w:rFonts w:asciiTheme="majorBidi" w:hAnsiTheme="majorBidi" w:cstheme="majorBidi"/>
          <w:sz w:val="24"/>
          <w:szCs w:val="24"/>
        </w:rPr>
        <w:t xml:space="preserve">called off </w:t>
      </w:r>
      <w:r w:rsidR="00CC499C">
        <w:rPr>
          <w:rFonts w:asciiTheme="majorBidi" w:hAnsiTheme="majorBidi" w:cstheme="majorBidi"/>
          <w:sz w:val="24"/>
          <w:szCs w:val="24"/>
        </w:rPr>
        <w:t xml:space="preserve">only </w:t>
      </w:r>
      <w:r w:rsidR="009B17BC">
        <w:rPr>
          <w:rFonts w:asciiTheme="majorBidi" w:hAnsiTheme="majorBidi" w:cstheme="majorBidi"/>
          <w:sz w:val="24"/>
          <w:szCs w:val="24"/>
        </w:rPr>
        <w:t>in 787 CE by the Dezong Emperor (779-805 CE)</w:t>
      </w:r>
      <w:r w:rsidR="00F37D2A">
        <w:rPr>
          <w:rFonts w:asciiTheme="majorBidi" w:hAnsiTheme="majorBidi" w:cstheme="majorBidi"/>
          <w:sz w:val="24"/>
          <w:szCs w:val="24"/>
        </w:rPr>
        <w:t xml:space="preserve">. However, the abolition of the allowances </w:t>
      </w:r>
      <w:r w:rsidR="003553AE">
        <w:rPr>
          <w:rFonts w:asciiTheme="majorBidi" w:hAnsiTheme="majorBidi" w:cstheme="majorBidi"/>
          <w:sz w:val="24"/>
          <w:szCs w:val="24"/>
        </w:rPr>
        <w:t>was</w:t>
      </w:r>
      <w:r w:rsidR="00F37D2A">
        <w:rPr>
          <w:rFonts w:asciiTheme="majorBidi" w:hAnsiTheme="majorBidi" w:cstheme="majorBidi"/>
          <w:sz w:val="24"/>
          <w:szCs w:val="24"/>
        </w:rPr>
        <w:t xml:space="preserve"> not </w:t>
      </w:r>
      <w:r w:rsidR="003553AE">
        <w:rPr>
          <w:rFonts w:asciiTheme="majorBidi" w:hAnsiTheme="majorBidi" w:cstheme="majorBidi"/>
          <w:sz w:val="24"/>
          <w:szCs w:val="24"/>
        </w:rPr>
        <w:t>due to</w:t>
      </w:r>
      <w:r w:rsidR="00F37D2A">
        <w:rPr>
          <w:rFonts w:asciiTheme="majorBidi" w:hAnsiTheme="majorBidi" w:cstheme="majorBidi"/>
          <w:sz w:val="24"/>
          <w:szCs w:val="24"/>
        </w:rPr>
        <w:t xml:space="preserve"> hostilities towards foreigners after the </w:t>
      </w:r>
      <w:proofErr w:type="gramStart"/>
      <w:r w:rsidR="00F37D2A">
        <w:rPr>
          <w:rFonts w:asciiTheme="majorBidi" w:hAnsiTheme="majorBidi" w:cstheme="majorBidi"/>
          <w:sz w:val="24"/>
          <w:szCs w:val="24"/>
        </w:rPr>
        <w:t>An</w:t>
      </w:r>
      <w:proofErr w:type="gramEnd"/>
      <w:r w:rsidR="00F37D2A">
        <w:rPr>
          <w:rFonts w:asciiTheme="majorBidi" w:hAnsiTheme="majorBidi" w:cstheme="majorBidi"/>
          <w:sz w:val="24"/>
          <w:szCs w:val="24"/>
        </w:rPr>
        <w:t xml:space="preserve"> Lushan rebellion as Compareti argue</w:t>
      </w:r>
      <w:r w:rsidR="00DA537F">
        <w:rPr>
          <w:rFonts w:asciiTheme="majorBidi" w:hAnsiTheme="majorBidi" w:cstheme="majorBidi"/>
          <w:sz w:val="24"/>
          <w:szCs w:val="24"/>
        </w:rPr>
        <w:t>s</w:t>
      </w:r>
      <w:r w:rsidR="00F37D2A">
        <w:rPr>
          <w:rFonts w:asciiTheme="majorBidi" w:hAnsiTheme="majorBidi" w:cstheme="majorBidi"/>
          <w:sz w:val="24"/>
          <w:szCs w:val="24"/>
        </w:rPr>
        <w:t>,</w:t>
      </w:r>
      <w:r w:rsidR="003553AE">
        <w:rPr>
          <w:rStyle w:val="FootnoteReference"/>
          <w:rFonts w:asciiTheme="majorBidi" w:hAnsiTheme="majorBidi" w:cstheme="majorBidi"/>
          <w:sz w:val="24"/>
          <w:szCs w:val="24"/>
        </w:rPr>
        <w:footnoteReference w:id="276"/>
      </w:r>
      <w:r w:rsidR="00F37D2A">
        <w:rPr>
          <w:rFonts w:asciiTheme="majorBidi" w:hAnsiTheme="majorBidi" w:cstheme="majorBidi"/>
          <w:sz w:val="24"/>
          <w:szCs w:val="24"/>
        </w:rPr>
        <w:t xml:space="preserve"> but results from the great financial burden of the allowances to the court.</w:t>
      </w:r>
    </w:p>
    <w:p w14:paraId="453E7948" w14:textId="72C31380" w:rsidR="00F35863" w:rsidRDefault="00524930" w:rsidP="00524930">
      <w:pPr>
        <w:spacing w:line="360" w:lineRule="auto"/>
        <w:rPr>
          <w:rFonts w:asciiTheme="majorBidi" w:hAnsiTheme="majorBidi" w:cstheme="majorBidi"/>
          <w:sz w:val="24"/>
          <w:szCs w:val="24"/>
        </w:rPr>
      </w:pPr>
      <w:r>
        <w:rPr>
          <w:rFonts w:asciiTheme="majorBidi" w:hAnsiTheme="majorBidi" w:cstheme="majorBidi"/>
          <w:sz w:val="24"/>
          <w:szCs w:val="24"/>
        </w:rPr>
        <w:t xml:space="preserve">     As for the Western Turks, they </w:t>
      </w:r>
      <w:r w:rsidR="00F35863">
        <w:rPr>
          <w:rFonts w:asciiTheme="majorBidi" w:hAnsiTheme="majorBidi" w:cstheme="majorBidi"/>
          <w:sz w:val="24"/>
          <w:szCs w:val="24"/>
        </w:rPr>
        <w:t xml:space="preserve">were subjugated by the Tang army </w:t>
      </w:r>
      <w:r w:rsidR="000B2880">
        <w:rPr>
          <w:rFonts w:asciiTheme="majorBidi" w:hAnsiTheme="majorBidi" w:cstheme="majorBidi"/>
          <w:sz w:val="24"/>
          <w:szCs w:val="24"/>
        </w:rPr>
        <w:t xml:space="preserve">in 657 CE </w:t>
      </w:r>
      <w:r w:rsidR="00F35863">
        <w:rPr>
          <w:rFonts w:asciiTheme="majorBidi" w:hAnsiTheme="majorBidi" w:cstheme="majorBidi"/>
          <w:sz w:val="24"/>
          <w:szCs w:val="24"/>
        </w:rPr>
        <w:t xml:space="preserve">and recognized </w:t>
      </w:r>
      <w:r>
        <w:rPr>
          <w:rFonts w:asciiTheme="majorBidi" w:hAnsiTheme="majorBidi" w:cstheme="majorBidi"/>
          <w:sz w:val="24"/>
          <w:szCs w:val="24"/>
        </w:rPr>
        <w:t>the suzerainty of the Tang</w:t>
      </w:r>
      <w:r w:rsidR="000B2880">
        <w:rPr>
          <w:rFonts w:asciiTheme="majorBidi" w:hAnsiTheme="majorBidi" w:cstheme="majorBidi"/>
          <w:sz w:val="24"/>
          <w:szCs w:val="24"/>
        </w:rPr>
        <w:t>, with their vassals in Central Asia passing to the Tang</w:t>
      </w:r>
      <w:r w:rsidR="00F35863">
        <w:rPr>
          <w:rFonts w:asciiTheme="majorBidi" w:hAnsiTheme="majorBidi" w:cstheme="majorBidi"/>
          <w:sz w:val="24"/>
          <w:szCs w:val="24"/>
        </w:rPr>
        <w:t xml:space="preserve">. </w:t>
      </w:r>
      <w:r w:rsidR="000B2880">
        <w:rPr>
          <w:rFonts w:asciiTheme="majorBidi" w:hAnsiTheme="majorBidi" w:cstheme="majorBidi"/>
          <w:sz w:val="24"/>
          <w:szCs w:val="24"/>
        </w:rPr>
        <w:t>Actually, t</w:t>
      </w:r>
      <w:r w:rsidR="00F35863">
        <w:rPr>
          <w:rFonts w:asciiTheme="majorBidi" w:hAnsiTheme="majorBidi" w:cstheme="majorBidi"/>
          <w:sz w:val="24"/>
          <w:szCs w:val="24"/>
        </w:rPr>
        <w:t xml:space="preserve">he </w:t>
      </w:r>
      <w:r w:rsidR="000B2880">
        <w:rPr>
          <w:rFonts w:asciiTheme="majorBidi" w:hAnsiTheme="majorBidi" w:cstheme="majorBidi"/>
          <w:sz w:val="24"/>
          <w:szCs w:val="24"/>
        </w:rPr>
        <w:t xml:space="preserve">army of the </w:t>
      </w:r>
      <w:r w:rsidR="00F35863">
        <w:rPr>
          <w:rFonts w:asciiTheme="majorBidi" w:hAnsiTheme="majorBidi" w:cstheme="majorBidi"/>
          <w:sz w:val="24"/>
          <w:szCs w:val="24"/>
        </w:rPr>
        <w:t xml:space="preserve">waning Western Turks </w:t>
      </w:r>
      <w:r>
        <w:rPr>
          <w:rFonts w:asciiTheme="majorBidi" w:hAnsiTheme="majorBidi" w:cstheme="majorBidi"/>
          <w:sz w:val="24"/>
          <w:szCs w:val="24"/>
        </w:rPr>
        <w:t>did not show up in</w:t>
      </w:r>
      <w:r w:rsidRPr="007F4919">
        <w:rPr>
          <w:rFonts w:asciiTheme="majorBidi" w:hAnsiTheme="majorBidi" w:cstheme="majorBidi"/>
          <w:sz w:val="24"/>
          <w:szCs w:val="24"/>
        </w:rPr>
        <w:t xml:space="preserve"> </w:t>
      </w:r>
      <w:r>
        <w:rPr>
          <w:rFonts w:asciiTheme="majorBidi" w:hAnsiTheme="majorBidi" w:cstheme="majorBidi"/>
          <w:sz w:val="24"/>
          <w:szCs w:val="24"/>
        </w:rPr>
        <w:t xml:space="preserve">Ṭukhāristān </w:t>
      </w:r>
      <w:r w:rsidR="00440509">
        <w:rPr>
          <w:rFonts w:asciiTheme="majorBidi" w:hAnsiTheme="majorBidi" w:cstheme="majorBidi"/>
          <w:sz w:val="24"/>
          <w:szCs w:val="24"/>
        </w:rPr>
        <w:t xml:space="preserve">in the </w:t>
      </w:r>
      <w:r w:rsidR="000B2880">
        <w:rPr>
          <w:rFonts w:asciiTheme="majorBidi" w:hAnsiTheme="majorBidi" w:cstheme="majorBidi"/>
          <w:sz w:val="24"/>
          <w:szCs w:val="24"/>
        </w:rPr>
        <w:t>2</w:t>
      </w:r>
      <w:r w:rsidR="000B2880" w:rsidRPr="000B2880">
        <w:rPr>
          <w:rFonts w:asciiTheme="majorBidi" w:hAnsiTheme="majorBidi" w:cstheme="majorBidi"/>
          <w:sz w:val="24"/>
          <w:szCs w:val="24"/>
          <w:vertAlign w:val="superscript"/>
        </w:rPr>
        <w:t>nd</w:t>
      </w:r>
      <w:r w:rsidR="003553AE">
        <w:rPr>
          <w:rFonts w:asciiTheme="majorBidi" w:hAnsiTheme="majorBidi" w:cstheme="majorBidi"/>
          <w:sz w:val="24"/>
          <w:szCs w:val="24"/>
        </w:rPr>
        <w:t xml:space="preserve"> half of the 7</w:t>
      </w:r>
      <w:r w:rsidR="003553AE" w:rsidRPr="003553AE">
        <w:rPr>
          <w:rFonts w:asciiTheme="majorBidi" w:hAnsiTheme="majorBidi" w:cstheme="majorBidi"/>
          <w:sz w:val="24"/>
          <w:szCs w:val="24"/>
          <w:vertAlign w:val="superscript"/>
        </w:rPr>
        <w:t>th</w:t>
      </w:r>
      <w:r w:rsidR="003553AE">
        <w:rPr>
          <w:rFonts w:asciiTheme="majorBidi" w:hAnsiTheme="majorBidi" w:cstheme="majorBidi"/>
          <w:sz w:val="24"/>
          <w:szCs w:val="24"/>
        </w:rPr>
        <w:t xml:space="preserve"> century</w:t>
      </w:r>
      <w:r>
        <w:rPr>
          <w:rFonts w:asciiTheme="majorBidi" w:hAnsiTheme="majorBidi" w:cstheme="majorBidi"/>
          <w:sz w:val="24"/>
          <w:szCs w:val="24"/>
        </w:rPr>
        <w:t>.</w:t>
      </w:r>
    </w:p>
    <w:p w14:paraId="35E6B27C" w14:textId="66100E39" w:rsidR="00AE1D10" w:rsidRDefault="005A1B49" w:rsidP="00F35863">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The Tibetan Empire</w:t>
      </w:r>
      <w:r w:rsidR="00F97906">
        <w:rPr>
          <w:rFonts w:asciiTheme="majorBidi" w:hAnsiTheme="majorBidi" w:cstheme="majorBidi"/>
          <w:sz w:val="24"/>
          <w:szCs w:val="24"/>
        </w:rPr>
        <w:t xml:space="preserve"> </w:t>
      </w:r>
      <w:r>
        <w:rPr>
          <w:rFonts w:asciiTheme="majorBidi" w:hAnsiTheme="majorBidi" w:cstheme="majorBidi"/>
          <w:sz w:val="24"/>
          <w:szCs w:val="24"/>
        </w:rPr>
        <w:t xml:space="preserve">was expanding northward in </w:t>
      </w:r>
      <w:r w:rsidR="00F967A4">
        <w:rPr>
          <w:rFonts w:asciiTheme="majorBidi" w:hAnsiTheme="majorBidi" w:cstheme="majorBidi"/>
          <w:sz w:val="24"/>
          <w:szCs w:val="24"/>
        </w:rPr>
        <w:t xml:space="preserve">the </w:t>
      </w:r>
      <w:r>
        <w:rPr>
          <w:rFonts w:asciiTheme="majorBidi" w:hAnsiTheme="majorBidi" w:cstheme="majorBidi"/>
          <w:sz w:val="24"/>
          <w:szCs w:val="24"/>
        </w:rPr>
        <w:t>670s after its annex</w:t>
      </w:r>
      <w:r w:rsidR="003553AE">
        <w:rPr>
          <w:rFonts w:asciiTheme="majorBidi" w:hAnsiTheme="majorBidi" w:cstheme="majorBidi"/>
          <w:sz w:val="24"/>
          <w:szCs w:val="24"/>
        </w:rPr>
        <w:t xml:space="preserve">ation of </w:t>
      </w:r>
      <w:r>
        <w:rPr>
          <w:rFonts w:asciiTheme="majorBidi" w:hAnsiTheme="majorBidi" w:cstheme="majorBidi"/>
          <w:sz w:val="24"/>
          <w:szCs w:val="24"/>
        </w:rPr>
        <w:t xml:space="preserve">its eastern neighbor the Tuyuhun, and challenged the Tang control of the Tarim Basin. </w:t>
      </w:r>
      <w:r w:rsidR="00440509">
        <w:rPr>
          <w:rFonts w:asciiTheme="majorBidi" w:hAnsiTheme="majorBidi" w:cstheme="majorBidi"/>
          <w:sz w:val="24"/>
          <w:szCs w:val="24"/>
        </w:rPr>
        <w:t>As Wang argue</w:t>
      </w:r>
      <w:r w:rsidR="00DA537F">
        <w:rPr>
          <w:rFonts w:asciiTheme="majorBidi" w:hAnsiTheme="majorBidi" w:cstheme="majorBidi"/>
          <w:sz w:val="24"/>
          <w:szCs w:val="24"/>
        </w:rPr>
        <w:t>s</w:t>
      </w:r>
      <w:r w:rsidR="00440509">
        <w:rPr>
          <w:rFonts w:asciiTheme="majorBidi" w:hAnsiTheme="majorBidi" w:cstheme="majorBidi"/>
          <w:sz w:val="24"/>
          <w:szCs w:val="24"/>
        </w:rPr>
        <w:t>, t</w:t>
      </w:r>
      <w:r w:rsidR="0067340F">
        <w:rPr>
          <w:rFonts w:asciiTheme="majorBidi" w:hAnsiTheme="majorBidi" w:cstheme="majorBidi"/>
          <w:sz w:val="24"/>
          <w:szCs w:val="24"/>
        </w:rPr>
        <w:t xml:space="preserve">his </w:t>
      </w:r>
      <w:r w:rsidR="00E95481">
        <w:rPr>
          <w:rFonts w:asciiTheme="majorBidi" w:hAnsiTheme="majorBidi" w:cstheme="majorBidi"/>
          <w:sz w:val="24"/>
          <w:szCs w:val="24"/>
        </w:rPr>
        <w:t>region was</w:t>
      </w:r>
      <w:r w:rsidR="00993B81">
        <w:rPr>
          <w:rFonts w:asciiTheme="majorBidi" w:hAnsiTheme="majorBidi" w:cstheme="majorBidi"/>
          <w:sz w:val="24"/>
          <w:szCs w:val="24"/>
        </w:rPr>
        <w:t xml:space="preserve"> under competition of the </w:t>
      </w:r>
      <w:r w:rsidR="00440509">
        <w:rPr>
          <w:rFonts w:asciiTheme="majorBidi" w:hAnsiTheme="majorBidi" w:cstheme="majorBidi"/>
          <w:sz w:val="24"/>
          <w:szCs w:val="24"/>
        </w:rPr>
        <w:t>two e</w:t>
      </w:r>
      <w:r w:rsidR="00993B81">
        <w:rPr>
          <w:rFonts w:asciiTheme="majorBidi" w:hAnsiTheme="majorBidi" w:cstheme="majorBidi"/>
          <w:sz w:val="24"/>
          <w:szCs w:val="24"/>
        </w:rPr>
        <w:t xml:space="preserve">mpires instead of being </w:t>
      </w:r>
      <w:r w:rsidR="00E95481">
        <w:rPr>
          <w:rFonts w:asciiTheme="majorBidi" w:hAnsiTheme="majorBidi" w:cstheme="majorBidi"/>
          <w:sz w:val="24"/>
          <w:szCs w:val="24"/>
        </w:rPr>
        <w:t xml:space="preserve">controlled </w:t>
      </w:r>
      <w:r w:rsidR="00993B81">
        <w:rPr>
          <w:rFonts w:asciiTheme="majorBidi" w:hAnsiTheme="majorBidi" w:cstheme="majorBidi"/>
          <w:sz w:val="24"/>
          <w:szCs w:val="24"/>
        </w:rPr>
        <w:t xml:space="preserve">wholly </w:t>
      </w:r>
      <w:r w:rsidR="00E95481">
        <w:rPr>
          <w:rFonts w:asciiTheme="majorBidi" w:hAnsiTheme="majorBidi" w:cstheme="majorBidi"/>
          <w:sz w:val="24"/>
          <w:szCs w:val="24"/>
        </w:rPr>
        <w:t xml:space="preserve">by the Tibetan Empire </w:t>
      </w:r>
      <w:r w:rsidR="0067340F">
        <w:rPr>
          <w:rFonts w:asciiTheme="majorBidi" w:hAnsiTheme="majorBidi" w:cstheme="majorBidi"/>
          <w:sz w:val="24"/>
          <w:szCs w:val="24"/>
        </w:rPr>
        <w:t>since</w:t>
      </w:r>
      <w:r w:rsidR="00E95481">
        <w:rPr>
          <w:rFonts w:asciiTheme="majorBidi" w:hAnsiTheme="majorBidi" w:cstheme="majorBidi"/>
          <w:sz w:val="24"/>
          <w:szCs w:val="24"/>
        </w:rPr>
        <w:t xml:space="preserve"> 670 </w:t>
      </w:r>
      <w:r w:rsidR="0067340F">
        <w:rPr>
          <w:rFonts w:asciiTheme="majorBidi" w:hAnsiTheme="majorBidi" w:cstheme="majorBidi"/>
          <w:sz w:val="24"/>
          <w:szCs w:val="24"/>
        </w:rPr>
        <w:t>up to</w:t>
      </w:r>
      <w:r w:rsidR="00E95481">
        <w:rPr>
          <w:rFonts w:asciiTheme="majorBidi" w:hAnsiTheme="majorBidi" w:cstheme="majorBidi"/>
          <w:sz w:val="24"/>
          <w:szCs w:val="24"/>
        </w:rPr>
        <w:t xml:space="preserve"> 692 </w:t>
      </w:r>
      <w:r w:rsidR="0067340F">
        <w:rPr>
          <w:rFonts w:asciiTheme="majorBidi" w:hAnsiTheme="majorBidi" w:cstheme="majorBidi"/>
          <w:sz w:val="24"/>
          <w:szCs w:val="24"/>
        </w:rPr>
        <w:t xml:space="preserve">CE </w:t>
      </w:r>
      <w:r w:rsidR="00E95481">
        <w:rPr>
          <w:rFonts w:asciiTheme="majorBidi" w:hAnsiTheme="majorBidi" w:cstheme="majorBidi"/>
          <w:sz w:val="24"/>
          <w:szCs w:val="24"/>
        </w:rPr>
        <w:t>as Beckwith present</w:t>
      </w:r>
      <w:r w:rsidR="00DA537F">
        <w:rPr>
          <w:rFonts w:asciiTheme="majorBidi" w:hAnsiTheme="majorBidi" w:cstheme="majorBidi"/>
          <w:sz w:val="24"/>
          <w:szCs w:val="24"/>
        </w:rPr>
        <w:t>s</w:t>
      </w:r>
      <w:r w:rsidR="00E95481">
        <w:rPr>
          <w:rFonts w:asciiTheme="majorBidi" w:hAnsiTheme="majorBidi" w:cstheme="majorBidi"/>
          <w:sz w:val="24"/>
          <w:szCs w:val="24"/>
        </w:rPr>
        <w:t>.</w:t>
      </w:r>
      <w:r w:rsidR="00E95481">
        <w:rPr>
          <w:rStyle w:val="FootnoteReference"/>
          <w:rFonts w:asciiTheme="majorBidi" w:hAnsiTheme="majorBidi" w:cstheme="majorBidi"/>
          <w:sz w:val="24"/>
          <w:szCs w:val="24"/>
        </w:rPr>
        <w:footnoteReference w:id="277"/>
      </w:r>
      <w:r w:rsidR="00E95481">
        <w:rPr>
          <w:rFonts w:asciiTheme="majorBidi" w:hAnsiTheme="majorBidi" w:cstheme="majorBidi"/>
          <w:sz w:val="24"/>
          <w:szCs w:val="24"/>
        </w:rPr>
        <w:t xml:space="preserve"> </w:t>
      </w:r>
      <w:r w:rsidR="00440509">
        <w:rPr>
          <w:rFonts w:asciiTheme="majorBidi" w:hAnsiTheme="majorBidi" w:cstheme="majorBidi"/>
          <w:sz w:val="24"/>
          <w:szCs w:val="24"/>
        </w:rPr>
        <w:t xml:space="preserve">In 677-8 CE, </w:t>
      </w:r>
      <w:r w:rsidR="00441220">
        <w:rPr>
          <w:rFonts w:asciiTheme="majorBidi" w:hAnsiTheme="majorBidi" w:cstheme="majorBidi"/>
          <w:sz w:val="24"/>
          <w:szCs w:val="24"/>
        </w:rPr>
        <w:t xml:space="preserve">the </w:t>
      </w:r>
      <w:r w:rsidR="00440509">
        <w:rPr>
          <w:rFonts w:asciiTheme="majorBidi" w:hAnsiTheme="majorBidi" w:cstheme="majorBidi"/>
          <w:sz w:val="24"/>
          <w:szCs w:val="24"/>
        </w:rPr>
        <w:t xml:space="preserve">Tibetan Empire was seeking an alliance with </w:t>
      </w:r>
      <w:r w:rsidR="00993B81">
        <w:rPr>
          <w:rFonts w:asciiTheme="majorBidi" w:hAnsiTheme="majorBidi" w:cstheme="majorBidi"/>
          <w:sz w:val="24"/>
          <w:szCs w:val="24"/>
        </w:rPr>
        <w:t>t</w:t>
      </w:r>
      <w:r w:rsidR="00E95481">
        <w:rPr>
          <w:rFonts w:asciiTheme="majorBidi" w:hAnsiTheme="majorBidi" w:cstheme="majorBidi"/>
          <w:sz w:val="24"/>
          <w:szCs w:val="24"/>
        </w:rPr>
        <w:t>he ruler of the Western Turks Ashina Duzhi (</w:t>
      </w:r>
      <w:r w:rsidR="00E95481">
        <w:rPr>
          <w:rFonts w:asciiTheme="majorBidi" w:hAnsiTheme="majorBidi" w:cstheme="majorBidi" w:hint="eastAsia"/>
          <w:sz w:val="24"/>
          <w:szCs w:val="24"/>
        </w:rPr>
        <w:t>阿史那都支</w:t>
      </w:r>
      <w:r w:rsidR="00E95481">
        <w:rPr>
          <w:rFonts w:asciiTheme="majorBidi" w:hAnsiTheme="majorBidi" w:cstheme="majorBidi"/>
          <w:sz w:val="24"/>
          <w:szCs w:val="24"/>
        </w:rPr>
        <w:t>)</w:t>
      </w:r>
      <w:r w:rsidR="0067340F">
        <w:rPr>
          <w:rFonts w:asciiTheme="majorBidi" w:hAnsiTheme="majorBidi" w:cstheme="majorBidi"/>
          <w:sz w:val="24"/>
          <w:szCs w:val="24"/>
        </w:rPr>
        <w:t xml:space="preserve"> to launch </w:t>
      </w:r>
      <w:r w:rsidR="00440509">
        <w:rPr>
          <w:rFonts w:asciiTheme="majorBidi" w:hAnsiTheme="majorBidi" w:cstheme="majorBidi"/>
          <w:sz w:val="24"/>
          <w:szCs w:val="24"/>
        </w:rPr>
        <w:t xml:space="preserve">a </w:t>
      </w:r>
      <w:r w:rsidR="0067340F">
        <w:rPr>
          <w:rFonts w:asciiTheme="majorBidi" w:hAnsiTheme="majorBidi" w:cstheme="majorBidi"/>
          <w:sz w:val="24"/>
          <w:szCs w:val="24"/>
        </w:rPr>
        <w:t>joint attack on the Tang garrisons</w:t>
      </w:r>
      <w:r w:rsidR="00E95481">
        <w:rPr>
          <w:rFonts w:asciiTheme="majorBidi" w:hAnsiTheme="majorBidi" w:cstheme="majorBidi"/>
          <w:sz w:val="24"/>
          <w:szCs w:val="24"/>
        </w:rPr>
        <w:t>.</w:t>
      </w:r>
      <w:r w:rsidR="00E95481">
        <w:rPr>
          <w:rStyle w:val="FootnoteReference"/>
          <w:rFonts w:asciiTheme="majorBidi" w:hAnsiTheme="majorBidi" w:cstheme="majorBidi"/>
          <w:sz w:val="24"/>
          <w:szCs w:val="24"/>
        </w:rPr>
        <w:footnoteReference w:id="278"/>
      </w:r>
      <w:r w:rsidR="00B549C1">
        <w:rPr>
          <w:rFonts w:asciiTheme="majorBidi" w:hAnsiTheme="majorBidi" w:cstheme="majorBidi"/>
          <w:sz w:val="24"/>
          <w:szCs w:val="24"/>
        </w:rPr>
        <w:t xml:space="preserve"> </w:t>
      </w:r>
      <w:r w:rsidR="00440509">
        <w:rPr>
          <w:rFonts w:asciiTheme="majorBidi" w:hAnsiTheme="majorBidi" w:cstheme="majorBidi"/>
          <w:sz w:val="24"/>
          <w:szCs w:val="24"/>
        </w:rPr>
        <w:t>Nevertheless, when</w:t>
      </w:r>
      <w:r w:rsidR="00440509" w:rsidRPr="00440509">
        <w:rPr>
          <w:rFonts w:asciiTheme="majorBidi" w:hAnsiTheme="majorBidi" w:cstheme="majorBidi"/>
          <w:sz w:val="24"/>
          <w:szCs w:val="24"/>
        </w:rPr>
        <w:t xml:space="preserve"> </w:t>
      </w:r>
      <w:r w:rsidR="00440509">
        <w:rPr>
          <w:rFonts w:asciiTheme="majorBidi" w:hAnsiTheme="majorBidi" w:cstheme="majorBidi"/>
          <w:sz w:val="24"/>
          <w:szCs w:val="24"/>
        </w:rPr>
        <w:t>Pērōz traveled through the Basin, the routes leading to China were not blocked yet.</w:t>
      </w:r>
      <w:r w:rsidR="00993B81">
        <w:rPr>
          <w:rFonts w:asciiTheme="majorBidi" w:hAnsiTheme="majorBidi" w:cstheme="majorBidi"/>
          <w:sz w:val="24"/>
          <w:szCs w:val="24"/>
        </w:rPr>
        <w:t xml:space="preserve"> </w:t>
      </w:r>
      <w:r w:rsidR="00440509">
        <w:rPr>
          <w:rFonts w:asciiTheme="majorBidi" w:hAnsiTheme="majorBidi" w:cstheme="majorBidi"/>
          <w:sz w:val="24"/>
          <w:szCs w:val="24"/>
        </w:rPr>
        <w:t xml:space="preserve">The </w:t>
      </w:r>
      <w:r w:rsidR="0067340F">
        <w:rPr>
          <w:rFonts w:asciiTheme="majorBidi" w:hAnsiTheme="majorBidi" w:cstheme="majorBidi"/>
          <w:sz w:val="24"/>
          <w:szCs w:val="24"/>
        </w:rPr>
        <w:t xml:space="preserve">prestige of the </w:t>
      </w:r>
      <w:r w:rsidR="00E257BD">
        <w:rPr>
          <w:rFonts w:asciiTheme="majorBidi" w:hAnsiTheme="majorBidi" w:cstheme="majorBidi"/>
          <w:sz w:val="24"/>
          <w:szCs w:val="24"/>
        </w:rPr>
        <w:t xml:space="preserve">new power </w:t>
      </w:r>
      <w:r w:rsidR="00440509">
        <w:rPr>
          <w:rFonts w:asciiTheme="majorBidi" w:hAnsiTheme="majorBidi" w:cstheme="majorBidi"/>
          <w:sz w:val="24"/>
          <w:szCs w:val="24"/>
        </w:rPr>
        <w:t xml:space="preserve">was growing, but </w:t>
      </w:r>
      <w:r w:rsidR="00296D9E">
        <w:rPr>
          <w:rFonts w:asciiTheme="majorBidi" w:hAnsiTheme="majorBidi" w:cstheme="majorBidi"/>
          <w:sz w:val="24"/>
          <w:szCs w:val="24"/>
        </w:rPr>
        <w:t xml:space="preserve">still </w:t>
      </w:r>
      <w:r w:rsidR="00440509">
        <w:rPr>
          <w:rFonts w:asciiTheme="majorBidi" w:hAnsiTheme="majorBidi" w:cstheme="majorBidi"/>
          <w:sz w:val="24"/>
          <w:szCs w:val="24"/>
        </w:rPr>
        <w:t>not rival that of the Tang</w:t>
      </w:r>
      <w:r w:rsidR="00296D9E">
        <w:rPr>
          <w:rFonts w:asciiTheme="majorBidi" w:hAnsiTheme="majorBidi" w:cstheme="majorBidi"/>
          <w:sz w:val="24"/>
          <w:szCs w:val="24"/>
        </w:rPr>
        <w:t xml:space="preserve">. Moreover, </w:t>
      </w:r>
      <w:r w:rsidR="0067340F">
        <w:rPr>
          <w:rFonts w:asciiTheme="majorBidi" w:hAnsiTheme="majorBidi" w:cstheme="majorBidi"/>
          <w:sz w:val="24"/>
          <w:szCs w:val="24"/>
        </w:rPr>
        <w:t>there were</w:t>
      </w:r>
      <w:r w:rsidR="00E257BD">
        <w:rPr>
          <w:rFonts w:asciiTheme="majorBidi" w:hAnsiTheme="majorBidi" w:cstheme="majorBidi"/>
          <w:sz w:val="24"/>
          <w:szCs w:val="24"/>
        </w:rPr>
        <w:t xml:space="preserve"> no Persian communities</w:t>
      </w:r>
      <w:r w:rsidR="0067340F">
        <w:rPr>
          <w:rFonts w:asciiTheme="majorBidi" w:hAnsiTheme="majorBidi" w:cstheme="majorBidi"/>
          <w:sz w:val="24"/>
          <w:szCs w:val="24"/>
        </w:rPr>
        <w:t xml:space="preserve"> in the Tibetan plateau</w:t>
      </w:r>
      <w:r w:rsidR="00524930">
        <w:rPr>
          <w:rFonts w:asciiTheme="majorBidi" w:hAnsiTheme="majorBidi" w:cstheme="majorBidi"/>
          <w:sz w:val="24"/>
          <w:szCs w:val="24"/>
        </w:rPr>
        <w:t xml:space="preserve">, from which </w:t>
      </w:r>
      <w:r w:rsidR="00E257BD">
        <w:rPr>
          <w:rFonts w:asciiTheme="majorBidi" w:hAnsiTheme="majorBidi" w:cstheme="majorBidi"/>
          <w:sz w:val="24"/>
          <w:szCs w:val="24"/>
        </w:rPr>
        <w:t xml:space="preserve">Pērōz could </w:t>
      </w:r>
      <w:r w:rsidR="0067340F">
        <w:rPr>
          <w:rFonts w:asciiTheme="majorBidi" w:hAnsiTheme="majorBidi" w:cstheme="majorBidi"/>
          <w:sz w:val="24"/>
          <w:szCs w:val="24"/>
        </w:rPr>
        <w:t xml:space="preserve">rally adherents and </w:t>
      </w:r>
      <w:r w:rsidR="00524930">
        <w:rPr>
          <w:rFonts w:asciiTheme="majorBidi" w:hAnsiTheme="majorBidi" w:cstheme="majorBidi"/>
          <w:sz w:val="24"/>
          <w:szCs w:val="24"/>
        </w:rPr>
        <w:t>raise support</w:t>
      </w:r>
      <w:r w:rsidR="00E257BD">
        <w:rPr>
          <w:rFonts w:asciiTheme="majorBidi" w:hAnsiTheme="majorBidi" w:cstheme="majorBidi"/>
          <w:sz w:val="24"/>
          <w:szCs w:val="24"/>
        </w:rPr>
        <w:t>.</w:t>
      </w:r>
    </w:p>
    <w:p w14:paraId="508371BD" w14:textId="77777777" w:rsidR="00F3527E" w:rsidRDefault="00CC499C" w:rsidP="00AE1D10">
      <w:pPr>
        <w:spacing w:line="360" w:lineRule="auto"/>
        <w:ind w:firstLine="480"/>
        <w:rPr>
          <w:rFonts w:asciiTheme="majorBidi" w:hAnsiTheme="majorBidi" w:cstheme="majorBidi"/>
          <w:sz w:val="24"/>
          <w:szCs w:val="24"/>
        </w:rPr>
      </w:pPr>
      <w:r>
        <w:rPr>
          <w:rFonts w:asciiTheme="majorBidi" w:hAnsiTheme="majorBidi" w:cstheme="majorBidi"/>
          <w:sz w:val="24"/>
          <w:szCs w:val="24"/>
        </w:rPr>
        <w:t xml:space="preserve">To sum up, </w:t>
      </w:r>
      <w:r w:rsidR="00116863">
        <w:rPr>
          <w:rFonts w:asciiTheme="majorBidi" w:hAnsiTheme="majorBidi" w:cstheme="majorBidi"/>
          <w:sz w:val="24"/>
          <w:szCs w:val="24"/>
        </w:rPr>
        <w:t xml:space="preserve">after </w:t>
      </w:r>
      <w:r w:rsidR="0073424D">
        <w:rPr>
          <w:rFonts w:asciiTheme="majorBidi" w:hAnsiTheme="majorBidi" w:cstheme="majorBidi"/>
          <w:sz w:val="24"/>
          <w:szCs w:val="24"/>
        </w:rPr>
        <w:t xml:space="preserve">leaving </w:t>
      </w:r>
      <w:r w:rsidR="00116863">
        <w:rPr>
          <w:rFonts w:asciiTheme="majorBidi" w:hAnsiTheme="majorBidi" w:cstheme="majorBidi"/>
          <w:sz w:val="24"/>
          <w:szCs w:val="24"/>
        </w:rPr>
        <w:t xml:space="preserve">Ṭukhāristān, Pērōz </w:t>
      </w:r>
      <w:r w:rsidR="0073424D">
        <w:rPr>
          <w:rFonts w:asciiTheme="majorBidi" w:hAnsiTheme="majorBidi" w:cstheme="majorBidi"/>
          <w:sz w:val="24"/>
          <w:szCs w:val="24"/>
        </w:rPr>
        <w:t>traveled</w:t>
      </w:r>
      <w:r>
        <w:rPr>
          <w:rFonts w:asciiTheme="majorBidi" w:hAnsiTheme="majorBidi" w:cstheme="majorBidi"/>
          <w:sz w:val="24"/>
          <w:szCs w:val="24"/>
        </w:rPr>
        <w:t xml:space="preserve"> to China </w:t>
      </w:r>
      <w:r w:rsidR="0002614F">
        <w:rPr>
          <w:rFonts w:asciiTheme="majorBidi" w:hAnsiTheme="majorBidi" w:cstheme="majorBidi"/>
          <w:sz w:val="24"/>
          <w:szCs w:val="24"/>
        </w:rPr>
        <w:t xml:space="preserve">mainly </w:t>
      </w:r>
      <w:r w:rsidR="0073424D">
        <w:rPr>
          <w:rFonts w:asciiTheme="majorBidi" w:hAnsiTheme="majorBidi" w:cstheme="majorBidi"/>
          <w:sz w:val="24"/>
          <w:szCs w:val="24"/>
        </w:rPr>
        <w:t>because of</w:t>
      </w:r>
      <w:r>
        <w:rPr>
          <w:rFonts w:asciiTheme="majorBidi" w:hAnsiTheme="majorBidi" w:cstheme="majorBidi"/>
          <w:sz w:val="24"/>
          <w:szCs w:val="24"/>
        </w:rPr>
        <w:t xml:space="preserve"> the </w:t>
      </w:r>
      <w:r w:rsidR="0002614F">
        <w:rPr>
          <w:rFonts w:asciiTheme="majorBidi" w:hAnsiTheme="majorBidi" w:cstheme="majorBidi"/>
          <w:sz w:val="24"/>
          <w:szCs w:val="24"/>
        </w:rPr>
        <w:t xml:space="preserve">political power </w:t>
      </w:r>
      <w:r>
        <w:rPr>
          <w:rFonts w:asciiTheme="majorBidi" w:hAnsiTheme="majorBidi" w:cstheme="majorBidi"/>
          <w:sz w:val="24"/>
          <w:szCs w:val="24"/>
        </w:rPr>
        <w:t>of the Tang Empire</w:t>
      </w:r>
      <w:r w:rsidR="00F3527E">
        <w:rPr>
          <w:rFonts w:asciiTheme="majorBidi" w:hAnsiTheme="majorBidi" w:cstheme="majorBidi"/>
          <w:sz w:val="24"/>
          <w:szCs w:val="24"/>
        </w:rPr>
        <w:t>,</w:t>
      </w:r>
      <w:r w:rsidR="0002614F">
        <w:rPr>
          <w:rFonts w:asciiTheme="majorBidi" w:hAnsiTheme="majorBidi" w:cstheme="majorBidi"/>
          <w:sz w:val="24"/>
          <w:szCs w:val="24"/>
        </w:rPr>
        <w:t xml:space="preserve"> with</w:t>
      </w:r>
      <w:r>
        <w:rPr>
          <w:rFonts w:asciiTheme="majorBidi" w:hAnsiTheme="majorBidi" w:cstheme="majorBidi"/>
          <w:sz w:val="24"/>
          <w:szCs w:val="24"/>
        </w:rPr>
        <w:t xml:space="preserve"> the existence of prosperous Persian communities and the allowances to foreign princes and emissaries provided by the Tang </w:t>
      </w:r>
      <w:r>
        <w:rPr>
          <w:rFonts w:asciiTheme="majorBidi" w:hAnsiTheme="majorBidi" w:cstheme="majorBidi"/>
          <w:sz w:val="24"/>
          <w:szCs w:val="24"/>
        </w:rPr>
        <w:lastRenderedPageBreak/>
        <w:t>court</w:t>
      </w:r>
      <w:r w:rsidR="0002614F">
        <w:rPr>
          <w:rFonts w:asciiTheme="majorBidi" w:hAnsiTheme="majorBidi" w:cstheme="majorBidi"/>
          <w:sz w:val="24"/>
          <w:szCs w:val="24"/>
        </w:rPr>
        <w:t xml:space="preserve"> playing some role</w:t>
      </w:r>
      <w:r>
        <w:rPr>
          <w:rFonts w:asciiTheme="majorBidi" w:hAnsiTheme="majorBidi" w:cstheme="majorBidi"/>
          <w:sz w:val="24"/>
          <w:szCs w:val="24"/>
        </w:rPr>
        <w:t>.</w:t>
      </w:r>
    </w:p>
    <w:p w14:paraId="1B967861" w14:textId="4E98A1C9" w:rsidR="001D02F8" w:rsidRDefault="00AE1D10" w:rsidP="00AE1D10">
      <w:pPr>
        <w:spacing w:line="360" w:lineRule="auto"/>
        <w:ind w:firstLine="480"/>
        <w:rPr>
          <w:rFonts w:asciiTheme="majorBidi" w:hAnsiTheme="majorBidi" w:cstheme="majorBidi"/>
          <w:sz w:val="24"/>
          <w:szCs w:val="24"/>
        </w:rPr>
      </w:pPr>
      <w:r>
        <w:rPr>
          <w:rFonts w:asciiTheme="majorBidi" w:hAnsiTheme="majorBidi" w:cstheme="majorBidi"/>
          <w:sz w:val="24"/>
          <w:szCs w:val="24"/>
        </w:rPr>
        <w:t xml:space="preserve">As for Narseh, his relations with the Tang court </w:t>
      </w:r>
      <w:r w:rsidR="000C3990">
        <w:rPr>
          <w:rFonts w:asciiTheme="majorBidi" w:hAnsiTheme="majorBidi" w:cstheme="majorBidi"/>
          <w:sz w:val="24"/>
          <w:szCs w:val="24"/>
        </w:rPr>
        <w:t>remained</w:t>
      </w:r>
      <w:r>
        <w:rPr>
          <w:rFonts w:asciiTheme="majorBidi" w:hAnsiTheme="majorBidi" w:cstheme="majorBidi"/>
          <w:sz w:val="24"/>
          <w:szCs w:val="24"/>
        </w:rPr>
        <w:t xml:space="preserve"> largely the same as in the days of his father. During the two decades of his staying in</w:t>
      </w:r>
      <w:r w:rsidRPr="00AE1D10">
        <w:rPr>
          <w:rFonts w:asciiTheme="majorBidi" w:hAnsiTheme="majorBidi" w:cstheme="majorBidi"/>
          <w:sz w:val="24"/>
          <w:szCs w:val="24"/>
        </w:rPr>
        <w:t xml:space="preserve"> </w:t>
      </w:r>
      <w:r>
        <w:rPr>
          <w:rFonts w:asciiTheme="majorBidi" w:hAnsiTheme="majorBidi" w:cstheme="majorBidi"/>
          <w:sz w:val="24"/>
          <w:szCs w:val="24"/>
        </w:rPr>
        <w:t>Ṭukhāristān, he sent emissaries to Chang'an</w:t>
      </w:r>
      <w:r w:rsidR="0073424D">
        <w:rPr>
          <w:rFonts w:asciiTheme="majorBidi" w:hAnsiTheme="majorBidi" w:cstheme="majorBidi"/>
          <w:sz w:val="24"/>
          <w:szCs w:val="24"/>
        </w:rPr>
        <w:t xml:space="preserve"> </w:t>
      </w:r>
      <w:r>
        <w:rPr>
          <w:rFonts w:asciiTheme="majorBidi" w:hAnsiTheme="majorBidi" w:cstheme="majorBidi"/>
          <w:sz w:val="24"/>
          <w:szCs w:val="24"/>
        </w:rPr>
        <w:t>in 682, 695, 700 and 706</w:t>
      </w:r>
      <w:r w:rsidR="00296D9E">
        <w:rPr>
          <w:rFonts w:asciiTheme="majorBidi" w:hAnsiTheme="majorBidi" w:cstheme="majorBidi"/>
          <w:sz w:val="24"/>
          <w:szCs w:val="24"/>
        </w:rPr>
        <w:t xml:space="preserve"> CE</w:t>
      </w:r>
      <w:r>
        <w:rPr>
          <w:rFonts w:asciiTheme="majorBidi" w:hAnsiTheme="majorBidi" w:cstheme="majorBidi"/>
          <w:sz w:val="24"/>
          <w:szCs w:val="24"/>
        </w:rPr>
        <w:t>.</w:t>
      </w:r>
      <w:r>
        <w:rPr>
          <w:rStyle w:val="FootnoteReference"/>
          <w:rFonts w:asciiTheme="majorBidi" w:hAnsiTheme="majorBidi" w:cstheme="majorBidi"/>
          <w:sz w:val="24"/>
          <w:szCs w:val="24"/>
        </w:rPr>
        <w:footnoteReference w:id="279"/>
      </w:r>
      <w:r>
        <w:rPr>
          <w:rFonts w:asciiTheme="majorBidi" w:hAnsiTheme="majorBidi" w:cstheme="majorBidi"/>
          <w:sz w:val="24"/>
          <w:szCs w:val="24"/>
        </w:rPr>
        <w:t xml:space="preserve"> When </w:t>
      </w:r>
      <w:r w:rsidR="00D452C1">
        <w:rPr>
          <w:rFonts w:asciiTheme="majorBidi" w:hAnsiTheme="majorBidi" w:cstheme="majorBidi"/>
          <w:sz w:val="24"/>
          <w:szCs w:val="24"/>
        </w:rPr>
        <w:t>Qutayba</w:t>
      </w:r>
      <w:r>
        <w:rPr>
          <w:rFonts w:asciiTheme="majorBidi" w:hAnsiTheme="majorBidi" w:cstheme="majorBidi"/>
          <w:sz w:val="24"/>
          <w:szCs w:val="24"/>
        </w:rPr>
        <w:t xml:space="preserve"> penetrated into the region, he could </w:t>
      </w:r>
      <w:r w:rsidR="00296D9E">
        <w:rPr>
          <w:rFonts w:asciiTheme="majorBidi" w:hAnsiTheme="majorBidi" w:cstheme="majorBidi"/>
          <w:sz w:val="24"/>
          <w:szCs w:val="24"/>
        </w:rPr>
        <w:t xml:space="preserve">neither </w:t>
      </w:r>
      <w:r>
        <w:rPr>
          <w:rFonts w:asciiTheme="majorBidi" w:hAnsiTheme="majorBidi" w:cstheme="majorBidi"/>
          <w:sz w:val="24"/>
          <w:szCs w:val="24"/>
        </w:rPr>
        <w:t xml:space="preserve">rely upon the weak Yabghū </w:t>
      </w:r>
      <w:r w:rsidR="00296D9E">
        <w:rPr>
          <w:rFonts w:asciiTheme="majorBidi" w:hAnsiTheme="majorBidi" w:cstheme="majorBidi"/>
          <w:sz w:val="24"/>
          <w:szCs w:val="24"/>
        </w:rPr>
        <w:t>n</w:t>
      </w:r>
      <w:r>
        <w:rPr>
          <w:rFonts w:asciiTheme="majorBidi" w:hAnsiTheme="majorBidi" w:cstheme="majorBidi"/>
          <w:sz w:val="24"/>
          <w:szCs w:val="24"/>
        </w:rPr>
        <w:t>or the Hephthalite Nīzak, and returned to the Tang capital to join the Persian community there.</w:t>
      </w:r>
    </w:p>
    <w:p w14:paraId="3D837E05" w14:textId="7388FFC7" w:rsidR="00F006E6" w:rsidRPr="00B307F9" w:rsidRDefault="00634D37" w:rsidP="00B307F9">
      <w:pPr>
        <w:spacing w:line="360" w:lineRule="auto"/>
        <w:ind w:firstLine="480"/>
        <w:rPr>
          <w:rFonts w:asciiTheme="majorBidi" w:hAnsiTheme="majorBidi" w:cstheme="majorBidi"/>
          <w:sz w:val="24"/>
          <w:szCs w:val="24"/>
        </w:rPr>
      </w:pPr>
      <w:r>
        <w:rPr>
          <w:rFonts w:asciiTheme="majorBidi" w:hAnsiTheme="majorBidi" w:cstheme="majorBidi"/>
          <w:sz w:val="24"/>
          <w:szCs w:val="24"/>
        </w:rPr>
        <w:t>Although A</w:t>
      </w:r>
      <w:r>
        <w:rPr>
          <w:rFonts w:asciiTheme="majorBidi" w:hAnsiTheme="majorBidi" w:cstheme="majorBidi" w:hint="eastAsia"/>
          <w:sz w:val="24"/>
          <w:szCs w:val="24"/>
        </w:rPr>
        <w:t>l</w:t>
      </w:r>
      <w:r>
        <w:rPr>
          <w:rFonts w:asciiTheme="majorBidi" w:hAnsiTheme="majorBidi" w:cstheme="majorBidi"/>
          <w:sz w:val="24"/>
          <w:szCs w:val="24"/>
        </w:rPr>
        <w:t xml:space="preserve">-Ṭabarī’s record of the Tibetans penetrating as far as Tirmidh together with the Turks in 704 CE is found in the legendary and epical account of </w:t>
      </w:r>
      <w:r w:rsidR="00020182">
        <w:rPr>
          <w:rFonts w:asciiTheme="majorBidi" w:hAnsiTheme="majorBidi" w:cstheme="majorBidi"/>
          <w:sz w:val="24"/>
          <w:szCs w:val="24"/>
        </w:rPr>
        <w:t>Mūsā b. ‘Abdallāh b. Khāzim al-Sulamī</w:t>
      </w:r>
      <w:r>
        <w:rPr>
          <w:rFonts w:asciiTheme="majorBidi" w:hAnsiTheme="majorBidi" w:cstheme="majorBidi"/>
          <w:sz w:val="24"/>
          <w:szCs w:val="24"/>
        </w:rPr>
        <w:t>,</w:t>
      </w:r>
      <w:r>
        <w:rPr>
          <w:rStyle w:val="FootnoteReference"/>
          <w:rFonts w:asciiTheme="majorBidi" w:hAnsiTheme="majorBidi" w:cstheme="majorBidi"/>
          <w:sz w:val="24"/>
          <w:szCs w:val="24"/>
        </w:rPr>
        <w:footnoteReference w:id="280"/>
      </w:r>
      <w:r>
        <w:rPr>
          <w:rFonts w:asciiTheme="majorBidi" w:hAnsiTheme="majorBidi" w:cstheme="majorBidi"/>
          <w:sz w:val="24"/>
          <w:szCs w:val="24"/>
        </w:rPr>
        <w:t xml:space="preserve"> it is supported by Puluo’s memoire to the Tang court in</w:t>
      </w:r>
      <w:r w:rsidR="00296D9E">
        <w:rPr>
          <w:rFonts w:asciiTheme="majorBidi" w:hAnsiTheme="majorBidi" w:cstheme="majorBidi"/>
          <w:sz w:val="24"/>
          <w:szCs w:val="24"/>
        </w:rPr>
        <w:t xml:space="preserve"> the</w:t>
      </w:r>
      <w:r>
        <w:rPr>
          <w:rFonts w:asciiTheme="majorBidi" w:hAnsiTheme="majorBidi" w:cstheme="majorBidi"/>
          <w:sz w:val="24"/>
          <w:szCs w:val="24"/>
        </w:rPr>
        <w:t xml:space="preserve"> </w:t>
      </w:r>
      <w:r w:rsidRPr="00634D37">
        <w:rPr>
          <w:rFonts w:asciiTheme="majorBidi" w:hAnsiTheme="majorBidi" w:cstheme="majorBidi"/>
          <w:i/>
          <w:iCs/>
          <w:sz w:val="24"/>
          <w:szCs w:val="24"/>
        </w:rPr>
        <w:t xml:space="preserve">Cefu </w:t>
      </w:r>
      <w:r w:rsidR="00A30E67">
        <w:rPr>
          <w:rFonts w:asciiTheme="majorBidi" w:hAnsiTheme="majorBidi" w:cstheme="majorBidi"/>
          <w:i/>
          <w:iCs/>
          <w:sz w:val="24"/>
          <w:szCs w:val="24"/>
        </w:rPr>
        <w:t>y</w:t>
      </w:r>
      <w:r w:rsidRPr="00634D37">
        <w:rPr>
          <w:rFonts w:asciiTheme="majorBidi" w:hAnsiTheme="majorBidi" w:cstheme="majorBidi"/>
          <w:i/>
          <w:iCs/>
          <w:sz w:val="24"/>
          <w:szCs w:val="24"/>
        </w:rPr>
        <w:t>uangui</w:t>
      </w:r>
      <w:r>
        <w:rPr>
          <w:rFonts w:asciiTheme="majorBidi" w:hAnsiTheme="majorBidi" w:cstheme="majorBidi"/>
          <w:sz w:val="24"/>
          <w:szCs w:val="24"/>
        </w:rPr>
        <w:t xml:space="preserve">, which recalled the Yabghū </w:t>
      </w:r>
      <w:r w:rsidR="00296D9E">
        <w:rPr>
          <w:rFonts w:asciiTheme="majorBidi" w:hAnsiTheme="majorBidi" w:cstheme="majorBidi"/>
          <w:sz w:val="24"/>
          <w:szCs w:val="24"/>
        </w:rPr>
        <w:t>fighting</w:t>
      </w:r>
      <w:r>
        <w:rPr>
          <w:rFonts w:asciiTheme="majorBidi" w:hAnsiTheme="majorBidi" w:cstheme="majorBidi"/>
          <w:sz w:val="24"/>
          <w:szCs w:val="24"/>
        </w:rPr>
        <w:t xml:space="preserve"> the Arabs and t</w:t>
      </w:r>
      <w:r w:rsidR="00E568B0">
        <w:rPr>
          <w:rFonts w:asciiTheme="majorBidi" w:hAnsiTheme="majorBidi" w:cstheme="majorBidi"/>
          <w:sz w:val="24"/>
          <w:szCs w:val="24"/>
        </w:rPr>
        <w:t>he Tibetans</w:t>
      </w:r>
      <w:r w:rsidR="00700D05">
        <w:rPr>
          <w:rFonts w:asciiTheme="majorBidi" w:hAnsiTheme="majorBidi" w:cstheme="majorBidi"/>
          <w:sz w:val="24"/>
          <w:szCs w:val="24"/>
        </w:rPr>
        <w:t>.</w:t>
      </w:r>
      <w:r>
        <w:rPr>
          <w:rStyle w:val="FootnoteReference"/>
          <w:rFonts w:asciiTheme="majorBidi" w:hAnsiTheme="majorBidi" w:cstheme="majorBidi"/>
          <w:sz w:val="24"/>
          <w:szCs w:val="24"/>
        </w:rPr>
        <w:footnoteReference w:id="281"/>
      </w:r>
      <w:r w:rsidR="00700D05">
        <w:rPr>
          <w:rFonts w:asciiTheme="majorBidi" w:hAnsiTheme="majorBidi" w:cstheme="majorBidi"/>
          <w:sz w:val="24"/>
          <w:szCs w:val="24"/>
        </w:rPr>
        <w:t xml:space="preserve"> However, </w:t>
      </w:r>
      <w:r w:rsidR="00FC5D6E">
        <w:rPr>
          <w:rFonts w:asciiTheme="majorBidi" w:hAnsiTheme="majorBidi" w:cstheme="majorBidi"/>
          <w:sz w:val="24"/>
          <w:szCs w:val="24"/>
        </w:rPr>
        <w:t xml:space="preserve">the years following the death of the Tibetan emperor in the winter of 704 CE witnessed internal political and military chaos of the Empire and its withdrawal from </w:t>
      </w:r>
      <w:r w:rsidR="001D02F8">
        <w:rPr>
          <w:rFonts w:asciiTheme="majorBidi" w:hAnsiTheme="majorBidi" w:cstheme="majorBidi"/>
          <w:sz w:val="24"/>
          <w:szCs w:val="24"/>
        </w:rPr>
        <w:t xml:space="preserve">external </w:t>
      </w:r>
      <w:r w:rsidR="00FC5D6E">
        <w:rPr>
          <w:rFonts w:asciiTheme="majorBidi" w:hAnsiTheme="majorBidi" w:cstheme="majorBidi"/>
          <w:sz w:val="24"/>
          <w:szCs w:val="24"/>
        </w:rPr>
        <w:t>expansions.</w:t>
      </w:r>
      <w:r w:rsidR="001D02F8">
        <w:rPr>
          <w:rStyle w:val="FootnoteReference"/>
          <w:rFonts w:asciiTheme="majorBidi" w:hAnsiTheme="majorBidi" w:cstheme="majorBidi"/>
          <w:sz w:val="24"/>
          <w:szCs w:val="24"/>
        </w:rPr>
        <w:footnoteReference w:id="282"/>
      </w:r>
      <w:r w:rsidR="001D02F8">
        <w:rPr>
          <w:rFonts w:asciiTheme="majorBidi" w:hAnsiTheme="majorBidi" w:cstheme="majorBidi"/>
          <w:sz w:val="24"/>
          <w:szCs w:val="24"/>
        </w:rPr>
        <w:t xml:space="preserve"> Although the Tibetans would return to the Pamirs and Ṭukhāristān, this primary incursion </w:t>
      </w:r>
      <w:r w:rsidR="00BC34E6">
        <w:rPr>
          <w:rFonts w:asciiTheme="majorBidi" w:hAnsiTheme="majorBidi" w:cstheme="majorBidi"/>
          <w:sz w:val="24"/>
          <w:szCs w:val="24"/>
        </w:rPr>
        <w:t xml:space="preserve">apparently </w:t>
      </w:r>
      <w:r w:rsidR="00296D9E">
        <w:rPr>
          <w:rFonts w:asciiTheme="majorBidi" w:hAnsiTheme="majorBidi" w:cstheme="majorBidi"/>
          <w:sz w:val="24"/>
          <w:szCs w:val="24"/>
        </w:rPr>
        <w:t>was not sufficient to</w:t>
      </w:r>
      <w:r w:rsidR="00BC34E6">
        <w:rPr>
          <w:rFonts w:asciiTheme="majorBidi" w:hAnsiTheme="majorBidi" w:cstheme="majorBidi"/>
          <w:sz w:val="24"/>
          <w:szCs w:val="24"/>
        </w:rPr>
        <w:t xml:space="preserve"> </w:t>
      </w:r>
      <w:r w:rsidR="001D02F8">
        <w:rPr>
          <w:rFonts w:asciiTheme="majorBidi" w:hAnsiTheme="majorBidi" w:cstheme="majorBidi"/>
          <w:sz w:val="24"/>
          <w:szCs w:val="24"/>
        </w:rPr>
        <w:t>convince Narseh to seek refuge among the Tibetans</w:t>
      </w:r>
      <w:r w:rsidR="00F97906">
        <w:rPr>
          <w:rFonts w:asciiTheme="majorBidi" w:hAnsiTheme="majorBidi" w:cstheme="majorBidi"/>
          <w:sz w:val="24"/>
          <w:szCs w:val="24"/>
        </w:rPr>
        <w:t>.</w:t>
      </w:r>
      <w:r w:rsidR="00F006E6">
        <w:rPr>
          <w:rFonts w:asciiTheme="majorBidi" w:hAnsiTheme="majorBidi"/>
          <w:sz w:val="24"/>
          <w:szCs w:val="24"/>
        </w:rPr>
        <w:br w:type="page"/>
      </w:r>
    </w:p>
    <w:p w14:paraId="4F530EC9" w14:textId="4D57D497" w:rsidR="00931C9F" w:rsidRPr="00931C9F" w:rsidRDefault="00931C9F" w:rsidP="00931C9F">
      <w:pPr>
        <w:pStyle w:val="Heading2"/>
        <w:rPr>
          <w:rFonts w:asciiTheme="majorBidi" w:hAnsiTheme="majorBidi"/>
          <w:sz w:val="24"/>
          <w:szCs w:val="24"/>
        </w:rPr>
      </w:pPr>
      <w:bookmarkStart w:id="14" w:name="_Toc91623880"/>
      <w:r w:rsidRPr="00931C9F">
        <w:rPr>
          <w:rFonts w:asciiTheme="majorBidi" w:hAnsiTheme="majorBidi"/>
          <w:sz w:val="24"/>
          <w:szCs w:val="24"/>
        </w:rPr>
        <w:lastRenderedPageBreak/>
        <w:t>Conclusions</w:t>
      </w:r>
      <w:bookmarkEnd w:id="14"/>
    </w:p>
    <w:p w14:paraId="121634B5" w14:textId="5F18715F" w:rsidR="00970F26" w:rsidRDefault="00397DDE" w:rsidP="007B4365">
      <w:pPr>
        <w:spacing w:line="360" w:lineRule="auto"/>
        <w:rPr>
          <w:rFonts w:asciiTheme="majorBidi" w:hAnsiTheme="majorBidi" w:cstheme="majorBidi"/>
          <w:sz w:val="24"/>
          <w:szCs w:val="24"/>
        </w:rPr>
      </w:pPr>
      <w:r>
        <w:rPr>
          <w:rFonts w:asciiTheme="majorBidi" w:eastAsiaTheme="minorHAnsi" w:hAnsiTheme="majorBidi" w:cstheme="majorBidi"/>
          <w:sz w:val="24"/>
          <w:szCs w:val="24"/>
        </w:rPr>
        <w:t xml:space="preserve">Tardu Shad, the first ruler of the Yabghū dynasty of </w:t>
      </w:r>
      <w:r w:rsidRPr="00C43B5F">
        <w:rPr>
          <w:rFonts w:asciiTheme="majorBidi" w:hAnsiTheme="majorBidi" w:cstheme="majorBidi"/>
          <w:sz w:val="24"/>
          <w:szCs w:val="24"/>
        </w:rPr>
        <w:t>Ṭukhāristān</w:t>
      </w:r>
      <w:r>
        <w:rPr>
          <w:rFonts w:asciiTheme="majorBidi" w:hAnsiTheme="majorBidi" w:cstheme="majorBidi"/>
          <w:sz w:val="24"/>
          <w:szCs w:val="24"/>
        </w:rPr>
        <w:t xml:space="preserve">, </w:t>
      </w:r>
      <w:r w:rsidR="00FA2DF1">
        <w:rPr>
          <w:rFonts w:asciiTheme="majorBidi" w:eastAsiaTheme="minorHAnsi" w:hAnsiTheme="majorBidi" w:cstheme="majorBidi"/>
          <w:sz w:val="24"/>
          <w:szCs w:val="24"/>
        </w:rPr>
        <w:t xml:space="preserve">was established </w:t>
      </w:r>
      <w:r>
        <w:rPr>
          <w:rFonts w:asciiTheme="majorBidi" w:eastAsiaTheme="minorHAnsi" w:hAnsiTheme="majorBidi" w:cstheme="majorBidi"/>
          <w:sz w:val="24"/>
          <w:szCs w:val="24"/>
        </w:rPr>
        <w:t xml:space="preserve">by </w:t>
      </w:r>
      <w:r w:rsidR="00970F26">
        <w:rPr>
          <w:rFonts w:asciiTheme="majorBidi" w:eastAsiaTheme="minorHAnsi" w:hAnsiTheme="majorBidi" w:cstheme="majorBidi"/>
          <w:sz w:val="24"/>
          <w:szCs w:val="24"/>
        </w:rPr>
        <w:t>Tong Yabghū Khāqān of the Western Turks in the 620s</w:t>
      </w:r>
      <w:r w:rsidR="00970F26">
        <w:rPr>
          <w:rFonts w:asciiTheme="majorBidi" w:hAnsiTheme="majorBidi" w:cstheme="majorBidi"/>
          <w:sz w:val="24"/>
          <w:szCs w:val="24"/>
        </w:rPr>
        <w:t xml:space="preserve">. The Turkic dynasty was the lord of </w:t>
      </w:r>
      <w:r w:rsidR="00F3527E">
        <w:rPr>
          <w:rFonts w:asciiTheme="majorBidi" w:hAnsiTheme="majorBidi" w:cstheme="majorBidi"/>
          <w:sz w:val="24"/>
          <w:szCs w:val="24"/>
        </w:rPr>
        <w:t>large parts</w:t>
      </w:r>
      <w:r w:rsidR="00970F26">
        <w:rPr>
          <w:rFonts w:asciiTheme="majorBidi" w:hAnsiTheme="majorBidi" w:cstheme="majorBidi"/>
          <w:sz w:val="24"/>
          <w:szCs w:val="24"/>
        </w:rPr>
        <w:t xml:space="preserve"> of Central Asia. Its political power and influence pulls Pērōz to his court in </w:t>
      </w:r>
      <w:r w:rsidR="00970F26" w:rsidRPr="00C43B5F">
        <w:rPr>
          <w:rFonts w:asciiTheme="majorBidi" w:hAnsiTheme="majorBidi" w:cstheme="majorBidi"/>
          <w:sz w:val="24"/>
          <w:szCs w:val="24"/>
        </w:rPr>
        <w:t>Ṭukhāristān</w:t>
      </w:r>
      <w:r w:rsidR="00970F26">
        <w:rPr>
          <w:rFonts w:asciiTheme="majorBidi" w:hAnsiTheme="majorBidi" w:cstheme="majorBidi"/>
          <w:sz w:val="24"/>
          <w:szCs w:val="24"/>
        </w:rPr>
        <w:t>, when the last Sasanians fled Marw in 651 CE.</w:t>
      </w:r>
    </w:p>
    <w:p w14:paraId="17BB4647" w14:textId="42AC1E1A" w:rsidR="00B65470" w:rsidRDefault="00BD630B" w:rsidP="00970F26">
      <w:pPr>
        <w:spacing w:line="360" w:lineRule="auto"/>
        <w:ind w:firstLineChars="250" w:firstLine="600"/>
        <w:rPr>
          <w:rFonts w:asciiTheme="majorBidi" w:hAnsiTheme="majorBidi" w:cstheme="majorBidi"/>
          <w:sz w:val="24"/>
          <w:szCs w:val="24"/>
        </w:rPr>
      </w:pPr>
      <w:r>
        <w:rPr>
          <w:rFonts w:asciiTheme="majorBidi" w:hAnsiTheme="majorBidi" w:cstheme="majorBidi"/>
          <w:sz w:val="24"/>
          <w:szCs w:val="24"/>
        </w:rPr>
        <w:t>T</w:t>
      </w:r>
      <w:r w:rsidR="00970F26">
        <w:rPr>
          <w:rFonts w:asciiTheme="majorBidi" w:hAnsiTheme="majorBidi" w:cstheme="majorBidi"/>
          <w:sz w:val="24"/>
          <w:szCs w:val="24"/>
        </w:rPr>
        <w:t xml:space="preserve">he Yabghū </w:t>
      </w:r>
      <w:r w:rsidR="00397DDE">
        <w:rPr>
          <w:rFonts w:asciiTheme="majorBidi" w:hAnsiTheme="majorBidi" w:cstheme="majorBidi"/>
          <w:sz w:val="24"/>
          <w:szCs w:val="24"/>
        </w:rPr>
        <w:t xml:space="preserve">dynasty was </w:t>
      </w:r>
      <w:r w:rsidR="00F35863">
        <w:rPr>
          <w:rFonts w:asciiTheme="majorBidi" w:hAnsiTheme="majorBidi" w:cstheme="majorBidi"/>
          <w:sz w:val="24"/>
          <w:szCs w:val="24"/>
        </w:rPr>
        <w:t>de facto independent</w:t>
      </w:r>
      <w:r w:rsidR="00397DDE">
        <w:rPr>
          <w:rFonts w:asciiTheme="majorBidi" w:hAnsiTheme="majorBidi" w:cstheme="majorBidi"/>
          <w:sz w:val="24"/>
          <w:szCs w:val="24"/>
        </w:rPr>
        <w:t xml:space="preserve"> from the nominal lords, first the Western Turks </w:t>
      </w:r>
      <w:r w:rsidR="00F35863">
        <w:rPr>
          <w:rFonts w:asciiTheme="majorBidi" w:hAnsiTheme="majorBidi" w:cstheme="majorBidi"/>
          <w:sz w:val="24"/>
          <w:szCs w:val="24"/>
        </w:rPr>
        <w:t xml:space="preserve">in the 640s and the 650s </w:t>
      </w:r>
      <w:r w:rsidR="00397DDE">
        <w:rPr>
          <w:rFonts w:asciiTheme="majorBidi" w:hAnsiTheme="majorBidi" w:cstheme="majorBidi"/>
          <w:sz w:val="24"/>
          <w:szCs w:val="24"/>
        </w:rPr>
        <w:t>and then the Tang Empire</w:t>
      </w:r>
      <w:r w:rsidR="00F35863">
        <w:rPr>
          <w:rFonts w:asciiTheme="majorBidi" w:hAnsiTheme="majorBidi" w:cstheme="majorBidi"/>
          <w:sz w:val="24"/>
          <w:szCs w:val="24"/>
        </w:rPr>
        <w:t xml:space="preserve"> since the 660s</w:t>
      </w:r>
      <w:r w:rsidR="00397DDE">
        <w:rPr>
          <w:rFonts w:asciiTheme="majorBidi" w:hAnsiTheme="majorBidi" w:cstheme="majorBidi"/>
          <w:sz w:val="24"/>
          <w:szCs w:val="24"/>
        </w:rPr>
        <w:t xml:space="preserve">. </w:t>
      </w:r>
      <w:r w:rsidR="00296D9E">
        <w:rPr>
          <w:rFonts w:asciiTheme="majorBidi" w:hAnsiTheme="majorBidi" w:cstheme="majorBidi"/>
          <w:sz w:val="24"/>
          <w:szCs w:val="24"/>
        </w:rPr>
        <w:t xml:space="preserve">Moreover, </w:t>
      </w:r>
      <w:r w:rsidR="007B4365">
        <w:rPr>
          <w:rFonts w:asciiTheme="majorBidi" w:hAnsiTheme="majorBidi" w:cstheme="majorBidi"/>
          <w:sz w:val="24"/>
          <w:szCs w:val="24"/>
        </w:rPr>
        <w:t xml:space="preserve">the dynasty could only directly control </w:t>
      </w:r>
      <w:r w:rsidR="00F3527E">
        <w:rPr>
          <w:rFonts w:asciiTheme="majorBidi" w:hAnsiTheme="majorBidi" w:cstheme="majorBidi"/>
          <w:sz w:val="24"/>
          <w:szCs w:val="24"/>
        </w:rPr>
        <w:t>eastern</w:t>
      </w:r>
      <w:r w:rsidR="007B4365">
        <w:rPr>
          <w:rFonts w:asciiTheme="majorBidi" w:hAnsiTheme="majorBidi" w:cstheme="majorBidi"/>
          <w:sz w:val="24"/>
          <w:szCs w:val="24"/>
        </w:rPr>
        <w:t xml:space="preserve"> </w:t>
      </w:r>
      <w:r w:rsidR="007B4365" w:rsidRPr="00C43B5F">
        <w:rPr>
          <w:rFonts w:asciiTheme="majorBidi" w:hAnsiTheme="majorBidi" w:cstheme="majorBidi"/>
          <w:sz w:val="24"/>
          <w:szCs w:val="24"/>
        </w:rPr>
        <w:t>Ṭukhāristān</w:t>
      </w:r>
      <w:r w:rsidR="00296D9E" w:rsidRPr="00296D9E">
        <w:rPr>
          <w:rFonts w:asciiTheme="majorBidi" w:hAnsiTheme="majorBidi" w:cstheme="majorBidi"/>
          <w:sz w:val="24"/>
          <w:szCs w:val="24"/>
        </w:rPr>
        <w:t xml:space="preserve"> </w:t>
      </w:r>
      <w:r w:rsidR="00296D9E">
        <w:rPr>
          <w:rFonts w:asciiTheme="majorBidi" w:hAnsiTheme="majorBidi" w:cstheme="majorBidi"/>
          <w:sz w:val="24"/>
          <w:szCs w:val="24"/>
        </w:rPr>
        <w:t>because of the limited number of Turkic immigrants found in the region</w:t>
      </w:r>
      <w:r w:rsidR="007B4365">
        <w:rPr>
          <w:rFonts w:asciiTheme="majorBidi" w:hAnsiTheme="majorBidi" w:cstheme="majorBidi"/>
          <w:sz w:val="24"/>
          <w:szCs w:val="24"/>
        </w:rPr>
        <w:t xml:space="preserve">, while the Hephthalite principalities were practically independent </w:t>
      </w:r>
      <w:r w:rsidR="00296D9E">
        <w:rPr>
          <w:rFonts w:asciiTheme="majorBidi" w:hAnsiTheme="majorBidi" w:cstheme="majorBidi"/>
          <w:sz w:val="24"/>
          <w:szCs w:val="24"/>
        </w:rPr>
        <w:t>thanks to</w:t>
      </w:r>
      <w:r w:rsidR="007B4365">
        <w:rPr>
          <w:rFonts w:asciiTheme="majorBidi" w:hAnsiTheme="majorBidi" w:cstheme="majorBidi"/>
          <w:sz w:val="24"/>
          <w:szCs w:val="24"/>
        </w:rPr>
        <w:t xml:space="preserve"> their numerical superiority.</w:t>
      </w:r>
    </w:p>
    <w:p w14:paraId="221C0CE2" w14:textId="65116E0E" w:rsidR="00397DDE" w:rsidRDefault="00B65470" w:rsidP="002E0AD3">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962D65">
        <w:rPr>
          <w:rFonts w:asciiTheme="majorBidi" w:hAnsiTheme="majorBidi" w:cstheme="majorBidi"/>
          <w:sz w:val="24"/>
          <w:szCs w:val="24"/>
        </w:rPr>
        <w:t xml:space="preserve">Among the Hephthalite polities, the powerful Nīzak dynasty based in Bādghīs </w:t>
      </w:r>
      <w:r w:rsidR="00296D9E">
        <w:rPr>
          <w:rFonts w:asciiTheme="majorBidi" w:hAnsiTheme="majorBidi" w:cstheme="majorBidi"/>
          <w:sz w:val="24"/>
          <w:szCs w:val="24"/>
        </w:rPr>
        <w:t xml:space="preserve">was the most active </w:t>
      </w:r>
      <w:r w:rsidR="00184B61">
        <w:rPr>
          <w:rFonts w:asciiTheme="majorBidi" w:hAnsiTheme="majorBidi" w:cstheme="majorBidi"/>
          <w:sz w:val="24"/>
          <w:szCs w:val="24"/>
        </w:rPr>
        <w:t xml:space="preserve">opponent </w:t>
      </w:r>
      <w:r w:rsidR="00296D9E">
        <w:rPr>
          <w:rFonts w:asciiTheme="majorBidi" w:hAnsiTheme="majorBidi" w:cstheme="majorBidi"/>
          <w:sz w:val="24"/>
          <w:szCs w:val="24"/>
        </w:rPr>
        <w:t>of the Arabs who expanded into</w:t>
      </w:r>
      <w:r w:rsidR="002029E0">
        <w:rPr>
          <w:rFonts w:asciiTheme="majorBidi" w:hAnsiTheme="majorBidi" w:cstheme="majorBidi"/>
          <w:sz w:val="24"/>
          <w:szCs w:val="24"/>
        </w:rPr>
        <w:t xml:space="preserve"> </w:t>
      </w:r>
      <w:r w:rsidR="00296D9E" w:rsidRPr="00C43B5F">
        <w:rPr>
          <w:rFonts w:asciiTheme="majorBidi" w:hAnsiTheme="majorBidi" w:cstheme="majorBidi"/>
          <w:sz w:val="24"/>
          <w:szCs w:val="24"/>
        </w:rPr>
        <w:t>Ṭukhāristān</w:t>
      </w:r>
      <w:r w:rsidR="00296D9E">
        <w:rPr>
          <w:rFonts w:asciiTheme="majorBidi" w:hAnsiTheme="majorBidi" w:cstheme="majorBidi"/>
          <w:sz w:val="24"/>
          <w:szCs w:val="24"/>
        </w:rPr>
        <w:t xml:space="preserve">: it was </w:t>
      </w:r>
      <w:r w:rsidR="00F3527E">
        <w:rPr>
          <w:rFonts w:asciiTheme="majorBidi" w:hAnsiTheme="majorBidi" w:cstheme="majorBidi"/>
          <w:sz w:val="24"/>
          <w:szCs w:val="24"/>
        </w:rPr>
        <w:t xml:space="preserve">probably </w:t>
      </w:r>
      <w:r w:rsidR="00296D9E">
        <w:rPr>
          <w:rFonts w:asciiTheme="majorBidi" w:hAnsiTheme="majorBidi" w:cstheme="majorBidi"/>
          <w:sz w:val="24"/>
          <w:szCs w:val="24"/>
        </w:rPr>
        <w:t>involved in the</w:t>
      </w:r>
      <w:r w:rsidR="002029E0">
        <w:rPr>
          <w:rFonts w:asciiTheme="majorBidi" w:hAnsiTheme="majorBidi" w:cstheme="majorBidi"/>
          <w:sz w:val="24"/>
          <w:szCs w:val="24"/>
        </w:rPr>
        <w:t xml:space="preserve"> collaborated Hephthalite resistance against the </w:t>
      </w:r>
      <w:r w:rsidR="00296D9E">
        <w:rPr>
          <w:rFonts w:asciiTheme="majorBidi" w:hAnsiTheme="majorBidi" w:cstheme="majorBidi"/>
          <w:sz w:val="24"/>
          <w:szCs w:val="24"/>
        </w:rPr>
        <w:t>Arabs</w:t>
      </w:r>
      <w:r w:rsidR="002029E0">
        <w:rPr>
          <w:rFonts w:asciiTheme="majorBidi" w:hAnsiTheme="majorBidi" w:cstheme="majorBidi"/>
          <w:sz w:val="24"/>
          <w:szCs w:val="24"/>
        </w:rPr>
        <w:t xml:space="preserve"> in 653/4 CE</w:t>
      </w:r>
      <w:r w:rsidR="00296D9E">
        <w:rPr>
          <w:rFonts w:asciiTheme="majorBidi" w:hAnsiTheme="majorBidi" w:cstheme="majorBidi"/>
          <w:sz w:val="24"/>
          <w:szCs w:val="24"/>
        </w:rPr>
        <w:t>;</w:t>
      </w:r>
      <w:r w:rsidR="002029E0">
        <w:rPr>
          <w:rFonts w:asciiTheme="majorBidi" w:hAnsiTheme="majorBidi" w:cstheme="majorBidi"/>
          <w:sz w:val="24"/>
          <w:szCs w:val="24"/>
        </w:rPr>
        <w:t xml:space="preserve"> </w:t>
      </w:r>
      <w:r w:rsidR="00296D9E">
        <w:rPr>
          <w:rFonts w:asciiTheme="majorBidi" w:hAnsiTheme="majorBidi" w:cstheme="majorBidi"/>
          <w:sz w:val="24"/>
          <w:szCs w:val="24"/>
        </w:rPr>
        <w:t>its last ruler</w:t>
      </w:r>
      <w:r w:rsidR="002029E0">
        <w:rPr>
          <w:rFonts w:asciiTheme="majorBidi" w:hAnsiTheme="majorBidi" w:cstheme="majorBidi"/>
          <w:sz w:val="24"/>
          <w:szCs w:val="24"/>
        </w:rPr>
        <w:t xml:space="preserve"> </w:t>
      </w:r>
      <w:r w:rsidR="003A6B37">
        <w:rPr>
          <w:rFonts w:asciiTheme="majorBidi" w:hAnsiTheme="majorBidi" w:cstheme="majorBidi"/>
          <w:sz w:val="24"/>
          <w:szCs w:val="24"/>
        </w:rPr>
        <w:t xml:space="preserve">made a last stand against </w:t>
      </w:r>
      <w:r w:rsidR="00D452C1">
        <w:rPr>
          <w:rFonts w:asciiTheme="majorBidi" w:hAnsiTheme="majorBidi" w:cstheme="majorBidi"/>
          <w:sz w:val="24"/>
          <w:szCs w:val="24"/>
        </w:rPr>
        <w:t>Qutayba</w:t>
      </w:r>
      <w:r w:rsidR="003A6B37">
        <w:rPr>
          <w:rFonts w:asciiTheme="majorBidi" w:hAnsiTheme="majorBidi" w:cstheme="majorBidi"/>
          <w:sz w:val="24"/>
          <w:szCs w:val="24"/>
        </w:rPr>
        <w:t xml:space="preserve"> in 709 CE</w:t>
      </w:r>
      <w:r>
        <w:rPr>
          <w:rFonts w:asciiTheme="majorBidi" w:hAnsiTheme="majorBidi" w:cstheme="majorBidi"/>
          <w:sz w:val="24"/>
          <w:szCs w:val="24"/>
        </w:rPr>
        <w:t xml:space="preserve">. </w:t>
      </w:r>
      <w:r w:rsidR="005A13BC">
        <w:rPr>
          <w:rFonts w:asciiTheme="majorBidi" w:hAnsiTheme="majorBidi" w:cstheme="majorBidi"/>
          <w:sz w:val="24"/>
          <w:szCs w:val="24"/>
        </w:rPr>
        <w:t xml:space="preserve">Although </w:t>
      </w:r>
      <w:r w:rsidR="003171E8">
        <w:rPr>
          <w:rFonts w:asciiTheme="majorBidi" w:hAnsiTheme="majorBidi" w:cstheme="majorBidi"/>
          <w:sz w:val="24"/>
          <w:szCs w:val="24"/>
        </w:rPr>
        <w:t xml:space="preserve">it is hard to be definite, </w:t>
      </w:r>
      <w:r>
        <w:rPr>
          <w:rFonts w:asciiTheme="majorBidi" w:hAnsiTheme="majorBidi" w:cstheme="majorBidi"/>
          <w:sz w:val="24"/>
          <w:szCs w:val="24"/>
        </w:rPr>
        <w:t xml:space="preserve">events such as </w:t>
      </w:r>
      <w:r w:rsidR="003171E8">
        <w:rPr>
          <w:rFonts w:asciiTheme="majorBidi" w:hAnsiTheme="majorBidi" w:cstheme="majorBidi"/>
          <w:sz w:val="24"/>
          <w:szCs w:val="24"/>
        </w:rPr>
        <w:t>the</w:t>
      </w:r>
      <w:r>
        <w:rPr>
          <w:rFonts w:asciiTheme="majorBidi" w:hAnsiTheme="majorBidi" w:cstheme="majorBidi"/>
          <w:sz w:val="24"/>
          <w:szCs w:val="24"/>
        </w:rPr>
        <w:t xml:space="preserve"> </w:t>
      </w:r>
      <w:r w:rsidR="003171E8">
        <w:rPr>
          <w:rFonts w:asciiTheme="majorBidi" w:hAnsiTheme="majorBidi" w:cstheme="majorBidi"/>
          <w:sz w:val="24"/>
          <w:szCs w:val="24"/>
        </w:rPr>
        <w:t>expulsion of</w:t>
      </w:r>
      <w:r>
        <w:rPr>
          <w:rFonts w:asciiTheme="majorBidi" w:hAnsiTheme="majorBidi" w:cstheme="majorBidi"/>
          <w:sz w:val="24"/>
          <w:szCs w:val="24"/>
        </w:rPr>
        <w:t xml:space="preserve"> the Hephthalite king of Chaghāniyān </w:t>
      </w:r>
      <w:r w:rsidR="003171E8">
        <w:rPr>
          <w:rFonts w:asciiTheme="majorBidi" w:hAnsiTheme="majorBidi" w:cstheme="majorBidi"/>
          <w:sz w:val="24"/>
          <w:szCs w:val="24"/>
        </w:rPr>
        <w:t>by the Turkic rulers of Akharūn and Shūmān</w:t>
      </w:r>
      <w:r w:rsidR="00FE0914">
        <w:rPr>
          <w:rFonts w:asciiTheme="majorBidi" w:hAnsiTheme="majorBidi" w:cstheme="majorBidi"/>
          <w:sz w:val="24"/>
          <w:szCs w:val="24"/>
        </w:rPr>
        <w:t xml:space="preserve"> in 705 CE</w:t>
      </w:r>
      <w:r w:rsidR="003171E8">
        <w:rPr>
          <w:rFonts w:asciiTheme="majorBidi" w:hAnsiTheme="majorBidi" w:cstheme="majorBidi"/>
          <w:sz w:val="24"/>
          <w:szCs w:val="24"/>
        </w:rPr>
        <w:t xml:space="preserve">, </w:t>
      </w:r>
      <w:r w:rsidR="00296D9E">
        <w:rPr>
          <w:rFonts w:asciiTheme="majorBidi" w:hAnsiTheme="majorBidi" w:cstheme="majorBidi"/>
          <w:sz w:val="24"/>
          <w:szCs w:val="24"/>
        </w:rPr>
        <w:t xml:space="preserve">Nīzak’s detaining the Yabghū Du-ni-li, </w:t>
      </w:r>
      <w:r w:rsidR="003171E8">
        <w:rPr>
          <w:rFonts w:asciiTheme="majorBidi" w:hAnsiTheme="majorBidi" w:cstheme="majorBidi"/>
          <w:sz w:val="24"/>
          <w:szCs w:val="24"/>
        </w:rPr>
        <w:t xml:space="preserve">the </w:t>
      </w:r>
      <w:r w:rsidR="00296D9E">
        <w:rPr>
          <w:rFonts w:asciiTheme="majorBidi" w:hAnsiTheme="majorBidi" w:cstheme="majorBidi"/>
          <w:sz w:val="24"/>
          <w:szCs w:val="24"/>
        </w:rPr>
        <w:t>supreme ruler</w:t>
      </w:r>
      <w:r w:rsidR="003171E8">
        <w:rPr>
          <w:rFonts w:asciiTheme="majorBidi" w:hAnsiTheme="majorBidi" w:cstheme="majorBidi"/>
          <w:sz w:val="24"/>
          <w:szCs w:val="24"/>
        </w:rPr>
        <w:t xml:space="preserve"> of the Hephthalites claiming the Yabghū as enemy, </w:t>
      </w:r>
      <w:r>
        <w:rPr>
          <w:rFonts w:asciiTheme="majorBidi" w:hAnsiTheme="majorBidi" w:cstheme="majorBidi"/>
          <w:sz w:val="24"/>
          <w:szCs w:val="24"/>
        </w:rPr>
        <w:t xml:space="preserve">and the cooperation </w:t>
      </w:r>
      <w:r w:rsidR="00296D9E">
        <w:rPr>
          <w:rFonts w:asciiTheme="majorBidi" w:hAnsiTheme="majorBidi" w:cstheme="majorBidi"/>
          <w:sz w:val="24"/>
          <w:szCs w:val="24"/>
        </w:rPr>
        <w:t>of</w:t>
      </w:r>
      <w:r>
        <w:rPr>
          <w:rFonts w:asciiTheme="majorBidi" w:hAnsiTheme="majorBidi" w:cstheme="majorBidi"/>
          <w:sz w:val="24"/>
          <w:szCs w:val="24"/>
        </w:rPr>
        <w:t xml:space="preserve"> the Khān, the Turkic ruler of Rūb and Siminjān, </w:t>
      </w:r>
      <w:r w:rsidR="00F3527E">
        <w:rPr>
          <w:rFonts w:asciiTheme="majorBidi" w:hAnsiTheme="majorBidi" w:cstheme="majorBidi"/>
          <w:sz w:val="24"/>
          <w:szCs w:val="24"/>
        </w:rPr>
        <w:t>cooperating with</w:t>
      </w:r>
      <w:r w:rsidR="003171E8">
        <w:rPr>
          <w:rFonts w:asciiTheme="majorBidi" w:hAnsiTheme="majorBidi" w:cstheme="majorBidi"/>
          <w:sz w:val="24"/>
          <w:szCs w:val="24"/>
        </w:rPr>
        <w:t xml:space="preserve"> </w:t>
      </w:r>
      <w:r w:rsidR="00D452C1">
        <w:rPr>
          <w:rFonts w:asciiTheme="majorBidi" w:hAnsiTheme="majorBidi" w:cstheme="majorBidi"/>
          <w:sz w:val="24"/>
          <w:szCs w:val="24"/>
        </w:rPr>
        <w:t>Qutayba</w:t>
      </w:r>
      <w:r w:rsidR="003171E8">
        <w:rPr>
          <w:rFonts w:asciiTheme="majorBidi" w:hAnsiTheme="majorBidi" w:cstheme="majorBidi"/>
          <w:sz w:val="24"/>
          <w:szCs w:val="24"/>
        </w:rPr>
        <w:t xml:space="preserve"> </w:t>
      </w:r>
      <w:r w:rsidR="00DA537F">
        <w:rPr>
          <w:rFonts w:asciiTheme="majorBidi" w:hAnsiTheme="majorBidi" w:cstheme="majorBidi"/>
          <w:sz w:val="24"/>
          <w:szCs w:val="24"/>
        </w:rPr>
        <w:t xml:space="preserve">in </w:t>
      </w:r>
      <w:r>
        <w:rPr>
          <w:rFonts w:asciiTheme="majorBidi" w:hAnsiTheme="majorBidi" w:cstheme="majorBidi"/>
          <w:sz w:val="24"/>
          <w:szCs w:val="24"/>
        </w:rPr>
        <w:t xml:space="preserve">capturing Nīzak, seem </w:t>
      </w:r>
      <w:r w:rsidR="00011D75">
        <w:rPr>
          <w:rFonts w:asciiTheme="majorBidi" w:hAnsiTheme="majorBidi" w:cstheme="majorBidi"/>
          <w:sz w:val="24"/>
          <w:szCs w:val="24"/>
        </w:rPr>
        <w:t xml:space="preserve">to </w:t>
      </w:r>
      <w:r>
        <w:rPr>
          <w:rFonts w:asciiTheme="majorBidi" w:hAnsiTheme="majorBidi" w:cstheme="majorBidi"/>
          <w:sz w:val="24"/>
          <w:szCs w:val="24"/>
        </w:rPr>
        <w:t>show the existence of tribal feuds between the Turks and the Hephthalites</w:t>
      </w:r>
      <w:r w:rsidR="00D8439E">
        <w:rPr>
          <w:rFonts w:asciiTheme="majorBidi" w:hAnsiTheme="majorBidi" w:cstheme="majorBidi"/>
          <w:sz w:val="24"/>
          <w:szCs w:val="24"/>
        </w:rPr>
        <w:t xml:space="preserve"> in the 700s</w:t>
      </w:r>
      <w:r>
        <w:rPr>
          <w:rFonts w:asciiTheme="majorBidi" w:hAnsiTheme="majorBidi" w:cstheme="majorBidi"/>
          <w:sz w:val="24"/>
          <w:szCs w:val="24"/>
        </w:rPr>
        <w:t>.</w:t>
      </w:r>
    </w:p>
    <w:p w14:paraId="1F2EDF59" w14:textId="2F511F7E" w:rsidR="003171E8" w:rsidRDefault="00397DDE" w:rsidP="002E0AD3">
      <w:pPr>
        <w:spacing w:line="360" w:lineRule="auto"/>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     </w:t>
      </w:r>
      <w:r w:rsidR="007B4365">
        <w:rPr>
          <w:rFonts w:asciiTheme="majorBidi" w:eastAsiaTheme="minorHAnsi" w:hAnsiTheme="majorBidi" w:cstheme="majorBidi"/>
          <w:sz w:val="24"/>
          <w:szCs w:val="24"/>
        </w:rPr>
        <w:t xml:space="preserve">As for the Arab conquerors, they never met a serious </w:t>
      </w:r>
      <w:r w:rsidR="00D8439E">
        <w:rPr>
          <w:rFonts w:asciiTheme="majorBidi" w:eastAsiaTheme="minorHAnsi" w:hAnsiTheme="majorBidi" w:cstheme="majorBidi"/>
          <w:sz w:val="24"/>
          <w:szCs w:val="24"/>
        </w:rPr>
        <w:t>opponent</w:t>
      </w:r>
      <w:r w:rsidR="007B4365">
        <w:rPr>
          <w:rFonts w:asciiTheme="majorBidi" w:eastAsiaTheme="minorHAnsi" w:hAnsiTheme="majorBidi" w:cstheme="majorBidi"/>
          <w:sz w:val="24"/>
          <w:szCs w:val="24"/>
        </w:rPr>
        <w:t xml:space="preserve"> in their expansion in Central Asia b</w:t>
      </w:r>
      <w:r w:rsidR="0032754B">
        <w:rPr>
          <w:rFonts w:asciiTheme="majorBidi" w:eastAsiaTheme="minorHAnsi" w:hAnsiTheme="majorBidi" w:cstheme="majorBidi"/>
          <w:sz w:val="24"/>
          <w:szCs w:val="24"/>
        </w:rPr>
        <w:t xml:space="preserve">efore the Türgesh moving southward to Transoxiana and beyond in </w:t>
      </w:r>
      <w:r w:rsidR="00F967A4">
        <w:rPr>
          <w:rFonts w:asciiTheme="majorBidi" w:eastAsiaTheme="minorHAnsi" w:hAnsiTheme="majorBidi" w:cstheme="majorBidi"/>
          <w:sz w:val="24"/>
          <w:szCs w:val="24"/>
        </w:rPr>
        <w:t xml:space="preserve">the </w:t>
      </w:r>
      <w:r w:rsidR="0032754B">
        <w:rPr>
          <w:rFonts w:asciiTheme="majorBidi" w:eastAsiaTheme="minorHAnsi" w:hAnsiTheme="majorBidi" w:cstheme="majorBidi"/>
          <w:sz w:val="24"/>
          <w:szCs w:val="24"/>
        </w:rPr>
        <w:t xml:space="preserve">720s and </w:t>
      </w:r>
      <w:r w:rsidR="00F967A4">
        <w:rPr>
          <w:rFonts w:asciiTheme="majorBidi" w:eastAsiaTheme="minorHAnsi" w:hAnsiTheme="majorBidi" w:cstheme="majorBidi"/>
          <w:sz w:val="24"/>
          <w:szCs w:val="24"/>
        </w:rPr>
        <w:t xml:space="preserve">the </w:t>
      </w:r>
      <w:r w:rsidR="0032754B">
        <w:rPr>
          <w:rFonts w:asciiTheme="majorBidi" w:eastAsiaTheme="minorHAnsi" w:hAnsiTheme="majorBidi" w:cstheme="majorBidi"/>
          <w:sz w:val="24"/>
          <w:szCs w:val="24"/>
        </w:rPr>
        <w:t>730s.</w:t>
      </w:r>
      <w:r w:rsidR="0032754B">
        <w:rPr>
          <w:rStyle w:val="FootnoteReference"/>
          <w:rFonts w:asciiTheme="majorBidi" w:eastAsiaTheme="minorHAnsi" w:hAnsiTheme="majorBidi" w:cstheme="majorBidi"/>
          <w:sz w:val="24"/>
          <w:szCs w:val="24"/>
        </w:rPr>
        <w:footnoteReference w:id="283"/>
      </w:r>
      <w:r w:rsidR="0032754B">
        <w:rPr>
          <w:rFonts w:asciiTheme="majorBidi" w:eastAsiaTheme="minorHAnsi" w:hAnsiTheme="majorBidi" w:cstheme="majorBidi"/>
          <w:sz w:val="24"/>
          <w:szCs w:val="24"/>
        </w:rPr>
        <w:t xml:space="preserve"> W</w:t>
      </w:r>
      <w:r w:rsidR="003171E8">
        <w:rPr>
          <w:rFonts w:asciiTheme="majorBidi" w:eastAsiaTheme="minorHAnsi" w:hAnsiTheme="majorBidi" w:cstheme="majorBidi"/>
          <w:sz w:val="24"/>
          <w:szCs w:val="24"/>
        </w:rPr>
        <w:t xml:space="preserve">ithout foreign military assistance and molested by tribal feuds, it </w:t>
      </w:r>
      <w:r w:rsidR="00020182">
        <w:rPr>
          <w:rFonts w:asciiTheme="majorBidi" w:eastAsiaTheme="minorHAnsi" w:hAnsiTheme="majorBidi" w:cstheme="majorBidi"/>
          <w:sz w:val="24"/>
          <w:szCs w:val="24"/>
        </w:rPr>
        <w:t>could have been expected</w:t>
      </w:r>
      <w:r w:rsidR="003171E8">
        <w:rPr>
          <w:rFonts w:asciiTheme="majorBidi" w:eastAsiaTheme="minorHAnsi" w:hAnsiTheme="majorBidi" w:cstheme="majorBidi"/>
          <w:sz w:val="24"/>
          <w:szCs w:val="24"/>
        </w:rPr>
        <w:t xml:space="preserve"> that </w:t>
      </w:r>
      <w:r w:rsidR="003171E8" w:rsidRPr="00C43B5F">
        <w:rPr>
          <w:rFonts w:asciiTheme="majorBidi" w:hAnsiTheme="majorBidi" w:cstheme="majorBidi"/>
          <w:sz w:val="24"/>
          <w:szCs w:val="24"/>
        </w:rPr>
        <w:t>Ṭukhāristān</w:t>
      </w:r>
      <w:r w:rsidR="003171E8">
        <w:rPr>
          <w:rFonts w:asciiTheme="majorBidi" w:eastAsiaTheme="minorHAnsi" w:hAnsiTheme="majorBidi" w:cstheme="majorBidi"/>
          <w:sz w:val="24"/>
          <w:szCs w:val="24"/>
        </w:rPr>
        <w:t xml:space="preserve"> would be conquered in an easier way by the Arab</w:t>
      </w:r>
      <w:r w:rsidR="00020182">
        <w:rPr>
          <w:rFonts w:asciiTheme="majorBidi" w:eastAsiaTheme="minorHAnsi" w:hAnsiTheme="majorBidi" w:cstheme="majorBidi"/>
          <w:sz w:val="24"/>
          <w:szCs w:val="24"/>
        </w:rPr>
        <w:t>s</w:t>
      </w:r>
      <w:r w:rsidR="003171E8">
        <w:rPr>
          <w:rFonts w:asciiTheme="majorBidi" w:eastAsiaTheme="minorHAnsi" w:hAnsiTheme="majorBidi" w:cstheme="majorBidi"/>
          <w:sz w:val="24"/>
          <w:szCs w:val="24"/>
        </w:rPr>
        <w:t xml:space="preserve"> </w:t>
      </w:r>
      <w:r w:rsidR="00D8439E">
        <w:rPr>
          <w:rFonts w:asciiTheme="majorBidi" w:eastAsiaTheme="minorHAnsi" w:hAnsiTheme="majorBidi" w:cstheme="majorBidi"/>
          <w:sz w:val="24"/>
          <w:szCs w:val="24"/>
        </w:rPr>
        <w:t>under the capable leader Qutayba</w:t>
      </w:r>
      <w:r w:rsidR="003171E8">
        <w:rPr>
          <w:rFonts w:asciiTheme="majorBidi" w:eastAsiaTheme="minorHAnsi" w:hAnsiTheme="majorBidi" w:cstheme="majorBidi"/>
          <w:sz w:val="24"/>
          <w:szCs w:val="24"/>
        </w:rPr>
        <w:t xml:space="preserve">, </w:t>
      </w:r>
      <w:r w:rsidR="00D8439E">
        <w:rPr>
          <w:rFonts w:asciiTheme="majorBidi" w:eastAsiaTheme="minorHAnsi" w:hAnsiTheme="majorBidi" w:cstheme="majorBidi"/>
          <w:sz w:val="24"/>
          <w:szCs w:val="24"/>
        </w:rPr>
        <w:t>since the Umayyad government both provide</w:t>
      </w:r>
      <w:r w:rsidR="00184B61">
        <w:rPr>
          <w:rFonts w:asciiTheme="majorBidi" w:eastAsiaTheme="minorHAnsi" w:hAnsiTheme="majorBidi" w:cstheme="majorBidi"/>
          <w:sz w:val="24"/>
          <w:szCs w:val="24"/>
        </w:rPr>
        <w:t>d</w:t>
      </w:r>
      <w:r w:rsidR="00D8439E">
        <w:rPr>
          <w:rFonts w:asciiTheme="majorBidi" w:eastAsiaTheme="minorHAnsi" w:hAnsiTheme="majorBidi" w:cstheme="majorBidi"/>
          <w:sz w:val="24"/>
          <w:szCs w:val="24"/>
        </w:rPr>
        <w:t xml:space="preserve"> external</w:t>
      </w:r>
      <w:r w:rsidR="0094283D">
        <w:rPr>
          <w:rFonts w:asciiTheme="majorBidi" w:eastAsiaTheme="minorHAnsi" w:hAnsiTheme="majorBidi" w:cstheme="majorBidi"/>
          <w:sz w:val="24"/>
          <w:szCs w:val="24"/>
        </w:rPr>
        <w:t xml:space="preserve"> reinforcements </w:t>
      </w:r>
      <w:r w:rsidR="00D8439E">
        <w:rPr>
          <w:rFonts w:asciiTheme="majorBidi" w:eastAsiaTheme="minorHAnsi" w:hAnsiTheme="majorBidi" w:cstheme="majorBidi"/>
          <w:sz w:val="24"/>
          <w:szCs w:val="24"/>
        </w:rPr>
        <w:t>to the Arabs in Khurasan and checked the tribal faction</w:t>
      </w:r>
      <w:r w:rsidR="00184B61">
        <w:rPr>
          <w:rFonts w:asciiTheme="majorBidi" w:eastAsiaTheme="minorHAnsi" w:hAnsiTheme="majorBidi" w:cstheme="majorBidi"/>
          <w:sz w:val="24"/>
          <w:szCs w:val="24"/>
        </w:rPr>
        <w:t>s</w:t>
      </w:r>
      <w:r w:rsidR="00F3527E">
        <w:rPr>
          <w:rFonts w:asciiTheme="majorBidi" w:eastAsiaTheme="minorHAnsi" w:hAnsiTheme="majorBidi" w:cstheme="majorBidi"/>
          <w:sz w:val="24"/>
          <w:szCs w:val="24"/>
        </w:rPr>
        <w:t xml:space="preserve"> of the Arabs</w:t>
      </w:r>
      <w:r w:rsidR="003171E8">
        <w:rPr>
          <w:rFonts w:asciiTheme="majorBidi" w:eastAsiaTheme="minorHAnsi" w:hAnsiTheme="majorBidi" w:cstheme="majorBidi"/>
          <w:sz w:val="24"/>
          <w:szCs w:val="24"/>
        </w:rPr>
        <w:t>.</w:t>
      </w:r>
    </w:p>
    <w:p w14:paraId="4D3B757C" w14:textId="66BDDB4E" w:rsidR="00D44BB8" w:rsidRDefault="003171E8" w:rsidP="00D44BB8">
      <w:pPr>
        <w:spacing w:line="360" w:lineRule="auto"/>
        <w:rPr>
          <w:rFonts w:asciiTheme="majorBidi" w:eastAsiaTheme="minorHAnsi" w:hAnsiTheme="majorBidi" w:cstheme="majorBidi"/>
          <w:sz w:val="24"/>
          <w:szCs w:val="24"/>
        </w:rPr>
      </w:pPr>
      <w:r>
        <w:rPr>
          <w:rFonts w:asciiTheme="majorBidi" w:eastAsiaTheme="minorHAnsi" w:hAnsiTheme="majorBidi" w:cstheme="majorBidi"/>
          <w:sz w:val="24"/>
          <w:szCs w:val="24"/>
        </w:rPr>
        <w:lastRenderedPageBreak/>
        <w:t xml:space="preserve">     </w:t>
      </w:r>
      <w:r w:rsidR="007B4365">
        <w:rPr>
          <w:rFonts w:asciiTheme="majorBidi" w:eastAsiaTheme="minorHAnsi" w:hAnsiTheme="majorBidi" w:cstheme="majorBidi"/>
          <w:sz w:val="24"/>
          <w:szCs w:val="24"/>
        </w:rPr>
        <w:t xml:space="preserve">The Sasanian successor Pērōz sought refuge in the Yabghū </w:t>
      </w:r>
      <w:r w:rsidR="00C018BD">
        <w:rPr>
          <w:rFonts w:asciiTheme="majorBidi" w:eastAsiaTheme="minorHAnsi" w:hAnsiTheme="majorBidi" w:cstheme="majorBidi"/>
          <w:sz w:val="24"/>
          <w:szCs w:val="24"/>
        </w:rPr>
        <w:t>Wu-shi-bo</w:t>
      </w:r>
      <w:r w:rsidR="007B4365">
        <w:rPr>
          <w:rFonts w:asciiTheme="majorBidi" w:eastAsiaTheme="minorHAnsi" w:hAnsiTheme="majorBidi" w:cstheme="majorBidi"/>
          <w:sz w:val="24"/>
          <w:szCs w:val="24"/>
        </w:rPr>
        <w:t xml:space="preserve">’s court and </w:t>
      </w:r>
      <w:r w:rsidR="00BD630B">
        <w:rPr>
          <w:rFonts w:asciiTheme="majorBidi" w:hAnsiTheme="majorBidi" w:cstheme="majorBidi"/>
          <w:sz w:val="24"/>
          <w:szCs w:val="24"/>
        </w:rPr>
        <w:t xml:space="preserve">was able to return to Sīstān with the assistance of the Yabghū when the Arabs retreated </w:t>
      </w:r>
      <w:r w:rsidR="00F3527E">
        <w:rPr>
          <w:rFonts w:asciiTheme="majorBidi" w:hAnsiTheme="majorBidi" w:cstheme="majorBidi"/>
          <w:sz w:val="24"/>
          <w:szCs w:val="24"/>
        </w:rPr>
        <w:t xml:space="preserve">from </w:t>
      </w:r>
      <w:r w:rsidR="00BD630B">
        <w:rPr>
          <w:rFonts w:asciiTheme="majorBidi" w:hAnsiTheme="majorBidi" w:cstheme="majorBidi"/>
          <w:sz w:val="24"/>
          <w:szCs w:val="24"/>
        </w:rPr>
        <w:t>the eastern frontiers during the First Fitna</w:t>
      </w:r>
      <w:r w:rsidR="007B4365">
        <w:rPr>
          <w:rFonts w:asciiTheme="majorBidi" w:eastAsiaTheme="minorHAnsi" w:hAnsiTheme="majorBidi" w:cstheme="majorBidi"/>
          <w:sz w:val="24"/>
          <w:szCs w:val="24"/>
        </w:rPr>
        <w:t>.</w:t>
      </w:r>
      <w:r w:rsidR="00C018BD">
        <w:rPr>
          <w:rFonts w:asciiTheme="majorBidi" w:eastAsiaTheme="minorHAnsi" w:hAnsiTheme="majorBidi" w:cstheme="majorBidi"/>
          <w:sz w:val="24"/>
          <w:szCs w:val="24"/>
        </w:rPr>
        <w:t xml:space="preserve"> </w:t>
      </w:r>
      <w:r w:rsidR="00DA5230">
        <w:rPr>
          <w:rFonts w:asciiTheme="majorBidi" w:eastAsiaTheme="minorHAnsi" w:hAnsiTheme="majorBidi" w:cstheme="majorBidi"/>
          <w:sz w:val="24"/>
          <w:szCs w:val="24"/>
        </w:rPr>
        <w:t xml:space="preserve">He played but a minor role in the rebellion because the local rulers would not hand over power to him. And </w:t>
      </w:r>
      <w:r w:rsidR="007B4365">
        <w:rPr>
          <w:rFonts w:asciiTheme="majorBidi" w:eastAsiaTheme="minorHAnsi" w:hAnsiTheme="majorBidi" w:cstheme="majorBidi"/>
          <w:sz w:val="24"/>
          <w:szCs w:val="24"/>
        </w:rPr>
        <w:t>he w</w:t>
      </w:r>
      <w:r w:rsidR="00C018BD">
        <w:rPr>
          <w:rFonts w:asciiTheme="majorBidi" w:eastAsiaTheme="minorHAnsi" w:hAnsiTheme="majorBidi" w:cstheme="majorBidi"/>
          <w:sz w:val="24"/>
          <w:szCs w:val="24"/>
        </w:rPr>
        <w:t xml:space="preserve">as no more than a </w:t>
      </w:r>
      <w:r w:rsidR="00776424">
        <w:rPr>
          <w:rFonts w:asciiTheme="majorBidi" w:eastAsiaTheme="minorHAnsi" w:hAnsiTheme="majorBidi" w:cstheme="majorBidi"/>
          <w:sz w:val="24"/>
          <w:szCs w:val="24"/>
        </w:rPr>
        <w:t>prominent</w:t>
      </w:r>
      <w:r w:rsidR="00C018BD">
        <w:rPr>
          <w:rFonts w:asciiTheme="majorBidi" w:eastAsiaTheme="minorHAnsi" w:hAnsiTheme="majorBidi" w:cstheme="majorBidi"/>
          <w:sz w:val="24"/>
          <w:szCs w:val="24"/>
        </w:rPr>
        <w:t xml:space="preserve"> fugitive</w:t>
      </w:r>
      <w:r w:rsidR="00DA5230">
        <w:rPr>
          <w:rFonts w:asciiTheme="majorBidi" w:eastAsiaTheme="minorHAnsi" w:hAnsiTheme="majorBidi" w:cstheme="majorBidi"/>
          <w:sz w:val="24"/>
          <w:szCs w:val="24"/>
        </w:rPr>
        <w:t xml:space="preserve"> in </w:t>
      </w:r>
      <w:r w:rsidR="00DA5230">
        <w:rPr>
          <w:rFonts w:asciiTheme="majorBidi" w:hAnsiTheme="majorBidi" w:cstheme="majorBidi"/>
          <w:sz w:val="24"/>
          <w:szCs w:val="24"/>
        </w:rPr>
        <w:t xml:space="preserve">Ṭukhāristān </w:t>
      </w:r>
      <w:r w:rsidR="00DA5230">
        <w:rPr>
          <w:rFonts w:asciiTheme="majorBidi" w:eastAsiaTheme="minorHAnsi" w:hAnsiTheme="majorBidi" w:cstheme="majorBidi"/>
          <w:sz w:val="24"/>
          <w:szCs w:val="24"/>
        </w:rPr>
        <w:t>without base for manpower and financial income.</w:t>
      </w:r>
      <w:r w:rsidR="00DA5230">
        <w:rPr>
          <w:rStyle w:val="FootnoteReference"/>
          <w:rFonts w:asciiTheme="majorBidi" w:eastAsiaTheme="minorHAnsi" w:hAnsiTheme="majorBidi" w:cstheme="majorBidi"/>
          <w:sz w:val="24"/>
          <w:szCs w:val="24"/>
        </w:rPr>
        <w:footnoteReference w:id="284"/>
      </w:r>
      <w:r w:rsidR="00DA537F">
        <w:rPr>
          <w:rFonts w:asciiTheme="majorBidi" w:eastAsiaTheme="minorHAnsi" w:hAnsiTheme="majorBidi" w:cstheme="majorBidi"/>
          <w:sz w:val="24"/>
          <w:szCs w:val="24"/>
        </w:rPr>
        <w:t xml:space="preserve"> </w:t>
      </w:r>
      <w:r w:rsidR="00DA5230">
        <w:rPr>
          <w:rFonts w:asciiTheme="majorBidi" w:eastAsiaTheme="minorHAnsi" w:hAnsiTheme="majorBidi" w:cstheme="majorBidi"/>
          <w:sz w:val="24"/>
          <w:szCs w:val="24"/>
        </w:rPr>
        <w:t xml:space="preserve">He had to depend on the Turks, </w:t>
      </w:r>
      <w:r w:rsidR="00DA537F">
        <w:rPr>
          <w:rFonts w:asciiTheme="majorBidi" w:eastAsiaTheme="minorHAnsi" w:hAnsiTheme="majorBidi" w:cstheme="majorBidi"/>
          <w:sz w:val="24"/>
          <w:szCs w:val="24"/>
        </w:rPr>
        <w:t xml:space="preserve">and </w:t>
      </w:r>
      <w:r w:rsidR="00FE11C0">
        <w:rPr>
          <w:rFonts w:asciiTheme="majorBidi" w:eastAsiaTheme="minorHAnsi" w:hAnsiTheme="majorBidi" w:cstheme="majorBidi"/>
          <w:sz w:val="24"/>
          <w:szCs w:val="24"/>
        </w:rPr>
        <w:t>was not active at all</w:t>
      </w:r>
      <w:r w:rsidR="00DA537F">
        <w:rPr>
          <w:rFonts w:asciiTheme="majorBidi" w:eastAsiaTheme="minorHAnsi" w:hAnsiTheme="majorBidi" w:cstheme="majorBidi"/>
          <w:sz w:val="24"/>
          <w:szCs w:val="24"/>
        </w:rPr>
        <w:t xml:space="preserve"> in fighting the Arabs</w:t>
      </w:r>
      <w:r w:rsidR="00D632D3">
        <w:rPr>
          <w:rFonts w:asciiTheme="majorBidi" w:eastAsiaTheme="minorHAnsi" w:hAnsiTheme="majorBidi" w:cstheme="majorBidi"/>
          <w:sz w:val="24"/>
          <w:szCs w:val="24"/>
        </w:rPr>
        <w:t>.</w:t>
      </w:r>
      <w:r w:rsidR="00A0622D">
        <w:rPr>
          <w:rFonts w:asciiTheme="majorBidi" w:eastAsiaTheme="minorHAnsi" w:hAnsiTheme="majorBidi" w:cstheme="majorBidi"/>
          <w:sz w:val="24"/>
          <w:szCs w:val="24"/>
        </w:rPr>
        <w:t xml:space="preserve"> His attempts to restore the dynasty </w:t>
      </w:r>
      <w:r w:rsidR="00184B61">
        <w:rPr>
          <w:rFonts w:asciiTheme="majorBidi" w:eastAsiaTheme="minorHAnsi" w:hAnsiTheme="majorBidi" w:cstheme="majorBidi"/>
          <w:sz w:val="24"/>
          <w:szCs w:val="24"/>
        </w:rPr>
        <w:t>are</w:t>
      </w:r>
      <w:r w:rsidR="00A0622D">
        <w:rPr>
          <w:rFonts w:asciiTheme="majorBidi" w:eastAsiaTheme="minorHAnsi" w:hAnsiTheme="majorBidi" w:cstheme="majorBidi"/>
          <w:sz w:val="24"/>
          <w:szCs w:val="24"/>
        </w:rPr>
        <w:t xml:space="preserve"> expected to be fruitless. </w:t>
      </w:r>
      <w:r w:rsidR="00F3527E">
        <w:rPr>
          <w:rFonts w:asciiTheme="majorBidi" w:eastAsiaTheme="minorHAnsi" w:hAnsiTheme="majorBidi" w:cstheme="majorBidi"/>
          <w:sz w:val="24"/>
          <w:szCs w:val="24"/>
        </w:rPr>
        <w:t>This is clearly shown by the absence of his name in t</w:t>
      </w:r>
      <w:r w:rsidR="00A0622D">
        <w:rPr>
          <w:rFonts w:asciiTheme="majorBidi" w:eastAsiaTheme="minorHAnsi" w:hAnsiTheme="majorBidi" w:cstheme="majorBidi"/>
          <w:sz w:val="24"/>
          <w:szCs w:val="24"/>
        </w:rPr>
        <w:t>he Muslim sources</w:t>
      </w:r>
      <w:r w:rsidR="00821ACF">
        <w:rPr>
          <w:rFonts w:asciiTheme="majorBidi" w:eastAsiaTheme="minorHAnsi" w:hAnsiTheme="majorBidi" w:cstheme="majorBidi"/>
          <w:sz w:val="24"/>
          <w:szCs w:val="24"/>
        </w:rPr>
        <w:t>.</w:t>
      </w:r>
    </w:p>
    <w:p w14:paraId="2142E0B9" w14:textId="57907500" w:rsidR="00D44BB8" w:rsidRPr="002A5453" w:rsidRDefault="00D44BB8" w:rsidP="00D44BB8">
      <w:pPr>
        <w:spacing w:line="360" w:lineRule="auto"/>
        <w:rPr>
          <w:rFonts w:asciiTheme="majorBidi" w:hAnsiTheme="majorBidi" w:cstheme="majorBidi"/>
          <w:sz w:val="24"/>
          <w:szCs w:val="24"/>
        </w:rPr>
      </w:pPr>
      <w:r w:rsidRPr="002A5453">
        <w:rPr>
          <w:rFonts w:asciiTheme="majorBidi" w:eastAsiaTheme="minorHAnsi" w:hAnsiTheme="majorBidi" w:cstheme="majorBidi"/>
          <w:sz w:val="24"/>
          <w:szCs w:val="24"/>
        </w:rPr>
        <w:t xml:space="preserve">     </w:t>
      </w:r>
      <w:r w:rsidR="00FD6D02" w:rsidRPr="002A5453">
        <w:rPr>
          <w:rFonts w:asciiTheme="majorBidi" w:eastAsiaTheme="minorHAnsi" w:hAnsiTheme="majorBidi" w:cstheme="majorBidi"/>
          <w:sz w:val="24"/>
          <w:szCs w:val="24"/>
        </w:rPr>
        <w:t>As his father, Narseh attempted to restore the dynasty in vain</w:t>
      </w:r>
      <w:r w:rsidR="00DF42E9" w:rsidRPr="002A5453">
        <w:rPr>
          <w:rFonts w:asciiTheme="majorBidi" w:eastAsiaTheme="minorHAnsi" w:hAnsiTheme="majorBidi" w:cstheme="majorBidi"/>
          <w:sz w:val="24"/>
          <w:szCs w:val="24"/>
        </w:rPr>
        <w:t>.</w:t>
      </w:r>
      <w:r w:rsidR="00FD6D02" w:rsidRPr="002A5453">
        <w:rPr>
          <w:rFonts w:asciiTheme="majorBidi" w:eastAsiaTheme="minorHAnsi" w:hAnsiTheme="majorBidi" w:cstheme="majorBidi"/>
          <w:sz w:val="24"/>
          <w:szCs w:val="24"/>
        </w:rPr>
        <w:t xml:space="preserve"> </w:t>
      </w:r>
      <w:r w:rsidR="00DF42E9" w:rsidRPr="002A5453">
        <w:rPr>
          <w:rFonts w:asciiTheme="majorBidi" w:eastAsiaTheme="minorHAnsi" w:hAnsiTheme="majorBidi" w:cstheme="majorBidi"/>
          <w:sz w:val="24"/>
          <w:szCs w:val="24"/>
        </w:rPr>
        <w:t xml:space="preserve">When the Yabghū </w:t>
      </w:r>
      <w:r w:rsidR="00722AB9" w:rsidRPr="002A5453">
        <w:rPr>
          <w:rFonts w:asciiTheme="majorBidi" w:eastAsiaTheme="minorHAnsi" w:hAnsiTheme="majorBidi" w:cstheme="majorBidi"/>
          <w:sz w:val="24"/>
          <w:szCs w:val="24"/>
        </w:rPr>
        <w:t>D</w:t>
      </w:r>
      <w:r w:rsidR="00DF42E9" w:rsidRPr="002A5453">
        <w:rPr>
          <w:rFonts w:asciiTheme="majorBidi" w:eastAsiaTheme="minorHAnsi" w:hAnsiTheme="majorBidi" w:cstheme="majorBidi"/>
          <w:sz w:val="24"/>
          <w:szCs w:val="24"/>
        </w:rPr>
        <w:t xml:space="preserve">u-ni-li </w:t>
      </w:r>
      <w:r w:rsidR="00DF42E9" w:rsidRPr="002A5453">
        <w:rPr>
          <w:rFonts w:asciiTheme="majorBidi" w:hAnsiTheme="majorBidi" w:cstheme="majorBidi"/>
          <w:sz w:val="24"/>
          <w:szCs w:val="24"/>
        </w:rPr>
        <w:t>had to succumb to the pressure of the Ara</w:t>
      </w:r>
      <w:r w:rsidR="00DA5230">
        <w:rPr>
          <w:rFonts w:asciiTheme="majorBidi" w:hAnsiTheme="majorBidi" w:cstheme="majorBidi"/>
          <w:sz w:val="24"/>
          <w:szCs w:val="24"/>
        </w:rPr>
        <w:t>bs when Qutayba arrived at Khurasan in 705 CE</w:t>
      </w:r>
      <w:r w:rsidR="002A5453">
        <w:rPr>
          <w:rFonts w:asciiTheme="majorBidi" w:hAnsiTheme="majorBidi" w:cstheme="majorBidi"/>
          <w:sz w:val="24"/>
          <w:szCs w:val="24"/>
        </w:rPr>
        <w:t xml:space="preserve">, he had to leave Huoguo and </w:t>
      </w:r>
      <w:r w:rsidR="00EF131C">
        <w:rPr>
          <w:rFonts w:asciiTheme="majorBidi" w:hAnsiTheme="majorBidi" w:cstheme="majorBidi"/>
          <w:sz w:val="24"/>
          <w:szCs w:val="24"/>
        </w:rPr>
        <w:t>search</w:t>
      </w:r>
      <w:r w:rsidR="002A5453">
        <w:rPr>
          <w:rFonts w:asciiTheme="majorBidi" w:hAnsiTheme="majorBidi" w:cstheme="majorBidi"/>
          <w:sz w:val="24"/>
          <w:szCs w:val="24"/>
        </w:rPr>
        <w:t xml:space="preserve"> for a new refuge. </w:t>
      </w:r>
      <w:r w:rsidR="00D67D60">
        <w:rPr>
          <w:rFonts w:asciiTheme="majorBidi" w:hAnsiTheme="majorBidi" w:cstheme="majorBidi"/>
          <w:sz w:val="24"/>
          <w:szCs w:val="24"/>
        </w:rPr>
        <w:t xml:space="preserve">The political power of the Tang convinced him to flee </w:t>
      </w:r>
      <w:r w:rsidR="00FD6D02" w:rsidRPr="002A5453">
        <w:rPr>
          <w:rFonts w:asciiTheme="majorBidi" w:eastAsiaTheme="minorHAnsi" w:hAnsiTheme="majorBidi" w:cstheme="majorBidi"/>
          <w:sz w:val="24"/>
          <w:szCs w:val="24"/>
        </w:rPr>
        <w:t xml:space="preserve">to the Tang court, </w:t>
      </w:r>
      <w:r w:rsidR="002A5453">
        <w:rPr>
          <w:rFonts w:asciiTheme="majorBidi" w:eastAsiaTheme="minorHAnsi" w:hAnsiTheme="majorBidi" w:cstheme="majorBidi"/>
          <w:sz w:val="24"/>
          <w:szCs w:val="24"/>
        </w:rPr>
        <w:t>with the remaining</w:t>
      </w:r>
      <w:r w:rsidR="00DF42E9" w:rsidRPr="002A5453">
        <w:rPr>
          <w:rFonts w:asciiTheme="majorBidi" w:hAnsiTheme="majorBidi" w:cstheme="majorBidi"/>
          <w:sz w:val="24"/>
          <w:szCs w:val="24"/>
        </w:rPr>
        <w:t xml:space="preserve"> Sasanian royal members further scatter</w:t>
      </w:r>
      <w:r w:rsidR="002A5453">
        <w:rPr>
          <w:rFonts w:asciiTheme="majorBidi" w:hAnsiTheme="majorBidi" w:cstheme="majorBidi"/>
          <w:sz w:val="24"/>
          <w:szCs w:val="24"/>
        </w:rPr>
        <w:t>ing</w:t>
      </w:r>
      <w:r w:rsidR="00DF42E9" w:rsidRPr="002A5453">
        <w:rPr>
          <w:rFonts w:asciiTheme="majorBidi" w:hAnsiTheme="majorBidi" w:cstheme="majorBidi"/>
          <w:sz w:val="24"/>
          <w:szCs w:val="24"/>
        </w:rPr>
        <w:t xml:space="preserve"> to the north of the Oxus, to the south of the Hindukush.</w:t>
      </w:r>
    </w:p>
    <w:p w14:paraId="13A03ECC" w14:textId="1EDF6067" w:rsidR="00502A0D" w:rsidRPr="00D44BB8" w:rsidRDefault="00D44BB8" w:rsidP="00D44BB8">
      <w:pPr>
        <w:spacing w:line="360" w:lineRule="auto"/>
        <w:rPr>
          <w:rFonts w:asciiTheme="majorBidi" w:eastAsiaTheme="minorHAnsi" w:hAnsiTheme="majorBidi" w:cstheme="majorBidi"/>
          <w:sz w:val="24"/>
          <w:szCs w:val="24"/>
        </w:rPr>
      </w:pPr>
      <w:r>
        <w:rPr>
          <w:rFonts w:asciiTheme="majorBidi" w:hAnsiTheme="majorBidi" w:cstheme="majorBidi"/>
          <w:sz w:val="24"/>
          <w:szCs w:val="24"/>
        </w:rPr>
        <w:t xml:space="preserve">     </w:t>
      </w:r>
      <w:r w:rsidR="00D67D60">
        <w:rPr>
          <w:rFonts w:asciiTheme="majorBidi" w:hAnsiTheme="majorBidi" w:cstheme="majorBidi"/>
          <w:sz w:val="24"/>
          <w:szCs w:val="24"/>
        </w:rPr>
        <w:t xml:space="preserve">Although the political power of the Tang was the major reason </w:t>
      </w:r>
      <w:r w:rsidR="00DF42E9">
        <w:rPr>
          <w:rFonts w:asciiTheme="majorBidi" w:hAnsiTheme="majorBidi" w:cstheme="majorBidi"/>
          <w:sz w:val="24"/>
          <w:szCs w:val="24"/>
        </w:rPr>
        <w:t xml:space="preserve">behind </w:t>
      </w:r>
      <w:r w:rsidR="00DF42E9">
        <w:rPr>
          <w:rFonts w:asciiTheme="majorBidi" w:eastAsiaTheme="minorHAnsi" w:hAnsiTheme="majorBidi" w:cstheme="majorBidi"/>
          <w:sz w:val="24"/>
          <w:szCs w:val="24"/>
        </w:rPr>
        <w:t>Pērōz and Narseh’s fleeing to China</w:t>
      </w:r>
      <w:r w:rsidR="00A50C59">
        <w:rPr>
          <w:rFonts w:asciiTheme="majorBidi" w:eastAsiaTheme="minorHAnsi" w:hAnsiTheme="majorBidi" w:cstheme="majorBidi"/>
          <w:sz w:val="24"/>
          <w:szCs w:val="24"/>
        </w:rPr>
        <w:t xml:space="preserve">, </w:t>
      </w:r>
      <w:r w:rsidR="00D67D60">
        <w:rPr>
          <w:rFonts w:asciiTheme="majorBidi" w:eastAsiaTheme="minorHAnsi" w:hAnsiTheme="majorBidi" w:cstheme="majorBidi"/>
          <w:sz w:val="24"/>
          <w:szCs w:val="24"/>
        </w:rPr>
        <w:t xml:space="preserve">other reasons also played a role, </w:t>
      </w:r>
      <w:r w:rsidR="00A50C59">
        <w:rPr>
          <w:rFonts w:asciiTheme="majorBidi" w:eastAsiaTheme="minorHAnsi" w:hAnsiTheme="majorBidi" w:cstheme="majorBidi"/>
          <w:sz w:val="24"/>
          <w:szCs w:val="24"/>
        </w:rPr>
        <w:t>including the existence of the Sasanian fugitive nobles and prosperous and rich communities</w:t>
      </w:r>
      <w:r w:rsidR="00A50C59">
        <w:rPr>
          <w:rFonts w:asciiTheme="majorBidi" w:hAnsiTheme="majorBidi" w:cstheme="majorBidi"/>
          <w:sz w:val="24"/>
          <w:szCs w:val="24"/>
        </w:rPr>
        <w:t xml:space="preserve"> of </w:t>
      </w:r>
      <w:r w:rsidR="00A50C59">
        <w:rPr>
          <w:rFonts w:asciiTheme="majorBidi" w:eastAsiaTheme="minorHAnsi" w:hAnsiTheme="majorBidi" w:cstheme="majorBidi"/>
          <w:sz w:val="24"/>
          <w:szCs w:val="24"/>
        </w:rPr>
        <w:t xml:space="preserve">Persian merchants as a result of the flourishing of the maritime trade between China and the Persian Gulf, and the allowances that the Tang court granted the foreign princes and emissaries in their staying in the capital and so on. </w:t>
      </w:r>
      <w:r w:rsidR="00D67D60">
        <w:rPr>
          <w:rFonts w:asciiTheme="majorBidi" w:eastAsiaTheme="minorHAnsi" w:hAnsiTheme="majorBidi" w:cstheme="majorBidi"/>
          <w:sz w:val="24"/>
          <w:szCs w:val="24"/>
        </w:rPr>
        <w:t>A</w:t>
      </w:r>
      <w:r w:rsidR="00A50C59">
        <w:rPr>
          <w:rFonts w:asciiTheme="majorBidi" w:eastAsiaTheme="minorHAnsi" w:hAnsiTheme="majorBidi" w:cstheme="majorBidi"/>
          <w:sz w:val="24"/>
          <w:szCs w:val="24"/>
        </w:rPr>
        <w:t xml:space="preserve">lthough the later </w:t>
      </w:r>
      <w:r w:rsidR="00DF42E9">
        <w:rPr>
          <w:rFonts w:asciiTheme="majorBidi" w:eastAsiaTheme="minorHAnsi" w:hAnsiTheme="majorBidi" w:cstheme="majorBidi"/>
          <w:sz w:val="24"/>
          <w:szCs w:val="24"/>
        </w:rPr>
        <w:t xml:space="preserve">started to exert its </w:t>
      </w:r>
      <w:r>
        <w:rPr>
          <w:rFonts w:asciiTheme="majorBidi" w:eastAsiaTheme="minorHAnsi" w:hAnsiTheme="majorBidi" w:cstheme="majorBidi"/>
          <w:sz w:val="24"/>
          <w:szCs w:val="24"/>
        </w:rPr>
        <w:t>influence</w:t>
      </w:r>
      <w:r w:rsidR="00DF42E9">
        <w:rPr>
          <w:rFonts w:asciiTheme="majorBidi" w:eastAsiaTheme="minorHAnsi" w:hAnsiTheme="majorBidi" w:cstheme="majorBidi"/>
          <w:sz w:val="24"/>
          <w:szCs w:val="24"/>
        </w:rPr>
        <w:t xml:space="preserve"> in Central Asia</w:t>
      </w:r>
      <w:r w:rsidR="00A50C59" w:rsidRPr="00A50C59">
        <w:rPr>
          <w:rFonts w:asciiTheme="majorBidi" w:eastAsiaTheme="minorHAnsi" w:hAnsiTheme="majorBidi" w:cstheme="majorBidi"/>
          <w:sz w:val="24"/>
          <w:szCs w:val="24"/>
        </w:rPr>
        <w:t xml:space="preserve"> </w:t>
      </w:r>
      <w:r w:rsidR="00A50C59">
        <w:rPr>
          <w:rFonts w:asciiTheme="majorBidi" w:eastAsiaTheme="minorHAnsi" w:hAnsiTheme="majorBidi" w:cstheme="majorBidi"/>
          <w:sz w:val="24"/>
          <w:szCs w:val="24"/>
        </w:rPr>
        <w:t>in the 7</w:t>
      </w:r>
      <w:r w:rsidR="00A50C59" w:rsidRPr="002A5453">
        <w:rPr>
          <w:rFonts w:asciiTheme="majorBidi" w:eastAsiaTheme="minorHAnsi" w:hAnsiTheme="majorBidi" w:cstheme="majorBidi"/>
          <w:sz w:val="24"/>
          <w:szCs w:val="24"/>
          <w:vertAlign w:val="superscript"/>
        </w:rPr>
        <w:t>th</w:t>
      </w:r>
      <w:r w:rsidR="00A50C59">
        <w:rPr>
          <w:rFonts w:asciiTheme="majorBidi" w:eastAsiaTheme="minorHAnsi" w:hAnsiTheme="majorBidi" w:cstheme="majorBidi"/>
          <w:sz w:val="24"/>
          <w:szCs w:val="24"/>
        </w:rPr>
        <w:t xml:space="preserve"> century and the early 8</w:t>
      </w:r>
      <w:r w:rsidR="00A50C59" w:rsidRPr="002A5453">
        <w:rPr>
          <w:rFonts w:asciiTheme="majorBidi" w:eastAsiaTheme="minorHAnsi" w:hAnsiTheme="majorBidi" w:cstheme="majorBidi"/>
          <w:sz w:val="24"/>
          <w:szCs w:val="24"/>
          <w:vertAlign w:val="superscript"/>
        </w:rPr>
        <w:t>th</w:t>
      </w:r>
      <w:r w:rsidR="00A50C59">
        <w:rPr>
          <w:rFonts w:asciiTheme="majorBidi" w:eastAsiaTheme="minorHAnsi" w:hAnsiTheme="majorBidi" w:cstheme="majorBidi"/>
          <w:sz w:val="24"/>
          <w:szCs w:val="24"/>
        </w:rPr>
        <w:t xml:space="preserve"> century.</w:t>
      </w:r>
      <w:r w:rsidR="00D67D60">
        <w:rPr>
          <w:rFonts w:asciiTheme="majorBidi" w:eastAsiaTheme="minorHAnsi" w:hAnsiTheme="majorBidi" w:cstheme="majorBidi"/>
          <w:sz w:val="24"/>
          <w:szCs w:val="24"/>
        </w:rPr>
        <w:t>, its political power could not rival that of the Tang in the eyes of Narseh.</w:t>
      </w:r>
    </w:p>
    <w:p w14:paraId="556D956A" w14:textId="77777777" w:rsidR="00502A0D" w:rsidRDefault="00502A0D">
      <w:pPr>
        <w:widowControl/>
        <w:jc w:val="left"/>
        <w:rPr>
          <w:rFonts w:asciiTheme="majorBidi" w:hAnsiTheme="majorBidi" w:cstheme="majorBidi"/>
          <w:sz w:val="24"/>
          <w:szCs w:val="24"/>
        </w:rPr>
      </w:pPr>
      <w:r>
        <w:rPr>
          <w:rFonts w:asciiTheme="majorBidi" w:hAnsiTheme="majorBidi" w:cstheme="majorBidi"/>
          <w:sz w:val="24"/>
          <w:szCs w:val="24"/>
        </w:rPr>
        <w:br w:type="page"/>
      </w:r>
    </w:p>
    <w:p w14:paraId="1909A821" w14:textId="77777777" w:rsidR="002D58E3" w:rsidRDefault="00502A0D" w:rsidP="00785CD3">
      <w:pPr>
        <w:pStyle w:val="Heading2"/>
        <w:spacing w:line="360" w:lineRule="auto"/>
        <w:rPr>
          <w:rFonts w:asciiTheme="majorBidi" w:hAnsiTheme="majorBidi"/>
          <w:sz w:val="24"/>
          <w:szCs w:val="24"/>
        </w:rPr>
      </w:pPr>
      <w:bookmarkStart w:id="15" w:name="_Toc91623881"/>
      <w:r>
        <w:rPr>
          <w:rFonts w:asciiTheme="majorBidi" w:hAnsiTheme="majorBidi"/>
          <w:sz w:val="24"/>
          <w:szCs w:val="24"/>
        </w:rPr>
        <w:lastRenderedPageBreak/>
        <w:t>Appendi</w:t>
      </w:r>
      <w:r w:rsidR="002D58E3">
        <w:rPr>
          <w:rFonts w:asciiTheme="majorBidi" w:hAnsiTheme="majorBidi"/>
          <w:sz w:val="24"/>
          <w:szCs w:val="24"/>
        </w:rPr>
        <w:t>ces</w:t>
      </w:r>
      <w:bookmarkEnd w:id="15"/>
    </w:p>
    <w:p w14:paraId="1ECABF17" w14:textId="20C21B90" w:rsidR="00D04932" w:rsidRDefault="002D58E3" w:rsidP="00785CD3">
      <w:pPr>
        <w:pStyle w:val="Heading3"/>
        <w:spacing w:line="360" w:lineRule="auto"/>
        <w:rPr>
          <w:rFonts w:asciiTheme="majorBidi" w:hAnsiTheme="majorBidi"/>
          <w:b/>
          <w:bCs/>
          <w:color w:val="auto"/>
        </w:rPr>
      </w:pPr>
      <w:bookmarkStart w:id="16" w:name="_Toc91623882"/>
      <w:r w:rsidRPr="002A5F12">
        <w:rPr>
          <w:rFonts w:asciiTheme="majorBidi" w:hAnsiTheme="majorBidi"/>
          <w:b/>
          <w:bCs/>
          <w:color w:val="auto"/>
        </w:rPr>
        <w:t>I</w:t>
      </w:r>
      <w:r w:rsidR="00D87B6C" w:rsidRPr="002A5F12">
        <w:rPr>
          <w:rFonts w:asciiTheme="majorBidi" w:hAnsiTheme="majorBidi"/>
          <w:b/>
          <w:bCs/>
          <w:color w:val="auto"/>
        </w:rPr>
        <w:t xml:space="preserve"> </w:t>
      </w:r>
      <w:r w:rsidR="00D04932" w:rsidRPr="002A5F12">
        <w:rPr>
          <w:rFonts w:asciiTheme="majorBidi" w:hAnsiTheme="majorBidi"/>
          <w:b/>
          <w:bCs/>
          <w:color w:val="auto"/>
        </w:rPr>
        <w:t>Map</w:t>
      </w:r>
      <w:r w:rsidR="00AF48DD">
        <w:rPr>
          <w:rFonts w:asciiTheme="majorBidi" w:hAnsiTheme="majorBidi"/>
          <w:b/>
          <w:bCs/>
          <w:color w:val="auto"/>
        </w:rPr>
        <w:t>s</w:t>
      </w:r>
      <w:bookmarkEnd w:id="16"/>
    </w:p>
    <w:p w14:paraId="7A5E5F19" w14:textId="027E6894" w:rsidR="00291B2F" w:rsidRDefault="00CB5319">
      <w:pPr>
        <w:widowControl/>
        <w:jc w:val="left"/>
      </w:pPr>
      <w:r>
        <w:rPr>
          <w:noProof/>
        </w:rPr>
        <w:drawing>
          <wp:inline distT="0" distB="0" distL="0" distR="0" wp14:anchorId="467E9888" wp14:editId="6A7126E2">
            <wp:extent cx="6826578" cy="4470359"/>
            <wp:effectExtent l="0" t="2858"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a:extLst>
                        <a:ext uri="{28A0092B-C50C-407E-A947-70E740481C1C}">
                          <a14:useLocalDpi xmlns:a14="http://schemas.microsoft.com/office/drawing/2010/main" val="0"/>
                        </a:ext>
                      </a:extLst>
                    </a:blip>
                    <a:stretch>
                      <a:fillRect/>
                    </a:stretch>
                  </pic:blipFill>
                  <pic:spPr>
                    <a:xfrm rot="16200000">
                      <a:off x="0" y="0"/>
                      <a:ext cx="6838253" cy="4478004"/>
                    </a:xfrm>
                    <a:prstGeom prst="rect">
                      <a:avLst/>
                    </a:prstGeom>
                  </pic:spPr>
                </pic:pic>
              </a:graphicData>
            </a:graphic>
          </wp:inline>
        </w:drawing>
      </w:r>
    </w:p>
    <w:p w14:paraId="7AEA2340" w14:textId="6624D72D" w:rsidR="00AF48DD" w:rsidRPr="00CB5319" w:rsidRDefault="00291B2F" w:rsidP="00CB5319">
      <w:pPr>
        <w:spacing w:line="360" w:lineRule="auto"/>
        <w:jc w:val="center"/>
        <w:rPr>
          <w:rFonts w:asciiTheme="majorBidi" w:hAnsiTheme="majorBidi" w:cstheme="majorBidi"/>
          <w:sz w:val="24"/>
          <w:szCs w:val="24"/>
        </w:rPr>
      </w:pPr>
      <w:r w:rsidRPr="00291B2F">
        <w:rPr>
          <w:rFonts w:asciiTheme="majorBidi" w:hAnsiTheme="majorBidi" w:cstheme="majorBidi"/>
          <w:sz w:val="24"/>
          <w:szCs w:val="24"/>
        </w:rPr>
        <w:t xml:space="preserve">Map 1: The Empires surrounding Central Asia (the 6th and 7th centuries, on the eve of the Arab expansions), based on map 7 of Stanley, Brunn, Stanley, Toops and Richard Gilbreath's </w:t>
      </w:r>
      <w:r w:rsidRPr="00291B2F">
        <w:rPr>
          <w:rFonts w:asciiTheme="majorBidi" w:hAnsiTheme="majorBidi" w:cstheme="majorBidi"/>
          <w:i/>
          <w:iCs/>
          <w:sz w:val="24"/>
          <w:szCs w:val="24"/>
        </w:rPr>
        <w:t>The Routledge Atlas of Central Eurasian Affairs</w:t>
      </w:r>
      <w:r w:rsidRPr="00291B2F">
        <w:rPr>
          <w:rFonts w:asciiTheme="majorBidi" w:hAnsiTheme="majorBidi" w:cstheme="majorBidi"/>
          <w:sz w:val="24"/>
          <w:szCs w:val="24"/>
        </w:rPr>
        <w:t>, London and New York, Routledge, 2012.</w:t>
      </w:r>
    </w:p>
    <w:p w14:paraId="154E241E" w14:textId="4C8A4C31" w:rsidR="00D04932" w:rsidRDefault="00D04932" w:rsidP="006A4A02">
      <w:pPr>
        <w:spacing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59264" behindDoc="0" locked="0" layoutInCell="1" allowOverlap="1" wp14:anchorId="71CC61F2" wp14:editId="48D672F4">
            <wp:simplePos x="0" y="0"/>
            <wp:positionH relativeFrom="margin">
              <wp:posOffset>-12065</wp:posOffset>
            </wp:positionH>
            <wp:positionV relativeFrom="paragraph">
              <wp:posOffset>76200</wp:posOffset>
            </wp:positionV>
            <wp:extent cx="5274310" cy="5491480"/>
            <wp:effectExtent l="76200" t="76200" r="135890" b="128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Ṭukhāristān ma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491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heme="majorBidi" w:hAnsiTheme="majorBidi" w:cstheme="majorBidi"/>
          <w:sz w:val="24"/>
          <w:szCs w:val="24"/>
        </w:rPr>
        <w:t>Map</w:t>
      </w:r>
      <w:r w:rsidR="00291B2F">
        <w:rPr>
          <w:rFonts w:asciiTheme="majorBidi" w:hAnsiTheme="majorBidi" w:cstheme="majorBidi"/>
          <w:sz w:val="24"/>
          <w:szCs w:val="24"/>
        </w:rPr>
        <w:t xml:space="preserve"> 2</w:t>
      </w:r>
      <w:r>
        <w:rPr>
          <w:rFonts w:asciiTheme="majorBidi" w:hAnsiTheme="majorBidi" w:cstheme="majorBidi"/>
          <w:sz w:val="24"/>
          <w:szCs w:val="24"/>
        </w:rPr>
        <w:t xml:space="preserve">: </w:t>
      </w:r>
      <w:r w:rsidRPr="00C43B5F">
        <w:rPr>
          <w:rFonts w:asciiTheme="majorBidi" w:hAnsiTheme="majorBidi" w:cstheme="majorBidi"/>
          <w:sz w:val="24"/>
          <w:szCs w:val="24"/>
        </w:rPr>
        <w:t>Ṭukhāristān</w:t>
      </w:r>
      <w:r>
        <w:rPr>
          <w:rFonts w:asciiTheme="majorBidi" w:hAnsiTheme="majorBidi" w:cstheme="majorBidi"/>
          <w:sz w:val="24"/>
          <w:szCs w:val="24"/>
        </w:rPr>
        <w:t xml:space="preserve"> and its environs during the 7</w:t>
      </w:r>
      <w:r w:rsidRPr="00407603">
        <w:rPr>
          <w:rFonts w:asciiTheme="majorBidi" w:hAnsiTheme="majorBidi" w:cstheme="majorBidi"/>
          <w:sz w:val="24"/>
          <w:szCs w:val="24"/>
          <w:vertAlign w:val="superscript"/>
        </w:rPr>
        <w:t>th</w:t>
      </w:r>
      <w:r>
        <w:rPr>
          <w:rFonts w:asciiTheme="majorBidi" w:hAnsiTheme="majorBidi" w:cstheme="majorBidi"/>
          <w:sz w:val="24"/>
          <w:szCs w:val="24"/>
        </w:rPr>
        <w:t xml:space="preserve"> and 8</w:t>
      </w:r>
      <w:r w:rsidRPr="00407603">
        <w:rPr>
          <w:rFonts w:asciiTheme="majorBidi" w:hAnsiTheme="majorBidi" w:cstheme="majorBidi"/>
          <w:sz w:val="24"/>
          <w:szCs w:val="24"/>
          <w:vertAlign w:val="superscript"/>
        </w:rPr>
        <w:t>th</w:t>
      </w:r>
      <w:r>
        <w:rPr>
          <w:rFonts w:asciiTheme="majorBidi" w:hAnsiTheme="majorBidi" w:cstheme="majorBidi"/>
          <w:sz w:val="24"/>
          <w:szCs w:val="24"/>
        </w:rPr>
        <w:t xml:space="preserve"> centuries</w:t>
      </w:r>
      <w:r w:rsidR="00291B2F">
        <w:rPr>
          <w:rFonts w:asciiTheme="majorBidi" w:hAnsiTheme="majorBidi" w:cstheme="majorBidi"/>
          <w:sz w:val="24"/>
          <w:szCs w:val="24"/>
        </w:rPr>
        <w:t>, based</w:t>
      </w:r>
      <w:r>
        <w:rPr>
          <w:rFonts w:asciiTheme="majorBidi" w:hAnsiTheme="majorBidi" w:cstheme="majorBidi"/>
          <w:sz w:val="24"/>
          <w:szCs w:val="24"/>
        </w:rPr>
        <w:t xml:space="preserve"> on </w:t>
      </w:r>
      <w:r w:rsidR="006A4A02">
        <w:rPr>
          <w:rFonts w:asciiTheme="majorBidi" w:hAnsiTheme="majorBidi" w:cstheme="majorBidi"/>
          <w:sz w:val="24"/>
          <w:szCs w:val="24"/>
        </w:rPr>
        <w:t xml:space="preserve">map 2 in </w:t>
      </w:r>
      <w:r>
        <w:rPr>
          <w:rFonts w:asciiTheme="majorBidi" w:hAnsiTheme="majorBidi" w:cstheme="majorBidi"/>
          <w:sz w:val="24"/>
          <w:szCs w:val="24"/>
        </w:rPr>
        <w:t>Hugh Kennedy</w:t>
      </w:r>
      <w:r w:rsidR="0077501B">
        <w:rPr>
          <w:rFonts w:asciiTheme="majorBidi" w:hAnsiTheme="majorBidi" w:cstheme="majorBidi"/>
          <w:sz w:val="24"/>
          <w:szCs w:val="24"/>
        </w:rPr>
        <w:t xml:space="preserve">’s </w:t>
      </w:r>
      <w:r w:rsidR="0077501B">
        <w:rPr>
          <w:rFonts w:asciiTheme="majorBidi" w:hAnsiTheme="majorBidi" w:cstheme="majorBidi"/>
          <w:i/>
          <w:iCs/>
          <w:sz w:val="24"/>
          <w:szCs w:val="24"/>
        </w:rPr>
        <w:t>t</w:t>
      </w:r>
      <w:r w:rsidR="006A4A02" w:rsidRPr="008E7522">
        <w:rPr>
          <w:rFonts w:asciiTheme="majorBidi" w:hAnsiTheme="majorBidi" w:cstheme="majorBidi"/>
          <w:i/>
          <w:iCs/>
          <w:sz w:val="24"/>
          <w:szCs w:val="24"/>
        </w:rPr>
        <w:t>he Great Arab Conquests: how the spread of Islam changed the world we live i</w:t>
      </w:r>
      <w:r w:rsidR="006A4A02" w:rsidRPr="008E7522">
        <w:rPr>
          <w:rFonts w:asciiTheme="majorBidi" w:hAnsiTheme="majorBidi" w:cstheme="majorBidi"/>
          <w:sz w:val="24"/>
          <w:szCs w:val="24"/>
        </w:rPr>
        <w:t xml:space="preserve">n, </w:t>
      </w:r>
      <w:r w:rsidR="006A4A02">
        <w:rPr>
          <w:rFonts w:asciiTheme="majorBidi" w:hAnsiTheme="majorBidi" w:cstheme="majorBidi"/>
          <w:sz w:val="24"/>
          <w:szCs w:val="24"/>
        </w:rPr>
        <w:t>Philadelphia</w:t>
      </w:r>
      <w:r w:rsidR="006A4A02" w:rsidRPr="008E7522">
        <w:rPr>
          <w:rFonts w:asciiTheme="majorBidi" w:hAnsiTheme="majorBidi" w:cstheme="majorBidi"/>
          <w:sz w:val="24"/>
          <w:szCs w:val="24"/>
        </w:rPr>
        <w:t xml:space="preserve">, </w:t>
      </w:r>
      <w:r w:rsidR="006A4A02">
        <w:rPr>
          <w:rFonts w:asciiTheme="majorBidi" w:hAnsiTheme="majorBidi" w:cstheme="majorBidi"/>
          <w:sz w:val="24"/>
          <w:szCs w:val="24"/>
        </w:rPr>
        <w:t>Da Capo Press</w:t>
      </w:r>
      <w:r w:rsidR="006A4A02" w:rsidRPr="008E7522">
        <w:rPr>
          <w:rFonts w:asciiTheme="majorBidi" w:hAnsiTheme="majorBidi" w:cstheme="majorBidi"/>
          <w:sz w:val="24"/>
          <w:szCs w:val="24"/>
        </w:rPr>
        <w:t>,</w:t>
      </w:r>
      <w:r w:rsidR="006A4A02">
        <w:rPr>
          <w:rFonts w:asciiTheme="majorBidi" w:hAnsiTheme="majorBidi" w:cstheme="majorBidi"/>
          <w:sz w:val="24"/>
          <w:szCs w:val="24"/>
        </w:rPr>
        <w:t xml:space="preserve"> </w:t>
      </w:r>
      <w:r>
        <w:rPr>
          <w:rFonts w:asciiTheme="majorBidi" w:hAnsiTheme="majorBidi" w:cstheme="majorBidi"/>
          <w:sz w:val="24"/>
          <w:szCs w:val="24"/>
        </w:rPr>
        <w:t>2007</w:t>
      </w:r>
    </w:p>
    <w:p w14:paraId="3278B863" w14:textId="77777777" w:rsidR="00D04932" w:rsidRPr="00D04932" w:rsidRDefault="00D04932" w:rsidP="00D04932">
      <w:pPr>
        <w:spacing w:line="360" w:lineRule="auto"/>
        <w:rPr>
          <w:rFonts w:asciiTheme="majorBidi" w:hAnsiTheme="majorBidi" w:cstheme="majorBidi"/>
          <w:b/>
          <w:bCs/>
          <w:sz w:val="24"/>
          <w:szCs w:val="24"/>
        </w:rPr>
      </w:pPr>
    </w:p>
    <w:p w14:paraId="2C4120AA" w14:textId="77777777" w:rsidR="00D04932" w:rsidRPr="00D04932" w:rsidRDefault="00D04932" w:rsidP="00D04932">
      <w:pPr>
        <w:spacing w:line="360" w:lineRule="auto"/>
        <w:rPr>
          <w:rFonts w:asciiTheme="majorBidi" w:hAnsiTheme="majorBidi" w:cstheme="majorBidi"/>
          <w:sz w:val="24"/>
          <w:szCs w:val="24"/>
        </w:rPr>
      </w:pPr>
    </w:p>
    <w:p w14:paraId="182CCEA6" w14:textId="77777777" w:rsidR="00D04932" w:rsidRDefault="00D04932">
      <w:pPr>
        <w:widowControl/>
        <w:jc w:val="left"/>
        <w:rPr>
          <w:rFonts w:asciiTheme="majorBidi" w:hAnsiTheme="majorBidi" w:cstheme="majorBidi"/>
          <w:sz w:val="24"/>
          <w:szCs w:val="24"/>
        </w:rPr>
      </w:pPr>
      <w:r>
        <w:rPr>
          <w:rFonts w:asciiTheme="majorBidi" w:hAnsiTheme="majorBidi" w:cstheme="majorBidi"/>
          <w:sz w:val="24"/>
          <w:szCs w:val="24"/>
        </w:rPr>
        <w:br w:type="page"/>
      </w:r>
    </w:p>
    <w:p w14:paraId="588BAB55" w14:textId="39A02E6A" w:rsidR="00502A0D" w:rsidRPr="002013ED" w:rsidRDefault="002D58E3" w:rsidP="00785CD3">
      <w:pPr>
        <w:pStyle w:val="Heading3"/>
        <w:spacing w:line="360" w:lineRule="auto"/>
        <w:rPr>
          <w:rFonts w:asciiTheme="majorBidi" w:hAnsiTheme="majorBidi"/>
          <w:b/>
          <w:bCs/>
          <w:color w:val="auto"/>
        </w:rPr>
      </w:pPr>
      <w:bookmarkStart w:id="17" w:name="_Toc91623883"/>
      <w:r w:rsidRPr="002013ED">
        <w:rPr>
          <w:rFonts w:asciiTheme="majorBidi" w:hAnsiTheme="majorBidi"/>
          <w:b/>
          <w:bCs/>
          <w:color w:val="auto"/>
        </w:rPr>
        <w:lastRenderedPageBreak/>
        <w:t>II</w:t>
      </w:r>
      <w:r w:rsidR="00D87B6C" w:rsidRPr="002013ED">
        <w:rPr>
          <w:rFonts w:asciiTheme="majorBidi" w:hAnsiTheme="majorBidi"/>
          <w:b/>
          <w:bCs/>
          <w:color w:val="auto"/>
        </w:rPr>
        <w:t xml:space="preserve"> </w:t>
      </w:r>
      <w:proofErr w:type="gramStart"/>
      <w:r w:rsidR="002A05BE" w:rsidRPr="00951CE1">
        <w:rPr>
          <w:rFonts w:asciiTheme="majorBidi" w:hAnsiTheme="majorBidi"/>
          <w:b/>
          <w:bCs/>
          <w:color w:val="auto"/>
        </w:rPr>
        <w:t>T</w:t>
      </w:r>
      <w:r w:rsidR="00D87B6C" w:rsidRPr="00951CE1">
        <w:rPr>
          <w:rFonts w:asciiTheme="majorBidi" w:hAnsiTheme="majorBidi"/>
          <w:b/>
          <w:bCs/>
          <w:color w:val="auto"/>
        </w:rPr>
        <w:t>he</w:t>
      </w:r>
      <w:proofErr w:type="gramEnd"/>
      <w:r w:rsidR="00D87B6C" w:rsidRPr="00951CE1">
        <w:rPr>
          <w:rFonts w:asciiTheme="majorBidi" w:hAnsiTheme="majorBidi"/>
          <w:b/>
          <w:bCs/>
          <w:color w:val="auto"/>
        </w:rPr>
        <w:t xml:space="preserve"> </w:t>
      </w:r>
      <w:r w:rsidR="00D87B6C" w:rsidRPr="002013ED">
        <w:rPr>
          <w:rFonts w:asciiTheme="majorBidi" w:hAnsiTheme="majorBidi"/>
          <w:b/>
          <w:bCs/>
          <w:i/>
          <w:iCs/>
          <w:color w:val="auto"/>
        </w:rPr>
        <w:t>Jiu Tangshu</w:t>
      </w:r>
      <w:r w:rsidR="00D87B6C" w:rsidRPr="002013ED">
        <w:rPr>
          <w:rFonts w:asciiTheme="majorBidi" w:hAnsiTheme="majorBidi"/>
          <w:b/>
          <w:bCs/>
          <w:color w:val="auto"/>
        </w:rPr>
        <w:t xml:space="preserve"> and </w:t>
      </w:r>
      <w:r w:rsidR="00D87B6C" w:rsidRPr="00951CE1">
        <w:rPr>
          <w:rFonts w:asciiTheme="majorBidi" w:hAnsiTheme="majorBidi"/>
          <w:b/>
          <w:bCs/>
          <w:color w:val="auto"/>
        </w:rPr>
        <w:t xml:space="preserve">the </w:t>
      </w:r>
      <w:r w:rsidR="00D87B6C" w:rsidRPr="002013ED">
        <w:rPr>
          <w:rFonts w:asciiTheme="majorBidi" w:hAnsiTheme="majorBidi"/>
          <w:b/>
          <w:bCs/>
          <w:i/>
          <w:iCs/>
          <w:color w:val="auto"/>
        </w:rPr>
        <w:t>Xin Tangshu</w:t>
      </w:r>
      <w:bookmarkEnd w:id="17"/>
    </w:p>
    <w:p w14:paraId="4916F296" w14:textId="558E970B" w:rsidR="00784A81" w:rsidRDefault="002013ED" w:rsidP="00785CD3">
      <w:pPr>
        <w:spacing w:line="360" w:lineRule="auto"/>
        <w:rPr>
          <w:rFonts w:asciiTheme="majorBidi" w:hAnsiTheme="majorBidi" w:cstheme="majorBidi"/>
          <w:sz w:val="24"/>
          <w:szCs w:val="24"/>
        </w:rPr>
      </w:pPr>
      <w:r w:rsidRPr="002A05BE">
        <w:rPr>
          <w:rFonts w:asciiTheme="majorBidi" w:hAnsiTheme="majorBidi" w:cstheme="majorBidi"/>
          <w:i/>
          <w:iCs/>
          <w:sz w:val="24"/>
          <w:szCs w:val="24"/>
        </w:rPr>
        <w:t>The</w:t>
      </w:r>
      <w:r>
        <w:rPr>
          <w:rFonts w:asciiTheme="majorBidi" w:hAnsiTheme="majorBidi" w:cstheme="majorBidi"/>
          <w:i/>
          <w:iCs/>
          <w:sz w:val="24"/>
          <w:szCs w:val="24"/>
        </w:rPr>
        <w:t xml:space="preserve"> </w:t>
      </w:r>
      <w:r w:rsidR="00C52E73" w:rsidRPr="00C73FEF">
        <w:rPr>
          <w:rFonts w:asciiTheme="majorBidi" w:hAnsiTheme="majorBidi" w:cstheme="majorBidi"/>
          <w:i/>
          <w:iCs/>
          <w:sz w:val="24"/>
          <w:szCs w:val="24"/>
        </w:rPr>
        <w:t>Jiu Tangshu</w:t>
      </w:r>
      <w:r w:rsidR="00C73FEF">
        <w:rPr>
          <w:rFonts w:asciiTheme="majorBidi" w:hAnsiTheme="majorBidi" w:cstheme="majorBidi" w:hint="eastAsia"/>
          <w:sz w:val="24"/>
          <w:szCs w:val="24"/>
        </w:rPr>
        <w:t>,</w:t>
      </w:r>
      <w:r w:rsidR="00C73FEF">
        <w:rPr>
          <w:rFonts w:asciiTheme="majorBidi" w:hAnsiTheme="majorBidi" w:cstheme="majorBidi"/>
          <w:sz w:val="24"/>
          <w:szCs w:val="24"/>
        </w:rPr>
        <w:t xml:space="preserve"> volume 198, pp. 5312-3</w:t>
      </w:r>
    </w:p>
    <w:p w14:paraId="109564F2" w14:textId="731797A1" w:rsidR="004B609E" w:rsidRPr="004B609E" w:rsidRDefault="004B609E" w:rsidP="004B609E">
      <w:pPr>
        <w:spacing w:line="360" w:lineRule="auto"/>
        <w:ind w:firstLine="480"/>
        <w:rPr>
          <w:rFonts w:ascii="SimSun" w:eastAsia="SimSun" w:hAnsi="SimSun" w:cs="SimSun"/>
          <w:sz w:val="24"/>
          <w:szCs w:val="24"/>
        </w:rPr>
      </w:pPr>
      <w:r w:rsidRPr="004B609E">
        <w:rPr>
          <w:rFonts w:ascii="SimSun" w:eastAsia="SimSun" w:hAnsi="SimSun" w:cs="SimSun" w:hint="eastAsia"/>
          <w:sz w:val="24"/>
          <w:szCs w:val="24"/>
        </w:rPr>
        <w:t>伊嗣候懦弱，为大首领所逐，遂奔吐火罗，未至，亦为大食兵所杀。其子名卑路斯，又投吐火罗叶护，获免。卑路斯龙朔元年奏言频被大食侵扰，请兵救援。诏遣陇州南由县令王名远充使西域，分置州县，因列其地疾陵城为波斯都督府，授卑路斯为都督。是后数遣使贡献。咸亨中，卑路斯自来入朝，高宗甚加恩赐，拜右武卫将军。仪凤三年，令吏部侍郎裴行俭将兵册送卑路斯为波斯王，行俭以其路远，至安西碎叶而还，卑路斯独返，不得入其国，渐为大食所侵，客于吐火罗国二十余年，有部落数千人，后渐离散。至景龙二年，又来入朝，拜为左威卫将军，无何病卒，其国遂灭，而部众犹存。</w:t>
      </w:r>
    </w:p>
    <w:p w14:paraId="61570B8D" w14:textId="58394A27" w:rsidR="00C73FEF" w:rsidRDefault="004B609E" w:rsidP="004B609E">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C73FEF">
        <w:rPr>
          <w:rFonts w:asciiTheme="majorBidi" w:hAnsiTheme="majorBidi" w:cstheme="majorBidi"/>
          <w:sz w:val="24"/>
          <w:szCs w:val="24"/>
        </w:rPr>
        <w:t xml:space="preserve">[Since] Yi-si-hou </w:t>
      </w:r>
      <w:r w:rsidR="00784A81">
        <w:rPr>
          <w:rFonts w:asciiTheme="majorBidi" w:hAnsiTheme="majorBidi" w:cstheme="majorBidi"/>
          <w:sz w:val="24"/>
          <w:szCs w:val="24"/>
        </w:rPr>
        <w:t xml:space="preserve">(Yazdegerd III) </w:t>
      </w:r>
      <w:r w:rsidR="00C73FEF">
        <w:rPr>
          <w:rFonts w:asciiTheme="majorBidi" w:hAnsiTheme="majorBidi" w:cstheme="majorBidi"/>
          <w:sz w:val="24"/>
          <w:szCs w:val="24"/>
        </w:rPr>
        <w:t>was weak, he was expelled by the great chief</w:t>
      </w:r>
      <w:r w:rsidR="00DF157C">
        <w:rPr>
          <w:rFonts w:asciiTheme="majorBidi" w:hAnsiTheme="majorBidi" w:cstheme="majorBidi"/>
          <w:sz w:val="24"/>
          <w:szCs w:val="24"/>
        </w:rPr>
        <w:t>(</w:t>
      </w:r>
      <w:r w:rsidR="00C73FEF">
        <w:rPr>
          <w:rFonts w:asciiTheme="majorBidi" w:hAnsiTheme="majorBidi" w:cstheme="majorBidi"/>
          <w:sz w:val="24"/>
          <w:szCs w:val="24"/>
        </w:rPr>
        <w:t>s</w:t>
      </w:r>
      <w:r w:rsidR="00DF157C">
        <w:rPr>
          <w:rFonts w:asciiTheme="majorBidi" w:hAnsiTheme="majorBidi" w:cstheme="majorBidi"/>
          <w:sz w:val="24"/>
          <w:szCs w:val="24"/>
        </w:rPr>
        <w:t>)</w:t>
      </w:r>
      <w:r w:rsidR="00C73FEF">
        <w:rPr>
          <w:rFonts w:asciiTheme="majorBidi" w:hAnsiTheme="majorBidi" w:cstheme="majorBidi"/>
          <w:sz w:val="24"/>
          <w:szCs w:val="24"/>
        </w:rPr>
        <w:t>. He tried to flee to Tu-huo-luo (Ṭukhāristān). [However,] he did not arrive and was killed by the Dashi (Tāzīks, the Arabs). The name of his son was Bei-lu-si (Pērōz)</w:t>
      </w:r>
      <w:r w:rsidR="00D63640">
        <w:rPr>
          <w:rFonts w:asciiTheme="majorBidi" w:hAnsiTheme="majorBidi" w:cstheme="majorBidi"/>
          <w:sz w:val="24"/>
          <w:szCs w:val="24"/>
        </w:rPr>
        <w:t xml:space="preserve">, who sought refuge with the Yabghū of Tu-huo-luo, and escaped [the fate of being captured and killed by the Arabs]. In the first year of </w:t>
      </w:r>
      <w:r w:rsidR="00A5173F">
        <w:rPr>
          <w:rFonts w:asciiTheme="majorBidi" w:hAnsiTheme="majorBidi" w:cstheme="majorBidi"/>
          <w:sz w:val="24"/>
          <w:szCs w:val="24"/>
        </w:rPr>
        <w:t xml:space="preserve">the </w:t>
      </w:r>
      <w:r w:rsidR="00D63640">
        <w:rPr>
          <w:rFonts w:asciiTheme="majorBidi" w:hAnsiTheme="majorBidi" w:cstheme="majorBidi"/>
          <w:sz w:val="24"/>
          <w:szCs w:val="24"/>
        </w:rPr>
        <w:t xml:space="preserve">Longshuo reign-period (661 CE), Bei-lu-si presented a memorial [to the Tang court], which stated, please dispatch troops to save [me], [since] I was raided and disturbed frequently by the Dashi. [When] Wang Mingyuan, the magistrate of the Nanyou County in Longzhou, </w:t>
      </w:r>
      <w:r w:rsidR="00634DF5">
        <w:rPr>
          <w:rFonts w:asciiTheme="majorBidi" w:hAnsiTheme="majorBidi" w:cstheme="majorBidi"/>
          <w:sz w:val="24"/>
          <w:szCs w:val="24"/>
        </w:rPr>
        <w:t xml:space="preserve">went to the Western Regions as an emissary under </w:t>
      </w:r>
      <w:r w:rsidR="004337BC">
        <w:rPr>
          <w:rFonts w:asciiTheme="majorBidi" w:hAnsiTheme="majorBidi" w:cstheme="majorBidi"/>
          <w:sz w:val="24"/>
          <w:szCs w:val="24"/>
        </w:rPr>
        <w:t>the royal decree to</w:t>
      </w:r>
      <w:r w:rsidR="00634DF5">
        <w:rPr>
          <w:rFonts w:asciiTheme="majorBidi" w:hAnsiTheme="majorBidi" w:cstheme="majorBidi"/>
          <w:sz w:val="24"/>
          <w:szCs w:val="24"/>
        </w:rPr>
        <w:t xml:space="preserve"> </w:t>
      </w:r>
      <w:r w:rsidR="00972565">
        <w:rPr>
          <w:rFonts w:asciiTheme="majorBidi" w:hAnsiTheme="majorBidi" w:cstheme="majorBidi"/>
          <w:sz w:val="24"/>
          <w:szCs w:val="24"/>
        </w:rPr>
        <w:t xml:space="preserve">divide and arrange counties and </w:t>
      </w:r>
      <w:r w:rsidR="00BB3C99">
        <w:rPr>
          <w:rFonts w:asciiTheme="majorBidi" w:hAnsiTheme="majorBidi" w:cstheme="majorBidi"/>
          <w:sz w:val="24"/>
          <w:szCs w:val="24"/>
        </w:rPr>
        <w:t>prefecture</w:t>
      </w:r>
      <w:r w:rsidR="00972565">
        <w:rPr>
          <w:rFonts w:asciiTheme="majorBidi" w:hAnsiTheme="majorBidi" w:cstheme="majorBidi"/>
          <w:sz w:val="24"/>
          <w:szCs w:val="24"/>
        </w:rPr>
        <w:t xml:space="preserve">s, Wang listed his (Pērōz’s) land Ji-ling-cheng as Bo-si </w:t>
      </w:r>
      <w:r w:rsidR="00323396">
        <w:rPr>
          <w:rFonts w:asciiTheme="majorBidi" w:hAnsiTheme="majorBidi" w:cstheme="majorBidi"/>
          <w:sz w:val="24"/>
          <w:szCs w:val="24"/>
        </w:rPr>
        <w:t xml:space="preserve">(Persia) </w:t>
      </w:r>
      <w:r w:rsidR="00972565">
        <w:rPr>
          <w:rFonts w:asciiTheme="majorBidi" w:hAnsiTheme="majorBidi" w:cstheme="majorBidi"/>
          <w:sz w:val="24"/>
          <w:szCs w:val="24"/>
        </w:rPr>
        <w:t xml:space="preserve">Military Governate with Bei-lu-si as Dudu (military governor). Afterwards, [Pērōz] sent emissaries for several times to deliver tribute. During the Xianheng [reign-period] years (670-674 CE), Bei-lu-si arrived [at the court] personally to pay homage. The Gaozong Emperor awarded him lavishly, and </w:t>
      </w:r>
      <w:r w:rsidR="00375584">
        <w:rPr>
          <w:rFonts w:asciiTheme="majorBidi" w:hAnsiTheme="majorBidi" w:cstheme="majorBidi"/>
          <w:sz w:val="24"/>
          <w:szCs w:val="24"/>
        </w:rPr>
        <w:t xml:space="preserve">bestowed upon </w:t>
      </w:r>
      <w:r w:rsidR="00972565">
        <w:rPr>
          <w:rFonts w:asciiTheme="majorBidi" w:hAnsiTheme="majorBidi" w:cstheme="majorBidi"/>
          <w:sz w:val="24"/>
          <w:szCs w:val="24"/>
        </w:rPr>
        <w:t xml:space="preserve">him the title </w:t>
      </w:r>
      <w:r w:rsidR="00AD3CA9">
        <w:rPr>
          <w:rFonts w:asciiTheme="majorBidi" w:hAnsiTheme="majorBidi" w:cstheme="majorBidi"/>
          <w:sz w:val="24"/>
          <w:szCs w:val="24"/>
        </w:rPr>
        <w:t xml:space="preserve">General of the </w:t>
      </w:r>
      <w:r w:rsidR="00972565">
        <w:rPr>
          <w:rFonts w:asciiTheme="majorBidi" w:hAnsiTheme="majorBidi" w:cstheme="majorBidi"/>
          <w:sz w:val="24"/>
          <w:szCs w:val="24"/>
        </w:rPr>
        <w:t xml:space="preserve">Right </w:t>
      </w:r>
      <w:r w:rsidR="00AD3CA9">
        <w:rPr>
          <w:rFonts w:asciiTheme="majorBidi" w:hAnsiTheme="majorBidi" w:cstheme="majorBidi"/>
          <w:sz w:val="24"/>
          <w:szCs w:val="24"/>
        </w:rPr>
        <w:t xml:space="preserve">Martial Guards. </w:t>
      </w:r>
      <w:r w:rsidR="0035790C">
        <w:rPr>
          <w:rFonts w:asciiTheme="majorBidi" w:hAnsiTheme="majorBidi" w:cstheme="majorBidi"/>
          <w:sz w:val="24"/>
          <w:szCs w:val="24"/>
        </w:rPr>
        <w:t xml:space="preserve">In the third year of the Yifeng [reign-period] (678 CE), </w:t>
      </w:r>
      <w:r w:rsidR="00323396">
        <w:rPr>
          <w:rFonts w:asciiTheme="majorBidi" w:hAnsiTheme="majorBidi" w:cstheme="majorBidi"/>
          <w:sz w:val="24"/>
          <w:szCs w:val="24"/>
        </w:rPr>
        <w:t xml:space="preserve">[the Gaozong Emperor] </w:t>
      </w:r>
      <w:r w:rsidR="00DF157C">
        <w:rPr>
          <w:rFonts w:asciiTheme="majorBidi" w:hAnsiTheme="majorBidi" w:cstheme="majorBidi"/>
          <w:sz w:val="24"/>
          <w:szCs w:val="24"/>
        </w:rPr>
        <w:t xml:space="preserve">conferred upon Bei-lu-si the king of Bo-si and </w:t>
      </w:r>
      <w:r w:rsidR="00323396">
        <w:rPr>
          <w:rFonts w:asciiTheme="majorBidi" w:hAnsiTheme="majorBidi" w:cstheme="majorBidi"/>
          <w:sz w:val="24"/>
          <w:szCs w:val="24"/>
        </w:rPr>
        <w:t xml:space="preserve">ordered Pei Xingjian, the assistant minister of the Board of Civil Official, to escort </w:t>
      </w:r>
      <w:r w:rsidR="00DF157C">
        <w:rPr>
          <w:rFonts w:asciiTheme="majorBidi" w:hAnsiTheme="majorBidi" w:cstheme="majorBidi"/>
          <w:sz w:val="24"/>
          <w:szCs w:val="24"/>
        </w:rPr>
        <w:t>him [back to his country]</w:t>
      </w:r>
      <w:r w:rsidR="00323396">
        <w:rPr>
          <w:rFonts w:asciiTheme="majorBidi" w:hAnsiTheme="majorBidi" w:cstheme="majorBidi"/>
          <w:sz w:val="24"/>
          <w:szCs w:val="24"/>
        </w:rPr>
        <w:t xml:space="preserve">. [However,] Xingjian only reached Sui-ye (Sūyāb) and returned because of the great distance, leaving Bei-lu-si to continue the journey by himself. He could not return his </w:t>
      </w:r>
      <w:r w:rsidR="00323396">
        <w:rPr>
          <w:rFonts w:asciiTheme="majorBidi" w:hAnsiTheme="majorBidi" w:cstheme="majorBidi"/>
          <w:sz w:val="24"/>
          <w:szCs w:val="24"/>
        </w:rPr>
        <w:lastRenderedPageBreak/>
        <w:t xml:space="preserve">own country, which was gradually invaded by the Dashi, and stayed in the country of Tu-huo-luo as a guest for around twenty years. The tribal members who adhered to him, [originally] numbering several thousands, gradually dispersed later. </w:t>
      </w:r>
      <w:r w:rsidR="00A5173F">
        <w:rPr>
          <w:rFonts w:asciiTheme="majorBidi" w:hAnsiTheme="majorBidi" w:cstheme="majorBidi"/>
          <w:sz w:val="24"/>
          <w:szCs w:val="24"/>
        </w:rPr>
        <w:t xml:space="preserve">In the second year of </w:t>
      </w:r>
      <w:r w:rsidR="008D75CD">
        <w:rPr>
          <w:rFonts w:asciiTheme="majorBidi" w:hAnsiTheme="majorBidi" w:cstheme="majorBidi"/>
          <w:sz w:val="24"/>
          <w:szCs w:val="24"/>
        </w:rPr>
        <w:t xml:space="preserve">the </w:t>
      </w:r>
      <w:r w:rsidR="00A5173F">
        <w:rPr>
          <w:rFonts w:asciiTheme="majorBidi" w:hAnsiTheme="majorBidi" w:cstheme="majorBidi"/>
          <w:sz w:val="24"/>
          <w:szCs w:val="24"/>
        </w:rPr>
        <w:t>Jinglong</w:t>
      </w:r>
      <w:r w:rsidR="008D75CD">
        <w:rPr>
          <w:rFonts w:asciiTheme="majorBidi" w:hAnsiTheme="majorBidi" w:cstheme="majorBidi"/>
          <w:sz w:val="24"/>
          <w:szCs w:val="24"/>
        </w:rPr>
        <w:t xml:space="preserve"> [reign-period] (708 CE), he arrived [at the court] to pay homage again, when he was granted the title General of the Left Majestic Guards. He was sick and died in no time, while his country ceased to exist although the tribes </w:t>
      </w:r>
      <w:r w:rsidR="00AF0F06">
        <w:rPr>
          <w:rFonts w:asciiTheme="majorBidi" w:hAnsiTheme="majorBidi" w:cstheme="majorBidi"/>
          <w:sz w:val="24"/>
          <w:szCs w:val="24"/>
        </w:rPr>
        <w:t>still exist</w:t>
      </w:r>
      <w:r w:rsidR="008D75CD">
        <w:rPr>
          <w:rFonts w:asciiTheme="majorBidi" w:hAnsiTheme="majorBidi" w:cstheme="majorBidi"/>
          <w:sz w:val="24"/>
          <w:szCs w:val="24"/>
        </w:rPr>
        <w:t xml:space="preserve">. </w:t>
      </w:r>
      <w:r w:rsidR="00972565">
        <w:rPr>
          <w:rFonts w:asciiTheme="majorBidi" w:hAnsiTheme="majorBidi" w:cstheme="majorBidi"/>
          <w:sz w:val="24"/>
          <w:szCs w:val="24"/>
        </w:rPr>
        <w:t xml:space="preserve">  </w:t>
      </w:r>
      <w:r w:rsidR="004337BC">
        <w:rPr>
          <w:rFonts w:asciiTheme="majorBidi" w:hAnsiTheme="majorBidi" w:cstheme="majorBidi"/>
          <w:sz w:val="24"/>
          <w:szCs w:val="24"/>
        </w:rPr>
        <w:t xml:space="preserve"> </w:t>
      </w:r>
      <w:r w:rsidR="00D63640">
        <w:rPr>
          <w:rFonts w:asciiTheme="majorBidi" w:hAnsiTheme="majorBidi" w:cstheme="majorBidi"/>
          <w:sz w:val="24"/>
          <w:szCs w:val="24"/>
        </w:rPr>
        <w:t xml:space="preserve">  </w:t>
      </w:r>
    </w:p>
    <w:p w14:paraId="29640AC5" w14:textId="7DFE0273" w:rsidR="00C52E73" w:rsidRDefault="00C52E73" w:rsidP="001623A5">
      <w:pPr>
        <w:spacing w:line="360" w:lineRule="auto"/>
        <w:rPr>
          <w:rFonts w:asciiTheme="majorBidi" w:hAnsiTheme="majorBidi" w:cstheme="majorBidi"/>
          <w:sz w:val="24"/>
          <w:szCs w:val="24"/>
        </w:rPr>
      </w:pPr>
    </w:p>
    <w:p w14:paraId="18EC7F58" w14:textId="7FBDD7A6" w:rsidR="00784A81" w:rsidRDefault="002A05BE" w:rsidP="000B0A37">
      <w:pPr>
        <w:spacing w:line="360" w:lineRule="auto"/>
        <w:rPr>
          <w:rFonts w:asciiTheme="majorBidi" w:hAnsiTheme="majorBidi" w:cstheme="majorBidi"/>
          <w:sz w:val="24"/>
          <w:szCs w:val="24"/>
        </w:rPr>
      </w:pPr>
      <w:r>
        <w:rPr>
          <w:rFonts w:asciiTheme="majorBidi" w:hAnsiTheme="majorBidi" w:cstheme="majorBidi"/>
          <w:i/>
          <w:iCs/>
          <w:sz w:val="24"/>
          <w:szCs w:val="24"/>
        </w:rPr>
        <w:t xml:space="preserve">The </w:t>
      </w:r>
      <w:r w:rsidR="00C52E73" w:rsidRPr="006133EC">
        <w:rPr>
          <w:rFonts w:asciiTheme="majorBidi" w:hAnsiTheme="majorBidi" w:cstheme="majorBidi"/>
          <w:i/>
          <w:iCs/>
          <w:sz w:val="24"/>
          <w:szCs w:val="24"/>
        </w:rPr>
        <w:t>Xin Tangshu</w:t>
      </w:r>
      <w:r w:rsidR="006133EC">
        <w:rPr>
          <w:rFonts w:asciiTheme="majorBidi" w:hAnsiTheme="majorBidi" w:cstheme="majorBidi"/>
          <w:sz w:val="24"/>
          <w:szCs w:val="24"/>
        </w:rPr>
        <w:t>, volume 221b, p. 6259</w:t>
      </w:r>
    </w:p>
    <w:p w14:paraId="639C7692" w14:textId="6B20E1EA" w:rsidR="004B609E" w:rsidRPr="004B609E" w:rsidRDefault="004B609E" w:rsidP="004B609E">
      <w:pPr>
        <w:spacing w:line="360" w:lineRule="auto"/>
        <w:ind w:firstLine="480"/>
        <w:rPr>
          <w:rFonts w:ascii="SimSun" w:eastAsia="SimSun" w:hAnsi="SimSun" w:cs="SimSun"/>
          <w:sz w:val="24"/>
          <w:szCs w:val="24"/>
        </w:rPr>
      </w:pPr>
      <w:r w:rsidRPr="004B609E">
        <w:rPr>
          <w:rFonts w:ascii="SimSun" w:eastAsia="SimSun" w:hAnsi="SimSun" w:cs="SimSun" w:hint="eastAsia"/>
          <w:sz w:val="24"/>
          <w:szCs w:val="24"/>
        </w:rPr>
        <w:t>伊嗣俟不君，为大酋所逐，奔吐火罗，半道，大食击杀之。子卑路斯入吐火罗以免。遣使者告难，高宗以远不可师，谢遣。会大食解而去，吐火罗以兵纳之</w:t>
      </w:r>
      <w:r>
        <w:rPr>
          <w:rFonts w:ascii="SimSun" w:eastAsia="SimSun" w:hAnsi="SimSun" w:cs="SimSun" w:hint="eastAsia"/>
          <w:sz w:val="24"/>
          <w:szCs w:val="24"/>
        </w:rPr>
        <w:t>。</w:t>
      </w:r>
      <w:r w:rsidRPr="004B609E">
        <w:rPr>
          <w:rFonts w:ascii="SimSun" w:eastAsia="SimSun" w:hAnsi="SimSun" w:cs="SimSun" w:hint="eastAsia"/>
          <w:sz w:val="24"/>
          <w:szCs w:val="24"/>
        </w:rPr>
        <w:t>龙朔初，又诉为大食所侵，是时天子方遣使者到西域分置州县，以疾陵城为波斯都督府，即拜卑路斯为都督。俄为大食所灭。虽不能国，咸亨中犹入朝，授右武卫将军，死。始，其子泥涅师为质，调露元年，诏裴行俭将兵护还，将复王其国。以道远，至安西碎叶，行俭还。泥涅师因客吐火罗二十年，部落益离散。景龙初，复来朝，授左威卫将军。病死，西部独存。</w:t>
      </w:r>
    </w:p>
    <w:p w14:paraId="43721D34" w14:textId="02AB9DE9" w:rsidR="00CC7CF5" w:rsidRDefault="00536083" w:rsidP="00536083">
      <w:pPr>
        <w:spacing w:line="360" w:lineRule="auto"/>
        <w:rPr>
          <w:rFonts w:asciiTheme="majorBidi" w:hAnsiTheme="majorBidi" w:cstheme="majorBidi"/>
          <w:sz w:val="24"/>
          <w:szCs w:val="24"/>
        </w:rPr>
      </w:pPr>
      <w:r>
        <w:rPr>
          <w:rFonts w:asciiTheme="majorBidi" w:hAnsiTheme="majorBidi" w:cstheme="majorBidi"/>
          <w:sz w:val="24"/>
          <w:szCs w:val="24"/>
        </w:rPr>
        <w:t xml:space="preserve">[Since] </w:t>
      </w:r>
      <w:r w:rsidR="000901FD">
        <w:rPr>
          <w:rFonts w:asciiTheme="majorBidi" w:hAnsiTheme="majorBidi" w:cstheme="majorBidi"/>
          <w:sz w:val="24"/>
          <w:szCs w:val="24"/>
        </w:rPr>
        <w:t>Yi-si-</w:t>
      </w:r>
      <w:r>
        <w:rPr>
          <w:rFonts w:asciiTheme="majorBidi" w:hAnsiTheme="majorBidi" w:cstheme="majorBidi"/>
          <w:sz w:val="24"/>
          <w:szCs w:val="24"/>
        </w:rPr>
        <w:t xml:space="preserve">ai </w:t>
      </w:r>
      <w:r w:rsidR="00BB3C99">
        <w:rPr>
          <w:rFonts w:asciiTheme="majorBidi" w:hAnsiTheme="majorBidi" w:cstheme="majorBidi"/>
          <w:sz w:val="24"/>
          <w:szCs w:val="24"/>
        </w:rPr>
        <w:t xml:space="preserve">(Yazdegerd III) </w:t>
      </w:r>
      <w:r>
        <w:rPr>
          <w:rFonts w:asciiTheme="majorBidi" w:hAnsiTheme="majorBidi" w:cstheme="majorBidi"/>
          <w:sz w:val="24"/>
          <w:szCs w:val="24"/>
        </w:rPr>
        <w:t>didn’t behaved in a kingly manner, he was expelled by the great chief(s). He [tried to] flee to Tu-huo-luo. [However,] he was attacked and killed by the Dashi in the midway. His son Bei-lu-si entered Tu-huo-luo and survived. [When Bei-lu-si] dispatched emissaries to report the disaster, the Gaozong Emperor declined his request [of military assistance], since the great distance made a military campaign impossible.</w:t>
      </w:r>
      <w:r w:rsidR="00784A81">
        <w:rPr>
          <w:rFonts w:asciiTheme="majorBidi" w:hAnsiTheme="majorBidi" w:cstheme="majorBidi"/>
          <w:sz w:val="24"/>
          <w:szCs w:val="24"/>
        </w:rPr>
        <w:t xml:space="preserve"> When the Dashi relieved and left, Tu-huo-luo </w:t>
      </w:r>
      <w:r w:rsidR="00CC7CF5">
        <w:rPr>
          <w:rFonts w:asciiTheme="majorBidi" w:hAnsiTheme="majorBidi" w:cstheme="majorBidi"/>
          <w:sz w:val="24"/>
          <w:szCs w:val="24"/>
        </w:rPr>
        <w:t>dispatched troops to escort him [back to his country].</w:t>
      </w:r>
    </w:p>
    <w:p w14:paraId="5A02E325" w14:textId="06DAE00A" w:rsidR="006133EC" w:rsidRPr="005A4ED1" w:rsidRDefault="00CC7CF5" w:rsidP="00536083">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6E152C">
        <w:rPr>
          <w:rFonts w:asciiTheme="majorBidi" w:hAnsiTheme="majorBidi" w:cstheme="majorBidi"/>
          <w:sz w:val="24"/>
          <w:szCs w:val="24"/>
        </w:rPr>
        <w:t xml:space="preserve">In the beginning of the Longshuo </w:t>
      </w:r>
      <w:r w:rsidR="0091441D">
        <w:rPr>
          <w:rFonts w:asciiTheme="majorBidi" w:hAnsiTheme="majorBidi" w:cstheme="majorBidi"/>
          <w:sz w:val="24"/>
          <w:szCs w:val="24"/>
        </w:rPr>
        <w:t>[</w:t>
      </w:r>
      <w:r w:rsidR="006E152C">
        <w:rPr>
          <w:rFonts w:asciiTheme="majorBidi" w:hAnsiTheme="majorBidi" w:cstheme="majorBidi"/>
          <w:sz w:val="24"/>
          <w:szCs w:val="24"/>
        </w:rPr>
        <w:t>reign-period</w:t>
      </w:r>
      <w:r w:rsidR="0091441D">
        <w:rPr>
          <w:rFonts w:asciiTheme="majorBidi" w:hAnsiTheme="majorBidi" w:cstheme="majorBidi"/>
          <w:sz w:val="24"/>
          <w:szCs w:val="24"/>
        </w:rPr>
        <w:t>]</w:t>
      </w:r>
      <w:r w:rsidR="006E152C">
        <w:rPr>
          <w:rFonts w:asciiTheme="majorBidi" w:hAnsiTheme="majorBidi" w:cstheme="majorBidi"/>
          <w:sz w:val="24"/>
          <w:szCs w:val="24"/>
        </w:rPr>
        <w:t xml:space="preserve"> (661-663 CE),</w:t>
      </w:r>
      <w:r w:rsidR="00780070">
        <w:rPr>
          <w:rFonts w:asciiTheme="majorBidi" w:hAnsiTheme="majorBidi" w:cstheme="majorBidi"/>
          <w:sz w:val="24"/>
          <w:szCs w:val="24"/>
        </w:rPr>
        <w:t xml:space="preserve"> he report</w:t>
      </w:r>
      <w:r w:rsidR="00B619FA">
        <w:rPr>
          <w:rFonts w:asciiTheme="majorBidi" w:hAnsiTheme="majorBidi" w:cstheme="majorBidi"/>
          <w:sz w:val="24"/>
          <w:szCs w:val="24"/>
        </w:rPr>
        <w:t>ed</w:t>
      </w:r>
      <w:r w:rsidR="00780070">
        <w:rPr>
          <w:rFonts w:asciiTheme="majorBidi" w:hAnsiTheme="majorBidi" w:cstheme="majorBidi"/>
          <w:sz w:val="24"/>
          <w:szCs w:val="24"/>
        </w:rPr>
        <w:t xml:space="preserve"> being under the attack of the Dashi. At this period, the Tianzi (the Chinese emperor) dispatched emissaries to the Western Regions to divide and arrange counties and </w:t>
      </w:r>
      <w:r w:rsidR="00785CD3">
        <w:rPr>
          <w:rFonts w:asciiTheme="majorBidi" w:hAnsiTheme="majorBidi" w:cstheme="majorBidi"/>
          <w:sz w:val="24"/>
          <w:szCs w:val="24"/>
        </w:rPr>
        <w:t>prefecture</w:t>
      </w:r>
      <w:r w:rsidR="00780070">
        <w:rPr>
          <w:rFonts w:asciiTheme="majorBidi" w:hAnsiTheme="majorBidi" w:cstheme="majorBidi"/>
          <w:sz w:val="24"/>
          <w:szCs w:val="24"/>
        </w:rPr>
        <w:t>s. [Therefore,] Ji-ling-cheng was established as the Bo-si Military Governate with Bei-lu-si as its Dudu.</w:t>
      </w:r>
      <w:r w:rsidR="00E97658">
        <w:rPr>
          <w:rFonts w:asciiTheme="majorBidi" w:hAnsiTheme="majorBidi" w:cstheme="majorBidi"/>
          <w:sz w:val="24"/>
          <w:szCs w:val="24"/>
        </w:rPr>
        <w:t xml:space="preserve"> [Nevertheless,] it was soon annihilated by the Dashi. Although he could not have a country, </w:t>
      </w:r>
      <w:r w:rsidR="00841EB8">
        <w:rPr>
          <w:rFonts w:asciiTheme="majorBidi" w:hAnsiTheme="majorBidi" w:cstheme="majorBidi"/>
          <w:sz w:val="24"/>
          <w:szCs w:val="24"/>
        </w:rPr>
        <w:t xml:space="preserve">still he came to the court in the years of the Xianheng [reign-period] (670-674 CE), and was granted the title General of the Right </w:t>
      </w:r>
      <w:r w:rsidR="00841EB8">
        <w:rPr>
          <w:rFonts w:asciiTheme="majorBidi" w:hAnsiTheme="majorBidi" w:cstheme="majorBidi"/>
          <w:sz w:val="24"/>
          <w:szCs w:val="24"/>
        </w:rPr>
        <w:lastRenderedPageBreak/>
        <w:t xml:space="preserve">Martial Guards. [He then] died. His son Ni-nie-shi originally was a hostage [in the court]. In the first year of the Tiaolu [reign-period] (679 CE), the royal decree ordered an army led by Pei Xingjian to escort him and to </w:t>
      </w:r>
      <w:r w:rsidR="003B6449">
        <w:rPr>
          <w:rFonts w:asciiTheme="majorBidi" w:hAnsiTheme="majorBidi" w:cstheme="majorBidi"/>
          <w:sz w:val="24"/>
          <w:szCs w:val="24"/>
        </w:rPr>
        <w:t>claim the kingship of</w:t>
      </w:r>
      <w:r w:rsidR="00841EB8">
        <w:rPr>
          <w:rFonts w:asciiTheme="majorBidi" w:hAnsiTheme="majorBidi" w:cstheme="majorBidi"/>
          <w:sz w:val="24"/>
          <w:szCs w:val="24"/>
        </w:rPr>
        <w:t xml:space="preserve"> his country.</w:t>
      </w:r>
      <w:r w:rsidR="003B6449">
        <w:rPr>
          <w:rFonts w:asciiTheme="majorBidi" w:hAnsiTheme="majorBidi" w:cstheme="majorBidi"/>
          <w:sz w:val="24"/>
          <w:szCs w:val="24"/>
        </w:rPr>
        <w:t xml:space="preserve"> </w:t>
      </w:r>
      <w:r w:rsidR="00142EA9">
        <w:rPr>
          <w:rFonts w:asciiTheme="majorBidi" w:hAnsiTheme="majorBidi" w:cstheme="majorBidi"/>
          <w:sz w:val="24"/>
          <w:szCs w:val="24"/>
        </w:rPr>
        <w:t>Xingjian, [however,] re</w:t>
      </w:r>
      <w:r w:rsidR="000A0B25">
        <w:rPr>
          <w:rFonts w:asciiTheme="majorBidi" w:hAnsiTheme="majorBidi" w:cstheme="majorBidi"/>
          <w:sz w:val="24"/>
          <w:szCs w:val="24"/>
        </w:rPr>
        <w:t>ī</w:t>
      </w:r>
      <w:r w:rsidR="00142EA9">
        <w:rPr>
          <w:rFonts w:asciiTheme="majorBidi" w:hAnsiTheme="majorBidi" w:cstheme="majorBidi"/>
          <w:sz w:val="24"/>
          <w:szCs w:val="24"/>
        </w:rPr>
        <w:t>ed the journey too long, and did not continue march from Sui-ye.</w:t>
      </w:r>
      <w:r w:rsidR="00B917BA">
        <w:rPr>
          <w:rFonts w:asciiTheme="majorBidi" w:hAnsiTheme="majorBidi" w:cstheme="majorBidi"/>
          <w:sz w:val="24"/>
          <w:szCs w:val="24"/>
        </w:rPr>
        <w:t xml:space="preserve"> Consequently, Ni-nie-shi stayed in Tu-huo-luo as a guest for twenty years, while his tribes further dispersed.</w:t>
      </w:r>
      <w:r w:rsidR="0091441D">
        <w:rPr>
          <w:rFonts w:asciiTheme="majorBidi" w:hAnsiTheme="majorBidi" w:cstheme="majorBidi"/>
          <w:sz w:val="24"/>
          <w:szCs w:val="24"/>
        </w:rPr>
        <w:t xml:space="preserve"> In the beginning of the Jinglong [reign-period] (707-710 CE), he came [to the court] to pay homage again, and was granted the title General of the Left Majestic Guards. He was sick and died with the western part [of the country] still existing.</w:t>
      </w:r>
      <w:r w:rsidR="003B6449">
        <w:rPr>
          <w:rFonts w:asciiTheme="majorBidi" w:hAnsiTheme="majorBidi" w:cstheme="majorBidi"/>
          <w:sz w:val="24"/>
          <w:szCs w:val="24"/>
        </w:rPr>
        <w:t xml:space="preserve"> </w:t>
      </w:r>
      <w:r w:rsidR="00841EB8">
        <w:rPr>
          <w:rFonts w:asciiTheme="majorBidi" w:hAnsiTheme="majorBidi" w:cstheme="majorBidi"/>
          <w:sz w:val="24"/>
          <w:szCs w:val="24"/>
        </w:rPr>
        <w:t xml:space="preserve"> </w:t>
      </w:r>
      <w:r w:rsidR="00780070">
        <w:rPr>
          <w:rFonts w:asciiTheme="majorBidi" w:hAnsiTheme="majorBidi" w:cstheme="majorBidi"/>
          <w:sz w:val="24"/>
          <w:szCs w:val="24"/>
        </w:rPr>
        <w:t xml:space="preserve"> </w:t>
      </w:r>
      <w:r w:rsidR="006E152C">
        <w:rPr>
          <w:rFonts w:asciiTheme="majorBidi" w:hAnsiTheme="majorBidi" w:cstheme="majorBidi"/>
          <w:sz w:val="24"/>
          <w:szCs w:val="24"/>
        </w:rPr>
        <w:t xml:space="preserve"> </w:t>
      </w:r>
      <w:r>
        <w:rPr>
          <w:rFonts w:asciiTheme="majorBidi" w:hAnsiTheme="majorBidi" w:cstheme="majorBidi"/>
          <w:sz w:val="24"/>
          <w:szCs w:val="24"/>
        </w:rPr>
        <w:t xml:space="preserve"> </w:t>
      </w:r>
      <w:r w:rsidR="00784A81">
        <w:rPr>
          <w:rFonts w:asciiTheme="majorBidi" w:hAnsiTheme="majorBidi" w:cstheme="majorBidi"/>
          <w:sz w:val="24"/>
          <w:szCs w:val="24"/>
        </w:rPr>
        <w:t xml:space="preserve"> </w:t>
      </w:r>
    </w:p>
    <w:p w14:paraId="491F6D8E" w14:textId="55BAC524" w:rsidR="00502A0D" w:rsidRPr="005A4ED1" w:rsidRDefault="00502A0D" w:rsidP="001623A5">
      <w:pPr>
        <w:spacing w:line="360" w:lineRule="auto"/>
        <w:rPr>
          <w:rFonts w:asciiTheme="majorBidi" w:hAnsiTheme="majorBidi" w:cstheme="majorBidi"/>
          <w:sz w:val="24"/>
          <w:szCs w:val="24"/>
        </w:rPr>
      </w:pPr>
    </w:p>
    <w:p w14:paraId="560E1A6E" w14:textId="77777777" w:rsidR="00D04932" w:rsidRDefault="00D04932">
      <w:pPr>
        <w:widowControl/>
        <w:jc w:val="left"/>
        <w:rPr>
          <w:rFonts w:asciiTheme="majorBidi" w:hAnsiTheme="majorBidi" w:cstheme="majorBidi"/>
          <w:sz w:val="24"/>
          <w:szCs w:val="24"/>
        </w:rPr>
      </w:pPr>
      <w:r>
        <w:rPr>
          <w:rFonts w:asciiTheme="majorBidi" w:hAnsiTheme="majorBidi" w:cstheme="majorBidi"/>
          <w:sz w:val="24"/>
          <w:szCs w:val="24"/>
        </w:rPr>
        <w:br w:type="page"/>
      </w:r>
    </w:p>
    <w:p w14:paraId="664E913B" w14:textId="3E66E0C0" w:rsidR="005A4ED1" w:rsidRPr="002A05BE" w:rsidRDefault="002D58E3" w:rsidP="00785CD3">
      <w:pPr>
        <w:pStyle w:val="Heading3"/>
        <w:spacing w:line="360" w:lineRule="auto"/>
        <w:rPr>
          <w:rFonts w:asciiTheme="majorBidi" w:hAnsiTheme="majorBidi"/>
          <w:b/>
          <w:bCs/>
          <w:color w:val="auto"/>
        </w:rPr>
      </w:pPr>
      <w:bookmarkStart w:id="18" w:name="_Toc91623884"/>
      <w:r w:rsidRPr="002A05BE">
        <w:rPr>
          <w:rFonts w:asciiTheme="majorBidi" w:hAnsiTheme="majorBidi"/>
          <w:b/>
          <w:bCs/>
          <w:color w:val="auto"/>
        </w:rPr>
        <w:lastRenderedPageBreak/>
        <w:t>III</w:t>
      </w:r>
      <w:r w:rsidR="00D87B6C" w:rsidRPr="002A05BE">
        <w:rPr>
          <w:rFonts w:asciiTheme="majorBidi" w:hAnsiTheme="majorBidi"/>
          <w:b/>
          <w:bCs/>
          <w:color w:val="auto"/>
        </w:rPr>
        <w:t xml:space="preserve"> </w:t>
      </w:r>
      <w:proofErr w:type="gramStart"/>
      <w:r w:rsidR="002A05BE" w:rsidRPr="00951CE1">
        <w:rPr>
          <w:rFonts w:asciiTheme="majorBidi" w:hAnsiTheme="majorBidi"/>
          <w:b/>
          <w:bCs/>
          <w:color w:val="auto"/>
        </w:rPr>
        <w:t>The</w:t>
      </w:r>
      <w:proofErr w:type="gramEnd"/>
      <w:r w:rsidR="002A05BE" w:rsidRPr="002A05BE">
        <w:rPr>
          <w:rFonts w:asciiTheme="majorBidi" w:hAnsiTheme="majorBidi"/>
          <w:b/>
          <w:bCs/>
          <w:i/>
          <w:iCs/>
          <w:color w:val="auto"/>
        </w:rPr>
        <w:t xml:space="preserve"> </w:t>
      </w:r>
      <w:r w:rsidR="005A4ED1" w:rsidRPr="002A05BE">
        <w:rPr>
          <w:rFonts w:asciiTheme="majorBidi" w:hAnsiTheme="majorBidi"/>
          <w:b/>
          <w:bCs/>
          <w:i/>
          <w:iCs/>
          <w:color w:val="auto"/>
        </w:rPr>
        <w:t>Biography of Sanzang Fashi of the Great Ci</w:t>
      </w:r>
      <w:r w:rsidR="0035667A" w:rsidRPr="002A05BE">
        <w:rPr>
          <w:rFonts w:asciiTheme="majorBidi" w:hAnsiTheme="majorBidi"/>
          <w:b/>
          <w:bCs/>
          <w:i/>
          <w:iCs/>
          <w:color w:val="auto"/>
        </w:rPr>
        <w:t>'</w:t>
      </w:r>
      <w:r w:rsidR="005A4ED1" w:rsidRPr="002A05BE">
        <w:rPr>
          <w:rFonts w:asciiTheme="majorBidi" w:hAnsiTheme="majorBidi"/>
          <w:b/>
          <w:bCs/>
          <w:i/>
          <w:iCs/>
          <w:color w:val="auto"/>
        </w:rPr>
        <w:t>en Monastery</w:t>
      </w:r>
      <w:bookmarkEnd w:id="18"/>
    </w:p>
    <w:p w14:paraId="7BD6967D" w14:textId="4E010E0B" w:rsidR="00317FB5" w:rsidRDefault="00317FB5" w:rsidP="00785CD3">
      <w:pPr>
        <w:spacing w:line="360" w:lineRule="auto"/>
        <w:rPr>
          <w:rFonts w:asciiTheme="majorBidi" w:hAnsiTheme="majorBidi" w:cstheme="majorBidi"/>
          <w:sz w:val="24"/>
          <w:szCs w:val="24"/>
        </w:rPr>
      </w:pPr>
      <w:r>
        <w:rPr>
          <w:rFonts w:asciiTheme="majorBidi" w:hAnsiTheme="majorBidi" w:cstheme="majorBidi"/>
          <w:sz w:val="24"/>
          <w:szCs w:val="24"/>
        </w:rPr>
        <w:t>(Excerpted from volume 3</w:t>
      </w:r>
      <w:r w:rsidR="00557938">
        <w:rPr>
          <w:rFonts w:asciiTheme="majorBidi" w:hAnsiTheme="majorBidi" w:cstheme="majorBidi"/>
          <w:sz w:val="24"/>
          <w:szCs w:val="24"/>
        </w:rPr>
        <w:t>, p. 31</w:t>
      </w:r>
      <w:r>
        <w:rPr>
          <w:rFonts w:asciiTheme="majorBidi" w:hAnsiTheme="majorBidi" w:cstheme="majorBidi"/>
          <w:sz w:val="24"/>
          <w:szCs w:val="24"/>
        </w:rPr>
        <w:t>)</w:t>
      </w:r>
    </w:p>
    <w:p w14:paraId="19848B6C" w14:textId="5464E986" w:rsidR="00883318" w:rsidRPr="003407FD" w:rsidRDefault="00883318" w:rsidP="003407FD">
      <w:pPr>
        <w:spacing w:line="360" w:lineRule="auto"/>
        <w:ind w:firstLine="480"/>
        <w:rPr>
          <w:rFonts w:ascii="SimSun" w:eastAsia="SimSun" w:hAnsi="SimSun" w:cs="SimSun"/>
          <w:sz w:val="24"/>
          <w:szCs w:val="24"/>
        </w:rPr>
      </w:pPr>
      <w:r w:rsidRPr="0043029B">
        <w:rPr>
          <w:rFonts w:ascii="SimSun" w:eastAsia="SimSun" w:hAnsi="SimSun" w:cs="SimSun"/>
          <w:sz w:val="24"/>
          <w:szCs w:val="24"/>
        </w:rPr>
        <w:t>自此数百里渡缚刍河，至活国，即叶护可汗长子呾度设（设者官名。）所居之地，又是高昌王妹婿。高昌王有书至其所。比法师到，公主可贺敦已死，咀度设又病，闻法师从高昌来，又得书，与男女等呜咽不能止。因请曰：“弟子见师目明，愿少停息。若差，自送师到婆罗门国。”时更有一梵僧至，为诵咒，患得渐除。其后娶可贺敦，年少，受前儿嘱，因药以杀其夫。设既死，高昌公主男小，遂被前儿特勤篡立为设，仍妻后母。为逢丧故，淹留月馀</w:t>
      </w:r>
      <w:r w:rsidRPr="0043029B">
        <w:rPr>
          <w:rFonts w:ascii="SimSun" w:eastAsia="SimSun" w:hAnsi="SimSun" w:cs="SimSun" w:hint="eastAsia"/>
          <w:sz w:val="24"/>
          <w:szCs w:val="24"/>
        </w:rPr>
        <w:t>。</w:t>
      </w:r>
    </w:p>
    <w:p w14:paraId="20F143F7" w14:textId="77777777" w:rsidR="007634F8" w:rsidRDefault="00637E84" w:rsidP="001623A5">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317FB5">
        <w:rPr>
          <w:rFonts w:asciiTheme="majorBidi" w:hAnsiTheme="majorBidi" w:cstheme="majorBidi"/>
          <w:sz w:val="24"/>
          <w:szCs w:val="24"/>
        </w:rPr>
        <w:t xml:space="preserve">From here (the Iron Gate) he (Xuanzang) crossed the Oxus after a journey </w:t>
      </w:r>
      <w:r>
        <w:rPr>
          <w:rFonts w:asciiTheme="majorBidi" w:hAnsiTheme="majorBidi" w:cstheme="majorBidi"/>
          <w:sz w:val="24"/>
          <w:szCs w:val="24"/>
        </w:rPr>
        <w:t>of</w:t>
      </w:r>
      <w:r w:rsidR="00317FB5">
        <w:rPr>
          <w:rFonts w:asciiTheme="majorBidi" w:hAnsiTheme="majorBidi" w:cstheme="majorBidi"/>
          <w:sz w:val="24"/>
          <w:szCs w:val="24"/>
        </w:rPr>
        <w:t xml:space="preserve"> several hundred li, and arrived at Huoguo</w:t>
      </w:r>
      <w:r>
        <w:rPr>
          <w:rFonts w:asciiTheme="majorBidi" w:hAnsiTheme="majorBidi" w:cstheme="majorBidi"/>
          <w:sz w:val="24"/>
          <w:szCs w:val="24"/>
        </w:rPr>
        <w:t xml:space="preserve"> (Warwālīz)</w:t>
      </w:r>
      <w:r w:rsidR="00317FB5">
        <w:rPr>
          <w:rFonts w:asciiTheme="majorBidi" w:hAnsiTheme="majorBidi" w:cstheme="majorBidi"/>
          <w:sz w:val="24"/>
          <w:szCs w:val="24"/>
        </w:rPr>
        <w:t>, where Tardu Shad</w:t>
      </w:r>
      <w:r>
        <w:rPr>
          <w:rFonts w:asciiTheme="majorBidi" w:hAnsiTheme="majorBidi" w:cstheme="majorBidi"/>
          <w:sz w:val="24"/>
          <w:szCs w:val="24"/>
        </w:rPr>
        <w:t xml:space="preserve"> (Shad being a title)</w:t>
      </w:r>
      <w:r w:rsidR="00317FB5">
        <w:rPr>
          <w:rFonts w:asciiTheme="majorBidi" w:hAnsiTheme="majorBidi" w:cstheme="majorBidi"/>
          <w:sz w:val="24"/>
          <w:szCs w:val="24"/>
        </w:rPr>
        <w:t>, who was the elder son of the Yabghū Khāqān and the husband of the sister of the king of Gaochang</w:t>
      </w:r>
      <w:r>
        <w:rPr>
          <w:rFonts w:asciiTheme="majorBidi" w:hAnsiTheme="majorBidi" w:cstheme="majorBidi"/>
          <w:sz w:val="24"/>
          <w:szCs w:val="24"/>
        </w:rPr>
        <w:t xml:space="preserve"> as well</w:t>
      </w:r>
      <w:r w:rsidR="00317FB5">
        <w:rPr>
          <w:rFonts w:asciiTheme="majorBidi" w:hAnsiTheme="majorBidi" w:cstheme="majorBidi"/>
          <w:sz w:val="24"/>
          <w:szCs w:val="24"/>
        </w:rPr>
        <w:t xml:space="preserve">, held his court. The king of Gaochang sent a letter to his court. However, the princess Khatun had passed away when the monk (Xuanzang) arrived. What is more, Tardu Shad was sick. When he was informed that the monk came from Gaochang and </w:t>
      </w:r>
      <w:r>
        <w:rPr>
          <w:rFonts w:asciiTheme="majorBidi" w:hAnsiTheme="majorBidi" w:cstheme="majorBidi"/>
          <w:sz w:val="24"/>
          <w:szCs w:val="24"/>
        </w:rPr>
        <w:t>then read</w:t>
      </w:r>
      <w:r w:rsidR="00317FB5">
        <w:rPr>
          <w:rFonts w:asciiTheme="majorBidi" w:hAnsiTheme="majorBidi" w:cstheme="majorBidi"/>
          <w:sz w:val="24"/>
          <w:szCs w:val="24"/>
        </w:rPr>
        <w:t xml:space="preserve"> the letter, he </w:t>
      </w:r>
      <w:r w:rsidR="00557938">
        <w:rPr>
          <w:rFonts w:asciiTheme="majorBidi" w:hAnsiTheme="majorBidi" w:cstheme="majorBidi"/>
          <w:sz w:val="24"/>
          <w:szCs w:val="24"/>
        </w:rPr>
        <w:t xml:space="preserve">could not stop sobbing together with his male and female companions. He </w:t>
      </w:r>
      <w:r>
        <w:rPr>
          <w:rFonts w:asciiTheme="majorBidi" w:hAnsiTheme="majorBidi" w:cstheme="majorBidi"/>
          <w:sz w:val="24"/>
          <w:szCs w:val="24"/>
        </w:rPr>
        <w:t xml:space="preserve">then </w:t>
      </w:r>
      <w:r w:rsidR="00557938">
        <w:rPr>
          <w:rFonts w:asciiTheme="majorBidi" w:hAnsiTheme="majorBidi" w:cstheme="majorBidi"/>
          <w:sz w:val="24"/>
          <w:szCs w:val="24"/>
        </w:rPr>
        <w:t xml:space="preserve">addressed, </w:t>
      </w:r>
      <w:r>
        <w:rPr>
          <w:rFonts w:asciiTheme="majorBidi" w:hAnsiTheme="majorBidi" w:cstheme="majorBidi"/>
          <w:sz w:val="24"/>
          <w:szCs w:val="24"/>
        </w:rPr>
        <w:t>"T</w:t>
      </w:r>
      <w:r w:rsidR="00557938">
        <w:rPr>
          <w:rFonts w:asciiTheme="majorBidi" w:hAnsiTheme="majorBidi" w:cstheme="majorBidi"/>
          <w:sz w:val="24"/>
          <w:szCs w:val="24"/>
        </w:rPr>
        <w:t>he eyes of your discipline behold light in seeing the master</w:t>
      </w:r>
      <w:r>
        <w:rPr>
          <w:rFonts w:asciiTheme="majorBidi" w:hAnsiTheme="majorBidi" w:cstheme="majorBidi"/>
          <w:sz w:val="24"/>
          <w:szCs w:val="24"/>
        </w:rPr>
        <w:t>. P</w:t>
      </w:r>
      <w:r w:rsidR="00557938">
        <w:rPr>
          <w:rFonts w:asciiTheme="majorBidi" w:hAnsiTheme="majorBidi" w:cstheme="majorBidi"/>
          <w:sz w:val="24"/>
          <w:szCs w:val="24"/>
        </w:rPr>
        <w:t>lease stay and rest for a short while. If possible, I would usher the master to the country of Brahmin.</w:t>
      </w:r>
      <w:r>
        <w:rPr>
          <w:rFonts w:asciiTheme="majorBidi" w:hAnsiTheme="majorBidi" w:cstheme="majorBidi"/>
          <w:sz w:val="24"/>
          <w:szCs w:val="24"/>
        </w:rPr>
        <w:t>"</w:t>
      </w:r>
      <w:r w:rsidR="00557938">
        <w:rPr>
          <w:rFonts w:asciiTheme="majorBidi" w:hAnsiTheme="majorBidi" w:cstheme="majorBidi"/>
          <w:sz w:val="24"/>
          <w:szCs w:val="24"/>
        </w:rPr>
        <w:t xml:space="preserve"> Later an Indian monk arrived and cured the Shad’s disease after reciting spells for him. The Khatun that he married later was young and poisoned her husband </w:t>
      </w:r>
      <w:r>
        <w:rPr>
          <w:rFonts w:asciiTheme="majorBidi" w:hAnsiTheme="majorBidi" w:cstheme="majorBidi"/>
          <w:sz w:val="24"/>
          <w:szCs w:val="24"/>
        </w:rPr>
        <w:t>when instructed</w:t>
      </w:r>
      <w:r w:rsidR="00557938">
        <w:rPr>
          <w:rFonts w:asciiTheme="majorBidi" w:hAnsiTheme="majorBidi" w:cstheme="majorBidi"/>
          <w:sz w:val="24"/>
          <w:szCs w:val="24"/>
        </w:rPr>
        <w:t xml:space="preserve"> by his </w:t>
      </w:r>
      <w:r w:rsidR="00BD076B">
        <w:rPr>
          <w:rFonts w:asciiTheme="majorBidi" w:hAnsiTheme="majorBidi" w:cstheme="majorBidi"/>
          <w:sz w:val="24"/>
          <w:szCs w:val="24"/>
        </w:rPr>
        <w:t xml:space="preserve">elder </w:t>
      </w:r>
      <w:r w:rsidR="00557938">
        <w:rPr>
          <w:rFonts w:asciiTheme="majorBidi" w:hAnsiTheme="majorBidi" w:cstheme="majorBidi"/>
          <w:sz w:val="24"/>
          <w:szCs w:val="24"/>
        </w:rPr>
        <w:t>son. When the Shad died, the elder</w:t>
      </w:r>
      <w:r w:rsidR="00BD076B">
        <w:rPr>
          <w:rFonts w:asciiTheme="majorBidi" w:hAnsiTheme="majorBidi" w:cstheme="majorBidi"/>
          <w:sz w:val="24"/>
          <w:szCs w:val="24"/>
        </w:rPr>
        <w:t xml:space="preserve"> son established himself as the new Shad and married his stepmother, since the boy of the Gaochang princess was of a tender age. Because of the funeral, he (Xuanzang) sojourned </w:t>
      </w:r>
      <w:r>
        <w:rPr>
          <w:rFonts w:asciiTheme="majorBidi" w:hAnsiTheme="majorBidi" w:cstheme="majorBidi"/>
          <w:sz w:val="24"/>
          <w:szCs w:val="24"/>
        </w:rPr>
        <w:t xml:space="preserve">[in Warwālīz] </w:t>
      </w:r>
      <w:r w:rsidR="00BD076B">
        <w:rPr>
          <w:rFonts w:asciiTheme="majorBidi" w:hAnsiTheme="majorBidi" w:cstheme="majorBidi"/>
          <w:sz w:val="24"/>
          <w:szCs w:val="24"/>
        </w:rPr>
        <w:t>for about a month.</w:t>
      </w:r>
    </w:p>
    <w:p w14:paraId="591E374D" w14:textId="77777777" w:rsidR="007634F8" w:rsidRDefault="007634F8" w:rsidP="001623A5">
      <w:pPr>
        <w:spacing w:line="360" w:lineRule="auto"/>
        <w:rPr>
          <w:rFonts w:asciiTheme="majorBidi" w:hAnsiTheme="majorBidi" w:cstheme="majorBidi"/>
          <w:sz w:val="24"/>
          <w:szCs w:val="24"/>
        </w:rPr>
      </w:pPr>
    </w:p>
    <w:p w14:paraId="5B7D3130" w14:textId="59FBB118" w:rsidR="007634F8" w:rsidRDefault="007634F8" w:rsidP="001623A5">
      <w:pPr>
        <w:spacing w:line="360" w:lineRule="auto"/>
        <w:rPr>
          <w:rFonts w:asciiTheme="majorBidi" w:hAnsiTheme="majorBidi" w:cstheme="majorBidi"/>
          <w:sz w:val="24"/>
          <w:szCs w:val="24"/>
        </w:rPr>
      </w:pPr>
      <w:r>
        <w:rPr>
          <w:rFonts w:asciiTheme="majorBidi" w:hAnsiTheme="majorBidi" w:cstheme="majorBidi"/>
          <w:sz w:val="24"/>
          <w:szCs w:val="24"/>
        </w:rPr>
        <w:t>(volume 5, p. 116)</w:t>
      </w:r>
    </w:p>
    <w:p w14:paraId="27C5CC99" w14:textId="3E5FA5F4" w:rsidR="00883318" w:rsidRPr="003407FD" w:rsidRDefault="00883318" w:rsidP="003407FD">
      <w:pPr>
        <w:spacing w:line="360" w:lineRule="auto"/>
        <w:ind w:firstLine="480"/>
        <w:rPr>
          <w:rFonts w:ascii="SimSun" w:eastAsia="SimSun" w:hAnsi="SimSun" w:cs="SimSun"/>
          <w:sz w:val="24"/>
          <w:szCs w:val="24"/>
        </w:rPr>
      </w:pPr>
      <w:r w:rsidRPr="007634F8">
        <w:rPr>
          <w:rFonts w:ascii="SimSun" w:eastAsia="SimSun" w:hAnsi="SimSun" w:cs="SimSun"/>
          <w:sz w:val="24"/>
          <w:szCs w:val="24"/>
        </w:rPr>
        <w:t>法师从西北下数里有少平地，施帐宿，旦而进，经五六日下山，至安怛罗缚婆国，即都货罗之故地。伽蓝三所，僧徒数十，习大众部法。有一率堵波，无忧王建也。法师停五日，西北下山行四百馀里，至阔悉多国，亦都货罗之故地。从此西北复山行三百馀里，至活国，居缚刍河侧，</w:t>
      </w:r>
      <w:r>
        <w:rPr>
          <w:rFonts w:ascii="SimSun" w:eastAsia="SimSun" w:hAnsi="SimSun" w:hint="eastAsia"/>
          <w:sz w:val="24"/>
          <w:szCs w:val="24"/>
        </w:rPr>
        <w:t>即覩</w:t>
      </w:r>
      <w:r w:rsidRPr="007634F8">
        <w:rPr>
          <w:rFonts w:ascii="SimSun" w:eastAsia="SimSun" w:hAnsi="SimSun" w:cs="SimSun"/>
          <w:sz w:val="24"/>
          <w:szCs w:val="24"/>
        </w:rPr>
        <w:t>货罗东界，都城在河南岸。</w:t>
      </w:r>
      <w:r w:rsidRPr="007634F8">
        <w:rPr>
          <w:rFonts w:ascii="SimSun" w:eastAsia="SimSun" w:hAnsi="SimSun" w:cs="SimSun"/>
          <w:sz w:val="24"/>
          <w:szCs w:val="24"/>
        </w:rPr>
        <w:lastRenderedPageBreak/>
        <w:t>因见叶护可汗孙王都货罗，自称叶护。至衙停一月，叶护遣卫送，共商侣东行</w:t>
      </w:r>
      <w:r w:rsidRPr="007634F8">
        <w:rPr>
          <w:rFonts w:ascii="SimSun" w:eastAsia="SimSun" w:hAnsi="SimSun" w:cs="SimSun" w:hint="eastAsia"/>
          <w:sz w:val="24"/>
          <w:szCs w:val="24"/>
        </w:rPr>
        <w:t>。</w:t>
      </w:r>
      <w:r w:rsidRPr="007634F8">
        <w:rPr>
          <w:rFonts w:ascii="SimSun" w:eastAsia="SimSun" w:hAnsi="SimSun" w:cs="SimSun"/>
          <w:sz w:val="24"/>
          <w:szCs w:val="24"/>
        </w:rPr>
        <w:t xml:space="preserve"> </w:t>
      </w:r>
    </w:p>
    <w:p w14:paraId="21BBDA83" w14:textId="19FDF4EF" w:rsidR="00317FB5" w:rsidRPr="005A4ED1" w:rsidRDefault="004A35E7" w:rsidP="004A35E7">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7634F8" w:rsidRPr="004A35E7">
        <w:rPr>
          <w:rFonts w:asciiTheme="majorBidi" w:hAnsiTheme="majorBidi" w:cstheme="majorBidi"/>
          <w:sz w:val="24"/>
          <w:szCs w:val="24"/>
        </w:rPr>
        <w:t xml:space="preserve">The monk </w:t>
      </w:r>
      <w:r>
        <w:rPr>
          <w:rFonts w:asciiTheme="majorBidi" w:hAnsiTheme="majorBidi" w:cstheme="majorBidi"/>
          <w:sz w:val="24"/>
          <w:szCs w:val="24"/>
        </w:rPr>
        <w:t xml:space="preserve">(Xuanzang) </w:t>
      </w:r>
      <w:r w:rsidR="007634F8" w:rsidRPr="004A35E7">
        <w:rPr>
          <w:rFonts w:asciiTheme="majorBidi" w:hAnsiTheme="majorBidi" w:cstheme="majorBidi"/>
          <w:sz w:val="24"/>
          <w:szCs w:val="24"/>
        </w:rPr>
        <w:t xml:space="preserve">found </w:t>
      </w:r>
      <w:r w:rsidRPr="004A35E7">
        <w:rPr>
          <w:rFonts w:asciiTheme="majorBidi" w:hAnsiTheme="majorBidi" w:cstheme="majorBidi" w:hint="eastAsia"/>
          <w:sz w:val="24"/>
          <w:szCs w:val="24"/>
        </w:rPr>
        <w:t>a</w:t>
      </w:r>
      <w:r w:rsidRPr="004A35E7">
        <w:rPr>
          <w:rFonts w:asciiTheme="majorBidi" w:hAnsiTheme="majorBidi" w:cstheme="majorBidi"/>
          <w:sz w:val="24"/>
          <w:szCs w:val="24"/>
        </w:rPr>
        <w:t xml:space="preserve"> small flat area after descending northwest</w:t>
      </w:r>
      <w:r w:rsidR="000546E7">
        <w:rPr>
          <w:rFonts w:asciiTheme="majorBidi" w:hAnsiTheme="majorBidi" w:cstheme="majorBidi"/>
          <w:sz w:val="24"/>
          <w:szCs w:val="24"/>
        </w:rPr>
        <w:t>ward</w:t>
      </w:r>
      <w:r w:rsidRPr="004A35E7">
        <w:rPr>
          <w:rFonts w:asciiTheme="majorBidi" w:hAnsiTheme="majorBidi" w:cstheme="majorBidi"/>
          <w:sz w:val="24"/>
          <w:szCs w:val="24"/>
        </w:rPr>
        <w:t xml:space="preserve"> for several li, and erected his tent there for night. </w:t>
      </w:r>
      <w:r>
        <w:rPr>
          <w:rFonts w:asciiTheme="majorBidi" w:hAnsiTheme="majorBidi" w:cstheme="majorBidi"/>
          <w:sz w:val="24"/>
          <w:szCs w:val="24"/>
        </w:rPr>
        <w:t xml:space="preserve">[He] continued in the morning, and after descending for five or six days arrived at Andarāb, an old territory of the country Tohuoluo (Ṭukhāristān). </w:t>
      </w:r>
      <w:r w:rsidRPr="004A35E7">
        <w:rPr>
          <w:rFonts w:asciiTheme="majorBidi" w:hAnsiTheme="majorBidi" w:cstheme="majorBidi"/>
          <w:sz w:val="24"/>
          <w:szCs w:val="24"/>
        </w:rPr>
        <w:t xml:space="preserve">There </w:t>
      </w:r>
      <w:r>
        <w:rPr>
          <w:rFonts w:asciiTheme="majorBidi" w:hAnsiTheme="majorBidi" w:cstheme="majorBidi"/>
          <w:sz w:val="24"/>
          <w:szCs w:val="24"/>
        </w:rPr>
        <w:t>we</w:t>
      </w:r>
      <w:r w:rsidRPr="004A35E7">
        <w:rPr>
          <w:rFonts w:asciiTheme="majorBidi" w:hAnsiTheme="majorBidi" w:cstheme="majorBidi"/>
          <w:sz w:val="24"/>
          <w:szCs w:val="24"/>
        </w:rPr>
        <w:t>re three monasteries with a few tens of monks, all of whom stud</w:t>
      </w:r>
      <w:r>
        <w:rPr>
          <w:rFonts w:asciiTheme="majorBidi" w:hAnsiTheme="majorBidi" w:cstheme="majorBidi"/>
          <w:sz w:val="24"/>
          <w:szCs w:val="24"/>
        </w:rPr>
        <w:t>ied</w:t>
      </w:r>
      <w:r w:rsidRPr="004A35E7">
        <w:rPr>
          <w:rFonts w:asciiTheme="majorBidi" w:hAnsiTheme="majorBidi" w:cstheme="majorBidi"/>
          <w:sz w:val="24"/>
          <w:szCs w:val="24"/>
        </w:rPr>
        <w:t xml:space="preserve"> the teachings of the Mah</w:t>
      </w:r>
      <w:r w:rsidRPr="004A35E7">
        <w:rPr>
          <w:rFonts w:asciiTheme="majorBidi" w:hAnsiTheme="majorBidi" w:cstheme="majorBidi" w:hint="eastAsia"/>
          <w:sz w:val="24"/>
          <w:szCs w:val="24"/>
        </w:rPr>
        <w:t>ā</w:t>
      </w:r>
      <w:r w:rsidRPr="004A35E7">
        <w:rPr>
          <w:rFonts w:asciiTheme="majorBidi" w:hAnsiTheme="majorBidi" w:cstheme="majorBidi"/>
          <w:sz w:val="24"/>
          <w:szCs w:val="24"/>
        </w:rPr>
        <w:t>s</w:t>
      </w:r>
      <w:r w:rsidRPr="004A35E7">
        <w:rPr>
          <w:rFonts w:asciiTheme="majorBidi" w:hAnsiTheme="majorBidi" w:cstheme="majorBidi" w:hint="eastAsia"/>
          <w:sz w:val="24"/>
          <w:szCs w:val="24"/>
        </w:rPr>
        <w:t>ā</w:t>
      </w:r>
      <w:r w:rsidRPr="004A35E7">
        <w:rPr>
          <w:rFonts w:asciiTheme="majorBidi" w:hAnsiTheme="majorBidi" w:cstheme="majorBidi"/>
          <w:sz w:val="24"/>
          <w:szCs w:val="24"/>
        </w:rPr>
        <w:t xml:space="preserve">ṃghika school. There </w:t>
      </w:r>
      <w:r>
        <w:rPr>
          <w:rFonts w:asciiTheme="majorBidi" w:hAnsiTheme="majorBidi" w:cstheme="majorBidi"/>
          <w:sz w:val="24"/>
          <w:szCs w:val="24"/>
        </w:rPr>
        <w:t>wa</w:t>
      </w:r>
      <w:r w:rsidRPr="004A35E7">
        <w:rPr>
          <w:rFonts w:asciiTheme="majorBidi" w:hAnsiTheme="majorBidi" w:cstheme="majorBidi"/>
          <w:sz w:val="24"/>
          <w:szCs w:val="24"/>
        </w:rPr>
        <w:t>s one stupa built by King Aśoka.</w:t>
      </w:r>
      <w:r>
        <w:rPr>
          <w:rFonts w:asciiTheme="majorBidi" w:hAnsiTheme="majorBidi" w:cstheme="majorBidi"/>
          <w:sz w:val="24"/>
          <w:szCs w:val="24"/>
        </w:rPr>
        <w:t xml:space="preserve"> The monk </w:t>
      </w:r>
      <w:r w:rsidR="000546E7">
        <w:rPr>
          <w:rFonts w:asciiTheme="majorBidi" w:hAnsiTheme="majorBidi" w:cstheme="majorBidi"/>
          <w:sz w:val="24"/>
          <w:szCs w:val="24"/>
        </w:rPr>
        <w:t>stopped there for five days, and arrived at Khost after descending northwestward for around 400 li, which was an old territory of the country of Tuhuoluo as well. Thence a mountainous journey for around 300 li northwestward led him to Huoguo (Warwālīz), which was located close to the Oxus and marked the eastern border of Tuhuoluo. Its capital was found on the southern bank of t</w:t>
      </w:r>
      <w:r w:rsidR="002353C7">
        <w:rPr>
          <w:rFonts w:asciiTheme="majorBidi" w:hAnsiTheme="majorBidi" w:cstheme="majorBidi"/>
          <w:sz w:val="24"/>
          <w:szCs w:val="24"/>
        </w:rPr>
        <w:t xml:space="preserve">he [Oxus] river. Then [Xuanzang] met the grandson of the Yabghū Khāqān, the king of Tuhuoluo, who claimed [the title] Yabghū. After staying in his court of a month, the Yabghū sent guards to accompany [Xuanzang for his journey], who traveled </w:t>
      </w:r>
      <w:r w:rsidR="00200B7F">
        <w:rPr>
          <w:rFonts w:asciiTheme="majorBidi" w:hAnsiTheme="majorBidi" w:cstheme="majorBidi"/>
          <w:sz w:val="24"/>
          <w:szCs w:val="24"/>
        </w:rPr>
        <w:t xml:space="preserve">eastward </w:t>
      </w:r>
      <w:r w:rsidR="002353C7">
        <w:rPr>
          <w:rFonts w:asciiTheme="majorBidi" w:hAnsiTheme="majorBidi" w:cstheme="majorBidi"/>
          <w:sz w:val="24"/>
          <w:szCs w:val="24"/>
        </w:rPr>
        <w:t xml:space="preserve">with a </w:t>
      </w:r>
      <w:r w:rsidR="00F36E89">
        <w:rPr>
          <w:rFonts w:asciiTheme="majorBidi" w:hAnsiTheme="majorBidi" w:cstheme="majorBidi"/>
          <w:sz w:val="24"/>
          <w:szCs w:val="24"/>
        </w:rPr>
        <w:t>trading</w:t>
      </w:r>
      <w:r w:rsidR="002353C7">
        <w:rPr>
          <w:rFonts w:asciiTheme="majorBidi" w:hAnsiTheme="majorBidi" w:cstheme="majorBidi"/>
          <w:sz w:val="24"/>
          <w:szCs w:val="24"/>
        </w:rPr>
        <w:t xml:space="preserve"> caravan</w:t>
      </w:r>
      <w:r w:rsidR="004E12DF">
        <w:rPr>
          <w:rFonts w:asciiTheme="majorBidi" w:hAnsiTheme="majorBidi" w:cstheme="majorBidi"/>
          <w:sz w:val="24"/>
          <w:szCs w:val="24"/>
        </w:rPr>
        <w:t>.</w:t>
      </w:r>
      <w:r w:rsidR="000546E7">
        <w:rPr>
          <w:rFonts w:asciiTheme="majorBidi" w:hAnsiTheme="majorBidi" w:cstheme="majorBidi"/>
          <w:sz w:val="24"/>
          <w:szCs w:val="24"/>
        </w:rPr>
        <w:t xml:space="preserve"> </w:t>
      </w:r>
    </w:p>
    <w:p w14:paraId="559B1968" w14:textId="77777777" w:rsidR="005A4ED1" w:rsidRPr="005A4ED1" w:rsidRDefault="005A4ED1" w:rsidP="001623A5">
      <w:pPr>
        <w:spacing w:line="360" w:lineRule="auto"/>
        <w:rPr>
          <w:rFonts w:asciiTheme="majorBidi" w:hAnsiTheme="majorBidi" w:cstheme="majorBidi"/>
          <w:sz w:val="24"/>
          <w:szCs w:val="24"/>
        </w:rPr>
      </w:pPr>
    </w:p>
    <w:p w14:paraId="21419CF2" w14:textId="6D2EA2B7" w:rsidR="00502A0D" w:rsidRPr="005A4ED1" w:rsidRDefault="00502A0D" w:rsidP="001623A5">
      <w:pPr>
        <w:spacing w:line="360" w:lineRule="auto"/>
        <w:rPr>
          <w:rFonts w:asciiTheme="majorBidi" w:hAnsiTheme="majorBidi" w:cstheme="majorBidi"/>
          <w:sz w:val="24"/>
          <w:szCs w:val="24"/>
        </w:rPr>
      </w:pPr>
    </w:p>
    <w:p w14:paraId="5A0E27C5" w14:textId="77777777" w:rsidR="00D04932" w:rsidRDefault="00D04932">
      <w:pPr>
        <w:widowControl/>
        <w:jc w:val="left"/>
        <w:rPr>
          <w:rFonts w:asciiTheme="majorBidi" w:hAnsiTheme="majorBidi" w:cstheme="majorBidi"/>
          <w:sz w:val="24"/>
          <w:szCs w:val="24"/>
        </w:rPr>
      </w:pPr>
      <w:r>
        <w:rPr>
          <w:rFonts w:asciiTheme="majorBidi" w:hAnsiTheme="majorBidi" w:cstheme="majorBidi"/>
          <w:sz w:val="24"/>
          <w:szCs w:val="24"/>
        </w:rPr>
        <w:br w:type="page"/>
      </w:r>
    </w:p>
    <w:p w14:paraId="1E4B5992" w14:textId="7DDADFDE" w:rsidR="004B609E" w:rsidRPr="004B609E" w:rsidRDefault="002D58E3" w:rsidP="00785CD3">
      <w:pPr>
        <w:pStyle w:val="Heading3"/>
        <w:spacing w:line="360" w:lineRule="auto"/>
        <w:rPr>
          <w:rFonts w:asciiTheme="majorBidi" w:hAnsiTheme="majorBidi"/>
          <w:b/>
          <w:bCs/>
          <w:color w:val="auto"/>
        </w:rPr>
      </w:pPr>
      <w:bookmarkStart w:id="19" w:name="_Toc91623885"/>
      <w:r w:rsidRPr="002A05BE">
        <w:rPr>
          <w:rFonts w:asciiTheme="majorBidi" w:hAnsiTheme="majorBidi"/>
          <w:b/>
          <w:bCs/>
          <w:color w:val="auto"/>
        </w:rPr>
        <w:lastRenderedPageBreak/>
        <w:t xml:space="preserve">IV </w:t>
      </w:r>
      <w:proofErr w:type="gramStart"/>
      <w:r w:rsidR="002A05BE">
        <w:rPr>
          <w:rFonts w:asciiTheme="majorBidi" w:hAnsiTheme="majorBidi"/>
          <w:b/>
          <w:bCs/>
          <w:color w:val="auto"/>
        </w:rPr>
        <w:t>T</w:t>
      </w:r>
      <w:r w:rsidRPr="002A05BE">
        <w:rPr>
          <w:rFonts w:asciiTheme="majorBidi" w:hAnsiTheme="majorBidi"/>
          <w:b/>
          <w:bCs/>
          <w:color w:val="auto"/>
        </w:rPr>
        <w:t>he</w:t>
      </w:r>
      <w:proofErr w:type="gramEnd"/>
      <w:r w:rsidR="00D87B6C" w:rsidRPr="002A05BE">
        <w:rPr>
          <w:rFonts w:asciiTheme="majorBidi" w:hAnsiTheme="majorBidi"/>
          <w:b/>
          <w:bCs/>
          <w:color w:val="auto"/>
        </w:rPr>
        <w:t xml:space="preserve"> </w:t>
      </w:r>
      <w:r w:rsidR="005A4ED1" w:rsidRPr="002A05BE">
        <w:rPr>
          <w:rFonts w:asciiTheme="majorBidi" w:hAnsiTheme="majorBidi"/>
          <w:b/>
          <w:bCs/>
          <w:i/>
          <w:iCs/>
          <w:color w:val="auto"/>
        </w:rPr>
        <w:t xml:space="preserve">Cefu </w:t>
      </w:r>
      <w:r w:rsidR="00D87B6C" w:rsidRPr="002A05BE">
        <w:rPr>
          <w:rFonts w:asciiTheme="majorBidi" w:hAnsiTheme="majorBidi"/>
          <w:b/>
          <w:bCs/>
          <w:i/>
          <w:iCs/>
          <w:color w:val="auto"/>
        </w:rPr>
        <w:t>y</w:t>
      </w:r>
      <w:r w:rsidR="005A4ED1" w:rsidRPr="002A05BE">
        <w:rPr>
          <w:rFonts w:asciiTheme="majorBidi" w:hAnsiTheme="majorBidi"/>
          <w:b/>
          <w:bCs/>
          <w:i/>
          <w:iCs/>
          <w:color w:val="auto"/>
        </w:rPr>
        <w:t>uangui</w:t>
      </w:r>
      <w:bookmarkEnd w:id="19"/>
    </w:p>
    <w:p w14:paraId="5E5812BC" w14:textId="69FD461A" w:rsidR="00E30008" w:rsidRDefault="00E30008" w:rsidP="00785CD3">
      <w:pPr>
        <w:spacing w:line="360" w:lineRule="auto"/>
        <w:rPr>
          <w:rFonts w:asciiTheme="majorBidi" w:hAnsiTheme="majorBidi" w:cstheme="majorBidi"/>
          <w:sz w:val="24"/>
          <w:szCs w:val="24"/>
        </w:rPr>
      </w:pPr>
      <w:r>
        <w:rPr>
          <w:rFonts w:asciiTheme="majorBidi" w:hAnsiTheme="majorBidi" w:cstheme="majorBidi"/>
          <w:sz w:val="24"/>
          <w:szCs w:val="24"/>
        </w:rPr>
        <w:t>(volume 966, p. 11365)</w:t>
      </w:r>
    </w:p>
    <w:p w14:paraId="34775021" w14:textId="76030EDB" w:rsidR="00E30008" w:rsidRPr="00E30008" w:rsidRDefault="00E30008" w:rsidP="00E30008">
      <w:pPr>
        <w:spacing w:line="360" w:lineRule="auto"/>
        <w:ind w:firstLine="480"/>
        <w:rPr>
          <w:rFonts w:ascii="SimSun" w:eastAsia="SimSun" w:hAnsi="SimSun" w:cs="SimSun"/>
          <w:sz w:val="24"/>
          <w:szCs w:val="24"/>
        </w:rPr>
      </w:pPr>
      <w:r w:rsidRPr="00E30008">
        <w:rPr>
          <w:rFonts w:ascii="SimSun" w:eastAsia="SimSun" w:hAnsi="SimSun" w:cs="SimSun"/>
          <w:sz w:val="24"/>
          <w:szCs w:val="24"/>
        </w:rPr>
        <w:t>吐火罗国，唐永徽三年列其地为月氏府，以其叶护阿史那乌湿波为都</w:t>
      </w:r>
      <w:r w:rsidRPr="00E30008">
        <w:rPr>
          <w:rFonts w:ascii="SimSun" w:eastAsia="SimSun" w:hAnsi="SimSun" w:cs="SimSun" w:hint="eastAsia"/>
          <w:sz w:val="24"/>
          <w:szCs w:val="24"/>
        </w:rPr>
        <w:t>督</w:t>
      </w:r>
      <w:r w:rsidR="00A90078">
        <w:rPr>
          <w:rFonts w:ascii="SimSun" w:eastAsia="SimSun" w:hAnsi="SimSun" w:cs="SimSun" w:hint="eastAsia"/>
          <w:sz w:val="24"/>
          <w:szCs w:val="24"/>
        </w:rPr>
        <w:t>。</w:t>
      </w:r>
    </w:p>
    <w:p w14:paraId="17CBAF30" w14:textId="4A2494BC" w:rsidR="00E30008" w:rsidRDefault="00A90078" w:rsidP="001623A5">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E30008">
        <w:rPr>
          <w:rFonts w:asciiTheme="majorBidi" w:hAnsiTheme="majorBidi" w:cstheme="majorBidi"/>
          <w:sz w:val="24"/>
          <w:szCs w:val="24"/>
        </w:rPr>
        <w:t>The state of Tu-huo-luo</w:t>
      </w:r>
      <w:r>
        <w:rPr>
          <w:rFonts w:asciiTheme="majorBidi" w:hAnsiTheme="majorBidi" w:cstheme="majorBidi"/>
          <w:sz w:val="24"/>
          <w:szCs w:val="24"/>
        </w:rPr>
        <w:t xml:space="preserve"> (Ṭukhāristān)</w:t>
      </w:r>
      <w:r w:rsidR="00E30008">
        <w:rPr>
          <w:rFonts w:asciiTheme="majorBidi" w:hAnsiTheme="majorBidi" w:cstheme="majorBidi"/>
          <w:sz w:val="24"/>
          <w:szCs w:val="24"/>
        </w:rPr>
        <w:t xml:space="preserve">: in the </w:t>
      </w:r>
      <w:r>
        <w:rPr>
          <w:rFonts w:asciiTheme="majorBidi" w:hAnsiTheme="majorBidi" w:cstheme="majorBidi"/>
          <w:sz w:val="24"/>
          <w:szCs w:val="24"/>
        </w:rPr>
        <w:t xml:space="preserve">third year of the Yonghui [reign period] (652 CE), its territories were organized as the Yuezhi fu (governate); its Yabghū A-shi-na Wu-shi-bo was appointed as the Dudu (military governor).   </w:t>
      </w:r>
    </w:p>
    <w:p w14:paraId="3B732E6F" w14:textId="77777777" w:rsidR="00E30008" w:rsidRDefault="00E30008" w:rsidP="001623A5">
      <w:pPr>
        <w:spacing w:line="360" w:lineRule="auto"/>
        <w:rPr>
          <w:rFonts w:asciiTheme="majorBidi" w:hAnsiTheme="majorBidi" w:cstheme="majorBidi"/>
          <w:sz w:val="24"/>
          <w:szCs w:val="24"/>
        </w:rPr>
      </w:pPr>
    </w:p>
    <w:p w14:paraId="5A9E9B3D" w14:textId="73D39A19" w:rsidR="00BA3481" w:rsidRDefault="00BA3481" w:rsidP="001623A5">
      <w:pPr>
        <w:spacing w:line="360" w:lineRule="auto"/>
        <w:rPr>
          <w:rFonts w:asciiTheme="majorBidi" w:hAnsiTheme="majorBidi" w:cstheme="majorBidi"/>
          <w:sz w:val="24"/>
          <w:szCs w:val="24"/>
        </w:rPr>
      </w:pPr>
      <w:r w:rsidRPr="00BD76A1">
        <w:rPr>
          <w:rFonts w:asciiTheme="majorBidi" w:hAnsiTheme="majorBidi" w:cstheme="majorBidi"/>
          <w:sz w:val="24"/>
          <w:szCs w:val="24"/>
        </w:rPr>
        <w:t>(volume 971,</w:t>
      </w:r>
      <w:r w:rsidRPr="008F49D7">
        <w:rPr>
          <w:rFonts w:asciiTheme="majorBidi" w:hAnsiTheme="majorBidi" w:cstheme="majorBidi"/>
          <w:sz w:val="24"/>
          <w:szCs w:val="24"/>
        </w:rPr>
        <w:t xml:space="preserve"> </w:t>
      </w:r>
      <w:r w:rsidR="00645ECF">
        <w:rPr>
          <w:rFonts w:asciiTheme="majorBidi" w:hAnsiTheme="majorBidi" w:cstheme="majorBidi" w:hint="eastAsia"/>
          <w:sz w:val="24"/>
          <w:szCs w:val="24"/>
        </w:rPr>
        <w:t>p</w:t>
      </w:r>
      <w:r w:rsidR="00645ECF">
        <w:rPr>
          <w:rFonts w:asciiTheme="majorBidi" w:hAnsiTheme="majorBidi" w:cstheme="majorBidi"/>
          <w:sz w:val="24"/>
          <w:szCs w:val="24"/>
        </w:rPr>
        <w:t>. 11406)</w:t>
      </w:r>
    </w:p>
    <w:p w14:paraId="1FCECA30" w14:textId="20AA978B" w:rsidR="00883318" w:rsidRPr="007807F0" w:rsidRDefault="007807F0" w:rsidP="004B609E">
      <w:pPr>
        <w:spacing w:line="360" w:lineRule="auto"/>
        <w:ind w:firstLine="480"/>
        <w:rPr>
          <w:rFonts w:ascii="SimSun" w:eastAsia="SimSun" w:hAnsi="SimSun" w:cs="SimSun"/>
          <w:sz w:val="24"/>
          <w:szCs w:val="24"/>
        </w:rPr>
      </w:pPr>
      <w:r w:rsidRPr="007807F0">
        <w:rPr>
          <w:rFonts w:ascii="SimSun" w:eastAsia="SimSun" w:hAnsi="SimSun" w:cs="SimSun"/>
          <w:sz w:val="24"/>
          <w:szCs w:val="24"/>
        </w:rPr>
        <w:t>六月</w:t>
      </w:r>
      <w:r w:rsidR="004B609E">
        <w:rPr>
          <w:rFonts w:ascii="SimSun" w:eastAsia="SimSun" w:hAnsi="SimSun" w:cs="SimSun" w:hint="eastAsia"/>
          <w:sz w:val="24"/>
          <w:szCs w:val="24"/>
        </w:rPr>
        <w:t>，</w:t>
      </w:r>
      <w:r w:rsidRPr="007807F0">
        <w:rPr>
          <w:rFonts w:ascii="SimSun" w:eastAsia="SimSun" w:hAnsi="SimSun" w:cs="SimSun"/>
          <w:sz w:val="24"/>
          <w:szCs w:val="24"/>
        </w:rPr>
        <w:t>大食国</w:t>
      </w:r>
      <w:r w:rsidR="004B609E">
        <w:rPr>
          <w:rFonts w:ascii="SimSun" w:eastAsia="SimSun" w:hAnsi="SimSun" w:cs="SimSun" w:hint="eastAsia"/>
          <w:sz w:val="24"/>
          <w:szCs w:val="24"/>
        </w:rPr>
        <w:t>、</w:t>
      </w:r>
      <w:r w:rsidRPr="007807F0">
        <w:rPr>
          <w:rFonts w:ascii="SimSun" w:eastAsia="SimSun" w:hAnsi="SimSun" w:cs="SimSun"/>
          <w:sz w:val="24"/>
          <w:szCs w:val="24"/>
        </w:rPr>
        <w:t>吐火罗国</w:t>
      </w:r>
      <w:r w:rsidR="004B609E">
        <w:rPr>
          <w:rFonts w:ascii="SimSun" w:eastAsia="SimSun" w:hAnsi="SimSun" w:cs="SimSun" w:hint="eastAsia"/>
          <w:sz w:val="24"/>
          <w:szCs w:val="24"/>
        </w:rPr>
        <w:t>、</w:t>
      </w:r>
      <w:r w:rsidRPr="007807F0">
        <w:rPr>
          <w:rFonts w:ascii="SimSun" w:eastAsia="SimSun" w:hAnsi="SimSun" w:cs="SimSun"/>
          <w:sz w:val="24"/>
          <w:szCs w:val="24"/>
        </w:rPr>
        <w:t>康国</w:t>
      </w:r>
      <w:r w:rsidR="004B609E">
        <w:rPr>
          <w:rFonts w:ascii="SimSun" w:eastAsia="SimSun" w:hAnsi="SimSun" w:cs="SimSun" w:hint="eastAsia"/>
          <w:sz w:val="24"/>
          <w:szCs w:val="24"/>
        </w:rPr>
        <w:t>、</w:t>
      </w:r>
      <w:r w:rsidRPr="007807F0">
        <w:rPr>
          <w:rFonts w:ascii="SimSun" w:eastAsia="SimSun" w:hAnsi="SimSun" w:cs="SimSun"/>
          <w:sz w:val="24"/>
          <w:szCs w:val="24"/>
        </w:rPr>
        <w:t>南天竺国并遣使朝贡</w:t>
      </w:r>
      <w:r w:rsidR="004B609E">
        <w:rPr>
          <w:rFonts w:ascii="SimSun" w:eastAsia="SimSun" w:hAnsi="SimSun" w:cs="SimSun" w:hint="eastAsia"/>
          <w:sz w:val="24"/>
          <w:szCs w:val="24"/>
        </w:rPr>
        <w:t>。</w:t>
      </w:r>
      <w:r w:rsidRPr="007807F0">
        <w:rPr>
          <w:rFonts w:ascii="SimSun" w:eastAsia="SimSun" w:hAnsi="SimSun" w:cs="SimSun"/>
          <w:sz w:val="24"/>
          <w:szCs w:val="24"/>
        </w:rPr>
        <w:t>其吐火罗国支汗那王帝赊上表</w:t>
      </w:r>
      <w:r w:rsidR="004B609E">
        <w:rPr>
          <w:rFonts w:ascii="SimSun" w:eastAsia="SimSun" w:hAnsi="SimSun" w:cs="SimSun" w:hint="eastAsia"/>
          <w:sz w:val="24"/>
          <w:szCs w:val="24"/>
        </w:rPr>
        <w:t>，</w:t>
      </w:r>
      <w:r w:rsidRPr="007807F0">
        <w:rPr>
          <w:rFonts w:ascii="SimSun" w:eastAsia="SimSun" w:hAnsi="SimSun" w:cs="SimSun"/>
          <w:sz w:val="24"/>
          <w:szCs w:val="24"/>
        </w:rPr>
        <w:t>献解天文人大慕</w:t>
      </w:r>
      <w:r w:rsidR="004B609E" w:rsidRPr="004B609E">
        <w:rPr>
          <w:rFonts w:ascii="SimSun" w:eastAsia="SimSun" w:hAnsi="SimSun" w:cs="SimSun" w:hint="eastAsia"/>
          <w:sz w:val="24"/>
          <w:szCs w:val="24"/>
        </w:rPr>
        <w:t>阇：</w:t>
      </w:r>
      <w:r w:rsidRPr="007807F0">
        <w:rPr>
          <w:rFonts w:ascii="SimSun" w:eastAsia="SimSun" w:hAnsi="SimSun" w:cs="SimSun"/>
          <w:sz w:val="24"/>
          <w:szCs w:val="24"/>
        </w:rPr>
        <w:t>其人智慧幽深</w:t>
      </w:r>
      <w:r w:rsidR="004B609E">
        <w:rPr>
          <w:rFonts w:ascii="SimSun" w:eastAsia="SimSun" w:hAnsi="SimSun" w:cs="SimSun" w:hint="eastAsia"/>
          <w:sz w:val="24"/>
          <w:szCs w:val="24"/>
        </w:rPr>
        <w:t>，</w:t>
      </w:r>
      <w:r w:rsidRPr="007807F0">
        <w:rPr>
          <w:rFonts w:ascii="SimSun" w:eastAsia="SimSun" w:hAnsi="SimSun" w:cs="SimSun"/>
          <w:sz w:val="24"/>
          <w:szCs w:val="24"/>
        </w:rPr>
        <w:t>问无不知</w:t>
      </w:r>
      <w:r w:rsidR="004B609E">
        <w:rPr>
          <w:rFonts w:ascii="SimSun" w:eastAsia="SimSun" w:hAnsi="SimSun" w:cs="SimSun" w:hint="eastAsia"/>
          <w:sz w:val="24"/>
          <w:szCs w:val="24"/>
        </w:rPr>
        <w:t>。</w:t>
      </w:r>
      <w:r w:rsidRPr="007807F0">
        <w:rPr>
          <w:rFonts w:ascii="SimSun" w:eastAsia="SimSun" w:hAnsi="SimSun" w:cs="SimSun"/>
          <w:sz w:val="24"/>
          <w:szCs w:val="24"/>
        </w:rPr>
        <w:t>伏乞天恩唤取慕</w:t>
      </w:r>
      <w:r w:rsidR="004B609E" w:rsidRPr="004B609E">
        <w:rPr>
          <w:rFonts w:ascii="SimSun" w:eastAsia="SimSun" w:hAnsi="SimSun" w:cs="SimSun" w:hint="eastAsia"/>
          <w:sz w:val="24"/>
          <w:szCs w:val="24"/>
        </w:rPr>
        <w:t>阇</w:t>
      </w:r>
      <w:r w:rsidRPr="007807F0">
        <w:rPr>
          <w:rFonts w:ascii="SimSun" w:eastAsia="SimSun" w:hAnsi="SimSun" w:cs="SimSun"/>
          <w:sz w:val="24"/>
          <w:szCs w:val="24"/>
        </w:rPr>
        <w:t>亲问臣等事意及诸教法</w:t>
      </w:r>
      <w:r w:rsidR="004B609E">
        <w:rPr>
          <w:rFonts w:ascii="SimSun" w:eastAsia="SimSun" w:hAnsi="SimSun" w:cs="SimSun" w:hint="eastAsia"/>
          <w:sz w:val="24"/>
          <w:szCs w:val="24"/>
        </w:rPr>
        <w:t>。</w:t>
      </w:r>
      <w:r w:rsidRPr="007807F0">
        <w:rPr>
          <w:rFonts w:ascii="SimSun" w:eastAsia="SimSun" w:hAnsi="SimSun" w:cs="SimSun"/>
          <w:sz w:val="24"/>
          <w:szCs w:val="24"/>
        </w:rPr>
        <w:t>知其人有如此之艺能</w:t>
      </w:r>
      <w:r w:rsidR="004B609E">
        <w:rPr>
          <w:rFonts w:ascii="SimSun" w:eastAsia="SimSun" w:hAnsi="SimSun" w:cs="SimSun" w:hint="eastAsia"/>
          <w:sz w:val="24"/>
          <w:szCs w:val="24"/>
        </w:rPr>
        <w:t>，</w:t>
      </w:r>
      <w:r w:rsidRPr="007807F0">
        <w:rPr>
          <w:rFonts w:ascii="SimSun" w:eastAsia="SimSun" w:hAnsi="SimSun" w:cs="SimSun"/>
          <w:sz w:val="24"/>
          <w:szCs w:val="24"/>
        </w:rPr>
        <w:t>望请令其供奉</w:t>
      </w:r>
      <w:r w:rsidR="004B609E">
        <w:rPr>
          <w:rFonts w:ascii="SimSun" w:eastAsia="SimSun" w:hAnsi="SimSun" w:cs="SimSun" w:hint="eastAsia"/>
          <w:sz w:val="24"/>
          <w:szCs w:val="24"/>
        </w:rPr>
        <w:t>，</w:t>
      </w:r>
      <w:r w:rsidRPr="007807F0">
        <w:rPr>
          <w:rFonts w:ascii="SimSun" w:eastAsia="SimSun" w:hAnsi="SimSun" w:cs="SimSun"/>
          <w:sz w:val="24"/>
          <w:szCs w:val="24"/>
        </w:rPr>
        <w:t>并置一法堂</w:t>
      </w:r>
      <w:r w:rsidR="004B609E">
        <w:rPr>
          <w:rFonts w:ascii="SimSun" w:eastAsia="SimSun" w:hAnsi="SimSun" w:cs="SimSun" w:hint="eastAsia"/>
          <w:sz w:val="24"/>
          <w:szCs w:val="24"/>
        </w:rPr>
        <w:t>，</w:t>
      </w:r>
      <w:r w:rsidRPr="007807F0">
        <w:rPr>
          <w:rFonts w:ascii="SimSun" w:eastAsia="SimSun" w:hAnsi="SimSun" w:cs="SimSun"/>
          <w:sz w:val="24"/>
          <w:szCs w:val="24"/>
        </w:rPr>
        <w:t>依本教供养</w:t>
      </w:r>
      <w:r w:rsidRPr="007807F0">
        <w:rPr>
          <w:rFonts w:ascii="SimSun" w:eastAsia="SimSun" w:hAnsi="SimSun" w:cs="SimSun" w:hint="eastAsia"/>
          <w:sz w:val="24"/>
          <w:szCs w:val="24"/>
        </w:rPr>
        <w:t>。</w:t>
      </w:r>
    </w:p>
    <w:p w14:paraId="733FCF85" w14:textId="67010D97" w:rsidR="00BA3481" w:rsidRPr="00BD76A1" w:rsidRDefault="00645ECF" w:rsidP="00BD76A1">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645ECF">
        <w:rPr>
          <w:rFonts w:asciiTheme="majorBidi" w:hAnsiTheme="majorBidi" w:cstheme="majorBidi"/>
          <w:sz w:val="24"/>
          <w:szCs w:val="24"/>
        </w:rPr>
        <w:t>In the sixth month [of the seventh year (719 CE) of the Kaiyuan reign-period]</w:t>
      </w:r>
      <w:r>
        <w:rPr>
          <w:rFonts w:asciiTheme="majorBidi" w:hAnsiTheme="majorBidi" w:cstheme="majorBidi"/>
          <w:sz w:val="24"/>
          <w:szCs w:val="24"/>
        </w:rPr>
        <w:t xml:space="preserve"> the state of Dashi, the state of Tu-huo-luo (</w:t>
      </w:r>
      <w:r w:rsidR="00E02670">
        <w:rPr>
          <w:rFonts w:asciiTheme="majorBidi" w:hAnsiTheme="majorBidi" w:cstheme="majorBidi"/>
          <w:sz w:val="24"/>
          <w:szCs w:val="24"/>
        </w:rPr>
        <w:t>Ṭukhāristān</w:t>
      </w:r>
      <w:r>
        <w:rPr>
          <w:rFonts w:asciiTheme="majorBidi" w:hAnsiTheme="majorBidi" w:cstheme="majorBidi"/>
          <w:sz w:val="24"/>
          <w:szCs w:val="24"/>
        </w:rPr>
        <w:t>), the state of Kang (Samarkand),</w:t>
      </w:r>
      <w:r w:rsidR="000B0A37">
        <w:rPr>
          <w:rFonts w:asciiTheme="majorBidi" w:hAnsiTheme="majorBidi" w:cstheme="majorBidi"/>
          <w:sz w:val="24"/>
          <w:szCs w:val="24"/>
        </w:rPr>
        <w:t xml:space="preserve"> </w:t>
      </w:r>
      <w:r w:rsidR="000B0A37">
        <w:rPr>
          <w:rFonts w:asciiTheme="majorBidi" w:hAnsiTheme="majorBidi" w:cstheme="majorBidi" w:hint="eastAsia"/>
          <w:sz w:val="24"/>
          <w:szCs w:val="24"/>
        </w:rPr>
        <w:t>and</w:t>
      </w:r>
      <w:r>
        <w:rPr>
          <w:rFonts w:asciiTheme="majorBidi" w:hAnsiTheme="majorBidi" w:cstheme="majorBidi"/>
          <w:sz w:val="24"/>
          <w:szCs w:val="24"/>
        </w:rPr>
        <w:t xml:space="preserve"> the state of south Tianzhu (India) sent emissaries to present the tribute. Di-she (Tīsh) the king of Zhi-han-na (Chaghāniyān) of the state of Tu-huo-luo </w:t>
      </w:r>
      <w:r w:rsidR="00E02670">
        <w:rPr>
          <w:rFonts w:asciiTheme="majorBidi" w:hAnsiTheme="majorBidi" w:cstheme="majorBidi"/>
          <w:sz w:val="24"/>
          <w:szCs w:val="24"/>
        </w:rPr>
        <w:t xml:space="preserve">sent a memorial to present a great Mu-she (Mōzak, the title of a Manichaean priest of the highest rank) who was well-versed with astrology, </w:t>
      </w:r>
      <w:r w:rsidR="000261D3">
        <w:rPr>
          <w:rFonts w:asciiTheme="majorBidi" w:hAnsiTheme="majorBidi" w:cstheme="majorBidi"/>
          <w:sz w:val="24"/>
          <w:szCs w:val="24"/>
        </w:rPr>
        <w:t xml:space="preserve">which stated, this man is of profound wisdom and unfathomable knowledge. I beg [the Emperor] by the heavenly grace would question the Mu-she in person about your servant’s affairs and so on and the doctrines of various religions, so [the Emperor] knows that this man is of such abilities. I expect that he can serve [God] and erect a religious hall </w:t>
      </w:r>
      <w:r w:rsidR="004450EB">
        <w:rPr>
          <w:rFonts w:asciiTheme="majorBidi" w:hAnsiTheme="majorBidi" w:cstheme="majorBidi"/>
          <w:sz w:val="24"/>
          <w:szCs w:val="24"/>
        </w:rPr>
        <w:t>in order</w:t>
      </w:r>
      <w:r w:rsidR="000261D3">
        <w:rPr>
          <w:rFonts w:asciiTheme="majorBidi" w:hAnsiTheme="majorBidi" w:cstheme="majorBidi"/>
          <w:sz w:val="24"/>
          <w:szCs w:val="24"/>
        </w:rPr>
        <w:t xml:space="preserve"> to worship according to his religion.  </w:t>
      </w:r>
      <w:r>
        <w:rPr>
          <w:rFonts w:asciiTheme="majorBidi" w:hAnsiTheme="majorBidi" w:cstheme="majorBidi"/>
          <w:sz w:val="24"/>
          <w:szCs w:val="24"/>
        </w:rPr>
        <w:t xml:space="preserve"> </w:t>
      </w:r>
    </w:p>
    <w:p w14:paraId="5F80A94B" w14:textId="77777777" w:rsidR="00BA3481" w:rsidRPr="00BA3481" w:rsidRDefault="00BA3481" w:rsidP="001623A5">
      <w:pPr>
        <w:spacing w:line="360" w:lineRule="auto"/>
        <w:rPr>
          <w:rFonts w:ascii="SimSun" w:eastAsia="SimSun" w:hAnsi="SimSun" w:cs="SimSun"/>
          <w:sz w:val="24"/>
          <w:szCs w:val="24"/>
        </w:rPr>
      </w:pPr>
    </w:p>
    <w:p w14:paraId="15FBE886" w14:textId="5B2F67F5" w:rsidR="008F49D7" w:rsidRDefault="008F49D7" w:rsidP="001623A5">
      <w:pPr>
        <w:spacing w:line="360" w:lineRule="auto"/>
        <w:rPr>
          <w:rFonts w:asciiTheme="majorBidi" w:hAnsiTheme="majorBidi" w:cstheme="majorBidi"/>
          <w:sz w:val="24"/>
          <w:szCs w:val="24"/>
        </w:rPr>
      </w:pPr>
      <w:r w:rsidRPr="00645ECF">
        <w:rPr>
          <w:rFonts w:asciiTheme="majorBidi" w:hAnsiTheme="majorBidi" w:cstheme="majorBidi"/>
          <w:sz w:val="24"/>
          <w:szCs w:val="24"/>
        </w:rPr>
        <w:t>(volume 971, p. 11413; English, Yu, 2015, p. 249)</w:t>
      </w:r>
    </w:p>
    <w:p w14:paraId="44B3F7A6" w14:textId="2FC930E1" w:rsidR="00883318" w:rsidRPr="004B609E" w:rsidRDefault="003407FD" w:rsidP="003407FD">
      <w:pPr>
        <w:spacing w:line="360" w:lineRule="auto"/>
        <w:ind w:firstLine="480"/>
        <w:rPr>
          <w:rFonts w:ascii="SimSun" w:eastAsia="SimSun" w:hAnsi="SimSun" w:cs="SimSun"/>
          <w:sz w:val="24"/>
          <w:szCs w:val="24"/>
        </w:rPr>
      </w:pPr>
      <w:r>
        <w:rPr>
          <w:rFonts w:ascii="SimSun" w:eastAsia="SimSun" w:hAnsi="SimSun" w:cs="SimSun" w:hint="eastAsia"/>
          <w:sz w:val="24"/>
          <w:szCs w:val="24"/>
        </w:rPr>
        <w:t>（七载）</w:t>
      </w:r>
      <w:r w:rsidRPr="004B609E">
        <w:rPr>
          <w:rFonts w:ascii="SimSun" w:eastAsia="SimSun" w:hAnsi="SimSun" w:cs="SimSun"/>
          <w:sz w:val="24"/>
          <w:szCs w:val="24"/>
        </w:rPr>
        <w:t>六月</w:t>
      </w:r>
      <w:r w:rsidRPr="004B609E">
        <w:rPr>
          <w:rFonts w:ascii="SimSun" w:eastAsia="SimSun" w:hAnsi="SimSun" w:cs="SimSun" w:hint="eastAsia"/>
          <w:sz w:val="24"/>
          <w:szCs w:val="24"/>
        </w:rPr>
        <w:t>，</w:t>
      </w:r>
      <w:r w:rsidRPr="004B609E">
        <w:rPr>
          <w:rFonts w:ascii="SimSun" w:eastAsia="SimSun" w:hAnsi="SimSun" w:cs="SimSun"/>
          <w:sz w:val="24"/>
          <w:szCs w:val="24"/>
        </w:rPr>
        <w:t>罽宾</w:t>
      </w:r>
      <w:r w:rsidRPr="004B609E">
        <w:rPr>
          <w:rFonts w:ascii="SimSun" w:eastAsia="SimSun" w:hAnsi="SimSun" w:cs="SimSun" w:hint="eastAsia"/>
          <w:sz w:val="24"/>
          <w:szCs w:val="24"/>
        </w:rPr>
        <w:t>国、</w:t>
      </w:r>
      <w:r w:rsidRPr="004B609E">
        <w:rPr>
          <w:rFonts w:ascii="SimSun" w:eastAsia="SimSun" w:hAnsi="SimSun" w:cs="SimSun"/>
          <w:sz w:val="24"/>
          <w:szCs w:val="24"/>
        </w:rPr>
        <w:t>悒怛国并遣使朝贡</w:t>
      </w:r>
      <w:r w:rsidRPr="004B609E">
        <w:rPr>
          <w:rFonts w:ascii="SimSun" w:eastAsia="SimSun" w:hAnsi="SimSun" w:cs="SimSun" w:hint="eastAsia"/>
          <w:sz w:val="24"/>
          <w:szCs w:val="24"/>
        </w:rPr>
        <w:t>。</w:t>
      </w:r>
    </w:p>
    <w:p w14:paraId="527246E1" w14:textId="346BC4C4" w:rsidR="009B21EC" w:rsidRPr="00645ECF" w:rsidRDefault="005457D9" w:rsidP="005457D9">
      <w:pPr>
        <w:spacing w:line="360" w:lineRule="auto"/>
        <w:rPr>
          <w:rFonts w:asciiTheme="majorBidi" w:hAnsiTheme="majorBidi" w:cstheme="majorBidi"/>
          <w:sz w:val="24"/>
          <w:szCs w:val="24"/>
        </w:rPr>
      </w:pPr>
      <w:r w:rsidRPr="00645ECF">
        <w:rPr>
          <w:rFonts w:asciiTheme="majorBidi" w:hAnsiTheme="majorBidi" w:cstheme="majorBidi"/>
          <w:sz w:val="24"/>
          <w:szCs w:val="24"/>
        </w:rPr>
        <w:t xml:space="preserve">     In the sixth month [of the seventh year (748 CE) of the Tianbao reign-period] both the state of Jibin (K</w:t>
      </w:r>
      <w:r w:rsidR="00645ECF" w:rsidRPr="00645ECF">
        <w:rPr>
          <w:rFonts w:asciiTheme="majorBidi" w:hAnsiTheme="majorBidi" w:cstheme="majorBidi"/>
          <w:sz w:val="24"/>
          <w:szCs w:val="24"/>
        </w:rPr>
        <w:t>ā</w:t>
      </w:r>
      <w:r w:rsidRPr="00645ECF">
        <w:rPr>
          <w:rFonts w:asciiTheme="majorBidi" w:hAnsiTheme="majorBidi" w:cstheme="majorBidi"/>
          <w:sz w:val="24"/>
          <w:szCs w:val="24"/>
        </w:rPr>
        <w:t>bulist</w:t>
      </w:r>
      <w:r w:rsidR="00645ECF" w:rsidRPr="00645ECF">
        <w:rPr>
          <w:rFonts w:asciiTheme="majorBidi" w:hAnsiTheme="majorBidi" w:cstheme="majorBidi"/>
          <w:sz w:val="24"/>
          <w:szCs w:val="24"/>
        </w:rPr>
        <w:t>ā</w:t>
      </w:r>
      <w:r w:rsidRPr="00645ECF">
        <w:rPr>
          <w:rFonts w:asciiTheme="majorBidi" w:hAnsiTheme="majorBidi" w:cstheme="majorBidi"/>
          <w:sz w:val="24"/>
          <w:szCs w:val="24"/>
        </w:rPr>
        <w:t>n) and the state of Yida (</w:t>
      </w:r>
      <w:r w:rsidR="00854275" w:rsidRPr="00645ECF">
        <w:rPr>
          <w:rFonts w:asciiTheme="majorBidi" w:hAnsiTheme="majorBidi" w:cstheme="majorBidi"/>
          <w:sz w:val="24"/>
          <w:szCs w:val="24"/>
        </w:rPr>
        <w:t xml:space="preserve">the </w:t>
      </w:r>
      <w:r w:rsidRPr="00645ECF">
        <w:rPr>
          <w:rFonts w:asciiTheme="majorBidi" w:hAnsiTheme="majorBidi" w:cstheme="majorBidi"/>
          <w:sz w:val="24"/>
          <w:szCs w:val="24"/>
        </w:rPr>
        <w:t>Hephthalite</w:t>
      </w:r>
      <w:r w:rsidR="00854275" w:rsidRPr="00645ECF">
        <w:rPr>
          <w:rFonts w:asciiTheme="majorBidi" w:hAnsiTheme="majorBidi" w:cstheme="majorBidi"/>
          <w:sz w:val="24"/>
          <w:szCs w:val="24"/>
        </w:rPr>
        <w:t>s</w:t>
      </w:r>
      <w:r w:rsidRPr="00645ECF">
        <w:rPr>
          <w:rFonts w:asciiTheme="majorBidi" w:hAnsiTheme="majorBidi" w:cstheme="majorBidi"/>
          <w:sz w:val="24"/>
          <w:szCs w:val="24"/>
        </w:rPr>
        <w:t>) sent envoys to present the tribute.</w:t>
      </w:r>
    </w:p>
    <w:p w14:paraId="584398B7" w14:textId="34468A16" w:rsidR="00791391" w:rsidRPr="00645ECF" w:rsidRDefault="00791391" w:rsidP="005457D9">
      <w:pPr>
        <w:spacing w:line="360" w:lineRule="auto"/>
        <w:rPr>
          <w:rFonts w:asciiTheme="majorBidi" w:hAnsiTheme="majorBidi" w:cstheme="majorBidi"/>
          <w:sz w:val="24"/>
          <w:szCs w:val="24"/>
        </w:rPr>
      </w:pPr>
    </w:p>
    <w:p w14:paraId="1A35696D" w14:textId="766E472C" w:rsidR="004B26C7" w:rsidRDefault="004B26C7" w:rsidP="004B26C7">
      <w:pPr>
        <w:spacing w:line="360" w:lineRule="auto"/>
        <w:rPr>
          <w:rFonts w:asciiTheme="majorBidi" w:hAnsiTheme="majorBidi" w:cstheme="majorBidi"/>
          <w:sz w:val="24"/>
          <w:szCs w:val="24"/>
        </w:rPr>
      </w:pPr>
      <w:r w:rsidRPr="00645ECF">
        <w:rPr>
          <w:rFonts w:asciiTheme="majorBidi" w:hAnsiTheme="majorBidi" w:cstheme="majorBidi"/>
          <w:sz w:val="24"/>
          <w:szCs w:val="24"/>
        </w:rPr>
        <w:lastRenderedPageBreak/>
        <w:t>(volume 975, p. 11458; English</w:t>
      </w:r>
      <w:r w:rsidR="00854275" w:rsidRPr="00645ECF">
        <w:rPr>
          <w:rFonts w:asciiTheme="majorBidi" w:hAnsiTheme="majorBidi" w:cstheme="majorBidi"/>
          <w:sz w:val="24"/>
          <w:szCs w:val="24"/>
        </w:rPr>
        <w:t xml:space="preserve"> based on</w:t>
      </w:r>
      <w:r w:rsidRPr="00645ECF">
        <w:rPr>
          <w:rFonts w:asciiTheme="majorBidi" w:hAnsiTheme="majorBidi" w:cstheme="majorBidi"/>
          <w:sz w:val="24"/>
          <w:szCs w:val="24"/>
        </w:rPr>
        <w:t xml:space="preserve"> Yu</w:t>
      </w:r>
      <w:r w:rsidR="00854275" w:rsidRPr="00645ECF">
        <w:rPr>
          <w:rFonts w:asciiTheme="majorBidi" w:hAnsiTheme="majorBidi" w:cstheme="majorBidi"/>
          <w:sz w:val="24"/>
          <w:szCs w:val="24"/>
        </w:rPr>
        <w:t xml:space="preserve"> (</w:t>
      </w:r>
      <w:r w:rsidRPr="00645ECF">
        <w:rPr>
          <w:rFonts w:asciiTheme="majorBidi" w:hAnsiTheme="majorBidi" w:cstheme="majorBidi"/>
          <w:sz w:val="24"/>
          <w:szCs w:val="24"/>
        </w:rPr>
        <w:t>2015, p. 249</w:t>
      </w:r>
      <w:r w:rsidR="00854275" w:rsidRPr="00645ECF">
        <w:rPr>
          <w:rFonts w:asciiTheme="majorBidi" w:hAnsiTheme="majorBidi" w:cstheme="majorBidi"/>
          <w:sz w:val="24"/>
          <w:szCs w:val="24"/>
        </w:rPr>
        <w:t xml:space="preserve">) with </w:t>
      </w:r>
      <w:r w:rsidR="00764349" w:rsidRPr="00645ECF">
        <w:rPr>
          <w:rFonts w:asciiTheme="majorBidi" w:hAnsiTheme="majorBidi" w:cstheme="majorBidi"/>
          <w:sz w:val="24"/>
          <w:szCs w:val="24"/>
        </w:rPr>
        <w:t>modifications</w:t>
      </w:r>
      <w:r w:rsidRPr="00645ECF">
        <w:rPr>
          <w:rFonts w:asciiTheme="majorBidi" w:hAnsiTheme="majorBidi" w:cstheme="majorBidi"/>
          <w:sz w:val="24"/>
          <w:szCs w:val="24"/>
        </w:rPr>
        <w:t>)</w:t>
      </w:r>
    </w:p>
    <w:p w14:paraId="7FAD5266" w14:textId="5620C7E1" w:rsidR="003407FD" w:rsidRPr="00645ECF" w:rsidRDefault="003407FD" w:rsidP="003407FD">
      <w:pPr>
        <w:spacing w:line="360" w:lineRule="auto"/>
        <w:rPr>
          <w:rFonts w:asciiTheme="majorBidi" w:hAnsiTheme="majorBidi" w:cstheme="majorBidi"/>
          <w:sz w:val="24"/>
          <w:szCs w:val="24"/>
        </w:rPr>
      </w:pPr>
      <w:r>
        <w:rPr>
          <w:rFonts w:ascii="SimSun" w:eastAsia="SimSun" w:hAnsi="SimSun" w:cs="SimSun" w:hint="eastAsia"/>
          <w:sz w:val="24"/>
          <w:szCs w:val="24"/>
        </w:rPr>
        <w:t xml:space="preserve"> </w:t>
      </w:r>
      <w:r>
        <w:rPr>
          <w:rFonts w:ascii="SimSun" w:eastAsia="SimSun" w:hAnsi="SimSun" w:cs="SimSun"/>
          <w:sz w:val="24"/>
          <w:szCs w:val="24"/>
        </w:rPr>
        <w:t xml:space="preserve">   </w:t>
      </w:r>
      <w:r>
        <w:rPr>
          <w:rFonts w:ascii="SimSun" w:eastAsia="SimSun" w:hAnsi="SimSun" w:cs="SimSun" w:hint="eastAsia"/>
          <w:sz w:val="24"/>
          <w:szCs w:val="24"/>
        </w:rPr>
        <w:t>七载八月庚戌，</w:t>
      </w:r>
      <w:r w:rsidRPr="00791391">
        <w:rPr>
          <w:rFonts w:asciiTheme="majorBidi" w:hAnsiTheme="majorBidi" w:cstheme="majorBidi"/>
          <w:sz w:val="24"/>
          <w:szCs w:val="24"/>
        </w:rPr>
        <w:t>悒怛</w:t>
      </w:r>
      <w:r>
        <w:rPr>
          <w:rFonts w:ascii="SimSun" w:eastAsia="SimSun" w:hAnsi="SimSun" w:cs="SimSun" w:hint="eastAsia"/>
          <w:sz w:val="24"/>
          <w:szCs w:val="24"/>
        </w:rPr>
        <w:t>国遣使朝贡，授将军，赐二色绫袍、金带、鱼袋七事，放还蕃。</w:t>
      </w:r>
    </w:p>
    <w:p w14:paraId="112C2D29" w14:textId="0F0B6A2C" w:rsidR="00791391" w:rsidRPr="00645ECF" w:rsidRDefault="004B26C7" w:rsidP="004B26C7">
      <w:pPr>
        <w:spacing w:line="360" w:lineRule="auto"/>
        <w:rPr>
          <w:rFonts w:asciiTheme="majorBidi" w:hAnsiTheme="majorBidi" w:cstheme="majorBidi"/>
          <w:sz w:val="24"/>
          <w:szCs w:val="24"/>
        </w:rPr>
      </w:pPr>
      <w:r w:rsidRPr="00645ECF">
        <w:rPr>
          <w:rFonts w:asciiTheme="majorBidi" w:hAnsiTheme="majorBidi" w:cstheme="majorBidi"/>
          <w:sz w:val="24"/>
          <w:szCs w:val="24"/>
        </w:rPr>
        <w:t xml:space="preserve">    </w:t>
      </w:r>
      <w:r w:rsidR="00791391" w:rsidRPr="00645ECF">
        <w:rPr>
          <w:rFonts w:asciiTheme="majorBidi" w:hAnsiTheme="majorBidi" w:cstheme="majorBidi"/>
          <w:sz w:val="24"/>
          <w:szCs w:val="24"/>
        </w:rPr>
        <w:t xml:space="preserve">On the day gengxu, in the eighth month of the seventh year (748) [of the Tianbao reign-period] the state of Yida </w:t>
      </w:r>
      <w:r w:rsidR="00854275" w:rsidRPr="00645ECF">
        <w:rPr>
          <w:rFonts w:asciiTheme="majorBidi" w:hAnsiTheme="majorBidi" w:cstheme="majorBidi"/>
          <w:sz w:val="24"/>
          <w:szCs w:val="24"/>
        </w:rPr>
        <w:t xml:space="preserve">(the Hephthalites) </w:t>
      </w:r>
      <w:r w:rsidR="00791391" w:rsidRPr="00645ECF">
        <w:rPr>
          <w:rFonts w:asciiTheme="majorBidi" w:hAnsiTheme="majorBidi" w:cstheme="majorBidi"/>
          <w:sz w:val="24"/>
          <w:szCs w:val="24"/>
        </w:rPr>
        <w:t>sent an envoy to present tribute</w:t>
      </w:r>
      <w:r w:rsidR="00854275" w:rsidRPr="00645ECF">
        <w:rPr>
          <w:rFonts w:asciiTheme="majorBidi" w:hAnsiTheme="majorBidi" w:cstheme="majorBidi"/>
          <w:sz w:val="24"/>
          <w:szCs w:val="24"/>
        </w:rPr>
        <w:t xml:space="preserve">, who was </w:t>
      </w:r>
      <w:r w:rsidR="00791391" w:rsidRPr="00645ECF">
        <w:rPr>
          <w:rFonts w:asciiTheme="majorBidi" w:hAnsiTheme="majorBidi" w:cstheme="majorBidi"/>
          <w:sz w:val="24"/>
          <w:szCs w:val="24"/>
        </w:rPr>
        <w:t xml:space="preserve">conferred the title of general, as well as a two-colored thin silk robe, a golden belt, a “fish bag”, and seven other objects, before being sent back to </w:t>
      </w:r>
      <w:r w:rsidR="00854275" w:rsidRPr="00645ECF">
        <w:rPr>
          <w:rFonts w:asciiTheme="majorBidi" w:hAnsiTheme="majorBidi" w:cstheme="majorBidi"/>
          <w:sz w:val="24"/>
          <w:szCs w:val="24"/>
        </w:rPr>
        <w:t>his own state</w:t>
      </w:r>
      <w:r w:rsidR="00791391" w:rsidRPr="00645ECF">
        <w:rPr>
          <w:rFonts w:asciiTheme="majorBidi" w:hAnsiTheme="majorBidi" w:cstheme="majorBidi"/>
          <w:sz w:val="24"/>
          <w:szCs w:val="24"/>
        </w:rPr>
        <w:t>.</w:t>
      </w:r>
    </w:p>
    <w:p w14:paraId="45230646" w14:textId="77777777" w:rsidR="008F49D7" w:rsidRPr="00645ECF" w:rsidRDefault="008F49D7" w:rsidP="001623A5">
      <w:pPr>
        <w:spacing w:line="360" w:lineRule="auto"/>
        <w:rPr>
          <w:rFonts w:asciiTheme="majorBidi" w:hAnsiTheme="majorBidi" w:cstheme="majorBidi"/>
          <w:sz w:val="24"/>
          <w:szCs w:val="24"/>
        </w:rPr>
      </w:pPr>
    </w:p>
    <w:p w14:paraId="5D8115F8" w14:textId="42A0E053" w:rsidR="00205179" w:rsidRDefault="00205179" w:rsidP="00764349">
      <w:pPr>
        <w:spacing w:line="360" w:lineRule="auto"/>
        <w:rPr>
          <w:rFonts w:asciiTheme="majorBidi" w:hAnsiTheme="majorBidi" w:cstheme="majorBidi"/>
          <w:sz w:val="24"/>
          <w:szCs w:val="24"/>
        </w:rPr>
      </w:pPr>
      <w:r w:rsidRPr="00645ECF">
        <w:rPr>
          <w:rFonts w:asciiTheme="majorBidi" w:hAnsiTheme="majorBidi" w:cstheme="majorBidi"/>
          <w:sz w:val="24"/>
          <w:szCs w:val="24"/>
        </w:rPr>
        <w:t>(volume 999</w:t>
      </w:r>
      <w:r w:rsidR="00765BA9" w:rsidRPr="00645ECF">
        <w:rPr>
          <w:rFonts w:asciiTheme="majorBidi" w:hAnsiTheme="majorBidi" w:cstheme="majorBidi"/>
          <w:sz w:val="24"/>
          <w:szCs w:val="24"/>
        </w:rPr>
        <w:t>, Chinese, 1994, pp. 11721-2; English</w:t>
      </w:r>
      <w:r w:rsidR="00764349" w:rsidRPr="00645ECF">
        <w:rPr>
          <w:rFonts w:asciiTheme="majorBidi" w:hAnsiTheme="majorBidi" w:cstheme="majorBidi"/>
          <w:sz w:val="24"/>
          <w:szCs w:val="24"/>
        </w:rPr>
        <w:t xml:space="preserve">, </w:t>
      </w:r>
      <w:r w:rsidR="00765BA9" w:rsidRPr="00645ECF">
        <w:rPr>
          <w:rFonts w:asciiTheme="majorBidi" w:hAnsiTheme="majorBidi" w:cstheme="majorBidi"/>
          <w:sz w:val="24"/>
          <w:szCs w:val="24"/>
        </w:rPr>
        <w:t>Yu</w:t>
      </w:r>
      <w:r w:rsidR="00764349" w:rsidRPr="00645ECF">
        <w:rPr>
          <w:rFonts w:asciiTheme="majorBidi" w:hAnsiTheme="majorBidi" w:cstheme="majorBidi"/>
          <w:sz w:val="24"/>
          <w:szCs w:val="24"/>
        </w:rPr>
        <w:t xml:space="preserve">, </w:t>
      </w:r>
      <w:r w:rsidR="00765BA9" w:rsidRPr="00645ECF">
        <w:rPr>
          <w:rFonts w:asciiTheme="majorBidi" w:hAnsiTheme="majorBidi" w:cstheme="majorBidi"/>
          <w:sz w:val="24"/>
          <w:szCs w:val="24"/>
        </w:rPr>
        <w:t>2015, p. 250</w:t>
      </w:r>
      <w:r w:rsidR="00543ECB" w:rsidRPr="00645ECF">
        <w:rPr>
          <w:rFonts w:asciiTheme="majorBidi" w:hAnsiTheme="majorBidi" w:cstheme="majorBidi"/>
          <w:sz w:val="24"/>
          <w:szCs w:val="24"/>
        </w:rPr>
        <w:t xml:space="preserve"> </w:t>
      </w:r>
      <w:r w:rsidR="00764349" w:rsidRPr="00645ECF">
        <w:rPr>
          <w:rFonts w:asciiTheme="majorBidi" w:hAnsiTheme="majorBidi" w:cstheme="majorBidi"/>
          <w:sz w:val="24"/>
          <w:szCs w:val="24"/>
        </w:rPr>
        <w:t>with modifications</w:t>
      </w:r>
      <w:r w:rsidRPr="00645ECF">
        <w:rPr>
          <w:rFonts w:asciiTheme="majorBidi" w:hAnsiTheme="majorBidi" w:cstheme="majorBidi"/>
          <w:sz w:val="24"/>
          <w:szCs w:val="24"/>
        </w:rPr>
        <w:t>)</w:t>
      </w:r>
    </w:p>
    <w:p w14:paraId="52D5EB57" w14:textId="77777777" w:rsidR="003407FD" w:rsidRPr="004B609E" w:rsidRDefault="003407FD" w:rsidP="003407FD">
      <w:pPr>
        <w:spacing w:line="360" w:lineRule="auto"/>
        <w:ind w:firstLine="480"/>
        <w:rPr>
          <w:rFonts w:ascii="SimSun" w:eastAsia="SimSun" w:hAnsi="SimSun" w:cs="SimSun"/>
          <w:sz w:val="24"/>
          <w:szCs w:val="24"/>
        </w:rPr>
      </w:pPr>
      <w:r w:rsidRPr="004B609E">
        <w:rPr>
          <w:rFonts w:ascii="SimSun" w:eastAsia="SimSun" w:hAnsi="SimSun" w:cs="SimSun" w:hint="eastAsia"/>
          <w:sz w:val="24"/>
          <w:szCs w:val="24"/>
        </w:rPr>
        <w:t>六年十一月丁未</w:t>
      </w:r>
      <w:r>
        <w:rPr>
          <w:rFonts w:ascii="SimSun" w:eastAsia="SimSun" w:hAnsi="SimSun" w:cs="SimSun" w:hint="eastAsia"/>
          <w:sz w:val="24"/>
          <w:szCs w:val="24"/>
        </w:rPr>
        <w:t>，</w:t>
      </w:r>
      <w:r w:rsidRPr="004B609E">
        <w:rPr>
          <w:rFonts w:ascii="SimSun" w:eastAsia="SimSun" w:hAnsi="SimSun" w:cs="SimSun" w:hint="eastAsia"/>
          <w:sz w:val="24"/>
          <w:szCs w:val="24"/>
        </w:rPr>
        <w:t>阿史特勒仆罗上书诉曰：仆罗</w:t>
      </w:r>
      <w:r>
        <w:rPr>
          <w:rFonts w:ascii="SimSun" w:eastAsia="SimSun" w:hAnsi="SimSun" w:cs="SimSun" w:hint="eastAsia"/>
          <w:sz w:val="24"/>
          <w:szCs w:val="24"/>
        </w:rPr>
        <w:t>兄</w:t>
      </w:r>
      <w:r w:rsidRPr="004B609E">
        <w:rPr>
          <w:rFonts w:ascii="SimSun" w:eastAsia="SimSun" w:hAnsi="SimSun" w:cs="SimSun" w:hint="eastAsia"/>
          <w:sz w:val="24"/>
          <w:szCs w:val="24"/>
        </w:rPr>
        <w:t>吐火罗叶护部下管诸国王都督刺史总二百一十二人</w:t>
      </w:r>
      <w:r>
        <w:rPr>
          <w:rFonts w:ascii="SimSun" w:eastAsia="SimSun" w:hAnsi="SimSun" w:cs="SimSun" w:hint="eastAsia"/>
          <w:sz w:val="24"/>
          <w:szCs w:val="24"/>
        </w:rPr>
        <w:t>。</w:t>
      </w:r>
      <w:hyperlink r:id="rId10" w:tooltip="訶達羅支" w:history="1">
        <w:r w:rsidRPr="004B609E">
          <w:rPr>
            <w:rFonts w:ascii="SimSun" w:eastAsia="SimSun" w:hAnsi="SimSun" w:cs="SimSun"/>
            <w:sz w:val="24"/>
            <w:szCs w:val="24"/>
          </w:rPr>
          <w:t>谢䫻</w:t>
        </w:r>
      </w:hyperlink>
      <w:r w:rsidRPr="004B609E">
        <w:rPr>
          <w:rFonts w:ascii="SimSun" w:eastAsia="SimSun" w:hAnsi="SimSun" w:cs="SimSun" w:hint="eastAsia"/>
          <w:sz w:val="24"/>
          <w:szCs w:val="24"/>
        </w:rPr>
        <w:t>王统领兵马二十万众，</w:t>
      </w:r>
      <w:hyperlink r:id="rId11" w:history="1">
        <w:r w:rsidRPr="004B609E">
          <w:rPr>
            <w:rFonts w:ascii="SimSun" w:eastAsia="SimSun" w:hAnsi="SimSun" w:cs="SimSun"/>
            <w:sz w:val="24"/>
            <w:szCs w:val="24"/>
          </w:rPr>
          <w:t>罽宾</w:t>
        </w:r>
      </w:hyperlink>
      <w:r w:rsidRPr="004B609E">
        <w:rPr>
          <w:rFonts w:ascii="SimSun" w:eastAsia="SimSun" w:hAnsi="SimSun" w:cs="SimSun" w:hint="eastAsia"/>
          <w:sz w:val="24"/>
          <w:szCs w:val="24"/>
        </w:rPr>
        <w:t>王统领兵马二十万众</w:t>
      </w:r>
      <w:r>
        <w:rPr>
          <w:rFonts w:ascii="SimSun" w:eastAsia="SimSun" w:hAnsi="SimSun" w:cs="SimSun" w:hint="eastAsia"/>
          <w:sz w:val="24"/>
          <w:szCs w:val="24"/>
        </w:rPr>
        <w:t>，</w:t>
      </w:r>
      <w:r w:rsidRPr="004B609E">
        <w:rPr>
          <w:rFonts w:ascii="SimSun" w:eastAsia="SimSun" w:hAnsi="SimSun" w:cs="SimSun" w:hint="eastAsia"/>
          <w:sz w:val="24"/>
          <w:szCs w:val="24"/>
        </w:rPr>
        <w:t>骨吐国王</w:t>
      </w:r>
      <w:r>
        <w:rPr>
          <w:rFonts w:ascii="SimSun" w:eastAsia="SimSun" w:hAnsi="SimSun" w:cs="SimSun" w:hint="eastAsia"/>
          <w:sz w:val="24"/>
          <w:szCs w:val="24"/>
        </w:rPr>
        <w:t>、</w:t>
      </w:r>
      <w:r w:rsidRPr="004B609E">
        <w:rPr>
          <w:rFonts w:ascii="SimSun" w:eastAsia="SimSun" w:hAnsi="SimSun" w:cs="SimSun" w:hint="eastAsia"/>
          <w:sz w:val="24"/>
          <w:szCs w:val="24"/>
        </w:rPr>
        <w:t>石汗那国王</w:t>
      </w:r>
      <w:r>
        <w:rPr>
          <w:rFonts w:ascii="SimSun" w:eastAsia="SimSun" w:hAnsi="SimSun" w:cs="SimSun" w:hint="eastAsia"/>
          <w:sz w:val="24"/>
          <w:szCs w:val="24"/>
        </w:rPr>
        <w:t>、</w:t>
      </w:r>
      <w:r w:rsidRPr="004B609E">
        <w:rPr>
          <w:rFonts w:ascii="SimSun" w:eastAsia="SimSun" w:hAnsi="SimSun" w:cs="SimSun" w:hint="eastAsia"/>
          <w:sz w:val="24"/>
          <w:szCs w:val="24"/>
        </w:rPr>
        <w:t>解苏国王</w:t>
      </w:r>
      <w:r>
        <w:rPr>
          <w:rFonts w:ascii="SimSun" w:eastAsia="SimSun" w:hAnsi="SimSun" w:cs="SimSun" w:hint="eastAsia"/>
          <w:sz w:val="24"/>
          <w:szCs w:val="24"/>
        </w:rPr>
        <w:t>、</w:t>
      </w:r>
      <w:r w:rsidRPr="004B609E">
        <w:rPr>
          <w:rFonts w:ascii="SimSun" w:eastAsia="SimSun" w:hAnsi="SimSun" w:cs="SimSun" w:hint="eastAsia"/>
          <w:sz w:val="24"/>
          <w:szCs w:val="24"/>
        </w:rPr>
        <w:t>石匿国王</w:t>
      </w:r>
      <w:r>
        <w:rPr>
          <w:rFonts w:ascii="SimSun" w:eastAsia="SimSun" w:hAnsi="SimSun" w:cs="SimSun" w:hint="eastAsia"/>
          <w:sz w:val="24"/>
          <w:szCs w:val="24"/>
        </w:rPr>
        <w:t>、</w:t>
      </w:r>
      <w:r w:rsidRPr="004B609E">
        <w:rPr>
          <w:rFonts w:ascii="SimSun" w:eastAsia="SimSun" w:hAnsi="SimSun" w:cs="SimSun" w:hint="eastAsia"/>
          <w:sz w:val="24"/>
          <w:szCs w:val="24"/>
        </w:rPr>
        <w:t>悒达国王</w:t>
      </w:r>
      <w:r>
        <w:rPr>
          <w:rFonts w:ascii="SimSun" w:eastAsia="SimSun" w:hAnsi="SimSun" w:cs="SimSun" w:hint="eastAsia"/>
          <w:sz w:val="24"/>
          <w:szCs w:val="24"/>
        </w:rPr>
        <w:t>、</w:t>
      </w:r>
      <w:r w:rsidRPr="004B609E">
        <w:rPr>
          <w:rFonts w:ascii="SimSun" w:eastAsia="SimSun" w:hAnsi="SimSun" w:cs="SimSun" w:hint="eastAsia"/>
          <w:sz w:val="24"/>
          <w:szCs w:val="24"/>
        </w:rPr>
        <w:t>护密国王</w:t>
      </w:r>
      <w:r>
        <w:rPr>
          <w:rFonts w:ascii="SimSun" w:eastAsia="SimSun" w:hAnsi="SimSun" w:cs="SimSun" w:hint="eastAsia"/>
          <w:sz w:val="24"/>
          <w:szCs w:val="24"/>
        </w:rPr>
        <w:t>、</w:t>
      </w:r>
      <w:r w:rsidRPr="004B609E">
        <w:rPr>
          <w:rFonts w:ascii="SimSun" w:eastAsia="SimSun" w:hAnsi="SimSun" w:cs="SimSun" w:hint="eastAsia"/>
          <w:sz w:val="24"/>
          <w:szCs w:val="24"/>
        </w:rPr>
        <w:t>护时健国王</w:t>
      </w:r>
      <w:r>
        <w:rPr>
          <w:rFonts w:ascii="SimSun" w:eastAsia="SimSun" w:hAnsi="SimSun" w:cs="SimSun" w:hint="eastAsia"/>
          <w:sz w:val="24"/>
          <w:szCs w:val="24"/>
        </w:rPr>
        <w:t>、</w:t>
      </w:r>
      <w:r w:rsidRPr="004B609E">
        <w:rPr>
          <w:rFonts w:ascii="SimSun" w:eastAsia="SimSun" w:hAnsi="SimSun" w:cs="SimSun" w:hint="eastAsia"/>
          <w:sz w:val="24"/>
          <w:szCs w:val="24"/>
        </w:rPr>
        <w:t>范延国王</w:t>
      </w:r>
      <w:r>
        <w:rPr>
          <w:rFonts w:ascii="SimSun" w:eastAsia="SimSun" w:hAnsi="SimSun" w:cs="SimSun" w:hint="eastAsia"/>
          <w:sz w:val="24"/>
          <w:szCs w:val="24"/>
        </w:rPr>
        <w:t>、</w:t>
      </w:r>
      <w:r w:rsidRPr="004B609E">
        <w:rPr>
          <w:rFonts w:ascii="SimSun" w:eastAsia="SimSun" w:hAnsi="SimSun" w:cs="SimSun" w:hint="eastAsia"/>
          <w:sz w:val="24"/>
          <w:szCs w:val="24"/>
        </w:rPr>
        <w:t>久越德建国王</w:t>
      </w:r>
      <w:r>
        <w:rPr>
          <w:rFonts w:ascii="SimSun" w:eastAsia="SimSun" w:hAnsi="SimSun" w:cs="SimSun" w:hint="eastAsia"/>
          <w:sz w:val="24"/>
          <w:szCs w:val="24"/>
        </w:rPr>
        <w:t>、</w:t>
      </w:r>
      <w:r w:rsidRPr="004B609E">
        <w:rPr>
          <w:rFonts w:ascii="SimSun" w:eastAsia="SimSun" w:hAnsi="SimSun" w:cs="SimSun" w:hint="eastAsia"/>
          <w:sz w:val="24"/>
          <w:szCs w:val="24"/>
        </w:rPr>
        <w:t>勃特山王</w:t>
      </w:r>
      <w:r>
        <w:rPr>
          <w:rFonts w:ascii="SimSun" w:eastAsia="SimSun" w:hAnsi="SimSun" w:cs="SimSun" w:hint="eastAsia"/>
          <w:sz w:val="24"/>
          <w:szCs w:val="24"/>
        </w:rPr>
        <w:t>，</w:t>
      </w:r>
      <w:r w:rsidRPr="004B609E">
        <w:rPr>
          <w:rFonts w:ascii="SimSun" w:eastAsia="SimSun" w:hAnsi="SimSun" w:cs="SimSun" w:hint="eastAsia"/>
          <w:sz w:val="24"/>
          <w:szCs w:val="24"/>
        </w:rPr>
        <w:t>各领五万众</w:t>
      </w:r>
      <w:r>
        <w:rPr>
          <w:rFonts w:ascii="SimSun" w:eastAsia="SimSun" w:hAnsi="SimSun" w:cs="SimSun" w:hint="eastAsia"/>
          <w:sz w:val="24"/>
          <w:szCs w:val="24"/>
        </w:rPr>
        <w:t>。</w:t>
      </w:r>
    </w:p>
    <w:p w14:paraId="73B25A6B" w14:textId="77777777" w:rsidR="003407FD" w:rsidRDefault="003407FD" w:rsidP="003407FD">
      <w:pPr>
        <w:spacing w:line="360" w:lineRule="auto"/>
        <w:ind w:firstLine="480"/>
        <w:rPr>
          <w:rFonts w:ascii="SimSun" w:eastAsia="SimSun" w:hAnsi="SimSun" w:cs="SimSun"/>
          <w:sz w:val="24"/>
          <w:szCs w:val="24"/>
        </w:rPr>
      </w:pPr>
      <w:r w:rsidRPr="004B609E">
        <w:rPr>
          <w:rFonts w:ascii="SimSun" w:eastAsia="SimSun" w:hAnsi="SimSun" w:cs="SimSun" w:hint="eastAsia"/>
          <w:sz w:val="24"/>
          <w:szCs w:val="24"/>
        </w:rPr>
        <w:t>仆罗祖父已来</w:t>
      </w:r>
      <w:r>
        <w:rPr>
          <w:rFonts w:ascii="SimSun" w:eastAsia="SimSun" w:hAnsi="SimSun" w:cs="SimSun" w:hint="eastAsia"/>
          <w:sz w:val="24"/>
          <w:szCs w:val="24"/>
        </w:rPr>
        <w:t>，</w:t>
      </w:r>
      <w:r w:rsidRPr="004B609E">
        <w:rPr>
          <w:rFonts w:ascii="SimSun" w:eastAsia="SimSun" w:hAnsi="SimSun" w:cs="SimSun" w:hint="eastAsia"/>
          <w:sz w:val="24"/>
          <w:szCs w:val="24"/>
        </w:rPr>
        <w:t>并是上件诸国之王蕃望尊重</w:t>
      </w:r>
      <w:r>
        <w:rPr>
          <w:rFonts w:ascii="SimSun" w:eastAsia="SimSun" w:hAnsi="SimSun" w:cs="SimSun" w:hint="eastAsia"/>
          <w:sz w:val="24"/>
          <w:szCs w:val="24"/>
        </w:rPr>
        <w:t>。</w:t>
      </w:r>
      <w:r w:rsidRPr="004B609E">
        <w:rPr>
          <w:rFonts w:ascii="SimSun" w:eastAsia="SimSun" w:hAnsi="SimSun" w:cs="SimSun" w:hint="eastAsia"/>
          <w:sz w:val="24"/>
          <w:szCs w:val="24"/>
        </w:rPr>
        <w:t>仆罗兄般都泥利承嫡继袭</w:t>
      </w:r>
      <w:r>
        <w:rPr>
          <w:rFonts w:ascii="SimSun" w:eastAsia="SimSun" w:hAnsi="SimSun" w:cs="SimSun" w:hint="eastAsia"/>
          <w:sz w:val="24"/>
          <w:szCs w:val="24"/>
        </w:rPr>
        <w:t>，</w:t>
      </w:r>
      <w:r w:rsidRPr="004B609E">
        <w:rPr>
          <w:rFonts w:ascii="SimSun" w:eastAsia="SimSun" w:hAnsi="SimSun" w:cs="SimSun" w:hint="eastAsia"/>
          <w:sz w:val="24"/>
          <w:szCs w:val="24"/>
        </w:rPr>
        <w:t>先蒙恩敕差使持节就本国册立为王</w:t>
      </w:r>
      <w:r>
        <w:rPr>
          <w:rFonts w:ascii="SimSun" w:eastAsia="SimSun" w:hAnsi="SimSun" w:cs="SimSun" w:hint="eastAsia"/>
          <w:sz w:val="24"/>
          <w:szCs w:val="24"/>
        </w:rPr>
        <w:t>。</w:t>
      </w:r>
      <w:r w:rsidRPr="004B609E">
        <w:rPr>
          <w:rFonts w:ascii="SimSun" w:eastAsia="SimSun" w:hAnsi="SimSun" w:cs="SimSun" w:hint="eastAsia"/>
          <w:sz w:val="24"/>
          <w:szCs w:val="24"/>
        </w:rPr>
        <w:t>然火罗叶护积代以来</w:t>
      </w:r>
      <w:r>
        <w:rPr>
          <w:rFonts w:ascii="SimSun" w:eastAsia="SimSun" w:hAnsi="SimSun" w:cs="SimSun" w:hint="eastAsia"/>
          <w:sz w:val="24"/>
          <w:szCs w:val="24"/>
        </w:rPr>
        <w:t>，</w:t>
      </w:r>
      <w:r w:rsidRPr="004B609E">
        <w:rPr>
          <w:rFonts w:ascii="SimSun" w:eastAsia="SimSun" w:hAnsi="SimSun" w:cs="SimSun" w:hint="eastAsia"/>
          <w:sz w:val="24"/>
          <w:szCs w:val="24"/>
        </w:rPr>
        <w:t>于大唐忠赤</w:t>
      </w:r>
      <w:r>
        <w:rPr>
          <w:rFonts w:ascii="SimSun" w:eastAsia="SimSun" w:hAnsi="SimSun" w:cs="SimSun" w:hint="eastAsia"/>
          <w:sz w:val="24"/>
          <w:szCs w:val="24"/>
        </w:rPr>
        <w:t>，</w:t>
      </w:r>
      <w:r w:rsidRPr="004B609E">
        <w:rPr>
          <w:rFonts w:ascii="SimSun" w:eastAsia="SimSun" w:hAnsi="SimSun" w:cs="SimSun" w:hint="eastAsia"/>
          <w:sz w:val="24"/>
          <w:szCs w:val="24"/>
        </w:rPr>
        <w:t>朝贡不绝</w:t>
      </w:r>
      <w:r>
        <w:rPr>
          <w:rFonts w:ascii="SimSun" w:eastAsia="SimSun" w:hAnsi="SimSun" w:cs="SimSun" w:hint="eastAsia"/>
          <w:sz w:val="24"/>
          <w:szCs w:val="24"/>
        </w:rPr>
        <w:t>。</w:t>
      </w:r>
      <w:r w:rsidRPr="004B609E">
        <w:rPr>
          <w:rFonts w:ascii="SimSun" w:eastAsia="SimSun" w:hAnsi="SimSun" w:cs="SimSun" w:hint="eastAsia"/>
          <w:sz w:val="24"/>
          <w:szCs w:val="24"/>
        </w:rPr>
        <w:t>本国缘接近大食吐蕃东界</w:t>
      </w:r>
      <w:r>
        <w:rPr>
          <w:rFonts w:ascii="SimSun" w:eastAsia="SimSun" w:hAnsi="SimSun" w:cs="SimSun" w:hint="eastAsia"/>
          <w:sz w:val="24"/>
          <w:szCs w:val="24"/>
        </w:rPr>
        <w:t>，</w:t>
      </w:r>
      <w:r w:rsidRPr="004B609E">
        <w:rPr>
          <w:rFonts w:ascii="SimSun" w:eastAsia="SimSun" w:hAnsi="SimSun" w:cs="SimSun" w:hint="eastAsia"/>
          <w:sz w:val="24"/>
          <w:szCs w:val="24"/>
        </w:rPr>
        <w:t>又是西镇</w:t>
      </w:r>
      <w:r>
        <w:rPr>
          <w:rFonts w:ascii="SimSun" w:eastAsia="SimSun" w:hAnsi="SimSun" w:cs="SimSun" w:hint="eastAsia"/>
          <w:sz w:val="24"/>
          <w:szCs w:val="24"/>
        </w:rPr>
        <w:t>，</w:t>
      </w:r>
      <w:r w:rsidRPr="004B609E">
        <w:rPr>
          <w:rFonts w:ascii="SimSun" w:eastAsia="SimSun" w:hAnsi="SimSun" w:cs="SimSun" w:hint="eastAsia"/>
          <w:sz w:val="24"/>
          <w:szCs w:val="24"/>
        </w:rPr>
        <w:t>仆罗兄每征发部落下兵马</w:t>
      </w:r>
      <w:r>
        <w:rPr>
          <w:rFonts w:ascii="SimSun" w:eastAsia="SimSun" w:hAnsi="SimSun" w:cs="SimSun" w:hint="eastAsia"/>
          <w:sz w:val="24"/>
          <w:szCs w:val="24"/>
        </w:rPr>
        <w:t>，</w:t>
      </w:r>
      <w:r w:rsidRPr="004B609E">
        <w:rPr>
          <w:rFonts w:ascii="SimSun" w:eastAsia="SimSun" w:hAnsi="SimSun" w:cs="SimSun" w:hint="eastAsia"/>
          <w:sz w:val="24"/>
          <w:szCs w:val="24"/>
        </w:rPr>
        <w:t>讨论击诸贼</w:t>
      </w:r>
      <w:r>
        <w:rPr>
          <w:rFonts w:ascii="SimSun" w:eastAsia="SimSun" w:hAnsi="SimSun" w:cs="SimSun" w:hint="eastAsia"/>
          <w:sz w:val="24"/>
          <w:szCs w:val="24"/>
        </w:rPr>
        <w:t>；</w:t>
      </w:r>
      <w:r w:rsidRPr="004B609E">
        <w:rPr>
          <w:rFonts w:ascii="SimSun" w:eastAsia="SimSun" w:hAnsi="SimSun" w:cs="SimSun" w:hint="eastAsia"/>
          <w:sz w:val="24"/>
          <w:szCs w:val="24"/>
        </w:rPr>
        <w:t>与汉军相知</w:t>
      </w:r>
      <w:r>
        <w:rPr>
          <w:rFonts w:ascii="SimSun" w:eastAsia="SimSun" w:hAnsi="SimSun" w:cs="SimSun" w:hint="eastAsia"/>
          <w:sz w:val="24"/>
          <w:szCs w:val="24"/>
        </w:rPr>
        <w:t>，</w:t>
      </w:r>
      <w:r w:rsidRPr="004B609E">
        <w:rPr>
          <w:rFonts w:ascii="SimSun" w:eastAsia="SimSun" w:hAnsi="SimSun" w:cs="SimSun" w:hint="eastAsia"/>
          <w:sz w:val="24"/>
          <w:szCs w:val="24"/>
        </w:rPr>
        <w:t>声援应接在于边境</w:t>
      </w:r>
      <w:r>
        <w:rPr>
          <w:rFonts w:ascii="SimSun" w:eastAsia="SimSun" w:hAnsi="SimSun" w:cs="SimSun" w:hint="eastAsia"/>
          <w:sz w:val="24"/>
          <w:szCs w:val="24"/>
        </w:rPr>
        <w:t>，</w:t>
      </w:r>
      <w:r w:rsidRPr="004B609E">
        <w:rPr>
          <w:rFonts w:ascii="SimSun" w:eastAsia="SimSun" w:hAnsi="SimSun" w:cs="SimSun" w:hint="eastAsia"/>
          <w:sz w:val="24"/>
          <w:szCs w:val="24"/>
        </w:rPr>
        <w:t>所以免有侵渔</w:t>
      </w:r>
      <w:r>
        <w:rPr>
          <w:rFonts w:ascii="SimSun" w:eastAsia="SimSun" w:hAnsi="SimSun" w:cs="SimSun" w:hint="eastAsia"/>
          <w:sz w:val="24"/>
          <w:szCs w:val="24"/>
        </w:rPr>
        <w:t>。</w:t>
      </w:r>
      <w:r w:rsidRPr="004B609E">
        <w:rPr>
          <w:rFonts w:ascii="SimSun" w:eastAsia="SimSun" w:hAnsi="SimSun" w:cs="SimSun" w:hint="eastAsia"/>
          <w:sz w:val="24"/>
          <w:szCs w:val="24"/>
        </w:rPr>
        <w:t>仆罗兄前后屡蒙圣泽</w:t>
      </w:r>
      <w:r>
        <w:rPr>
          <w:rFonts w:ascii="SimSun" w:eastAsia="SimSun" w:hAnsi="SimSun" w:cs="SimSun" w:hint="eastAsia"/>
          <w:sz w:val="24"/>
          <w:szCs w:val="24"/>
        </w:rPr>
        <w:t>，愧荷国</w:t>
      </w:r>
      <w:r w:rsidRPr="004B609E">
        <w:rPr>
          <w:rFonts w:ascii="SimSun" w:eastAsia="SimSun" w:hAnsi="SimSun" w:cs="SimSun" w:hint="eastAsia"/>
          <w:sz w:val="24"/>
          <w:szCs w:val="24"/>
        </w:rPr>
        <w:t>恩</w:t>
      </w:r>
      <w:r>
        <w:rPr>
          <w:rFonts w:ascii="SimSun" w:eastAsia="SimSun" w:hAnsi="SimSun" w:cs="SimSun" w:hint="eastAsia"/>
          <w:sz w:val="24"/>
          <w:szCs w:val="24"/>
        </w:rPr>
        <w:t>，</w:t>
      </w:r>
      <w:r w:rsidRPr="004B609E">
        <w:rPr>
          <w:rFonts w:ascii="SimSun" w:eastAsia="SimSun" w:hAnsi="SimSun" w:cs="SimSun" w:hint="eastAsia"/>
          <w:sz w:val="24"/>
          <w:szCs w:val="24"/>
        </w:rPr>
        <w:t>遂发遣仆罗入朝</w:t>
      </w:r>
      <w:r>
        <w:rPr>
          <w:rFonts w:ascii="SimSun" w:eastAsia="SimSun" w:hAnsi="SimSun" w:cs="SimSun" w:hint="eastAsia"/>
          <w:sz w:val="24"/>
          <w:szCs w:val="24"/>
        </w:rPr>
        <w:t>，</w:t>
      </w:r>
      <w:r w:rsidRPr="004B609E">
        <w:rPr>
          <w:rFonts w:ascii="SimSun" w:eastAsia="SimSun" w:hAnsi="SimSun" w:cs="SimSun" w:hint="eastAsia"/>
          <w:sz w:val="24"/>
          <w:szCs w:val="24"/>
        </w:rPr>
        <w:t>侍卫玉阶</w:t>
      </w:r>
      <w:r>
        <w:rPr>
          <w:rFonts w:ascii="SimSun" w:eastAsia="SimSun" w:hAnsi="SimSun" w:cs="SimSun" w:hint="eastAsia"/>
          <w:sz w:val="24"/>
          <w:szCs w:val="24"/>
        </w:rPr>
        <w:t>。</w:t>
      </w:r>
      <w:r w:rsidRPr="004B609E">
        <w:rPr>
          <w:rFonts w:ascii="SimSun" w:eastAsia="SimSun" w:hAnsi="SimSun" w:cs="SimSun" w:hint="eastAsia"/>
          <w:sz w:val="24"/>
          <w:szCs w:val="24"/>
        </w:rPr>
        <w:t>至愿献忠殉命</w:t>
      </w:r>
      <w:r>
        <w:rPr>
          <w:rFonts w:ascii="SimSun" w:eastAsia="SimSun" w:hAnsi="SimSun" w:cs="SimSun" w:hint="eastAsia"/>
          <w:sz w:val="24"/>
          <w:szCs w:val="24"/>
        </w:rPr>
        <w:t>，</w:t>
      </w:r>
      <w:r w:rsidRPr="004B609E">
        <w:rPr>
          <w:rFonts w:ascii="SimSun" w:eastAsia="SimSun" w:hAnsi="SimSun" w:cs="SimSun" w:hint="eastAsia"/>
          <w:sz w:val="24"/>
          <w:szCs w:val="24"/>
        </w:rPr>
        <w:t>以为臣妾</w:t>
      </w:r>
      <w:r>
        <w:rPr>
          <w:rFonts w:ascii="SimSun" w:eastAsia="SimSun" w:hAnsi="SimSun" w:cs="SimSun" w:hint="eastAsia"/>
          <w:sz w:val="24"/>
          <w:szCs w:val="24"/>
        </w:rPr>
        <w:t>。</w:t>
      </w:r>
    </w:p>
    <w:p w14:paraId="30CAA4F9" w14:textId="6CEB3F8B" w:rsidR="003407FD" w:rsidRPr="004B609E" w:rsidRDefault="003407FD" w:rsidP="003407FD">
      <w:pPr>
        <w:spacing w:line="360" w:lineRule="auto"/>
        <w:ind w:firstLine="480"/>
        <w:rPr>
          <w:rFonts w:ascii="SimSun" w:eastAsia="SimSun" w:hAnsi="SimSun" w:cs="SimSun"/>
          <w:sz w:val="24"/>
          <w:szCs w:val="24"/>
        </w:rPr>
      </w:pPr>
      <w:r w:rsidRPr="004B609E">
        <w:rPr>
          <w:rFonts w:ascii="SimSun" w:eastAsia="SimSun" w:hAnsi="SimSun" w:cs="SimSun" w:hint="eastAsia"/>
          <w:sz w:val="24"/>
          <w:szCs w:val="24"/>
        </w:rPr>
        <w:t>仆罗至此，为不解汉法，鸿胪寺不委蕃望大小，有不比类，流例高下相悬，即奏拟授官。窃见石国</w:t>
      </w:r>
      <w:r>
        <w:rPr>
          <w:rFonts w:ascii="SimSun" w:eastAsia="SimSun" w:hAnsi="SimSun" w:cs="SimSun" w:hint="eastAsia"/>
          <w:sz w:val="24"/>
          <w:szCs w:val="24"/>
        </w:rPr>
        <w:t>、</w:t>
      </w:r>
      <w:r w:rsidRPr="004B609E">
        <w:rPr>
          <w:rFonts w:ascii="SimSun" w:eastAsia="SimSun" w:hAnsi="SimSun" w:cs="SimSun" w:hint="eastAsia"/>
          <w:sz w:val="24"/>
          <w:szCs w:val="24"/>
        </w:rPr>
        <w:t>龟兹并余小国王子</w:t>
      </w:r>
      <w:r>
        <w:rPr>
          <w:rFonts w:ascii="SimSun" w:eastAsia="SimSun" w:hAnsi="SimSun" w:cs="SimSun" w:hint="eastAsia"/>
          <w:sz w:val="24"/>
          <w:szCs w:val="24"/>
        </w:rPr>
        <w:t>、</w:t>
      </w:r>
      <w:r w:rsidRPr="004B609E">
        <w:rPr>
          <w:rFonts w:ascii="SimSun" w:eastAsia="SimSun" w:hAnsi="SimSun" w:cs="SimSun" w:hint="eastAsia"/>
          <w:sz w:val="24"/>
          <w:szCs w:val="24"/>
        </w:rPr>
        <w:t>首领等入朝</w:t>
      </w:r>
      <w:r>
        <w:rPr>
          <w:rFonts w:ascii="SimSun" w:eastAsia="SimSun" w:hAnsi="SimSun" w:cs="SimSun" w:hint="eastAsia"/>
          <w:sz w:val="24"/>
          <w:szCs w:val="24"/>
        </w:rPr>
        <w:t>，</w:t>
      </w:r>
      <w:r w:rsidRPr="004B609E">
        <w:rPr>
          <w:rFonts w:ascii="SimSun" w:eastAsia="SimSun" w:hAnsi="SimSun" w:cs="SimSun" w:hint="eastAsia"/>
          <w:sz w:val="24"/>
          <w:szCs w:val="24"/>
        </w:rPr>
        <w:t>元无功效</w:t>
      </w:r>
      <w:r>
        <w:rPr>
          <w:rFonts w:ascii="SimSun" w:eastAsia="SimSun" w:hAnsi="SimSun" w:cs="SimSun" w:hint="eastAsia"/>
          <w:sz w:val="24"/>
          <w:szCs w:val="24"/>
        </w:rPr>
        <w:t>，</w:t>
      </w:r>
      <w:r w:rsidRPr="004B609E">
        <w:rPr>
          <w:rFonts w:ascii="SimSun" w:eastAsia="SimSun" w:hAnsi="SimSun" w:cs="SimSun" w:hint="eastAsia"/>
          <w:sz w:val="24"/>
          <w:szCs w:val="24"/>
        </w:rPr>
        <w:t>并缘蕃望</w:t>
      </w:r>
      <w:r>
        <w:rPr>
          <w:rFonts w:ascii="SimSun" w:eastAsia="SimSun" w:hAnsi="SimSun" w:cs="SimSun" w:hint="eastAsia"/>
          <w:sz w:val="24"/>
          <w:szCs w:val="24"/>
        </w:rPr>
        <w:t>，</w:t>
      </w:r>
      <w:r w:rsidRPr="004B609E">
        <w:rPr>
          <w:rFonts w:ascii="SimSun" w:eastAsia="SimSun" w:hAnsi="SimSun" w:cs="SimSun" w:hint="eastAsia"/>
          <w:sz w:val="24"/>
          <w:szCs w:val="24"/>
        </w:rPr>
        <w:t>授三品将军</w:t>
      </w:r>
      <w:r>
        <w:rPr>
          <w:rFonts w:ascii="SimSun" w:eastAsia="SimSun" w:hAnsi="SimSun" w:cs="SimSun" w:hint="eastAsia"/>
          <w:sz w:val="24"/>
          <w:szCs w:val="24"/>
        </w:rPr>
        <w:t>。</w:t>
      </w:r>
      <w:r w:rsidRPr="004B609E">
        <w:rPr>
          <w:rFonts w:ascii="SimSun" w:eastAsia="SimSun" w:hAnsi="SimSun" w:cs="SimSun" w:hint="eastAsia"/>
          <w:sz w:val="24"/>
          <w:szCs w:val="24"/>
        </w:rPr>
        <w:t>况仆罗身恃勤</w:t>
      </w:r>
      <w:r>
        <w:rPr>
          <w:rFonts w:ascii="SimSun" w:eastAsia="SimSun" w:hAnsi="SimSun" w:cs="SimSun" w:hint="eastAsia"/>
          <w:sz w:val="24"/>
          <w:szCs w:val="24"/>
        </w:rPr>
        <w:t>，</w:t>
      </w:r>
      <w:r w:rsidRPr="004B609E">
        <w:rPr>
          <w:rFonts w:ascii="SimSun" w:eastAsia="SimSun" w:hAnsi="SimSun" w:cs="SimSun" w:hint="eastAsia"/>
          <w:sz w:val="24"/>
          <w:szCs w:val="24"/>
        </w:rPr>
        <w:t>本蕃位望与亲王一种</w:t>
      </w:r>
      <w:r>
        <w:rPr>
          <w:rFonts w:ascii="SimSun" w:eastAsia="SimSun" w:hAnsi="SimSun" w:cs="SimSun" w:hint="eastAsia"/>
          <w:sz w:val="24"/>
          <w:szCs w:val="24"/>
        </w:rPr>
        <w:t>，比</w:t>
      </w:r>
      <w:r w:rsidRPr="004B609E">
        <w:rPr>
          <w:rFonts w:ascii="SimSun" w:eastAsia="SimSun" w:hAnsi="SimSun" w:cs="SimSun" w:hint="eastAsia"/>
          <w:sz w:val="24"/>
          <w:szCs w:val="24"/>
        </w:rPr>
        <w:t>类大小</w:t>
      </w:r>
      <w:r>
        <w:rPr>
          <w:rFonts w:ascii="SimSun" w:eastAsia="SimSun" w:hAnsi="SimSun" w:cs="SimSun" w:hint="eastAsia"/>
          <w:sz w:val="24"/>
          <w:szCs w:val="24"/>
        </w:rPr>
        <w:t>，</w:t>
      </w:r>
      <w:r w:rsidRPr="004B609E">
        <w:rPr>
          <w:rFonts w:ascii="SimSun" w:eastAsia="SimSun" w:hAnsi="SimSun" w:cs="SimSun" w:hint="eastAsia"/>
          <w:sz w:val="24"/>
          <w:szCs w:val="24"/>
        </w:rPr>
        <w:t>与诸国王子悬殊</w:t>
      </w:r>
      <w:r>
        <w:rPr>
          <w:rFonts w:ascii="SimSun" w:eastAsia="SimSun" w:hAnsi="SimSun" w:cs="SimSun" w:hint="eastAsia"/>
          <w:sz w:val="24"/>
          <w:szCs w:val="24"/>
        </w:rPr>
        <w:t>，</w:t>
      </w:r>
      <w:r w:rsidRPr="004B609E">
        <w:rPr>
          <w:rFonts w:ascii="SimSun" w:eastAsia="SimSun" w:hAnsi="SimSun" w:cs="SimSun" w:hint="eastAsia"/>
          <w:sz w:val="24"/>
          <w:szCs w:val="24"/>
        </w:rPr>
        <w:t>却授仆罗四品中郎</w:t>
      </w:r>
      <w:r>
        <w:rPr>
          <w:rFonts w:ascii="SimSun" w:eastAsia="SimSun" w:hAnsi="SimSun" w:cs="SimSun" w:hint="eastAsia"/>
          <w:sz w:val="24"/>
          <w:szCs w:val="24"/>
        </w:rPr>
        <w:t>。</w:t>
      </w:r>
      <w:r w:rsidRPr="004B609E">
        <w:rPr>
          <w:rFonts w:ascii="SimSun" w:eastAsia="SimSun" w:hAnsi="SimSun" w:cs="SimSun" w:hint="eastAsia"/>
          <w:sz w:val="24"/>
          <w:szCs w:val="24"/>
        </w:rPr>
        <w:t>但在蕃王子弟</w:t>
      </w:r>
      <w:r>
        <w:rPr>
          <w:rFonts w:ascii="SimSun" w:eastAsia="SimSun" w:hAnsi="SimSun" w:cs="SimSun" w:hint="eastAsia"/>
          <w:sz w:val="24"/>
          <w:szCs w:val="24"/>
        </w:rPr>
        <w:t>，</w:t>
      </w:r>
      <w:r w:rsidRPr="004B609E">
        <w:rPr>
          <w:rFonts w:ascii="SimSun" w:eastAsia="SimSun" w:hAnsi="SimSun" w:cs="SimSun" w:hint="eastAsia"/>
          <w:sz w:val="24"/>
          <w:szCs w:val="24"/>
        </w:rPr>
        <w:t>娑罗门瞿昙金刚</w:t>
      </w:r>
      <w:r>
        <w:rPr>
          <w:rFonts w:ascii="SimSun" w:eastAsia="SimSun" w:hAnsi="SimSun" w:cs="SimSun" w:hint="eastAsia"/>
          <w:sz w:val="24"/>
          <w:szCs w:val="24"/>
        </w:rPr>
        <w:t>、</w:t>
      </w:r>
      <w:r w:rsidRPr="004B609E">
        <w:rPr>
          <w:rFonts w:ascii="SimSun" w:eastAsia="SimSun" w:hAnsi="SimSun" w:cs="SimSun" w:hint="eastAsia"/>
          <w:sz w:val="24"/>
          <w:szCs w:val="24"/>
        </w:rPr>
        <w:t>龟兹王子白孝顺等</w:t>
      </w:r>
      <w:r>
        <w:rPr>
          <w:rFonts w:ascii="SimSun" w:eastAsia="SimSun" w:hAnsi="SimSun" w:cs="SimSun" w:hint="eastAsia"/>
          <w:sz w:val="24"/>
          <w:szCs w:val="24"/>
        </w:rPr>
        <w:t>，</w:t>
      </w:r>
      <w:r w:rsidRPr="004B609E">
        <w:rPr>
          <w:rFonts w:ascii="SimSun" w:eastAsia="SimSun" w:hAnsi="SimSun" w:cs="SimSun" w:hint="eastAsia"/>
          <w:sz w:val="24"/>
          <w:szCs w:val="24"/>
        </w:rPr>
        <w:t>皆数改转</w:t>
      </w:r>
      <w:r>
        <w:rPr>
          <w:rFonts w:ascii="SimSun" w:eastAsia="SimSun" w:hAnsi="SimSun" w:cs="SimSun" w:hint="eastAsia"/>
          <w:sz w:val="24"/>
          <w:szCs w:val="24"/>
        </w:rPr>
        <w:t>，</w:t>
      </w:r>
      <w:r w:rsidRPr="004B609E">
        <w:rPr>
          <w:rFonts w:ascii="SimSun" w:eastAsia="SimSun" w:hAnsi="SimSun" w:cs="SimSun" w:hint="eastAsia"/>
          <w:sz w:val="24"/>
          <w:szCs w:val="24"/>
        </w:rPr>
        <w:t>位至诸卫将军</w:t>
      </w:r>
      <w:r>
        <w:rPr>
          <w:rFonts w:ascii="SimSun" w:eastAsia="SimSun" w:hAnsi="SimSun" w:cs="SimSun" w:hint="eastAsia"/>
          <w:sz w:val="24"/>
          <w:szCs w:val="24"/>
        </w:rPr>
        <w:t>。</w:t>
      </w:r>
      <w:r w:rsidRPr="004B609E">
        <w:rPr>
          <w:rFonts w:ascii="SimSun" w:eastAsia="SimSun" w:hAnsi="SimSun" w:cs="SimSun" w:hint="eastAsia"/>
          <w:sz w:val="24"/>
          <w:szCs w:val="24"/>
        </w:rPr>
        <w:t>唯仆罗最是大蕃</w:t>
      </w:r>
      <w:r>
        <w:rPr>
          <w:rFonts w:ascii="SimSun" w:eastAsia="SimSun" w:hAnsi="SimSun" w:cs="SimSun" w:hint="eastAsia"/>
          <w:sz w:val="24"/>
          <w:szCs w:val="24"/>
        </w:rPr>
        <w:t>，</w:t>
      </w:r>
      <w:r w:rsidRPr="004B609E">
        <w:rPr>
          <w:rFonts w:ascii="SimSun" w:eastAsia="SimSun" w:hAnsi="SimSun" w:cs="SimSun" w:hint="eastAsia"/>
          <w:sz w:val="24"/>
          <w:szCs w:val="24"/>
        </w:rPr>
        <w:t>去神龙元年蒙恩敕授左领军卫翊府中郎将</w:t>
      </w:r>
      <w:r>
        <w:rPr>
          <w:rFonts w:ascii="SimSun" w:eastAsia="SimSun" w:hAnsi="SimSun" w:cs="SimSun" w:hint="eastAsia"/>
          <w:sz w:val="24"/>
          <w:szCs w:val="24"/>
        </w:rPr>
        <w:t>，</w:t>
      </w:r>
      <w:r w:rsidRPr="004B609E">
        <w:rPr>
          <w:rFonts w:ascii="SimSun" w:eastAsia="SimSun" w:hAnsi="SimSun" w:cs="SimSun" w:hint="eastAsia"/>
          <w:sz w:val="24"/>
          <w:szCs w:val="24"/>
        </w:rPr>
        <w:t>至今经一十四年</w:t>
      </w:r>
      <w:r>
        <w:rPr>
          <w:rFonts w:ascii="SimSun" w:eastAsia="SimSun" w:hAnsi="SimSun" w:cs="SimSun" w:hint="eastAsia"/>
          <w:sz w:val="24"/>
          <w:szCs w:val="24"/>
        </w:rPr>
        <w:t>，</w:t>
      </w:r>
      <w:r w:rsidRPr="004B609E">
        <w:rPr>
          <w:rFonts w:ascii="SimSun" w:eastAsia="SimSun" w:hAnsi="SimSun" w:cs="SimSun" w:hint="eastAsia"/>
          <w:sz w:val="24"/>
          <w:szCs w:val="24"/>
        </w:rPr>
        <w:t>久被沦屈</w:t>
      </w:r>
      <w:r>
        <w:rPr>
          <w:rFonts w:ascii="SimSun" w:eastAsia="SimSun" w:hAnsi="SimSun" w:cs="SimSun" w:hint="eastAsia"/>
          <w:sz w:val="24"/>
          <w:szCs w:val="24"/>
        </w:rPr>
        <w:t>，</w:t>
      </w:r>
      <w:r w:rsidRPr="004B609E">
        <w:rPr>
          <w:rFonts w:ascii="SimSun" w:eastAsia="SimSun" w:hAnsi="SimSun" w:cs="SimSun" w:hint="eastAsia"/>
          <w:sz w:val="24"/>
          <w:szCs w:val="24"/>
        </w:rPr>
        <w:t>不蒙准例授职</w:t>
      </w:r>
      <w:r>
        <w:rPr>
          <w:rFonts w:ascii="SimSun" w:eastAsia="SimSun" w:hAnsi="SimSun" w:cs="SimSun" w:hint="eastAsia"/>
          <w:sz w:val="24"/>
          <w:szCs w:val="24"/>
        </w:rPr>
        <w:t>，</w:t>
      </w:r>
      <w:r w:rsidRPr="004B609E">
        <w:rPr>
          <w:rFonts w:ascii="SimSun" w:eastAsia="SimSun" w:hAnsi="SimSun" w:cs="SimSun" w:hint="eastAsia"/>
          <w:sz w:val="24"/>
          <w:szCs w:val="24"/>
        </w:rPr>
        <w:t>不胜苦屈之甚</w:t>
      </w:r>
      <w:r>
        <w:rPr>
          <w:rFonts w:ascii="SimSun" w:eastAsia="SimSun" w:hAnsi="SimSun" w:cs="SimSun" w:hint="eastAsia"/>
          <w:sz w:val="24"/>
          <w:szCs w:val="24"/>
        </w:rPr>
        <w:t>。</w:t>
      </w:r>
      <w:r w:rsidRPr="004B609E">
        <w:rPr>
          <w:rFonts w:ascii="SimSun" w:eastAsia="SimSun" w:hAnsi="SimSun" w:cs="SimSun" w:hint="eastAsia"/>
          <w:sz w:val="24"/>
          <w:szCs w:val="24"/>
        </w:rPr>
        <w:t>敕鸿胪卿准例定品秩</w:t>
      </w:r>
      <w:r>
        <w:rPr>
          <w:rFonts w:ascii="SimSun" w:eastAsia="SimSun" w:hAnsi="SimSun" w:cs="SimSun" w:hint="eastAsia"/>
          <w:sz w:val="24"/>
          <w:szCs w:val="24"/>
        </w:rPr>
        <w:t>，</w:t>
      </w:r>
      <w:r w:rsidRPr="004B609E">
        <w:rPr>
          <w:rFonts w:ascii="SimSun" w:eastAsia="SimSun" w:hAnsi="SimSun" w:cs="SimSun" w:hint="eastAsia"/>
          <w:sz w:val="24"/>
          <w:szCs w:val="24"/>
        </w:rPr>
        <w:t>勿令称屈。</w:t>
      </w:r>
    </w:p>
    <w:p w14:paraId="6473DF21" w14:textId="7287F6E0" w:rsidR="008D0CED" w:rsidRDefault="0043029B" w:rsidP="00E63365">
      <w:pPr>
        <w:spacing w:line="360" w:lineRule="auto"/>
        <w:rPr>
          <w:rFonts w:asciiTheme="majorBidi" w:hAnsiTheme="majorBidi" w:cstheme="majorBidi"/>
          <w:sz w:val="24"/>
          <w:szCs w:val="24"/>
        </w:rPr>
      </w:pPr>
      <w:r w:rsidRPr="00645ECF">
        <w:rPr>
          <w:rFonts w:asciiTheme="majorBidi" w:hAnsiTheme="majorBidi" w:cstheme="majorBidi"/>
          <w:sz w:val="24"/>
          <w:szCs w:val="24"/>
        </w:rPr>
        <w:t xml:space="preserve">     </w:t>
      </w:r>
      <w:r w:rsidR="00205179" w:rsidRPr="00645ECF">
        <w:rPr>
          <w:rFonts w:asciiTheme="majorBidi" w:hAnsiTheme="majorBidi" w:cstheme="majorBidi"/>
          <w:sz w:val="24"/>
          <w:szCs w:val="24"/>
        </w:rPr>
        <w:t xml:space="preserve">On the day </w:t>
      </w:r>
      <w:r w:rsidR="00A23A19" w:rsidRPr="00645ECF">
        <w:rPr>
          <w:rFonts w:asciiTheme="majorBidi" w:hAnsiTheme="majorBidi" w:cstheme="majorBidi"/>
          <w:sz w:val="24"/>
          <w:szCs w:val="24"/>
        </w:rPr>
        <w:t xml:space="preserve">of </w:t>
      </w:r>
      <w:r w:rsidR="00205179" w:rsidRPr="00645ECF">
        <w:rPr>
          <w:rFonts w:asciiTheme="majorBidi" w:hAnsiTheme="majorBidi" w:cstheme="majorBidi"/>
          <w:sz w:val="24"/>
          <w:szCs w:val="24"/>
        </w:rPr>
        <w:t>dingwei, in the eleventh month</w:t>
      </w:r>
      <w:r w:rsidR="00AC30C6" w:rsidRPr="00645ECF">
        <w:rPr>
          <w:rFonts w:asciiTheme="majorBidi" w:hAnsiTheme="majorBidi" w:cstheme="majorBidi"/>
          <w:sz w:val="24"/>
          <w:szCs w:val="24"/>
        </w:rPr>
        <w:t xml:space="preserve"> (December the 13th)</w:t>
      </w:r>
      <w:r w:rsidR="00205179" w:rsidRPr="00645ECF">
        <w:rPr>
          <w:rFonts w:asciiTheme="majorBidi" w:hAnsiTheme="majorBidi" w:cstheme="majorBidi"/>
          <w:sz w:val="24"/>
          <w:szCs w:val="24"/>
        </w:rPr>
        <w:t xml:space="preserve"> of the sixth year </w:t>
      </w:r>
      <w:r w:rsidR="00A23A19" w:rsidRPr="00645ECF">
        <w:rPr>
          <w:rFonts w:asciiTheme="majorBidi" w:hAnsiTheme="majorBidi" w:cstheme="majorBidi"/>
          <w:sz w:val="24"/>
          <w:szCs w:val="24"/>
        </w:rPr>
        <w:t>(</w:t>
      </w:r>
      <w:r w:rsidR="00205179" w:rsidRPr="00645ECF">
        <w:rPr>
          <w:rFonts w:asciiTheme="majorBidi" w:hAnsiTheme="majorBidi" w:cstheme="majorBidi"/>
          <w:sz w:val="24"/>
          <w:szCs w:val="24"/>
        </w:rPr>
        <w:t>718</w:t>
      </w:r>
      <w:r w:rsidR="00FA5CAD" w:rsidRPr="00645ECF">
        <w:rPr>
          <w:rFonts w:asciiTheme="majorBidi" w:hAnsiTheme="majorBidi" w:cstheme="majorBidi"/>
          <w:sz w:val="24"/>
          <w:szCs w:val="24"/>
        </w:rPr>
        <w:t xml:space="preserve"> CE</w:t>
      </w:r>
      <w:r w:rsidR="00205179" w:rsidRPr="00645ECF">
        <w:rPr>
          <w:rFonts w:asciiTheme="majorBidi" w:hAnsiTheme="majorBidi" w:cstheme="majorBidi"/>
          <w:sz w:val="24"/>
          <w:szCs w:val="24"/>
        </w:rPr>
        <w:t>, of the Kaiyuan reign-period</w:t>
      </w:r>
      <w:r w:rsidR="0033092F" w:rsidRPr="00645ECF">
        <w:rPr>
          <w:rFonts w:asciiTheme="majorBidi" w:hAnsiTheme="majorBidi" w:cstheme="majorBidi"/>
          <w:sz w:val="24"/>
          <w:szCs w:val="24"/>
        </w:rPr>
        <w:t xml:space="preserve"> from 713-41 CE</w:t>
      </w:r>
      <w:r w:rsidR="00A23A19" w:rsidRPr="00645ECF">
        <w:rPr>
          <w:rFonts w:asciiTheme="majorBidi" w:hAnsiTheme="majorBidi" w:cstheme="majorBidi"/>
          <w:sz w:val="24"/>
          <w:szCs w:val="24"/>
        </w:rPr>
        <w:t>)</w:t>
      </w:r>
      <w:r w:rsidR="00205179" w:rsidRPr="00645ECF">
        <w:rPr>
          <w:rFonts w:asciiTheme="majorBidi" w:hAnsiTheme="majorBidi" w:cstheme="majorBidi"/>
          <w:sz w:val="24"/>
          <w:szCs w:val="24"/>
        </w:rPr>
        <w:t>, Ashi</w:t>
      </w:r>
      <w:r w:rsidR="00765BA9" w:rsidRPr="00645ECF">
        <w:rPr>
          <w:rFonts w:asciiTheme="majorBidi" w:hAnsiTheme="majorBidi" w:cstheme="majorBidi"/>
          <w:sz w:val="24"/>
          <w:szCs w:val="24"/>
        </w:rPr>
        <w:t>[na]</w:t>
      </w:r>
      <w:r w:rsidR="00205179" w:rsidRPr="00645ECF">
        <w:rPr>
          <w:rFonts w:asciiTheme="majorBidi" w:hAnsiTheme="majorBidi" w:cstheme="majorBidi"/>
          <w:sz w:val="24"/>
          <w:szCs w:val="24"/>
        </w:rPr>
        <w:t xml:space="preserve"> Te</w:t>
      </w:r>
      <w:r w:rsidR="00A23A19" w:rsidRPr="00645ECF">
        <w:rPr>
          <w:rFonts w:asciiTheme="majorBidi" w:hAnsiTheme="majorBidi" w:cstheme="majorBidi"/>
          <w:sz w:val="24"/>
          <w:szCs w:val="24"/>
        </w:rPr>
        <w:t>le (tegin)</w:t>
      </w:r>
      <w:r w:rsidR="00205179" w:rsidRPr="00765BA9">
        <w:rPr>
          <w:rFonts w:asciiTheme="majorBidi" w:hAnsiTheme="majorBidi" w:cstheme="majorBidi"/>
          <w:sz w:val="24"/>
          <w:szCs w:val="24"/>
        </w:rPr>
        <w:t xml:space="preserve"> Puluo</w:t>
      </w:r>
      <w:r w:rsidR="00205179" w:rsidRPr="00765BA9">
        <w:rPr>
          <w:rFonts w:asciiTheme="majorBidi" w:hAnsiTheme="majorBidi" w:cstheme="majorBidi" w:hint="eastAsia"/>
          <w:sz w:val="24"/>
          <w:szCs w:val="24"/>
        </w:rPr>
        <w:t xml:space="preserve"> </w:t>
      </w:r>
      <w:r w:rsidR="00205179" w:rsidRPr="00765BA9">
        <w:rPr>
          <w:rFonts w:asciiTheme="majorBidi" w:hAnsiTheme="majorBidi" w:cstheme="majorBidi"/>
          <w:sz w:val="24"/>
          <w:szCs w:val="24"/>
        </w:rPr>
        <w:t>presented a memorial, which stated</w:t>
      </w:r>
      <w:r w:rsidR="00765BA9">
        <w:rPr>
          <w:rFonts w:asciiTheme="majorBidi" w:hAnsiTheme="majorBidi" w:cstheme="majorBidi"/>
          <w:sz w:val="24"/>
          <w:szCs w:val="24"/>
        </w:rPr>
        <w:t>,</w:t>
      </w:r>
      <w:r w:rsidR="00205179" w:rsidRPr="00765BA9">
        <w:rPr>
          <w:rFonts w:asciiTheme="majorBidi" w:hAnsiTheme="majorBidi" w:cstheme="majorBidi"/>
          <w:sz w:val="24"/>
          <w:szCs w:val="24"/>
        </w:rPr>
        <w:t xml:space="preserve"> </w:t>
      </w:r>
      <w:r w:rsidR="0033092F">
        <w:rPr>
          <w:rFonts w:asciiTheme="majorBidi" w:hAnsiTheme="majorBidi" w:cstheme="majorBidi"/>
          <w:sz w:val="24"/>
          <w:szCs w:val="24"/>
        </w:rPr>
        <w:t>"</w:t>
      </w:r>
      <w:r w:rsidR="00205179" w:rsidRPr="00765BA9">
        <w:rPr>
          <w:rFonts w:asciiTheme="majorBidi" w:hAnsiTheme="majorBidi" w:cstheme="majorBidi"/>
          <w:sz w:val="24"/>
          <w:szCs w:val="24"/>
        </w:rPr>
        <w:t>The kings of states, Commander-in-chiefs and Regional Inspectors under the Y</w:t>
      </w:r>
      <w:r w:rsidR="00765BA9">
        <w:rPr>
          <w:rFonts w:asciiTheme="majorBidi" w:hAnsiTheme="majorBidi" w:cstheme="majorBidi"/>
          <w:sz w:val="24"/>
          <w:szCs w:val="24"/>
        </w:rPr>
        <w:t>abghū</w:t>
      </w:r>
      <w:r w:rsidR="00205179" w:rsidRPr="00765BA9">
        <w:rPr>
          <w:rFonts w:asciiTheme="majorBidi" w:hAnsiTheme="majorBidi" w:cstheme="majorBidi"/>
          <w:sz w:val="24"/>
          <w:szCs w:val="24"/>
        </w:rPr>
        <w:t xml:space="preserve"> of</w:t>
      </w:r>
      <w:r w:rsidR="00765BA9">
        <w:rPr>
          <w:rFonts w:asciiTheme="majorBidi" w:hAnsiTheme="majorBidi" w:cstheme="majorBidi"/>
          <w:sz w:val="24"/>
          <w:szCs w:val="24"/>
        </w:rPr>
        <w:t xml:space="preserve"> </w:t>
      </w:r>
      <w:r w:rsidR="00765BA9" w:rsidRPr="00C43B5F">
        <w:rPr>
          <w:rFonts w:asciiTheme="majorBidi" w:hAnsiTheme="majorBidi" w:cstheme="majorBidi"/>
          <w:sz w:val="24"/>
          <w:szCs w:val="24"/>
        </w:rPr>
        <w:t>Ṭukhāristān</w:t>
      </w:r>
      <w:r w:rsidR="00205179" w:rsidRPr="00765BA9">
        <w:rPr>
          <w:rFonts w:asciiTheme="majorBidi" w:hAnsiTheme="majorBidi" w:cstheme="majorBidi"/>
          <w:sz w:val="24"/>
          <w:szCs w:val="24"/>
        </w:rPr>
        <w:t xml:space="preserve">, the elder brother of Puluo, </w:t>
      </w:r>
      <w:r w:rsidR="00A23A19">
        <w:rPr>
          <w:rFonts w:asciiTheme="majorBidi" w:hAnsiTheme="majorBidi" w:cstheme="majorBidi"/>
          <w:sz w:val="24"/>
          <w:szCs w:val="24"/>
        </w:rPr>
        <w:lastRenderedPageBreak/>
        <w:t xml:space="preserve">totally </w:t>
      </w:r>
      <w:r w:rsidR="00205179" w:rsidRPr="00765BA9">
        <w:rPr>
          <w:rFonts w:asciiTheme="majorBidi" w:hAnsiTheme="majorBidi" w:cstheme="majorBidi"/>
          <w:sz w:val="24"/>
          <w:szCs w:val="24"/>
        </w:rPr>
        <w:t>number two hundred and twelve. The king of Xieyang</w:t>
      </w:r>
      <w:r w:rsidR="00A23A19">
        <w:rPr>
          <w:rFonts w:asciiTheme="majorBidi" w:hAnsiTheme="majorBidi" w:cstheme="majorBidi"/>
          <w:sz w:val="24"/>
          <w:szCs w:val="24"/>
        </w:rPr>
        <w:t xml:space="preserve"> (Zabulistan) </w:t>
      </w:r>
      <w:r w:rsidR="00205179" w:rsidRPr="00765BA9">
        <w:rPr>
          <w:rFonts w:asciiTheme="majorBidi" w:hAnsiTheme="majorBidi" w:cstheme="majorBidi"/>
          <w:sz w:val="24"/>
          <w:szCs w:val="24"/>
        </w:rPr>
        <w:t xml:space="preserve">is in charge of the infantry and cavalry numbering two hundred thousand, and the king of Jibin </w:t>
      </w:r>
      <w:r w:rsidR="00A23A19">
        <w:rPr>
          <w:rFonts w:asciiTheme="majorBidi" w:hAnsiTheme="majorBidi" w:cstheme="majorBidi"/>
          <w:sz w:val="24"/>
          <w:szCs w:val="24"/>
        </w:rPr>
        <w:t xml:space="preserve">(Kapisa-Gandhāra) </w:t>
      </w:r>
      <w:r w:rsidR="00205179" w:rsidRPr="00765BA9">
        <w:rPr>
          <w:rFonts w:asciiTheme="majorBidi" w:hAnsiTheme="majorBidi" w:cstheme="majorBidi"/>
          <w:sz w:val="24"/>
          <w:szCs w:val="24"/>
        </w:rPr>
        <w:t>is also in charge of two hundred thousand infantry and cavalry. The kings of the states of Gutu</w:t>
      </w:r>
      <w:r w:rsidR="00A23A19">
        <w:rPr>
          <w:rFonts w:asciiTheme="majorBidi" w:hAnsiTheme="majorBidi" w:cstheme="majorBidi"/>
          <w:sz w:val="24"/>
          <w:szCs w:val="24"/>
        </w:rPr>
        <w:t xml:space="preserve"> (Khuttal)</w:t>
      </w:r>
      <w:r w:rsidR="00205179" w:rsidRPr="00765BA9">
        <w:rPr>
          <w:rFonts w:asciiTheme="majorBidi" w:hAnsiTheme="majorBidi" w:cstheme="majorBidi"/>
          <w:sz w:val="24"/>
          <w:szCs w:val="24"/>
        </w:rPr>
        <w:t>, Shihanna</w:t>
      </w:r>
      <w:r w:rsidR="00A23A19">
        <w:rPr>
          <w:rFonts w:asciiTheme="majorBidi" w:hAnsiTheme="majorBidi" w:cstheme="majorBidi"/>
          <w:sz w:val="24"/>
          <w:szCs w:val="24"/>
        </w:rPr>
        <w:t xml:space="preserve"> (Chaghāniyān)</w:t>
      </w:r>
      <w:r w:rsidR="00205179" w:rsidRPr="00765BA9">
        <w:rPr>
          <w:rFonts w:asciiTheme="majorBidi" w:hAnsiTheme="majorBidi" w:cstheme="majorBidi"/>
          <w:sz w:val="24"/>
          <w:szCs w:val="24"/>
        </w:rPr>
        <w:t>, Jiesu</w:t>
      </w:r>
      <w:r w:rsidR="00A23A19">
        <w:rPr>
          <w:rFonts w:asciiTheme="majorBidi" w:hAnsiTheme="majorBidi" w:cstheme="majorBidi"/>
          <w:sz w:val="24"/>
          <w:szCs w:val="24"/>
        </w:rPr>
        <w:t xml:space="preserve"> (Akharūn and Shūmān)</w:t>
      </w:r>
      <w:r w:rsidR="00205179" w:rsidRPr="00765BA9">
        <w:rPr>
          <w:rFonts w:asciiTheme="majorBidi" w:hAnsiTheme="majorBidi" w:cstheme="majorBidi"/>
          <w:sz w:val="24"/>
          <w:szCs w:val="24"/>
        </w:rPr>
        <w:t>, Shini</w:t>
      </w:r>
      <w:r w:rsidR="00A23A19">
        <w:rPr>
          <w:rFonts w:asciiTheme="majorBidi" w:hAnsiTheme="majorBidi" w:cstheme="majorBidi"/>
          <w:sz w:val="24"/>
          <w:szCs w:val="24"/>
        </w:rPr>
        <w:t xml:space="preserve"> (Shignan)</w:t>
      </w:r>
      <w:r w:rsidR="00205179" w:rsidRPr="00765BA9">
        <w:rPr>
          <w:rFonts w:asciiTheme="majorBidi" w:hAnsiTheme="majorBidi" w:cstheme="majorBidi"/>
          <w:sz w:val="24"/>
          <w:szCs w:val="24"/>
        </w:rPr>
        <w:t>, Yida</w:t>
      </w:r>
      <w:r w:rsidR="00A23A19">
        <w:rPr>
          <w:rFonts w:asciiTheme="majorBidi" w:hAnsiTheme="majorBidi" w:cstheme="majorBidi"/>
          <w:sz w:val="24"/>
          <w:szCs w:val="24"/>
        </w:rPr>
        <w:t xml:space="preserve"> (Bā</w:t>
      </w:r>
      <w:r w:rsidR="00A122FE">
        <w:rPr>
          <w:rFonts w:asciiTheme="majorBidi" w:hAnsiTheme="majorBidi" w:cstheme="majorBidi"/>
          <w:sz w:val="24"/>
          <w:szCs w:val="24"/>
        </w:rPr>
        <w:t>ghlān</w:t>
      </w:r>
      <w:r w:rsidR="00A23A19">
        <w:rPr>
          <w:rFonts w:asciiTheme="majorBidi" w:hAnsiTheme="majorBidi" w:cstheme="majorBidi"/>
          <w:sz w:val="24"/>
          <w:szCs w:val="24"/>
        </w:rPr>
        <w:t>)</w:t>
      </w:r>
      <w:r w:rsidR="00205179" w:rsidRPr="00765BA9">
        <w:rPr>
          <w:rFonts w:asciiTheme="majorBidi" w:hAnsiTheme="majorBidi" w:cstheme="majorBidi"/>
          <w:sz w:val="24"/>
          <w:szCs w:val="24"/>
        </w:rPr>
        <w:t>, Humi</w:t>
      </w:r>
      <w:r w:rsidR="00A23A19">
        <w:rPr>
          <w:rFonts w:asciiTheme="majorBidi" w:hAnsiTheme="majorBidi" w:cstheme="majorBidi"/>
          <w:sz w:val="24"/>
          <w:szCs w:val="24"/>
        </w:rPr>
        <w:t xml:space="preserve"> (</w:t>
      </w:r>
      <w:r w:rsidR="00437269">
        <w:rPr>
          <w:rFonts w:asciiTheme="majorBidi" w:hAnsiTheme="majorBidi" w:cstheme="majorBidi"/>
          <w:sz w:val="24"/>
          <w:szCs w:val="24"/>
        </w:rPr>
        <w:t>Wakhān</w:t>
      </w:r>
      <w:r w:rsidR="00A23A19">
        <w:rPr>
          <w:rFonts w:asciiTheme="majorBidi" w:hAnsiTheme="majorBidi" w:cstheme="majorBidi"/>
          <w:sz w:val="24"/>
          <w:szCs w:val="24"/>
        </w:rPr>
        <w:t>)</w:t>
      </w:r>
      <w:r w:rsidR="00205179" w:rsidRPr="00765BA9">
        <w:rPr>
          <w:rFonts w:asciiTheme="majorBidi" w:hAnsiTheme="majorBidi" w:cstheme="majorBidi"/>
          <w:sz w:val="24"/>
          <w:szCs w:val="24"/>
        </w:rPr>
        <w:t>, Hushijian</w:t>
      </w:r>
      <w:r w:rsidR="00A23A19">
        <w:rPr>
          <w:rFonts w:asciiTheme="majorBidi" w:hAnsiTheme="majorBidi" w:cstheme="majorBidi"/>
          <w:sz w:val="24"/>
          <w:szCs w:val="24"/>
        </w:rPr>
        <w:t xml:space="preserve"> (Gūzgān)</w:t>
      </w:r>
      <w:r w:rsidR="00205179" w:rsidRPr="00765BA9">
        <w:rPr>
          <w:rFonts w:asciiTheme="majorBidi" w:hAnsiTheme="majorBidi" w:cstheme="majorBidi"/>
          <w:sz w:val="24"/>
          <w:szCs w:val="24"/>
        </w:rPr>
        <w:t>,</w:t>
      </w:r>
      <w:r w:rsidR="00765BA9">
        <w:rPr>
          <w:rFonts w:asciiTheme="majorBidi" w:hAnsiTheme="majorBidi" w:cstheme="majorBidi"/>
          <w:sz w:val="24"/>
          <w:szCs w:val="24"/>
        </w:rPr>
        <w:t xml:space="preserve"> </w:t>
      </w:r>
      <w:r w:rsidR="00205179" w:rsidRPr="00765BA9">
        <w:rPr>
          <w:rFonts w:asciiTheme="majorBidi" w:hAnsiTheme="majorBidi" w:cstheme="majorBidi"/>
          <w:sz w:val="24"/>
          <w:szCs w:val="24"/>
        </w:rPr>
        <w:t>Fanyan</w:t>
      </w:r>
      <w:r w:rsidR="00A23A19">
        <w:rPr>
          <w:rFonts w:asciiTheme="majorBidi" w:hAnsiTheme="majorBidi" w:cstheme="majorBidi"/>
          <w:sz w:val="24"/>
          <w:szCs w:val="24"/>
        </w:rPr>
        <w:t xml:space="preserve"> (Bāmyān)</w:t>
      </w:r>
      <w:r w:rsidR="00205179" w:rsidRPr="00765BA9">
        <w:rPr>
          <w:rFonts w:asciiTheme="majorBidi" w:hAnsiTheme="majorBidi" w:cstheme="majorBidi"/>
          <w:sz w:val="24"/>
          <w:szCs w:val="24"/>
        </w:rPr>
        <w:t>, Jiuyuedejian</w:t>
      </w:r>
      <w:r w:rsidR="00A23A19">
        <w:rPr>
          <w:rFonts w:asciiTheme="majorBidi" w:hAnsiTheme="majorBidi" w:cstheme="majorBidi"/>
          <w:sz w:val="24"/>
          <w:szCs w:val="24"/>
        </w:rPr>
        <w:t xml:space="preserve"> (Qobādiyān)</w:t>
      </w:r>
      <w:r w:rsidR="00205179" w:rsidRPr="00765BA9">
        <w:rPr>
          <w:rFonts w:asciiTheme="majorBidi" w:hAnsiTheme="majorBidi" w:cstheme="majorBidi"/>
          <w:sz w:val="24"/>
          <w:szCs w:val="24"/>
        </w:rPr>
        <w:t xml:space="preserve"> and Boteshan </w:t>
      </w:r>
      <w:r w:rsidR="00A23A19">
        <w:rPr>
          <w:rFonts w:asciiTheme="majorBidi" w:hAnsiTheme="majorBidi" w:cstheme="majorBidi"/>
          <w:sz w:val="24"/>
          <w:szCs w:val="24"/>
        </w:rPr>
        <w:t xml:space="preserve">(Badakhshān) </w:t>
      </w:r>
      <w:r w:rsidR="00205179" w:rsidRPr="00765BA9">
        <w:rPr>
          <w:rFonts w:asciiTheme="majorBidi" w:hAnsiTheme="majorBidi" w:cstheme="majorBidi"/>
          <w:sz w:val="24"/>
          <w:szCs w:val="24"/>
        </w:rPr>
        <w:t>each lead fifty thousand troops.</w:t>
      </w:r>
    </w:p>
    <w:p w14:paraId="385ED725" w14:textId="4EF74DA7" w:rsidR="008D0CED" w:rsidRDefault="008D0CED" w:rsidP="00E63365">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205179" w:rsidRPr="00765BA9">
        <w:rPr>
          <w:rFonts w:asciiTheme="majorBidi" w:hAnsiTheme="majorBidi" w:cstheme="majorBidi"/>
          <w:sz w:val="24"/>
          <w:szCs w:val="24"/>
        </w:rPr>
        <w:t>Since the grandfather of Puluo, [</w:t>
      </w:r>
      <w:r w:rsidR="00765BA9" w:rsidRPr="00765BA9">
        <w:rPr>
          <w:rFonts w:asciiTheme="majorBidi" w:hAnsiTheme="majorBidi" w:cstheme="majorBidi"/>
          <w:sz w:val="24"/>
          <w:szCs w:val="24"/>
        </w:rPr>
        <w:t>the Y</w:t>
      </w:r>
      <w:r w:rsidR="00765BA9">
        <w:rPr>
          <w:rFonts w:asciiTheme="majorBidi" w:hAnsiTheme="majorBidi" w:cstheme="majorBidi"/>
          <w:sz w:val="24"/>
          <w:szCs w:val="24"/>
        </w:rPr>
        <w:t>abghū</w:t>
      </w:r>
      <w:r w:rsidR="00765BA9" w:rsidRPr="00765BA9">
        <w:rPr>
          <w:rFonts w:asciiTheme="majorBidi" w:hAnsiTheme="majorBidi" w:cstheme="majorBidi"/>
          <w:sz w:val="24"/>
          <w:szCs w:val="24"/>
        </w:rPr>
        <w:t xml:space="preserve"> of</w:t>
      </w:r>
      <w:r w:rsidR="00765BA9">
        <w:rPr>
          <w:rFonts w:asciiTheme="majorBidi" w:hAnsiTheme="majorBidi" w:cstheme="majorBidi"/>
          <w:sz w:val="24"/>
          <w:szCs w:val="24"/>
        </w:rPr>
        <w:t xml:space="preserve"> </w:t>
      </w:r>
      <w:r w:rsidR="00765BA9" w:rsidRPr="00C43B5F">
        <w:rPr>
          <w:rFonts w:asciiTheme="majorBidi" w:hAnsiTheme="majorBidi" w:cstheme="majorBidi"/>
          <w:sz w:val="24"/>
          <w:szCs w:val="24"/>
        </w:rPr>
        <w:t>Ṭukhāristān</w:t>
      </w:r>
      <w:r w:rsidR="00205179" w:rsidRPr="00765BA9">
        <w:rPr>
          <w:rFonts w:asciiTheme="majorBidi" w:hAnsiTheme="majorBidi" w:cstheme="majorBidi"/>
          <w:sz w:val="24"/>
          <w:szCs w:val="24"/>
        </w:rPr>
        <w:t xml:space="preserve">] has become king of the above-mentioned states, he is greatly respected </w:t>
      </w:r>
      <w:r w:rsidR="00A23A19" w:rsidRPr="00A23A19">
        <w:rPr>
          <w:rFonts w:asciiTheme="majorBidi" w:hAnsiTheme="majorBidi" w:cstheme="majorBidi"/>
          <w:sz w:val="24"/>
          <w:szCs w:val="24"/>
        </w:rPr>
        <w:t xml:space="preserve">by the frontier </w:t>
      </w:r>
      <w:r w:rsidR="007862CD">
        <w:rPr>
          <w:rFonts w:asciiTheme="majorBidi" w:hAnsiTheme="majorBidi" w:cstheme="majorBidi"/>
          <w:sz w:val="24"/>
          <w:szCs w:val="24"/>
        </w:rPr>
        <w:t>nations</w:t>
      </w:r>
      <w:r w:rsidR="00765BA9">
        <w:rPr>
          <w:rFonts w:asciiTheme="majorBidi" w:hAnsiTheme="majorBidi" w:cstheme="majorBidi"/>
          <w:sz w:val="24"/>
          <w:szCs w:val="24"/>
        </w:rPr>
        <w:t xml:space="preserve">. The elder brother of Puluo succeeded and was gratefully confirmed as the king by </w:t>
      </w:r>
      <w:r w:rsidR="007862CD">
        <w:rPr>
          <w:rFonts w:asciiTheme="majorBidi" w:hAnsiTheme="majorBidi" w:cstheme="majorBidi"/>
          <w:sz w:val="24"/>
          <w:szCs w:val="24"/>
        </w:rPr>
        <w:t xml:space="preserve">a </w:t>
      </w:r>
      <w:r w:rsidR="00765BA9">
        <w:rPr>
          <w:rFonts w:asciiTheme="majorBidi" w:hAnsiTheme="majorBidi" w:cstheme="majorBidi"/>
          <w:sz w:val="24"/>
          <w:szCs w:val="24"/>
        </w:rPr>
        <w:t xml:space="preserve">royal ambassador. Several generations of the Yabghū of </w:t>
      </w:r>
      <w:r w:rsidR="00765BA9" w:rsidRPr="00C43B5F">
        <w:rPr>
          <w:rFonts w:asciiTheme="majorBidi" w:hAnsiTheme="majorBidi" w:cstheme="majorBidi"/>
          <w:sz w:val="24"/>
          <w:szCs w:val="24"/>
        </w:rPr>
        <w:t>Ṭukhāristān</w:t>
      </w:r>
      <w:r w:rsidR="00765BA9">
        <w:rPr>
          <w:rFonts w:asciiTheme="majorBidi" w:hAnsiTheme="majorBidi" w:cstheme="majorBidi"/>
          <w:sz w:val="24"/>
          <w:szCs w:val="24"/>
        </w:rPr>
        <w:t xml:space="preserve"> </w:t>
      </w:r>
      <w:r w:rsidR="007862CD">
        <w:rPr>
          <w:rFonts w:asciiTheme="majorBidi" w:hAnsiTheme="majorBidi" w:cstheme="majorBidi"/>
          <w:sz w:val="24"/>
          <w:szCs w:val="24"/>
        </w:rPr>
        <w:t>have been</w:t>
      </w:r>
      <w:r w:rsidR="00765BA9">
        <w:rPr>
          <w:rFonts w:asciiTheme="majorBidi" w:hAnsiTheme="majorBidi" w:cstheme="majorBidi"/>
          <w:sz w:val="24"/>
          <w:szCs w:val="24"/>
        </w:rPr>
        <w:t xml:space="preserve"> loyal to the Great Tang and </w:t>
      </w:r>
      <w:r w:rsidR="00543ECB">
        <w:rPr>
          <w:rFonts w:asciiTheme="majorBidi" w:hAnsiTheme="majorBidi" w:cstheme="majorBidi"/>
          <w:sz w:val="24"/>
          <w:szCs w:val="24"/>
        </w:rPr>
        <w:t xml:space="preserve">never cease to pay tribute. My country </w:t>
      </w:r>
      <w:r w:rsidR="007862CD">
        <w:rPr>
          <w:rFonts w:asciiTheme="majorBidi" w:hAnsiTheme="majorBidi" w:cstheme="majorBidi"/>
          <w:sz w:val="24"/>
          <w:szCs w:val="24"/>
        </w:rPr>
        <w:t xml:space="preserve">joins border with </w:t>
      </w:r>
      <w:r w:rsidR="00543ECB">
        <w:rPr>
          <w:rFonts w:asciiTheme="majorBidi" w:hAnsiTheme="majorBidi" w:cstheme="majorBidi"/>
          <w:sz w:val="24"/>
          <w:szCs w:val="24"/>
        </w:rPr>
        <w:t xml:space="preserve">the </w:t>
      </w:r>
      <w:r w:rsidR="007862CD">
        <w:rPr>
          <w:rFonts w:asciiTheme="majorBidi" w:hAnsiTheme="majorBidi" w:cstheme="majorBidi"/>
          <w:sz w:val="24"/>
          <w:szCs w:val="24"/>
        </w:rPr>
        <w:t xml:space="preserve">Dashi (Tāzīks, the </w:t>
      </w:r>
      <w:r w:rsidR="00543ECB">
        <w:rPr>
          <w:rFonts w:asciiTheme="majorBidi" w:hAnsiTheme="majorBidi" w:cstheme="majorBidi"/>
          <w:sz w:val="24"/>
          <w:szCs w:val="24"/>
        </w:rPr>
        <w:t>Arabs</w:t>
      </w:r>
      <w:r w:rsidR="007862CD">
        <w:rPr>
          <w:rFonts w:asciiTheme="majorBidi" w:hAnsiTheme="majorBidi" w:cstheme="majorBidi"/>
          <w:sz w:val="24"/>
          <w:szCs w:val="24"/>
        </w:rPr>
        <w:t xml:space="preserve">) [in the west] and </w:t>
      </w:r>
      <w:r w:rsidR="00543ECB">
        <w:rPr>
          <w:rFonts w:asciiTheme="majorBidi" w:hAnsiTheme="majorBidi" w:cstheme="majorBidi"/>
          <w:sz w:val="24"/>
          <w:szCs w:val="24"/>
        </w:rPr>
        <w:t xml:space="preserve">the Tibetans in the east, and </w:t>
      </w:r>
      <w:r w:rsidR="007862CD">
        <w:rPr>
          <w:rFonts w:asciiTheme="majorBidi" w:hAnsiTheme="majorBidi" w:cstheme="majorBidi" w:hint="eastAsia"/>
          <w:sz w:val="24"/>
          <w:szCs w:val="24"/>
        </w:rPr>
        <w:t>is</w:t>
      </w:r>
      <w:r w:rsidR="007862CD">
        <w:rPr>
          <w:rFonts w:asciiTheme="majorBidi" w:hAnsiTheme="majorBidi" w:cstheme="majorBidi"/>
          <w:sz w:val="24"/>
          <w:szCs w:val="24"/>
        </w:rPr>
        <w:t xml:space="preserve"> a</w:t>
      </w:r>
      <w:r w:rsidR="00543ECB">
        <w:rPr>
          <w:rFonts w:asciiTheme="majorBidi" w:hAnsiTheme="majorBidi" w:cstheme="majorBidi"/>
          <w:sz w:val="24"/>
          <w:szCs w:val="24"/>
        </w:rPr>
        <w:t xml:space="preserve"> garrison</w:t>
      </w:r>
      <w:r w:rsidR="007862CD">
        <w:rPr>
          <w:rFonts w:asciiTheme="majorBidi" w:hAnsiTheme="majorBidi" w:cstheme="majorBidi"/>
          <w:sz w:val="24"/>
          <w:szCs w:val="24"/>
        </w:rPr>
        <w:t xml:space="preserve"> in the western frontier</w:t>
      </w:r>
      <w:r w:rsidR="00543ECB">
        <w:rPr>
          <w:rFonts w:asciiTheme="majorBidi" w:hAnsiTheme="majorBidi" w:cstheme="majorBidi"/>
          <w:sz w:val="24"/>
          <w:szCs w:val="24"/>
        </w:rPr>
        <w:t xml:space="preserve">. </w:t>
      </w:r>
      <w:r w:rsidR="00C47DCE">
        <w:rPr>
          <w:rFonts w:asciiTheme="majorBidi" w:hAnsiTheme="majorBidi" w:cstheme="majorBidi"/>
          <w:sz w:val="24"/>
          <w:szCs w:val="24"/>
        </w:rPr>
        <w:t>Every [time] m</w:t>
      </w:r>
      <w:r w:rsidR="00543ECB">
        <w:rPr>
          <w:rFonts w:asciiTheme="majorBidi" w:hAnsiTheme="majorBidi" w:cstheme="majorBidi"/>
          <w:sz w:val="24"/>
          <w:szCs w:val="24"/>
        </w:rPr>
        <w:t>y elder brother levied soldiers and horses of the tribes to fight these thieves</w:t>
      </w:r>
      <w:r w:rsidR="00C47DCE">
        <w:rPr>
          <w:rFonts w:asciiTheme="majorBidi" w:hAnsiTheme="majorBidi" w:cstheme="majorBidi"/>
          <w:sz w:val="24"/>
          <w:szCs w:val="24"/>
        </w:rPr>
        <w:t xml:space="preserve">, shared intelligence and </w:t>
      </w:r>
      <w:r w:rsidR="00543ECB">
        <w:rPr>
          <w:rFonts w:asciiTheme="majorBidi" w:hAnsiTheme="majorBidi" w:cstheme="majorBidi"/>
          <w:sz w:val="24"/>
          <w:szCs w:val="24"/>
        </w:rPr>
        <w:t>coordinat</w:t>
      </w:r>
      <w:r w:rsidR="007862CD">
        <w:rPr>
          <w:rFonts w:asciiTheme="majorBidi" w:hAnsiTheme="majorBidi" w:cstheme="majorBidi"/>
          <w:sz w:val="24"/>
          <w:szCs w:val="24"/>
        </w:rPr>
        <w:t>e</w:t>
      </w:r>
      <w:r w:rsidR="00C47DCE">
        <w:rPr>
          <w:rFonts w:asciiTheme="majorBidi" w:hAnsiTheme="majorBidi" w:cstheme="majorBidi"/>
          <w:sz w:val="24"/>
          <w:szCs w:val="24"/>
        </w:rPr>
        <w:t>d</w:t>
      </w:r>
      <w:r w:rsidR="00543ECB">
        <w:rPr>
          <w:rFonts w:asciiTheme="majorBidi" w:hAnsiTheme="majorBidi" w:cstheme="majorBidi"/>
          <w:sz w:val="24"/>
          <w:szCs w:val="24"/>
        </w:rPr>
        <w:t xml:space="preserve"> with the Han army to avoid foreign </w:t>
      </w:r>
      <w:r w:rsidR="00BD3B92">
        <w:rPr>
          <w:rFonts w:asciiTheme="majorBidi" w:hAnsiTheme="majorBidi" w:cstheme="majorBidi"/>
          <w:sz w:val="24"/>
          <w:szCs w:val="24"/>
        </w:rPr>
        <w:t>raiding</w:t>
      </w:r>
      <w:r>
        <w:rPr>
          <w:rFonts w:asciiTheme="majorBidi" w:hAnsiTheme="majorBidi" w:cstheme="majorBidi"/>
          <w:sz w:val="24"/>
          <w:szCs w:val="24"/>
        </w:rPr>
        <w:t xml:space="preserve"> and </w:t>
      </w:r>
      <w:r w:rsidR="00543ECB">
        <w:rPr>
          <w:rFonts w:asciiTheme="majorBidi" w:hAnsiTheme="majorBidi" w:cstheme="majorBidi"/>
          <w:sz w:val="24"/>
          <w:szCs w:val="24"/>
        </w:rPr>
        <w:t>incursions</w:t>
      </w:r>
      <w:r w:rsidR="00C47DCE" w:rsidRPr="00C47DCE">
        <w:rPr>
          <w:rFonts w:asciiTheme="majorBidi" w:hAnsiTheme="majorBidi" w:cstheme="majorBidi"/>
          <w:sz w:val="24"/>
          <w:szCs w:val="24"/>
        </w:rPr>
        <w:t xml:space="preserve"> </w:t>
      </w:r>
      <w:r w:rsidR="00C47DCE">
        <w:rPr>
          <w:rFonts w:asciiTheme="majorBidi" w:hAnsiTheme="majorBidi" w:cstheme="majorBidi"/>
          <w:sz w:val="24"/>
          <w:szCs w:val="24"/>
        </w:rPr>
        <w:t>into the frontiers</w:t>
      </w:r>
      <w:r w:rsidR="00543ECB">
        <w:rPr>
          <w:rFonts w:asciiTheme="majorBidi" w:hAnsiTheme="majorBidi" w:cstheme="majorBidi"/>
          <w:sz w:val="24"/>
          <w:szCs w:val="24"/>
        </w:rPr>
        <w:t xml:space="preserve">. </w:t>
      </w:r>
      <w:r w:rsidR="00C47DCE">
        <w:rPr>
          <w:rFonts w:asciiTheme="majorBidi" w:hAnsiTheme="majorBidi" w:cstheme="majorBidi"/>
          <w:sz w:val="24"/>
          <w:szCs w:val="24"/>
        </w:rPr>
        <w:t>[</w:t>
      </w:r>
      <w:r w:rsidR="004A0949">
        <w:rPr>
          <w:rFonts w:asciiTheme="majorBidi" w:hAnsiTheme="majorBidi" w:cstheme="majorBidi"/>
          <w:sz w:val="24"/>
          <w:szCs w:val="24"/>
        </w:rPr>
        <w:t>Since</w:t>
      </w:r>
      <w:r w:rsidR="00C47DCE">
        <w:rPr>
          <w:rFonts w:asciiTheme="majorBidi" w:hAnsiTheme="majorBidi" w:cstheme="majorBidi"/>
          <w:sz w:val="24"/>
          <w:szCs w:val="24"/>
        </w:rPr>
        <w:t xml:space="preserve">] the </w:t>
      </w:r>
      <w:r w:rsidR="00543ECB">
        <w:rPr>
          <w:rFonts w:asciiTheme="majorBidi" w:hAnsiTheme="majorBidi" w:cstheme="majorBidi"/>
          <w:sz w:val="24"/>
          <w:szCs w:val="24"/>
        </w:rPr>
        <w:t xml:space="preserve">elder brother </w:t>
      </w:r>
      <w:r w:rsidR="00C47DCE">
        <w:rPr>
          <w:rFonts w:asciiTheme="majorBidi" w:hAnsiTheme="majorBidi" w:cstheme="majorBidi"/>
          <w:sz w:val="24"/>
          <w:szCs w:val="24"/>
        </w:rPr>
        <w:t xml:space="preserve">of Puluo </w:t>
      </w:r>
      <w:r>
        <w:rPr>
          <w:rFonts w:asciiTheme="majorBidi" w:hAnsiTheme="majorBidi" w:cstheme="majorBidi"/>
          <w:sz w:val="24"/>
          <w:szCs w:val="24"/>
        </w:rPr>
        <w:t xml:space="preserve">felt unworthy to receive </w:t>
      </w:r>
      <w:r w:rsidR="00543ECB">
        <w:rPr>
          <w:rFonts w:asciiTheme="majorBidi" w:hAnsiTheme="majorBidi" w:cstheme="majorBidi"/>
          <w:sz w:val="24"/>
          <w:szCs w:val="24"/>
        </w:rPr>
        <w:t xml:space="preserve">repeatedly </w:t>
      </w:r>
      <w:r w:rsidR="004A0949">
        <w:rPr>
          <w:rFonts w:asciiTheme="majorBidi" w:hAnsiTheme="majorBidi" w:cstheme="majorBidi"/>
          <w:sz w:val="24"/>
          <w:szCs w:val="24"/>
        </w:rPr>
        <w:t xml:space="preserve">the </w:t>
      </w:r>
      <w:r w:rsidR="00C47DCE">
        <w:rPr>
          <w:rFonts w:asciiTheme="majorBidi" w:hAnsiTheme="majorBidi" w:cstheme="majorBidi"/>
          <w:sz w:val="24"/>
          <w:szCs w:val="24"/>
        </w:rPr>
        <w:t xml:space="preserve">divine </w:t>
      </w:r>
      <w:r w:rsidR="004A0949">
        <w:rPr>
          <w:rFonts w:asciiTheme="majorBidi" w:hAnsiTheme="majorBidi" w:cstheme="majorBidi"/>
          <w:sz w:val="24"/>
          <w:szCs w:val="24"/>
        </w:rPr>
        <w:t xml:space="preserve">beneficence and </w:t>
      </w:r>
      <w:r w:rsidR="00C47DCE">
        <w:rPr>
          <w:rFonts w:asciiTheme="majorBidi" w:hAnsiTheme="majorBidi" w:cstheme="majorBidi"/>
          <w:sz w:val="24"/>
          <w:szCs w:val="24"/>
        </w:rPr>
        <w:t xml:space="preserve">royal </w:t>
      </w:r>
      <w:r w:rsidR="004A0949">
        <w:rPr>
          <w:rFonts w:asciiTheme="majorBidi" w:hAnsiTheme="majorBidi" w:cstheme="majorBidi"/>
          <w:sz w:val="24"/>
          <w:szCs w:val="24"/>
        </w:rPr>
        <w:t xml:space="preserve">grace, he </w:t>
      </w:r>
      <w:r w:rsidR="00C47DCE">
        <w:rPr>
          <w:rFonts w:asciiTheme="majorBidi" w:hAnsiTheme="majorBidi" w:cstheme="majorBidi"/>
          <w:sz w:val="24"/>
          <w:szCs w:val="24"/>
        </w:rPr>
        <w:t xml:space="preserve">therefore </w:t>
      </w:r>
      <w:r w:rsidR="004A0949">
        <w:rPr>
          <w:rFonts w:asciiTheme="majorBidi" w:hAnsiTheme="majorBidi" w:cstheme="majorBidi"/>
          <w:sz w:val="24"/>
          <w:szCs w:val="24"/>
        </w:rPr>
        <w:t xml:space="preserve">sent Puluo to the court to stand on </w:t>
      </w:r>
      <w:r w:rsidR="00C47DCE">
        <w:rPr>
          <w:rFonts w:asciiTheme="majorBidi" w:hAnsiTheme="majorBidi" w:cstheme="majorBidi"/>
          <w:sz w:val="24"/>
          <w:szCs w:val="24"/>
        </w:rPr>
        <w:t>the</w:t>
      </w:r>
      <w:r w:rsidR="004A0949">
        <w:rPr>
          <w:rFonts w:asciiTheme="majorBidi" w:hAnsiTheme="majorBidi" w:cstheme="majorBidi"/>
          <w:sz w:val="24"/>
          <w:szCs w:val="24"/>
        </w:rPr>
        <w:t xml:space="preserve"> steps </w:t>
      </w:r>
      <w:r w:rsidR="00C47DCE">
        <w:rPr>
          <w:rFonts w:asciiTheme="majorBidi" w:hAnsiTheme="majorBidi" w:cstheme="majorBidi"/>
          <w:sz w:val="24"/>
          <w:szCs w:val="24"/>
        </w:rPr>
        <w:t xml:space="preserve">of the royal palaces </w:t>
      </w:r>
      <w:r w:rsidR="004A0949">
        <w:rPr>
          <w:rFonts w:asciiTheme="majorBidi" w:hAnsiTheme="majorBidi" w:cstheme="majorBidi"/>
          <w:sz w:val="24"/>
          <w:szCs w:val="24"/>
        </w:rPr>
        <w:t xml:space="preserve">and to serve as a royal guard. </w:t>
      </w:r>
      <w:r w:rsidR="00811F97">
        <w:rPr>
          <w:rFonts w:asciiTheme="majorBidi" w:hAnsiTheme="majorBidi" w:cstheme="majorBidi"/>
          <w:sz w:val="24"/>
          <w:szCs w:val="24"/>
        </w:rPr>
        <w:t>I</w:t>
      </w:r>
      <w:r w:rsidR="004A0949">
        <w:rPr>
          <w:rFonts w:asciiTheme="majorBidi" w:hAnsiTheme="majorBidi" w:cstheme="majorBidi"/>
          <w:sz w:val="24"/>
          <w:szCs w:val="24"/>
        </w:rPr>
        <w:t xml:space="preserve"> most earnestly desire to show </w:t>
      </w:r>
      <w:r w:rsidR="00C47DCE">
        <w:rPr>
          <w:rFonts w:asciiTheme="majorBidi" w:hAnsiTheme="majorBidi" w:cstheme="majorBidi"/>
          <w:sz w:val="24"/>
          <w:szCs w:val="24"/>
        </w:rPr>
        <w:t>my</w:t>
      </w:r>
      <w:r w:rsidR="004A0949">
        <w:rPr>
          <w:rFonts w:asciiTheme="majorBidi" w:hAnsiTheme="majorBidi" w:cstheme="majorBidi"/>
          <w:sz w:val="24"/>
          <w:szCs w:val="24"/>
        </w:rPr>
        <w:t xml:space="preserve"> loyalty </w:t>
      </w:r>
      <w:r>
        <w:rPr>
          <w:rFonts w:asciiTheme="majorBidi" w:hAnsiTheme="majorBidi" w:cstheme="majorBidi"/>
          <w:sz w:val="24"/>
          <w:szCs w:val="24"/>
        </w:rPr>
        <w:t>and sacrifice my life</w:t>
      </w:r>
      <w:r w:rsidR="004A0949">
        <w:rPr>
          <w:rFonts w:asciiTheme="majorBidi" w:hAnsiTheme="majorBidi" w:cstheme="majorBidi"/>
          <w:sz w:val="24"/>
          <w:szCs w:val="24"/>
        </w:rPr>
        <w:t xml:space="preserve"> as a common male or female slave.</w:t>
      </w:r>
    </w:p>
    <w:p w14:paraId="47939CAC" w14:textId="006AD324" w:rsidR="00205179" w:rsidRDefault="008D0CED" w:rsidP="00E63365">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C47DCE">
        <w:rPr>
          <w:rFonts w:asciiTheme="majorBidi" w:hAnsiTheme="majorBidi" w:cstheme="majorBidi"/>
          <w:sz w:val="24"/>
          <w:szCs w:val="24"/>
        </w:rPr>
        <w:t>[</w:t>
      </w:r>
      <w:r w:rsidR="004A0949">
        <w:rPr>
          <w:rFonts w:asciiTheme="majorBidi" w:hAnsiTheme="majorBidi" w:cstheme="majorBidi"/>
          <w:sz w:val="24"/>
          <w:szCs w:val="24"/>
        </w:rPr>
        <w:t>However,</w:t>
      </w:r>
      <w:r w:rsidR="00C47DCE">
        <w:rPr>
          <w:rFonts w:asciiTheme="majorBidi" w:hAnsiTheme="majorBidi" w:cstheme="majorBidi"/>
          <w:sz w:val="24"/>
          <w:szCs w:val="24"/>
        </w:rPr>
        <w:t>]</w:t>
      </w:r>
      <w:r w:rsidR="004A0949">
        <w:rPr>
          <w:rFonts w:asciiTheme="majorBidi" w:hAnsiTheme="majorBidi" w:cstheme="majorBidi"/>
          <w:sz w:val="24"/>
          <w:szCs w:val="24"/>
        </w:rPr>
        <w:t xml:space="preserve"> </w:t>
      </w:r>
      <w:r w:rsidR="00811F97">
        <w:rPr>
          <w:rFonts w:asciiTheme="majorBidi" w:hAnsiTheme="majorBidi" w:cstheme="majorBidi"/>
          <w:sz w:val="24"/>
          <w:szCs w:val="24"/>
        </w:rPr>
        <w:t>I wa</w:t>
      </w:r>
      <w:r w:rsidR="004A0949">
        <w:rPr>
          <w:rFonts w:asciiTheme="majorBidi" w:hAnsiTheme="majorBidi" w:cstheme="majorBidi"/>
          <w:sz w:val="24"/>
          <w:szCs w:val="24"/>
        </w:rPr>
        <w:t xml:space="preserve">s not well versed with the Han tradition upon </w:t>
      </w:r>
      <w:r w:rsidR="00C47DCE">
        <w:rPr>
          <w:rFonts w:asciiTheme="majorBidi" w:hAnsiTheme="majorBidi" w:cstheme="majorBidi"/>
          <w:sz w:val="24"/>
          <w:szCs w:val="24"/>
        </w:rPr>
        <w:t>[my]</w:t>
      </w:r>
      <w:r w:rsidR="004A0949">
        <w:rPr>
          <w:rFonts w:asciiTheme="majorBidi" w:hAnsiTheme="majorBidi" w:cstheme="majorBidi"/>
          <w:sz w:val="24"/>
          <w:szCs w:val="24"/>
        </w:rPr>
        <w:t xml:space="preserve"> arrival. </w:t>
      </w:r>
      <w:r w:rsidR="00811F97">
        <w:rPr>
          <w:rFonts w:asciiTheme="majorBidi" w:hAnsiTheme="majorBidi" w:cstheme="majorBidi"/>
          <w:sz w:val="24"/>
          <w:szCs w:val="24"/>
        </w:rPr>
        <w:t>And t</w:t>
      </w:r>
      <w:r w:rsidR="004A0949">
        <w:rPr>
          <w:rFonts w:asciiTheme="majorBidi" w:hAnsiTheme="majorBidi" w:cstheme="majorBidi"/>
          <w:sz w:val="24"/>
          <w:szCs w:val="24"/>
        </w:rPr>
        <w:t xml:space="preserve">he Honglu Temple proposed a </w:t>
      </w:r>
      <w:r w:rsidR="00811F97">
        <w:rPr>
          <w:rFonts w:asciiTheme="majorBidi" w:hAnsiTheme="majorBidi" w:cstheme="majorBidi"/>
          <w:sz w:val="24"/>
          <w:szCs w:val="24"/>
        </w:rPr>
        <w:t xml:space="preserve">careless </w:t>
      </w:r>
      <w:r w:rsidR="004A0949">
        <w:rPr>
          <w:rFonts w:asciiTheme="majorBidi" w:hAnsiTheme="majorBidi" w:cstheme="majorBidi"/>
          <w:sz w:val="24"/>
          <w:szCs w:val="24"/>
        </w:rPr>
        <w:t xml:space="preserve">memorial for granting official ranks without taking into consideration of the </w:t>
      </w:r>
      <w:r w:rsidR="00811F97">
        <w:rPr>
          <w:rFonts w:asciiTheme="majorBidi" w:hAnsiTheme="majorBidi" w:cstheme="majorBidi"/>
          <w:sz w:val="24"/>
          <w:szCs w:val="24"/>
        </w:rPr>
        <w:t xml:space="preserve">great or small </w:t>
      </w:r>
      <w:r w:rsidR="004A0949">
        <w:rPr>
          <w:rFonts w:asciiTheme="majorBidi" w:hAnsiTheme="majorBidi" w:cstheme="majorBidi"/>
          <w:sz w:val="24"/>
          <w:szCs w:val="24"/>
        </w:rPr>
        <w:t xml:space="preserve">prestige of </w:t>
      </w:r>
      <w:r w:rsidR="00C47DCE">
        <w:rPr>
          <w:rFonts w:asciiTheme="majorBidi" w:hAnsiTheme="majorBidi" w:cstheme="majorBidi"/>
          <w:sz w:val="24"/>
          <w:szCs w:val="24"/>
        </w:rPr>
        <w:t xml:space="preserve">a </w:t>
      </w:r>
      <w:r w:rsidR="004A0949">
        <w:rPr>
          <w:rFonts w:asciiTheme="majorBidi" w:hAnsiTheme="majorBidi" w:cstheme="majorBidi"/>
          <w:sz w:val="24"/>
          <w:szCs w:val="24"/>
        </w:rPr>
        <w:t>vassal</w:t>
      </w:r>
      <w:r w:rsidR="00811F97">
        <w:rPr>
          <w:rFonts w:asciiTheme="majorBidi" w:hAnsiTheme="majorBidi" w:cstheme="majorBidi"/>
          <w:sz w:val="24"/>
          <w:szCs w:val="24"/>
        </w:rPr>
        <w:t xml:space="preserve"> and high or low ranking after </w:t>
      </w:r>
      <w:r w:rsidR="00C47DCE">
        <w:rPr>
          <w:rFonts w:asciiTheme="majorBidi" w:hAnsiTheme="majorBidi" w:cstheme="majorBidi"/>
          <w:sz w:val="24"/>
          <w:szCs w:val="24"/>
        </w:rPr>
        <w:t xml:space="preserve">the </w:t>
      </w:r>
      <w:r w:rsidR="00811F97">
        <w:rPr>
          <w:rFonts w:asciiTheme="majorBidi" w:hAnsiTheme="majorBidi" w:cstheme="majorBidi"/>
          <w:sz w:val="24"/>
          <w:szCs w:val="24"/>
        </w:rPr>
        <w:t xml:space="preserve">tradition. </w:t>
      </w:r>
      <w:r w:rsidR="007A1681">
        <w:rPr>
          <w:rFonts w:asciiTheme="majorBidi" w:hAnsiTheme="majorBidi" w:cstheme="majorBidi"/>
          <w:sz w:val="24"/>
          <w:szCs w:val="24"/>
        </w:rPr>
        <w:t xml:space="preserve">Humbly </w:t>
      </w:r>
      <w:r w:rsidR="00811F97">
        <w:rPr>
          <w:rFonts w:asciiTheme="majorBidi" w:hAnsiTheme="majorBidi" w:cstheme="majorBidi"/>
          <w:sz w:val="24"/>
          <w:szCs w:val="24"/>
        </w:rPr>
        <w:t>I noticed that the princes and chiefs of Ch</w:t>
      </w:r>
      <w:r w:rsidR="00C47DCE">
        <w:rPr>
          <w:rFonts w:asciiTheme="majorBidi" w:hAnsiTheme="majorBidi" w:cstheme="majorBidi"/>
          <w:sz w:val="24"/>
          <w:szCs w:val="24"/>
        </w:rPr>
        <w:t>ā</w:t>
      </w:r>
      <w:r w:rsidR="00811F97">
        <w:rPr>
          <w:rFonts w:asciiTheme="majorBidi" w:hAnsiTheme="majorBidi" w:cstheme="majorBidi"/>
          <w:sz w:val="24"/>
          <w:szCs w:val="24"/>
        </w:rPr>
        <w:t>ch, Kucha and other small principalities were granted third</w:t>
      </w:r>
      <w:r w:rsidR="00C47DCE">
        <w:rPr>
          <w:rFonts w:asciiTheme="majorBidi" w:hAnsiTheme="majorBidi" w:cstheme="majorBidi"/>
          <w:sz w:val="24"/>
          <w:szCs w:val="24"/>
        </w:rPr>
        <w:t>-</w:t>
      </w:r>
      <w:r w:rsidR="00811F97">
        <w:rPr>
          <w:rFonts w:asciiTheme="majorBidi" w:hAnsiTheme="majorBidi" w:cstheme="majorBidi"/>
          <w:sz w:val="24"/>
          <w:szCs w:val="24"/>
        </w:rPr>
        <w:t xml:space="preserve">grade generals simply based on the prestige of vassals </w:t>
      </w:r>
      <w:r w:rsidR="00C47DCE">
        <w:rPr>
          <w:rFonts w:asciiTheme="majorBidi" w:hAnsiTheme="majorBidi" w:cstheme="majorBidi"/>
          <w:sz w:val="24"/>
          <w:szCs w:val="24"/>
        </w:rPr>
        <w:t xml:space="preserve">without taking account of </w:t>
      </w:r>
      <w:r w:rsidR="00811F97">
        <w:rPr>
          <w:rFonts w:asciiTheme="majorBidi" w:hAnsiTheme="majorBidi" w:cstheme="majorBidi"/>
          <w:sz w:val="24"/>
          <w:szCs w:val="24"/>
        </w:rPr>
        <w:t xml:space="preserve">their private contributions when they arrived at the court. </w:t>
      </w:r>
      <w:r w:rsidR="008B38E8">
        <w:rPr>
          <w:rFonts w:asciiTheme="majorBidi" w:hAnsiTheme="majorBidi" w:cstheme="majorBidi"/>
          <w:sz w:val="24"/>
          <w:szCs w:val="24"/>
        </w:rPr>
        <w:t xml:space="preserve">Additionally, </w:t>
      </w:r>
      <w:r w:rsidR="00811F97">
        <w:rPr>
          <w:rFonts w:asciiTheme="majorBidi" w:hAnsiTheme="majorBidi" w:cstheme="majorBidi"/>
          <w:sz w:val="24"/>
          <w:szCs w:val="24"/>
        </w:rPr>
        <w:t xml:space="preserve">Puluo is a </w:t>
      </w:r>
      <w:r w:rsidR="008B38E8">
        <w:rPr>
          <w:rFonts w:asciiTheme="majorBidi" w:hAnsiTheme="majorBidi" w:cstheme="majorBidi"/>
          <w:sz w:val="24"/>
          <w:szCs w:val="24"/>
        </w:rPr>
        <w:t>shiqin (</w:t>
      </w:r>
      <w:r w:rsidR="00811F97">
        <w:rPr>
          <w:rFonts w:asciiTheme="majorBidi" w:hAnsiTheme="majorBidi" w:cstheme="majorBidi"/>
          <w:sz w:val="24"/>
          <w:szCs w:val="24"/>
        </w:rPr>
        <w:t>tegin</w:t>
      </w:r>
      <w:r w:rsidR="008B38E8">
        <w:rPr>
          <w:rFonts w:asciiTheme="majorBidi" w:hAnsiTheme="majorBidi" w:cstheme="majorBidi"/>
          <w:sz w:val="24"/>
          <w:szCs w:val="24"/>
        </w:rPr>
        <w:t>)</w:t>
      </w:r>
      <w:r w:rsidR="00811F97">
        <w:rPr>
          <w:rFonts w:asciiTheme="majorBidi" w:hAnsiTheme="majorBidi" w:cstheme="majorBidi"/>
          <w:sz w:val="24"/>
          <w:szCs w:val="24"/>
        </w:rPr>
        <w:t xml:space="preserve">, </w:t>
      </w:r>
      <w:r w:rsidR="007A1681">
        <w:rPr>
          <w:rFonts w:asciiTheme="majorBidi" w:hAnsiTheme="majorBidi" w:cstheme="majorBidi"/>
          <w:sz w:val="24"/>
          <w:szCs w:val="24"/>
        </w:rPr>
        <w:t xml:space="preserve">which equals a prince in my country and surpasses </w:t>
      </w:r>
      <w:r w:rsidR="00C2581D">
        <w:rPr>
          <w:rFonts w:asciiTheme="majorBidi" w:hAnsiTheme="majorBidi" w:cstheme="majorBidi"/>
          <w:sz w:val="24"/>
          <w:szCs w:val="24"/>
        </w:rPr>
        <w:t xml:space="preserve">the status of the various princes of the principalities. Nevertheless, I was only granted a </w:t>
      </w:r>
      <w:r w:rsidR="00EE24F2">
        <w:rPr>
          <w:rFonts w:asciiTheme="majorBidi" w:hAnsiTheme="majorBidi" w:cstheme="majorBidi"/>
          <w:sz w:val="24"/>
          <w:szCs w:val="24"/>
        </w:rPr>
        <w:t>fourth-grade</w:t>
      </w:r>
      <w:r w:rsidR="00C2581D">
        <w:rPr>
          <w:rFonts w:asciiTheme="majorBidi" w:hAnsiTheme="majorBidi" w:cstheme="majorBidi"/>
          <w:sz w:val="24"/>
          <w:szCs w:val="24"/>
        </w:rPr>
        <w:t xml:space="preserve"> </w:t>
      </w:r>
      <w:r w:rsidR="00EE24F2">
        <w:rPr>
          <w:rFonts w:asciiTheme="majorBidi" w:hAnsiTheme="majorBidi" w:cstheme="majorBidi"/>
          <w:sz w:val="24"/>
          <w:szCs w:val="24"/>
        </w:rPr>
        <w:t>commandant</w:t>
      </w:r>
      <w:r w:rsidR="00C2581D">
        <w:rPr>
          <w:rFonts w:asciiTheme="majorBidi" w:hAnsiTheme="majorBidi" w:cstheme="majorBidi"/>
          <w:sz w:val="24"/>
          <w:szCs w:val="24"/>
        </w:rPr>
        <w:t xml:space="preserve">. The prince of Brahmin Gutama Vajra </w:t>
      </w:r>
      <w:r w:rsidR="00C2581D">
        <w:rPr>
          <w:rFonts w:asciiTheme="majorBidi" w:hAnsiTheme="majorBidi" w:cstheme="majorBidi"/>
          <w:sz w:val="24"/>
          <w:szCs w:val="24"/>
        </w:rPr>
        <w:lastRenderedPageBreak/>
        <w:t xml:space="preserve">and the prince of Kucha Bai Xiaoshun had changed their ranks for several times and finally were </w:t>
      </w:r>
      <w:r w:rsidR="008B38E8">
        <w:rPr>
          <w:rFonts w:asciiTheme="majorBidi" w:hAnsiTheme="majorBidi" w:cstheme="majorBidi"/>
          <w:sz w:val="24"/>
          <w:szCs w:val="24"/>
        </w:rPr>
        <w:t xml:space="preserve">[promoted and] </w:t>
      </w:r>
      <w:r w:rsidR="00C2581D">
        <w:rPr>
          <w:rFonts w:asciiTheme="majorBidi" w:hAnsiTheme="majorBidi" w:cstheme="majorBidi"/>
          <w:sz w:val="24"/>
          <w:szCs w:val="24"/>
        </w:rPr>
        <w:t xml:space="preserve">granted </w:t>
      </w:r>
      <w:r w:rsidR="00AB53E0">
        <w:rPr>
          <w:rFonts w:asciiTheme="majorBidi" w:hAnsiTheme="majorBidi" w:cstheme="majorBidi"/>
          <w:sz w:val="24"/>
          <w:szCs w:val="24"/>
        </w:rPr>
        <w:t xml:space="preserve">the titles of </w:t>
      </w:r>
      <w:r w:rsidR="00EE24F2">
        <w:rPr>
          <w:rFonts w:asciiTheme="majorBidi" w:hAnsiTheme="majorBidi" w:cstheme="majorBidi"/>
          <w:sz w:val="24"/>
          <w:szCs w:val="24"/>
        </w:rPr>
        <w:t>(higher) guard generals</w:t>
      </w:r>
      <w:r w:rsidR="00AB53E0">
        <w:rPr>
          <w:rFonts w:asciiTheme="majorBidi" w:hAnsiTheme="majorBidi" w:cstheme="majorBidi"/>
          <w:sz w:val="24"/>
          <w:szCs w:val="24"/>
        </w:rPr>
        <w:t>.</w:t>
      </w:r>
      <w:r w:rsidR="00BD3B92">
        <w:rPr>
          <w:rStyle w:val="FootnoteReference"/>
          <w:rFonts w:asciiTheme="majorBidi" w:hAnsiTheme="majorBidi" w:cstheme="majorBidi"/>
          <w:sz w:val="24"/>
          <w:szCs w:val="24"/>
        </w:rPr>
        <w:footnoteReference w:id="285"/>
      </w:r>
      <w:r w:rsidR="00AB53E0">
        <w:rPr>
          <w:rFonts w:asciiTheme="majorBidi" w:hAnsiTheme="majorBidi" w:cstheme="majorBidi"/>
          <w:sz w:val="24"/>
          <w:szCs w:val="24"/>
        </w:rPr>
        <w:t xml:space="preserve"> Only Puluo</w:t>
      </w:r>
      <w:r w:rsidR="008B38E8">
        <w:rPr>
          <w:rFonts w:asciiTheme="majorBidi" w:hAnsiTheme="majorBidi" w:cstheme="majorBidi"/>
          <w:sz w:val="24"/>
          <w:szCs w:val="24"/>
        </w:rPr>
        <w:t>, despite from a great frontier nation,</w:t>
      </w:r>
      <w:r w:rsidR="00AB53E0">
        <w:rPr>
          <w:rFonts w:asciiTheme="majorBidi" w:hAnsiTheme="majorBidi" w:cstheme="majorBidi"/>
          <w:sz w:val="24"/>
          <w:szCs w:val="24"/>
        </w:rPr>
        <w:t xml:space="preserve"> remain</w:t>
      </w:r>
      <w:r w:rsidR="008B38E8">
        <w:rPr>
          <w:rFonts w:asciiTheme="majorBidi" w:hAnsiTheme="majorBidi" w:cstheme="majorBidi"/>
          <w:sz w:val="24"/>
          <w:szCs w:val="24"/>
        </w:rPr>
        <w:t>s</w:t>
      </w:r>
      <w:r w:rsidR="00AB53E0">
        <w:rPr>
          <w:rFonts w:asciiTheme="majorBidi" w:hAnsiTheme="majorBidi" w:cstheme="majorBidi"/>
          <w:sz w:val="24"/>
          <w:szCs w:val="24"/>
        </w:rPr>
        <w:t xml:space="preserve"> bearing the same title </w:t>
      </w:r>
      <w:r w:rsidR="008B38E8">
        <w:rPr>
          <w:rFonts w:asciiTheme="majorBidi" w:hAnsiTheme="majorBidi" w:cstheme="majorBidi"/>
          <w:sz w:val="24"/>
          <w:szCs w:val="24"/>
        </w:rPr>
        <w:t xml:space="preserve">as </w:t>
      </w:r>
      <w:r w:rsidR="00EE24F2">
        <w:rPr>
          <w:rFonts w:asciiTheme="majorBidi" w:hAnsiTheme="majorBidi" w:cstheme="majorBidi"/>
          <w:sz w:val="24"/>
          <w:szCs w:val="24"/>
        </w:rPr>
        <w:t>commandant</w:t>
      </w:r>
      <w:r w:rsidR="00AB53E0">
        <w:rPr>
          <w:rFonts w:asciiTheme="majorBidi" w:hAnsiTheme="majorBidi" w:cstheme="majorBidi"/>
          <w:sz w:val="24"/>
          <w:szCs w:val="24"/>
        </w:rPr>
        <w:t xml:space="preserve"> in the inferior branch of the Left </w:t>
      </w:r>
      <w:r w:rsidR="00EE24F2">
        <w:rPr>
          <w:rFonts w:asciiTheme="majorBidi" w:hAnsiTheme="majorBidi" w:cstheme="majorBidi"/>
          <w:sz w:val="24"/>
          <w:szCs w:val="24"/>
        </w:rPr>
        <w:t xml:space="preserve">Army Leader Guard under the instruction of </w:t>
      </w:r>
      <w:r w:rsidR="00AB53E0">
        <w:rPr>
          <w:rFonts w:asciiTheme="majorBidi" w:hAnsiTheme="majorBidi" w:cstheme="majorBidi"/>
          <w:sz w:val="24"/>
          <w:szCs w:val="24"/>
        </w:rPr>
        <w:t>the royal decree</w:t>
      </w:r>
      <w:r w:rsidR="00EE24F2">
        <w:rPr>
          <w:rFonts w:asciiTheme="majorBidi" w:hAnsiTheme="majorBidi" w:cstheme="majorBidi"/>
          <w:sz w:val="24"/>
          <w:szCs w:val="24"/>
        </w:rPr>
        <w:t xml:space="preserve"> graciously issued in the first year of Shenlong (705 CE) and has born this humiliation for fourteen years up to now. I am wronged in such an extreme way that my requests of granting a (higher) title was not permitted. </w:t>
      </w:r>
      <w:r w:rsidR="00CE7B2D">
        <w:rPr>
          <w:rFonts w:asciiTheme="majorBidi" w:hAnsiTheme="majorBidi" w:cstheme="majorBidi"/>
          <w:sz w:val="24"/>
          <w:szCs w:val="24"/>
        </w:rPr>
        <w:t>Please instruct the minister of the Honglu Temple to approve my request and stop the wrong.</w:t>
      </w:r>
      <w:r w:rsidR="0033092F">
        <w:rPr>
          <w:rFonts w:asciiTheme="majorBidi" w:hAnsiTheme="majorBidi" w:cstheme="majorBidi"/>
          <w:sz w:val="24"/>
          <w:szCs w:val="24"/>
        </w:rPr>
        <w:t>"</w:t>
      </w:r>
    </w:p>
    <w:p w14:paraId="4A3BDB89" w14:textId="7561F075" w:rsidR="00DB3101" w:rsidRDefault="00DB3101" w:rsidP="00765BA9">
      <w:pPr>
        <w:spacing w:line="360" w:lineRule="auto"/>
        <w:rPr>
          <w:rFonts w:asciiTheme="majorBidi" w:hAnsiTheme="majorBidi" w:cstheme="majorBidi"/>
          <w:sz w:val="24"/>
          <w:szCs w:val="24"/>
        </w:rPr>
      </w:pPr>
    </w:p>
    <w:p w14:paraId="4952A29A" w14:textId="17F19875" w:rsidR="00DB3101" w:rsidRDefault="00DB3101" w:rsidP="00765BA9">
      <w:pPr>
        <w:spacing w:line="360" w:lineRule="auto"/>
        <w:rPr>
          <w:rFonts w:asciiTheme="majorBidi" w:hAnsiTheme="majorBidi" w:cstheme="majorBidi"/>
          <w:sz w:val="24"/>
          <w:szCs w:val="24"/>
        </w:rPr>
      </w:pPr>
      <w:r>
        <w:rPr>
          <w:rFonts w:asciiTheme="majorBidi" w:hAnsiTheme="majorBidi" w:cstheme="majorBidi"/>
          <w:sz w:val="24"/>
          <w:szCs w:val="24"/>
        </w:rPr>
        <w:t>(volume 999, p. 11723)</w:t>
      </w:r>
    </w:p>
    <w:p w14:paraId="2A7275C8" w14:textId="41373436" w:rsidR="003407FD" w:rsidRPr="004B609E" w:rsidRDefault="003407FD" w:rsidP="004B609E">
      <w:pPr>
        <w:spacing w:line="360" w:lineRule="auto"/>
        <w:ind w:firstLine="480"/>
        <w:rPr>
          <w:rFonts w:ascii="SimSun" w:eastAsia="SimSun" w:hAnsi="SimSun" w:cs="SimSun"/>
          <w:sz w:val="24"/>
          <w:szCs w:val="24"/>
        </w:rPr>
      </w:pPr>
      <w:r w:rsidRPr="004B609E">
        <w:rPr>
          <w:rFonts w:ascii="SimSun" w:eastAsia="SimSun" w:hAnsi="SimSun" w:cs="SimSun"/>
          <w:sz w:val="24"/>
          <w:szCs w:val="24"/>
        </w:rPr>
        <w:t>奴身罪逆不孝，慈父身被大食统押。应彻天聪，颂奉天可汗进旨云</w:t>
      </w:r>
      <w:r>
        <w:rPr>
          <w:rFonts w:ascii="SimSun" w:eastAsia="SimSun" w:hAnsi="SimSun" w:cs="SimSun" w:hint="eastAsia"/>
          <w:sz w:val="24"/>
          <w:szCs w:val="24"/>
        </w:rPr>
        <w:t>：“</w:t>
      </w:r>
      <w:r w:rsidRPr="004B609E">
        <w:rPr>
          <w:rFonts w:ascii="SimSun" w:eastAsia="SimSun" w:hAnsi="SimSun" w:cs="SimSun"/>
          <w:sz w:val="24"/>
          <w:szCs w:val="24"/>
        </w:rPr>
        <w:t>大食欺侵，我即与你气力</w:t>
      </w:r>
      <w:r>
        <w:rPr>
          <w:rFonts w:ascii="SimSun" w:eastAsia="SimSun" w:hAnsi="SimSun" w:cs="SimSun" w:hint="eastAsia"/>
          <w:sz w:val="24"/>
          <w:szCs w:val="24"/>
        </w:rPr>
        <w:t>。”</w:t>
      </w:r>
      <w:r w:rsidRPr="004B609E">
        <w:rPr>
          <w:rFonts w:ascii="SimSun" w:eastAsia="SimSun" w:hAnsi="SimSun" w:cs="SimSun"/>
          <w:sz w:val="24"/>
          <w:szCs w:val="24"/>
        </w:rPr>
        <w:t>奴身今被大食重税，欺苦实深。若不得天可汗救活，奴身自活不得，国土必遭破散，求防守天可汗西门不得。伏望天可汗慈悯，与奴身多少气力，使得活路。又承天可汗处分突厥施可汗云</w:t>
      </w:r>
      <w:r>
        <w:rPr>
          <w:rFonts w:ascii="SimSun" w:eastAsia="SimSun" w:hAnsi="SimSun" w:cs="SimSun" w:hint="eastAsia"/>
          <w:sz w:val="24"/>
          <w:szCs w:val="24"/>
        </w:rPr>
        <w:t>： “</w:t>
      </w:r>
      <w:r w:rsidRPr="004B609E">
        <w:rPr>
          <w:rFonts w:ascii="SimSun" w:eastAsia="SimSun" w:hAnsi="SimSun" w:cs="SimSun"/>
          <w:sz w:val="24"/>
          <w:szCs w:val="24"/>
        </w:rPr>
        <w:t>西头事委你，即须发兵除却大食。</w:t>
      </w:r>
      <w:r>
        <w:rPr>
          <w:rFonts w:ascii="SimSun" w:eastAsia="SimSun" w:hAnsi="SimSun" w:cs="SimSun" w:hint="eastAsia"/>
          <w:sz w:val="24"/>
          <w:szCs w:val="24"/>
        </w:rPr>
        <w:t>”</w:t>
      </w:r>
      <w:r w:rsidRPr="004B609E">
        <w:rPr>
          <w:rFonts w:ascii="SimSun" w:eastAsia="SimSun" w:hAnsi="SimSun" w:cs="SimSun"/>
          <w:sz w:val="24"/>
          <w:szCs w:val="24"/>
        </w:rPr>
        <w:t>其事若实，望天可汗却垂处分奴身</w:t>
      </w:r>
      <w:r>
        <w:rPr>
          <w:rFonts w:ascii="SimSun" w:eastAsia="SimSun" w:hAnsi="SimSun" w:cs="SimSun" w:hint="eastAsia"/>
          <w:sz w:val="24"/>
          <w:szCs w:val="24"/>
        </w:rPr>
        <w:t>。</w:t>
      </w:r>
      <w:r w:rsidRPr="004B609E">
        <w:rPr>
          <w:rFonts w:ascii="SimSun" w:eastAsia="SimSun" w:hAnsi="SimSun" w:cs="SimSun"/>
          <w:sz w:val="24"/>
          <w:szCs w:val="24"/>
        </w:rPr>
        <w:t>缘大食税急，不求得好物奉进，望天可汗炤之。所欲驱遣奴身，及须已西方物，并请处分奴身，一一头</w:t>
      </w:r>
      <w:r>
        <w:rPr>
          <w:rFonts w:ascii="SimSun" w:eastAsia="SimSun" w:hAnsi="SimSun" w:cs="SimSun" w:hint="eastAsia"/>
          <w:sz w:val="24"/>
          <w:szCs w:val="24"/>
        </w:rPr>
        <w:t>载</w:t>
      </w:r>
      <w:r w:rsidRPr="004B609E">
        <w:rPr>
          <w:rFonts w:ascii="SimSun" w:eastAsia="SimSun" w:hAnsi="SimSun" w:cs="SimSun"/>
          <w:sz w:val="24"/>
          <w:szCs w:val="24"/>
        </w:rPr>
        <w:t>，不敢怠慢。</w:t>
      </w:r>
    </w:p>
    <w:p w14:paraId="65B6831A" w14:textId="43F4D541" w:rsidR="001E02F1" w:rsidRDefault="0043029B" w:rsidP="00BA3F81">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FA5CAD">
        <w:rPr>
          <w:rFonts w:asciiTheme="majorBidi" w:hAnsiTheme="majorBidi" w:cstheme="majorBidi"/>
          <w:sz w:val="24"/>
          <w:szCs w:val="24"/>
        </w:rPr>
        <w:t>In the fifteenth year (</w:t>
      </w:r>
      <w:r w:rsidR="00FA5CAD">
        <w:rPr>
          <w:rFonts w:asciiTheme="majorBidi" w:hAnsiTheme="majorBidi" w:cstheme="majorBidi" w:hint="eastAsia"/>
          <w:sz w:val="24"/>
          <w:szCs w:val="24"/>
        </w:rPr>
        <w:t>727</w:t>
      </w:r>
      <w:r w:rsidR="00FA5CAD">
        <w:rPr>
          <w:rFonts w:asciiTheme="majorBidi" w:hAnsiTheme="majorBidi" w:cstheme="majorBidi"/>
          <w:sz w:val="24"/>
          <w:szCs w:val="24"/>
        </w:rPr>
        <w:t xml:space="preserve"> CE</w:t>
      </w:r>
      <w:r w:rsidR="00FA5CAD" w:rsidRPr="0033092F">
        <w:rPr>
          <w:rFonts w:asciiTheme="majorBidi" w:hAnsiTheme="majorBidi" w:cstheme="majorBidi" w:hint="eastAsia"/>
          <w:sz w:val="24"/>
          <w:szCs w:val="24"/>
        </w:rPr>
        <w:t>,</w:t>
      </w:r>
      <w:r w:rsidR="00FA5CAD" w:rsidRPr="0033092F">
        <w:rPr>
          <w:rFonts w:asciiTheme="majorBidi" w:hAnsiTheme="majorBidi" w:cstheme="majorBidi"/>
          <w:sz w:val="24"/>
          <w:szCs w:val="24"/>
        </w:rPr>
        <w:t xml:space="preserve"> of the Kaiyuan reign-period</w:t>
      </w:r>
      <w:r w:rsidR="00FA5CAD">
        <w:rPr>
          <w:rFonts w:asciiTheme="majorBidi" w:hAnsiTheme="majorBidi" w:cstheme="majorBidi"/>
          <w:sz w:val="24"/>
          <w:szCs w:val="24"/>
        </w:rPr>
        <w:t>)</w:t>
      </w:r>
      <w:r w:rsidR="0033092F">
        <w:rPr>
          <w:rFonts w:asciiTheme="majorBidi" w:hAnsiTheme="majorBidi" w:cstheme="majorBidi"/>
          <w:sz w:val="24"/>
          <w:szCs w:val="24"/>
        </w:rPr>
        <w:t xml:space="preserve"> the </w:t>
      </w:r>
      <w:r w:rsidR="0033092F" w:rsidRPr="00765BA9">
        <w:rPr>
          <w:rFonts w:asciiTheme="majorBidi" w:hAnsiTheme="majorBidi" w:cstheme="majorBidi"/>
          <w:sz w:val="24"/>
          <w:szCs w:val="24"/>
        </w:rPr>
        <w:t>Y</w:t>
      </w:r>
      <w:r w:rsidR="0033092F">
        <w:rPr>
          <w:rFonts w:asciiTheme="majorBidi" w:hAnsiTheme="majorBidi" w:cstheme="majorBidi"/>
          <w:sz w:val="24"/>
          <w:szCs w:val="24"/>
        </w:rPr>
        <w:t>abghū</w:t>
      </w:r>
      <w:r w:rsidR="0033092F" w:rsidRPr="00765BA9">
        <w:rPr>
          <w:rFonts w:asciiTheme="majorBidi" w:hAnsiTheme="majorBidi" w:cstheme="majorBidi"/>
          <w:sz w:val="24"/>
          <w:szCs w:val="24"/>
        </w:rPr>
        <w:t xml:space="preserve"> of</w:t>
      </w:r>
      <w:r w:rsidR="0033092F">
        <w:rPr>
          <w:rFonts w:asciiTheme="majorBidi" w:hAnsiTheme="majorBidi" w:cstheme="majorBidi"/>
          <w:sz w:val="24"/>
          <w:szCs w:val="24"/>
        </w:rPr>
        <w:t xml:space="preserve"> </w:t>
      </w:r>
      <w:r w:rsidR="0033092F" w:rsidRPr="00C43B5F">
        <w:rPr>
          <w:rFonts w:asciiTheme="majorBidi" w:hAnsiTheme="majorBidi" w:cstheme="majorBidi"/>
          <w:sz w:val="24"/>
          <w:szCs w:val="24"/>
        </w:rPr>
        <w:t>Ṭukhāristān</w:t>
      </w:r>
      <w:r w:rsidR="0033092F">
        <w:rPr>
          <w:rFonts w:asciiTheme="majorBidi" w:hAnsiTheme="majorBidi" w:cstheme="majorBidi"/>
          <w:sz w:val="24"/>
          <w:szCs w:val="24"/>
        </w:rPr>
        <w:t xml:space="preserve"> sent a memorial through the hand of an envoy, which stated, "Your slave is sinful and </w:t>
      </w:r>
      <w:r w:rsidR="0033092F" w:rsidRPr="00802E96">
        <w:rPr>
          <w:rFonts w:asciiTheme="majorBidi" w:hAnsiTheme="majorBidi" w:cstheme="majorBidi"/>
          <w:sz w:val="24"/>
          <w:szCs w:val="24"/>
        </w:rPr>
        <w:t xml:space="preserve">not a filial son, [since] my </w:t>
      </w:r>
      <w:r w:rsidR="00802E96">
        <w:rPr>
          <w:rFonts w:asciiTheme="majorBidi" w:hAnsiTheme="majorBidi" w:cstheme="majorBidi"/>
          <w:sz w:val="24"/>
          <w:szCs w:val="24"/>
        </w:rPr>
        <w:t>father of affection is [still] detained by the Dashi (Tāzīks, the Arabs)</w:t>
      </w:r>
      <w:r w:rsidR="00905EF4">
        <w:rPr>
          <w:rFonts w:asciiTheme="majorBidi" w:hAnsiTheme="majorBidi" w:cstheme="majorBidi"/>
          <w:sz w:val="24"/>
          <w:szCs w:val="24"/>
        </w:rPr>
        <w:t xml:space="preserve">. The </w:t>
      </w:r>
      <w:r w:rsidR="00C74046">
        <w:rPr>
          <w:rFonts w:asciiTheme="majorBidi" w:hAnsiTheme="majorBidi" w:cstheme="majorBidi" w:hint="eastAsia"/>
          <w:sz w:val="24"/>
          <w:szCs w:val="24"/>
        </w:rPr>
        <w:t>praised</w:t>
      </w:r>
      <w:r w:rsidR="00C74046">
        <w:rPr>
          <w:rFonts w:asciiTheme="majorBidi" w:hAnsiTheme="majorBidi" w:cstheme="majorBidi"/>
          <w:sz w:val="24"/>
          <w:szCs w:val="24"/>
        </w:rPr>
        <w:t xml:space="preserve"> Tengri Khāqān, who is of heavenly wisdom, [used to] issue a decree, saying 'If the Dashi </w:t>
      </w:r>
      <w:r w:rsidR="00C74046">
        <w:rPr>
          <w:rFonts w:asciiTheme="majorBidi" w:hAnsiTheme="majorBidi" w:cstheme="majorBidi" w:hint="eastAsia"/>
          <w:sz w:val="24"/>
          <w:szCs w:val="24"/>
        </w:rPr>
        <w:t>bull</w:t>
      </w:r>
      <w:r w:rsidR="00C74046">
        <w:rPr>
          <w:rFonts w:asciiTheme="majorBidi" w:hAnsiTheme="majorBidi" w:cstheme="majorBidi"/>
          <w:sz w:val="24"/>
          <w:szCs w:val="24"/>
        </w:rPr>
        <w:t xml:space="preserve">ies [you], I will reinforce you.' Your slave now suffers terribly from the heavy taxation that the Dashi imposes [upon him]. </w:t>
      </w:r>
      <w:r w:rsidR="002A3D3E">
        <w:rPr>
          <w:rFonts w:asciiTheme="majorBidi" w:hAnsiTheme="majorBidi" w:cstheme="majorBidi"/>
          <w:sz w:val="24"/>
          <w:szCs w:val="24"/>
        </w:rPr>
        <w:t>If the Tengri Khāqān would not deliver [him], your slave surely will not survive; his territories will be lost. [</w:t>
      </w:r>
      <w:r w:rsidR="00E11E5F">
        <w:rPr>
          <w:rFonts w:asciiTheme="majorBidi" w:hAnsiTheme="majorBidi" w:cstheme="majorBidi"/>
          <w:sz w:val="24"/>
          <w:szCs w:val="24"/>
        </w:rPr>
        <w:t>If this happens,</w:t>
      </w:r>
      <w:r w:rsidR="002A3D3E">
        <w:rPr>
          <w:rFonts w:asciiTheme="majorBidi" w:hAnsiTheme="majorBidi" w:cstheme="majorBidi"/>
          <w:sz w:val="24"/>
          <w:szCs w:val="24"/>
        </w:rPr>
        <w:t>]</w:t>
      </w:r>
      <w:r w:rsidR="00E11E5F">
        <w:rPr>
          <w:rFonts w:asciiTheme="majorBidi" w:hAnsiTheme="majorBidi" w:cstheme="majorBidi"/>
          <w:sz w:val="24"/>
          <w:szCs w:val="24"/>
        </w:rPr>
        <w:t xml:space="preserve"> he would not be able to guard the western gate for the Tengri K</w:t>
      </w:r>
      <w:r w:rsidR="00BD7110">
        <w:rPr>
          <w:rFonts w:asciiTheme="majorBidi" w:hAnsiTheme="majorBidi" w:cstheme="majorBidi"/>
          <w:sz w:val="24"/>
          <w:szCs w:val="24"/>
        </w:rPr>
        <w:t>h</w:t>
      </w:r>
      <w:r w:rsidR="00E11E5F">
        <w:rPr>
          <w:rFonts w:asciiTheme="majorBidi" w:hAnsiTheme="majorBidi" w:cstheme="majorBidi"/>
          <w:sz w:val="24"/>
          <w:szCs w:val="24"/>
        </w:rPr>
        <w:t xml:space="preserve">āqān, despite his willingness. [He] </w:t>
      </w:r>
      <w:r w:rsidR="00E11E5F">
        <w:rPr>
          <w:rFonts w:asciiTheme="majorBidi" w:hAnsiTheme="majorBidi" w:cstheme="majorBidi" w:hint="eastAsia"/>
          <w:sz w:val="24"/>
          <w:szCs w:val="24"/>
        </w:rPr>
        <w:t>respec</w:t>
      </w:r>
      <w:r w:rsidR="00E11E5F">
        <w:rPr>
          <w:rFonts w:asciiTheme="majorBidi" w:hAnsiTheme="majorBidi" w:cstheme="majorBidi"/>
          <w:sz w:val="24"/>
          <w:szCs w:val="24"/>
        </w:rPr>
        <w:t>tfully hopes that the Tengri K</w:t>
      </w:r>
      <w:r w:rsidR="00BD7110">
        <w:rPr>
          <w:rFonts w:asciiTheme="majorBidi" w:hAnsiTheme="majorBidi" w:cstheme="majorBidi"/>
          <w:sz w:val="24"/>
          <w:szCs w:val="24"/>
        </w:rPr>
        <w:t>h</w:t>
      </w:r>
      <w:r w:rsidR="00E11E5F">
        <w:rPr>
          <w:rFonts w:asciiTheme="majorBidi" w:hAnsiTheme="majorBidi" w:cstheme="majorBidi"/>
          <w:sz w:val="24"/>
          <w:szCs w:val="24"/>
        </w:rPr>
        <w:t xml:space="preserve">āqān will take pity upon him, and reinforce his slave more or less so that he would not perish. </w:t>
      </w:r>
      <w:r w:rsidR="003A607D">
        <w:rPr>
          <w:rFonts w:asciiTheme="majorBidi" w:hAnsiTheme="majorBidi" w:cstheme="majorBidi"/>
          <w:sz w:val="24"/>
          <w:szCs w:val="24"/>
        </w:rPr>
        <w:lastRenderedPageBreak/>
        <w:t>F</w:t>
      </w:r>
      <w:r w:rsidR="003A607D">
        <w:rPr>
          <w:rFonts w:asciiTheme="majorBidi" w:hAnsiTheme="majorBidi" w:cstheme="majorBidi" w:hint="eastAsia"/>
          <w:sz w:val="24"/>
          <w:szCs w:val="24"/>
        </w:rPr>
        <w:t>urthermore</w:t>
      </w:r>
      <w:r w:rsidR="003A607D">
        <w:rPr>
          <w:rFonts w:asciiTheme="majorBidi" w:hAnsiTheme="majorBidi" w:cstheme="majorBidi"/>
          <w:sz w:val="24"/>
          <w:szCs w:val="24"/>
        </w:rPr>
        <w:t xml:space="preserve">, [he </w:t>
      </w:r>
      <w:r w:rsidR="00BD7110">
        <w:rPr>
          <w:rFonts w:asciiTheme="majorBidi" w:hAnsiTheme="majorBidi" w:cstheme="majorBidi"/>
          <w:sz w:val="24"/>
          <w:szCs w:val="24"/>
        </w:rPr>
        <w:t>has heard that</w:t>
      </w:r>
      <w:r w:rsidR="003A607D">
        <w:rPr>
          <w:rFonts w:asciiTheme="majorBidi" w:hAnsiTheme="majorBidi" w:cstheme="majorBidi"/>
          <w:sz w:val="24"/>
          <w:szCs w:val="24"/>
        </w:rPr>
        <w:t>]</w:t>
      </w:r>
      <w:r w:rsidR="00BD7110">
        <w:rPr>
          <w:rFonts w:asciiTheme="majorBidi" w:hAnsiTheme="majorBidi" w:cstheme="majorBidi"/>
          <w:sz w:val="24"/>
          <w:szCs w:val="24"/>
        </w:rPr>
        <w:t xml:space="preserve"> the Tengri Khāqān instructed the Türgesh Khāqān, saying that </w:t>
      </w:r>
      <w:r w:rsidR="00BD7110">
        <w:rPr>
          <w:rFonts w:asciiTheme="majorBidi" w:hAnsiTheme="majorBidi" w:cstheme="majorBidi" w:hint="eastAsia"/>
          <w:sz w:val="24"/>
          <w:szCs w:val="24"/>
        </w:rPr>
        <w:t>I</w:t>
      </w:r>
      <w:r w:rsidR="00BD7110">
        <w:rPr>
          <w:rFonts w:asciiTheme="majorBidi" w:hAnsiTheme="majorBidi" w:cstheme="majorBidi"/>
          <w:sz w:val="24"/>
          <w:szCs w:val="24"/>
        </w:rPr>
        <w:t xml:space="preserve"> </w:t>
      </w:r>
      <w:r w:rsidR="00BD7110">
        <w:rPr>
          <w:rFonts w:asciiTheme="majorBidi" w:hAnsiTheme="majorBidi" w:cstheme="majorBidi" w:hint="eastAsia"/>
          <w:sz w:val="24"/>
          <w:szCs w:val="24"/>
        </w:rPr>
        <w:t>entrust</w:t>
      </w:r>
      <w:r w:rsidR="00BD7110">
        <w:rPr>
          <w:rFonts w:asciiTheme="majorBidi" w:hAnsiTheme="majorBidi" w:cstheme="majorBidi"/>
          <w:sz w:val="24"/>
          <w:szCs w:val="24"/>
        </w:rPr>
        <w:t xml:space="preserve"> you with the affairs in the western part, you must dispatch troops to annihilate the Dashi. </w:t>
      </w:r>
      <w:r w:rsidR="00055415">
        <w:rPr>
          <w:rFonts w:asciiTheme="majorBidi" w:hAnsiTheme="majorBidi" w:cstheme="majorBidi"/>
          <w:sz w:val="24"/>
          <w:szCs w:val="24"/>
        </w:rPr>
        <w:t xml:space="preserve">If this is true, [he] hopes that the Tengri Khāqān </w:t>
      </w:r>
      <w:r w:rsidR="00217AFD">
        <w:rPr>
          <w:rFonts w:asciiTheme="majorBidi" w:hAnsiTheme="majorBidi" w:cstheme="majorBidi" w:hint="eastAsia"/>
          <w:sz w:val="24"/>
          <w:szCs w:val="24"/>
        </w:rPr>
        <w:t>could</w:t>
      </w:r>
      <w:r w:rsidR="00217AFD">
        <w:rPr>
          <w:rFonts w:asciiTheme="majorBidi" w:hAnsiTheme="majorBidi" w:cstheme="majorBidi"/>
          <w:sz w:val="24"/>
          <w:szCs w:val="24"/>
        </w:rPr>
        <w:t xml:space="preserve"> human himself to deal with your slave</w:t>
      </w:r>
      <w:r w:rsidR="00363C3A">
        <w:rPr>
          <w:rFonts w:asciiTheme="majorBidi" w:hAnsiTheme="majorBidi" w:cstheme="majorBidi"/>
          <w:sz w:val="24"/>
          <w:szCs w:val="24"/>
        </w:rPr>
        <w:t xml:space="preserve">. Because of the heavy taxation [imposed by] the Dashi, he could not present valuable gifts. Hopefully, the Tengri Khāqān pardons the neglect. If you want to punish your slave for </w:t>
      </w:r>
      <w:r w:rsidR="00E534E4">
        <w:rPr>
          <w:rFonts w:asciiTheme="majorBidi" w:hAnsiTheme="majorBidi" w:cstheme="majorBidi" w:hint="eastAsia"/>
          <w:sz w:val="24"/>
          <w:szCs w:val="24"/>
        </w:rPr>
        <w:t>shortage</w:t>
      </w:r>
      <w:r w:rsidR="00E534E4">
        <w:rPr>
          <w:rFonts w:asciiTheme="majorBidi" w:hAnsiTheme="majorBidi" w:cstheme="majorBidi"/>
          <w:sz w:val="24"/>
          <w:szCs w:val="24"/>
        </w:rPr>
        <w:t xml:space="preserve"> of western articles, please punish your servant. He will bear the punishments item by item, and </w:t>
      </w:r>
      <w:r w:rsidR="00E534E4">
        <w:rPr>
          <w:rFonts w:asciiTheme="majorBidi" w:hAnsiTheme="majorBidi" w:cstheme="majorBidi" w:hint="eastAsia"/>
          <w:sz w:val="24"/>
          <w:szCs w:val="24"/>
        </w:rPr>
        <w:t>dare</w:t>
      </w:r>
      <w:r w:rsidR="00E534E4">
        <w:rPr>
          <w:rFonts w:asciiTheme="majorBidi" w:hAnsiTheme="majorBidi" w:cstheme="majorBidi"/>
          <w:sz w:val="24"/>
          <w:szCs w:val="24"/>
        </w:rPr>
        <w:t xml:space="preserve"> not to neglect [anything].</w:t>
      </w:r>
      <w:r w:rsidR="0033092F">
        <w:rPr>
          <w:rFonts w:asciiTheme="majorBidi" w:hAnsiTheme="majorBidi" w:cstheme="majorBidi"/>
          <w:sz w:val="24"/>
          <w:szCs w:val="24"/>
        </w:rPr>
        <w:t>"</w:t>
      </w:r>
      <w:r w:rsidR="001E02F1">
        <w:rPr>
          <w:rFonts w:asciiTheme="majorBidi" w:hAnsiTheme="majorBidi" w:cstheme="majorBidi"/>
          <w:sz w:val="24"/>
          <w:szCs w:val="24"/>
        </w:rPr>
        <w:br w:type="page"/>
      </w:r>
    </w:p>
    <w:p w14:paraId="4430CCC5" w14:textId="5B18EA13" w:rsidR="001E02F1" w:rsidRDefault="00E83D93" w:rsidP="00C17C0F">
      <w:pPr>
        <w:pStyle w:val="Heading3"/>
        <w:spacing w:line="360" w:lineRule="auto"/>
        <w:rPr>
          <w:rFonts w:asciiTheme="majorBidi" w:hAnsiTheme="majorBidi"/>
          <w:b/>
          <w:bCs/>
          <w:color w:val="auto"/>
        </w:rPr>
      </w:pPr>
      <w:bookmarkStart w:id="20" w:name="_Toc91623886"/>
      <w:r w:rsidRPr="002A5F12">
        <w:rPr>
          <w:rFonts w:asciiTheme="majorBidi" w:hAnsiTheme="majorBidi"/>
          <w:b/>
          <w:bCs/>
          <w:color w:val="auto"/>
        </w:rPr>
        <w:lastRenderedPageBreak/>
        <w:t xml:space="preserve">V </w:t>
      </w:r>
      <w:r w:rsidR="001E02F1" w:rsidRPr="002A5F12">
        <w:rPr>
          <w:rFonts w:asciiTheme="majorBidi" w:hAnsiTheme="majorBidi"/>
          <w:b/>
          <w:bCs/>
          <w:color w:val="auto"/>
        </w:rPr>
        <w:t>Tables</w:t>
      </w:r>
      <w:bookmarkEnd w:id="20"/>
    </w:p>
    <w:p w14:paraId="79DAB766" w14:textId="7789DFD4" w:rsidR="001E02F1" w:rsidRDefault="001E02F1" w:rsidP="00C17C0F">
      <w:pPr>
        <w:spacing w:line="360" w:lineRule="auto"/>
        <w:ind w:firstLineChars="250" w:firstLine="600"/>
        <w:rPr>
          <w:rFonts w:asciiTheme="majorBidi" w:hAnsiTheme="majorBidi" w:cstheme="majorBidi"/>
          <w:sz w:val="24"/>
          <w:szCs w:val="24"/>
        </w:rPr>
      </w:pPr>
      <w:proofErr w:type="gramStart"/>
      <w:r>
        <w:rPr>
          <w:rFonts w:asciiTheme="majorBidi" w:hAnsiTheme="majorBidi" w:cstheme="majorBidi"/>
          <w:sz w:val="24"/>
          <w:szCs w:val="24"/>
        </w:rPr>
        <w:t>Table :</w:t>
      </w:r>
      <w:proofErr w:type="gramEnd"/>
      <w:r>
        <w:rPr>
          <w:rFonts w:asciiTheme="majorBidi" w:hAnsiTheme="majorBidi" w:cstheme="majorBidi"/>
          <w:sz w:val="24"/>
          <w:szCs w:val="24"/>
        </w:rPr>
        <w:t xml:space="preserve"> military campaigns of the Arabs in Khurasan between 651</w:t>
      </w:r>
      <w:r w:rsidR="00785CD3">
        <w:rPr>
          <w:rFonts w:asciiTheme="majorBidi" w:hAnsiTheme="majorBidi" w:cstheme="majorBidi"/>
          <w:sz w:val="24"/>
          <w:szCs w:val="24"/>
        </w:rPr>
        <w:t xml:space="preserve"> and the 710s</w:t>
      </w:r>
    </w:p>
    <w:tbl>
      <w:tblPr>
        <w:tblStyle w:val="TableGrid"/>
        <w:tblpPr w:leftFromText="180" w:rightFromText="180" w:vertAnchor="text" w:tblpY="1"/>
        <w:tblOverlap w:val="never"/>
        <w:tblW w:w="0" w:type="auto"/>
        <w:tblLook w:val="04A0" w:firstRow="1" w:lastRow="0" w:firstColumn="1" w:lastColumn="0" w:noHBand="0" w:noVBand="1"/>
      </w:tblPr>
      <w:tblGrid>
        <w:gridCol w:w="849"/>
        <w:gridCol w:w="4303"/>
        <w:gridCol w:w="1778"/>
        <w:gridCol w:w="1366"/>
      </w:tblGrid>
      <w:tr w:rsidR="001E02F1" w:rsidRPr="00F24C06" w14:paraId="3FE1119C" w14:textId="77777777" w:rsidTr="00CD23AA">
        <w:tc>
          <w:tcPr>
            <w:tcW w:w="0" w:type="auto"/>
          </w:tcPr>
          <w:p w14:paraId="09BD5351" w14:textId="77777777" w:rsidR="001E02F1" w:rsidRPr="00F24C06" w:rsidRDefault="001E02F1" w:rsidP="00CD23AA">
            <w:pPr>
              <w:spacing w:line="360" w:lineRule="auto"/>
              <w:rPr>
                <w:rFonts w:asciiTheme="majorBidi" w:hAnsiTheme="majorBidi" w:cstheme="majorBidi"/>
                <w:sz w:val="24"/>
                <w:szCs w:val="24"/>
              </w:rPr>
            </w:pPr>
            <w:bookmarkStart w:id="21" w:name="_Hlk80709608"/>
            <w:r w:rsidRPr="00F24C06">
              <w:rPr>
                <w:rFonts w:asciiTheme="majorBidi" w:hAnsiTheme="majorBidi" w:cstheme="majorBidi"/>
                <w:sz w:val="24"/>
                <w:szCs w:val="24"/>
              </w:rPr>
              <w:t xml:space="preserve">Year </w:t>
            </w:r>
          </w:p>
        </w:tc>
        <w:tc>
          <w:tcPr>
            <w:tcW w:w="0" w:type="auto"/>
          </w:tcPr>
          <w:p w14:paraId="3F31FB21" w14:textId="77777777" w:rsidR="001E02F1" w:rsidRPr="00F24C06" w:rsidRDefault="001E02F1" w:rsidP="00CD23AA">
            <w:pPr>
              <w:spacing w:line="360" w:lineRule="auto"/>
              <w:rPr>
                <w:rFonts w:asciiTheme="majorBidi" w:hAnsiTheme="majorBidi" w:cstheme="majorBidi"/>
                <w:sz w:val="24"/>
                <w:szCs w:val="24"/>
              </w:rPr>
            </w:pPr>
            <w:r w:rsidRPr="00F24C06">
              <w:rPr>
                <w:rFonts w:asciiTheme="majorBidi" w:hAnsiTheme="majorBidi" w:cstheme="majorBidi"/>
                <w:sz w:val="24"/>
                <w:szCs w:val="24"/>
              </w:rPr>
              <w:t>Event</w:t>
            </w:r>
          </w:p>
        </w:tc>
        <w:tc>
          <w:tcPr>
            <w:tcW w:w="0" w:type="auto"/>
          </w:tcPr>
          <w:p w14:paraId="7B7BFD5F" w14:textId="77777777" w:rsidR="001E02F1" w:rsidRPr="00F24C06" w:rsidRDefault="001E02F1" w:rsidP="00CD23AA">
            <w:pPr>
              <w:spacing w:line="360" w:lineRule="auto"/>
              <w:rPr>
                <w:rFonts w:asciiTheme="majorBidi" w:hAnsiTheme="majorBidi" w:cstheme="majorBidi"/>
                <w:sz w:val="24"/>
                <w:szCs w:val="24"/>
              </w:rPr>
            </w:pPr>
            <w:r w:rsidRPr="00F24C06">
              <w:rPr>
                <w:rFonts w:asciiTheme="majorBidi" w:hAnsiTheme="majorBidi" w:cstheme="majorBidi"/>
                <w:sz w:val="24"/>
                <w:szCs w:val="24"/>
              </w:rPr>
              <w:t>Governor of Khurasan</w:t>
            </w:r>
          </w:p>
        </w:tc>
        <w:tc>
          <w:tcPr>
            <w:tcW w:w="0" w:type="auto"/>
          </w:tcPr>
          <w:p w14:paraId="5EB4244A" w14:textId="77777777" w:rsidR="001E02F1" w:rsidRPr="00F24C06" w:rsidRDefault="001E02F1" w:rsidP="00CD23AA">
            <w:pPr>
              <w:spacing w:line="360" w:lineRule="auto"/>
              <w:rPr>
                <w:rFonts w:asciiTheme="majorBidi" w:hAnsiTheme="majorBidi" w:cstheme="majorBidi"/>
                <w:sz w:val="24"/>
                <w:szCs w:val="24"/>
              </w:rPr>
            </w:pPr>
            <w:r w:rsidRPr="00F24C06">
              <w:rPr>
                <w:rFonts w:asciiTheme="majorBidi" w:hAnsiTheme="majorBidi" w:cstheme="majorBidi"/>
                <w:sz w:val="24"/>
                <w:szCs w:val="24"/>
              </w:rPr>
              <w:t>Source</w:t>
            </w:r>
          </w:p>
        </w:tc>
      </w:tr>
      <w:tr w:rsidR="00C17C0F" w:rsidRPr="00F24C06" w14:paraId="14BC9A1E" w14:textId="77777777" w:rsidTr="00CD23AA">
        <w:tc>
          <w:tcPr>
            <w:tcW w:w="0" w:type="auto"/>
          </w:tcPr>
          <w:p w14:paraId="456AC3EC" w14:textId="2782ADE4" w:rsidR="00C17C0F" w:rsidRPr="00F24C06" w:rsidRDefault="00C17C0F" w:rsidP="00C17C0F">
            <w:pPr>
              <w:spacing w:line="360" w:lineRule="auto"/>
              <w:rPr>
                <w:rFonts w:asciiTheme="majorBidi" w:hAnsiTheme="majorBidi" w:cstheme="majorBidi"/>
                <w:sz w:val="24"/>
                <w:szCs w:val="24"/>
              </w:rPr>
            </w:pPr>
            <w:r w:rsidRPr="00E70F91">
              <w:rPr>
                <w:rFonts w:asciiTheme="majorBidi" w:hAnsiTheme="majorBidi" w:cstheme="majorBidi"/>
                <w:sz w:val="24"/>
                <w:szCs w:val="24"/>
              </w:rPr>
              <w:t>Year 31 (651-2)</w:t>
            </w:r>
          </w:p>
        </w:tc>
        <w:tc>
          <w:tcPr>
            <w:tcW w:w="0" w:type="auto"/>
          </w:tcPr>
          <w:p w14:paraId="2BEB0DAD" w14:textId="5B55C218" w:rsidR="00C17C0F" w:rsidRPr="00F24C06" w:rsidRDefault="00C17C0F" w:rsidP="00C17C0F">
            <w:pPr>
              <w:spacing w:line="360" w:lineRule="auto"/>
              <w:rPr>
                <w:rFonts w:asciiTheme="majorBidi" w:hAnsiTheme="majorBidi" w:cstheme="majorBidi"/>
                <w:sz w:val="24"/>
                <w:szCs w:val="24"/>
              </w:rPr>
            </w:pPr>
            <w:r w:rsidRPr="00E70F91">
              <w:rPr>
                <w:rFonts w:asciiTheme="majorBidi" w:hAnsiTheme="majorBidi" w:cstheme="majorBidi"/>
                <w:sz w:val="24"/>
                <w:szCs w:val="24"/>
              </w:rPr>
              <w:t>Yazdegerd's murder</w:t>
            </w:r>
          </w:p>
        </w:tc>
        <w:tc>
          <w:tcPr>
            <w:tcW w:w="0" w:type="auto"/>
          </w:tcPr>
          <w:p w14:paraId="737870A0" w14:textId="77777777" w:rsidR="00C17C0F" w:rsidRPr="00F24C06" w:rsidRDefault="00C17C0F" w:rsidP="00C17C0F">
            <w:pPr>
              <w:spacing w:line="360" w:lineRule="auto"/>
              <w:rPr>
                <w:rFonts w:asciiTheme="majorBidi" w:hAnsiTheme="majorBidi" w:cstheme="majorBidi"/>
                <w:sz w:val="24"/>
                <w:szCs w:val="24"/>
              </w:rPr>
            </w:pPr>
          </w:p>
        </w:tc>
        <w:tc>
          <w:tcPr>
            <w:tcW w:w="0" w:type="auto"/>
          </w:tcPr>
          <w:p w14:paraId="6E858E9A" w14:textId="6B3F816C" w:rsidR="00C17C0F" w:rsidRPr="00F24C06" w:rsidRDefault="00C17C0F" w:rsidP="00C17C0F">
            <w:pPr>
              <w:spacing w:line="360" w:lineRule="auto"/>
              <w:rPr>
                <w:rFonts w:asciiTheme="majorBidi" w:hAnsiTheme="majorBidi" w:cstheme="majorBidi"/>
                <w:sz w:val="24"/>
                <w:szCs w:val="24"/>
              </w:rPr>
            </w:pPr>
            <w:r>
              <w:rPr>
                <w:rFonts w:asciiTheme="majorBidi" w:hAnsiTheme="majorBidi" w:cstheme="majorBidi"/>
                <w:sz w:val="24"/>
                <w:szCs w:val="24"/>
              </w:rPr>
              <w:t xml:space="preserve">2001, vol. 2, pp. 620-5; </w:t>
            </w:r>
            <w:r>
              <w:rPr>
                <w:rFonts w:asciiTheme="majorBidi" w:hAnsiTheme="majorBidi" w:cstheme="majorBidi"/>
                <w:sz w:val="20"/>
                <w:szCs w:val="20"/>
              </w:rPr>
              <w:t>tr.</w:t>
            </w:r>
            <w:r>
              <w:rPr>
                <w:rFonts w:asciiTheme="majorBidi" w:hAnsiTheme="majorBidi" w:cstheme="majorBidi"/>
                <w:sz w:val="24"/>
                <w:szCs w:val="24"/>
              </w:rPr>
              <w:t>, vol.</w:t>
            </w:r>
            <w:r w:rsidRPr="00E70F91">
              <w:rPr>
                <w:rFonts w:asciiTheme="majorBidi" w:hAnsiTheme="majorBidi" w:cstheme="majorBidi"/>
                <w:sz w:val="24"/>
                <w:szCs w:val="24"/>
              </w:rPr>
              <w:t xml:space="preserve"> </w:t>
            </w:r>
            <w:r>
              <w:rPr>
                <w:rFonts w:asciiTheme="majorBidi" w:hAnsiTheme="majorBidi" w:cstheme="majorBidi"/>
                <w:sz w:val="24"/>
                <w:szCs w:val="24"/>
              </w:rPr>
              <w:t>X</w:t>
            </w:r>
            <w:r w:rsidRPr="00E70F91">
              <w:rPr>
                <w:rFonts w:asciiTheme="majorBidi" w:hAnsiTheme="majorBidi" w:cstheme="majorBidi"/>
                <w:sz w:val="24"/>
                <w:szCs w:val="24"/>
              </w:rPr>
              <w:t>V, pp. 78-</w:t>
            </w:r>
            <w:r>
              <w:rPr>
                <w:rFonts w:asciiTheme="majorBidi" w:hAnsiTheme="majorBidi" w:cstheme="majorBidi"/>
                <w:sz w:val="24"/>
                <w:szCs w:val="24"/>
              </w:rPr>
              <w:t>90</w:t>
            </w:r>
            <w:r>
              <w:rPr>
                <w:rStyle w:val="FootnoteReference"/>
                <w:rFonts w:asciiTheme="majorBidi" w:hAnsiTheme="majorBidi" w:cstheme="majorBidi"/>
                <w:sz w:val="24"/>
                <w:szCs w:val="24"/>
              </w:rPr>
              <w:footnoteReference w:id="286"/>
            </w:r>
          </w:p>
        </w:tc>
      </w:tr>
      <w:tr w:rsidR="00C17C0F" w:rsidRPr="00F24C06" w14:paraId="5405F14A" w14:textId="77777777" w:rsidTr="00CD23AA">
        <w:tc>
          <w:tcPr>
            <w:tcW w:w="0" w:type="auto"/>
          </w:tcPr>
          <w:p w14:paraId="69F24B93" w14:textId="1B4A4A5F" w:rsidR="00C17C0F" w:rsidRPr="00F24C06" w:rsidRDefault="00C17C0F" w:rsidP="00C17C0F">
            <w:pPr>
              <w:spacing w:line="360" w:lineRule="auto"/>
              <w:rPr>
                <w:rFonts w:asciiTheme="majorBidi" w:hAnsiTheme="majorBidi" w:cstheme="majorBidi"/>
                <w:sz w:val="24"/>
                <w:szCs w:val="24"/>
              </w:rPr>
            </w:pPr>
            <w:r w:rsidRPr="00E70F91">
              <w:rPr>
                <w:rFonts w:asciiTheme="majorBidi" w:hAnsiTheme="majorBidi" w:cstheme="majorBidi"/>
                <w:sz w:val="24"/>
                <w:szCs w:val="24"/>
              </w:rPr>
              <w:t>Year 32 (652-3)</w:t>
            </w:r>
          </w:p>
        </w:tc>
        <w:tc>
          <w:tcPr>
            <w:tcW w:w="0" w:type="auto"/>
          </w:tcPr>
          <w:p w14:paraId="0F4A27D0" w14:textId="0C13E27A" w:rsidR="00C17C0F" w:rsidRPr="00F24C06" w:rsidRDefault="00C17C0F" w:rsidP="00C17C0F">
            <w:pPr>
              <w:spacing w:line="360" w:lineRule="auto"/>
              <w:rPr>
                <w:rFonts w:asciiTheme="majorBidi" w:hAnsiTheme="majorBidi" w:cstheme="majorBidi"/>
                <w:sz w:val="24"/>
                <w:szCs w:val="24"/>
              </w:rPr>
            </w:pPr>
            <w:r>
              <w:rPr>
                <w:rFonts w:asciiTheme="majorBidi" w:hAnsiTheme="majorBidi" w:cstheme="majorBidi"/>
                <w:sz w:val="24"/>
                <w:szCs w:val="24"/>
              </w:rPr>
              <w:t>A</w:t>
            </w:r>
            <w:r w:rsidRPr="00E70F91">
              <w:rPr>
                <w:rFonts w:asciiTheme="majorBidi" w:hAnsiTheme="majorBidi" w:cstheme="majorBidi"/>
                <w:sz w:val="24"/>
                <w:szCs w:val="24"/>
              </w:rPr>
              <w:t xml:space="preserve">l-Aḥnaf </w:t>
            </w:r>
            <w:r>
              <w:rPr>
                <w:rFonts w:asciiTheme="majorBidi" w:hAnsiTheme="majorBidi" w:cstheme="majorBidi"/>
                <w:sz w:val="24"/>
                <w:szCs w:val="24"/>
              </w:rPr>
              <w:t xml:space="preserve">b. al-Qays conquered </w:t>
            </w:r>
            <w:r w:rsidRPr="00E70F91">
              <w:rPr>
                <w:rFonts w:asciiTheme="majorBidi" w:hAnsiTheme="majorBidi" w:cstheme="majorBidi"/>
                <w:sz w:val="24"/>
                <w:szCs w:val="24"/>
              </w:rPr>
              <w:t>Marw</w:t>
            </w:r>
            <w:r>
              <w:rPr>
                <w:rFonts w:asciiTheme="majorBidi" w:hAnsiTheme="majorBidi" w:cstheme="majorBidi"/>
                <w:sz w:val="24"/>
                <w:szCs w:val="24"/>
              </w:rPr>
              <w:t xml:space="preserve"> al-R</w:t>
            </w:r>
            <w:r w:rsidRPr="00E70F91">
              <w:rPr>
                <w:rFonts w:asciiTheme="majorBidi" w:hAnsiTheme="majorBidi" w:cstheme="majorBidi"/>
                <w:sz w:val="24"/>
                <w:szCs w:val="24"/>
              </w:rPr>
              <w:t>ūd</w:t>
            </w:r>
            <w:r>
              <w:rPr>
                <w:rFonts w:asciiTheme="majorBidi" w:hAnsiTheme="majorBidi" w:cstheme="majorBidi"/>
                <w:sz w:val="24"/>
                <w:szCs w:val="24"/>
              </w:rPr>
              <w:t xml:space="preserve">, Tālaqān, Fāryāb, Gūzgūn, </w:t>
            </w:r>
            <w:r w:rsidRPr="00E70F91">
              <w:rPr>
                <w:rFonts w:asciiTheme="majorBidi" w:hAnsiTheme="majorBidi" w:cstheme="majorBidi"/>
                <w:sz w:val="24"/>
                <w:szCs w:val="24"/>
              </w:rPr>
              <w:t>Herāt and Bādghīs</w:t>
            </w:r>
            <w:r>
              <w:rPr>
                <w:rFonts w:asciiTheme="majorBidi" w:hAnsiTheme="majorBidi" w:cstheme="majorBidi"/>
                <w:sz w:val="24"/>
                <w:szCs w:val="24"/>
              </w:rPr>
              <w:t>, and made peace with Balkh under a tribute of 400,000 dirhams.</w:t>
            </w:r>
          </w:p>
        </w:tc>
        <w:tc>
          <w:tcPr>
            <w:tcW w:w="0" w:type="auto"/>
          </w:tcPr>
          <w:p w14:paraId="2AE60F23" w14:textId="71E40C21" w:rsidR="00C17C0F" w:rsidRPr="00F24C06" w:rsidRDefault="00C17C0F" w:rsidP="00C17C0F">
            <w:pPr>
              <w:spacing w:line="360" w:lineRule="auto"/>
              <w:rPr>
                <w:rFonts w:asciiTheme="majorBidi" w:hAnsiTheme="majorBidi" w:cstheme="majorBidi"/>
                <w:sz w:val="24"/>
                <w:szCs w:val="24"/>
              </w:rPr>
            </w:pPr>
            <w:r w:rsidRPr="00E70F91">
              <w:rPr>
                <w:rFonts w:asciiTheme="majorBidi" w:hAnsiTheme="majorBidi" w:cstheme="majorBidi"/>
                <w:sz w:val="24"/>
                <w:szCs w:val="24"/>
              </w:rPr>
              <w:t>ʿAbdallāh ibn ʿĀmir</w:t>
            </w:r>
            <w:r>
              <w:rPr>
                <w:rFonts w:asciiTheme="majorBidi" w:hAnsiTheme="majorBidi" w:cstheme="majorBidi"/>
                <w:sz w:val="24"/>
                <w:szCs w:val="24"/>
              </w:rPr>
              <w:t xml:space="preserve"> (647-656)</w:t>
            </w:r>
          </w:p>
        </w:tc>
        <w:tc>
          <w:tcPr>
            <w:tcW w:w="0" w:type="auto"/>
          </w:tcPr>
          <w:p w14:paraId="56DF6A82" w14:textId="54B23577" w:rsidR="00C17C0F" w:rsidRPr="00F24C06" w:rsidRDefault="00C17C0F" w:rsidP="00C17C0F">
            <w:pPr>
              <w:spacing w:line="360" w:lineRule="auto"/>
              <w:rPr>
                <w:rFonts w:asciiTheme="majorBidi" w:hAnsiTheme="majorBidi" w:cstheme="majorBidi"/>
                <w:sz w:val="24"/>
                <w:szCs w:val="24"/>
              </w:rPr>
            </w:pPr>
            <w:r>
              <w:rPr>
                <w:rFonts w:asciiTheme="majorBidi" w:hAnsiTheme="majorBidi" w:cstheme="majorBidi"/>
                <w:sz w:val="24"/>
                <w:szCs w:val="24"/>
              </w:rPr>
              <w:t xml:space="preserve">2001, vol. 2, pp. 630-2; </w:t>
            </w:r>
            <w:r>
              <w:rPr>
                <w:rFonts w:asciiTheme="majorBidi" w:hAnsiTheme="majorBidi" w:cstheme="majorBidi"/>
                <w:sz w:val="20"/>
                <w:szCs w:val="20"/>
              </w:rPr>
              <w:t>tr.</w:t>
            </w:r>
            <w:r>
              <w:rPr>
                <w:rFonts w:asciiTheme="majorBidi" w:hAnsiTheme="majorBidi" w:cstheme="majorBidi"/>
                <w:sz w:val="24"/>
                <w:szCs w:val="24"/>
              </w:rPr>
              <w:t>, vol.</w:t>
            </w:r>
            <w:r w:rsidRPr="00E70F91">
              <w:rPr>
                <w:rFonts w:asciiTheme="majorBidi" w:hAnsiTheme="majorBidi" w:cstheme="majorBidi"/>
                <w:sz w:val="24"/>
                <w:szCs w:val="24"/>
              </w:rPr>
              <w:t xml:space="preserve"> XV, pp. 102-1</w:t>
            </w:r>
            <w:r>
              <w:rPr>
                <w:rFonts w:asciiTheme="majorBidi" w:hAnsiTheme="majorBidi" w:cstheme="majorBidi"/>
                <w:sz w:val="24"/>
                <w:szCs w:val="24"/>
              </w:rPr>
              <w:t>0</w:t>
            </w:r>
            <w:r>
              <w:rPr>
                <w:rStyle w:val="FootnoteReference"/>
                <w:rFonts w:asciiTheme="majorBidi" w:hAnsiTheme="majorBidi" w:cstheme="majorBidi"/>
                <w:sz w:val="24"/>
                <w:szCs w:val="24"/>
              </w:rPr>
              <w:footnoteReference w:id="287"/>
            </w:r>
          </w:p>
        </w:tc>
      </w:tr>
      <w:tr w:rsidR="00C17C0F" w:rsidRPr="00F24C06" w14:paraId="7EDB2AAA" w14:textId="77777777" w:rsidTr="00CD23AA">
        <w:tc>
          <w:tcPr>
            <w:tcW w:w="0" w:type="auto"/>
          </w:tcPr>
          <w:p w14:paraId="1F4A0F40" w14:textId="1E5B7E4D" w:rsidR="00C17C0F" w:rsidRPr="00F24C06" w:rsidRDefault="00C17C0F" w:rsidP="00C17C0F">
            <w:pPr>
              <w:spacing w:line="360" w:lineRule="auto"/>
              <w:rPr>
                <w:rFonts w:asciiTheme="majorBidi" w:hAnsiTheme="majorBidi" w:cstheme="majorBidi"/>
                <w:sz w:val="24"/>
                <w:szCs w:val="24"/>
              </w:rPr>
            </w:pPr>
            <w:r w:rsidRPr="00E70F91">
              <w:rPr>
                <w:rFonts w:asciiTheme="majorBidi" w:hAnsiTheme="majorBidi" w:cstheme="majorBidi"/>
                <w:sz w:val="24"/>
                <w:szCs w:val="24"/>
              </w:rPr>
              <w:t>Year 33 (653-4)</w:t>
            </w:r>
          </w:p>
        </w:tc>
        <w:tc>
          <w:tcPr>
            <w:tcW w:w="0" w:type="auto"/>
          </w:tcPr>
          <w:p w14:paraId="7737C78A" w14:textId="37091189" w:rsidR="00C17C0F" w:rsidRPr="00F24C06" w:rsidRDefault="00C17C0F" w:rsidP="00C17C0F">
            <w:pPr>
              <w:spacing w:line="360" w:lineRule="auto"/>
              <w:rPr>
                <w:rFonts w:asciiTheme="majorBidi" w:hAnsiTheme="majorBidi" w:cstheme="majorBidi"/>
                <w:sz w:val="24"/>
                <w:szCs w:val="24"/>
              </w:rPr>
            </w:pPr>
            <w:r>
              <w:rPr>
                <w:rFonts w:asciiTheme="majorBidi" w:hAnsiTheme="majorBidi" w:cstheme="majorBidi"/>
                <w:sz w:val="24"/>
                <w:szCs w:val="24"/>
              </w:rPr>
              <w:t>A</w:t>
            </w:r>
            <w:r w:rsidRPr="00E70F91">
              <w:rPr>
                <w:rFonts w:asciiTheme="majorBidi" w:hAnsiTheme="majorBidi" w:cstheme="majorBidi"/>
                <w:sz w:val="24"/>
                <w:szCs w:val="24"/>
              </w:rPr>
              <w:t xml:space="preserve">l-Aḥnaf </w:t>
            </w:r>
            <w:r>
              <w:rPr>
                <w:rFonts w:asciiTheme="majorBidi" w:hAnsiTheme="majorBidi" w:cstheme="majorBidi"/>
                <w:sz w:val="24"/>
                <w:szCs w:val="24"/>
              </w:rPr>
              <w:t xml:space="preserve">was </w:t>
            </w:r>
            <w:r w:rsidRPr="00E70F91">
              <w:rPr>
                <w:rFonts w:asciiTheme="majorBidi" w:hAnsiTheme="majorBidi" w:cstheme="majorBidi"/>
                <w:sz w:val="24"/>
                <w:szCs w:val="24"/>
              </w:rPr>
              <w:t xml:space="preserve">sent to Khurasan to crush rebellions in </w:t>
            </w:r>
            <w:r>
              <w:rPr>
                <w:rFonts w:asciiTheme="majorBidi" w:hAnsiTheme="majorBidi" w:cstheme="majorBidi"/>
                <w:sz w:val="24"/>
                <w:szCs w:val="24"/>
              </w:rPr>
              <w:t xml:space="preserve">Nīshāpūr, </w:t>
            </w:r>
            <w:r w:rsidRPr="00E70F91">
              <w:rPr>
                <w:rFonts w:asciiTheme="majorBidi" w:hAnsiTheme="majorBidi" w:cstheme="majorBidi"/>
                <w:sz w:val="24"/>
                <w:szCs w:val="24"/>
              </w:rPr>
              <w:t>Marw</w:t>
            </w:r>
            <w:r>
              <w:rPr>
                <w:rFonts w:asciiTheme="majorBidi" w:hAnsiTheme="majorBidi" w:cstheme="majorBidi"/>
                <w:sz w:val="24"/>
                <w:szCs w:val="24"/>
              </w:rPr>
              <w:t xml:space="preserve">, </w:t>
            </w:r>
            <w:r w:rsidRPr="00E70F91">
              <w:rPr>
                <w:rFonts w:asciiTheme="majorBidi" w:hAnsiTheme="majorBidi" w:cstheme="majorBidi"/>
                <w:sz w:val="24"/>
                <w:szCs w:val="24"/>
              </w:rPr>
              <w:t>and Marw</w:t>
            </w:r>
            <w:r>
              <w:rPr>
                <w:rFonts w:asciiTheme="majorBidi" w:hAnsiTheme="majorBidi" w:cstheme="majorBidi"/>
                <w:sz w:val="24"/>
                <w:szCs w:val="24"/>
              </w:rPr>
              <w:t xml:space="preserve"> al-R</w:t>
            </w:r>
            <w:r w:rsidRPr="00E70F91">
              <w:rPr>
                <w:rFonts w:asciiTheme="majorBidi" w:hAnsiTheme="majorBidi" w:cstheme="majorBidi"/>
                <w:sz w:val="24"/>
                <w:szCs w:val="24"/>
              </w:rPr>
              <w:t>ūd</w:t>
            </w:r>
            <w:r>
              <w:rPr>
                <w:rFonts w:asciiTheme="majorBidi" w:hAnsiTheme="majorBidi" w:cstheme="majorBidi"/>
                <w:sz w:val="24"/>
                <w:szCs w:val="24"/>
              </w:rPr>
              <w:t>.</w:t>
            </w:r>
          </w:p>
        </w:tc>
        <w:tc>
          <w:tcPr>
            <w:tcW w:w="0" w:type="auto"/>
          </w:tcPr>
          <w:p w14:paraId="31EEE94D" w14:textId="71F28C22" w:rsidR="00C17C0F" w:rsidRPr="00F24C06" w:rsidRDefault="00C17C0F" w:rsidP="00C17C0F">
            <w:pPr>
              <w:spacing w:line="360" w:lineRule="auto"/>
              <w:rPr>
                <w:rFonts w:asciiTheme="majorBidi" w:hAnsiTheme="majorBidi" w:cstheme="majorBidi"/>
                <w:sz w:val="24"/>
                <w:szCs w:val="24"/>
              </w:rPr>
            </w:pPr>
            <w:r w:rsidRPr="00E70F91">
              <w:rPr>
                <w:rFonts w:asciiTheme="majorBidi" w:hAnsiTheme="majorBidi" w:cstheme="majorBidi"/>
                <w:sz w:val="24"/>
                <w:szCs w:val="24"/>
              </w:rPr>
              <w:t>ʿAbdallāh ibn ʿĀmir</w:t>
            </w:r>
          </w:p>
        </w:tc>
        <w:tc>
          <w:tcPr>
            <w:tcW w:w="0" w:type="auto"/>
          </w:tcPr>
          <w:p w14:paraId="357905AA" w14:textId="00F6EC9E" w:rsidR="00C17C0F" w:rsidRPr="00F24C06" w:rsidRDefault="00C17C0F" w:rsidP="00C17C0F">
            <w:pPr>
              <w:spacing w:line="360" w:lineRule="auto"/>
              <w:rPr>
                <w:rFonts w:asciiTheme="majorBidi" w:hAnsiTheme="majorBidi" w:cstheme="majorBidi"/>
                <w:sz w:val="24"/>
                <w:szCs w:val="24"/>
              </w:rPr>
            </w:pPr>
            <w:r>
              <w:rPr>
                <w:rFonts w:asciiTheme="majorBidi" w:hAnsiTheme="majorBidi" w:cstheme="majorBidi"/>
                <w:sz w:val="24"/>
                <w:szCs w:val="24"/>
              </w:rPr>
              <w:t xml:space="preserve">2001, vol. 2, p. 634; </w:t>
            </w:r>
            <w:r w:rsidRPr="00C82407">
              <w:rPr>
                <w:rFonts w:asciiTheme="majorBidi" w:hAnsiTheme="majorBidi" w:cstheme="majorBidi"/>
                <w:sz w:val="24"/>
                <w:szCs w:val="24"/>
              </w:rPr>
              <w:t>tr.</w:t>
            </w:r>
            <w:r>
              <w:rPr>
                <w:rFonts w:asciiTheme="majorBidi" w:hAnsiTheme="majorBidi" w:cstheme="majorBidi"/>
                <w:sz w:val="24"/>
                <w:szCs w:val="24"/>
              </w:rPr>
              <w:t>, vol.</w:t>
            </w:r>
            <w:r w:rsidRPr="00E70F91">
              <w:rPr>
                <w:rFonts w:asciiTheme="majorBidi" w:hAnsiTheme="majorBidi" w:cstheme="majorBidi"/>
                <w:sz w:val="24"/>
                <w:szCs w:val="24"/>
              </w:rPr>
              <w:t xml:space="preserve"> XV, pp. 111</w:t>
            </w:r>
            <w:r>
              <w:rPr>
                <w:rStyle w:val="FootnoteReference"/>
                <w:rFonts w:asciiTheme="majorBidi" w:hAnsiTheme="majorBidi" w:cstheme="majorBidi"/>
                <w:sz w:val="24"/>
                <w:szCs w:val="24"/>
              </w:rPr>
              <w:footnoteReference w:id="288"/>
            </w:r>
          </w:p>
        </w:tc>
      </w:tr>
      <w:tr w:rsidR="00C17C0F" w:rsidRPr="00F24C06" w14:paraId="79F80CB4" w14:textId="77777777" w:rsidTr="00CD23AA">
        <w:tc>
          <w:tcPr>
            <w:tcW w:w="0" w:type="auto"/>
          </w:tcPr>
          <w:p w14:paraId="782B2877" w14:textId="7D146DD3" w:rsidR="00C17C0F" w:rsidRPr="00F24C06" w:rsidRDefault="00C17C0F" w:rsidP="00C17C0F">
            <w:pPr>
              <w:spacing w:line="360" w:lineRule="auto"/>
              <w:rPr>
                <w:rFonts w:asciiTheme="majorBidi" w:hAnsiTheme="majorBidi" w:cstheme="majorBidi"/>
                <w:sz w:val="24"/>
                <w:szCs w:val="24"/>
              </w:rPr>
            </w:pPr>
            <w:r w:rsidRPr="00E70F91">
              <w:rPr>
                <w:rFonts w:asciiTheme="majorBidi" w:hAnsiTheme="majorBidi" w:cstheme="majorBidi"/>
                <w:sz w:val="24"/>
                <w:szCs w:val="24"/>
              </w:rPr>
              <w:t>Year 37 (657-8)</w:t>
            </w:r>
          </w:p>
        </w:tc>
        <w:tc>
          <w:tcPr>
            <w:tcW w:w="0" w:type="auto"/>
          </w:tcPr>
          <w:p w14:paraId="2ABC4695" w14:textId="13C63247" w:rsidR="00C17C0F" w:rsidRPr="00F24C06" w:rsidRDefault="00C17C0F" w:rsidP="00C17C0F">
            <w:pPr>
              <w:spacing w:line="360" w:lineRule="auto"/>
              <w:rPr>
                <w:rFonts w:asciiTheme="majorBidi" w:hAnsiTheme="majorBidi" w:cstheme="majorBidi"/>
                <w:sz w:val="24"/>
                <w:szCs w:val="24"/>
              </w:rPr>
            </w:pPr>
            <w:r w:rsidRPr="00E70F91">
              <w:rPr>
                <w:rFonts w:asciiTheme="majorBidi" w:hAnsiTheme="majorBidi" w:cstheme="majorBidi"/>
                <w:sz w:val="24"/>
                <w:szCs w:val="24"/>
              </w:rPr>
              <w:t xml:space="preserve">Khulayd b. Qurrah al-Yarbūʿī sent by ʿAlī to crush rebellion in </w:t>
            </w:r>
            <w:r>
              <w:rPr>
                <w:rFonts w:asciiTheme="majorBidi" w:hAnsiTheme="majorBidi" w:cstheme="majorBidi"/>
                <w:sz w:val="24"/>
                <w:szCs w:val="24"/>
              </w:rPr>
              <w:t>Nīshāpūr</w:t>
            </w:r>
            <w:r w:rsidRPr="00E70F91">
              <w:rPr>
                <w:rFonts w:asciiTheme="majorBidi" w:hAnsiTheme="majorBidi" w:cstheme="majorBidi"/>
                <w:sz w:val="24"/>
                <w:szCs w:val="24"/>
              </w:rPr>
              <w:t xml:space="preserve"> and Marw</w:t>
            </w:r>
            <w:r>
              <w:rPr>
                <w:rFonts w:asciiTheme="majorBidi" w:hAnsiTheme="majorBidi" w:cstheme="majorBidi"/>
                <w:sz w:val="24"/>
                <w:szCs w:val="24"/>
              </w:rPr>
              <w:t>.</w:t>
            </w:r>
          </w:p>
        </w:tc>
        <w:tc>
          <w:tcPr>
            <w:tcW w:w="0" w:type="auto"/>
          </w:tcPr>
          <w:p w14:paraId="13EC8498" w14:textId="358377FB" w:rsidR="00C17C0F" w:rsidRPr="00F24C06" w:rsidRDefault="00C17C0F" w:rsidP="00C17C0F">
            <w:pPr>
              <w:spacing w:line="360" w:lineRule="auto"/>
              <w:rPr>
                <w:rFonts w:asciiTheme="majorBidi" w:hAnsiTheme="majorBidi" w:cstheme="majorBidi"/>
                <w:sz w:val="24"/>
                <w:szCs w:val="24"/>
              </w:rPr>
            </w:pPr>
            <w:r>
              <w:rPr>
                <w:rFonts w:asciiTheme="majorBidi" w:hAnsiTheme="majorBidi" w:cstheme="majorBidi"/>
                <w:sz w:val="24"/>
                <w:szCs w:val="24"/>
              </w:rPr>
              <w:t>Khulayd b. Qurrah al-</w:t>
            </w:r>
            <w:proofErr w:type="gramStart"/>
            <w:r>
              <w:rPr>
                <w:rFonts w:asciiTheme="majorBidi" w:hAnsiTheme="majorBidi" w:cstheme="majorBidi"/>
                <w:sz w:val="24"/>
                <w:szCs w:val="24"/>
              </w:rPr>
              <w:t>Yarbū‘</w:t>
            </w:r>
            <w:proofErr w:type="gramEnd"/>
            <w:r>
              <w:rPr>
                <w:rFonts w:asciiTheme="majorBidi" w:hAnsiTheme="majorBidi" w:cstheme="majorBidi"/>
                <w:sz w:val="24"/>
                <w:szCs w:val="24"/>
              </w:rPr>
              <w:t>ī</w:t>
            </w:r>
          </w:p>
        </w:tc>
        <w:tc>
          <w:tcPr>
            <w:tcW w:w="0" w:type="auto"/>
          </w:tcPr>
          <w:p w14:paraId="73A7731D" w14:textId="0F9E95C7" w:rsidR="00C17C0F" w:rsidRPr="00F24C06" w:rsidRDefault="00C17C0F" w:rsidP="00C17C0F">
            <w:pPr>
              <w:spacing w:line="360" w:lineRule="auto"/>
              <w:rPr>
                <w:rFonts w:asciiTheme="majorBidi" w:hAnsiTheme="majorBidi" w:cstheme="majorBidi"/>
                <w:sz w:val="24"/>
                <w:szCs w:val="24"/>
              </w:rPr>
            </w:pPr>
            <w:r>
              <w:rPr>
                <w:rFonts w:asciiTheme="majorBidi" w:hAnsiTheme="majorBidi" w:cstheme="majorBidi"/>
                <w:sz w:val="24"/>
                <w:szCs w:val="24"/>
              </w:rPr>
              <w:t>2001, vol. 3, p. 109;</w:t>
            </w:r>
            <w:r>
              <w:rPr>
                <w:rFonts w:asciiTheme="majorBidi" w:hAnsiTheme="majorBidi" w:cstheme="majorBidi"/>
                <w:sz w:val="20"/>
                <w:szCs w:val="20"/>
              </w:rPr>
              <w:t xml:space="preserve"> </w:t>
            </w:r>
            <w:r w:rsidRPr="00C82407">
              <w:rPr>
                <w:rFonts w:asciiTheme="majorBidi" w:hAnsiTheme="majorBidi" w:cstheme="majorBidi"/>
                <w:sz w:val="24"/>
                <w:szCs w:val="24"/>
              </w:rPr>
              <w:t>tr.</w:t>
            </w:r>
            <w:r>
              <w:rPr>
                <w:rFonts w:asciiTheme="majorBidi" w:hAnsiTheme="majorBidi" w:cstheme="majorBidi"/>
                <w:sz w:val="24"/>
                <w:szCs w:val="24"/>
              </w:rPr>
              <w:t>, v</w:t>
            </w:r>
            <w:r w:rsidRPr="00E70F91">
              <w:rPr>
                <w:rFonts w:asciiTheme="majorBidi" w:hAnsiTheme="majorBidi" w:cstheme="majorBidi"/>
                <w:sz w:val="24"/>
                <w:szCs w:val="24"/>
              </w:rPr>
              <w:t>ol</w:t>
            </w:r>
            <w:r>
              <w:rPr>
                <w:rFonts w:asciiTheme="majorBidi" w:hAnsiTheme="majorBidi" w:cstheme="majorBidi"/>
                <w:sz w:val="24"/>
                <w:szCs w:val="24"/>
              </w:rPr>
              <w:t>.</w:t>
            </w:r>
            <w:r w:rsidRPr="00E70F91">
              <w:rPr>
                <w:rFonts w:asciiTheme="majorBidi" w:hAnsiTheme="majorBidi" w:cstheme="majorBidi"/>
                <w:sz w:val="24"/>
                <w:szCs w:val="24"/>
              </w:rPr>
              <w:t xml:space="preserve"> XVII, pp. 99-100</w:t>
            </w:r>
            <w:r>
              <w:rPr>
                <w:rStyle w:val="FootnoteReference"/>
                <w:rFonts w:asciiTheme="majorBidi" w:hAnsiTheme="majorBidi" w:cstheme="majorBidi"/>
                <w:sz w:val="24"/>
                <w:szCs w:val="24"/>
              </w:rPr>
              <w:footnoteReference w:id="289"/>
            </w:r>
          </w:p>
        </w:tc>
      </w:tr>
      <w:tr w:rsidR="00C17C0F" w:rsidRPr="00F24C06" w14:paraId="76C86AD0" w14:textId="77777777" w:rsidTr="00CD23AA">
        <w:tc>
          <w:tcPr>
            <w:tcW w:w="0" w:type="auto"/>
          </w:tcPr>
          <w:p w14:paraId="61C2AE46" w14:textId="4DA4D0CE" w:rsidR="00C17C0F" w:rsidRPr="00F24C06" w:rsidRDefault="00C17C0F" w:rsidP="00C17C0F">
            <w:pPr>
              <w:spacing w:line="360" w:lineRule="auto"/>
              <w:rPr>
                <w:rFonts w:asciiTheme="majorBidi" w:hAnsiTheme="majorBidi" w:cstheme="majorBidi"/>
                <w:sz w:val="24"/>
                <w:szCs w:val="24"/>
              </w:rPr>
            </w:pPr>
            <w:r w:rsidRPr="00E70F91">
              <w:rPr>
                <w:rFonts w:asciiTheme="majorBidi" w:hAnsiTheme="majorBidi" w:cstheme="majorBidi"/>
                <w:sz w:val="24"/>
                <w:szCs w:val="24"/>
              </w:rPr>
              <w:lastRenderedPageBreak/>
              <w:t>Year 39 (659-</w:t>
            </w:r>
            <w:r>
              <w:rPr>
                <w:rFonts w:asciiTheme="majorBidi" w:hAnsiTheme="majorBidi" w:cstheme="majorBidi"/>
                <w:sz w:val="24"/>
                <w:szCs w:val="24"/>
              </w:rPr>
              <w:t>6</w:t>
            </w:r>
            <w:r w:rsidRPr="00E70F91">
              <w:rPr>
                <w:rFonts w:asciiTheme="majorBidi" w:hAnsiTheme="majorBidi" w:cstheme="majorBidi"/>
                <w:sz w:val="24"/>
                <w:szCs w:val="24"/>
              </w:rPr>
              <w:t>0)</w:t>
            </w:r>
          </w:p>
        </w:tc>
        <w:tc>
          <w:tcPr>
            <w:tcW w:w="0" w:type="auto"/>
          </w:tcPr>
          <w:p w14:paraId="46EB4946" w14:textId="77777777" w:rsidR="00C17C0F" w:rsidRPr="00E70F91" w:rsidRDefault="00C17C0F" w:rsidP="00C17C0F">
            <w:pPr>
              <w:spacing w:line="360" w:lineRule="auto"/>
              <w:jc w:val="left"/>
              <w:rPr>
                <w:rFonts w:asciiTheme="majorBidi" w:hAnsiTheme="majorBidi" w:cstheme="majorBidi"/>
                <w:sz w:val="24"/>
                <w:szCs w:val="24"/>
              </w:rPr>
            </w:pPr>
            <w:r w:rsidRPr="00E70F91">
              <w:rPr>
                <w:rFonts w:asciiTheme="majorBidi" w:hAnsiTheme="majorBidi" w:cstheme="majorBidi"/>
                <w:sz w:val="24"/>
                <w:szCs w:val="24"/>
              </w:rPr>
              <w:t>Ziyād sent by ʿAlī to Fārs and Kirmān, and he subjugated those lands and restored order</w:t>
            </w:r>
            <w:r>
              <w:rPr>
                <w:rFonts w:asciiTheme="majorBidi" w:hAnsiTheme="majorBidi" w:cstheme="majorBidi"/>
                <w:sz w:val="24"/>
                <w:szCs w:val="24"/>
              </w:rPr>
              <w:t>.</w:t>
            </w:r>
          </w:p>
          <w:p w14:paraId="04A48F12" w14:textId="77777777" w:rsidR="00C17C0F" w:rsidRPr="00F24C06" w:rsidRDefault="00C17C0F" w:rsidP="00C17C0F">
            <w:pPr>
              <w:spacing w:line="360" w:lineRule="auto"/>
              <w:rPr>
                <w:rFonts w:asciiTheme="majorBidi" w:hAnsiTheme="majorBidi" w:cstheme="majorBidi"/>
                <w:sz w:val="24"/>
                <w:szCs w:val="24"/>
              </w:rPr>
            </w:pPr>
          </w:p>
        </w:tc>
        <w:tc>
          <w:tcPr>
            <w:tcW w:w="0" w:type="auto"/>
          </w:tcPr>
          <w:p w14:paraId="38115EA3" w14:textId="77777777" w:rsidR="00C17C0F" w:rsidRPr="00F24C06" w:rsidRDefault="00C17C0F" w:rsidP="00C17C0F">
            <w:pPr>
              <w:spacing w:line="360" w:lineRule="auto"/>
              <w:rPr>
                <w:rFonts w:asciiTheme="majorBidi" w:hAnsiTheme="majorBidi" w:cstheme="majorBidi"/>
                <w:sz w:val="24"/>
                <w:szCs w:val="24"/>
              </w:rPr>
            </w:pPr>
          </w:p>
        </w:tc>
        <w:tc>
          <w:tcPr>
            <w:tcW w:w="0" w:type="auto"/>
          </w:tcPr>
          <w:p w14:paraId="0D68566E" w14:textId="4B66E57C" w:rsidR="00C17C0F" w:rsidRPr="00F24C06" w:rsidRDefault="00C17C0F" w:rsidP="00C17C0F">
            <w:pPr>
              <w:spacing w:line="360" w:lineRule="auto"/>
              <w:rPr>
                <w:rFonts w:asciiTheme="majorBidi" w:hAnsiTheme="majorBidi" w:cstheme="majorBidi"/>
                <w:sz w:val="24"/>
                <w:szCs w:val="24"/>
              </w:rPr>
            </w:pPr>
            <w:r>
              <w:rPr>
                <w:rFonts w:asciiTheme="majorBidi" w:hAnsiTheme="majorBidi" w:cstheme="majorBidi"/>
                <w:sz w:val="24"/>
                <w:szCs w:val="24"/>
              </w:rPr>
              <w:t>2001, vol. 3, p. 151-2;</w:t>
            </w:r>
            <w:r>
              <w:rPr>
                <w:rFonts w:asciiTheme="majorBidi" w:hAnsiTheme="majorBidi" w:cstheme="majorBidi"/>
                <w:sz w:val="20"/>
                <w:szCs w:val="20"/>
              </w:rPr>
              <w:t xml:space="preserve"> </w:t>
            </w:r>
            <w:r w:rsidRPr="00C82407">
              <w:rPr>
                <w:rFonts w:asciiTheme="majorBidi" w:hAnsiTheme="majorBidi" w:cstheme="majorBidi"/>
                <w:sz w:val="24"/>
                <w:szCs w:val="24"/>
              </w:rPr>
              <w:t>tr.</w:t>
            </w:r>
            <w:r>
              <w:rPr>
                <w:rFonts w:asciiTheme="majorBidi" w:hAnsiTheme="majorBidi" w:cstheme="majorBidi"/>
                <w:sz w:val="24"/>
                <w:szCs w:val="24"/>
              </w:rPr>
              <w:t>, v</w:t>
            </w:r>
            <w:r w:rsidRPr="00E70F91">
              <w:rPr>
                <w:rFonts w:asciiTheme="majorBidi" w:hAnsiTheme="majorBidi" w:cstheme="majorBidi"/>
                <w:sz w:val="24"/>
                <w:szCs w:val="24"/>
              </w:rPr>
              <w:t>ol</w:t>
            </w:r>
            <w:r>
              <w:rPr>
                <w:rFonts w:asciiTheme="majorBidi" w:hAnsiTheme="majorBidi" w:cstheme="majorBidi"/>
                <w:sz w:val="24"/>
                <w:szCs w:val="24"/>
              </w:rPr>
              <w:t>.</w:t>
            </w:r>
            <w:r w:rsidRPr="00E70F91">
              <w:rPr>
                <w:rFonts w:asciiTheme="majorBidi" w:hAnsiTheme="majorBidi" w:cstheme="majorBidi"/>
                <w:sz w:val="24"/>
                <w:szCs w:val="24"/>
              </w:rPr>
              <w:t xml:space="preserve"> XVII, pp. 203-205</w:t>
            </w:r>
            <w:r>
              <w:rPr>
                <w:rStyle w:val="FootnoteReference"/>
                <w:rFonts w:asciiTheme="majorBidi" w:hAnsiTheme="majorBidi" w:cstheme="majorBidi"/>
                <w:sz w:val="24"/>
                <w:szCs w:val="24"/>
              </w:rPr>
              <w:footnoteReference w:id="290"/>
            </w:r>
          </w:p>
        </w:tc>
      </w:tr>
      <w:tr w:rsidR="00C17C0F" w:rsidRPr="00F24C06" w14:paraId="575BD4FD" w14:textId="77777777" w:rsidTr="00CD23AA">
        <w:tc>
          <w:tcPr>
            <w:tcW w:w="0" w:type="auto"/>
          </w:tcPr>
          <w:p w14:paraId="2C3A87BC" w14:textId="4E3CB1BF" w:rsidR="00C17C0F" w:rsidRPr="00F24C06" w:rsidRDefault="00C17C0F" w:rsidP="00C17C0F">
            <w:pPr>
              <w:spacing w:line="360" w:lineRule="auto"/>
              <w:rPr>
                <w:rFonts w:asciiTheme="majorBidi" w:hAnsiTheme="majorBidi" w:cstheme="majorBidi"/>
                <w:sz w:val="24"/>
                <w:szCs w:val="24"/>
              </w:rPr>
            </w:pPr>
            <w:r w:rsidRPr="00E70F91">
              <w:rPr>
                <w:rFonts w:asciiTheme="majorBidi" w:hAnsiTheme="majorBidi" w:cstheme="majorBidi"/>
                <w:sz w:val="24"/>
                <w:szCs w:val="24"/>
              </w:rPr>
              <w:t>Year 43 (663-4)</w:t>
            </w:r>
          </w:p>
        </w:tc>
        <w:tc>
          <w:tcPr>
            <w:tcW w:w="0" w:type="auto"/>
          </w:tcPr>
          <w:p w14:paraId="5C7603B9" w14:textId="097BC6FB" w:rsidR="00C17C0F" w:rsidRPr="00F24C06" w:rsidRDefault="00C17C0F" w:rsidP="00C17C0F">
            <w:pPr>
              <w:spacing w:line="360" w:lineRule="auto"/>
              <w:rPr>
                <w:rFonts w:asciiTheme="majorBidi" w:hAnsiTheme="majorBidi" w:cstheme="majorBidi"/>
                <w:sz w:val="24"/>
                <w:szCs w:val="24"/>
              </w:rPr>
            </w:pPr>
            <w:r w:rsidRPr="00E70F91">
              <w:rPr>
                <w:rFonts w:asciiTheme="majorBidi" w:hAnsiTheme="majorBidi" w:cstheme="majorBidi"/>
                <w:sz w:val="24"/>
                <w:szCs w:val="24"/>
              </w:rPr>
              <w:t xml:space="preserve">Ibn Khāzim led the Arabs to confront the army from </w:t>
            </w:r>
            <w:r>
              <w:rPr>
                <w:rFonts w:asciiTheme="majorBidi" w:hAnsiTheme="majorBidi" w:cstheme="majorBidi"/>
                <w:sz w:val="24"/>
                <w:szCs w:val="24"/>
              </w:rPr>
              <w:t>Ṭukhāristān</w:t>
            </w:r>
            <w:r w:rsidRPr="00E70F91">
              <w:rPr>
                <w:rFonts w:asciiTheme="majorBidi" w:hAnsiTheme="majorBidi" w:cstheme="majorBidi"/>
                <w:sz w:val="24"/>
                <w:szCs w:val="24"/>
              </w:rPr>
              <w:t>, and put them to flight</w:t>
            </w:r>
            <w:r>
              <w:rPr>
                <w:rFonts w:asciiTheme="majorBidi" w:hAnsiTheme="majorBidi" w:cstheme="majorBidi"/>
                <w:sz w:val="24"/>
                <w:szCs w:val="24"/>
              </w:rPr>
              <w:t>.</w:t>
            </w:r>
          </w:p>
        </w:tc>
        <w:tc>
          <w:tcPr>
            <w:tcW w:w="0" w:type="auto"/>
          </w:tcPr>
          <w:p w14:paraId="3679B489" w14:textId="6C8D2F72" w:rsidR="00C17C0F" w:rsidRPr="00F24C06" w:rsidRDefault="00C17C0F" w:rsidP="00C17C0F">
            <w:pPr>
              <w:spacing w:line="360" w:lineRule="auto"/>
              <w:rPr>
                <w:rFonts w:asciiTheme="majorBidi" w:hAnsiTheme="majorBidi" w:cstheme="majorBidi"/>
                <w:sz w:val="24"/>
                <w:szCs w:val="24"/>
              </w:rPr>
            </w:pPr>
            <w:r w:rsidRPr="00E70F91">
              <w:rPr>
                <w:rFonts w:asciiTheme="majorBidi" w:hAnsiTheme="majorBidi" w:cstheme="majorBidi"/>
                <w:sz w:val="24"/>
                <w:szCs w:val="24"/>
              </w:rPr>
              <w:t>ʿAbdallāh ibn ʿĀmir</w:t>
            </w:r>
          </w:p>
        </w:tc>
        <w:tc>
          <w:tcPr>
            <w:tcW w:w="0" w:type="auto"/>
          </w:tcPr>
          <w:p w14:paraId="760FCDEC" w14:textId="5EF65D15" w:rsidR="00C17C0F" w:rsidRPr="00F24C06" w:rsidRDefault="00C17C0F" w:rsidP="00C17C0F">
            <w:pPr>
              <w:spacing w:line="360" w:lineRule="auto"/>
              <w:rPr>
                <w:rFonts w:asciiTheme="majorBidi" w:hAnsiTheme="majorBidi" w:cstheme="majorBidi"/>
                <w:sz w:val="24"/>
                <w:szCs w:val="24"/>
              </w:rPr>
            </w:pPr>
            <w:r>
              <w:rPr>
                <w:rFonts w:asciiTheme="majorBidi" w:hAnsiTheme="majorBidi" w:cstheme="majorBidi"/>
                <w:sz w:val="24"/>
                <w:szCs w:val="24"/>
              </w:rPr>
              <w:t>2001, vol. 3, p. 193;</w:t>
            </w:r>
            <w:r>
              <w:rPr>
                <w:rFonts w:asciiTheme="majorBidi" w:hAnsiTheme="majorBidi" w:cstheme="majorBidi"/>
                <w:sz w:val="20"/>
                <w:szCs w:val="20"/>
              </w:rPr>
              <w:t xml:space="preserve"> </w:t>
            </w:r>
            <w:r w:rsidRPr="00C82407">
              <w:rPr>
                <w:rFonts w:asciiTheme="majorBidi" w:hAnsiTheme="majorBidi" w:cstheme="majorBidi"/>
                <w:sz w:val="24"/>
                <w:szCs w:val="24"/>
              </w:rPr>
              <w:t>tr.</w:t>
            </w:r>
            <w:r>
              <w:rPr>
                <w:rFonts w:asciiTheme="majorBidi" w:hAnsiTheme="majorBidi" w:cstheme="majorBidi"/>
                <w:sz w:val="24"/>
                <w:szCs w:val="24"/>
              </w:rPr>
              <w:t>, v</w:t>
            </w:r>
            <w:r w:rsidRPr="00E70F91">
              <w:rPr>
                <w:rFonts w:asciiTheme="majorBidi" w:hAnsiTheme="majorBidi" w:cstheme="majorBidi"/>
                <w:sz w:val="24"/>
                <w:szCs w:val="24"/>
              </w:rPr>
              <w:t>o</w:t>
            </w:r>
            <w:r>
              <w:rPr>
                <w:rFonts w:asciiTheme="majorBidi" w:hAnsiTheme="majorBidi" w:cstheme="majorBidi"/>
                <w:sz w:val="24"/>
                <w:szCs w:val="24"/>
              </w:rPr>
              <w:t>l.</w:t>
            </w:r>
            <w:r w:rsidRPr="00E70F91">
              <w:rPr>
                <w:rFonts w:asciiTheme="majorBidi" w:hAnsiTheme="majorBidi" w:cstheme="majorBidi"/>
                <w:sz w:val="24"/>
                <w:szCs w:val="24"/>
              </w:rPr>
              <w:t xml:space="preserve"> XVIII, pp. 68-70</w:t>
            </w:r>
            <w:r>
              <w:rPr>
                <w:rStyle w:val="FootnoteReference"/>
                <w:rFonts w:asciiTheme="majorBidi" w:hAnsiTheme="majorBidi" w:cstheme="majorBidi"/>
                <w:sz w:val="24"/>
                <w:szCs w:val="24"/>
              </w:rPr>
              <w:footnoteReference w:id="291"/>
            </w:r>
          </w:p>
        </w:tc>
      </w:tr>
      <w:tr w:rsidR="00C17C0F" w:rsidRPr="00F24C06" w14:paraId="159D0F1A" w14:textId="77777777" w:rsidTr="00CD23AA">
        <w:tc>
          <w:tcPr>
            <w:tcW w:w="0" w:type="auto"/>
          </w:tcPr>
          <w:p w14:paraId="4734ECF4" w14:textId="24A417FC" w:rsidR="00C17C0F" w:rsidRPr="00F24C06" w:rsidRDefault="00C17C0F" w:rsidP="00C17C0F">
            <w:pPr>
              <w:spacing w:line="360" w:lineRule="auto"/>
              <w:rPr>
                <w:rFonts w:asciiTheme="majorBidi" w:hAnsiTheme="majorBidi" w:cstheme="majorBidi"/>
                <w:sz w:val="24"/>
                <w:szCs w:val="24"/>
              </w:rPr>
            </w:pPr>
            <w:r w:rsidRPr="00E70F91">
              <w:rPr>
                <w:rFonts w:asciiTheme="majorBidi" w:hAnsiTheme="majorBidi" w:cstheme="majorBidi"/>
                <w:sz w:val="24"/>
                <w:szCs w:val="24"/>
              </w:rPr>
              <w:t>Year 45 (664-5)</w:t>
            </w:r>
          </w:p>
        </w:tc>
        <w:tc>
          <w:tcPr>
            <w:tcW w:w="0" w:type="auto"/>
          </w:tcPr>
          <w:p w14:paraId="547318D7" w14:textId="4638DB63" w:rsidR="00C17C0F" w:rsidRPr="00F24C06" w:rsidRDefault="00C17C0F" w:rsidP="00C17C0F">
            <w:pPr>
              <w:spacing w:line="360" w:lineRule="auto"/>
              <w:rPr>
                <w:rFonts w:asciiTheme="majorBidi" w:hAnsiTheme="majorBidi" w:cstheme="majorBidi"/>
                <w:sz w:val="24"/>
                <w:szCs w:val="24"/>
              </w:rPr>
            </w:pPr>
            <w:r>
              <w:rPr>
                <w:rFonts w:asciiTheme="majorBidi" w:hAnsiTheme="majorBidi" w:cstheme="majorBidi"/>
                <w:sz w:val="24"/>
                <w:szCs w:val="24"/>
              </w:rPr>
              <w:t>Ziyād b.</w:t>
            </w:r>
            <w:r w:rsidRPr="00DB474F">
              <w:rPr>
                <w:rFonts w:asciiTheme="majorBidi" w:hAnsiTheme="majorBidi" w:cstheme="majorBidi"/>
                <w:sz w:val="24"/>
                <w:szCs w:val="24"/>
              </w:rPr>
              <w:t xml:space="preserve"> Abī Sufyān</w:t>
            </w:r>
            <w:r>
              <w:rPr>
                <w:rFonts w:asciiTheme="majorBidi" w:hAnsiTheme="majorBidi" w:cstheme="majorBidi"/>
                <w:sz w:val="24"/>
                <w:szCs w:val="24"/>
              </w:rPr>
              <w:t>, the governor of Basra, appointed al-</w:t>
            </w:r>
            <w:r w:rsidRPr="00E70F91">
              <w:rPr>
                <w:rFonts w:asciiTheme="majorBidi" w:hAnsiTheme="majorBidi" w:cstheme="majorBidi"/>
                <w:sz w:val="24"/>
                <w:szCs w:val="24"/>
              </w:rPr>
              <w:t xml:space="preserve"> Ḥakam </w:t>
            </w:r>
            <w:r>
              <w:rPr>
                <w:rFonts w:asciiTheme="majorBidi" w:hAnsiTheme="majorBidi" w:cstheme="majorBidi"/>
                <w:sz w:val="24"/>
                <w:szCs w:val="24"/>
              </w:rPr>
              <w:t xml:space="preserve">as the governor of Khurasan and organized it into four parts. </w:t>
            </w:r>
            <w:r w:rsidRPr="00E70F91">
              <w:rPr>
                <w:rFonts w:asciiTheme="majorBidi" w:hAnsiTheme="majorBidi" w:cstheme="majorBidi"/>
                <w:sz w:val="24"/>
                <w:szCs w:val="24"/>
              </w:rPr>
              <w:t xml:space="preserve">Al-Ḥakam b. ʿAmr raided </w:t>
            </w:r>
            <w:r>
              <w:rPr>
                <w:rFonts w:asciiTheme="majorBidi" w:hAnsiTheme="majorBidi" w:cstheme="majorBidi"/>
                <w:sz w:val="24"/>
                <w:szCs w:val="24"/>
              </w:rPr>
              <w:t>Ṭukhāristān</w:t>
            </w:r>
            <w:r w:rsidRPr="00E70F91">
              <w:rPr>
                <w:rFonts w:asciiTheme="majorBidi" w:hAnsiTheme="majorBidi" w:cstheme="majorBidi"/>
                <w:sz w:val="24"/>
                <w:szCs w:val="24"/>
              </w:rPr>
              <w:t>, taking great booty.</w:t>
            </w:r>
          </w:p>
        </w:tc>
        <w:tc>
          <w:tcPr>
            <w:tcW w:w="0" w:type="auto"/>
          </w:tcPr>
          <w:p w14:paraId="5E8CE5E4" w14:textId="0E4551B0" w:rsidR="00C17C0F" w:rsidRPr="00F24C06" w:rsidRDefault="00C17C0F" w:rsidP="00C17C0F">
            <w:pPr>
              <w:spacing w:line="360" w:lineRule="auto"/>
              <w:rPr>
                <w:rFonts w:asciiTheme="majorBidi" w:hAnsiTheme="majorBidi" w:cstheme="majorBidi"/>
                <w:sz w:val="24"/>
                <w:szCs w:val="24"/>
              </w:rPr>
            </w:pPr>
            <w:r w:rsidRPr="00E70F91">
              <w:rPr>
                <w:rFonts w:asciiTheme="majorBidi" w:hAnsiTheme="majorBidi" w:cstheme="majorBidi"/>
                <w:sz w:val="24"/>
                <w:szCs w:val="24"/>
              </w:rPr>
              <w:t>Al-Ḥakam b. ʿAmr</w:t>
            </w:r>
            <w:r>
              <w:rPr>
                <w:rFonts w:asciiTheme="majorBidi" w:hAnsiTheme="majorBidi" w:cstheme="majorBidi"/>
                <w:sz w:val="24"/>
                <w:szCs w:val="24"/>
              </w:rPr>
              <w:t xml:space="preserve"> (665-?)</w:t>
            </w:r>
          </w:p>
        </w:tc>
        <w:tc>
          <w:tcPr>
            <w:tcW w:w="0" w:type="auto"/>
          </w:tcPr>
          <w:p w14:paraId="5E5C4A59" w14:textId="145B95EC" w:rsidR="00C17C0F" w:rsidRPr="00F24C06" w:rsidRDefault="00C17C0F" w:rsidP="00C17C0F">
            <w:pPr>
              <w:spacing w:line="360" w:lineRule="auto"/>
              <w:rPr>
                <w:rFonts w:asciiTheme="majorBidi" w:hAnsiTheme="majorBidi" w:cstheme="majorBidi"/>
                <w:sz w:val="24"/>
                <w:szCs w:val="24"/>
              </w:rPr>
            </w:pPr>
            <w:r>
              <w:rPr>
                <w:rFonts w:asciiTheme="majorBidi" w:hAnsiTheme="majorBidi" w:cstheme="majorBidi"/>
                <w:sz w:val="24"/>
                <w:szCs w:val="24"/>
              </w:rPr>
              <w:t>2001, vol. 3, p. 200;</w:t>
            </w:r>
            <w:r>
              <w:rPr>
                <w:rFonts w:asciiTheme="majorBidi" w:hAnsiTheme="majorBidi" w:cstheme="majorBidi"/>
                <w:sz w:val="20"/>
                <w:szCs w:val="20"/>
              </w:rPr>
              <w:t xml:space="preserve"> </w:t>
            </w:r>
            <w:r w:rsidRPr="00C82407">
              <w:rPr>
                <w:rFonts w:asciiTheme="majorBidi" w:hAnsiTheme="majorBidi" w:cstheme="majorBidi"/>
                <w:sz w:val="24"/>
                <w:szCs w:val="24"/>
              </w:rPr>
              <w:t>tr.</w:t>
            </w:r>
            <w:r>
              <w:rPr>
                <w:rFonts w:asciiTheme="majorBidi" w:hAnsiTheme="majorBidi" w:cstheme="majorBidi"/>
                <w:sz w:val="24"/>
                <w:szCs w:val="24"/>
              </w:rPr>
              <w:t>, v</w:t>
            </w:r>
            <w:r w:rsidRPr="00E70F91">
              <w:rPr>
                <w:rFonts w:asciiTheme="majorBidi" w:hAnsiTheme="majorBidi" w:cstheme="majorBidi"/>
                <w:sz w:val="24"/>
                <w:szCs w:val="24"/>
              </w:rPr>
              <w:t>ol</w:t>
            </w:r>
            <w:r>
              <w:rPr>
                <w:rFonts w:asciiTheme="majorBidi" w:hAnsiTheme="majorBidi" w:cstheme="majorBidi"/>
                <w:sz w:val="24"/>
                <w:szCs w:val="24"/>
              </w:rPr>
              <w:t>.</w:t>
            </w:r>
            <w:r w:rsidRPr="00E70F91">
              <w:rPr>
                <w:rFonts w:asciiTheme="majorBidi" w:hAnsiTheme="majorBidi" w:cstheme="majorBidi"/>
                <w:sz w:val="24"/>
                <w:szCs w:val="24"/>
              </w:rPr>
              <w:t xml:space="preserve"> XVIII, pp. 8</w:t>
            </w:r>
            <w:r>
              <w:rPr>
                <w:rFonts w:asciiTheme="majorBidi" w:hAnsiTheme="majorBidi" w:cstheme="majorBidi"/>
                <w:sz w:val="24"/>
                <w:szCs w:val="24"/>
              </w:rPr>
              <w:t>5</w:t>
            </w:r>
            <w:r w:rsidRPr="00E70F91">
              <w:rPr>
                <w:rFonts w:asciiTheme="majorBidi" w:hAnsiTheme="majorBidi" w:cstheme="majorBidi"/>
                <w:sz w:val="24"/>
                <w:szCs w:val="24"/>
              </w:rPr>
              <w:t>-87</w:t>
            </w:r>
            <w:r>
              <w:rPr>
                <w:rStyle w:val="FootnoteReference"/>
                <w:rFonts w:asciiTheme="majorBidi" w:hAnsiTheme="majorBidi" w:cstheme="majorBidi"/>
                <w:sz w:val="24"/>
                <w:szCs w:val="24"/>
              </w:rPr>
              <w:footnoteReference w:id="292"/>
            </w:r>
          </w:p>
        </w:tc>
      </w:tr>
      <w:tr w:rsidR="00C17C0F" w:rsidRPr="00F24C06" w14:paraId="35D8EE4D" w14:textId="77777777" w:rsidTr="00CD23AA">
        <w:tc>
          <w:tcPr>
            <w:tcW w:w="0" w:type="auto"/>
          </w:tcPr>
          <w:p w14:paraId="6E847D4B" w14:textId="618158B8" w:rsidR="00C17C0F" w:rsidRPr="00F24C06" w:rsidRDefault="00C17C0F" w:rsidP="00C17C0F">
            <w:pPr>
              <w:spacing w:line="360" w:lineRule="auto"/>
              <w:rPr>
                <w:rFonts w:asciiTheme="majorBidi" w:hAnsiTheme="majorBidi" w:cstheme="majorBidi"/>
                <w:sz w:val="24"/>
                <w:szCs w:val="24"/>
              </w:rPr>
            </w:pPr>
            <w:r w:rsidRPr="00E70F91">
              <w:rPr>
                <w:rFonts w:asciiTheme="majorBidi" w:hAnsiTheme="majorBidi" w:cstheme="majorBidi"/>
                <w:sz w:val="24"/>
                <w:szCs w:val="24"/>
              </w:rPr>
              <w:t>Year 51 (671-2)</w:t>
            </w:r>
          </w:p>
        </w:tc>
        <w:tc>
          <w:tcPr>
            <w:tcW w:w="0" w:type="auto"/>
          </w:tcPr>
          <w:p w14:paraId="6BC78B66" w14:textId="3A3577DD" w:rsidR="00C17C0F" w:rsidRPr="00F24C06" w:rsidRDefault="00C17C0F" w:rsidP="00C17C0F">
            <w:pPr>
              <w:spacing w:line="360" w:lineRule="auto"/>
              <w:rPr>
                <w:rFonts w:asciiTheme="majorBidi" w:hAnsiTheme="majorBidi" w:cstheme="majorBidi"/>
                <w:sz w:val="24"/>
                <w:szCs w:val="24"/>
              </w:rPr>
            </w:pPr>
            <w:r>
              <w:rPr>
                <w:rFonts w:asciiTheme="majorBidi" w:hAnsiTheme="majorBidi" w:cstheme="majorBidi"/>
                <w:sz w:val="24"/>
                <w:szCs w:val="24"/>
              </w:rPr>
              <w:t>The new governor a</w:t>
            </w:r>
            <w:r w:rsidRPr="00E70F91">
              <w:rPr>
                <w:rFonts w:asciiTheme="majorBidi" w:hAnsiTheme="majorBidi" w:cstheme="majorBidi"/>
                <w:sz w:val="24"/>
                <w:szCs w:val="24"/>
              </w:rPr>
              <w:t xml:space="preserve">l-Rabīʿ b. Ziyād al-Ḥārithī settled with 50,000 </w:t>
            </w:r>
            <w:r>
              <w:rPr>
                <w:rFonts w:asciiTheme="majorBidi" w:hAnsiTheme="majorBidi" w:cstheme="majorBidi"/>
                <w:sz w:val="24"/>
                <w:szCs w:val="24"/>
              </w:rPr>
              <w:t xml:space="preserve">soldiers </w:t>
            </w:r>
            <w:r w:rsidRPr="00E70F91">
              <w:rPr>
                <w:rFonts w:asciiTheme="majorBidi" w:hAnsiTheme="majorBidi" w:cstheme="majorBidi"/>
                <w:sz w:val="24"/>
                <w:szCs w:val="24"/>
              </w:rPr>
              <w:t xml:space="preserve">and their family in </w:t>
            </w:r>
            <w:r>
              <w:rPr>
                <w:rFonts w:asciiTheme="majorBidi" w:hAnsiTheme="majorBidi" w:cstheme="majorBidi"/>
                <w:sz w:val="24"/>
                <w:szCs w:val="24"/>
              </w:rPr>
              <w:t>Marw</w:t>
            </w:r>
            <w:r w:rsidRPr="00E70F91">
              <w:rPr>
                <w:rFonts w:asciiTheme="majorBidi" w:hAnsiTheme="majorBidi" w:cstheme="majorBidi"/>
                <w:sz w:val="24"/>
                <w:szCs w:val="24"/>
              </w:rPr>
              <w:t xml:space="preserve">. He </w:t>
            </w:r>
            <w:r>
              <w:rPr>
                <w:rFonts w:asciiTheme="majorBidi" w:hAnsiTheme="majorBidi" w:cstheme="majorBidi"/>
                <w:sz w:val="24"/>
                <w:szCs w:val="24"/>
              </w:rPr>
              <w:t xml:space="preserve">entered </w:t>
            </w:r>
            <w:r w:rsidRPr="00E70F91">
              <w:rPr>
                <w:rFonts w:asciiTheme="majorBidi" w:hAnsiTheme="majorBidi" w:cstheme="majorBidi"/>
                <w:sz w:val="24"/>
                <w:szCs w:val="24"/>
              </w:rPr>
              <w:t xml:space="preserve">Balkh peacefully and </w:t>
            </w:r>
            <w:r>
              <w:rPr>
                <w:rFonts w:asciiTheme="majorBidi" w:hAnsiTheme="majorBidi" w:cstheme="majorBidi"/>
                <w:sz w:val="24"/>
                <w:szCs w:val="24"/>
              </w:rPr>
              <w:t xml:space="preserve">took </w:t>
            </w:r>
            <w:r w:rsidRPr="00E70F91">
              <w:rPr>
                <w:rFonts w:asciiTheme="majorBidi" w:hAnsiTheme="majorBidi" w:cstheme="majorBidi"/>
                <w:sz w:val="24"/>
                <w:szCs w:val="24"/>
              </w:rPr>
              <w:t>Quhistān by force. He killed some of the</w:t>
            </w:r>
            <w:r>
              <w:rPr>
                <w:rFonts w:asciiTheme="majorBidi" w:hAnsiTheme="majorBidi" w:cstheme="majorBidi"/>
                <w:sz w:val="24"/>
                <w:szCs w:val="24"/>
              </w:rPr>
              <w:t xml:space="preserve"> Turks in Quhistān</w:t>
            </w:r>
            <w:r w:rsidRPr="00E70F91">
              <w:rPr>
                <w:rFonts w:asciiTheme="majorBidi" w:hAnsiTheme="majorBidi" w:cstheme="majorBidi"/>
                <w:sz w:val="24"/>
                <w:szCs w:val="24"/>
              </w:rPr>
              <w:t xml:space="preserve">, and put </w:t>
            </w:r>
            <w:r>
              <w:rPr>
                <w:rFonts w:asciiTheme="majorBidi" w:hAnsiTheme="majorBidi" w:cstheme="majorBidi"/>
                <w:sz w:val="24"/>
                <w:szCs w:val="24"/>
              </w:rPr>
              <w:t>some including</w:t>
            </w:r>
            <w:r w:rsidRPr="00E70F91">
              <w:rPr>
                <w:rFonts w:asciiTheme="majorBidi" w:hAnsiTheme="majorBidi" w:cstheme="majorBidi"/>
                <w:sz w:val="24"/>
                <w:szCs w:val="24"/>
              </w:rPr>
              <w:t xml:space="preserve"> Nīzak Ṭarkhān</w:t>
            </w:r>
            <w:r>
              <w:rPr>
                <w:rFonts w:asciiTheme="majorBidi" w:hAnsiTheme="majorBidi" w:cstheme="majorBidi"/>
                <w:sz w:val="24"/>
                <w:szCs w:val="24"/>
              </w:rPr>
              <w:t xml:space="preserve"> to flight.</w:t>
            </w:r>
          </w:p>
        </w:tc>
        <w:tc>
          <w:tcPr>
            <w:tcW w:w="0" w:type="auto"/>
          </w:tcPr>
          <w:p w14:paraId="613BAA49" w14:textId="30443E24" w:rsidR="00C17C0F" w:rsidRPr="00F24C06" w:rsidRDefault="00C17C0F" w:rsidP="00C17C0F">
            <w:pPr>
              <w:spacing w:line="360" w:lineRule="auto"/>
              <w:rPr>
                <w:rFonts w:asciiTheme="majorBidi" w:hAnsiTheme="majorBidi" w:cstheme="majorBidi"/>
                <w:sz w:val="24"/>
                <w:szCs w:val="24"/>
              </w:rPr>
            </w:pPr>
            <w:r w:rsidRPr="00E70F91">
              <w:rPr>
                <w:rFonts w:asciiTheme="majorBidi" w:hAnsiTheme="majorBidi" w:cstheme="majorBidi"/>
                <w:sz w:val="24"/>
                <w:szCs w:val="24"/>
              </w:rPr>
              <w:t>Al-Rabīʿ b. Ziyād al-Ḥārithī</w:t>
            </w:r>
            <w:r>
              <w:rPr>
                <w:rFonts w:asciiTheme="majorBidi" w:hAnsiTheme="majorBidi" w:cstheme="majorBidi"/>
                <w:sz w:val="24"/>
                <w:szCs w:val="24"/>
              </w:rPr>
              <w:t xml:space="preserve"> (671-3)</w:t>
            </w:r>
          </w:p>
        </w:tc>
        <w:tc>
          <w:tcPr>
            <w:tcW w:w="0" w:type="auto"/>
          </w:tcPr>
          <w:p w14:paraId="49009174" w14:textId="4510B149" w:rsidR="00C17C0F" w:rsidRPr="00F24C06" w:rsidRDefault="00C17C0F" w:rsidP="00C17C0F">
            <w:pPr>
              <w:spacing w:line="360" w:lineRule="auto"/>
              <w:rPr>
                <w:rFonts w:asciiTheme="majorBidi" w:hAnsiTheme="majorBidi" w:cstheme="majorBidi"/>
                <w:sz w:val="24"/>
                <w:szCs w:val="24"/>
              </w:rPr>
            </w:pPr>
            <w:r>
              <w:rPr>
                <w:rFonts w:asciiTheme="majorBidi" w:hAnsiTheme="majorBidi" w:cstheme="majorBidi"/>
                <w:sz w:val="24"/>
                <w:szCs w:val="24"/>
              </w:rPr>
              <w:t xml:space="preserve">2001, vol. 3, pp. 235-6; </w:t>
            </w:r>
            <w:r w:rsidRPr="00C82407">
              <w:rPr>
                <w:rFonts w:asciiTheme="majorBidi" w:hAnsiTheme="majorBidi" w:cstheme="majorBidi"/>
                <w:sz w:val="24"/>
                <w:szCs w:val="24"/>
              </w:rPr>
              <w:t>tr.</w:t>
            </w:r>
            <w:r>
              <w:rPr>
                <w:rFonts w:asciiTheme="majorBidi" w:hAnsiTheme="majorBidi" w:cstheme="majorBidi"/>
                <w:sz w:val="24"/>
                <w:szCs w:val="24"/>
              </w:rPr>
              <w:t>, v</w:t>
            </w:r>
            <w:r w:rsidRPr="00E70F91">
              <w:rPr>
                <w:rFonts w:asciiTheme="majorBidi" w:hAnsiTheme="majorBidi" w:cstheme="majorBidi"/>
                <w:sz w:val="24"/>
                <w:szCs w:val="24"/>
              </w:rPr>
              <w:t>o</w:t>
            </w:r>
            <w:r>
              <w:rPr>
                <w:rFonts w:asciiTheme="majorBidi" w:hAnsiTheme="majorBidi" w:cstheme="majorBidi"/>
                <w:sz w:val="24"/>
                <w:szCs w:val="24"/>
              </w:rPr>
              <w:t>l.</w:t>
            </w:r>
            <w:r w:rsidRPr="00E70F91">
              <w:rPr>
                <w:rFonts w:asciiTheme="majorBidi" w:hAnsiTheme="majorBidi" w:cstheme="majorBidi"/>
                <w:sz w:val="24"/>
                <w:szCs w:val="24"/>
              </w:rPr>
              <w:t xml:space="preserve"> XVIII, pp. 163-164</w:t>
            </w:r>
            <w:r>
              <w:rPr>
                <w:rStyle w:val="FootnoteReference"/>
                <w:rFonts w:asciiTheme="majorBidi" w:hAnsiTheme="majorBidi" w:cstheme="majorBidi"/>
                <w:sz w:val="24"/>
                <w:szCs w:val="24"/>
              </w:rPr>
              <w:footnoteReference w:id="293"/>
            </w:r>
          </w:p>
        </w:tc>
      </w:tr>
      <w:tr w:rsidR="001E02F1" w:rsidRPr="00F24C06" w14:paraId="1398242F" w14:textId="77777777" w:rsidTr="00CD23AA">
        <w:tc>
          <w:tcPr>
            <w:tcW w:w="0" w:type="auto"/>
          </w:tcPr>
          <w:p w14:paraId="386D68A3" w14:textId="77777777" w:rsidR="001E02F1" w:rsidRPr="00F24C06" w:rsidRDefault="001E02F1" w:rsidP="00CD23AA">
            <w:pPr>
              <w:spacing w:line="360" w:lineRule="auto"/>
              <w:rPr>
                <w:rFonts w:asciiTheme="majorBidi" w:hAnsiTheme="majorBidi" w:cstheme="majorBidi"/>
                <w:sz w:val="24"/>
                <w:szCs w:val="24"/>
              </w:rPr>
            </w:pPr>
            <w:r w:rsidRPr="00F24C06">
              <w:rPr>
                <w:rFonts w:asciiTheme="majorBidi" w:hAnsiTheme="majorBidi" w:cstheme="majorBidi"/>
                <w:sz w:val="24"/>
                <w:szCs w:val="24"/>
              </w:rPr>
              <w:t>Year 54 (673-4)</w:t>
            </w:r>
          </w:p>
        </w:tc>
        <w:tc>
          <w:tcPr>
            <w:tcW w:w="0" w:type="auto"/>
          </w:tcPr>
          <w:p w14:paraId="5853FC52" w14:textId="77777777" w:rsidR="001E02F1" w:rsidRPr="00F24C06" w:rsidRDefault="001E02F1" w:rsidP="00CD23AA">
            <w:pPr>
              <w:spacing w:line="360" w:lineRule="auto"/>
              <w:rPr>
                <w:rFonts w:asciiTheme="majorBidi" w:hAnsiTheme="majorBidi" w:cstheme="majorBidi"/>
                <w:sz w:val="24"/>
                <w:szCs w:val="24"/>
              </w:rPr>
            </w:pPr>
            <w:r w:rsidRPr="00F24C06">
              <w:rPr>
                <w:rFonts w:asciiTheme="majorBidi" w:hAnsiTheme="majorBidi" w:cstheme="majorBidi"/>
                <w:sz w:val="24"/>
                <w:szCs w:val="24"/>
              </w:rPr>
              <w:t>ʿUbaydallāh crossed the Oxus and campaigned against Bukhara and its environs</w:t>
            </w:r>
            <w:r>
              <w:rPr>
                <w:rFonts w:asciiTheme="majorBidi" w:hAnsiTheme="majorBidi" w:cstheme="majorBidi"/>
                <w:sz w:val="24"/>
                <w:szCs w:val="24"/>
              </w:rPr>
              <w:t>. He encountered the Turks during the campaign.</w:t>
            </w:r>
          </w:p>
        </w:tc>
        <w:tc>
          <w:tcPr>
            <w:tcW w:w="0" w:type="auto"/>
          </w:tcPr>
          <w:p w14:paraId="2903BE17" w14:textId="77777777" w:rsidR="001E02F1" w:rsidRPr="00F24C06" w:rsidRDefault="001E02F1" w:rsidP="00CD23AA">
            <w:pPr>
              <w:spacing w:line="360" w:lineRule="auto"/>
              <w:rPr>
                <w:rFonts w:asciiTheme="majorBidi" w:hAnsiTheme="majorBidi" w:cstheme="majorBidi"/>
                <w:sz w:val="24"/>
                <w:szCs w:val="24"/>
              </w:rPr>
            </w:pPr>
            <w:r w:rsidRPr="00F24C06">
              <w:rPr>
                <w:rFonts w:asciiTheme="majorBidi" w:hAnsiTheme="majorBidi" w:cstheme="majorBidi"/>
                <w:sz w:val="24"/>
                <w:szCs w:val="24"/>
              </w:rPr>
              <w:t xml:space="preserve">ʿUbaydallāh </w:t>
            </w:r>
            <w:r>
              <w:rPr>
                <w:rFonts w:asciiTheme="majorBidi" w:hAnsiTheme="majorBidi" w:cstheme="majorBidi"/>
                <w:sz w:val="24"/>
                <w:szCs w:val="24"/>
              </w:rPr>
              <w:t>b.</w:t>
            </w:r>
            <w:r w:rsidRPr="00F24C06">
              <w:rPr>
                <w:rFonts w:asciiTheme="majorBidi" w:hAnsiTheme="majorBidi" w:cstheme="majorBidi"/>
                <w:sz w:val="24"/>
                <w:szCs w:val="24"/>
              </w:rPr>
              <w:t xml:space="preserve"> Ziyād</w:t>
            </w:r>
          </w:p>
        </w:tc>
        <w:tc>
          <w:tcPr>
            <w:tcW w:w="0" w:type="auto"/>
          </w:tcPr>
          <w:p w14:paraId="0FA04C34" w14:textId="356ECBB4"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pp. 242-4;</w:t>
            </w:r>
            <w:r w:rsidR="00C82407" w:rsidRPr="00C82407">
              <w:rPr>
                <w:rFonts w:asciiTheme="majorBidi" w:hAnsiTheme="majorBidi" w:cstheme="majorBidi"/>
                <w:sz w:val="24"/>
                <w:szCs w:val="24"/>
              </w:rPr>
              <w:t xml:space="preserve"> tr.</w:t>
            </w:r>
            <w:r>
              <w:rPr>
                <w:rFonts w:asciiTheme="majorBidi" w:hAnsiTheme="majorBidi" w:cstheme="majorBidi"/>
                <w:sz w:val="24"/>
                <w:szCs w:val="24"/>
              </w:rPr>
              <w:t>, 1987, v</w:t>
            </w:r>
            <w:r w:rsidRPr="00F24C06">
              <w:rPr>
                <w:rFonts w:asciiTheme="majorBidi" w:hAnsiTheme="majorBidi" w:cstheme="majorBidi" w:hint="eastAsia"/>
                <w:sz w:val="24"/>
                <w:szCs w:val="24"/>
              </w:rPr>
              <w:t>ol</w:t>
            </w:r>
            <w:r>
              <w:rPr>
                <w:rFonts w:asciiTheme="majorBidi" w:hAnsiTheme="majorBidi" w:cstheme="majorBidi"/>
                <w:sz w:val="24"/>
                <w:szCs w:val="24"/>
              </w:rPr>
              <w:t>.</w:t>
            </w:r>
            <w:r w:rsidRPr="00F24C06">
              <w:rPr>
                <w:rFonts w:asciiTheme="majorBidi" w:hAnsiTheme="majorBidi" w:cstheme="majorBidi"/>
                <w:sz w:val="24"/>
                <w:szCs w:val="24"/>
              </w:rPr>
              <w:t xml:space="preserve"> XVIII, </w:t>
            </w:r>
            <w:r w:rsidRPr="00F24C06">
              <w:rPr>
                <w:rFonts w:asciiTheme="majorBidi" w:hAnsiTheme="majorBidi" w:cstheme="majorBidi"/>
                <w:sz w:val="24"/>
                <w:szCs w:val="24"/>
              </w:rPr>
              <w:lastRenderedPageBreak/>
              <w:t>pp. 175-179</w:t>
            </w:r>
            <w:r>
              <w:rPr>
                <w:rStyle w:val="FootnoteReference"/>
                <w:rFonts w:asciiTheme="majorBidi" w:hAnsiTheme="majorBidi" w:cstheme="majorBidi"/>
                <w:sz w:val="24"/>
                <w:szCs w:val="24"/>
              </w:rPr>
              <w:footnoteReference w:id="294"/>
            </w:r>
          </w:p>
        </w:tc>
      </w:tr>
      <w:tr w:rsidR="001E02F1" w:rsidRPr="00F24C06" w14:paraId="0AC482A5" w14:textId="77777777" w:rsidTr="00CD23AA">
        <w:tc>
          <w:tcPr>
            <w:tcW w:w="0" w:type="auto"/>
          </w:tcPr>
          <w:p w14:paraId="4EB0E8E1" w14:textId="77777777" w:rsidR="001E02F1" w:rsidRPr="00F24C06" w:rsidRDefault="001E02F1" w:rsidP="00CD23AA">
            <w:pPr>
              <w:spacing w:line="360" w:lineRule="auto"/>
              <w:rPr>
                <w:rFonts w:asciiTheme="majorBidi" w:hAnsiTheme="majorBidi" w:cstheme="majorBidi"/>
                <w:sz w:val="24"/>
                <w:szCs w:val="24"/>
              </w:rPr>
            </w:pPr>
            <w:r w:rsidRPr="00F24C06">
              <w:rPr>
                <w:rFonts w:asciiTheme="majorBidi" w:hAnsiTheme="majorBidi" w:cstheme="majorBidi"/>
                <w:sz w:val="24"/>
                <w:szCs w:val="24"/>
              </w:rPr>
              <w:lastRenderedPageBreak/>
              <w:t>Y</w:t>
            </w:r>
            <w:r w:rsidRPr="00F24C06">
              <w:rPr>
                <w:rFonts w:asciiTheme="majorBidi" w:hAnsiTheme="majorBidi" w:cstheme="majorBidi" w:hint="eastAsia"/>
                <w:sz w:val="24"/>
                <w:szCs w:val="24"/>
              </w:rPr>
              <w:t xml:space="preserve">ear </w:t>
            </w:r>
            <w:r w:rsidRPr="00F24C06">
              <w:rPr>
                <w:rFonts w:asciiTheme="majorBidi" w:hAnsiTheme="majorBidi" w:cstheme="majorBidi"/>
                <w:sz w:val="24"/>
                <w:szCs w:val="24"/>
              </w:rPr>
              <w:t>56</w:t>
            </w:r>
            <w:r w:rsidRPr="00F24C06">
              <w:rPr>
                <w:rFonts w:asciiTheme="majorBidi" w:hAnsiTheme="majorBidi" w:cstheme="majorBidi" w:hint="eastAsia"/>
                <w:sz w:val="24"/>
                <w:szCs w:val="24"/>
              </w:rPr>
              <w:t xml:space="preserve"> (6</w:t>
            </w:r>
            <w:r w:rsidRPr="00F24C06">
              <w:rPr>
                <w:rFonts w:asciiTheme="majorBidi" w:hAnsiTheme="majorBidi" w:cstheme="majorBidi"/>
                <w:sz w:val="24"/>
                <w:szCs w:val="24"/>
              </w:rPr>
              <w:t>74</w:t>
            </w:r>
            <w:r w:rsidRPr="00F24C06">
              <w:rPr>
                <w:rFonts w:asciiTheme="majorBidi" w:hAnsiTheme="majorBidi" w:cstheme="majorBidi" w:hint="eastAsia"/>
                <w:sz w:val="24"/>
                <w:szCs w:val="24"/>
              </w:rPr>
              <w:t>-</w:t>
            </w:r>
            <w:r w:rsidRPr="00F24C06">
              <w:rPr>
                <w:rFonts w:asciiTheme="majorBidi" w:hAnsiTheme="majorBidi" w:cstheme="majorBidi"/>
                <w:sz w:val="24"/>
                <w:szCs w:val="24"/>
              </w:rPr>
              <w:t>5</w:t>
            </w:r>
            <w:r w:rsidRPr="00F24C06">
              <w:rPr>
                <w:rFonts w:asciiTheme="majorBidi" w:hAnsiTheme="majorBidi" w:cstheme="majorBidi" w:hint="eastAsia"/>
                <w:sz w:val="24"/>
                <w:szCs w:val="24"/>
              </w:rPr>
              <w:t>)</w:t>
            </w:r>
          </w:p>
        </w:tc>
        <w:tc>
          <w:tcPr>
            <w:tcW w:w="0" w:type="auto"/>
          </w:tcPr>
          <w:p w14:paraId="73E2D65A" w14:textId="77777777" w:rsidR="001E02F1" w:rsidRPr="00F24C06" w:rsidRDefault="001E02F1" w:rsidP="00CD23AA">
            <w:pPr>
              <w:spacing w:line="360" w:lineRule="auto"/>
              <w:rPr>
                <w:rFonts w:asciiTheme="majorBidi" w:hAnsiTheme="majorBidi" w:cstheme="majorBidi"/>
                <w:sz w:val="24"/>
                <w:szCs w:val="24"/>
              </w:rPr>
            </w:pPr>
            <w:r w:rsidRPr="00F24C06">
              <w:rPr>
                <w:rFonts w:asciiTheme="majorBidi" w:hAnsiTheme="majorBidi" w:cstheme="majorBidi"/>
                <w:sz w:val="24"/>
                <w:szCs w:val="24"/>
              </w:rPr>
              <w:t>Saʿīd b. ʿUthmān crossed the Oxus and campaigned against Samarkand.</w:t>
            </w:r>
          </w:p>
        </w:tc>
        <w:tc>
          <w:tcPr>
            <w:tcW w:w="0" w:type="auto"/>
          </w:tcPr>
          <w:p w14:paraId="604639FF" w14:textId="77777777" w:rsidR="001E02F1" w:rsidRPr="00F24C06" w:rsidRDefault="001E02F1" w:rsidP="00CD23AA">
            <w:pPr>
              <w:spacing w:line="360" w:lineRule="auto"/>
              <w:rPr>
                <w:rFonts w:asciiTheme="majorBidi" w:hAnsiTheme="majorBidi" w:cstheme="majorBidi"/>
                <w:sz w:val="24"/>
                <w:szCs w:val="24"/>
              </w:rPr>
            </w:pPr>
            <w:r w:rsidRPr="00F24C06">
              <w:rPr>
                <w:rFonts w:asciiTheme="majorBidi" w:hAnsiTheme="majorBidi" w:cstheme="majorBidi"/>
                <w:sz w:val="24"/>
                <w:szCs w:val="24"/>
              </w:rPr>
              <w:t>Saʿīd b. ʿUthmān</w:t>
            </w:r>
          </w:p>
        </w:tc>
        <w:tc>
          <w:tcPr>
            <w:tcW w:w="0" w:type="auto"/>
          </w:tcPr>
          <w:p w14:paraId="012BDCDC" w14:textId="15289B15"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pp. 249-50;</w:t>
            </w:r>
            <w:r w:rsidR="00C82407" w:rsidRPr="00C82407">
              <w:rPr>
                <w:rFonts w:asciiTheme="majorBidi" w:hAnsiTheme="majorBidi" w:cstheme="majorBidi"/>
                <w:sz w:val="24"/>
                <w:szCs w:val="24"/>
              </w:rPr>
              <w:t xml:space="preserve"> tr.</w:t>
            </w:r>
            <w:r>
              <w:rPr>
                <w:rFonts w:asciiTheme="majorBidi" w:hAnsiTheme="majorBidi" w:cstheme="majorBidi"/>
                <w:sz w:val="24"/>
                <w:szCs w:val="24"/>
              </w:rPr>
              <w:t>, 1987, v</w:t>
            </w:r>
            <w:r w:rsidRPr="00F24C06">
              <w:rPr>
                <w:rFonts w:asciiTheme="majorBidi" w:hAnsiTheme="majorBidi" w:cstheme="majorBidi" w:hint="eastAsia"/>
                <w:sz w:val="24"/>
                <w:szCs w:val="24"/>
              </w:rPr>
              <w:t>ol</w:t>
            </w:r>
            <w:r>
              <w:rPr>
                <w:rFonts w:asciiTheme="majorBidi" w:hAnsiTheme="majorBidi" w:cstheme="majorBidi"/>
                <w:sz w:val="24"/>
                <w:szCs w:val="24"/>
              </w:rPr>
              <w:t>.</w:t>
            </w:r>
            <w:r w:rsidRPr="00F24C06">
              <w:rPr>
                <w:rFonts w:asciiTheme="majorBidi" w:hAnsiTheme="majorBidi" w:cstheme="majorBidi" w:hint="eastAsia"/>
                <w:sz w:val="24"/>
                <w:szCs w:val="24"/>
              </w:rPr>
              <w:t xml:space="preserve"> XV</w:t>
            </w:r>
            <w:r w:rsidRPr="00F24C06">
              <w:rPr>
                <w:rFonts w:asciiTheme="majorBidi" w:hAnsiTheme="majorBidi" w:cstheme="majorBidi"/>
                <w:sz w:val="24"/>
                <w:szCs w:val="24"/>
              </w:rPr>
              <w:t>III</w:t>
            </w:r>
            <w:r w:rsidRPr="00F24C06">
              <w:rPr>
                <w:rFonts w:asciiTheme="majorBidi" w:hAnsiTheme="majorBidi" w:cstheme="majorBidi" w:hint="eastAsia"/>
                <w:sz w:val="24"/>
                <w:szCs w:val="24"/>
              </w:rPr>
              <w:t>, pp.</w:t>
            </w:r>
            <w:r w:rsidRPr="00F24C06">
              <w:rPr>
                <w:rFonts w:asciiTheme="majorBidi" w:hAnsiTheme="majorBidi" w:cstheme="majorBidi"/>
                <w:sz w:val="24"/>
                <w:szCs w:val="24"/>
              </w:rPr>
              <w:t xml:space="preserve"> 187-190</w:t>
            </w:r>
            <w:r>
              <w:rPr>
                <w:rStyle w:val="FootnoteReference"/>
                <w:rFonts w:asciiTheme="majorBidi" w:hAnsiTheme="majorBidi" w:cstheme="majorBidi"/>
                <w:sz w:val="24"/>
                <w:szCs w:val="24"/>
              </w:rPr>
              <w:footnoteReference w:id="295"/>
            </w:r>
          </w:p>
        </w:tc>
      </w:tr>
      <w:tr w:rsidR="001E02F1" w:rsidRPr="00F24C06" w14:paraId="657AB879" w14:textId="77777777" w:rsidTr="00CD23AA">
        <w:tc>
          <w:tcPr>
            <w:tcW w:w="0" w:type="auto"/>
          </w:tcPr>
          <w:p w14:paraId="2FD4B98D" w14:textId="77777777" w:rsidR="001E02F1" w:rsidRPr="00F24C06" w:rsidRDefault="001E02F1" w:rsidP="00CD23AA">
            <w:pPr>
              <w:spacing w:line="360" w:lineRule="auto"/>
              <w:rPr>
                <w:rFonts w:asciiTheme="majorBidi" w:hAnsiTheme="majorBidi" w:cstheme="majorBidi"/>
                <w:sz w:val="24"/>
                <w:szCs w:val="24"/>
              </w:rPr>
            </w:pPr>
            <w:r w:rsidRPr="00F24C06">
              <w:rPr>
                <w:rFonts w:asciiTheme="majorBidi" w:hAnsiTheme="majorBidi" w:cstheme="majorBidi"/>
                <w:sz w:val="24"/>
                <w:szCs w:val="24"/>
              </w:rPr>
              <w:t>Y</w:t>
            </w:r>
            <w:r w:rsidRPr="00F24C06">
              <w:rPr>
                <w:rFonts w:asciiTheme="majorBidi" w:hAnsiTheme="majorBidi" w:cstheme="majorBidi" w:hint="eastAsia"/>
                <w:sz w:val="24"/>
                <w:szCs w:val="24"/>
              </w:rPr>
              <w:t xml:space="preserve">ear </w:t>
            </w:r>
            <w:r w:rsidRPr="00F24C06">
              <w:rPr>
                <w:rFonts w:asciiTheme="majorBidi" w:hAnsiTheme="majorBidi" w:cstheme="majorBidi"/>
                <w:sz w:val="24"/>
                <w:szCs w:val="24"/>
              </w:rPr>
              <w:t>59</w:t>
            </w:r>
            <w:r w:rsidRPr="00F24C06">
              <w:rPr>
                <w:rFonts w:asciiTheme="majorBidi" w:hAnsiTheme="majorBidi" w:cstheme="majorBidi" w:hint="eastAsia"/>
                <w:sz w:val="24"/>
                <w:szCs w:val="24"/>
              </w:rPr>
              <w:t xml:space="preserve"> (6</w:t>
            </w:r>
            <w:r w:rsidRPr="00F24C06">
              <w:rPr>
                <w:rFonts w:asciiTheme="majorBidi" w:hAnsiTheme="majorBidi" w:cstheme="majorBidi"/>
                <w:sz w:val="24"/>
                <w:szCs w:val="24"/>
              </w:rPr>
              <w:t>78</w:t>
            </w:r>
            <w:r w:rsidRPr="00F24C06">
              <w:rPr>
                <w:rFonts w:asciiTheme="majorBidi" w:hAnsiTheme="majorBidi" w:cstheme="majorBidi" w:hint="eastAsia"/>
                <w:sz w:val="24"/>
                <w:szCs w:val="24"/>
              </w:rPr>
              <w:t>-</w:t>
            </w:r>
            <w:r w:rsidRPr="00F24C06">
              <w:rPr>
                <w:rFonts w:asciiTheme="majorBidi" w:hAnsiTheme="majorBidi" w:cstheme="majorBidi"/>
                <w:sz w:val="24"/>
                <w:szCs w:val="24"/>
              </w:rPr>
              <w:t>9</w:t>
            </w:r>
            <w:r w:rsidRPr="00F24C06">
              <w:rPr>
                <w:rFonts w:asciiTheme="majorBidi" w:hAnsiTheme="majorBidi" w:cstheme="majorBidi" w:hint="eastAsia"/>
                <w:sz w:val="24"/>
                <w:szCs w:val="24"/>
              </w:rPr>
              <w:t>)</w:t>
            </w:r>
          </w:p>
        </w:tc>
        <w:tc>
          <w:tcPr>
            <w:tcW w:w="0" w:type="auto"/>
          </w:tcPr>
          <w:p w14:paraId="0EDF31C0" w14:textId="77777777" w:rsidR="001E02F1" w:rsidRPr="00F24C06" w:rsidRDefault="001E02F1" w:rsidP="00CD23AA">
            <w:pPr>
              <w:spacing w:line="360" w:lineRule="auto"/>
              <w:rPr>
                <w:rFonts w:asciiTheme="majorBidi" w:hAnsiTheme="majorBidi" w:cstheme="majorBidi"/>
                <w:sz w:val="24"/>
                <w:szCs w:val="24"/>
              </w:rPr>
            </w:pPr>
            <w:r w:rsidRPr="00F24C06">
              <w:rPr>
                <w:rFonts w:asciiTheme="majorBidi" w:hAnsiTheme="majorBidi" w:cstheme="majorBidi"/>
                <w:sz w:val="24"/>
                <w:szCs w:val="24"/>
              </w:rPr>
              <w:t xml:space="preserve">ʿAbd al-Raḥmān b. Ziyād </w:t>
            </w:r>
            <w:r>
              <w:rPr>
                <w:rFonts w:asciiTheme="majorBidi" w:hAnsiTheme="majorBidi" w:cstheme="majorBidi"/>
                <w:sz w:val="24"/>
                <w:szCs w:val="24"/>
              </w:rPr>
              <w:t xml:space="preserve">stayed in Khurasan for two years and </w:t>
            </w:r>
            <w:r w:rsidRPr="00F24C06">
              <w:rPr>
                <w:rFonts w:asciiTheme="majorBidi" w:hAnsiTheme="majorBidi" w:cstheme="majorBidi"/>
                <w:sz w:val="24"/>
                <w:szCs w:val="24"/>
              </w:rPr>
              <w:t>did not make a single raid</w:t>
            </w:r>
            <w:r>
              <w:rPr>
                <w:rFonts w:asciiTheme="majorBidi" w:hAnsiTheme="majorBidi" w:cstheme="majorBidi"/>
                <w:sz w:val="24"/>
                <w:szCs w:val="24"/>
              </w:rPr>
              <w:t>.</w:t>
            </w:r>
          </w:p>
        </w:tc>
        <w:tc>
          <w:tcPr>
            <w:tcW w:w="0" w:type="auto"/>
          </w:tcPr>
          <w:p w14:paraId="23845494" w14:textId="77777777" w:rsidR="001E02F1" w:rsidRPr="00F24C06" w:rsidRDefault="001E02F1" w:rsidP="00CD23AA">
            <w:pPr>
              <w:spacing w:line="360" w:lineRule="auto"/>
              <w:rPr>
                <w:rFonts w:asciiTheme="majorBidi" w:hAnsiTheme="majorBidi" w:cstheme="majorBidi"/>
                <w:sz w:val="24"/>
                <w:szCs w:val="24"/>
              </w:rPr>
            </w:pPr>
            <w:r w:rsidRPr="00F24C06">
              <w:rPr>
                <w:rFonts w:asciiTheme="majorBidi" w:hAnsiTheme="majorBidi" w:cstheme="majorBidi"/>
                <w:sz w:val="24"/>
                <w:szCs w:val="24"/>
              </w:rPr>
              <w:t>ʿAbd al-Raḥmān b. Ziyād (679-681)</w:t>
            </w:r>
          </w:p>
        </w:tc>
        <w:tc>
          <w:tcPr>
            <w:tcW w:w="0" w:type="auto"/>
          </w:tcPr>
          <w:p w14:paraId="26AD67FA" w14:textId="711386D5"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 xml:space="preserve">2001, vol. 3, p. 256; </w:t>
            </w:r>
            <w:r w:rsidR="00C82407" w:rsidRPr="00C82407">
              <w:rPr>
                <w:rFonts w:asciiTheme="majorBidi" w:hAnsiTheme="majorBidi" w:cstheme="majorBidi"/>
                <w:sz w:val="24"/>
                <w:szCs w:val="24"/>
              </w:rPr>
              <w:t>tr.</w:t>
            </w:r>
            <w:r>
              <w:rPr>
                <w:rFonts w:asciiTheme="majorBidi" w:hAnsiTheme="majorBidi" w:cstheme="majorBidi"/>
                <w:sz w:val="24"/>
                <w:szCs w:val="24"/>
              </w:rPr>
              <w:t>, 1987, v</w:t>
            </w:r>
            <w:r w:rsidRPr="00F24C06">
              <w:rPr>
                <w:rFonts w:asciiTheme="majorBidi" w:hAnsiTheme="majorBidi" w:cstheme="majorBidi" w:hint="eastAsia"/>
                <w:sz w:val="24"/>
                <w:szCs w:val="24"/>
              </w:rPr>
              <w:t>ol</w:t>
            </w:r>
            <w:r>
              <w:rPr>
                <w:rFonts w:asciiTheme="majorBidi" w:hAnsiTheme="majorBidi" w:cstheme="majorBidi"/>
                <w:sz w:val="24"/>
                <w:szCs w:val="24"/>
              </w:rPr>
              <w:t>.</w:t>
            </w:r>
            <w:r w:rsidRPr="00F24C06">
              <w:rPr>
                <w:rFonts w:asciiTheme="majorBidi" w:hAnsiTheme="majorBidi" w:cstheme="majorBidi" w:hint="eastAsia"/>
                <w:sz w:val="24"/>
                <w:szCs w:val="24"/>
              </w:rPr>
              <w:t xml:space="preserve"> XVII</w:t>
            </w:r>
            <w:r w:rsidRPr="00F24C06">
              <w:rPr>
                <w:rFonts w:asciiTheme="majorBidi" w:hAnsiTheme="majorBidi" w:cstheme="majorBidi"/>
                <w:sz w:val="24"/>
                <w:szCs w:val="24"/>
              </w:rPr>
              <w:t>I</w:t>
            </w:r>
            <w:r w:rsidRPr="00F24C06">
              <w:rPr>
                <w:rFonts w:asciiTheme="majorBidi" w:hAnsiTheme="majorBidi" w:cstheme="majorBidi" w:hint="eastAsia"/>
                <w:sz w:val="24"/>
                <w:szCs w:val="24"/>
              </w:rPr>
              <w:t xml:space="preserve">, p. </w:t>
            </w:r>
            <w:r w:rsidRPr="00F24C06">
              <w:rPr>
                <w:rFonts w:asciiTheme="majorBidi" w:hAnsiTheme="majorBidi" w:cstheme="majorBidi"/>
                <w:sz w:val="24"/>
                <w:szCs w:val="24"/>
              </w:rPr>
              <w:t>2</w:t>
            </w:r>
            <w:r w:rsidRPr="00F24C06">
              <w:rPr>
                <w:rFonts w:asciiTheme="majorBidi" w:hAnsiTheme="majorBidi" w:cstheme="majorBidi" w:hint="eastAsia"/>
                <w:sz w:val="24"/>
                <w:szCs w:val="24"/>
              </w:rPr>
              <w:t>00</w:t>
            </w:r>
            <w:r>
              <w:rPr>
                <w:rStyle w:val="FootnoteReference"/>
                <w:rFonts w:asciiTheme="majorBidi" w:hAnsiTheme="majorBidi" w:cstheme="majorBidi"/>
                <w:sz w:val="24"/>
                <w:szCs w:val="24"/>
              </w:rPr>
              <w:footnoteReference w:id="296"/>
            </w:r>
          </w:p>
        </w:tc>
      </w:tr>
      <w:tr w:rsidR="001E02F1" w:rsidRPr="00F24C06" w14:paraId="210988D7" w14:textId="77777777" w:rsidTr="00CD23AA">
        <w:tc>
          <w:tcPr>
            <w:tcW w:w="0" w:type="auto"/>
          </w:tcPr>
          <w:p w14:paraId="3003E990" w14:textId="77777777" w:rsidR="001E02F1" w:rsidRPr="00F24C06" w:rsidRDefault="001E02F1" w:rsidP="00CD23AA">
            <w:pPr>
              <w:spacing w:line="360" w:lineRule="auto"/>
              <w:rPr>
                <w:rFonts w:asciiTheme="majorBidi" w:hAnsiTheme="majorBidi" w:cstheme="majorBidi"/>
                <w:sz w:val="24"/>
                <w:szCs w:val="24"/>
              </w:rPr>
            </w:pPr>
            <w:r w:rsidRPr="00F24C06">
              <w:rPr>
                <w:rFonts w:asciiTheme="majorBidi" w:hAnsiTheme="majorBidi" w:cstheme="majorBidi"/>
                <w:sz w:val="24"/>
                <w:szCs w:val="24"/>
              </w:rPr>
              <w:t>Year 61 (680-1)</w:t>
            </w:r>
          </w:p>
        </w:tc>
        <w:tc>
          <w:tcPr>
            <w:tcW w:w="0" w:type="auto"/>
          </w:tcPr>
          <w:p w14:paraId="2124152D" w14:textId="77777777" w:rsidR="001E02F1" w:rsidRPr="00F24C06" w:rsidRDefault="001E02F1" w:rsidP="00CD23AA">
            <w:pPr>
              <w:spacing w:line="360" w:lineRule="auto"/>
              <w:rPr>
                <w:rFonts w:asciiTheme="majorBidi" w:hAnsiTheme="majorBidi" w:cstheme="majorBidi"/>
                <w:sz w:val="24"/>
                <w:szCs w:val="24"/>
              </w:rPr>
            </w:pPr>
            <w:r w:rsidRPr="00F24C06">
              <w:rPr>
                <w:rFonts w:asciiTheme="majorBidi" w:hAnsiTheme="majorBidi" w:cstheme="majorBidi"/>
                <w:sz w:val="24"/>
                <w:szCs w:val="24"/>
              </w:rPr>
              <w:t>Salm b. Ziyād campaigned against Khwarazm and Samarkand.</w:t>
            </w:r>
          </w:p>
        </w:tc>
        <w:tc>
          <w:tcPr>
            <w:tcW w:w="0" w:type="auto"/>
          </w:tcPr>
          <w:p w14:paraId="004D2D5A" w14:textId="77777777" w:rsidR="001E02F1" w:rsidRPr="00F24C06" w:rsidRDefault="001E02F1" w:rsidP="00CD23AA">
            <w:pPr>
              <w:spacing w:line="360" w:lineRule="auto"/>
              <w:rPr>
                <w:rFonts w:asciiTheme="majorBidi" w:hAnsiTheme="majorBidi" w:cstheme="majorBidi"/>
                <w:sz w:val="24"/>
                <w:szCs w:val="24"/>
              </w:rPr>
            </w:pPr>
            <w:r w:rsidRPr="00F24C06">
              <w:rPr>
                <w:rFonts w:asciiTheme="majorBidi" w:hAnsiTheme="majorBidi" w:cstheme="majorBidi"/>
                <w:sz w:val="24"/>
                <w:szCs w:val="24"/>
              </w:rPr>
              <w:t>Salm b. Ziyād (681-68</w:t>
            </w:r>
            <w:r>
              <w:rPr>
                <w:rFonts w:asciiTheme="majorBidi" w:hAnsiTheme="majorBidi" w:cstheme="majorBidi"/>
                <w:sz w:val="24"/>
                <w:szCs w:val="24"/>
              </w:rPr>
              <w:t>3</w:t>
            </w:r>
            <w:r w:rsidRPr="00F24C06">
              <w:rPr>
                <w:rFonts w:asciiTheme="majorBidi" w:hAnsiTheme="majorBidi" w:cstheme="majorBidi"/>
                <w:sz w:val="24"/>
                <w:szCs w:val="24"/>
              </w:rPr>
              <w:t>)</w:t>
            </w:r>
          </w:p>
        </w:tc>
        <w:tc>
          <w:tcPr>
            <w:tcW w:w="0" w:type="auto"/>
          </w:tcPr>
          <w:p w14:paraId="2BD18C8B" w14:textId="08FD1B78"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pp. 345-6;</w:t>
            </w:r>
            <w:r w:rsidR="00C82407" w:rsidRPr="00C82407">
              <w:rPr>
                <w:rFonts w:asciiTheme="majorBidi" w:hAnsiTheme="majorBidi" w:cstheme="majorBidi"/>
                <w:sz w:val="24"/>
                <w:szCs w:val="24"/>
              </w:rPr>
              <w:t xml:space="preserve"> tr.</w:t>
            </w:r>
            <w:r>
              <w:rPr>
                <w:rFonts w:asciiTheme="majorBidi" w:hAnsiTheme="majorBidi" w:cstheme="majorBidi"/>
                <w:sz w:val="24"/>
                <w:szCs w:val="24"/>
              </w:rPr>
              <w:t>, 1990, vol.</w:t>
            </w:r>
            <w:r w:rsidRPr="00F24C06">
              <w:rPr>
                <w:rFonts w:asciiTheme="majorBidi" w:hAnsiTheme="majorBidi" w:cstheme="majorBidi"/>
                <w:sz w:val="24"/>
                <w:szCs w:val="24"/>
              </w:rPr>
              <w:t xml:space="preserve"> XIX, pp. 184-188</w:t>
            </w:r>
            <w:r>
              <w:rPr>
                <w:rStyle w:val="FootnoteReference"/>
                <w:rFonts w:asciiTheme="majorBidi" w:hAnsiTheme="majorBidi" w:cstheme="majorBidi"/>
                <w:sz w:val="24"/>
                <w:szCs w:val="24"/>
              </w:rPr>
              <w:footnoteReference w:id="297"/>
            </w:r>
          </w:p>
        </w:tc>
      </w:tr>
      <w:tr w:rsidR="001E02F1" w:rsidRPr="00F24C06" w14:paraId="21E07B6B" w14:textId="77777777" w:rsidTr="00CD23AA">
        <w:tc>
          <w:tcPr>
            <w:tcW w:w="0" w:type="auto"/>
          </w:tcPr>
          <w:p w14:paraId="05D367E4" w14:textId="77777777" w:rsidR="001E02F1" w:rsidRPr="00F24C06" w:rsidRDefault="001E02F1" w:rsidP="00CD23AA">
            <w:pPr>
              <w:spacing w:line="360" w:lineRule="auto"/>
              <w:rPr>
                <w:rFonts w:asciiTheme="majorBidi" w:hAnsiTheme="majorBidi" w:cstheme="majorBidi"/>
                <w:sz w:val="24"/>
                <w:szCs w:val="24"/>
              </w:rPr>
            </w:pPr>
            <w:r w:rsidRPr="00F24C06">
              <w:rPr>
                <w:rFonts w:asciiTheme="majorBidi" w:hAnsiTheme="majorBidi" w:cstheme="majorBidi"/>
                <w:sz w:val="24"/>
                <w:szCs w:val="24"/>
              </w:rPr>
              <w:t>Year 64 (683-4)</w:t>
            </w:r>
          </w:p>
        </w:tc>
        <w:tc>
          <w:tcPr>
            <w:tcW w:w="0" w:type="auto"/>
          </w:tcPr>
          <w:p w14:paraId="1A4549C2" w14:textId="465E8A55"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 xml:space="preserve">‘Abdallāh b. Khāzim was nominated to replace </w:t>
            </w:r>
            <w:r w:rsidRPr="00F24C06">
              <w:rPr>
                <w:rFonts w:asciiTheme="majorBidi" w:hAnsiTheme="majorBidi" w:cstheme="majorBidi"/>
                <w:sz w:val="24"/>
                <w:szCs w:val="24"/>
              </w:rPr>
              <w:t>Salm</w:t>
            </w:r>
            <w:r>
              <w:rPr>
                <w:rFonts w:asciiTheme="majorBidi" w:hAnsiTheme="majorBidi" w:cstheme="majorBidi"/>
                <w:sz w:val="24"/>
                <w:szCs w:val="24"/>
              </w:rPr>
              <w:t xml:space="preserve">. </w:t>
            </w:r>
            <w:r w:rsidR="00A74EF4">
              <w:rPr>
                <w:rFonts w:asciiTheme="majorBidi" w:hAnsiTheme="majorBidi" w:cstheme="majorBidi"/>
                <w:sz w:val="24"/>
                <w:szCs w:val="24"/>
              </w:rPr>
              <w:t>He</w:t>
            </w:r>
            <w:r>
              <w:rPr>
                <w:rFonts w:asciiTheme="majorBidi" w:hAnsiTheme="majorBidi" w:cstheme="majorBidi"/>
                <w:sz w:val="24"/>
                <w:szCs w:val="24"/>
              </w:rPr>
              <w:t xml:space="preserve"> fought Sulaymān b. Marthad in Marw al-Rūd, and ῾Amr b. Marthad in Tālaqān, and then moved to fight Bakr b. Wā᾿il in Herat for more than one year. In this year the Turks raided as </w:t>
            </w:r>
            <w:r>
              <w:rPr>
                <w:rFonts w:asciiTheme="majorBidi" w:hAnsiTheme="majorBidi" w:cstheme="majorBidi"/>
                <w:sz w:val="24"/>
                <w:szCs w:val="24"/>
              </w:rPr>
              <w:lastRenderedPageBreak/>
              <w:t>far as Qaṣr Asfād to the east of Nīshāpūr.</w:t>
            </w:r>
          </w:p>
        </w:tc>
        <w:tc>
          <w:tcPr>
            <w:tcW w:w="0" w:type="auto"/>
          </w:tcPr>
          <w:p w14:paraId="6F2B463B"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lastRenderedPageBreak/>
              <w:t>‘Abdallāh b. Khāzim (683/4-692)</w:t>
            </w:r>
          </w:p>
        </w:tc>
        <w:tc>
          <w:tcPr>
            <w:tcW w:w="0" w:type="auto"/>
          </w:tcPr>
          <w:p w14:paraId="6A322C75" w14:textId="23ADA5B5"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pp. 386-90;</w:t>
            </w:r>
            <w:r w:rsidR="00C82407" w:rsidRPr="00C82407">
              <w:rPr>
                <w:rFonts w:asciiTheme="majorBidi" w:hAnsiTheme="majorBidi" w:cstheme="majorBidi"/>
                <w:sz w:val="24"/>
                <w:szCs w:val="24"/>
              </w:rPr>
              <w:t xml:space="preserve"> tr.</w:t>
            </w:r>
            <w:r>
              <w:rPr>
                <w:rFonts w:asciiTheme="majorBidi" w:hAnsiTheme="majorBidi" w:cstheme="majorBidi"/>
                <w:sz w:val="24"/>
                <w:szCs w:val="24"/>
              </w:rPr>
              <w:t>, 1989, v</w:t>
            </w:r>
            <w:r w:rsidRPr="00F24C06">
              <w:rPr>
                <w:rFonts w:asciiTheme="majorBidi" w:hAnsiTheme="majorBidi" w:cstheme="majorBidi"/>
                <w:sz w:val="24"/>
                <w:szCs w:val="24"/>
              </w:rPr>
              <w:t>o</w:t>
            </w:r>
            <w:r>
              <w:rPr>
                <w:rFonts w:asciiTheme="majorBidi" w:hAnsiTheme="majorBidi" w:cstheme="majorBidi"/>
                <w:sz w:val="24"/>
                <w:szCs w:val="24"/>
              </w:rPr>
              <w:t>l.</w:t>
            </w:r>
            <w:r w:rsidRPr="00F24C06">
              <w:rPr>
                <w:rFonts w:asciiTheme="majorBidi" w:hAnsiTheme="majorBidi" w:cstheme="majorBidi"/>
                <w:sz w:val="24"/>
                <w:szCs w:val="24"/>
              </w:rPr>
              <w:t xml:space="preserve"> XX</w:t>
            </w:r>
            <w:r>
              <w:rPr>
                <w:rFonts w:asciiTheme="majorBidi" w:hAnsiTheme="majorBidi" w:cstheme="majorBidi"/>
                <w:sz w:val="24"/>
                <w:szCs w:val="24"/>
              </w:rPr>
              <w:t xml:space="preserve">, </w:t>
            </w:r>
            <w:r w:rsidRPr="00F24C06">
              <w:rPr>
                <w:rFonts w:asciiTheme="majorBidi" w:hAnsiTheme="majorBidi" w:cstheme="majorBidi"/>
                <w:sz w:val="24"/>
                <w:szCs w:val="24"/>
              </w:rPr>
              <w:t xml:space="preserve">pp. </w:t>
            </w:r>
            <w:r>
              <w:rPr>
                <w:rFonts w:asciiTheme="majorBidi" w:hAnsiTheme="majorBidi" w:cstheme="majorBidi"/>
                <w:sz w:val="24"/>
                <w:szCs w:val="24"/>
              </w:rPr>
              <w:t>70</w:t>
            </w:r>
            <w:r w:rsidRPr="00F24C06">
              <w:rPr>
                <w:rFonts w:asciiTheme="majorBidi" w:hAnsiTheme="majorBidi" w:cstheme="majorBidi"/>
                <w:sz w:val="24"/>
                <w:szCs w:val="24"/>
              </w:rPr>
              <w:t>-</w:t>
            </w:r>
            <w:r>
              <w:rPr>
                <w:rFonts w:asciiTheme="majorBidi" w:hAnsiTheme="majorBidi" w:cstheme="majorBidi" w:hint="eastAsia"/>
                <w:sz w:val="24"/>
                <w:szCs w:val="24"/>
              </w:rPr>
              <w:t>80</w:t>
            </w:r>
            <w:r>
              <w:rPr>
                <w:rStyle w:val="FootnoteReference"/>
                <w:rFonts w:asciiTheme="majorBidi" w:hAnsiTheme="majorBidi" w:cstheme="majorBidi"/>
                <w:sz w:val="24"/>
                <w:szCs w:val="24"/>
              </w:rPr>
              <w:footnoteReference w:id="298"/>
            </w:r>
          </w:p>
        </w:tc>
      </w:tr>
      <w:tr w:rsidR="001E02F1" w:rsidRPr="00F24C06" w14:paraId="3229542C" w14:textId="77777777" w:rsidTr="00CD23AA">
        <w:tc>
          <w:tcPr>
            <w:tcW w:w="0" w:type="auto"/>
          </w:tcPr>
          <w:p w14:paraId="3BEB7576"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Year 65 (684-5)</w:t>
            </w:r>
          </w:p>
        </w:tc>
        <w:tc>
          <w:tcPr>
            <w:tcW w:w="0" w:type="auto"/>
          </w:tcPr>
          <w:p w14:paraId="5306158B"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‘Abdallāh b. Khāzim maltreated Banū Tamīm, and they killed his son Muhammad in Herat as retaliation. Then ‘Abdallāh b. Khāzim fought Banū Tamīm led by al-Ḥarīsh for two years.</w:t>
            </w:r>
          </w:p>
        </w:tc>
        <w:tc>
          <w:tcPr>
            <w:tcW w:w="0" w:type="auto"/>
          </w:tcPr>
          <w:p w14:paraId="2B7561FE"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‘Abdallāh b. Khāzim</w:t>
            </w:r>
          </w:p>
        </w:tc>
        <w:tc>
          <w:tcPr>
            <w:tcW w:w="0" w:type="auto"/>
          </w:tcPr>
          <w:p w14:paraId="513D27B6" w14:textId="77D43978"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pp. 430-2;</w:t>
            </w:r>
            <w:r w:rsidR="00C82407" w:rsidRPr="00C82407">
              <w:rPr>
                <w:rFonts w:asciiTheme="majorBidi" w:hAnsiTheme="majorBidi" w:cstheme="majorBidi"/>
                <w:sz w:val="24"/>
                <w:szCs w:val="24"/>
              </w:rPr>
              <w:t xml:space="preserve"> tr.</w:t>
            </w:r>
            <w:r>
              <w:rPr>
                <w:rFonts w:asciiTheme="majorBidi" w:hAnsiTheme="majorBidi" w:cstheme="majorBidi"/>
                <w:sz w:val="24"/>
                <w:szCs w:val="24"/>
              </w:rPr>
              <w:t>, 1989, vol. XX, pp. 177-80</w:t>
            </w:r>
            <w:r>
              <w:rPr>
                <w:rStyle w:val="FootnoteReference"/>
                <w:rFonts w:asciiTheme="majorBidi" w:hAnsiTheme="majorBidi" w:cstheme="majorBidi"/>
                <w:sz w:val="24"/>
                <w:szCs w:val="24"/>
              </w:rPr>
              <w:footnoteReference w:id="299"/>
            </w:r>
          </w:p>
        </w:tc>
      </w:tr>
      <w:tr w:rsidR="001E02F1" w:rsidRPr="00F24C06" w14:paraId="114A6B77" w14:textId="77777777" w:rsidTr="00CD23AA">
        <w:tc>
          <w:tcPr>
            <w:tcW w:w="0" w:type="auto"/>
          </w:tcPr>
          <w:p w14:paraId="768EFAC4"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Year 66 (685-6)</w:t>
            </w:r>
          </w:p>
        </w:tc>
        <w:tc>
          <w:tcPr>
            <w:tcW w:w="0" w:type="auto"/>
          </w:tcPr>
          <w:p w14:paraId="663728C9"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‘Abdallāh b. Khāzim fought Banū Tamīm in Marw al-Rūd.</w:t>
            </w:r>
          </w:p>
        </w:tc>
        <w:tc>
          <w:tcPr>
            <w:tcW w:w="0" w:type="auto"/>
          </w:tcPr>
          <w:p w14:paraId="6D24A353"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‘Abdallāh b. Khāzim</w:t>
            </w:r>
          </w:p>
        </w:tc>
        <w:tc>
          <w:tcPr>
            <w:tcW w:w="0" w:type="auto"/>
          </w:tcPr>
          <w:p w14:paraId="319A8E1B" w14:textId="57BAE6FF"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 xml:space="preserve">2001, vol. 3, pp. 473-5; </w:t>
            </w:r>
            <w:r w:rsidR="00C82407" w:rsidRPr="00C82407">
              <w:rPr>
                <w:rFonts w:asciiTheme="majorBidi" w:hAnsiTheme="majorBidi" w:cstheme="majorBidi"/>
                <w:sz w:val="24"/>
                <w:szCs w:val="24"/>
              </w:rPr>
              <w:t>tr.</w:t>
            </w:r>
            <w:r>
              <w:rPr>
                <w:rFonts w:asciiTheme="majorBidi" w:hAnsiTheme="majorBidi" w:cstheme="majorBidi"/>
                <w:sz w:val="24"/>
                <w:szCs w:val="24"/>
              </w:rPr>
              <w:t>, 1990, vol. XXI, pp. 62-6</w:t>
            </w:r>
            <w:r>
              <w:rPr>
                <w:rStyle w:val="FootnoteReference"/>
                <w:rFonts w:asciiTheme="majorBidi" w:hAnsiTheme="majorBidi" w:cstheme="majorBidi"/>
                <w:sz w:val="24"/>
                <w:szCs w:val="24"/>
              </w:rPr>
              <w:footnoteReference w:id="300"/>
            </w:r>
          </w:p>
        </w:tc>
      </w:tr>
      <w:tr w:rsidR="001E02F1" w:rsidRPr="00F24C06" w14:paraId="1AF04BC9" w14:textId="77777777" w:rsidTr="00CD23AA">
        <w:tc>
          <w:tcPr>
            <w:tcW w:w="0" w:type="auto"/>
          </w:tcPr>
          <w:p w14:paraId="6F097CE9"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Year 72 (691-2)</w:t>
            </w:r>
          </w:p>
        </w:tc>
        <w:tc>
          <w:tcPr>
            <w:tcW w:w="0" w:type="auto"/>
          </w:tcPr>
          <w:p w14:paraId="5A09D7D3"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‘Abdallāh b. Khāzim refused to swear allegiance to ῾Abd al-Malik, when he was fighting a subdivision of Tamīm in Nīshāpūr. ῾Abd al-Malik appointed Bukayr b. Wishāḥ as governor, while ‘Abdallāh b. Khāzim was killed. ‘Abdallāh’s son Mūsā seized Tirmidh as his base. And the king of Tirmidh sought help from the Turks.</w:t>
            </w:r>
          </w:p>
        </w:tc>
        <w:tc>
          <w:tcPr>
            <w:tcW w:w="0" w:type="auto"/>
          </w:tcPr>
          <w:p w14:paraId="46A9AA1F"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 xml:space="preserve">Bukayr b. Wishāḥ (691/2-693/4) </w:t>
            </w:r>
          </w:p>
        </w:tc>
        <w:tc>
          <w:tcPr>
            <w:tcW w:w="0" w:type="auto"/>
          </w:tcPr>
          <w:p w14:paraId="75F03363" w14:textId="383CA119"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pp. 531-2;</w:t>
            </w:r>
            <w:r w:rsidR="00C82407" w:rsidRPr="00C82407">
              <w:rPr>
                <w:rFonts w:asciiTheme="majorBidi" w:hAnsiTheme="majorBidi" w:cstheme="majorBidi"/>
                <w:sz w:val="24"/>
                <w:szCs w:val="24"/>
              </w:rPr>
              <w:t xml:space="preserve"> tr.</w:t>
            </w:r>
            <w:r>
              <w:rPr>
                <w:rFonts w:asciiTheme="majorBidi" w:hAnsiTheme="majorBidi" w:cstheme="majorBidi"/>
                <w:sz w:val="24"/>
                <w:szCs w:val="24"/>
              </w:rPr>
              <w:t>, 1990, vol. XXI, pp. 209-12</w:t>
            </w:r>
            <w:r>
              <w:rPr>
                <w:rStyle w:val="FootnoteReference"/>
                <w:rFonts w:asciiTheme="majorBidi" w:hAnsiTheme="majorBidi" w:cstheme="majorBidi"/>
                <w:sz w:val="24"/>
                <w:szCs w:val="24"/>
              </w:rPr>
              <w:footnoteReference w:id="301"/>
            </w:r>
          </w:p>
        </w:tc>
      </w:tr>
      <w:tr w:rsidR="001E02F1" w:rsidRPr="00F24C06" w14:paraId="7A7BFEE2" w14:textId="77777777" w:rsidTr="00CD23AA">
        <w:tc>
          <w:tcPr>
            <w:tcW w:w="0" w:type="auto"/>
          </w:tcPr>
          <w:p w14:paraId="0F982A60"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Year 74 (693-4)</w:t>
            </w:r>
          </w:p>
        </w:tc>
        <w:tc>
          <w:tcPr>
            <w:tcW w:w="0" w:type="auto"/>
          </w:tcPr>
          <w:p w14:paraId="5B9E5BDF"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 xml:space="preserve">Umayyah </w:t>
            </w:r>
            <w:r w:rsidRPr="006B23F6">
              <w:rPr>
                <w:rFonts w:asciiTheme="majorBidi" w:hAnsiTheme="majorBidi" w:cstheme="majorBidi"/>
                <w:sz w:val="24"/>
                <w:szCs w:val="24"/>
              </w:rPr>
              <w:t>ibn ʿAbdallāh ibn Khālid</w:t>
            </w:r>
            <w:r>
              <w:rPr>
                <w:rFonts w:asciiTheme="majorBidi" w:hAnsiTheme="majorBidi" w:cstheme="majorBidi"/>
                <w:sz w:val="24"/>
                <w:szCs w:val="24"/>
              </w:rPr>
              <w:t xml:space="preserve"> replaced Bukayr b. Wishāḥ as the new governor. Bukayr chose to stay in Ṭukhāristān. The request was declined.</w:t>
            </w:r>
          </w:p>
        </w:tc>
        <w:tc>
          <w:tcPr>
            <w:tcW w:w="0" w:type="auto"/>
          </w:tcPr>
          <w:p w14:paraId="65376049"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 xml:space="preserve">Umayyah </w:t>
            </w:r>
            <w:r w:rsidRPr="006B23F6">
              <w:rPr>
                <w:rFonts w:asciiTheme="majorBidi" w:hAnsiTheme="majorBidi" w:cstheme="majorBidi"/>
                <w:sz w:val="24"/>
                <w:szCs w:val="24"/>
              </w:rPr>
              <w:t>ibn ʿAbdallāh</w:t>
            </w:r>
            <w:r>
              <w:rPr>
                <w:rFonts w:asciiTheme="majorBidi" w:hAnsiTheme="majorBidi" w:cstheme="majorBidi"/>
                <w:sz w:val="24"/>
                <w:szCs w:val="24"/>
              </w:rPr>
              <w:t xml:space="preserve"> (693/4-697/8)</w:t>
            </w:r>
          </w:p>
        </w:tc>
        <w:tc>
          <w:tcPr>
            <w:tcW w:w="0" w:type="auto"/>
          </w:tcPr>
          <w:p w14:paraId="1875CE67" w14:textId="16C452B8"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pp. 545-6;</w:t>
            </w:r>
            <w:r w:rsidR="00C82407" w:rsidRPr="00C82407">
              <w:rPr>
                <w:rFonts w:asciiTheme="majorBidi" w:hAnsiTheme="majorBidi" w:cstheme="majorBidi"/>
                <w:sz w:val="24"/>
                <w:szCs w:val="24"/>
              </w:rPr>
              <w:t xml:space="preserve"> tr.</w:t>
            </w:r>
            <w:r>
              <w:rPr>
                <w:rFonts w:asciiTheme="majorBidi" w:hAnsiTheme="majorBidi" w:cstheme="majorBidi"/>
                <w:sz w:val="24"/>
                <w:szCs w:val="24"/>
              </w:rPr>
              <w:t xml:space="preserve">, 1989, vol. XXII, </w:t>
            </w:r>
            <w:r>
              <w:rPr>
                <w:rFonts w:asciiTheme="majorBidi" w:hAnsiTheme="majorBidi" w:cstheme="majorBidi"/>
                <w:sz w:val="24"/>
                <w:szCs w:val="24"/>
              </w:rPr>
              <w:lastRenderedPageBreak/>
              <w:t>pp. 7-11</w:t>
            </w:r>
            <w:r>
              <w:rPr>
                <w:rStyle w:val="FootnoteReference"/>
                <w:rFonts w:asciiTheme="majorBidi" w:hAnsiTheme="majorBidi" w:cstheme="majorBidi"/>
                <w:sz w:val="24"/>
                <w:szCs w:val="24"/>
              </w:rPr>
              <w:footnoteReference w:id="302"/>
            </w:r>
          </w:p>
        </w:tc>
      </w:tr>
      <w:tr w:rsidR="001E02F1" w:rsidRPr="00F24C06" w14:paraId="478F8E3A" w14:textId="77777777" w:rsidTr="00CD23AA">
        <w:tc>
          <w:tcPr>
            <w:tcW w:w="0" w:type="auto"/>
          </w:tcPr>
          <w:p w14:paraId="01EE3085"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lastRenderedPageBreak/>
              <w:t>Year 77 (696-7)</w:t>
            </w:r>
          </w:p>
        </w:tc>
        <w:tc>
          <w:tcPr>
            <w:tcW w:w="0" w:type="auto"/>
          </w:tcPr>
          <w:p w14:paraId="29C82114" w14:textId="7F2CF3FB"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 xml:space="preserve">Bukayr b. Wishāḥ burned the boats </w:t>
            </w:r>
            <w:r w:rsidR="00E73D86">
              <w:rPr>
                <w:rFonts w:asciiTheme="majorBidi" w:hAnsiTheme="majorBidi" w:cstheme="majorBidi"/>
                <w:sz w:val="24"/>
                <w:szCs w:val="24"/>
              </w:rPr>
              <w:t xml:space="preserve">in </w:t>
            </w:r>
            <w:r>
              <w:rPr>
                <w:rFonts w:asciiTheme="majorBidi" w:hAnsiTheme="majorBidi" w:cstheme="majorBidi"/>
                <w:sz w:val="24"/>
                <w:szCs w:val="24"/>
              </w:rPr>
              <w:t xml:space="preserve">Oxus and seized Marw when Umayyah </w:t>
            </w:r>
            <w:r w:rsidR="003A4596">
              <w:rPr>
                <w:rFonts w:asciiTheme="majorBidi" w:hAnsiTheme="majorBidi" w:cstheme="majorBidi"/>
                <w:sz w:val="24"/>
                <w:szCs w:val="24"/>
              </w:rPr>
              <w:t>was</w:t>
            </w:r>
            <w:r>
              <w:rPr>
                <w:rFonts w:asciiTheme="majorBidi" w:hAnsiTheme="majorBidi" w:cstheme="majorBidi"/>
                <w:sz w:val="24"/>
                <w:szCs w:val="24"/>
              </w:rPr>
              <w:t xml:space="preserve"> campaign</w:t>
            </w:r>
            <w:r w:rsidR="003A4596">
              <w:rPr>
                <w:rFonts w:asciiTheme="majorBidi" w:hAnsiTheme="majorBidi" w:cstheme="majorBidi"/>
                <w:sz w:val="24"/>
                <w:szCs w:val="24"/>
              </w:rPr>
              <w:t>ing</w:t>
            </w:r>
            <w:r>
              <w:rPr>
                <w:rFonts w:asciiTheme="majorBidi" w:hAnsiTheme="majorBidi" w:cstheme="majorBidi"/>
                <w:sz w:val="24"/>
                <w:szCs w:val="24"/>
              </w:rPr>
              <w:t xml:space="preserve"> against Bukhara. Bukayr was killed, although he had a truce with Umayyah. The governor’s military campaigns against Mūsā at Tirmidh failed. </w:t>
            </w:r>
          </w:p>
        </w:tc>
        <w:tc>
          <w:tcPr>
            <w:tcW w:w="0" w:type="auto"/>
          </w:tcPr>
          <w:p w14:paraId="7DA9D009"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 xml:space="preserve">Umayyah </w:t>
            </w:r>
            <w:r w:rsidRPr="006B23F6">
              <w:rPr>
                <w:rFonts w:asciiTheme="majorBidi" w:hAnsiTheme="majorBidi" w:cstheme="majorBidi"/>
                <w:sz w:val="24"/>
                <w:szCs w:val="24"/>
              </w:rPr>
              <w:t>ibn ʿAbdallāh</w:t>
            </w:r>
          </w:p>
        </w:tc>
        <w:tc>
          <w:tcPr>
            <w:tcW w:w="0" w:type="auto"/>
          </w:tcPr>
          <w:p w14:paraId="769EDCF5" w14:textId="76899274"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pp. 607-10;</w:t>
            </w:r>
            <w:r w:rsidR="00C82407" w:rsidRPr="00C82407">
              <w:rPr>
                <w:rFonts w:asciiTheme="majorBidi" w:hAnsiTheme="majorBidi" w:cstheme="majorBidi"/>
                <w:sz w:val="24"/>
                <w:szCs w:val="24"/>
              </w:rPr>
              <w:t xml:space="preserve"> tr.</w:t>
            </w:r>
            <w:r>
              <w:rPr>
                <w:rFonts w:asciiTheme="majorBidi" w:hAnsiTheme="majorBidi" w:cstheme="majorBidi"/>
                <w:sz w:val="24"/>
                <w:szCs w:val="24"/>
              </w:rPr>
              <w:t>, 1989, vol. XXII, pp. 165-75</w:t>
            </w:r>
            <w:r>
              <w:rPr>
                <w:rStyle w:val="FootnoteReference"/>
                <w:rFonts w:asciiTheme="majorBidi" w:hAnsiTheme="majorBidi" w:cstheme="majorBidi"/>
                <w:sz w:val="24"/>
                <w:szCs w:val="24"/>
              </w:rPr>
              <w:footnoteReference w:id="303"/>
            </w:r>
          </w:p>
        </w:tc>
      </w:tr>
      <w:tr w:rsidR="001E02F1" w:rsidRPr="00F24C06" w14:paraId="52FEA2A3" w14:textId="77777777" w:rsidTr="00CD23AA">
        <w:tc>
          <w:tcPr>
            <w:tcW w:w="0" w:type="auto"/>
          </w:tcPr>
          <w:p w14:paraId="69501E36"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Year 78 (697-8)</w:t>
            </w:r>
          </w:p>
        </w:tc>
        <w:tc>
          <w:tcPr>
            <w:tcW w:w="0" w:type="auto"/>
          </w:tcPr>
          <w:p w14:paraId="41A3E0F9"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 xml:space="preserve">Al-Muhallab replaced Umayyah ibn </w:t>
            </w:r>
            <w:r w:rsidRPr="006B23F6">
              <w:rPr>
                <w:rFonts w:asciiTheme="majorBidi" w:hAnsiTheme="majorBidi" w:cstheme="majorBidi"/>
                <w:sz w:val="24"/>
                <w:szCs w:val="24"/>
              </w:rPr>
              <w:t>ʿAbdallāh</w:t>
            </w:r>
            <w:r>
              <w:rPr>
                <w:rFonts w:asciiTheme="majorBidi" w:hAnsiTheme="majorBidi" w:cstheme="majorBidi"/>
                <w:sz w:val="24"/>
                <w:szCs w:val="24"/>
              </w:rPr>
              <w:t xml:space="preserve"> as governor of Khurasan. </w:t>
            </w:r>
          </w:p>
        </w:tc>
        <w:tc>
          <w:tcPr>
            <w:tcW w:w="0" w:type="auto"/>
          </w:tcPr>
          <w:p w14:paraId="46FA84C0"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Al-Muhallab (697/8-702/3)</w:t>
            </w:r>
          </w:p>
        </w:tc>
        <w:tc>
          <w:tcPr>
            <w:tcW w:w="0" w:type="auto"/>
          </w:tcPr>
          <w:p w14:paraId="13C3A0DB" w14:textId="2441E364"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pp.  612-</w:t>
            </w:r>
            <w:r w:rsidR="00C82407">
              <w:rPr>
                <w:rFonts w:asciiTheme="majorBidi" w:hAnsiTheme="majorBidi" w:cstheme="majorBidi"/>
                <w:sz w:val="24"/>
                <w:szCs w:val="24"/>
              </w:rPr>
              <w:t xml:space="preserve">3; </w:t>
            </w:r>
            <w:r w:rsidR="00C82407" w:rsidRPr="00C82407">
              <w:rPr>
                <w:rFonts w:asciiTheme="majorBidi" w:hAnsiTheme="majorBidi" w:cstheme="majorBidi"/>
                <w:sz w:val="24"/>
                <w:szCs w:val="24"/>
              </w:rPr>
              <w:t>tr.</w:t>
            </w:r>
            <w:r>
              <w:rPr>
                <w:rFonts w:asciiTheme="majorBidi" w:hAnsiTheme="majorBidi" w:cstheme="majorBidi"/>
                <w:sz w:val="24"/>
                <w:szCs w:val="24"/>
              </w:rPr>
              <w:t>, 1989, vol. XXII, pp. 178-80</w:t>
            </w:r>
            <w:r>
              <w:rPr>
                <w:rStyle w:val="FootnoteReference"/>
                <w:rFonts w:asciiTheme="majorBidi" w:hAnsiTheme="majorBidi" w:cstheme="majorBidi"/>
                <w:sz w:val="24"/>
                <w:szCs w:val="24"/>
              </w:rPr>
              <w:footnoteReference w:id="304"/>
            </w:r>
          </w:p>
        </w:tc>
      </w:tr>
      <w:tr w:rsidR="001E02F1" w:rsidRPr="00F24C06" w14:paraId="1CA2FD68" w14:textId="77777777" w:rsidTr="00CD23AA">
        <w:tc>
          <w:tcPr>
            <w:tcW w:w="0" w:type="auto"/>
          </w:tcPr>
          <w:p w14:paraId="0DB22015"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Year 80 (699-700)</w:t>
            </w:r>
          </w:p>
        </w:tc>
        <w:tc>
          <w:tcPr>
            <w:tcW w:w="0" w:type="auto"/>
          </w:tcPr>
          <w:p w14:paraId="05858971"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Al-Muhallab campaigned in Kish for two years. His son Yazīd led an expedition to al-Khuttal. When Baḥīr was murdered in year 81 (700-701), al-Muhallab was camping in Akharūn.</w:t>
            </w:r>
          </w:p>
        </w:tc>
        <w:tc>
          <w:tcPr>
            <w:tcW w:w="0" w:type="auto"/>
          </w:tcPr>
          <w:p w14:paraId="6EF67649"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Al-Muhallab</w:t>
            </w:r>
          </w:p>
        </w:tc>
        <w:tc>
          <w:tcPr>
            <w:tcW w:w="0" w:type="auto"/>
          </w:tcPr>
          <w:p w14:paraId="0024BE3E" w14:textId="02C074EC"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pp. 616-</w:t>
            </w:r>
            <w:r w:rsidR="00C82407">
              <w:rPr>
                <w:rFonts w:asciiTheme="majorBidi" w:hAnsiTheme="majorBidi" w:cstheme="majorBidi"/>
                <w:sz w:val="24"/>
                <w:szCs w:val="24"/>
              </w:rPr>
              <w:t xml:space="preserve">7; </w:t>
            </w:r>
            <w:r w:rsidR="00C82407" w:rsidRPr="00C82407">
              <w:rPr>
                <w:rFonts w:asciiTheme="majorBidi" w:hAnsiTheme="majorBidi" w:cstheme="majorBidi"/>
                <w:sz w:val="24"/>
                <w:szCs w:val="24"/>
              </w:rPr>
              <w:t>tr.</w:t>
            </w:r>
            <w:r>
              <w:rPr>
                <w:rFonts w:asciiTheme="majorBidi" w:hAnsiTheme="majorBidi" w:cstheme="majorBidi"/>
                <w:sz w:val="24"/>
                <w:szCs w:val="24"/>
              </w:rPr>
              <w:t>, 1989, vol. XXII,</w:t>
            </w:r>
            <w:r w:rsidR="006C581D">
              <w:rPr>
                <w:rFonts w:asciiTheme="majorBidi" w:hAnsiTheme="majorBidi" w:cstheme="majorBidi"/>
                <w:sz w:val="24"/>
                <w:szCs w:val="24"/>
              </w:rPr>
              <w:t xml:space="preserve"> </w:t>
            </w:r>
            <w:r>
              <w:rPr>
                <w:rFonts w:asciiTheme="majorBidi" w:hAnsiTheme="majorBidi" w:cstheme="majorBidi"/>
                <w:sz w:val="24"/>
                <w:szCs w:val="24"/>
              </w:rPr>
              <w:t>pp. 188-90</w:t>
            </w:r>
            <w:r>
              <w:rPr>
                <w:rStyle w:val="FootnoteReference"/>
                <w:rFonts w:asciiTheme="majorBidi" w:hAnsiTheme="majorBidi" w:cstheme="majorBidi"/>
                <w:sz w:val="24"/>
                <w:szCs w:val="24"/>
              </w:rPr>
              <w:footnoteReference w:id="305"/>
            </w:r>
          </w:p>
        </w:tc>
      </w:tr>
      <w:tr w:rsidR="001E02F1" w:rsidRPr="00F24C06" w14:paraId="654BD03E" w14:textId="77777777" w:rsidTr="00CD23AA">
        <w:tc>
          <w:tcPr>
            <w:tcW w:w="0" w:type="auto"/>
          </w:tcPr>
          <w:p w14:paraId="33E0510E"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Year 82 (701-2)</w:t>
            </w:r>
          </w:p>
        </w:tc>
        <w:tc>
          <w:tcPr>
            <w:tcW w:w="0" w:type="auto"/>
          </w:tcPr>
          <w:p w14:paraId="3F9258E2"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Al-Muhallab imposed tribute on Kish. On his way back to Marw, his son Yazīd met a band of Turks numbering 150 in the desert of Nasaf. Ḥurayth also met the same band of Turks on his way back to Marw. Al-</w:t>
            </w:r>
            <w:r>
              <w:rPr>
                <w:rFonts w:asciiTheme="majorBidi" w:hAnsiTheme="majorBidi" w:cstheme="majorBidi"/>
                <w:sz w:val="24"/>
                <w:szCs w:val="24"/>
              </w:rPr>
              <w:lastRenderedPageBreak/>
              <w:t>Muhallab crossed the Oxus and stopped in Balkh for a certain period of time before continuing for Marw.</w:t>
            </w:r>
          </w:p>
        </w:tc>
        <w:tc>
          <w:tcPr>
            <w:tcW w:w="0" w:type="auto"/>
          </w:tcPr>
          <w:p w14:paraId="6C68A4EC"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lastRenderedPageBreak/>
              <w:t>Al-Muhallab</w:t>
            </w:r>
          </w:p>
        </w:tc>
        <w:tc>
          <w:tcPr>
            <w:tcW w:w="0" w:type="auto"/>
          </w:tcPr>
          <w:p w14:paraId="058BF53D" w14:textId="05B6F431"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pp. 631-</w:t>
            </w:r>
            <w:r w:rsidR="00C82407">
              <w:rPr>
                <w:rFonts w:asciiTheme="majorBidi" w:hAnsiTheme="majorBidi" w:cstheme="majorBidi"/>
                <w:sz w:val="24"/>
                <w:szCs w:val="24"/>
              </w:rPr>
              <w:t xml:space="preserve">4; </w:t>
            </w:r>
            <w:r w:rsidR="00C82407" w:rsidRPr="00C82407">
              <w:rPr>
                <w:rFonts w:asciiTheme="majorBidi" w:hAnsiTheme="majorBidi" w:cstheme="majorBidi"/>
                <w:sz w:val="24"/>
                <w:szCs w:val="24"/>
              </w:rPr>
              <w:t>tr.</w:t>
            </w:r>
            <w:r>
              <w:rPr>
                <w:rFonts w:asciiTheme="majorBidi" w:hAnsiTheme="majorBidi" w:cstheme="majorBidi"/>
                <w:sz w:val="24"/>
                <w:szCs w:val="24"/>
              </w:rPr>
              <w:t xml:space="preserve">, 1990, vol. XXIII, </w:t>
            </w:r>
            <w:r>
              <w:rPr>
                <w:rFonts w:asciiTheme="majorBidi" w:hAnsiTheme="majorBidi" w:cstheme="majorBidi"/>
                <w:sz w:val="24"/>
                <w:szCs w:val="24"/>
              </w:rPr>
              <w:lastRenderedPageBreak/>
              <w:t>pp. 27-33</w:t>
            </w:r>
            <w:r>
              <w:rPr>
                <w:rStyle w:val="FootnoteReference"/>
                <w:rFonts w:asciiTheme="majorBidi" w:hAnsiTheme="majorBidi" w:cstheme="majorBidi"/>
                <w:sz w:val="24"/>
                <w:szCs w:val="24"/>
              </w:rPr>
              <w:footnoteReference w:id="306"/>
            </w:r>
          </w:p>
        </w:tc>
      </w:tr>
      <w:tr w:rsidR="001E02F1" w:rsidRPr="00F24C06" w14:paraId="4CB7F263" w14:textId="77777777" w:rsidTr="00CD23AA">
        <w:tc>
          <w:tcPr>
            <w:tcW w:w="0" w:type="auto"/>
          </w:tcPr>
          <w:p w14:paraId="2880C55F"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lastRenderedPageBreak/>
              <w:t>Year 83 (702-703)</w:t>
            </w:r>
          </w:p>
        </w:tc>
        <w:tc>
          <w:tcPr>
            <w:tcW w:w="0" w:type="auto"/>
          </w:tcPr>
          <w:p w14:paraId="6F20A819"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Yazīd defeated part of ῾Abd al-Raḥmān’s army who seized Herat and sent the captives to al-Ḥajjāj.</w:t>
            </w:r>
          </w:p>
        </w:tc>
        <w:tc>
          <w:tcPr>
            <w:tcW w:w="0" w:type="auto"/>
          </w:tcPr>
          <w:p w14:paraId="52DDB813"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Yazīd b. al-Muhallab (701/2-704)</w:t>
            </w:r>
          </w:p>
        </w:tc>
        <w:tc>
          <w:tcPr>
            <w:tcW w:w="0" w:type="auto"/>
          </w:tcPr>
          <w:p w14:paraId="1EEB8772" w14:textId="56C2A349"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pp. 642-4;</w:t>
            </w:r>
            <w:r w:rsidR="00C82407" w:rsidRPr="00C82407">
              <w:rPr>
                <w:rFonts w:asciiTheme="majorBidi" w:hAnsiTheme="majorBidi" w:cstheme="majorBidi"/>
                <w:sz w:val="24"/>
                <w:szCs w:val="24"/>
              </w:rPr>
              <w:t xml:space="preserve"> tr.</w:t>
            </w:r>
            <w:r>
              <w:rPr>
                <w:rFonts w:asciiTheme="majorBidi" w:hAnsiTheme="majorBidi" w:cstheme="majorBidi"/>
                <w:sz w:val="24"/>
                <w:szCs w:val="24"/>
              </w:rPr>
              <w:t>, 1990, vol.  XXIII, pp. 52-7</w:t>
            </w:r>
            <w:r>
              <w:rPr>
                <w:rStyle w:val="FootnoteReference"/>
                <w:rFonts w:asciiTheme="majorBidi" w:hAnsiTheme="majorBidi" w:cstheme="majorBidi"/>
                <w:sz w:val="24"/>
                <w:szCs w:val="24"/>
              </w:rPr>
              <w:footnoteReference w:id="307"/>
            </w:r>
          </w:p>
        </w:tc>
      </w:tr>
      <w:tr w:rsidR="001E02F1" w:rsidRPr="00F24C06" w14:paraId="66B2EE01" w14:textId="77777777" w:rsidTr="00CD23AA">
        <w:tc>
          <w:tcPr>
            <w:tcW w:w="0" w:type="auto"/>
          </w:tcPr>
          <w:p w14:paraId="47DA8EDD"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Year 84 (703-704)</w:t>
            </w:r>
          </w:p>
        </w:tc>
        <w:tc>
          <w:tcPr>
            <w:tcW w:w="0" w:type="auto"/>
          </w:tcPr>
          <w:p w14:paraId="26A79864" w14:textId="77777777" w:rsidR="001E02F1" w:rsidRPr="00813ABA" w:rsidRDefault="001E02F1" w:rsidP="00CD23AA">
            <w:pPr>
              <w:spacing w:line="360" w:lineRule="auto"/>
              <w:rPr>
                <w:rFonts w:asciiTheme="majorBidi" w:hAnsiTheme="majorBidi" w:cstheme="majorBidi"/>
                <w:b/>
                <w:bCs/>
                <w:sz w:val="24"/>
                <w:szCs w:val="24"/>
              </w:rPr>
            </w:pPr>
            <w:r>
              <w:rPr>
                <w:rFonts w:asciiTheme="majorBidi" w:hAnsiTheme="majorBidi" w:cstheme="majorBidi"/>
                <w:sz w:val="24"/>
                <w:szCs w:val="24"/>
              </w:rPr>
              <w:t>Yazīd b. al-Muhallab took Nīzak’s fortress in Bādghīs by guile.</w:t>
            </w:r>
          </w:p>
        </w:tc>
        <w:tc>
          <w:tcPr>
            <w:tcW w:w="0" w:type="auto"/>
          </w:tcPr>
          <w:p w14:paraId="068E0195" w14:textId="77777777"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Yazīd b. al-Muhallab</w:t>
            </w:r>
          </w:p>
        </w:tc>
        <w:tc>
          <w:tcPr>
            <w:tcW w:w="0" w:type="auto"/>
          </w:tcPr>
          <w:p w14:paraId="10DF6F06" w14:textId="03FF1D29" w:rsidR="001E02F1" w:rsidRPr="00F24C06"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pp. 650-1;</w:t>
            </w:r>
            <w:r w:rsidR="00C82407" w:rsidRPr="00C82407">
              <w:rPr>
                <w:rFonts w:asciiTheme="majorBidi" w:hAnsiTheme="majorBidi" w:cstheme="majorBidi"/>
                <w:sz w:val="24"/>
                <w:szCs w:val="24"/>
              </w:rPr>
              <w:t xml:space="preserve"> tr.</w:t>
            </w:r>
            <w:r>
              <w:rPr>
                <w:rFonts w:asciiTheme="majorBidi" w:hAnsiTheme="majorBidi" w:cstheme="majorBidi"/>
                <w:sz w:val="24"/>
                <w:szCs w:val="24"/>
              </w:rPr>
              <w:t>, 1990, vol.  XXIII, pp. 74-6</w:t>
            </w:r>
            <w:r>
              <w:rPr>
                <w:rStyle w:val="FootnoteReference"/>
                <w:rFonts w:asciiTheme="majorBidi" w:hAnsiTheme="majorBidi" w:cstheme="majorBidi"/>
                <w:sz w:val="24"/>
                <w:szCs w:val="24"/>
              </w:rPr>
              <w:footnoteReference w:id="308"/>
            </w:r>
          </w:p>
        </w:tc>
      </w:tr>
      <w:tr w:rsidR="001E02F1" w:rsidRPr="00F24C06" w14:paraId="119E77A3" w14:textId="77777777" w:rsidTr="00CD23AA">
        <w:tc>
          <w:tcPr>
            <w:tcW w:w="0" w:type="auto"/>
          </w:tcPr>
          <w:p w14:paraId="7961785F" w14:textId="77777777" w:rsidR="001E02F1"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Year 85 (704-705)</w:t>
            </w:r>
          </w:p>
        </w:tc>
        <w:tc>
          <w:tcPr>
            <w:tcW w:w="0" w:type="auto"/>
          </w:tcPr>
          <w:p w14:paraId="4A64BE9B" w14:textId="0F462B62" w:rsidR="001E02F1" w:rsidRPr="007F1248" w:rsidRDefault="001E02F1" w:rsidP="00CA1063">
            <w:pPr>
              <w:spacing w:line="360" w:lineRule="auto"/>
              <w:rPr>
                <w:rFonts w:ascii="SimSun" w:eastAsia="SimSun" w:hAnsi="SimSun" w:cs="SimSun"/>
                <w:sz w:val="24"/>
                <w:szCs w:val="24"/>
              </w:rPr>
            </w:pPr>
            <w:r>
              <w:rPr>
                <w:rFonts w:asciiTheme="majorBidi" w:hAnsiTheme="majorBidi" w:cstheme="majorBidi"/>
                <w:sz w:val="24"/>
                <w:szCs w:val="24"/>
              </w:rPr>
              <w:t xml:space="preserve">Al-Mufaḍḍal replaced by his brother Yazīd as governor of Khurasan for nine months before </w:t>
            </w:r>
            <w:r w:rsidR="00CA1063">
              <w:rPr>
                <w:rFonts w:asciiTheme="majorBidi" w:hAnsiTheme="majorBidi" w:cstheme="majorBidi"/>
                <w:sz w:val="24"/>
                <w:szCs w:val="24"/>
              </w:rPr>
              <w:t xml:space="preserve">the coming of </w:t>
            </w:r>
            <w:r w:rsidR="00D452C1">
              <w:rPr>
                <w:rFonts w:asciiTheme="majorBidi" w:hAnsiTheme="majorBidi" w:cstheme="majorBidi"/>
                <w:sz w:val="24"/>
                <w:szCs w:val="24"/>
              </w:rPr>
              <w:t>Qutayba</w:t>
            </w:r>
            <w:r w:rsidR="00CA1063">
              <w:rPr>
                <w:rFonts w:asciiTheme="majorBidi" w:hAnsiTheme="majorBidi" w:cstheme="majorBidi"/>
                <w:sz w:val="24"/>
                <w:szCs w:val="24"/>
              </w:rPr>
              <w:t xml:space="preserve">, and he </w:t>
            </w:r>
            <w:r>
              <w:rPr>
                <w:rFonts w:asciiTheme="majorBidi" w:hAnsiTheme="majorBidi" w:cstheme="majorBidi"/>
                <w:sz w:val="24"/>
                <w:szCs w:val="24"/>
              </w:rPr>
              <w:t>conquered Bādghīs and campaigned in Akharūn and Shūmān (pp. 88-9). He called al-Sabal, king of Khuttal and Ṭarkhūn, king of Samarkand, namely both the Turks and the Sogdians to fight Mūsā in Tirmidh.</w:t>
            </w:r>
          </w:p>
        </w:tc>
        <w:tc>
          <w:tcPr>
            <w:tcW w:w="0" w:type="auto"/>
          </w:tcPr>
          <w:p w14:paraId="15F1205F" w14:textId="5EDCFA40" w:rsidR="001E02F1"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 xml:space="preserve">Al-Mufaḍḍal (704-705); </w:t>
            </w:r>
            <w:r w:rsidR="00D452C1">
              <w:rPr>
                <w:rFonts w:asciiTheme="majorBidi" w:hAnsiTheme="majorBidi" w:cstheme="majorBidi"/>
                <w:sz w:val="24"/>
                <w:szCs w:val="24"/>
              </w:rPr>
              <w:t>Qutayba</w:t>
            </w:r>
            <w:r>
              <w:rPr>
                <w:rFonts w:asciiTheme="majorBidi" w:hAnsiTheme="majorBidi" w:cstheme="majorBidi"/>
                <w:sz w:val="24"/>
                <w:szCs w:val="24"/>
              </w:rPr>
              <w:t xml:space="preserve"> b. Muslim (705-715)</w:t>
            </w:r>
          </w:p>
        </w:tc>
        <w:tc>
          <w:tcPr>
            <w:tcW w:w="0" w:type="auto"/>
          </w:tcPr>
          <w:p w14:paraId="5E738ABE" w14:textId="6D0E681D" w:rsidR="001E02F1"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pp. 654-64;</w:t>
            </w:r>
            <w:r w:rsidR="00C82407" w:rsidRPr="00C82407">
              <w:rPr>
                <w:rFonts w:asciiTheme="majorBidi" w:hAnsiTheme="majorBidi" w:cstheme="majorBidi"/>
                <w:sz w:val="24"/>
                <w:szCs w:val="24"/>
              </w:rPr>
              <w:t xml:space="preserve"> tr.</w:t>
            </w:r>
            <w:r>
              <w:rPr>
                <w:rFonts w:asciiTheme="majorBidi" w:hAnsiTheme="majorBidi" w:cstheme="majorBidi"/>
                <w:sz w:val="24"/>
                <w:szCs w:val="24"/>
              </w:rPr>
              <w:t>, 1990, vol.  XXIII, pp. 83-108</w:t>
            </w:r>
            <w:r>
              <w:rPr>
                <w:rStyle w:val="FootnoteReference"/>
                <w:rFonts w:asciiTheme="majorBidi" w:hAnsiTheme="majorBidi" w:cstheme="majorBidi"/>
                <w:sz w:val="24"/>
                <w:szCs w:val="24"/>
              </w:rPr>
              <w:footnoteReference w:id="309"/>
            </w:r>
          </w:p>
        </w:tc>
      </w:tr>
      <w:tr w:rsidR="001E02F1" w:rsidRPr="00F24C06" w14:paraId="0CDE1D25" w14:textId="77777777" w:rsidTr="00CD23AA">
        <w:tc>
          <w:tcPr>
            <w:tcW w:w="0" w:type="auto"/>
          </w:tcPr>
          <w:p w14:paraId="07606F2D" w14:textId="77777777" w:rsidR="001E02F1"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lastRenderedPageBreak/>
              <w:t>Year 86 (705)</w:t>
            </w:r>
          </w:p>
        </w:tc>
        <w:tc>
          <w:tcPr>
            <w:tcW w:w="0" w:type="auto"/>
          </w:tcPr>
          <w:p w14:paraId="1995C55A" w14:textId="7B81731F" w:rsidR="001E02F1" w:rsidRDefault="00D452C1" w:rsidP="00CD23AA">
            <w:pPr>
              <w:spacing w:line="360" w:lineRule="auto"/>
              <w:rPr>
                <w:rFonts w:asciiTheme="majorBidi" w:hAnsiTheme="majorBidi" w:cstheme="majorBidi"/>
                <w:sz w:val="24"/>
                <w:szCs w:val="24"/>
              </w:rPr>
            </w:pPr>
            <w:r>
              <w:rPr>
                <w:rFonts w:asciiTheme="majorBidi" w:hAnsiTheme="majorBidi" w:cstheme="majorBidi"/>
                <w:sz w:val="24"/>
                <w:szCs w:val="24"/>
              </w:rPr>
              <w:t>Qutayba</w:t>
            </w:r>
            <w:r w:rsidR="001E02F1">
              <w:rPr>
                <w:rFonts w:asciiTheme="majorBidi" w:hAnsiTheme="majorBidi" w:cstheme="majorBidi"/>
                <w:sz w:val="24"/>
                <w:szCs w:val="24"/>
              </w:rPr>
              <w:t xml:space="preserve"> crushed the revolt in Balkh, and restored the king of Chaghāniyān, who was expelled by the</w:t>
            </w:r>
            <w:r w:rsidR="00CA1063">
              <w:rPr>
                <w:rFonts w:asciiTheme="majorBidi" w:hAnsiTheme="majorBidi" w:cstheme="majorBidi"/>
                <w:sz w:val="24"/>
                <w:szCs w:val="24"/>
              </w:rPr>
              <w:t xml:space="preserve"> rulers</w:t>
            </w:r>
            <w:r w:rsidR="001E02F1">
              <w:rPr>
                <w:rFonts w:asciiTheme="majorBidi" w:hAnsiTheme="majorBidi" w:cstheme="majorBidi"/>
                <w:sz w:val="24"/>
                <w:szCs w:val="24"/>
              </w:rPr>
              <w:t xml:space="preserve"> of Akharūn and Shūmān. The dihqāns and dignitaries of Balkh met </w:t>
            </w:r>
            <w:r>
              <w:rPr>
                <w:rFonts w:asciiTheme="majorBidi" w:hAnsiTheme="majorBidi" w:cstheme="majorBidi"/>
                <w:sz w:val="24"/>
                <w:szCs w:val="24"/>
              </w:rPr>
              <w:t>Qutayba</w:t>
            </w:r>
            <w:r w:rsidR="001E02F1">
              <w:rPr>
                <w:rFonts w:asciiTheme="majorBidi" w:hAnsiTheme="majorBidi" w:cstheme="majorBidi"/>
                <w:sz w:val="24"/>
                <w:szCs w:val="24"/>
              </w:rPr>
              <w:t xml:space="preserve"> in Tālaqān and traveled with him to Balkh. Additionally, he appointed Ṣāliḥ over Tirmidh.</w:t>
            </w:r>
          </w:p>
        </w:tc>
        <w:tc>
          <w:tcPr>
            <w:tcW w:w="0" w:type="auto"/>
          </w:tcPr>
          <w:p w14:paraId="21C0C36C" w14:textId="44A2FF58" w:rsidR="001E02F1" w:rsidRDefault="00D452C1" w:rsidP="00CD23AA">
            <w:pPr>
              <w:spacing w:line="360" w:lineRule="auto"/>
              <w:rPr>
                <w:rFonts w:asciiTheme="majorBidi" w:hAnsiTheme="majorBidi" w:cstheme="majorBidi"/>
                <w:sz w:val="24"/>
                <w:szCs w:val="24"/>
              </w:rPr>
            </w:pPr>
            <w:r>
              <w:rPr>
                <w:rFonts w:asciiTheme="majorBidi" w:hAnsiTheme="majorBidi" w:cstheme="majorBidi"/>
                <w:sz w:val="24"/>
                <w:szCs w:val="24"/>
              </w:rPr>
              <w:t>Qutayba</w:t>
            </w:r>
            <w:r w:rsidR="001E02F1">
              <w:rPr>
                <w:rFonts w:asciiTheme="majorBidi" w:hAnsiTheme="majorBidi" w:cstheme="majorBidi"/>
                <w:sz w:val="24"/>
                <w:szCs w:val="24"/>
              </w:rPr>
              <w:t xml:space="preserve"> b. Muslim</w:t>
            </w:r>
          </w:p>
        </w:tc>
        <w:tc>
          <w:tcPr>
            <w:tcW w:w="0" w:type="auto"/>
          </w:tcPr>
          <w:p w14:paraId="7B15C2C6" w14:textId="5CBCFF8B" w:rsidR="001E02F1"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pp. 670-1;</w:t>
            </w:r>
            <w:r w:rsidR="00C82407" w:rsidRPr="00C82407">
              <w:rPr>
                <w:rFonts w:asciiTheme="majorBidi" w:hAnsiTheme="majorBidi" w:cstheme="majorBidi"/>
                <w:sz w:val="24"/>
                <w:szCs w:val="24"/>
              </w:rPr>
              <w:t xml:space="preserve"> tr.</w:t>
            </w:r>
            <w:r>
              <w:rPr>
                <w:rFonts w:asciiTheme="majorBidi" w:hAnsiTheme="majorBidi" w:cstheme="majorBidi"/>
                <w:sz w:val="24"/>
                <w:szCs w:val="24"/>
              </w:rPr>
              <w:t>, 1990, vol. XXIII, pp. 126-9</w:t>
            </w:r>
            <w:r>
              <w:rPr>
                <w:rStyle w:val="FootnoteReference"/>
                <w:rFonts w:asciiTheme="majorBidi" w:hAnsiTheme="majorBidi" w:cstheme="majorBidi"/>
                <w:sz w:val="24"/>
                <w:szCs w:val="24"/>
              </w:rPr>
              <w:footnoteReference w:id="310"/>
            </w:r>
          </w:p>
        </w:tc>
      </w:tr>
      <w:tr w:rsidR="001E02F1" w:rsidRPr="00F24C06" w14:paraId="0ED3B515" w14:textId="77777777" w:rsidTr="00CD23AA">
        <w:tc>
          <w:tcPr>
            <w:tcW w:w="0" w:type="auto"/>
          </w:tcPr>
          <w:p w14:paraId="4010C79E" w14:textId="77777777" w:rsidR="001E02F1"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Year 87 (705-6)</w:t>
            </w:r>
          </w:p>
        </w:tc>
        <w:tc>
          <w:tcPr>
            <w:tcW w:w="0" w:type="auto"/>
          </w:tcPr>
          <w:p w14:paraId="5EC6D48F" w14:textId="5E5249E9" w:rsidR="001E02F1" w:rsidRDefault="00D452C1" w:rsidP="00CD23AA">
            <w:pPr>
              <w:spacing w:line="360" w:lineRule="auto"/>
              <w:rPr>
                <w:rFonts w:asciiTheme="majorBidi" w:hAnsiTheme="majorBidi" w:cstheme="majorBidi"/>
                <w:sz w:val="24"/>
                <w:szCs w:val="24"/>
              </w:rPr>
            </w:pPr>
            <w:r>
              <w:rPr>
                <w:rFonts w:asciiTheme="majorBidi" w:hAnsiTheme="majorBidi" w:cstheme="majorBidi"/>
                <w:sz w:val="24"/>
                <w:szCs w:val="24"/>
              </w:rPr>
              <w:t>Qutayba</w:t>
            </w:r>
            <w:r w:rsidR="001E02F1">
              <w:rPr>
                <w:rFonts w:asciiTheme="majorBidi" w:hAnsiTheme="majorBidi" w:cstheme="majorBidi"/>
                <w:sz w:val="24"/>
                <w:szCs w:val="24"/>
              </w:rPr>
              <w:t xml:space="preserve"> required Nīzak to set free the Muslim prisoners and signed a treaty with him, promising not to enter Bādghīs. </w:t>
            </w:r>
            <w:r>
              <w:rPr>
                <w:rFonts w:asciiTheme="majorBidi" w:hAnsiTheme="majorBidi" w:cstheme="majorBidi"/>
                <w:sz w:val="24"/>
                <w:szCs w:val="24"/>
              </w:rPr>
              <w:t>Qutayba</w:t>
            </w:r>
            <w:r w:rsidR="001E02F1">
              <w:rPr>
                <w:rFonts w:asciiTheme="majorBidi" w:hAnsiTheme="majorBidi" w:cstheme="majorBidi"/>
                <w:sz w:val="24"/>
                <w:szCs w:val="24"/>
              </w:rPr>
              <w:t xml:space="preserve"> conquered Paykand.</w:t>
            </w:r>
          </w:p>
        </w:tc>
        <w:tc>
          <w:tcPr>
            <w:tcW w:w="0" w:type="auto"/>
          </w:tcPr>
          <w:p w14:paraId="0CD55BD4" w14:textId="584B6922" w:rsidR="001E02F1" w:rsidRDefault="00D452C1" w:rsidP="00CD23AA">
            <w:pPr>
              <w:spacing w:line="360" w:lineRule="auto"/>
              <w:rPr>
                <w:rFonts w:asciiTheme="majorBidi" w:hAnsiTheme="majorBidi" w:cstheme="majorBidi"/>
                <w:sz w:val="24"/>
                <w:szCs w:val="24"/>
              </w:rPr>
            </w:pPr>
            <w:r>
              <w:rPr>
                <w:rFonts w:asciiTheme="majorBidi" w:hAnsiTheme="majorBidi" w:cstheme="majorBidi"/>
                <w:sz w:val="24"/>
                <w:szCs w:val="24"/>
              </w:rPr>
              <w:t>Qutayba</w:t>
            </w:r>
            <w:r w:rsidR="001E02F1">
              <w:rPr>
                <w:rFonts w:asciiTheme="majorBidi" w:hAnsiTheme="majorBidi" w:cstheme="majorBidi"/>
                <w:sz w:val="24"/>
                <w:szCs w:val="24"/>
              </w:rPr>
              <w:t xml:space="preserve"> b. Muslim</w:t>
            </w:r>
          </w:p>
        </w:tc>
        <w:tc>
          <w:tcPr>
            <w:tcW w:w="0" w:type="auto"/>
          </w:tcPr>
          <w:p w14:paraId="70307A60" w14:textId="59A45D9F" w:rsidR="001E02F1"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pp. 673-5;</w:t>
            </w:r>
            <w:r w:rsidR="00C82407" w:rsidRPr="00C82407">
              <w:rPr>
                <w:rFonts w:asciiTheme="majorBidi" w:hAnsiTheme="majorBidi" w:cstheme="majorBidi"/>
                <w:sz w:val="24"/>
                <w:szCs w:val="24"/>
              </w:rPr>
              <w:t xml:space="preserve"> tr.</w:t>
            </w:r>
            <w:r>
              <w:rPr>
                <w:rFonts w:asciiTheme="majorBidi" w:hAnsiTheme="majorBidi" w:cstheme="majorBidi"/>
                <w:sz w:val="24"/>
                <w:szCs w:val="24"/>
              </w:rPr>
              <w:t>, 1990, vol.  XXIII, pp. 133-8</w:t>
            </w:r>
            <w:r>
              <w:rPr>
                <w:rStyle w:val="FootnoteReference"/>
                <w:rFonts w:asciiTheme="majorBidi" w:hAnsiTheme="majorBidi" w:cstheme="majorBidi"/>
                <w:sz w:val="24"/>
                <w:szCs w:val="24"/>
              </w:rPr>
              <w:footnoteReference w:id="311"/>
            </w:r>
          </w:p>
        </w:tc>
      </w:tr>
      <w:tr w:rsidR="001E02F1" w:rsidRPr="00F24C06" w14:paraId="1B1AF3AC" w14:textId="77777777" w:rsidTr="00CD23AA">
        <w:tc>
          <w:tcPr>
            <w:tcW w:w="0" w:type="auto"/>
          </w:tcPr>
          <w:p w14:paraId="6AD69203" w14:textId="77777777" w:rsidR="001E02F1"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Year 88 (706-7)</w:t>
            </w:r>
          </w:p>
        </w:tc>
        <w:tc>
          <w:tcPr>
            <w:tcW w:w="0" w:type="auto"/>
          </w:tcPr>
          <w:p w14:paraId="44AC5D73" w14:textId="7053CF13" w:rsidR="001E02F1" w:rsidRDefault="00D452C1" w:rsidP="00CD23AA">
            <w:pPr>
              <w:spacing w:line="360" w:lineRule="auto"/>
              <w:rPr>
                <w:rFonts w:asciiTheme="majorBidi" w:hAnsiTheme="majorBidi" w:cstheme="majorBidi"/>
                <w:sz w:val="24"/>
                <w:szCs w:val="24"/>
              </w:rPr>
            </w:pPr>
            <w:r>
              <w:rPr>
                <w:rFonts w:asciiTheme="majorBidi" w:hAnsiTheme="majorBidi" w:cstheme="majorBidi"/>
                <w:sz w:val="24"/>
                <w:szCs w:val="24"/>
              </w:rPr>
              <w:t>Qutayba</w:t>
            </w:r>
            <w:r w:rsidR="001E02F1">
              <w:rPr>
                <w:rFonts w:asciiTheme="majorBidi" w:hAnsiTheme="majorBidi" w:cstheme="majorBidi"/>
                <w:sz w:val="24"/>
                <w:szCs w:val="24"/>
              </w:rPr>
              <w:t xml:space="preserve"> campaigned against Tūmushkath. The Arabs encountered the Turks and the Sogdians when leaving for Marw by Tirmidh and Balkh.</w:t>
            </w:r>
          </w:p>
        </w:tc>
        <w:tc>
          <w:tcPr>
            <w:tcW w:w="0" w:type="auto"/>
          </w:tcPr>
          <w:p w14:paraId="2389CF09" w14:textId="4B7E4701" w:rsidR="001E02F1" w:rsidRDefault="00D452C1" w:rsidP="00CD23AA">
            <w:pPr>
              <w:spacing w:line="360" w:lineRule="auto"/>
              <w:rPr>
                <w:rFonts w:asciiTheme="majorBidi" w:hAnsiTheme="majorBidi" w:cstheme="majorBidi"/>
                <w:sz w:val="24"/>
                <w:szCs w:val="24"/>
              </w:rPr>
            </w:pPr>
            <w:r>
              <w:rPr>
                <w:rFonts w:asciiTheme="majorBidi" w:hAnsiTheme="majorBidi" w:cstheme="majorBidi"/>
                <w:sz w:val="24"/>
                <w:szCs w:val="24"/>
              </w:rPr>
              <w:t>Qutayba</w:t>
            </w:r>
            <w:r w:rsidR="001E02F1">
              <w:rPr>
                <w:rFonts w:asciiTheme="majorBidi" w:hAnsiTheme="majorBidi" w:cstheme="majorBidi"/>
                <w:sz w:val="24"/>
                <w:szCs w:val="24"/>
              </w:rPr>
              <w:t xml:space="preserve"> b. Muslim</w:t>
            </w:r>
          </w:p>
        </w:tc>
        <w:tc>
          <w:tcPr>
            <w:tcW w:w="0" w:type="auto"/>
          </w:tcPr>
          <w:p w14:paraId="78D83FF8" w14:textId="11A88CB5" w:rsidR="001E02F1"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 xml:space="preserve">2001, vol. 3, p. 677; </w:t>
            </w:r>
            <w:r w:rsidR="00C82407" w:rsidRPr="00C82407">
              <w:rPr>
                <w:rFonts w:asciiTheme="majorBidi" w:hAnsiTheme="majorBidi" w:cstheme="majorBidi"/>
                <w:sz w:val="24"/>
                <w:szCs w:val="24"/>
              </w:rPr>
              <w:t>tr.</w:t>
            </w:r>
            <w:r>
              <w:rPr>
                <w:rFonts w:asciiTheme="majorBidi" w:hAnsiTheme="majorBidi" w:cstheme="majorBidi"/>
                <w:sz w:val="24"/>
                <w:szCs w:val="24"/>
              </w:rPr>
              <w:t>, 1990, vol.  XXIII, pp. 143-4</w:t>
            </w:r>
            <w:r>
              <w:rPr>
                <w:rStyle w:val="FootnoteReference"/>
                <w:rFonts w:asciiTheme="majorBidi" w:hAnsiTheme="majorBidi" w:cstheme="majorBidi"/>
                <w:sz w:val="24"/>
                <w:szCs w:val="24"/>
              </w:rPr>
              <w:footnoteReference w:id="312"/>
            </w:r>
          </w:p>
        </w:tc>
      </w:tr>
      <w:tr w:rsidR="001E02F1" w:rsidRPr="00F24C06" w14:paraId="76D689BA" w14:textId="77777777" w:rsidTr="00CD23AA">
        <w:tc>
          <w:tcPr>
            <w:tcW w:w="0" w:type="auto"/>
          </w:tcPr>
          <w:p w14:paraId="7402DA95" w14:textId="77777777" w:rsidR="001E02F1"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Year 89 (707-</w:t>
            </w:r>
            <w:r>
              <w:rPr>
                <w:rFonts w:asciiTheme="majorBidi" w:hAnsiTheme="majorBidi" w:cstheme="majorBidi"/>
                <w:sz w:val="24"/>
                <w:szCs w:val="24"/>
              </w:rPr>
              <w:lastRenderedPageBreak/>
              <w:t>8)</w:t>
            </w:r>
          </w:p>
        </w:tc>
        <w:tc>
          <w:tcPr>
            <w:tcW w:w="0" w:type="auto"/>
          </w:tcPr>
          <w:p w14:paraId="2C8882D0" w14:textId="585564EE" w:rsidR="001E02F1" w:rsidRDefault="00D452C1" w:rsidP="00CD23AA">
            <w:pPr>
              <w:spacing w:line="360" w:lineRule="auto"/>
              <w:rPr>
                <w:rFonts w:asciiTheme="majorBidi" w:hAnsiTheme="majorBidi" w:cstheme="majorBidi"/>
                <w:sz w:val="24"/>
                <w:szCs w:val="24"/>
              </w:rPr>
            </w:pPr>
            <w:r>
              <w:rPr>
                <w:rFonts w:asciiTheme="majorBidi" w:hAnsiTheme="majorBidi" w:cstheme="majorBidi"/>
                <w:sz w:val="24"/>
                <w:szCs w:val="24"/>
              </w:rPr>
              <w:lastRenderedPageBreak/>
              <w:t>Qutayba</w:t>
            </w:r>
            <w:r w:rsidR="001E02F1">
              <w:rPr>
                <w:rFonts w:asciiTheme="majorBidi" w:hAnsiTheme="majorBidi" w:cstheme="majorBidi"/>
                <w:sz w:val="24"/>
                <w:szCs w:val="24"/>
              </w:rPr>
              <w:t xml:space="preserve"> fought Wardān Khudhāh, king of Bukhara.</w:t>
            </w:r>
          </w:p>
        </w:tc>
        <w:tc>
          <w:tcPr>
            <w:tcW w:w="0" w:type="auto"/>
          </w:tcPr>
          <w:p w14:paraId="0C0F22A2" w14:textId="3246A71A" w:rsidR="001E02F1" w:rsidRDefault="00D452C1" w:rsidP="00CD23AA">
            <w:pPr>
              <w:spacing w:line="360" w:lineRule="auto"/>
              <w:rPr>
                <w:rFonts w:asciiTheme="majorBidi" w:hAnsiTheme="majorBidi" w:cstheme="majorBidi"/>
                <w:sz w:val="24"/>
                <w:szCs w:val="24"/>
              </w:rPr>
            </w:pPr>
            <w:r>
              <w:rPr>
                <w:rFonts w:asciiTheme="majorBidi" w:hAnsiTheme="majorBidi" w:cstheme="majorBidi"/>
                <w:sz w:val="24"/>
                <w:szCs w:val="24"/>
              </w:rPr>
              <w:t>Qutayba</w:t>
            </w:r>
            <w:r w:rsidR="001E02F1">
              <w:rPr>
                <w:rFonts w:asciiTheme="majorBidi" w:hAnsiTheme="majorBidi" w:cstheme="majorBidi"/>
                <w:sz w:val="24"/>
                <w:szCs w:val="24"/>
              </w:rPr>
              <w:t xml:space="preserve"> b. Muslim</w:t>
            </w:r>
          </w:p>
        </w:tc>
        <w:tc>
          <w:tcPr>
            <w:tcW w:w="0" w:type="auto"/>
          </w:tcPr>
          <w:p w14:paraId="3BB055C0" w14:textId="0A2ABD78" w:rsidR="001E02F1"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 679;</w:t>
            </w:r>
            <w:r w:rsidR="00C82407" w:rsidRPr="00C82407">
              <w:rPr>
                <w:rFonts w:asciiTheme="majorBidi" w:hAnsiTheme="majorBidi" w:cstheme="majorBidi"/>
                <w:sz w:val="24"/>
                <w:szCs w:val="24"/>
              </w:rPr>
              <w:t xml:space="preserve"> tr.</w:t>
            </w:r>
            <w:r>
              <w:rPr>
                <w:rFonts w:asciiTheme="majorBidi" w:hAnsiTheme="majorBidi" w:cstheme="majorBidi"/>
                <w:sz w:val="24"/>
                <w:szCs w:val="24"/>
              </w:rPr>
              <w:t xml:space="preserve">, 1990, </w:t>
            </w:r>
            <w:r>
              <w:rPr>
                <w:rFonts w:asciiTheme="majorBidi" w:hAnsiTheme="majorBidi" w:cstheme="majorBidi"/>
                <w:sz w:val="24"/>
                <w:szCs w:val="24"/>
              </w:rPr>
              <w:lastRenderedPageBreak/>
              <w:t>vol.  XXIII, pp. 146-7</w:t>
            </w:r>
            <w:r>
              <w:rPr>
                <w:rStyle w:val="FootnoteReference"/>
                <w:rFonts w:asciiTheme="majorBidi" w:hAnsiTheme="majorBidi" w:cstheme="majorBidi"/>
                <w:sz w:val="24"/>
                <w:szCs w:val="24"/>
              </w:rPr>
              <w:footnoteReference w:id="313"/>
            </w:r>
          </w:p>
        </w:tc>
      </w:tr>
      <w:tr w:rsidR="001E02F1" w:rsidRPr="00F24C06" w14:paraId="26C38720" w14:textId="77777777" w:rsidTr="00CD23AA">
        <w:tc>
          <w:tcPr>
            <w:tcW w:w="0" w:type="auto"/>
          </w:tcPr>
          <w:p w14:paraId="1F6EA2C0" w14:textId="77777777" w:rsidR="001E02F1"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lastRenderedPageBreak/>
              <w:t>Year 90 (708-9)</w:t>
            </w:r>
          </w:p>
        </w:tc>
        <w:tc>
          <w:tcPr>
            <w:tcW w:w="0" w:type="auto"/>
          </w:tcPr>
          <w:p w14:paraId="72667517" w14:textId="0EBDD23E" w:rsidR="001E02F1" w:rsidRDefault="00D452C1" w:rsidP="00CD23AA">
            <w:pPr>
              <w:spacing w:line="360" w:lineRule="auto"/>
              <w:rPr>
                <w:rFonts w:asciiTheme="majorBidi" w:hAnsiTheme="majorBidi" w:cstheme="majorBidi"/>
                <w:sz w:val="24"/>
                <w:szCs w:val="24"/>
              </w:rPr>
            </w:pPr>
            <w:r>
              <w:rPr>
                <w:rFonts w:asciiTheme="majorBidi" w:hAnsiTheme="majorBidi" w:cstheme="majorBidi"/>
                <w:sz w:val="24"/>
                <w:szCs w:val="24"/>
              </w:rPr>
              <w:t>Qutayba</w:t>
            </w:r>
            <w:r w:rsidR="001E02F1">
              <w:rPr>
                <w:rFonts w:asciiTheme="majorBidi" w:hAnsiTheme="majorBidi" w:cstheme="majorBidi"/>
                <w:sz w:val="24"/>
                <w:szCs w:val="24"/>
              </w:rPr>
              <w:t xml:space="preserve"> besieged Bukhara and defeated the Turks and the Sogdians who came</w:t>
            </w:r>
            <w:r w:rsidR="00240E34">
              <w:rPr>
                <w:rFonts w:asciiTheme="majorBidi" w:hAnsiTheme="majorBidi" w:cstheme="majorBidi"/>
                <w:sz w:val="24"/>
                <w:szCs w:val="24"/>
              </w:rPr>
              <w:t xml:space="preserve"> for assistance</w:t>
            </w:r>
            <w:r w:rsidR="00E11C4F">
              <w:rPr>
                <w:rFonts w:asciiTheme="majorBidi" w:hAnsiTheme="majorBidi" w:cstheme="majorBidi"/>
                <w:sz w:val="24"/>
                <w:szCs w:val="24"/>
              </w:rPr>
              <w:t xml:space="preserve">, and </w:t>
            </w:r>
            <w:r w:rsidR="001E02F1">
              <w:rPr>
                <w:rFonts w:asciiTheme="majorBidi" w:hAnsiTheme="majorBidi" w:cstheme="majorBidi"/>
                <w:sz w:val="24"/>
                <w:szCs w:val="24"/>
              </w:rPr>
              <w:t xml:space="preserve">renewed his treaty with Ṭarkhūn. The Khāqān of the Turks and his son were wounded. Nīzak </w:t>
            </w:r>
            <w:r w:rsidR="00E11C4F">
              <w:rPr>
                <w:rFonts w:asciiTheme="majorBidi" w:hAnsiTheme="majorBidi" w:cstheme="majorBidi"/>
                <w:sz w:val="24"/>
                <w:szCs w:val="24"/>
              </w:rPr>
              <w:t>called</w:t>
            </w:r>
            <w:r w:rsidR="001E02F1">
              <w:rPr>
                <w:rFonts w:asciiTheme="majorBidi" w:hAnsiTheme="majorBidi" w:cstheme="majorBidi"/>
                <w:sz w:val="24"/>
                <w:szCs w:val="24"/>
              </w:rPr>
              <w:t xml:space="preserve"> Marw al-Rūd, Tālaqān, Fāryāb</w:t>
            </w:r>
            <w:r w:rsidR="00E11C4F">
              <w:rPr>
                <w:rFonts w:asciiTheme="majorBidi" w:hAnsiTheme="majorBidi" w:cstheme="majorBidi"/>
                <w:sz w:val="24"/>
                <w:szCs w:val="24"/>
              </w:rPr>
              <w:t xml:space="preserve">, </w:t>
            </w:r>
            <w:r w:rsidR="001E02F1">
              <w:rPr>
                <w:rFonts w:asciiTheme="majorBidi" w:hAnsiTheme="majorBidi" w:cstheme="majorBidi"/>
                <w:sz w:val="24"/>
                <w:szCs w:val="24"/>
              </w:rPr>
              <w:t>Gūzgān</w:t>
            </w:r>
            <w:r w:rsidR="00E11C4F">
              <w:rPr>
                <w:rFonts w:asciiTheme="majorBidi" w:hAnsiTheme="majorBidi" w:cstheme="majorBidi"/>
                <w:sz w:val="24"/>
                <w:szCs w:val="24"/>
              </w:rPr>
              <w:t xml:space="preserve"> and Balkh to rebel against Qutayba</w:t>
            </w:r>
            <w:r w:rsidR="001E02F1">
              <w:rPr>
                <w:rFonts w:asciiTheme="majorBidi" w:hAnsiTheme="majorBidi" w:cstheme="majorBidi"/>
                <w:sz w:val="24"/>
                <w:szCs w:val="24"/>
              </w:rPr>
              <w:t>.</w:t>
            </w:r>
          </w:p>
        </w:tc>
        <w:tc>
          <w:tcPr>
            <w:tcW w:w="0" w:type="auto"/>
          </w:tcPr>
          <w:p w14:paraId="5FA6EF49" w14:textId="58433443" w:rsidR="001E02F1" w:rsidRDefault="00D452C1" w:rsidP="00CD23AA">
            <w:pPr>
              <w:spacing w:line="360" w:lineRule="auto"/>
              <w:rPr>
                <w:rFonts w:asciiTheme="majorBidi" w:hAnsiTheme="majorBidi" w:cstheme="majorBidi"/>
                <w:sz w:val="24"/>
                <w:szCs w:val="24"/>
              </w:rPr>
            </w:pPr>
            <w:r>
              <w:rPr>
                <w:rFonts w:asciiTheme="majorBidi" w:hAnsiTheme="majorBidi" w:cstheme="majorBidi"/>
                <w:sz w:val="24"/>
                <w:szCs w:val="24"/>
              </w:rPr>
              <w:t>Qutayba</w:t>
            </w:r>
            <w:r w:rsidR="001E02F1">
              <w:rPr>
                <w:rFonts w:asciiTheme="majorBidi" w:hAnsiTheme="majorBidi" w:cstheme="majorBidi"/>
                <w:sz w:val="24"/>
                <w:szCs w:val="24"/>
              </w:rPr>
              <w:t xml:space="preserve"> b. Muslim</w:t>
            </w:r>
          </w:p>
        </w:tc>
        <w:tc>
          <w:tcPr>
            <w:tcW w:w="0" w:type="auto"/>
          </w:tcPr>
          <w:p w14:paraId="2236AE25" w14:textId="677C236D" w:rsidR="001E02F1"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3, pp. 681-4;</w:t>
            </w:r>
            <w:r w:rsidR="00C82407" w:rsidRPr="00C82407">
              <w:rPr>
                <w:rFonts w:asciiTheme="majorBidi" w:hAnsiTheme="majorBidi" w:cstheme="majorBidi"/>
                <w:sz w:val="24"/>
                <w:szCs w:val="24"/>
              </w:rPr>
              <w:t xml:space="preserve"> tr.</w:t>
            </w:r>
            <w:r>
              <w:rPr>
                <w:rFonts w:asciiTheme="majorBidi" w:hAnsiTheme="majorBidi" w:cstheme="majorBidi"/>
                <w:sz w:val="24"/>
                <w:szCs w:val="24"/>
              </w:rPr>
              <w:t>, 1990, vol. XXIII, pp. 150-6</w:t>
            </w:r>
            <w:r>
              <w:rPr>
                <w:rStyle w:val="FootnoteReference"/>
                <w:rFonts w:asciiTheme="majorBidi" w:hAnsiTheme="majorBidi" w:cstheme="majorBidi"/>
                <w:sz w:val="24"/>
                <w:szCs w:val="24"/>
              </w:rPr>
              <w:footnoteReference w:id="314"/>
            </w:r>
          </w:p>
        </w:tc>
      </w:tr>
      <w:tr w:rsidR="001E02F1" w:rsidRPr="00F24C06" w14:paraId="25F748D5" w14:textId="77777777" w:rsidTr="00CD23AA">
        <w:tc>
          <w:tcPr>
            <w:tcW w:w="0" w:type="auto"/>
          </w:tcPr>
          <w:p w14:paraId="3623AD9E" w14:textId="77777777" w:rsidR="001E02F1"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Year 91 (709-10)</w:t>
            </w:r>
          </w:p>
        </w:tc>
        <w:tc>
          <w:tcPr>
            <w:tcW w:w="0" w:type="auto"/>
          </w:tcPr>
          <w:p w14:paraId="11C85BD2" w14:textId="53335A6F" w:rsidR="001E02F1" w:rsidRDefault="00D452C1" w:rsidP="00CD23AA">
            <w:pPr>
              <w:spacing w:line="360" w:lineRule="auto"/>
              <w:rPr>
                <w:rFonts w:asciiTheme="majorBidi" w:hAnsiTheme="majorBidi" w:cstheme="majorBidi"/>
                <w:sz w:val="24"/>
                <w:szCs w:val="24"/>
              </w:rPr>
            </w:pPr>
            <w:r>
              <w:rPr>
                <w:rFonts w:asciiTheme="majorBidi" w:hAnsiTheme="majorBidi" w:cstheme="majorBidi"/>
                <w:sz w:val="24"/>
                <w:szCs w:val="24"/>
              </w:rPr>
              <w:t>Qutayba</w:t>
            </w:r>
            <w:r w:rsidR="001E02F1">
              <w:rPr>
                <w:rFonts w:asciiTheme="majorBidi" w:hAnsiTheme="majorBidi" w:cstheme="majorBidi"/>
                <w:sz w:val="24"/>
                <w:szCs w:val="24"/>
              </w:rPr>
              <w:t xml:space="preserve"> captured and </w:t>
            </w:r>
            <w:r w:rsidR="00F34F09">
              <w:rPr>
                <w:rFonts w:asciiTheme="majorBidi" w:hAnsiTheme="majorBidi" w:cstheme="majorBidi"/>
                <w:sz w:val="24"/>
                <w:szCs w:val="24"/>
              </w:rPr>
              <w:t>crucifie</w:t>
            </w:r>
            <w:r w:rsidR="001E02F1">
              <w:rPr>
                <w:rFonts w:asciiTheme="majorBidi" w:hAnsiTheme="majorBidi" w:cstheme="majorBidi"/>
                <w:sz w:val="24"/>
                <w:szCs w:val="24"/>
              </w:rPr>
              <w:t>d Nīzak</w:t>
            </w:r>
            <w:r w:rsidR="00F34F09">
              <w:rPr>
                <w:rFonts w:asciiTheme="majorBidi" w:hAnsiTheme="majorBidi" w:cstheme="majorBidi"/>
                <w:sz w:val="24"/>
                <w:szCs w:val="24"/>
              </w:rPr>
              <w:t>, and subjugated</w:t>
            </w:r>
            <w:r w:rsidR="001E02F1">
              <w:rPr>
                <w:rFonts w:asciiTheme="majorBidi" w:hAnsiTheme="majorBidi" w:cstheme="majorBidi"/>
                <w:sz w:val="24"/>
                <w:szCs w:val="24"/>
              </w:rPr>
              <w:t xml:space="preserve"> Marw al-Rūd, Tālaqān, Fāryāb and Gūzgān. </w:t>
            </w:r>
            <w:r w:rsidR="00CA1063">
              <w:rPr>
                <w:rFonts w:asciiTheme="majorBidi" w:hAnsiTheme="majorBidi" w:cstheme="majorBidi"/>
                <w:sz w:val="24"/>
                <w:szCs w:val="24"/>
              </w:rPr>
              <w:t xml:space="preserve">He then </w:t>
            </w:r>
            <w:r w:rsidR="001E02F1">
              <w:rPr>
                <w:rFonts w:asciiTheme="majorBidi" w:hAnsiTheme="majorBidi" w:cstheme="majorBidi"/>
                <w:sz w:val="24"/>
                <w:szCs w:val="24"/>
              </w:rPr>
              <w:t xml:space="preserve">conquered Shūmān, Kish and Nasaf for a second time. The king of Shūmān threw out </w:t>
            </w:r>
            <w:r>
              <w:rPr>
                <w:rFonts w:asciiTheme="majorBidi" w:hAnsiTheme="majorBidi" w:cstheme="majorBidi"/>
                <w:sz w:val="24"/>
                <w:szCs w:val="24"/>
              </w:rPr>
              <w:t>Qutayba</w:t>
            </w:r>
            <w:r w:rsidR="001E02F1">
              <w:rPr>
                <w:rFonts w:asciiTheme="majorBidi" w:hAnsiTheme="majorBidi" w:cstheme="majorBidi"/>
                <w:sz w:val="24"/>
                <w:szCs w:val="24"/>
              </w:rPr>
              <w:t>'s governor and withheld the tribute. Ṭarkhūn was replaced by Ghūrak as king of Samarkand.</w:t>
            </w:r>
          </w:p>
        </w:tc>
        <w:tc>
          <w:tcPr>
            <w:tcW w:w="0" w:type="auto"/>
          </w:tcPr>
          <w:p w14:paraId="4E773D76" w14:textId="51B07098" w:rsidR="001E02F1" w:rsidRDefault="00D452C1" w:rsidP="00CD23AA">
            <w:pPr>
              <w:spacing w:line="360" w:lineRule="auto"/>
              <w:rPr>
                <w:rFonts w:asciiTheme="majorBidi" w:hAnsiTheme="majorBidi" w:cstheme="majorBidi"/>
                <w:sz w:val="24"/>
                <w:szCs w:val="24"/>
              </w:rPr>
            </w:pPr>
            <w:r>
              <w:rPr>
                <w:rFonts w:asciiTheme="majorBidi" w:hAnsiTheme="majorBidi" w:cstheme="majorBidi"/>
                <w:sz w:val="24"/>
                <w:szCs w:val="24"/>
              </w:rPr>
              <w:t>Qutayba</w:t>
            </w:r>
            <w:r w:rsidR="001E02F1">
              <w:rPr>
                <w:rFonts w:asciiTheme="majorBidi" w:hAnsiTheme="majorBidi" w:cstheme="majorBidi"/>
                <w:sz w:val="24"/>
                <w:szCs w:val="24"/>
              </w:rPr>
              <w:t xml:space="preserve"> b. Muslim</w:t>
            </w:r>
          </w:p>
        </w:tc>
        <w:tc>
          <w:tcPr>
            <w:tcW w:w="0" w:type="auto"/>
          </w:tcPr>
          <w:p w14:paraId="4F7DBE38" w14:textId="3B448906" w:rsidR="001E02F1" w:rsidRDefault="001E02F1" w:rsidP="00CD23AA">
            <w:pPr>
              <w:spacing w:line="360" w:lineRule="auto"/>
              <w:rPr>
                <w:rFonts w:asciiTheme="majorBidi" w:hAnsiTheme="majorBidi" w:cstheme="majorBidi"/>
                <w:sz w:val="24"/>
                <w:szCs w:val="24"/>
              </w:rPr>
            </w:pPr>
            <w:r>
              <w:rPr>
                <w:rFonts w:asciiTheme="majorBidi" w:hAnsiTheme="majorBidi" w:cstheme="majorBidi"/>
                <w:sz w:val="24"/>
                <w:szCs w:val="24"/>
              </w:rPr>
              <w:t>2001, vol. 4, pp. 3-8;</w:t>
            </w:r>
            <w:r w:rsidR="00C82407" w:rsidRPr="00C82407">
              <w:rPr>
                <w:rFonts w:asciiTheme="majorBidi" w:hAnsiTheme="majorBidi" w:cstheme="majorBidi"/>
                <w:sz w:val="24"/>
                <w:szCs w:val="24"/>
              </w:rPr>
              <w:t xml:space="preserve"> tr.</w:t>
            </w:r>
            <w:r>
              <w:rPr>
                <w:rFonts w:asciiTheme="majorBidi" w:hAnsiTheme="majorBidi" w:cstheme="majorBidi"/>
                <w:sz w:val="24"/>
                <w:szCs w:val="24"/>
              </w:rPr>
              <w:t>, 1990, vol. XXIII, pp. 164-77</w:t>
            </w:r>
            <w:r>
              <w:rPr>
                <w:rStyle w:val="FootnoteReference"/>
                <w:rFonts w:asciiTheme="majorBidi" w:hAnsiTheme="majorBidi" w:cstheme="majorBidi"/>
                <w:sz w:val="24"/>
                <w:szCs w:val="24"/>
              </w:rPr>
              <w:footnoteReference w:id="315"/>
            </w:r>
          </w:p>
        </w:tc>
      </w:tr>
      <w:bookmarkEnd w:id="21"/>
    </w:tbl>
    <w:p w14:paraId="0E12A4D6" w14:textId="77777777" w:rsidR="001623A5" w:rsidRDefault="001623A5">
      <w:pPr>
        <w:widowControl/>
        <w:jc w:val="left"/>
        <w:rPr>
          <w:rFonts w:asciiTheme="majorBidi" w:eastAsiaTheme="majorEastAsia" w:hAnsiTheme="majorBidi" w:cstheme="majorBidi"/>
          <w:b/>
          <w:bCs/>
          <w:sz w:val="24"/>
          <w:szCs w:val="24"/>
        </w:rPr>
      </w:pPr>
      <w:r>
        <w:rPr>
          <w:rFonts w:asciiTheme="majorBidi" w:hAnsiTheme="majorBidi"/>
          <w:sz w:val="24"/>
          <w:szCs w:val="24"/>
        </w:rPr>
        <w:br w:type="page"/>
      </w:r>
    </w:p>
    <w:p w14:paraId="5F00678E" w14:textId="2B12A8A0" w:rsidR="00C52A05" w:rsidRPr="0038085F" w:rsidRDefault="007E0EE0" w:rsidP="007E0EE0">
      <w:pPr>
        <w:pStyle w:val="Heading2"/>
        <w:rPr>
          <w:rFonts w:asciiTheme="majorBidi" w:hAnsiTheme="majorBidi"/>
          <w:sz w:val="24"/>
          <w:szCs w:val="24"/>
        </w:rPr>
      </w:pPr>
      <w:bookmarkStart w:id="22" w:name="_Toc91623887"/>
      <w:r w:rsidRPr="0038085F">
        <w:rPr>
          <w:rFonts w:asciiTheme="majorBidi" w:hAnsiTheme="majorBidi"/>
          <w:sz w:val="24"/>
          <w:szCs w:val="24"/>
        </w:rPr>
        <w:lastRenderedPageBreak/>
        <w:t>B</w:t>
      </w:r>
      <w:r w:rsidRPr="0038085F">
        <w:rPr>
          <w:rFonts w:asciiTheme="majorBidi" w:hAnsiTheme="majorBidi" w:hint="eastAsia"/>
          <w:sz w:val="24"/>
          <w:szCs w:val="24"/>
        </w:rPr>
        <w:t>ibliography</w:t>
      </w:r>
      <w:bookmarkEnd w:id="22"/>
    </w:p>
    <w:p w14:paraId="66DF7EE6" w14:textId="77777777" w:rsidR="00C96017" w:rsidRDefault="00C96017" w:rsidP="007B09B6">
      <w:pPr>
        <w:spacing w:line="360" w:lineRule="auto"/>
        <w:rPr>
          <w:rFonts w:asciiTheme="majorBidi" w:hAnsiTheme="majorBidi" w:cstheme="majorBidi"/>
          <w:sz w:val="24"/>
          <w:szCs w:val="24"/>
        </w:rPr>
      </w:pPr>
      <w:r>
        <w:rPr>
          <w:rFonts w:asciiTheme="majorBidi" w:hAnsiTheme="majorBidi" w:cstheme="majorBidi"/>
          <w:sz w:val="24"/>
          <w:szCs w:val="24"/>
        </w:rPr>
        <w:t>Primary sources</w:t>
      </w:r>
    </w:p>
    <w:p w14:paraId="0AA00F8C" w14:textId="77777777" w:rsidR="00526CDE" w:rsidRDefault="00526CDE" w:rsidP="00526CDE">
      <w:pPr>
        <w:spacing w:line="360" w:lineRule="auto"/>
        <w:rPr>
          <w:rFonts w:asciiTheme="majorBidi" w:hAnsiTheme="majorBidi" w:cstheme="majorBidi"/>
          <w:sz w:val="24"/>
          <w:szCs w:val="24"/>
        </w:rPr>
      </w:pPr>
      <w:r>
        <w:rPr>
          <w:rFonts w:asciiTheme="majorBidi" w:hAnsiTheme="majorBidi" w:cstheme="majorBidi"/>
          <w:sz w:val="24"/>
          <w:szCs w:val="24"/>
        </w:rPr>
        <w:t xml:space="preserve">Abolqasem Ferdowsi, </w:t>
      </w:r>
      <w:r w:rsidRPr="00A83329">
        <w:rPr>
          <w:rFonts w:asciiTheme="majorBidi" w:hAnsiTheme="majorBidi" w:cstheme="majorBidi"/>
          <w:i/>
          <w:iCs/>
          <w:sz w:val="24"/>
          <w:szCs w:val="24"/>
        </w:rPr>
        <w:t>Shahnameh: the Persian Book of Kings</w:t>
      </w:r>
      <w:r>
        <w:rPr>
          <w:rFonts w:asciiTheme="majorBidi" w:hAnsiTheme="majorBidi" w:cstheme="majorBidi"/>
          <w:sz w:val="24"/>
          <w:szCs w:val="24"/>
        </w:rPr>
        <w:t>, translated by Davis, Dick, London, Penguin Books, 2006.</w:t>
      </w:r>
    </w:p>
    <w:p w14:paraId="1D92FB0C" w14:textId="2AB5B907" w:rsidR="00241C45" w:rsidRDefault="00241C45" w:rsidP="00626337">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Abū Zayd al-Sīrāfī, </w:t>
      </w:r>
      <w:r w:rsidRPr="008B0D29">
        <w:rPr>
          <w:rFonts w:asciiTheme="majorBidi" w:hAnsiTheme="majorBidi" w:cstheme="majorBidi"/>
          <w:i/>
          <w:iCs/>
          <w:sz w:val="24"/>
          <w:szCs w:val="24"/>
        </w:rPr>
        <w:t>Accounts of China and India</w:t>
      </w:r>
      <w:r>
        <w:rPr>
          <w:rFonts w:asciiTheme="majorBidi" w:hAnsiTheme="majorBidi" w:cstheme="majorBidi"/>
          <w:sz w:val="24"/>
          <w:szCs w:val="24"/>
        </w:rPr>
        <w:t>, translated by Mackintosh-Smith, Tim, New York, New York University Press, 2014.</w:t>
      </w:r>
    </w:p>
    <w:p w14:paraId="68DFF5E6" w14:textId="13DC7667" w:rsidR="0010363C" w:rsidRDefault="0010363C" w:rsidP="0010363C">
      <w:pPr>
        <w:spacing w:line="360" w:lineRule="auto"/>
        <w:rPr>
          <w:rFonts w:asciiTheme="majorBidi" w:hAnsiTheme="majorBidi" w:cstheme="majorBidi"/>
          <w:sz w:val="24"/>
          <w:szCs w:val="24"/>
        </w:rPr>
      </w:pPr>
      <w:r>
        <w:rPr>
          <w:rFonts w:asciiTheme="majorBidi" w:hAnsiTheme="majorBidi" w:cstheme="majorBidi"/>
          <w:sz w:val="24"/>
          <w:szCs w:val="24"/>
        </w:rPr>
        <w:t xml:space="preserve">Al-Balādhurī, </w:t>
      </w:r>
      <w:r w:rsidRPr="00364FAD">
        <w:rPr>
          <w:rFonts w:asciiTheme="majorBidi" w:hAnsiTheme="majorBidi" w:cstheme="majorBidi"/>
          <w:i/>
          <w:iCs/>
          <w:sz w:val="24"/>
          <w:szCs w:val="24"/>
        </w:rPr>
        <w:t>Futūḥ al-Buldān</w:t>
      </w:r>
      <w:r>
        <w:rPr>
          <w:rFonts w:asciiTheme="majorBidi" w:hAnsiTheme="majorBidi" w:cstheme="majorBidi"/>
          <w:sz w:val="24"/>
          <w:szCs w:val="24"/>
        </w:rPr>
        <w:t>, Beirut, Maktabah al-</w:t>
      </w:r>
      <w:proofErr w:type="gramStart"/>
      <w:r>
        <w:rPr>
          <w:rFonts w:asciiTheme="majorBidi" w:hAnsiTheme="majorBidi" w:cstheme="majorBidi"/>
          <w:sz w:val="24"/>
          <w:szCs w:val="24"/>
        </w:rPr>
        <w:t>Ma‘</w:t>
      </w:r>
      <w:proofErr w:type="gramEnd"/>
      <w:r>
        <w:rPr>
          <w:rFonts w:asciiTheme="majorBidi" w:hAnsiTheme="majorBidi" w:cstheme="majorBidi"/>
          <w:sz w:val="24"/>
          <w:szCs w:val="24"/>
        </w:rPr>
        <w:t>ārif, 1987.</w:t>
      </w:r>
    </w:p>
    <w:p w14:paraId="72E95756" w14:textId="75C4A435" w:rsidR="0010363C" w:rsidRDefault="0010363C" w:rsidP="0010363C">
      <w:pPr>
        <w:spacing w:line="360" w:lineRule="auto"/>
        <w:rPr>
          <w:rFonts w:asciiTheme="majorBidi" w:hAnsiTheme="majorBidi" w:cstheme="majorBidi"/>
          <w:sz w:val="24"/>
          <w:szCs w:val="24"/>
        </w:rPr>
      </w:pPr>
      <w:r>
        <w:rPr>
          <w:rFonts w:asciiTheme="majorBidi" w:hAnsiTheme="majorBidi" w:cstheme="majorBidi"/>
          <w:sz w:val="24"/>
          <w:szCs w:val="24"/>
        </w:rPr>
        <w:t xml:space="preserve">Al-Balādhurī, </w:t>
      </w:r>
      <w:r w:rsidRPr="00364FAD">
        <w:rPr>
          <w:rFonts w:asciiTheme="majorBidi" w:hAnsiTheme="majorBidi" w:cstheme="majorBidi"/>
          <w:i/>
          <w:iCs/>
          <w:sz w:val="24"/>
          <w:szCs w:val="24"/>
        </w:rPr>
        <w:t>The Origins of the Islamic State</w:t>
      </w:r>
      <w:r>
        <w:rPr>
          <w:rFonts w:asciiTheme="majorBidi" w:hAnsiTheme="majorBidi" w:cstheme="majorBidi"/>
          <w:sz w:val="24"/>
          <w:szCs w:val="24"/>
        </w:rPr>
        <w:t>, volume 1, translated by Ḥitti, Philip, New York, Columbia University Press, 1916.</w:t>
      </w:r>
    </w:p>
    <w:p w14:paraId="7CC875D3" w14:textId="55DB146D" w:rsidR="0010363C" w:rsidRDefault="0010363C" w:rsidP="0010363C">
      <w:pPr>
        <w:spacing w:line="360" w:lineRule="auto"/>
        <w:rPr>
          <w:rFonts w:asciiTheme="majorBidi" w:hAnsiTheme="majorBidi" w:cstheme="majorBidi"/>
          <w:sz w:val="24"/>
          <w:szCs w:val="24"/>
        </w:rPr>
      </w:pPr>
      <w:r>
        <w:rPr>
          <w:rFonts w:asciiTheme="majorBidi" w:hAnsiTheme="majorBidi" w:cstheme="majorBidi"/>
          <w:sz w:val="24"/>
          <w:szCs w:val="24"/>
        </w:rPr>
        <w:t xml:space="preserve">Al-Balādhurī, </w:t>
      </w:r>
      <w:r w:rsidRPr="00364FAD">
        <w:rPr>
          <w:rFonts w:asciiTheme="majorBidi" w:hAnsiTheme="majorBidi" w:cstheme="majorBidi"/>
          <w:i/>
          <w:iCs/>
          <w:sz w:val="24"/>
          <w:szCs w:val="24"/>
        </w:rPr>
        <w:t>The Origins of the Islamic State</w:t>
      </w:r>
      <w:r>
        <w:rPr>
          <w:rFonts w:asciiTheme="majorBidi" w:hAnsiTheme="majorBidi" w:cstheme="majorBidi"/>
          <w:sz w:val="24"/>
          <w:szCs w:val="24"/>
        </w:rPr>
        <w:t>, volume 2, translated by Murgotten, Francis, New York, Columbia University Press, 1924.</w:t>
      </w:r>
    </w:p>
    <w:p w14:paraId="50AB8126" w14:textId="4329E7BB" w:rsidR="00CE0B9E" w:rsidRDefault="00CE0B9E" w:rsidP="0010363C">
      <w:pPr>
        <w:spacing w:line="360" w:lineRule="auto"/>
        <w:rPr>
          <w:rFonts w:asciiTheme="majorBidi" w:hAnsiTheme="majorBidi" w:cstheme="majorBidi"/>
          <w:sz w:val="24"/>
          <w:szCs w:val="24"/>
        </w:rPr>
      </w:pPr>
      <w:r>
        <w:rPr>
          <w:rFonts w:asciiTheme="majorBidi" w:hAnsiTheme="majorBidi" w:cstheme="majorBidi"/>
          <w:sz w:val="24"/>
          <w:szCs w:val="24"/>
        </w:rPr>
        <w:t xml:space="preserve">Al-Bīrūnī, </w:t>
      </w:r>
      <w:r w:rsidR="00AB47F3" w:rsidRPr="00AB47F3">
        <w:rPr>
          <w:rFonts w:asciiTheme="majorBidi" w:hAnsiTheme="majorBidi" w:cstheme="majorBidi"/>
          <w:i/>
          <w:iCs/>
          <w:sz w:val="24"/>
          <w:szCs w:val="24"/>
        </w:rPr>
        <w:t>Kitāb al-Āthār al-Bāqiyah `an al-Qurūn al-Khāliyah</w:t>
      </w:r>
      <w:r w:rsidR="00AB47F3" w:rsidRPr="00AB47F3">
        <w:rPr>
          <w:rFonts w:asciiTheme="majorBidi" w:hAnsiTheme="majorBidi" w:cstheme="majorBidi"/>
          <w:sz w:val="24"/>
          <w:szCs w:val="24"/>
        </w:rPr>
        <w:t>, Lepzig, Otto Harrassowitz, 1923.</w:t>
      </w:r>
    </w:p>
    <w:p w14:paraId="39ABCB39" w14:textId="759061DC" w:rsidR="00AB47F3" w:rsidRDefault="00AB47F3" w:rsidP="0010363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AB47F3">
        <w:rPr>
          <w:rFonts w:asciiTheme="majorBidi" w:hAnsiTheme="majorBidi" w:cstheme="majorBidi"/>
          <w:i/>
          <w:iCs/>
          <w:sz w:val="24"/>
          <w:szCs w:val="24"/>
        </w:rPr>
        <w:t>The Chronology of Ancient Nations</w:t>
      </w:r>
      <w:r>
        <w:rPr>
          <w:rFonts w:asciiTheme="majorBidi" w:hAnsiTheme="majorBidi" w:cstheme="majorBidi"/>
          <w:sz w:val="24"/>
          <w:szCs w:val="24"/>
        </w:rPr>
        <w:t xml:space="preserve">, translated by Sachau, Edward, London, the Oriental Translation Fund of Great Britain &amp; Ireland, 1879. </w:t>
      </w:r>
    </w:p>
    <w:p w14:paraId="3F073AE5" w14:textId="23BDCDFB" w:rsidR="00330F0A" w:rsidRPr="00330F0A" w:rsidRDefault="00330F0A" w:rsidP="0010363C">
      <w:pPr>
        <w:spacing w:line="360" w:lineRule="auto"/>
        <w:rPr>
          <w:rFonts w:asciiTheme="majorBidi" w:hAnsiTheme="majorBidi" w:cstheme="majorBidi"/>
          <w:sz w:val="24"/>
          <w:szCs w:val="24"/>
        </w:rPr>
      </w:pPr>
      <w:r>
        <w:rPr>
          <w:rFonts w:asciiTheme="majorBidi" w:hAnsiTheme="majorBidi" w:cstheme="majorBidi"/>
          <w:sz w:val="24"/>
          <w:szCs w:val="24"/>
        </w:rPr>
        <w:t>A</w:t>
      </w:r>
      <w:r w:rsidRPr="00330F0A">
        <w:rPr>
          <w:rFonts w:asciiTheme="majorBidi" w:hAnsiTheme="majorBidi" w:cstheme="majorBidi"/>
          <w:sz w:val="24"/>
          <w:szCs w:val="24"/>
        </w:rPr>
        <w:t xml:space="preserve">l-Dīnawarī, </w:t>
      </w:r>
      <w:r w:rsidRPr="00330F0A">
        <w:rPr>
          <w:rFonts w:asciiTheme="majorBidi" w:hAnsiTheme="majorBidi" w:cstheme="majorBidi"/>
          <w:i/>
          <w:iCs/>
          <w:color w:val="202122"/>
          <w:sz w:val="24"/>
          <w:szCs w:val="24"/>
          <w:shd w:val="clear" w:color="auto" w:fill="FFFFFF"/>
        </w:rPr>
        <w:t>Kitāb al-akhbār al-ṭiwāl</w:t>
      </w:r>
      <w:r w:rsidRPr="00330F0A">
        <w:rPr>
          <w:rFonts w:asciiTheme="majorBidi" w:hAnsiTheme="majorBidi" w:cstheme="majorBidi"/>
          <w:color w:val="202122"/>
          <w:sz w:val="24"/>
          <w:szCs w:val="24"/>
          <w:shd w:val="clear" w:color="auto" w:fill="FFFFFF"/>
        </w:rPr>
        <w:t>, Leiden, Brill, 1888.</w:t>
      </w:r>
    </w:p>
    <w:p w14:paraId="499DD0A3" w14:textId="4D706480" w:rsidR="005849C2" w:rsidRDefault="005849C2" w:rsidP="005849C2">
      <w:pPr>
        <w:spacing w:line="360" w:lineRule="auto"/>
        <w:rPr>
          <w:rFonts w:asciiTheme="majorBidi" w:hAnsiTheme="majorBidi" w:cstheme="majorBidi"/>
          <w:color w:val="202122"/>
          <w:sz w:val="24"/>
          <w:szCs w:val="24"/>
          <w:shd w:val="clear" w:color="auto" w:fill="FFFFFF"/>
        </w:rPr>
      </w:pPr>
      <w:r>
        <w:rPr>
          <w:rFonts w:asciiTheme="majorBidi" w:hAnsiTheme="majorBidi" w:cstheme="majorBidi"/>
          <w:sz w:val="24"/>
          <w:szCs w:val="24"/>
        </w:rPr>
        <w:t xml:space="preserve">Al-Istakhrī, </w:t>
      </w:r>
      <w:r w:rsidRPr="00033E95">
        <w:rPr>
          <w:rFonts w:asciiTheme="majorBidi" w:hAnsiTheme="majorBidi" w:cstheme="majorBidi"/>
          <w:i/>
          <w:iCs/>
          <w:color w:val="202122"/>
          <w:sz w:val="24"/>
          <w:szCs w:val="24"/>
          <w:shd w:val="clear" w:color="auto" w:fill="FFFFFF"/>
        </w:rPr>
        <w:t>Kitāb al-Masālik wa'l-Mamālik</w:t>
      </w:r>
      <w:r w:rsidRPr="00F12DFD">
        <w:rPr>
          <w:rFonts w:asciiTheme="majorBidi" w:hAnsiTheme="majorBidi" w:cstheme="majorBidi"/>
          <w:color w:val="202122"/>
          <w:sz w:val="24"/>
          <w:szCs w:val="24"/>
          <w:shd w:val="clear" w:color="auto" w:fill="FFFFFF"/>
        </w:rPr>
        <w:t>, Leiden, Brill, 1927.</w:t>
      </w:r>
    </w:p>
    <w:p w14:paraId="6BCC6866" w14:textId="5BC2FF71" w:rsidR="006867BB" w:rsidRDefault="006867BB" w:rsidP="005849C2">
      <w:pPr>
        <w:spacing w:line="360" w:lineRule="auto"/>
        <w:rPr>
          <w:rFonts w:asciiTheme="majorBidi" w:hAnsiTheme="majorBidi" w:cstheme="majorBidi"/>
          <w:sz w:val="24"/>
          <w:szCs w:val="24"/>
        </w:rPr>
      </w:pPr>
      <w:r>
        <w:rPr>
          <w:rFonts w:asciiTheme="majorBidi" w:hAnsiTheme="majorBidi" w:cstheme="majorBidi"/>
          <w:sz w:val="24"/>
          <w:szCs w:val="24"/>
        </w:rPr>
        <w:t xml:space="preserve">Al-Kūfī, </w:t>
      </w:r>
      <w:r w:rsidRPr="00033E95">
        <w:rPr>
          <w:rFonts w:asciiTheme="majorBidi" w:hAnsiTheme="majorBidi" w:cstheme="majorBidi"/>
          <w:i/>
          <w:iCs/>
          <w:color w:val="202122"/>
          <w:sz w:val="24"/>
          <w:szCs w:val="24"/>
          <w:shd w:val="clear" w:color="auto" w:fill="FFFFFF"/>
        </w:rPr>
        <w:t>Kitāb</w:t>
      </w:r>
      <w:r>
        <w:rPr>
          <w:rFonts w:asciiTheme="majorBidi" w:hAnsiTheme="majorBidi" w:cstheme="majorBidi"/>
          <w:i/>
          <w:iCs/>
          <w:color w:val="202122"/>
          <w:sz w:val="24"/>
          <w:szCs w:val="24"/>
          <w:shd w:val="clear" w:color="auto" w:fill="FFFFFF"/>
        </w:rPr>
        <w:t xml:space="preserve"> al-</w:t>
      </w:r>
      <w:r w:rsidR="00C21F82">
        <w:rPr>
          <w:rFonts w:asciiTheme="majorBidi" w:hAnsiTheme="majorBidi" w:cstheme="majorBidi"/>
          <w:i/>
          <w:iCs/>
          <w:color w:val="202122"/>
          <w:sz w:val="24"/>
          <w:szCs w:val="24"/>
          <w:shd w:val="clear" w:color="auto" w:fill="FFFFFF"/>
        </w:rPr>
        <w:t>Fu</w:t>
      </w:r>
      <w:r w:rsidRPr="00364FAD">
        <w:rPr>
          <w:rFonts w:asciiTheme="majorBidi" w:hAnsiTheme="majorBidi" w:cstheme="majorBidi"/>
          <w:i/>
          <w:iCs/>
          <w:sz w:val="24"/>
          <w:szCs w:val="24"/>
        </w:rPr>
        <w:t>tūḥ</w:t>
      </w:r>
      <w:r w:rsidRPr="006867BB">
        <w:rPr>
          <w:rFonts w:asciiTheme="majorBidi" w:hAnsiTheme="majorBidi" w:cstheme="majorBidi"/>
          <w:sz w:val="24"/>
          <w:szCs w:val="24"/>
        </w:rPr>
        <w:t xml:space="preserve">, </w:t>
      </w:r>
      <w:r w:rsidR="0016407D">
        <w:rPr>
          <w:rFonts w:asciiTheme="majorBidi" w:hAnsiTheme="majorBidi" w:cstheme="majorBidi"/>
          <w:sz w:val="24"/>
          <w:szCs w:val="24"/>
        </w:rPr>
        <w:t>Hyderabad</w:t>
      </w:r>
      <w:r w:rsidR="001A518D">
        <w:rPr>
          <w:rFonts w:asciiTheme="majorBidi" w:hAnsiTheme="majorBidi" w:cstheme="majorBidi"/>
          <w:sz w:val="24"/>
          <w:szCs w:val="24"/>
        </w:rPr>
        <w:t xml:space="preserve">, </w:t>
      </w:r>
      <w:r w:rsidR="0016407D" w:rsidRPr="0016407D">
        <w:rPr>
          <w:rFonts w:asciiTheme="majorBidi" w:hAnsiTheme="majorBidi" w:cstheme="majorBidi"/>
          <w:sz w:val="24"/>
          <w:szCs w:val="24"/>
        </w:rPr>
        <w:t>Dairatul Ma'arifil Osmania</w:t>
      </w:r>
      <w:r w:rsidR="0016407D">
        <w:rPr>
          <w:rFonts w:asciiTheme="majorBidi" w:hAnsiTheme="majorBidi" w:cstheme="majorBidi"/>
          <w:sz w:val="24"/>
          <w:szCs w:val="24"/>
        </w:rPr>
        <w:t xml:space="preserve">, </w:t>
      </w:r>
      <w:r w:rsidR="007059FA">
        <w:rPr>
          <w:rFonts w:asciiTheme="majorBidi" w:hAnsiTheme="majorBidi" w:cstheme="majorBidi"/>
          <w:sz w:val="24"/>
          <w:szCs w:val="24"/>
        </w:rPr>
        <w:t xml:space="preserve">volumes 2, 4, 7, </w:t>
      </w:r>
      <w:r w:rsidR="0016407D">
        <w:rPr>
          <w:rFonts w:asciiTheme="majorBidi" w:hAnsiTheme="majorBidi" w:cstheme="majorBidi"/>
          <w:sz w:val="24"/>
          <w:szCs w:val="24"/>
        </w:rPr>
        <w:t>1975.</w:t>
      </w:r>
    </w:p>
    <w:p w14:paraId="2A391D7D" w14:textId="5BB70795" w:rsidR="00EA51F5" w:rsidRPr="00EA51F5" w:rsidRDefault="00EA51F5" w:rsidP="005849C2">
      <w:pPr>
        <w:spacing w:line="360" w:lineRule="auto"/>
        <w:rPr>
          <w:rFonts w:asciiTheme="majorBidi" w:hAnsiTheme="majorBidi" w:cstheme="majorBidi"/>
          <w:sz w:val="24"/>
          <w:szCs w:val="24"/>
        </w:rPr>
      </w:pPr>
      <w:r>
        <w:rPr>
          <w:rFonts w:asciiTheme="majorBidi" w:hAnsiTheme="majorBidi" w:cstheme="majorBidi"/>
          <w:sz w:val="24"/>
          <w:szCs w:val="24"/>
        </w:rPr>
        <w:t>Al-</w:t>
      </w:r>
      <w:r w:rsidRPr="00EA51F5">
        <w:rPr>
          <w:rFonts w:asciiTheme="majorBidi" w:hAnsiTheme="majorBidi" w:cstheme="majorBidi"/>
          <w:sz w:val="24"/>
          <w:szCs w:val="24"/>
        </w:rPr>
        <w:t>Masʿūdī,</w:t>
      </w:r>
      <w:r>
        <w:rPr>
          <w:rFonts w:asciiTheme="majorBidi" w:hAnsiTheme="majorBidi" w:cstheme="majorBidi"/>
          <w:sz w:val="24"/>
          <w:szCs w:val="24"/>
        </w:rPr>
        <w:t xml:space="preserve"> </w:t>
      </w:r>
      <w:r w:rsidRPr="00EA51F5">
        <w:rPr>
          <w:rFonts w:asciiTheme="majorBidi" w:hAnsiTheme="majorBidi" w:cstheme="majorBidi"/>
          <w:i/>
          <w:iCs/>
          <w:sz w:val="24"/>
          <w:szCs w:val="24"/>
        </w:rPr>
        <w:t>Kitāb Murūj aḏ-Ḏahab wa-Maʿādin al-Jawhar</w:t>
      </w:r>
      <w:r>
        <w:rPr>
          <w:rFonts w:asciiTheme="majorBidi" w:hAnsiTheme="majorBidi" w:cstheme="majorBidi"/>
          <w:sz w:val="24"/>
          <w:szCs w:val="24"/>
        </w:rPr>
        <w:t xml:space="preserve">, </w:t>
      </w:r>
      <w:r w:rsidR="00324AFC">
        <w:rPr>
          <w:rFonts w:asciiTheme="majorBidi" w:hAnsiTheme="majorBidi" w:cstheme="majorBidi"/>
          <w:sz w:val="24"/>
          <w:szCs w:val="24"/>
        </w:rPr>
        <w:t xml:space="preserve">volume II, Paris, </w:t>
      </w:r>
      <w:r w:rsidR="00324AFC" w:rsidRPr="00324AFC">
        <w:rPr>
          <w:rFonts w:asciiTheme="majorBidi" w:hAnsiTheme="majorBidi" w:cstheme="majorBidi"/>
          <w:sz w:val="24"/>
          <w:szCs w:val="24"/>
        </w:rPr>
        <w:t>L'Imprimerie impériale</w:t>
      </w:r>
      <w:r w:rsidR="00324AFC">
        <w:rPr>
          <w:rFonts w:asciiTheme="majorBidi" w:hAnsiTheme="majorBidi" w:cstheme="majorBidi"/>
          <w:sz w:val="24"/>
          <w:szCs w:val="24"/>
        </w:rPr>
        <w:t xml:space="preserve">, </w:t>
      </w:r>
      <w:r w:rsidR="00D52D0B">
        <w:rPr>
          <w:rFonts w:asciiTheme="majorBidi" w:hAnsiTheme="majorBidi" w:cstheme="majorBidi"/>
          <w:sz w:val="24"/>
          <w:szCs w:val="24"/>
        </w:rPr>
        <w:t>1863.</w:t>
      </w:r>
    </w:p>
    <w:p w14:paraId="53E66AD8" w14:textId="28ACC558" w:rsidR="005849C2" w:rsidRDefault="005849C2" w:rsidP="005849C2">
      <w:pPr>
        <w:spacing w:line="360" w:lineRule="auto"/>
        <w:rPr>
          <w:rFonts w:asciiTheme="majorBidi" w:hAnsiTheme="majorBidi" w:cstheme="majorBidi"/>
          <w:sz w:val="24"/>
          <w:szCs w:val="24"/>
        </w:rPr>
      </w:pPr>
      <w:r>
        <w:rPr>
          <w:rFonts w:asciiTheme="majorBidi" w:hAnsiTheme="majorBidi" w:cstheme="majorBidi"/>
          <w:sz w:val="24"/>
          <w:szCs w:val="24"/>
        </w:rPr>
        <w:t xml:space="preserve">Al-Muqaddasī, </w:t>
      </w:r>
      <w:r w:rsidRPr="00D0781F">
        <w:rPr>
          <w:rFonts w:asciiTheme="majorBidi" w:hAnsiTheme="majorBidi" w:cstheme="majorBidi"/>
          <w:i/>
          <w:iCs/>
          <w:sz w:val="24"/>
          <w:szCs w:val="24"/>
        </w:rPr>
        <w:t>Kitāb aḥsan al-taqāsīm fī maʿrifat al-aqālīm</w:t>
      </w:r>
      <w:r>
        <w:rPr>
          <w:rFonts w:asciiTheme="majorBidi" w:hAnsiTheme="majorBidi" w:cstheme="majorBidi"/>
          <w:sz w:val="24"/>
          <w:szCs w:val="24"/>
        </w:rPr>
        <w:t>, Leiden, Brill, 1906.</w:t>
      </w:r>
    </w:p>
    <w:p w14:paraId="071B78F2" w14:textId="2ABE28EF" w:rsidR="001734F1" w:rsidRDefault="001734F1" w:rsidP="001734F1">
      <w:pPr>
        <w:spacing w:line="360" w:lineRule="auto"/>
        <w:jc w:val="left"/>
        <w:rPr>
          <w:rFonts w:asciiTheme="majorBidi" w:hAnsiTheme="majorBidi" w:cstheme="majorBidi"/>
          <w:sz w:val="24"/>
          <w:szCs w:val="24"/>
        </w:rPr>
      </w:pPr>
      <w:r w:rsidRPr="00AB20F0">
        <w:rPr>
          <w:rFonts w:asciiTheme="majorBidi" w:hAnsiTheme="majorBidi" w:cstheme="majorBidi"/>
          <w:sz w:val="24"/>
          <w:szCs w:val="24"/>
        </w:rPr>
        <w:t>Al-Muqaddasī</w:t>
      </w:r>
      <w:r>
        <w:rPr>
          <w:rFonts w:asciiTheme="majorBidi" w:hAnsiTheme="majorBidi" w:cstheme="majorBidi"/>
          <w:sz w:val="24"/>
          <w:szCs w:val="24"/>
        </w:rPr>
        <w:t xml:space="preserve">, </w:t>
      </w:r>
      <w:r w:rsidRPr="00AB20F0">
        <w:rPr>
          <w:rFonts w:asciiTheme="majorBidi" w:hAnsiTheme="majorBidi" w:cstheme="majorBidi"/>
          <w:i/>
          <w:iCs/>
          <w:sz w:val="24"/>
          <w:szCs w:val="24"/>
        </w:rPr>
        <w:t>The Best Divisions for Knowledge of the Regions: Aḥsan al-Taqāsīm fī Maʿrifat al-Aqālīm</w:t>
      </w:r>
      <w:r>
        <w:rPr>
          <w:rFonts w:asciiTheme="majorBidi" w:hAnsiTheme="majorBidi" w:cstheme="majorBidi"/>
          <w:sz w:val="24"/>
          <w:szCs w:val="24"/>
        </w:rPr>
        <w:t>, translated by Collins, Basil, Calcutta, the Asiatic Society, 1897.</w:t>
      </w:r>
    </w:p>
    <w:p w14:paraId="6C83DFC5" w14:textId="4CEBE968" w:rsidR="001734F1" w:rsidRDefault="001734F1" w:rsidP="00717025">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Al-Narshakhi, </w:t>
      </w:r>
      <w:r w:rsidR="00717025">
        <w:rPr>
          <w:rFonts w:asciiTheme="majorBidi" w:hAnsiTheme="majorBidi" w:cstheme="majorBidi"/>
          <w:i/>
          <w:iCs/>
          <w:sz w:val="24"/>
          <w:szCs w:val="24"/>
        </w:rPr>
        <w:t>T</w:t>
      </w:r>
      <w:r w:rsidRPr="006E58CC">
        <w:rPr>
          <w:rFonts w:asciiTheme="majorBidi" w:hAnsiTheme="majorBidi" w:cstheme="majorBidi"/>
          <w:i/>
          <w:iCs/>
          <w:sz w:val="24"/>
          <w:szCs w:val="24"/>
        </w:rPr>
        <w:t>he History of Bukhara</w:t>
      </w:r>
      <w:r>
        <w:rPr>
          <w:rFonts w:asciiTheme="majorBidi" w:hAnsiTheme="majorBidi" w:cstheme="majorBidi"/>
          <w:sz w:val="24"/>
          <w:szCs w:val="24"/>
        </w:rPr>
        <w:t xml:space="preserve">, translated by Frye, Richard, </w:t>
      </w:r>
      <w:r w:rsidRPr="00D32ABA">
        <w:rPr>
          <w:rFonts w:asciiTheme="majorBidi" w:hAnsiTheme="majorBidi" w:cstheme="majorBidi"/>
          <w:sz w:val="24"/>
          <w:szCs w:val="24"/>
        </w:rPr>
        <w:t>Princeton, Markus</w:t>
      </w:r>
      <w:r w:rsidR="00717025">
        <w:rPr>
          <w:rFonts w:asciiTheme="majorBidi" w:hAnsiTheme="majorBidi" w:cstheme="majorBidi"/>
          <w:sz w:val="24"/>
          <w:szCs w:val="24"/>
        </w:rPr>
        <w:t xml:space="preserve"> </w:t>
      </w:r>
      <w:r w:rsidRPr="00D32ABA">
        <w:rPr>
          <w:rFonts w:asciiTheme="majorBidi" w:hAnsiTheme="majorBidi" w:cstheme="majorBidi"/>
          <w:sz w:val="24"/>
          <w:szCs w:val="24"/>
        </w:rPr>
        <w:t>Wiener Publishers, 2007.</w:t>
      </w:r>
    </w:p>
    <w:p w14:paraId="590ECF8C" w14:textId="2051E150" w:rsidR="00C67B7B" w:rsidRDefault="00C67B7B" w:rsidP="001734F1">
      <w:pPr>
        <w:spacing w:line="360" w:lineRule="auto"/>
        <w:jc w:val="left"/>
        <w:rPr>
          <w:rFonts w:asciiTheme="majorBidi" w:hAnsiTheme="majorBidi" w:cstheme="majorBidi"/>
          <w:sz w:val="24"/>
          <w:szCs w:val="24"/>
        </w:rPr>
      </w:pPr>
      <w:r>
        <w:rPr>
          <w:rFonts w:asciiTheme="majorBidi" w:hAnsiTheme="majorBidi" w:cstheme="majorBidi"/>
          <w:sz w:val="24"/>
          <w:szCs w:val="24"/>
        </w:rPr>
        <w:t>A</w:t>
      </w:r>
      <w:r>
        <w:rPr>
          <w:rFonts w:asciiTheme="majorBidi" w:hAnsiTheme="majorBidi" w:cstheme="majorBidi" w:hint="eastAsia"/>
          <w:sz w:val="24"/>
          <w:szCs w:val="24"/>
        </w:rPr>
        <w:t>l</w:t>
      </w:r>
      <w:r>
        <w:rPr>
          <w:rFonts w:asciiTheme="majorBidi" w:hAnsiTheme="majorBidi" w:cstheme="majorBidi"/>
          <w:sz w:val="24"/>
          <w:szCs w:val="24"/>
        </w:rPr>
        <w:t xml:space="preserve">-Ṭabarī, </w:t>
      </w:r>
      <w:r w:rsidRPr="00C67B7B">
        <w:rPr>
          <w:rFonts w:asciiTheme="majorBidi" w:hAnsiTheme="majorBidi" w:cstheme="majorBidi"/>
          <w:i/>
          <w:iCs/>
          <w:sz w:val="24"/>
          <w:szCs w:val="24"/>
        </w:rPr>
        <w:t>Tārīkh al-Ṭabarī</w:t>
      </w:r>
      <w:r>
        <w:rPr>
          <w:rFonts w:asciiTheme="majorBidi" w:hAnsiTheme="majorBidi" w:cstheme="majorBidi"/>
          <w:sz w:val="24"/>
          <w:szCs w:val="24"/>
        </w:rPr>
        <w:t xml:space="preserve">, volume </w:t>
      </w:r>
      <w:r w:rsidR="009D0C3A">
        <w:rPr>
          <w:rFonts w:asciiTheme="majorBidi" w:hAnsiTheme="majorBidi" w:cstheme="majorBidi"/>
          <w:sz w:val="24"/>
          <w:szCs w:val="24"/>
        </w:rPr>
        <w:t xml:space="preserve">1, </w:t>
      </w:r>
      <w:r>
        <w:rPr>
          <w:rFonts w:asciiTheme="majorBidi" w:hAnsiTheme="majorBidi" w:cstheme="majorBidi"/>
          <w:sz w:val="24"/>
          <w:szCs w:val="24"/>
        </w:rPr>
        <w:t xml:space="preserve">2, </w:t>
      </w:r>
      <w:r w:rsidR="0076550A">
        <w:rPr>
          <w:rFonts w:asciiTheme="majorBidi" w:hAnsiTheme="majorBidi" w:cstheme="majorBidi"/>
          <w:sz w:val="24"/>
          <w:szCs w:val="24"/>
        </w:rPr>
        <w:t xml:space="preserve">3, </w:t>
      </w:r>
      <w:r w:rsidR="0010363C">
        <w:rPr>
          <w:rFonts w:asciiTheme="majorBidi" w:hAnsiTheme="majorBidi" w:cstheme="majorBidi"/>
          <w:sz w:val="24"/>
          <w:szCs w:val="24"/>
        </w:rPr>
        <w:t xml:space="preserve">4, </w:t>
      </w:r>
      <w:r>
        <w:rPr>
          <w:rFonts w:asciiTheme="majorBidi" w:hAnsiTheme="majorBidi" w:cstheme="majorBidi"/>
          <w:sz w:val="24"/>
          <w:szCs w:val="24"/>
        </w:rPr>
        <w:t>Beirut, Dār al-Kutub al</w:t>
      </w:r>
      <w:proofErr w:type="gramStart"/>
      <w:r>
        <w:rPr>
          <w:rFonts w:asciiTheme="majorBidi" w:hAnsiTheme="majorBidi" w:cstheme="majorBidi"/>
          <w:sz w:val="24"/>
          <w:szCs w:val="24"/>
        </w:rPr>
        <w:t>-‘</w:t>
      </w:r>
      <w:proofErr w:type="gramEnd"/>
      <w:r>
        <w:rPr>
          <w:rFonts w:asciiTheme="majorBidi" w:hAnsiTheme="majorBidi" w:cstheme="majorBidi"/>
          <w:sz w:val="24"/>
          <w:szCs w:val="24"/>
        </w:rPr>
        <w:t>Ilmiyah,</w:t>
      </w:r>
      <w:r w:rsidR="007D243F">
        <w:rPr>
          <w:rFonts w:asciiTheme="majorBidi" w:hAnsiTheme="majorBidi" w:cstheme="majorBidi"/>
          <w:sz w:val="24"/>
          <w:szCs w:val="24"/>
        </w:rPr>
        <w:t xml:space="preserve"> 2001.</w:t>
      </w:r>
    </w:p>
    <w:p w14:paraId="1F4CC8A1" w14:textId="010D6E5B" w:rsidR="00344D59" w:rsidRDefault="00344D59" w:rsidP="00344D59">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i/>
          <w:iCs/>
          <w:sz w:val="24"/>
          <w:szCs w:val="24"/>
        </w:rPr>
        <w:t>T</w:t>
      </w:r>
      <w:r w:rsidRPr="00F54546">
        <w:rPr>
          <w:rFonts w:asciiTheme="majorBidi" w:hAnsiTheme="majorBidi" w:cstheme="majorBidi"/>
          <w:i/>
          <w:iCs/>
          <w:sz w:val="24"/>
          <w:szCs w:val="24"/>
        </w:rPr>
        <w:t>he History of al-Ṭabarī</w:t>
      </w:r>
      <w:r>
        <w:rPr>
          <w:rFonts w:asciiTheme="majorBidi" w:hAnsiTheme="majorBidi" w:cstheme="majorBidi"/>
          <w:sz w:val="24"/>
          <w:szCs w:val="24"/>
        </w:rPr>
        <w:t>, volume V, translated by Bosworth, Clifford, Albany, State of University of New York Press, 1999.</w:t>
      </w:r>
    </w:p>
    <w:p w14:paraId="24064E52" w14:textId="6CA48A37" w:rsidR="00E709D1" w:rsidRDefault="00E709D1" w:rsidP="001734F1">
      <w:pPr>
        <w:spacing w:line="360" w:lineRule="auto"/>
        <w:jc w:val="left"/>
        <w:rPr>
          <w:rFonts w:asciiTheme="majorBidi" w:hAnsiTheme="majorBidi" w:cstheme="majorBidi"/>
          <w:sz w:val="24"/>
          <w:szCs w:val="24"/>
        </w:rPr>
      </w:pPr>
      <w:r>
        <w:rPr>
          <w:rFonts w:asciiTheme="majorBidi" w:hAnsiTheme="majorBidi" w:cstheme="majorBidi" w:hint="eastAsia"/>
          <w:sz w:val="24"/>
          <w:szCs w:val="24"/>
        </w:rPr>
        <w:lastRenderedPageBreak/>
        <w:t>-</w:t>
      </w:r>
      <w:r>
        <w:rPr>
          <w:rFonts w:asciiTheme="majorBidi" w:hAnsiTheme="majorBidi" w:cstheme="majorBidi"/>
          <w:sz w:val="24"/>
          <w:szCs w:val="24"/>
        </w:rPr>
        <w:t xml:space="preserve">---, </w:t>
      </w:r>
      <w:r w:rsidR="00717025">
        <w:rPr>
          <w:rFonts w:asciiTheme="majorBidi" w:hAnsiTheme="majorBidi" w:cstheme="majorBidi"/>
          <w:i/>
          <w:iCs/>
          <w:sz w:val="24"/>
          <w:szCs w:val="24"/>
        </w:rPr>
        <w:t>T</w:t>
      </w:r>
      <w:r w:rsidRPr="00F54546">
        <w:rPr>
          <w:rFonts w:asciiTheme="majorBidi" w:hAnsiTheme="majorBidi" w:cstheme="majorBidi"/>
          <w:i/>
          <w:iCs/>
          <w:sz w:val="24"/>
          <w:szCs w:val="24"/>
        </w:rPr>
        <w:t>he History of al-Ṭabarī</w:t>
      </w:r>
      <w:r>
        <w:rPr>
          <w:rFonts w:asciiTheme="majorBidi" w:hAnsiTheme="majorBidi" w:cstheme="majorBidi"/>
          <w:sz w:val="24"/>
          <w:szCs w:val="24"/>
        </w:rPr>
        <w:t>, volume XI</w:t>
      </w:r>
      <w:r w:rsidR="001014A5">
        <w:rPr>
          <w:rFonts w:asciiTheme="majorBidi" w:hAnsiTheme="majorBidi" w:cstheme="majorBidi"/>
          <w:sz w:val="24"/>
          <w:szCs w:val="24"/>
        </w:rPr>
        <w:t>V</w:t>
      </w:r>
      <w:r>
        <w:rPr>
          <w:rFonts w:asciiTheme="majorBidi" w:hAnsiTheme="majorBidi" w:cstheme="majorBidi"/>
          <w:sz w:val="24"/>
          <w:szCs w:val="24"/>
        </w:rPr>
        <w:t>, translated by Smith, Rex, Albany, State of University of New York Press, 1994.</w:t>
      </w:r>
    </w:p>
    <w:p w14:paraId="7E09CE26" w14:textId="52182A9A" w:rsidR="007E0EE0" w:rsidRDefault="00CE049B" w:rsidP="007B09B6">
      <w:pPr>
        <w:spacing w:line="360" w:lineRule="auto"/>
        <w:rPr>
          <w:rFonts w:asciiTheme="majorBidi" w:hAnsiTheme="majorBidi" w:cstheme="majorBidi"/>
          <w:sz w:val="24"/>
          <w:szCs w:val="24"/>
        </w:rPr>
      </w:pPr>
      <w:bookmarkStart w:id="23" w:name="_Hlk80534185"/>
      <w:r>
        <w:rPr>
          <w:rFonts w:asciiTheme="majorBidi" w:hAnsiTheme="majorBidi" w:cstheme="majorBidi"/>
          <w:sz w:val="24"/>
          <w:szCs w:val="24"/>
        </w:rPr>
        <w:t>----</w:t>
      </w:r>
      <w:r w:rsidR="00F54546">
        <w:rPr>
          <w:rFonts w:asciiTheme="majorBidi" w:hAnsiTheme="majorBidi" w:cstheme="majorBidi"/>
          <w:sz w:val="24"/>
          <w:szCs w:val="24"/>
        </w:rPr>
        <w:t xml:space="preserve">, </w:t>
      </w:r>
      <w:r w:rsidR="00717025">
        <w:rPr>
          <w:rFonts w:asciiTheme="majorBidi" w:hAnsiTheme="majorBidi" w:cstheme="majorBidi"/>
          <w:i/>
          <w:iCs/>
          <w:sz w:val="24"/>
          <w:szCs w:val="24"/>
        </w:rPr>
        <w:t>T</w:t>
      </w:r>
      <w:r w:rsidR="00F54546" w:rsidRPr="00F54546">
        <w:rPr>
          <w:rFonts w:asciiTheme="majorBidi" w:hAnsiTheme="majorBidi" w:cstheme="majorBidi"/>
          <w:i/>
          <w:iCs/>
          <w:sz w:val="24"/>
          <w:szCs w:val="24"/>
        </w:rPr>
        <w:t>he History of al-Ṭabarī</w:t>
      </w:r>
      <w:r w:rsidR="00F54546">
        <w:rPr>
          <w:rFonts w:asciiTheme="majorBidi" w:hAnsiTheme="majorBidi" w:cstheme="majorBidi"/>
          <w:sz w:val="24"/>
          <w:szCs w:val="24"/>
        </w:rPr>
        <w:t>, volume XV, translated by Humphreys, Stephen, Albany, State of University of New York Press, 1990.</w:t>
      </w:r>
    </w:p>
    <w:p w14:paraId="457FDD4B" w14:textId="6F86367F" w:rsidR="0010363C" w:rsidRDefault="00CE049B" w:rsidP="0010363C">
      <w:pPr>
        <w:spacing w:line="360" w:lineRule="auto"/>
        <w:rPr>
          <w:rFonts w:asciiTheme="majorBidi" w:hAnsiTheme="majorBidi" w:cstheme="majorBidi"/>
          <w:sz w:val="24"/>
          <w:szCs w:val="24"/>
        </w:rPr>
      </w:pPr>
      <w:r>
        <w:rPr>
          <w:rFonts w:asciiTheme="majorBidi" w:hAnsiTheme="majorBidi" w:cstheme="majorBidi"/>
          <w:sz w:val="24"/>
          <w:szCs w:val="24"/>
        </w:rPr>
        <w:t>----</w:t>
      </w:r>
      <w:r w:rsidR="0010363C">
        <w:rPr>
          <w:rFonts w:asciiTheme="majorBidi" w:hAnsiTheme="majorBidi" w:cstheme="majorBidi"/>
          <w:sz w:val="24"/>
          <w:szCs w:val="24"/>
        </w:rPr>
        <w:t xml:space="preserve">, </w:t>
      </w:r>
      <w:r w:rsidR="00717025">
        <w:rPr>
          <w:rFonts w:asciiTheme="majorBidi" w:hAnsiTheme="majorBidi" w:cstheme="majorBidi"/>
          <w:i/>
          <w:iCs/>
          <w:sz w:val="24"/>
          <w:szCs w:val="24"/>
        </w:rPr>
        <w:t>T</w:t>
      </w:r>
      <w:r w:rsidR="0010363C" w:rsidRPr="00F54546">
        <w:rPr>
          <w:rFonts w:asciiTheme="majorBidi" w:hAnsiTheme="majorBidi" w:cstheme="majorBidi"/>
          <w:i/>
          <w:iCs/>
          <w:sz w:val="24"/>
          <w:szCs w:val="24"/>
        </w:rPr>
        <w:t>he History of al-Ṭabarī</w:t>
      </w:r>
      <w:r w:rsidR="0010363C">
        <w:rPr>
          <w:rFonts w:asciiTheme="majorBidi" w:hAnsiTheme="majorBidi" w:cstheme="majorBidi"/>
          <w:sz w:val="24"/>
          <w:szCs w:val="24"/>
        </w:rPr>
        <w:t>, volume XVII, translated by Hawting, Gerald, Albany, State of University of New York Press, 1996.</w:t>
      </w:r>
    </w:p>
    <w:p w14:paraId="555955BE" w14:textId="27592749" w:rsidR="0010363C" w:rsidRDefault="00CE049B" w:rsidP="0010363C">
      <w:pPr>
        <w:spacing w:line="360" w:lineRule="auto"/>
        <w:rPr>
          <w:rFonts w:asciiTheme="majorBidi" w:hAnsiTheme="majorBidi" w:cstheme="majorBidi"/>
          <w:sz w:val="24"/>
          <w:szCs w:val="24"/>
        </w:rPr>
      </w:pPr>
      <w:r>
        <w:rPr>
          <w:rFonts w:asciiTheme="majorBidi" w:hAnsiTheme="majorBidi" w:cstheme="majorBidi"/>
          <w:sz w:val="24"/>
          <w:szCs w:val="24"/>
        </w:rPr>
        <w:t>----</w:t>
      </w:r>
      <w:r w:rsidR="0010363C">
        <w:rPr>
          <w:rFonts w:asciiTheme="majorBidi" w:hAnsiTheme="majorBidi" w:cstheme="majorBidi"/>
          <w:sz w:val="24"/>
          <w:szCs w:val="24"/>
        </w:rPr>
        <w:t xml:space="preserve">, </w:t>
      </w:r>
      <w:r w:rsidR="00717025">
        <w:rPr>
          <w:rFonts w:asciiTheme="majorBidi" w:hAnsiTheme="majorBidi" w:cstheme="majorBidi"/>
          <w:i/>
          <w:iCs/>
          <w:sz w:val="24"/>
          <w:szCs w:val="24"/>
        </w:rPr>
        <w:t>T</w:t>
      </w:r>
      <w:r w:rsidR="0010363C" w:rsidRPr="00F54546">
        <w:rPr>
          <w:rFonts w:asciiTheme="majorBidi" w:hAnsiTheme="majorBidi" w:cstheme="majorBidi"/>
          <w:i/>
          <w:iCs/>
          <w:sz w:val="24"/>
          <w:szCs w:val="24"/>
        </w:rPr>
        <w:t>he History of al-Ṭabarī</w:t>
      </w:r>
      <w:r w:rsidR="0010363C">
        <w:rPr>
          <w:rFonts w:asciiTheme="majorBidi" w:hAnsiTheme="majorBidi" w:cstheme="majorBidi"/>
          <w:sz w:val="24"/>
          <w:szCs w:val="24"/>
        </w:rPr>
        <w:t>, volume XVIII</w:t>
      </w:r>
      <w:r w:rsidR="0010363C">
        <w:rPr>
          <w:rFonts w:asciiTheme="majorBidi" w:hAnsiTheme="majorBidi" w:cstheme="majorBidi" w:hint="eastAsia"/>
          <w:sz w:val="24"/>
          <w:szCs w:val="24"/>
        </w:rPr>
        <w:t>,</w:t>
      </w:r>
      <w:r w:rsidR="0010363C">
        <w:rPr>
          <w:rFonts w:asciiTheme="majorBidi" w:hAnsiTheme="majorBidi" w:cstheme="majorBidi"/>
          <w:sz w:val="24"/>
          <w:szCs w:val="24"/>
        </w:rPr>
        <w:t xml:space="preserve"> translated by Howard, Anderson,</w:t>
      </w:r>
      <w:r w:rsidR="0010363C" w:rsidRPr="00924E64">
        <w:rPr>
          <w:rFonts w:asciiTheme="majorBidi" w:hAnsiTheme="majorBidi" w:cstheme="majorBidi"/>
          <w:sz w:val="24"/>
          <w:szCs w:val="24"/>
        </w:rPr>
        <w:t xml:space="preserve"> </w:t>
      </w:r>
      <w:r w:rsidR="0010363C">
        <w:rPr>
          <w:rFonts w:asciiTheme="majorBidi" w:hAnsiTheme="majorBidi" w:cstheme="majorBidi"/>
          <w:sz w:val="24"/>
          <w:szCs w:val="24"/>
        </w:rPr>
        <w:t>Albany, State of University of New York Press, 1987.</w:t>
      </w:r>
    </w:p>
    <w:p w14:paraId="5F3B4F82" w14:textId="475DE06F" w:rsidR="0010363C" w:rsidRDefault="00CE049B" w:rsidP="0010363C">
      <w:pPr>
        <w:spacing w:line="360" w:lineRule="auto"/>
        <w:rPr>
          <w:rFonts w:asciiTheme="majorBidi" w:hAnsiTheme="majorBidi" w:cstheme="majorBidi"/>
          <w:sz w:val="24"/>
          <w:szCs w:val="24"/>
        </w:rPr>
      </w:pPr>
      <w:r>
        <w:rPr>
          <w:rFonts w:asciiTheme="majorBidi" w:hAnsiTheme="majorBidi" w:cstheme="majorBidi"/>
          <w:sz w:val="24"/>
          <w:szCs w:val="24"/>
        </w:rPr>
        <w:t>----</w:t>
      </w:r>
      <w:r w:rsidR="0010363C">
        <w:rPr>
          <w:rFonts w:asciiTheme="majorBidi" w:hAnsiTheme="majorBidi" w:cstheme="majorBidi"/>
          <w:sz w:val="24"/>
          <w:szCs w:val="24"/>
        </w:rPr>
        <w:t xml:space="preserve">, </w:t>
      </w:r>
      <w:r w:rsidR="00717025">
        <w:rPr>
          <w:rFonts w:asciiTheme="majorBidi" w:hAnsiTheme="majorBidi" w:cstheme="majorBidi"/>
          <w:i/>
          <w:iCs/>
          <w:sz w:val="24"/>
          <w:szCs w:val="24"/>
        </w:rPr>
        <w:t>T</w:t>
      </w:r>
      <w:r w:rsidR="0010363C" w:rsidRPr="00F54546">
        <w:rPr>
          <w:rFonts w:asciiTheme="majorBidi" w:hAnsiTheme="majorBidi" w:cstheme="majorBidi"/>
          <w:i/>
          <w:iCs/>
          <w:sz w:val="24"/>
          <w:szCs w:val="24"/>
        </w:rPr>
        <w:t>he History of al-Ṭabarī</w:t>
      </w:r>
      <w:r w:rsidR="0010363C">
        <w:rPr>
          <w:rFonts w:asciiTheme="majorBidi" w:hAnsiTheme="majorBidi" w:cstheme="majorBidi"/>
          <w:sz w:val="24"/>
          <w:szCs w:val="24"/>
        </w:rPr>
        <w:t>, volume XIX, translated by Howard, Anderson, Albany, State of University of New York Press, 1990.</w:t>
      </w:r>
    </w:p>
    <w:p w14:paraId="0166273D" w14:textId="4D45DD6B" w:rsidR="0010363C" w:rsidRDefault="00CE049B" w:rsidP="0010363C">
      <w:pPr>
        <w:spacing w:line="360" w:lineRule="auto"/>
        <w:rPr>
          <w:rFonts w:asciiTheme="majorBidi" w:hAnsiTheme="majorBidi" w:cstheme="majorBidi"/>
          <w:sz w:val="24"/>
          <w:szCs w:val="24"/>
        </w:rPr>
      </w:pPr>
      <w:r>
        <w:rPr>
          <w:rFonts w:asciiTheme="majorBidi" w:hAnsiTheme="majorBidi" w:cstheme="majorBidi"/>
          <w:sz w:val="24"/>
          <w:szCs w:val="24"/>
        </w:rPr>
        <w:t>----</w:t>
      </w:r>
      <w:r w:rsidR="0010363C">
        <w:rPr>
          <w:rFonts w:asciiTheme="majorBidi" w:hAnsiTheme="majorBidi" w:cstheme="majorBidi"/>
          <w:sz w:val="24"/>
          <w:szCs w:val="24"/>
        </w:rPr>
        <w:t xml:space="preserve">, </w:t>
      </w:r>
      <w:r w:rsidR="00717025">
        <w:rPr>
          <w:rFonts w:asciiTheme="majorBidi" w:hAnsiTheme="majorBidi" w:cstheme="majorBidi"/>
          <w:i/>
          <w:iCs/>
          <w:sz w:val="24"/>
          <w:szCs w:val="24"/>
        </w:rPr>
        <w:t>T</w:t>
      </w:r>
      <w:r w:rsidR="0010363C" w:rsidRPr="00F54546">
        <w:rPr>
          <w:rFonts w:asciiTheme="majorBidi" w:hAnsiTheme="majorBidi" w:cstheme="majorBidi"/>
          <w:i/>
          <w:iCs/>
          <w:sz w:val="24"/>
          <w:szCs w:val="24"/>
        </w:rPr>
        <w:t>he History of al-Ṭabarī</w:t>
      </w:r>
      <w:r w:rsidR="0010363C">
        <w:rPr>
          <w:rFonts w:asciiTheme="majorBidi" w:hAnsiTheme="majorBidi" w:cstheme="majorBidi"/>
          <w:sz w:val="24"/>
          <w:szCs w:val="24"/>
        </w:rPr>
        <w:t xml:space="preserve">, volume XX, translated by Hawting, Gerald, Albany, State of University of New York Press, 1989. </w:t>
      </w:r>
    </w:p>
    <w:p w14:paraId="46FC100C" w14:textId="63AE1A56" w:rsidR="0010363C" w:rsidRDefault="001943CC" w:rsidP="0010363C">
      <w:pPr>
        <w:spacing w:line="360" w:lineRule="auto"/>
        <w:rPr>
          <w:rFonts w:asciiTheme="majorBidi" w:hAnsiTheme="majorBidi" w:cstheme="majorBidi"/>
          <w:sz w:val="24"/>
          <w:szCs w:val="24"/>
        </w:rPr>
      </w:pPr>
      <w:r>
        <w:rPr>
          <w:rFonts w:asciiTheme="majorBidi" w:hAnsiTheme="majorBidi" w:cstheme="majorBidi"/>
          <w:sz w:val="24"/>
          <w:szCs w:val="24"/>
        </w:rPr>
        <w:t>----</w:t>
      </w:r>
      <w:r w:rsidR="0010363C">
        <w:rPr>
          <w:rFonts w:asciiTheme="majorBidi" w:hAnsiTheme="majorBidi" w:cstheme="majorBidi"/>
          <w:sz w:val="24"/>
          <w:szCs w:val="24"/>
        </w:rPr>
        <w:t xml:space="preserve">, </w:t>
      </w:r>
      <w:r w:rsidR="00717025">
        <w:rPr>
          <w:rFonts w:asciiTheme="majorBidi" w:hAnsiTheme="majorBidi" w:cstheme="majorBidi"/>
          <w:i/>
          <w:iCs/>
          <w:sz w:val="24"/>
          <w:szCs w:val="24"/>
        </w:rPr>
        <w:t>T</w:t>
      </w:r>
      <w:r w:rsidR="0010363C" w:rsidRPr="00F54546">
        <w:rPr>
          <w:rFonts w:asciiTheme="majorBidi" w:hAnsiTheme="majorBidi" w:cstheme="majorBidi"/>
          <w:i/>
          <w:iCs/>
          <w:sz w:val="24"/>
          <w:szCs w:val="24"/>
        </w:rPr>
        <w:t>he History of al-Ṭabarī</w:t>
      </w:r>
      <w:r w:rsidR="0010363C">
        <w:rPr>
          <w:rFonts w:asciiTheme="majorBidi" w:hAnsiTheme="majorBidi" w:cstheme="majorBidi"/>
          <w:sz w:val="24"/>
          <w:szCs w:val="24"/>
        </w:rPr>
        <w:t>, volume XXI, translated by Fishbein, Michael, Albany, State of University of New York Press, 1990.</w:t>
      </w:r>
    </w:p>
    <w:p w14:paraId="00ACFE96" w14:textId="7A6732C3" w:rsidR="0010363C" w:rsidRDefault="001943CC" w:rsidP="0010363C">
      <w:pPr>
        <w:spacing w:line="360" w:lineRule="auto"/>
        <w:rPr>
          <w:rFonts w:asciiTheme="majorBidi" w:hAnsiTheme="majorBidi" w:cstheme="majorBidi"/>
          <w:sz w:val="24"/>
          <w:szCs w:val="24"/>
        </w:rPr>
      </w:pPr>
      <w:r>
        <w:rPr>
          <w:rFonts w:asciiTheme="majorBidi" w:hAnsiTheme="majorBidi" w:cstheme="majorBidi"/>
          <w:sz w:val="24"/>
          <w:szCs w:val="24"/>
        </w:rPr>
        <w:t>----</w:t>
      </w:r>
      <w:r w:rsidR="0010363C">
        <w:rPr>
          <w:rFonts w:asciiTheme="majorBidi" w:hAnsiTheme="majorBidi" w:cstheme="majorBidi"/>
          <w:sz w:val="24"/>
          <w:szCs w:val="24"/>
        </w:rPr>
        <w:t xml:space="preserve">, </w:t>
      </w:r>
      <w:r w:rsidR="00717025">
        <w:rPr>
          <w:rFonts w:asciiTheme="majorBidi" w:hAnsiTheme="majorBidi" w:cstheme="majorBidi"/>
          <w:i/>
          <w:iCs/>
          <w:sz w:val="24"/>
          <w:szCs w:val="24"/>
        </w:rPr>
        <w:t>T</w:t>
      </w:r>
      <w:r w:rsidR="0010363C" w:rsidRPr="00F54546">
        <w:rPr>
          <w:rFonts w:asciiTheme="majorBidi" w:hAnsiTheme="majorBidi" w:cstheme="majorBidi"/>
          <w:i/>
          <w:iCs/>
          <w:sz w:val="24"/>
          <w:szCs w:val="24"/>
        </w:rPr>
        <w:t>he History of al-Ṭabarī</w:t>
      </w:r>
      <w:r w:rsidR="0010363C">
        <w:rPr>
          <w:rFonts w:asciiTheme="majorBidi" w:hAnsiTheme="majorBidi" w:cstheme="majorBidi"/>
          <w:sz w:val="24"/>
          <w:szCs w:val="24"/>
        </w:rPr>
        <w:t>, volume XXII, translated by Rowson, Everett, Albany, State of University of New York Press, 1989.</w:t>
      </w:r>
    </w:p>
    <w:bookmarkEnd w:id="23"/>
    <w:p w14:paraId="6B492F28" w14:textId="538F93FD" w:rsidR="00092F17" w:rsidRDefault="001943CC" w:rsidP="00B5266F">
      <w:pPr>
        <w:spacing w:line="360" w:lineRule="auto"/>
        <w:rPr>
          <w:rFonts w:asciiTheme="majorBidi" w:hAnsiTheme="majorBidi" w:cstheme="majorBidi"/>
          <w:sz w:val="24"/>
          <w:szCs w:val="24"/>
        </w:rPr>
      </w:pPr>
      <w:r>
        <w:rPr>
          <w:rFonts w:asciiTheme="majorBidi" w:hAnsiTheme="majorBidi" w:cstheme="majorBidi"/>
          <w:sz w:val="24"/>
          <w:szCs w:val="24"/>
        </w:rPr>
        <w:t>-----</w:t>
      </w:r>
      <w:r w:rsidR="00092F17">
        <w:rPr>
          <w:rFonts w:asciiTheme="majorBidi" w:hAnsiTheme="majorBidi" w:cstheme="majorBidi"/>
          <w:sz w:val="24"/>
          <w:szCs w:val="24"/>
        </w:rPr>
        <w:t xml:space="preserve">, </w:t>
      </w:r>
      <w:r w:rsidR="00717025">
        <w:rPr>
          <w:rFonts w:asciiTheme="majorBidi" w:hAnsiTheme="majorBidi" w:cstheme="majorBidi"/>
          <w:i/>
          <w:iCs/>
          <w:sz w:val="24"/>
          <w:szCs w:val="24"/>
        </w:rPr>
        <w:t>T</w:t>
      </w:r>
      <w:r w:rsidR="00092F17" w:rsidRPr="00F54546">
        <w:rPr>
          <w:rFonts w:asciiTheme="majorBidi" w:hAnsiTheme="majorBidi" w:cstheme="majorBidi"/>
          <w:i/>
          <w:iCs/>
          <w:sz w:val="24"/>
          <w:szCs w:val="24"/>
        </w:rPr>
        <w:t>he History of al-Ṭabarī</w:t>
      </w:r>
      <w:r w:rsidR="00092F17">
        <w:rPr>
          <w:rFonts w:asciiTheme="majorBidi" w:hAnsiTheme="majorBidi" w:cstheme="majorBidi"/>
          <w:sz w:val="24"/>
          <w:szCs w:val="24"/>
        </w:rPr>
        <w:t>, volume XXIII, translated by Hinds, Martin, Albany, State of University of New York Press, 1990.</w:t>
      </w:r>
    </w:p>
    <w:p w14:paraId="76EDE1BC" w14:textId="77086843" w:rsidR="0010363C" w:rsidRDefault="001943CC" w:rsidP="0010363C">
      <w:pPr>
        <w:spacing w:line="360" w:lineRule="auto"/>
        <w:rPr>
          <w:rFonts w:asciiTheme="majorBidi" w:hAnsiTheme="majorBidi" w:cstheme="majorBidi"/>
          <w:sz w:val="24"/>
          <w:szCs w:val="24"/>
        </w:rPr>
      </w:pPr>
      <w:r>
        <w:rPr>
          <w:rFonts w:asciiTheme="majorBidi" w:hAnsiTheme="majorBidi" w:cstheme="majorBidi"/>
          <w:sz w:val="24"/>
          <w:szCs w:val="24"/>
        </w:rPr>
        <w:t>----,</w:t>
      </w:r>
      <w:r w:rsidR="0010363C">
        <w:rPr>
          <w:rFonts w:asciiTheme="majorBidi" w:hAnsiTheme="majorBidi" w:cstheme="majorBidi"/>
          <w:sz w:val="24"/>
          <w:szCs w:val="24"/>
        </w:rPr>
        <w:t xml:space="preserve"> </w:t>
      </w:r>
      <w:r w:rsidR="00E23B77" w:rsidRPr="00C67B7B">
        <w:rPr>
          <w:rFonts w:asciiTheme="majorBidi" w:hAnsiTheme="majorBidi" w:cstheme="majorBidi"/>
          <w:i/>
          <w:iCs/>
          <w:sz w:val="24"/>
          <w:szCs w:val="24"/>
        </w:rPr>
        <w:t xml:space="preserve">Tārīkh al </w:t>
      </w:r>
      <w:r w:rsidR="0010363C" w:rsidRPr="00C67B7B">
        <w:rPr>
          <w:rFonts w:asciiTheme="majorBidi" w:hAnsiTheme="majorBidi" w:cstheme="majorBidi"/>
          <w:i/>
          <w:iCs/>
          <w:sz w:val="24"/>
          <w:szCs w:val="24"/>
        </w:rPr>
        <w:t>-Ṭabarī</w:t>
      </w:r>
      <w:r w:rsidR="0010363C" w:rsidRPr="00695A43">
        <w:rPr>
          <w:rFonts w:asciiTheme="majorBidi" w:hAnsiTheme="majorBidi" w:cstheme="majorBidi"/>
          <w:sz w:val="24"/>
          <w:szCs w:val="24"/>
        </w:rPr>
        <w:t>, volume XXVI, translated by Hillenbrand, Carole, Albany, State of University of New York Press 1989.</w:t>
      </w:r>
    </w:p>
    <w:p w14:paraId="7F17DC6F" w14:textId="4578B3C7" w:rsidR="001734F1" w:rsidRDefault="001734F1" w:rsidP="0010363C">
      <w:pPr>
        <w:spacing w:line="360" w:lineRule="auto"/>
        <w:rPr>
          <w:rFonts w:asciiTheme="majorBidi" w:hAnsiTheme="majorBidi" w:cstheme="majorBidi"/>
          <w:sz w:val="24"/>
          <w:szCs w:val="24"/>
        </w:rPr>
      </w:pPr>
      <w:r w:rsidRPr="00D87776">
        <w:rPr>
          <w:rFonts w:asciiTheme="majorBidi" w:hAnsiTheme="majorBidi" w:cstheme="majorBidi"/>
          <w:sz w:val="24"/>
          <w:szCs w:val="24"/>
        </w:rPr>
        <w:t>Al-Yaʿqūbī</w:t>
      </w:r>
      <w:r>
        <w:rPr>
          <w:rFonts w:asciiTheme="majorBidi" w:hAnsiTheme="majorBidi" w:cstheme="majorBidi"/>
          <w:sz w:val="24"/>
          <w:szCs w:val="24"/>
        </w:rPr>
        <w:t xml:space="preserve">, </w:t>
      </w:r>
      <w:r>
        <w:rPr>
          <w:rFonts w:asciiTheme="majorBidi" w:hAnsiTheme="majorBidi" w:cstheme="majorBidi"/>
          <w:i/>
          <w:iCs/>
          <w:sz w:val="24"/>
          <w:szCs w:val="24"/>
        </w:rPr>
        <w:t>T</w:t>
      </w:r>
      <w:r w:rsidRPr="00D87776">
        <w:rPr>
          <w:rFonts w:asciiTheme="majorBidi" w:hAnsiTheme="majorBidi" w:cstheme="majorBidi"/>
          <w:i/>
          <w:iCs/>
          <w:sz w:val="24"/>
          <w:szCs w:val="24"/>
        </w:rPr>
        <w:t xml:space="preserve">he Works of </w:t>
      </w:r>
      <w:proofErr w:type="gramStart"/>
      <w:r w:rsidRPr="00D87776">
        <w:rPr>
          <w:rFonts w:asciiTheme="majorBidi" w:hAnsiTheme="majorBidi" w:cstheme="majorBidi"/>
          <w:i/>
          <w:iCs/>
          <w:sz w:val="24"/>
          <w:szCs w:val="24"/>
        </w:rPr>
        <w:t>Ibn</w:t>
      </w:r>
      <w:proofErr w:type="gramEnd"/>
      <w:r w:rsidRPr="00D87776">
        <w:rPr>
          <w:rFonts w:asciiTheme="majorBidi" w:hAnsiTheme="majorBidi" w:cstheme="majorBidi"/>
          <w:i/>
          <w:iCs/>
          <w:sz w:val="24"/>
          <w:szCs w:val="24"/>
        </w:rPr>
        <w:t xml:space="preserve"> Wāḍiḥ al-Yaʿqūbī</w:t>
      </w:r>
      <w:r>
        <w:rPr>
          <w:rFonts w:asciiTheme="majorBidi" w:hAnsiTheme="majorBidi" w:cstheme="majorBidi"/>
          <w:sz w:val="24"/>
          <w:szCs w:val="24"/>
        </w:rPr>
        <w:t>, edited by Gordon, Matthew; Robinson, Chase; Rowson, Everett &amp; Fishbein, Michael, 3 volumes, Leiden, Brill, 2018.</w:t>
      </w:r>
    </w:p>
    <w:p w14:paraId="3D1C4A84" w14:textId="1CBAC596" w:rsidR="00E23B77" w:rsidRDefault="00E23B77" w:rsidP="00E23B77">
      <w:pPr>
        <w:spacing w:line="360" w:lineRule="auto"/>
        <w:rPr>
          <w:rFonts w:asciiTheme="majorBidi" w:hAnsiTheme="majorBidi" w:cstheme="majorBidi"/>
          <w:sz w:val="24"/>
          <w:szCs w:val="24"/>
        </w:rPr>
      </w:pPr>
      <w:r>
        <w:rPr>
          <w:rFonts w:asciiTheme="majorBidi" w:hAnsiTheme="majorBidi" w:cstheme="majorBidi" w:hint="eastAsia"/>
          <w:sz w:val="24"/>
          <w:szCs w:val="24"/>
        </w:rPr>
        <w:t>-</w:t>
      </w:r>
      <w:r>
        <w:rPr>
          <w:rFonts w:asciiTheme="majorBidi" w:hAnsiTheme="majorBidi" w:cstheme="majorBidi"/>
          <w:sz w:val="24"/>
          <w:szCs w:val="24"/>
        </w:rPr>
        <w:t xml:space="preserve">---, </w:t>
      </w:r>
      <w:r w:rsidRPr="00C67B7B">
        <w:rPr>
          <w:rFonts w:asciiTheme="majorBidi" w:hAnsiTheme="majorBidi" w:cstheme="majorBidi"/>
          <w:i/>
          <w:iCs/>
          <w:sz w:val="24"/>
          <w:szCs w:val="24"/>
        </w:rPr>
        <w:t>Tārīkh al</w:t>
      </w:r>
      <w:r>
        <w:rPr>
          <w:rFonts w:asciiTheme="majorBidi" w:hAnsiTheme="majorBidi" w:cstheme="majorBidi"/>
          <w:sz w:val="24"/>
          <w:szCs w:val="24"/>
        </w:rPr>
        <w:t>-</w:t>
      </w:r>
      <w:r w:rsidRPr="00E23B77">
        <w:rPr>
          <w:rFonts w:asciiTheme="majorBidi" w:hAnsiTheme="majorBidi" w:cstheme="majorBidi"/>
          <w:i/>
          <w:iCs/>
          <w:sz w:val="24"/>
          <w:szCs w:val="24"/>
        </w:rPr>
        <w:t>Yaʿqūbī</w:t>
      </w:r>
      <w:r>
        <w:rPr>
          <w:rFonts w:asciiTheme="majorBidi" w:hAnsiTheme="majorBidi" w:cstheme="majorBidi"/>
          <w:sz w:val="24"/>
          <w:szCs w:val="24"/>
        </w:rPr>
        <w:t>, volume 2, Beirut, Alaamini Company, 2010.</w:t>
      </w:r>
    </w:p>
    <w:p w14:paraId="6559EBC5" w14:textId="48C15D12" w:rsidR="005849C2" w:rsidRDefault="005849C2" w:rsidP="00E23B77">
      <w:pPr>
        <w:spacing w:line="360" w:lineRule="auto"/>
        <w:rPr>
          <w:rFonts w:asciiTheme="majorBidi" w:hAnsiTheme="majorBidi" w:cstheme="majorBidi"/>
          <w:sz w:val="24"/>
          <w:szCs w:val="24"/>
        </w:rPr>
      </w:pPr>
      <w:r w:rsidRPr="0010541D">
        <w:rPr>
          <w:rFonts w:asciiTheme="majorBidi" w:hAnsiTheme="majorBidi" w:cstheme="majorBidi"/>
          <w:sz w:val="24"/>
          <w:szCs w:val="24"/>
        </w:rPr>
        <w:t xml:space="preserve">Anonymous, </w:t>
      </w:r>
      <w:r w:rsidRPr="0010541D">
        <w:rPr>
          <w:rFonts w:asciiTheme="majorBidi" w:hAnsiTheme="majorBidi" w:cstheme="majorBidi"/>
          <w:i/>
          <w:iCs/>
          <w:color w:val="202122"/>
          <w:sz w:val="24"/>
          <w:szCs w:val="24"/>
          <w:shd w:val="clear" w:color="auto" w:fill="FFFFFF"/>
        </w:rPr>
        <w:t xml:space="preserve">Ḥudūd al-ʿĀlam: </w:t>
      </w:r>
      <w:proofErr w:type="gramStart"/>
      <w:r w:rsidRPr="0010541D">
        <w:rPr>
          <w:rFonts w:asciiTheme="majorBidi" w:hAnsiTheme="majorBidi" w:cstheme="majorBidi"/>
          <w:i/>
          <w:iCs/>
          <w:color w:val="202122"/>
          <w:sz w:val="24"/>
          <w:szCs w:val="24"/>
          <w:shd w:val="clear" w:color="auto" w:fill="FFFFFF"/>
        </w:rPr>
        <w:t>the</w:t>
      </w:r>
      <w:proofErr w:type="gramEnd"/>
      <w:r w:rsidRPr="0010541D">
        <w:rPr>
          <w:rFonts w:asciiTheme="majorBidi" w:hAnsiTheme="majorBidi" w:cstheme="majorBidi"/>
          <w:i/>
          <w:iCs/>
          <w:color w:val="202122"/>
          <w:sz w:val="24"/>
          <w:szCs w:val="24"/>
          <w:shd w:val="clear" w:color="auto" w:fill="FFFFFF"/>
        </w:rPr>
        <w:t xml:space="preserve"> Regions of the World, a Persian Geography, 372 A.H. / 982 A.D.</w:t>
      </w:r>
      <w:r w:rsidRPr="0010541D">
        <w:rPr>
          <w:rFonts w:asciiTheme="majorBidi" w:hAnsiTheme="majorBidi" w:cstheme="majorBidi"/>
          <w:color w:val="202122"/>
          <w:sz w:val="24"/>
          <w:szCs w:val="24"/>
          <w:shd w:val="clear" w:color="auto" w:fill="FFFFFF"/>
        </w:rPr>
        <w:t>, translated by Minorsky, Vladimir, London, Oxford University Press, 1937.</w:t>
      </w:r>
    </w:p>
    <w:p w14:paraId="1EF9D486" w14:textId="244645C1" w:rsidR="0010363C" w:rsidRDefault="0010363C" w:rsidP="0010363C">
      <w:pPr>
        <w:spacing w:line="360" w:lineRule="auto"/>
        <w:rPr>
          <w:rFonts w:asciiTheme="majorBidi" w:hAnsiTheme="majorBidi" w:cstheme="majorBidi"/>
          <w:sz w:val="24"/>
          <w:szCs w:val="24"/>
        </w:rPr>
      </w:pPr>
      <w:r>
        <w:rPr>
          <w:rFonts w:asciiTheme="majorBidi" w:hAnsiTheme="majorBidi" w:cstheme="majorBidi"/>
          <w:sz w:val="24"/>
          <w:szCs w:val="24"/>
        </w:rPr>
        <w:t xml:space="preserve">Anonymous, </w:t>
      </w:r>
      <w:r w:rsidRPr="002E12CE">
        <w:rPr>
          <w:rFonts w:asciiTheme="majorBidi" w:hAnsiTheme="majorBidi" w:cstheme="majorBidi"/>
          <w:i/>
          <w:iCs/>
          <w:sz w:val="24"/>
          <w:szCs w:val="24"/>
        </w:rPr>
        <w:t>Tārīkh-</w:t>
      </w:r>
      <w:r w:rsidR="00F14286">
        <w:rPr>
          <w:rFonts w:asciiTheme="majorBidi" w:hAnsiTheme="majorBidi" w:cstheme="majorBidi" w:hint="eastAsia"/>
          <w:i/>
          <w:iCs/>
          <w:sz w:val="24"/>
          <w:szCs w:val="24"/>
        </w:rPr>
        <w:t>e</w:t>
      </w:r>
      <w:r w:rsidRPr="002E12CE">
        <w:rPr>
          <w:rFonts w:asciiTheme="majorBidi" w:hAnsiTheme="majorBidi" w:cstheme="majorBidi"/>
          <w:i/>
          <w:iCs/>
          <w:sz w:val="24"/>
          <w:szCs w:val="24"/>
        </w:rPr>
        <w:t xml:space="preserve"> Sīstān</w:t>
      </w:r>
      <w:r>
        <w:rPr>
          <w:rFonts w:asciiTheme="majorBidi" w:hAnsiTheme="majorBidi" w:cstheme="majorBidi"/>
          <w:sz w:val="24"/>
          <w:szCs w:val="24"/>
        </w:rPr>
        <w:t xml:space="preserve">, Tehran, </w:t>
      </w:r>
      <w:proofErr w:type="gramStart"/>
      <w:r>
        <w:rPr>
          <w:rFonts w:asciiTheme="majorBidi" w:hAnsiTheme="majorBidi" w:cstheme="majorBidi"/>
          <w:sz w:val="24"/>
          <w:szCs w:val="24"/>
        </w:rPr>
        <w:t>Mo‘</w:t>
      </w:r>
      <w:proofErr w:type="gramEnd"/>
      <w:r>
        <w:rPr>
          <w:rFonts w:asciiTheme="majorBidi" w:hAnsiTheme="majorBidi" w:cstheme="majorBidi"/>
          <w:sz w:val="24"/>
          <w:szCs w:val="24"/>
        </w:rPr>
        <w:t>īn Publisher, 2002.</w:t>
      </w:r>
    </w:p>
    <w:p w14:paraId="24E5CD6B" w14:textId="14C3FB3B" w:rsidR="0010363C" w:rsidRDefault="0010363C" w:rsidP="001734F1">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Anonymous, </w:t>
      </w:r>
      <w:r w:rsidR="00717025">
        <w:rPr>
          <w:rFonts w:asciiTheme="majorBidi" w:hAnsiTheme="majorBidi" w:cstheme="majorBidi"/>
          <w:i/>
          <w:iCs/>
          <w:sz w:val="24"/>
          <w:szCs w:val="24"/>
        </w:rPr>
        <w:t>T</w:t>
      </w:r>
      <w:r w:rsidRPr="00D2080F">
        <w:rPr>
          <w:rFonts w:asciiTheme="majorBidi" w:hAnsiTheme="majorBidi" w:cstheme="majorBidi"/>
          <w:i/>
          <w:iCs/>
          <w:sz w:val="24"/>
          <w:szCs w:val="24"/>
        </w:rPr>
        <w:t xml:space="preserve">he Tarikh-e </w:t>
      </w:r>
      <w:r w:rsidR="005B3769">
        <w:rPr>
          <w:rFonts w:asciiTheme="majorBidi" w:hAnsiTheme="majorBidi" w:cstheme="majorBidi"/>
          <w:i/>
          <w:iCs/>
          <w:sz w:val="24"/>
          <w:szCs w:val="24"/>
        </w:rPr>
        <w:t>Sīstān</w:t>
      </w:r>
      <w:r>
        <w:rPr>
          <w:rFonts w:asciiTheme="majorBidi" w:hAnsiTheme="majorBidi" w:cstheme="majorBidi"/>
          <w:sz w:val="24"/>
          <w:szCs w:val="24"/>
        </w:rPr>
        <w:t>, translated by Gold, Milton, Roma, Istituto italiano per il Medio ed Estremo Oriente, 1976.</w:t>
      </w:r>
    </w:p>
    <w:p w14:paraId="3D89CB25" w14:textId="3862E48F" w:rsidR="005D7277" w:rsidRDefault="005D7277" w:rsidP="005D7277">
      <w:pPr>
        <w:spacing w:line="360" w:lineRule="auto"/>
        <w:rPr>
          <w:rFonts w:asciiTheme="majorBidi" w:hAnsiTheme="majorBidi" w:cstheme="majorBidi"/>
          <w:sz w:val="24"/>
          <w:szCs w:val="24"/>
          <w:lang w:bidi="ar-JO"/>
        </w:rPr>
      </w:pPr>
      <w:r>
        <w:rPr>
          <w:rFonts w:asciiTheme="majorBidi" w:hAnsiTheme="majorBidi" w:cstheme="majorBidi"/>
          <w:sz w:val="24"/>
          <w:szCs w:val="24"/>
        </w:rPr>
        <w:t>Balkhī,</w:t>
      </w:r>
      <w:r w:rsidRPr="005D7277">
        <w:t xml:space="preserve"> </w:t>
      </w:r>
      <w:r w:rsidRPr="00966301">
        <w:rPr>
          <w:rFonts w:asciiTheme="majorBidi" w:hAnsiTheme="majorBidi" w:cstheme="majorBidi"/>
          <w:i/>
          <w:iCs/>
          <w:sz w:val="24"/>
          <w:szCs w:val="24"/>
        </w:rPr>
        <w:t>Faḍāʾil-i Balkh</w:t>
      </w:r>
      <w:r w:rsidR="00966301">
        <w:rPr>
          <w:rFonts w:asciiTheme="majorBidi" w:hAnsiTheme="majorBidi" w:cstheme="majorBidi"/>
          <w:sz w:val="24"/>
          <w:szCs w:val="24"/>
        </w:rPr>
        <w:t xml:space="preserve">, Tehran, </w:t>
      </w:r>
      <w:r w:rsidR="00AE5846">
        <w:rPr>
          <w:rFonts w:asciiTheme="majorBidi" w:hAnsiTheme="majorBidi" w:cstheme="majorBidi"/>
          <w:sz w:val="24"/>
          <w:szCs w:val="24"/>
        </w:rPr>
        <w:t xml:space="preserve">Pāpkhānah dāvarpanāh, </w:t>
      </w:r>
      <w:r w:rsidR="00966301">
        <w:rPr>
          <w:rFonts w:asciiTheme="majorBidi" w:hAnsiTheme="majorBidi" w:cstheme="majorBidi"/>
          <w:sz w:val="24"/>
          <w:szCs w:val="24"/>
        </w:rPr>
        <w:t>1971.</w:t>
      </w:r>
    </w:p>
    <w:p w14:paraId="58E3EDE5" w14:textId="1A36A0FC" w:rsidR="008B7BB1" w:rsidRDefault="008B7BB1" w:rsidP="008B7BB1">
      <w:pPr>
        <w:spacing w:line="360" w:lineRule="auto"/>
        <w:rPr>
          <w:rFonts w:asciiTheme="majorBidi" w:hAnsiTheme="majorBidi" w:cstheme="majorBidi"/>
          <w:sz w:val="24"/>
          <w:szCs w:val="24"/>
        </w:rPr>
      </w:pPr>
      <w:r>
        <w:rPr>
          <w:rFonts w:asciiTheme="majorBidi" w:hAnsiTheme="majorBidi" w:cstheme="majorBidi"/>
          <w:sz w:val="24"/>
          <w:szCs w:val="24"/>
        </w:rPr>
        <w:lastRenderedPageBreak/>
        <w:t>B</w:t>
      </w:r>
      <w:r>
        <w:rPr>
          <w:rFonts w:asciiTheme="majorBidi" w:hAnsiTheme="majorBidi" w:cstheme="majorBidi" w:hint="eastAsia"/>
          <w:sz w:val="24"/>
          <w:szCs w:val="24"/>
        </w:rPr>
        <w:t>an</w:t>
      </w:r>
      <w:r>
        <w:rPr>
          <w:rFonts w:asciiTheme="majorBidi" w:hAnsiTheme="majorBidi" w:cstheme="majorBidi"/>
          <w:sz w:val="24"/>
          <w:szCs w:val="24"/>
        </w:rPr>
        <w:t>, Gu</w:t>
      </w:r>
      <w:r w:rsidR="002160AB">
        <w:rPr>
          <w:rFonts w:asciiTheme="majorBidi" w:hAnsiTheme="majorBidi" w:cstheme="majorBidi" w:hint="eastAsia"/>
          <w:sz w:val="24"/>
          <w:szCs w:val="24"/>
        </w:rPr>
        <w:t>班固</w:t>
      </w:r>
      <w:r>
        <w:rPr>
          <w:rFonts w:asciiTheme="majorBidi" w:hAnsiTheme="majorBidi" w:cstheme="majorBidi"/>
          <w:sz w:val="24"/>
          <w:szCs w:val="24"/>
        </w:rPr>
        <w:t xml:space="preserve">, </w:t>
      </w:r>
      <w:r w:rsidRPr="001E6E69">
        <w:rPr>
          <w:rFonts w:asciiTheme="majorBidi" w:hAnsiTheme="majorBidi" w:cstheme="majorBidi"/>
          <w:i/>
          <w:iCs/>
          <w:sz w:val="24"/>
          <w:szCs w:val="24"/>
        </w:rPr>
        <w:t>Hanshu</w:t>
      </w:r>
      <w:r w:rsidR="00722AB9" w:rsidRPr="00722AB9">
        <w:rPr>
          <w:rFonts w:asciiTheme="majorBidi" w:hAnsiTheme="majorBidi" w:cstheme="majorBidi" w:hint="eastAsia"/>
          <w:sz w:val="24"/>
          <w:szCs w:val="24"/>
        </w:rPr>
        <w:t>汉书</w:t>
      </w:r>
      <w:r>
        <w:rPr>
          <w:rFonts w:asciiTheme="majorBidi" w:hAnsiTheme="majorBidi" w:cstheme="majorBidi"/>
          <w:sz w:val="24"/>
          <w:szCs w:val="24"/>
        </w:rPr>
        <w:t>, Beijing, Zhonghua shuju, 1995.</w:t>
      </w:r>
    </w:p>
    <w:p w14:paraId="3CCAB392" w14:textId="0CAA26EE" w:rsidR="00C067DD" w:rsidRDefault="00C067DD" w:rsidP="00C067DD">
      <w:pPr>
        <w:spacing w:line="360" w:lineRule="auto"/>
        <w:rPr>
          <w:rFonts w:asciiTheme="majorBidi" w:hAnsiTheme="majorBidi" w:cstheme="majorBidi"/>
          <w:sz w:val="24"/>
          <w:szCs w:val="24"/>
        </w:rPr>
      </w:pPr>
      <w:r>
        <w:rPr>
          <w:rFonts w:asciiTheme="majorBidi" w:hAnsiTheme="majorBidi" w:cstheme="majorBidi" w:hint="eastAsia"/>
          <w:sz w:val="24"/>
          <w:szCs w:val="24"/>
        </w:rPr>
        <w:t>C</w:t>
      </w:r>
      <w:r>
        <w:rPr>
          <w:rFonts w:asciiTheme="majorBidi" w:hAnsiTheme="majorBidi" w:cstheme="majorBidi"/>
          <w:sz w:val="24"/>
          <w:szCs w:val="24"/>
        </w:rPr>
        <w:t xml:space="preserve">osmas, </w:t>
      </w:r>
      <w:r w:rsidRPr="00646E50">
        <w:rPr>
          <w:rFonts w:asciiTheme="majorBidi" w:hAnsiTheme="majorBidi" w:cstheme="majorBidi"/>
          <w:i/>
          <w:iCs/>
          <w:sz w:val="24"/>
          <w:szCs w:val="24"/>
        </w:rPr>
        <w:t>The Christian Topography of Cosmas, an Egyptian Monk</w:t>
      </w:r>
      <w:r>
        <w:rPr>
          <w:rFonts w:asciiTheme="majorBidi" w:hAnsiTheme="majorBidi" w:cstheme="majorBidi"/>
          <w:sz w:val="24"/>
          <w:szCs w:val="24"/>
        </w:rPr>
        <w:t>, translated by McCrindle, London, the Hakluyt Society, 1897.</w:t>
      </w:r>
    </w:p>
    <w:p w14:paraId="3B2A5EEE" w14:textId="77777777" w:rsidR="008B7BB1" w:rsidRDefault="008B7BB1" w:rsidP="008B7BB1">
      <w:pPr>
        <w:spacing w:line="360" w:lineRule="auto"/>
        <w:rPr>
          <w:rFonts w:asciiTheme="majorBidi" w:hAnsiTheme="majorBidi" w:cstheme="majorBidi"/>
          <w:sz w:val="24"/>
          <w:szCs w:val="24"/>
        </w:rPr>
      </w:pPr>
      <w:r>
        <w:rPr>
          <w:rFonts w:asciiTheme="majorBidi" w:hAnsiTheme="majorBidi" w:cstheme="majorBidi"/>
          <w:sz w:val="24"/>
          <w:szCs w:val="24"/>
        </w:rPr>
        <w:t xml:space="preserve">Daryaee, Touraj, </w:t>
      </w:r>
      <w:r w:rsidRPr="00F5728E">
        <w:rPr>
          <w:rFonts w:asciiTheme="majorBidi" w:hAnsiTheme="majorBidi" w:cstheme="majorBidi"/>
          <w:i/>
          <w:iCs/>
          <w:sz w:val="24"/>
          <w:szCs w:val="24"/>
        </w:rPr>
        <w:t xml:space="preserve">Šahrestānīhā ī Ērānšahr: </w:t>
      </w:r>
      <w:proofErr w:type="gramStart"/>
      <w:r w:rsidRPr="00F5728E">
        <w:rPr>
          <w:rFonts w:asciiTheme="majorBidi" w:hAnsiTheme="majorBidi" w:cstheme="majorBidi"/>
          <w:i/>
          <w:iCs/>
          <w:sz w:val="24"/>
          <w:szCs w:val="24"/>
        </w:rPr>
        <w:t>a</w:t>
      </w:r>
      <w:proofErr w:type="gramEnd"/>
      <w:r w:rsidRPr="00F5728E">
        <w:rPr>
          <w:rFonts w:asciiTheme="majorBidi" w:hAnsiTheme="majorBidi" w:cstheme="majorBidi"/>
          <w:i/>
          <w:iCs/>
          <w:sz w:val="24"/>
          <w:szCs w:val="24"/>
        </w:rPr>
        <w:t xml:space="preserve"> Middle Persian Text on Late Anti</w:t>
      </w:r>
      <w:r>
        <w:rPr>
          <w:rFonts w:asciiTheme="majorBidi" w:hAnsiTheme="majorBidi" w:cstheme="majorBidi"/>
          <w:i/>
          <w:iCs/>
          <w:sz w:val="24"/>
          <w:szCs w:val="24"/>
        </w:rPr>
        <w:t>ū</w:t>
      </w:r>
      <w:r w:rsidRPr="00F5728E">
        <w:rPr>
          <w:rFonts w:asciiTheme="majorBidi" w:hAnsiTheme="majorBidi" w:cstheme="majorBidi"/>
          <w:i/>
          <w:iCs/>
          <w:sz w:val="24"/>
          <w:szCs w:val="24"/>
        </w:rPr>
        <w:t>ue Geogr</w:t>
      </w:r>
      <w:r>
        <w:rPr>
          <w:rFonts w:asciiTheme="majorBidi" w:hAnsiTheme="majorBidi" w:cstheme="majorBidi"/>
          <w:i/>
          <w:iCs/>
          <w:sz w:val="24"/>
          <w:szCs w:val="24"/>
        </w:rPr>
        <w:t>ap</w:t>
      </w:r>
      <w:r w:rsidRPr="00F5728E">
        <w:rPr>
          <w:rFonts w:asciiTheme="majorBidi" w:hAnsiTheme="majorBidi" w:cstheme="majorBidi"/>
          <w:i/>
          <w:iCs/>
          <w:sz w:val="24"/>
          <w:szCs w:val="24"/>
        </w:rPr>
        <w:t>hy, Epic, and History</w:t>
      </w:r>
      <w:r>
        <w:rPr>
          <w:rFonts w:asciiTheme="majorBidi" w:hAnsiTheme="majorBidi" w:cstheme="majorBidi"/>
          <w:sz w:val="24"/>
          <w:szCs w:val="24"/>
        </w:rPr>
        <w:t>, Costa Mesa, Mazda Publishers, 2002.</w:t>
      </w:r>
    </w:p>
    <w:p w14:paraId="6388AA26" w14:textId="701A4C80" w:rsidR="008B7BB1" w:rsidRDefault="008B7BB1" w:rsidP="008B7BB1">
      <w:pPr>
        <w:spacing w:line="360" w:lineRule="auto"/>
        <w:rPr>
          <w:rFonts w:asciiTheme="majorBidi" w:hAnsiTheme="majorBidi" w:cstheme="majorBidi"/>
          <w:sz w:val="24"/>
          <w:szCs w:val="24"/>
        </w:rPr>
      </w:pPr>
      <w:r>
        <w:rPr>
          <w:rFonts w:asciiTheme="majorBidi" w:hAnsiTheme="majorBidi" w:cstheme="majorBidi"/>
          <w:sz w:val="24"/>
          <w:szCs w:val="24"/>
        </w:rPr>
        <w:t xml:space="preserve">Ebn Haukal, </w:t>
      </w:r>
      <w:r w:rsidR="00717025">
        <w:rPr>
          <w:rFonts w:asciiTheme="majorBidi" w:hAnsiTheme="majorBidi" w:cstheme="majorBidi"/>
          <w:i/>
          <w:iCs/>
          <w:sz w:val="24"/>
          <w:szCs w:val="24"/>
        </w:rPr>
        <w:t>T</w:t>
      </w:r>
      <w:r w:rsidRPr="0017550B">
        <w:rPr>
          <w:rFonts w:asciiTheme="majorBidi" w:hAnsiTheme="majorBidi" w:cstheme="majorBidi"/>
          <w:i/>
          <w:iCs/>
          <w:sz w:val="24"/>
          <w:szCs w:val="24"/>
        </w:rPr>
        <w:t>he Oriental Geography of Ebn Haukal: an Arabian traveler of the tenth century</w:t>
      </w:r>
      <w:r>
        <w:rPr>
          <w:rFonts w:asciiTheme="majorBidi" w:hAnsiTheme="majorBidi" w:cstheme="majorBidi"/>
          <w:sz w:val="24"/>
          <w:szCs w:val="24"/>
        </w:rPr>
        <w:t>, translated by Ouseley, William, London, the Oriental Press, 1800.</w:t>
      </w:r>
    </w:p>
    <w:p w14:paraId="0CF45DE8" w14:textId="5D09E8C2" w:rsidR="008B7BB1" w:rsidRDefault="008B7BB1" w:rsidP="008B7BB1">
      <w:pPr>
        <w:spacing w:line="360" w:lineRule="auto"/>
        <w:rPr>
          <w:rFonts w:asciiTheme="majorBidi" w:hAnsiTheme="majorBidi" w:cstheme="majorBidi"/>
          <w:sz w:val="24"/>
          <w:szCs w:val="24"/>
        </w:rPr>
      </w:pPr>
      <w:r>
        <w:rPr>
          <w:rFonts w:asciiTheme="majorBidi" w:hAnsiTheme="majorBidi" w:cstheme="majorBidi"/>
          <w:sz w:val="24"/>
          <w:szCs w:val="24"/>
        </w:rPr>
        <w:t xml:space="preserve">Fa-hsien, </w:t>
      </w:r>
      <w:r w:rsidR="00717025">
        <w:rPr>
          <w:rFonts w:asciiTheme="majorBidi" w:hAnsiTheme="majorBidi" w:cstheme="majorBidi"/>
          <w:i/>
          <w:iCs/>
          <w:sz w:val="24"/>
          <w:szCs w:val="24"/>
        </w:rPr>
        <w:t>T</w:t>
      </w:r>
      <w:r w:rsidRPr="008C410F">
        <w:rPr>
          <w:rFonts w:asciiTheme="majorBidi" w:hAnsiTheme="majorBidi" w:cstheme="majorBidi"/>
          <w:i/>
          <w:iCs/>
          <w:sz w:val="24"/>
          <w:szCs w:val="24"/>
        </w:rPr>
        <w:t>he Travels of Fa-hsien</w:t>
      </w:r>
      <w:r>
        <w:rPr>
          <w:rFonts w:asciiTheme="majorBidi" w:hAnsiTheme="majorBidi" w:cstheme="majorBidi"/>
          <w:sz w:val="24"/>
          <w:szCs w:val="24"/>
        </w:rPr>
        <w:t>, translated by Giles, Herbert, London, Routledge &amp; Kegan Paul, 1959.</w:t>
      </w:r>
    </w:p>
    <w:p w14:paraId="15C3488D" w14:textId="70BA167A" w:rsidR="008B7BB1" w:rsidRDefault="008B7BB1" w:rsidP="008B7BB1">
      <w:pPr>
        <w:spacing w:line="360" w:lineRule="auto"/>
        <w:rPr>
          <w:rFonts w:asciiTheme="majorBidi" w:hAnsiTheme="majorBidi" w:cstheme="majorBidi"/>
          <w:sz w:val="24"/>
          <w:szCs w:val="24"/>
        </w:rPr>
      </w:pPr>
      <w:r>
        <w:rPr>
          <w:rFonts w:asciiTheme="majorBidi" w:hAnsiTheme="majorBidi" w:cstheme="majorBidi"/>
          <w:sz w:val="24"/>
          <w:szCs w:val="24"/>
        </w:rPr>
        <w:t>Faxian</w:t>
      </w:r>
      <w:r w:rsidR="002160AB">
        <w:rPr>
          <w:rFonts w:asciiTheme="majorBidi" w:hAnsiTheme="majorBidi" w:cstheme="majorBidi" w:hint="eastAsia"/>
          <w:sz w:val="24"/>
          <w:szCs w:val="24"/>
        </w:rPr>
        <w:t>法显</w:t>
      </w:r>
      <w:r>
        <w:rPr>
          <w:rFonts w:asciiTheme="majorBidi" w:hAnsiTheme="majorBidi" w:cstheme="majorBidi"/>
          <w:sz w:val="24"/>
          <w:szCs w:val="24"/>
        </w:rPr>
        <w:t xml:space="preserve">, </w:t>
      </w:r>
      <w:r w:rsidRPr="008103AF">
        <w:rPr>
          <w:rFonts w:asciiTheme="majorBidi" w:hAnsiTheme="majorBidi" w:cstheme="majorBidi"/>
          <w:i/>
          <w:iCs/>
          <w:sz w:val="24"/>
          <w:szCs w:val="24"/>
        </w:rPr>
        <w:t>Faxian zhuan jiaozhu</w:t>
      </w:r>
      <w:r w:rsidR="00722AB9" w:rsidRPr="00722AB9">
        <w:rPr>
          <w:rFonts w:asciiTheme="majorBidi" w:hAnsiTheme="majorBidi" w:cstheme="majorBidi" w:hint="eastAsia"/>
          <w:sz w:val="24"/>
          <w:szCs w:val="24"/>
        </w:rPr>
        <w:t>法显传校注</w:t>
      </w:r>
      <w:r>
        <w:rPr>
          <w:rFonts w:asciiTheme="majorBidi" w:hAnsiTheme="majorBidi" w:cstheme="majorBidi"/>
          <w:sz w:val="24"/>
          <w:szCs w:val="24"/>
        </w:rPr>
        <w:t xml:space="preserve">, annotated by Zhang, </w:t>
      </w:r>
      <w:r>
        <w:rPr>
          <w:rFonts w:asciiTheme="majorBidi" w:hAnsiTheme="majorBidi" w:cstheme="majorBidi" w:hint="eastAsia"/>
          <w:sz w:val="24"/>
          <w:szCs w:val="24"/>
        </w:rPr>
        <w:t>Xun</w:t>
      </w:r>
      <w:r w:rsidR="002160AB" w:rsidRPr="002160AB">
        <w:rPr>
          <w:rFonts w:asciiTheme="majorBidi" w:hAnsiTheme="majorBidi" w:cstheme="majorBidi"/>
          <w:sz w:val="24"/>
          <w:szCs w:val="24"/>
        </w:rPr>
        <w:t>章</w:t>
      </w:r>
      <w:r w:rsidR="002160AB" w:rsidRPr="002160AB">
        <w:rPr>
          <w:rFonts w:asciiTheme="majorBidi" w:hAnsiTheme="majorBidi" w:cstheme="majorBidi" w:hint="eastAsia"/>
          <w:sz w:val="24"/>
          <w:szCs w:val="24"/>
        </w:rPr>
        <w:t>巽</w:t>
      </w:r>
      <w:r>
        <w:rPr>
          <w:rFonts w:asciiTheme="majorBidi" w:hAnsiTheme="majorBidi" w:cstheme="majorBidi"/>
          <w:sz w:val="24"/>
          <w:szCs w:val="24"/>
        </w:rPr>
        <w:t>, Beijing, Zhonghua shuju, 2008.</w:t>
      </w:r>
    </w:p>
    <w:p w14:paraId="4E20BC48" w14:textId="6DF5D5B7" w:rsidR="008B7BB1" w:rsidRDefault="008B7BB1" w:rsidP="008B7BB1">
      <w:pPr>
        <w:spacing w:line="360" w:lineRule="auto"/>
        <w:rPr>
          <w:rFonts w:asciiTheme="majorBidi" w:hAnsiTheme="majorBidi" w:cstheme="majorBidi"/>
          <w:sz w:val="24"/>
          <w:szCs w:val="24"/>
        </w:rPr>
      </w:pPr>
      <w:r>
        <w:rPr>
          <w:rFonts w:asciiTheme="majorBidi" w:hAnsiTheme="majorBidi" w:cstheme="majorBidi"/>
          <w:sz w:val="24"/>
          <w:szCs w:val="24"/>
        </w:rPr>
        <w:t xml:space="preserve">Ferdowsi, </w:t>
      </w:r>
      <w:r w:rsidR="00D16B7A">
        <w:rPr>
          <w:rFonts w:asciiTheme="majorBidi" w:hAnsiTheme="majorBidi" w:cstheme="majorBidi"/>
          <w:i/>
          <w:iCs/>
          <w:sz w:val="24"/>
          <w:szCs w:val="24"/>
        </w:rPr>
        <w:t>Sh</w:t>
      </w:r>
      <w:r w:rsidRPr="00CA6BE4">
        <w:rPr>
          <w:rFonts w:asciiTheme="majorBidi" w:hAnsiTheme="majorBidi" w:cstheme="majorBidi"/>
          <w:i/>
          <w:iCs/>
          <w:sz w:val="24"/>
          <w:szCs w:val="24"/>
        </w:rPr>
        <w:t>āhnāmeh</w:t>
      </w:r>
      <w:r>
        <w:rPr>
          <w:rFonts w:asciiTheme="majorBidi" w:hAnsiTheme="majorBidi" w:cstheme="majorBidi"/>
          <w:sz w:val="24"/>
          <w:szCs w:val="24"/>
        </w:rPr>
        <w:t>, Bibliotheca Persica (New York, the State of New York University Press), 8 volumes, 1987.</w:t>
      </w:r>
    </w:p>
    <w:p w14:paraId="0B14B9FB" w14:textId="6713E7A8" w:rsidR="00A726F0" w:rsidRDefault="00A726F0" w:rsidP="008B7BB1">
      <w:pPr>
        <w:spacing w:line="360" w:lineRule="auto"/>
        <w:rPr>
          <w:rFonts w:asciiTheme="majorBidi" w:hAnsiTheme="majorBidi" w:cstheme="majorBidi"/>
          <w:sz w:val="24"/>
          <w:szCs w:val="24"/>
        </w:rPr>
      </w:pPr>
      <w:r>
        <w:rPr>
          <w:rFonts w:asciiTheme="majorBidi" w:hAnsiTheme="majorBidi" w:cstheme="majorBidi"/>
          <w:sz w:val="24"/>
          <w:szCs w:val="24"/>
        </w:rPr>
        <w:t xml:space="preserve">Gardīzī, </w:t>
      </w:r>
      <w:r w:rsidRPr="002E12CE">
        <w:rPr>
          <w:rFonts w:asciiTheme="majorBidi" w:hAnsiTheme="majorBidi" w:cstheme="majorBidi"/>
          <w:i/>
          <w:iCs/>
          <w:sz w:val="24"/>
          <w:szCs w:val="24"/>
        </w:rPr>
        <w:t>Tārīkh-</w:t>
      </w:r>
      <w:r>
        <w:rPr>
          <w:rFonts w:asciiTheme="majorBidi" w:hAnsiTheme="majorBidi" w:cstheme="majorBidi"/>
          <w:i/>
          <w:iCs/>
          <w:sz w:val="24"/>
          <w:szCs w:val="24"/>
        </w:rPr>
        <w:t>i Gardīzī</w:t>
      </w:r>
      <w:r>
        <w:rPr>
          <w:rFonts w:asciiTheme="majorBidi" w:hAnsiTheme="majorBidi" w:cstheme="majorBidi"/>
          <w:sz w:val="24"/>
          <w:szCs w:val="24"/>
        </w:rPr>
        <w:t>, Tehran, Donyā-ye Kitā</w:t>
      </w:r>
      <w:r w:rsidR="00E339CA">
        <w:rPr>
          <w:rFonts w:asciiTheme="majorBidi" w:hAnsiTheme="majorBidi" w:cstheme="majorBidi"/>
          <w:sz w:val="24"/>
          <w:szCs w:val="24"/>
        </w:rPr>
        <w:t xml:space="preserve">b, </w:t>
      </w:r>
      <w:r>
        <w:rPr>
          <w:rFonts w:asciiTheme="majorBidi" w:hAnsiTheme="majorBidi" w:cstheme="majorBidi"/>
          <w:sz w:val="24"/>
          <w:szCs w:val="24"/>
        </w:rPr>
        <w:t>1984.</w:t>
      </w:r>
    </w:p>
    <w:p w14:paraId="01AB1398" w14:textId="3F02216D" w:rsidR="00EA6D21" w:rsidRDefault="00EA6D21" w:rsidP="008B7BB1">
      <w:pPr>
        <w:spacing w:line="360" w:lineRule="auto"/>
        <w:rPr>
          <w:rFonts w:asciiTheme="majorBidi" w:hAnsiTheme="majorBidi" w:cstheme="majorBidi"/>
          <w:sz w:val="24"/>
          <w:szCs w:val="24"/>
        </w:rPr>
      </w:pPr>
      <w:r>
        <w:rPr>
          <w:rFonts w:asciiTheme="majorBidi" w:hAnsiTheme="majorBidi" w:cstheme="majorBidi"/>
          <w:sz w:val="24"/>
          <w:szCs w:val="24"/>
        </w:rPr>
        <w:t xml:space="preserve">Gardīzī, </w:t>
      </w:r>
      <w:r w:rsidRPr="00D00CBC">
        <w:rPr>
          <w:rFonts w:asciiTheme="majorBidi" w:hAnsiTheme="majorBidi" w:cstheme="majorBidi"/>
          <w:i/>
          <w:iCs/>
          <w:sz w:val="24"/>
          <w:szCs w:val="24"/>
        </w:rPr>
        <w:t>The Ornament of Histories: A History of the Eastern Islamic Lands AD 650-1041</w:t>
      </w:r>
      <w:r w:rsidR="00943DAA">
        <w:rPr>
          <w:rFonts w:asciiTheme="majorBidi" w:hAnsiTheme="majorBidi" w:cstheme="majorBidi"/>
          <w:sz w:val="24"/>
          <w:szCs w:val="24"/>
        </w:rPr>
        <w:t>, translated by Bosworth, Clifford, L</w:t>
      </w:r>
      <w:r w:rsidR="00943DAA">
        <w:rPr>
          <w:rFonts w:asciiTheme="majorBidi" w:hAnsiTheme="majorBidi" w:cstheme="majorBidi" w:hint="eastAsia"/>
          <w:sz w:val="24"/>
          <w:szCs w:val="24"/>
        </w:rPr>
        <w:t>ondon</w:t>
      </w:r>
      <w:r w:rsidR="00943DAA">
        <w:rPr>
          <w:rFonts w:asciiTheme="majorBidi" w:hAnsiTheme="majorBidi" w:cstheme="majorBidi"/>
          <w:sz w:val="24"/>
          <w:szCs w:val="24"/>
        </w:rPr>
        <w:t>, BIPS Persian Studies Series, a Joint Publication with the British Institute of Persian Studies, 2011.</w:t>
      </w:r>
    </w:p>
    <w:p w14:paraId="0CA00B07" w14:textId="755EBAB2" w:rsidR="00862354" w:rsidRDefault="00862354" w:rsidP="00B5266F">
      <w:pPr>
        <w:spacing w:line="360" w:lineRule="auto"/>
        <w:rPr>
          <w:rFonts w:asciiTheme="majorBidi" w:hAnsiTheme="majorBidi" w:cstheme="majorBidi"/>
          <w:sz w:val="24"/>
          <w:szCs w:val="24"/>
        </w:rPr>
      </w:pPr>
      <w:r>
        <w:rPr>
          <w:rFonts w:asciiTheme="majorBidi" w:hAnsiTheme="majorBidi" w:cstheme="majorBidi"/>
          <w:sz w:val="24"/>
          <w:szCs w:val="24"/>
        </w:rPr>
        <w:t>Huichao</w:t>
      </w:r>
      <w:r w:rsidR="00A1677A">
        <w:rPr>
          <w:rFonts w:asciiTheme="majorBidi" w:hAnsiTheme="majorBidi" w:cstheme="majorBidi" w:hint="eastAsia"/>
          <w:sz w:val="24"/>
          <w:szCs w:val="24"/>
        </w:rPr>
        <w:t>慧超</w:t>
      </w:r>
      <w:r>
        <w:rPr>
          <w:rFonts w:asciiTheme="majorBidi" w:hAnsiTheme="majorBidi" w:cstheme="majorBidi"/>
          <w:sz w:val="24"/>
          <w:szCs w:val="24"/>
        </w:rPr>
        <w:t xml:space="preserve">, </w:t>
      </w:r>
      <w:r w:rsidRPr="00862354">
        <w:rPr>
          <w:rFonts w:asciiTheme="majorBidi" w:hAnsiTheme="majorBidi" w:cstheme="majorBidi"/>
          <w:i/>
          <w:iCs/>
          <w:sz w:val="24"/>
          <w:szCs w:val="24"/>
        </w:rPr>
        <w:t>Wang wutianzhuguo zhuan jianzhu</w:t>
      </w:r>
      <w:r w:rsidR="00722AB9">
        <w:rPr>
          <w:rFonts w:asciiTheme="majorBidi" w:hAnsiTheme="majorBidi" w:cstheme="majorBidi" w:hint="eastAsia"/>
          <w:sz w:val="24"/>
          <w:szCs w:val="24"/>
        </w:rPr>
        <w:t>往五天竺国传笺注</w:t>
      </w:r>
      <w:r w:rsidR="00722AB9">
        <w:rPr>
          <w:rFonts w:asciiTheme="majorBidi" w:hAnsiTheme="majorBidi" w:cstheme="majorBidi"/>
          <w:sz w:val="24"/>
          <w:szCs w:val="24"/>
        </w:rPr>
        <w:t>,</w:t>
      </w:r>
      <w:r>
        <w:rPr>
          <w:rFonts w:asciiTheme="majorBidi" w:hAnsiTheme="majorBidi" w:cstheme="majorBidi"/>
          <w:sz w:val="24"/>
          <w:szCs w:val="24"/>
        </w:rPr>
        <w:t xml:space="preserve"> annotated by Zhang, Yi</w:t>
      </w:r>
      <w:r w:rsidR="0033670B" w:rsidRPr="0033670B">
        <w:rPr>
          <w:rFonts w:asciiTheme="majorBidi" w:hAnsiTheme="majorBidi" w:cstheme="majorBidi"/>
          <w:sz w:val="24"/>
          <w:szCs w:val="24"/>
        </w:rPr>
        <w:t>张</w:t>
      </w:r>
      <w:r w:rsidR="0033670B" w:rsidRPr="0033670B">
        <w:rPr>
          <w:rFonts w:asciiTheme="majorBidi" w:hAnsiTheme="majorBidi" w:cstheme="majorBidi" w:hint="eastAsia"/>
          <w:sz w:val="24"/>
          <w:szCs w:val="24"/>
        </w:rPr>
        <w:t>毅</w:t>
      </w:r>
      <w:r>
        <w:rPr>
          <w:rFonts w:asciiTheme="majorBidi" w:hAnsiTheme="majorBidi" w:cstheme="majorBidi"/>
          <w:sz w:val="24"/>
          <w:szCs w:val="24"/>
        </w:rPr>
        <w:t>, Beijing, Zhonghua shuju, 2000.</w:t>
      </w:r>
    </w:p>
    <w:p w14:paraId="42BD581D" w14:textId="2044AEDF" w:rsidR="00F52746" w:rsidRDefault="00F52746" w:rsidP="00F52746">
      <w:pPr>
        <w:spacing w:line="360" w:lineRule="auto"/>
        <w:rPr>
          <w:rFonts w:asciiTheme="majorBidi" w:hAnsiTheme="majorBidi" w:cstheme="majorBidi"/>
          <w:sz w:val="24"/>
          <w:szCs w:val="24"/>
        </w:rPr>
      </w:pPr>
      <w:r>
        <w:rPr>
          <w:rFonts w:asciiTheme="majorBidi" w:hAnsiTheme="majorBidi" w:cstheme="majorBidi"/>
          <w:sz w:val="24"/>
          <w:szCs w:val="24"/>
        </w:rPr>
        <w:t>Huili</w:t>
      </w:r>
      <w:r w:rsidR="00A1677A">
        <w:rPr>
          <w:rFonts w:asciiTheme="majorBidi" w:hAnsiTheme="majorBidi" w:cstheme="majorBidi" w:hint="eastAsia"/>
          <w:sz w:val="24"/>
          <w:szCs w:val="24"/>
        </w:rPr>
        <w:t>慧立</w:t>
      </w:r>
      <w:r>
        <w:rPr>
          <w:rFonts w:asciiTheme="majorBidi" w:hAnsiTheme="majorBidi" w:cstheme="majorBidi"/>
          <w:sz w:val="24"/>
          <w:szCs w:val="24"/>
        </w:rPr>
        <w:t>&amp; Yancong</w:t>
      </w:r>
      <w:r w:rsidR="00A1677A">
        <w:rPr>
          <w:rFonts w:asciiTheme="majorBidi" w:hAnsiTheme="majorBidi" w:cstheme="majorBidi" w:hint="eastAsia"/>
          <w:sz w:val="24"/>
          <w:szCs w:val="24"/>
        </w:rPr>
        <w:t>彦悰</w:t>
      </w:r>
      <w:r>
        <w:rPr>
          <w:rFonts w:asciiTheme="majorBidi" w:hAnsiTheme="majorBidi" w:cstheme="majorBidi"/>
          <w:sz w:val="24"/>
          <w:szCs w:val="24"/>
        </w:rPr>
        <w:t xml:space="preserve">, </w:t>
      </w:r>
      <w:r w:rsidRPr="00D44AAD">
        <w:rPr>
          <w:rFonts w:asciiTheme="majorBidi" w:hAnsiTheme="majorBidi" w:cstheme="majorBidi"/>
          <w:i/>
          <w:iCs/>
          <w:sz w:val="24"/>
          <w:szCs w:val="24"/>
        </w:rPr>
        <w:t>Daciensi sanzang fashi zhuan</w:t>
      </w:r>
      <w:r w:rsidR="00722AB9" w:rsidRPr="00722AB9">
        <w:rPr>
          <w:rFonts w:asciiTheme="majorBidi" w:hAnsiTheme="majorBidi" w:cstheme="majorBidi" w:hint="eastAsia"/>
          <w:sz w:val="24"/>
          <w:szCs w:val="24"/>
        </w:rPr>
        <w:t>大慈恩寺三藏法师传</w:t>
      </w:r>
      <w:r w:rsidRPr="00722AB9">
        <w:rPr>
          <w:rFonts w:asciiTheme="majorBidi" w:hAnsiTheme="majorBidi" w:cstheme="majorBidi"/>
          <w:sz w:val="24"/>
          <w:szCs w:val="24"/>
        </w:rPr>
        <w:t>,</w:t>
      </w:r>
      <w:r>
        <w:rPr>
          <w:rFonts w:asciiTheme="majorBidi" w:hAnsiTheme="majorBidi" w:cstheme="majorBidi"/>
          <w:sz w:val="24"/>
          <w:szCs w:val="24"/>
        </w:rPr>
        <w:t xml:space="preserve"> annotated by Sun, Yutang</w:t>
      </w:r>
      <w:r w:rsidR="0033670B" w:rsidRPr="0033670B">
        <w:rPr>
          <w:rFonts w:asciiTheme="majorBidi" w:hAnsiTheme="majorBidi" w:cstheme="majorBidi"/>
          <w:sz w:val="24"/>
          <w:szCs w:val="24"/>
        </w:rPr>
        <w:t> </w:t>
      </w:r>
      <w:hyperlink r:id="rId12" w:history="1">
        <w:r w:rsidR="0033670B" w:rsidRPr="0033670B">
          <w:rPr>
            <w:rFonts w:asciiTheme="majorBidi" w:hAnsiTheme="majorBidi" w:cstheme="majorBidi"/>
            <w:sz w:val="24"/>
            <w:szCs w:val="24"/>
          </w:rPr>
          <w:t>孙毓棠</w:t>
        </w:r>
      </w:hyperlink>
      <w:r>
        <w:rPr>
          <w:rFonts w:asciiTheme="majorBidi" w:hAnsiTheme="majorBidi" w:cstheme="majorBidi"/>
          <w:sz w:val="24"/>
          <w:szCs w:val="24"/>
        </w:rPr>
        <w:t>&amp; Xie, Fang</w:t>
      </w:r>
      <w:r w:rsidR="0033670B" w:rsidRPr="0033670B">
        <w:rPr>
          <w:rFonts w:asciiTheme="majorBidi" w:hAnsiTheme="majorBidi" w:cstheme="majorBidi"/>
          <w:sz w:val="24"/>
          <w:szCs w:val="24"/>
        </w:rPr>
        <w:t>谢方</w:t>
      </w:r>
      <w:r>
        <w:rPr>
          <w:rFonts w:asciiTheme="majorBidi" w:hAnsiTheme="majorBidi" w:cstheme="majorBidi"/>
          <w:sz w:val="24"/>
          <w:szCs w:val="24"/>
        </w:rPr>
        <w:t>, Beijing, Zhonghua shuju, 2000.</w:t>
      </w:r>
    </w:p>
    <w:p w14:paraId="605B3B7F" w14:textId="27065865" w:rsidR="003251DC" w:rsidRDefault="003251DC" w:rsidP="00F52746">
      <w:pPr>
        <w:spacing w:line="360" w:lineRule="auto"/>
        <w:rPr>
          <w:rFonts w:asciiTheme="majorBidi" w:hAnsiTheme="majorBidi" w:cstheme="majorBidi"/>
          <w:sz w:val="24"/>
          <w:szCs w:val="24"/>
        </w:rPr>
      </w:pPr>
      <w:r>
        <w:rPr>
          <w:rFonts w:asciiTheme="majorBidi" w:hAnsiTheme="majorBidi" w:cstheme="majorBidi"/>
          <w:sz w:val="24"/>
          <w:szCs w:val="24"/>
        </w:rPr>
        <w:t>Hye Ch'o, Hye Ch'o Diary: A Memoir of the Pilgrimage to the Five Regions of India, translated and edited by Yang, Hansung, Jan, Y</w:t>
      </w:r>
      <w:r w:rsidRPr="004120A1">
        <w:rPr>
          <w:rFonts w:asciiTheme="majorBidi" w:hAnsiTheme="majorBidi" w:cstheme="majorBidi"/>
          <w:sz w:val="24"/>
          <w:szCs w:val="24"/>
        </w:rPr>
        <w:t>ünhua,</w:t>
      </w:r>
      <w:r>
        <w:rPr>
          <w:rFonts w:asciiTheme="majorBidi" w:hAnsiTheme="majorBidi" w:cstheme="majorBidi"/>
          <w:sz w:val="24"/>
          <w:szCs w:val="24"/>
        </w:rPr>
        <w:t xml:space="preserve"> Iida, Shotaro and Preston, Laurence, Asian Humanities Press, 1984.</w:t>
      </w:r>
    </w:p>
    <w:p w14:paraId="44CF353D" w14:textId="28C0E9B6" w:rsidR="00C51CB0" w:rsidRDefault="00C51CB0" w:rsidP="00F52746">
      <w:pPr>
        <w:spacing w:line="360" w:lineRule="auto"/>
        <w:rPr>
          <w:rFonts w:asciiTheme="majorBidi" w:hAnsiTheme="majorBidi" w:cstheme="majorBidi"/>
          <w:sz w:val="24"/>
          <w:szCs w:val="24"/>
        </w:rPr>
      </w:pPr>
      <w:bookmarkStart w:id="24" w:name="_Hlk80532713"/>
      <w:r w:rsidRPr="00C51CB0">
        <w:rPr>
          <w:rFonts w:asciiTheme="majorBidi" w:hAnsiTheme="majorBidi" w:cstheme="majorBidi"/>
          <w:sz w:val="24"/>
          <w:szCs w:val="24"/>
        </w:rPr>
        <w:t>Ibn al-</w:t>
      </w:r>
      <w:r w:rsidR="00A84AFE">
        <w:rPr>
          <w:rFonts w:asciiTheme="majorBidi" w:hAnsiTheme="majorBidi" w:cstheme="majorBidi"/>
          <w:sz w:val="24"/>
          <w:szCs w:val="24"/>
        </w:rPr>
        <w:t>’</w:t>
      </w:r>
      <w:r w:rsidRPr="00C51CB0">
        <w:rPr>
          <w:rFonts w:asciiTheme="majorBidi" w:hAnsiTheme="majorBidi" w:cstheme="majorBidi"/>
          <w:sz w:val="24"/>
          <w:szCs w:val="24"/>
        </w:rPr>
        <w:t xml:space="preserve">Athīr, </w:t>
      </w:r>
      <w:bookmarkEnd w:id="24"/>
      <w:r w:rsidR="00717025">
        <w:rPr>
          <w:rFonts w:asciiTheme="majorBidi" w:hAnsiTheme="majorBidi" w:cstheme="majorBidi"/>
          <w:i/>
          <w:iCs/>
          <w:color w:val="202122"/>
          <w:sz w:val="24"/>
          <w:szCs w:val="24"/>
          <w:shd w:val="clear" w:color="auto" w:fill="FFFFFF"/>
        </w:rPr>
        <w:t>A</w:t>
      </w:r>
      <w:r w:rsidRPr="00C51CB0">
        <w:rPr>
          <w:rFonts w:asciiTheme="majorBidi" w:hAnsiTheme="majorBidi" w:cstheme="majorBidi"/>
          <w:i/>
          <w:iCs/>
          <w:color w:val="202122"/>
          <w:sz w:val="24"/>
          <w:szCs w:val="24"/>
          <w:shd w:val="clear" w:color="auto" w:fill="FFFFFF"/>
        </w:rPr>
        <w:t>l-Kāmil fit-Tārīkh</w:t>
      </w:r>
      <w:r w:rsidRPr="00C51CB0">
        <w:rPr>
          <w:rFonts w:asciiTheme="majorBidi" w:hAnsiTheme="majorBidi" w:cstheme="majorBidi"/>
          <w:sz w:val="24"/>
          <w:szCs w:val="24"/>
        </w:rPr>
        <w:t xml:space="preserve">, </w:t>
      </w:r>
      <w:r>
        <w:rPr>
          <w:rFonts w:asciiTheme="majorBidi" w:hAnsiTheme="majorBidi" w:cstheme="majorBidi"/>
          <w:sz w:val="24"/>
          <w:szCs w:val="24"/>
        </w:rPr>
        <w:t xml:space="preserve">volume </w:t>
      </w:r>
      <w:r w:rsidR="00C612EC">
        <w:rPr>
          <w:rFonts w:asciiTheme="majorBidi" w:hAnsiTheme="majorBidi" w:cstheme="majorBidi"/>
          <w:sz w:val="24"/>
          <w:szCs w:val="24"/>
        </w:rPr>
        <w:t xml:space="preserve">3, </w:t>
      </w:r>
      <w:r>
        <w:rPr>
          <w:rFonts w:asciiTheme="majorBidi" w:hAnsiTheme="majorBidi" w:cstheme="majorBidi"/>
          <w:sz w:val="24"/>
          <w:szCs w:val="24"/>
        </w:rPr>
        <w:t>4, Beirut, Dār al-Kutub al</w:t>
      </w:r>
      <w:proofErr w:type="gramStart"/>
      <w:r>
        <w:rPr>
          <w:rFonts w:asciiTheme="majorBidi" w:hAnsiTheme="majorBidi" w:cstheme="majorBidi"/>
          <w:sz w:val="24"/>
          <w:szCs w:val="24"/>
        </w:rPr>
        <w:t>-‘</w:t>
      </w:r>
      <w:proofErr w:type="gramEnd"/>
      <w:r>
        <w:rPr>
          <w:rFonts w:asciiTheme="majorBidi" w:hAnsiTheme="majorBidi" w:cstheme="majorBidi"/>
          <w:sz w:val="24"/>
          <w:szCs w:val="24"/>
        </w:rPr>
        <w:t>Ilmiyah, 1987.</w:t>
      </w:r>
    </w:p>
    <w:p w14:paraId="58A097B6" w14:textId="1F1C5634" w:rsidR="007B7CE1" w:rsidRPr="00C51CB0" w:rsidRDefault="007B7CE1" w:rsidP="00F52746">
      <w:pPr>
        <w:spacing w:line="360" w:lineRule="auto"/>
        <w:rPr>
          <w:rFonts w:asciiTheme="majorBidi" w:hAnsiTheme="majorBidi" w:cstheme="majorBidi"/>
          <w:sz w:val="24"/>
          <w:szCs w:val="24"/>
        </w:rPr>
      </w:pPr>
      <w:r>
        <w:rPr>
          <w:rFonts w:asciiTheme="majorBidi" w:hAnsiTheme="majorBidi" w:cstheme="majorBidi"/>
          <w:sz w:val="24"/>
          <w:szCs w:val="24"/>
        </w:rPr>
        <w:t xml:space="preserve">Ibn al-Faqīh, </w:t>
      </w:r>
      <w:r w:rsidRPr="007B7CE1">
        <w:rPr>
          <w:rFonts w:asciiTheme="majorBidi" w:hAnsiTheme="majorBidi" w:cstheme="majorBidi"/>
          <w:i/>
          <w:iCs/>
          <w:sz w:val="24"/>
          <w:szCs w:val="24"/>
        </w:rPr>
        <w:t>Kitāb al-Buldān</w:t>
      </w:r>
      <w:r>
        <w:rPr>
          <w:rFonts w:asciiTheme="majorBidi" w:hAnsiTheme="majorBidi" w:cstheme="majorBidi"/>
          <w:sz w:val="24"/>
          <w:szCs w:val="24"/>
        </w:rPr>
        <w:t xml:space="preserve">, </w:t>
      </w:r>
      <w:r w:rsidR="00CB599A">
        <w:rPr>
          <w:rFonts w:asciiTheme="majorBidi" w:hAnsiTheme="majorBidi" w:cstheme="majorBidi"/>
          <w:sz w:val="24"/>
          <w:szCs w:val="24"/>
        </w:rPr>
        <w:t>Beirut, ‘Ālam al-Kutub</w:t>
      </w:r>
      <w:r>
        <w:rPr>
          <w:rFonts w:asciiTheme="majorBidi" w:hAnsiTheme="majorBidi" w:cstheme="majorBidi"/>
          <w:sz w:val="24"/>
          <w:szCs w:val="24"/>
        </w:rPr>
        <w:t>, 1</w:t>
      </w:r>
      <w:r w:rsidR="00CB599A">
        <w:rPr>
          <w:rFonts w:asciiTheme="majorBidi" w:hAnsiTheme="majorBidi" w:cstheme="majorBidi"/>
          <w:sz w:val="24"/>
          <w:szCs w:val="24"/>
        </w:rPr>
        <w:t>996</w:t>
      </w:r>
      <w:r>
        <w:rPr>
          <w:rFonts w:asciiTheme="majorBidi" w:hAnsiTheme="majorBidi" w:cstheme="majorBidi"/>
          <w:sz w:val="24"/>
          <w:szCs w:val="24"/>
        </w:rPr>
        <w:t>.</w:t>
      </w:r>
    </w:p>
    <w:p w14:paraId="48CC7310" w14:textId="462303E8" w:rsidR="006615D2" w:rsidRDefault="006615D2" w:rsidP="00F52746">
      <w:pPr>
        <w:spacing w:line="360" w:lineRule="auto"/>
        <w:rPr>
          <w:rFonts w:asciiTheme="majorBidi" w:hAnsiTheme="majorBidi" w:cstheme="majorBidi"/>
          <w:sz w:val="24"/>
          <w:szCs w:val="24"/>
        </w:rPr>
      </w:pPr>
      <w:r w:rsidRPr="006615D2">
        <w:rPr>
          <w:rFonts w:asciiTheme="majorBidi" w:hAnsiTheme="majorBidi" w:cstheme="majorBidi"/>
          <w:sz w:val="24"/>
          <w:szCs w:val="24"/>
        </w:rPr>
        <w:t xml:space="preserve">Ibn Ḥawqal, </w:t>
      </w:r>
      <w:r w:rsidRPr="0084414C">
        <w:rPr>
          <w:rFonts w:asciiTheme="majorBidi" w:hAnsiTheme="majorBidi" w:cstheme="majorBidi"/>
          <w:i/>
          <w:iCs/>
          <w:sz w:val="24"/>
          <w:szCs w:val="24"/>
        </w:rPr>
        <w:t>Kitāb al-Masālik wa</w:t>
      </w:r>
      <w:r w:rsidR="0084414C" w:rsidRPr="0084414C">
        <w:rPr>
          <w:rFonts w:asciiTheme="majorBidi" w:hAnsiTheme="majorBidi" w:cstheme="majorBidi"/>
          <w:i/>
          <w:iCs/>
          <w:sz w:val="24"/>
          <w:szCs w:val="24"/>
        </w:rPr>
        <w:t>᾽</w:t>
      </w:r>
      <w:r w:rsidRPr="0084414C">
        <w:rPr>
          <w:rFonts w:asciiTheme="majorBidi" w:hAnsiTheme="majorBidi" w:cstheme="majorBidi"/>
          <w:i/>
          <w:iCs/>
          <w:sz w:val="24"/>
          <w:szCs w:val="24"/>
        </w:rPr>
        <w:t>l-Mamālik</w:t>
      </w:r>
      <w:r w:rsidRPr="006615D2">
        <w:rPr>
          <w:rFonts w:asciiTheme="majorBidi" w:hAnsiTheme="majorBidi" w:cstheme="majorBidi"/>
          <w:sz w:val="24"/>
          <w:szCs w:val="24"/>
        </w:rPr>
        <w:t>, Leiden, Brill, 1872.</w:t>
      </w:r>
    </w:p>
    <w:p w14:paraId="4859AF6D" w14:textId="2B48D150" w:rsidR="003C5128" w:rsidRDefault="003C5128" w:rsidP="00F52746">
      <w:pPr>
        <w:spacing w:line="360" w:lineRule="auto"/>
        <w:rPr>
          <w:rFonts w:asciiTheme="majorBidi" w:hAnsiTheme="majorBidi" w:cstheme="majorBidi"/>
          <w:sz w:val="24"/>
          <w:szCs w:val="24"/>
        </w:rPr>
      </w:pPr>
      <w:r w:rsidRPr="006615D2">
        <w:rPr>
          <w:rFonts w:asciiTheme="majorBidi" w:hAnsiTheme="majorBidi" w:cstheme="majorBidi"/>
          <w:sz w:val="24"/>
          <w:szCs w:val="24"/>
        </w:rPr>
        <w:lastRenderedPageBreak/>
        <w:t>Ibn Ḥawqal</w:t>
      </w:r>
      <w:r>
        <w:rPr>
          <w:rFonts w:asciiTheme="majorBidi" w:hAnsiTheme="majorBidi" w:cstheme="majorBidi"/>
          <w:sz w:val="24"/>
          <w:szCs w:val="24"/>
        </w:rPr>
        <w:t xml:space="preserve">, </w:t>
      </w:r>
      <w:r w:rsidR="00717025">
        <w:rPr>
          <w:rFonts w:asciiTheme="majorBidi" w:hAnsiTheme="majorBidi" w:cstheme="majorBidi"/>
          <w:i/>
          <w:iCs/>
          <w:sz w:val="24"/>
          <w:szCs w:val="24"/>
        </w:rPr>
        <w:t>T</w:t>
      </w:r>
      <w:r w:rsidRPr="003C5128">
        <w:rPr>
          <w:rFonts w:asciiTheme="majorBidi" w:hAnsiTheme="majorBidi" w:cstheme="majorBidi"/>
          <w:i/>
          <w:iCs/>
          <w:sz w:val="24"/>
          <w:szCs w:val="24"/>
        </w:rPr>
        <w:t>he Oriental Geography of Eben Haukal, an Arabian Traveler of the tenth Century</w:t>
      </w:r>
      <w:r>
        <w:rPr>
          <w:rFonts w:asciiTheme="majorBidi" w:hAnsiTheme="majorBidi" w:cstheme="majorBidi"/>
          <w:sz w:val="24"/>
          <w:szCs w:val="24"/>
        </w:rPr>
        <w:t>, translated by Ouseley, William, London, Oriental Press, 1800.</w:t>
      </w:r>
    </w:p>
    <w:p w14:paraId="0F582D94" w14:textId="0DE918E4" w:rsidR="00114554" w:rsidRDefault="00114554" w:rsidP="00F52746">
      <w:pPr>
        <w:spacing w:line="360" w:lineRule="auto"/>
        <w:rPr>
          <w:rFonts w:asciiTheme="majorBidi" w:hAnsiTheme="majorBidi" w:cstheme="majorBidi"/>
          <w:sz w:val="24"/>
          <w:szCs w:val="24"/>
        </w:rPr>
      </w:pPr>
      <w:r>
        <w:rPr>
          <w:rFonts w:asciiTheme="majorBidi" w:hAnsiTheme="majorBidi" w:cstheme="majorBidi"/>
          <w:sz w:val="24"/>
          <w:szCs w:val="24"/>
        </w:rPr>
        <w:t>K</w:t>
      </w:r>
      <w:r>
        <w:rPr>
          <w:rFonts w:asciiTheme="majorBidi" w:hAnsiTheme="majorBidi" w:cstheme="majorBidi" w:hint="eastAsia"/>
          <w:sz w:val="24"/>
          <w:szCs w:val="24"/>
        </w:rPr>
        <w:t>halifa</w:t>
      </w:r>
      <w:r>
        <w:rPr>
          <w:rFonts w:asciiTheme="majorBidi" w:hAnsiTheme="majorBidi" w:cstheme="majorBidi"/>
          <w:sz w:val="24"/>
          <w:szCs w:val="24"/>
        </w:rPr>
        <w:t xml:space="preserve"> ibn Khayyat, </w:t>
      </w:r>
      <w:r w:rsidRPr="00114554">
        <w:rPr>
          <w:rFonts w:asciiTheme="majorBidi" w:hAnsiTheme="majorBidi" w:cstheme="majorBidi"/>
          <w:i/>
          <w:iCs/>
          <w:sz w:val="24"/>
          <w:szCs w:val="24"/>
        </w:rPr>
        <w:t>Khalifa ibn Khayyat’s History on the Umayyad Dynasty (660-750)</w:t>
      </w:r>
      <w:r>
        <w:rPr>
          <w:rFonts w:asciiTheme="majorBidi" w:hAnsiTheme="majorBidi" w:cstheme="majorBidi"/>
          <w:sz w:val="24"/>
          <w:szCs w:val="24"/>
        </w:rPr>
        <w:t>, translated by Wurtzel, Carl, Liverpool, Liverpool University Press, 2015.</w:t>
      </w:r>
    </w:p>
    <w:p w14:paraId="2CF97468" w14:textId="553AECFD" w:rsidR="00CA7FCB" w:rsidRDefault="00CA7FCB" w:rsidP="00CA7FCB">
      <w:pPr>
        <w:spacing w:line="360" w:lineRule="auto"/>
        <w:rPr>
          <w:rFonts w:asciiTheme="majorBidi" w:hAnsiTheme="majorBidi" w:cstheme="majorBidi"/>
          <w:sz w:val="24"/>
          <w:szCs w:val="24"/>
        </w:rPr>
      </w:pPr>
      <w:r>
        <w:rPr>
          <w:rFonts w:asciiTheme="majorBidi" w:hAnsiTheme="majorBidi" w:cstheme="majorBidi"/>
          <w:sz w:val="24"/>
          <w:szCs w:val="24"/>
        </w:rPr>
        <w:t>Khalīfa ibn Khayyā</w:t>
      </w:r>
      <w:r w:rsidR="006C173F">
        <w:rPr>
          <w:rFonts w:asciiTheme="majorBidi" w:hAnsiTheme="majorBidi" w:cstheme="majorBidi"/>
          <w:sz w:val="24"/>
          <w:szCs w:val="24"/>
        </w:rPr>
        <w:t>ṭ</w:t>
      </w:r>
      <w:r>
        <w:rPr>
          <w:rFonts w:asciiTheme="majorBidi" w:hAnsiTheme="majorBidi" w:cstheme="majorBidi"/>
          <w:sz w:val="24"/>
          <w:szCs w:val="24"/>
        </w:rPr>
        <w:t xml:space="preserve">, </w:t>
      </w:r>
      <w:r w:rsidRPr="003A57F9">
        <w:rPr>
          <w:rFonts w:asciiTheme="majorBidi" w:hAnsiTheme="majorBidi" w:cstheme="majorBidi"/>
          <w:i/>
          <w:iCs/>
          <w:sz w:val="24"/>
          <w:szCs w:val="24"/>
        </w:rPr>
        <w:t>Tārīkh Khalīfa ibn Khayyā</w:t>
      </w:r>
      <w:r w:rsidR="006C173F" w:rsidRPr="003A57F9">
        <w:rPr>
          <w:rFonts w:asciiTheme="majorBidi" w:hAnsiTheme="majorBidi" w:cstheme="majorBidi"/>
          <w:i/>
          <w:iCs/>
          <w:sz w:val="24"/>
          <w:szCs w:val="24"/>
        </w:rPr>
        <w:t>ṭ</w:t>
      </w:r>
      <w:r>
        <w:rPr>
          <w:rFonts w:asciiTheme="majorBidi" w:hAnsiTheme="majorBidi" w:cstheme="majorBidi"/>
          <w:sz w:val="24"/>
          <w:szCs w:val="24"/>
        </w:rPr>
        <w:t>, R</w:t>
      </w:r>
      <w:r w:rsidR="00413206">
        <w:rPr>
          <w:rFonts w:asciiTheme="majorBidi" w:hAnsiTheme="majorBidi" w:cstheme="majorBidi"/>
          <w:sz w:val="24"/>
          <w:szCs w:val="24"/>
        </w:rPr>
        <w:t>iyadh</w:t>
      </w:r>
      <w:r>
        <w:rPr>
          <w:rFonts w:asciiTheme="majorBidi" w:hAnsiTheme="majorBidi" w:cstheme="majorBidi"/>
          <w:sz w:val="24"/>
          <w:szCs w:val="24"/>
        </w:rPr>
        <w:t xml:space="preserve">, </w:t>
      </w:r>
      <w:r w:rsidR="0082541E">
        <w:rPr>
          <w:rFonts w:asciiTheme="majorBidi" w:hAnsiTheme="majorBidi" w:cstheme="majorBidi"/>
          <w:sz w:val="24"/>
          <w:szCs w:val="24"/>
        </w:rPr>
        <w:t>Dar Ṭ</w:t>
      </w:r>
      <w:r w:rsidR="0082541E">
        <w:rPr>
          <w:rFonts w:asciiTheme="majorBidi" w:hAnsiTheme="majorBidi" w:cstheme="majorBidi"/>
          <w:sz w:val="24"/>
          <w:szCs w:val="24"/>
          <w:lang w:bidi="ar-JO"/>
        </w:rPr>
        <w:t>ayyibah</w:t>
      </w:r>
      <w:r w:rsidR="0082541E">
        <w:rPr>
          <w:rFonts w:asciiTheme="majorBidi" w:hAnsiTheme="majorBidi" w:cstheme="majorBidi"/>
          <w:sz w:val="24"/>
          <w:szCs w:val="24"/>
        </w:rPr>
        <w:t xml:space="preserve">, </w:t>
      </w:r>
      <w:r>
        <w:rPr>
          <w:rFonts w:asciiTheme="majorBidi" w:hAnsiTheme="majorBidi" w:cstheme="majorBidi"/>
          <w:sz w:val="24"/>
          <w:szCs w:val="24"/>
        </w:rPr>
        <w:t>1985.</w:t>
      </w:r>
    </w:p>
    <w:p w14:paraId="0C20BBE5" w14:textId="6AA10B37" w:rsidR="008D7524" w:rsidRDefault="001734F1" w:rsidP="008D7524">
      <w:pPr>
        <w:spacing w:line="360" w:lineRule="auto"/>
        <w:rPr>
          <w:rFonts w:asciiTheme="majorBidi" w:hAnsiTheme="majorBidi" w:cstheme="majorBidi"/>
          <w:sz w:val="24"/>
          <w:szCs w:val="24"/>
        </w:rPr>
      </w:pPr>
      <w:r>
        <w:rPr>
          <w:rFonts w:asciiTheme="majorBidi" w:hAnsiTheme="majorBidi" w:cstheme="majorBidi"/>
          <w:sz w:val="24"/>
          <w:szCs w:val="24"/>
        </w:rPr>
        <w:t xml:space="preserve">Khan, Geoffrey, </w:t>
      </w:r>
      <w:r w:rsidRPr="00E21E1D">
        <w:rPr>
          <w:rFonts w:asciiTheme="majorBidi" w:hAnsiTheme="majorBidi" w:cstheme="majorBidi"/>
          <w:i/>
          <w:iCs/>
          <w:sz w:val="24"/>
          <w:szCs w:val="24"/>
        </w:rPr>
        <w:t>Arabic Documents from Early Islamic Khurasan</w:t>
      </w:r>
      <w:r>
        <w:rPr>
          <w:rFonts w:asciiTheme="majorBidi" w:hAnsiTheme="majorBidi" w:cstheme="majorBidi"/>
          <w:sz w:val="24"/>
          <w:szCs w:val="24"/>
        </w:rPr>
        <w:t>, London, New York, the Nour Foundation in association with Azimuth editions, 2007.</w:t>
      </w:r>
    </w:p>
    <w:p w14:paraId="43D38B4B" w14:textId="2C1B11CC" w:rsidR="00192135" w:rsidRDefault="00192135" w:rsidP="00F52746">
      <w:pPr>
        <w:spacing w:line="360" w:lineRule="auto"/>
        <w:rPr>
          <w:rFonts w:asciiTheme="majorBidi" w:hAnsiTheme="majorBidi" w:cstheme="majorBidi"/>
          <w:sz w:val="24"/>
          <w:szCs w:val="24"/>
        </w:rPr>
      </w:pPr>
      <w:r>
        <w:rPr>
          <w:rFonts w:asciiTheme="majorBidi" w:hAnsiTheme="majorBidi" w:cstheme="majorBidi"/>
          <w:sz w:val="24"/>
          <w:szCs w:val="24"/>
        </w:rPr>
        <w:t>Li, Linfu</w:t>
      </w:r>
      <w:r w:rsidR="00A1677A">
        <w:rPr>
          <w:rFonts w:asciiTheme="majorBidi" w:hAnsiTheme="majorBidi" w:cstheme="majorBidi" w:hint="eastAsia"/>
          <w:sz w:val="24"/>
          <w:szCs w:val="24"/>
        </w:rPr>
        <w:t>李林甫</w:t>
      </w:r>
      <w:r>
        <w:rPr>
          <w:rFonts w:asciiTheme="majorBidi" w:hAnsiTheme="majorBidi" w:cstheme="majorBidi"/>
          <w:sz w:val="24"/>
          <w:szCs w:val="24"/>
        </w:rPr>
        <w:t xml:space="preserve">, </w:t>
      </w:r>
      <w:r w:rsidRPr="00192135">
        <w:rPr>
          <w:rFonts w:asciiTheme="majorBidi" w:hAnsiTheme="majorBidi" w:cstheme="majorBidi"/>
          <w:i/>
          <w:iCs/>
          <w:sz w:val="24"/>
          <w:szCs w:val="24"/>
        </w:rPr>
        <w:t>Tang Liudian</w:t>
      </w:r>
      <w:r w:rsidR="00722AB9">
        <w:rPr>
          <w:rFonts w:asciiTheme="majorBidi" w:hAnsiTheme="majorBidi" w:cstheme="majorBidi" w:hint="eastAsia"/>
          <w:sz w:val="24"/>
          <w:szCs w:val="24"/>
        </w:rPr>
        <w:t>唐六典</w:t>
      </w:r>
      <w:r w:rsidR="00722AB9">
        <w:rPr>
          <w:rFonts w:asciiTheme="majorBidi" w:hAnsiTheme="majorBidi" w:cstheme="majorBidi"/>
          <w:sz w:val="24"/>
          <w:szCs w:val="24"/>
        </w:rPr>
        <w:t>,</w:t>
      </w:r>
      <w:r>
        <w:rPr>
          <w:rFonts w:asciiTheme="majorBidi" w:hAnsiTheme="majorBidi" w:cstheme="majorBidi"/>
          <w:sz w:val="24"/>
          <w:szCs w:val="24"/>
        </w:rPr>
        <w:t xml:space="preserve"> </w:t>
      </w:r>
      <w:r w:rsidR="00874CDE">
        <w:rPr>
          <w:rFonts w:asciiTheme="majorBidi" w:hAnsiTheme="majorBidi" w:cstheme="majorBidi" w:hint="eastAsia"/>
          <w:sz w:val="24"/>
          <w:szCs w:val="24"/>
        </w:rPr>
        <w:t>annotated</w:t>
      </w:r>
      <w:r w:rsidR="00874CDE">
        <w:rPr>
          <w:rFonts w:asciiTheme="majorBidi" w:hAnsiTheme="majorBidi" w:cstheme="majorBidi"/>
          <w:sz w:val="24"/>
          <w:szCs w:val="24"/>
        </w:rPr>
        <w:t xml:space="preserve"> by Chen, Zhongfu</w:t>
      </w:r>
      <w:r w:rsidR="00A1677A">
        <w:rPr>
          <w:rFonts w:asciiTheme="majorBidi" w:hAnsiTheme="majorBidi" w:cstheme="majorBidi" w:hint="eastAsia"/>
          <w:sz w:val="24"/>
          <w:szCs w:val="24"/>
        </w:rPr>
        <w:t>陈仲夫</w:t>
      </w:r>
      <w:r w:rsidR="00874CDE">
        <w:rPr>
          <w:rFonts w:asciiTheme="majorBidi" w:hAnsiTheme="majorBidi" w:cstheme="majorBidi"/>
          <w:sz w:val="24"/>
          <w:szCs w:val="24"/>
        </w:rPr>
        <w:t xml:space="preserve">, </w:t>
      </w:r>
      <w:r>
        <w:rPr>
          <w:rFonts w:asciiTheme="majorBidi" w:hAnsiTheme="majorBidi" w:cstheme="majorBidi"/>
          <w:sz w:val="24"/>
          <w:szCs w:val="24"/>
        </w:rPr>
        <w:t>Beijing, Zhonghua shuju, 2008.</w:t>
      </w:r>
    </w:p>
    <w:p w14:paraId="3F884A8E" w14:textId="3A54301E" w:rsidR="008D7524" w:rsidRDefault="008D7524" w:rsidP="008D7524">
      <w:pPr>
        <w:spacing w:line="360" w:lineRule="auto"/>
        <w:rPr>
          <w:rFonts w:asciiTheme="majorBidi" w:eastAsia="DengXian" w:hAnsiTheme="majorBidi" w:cstheme="majorBidi"/>
          <w:sz w:val="24"/>
          <w:szCs w:val="24"/>
        </w:rPr>
      </w:pPr>
      <w:r>
        <w:rPr>
          <w:rFonts w:asciiTheme="majorBidi" w:eastAsia="DengXian" w:hAnsiTheme="majorBidi" w:cstheme="majorBidi"/>
          <w:sz w:val="24"/>
          <w:szCs w:val="24"/>
        </w:rPr>
        <w:t>Li, Yanshou</w:t>
      </w:r>
      <w:r>
        <w:rPr>
          <w:rFonts w:asciiTheme="majorBidi" w:eastAsia="DengXian" w:hAnsiTheme="majorBidi" w:cstheme="majorBidi" w:hint="eastAsia"/>
          <w:sz w:val="24"/>
          <w:szCs w:val="24"/>
        </w:rPr>
        <w:t>李延寿</w:t>
      </w:r>
      <w:r>
        <w:rPr>
          <w:rFonts w:asciiTheme="majorBidi" w:eastAsia="DengXian" w:hAnsiTheme="majorBidi" w:cstheme="majorBidi"/>
          <w:sz w:val="24"/>
          <w:szCs w:val="24"/>
        </w:rPr>
        <w:t xml:space="preserve">, </w:t>
      </w:r>
      <w:r w:rsidRPr="003F26AB">
        <w:rPr>
          <w:rFonts w:asciiTheme="majorBidi" w:eastAsia="DengXian" w:hAnsiTheme="majorBidi" w:cstheme="majorBidi"/>
          <w:i/>
          <w:iCs/>
          <w:sz w:val="24"/>
          <w:szCs w:val="24"/>
        </w:rPr>
        <w:t>Beishi</w:t>
      </w:r>
      <w:r>
        <w:rPr>
          <w:rFonts w:asciiTheme="majorBidi" w:eastAsia="DengXian" w:hAnsiTheme="majorBidi" w:cstheme="majorBidi" w:hint="eastAsia"/>
          <w:sz w:val="24"/>
          <w:szCs w:val="24"/>
        </w:rPr>
        <w:t>北史</w:t>
      </w:r>
      <w:r>
        <w:rPr>
          <w:rFonts w:asciiTheme="majorBidi" w:eastAsia="DengXian" w:hAnsiTheme="majorBidi" w:cstheme="majorBidi"/>
          <w:sz w:val="24"/>
          <w:szCs w:val="24"/>
        </w:rPr>
        <w:t>, Beijing, Zhonghua shuju, 1995.</w:t>
      </w:r>
    </w:p>
    <w:p w14:paraId="5239F2DE" w14:textId="591BB46D" w:rsidR="00344592" w:rsidRDefault="00344592" w:rsidP="00F52746">
      <w:pPr>
        <w:spacing w:line="360" w:lineRule="auto"/>
        <w:rPr>
          <w:rFonts w:asciiTheme="majorBidi" w:hAnsiTheme="majorBidi" w:cstheme="majorBidi"/>
          <w:sz w:val="24"/>
          <w:szCs w:val="24"/>
        </w:rPr>
      </w:pPr>
      <w:r>
        <w:rPr>
          <w:rFonts w:asciiTheme="majorBidi" w:hAnsiTheme="majorBidi" w:cstheme="majorBidi" w:hint="eastAsia"/>
          <w:sz w:val="24"/>
          <w:szCs w:val="24"/>
        </w:rPr>
        <w:t>L</w:t>
      </w:r>
      <w:r>
        <w:rPr>
          <w:rFonts w:asciiTheme="majorBidi" w:hAnsiTheme="majorBidi" w:cstheme="majorBidi"/>
          <w:sz w:val="24"/>
          <w:szCs w:val="24"/>
        </w:rPr>
        <w:t>iu, Xu</w:t>
      </w:r>
      <w:r w:rsidR="00D03470">
        <w:rPr>
          <w:rFonts w:ascii="Arial" w:hAnsi="Arial" w:cs="Arial"/>
          <w:color w:val="202122"/>
          <w:sz w:val="23"/>
          <w:szCs w:val="23"/>
          <w:shd w:val="clear" w:color="auto" w:fill="FFFFFF"/>
        </w:rPr>
        <w:t>刘</w:t>
      </w:r>
      <w:r w:rsidR="00D03470">
        <w:rPr>
          <w:rFonts w:ascii="Microsoft YaHei" w:eastAsia="Microsoft YaHei" w:hAnsi="Microsoft YaHei" w:cs="Microsoft YaHei" w:hint="eastAsia"/>
          <w:color w:val="202122"/>
          <w:sz w:val="23"/>
          <w:szCs w:val="23"/>
          <w:shd w:val="clear" w:color="auto" w:fill="FFFFFF"/>
        </w:rPr>
        <w:t>昫</w:t>
      </w:r>
      <w:r>
        <w:rPr>
          <w:rFonts w:asciiTheme="majorBidi" w:hAnsiTheme="majorBidi" w:cstheme="majorBidi"/>
          <w:sz w:val="24"/>
          <w:szCs w:val="24"/>
        </w:rPr>
        <w:t xml:space="preserve">, </w:t>
      </w:r>
      <w:r w:rsidRPr="00344592">
        <w:rPr>
          <w:rFonts w:asciiTheme="majorBidi" w:hAnsiTheme="majorBidi" w:cstheme="majorBidi"/>
          <w:i/>
          <w:iCs/>
          <w:sz w:val="24"/>
          <w:szCs w:val="24"/>
        </w:rPr>
        <w:t>Jiu Tangshu</w:t>
      </w:r>
      <w:r w:rsidR="00722AB9">
        <w:rPr>
          <w:rFonts w:asciiTheme="majorBidi" w:hAnsiTheme="majorBidi" w:cstheme="majorBidi" w:hint="eastAsia"/>
          <w:sz w:val="24"/>
          <w:szCs w:val="24"/>
        </w:rPr>
        <w:t>旧唐书</w:t>
      </w:r>
      <w:r w:rsidR="00722AB9">
        <w:rPr>
          <w:rFonts w:asciiTheme="majorBidi" w:hAnsiTheme="majorBidi" w:cstheme="majorBidi"/>
          <w:sz w:val="24"/>
          <w:szCs w:val="24"/>
        </w:rPr>
        <w:t xml:space="preserve">, </w:t>
      </w:r>
      <w:r>
        <w:rPr>
          <w:rFonts w:asciiTheme="majorBidi" w:hAnsiTheme="majorBidi" w:cstheme="majorBidi"/>
          <w:sz w:val="24"/>
          <w:szCs w:val="24"/>
        </w:rPr>
        <w:t xml:space="preserve">Beijing, </w:t>
      </w:r>
      <w:r w:rsidRPr="00344592">
        <w:rPr>
          <w:rFonts w:asciiTheme="majorBidi" w:hAnsiTheme="majorBidi" w:cstheme="majorBidi"/>
          <w:sz w:val="24"/>
          <w:szCs w:val="24"/>
        </w:rPr>
        <w:t>Zhonghua shuju, 1995.</w:t>
      </w:r>
    </w:p>
    <w:p w14:paraId="16E5A246" w14:textId="48F4E62A" w:rsidR="00734899" w:rsidRPr="00F52746" w:rsidRDefault="00734899" w:rsidP="00734899">
      <w:pPr>
        <w:spacing w:line="360" w:lineRule="auto"/>
        <w:rPr>
          <w:rFonts w:asciiTheme="majorBidi" w:hAnsiTheme="majorBidi" w:cstheme="majorBidi"/>
          <w:sz w:val="24"/>
          <w:szCs w:val="24"/>
        </w:rPr>
      </w:pPr>
      <w:r>
        <w:rPr>
          <w:rFonts w:asciiTheme="majorBidi" w:hAnsiTheme="majorBidi" w:cstheme="majorBidi" w:hint="eastAsia"/>
          <w:sz w:val="24"/>
          <w:szCs w:val="24"/>
        </w:rPr>
        <w:t>M</w:t>
      </w:r>
      <w:r>
        <w:rPr>
          <w:rFonts w:asciiTheme="majorBidi" w:hAnsiTheme="majorBidi" w:cstheme="majorBidi"/>
          <w:sz w:val="24"/>
          <w:szCs w:val="24"/>
        </w:rPr>
        <w:t xml:space="preserve">enander, </w:t>
      </w:r>
      <w:r w:rsidRPr="00DF5D47">
        <w:rPr>
          <w:rFonts w:asciiTheme="majorBidi" w:hAnsiTheme="majorBidi" w:cstheme="majorBidi"/>
          <w:i/>
          <w:iCs/>
          <w:sz w:val="24"/>
          <w:szCs w:val="24"/>
        </w:rPr>
        <w:t>the History of Menander the Guardsman</w:t>
      </w:r>
      <w:r>
        <w:rPr>
          <w:rFonts w:asciiTheme="majorBidi" w:hAnsiTheme="majorBidi" w:cstheme="majorBidi"/>
          <w:sz w:val="24"/>
          <w:szCs w:val="24"/>
        </w:rPr>
        <w:t>, translted by Blockley, Roger, Wiltshire, Francis Cairns, 1985.</w:t>
      </w:r>
    </w:p>
    <w:p w14:paraId="769099BF" w14:textId="0BA3DE2E" w:rsidR="00D81016" w:rsidRDefault="00D81016" w:rsidP="007B09B6">
      <w:pPr>
        <w:spacing w:line="360" w:lineRule="auto"/>
        <w:rPr>
          <w:rFonts w:asciiTheme="majorBidi" w:hAnsiTheme="majorBidi" w:cstheme="majorBidi"/>
          <w:sz w:val="24"/>
          <w:szCs w:val="24"/>
        </w:rPr>
      </w:pPr>
      <w:bookmarkStart w:id="25" w:name="_Hlk79744772"/>
      <w:r w:rsidRPr="00344592">
        <w:rPr>
          <w:rFonts w:asciiTheme="majorBidi" w:hAnsiTheme="majorBidi" w:cstheme="majorBidi" w:hint="eastAsia"/>
          <w:sz w:val="24"/>
          <w:szCs w:val="24"/>
        </w:rPr>
        <w:t>O</w:t>
      </w:r>
      <w:r w:rsidRPr="00344592">
        <w:rPr>
          <w:rFonts w:asciiTheme="majorBidi" w:hAnsiTheme="majorBidi" w:cstheme="majorBidi"/>
          <w:sz w:val="24"/>
          <w:szCs w:val="24"/>
        </w:rPr>
        <w:t>uyang, Xiu</w:t>
      </w:r>
      <w:r w:rsidR="00D03470">
        <w:rPr>
          <w:rFonts w:asciiTheme="majorBidi" w:hAnsiTheme="majorBidi" w:cstheme="majorBidi" w:hint="eastAsia"/>
          <w:sz w:val="24"/>
          <w:szCs w:val="24"/>
        </w:rPr>
        <w:t>欧阳修</w:t>
      </w:r>
      <w:r w:rsidRPr="00344592">
        <w:rPr>
          <w:rFonts w:asciiTheme="majorBidi" w:hAnsiTheme="majorBidi" w:cstheme="majorBidi"/>
          <w:sz w:val="24"/>
          <w:szCs w:val="24"/>
        </w:rPr>
        <w:t>&amp; Song, Qi</w:t>
      </w:r>
      <w:r w:rsidR="00D03470">
        <w:rPr>
          <w:rFonts w:asciiTheme="majorBidi" w:hAnsiTheme="majorBidi" w:cstheme="majorBidi" w:hint="eastAsia"/>
          <w:sz w:val="24"/>
          <w:szCs w:val="24"/>
        </w:rPr>
        <w:t>宋祁</w:t>
      </w:r>
      <w:r w:rsidRPr="00344592">
        <w:rPr>
          <w:rFonts w:asciiTheme="majorBidi" w:hAnsiTheme="majorBidi" w:cstheme="majorBidi"/>
          <w:sz w:val="24"/>
          <w:szCs w:val="24"/>
        </w:rPr>
        <w:t xml:space="preserve">, </w:t>
      </w:r>
      <w:r w:rsidRPr="00344592">
        <w:rPr>
          <w:rFonts w:asciiTheme="majorBidi" w:hAnsiTheme="majorBidi" w:cstheme="majorBidi"/>
          <w:i/>
          <w:iCs/>
          <w:sz w:val="24"/>
          <w:szCs w:val="24"/>
        </w:rPr>
        <w:t>Xin</w:t>
      </w:r>
      <w:r w:rsidR="00717025">
        <w:rPr>
          <w:rFonts w:asciiTheme="majorBidi" w:hAnsiTheme="majorBidi" w:cstheme="majorBidi"/>
          <w:i/>
          <w:iCs/>
          <w:sz w:val="24"/>
          <w:szCs w:val="24"/>
        </w:rPr>
        <w:t xml:space="preserve"> T</w:t>
      </w:r>
      <w:r w:rsidRPr="00344592">
        <w:rPr>
          <w:rFonts w:asciiTheme="majorBidi" w:hAnsiTheme="majorBidi" w:cstheme="majorBidi"/>
          <w:i/>
          <w:iCs/>
          <w:sz w:val="24"/>
          <w:szCs w:val="24"/>
        </w:rPr>
        <w:t>angshu</w:t>
      </w:r>
      <w:r w:rsidR="00722AB9">
        <w:rPr>
          <w:rFonts w:asciiTheme="majorBidi" w:hAnsiTheme="majorBidi" w:cstheme="majorBidi" w:hint="eastAsia"/>
          <w:sz w:val="24"/>
          <w:szCs w:val="24"/>
        </w:rPr>
        <w:t>新唐书</w:t>
      </w:r>
      <w:r w:rsidR="00722AB9">
        <w:rPr>
          <w:rFonts w:asciiTheme="majorBidi" w:hAnsiTheme="majorBidi" w:cstheme="majorBidi"/>
          <w:sz w:val="24"/>
          <w:szCs w:val="24"/>
        </w:rPr>
        <w:t>,</w:t>
      </w:r>
      <w:r w:rsidRPr="00344592">
        <w:rPr>
          <w:rFonts w:asciiTheme="majorBidi" w:hAnsiTheme="majorBidi" w:cstheme="majorBidi"/>
          <w:sz w:val="24"/>
          <w:szCs w:val="24"/>
        </w:rPr>
        <w:t xml:space="preserve"> Beijing, Zhonghua shuju</w:t>
      </w:r>
      <w:r w:rsidR="00344592" w:rsidRPr="00344592">
        <w:rPr>
          <w:rFonts w:asciiTheme="majorBidi" w:hAnsiTheme="majorBidi" w:cstheme="majorBidi"/>
          <w:sz w:val="24"/>
          <w:szCs w:val="24"/>
        </w:rPr>
        <w:t>, 1995</w:t>
      </w:r>
      <w:r w:rsidRPr="00344592">
        <w:rPr>
          <w:rFonts w:asciiTheme="majorBidi" w:hAnsiTheme="majorBidi" w:cstheme="majorBidi"/>
          <w:sz w:val="24"/>
          <w:szCs w:val="24"/>
        </w:rPr>
        <w:t>.</w:t>
      </w:r>
    </w:p>
    <w:p w14:paraId="6FA92849" w14:textId="77777777" w:rsidR="003251DC" w:rsidRDefault="003251DC" w:rsidP="003251DC">
      <w:pPr>
        <w:spacing w:line="360" w:lineRule="auto"/>
        <w:rPr>
          <w:rFonts w:asciiTheme="majorBidi" w:hAnsiTheme="majorBidi" w:cstheme="majorBidi"/>
          <w:sz w:val="24"/>
          <w:szCs w:val="24"/>
        </w:rPr>
      </w:pPr>
      <w:r>
        <w:rPr>
          <w:rFonts w:asciiTheme="majorBidi" w:hAnsiTheme="majorBidi" w:cstheme="majorBidi"/>
          <w:sz w:val="24"/>
          <w:szCs w:val="24"/>
        </w:rPr>
        <w:t xml:space="preserve">Ptolemaei, Claudii, </w:t>
      </w:r>
      <w:r w:rsidRPr="00C676E1">
        <w:rPr>
          <w:rFonts w:asciiTheme="majorBidi" w:hAnsiTheme="majorBidi" w:cstheme="majorBidi"/>
          <w:i/>
          <w:iCs/>
          <w:sz w:val="24"/>
          <w:szCs w:val="24"/>
        </w:rPr>
        <w:t>Geographia</w:t>
      </w:r>
      <w:r>
        <w:rPr>
          <w:rFonts w:asciiTheme="majorBidi" w:hAnsiTheme="majorBidi" w:cstheme="majorBidi"/>
          <w:sz w:val="24"/>
          <w:szCs w:val="24"/>
        </w:rPr>
        <w:t>, Lipsiae, Sumptibus et Typis Caroli Tauchnitii, 1845.</w:t>
      </w:r>
    </w:p>
    <w:p w14:paraId="477B65D7" w14:textId="1C4302DE" w:rsidR="003251DC" w:rsidRDefault="003251DC" w:rsidP="003251DC">
      <w:pPr>
        <w:spacing w:line="360" w:lineRule="auto"/>
        <w:rPr>
          <w:rFonts w:asciiTheme="majorBidi" w:hAnsiTheme="majorBidi" w:cstheme="majorBidi"/>
          <w:sz w:val="24"/>
          <w:szCs w:val="24"/>
        </w:rPr>
      </w:pPr>
      <w:r>
        <w:rPr>
          <w:rFonts w:asciiTheme="majorBidi" w:hAnsiTheme="majorBidi" w:cstheme="majorBidi"/>
          <w:sz w:val="24"/>
          <w:szCs w:val="24"/>
        </w:rPr>
        <w:t xml:space="preserve">Ptolemy, Claudius, </w:t>
      </w:r>
      <w:r w:rsidR="00717025">
        <w:rPr>
          <w:rFonts w:asciiTheme="majorBidi" w:hAnsiTheme="majorBidi" w:cstheme="majorBidi"/>
          <w:i/>
          <w:iCs/>
          <w:sz w:val="24"/>
          <w:szCs w:val="24"/>
        </w:rPr>
        <w:t>T</w:t>
      </w:r>
      <w:r w:rsidRPr="00DC2FCC">
        <w:rPr>
          <w:rFonts w:asciiTheme="majorBidi" w:hAnsiTheme="majorBidi" w:cstheme="majorBidi"/>
          <w:i/>
          <w:iCs/>
          <w:sz w:val="24"/>
          <w:szCs w:val="24"/>
        </w:rPr>
        <w:t>he Geography</w:t>
      </w:r>
      <w:r>
        <w:rPr>
          <w:rFonts w:asciiTheme="majorBidi" w:hAnsiTheme="majorBidi" w:cstheme="majorBidi"/>
          <w:sz w:val="24"/>
          <w:szCs w:val="24"/>
        </w:rPr>
        <w:t>, translated by Stevenson, Edward, New York, Dover Publications, 1991.</w:t>
      </w:r>
    </w:p>
    <w:p w14:paraId="69D3A07B" w14:textId="4FEC5D8A" w:rsidR="001734F1" w:rsidRDefault="001734F1" w:rsidP="001734F1">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Sebeos, </w:t>
      </w:r>
      <w:r w:rsidRPr="0005079D">
        <w:rPr>
          <w:rFonts w:asciiTheme="majorBidi" w:hAnsiTheme="majorBidi" w:cstheme="majorBidi"/>
          <w:i/>
          <w:iCs/>
          <w:sz w:val="24"/>
          <w:szCs w:val="24"/>
        </w:rPr>
        <w:t>The Armenian History attributed to Sebeos</w:t>
      </w:r>
      <w:r>
        <w:rPr>
          <w:rFonts w:asciiTheme="majorBidi" w:hAnsiTheme="majorBidi" w:cstheme="majorBidi"/>
          <w:sz w:val="24"/>
          <w:szCs w:val="24"/>
        </w:rPr>
        <w:t>, translated by R. Thompson &amp; Howard-Johnston, James, Liverpool, Liverpool University Press, 1999.</w:t>
      </w:r>
    </w:p>
    <w:p w14:paraId="19369BB1" w14:textId="4FB8BB6C" w:rsidR="0010363C" w:rsidRDefault="0010363C" w:rsidP="001734F1">
      <w:pPr>
        <w:spacing w:line="360" w:lineRule="auto"/>
        <w:jc w:val="left"/>
        <w:rPr>
          <w:rFonts w:asciiTheme="majorBidi" w:hAnsiTheme="majorBidi" w:cstheme="majorBidi"/>
          <w:sz w:val="24"/>
          <w:szCs w:val="24"/>
        </w:rPr>
      </w:pPr>
      <w:r>
        <w:rPr>
          <w:rFonts w:asciiTheme="majorBidi" w:hAnsiTheme="majorBidi" w:cstheme="majorBidi"/>
          <w:sz w:val="24"/>
          <w:szCs w:val="24"/>
        </w:rPr>
        <w:t>Sima, Guang</w:t>
      </w:r>
      <w:r w:rsidR="00D03470">
        <w:rPr>
          <w:rFonts w:asciiTheme="majorBidi" w:hAnsiTheme="majorBidi" w:cstheme="majorBidi" w:hint="eastAsia"/>
          <w:sz w:val="24"/>
          <w:szCs w:val="24"/>
        </w:rPr>
        <w:t>司马光</w:t>
      </w:r>
      <w:r>
        <w:rPr>
          <w:rFonts w:asciiTheme="majorBidi" w:hAnsiTheme="majorBidi" w:cstheme="majorBidi"/>
          <w:sz w:val="24"/>
          <w:szCs w:val="24"/>
        </w:rPr>
        <w:t xml:space="preserve">, </w:t>
      </w:r>
      <w:r w:rsidRPr="00AE5B82">
        <w:rPr>
          <w:rFonts w:asciiTheme="majorBidi" w:hAnsiTheme="majorBidi" w:cstheme="majorBidi"/>
          <w:i/>
          <w:iCs/>
          <w:sz w:val="24"/>
          <w:szCs w:val="24"/>
        </w:rPr>
        <w:t>Zizhi tongjian</w:t>
      </w:r>
      <w:r w:rsidR="00722AB9">
        <w:rPr>
          <w:rFonts w:asciiTheme="majorBidi" w:hAnsiTheme="majorBidi" w:cstheme="majorBidi" w:hint="eastAsia"/>
          <w:sz w:val="24"/>
          <w:szCs w:val="24"/>
        </w:rPr>
        <w:t>资治通鉴</w:t>
      </w:r>
      <w:r w:rsidR="00722AB9">
        <w:rPr>
          <w:rFonts w:asciiTheme="majorBidi" w:hAnsiTheme="majorBidi" w:cstheme="majorBidi"/>
          <w:sz w:val="24"/>
          <w:szCs w:val="24"/>
        </w:rPr>
        <w:t xml:space="preserve">, </w:t>
      </w:r>
      <w:r>
        <w:rPr>
          <w:rFonts w:asciiTheme="majorBidi" w:hAnsiTheme="majorBidi" w:cstheme="majorBidi"/>
          <w:sz w:val="24"/>
          <w:szCs w:val="24"/>
        </w:rPr>
        <w:t>Beijing, Zhonghua shuju, 1964.</w:t>
      </w:r>
    </w:p>
    <w:p w14:paraId="05827F6A" w14:textId="6B0D1BD1" w:rsidR="003251DC" w:rsidRDefault="003251DC" w:rsidP="003251DC">
      <w:pPr>
        <w:spacing w:line="360" w:lineRule="auto"/>
        <w:rPr>
          <w:rFonts w:asciiTheme="majorBidi" w:hAnsiTheme="majorBidi" w:cstheme="majorBidi"/>
          <w:sz w:val="24"/>
          <w:szCs w:val="24"/>
        </w:rPr>
      </w:pPr>
      <w:r>
        <w:rPr>
          <w:rFonts w:asciiTheme="majorBidi" w:hAnsiTheme="majorBidi" w:cstheme="majorBidi"/>
          <w:sz w:val="24"/>
          <w:szCs w:val="24"/>
        </w:rPr>
        <w:t>Sima, Qian</w:t>
      </w:r>
      <w:r w:rsidR="00D03470">
        <w:rPr>
          <w:rFonts w:asciiTheme="majorBidi" w:hAnsiTheme="majorBidi" w:cstheme="majorBidi" w:hint="eastAsia"/>
          <w:sz w:val="24"/>
          <w:szCs w:val="24"/>
        </w:rPr>
        <w:t>司马迁</w:t>
      </w:r>
      <w:r>
        <w:rPr>
          <w:rFonts w:asciiTheme="majorBidi" w:hAnsiTheme="majorBidi" w:cstheme="majorBidi"/>
          <w:sz w:val="24"/>
          <w:szCs w:val="24"/>
        </w:rPr>
        <w:t xml:space="preserve">, </w:t>
      </w:r>
      <w:r w:rsidRPr="00032390">
        <w:rPr>
          <w:rFonts w:asciiTheme="majorBidi" w:hAnsiTheme="majorBidi" w:cstheme="majorBidi"/>
          <w:i/>
          <w:iCs/>
          <w:sz w:val="24"/>
          <w:szCs w:val="24"/>
        </w:rPr>
        <w:t>Shiji</w:t>
      </w:r>
      <w:r w:rsidR="00722AB9">
        <w:rPr>
          <w:rFonts w:asciiTheme="majorBidi" w:hAnsiTheme="majorBidi" w:cstheme="majorBidi" w:hint="eastAsia"/>
          <w:sz w:val="24"/>
          <w:szCs w:val="24"/>
        </w:rPr>
        <w:t>史记</w:t>
      </w:r>
      <w:r w:rsidR="00722AB9">
        <w:rPr>
          <w:rFonts w:asciiTheme="majorBidi" w:hAnsiTheme="majorBidi" w:cstheme="majorBidi"/>
          <w:sz w:val="24"/>
          <w:szCs w:val="24"/>
        </w:rPr>
        <w:t>,</w:t>
      </w:r>
      <w:r>
        <w:rPr>
          <w:rFonts w:asciiTheme="majorBidi" w:hAnsiTheme="majorBidi" w:cstheme="majorBidi"/>
          <w:sz w:val="24"/>
          <w:szCs w:val="24"/>
        </w:rPr>
        <w:t xml:space="preserve"> Beijing, Zhonghua shuju, 1996.</w:t>
      </w:r>
    </w:p>
    <w:p w14:paraId="70F0FFB5" w14:textId="7D7F48E8" w:rsidR="004E336A" w:rsidRDefault="004E336A" w:rsidP="003251DC">
      <w:pPr>
        <w:spacing w:line="360" w:lineRule="auto"/>
        <w:rPr>
          <w:rFonts w:asciiTheme="majorBidi" w:hAnsiTheme="majorBidi" w:cstheme="majorBidi"/>
          <w:sz w:val="24"/>
          <w:szCs w:val="24"/>
        </w:rPr>
      </w:pPr>
      <w:r>
        <w:rPr>
          <w:rFonts w:asciiTheme="majorBidi" w:hAnsiTheme="majorBidi" w:cstheme="majorBidi"/>
          <w:sz w:val="24"/>
          <w:szCs w:val="24"/>
        </w:rPr>
        <w:t xml:space="preserve">Simocatta, Theophylact, </w:t>
      </w:r>
      <w:r w:rsidRPr="004E336A">
        <w:rPr>
          <w:rFonts w:asciiTheme="majorBidi" w:hAnsiTheme="majorBidi" w:cstheme="majorBidi"/>
          <w:i/>
          <w:iCs/>
          <w:sz w:val="24"/>
          <w:szCs w:val="24"/>
        </w:rPr>
        <w:t>The History of Theophylact Simocatta</w:t>
      </w:r>
      <w:r>
        <w:rPr>
          <w:rFonts w:asciiTheme="majorBidi" w:hAnsiTheme="majorBidi" w:cstheme="majorBidi"/>
          <w:sz w:val="24"/>
          <w:szCs w:val="24"/>
        </w:rPr>
        <w:t>, translated by Whitby Michael &amp; Whitby, Mary, Oxford, Oxford University Press, 1986.</w:t>
      </w:r>
    </w:p>
    <w:p w14:paraId="3A86702E" w14:textId="77268AB6" w:rsidR="003251DC" w:rsidRDefault="003251DC" w:rsidP="003251DC">
      <w:pPr>
        <w:spacing w:line="360" w:lineRule="auto"/>
        <w:rPr>
          <w:rFonts w:asciiTheme="majorBidi" w:hAnsiTheme="majorBidi" w:cstheme="majorBidi"/>
          <w:sz w:val="24"/>
          <w:szCs w:val="24"/>
        </w:rPr>
      </w:pPr>
      <w:r>
        <w:rPr>
          <w:rFonts w:asciiTheme="majorBidi" w:hAnsiTheme="majorBidi" w:cstheme="majorBidi"/>
          <w:sz w:val="24"/>
          <w:szCs w:val="24"/>
        </w:rPr>
        <w:t xml:space="preserve">Strabo, </w:t>
      </w:r>
      <w:r w:rsidR="00717025">
        <w:rPr>
          <w:rFonts w:asciiTheme="majorBidi" w:hAnsiTheme="majorBidi" w:cstheme="majorBidi"/>
          <w:i/>
          <w:iCs/>
          <w:sz w:val="24"/>
          <w:szCs w:val="24"/>
        </w:rPr>
        <w:t>T</w:t>
      </w:r>
      <w:r w:rsidRPr="00C0026C">
        <w:rPr>
          <w:rFonts w:asciiTheme="majorBidi" w:hAnsiTheme="majorBidi" w:cstheme="majorBidi"/>
          <w:i/>
          <w:iCs/>
          <w:sz w:val="24"/>
          <w:szCs w:val="24"/>
        </w:rPr>
        <w:t>he Geography of Strabo</w:t>
      </w:r>
      <w:r>
        <w:rPr>
          <w:rFonts w:asciiTheme="majorBidi" w:hAnsiTheme="majorBidi" w:cstheme="majorBidi"/>
          <w:sz w:val="24"/>
          <w:szCs w:val="24"/>
        </w:rPr>
        <w:t>, volume 5, London, Harvard University Press, 1928.</w:t>
      </w:r>
    </w:p>
    <w:p w14:paraId="47ACE1DD" w14:textId="75B6756D" w:rsidR="00E44D0E" w:rsidRDefault="00E44D0E" w:rsidP="003251DC">
      <w:pPr>
        <w:spacing w:line="360" w:lineRule="auto"/>
        <w:rPr>
          <w:rFonts w:asciiTheme="majorBidi" w:hAnsiTheme="majorBidi" w:cstheme="majorBidi"/>
          <w:sz w:val="24"/>
          <w:szCs w:val="24"/>
        </w:rPr>
      </w:pPr>
      <w:r>
        <w:rPr>
          <w:rFonts w:asciiTheme="majorBidi" w:hAnsiTheme="majorBidi" w:cstheme="majorBidi"/>
          <w:sz w:val="24"/>
          <w:szCs w:val="24"/>
        </w:rPr>
        <w:t>Wang, Pu</w:t>
      </w:r>
      <w:r w:rsidR="00D03470" w:rsidRPr="00D03470">
        <w:rPr>
          <w:rFonts w:asciiTheme="majorBidi" w:hAnsiTheme="majorBidi" w:cstheme="majorBidi"/>
          <w:sz w:val="24"/>
          <w:szCs w:val="24"/>
        </w:rPr>
        <w:t>王</w:t>
      </w:r>
      <w:r w:rsidR="00D03470" w:rsidRPr="00D03470">
        <w:rPr>
          <w:rFonts w:asciiTheme="majorBidi" w:hAnsiTheme="majorBidi" w:cstheme="majorBidi" w:hint="eastAsia"/>
          <w:sz w:val="24"/>
          <w:szCs w:val="24"/>
        </w:rPr>
        <w:t>溥</w:t>
      </w:r>
      <w:r w:rsidR="00102083">
        <w:rPr>
          <w:rFonts w:asciiTheme="majorBidi" w:hAnsiTheme="majorBidi" w:cstheme="majorBidi"/>
          <w:sz w:val="24"/>
          <w:szCs w:val="24"/>
        </w:rPr>
        <w:t>(editor)</w:t>
      </w:r>
      <w:r>
        <w:rPr>
          <w:rFonts w:asciiTheme="majorBidi" w:hAnsiTheme="majorBidi" w:cstheme="majorBidi"/>
          <w:sz w:val="24"/>
          <w:szCs w:val="24"/>
        </w:rPr>
        <w:t xml:space="preserve">, </w:t>
      </w:r>
      <w:r w:rsidRPr="00E44D0E">
        <w:rPr>
          <w:rFonts w:asciiTheme="majorBidi" w:hAnsiTheme="majorBidi" w:cstheme="majorBidi"/>
          <w:i/>
          <w:iCs/>
          <w:sz w:val="24"/>
          <w:szCs w:val="24"/>
        </w:rPr>
        <w:t xml:space="preserve">Tang </w:t>
      </w:r>
      <w:r w:rsidR="0087240D">
        <w:rPr>
          <w:rFonts w:asciiTheme="majorBidi" w:hAnsiTheme="majorBidi" w:cstheme="majorBidi"/>
          <w:i/>
          <w:iCs/>
          <w:sz w:val="24"/>
          <w:szCs w:val="24"/>
        </w:rPr>
        <w:t>h</w:t>
      </w:r>
      <w:r w:rsidRPr="00E44D0E">
        <w:rPr>
          <w:rFonts w:asciiTheme="majorBidi" w:hAnsiTheme="majorBidi" w:cstheme="majorBidi"/>
          <w:i/>
          <w:iCs/>
          <w:sz w:val="24"/>
          <w:szCs w:val="24"/>
        </w:rPr>
        <w:t>uiyao</w:t>
      </w:r>
      <w:r w:rsidR="00722AB9">
        <w:rPr>
          <w:rFonts w:asciiTheme="majorBidi" w:hAnsiTheme="majorBidi" w:cstheme="majorBidi" w:hint="eastAsia"/>
          <w:sz w:val="24"/>
          <w:szCs w:val="24"/>
        </w:rPr>
        <w:t>唐会要</w:t>
      </w:r>
      <w:r w:rsidR="00722AB9">
        <w:rPr>
          <w:rFonts w:asciiTheme="majorBidi" w:hAnsiTheme="majorBidi" w:cstheme="majorBidi"/>
          <w:sz w:val="24"/>
          <w:szCs w:val="24"/>
        </w:rPr>
        <w:t xml:space="preserve">, </w:t>
      </w:r>
      <w:r>
        <w:rPr>
          <w:rFonts w:asciiTheme="majorBidi" w:hAnsiTheme="majorBidi" w:cstheme="majorBidi"/>
          <w:sz w:val="24"/>
          <w:szCs w:val="24"/>
        </w:rPr>
        <w:t>Beijing, Zhonghua Shuju, 1998.</w:t>
      </w:r>
    </w:p>
    <w:p w14:paraId="16D53B22" w14:textId="0F06070B" w:rsidR="00E44D0E" w:rsidRDefault="0010363C" w:rsidP="00E44D0E">
      <w:pPr>
        <w:spacing w:line="360" w:lineRule="auto"/>
        <w:rPr>
          <w:rFonts w:asciiTheme="majorBidi" w:hAnsiTheme="majorBidi" w:cstheme="majorBidi"/>
          <w:sz w:val="24"/>
          <w:szCs w:val="24"/>
        </w:rPr>
      </w:pPr>
      <w:r>
        <w:rPr>
          <w:rFonts w:asciiTheme="majorBidi" w:hAnsiTheme="majorBidi" w:cstheme="majorBidi"/>
          <w:sz w:val="24"/>
          <w:szCs w:val="24"/>
        </w:rPr>
        <w:t>Wang, Qinruo</w:t>
      </w:r>
      <w:r w:rsidR="00D03470">
        <w:rPr>
          <w:rFonts w:asciiTheme="majorBidi" w:hAnsiTheme="majorBidi" w:cstheme="majorBidi" w:hint="eastAsia"/>
          <w:sz w:val="24"/>
          <w:szCs w:val="24"/>
        </w:rPr>
        <w:t>王钦若</w:t>
      </w:r>
      <w:r>
        <w:rPr>
          <w:rFonts w:asciiTheme="majorBidi" w:hAnsiTheme="majorBidi" w:cstheme="majorBidi"/>
          <w:sz w:val="24"/>
          <w:szCs w:val="24"/>
        </w:rPr>
        <w:t>&amp; Yang, Yi</w:t>
      </w:r>
      <w:r w:rsidR="00D03470">
        <w:rPr>
          <w:rFonts w:asciiTheme="majorBidi" w:hAnsiTheme="majorBidi" w:cstheme="majorBidi" w:hint="eastAsia"/>
          <w:sz w:val="24"/>
          <w:szCs w:val="24"/>
        </w:rPr>
        <w:t>杨亿</w:t>
      </w:r>
      <w:r>
        <w:rPr>
          <w:rFonts w:asciiTheme="majorBidi" w:hAnsiTheme="majorBidi" w:cstheme="majorBidi"/>
          <w:sz w:val="24"/>
          <w:szCs w:val="24"/>
        </w:rPr>
        <w:t xml:space="preserve">(editors), </w:t>
      </w:r>
      <w:r w:rsidRPr="00EA0724">
        <w:rPr>
          <w:rFonts w:asciiTheme="majorBidi" w:hAnsiTheme="majorBidi" w:cstheme="majorBidi"/>
          <w:i/>
          <w:iCs/>
          <w:sz w:val="24"/>
          <w:szCs w:val="24"/>
        </w:rPr>
        <w:t>Cefu yuangui</w:t>
      </w:r>
      <w:r w:rsidR="00722AB9">
        <w:rPr>
          <w:rFonts w:asciiTheme="majorBidi" w:hAnsiTheme="majorBidi" w:cstheme="majorBidi" w:hint="eastAsia"/>
          <w:sz w:val="24"/>
          <w:szCs w:val="24"/>
        </w:rPr>
        <w:t>册府元龟</w:t>
      </w:r>
      <w:r w:rsidR="00722AB9">
        <w:rPr>
          <w:rFonts w:asciiTheme="majorBidi" w:hAnsiTheme="majorBidi" w:cstheme="majorBidi"/>
          <w:sz w:val="24"/>
          <w:szCs w:val="24"/>
        </w:rPr>
        <w:t xml:space="preserve">, </w:t>
      </w:r>
      <w:r>
        <w:rPr>
          <w:rFonts w:asciiTheme="majorBidi" w:hAnsiTheme="majorBidi" w:cstheme="majorBidi"/>
          <w:sz w:val="24"/>
          <w:szCs w:val="24"/>
        </w:rPr>
        <w:t xml:space="preserve">Beijing, </w:t>
      </w:r>
      <w:r>
        <w:rPr>
          <w:rFonts w:asciiTheme="majorBidi" w:hAnsiTheme="majorBidi" w:cstheme="majorBidi"/>
          <w:sz w:val="24"/>
          <w:szCs w:val="24"/>
        </w:rPr>
        <w:lastRenderedPageBreak/>
        <w:t>Zhonghua shuju, 1994.</w:t>
      </w:r>
    </w:p>
    <w:p w14:paraId="5F5F8A03" w14:textId="180C8A50" w:rsidR="0010363C" w:rsidRDefault="0010363C" w:rsidP="0010363C">
      <w:pPr>
        <w:spacing w:line="360" w:lineRule="auto"/>
        <w:rPr>
          <w:rFonts w:asciiTheme="majorBidi" w:hAnsiTheme="majorBidi" w:cstheme="majorBidi"/>
          <w:sz w:val="24"/>
          <w:szCs w:val="24"/>
        </w:rPr>
      </w:pPr>
      <w:r>
        <w:rPr>
          <w:rFonts w:asciiTheme="majorBidi" w:hAnsiTheme="majorBidi" w:cstheme="majorBidi"/>
          <w:sz w:val="24"/>
          <w:szCs w:val="24"/>
        </w:rPr>
        <w:t>Wei, Shou</w:t>
      </w:r>
      <w:r w:rsidR="006B5FE9">
        <w:rPr>
          <w:rFonts w:asciiTheme="majorBidi" w:hAnsiTheme="majorBidi" w:cstheme="majorBidi" w:hint="eastAsia"/>
          <w:sz w:val="24"/>
          <w:szCs w:val="24"/>
        </w:rPr>
        <w:t>魏收</w:t>
      </w:r>
      <w:r>
        <w:rPr>
          <w:rFonts w:asciiTheme="majorBidi" w:hAnsiTheme="majorBidi" w:cstheme="majorBidi"/>
          <w:sz w:val="24"/>
          <w:szCs w:val="24"/>
        </w:rPr>
        <w:t xml:space="preserve">, </w:t>
      </w:r>
      <w:r w:rsidRPr="00F01D6C">
        <w:rPr>
          <w:rFonts w:asciiTheme="majorBidi" w:hAnsiTheme="majorBidi" w:cstheme="majorBidi"/>
          <w:i/>
          <w:iCs/>
          <w:sz w:val="24"/>
          <w:szCs w:val="24"/>
        </w:rPr>
        <w:t>Weishu</w:t>
      </w:r>
      <w:r w:rsidR="00722AB9">
        <w:rPr>
          <w:rFonts w:asciiTheme="majorBidi" w:hAnsiTheme="majorBidi" w:cstheme="majorBidi" w:hint="eastAsia"/>
          <w:sz w:val="24"/>
          <w:szCs w:val="24"/>
        </w:rPr>
        <w:t>魏书</w:t>
      </w:r>
      <w:r w:rsidR="00722AB9">
        <w:rPr>
          <w:rFonts w:asciiTheme="majorBidi" w:hAnsiTheme="majorBidi" w:cstheme="majorBidi"/>
          <w:sz w:val="24"/>
          <w:szCs w:val="24"/>
        </w:rPr>
        <w:t>,</w:t>
      </w:r>
      <w:r>
        <w:rPr>
          <w:rFonts w:asciiTheme="majorBidi" w:hAnsiTheme="majorBidi" w:cstheme="majorBidi"/>
          <w:sz w:val="24"/>
          <w:szCs w:val="24"/>
        </w:rPr>
        <w:t xml:space="preserve"> Beijing, Zhonghua shuju, 1995.</w:t>
      </w:r>
    </w:p>
    <w:p w14:paraId="05DB4F91" w14:textId="38739065" w:rsidR="00B80AC5" w:rsidRDefault="00B80AC5" w:rsidP="0010363C">
      <w:pPr>
        <w:spacing w:line="360" w:lineRule="auto"/>
        <w:rPr>
          <w:rFonts w:asciiTheme="majorBidi" w:hAnsiTheme="majorBidi" w:cstheme="majorBidi"/>
          <w:sz w:val="24"/>
          <w:szCs w:val="24"/>
        </w:rPr>
      </w:pPr>
      <w:r>
        <w:rPr>
          <w:rFonts w:asciiTheme="majorBidi" w:hAnsiTheme="majorBidi" w:cstheme="majorBidi"/>
          <w:sz w:val="24"/>
          <w:szCs w:val="24"/>
        </w:rPr>
        <w:t>Wei, Shu</w:t>
      </w:r>
      <w:r w:rsidR="006B5FE9">
        <w:rPr>
          <w:rFonts w:asciiTheme="majorBidi" w:hAnsiTheme="majorBidi" w:cstheme="majorBidi" w:hint="eastAsia"/>
          <w:sz w:val="24"/>
          <w:szCs w:val="24"/>
        </w:rPr>
        <w:t>韦述</w:t>
      </w:r>
      <w:r>
        <w:rPr>
          <w:rFonts w:asciiTheme="majorBidi" w:hAnsiTheme="majorBidi" w:cstheme="majorBidi"/>
          <w:sz w:val="24"/>
          <w:szCs w:val="24"/>
        </w:rPr>
        <w:t xml:space="preserve">, </w:t>
      </w:r>
      <w:r w:rsidRPr="00B80AC5">
        <w:rPr>
          <w:rFonts w:asciiTheme="majorBidi" w:hAnsiTheme="majorBidi" w:cstheme="majorBidi"/>
          <w:i/>
          <w:iCs/>
          <w:sz w:val="24"/>
          <w:szCs w:val="24"/>
        </w:rPr>
        <w:t>Liangjing xinji jijiao</w:t>
      </w:r>
      <w:r w:rsidR="00722AB9">
        <w:rPr>
          <w:rFonts w:asciiTheme="majorBidi" w:hAnsiTheme="majorBidi" w:cstheme="majorBidi" w:hint="eastAsia"/>
          <w:sz w:val="24"/>
          <w:szCs w:val="24"/>
        </w:rPr>
        <w:t>两京新记辑校</w:t>
      </w:r>
      <w:r w:rsidR="00722AB9">
        <w:rPr>
          <w:rFonts w:asciiTheme="majorBidi" w:hAnsiTheme="majorBidi" w:cstheme="majorBidi"/>
          <w:sz w:val="24"/>
          <w:szCs w:val="24"/>
        </w:rPr>
        <w:t>,</w:t>
      </w:r>
      <w:r>
        <w:rPr>
          <w:rFonts w:asciiTheme="majorBidi" w:hAnsiTheme="majorBidi" w:cstheme="majorBidi"/>
          <w:sz w:val="24"/>
          <w:szCs w:val="24"/>
        </w:rPr>
        <w:t xml:space="preserve"> annotated by Xin, Deyong</w:t>
      </w:r>
      <w:r w:rsidR="006B5FE9" w:rsidRPr="006B5FE9">
        <w:rPr>
          <w:rFonts w:asciiTheme="majorBidi" w:hAnsiTheme="majorBidi" w:cstheme="majorBidi"/>
          <w:sz w:val="24"/>
          <w:szCs w:val="24"/>
        </w:rPr>
        <w:t>辛德</w:t>
      </w:r>
      <w:r w:rsidR="006B5FE9" w:rsidRPr="006B5FE9">
        <w:rPr>
          <w:rFonts w:asciiTheme="majorBidi" w:hAnsiTheme="majorBidi" w:cstheme="majorBidi" w:hint="eastAsia"/>
          <w:sz w:val="24"/>
          <w:szCs w:val="24"/>
        </w:rPr>
        <w:t>勇</w:t>
      </w:r>
      <w:r>
        <w:rPr>
          <w:rFonts w:asciiTheme="majorBidi" w:hAnsiTheme="majorBidi" w:cstheme="majorBidi"/>
          <w:sz w:val="24"/>
          <w:szCs w:val="24"/>
        </w:rPr>
        <w:t>, Xi'an, Sanqin chubanshe, 2006.</w:t>
      </w:r>
    </w:p>
    <w:p w14:paraId="75EECB19" w14:textId="2DD199A9" w:rsidR="008359D2" w:rsidRDefault="008359D2" w:rsidP="0010363C">
      <w:pPr>
        <w:spacing w:line="360" w:lineRule="auto"/>
        <w:rPr>
          <w:rFonts w:asciiTheme="majorBidi" w:hAnsiTheme="majorBidi" w:cstheme="majorBidi"/>
          <w:sz w:val="24"/>
          <w:szCs w:val="24"/>
        </w:rPr>
      </w:pPr>
      <w:r>
        <w:rPr>
          <w:rFonts w:asciiTheme="majorBidi" w:hAnsiTheme="majorBidi" w:cstheme="majorBidi"/>
          <w:sz w:val="24"/>
          <w:szCs w:val="24"/>
        </w:rPr>
        <w:t xml:space="preserve">Wei, Zheng, </w:t>
      </w:r>
      <w:r w:rsidRPr="008359D2">
        <w:rPr>
          <w:rFonts w:asciiTheme="majorBidi" w:hAnsiTheme="majorBidi" w:cstheme="majorBidi"/>
          <w:i/>
          <w:iCs/>
          <w:sz w:val="24"/>
          <w:szCs w:val="24"/>
        </w:rPr>
        <w:t>Suishu</w:t>
      </w:r>
      <w:r w:rsidR="00722AB9">
        <w:rPr>
          <w:rFonts w:asciiTheme="majorBidi" w:hAnsiTheme="majorBidi" w:cstheme="majorBidi" w:hint="eastAsia"/>
          <w:sz w:val="24"/>
          <w:szCs w:val="24"/>
        </w:rPr>
        <w:t>隋书</w:t>
      </w:r>
      <w:r w:rsidR="00722AB9">
        <w:rPr>
          <w:rFonts w:asciiTheme="majorBidi" w:hAnsiTheme="majorBidi" w:cstheme="majorBidi"/>
          <w:sz w:val="24"/>
          <w:szCs w:val="24"/>
        </w:rPr>
        <w:t>,</w:t>
      </w:r>
      <w:r>
        <w:rPr>
          <w:rFonts w:asciiTheme="majorBidi" w:hAnsiTheme="majorBidi" w:cstheme="majorBidi"/>
          <w:sz w:val="24"/>
          <w:szCs w:val="24"/>
        </w:rPr>
        <w:t xml:space="preserve"> Beijing, Zhonghua shuju, 1996.</w:t>
      </w:r>
    </w:p>
    <w:p w14:paraId="0B5775AB" w14:textId="3800D05A" w:rsidR="0010363C" w:rsidRDefault="0010363C" w:rsidP="0010363C">
      <w:pPr>
        <w:spacing w:line="360" w:lineRule="auto"/>
        <w:rPr>
          <w:rFonts w:asciiTheme="majorBidi" w:hAnsiTheme="majorBidi" w:cstheme="majorBidi"/>
          <w:sz w:val="24"/>
          <w:szCs w:val="24"/>
        </w:rPr>
      </w:pPr>
      <w:r>
        <w:rPr>
          <w:rFonts w:asciiTheme="majorBidi" w:hAnsiTheme="majorBidi" w:cstheme="majorBidi"/>
          <w:sz w:val="24"/>
          <w:szCs w:val="24"/>
        </w:rPr>
        <w:t>Xuanzang</w:t>
      </w:r>
      <w:r w:rsidR="00BA3F81">
        <w:rPr>
          <w:rFonts w:asciiTheme="majorBidi" w:hAnsiTheme="majorBidi" w:cstheme="majorBidi" w:hint="eastAsia"/>
          <w:sz w:val="24"/>
          <w:szCs w:val="24"/>
        </w:rPr>
        <w:t>玄奘</w:t>
      </w:r>
      <w:r>
        <w:rPr>
          <w:rFonts w:asciiTheme="majorBidi" w:hAnsiTheme="majorBidi" w:cstheme="majorBidi"/>
          <w:sz w:val="24"/>
          <w:szCs w:val="24"/>
        </w:rPr>
        <w:t xml:space="preserve">, </w:t>
      </w:r>
      <w:r>
        <w:rPr>
          <w:rFonts w:asciiTheme="majorBidi" w:hAnsiTheme="majorBidi" w:cstheme="majorBidi"/>
          <w:i/>
          <w:iCs/>
          <w:sz w:val="24"/>
          <w:szCs w:val="24"/>
        </w:rPr>
        <w:t>Datang xiyu ji jiaozhu</w:t>
      </w:r>
      <w:r w:rsidR="00722AB9">
        <w:rPr>
          <w:rFonts w:asciiTheme="majorBidi" w:hAnsiTheme="majorBidi" w:cstheme="majorBidi" w:hint="eastAsia"/>
          <w:sz w:val="24"/>
          <w:szCs w:val="24"/>
        </w:rPr>
        <w:t>大唐西域记校注</w:t>
      </w:r>
      <w:r w:rsidR="00722AB9">
        <w:rPr>
          <w:rFonts w:asciiTheme="majorBidi" w:hAnsiTheme="majorBidi" w:cstheme="majorBidi"/>
          <w:sz w:val="24"/>
          <w:szCs w:val="24"/>
        </w:rPr>
        <w:t>,</w:t>
      </w:r>
      <w:r>
        <w:rPr>
          <w:rFonts w:asciiTheme="majorBidi" w:hAnsiTheme="majorBidi" w:cstheme="majorBidi"/>
          <w:sz w:val="24"/>
          <w:szCs w:val="24"/>
        </w:rPr>
        <w:t xml:space="preserve"> annotated by Ji, Xianlin</w:t>
      </w:r>
      <w:r w:rsidR="00BA3F81">
        <w:rPr>
          <w:rFonts w:asciiTheme="majorBidi" w:hAnsiTheme="majorBidi" w:cstheme="majorBidi" w:hint="eastAsia"/>
          <w:sz w:val="24"/>
          <w:szCs w:val="24"/>
        </w:rPr>
        <w:t>季羡林</w:t>
      </w:r>
      <w:r>
        <w:rPr>
          <w:rFonts w:asciiTheme="majorBidi" w:hAnsiTheme="majorBidi" w:cstheme="majorBidi"/>
          <w:sz w:val="24"/>
          <w:szCs w:val="24"/>
        </w:rPr>
        <w:t>, Beijing, Zhonghua shuju, 2000.</w:t>
      </w:r>
    </w:p>
    <w:p w14:paraId="3549D652" w14:textId="6BAFF32F" w:rsidR="0010363C" w:rsidRDefault="0010363C" w:rsidP="0010363C">
      <w:pPr>
        <w:spacing w:line="360" w:lineRule="auto"/>
        <w:rPr>
          <w:rFonts w:asciiTheme="majorBidi" w:hAnsiTheme="majorBidi" w:cstheme="majorBidi"/>
          <w:sz w:val="24"/>
          <w:szCs w:val="24"/>
        </w:rPr>
      </w:pPr>
      <w:r>
        <w:rPr>
          <w:rFonts w:asciiTheme="majorBidi" w:hAnsiTheme="majorBidi" w:cstheme="majorBidi"/>
          <w:sz w:val="24"/>
          <w:szCs w:val="24"/>
        </w:rPr>
        <w:t xml:space="preserve">Xuanzang, </w:t>
      </w:r>
      <w:r w:rsidR="00717025">
        <w:rPr>
          <w:rFonts w:asciiTheme="majorBidi" w:hAnsiTheme="majorBidi" w:cstheme="majorBidi"/>
          <w:i/>
          <w:iCs/>
          <w:sz w:val="24"/>
          <w:szCs w:val="24"/>
        </w:rPr>
        <w:t>T</w:t>
      </w:r>
      <w:r>
        <w:rPr>
          <w:rFonts w:asciiTheme="majorBidi" w:hAnsiTheme="majorBidi" w:cstheme="majorBidi"/>
          <w:i/>
          <w:iCs/>
          <w:sz w:val="24"/>
          <w:szCs w:val="24"/>
        </w:rPr>
        <w:t>he Great Tang Dynasty Record of the Western Regions</w:t>
      </w:r>
      <w:r>
        <w:rPr>
          <w:rFonts w:asciiTheme="majorBidi" w:hAnsiTheme="majorBidi" w:cstheme="majorBidi"/>
          <w:sz w:val="24"/>
          <w:szCs w:val="24"/>
        </w:rPr>
        <w:t xml:space="preserve">, translated by Li, Rongxi, California, BDK America, </w:t>
      </w:r>
      <w:r w:rsidR="009A16F2">
        <w:rPr>
          <w:rFonts w:asciiTheme="majorBidi" w:hAnsiTheme="majorBidi" w:cstheme="majorBidi"/>
          <w:sz w:val="24"/>
          <w:szCs w:val="24"/>
        </w:rPr>
        <w:t>1996</w:t>
      </w:r>
      <w:r>
        <w:rPr>
          <w:rFonts w:asciiTheme="majorBidi" w:hAnsiTheme="majorBidi" w:cstheme="majorBidi"/>
          <w:sz w:val="24"/>
          <w:szCs w:val="24"/>
        </w:rPr>
        <w:t>.</w:t>
      </w:r>
    </w:p>
    <w:p w14:paraId="70F72AD8" w14:textId="5CD78DED" w:rsidR="003251DC" w:rsidRDefault="003251DC" w:rsidP="003251DC">
      <w:pPr>
        <w:spacing w:line="360" w:lineRule="auto"/>
        <w:rPr>
          <w:rFonts w:asciiTheme="majorBidi" w:hAnsiTheme="majorBidi" w:cstheme="majorBidi"/>
          <w:sz w:val="24"/>
          <w:szCs w:val="24"/>
        </w:rPr>
      </w:pPr>
      <w:r>
        <w:rPr>
          <w:rFonts w:asciiTheme="majorBidi" w:hAnsiTheme="majorBidi" w:cstheme="majorBidi"/>
          <w:sz w:val="24"/>
          <w:szCs w:val="24"/>
        </w:rPr>
        <w:t>Yang, Xuanzhi</w:t>
      </w:r>
      <w:r w:rsidR="006B5FE9">
        <w:rPr>
          <w:rFonts w:asciiTheme="majorBidi" w:hAnsiTheme="majorBidi" w:cstheme="majorBidi" w:hint="eastAsia"/>
          <w:sz w:val="24"/>
          <w:szCs w:val="24"/>
        </w:rPr>
        <w:t>杨炫之</w:t>
      </w:r>
      <w:r>
        <w:rPr>
          <w:rFonts w:asciiTheme="majorBidi" w:hAnsiTheme="majorBidi" w:cstheme="majorBidi"/>
          <w:sz w:val="24"/>
          <w:szCs w:val="24"/>
        </w:rPr>
        <w:t xml:space="preserve">, </w:t>
      </w:r>
      <w:r w:rsidRPr="00CE7A5D">
        <w:rPr>
          <w:rFonts w:asciiTheme="majorBidi" w:hAnsiTheme="majorBidi" w:cstheme="majorBidi"/>
          <w:i/>
          <w:iCs/>
          <w:sz w:val="24"/>
          <w:szCs w:val="24"/>
        </w:rPr>
        <w:t>Luoyang qielan ji jiaoshi</w:t>
      </w:r>
      <w:r w:rsidR="00722AB9">
        <w:rPr>
          <w:rFonts w:asciiTheme="majorBidi" w:hAnsiTheme="majorBidi" w:cstheme="majorBidi" w:hint="eastAsia"/>
          <w:sz w:val="24"/>
          <w:szCs w:val="24"/>
        </w:rPr>
        <w:t>洛阳伽蓝记校释</w:t>
      </w:r>
      <w:r w:rsidR="00722AB9">
        <w:rPr>
          <w:rFonts w:asciiTheme="majorBidi" w:hAnsiTheme="majorBidi" w:cstheme="majorBidi"/>
          <w:sz w:val="24"/>
          <w:szCs w:val="24"/>
        </w:rPr>
        <w:t>,</w:t>
      </w:r>
      <w:r>
        <w:rPr>
          <w:rFonts w:asciiTheme="majorBidi" w:hAnsiTheme="majorBidi" w:cstheme="majorBidi"/>
          <w:sz w:val="24"/>
          <w:szCs w:val="24"/>
        </w:rPr>
        <w:t xml:space="preserve"> annotated by Zhou, Zumo</w:t>
      </w:r>
      <w:r w:rsidR="00DC76E4" w:rsidRPr="006B5FE9">
        <w:rPr>
          <w:rFonts w:asciiTheme="majorBidi" w:hAnsiTheme="majorBidi" w:cstheme="majorBidi"/>
          <w:sz w:val="24"/>
          <w:szCs w:val="24"/>
        </w:rPr>
        <w:t>周祖</w:t>
      </w:r>
      <w:r w:rsidR="00DC76E4" w:rsidRPr="006B5FE9">
        <w:rPr>
          <w:rFonts w:asciiTheme="majorBidi" w:hAnsiTheme="majorBidi" w:cstheme="majorBidi" w:hint="eastAsia"/>
          <w:sz w:val="24"/>
          <w:szCs w:val="24"/>
        </w:rPr>
        <w:t>谟</w:t>
      </w:r>
      <w:r>
        <w:rPr>
          <w:rFonts w:asciiTheme="majorBidi" w:hAnsiTheme="majorBidi" w:cstheme="majorBidi"/>
          <w:sz w:val="24"/>
          <w:szCs w:val="24"/>
        </w:rPr>
        <w:t>, Shanghai, Shanghai shudian chubanshe, 2000.</w:t>
      </w:r>
    </w:p>
    <w:p w14:paraId="326AC816" w14:textId="4D23E530" w:rsidR="001943CC" w:rsidRDefault="001943CC" w:rsidP="003251DC">
      <w:pPr>
        <w:spacing w:line="360" w:lineRule="auto"/>
        <w:rPr>
          <w:rFonts w:asciiTheme="majorBidi" w:hAnsiTheme="majorBidi" w:cstheme="majorBidi"/>
          <w:sz w:val="24"/>
          <w:szCs w:val="24"/>
        </w:rPr>
      </w:pPr>
      <w:r w:rsidRPr="001943CC">
        <w:rPr>
          <w:rFonts w:asciiTheme="majorBidi" w:hAnsiTheme="majorBidi" w:cstheme="majorBidi"/>
          <w:sz w:val="24"/>
          <w:szCs w:val="24"/>
        </w:rPr>
        <w:t xml:space="preserve">Yāqūt, </w:t>
      </w:r>
      <w:r w:rsidRPr="001943CC">
        <w:rPr>
          <w:rFonts w:asciiTheme="majorBidi" w:hAnsiTheme="majorBidi" w:cstheme="majorBidi"/>
          <w:i/>
          <w:iCs/>
          <w:color w:val="202122"/>
          <w:sz w:val="24"/>
          <w:szCs w:val="24"/>
          <w:shd w:val="clear" w:color="auto" w:fill="FFFFFF"/>
        </w:rPr>
        <w:t>Kitāb Mu</w:t>
      </w:r>
      <w:r w:rsidR="00930FA8" w:rsidRPr="00930FA8">
        <w:rPr>
          <w:rFonts w:asciiTheme="majorBidi" w:hAnsiTheme="majorBidi" w:cstheme="majorBidi"/>
          <w:i/>
          <w:iCs/>
          <w:color w:val="000000"/>
          <w:sz w:val="24"/>
          <w:szCs w:val="24"/>
          <w:shd w:val="clear" w:color="auto" w:fill="FFFFFF"/>
        </w:rPr>
        <w:t>ʻ</w:t>
      </w:r>
      <w:r w:rsidRPr="001943CC">
        <w:rPr>
          <w:rFonts w:asciiTheme="majorBidi" w:hAnsiTheme="majorBidi" w:cstheme="majorBidi"/>
          <w:i/>
          <w:iCs/>
          <w:color w:val="202122"/>
          <w:sz w:val="24"/>
          <w:szCs w:val="24"/>
          <w:shd w:val="clear" w:color="auto" w:fill="FFFFFF"/>
        </w:rPr>
        <w:t xml:space="preserve">jam al-Buldān, </w:t>
      </w:r>
      <w:r w:rsidRPr="00930FA8">
        <w:rPr>
          <w:rFonts w:asciiTheme="majorBidi" w:hAnsiTheme="majorBidi" w:cstheme="majorBidi"/>
          <w:color w:val="202122"/>
          <w:sz w:val="24"/>
          <w:szCs w:val="24"/>
          <w:shd w:val="clear" w:color="auto" w:fill="FFFFFF"/>
        </w:rPr>
        <w:t xml:space="preserve">Cairo, </w:t>
      </w:r>
      <w:r w:rsidR="00930FA8" w:rsidRPr="00930FA8">
        <w:rPr>
          <w:rFonts w:asciiTheme="majorBidi" w:hAnsiTheme="majorBidi" w:cstheme="majorBidi"/>
          <w:color w:val="000000"/>
          <w:sz w:val="24"/>
          <w:szCs w:val="24"/>
          <w:shd w:val="clear" w:color="auto" w:fill="FFFFFF"/>
        </w:rPr>
        <w:t xml:space="preserve">Maṭbaʻat al-Saʻādah, </w:t>
      </w:r>
      <w:r w:rsidRPr="00930FA8">
        <w:rPr>
          <w:rFonts w:asciiTheme="majorBidi" w:hAnsiTheme="majorBidi" w:cstheme="majorBidi"/>
          <w:color w:val="202122"/>
          <w:sz w:val="24"/>
          <w:szCs w:val="24"/>
          <w:shd w:val="clear" w:color="auto" w:fill="FFFFFF"/>
        </w:rPr>
        <w:t>1906.</w:t>
      </w:r>
    </w:p>
    <w:p w14:paraId="751C354E" w14:textId="3AB16882" w:rsidR="00387118" w:rsidRPr="00930FA8" w:rsidRDefault="00387118" w:rsidP="00387118">
      <w:pPr>
        <w:spacing w:line="360" w:lineRule="auto"/>
        <w:rPr>
          <w:rFonts w:asciiTheme="majorBidi" w:hAnsiTheme="majorBidi" w:cstheme="majorBidi"/>
          <w:sz w:val="24"/>
          <w:szCs w:val="24"/>
        </w:rPr>
      </w:pPr>
      <w:r>
        <w:rPr>
          <w:rFonts w:asciiTheme="majorBidi" w:hAnsiTheme="majorBidi" w:cstheme="majorBidi" w:hint="eastAsia"/>
          <w:sz w:val="24"/>
          <w:szCs w:val="24"/>
        </w:rPr>
        <w:t>Y</w:t>
      </w:r>
      <w:r>
        <w:rPr>
          <w:rFonts w:asciiTheme="majorBidi" w:hAnsiTheme="majorBidi" w:cstheme="majorBidi"/>
          <w:sz w:val="24"/>
          <w:szCs w:val="24"/>
        </w:rPr>
        <w:t>ijing</w:t>
      </w:r>
      <w:r w:rsidR="002B418B">
        <w:rPr>
          <w:rFonts w:asciiTheme="majorBidi" w:hAnsiTheme="majorBidi" w:cstheme="majorBidi" w:hint="eastAsia"/>
          <w:sz w:val="24"/>
          <w:szCs w:val="24"/>
        </w:rPr>
        <w:t>义静</w:t>
      </w:r>
      <w:r>
        <w:rPr>
          <w:rFonts w:asciiTheme="majorBidi" w:hAnsiTheme="majorBidi" w:cstheme="majorBidi"/>
          <w:sz w:val="24"/>
          <w:szCs w:val="24"/>
        </w:rPr>
        <w:t xml:space="preserve">, </w:t>
      </w:r>
      <w:r w:rsidRPr="005E55EE">
        <w:rPr>
          <w:rFonts w:asciiTheme="majorBidi" w:hAnsiTheme="majorBidi" w:cstheme="majorBidi"/>
          <w:i/>
          <w:iCs/>
          <w:sz w:val="24"/>
          <w:szCs w:val="24"/>
        </w:rPr>
        <w:t>Datang xiyu qiufa gaoseng zhuan jiaozhu</w:t>
      </w:r>
      <w:r w:rsidR="002B418B">
        <w:rPr>
          <w:rFonts w:asciiTheme="majorBidi" w:hAnsiTheme="majorBidi" w:cstheme="majorBidi" w:hint="eastAsia"/>
          <w:sz w:val="24"/>
          <w:szCs w:val="24"/>
        </w:rPr>
        <w:t>大唐西域求法高僧传校注</w:t>
      </w:r>
      <w:r>
        <w:rPr>
          <w:rFonts w:asciiTheme="majorBidi" w:hAnsiTheme="majorBidi" w:cstheme="majorBidi"/>
          <w:sz w:val="24"/>
          <w:szCs w:val="24"/>
        </w:rPr>
        <w:t>, annotated by Wang, Bangwei</w:t>
      </w:r>
      <w:r w:rsidR="007870A2">
        <w:rPr>
          <w:rFonts w:asciiTheme="majorBidi" w:hAnsiTheme="majorBidi" w:cstheme="majorBidi" w:hint="eastAsia"/>
          <w:sz w:val="24"/>
          <w:szCs w:val="24"/>
        </w:rPr>
        <w:t>王邦维</w:t>
      </w:r>
      <w:r>
        <w:rPr>
          <w:rFonts w:asciiTheme="majorBidi" w:hAnsiTheme="majorBidi" w:cstheme="majorBidi"/>
          <w:sz w:val="24"/>
          <w:szCs w:val="24"/>
        </w:rPr>
        <w:t>, Beijing, Zhonghua shuju, 2000.</w:t>
      </w:r>
    </w:p>
    <w:p w14:paraId="4F137263" w14:textId="14615ACE" w:rsidR="00A00244" w:rsidRDefault="00A00244" w:rsidP="00A00244">
      <w:pPr>
        <w:spacing w:line="360" w:lineRule="auto"/>
        <w:rPr>
          <w:rFonts w:asciiTheme="majorBidi" w:hAnsiTheme="majorBidi" w:cstheme="majorBidi"/>
          <w:sz w:val="24"/>
          <w:szCs w:val="24"/>
        </w:rPr>
      </w:pPr>
      <w:r>
        <w:rPr>
          <w:rFonts w:asciiTheme="majorBidi" w:hAnsiTheme="majorBidi" w:cstheme="majorBidi"/>
          <w:sz w:val="24"/>
          <w:szCs w:val="24"/>
        </w:rPr>
        <w:t xml:space="preserve">Yu, Taishan, </w:t>
      </w:r>
      <w:r w:rsidRPr="00A00244">
        <w:rPr>
          <w:rFonts w:asciiTheme="majorBidi" w:hAnsiTheme="majorBidi" w:cstheme="majorBidi"/>
          <w:i/>
          <w:iCs/>
          <w:sz w:val="24"/>
          <w:szCs w:val="24"/>
        </w:rPr>
        <w:t>A Concise Commentary on Memoirs on the Western Regions in the Official Histories of the Western and Eastern Han, Wei, Jin, and Southern and Northern Dynasties</w:t>
      </w:r>
      <w:r>
        <w:rPr>
          <w:rFonts w:asciiTheme="majorBidi" w:hAnsiTheme="majorBidi" w:cstheme="majorBidi"/>
          <w:sz w:val="24"/>
          <w:szCs w:val="24"/>
        </w:rPr>
        <w:t>, commentary translated by Li, Qiancheng, historical texts translated by Yu, Taishan and edited by Mair, Victor, Beijing, the Commercial Press, 2014.</w:t>
      </w:r>
    </w:p>
    <w:p w14:paraId="45BC3CBB" w14:textId="5C266124" w:rsidR="003E5C8F" w:rsidRPr="003E5C8F" w:rsidRDefault="00A00244" w:rsidP="003251DC">
      <w:pPr>
        <w:spacing w:line="360" w:lineRule="auto"/>
        <w:rPr>
          <w:rFonts w:asciiTheme="majorBidi" w:hAnsiTheme="majorBidi" w:cstheme="majorBidi"/>
          <w:sz w:val="24"/>
          <w:szCs w:val="24"/>
        </w:rPr>
      </w:pPr>
      <w:r>
        <w:rPr>
          <w:rFonts w:asciiTheme="majorBidi" w:hAnsiTheme="majorBidi" w:cstheme="majorBidi"/>
          <w:sz w:val="24"/>
          <w:szCs w:val="24"/>
        </w:rPr>
        <w:t>----</w:t>
      </w:r>
      <w:r w:rsidR="003E5C8F">
        <w:rPr>
          <w:rFonts w:asciiTheme="majorBidi" w:hAnsiTheme="majorBidi" w:cstheme="majorBidi"/>
          <w:sz w:val="24"/>
          <w:szCs w:val="24"/>
        </w:rPr>
        <w:t xml:space="preserve">, Records relevant to the Hephthalites in Ancient Chinese Historical Works, in </w:t>
      </w:r>
      <w:r w:rsidR="003E5C8F" w:rsidRPr="003E5C8F">
        <w:rPr>
          <w:rFonts w:asciiTheme="majorBidi" w:hAnsiTheme="majorBidi" w:cstheme="majorBidi"/>
          <w:i/>
          <w:iCs/>
          <w:sz w:val="24"/>
          <w:szCs w:val="24"/>
        </w:rPr>
        <w:t>International Journal of Eurasian Studies</w:t>
      </w:r>
      <w:r w:rsidR="003E5C8F">
        <w:rPr>
          <w:rFonts w:asciiTheme="majorBidi" w:hAnsiTheme="majorBidi" w:cstheme="majorBidi"/>
          <w:sz w:val="24"/>
          <w:szCs w:val="24"/>
        </w:rPr>
        <w:t>, edited by Yu, Taishan, Li, Jinxiu, new collection number 3, Beijing, the Commercial Press, 2015, pp. 205-73.</w:t>
      </w:r>
    </w:p>
    <w:p w14:paraId="4A927DF6" w14:textId="2F6CD645" w:rsidR="003251DC" w:rsidRDefault="003251DC" w:rsidP="003251DC">
      <w:pPr>
        <w:spacing w:line="360" w:lineRule="auto"/>
        <w:rPr>
          <w:rFonts w:asciiTheme="majorBidi" w:hAnsiTheme="majorBidi" w:cstheme="majorBidi"/>
          <w:sz w:val="24"/>
          <w:szCs w:val="24"/>
        </w:rPr>
      </w:pPr>
      <w:r>
        <w:rPr>
          <w:rFonts w:asciiTheme="majorBidi" w:hAnsiTheme="majorBidi" w:cstheme="majorBidi"/>
          <w:sz w:val="24"/>
          <w:szCs w:val="24"/>
        </w:rPr>
        <w:t>Yuanzhao</w:t>
      </w:r>
      <w:r w:rsidR="00DC76E4">
        <w:rPr>
          <w:rFonts w:asciiTheme="majorBidi" w:hAnsiTheme="majorBidi" w:cstheme="majorBidi" w:hint="eastAsia"/>
          <w:sz w:val="24"/>
          <w:szCs w:val="24"/>
        </w:rPr>
        <w:t>圆照</w:t>
      </w:r>
      <w:r>
        <w:rPr>
          <w:rFonts w:asciiTheme="majorBidi" w:hAnsiTheme="majorBidi" w:cstheme="majorBidi"/>
          <w:sz w:val="24"/>
          <w:szCs w:val="24"/>
        </w:rPr>
        <w:t>, Wukong ruzhu ji</w:t>
      </w:r>
      <w:r w:rsidR="002706BC">
        <w:rPr>
          <w:rFonts w:asciiTheme="majorBidi" w:hAnsiTheme="majorBidi" w:cstheme="majorBidi" w:hint="eastAsia"/>
          <w:sz w:val="24"/>
          <w:szCs w:val="24"/>
        </w:rPr>
        <w:t>悟空入竺记</w:t>
      </w:r>
      <w:r>
        <w:rPr>
          <w:rFonts w:asciiTheme="majorBidi" w:hAnsiTheme="majorBidi" w:cstheme="majorBidi"/>
          <w:sz w:val="24"/>
          <w:szCs w:val="24"/>
        </w:rPr>
        <w:t xml:space="preserve">, in </w:t>
      </w:r>
      <w:r w:rsidRPr="00630269">
        <w:rPr>
          <w:rFonts w:asciiTheme="majorBidi" w:hAnsiTheme="majorBidi" w:cstheme="majorBidi"/>
          <w:i/>
          <w:iCs/>
          <w:sz w:val="24"/>
          <w:szCs w:val="24"/>
        </w:rPr>
        <w:t>Gu xixing ji xuanzhu</w:t>
      </w:r>
      <w:r w:rsidR="002706BC">
        <w:rPr>
          <w:rFonts w:asciiTheme="majorBidi" w:hAnsiTheme="majorBidi" w:cstheme="majorBidi" w:hint="eastAsia"/>
          <w:sz w:val="24"/>
          <w:szCs w:val="24"/>
        </w:rPr>
        <w:t>古西行记选注</w:t>
      </w:r>
      <w:r w:rsidR="002706BC">
        <w:rPr>
          <w:rFonts w:asciiTheme="majorBidi" w:hAnsiTheme="majorBidi" w:cstheme="majorBidi"/>
          <w:sz w:val="24"/>
          <w:szCs w:val="24"/>
        </w:rPr>
        <w:t>,</w:t>
      </w:r>
      <w:r>
        <w:rPr>
          <w:rFonts w:asciiTheme="majorBidi" w:hAnsiTheme="majorBidi" w:cstheme="majorBidi"/>
          <w:sz w:val="24"/>
          <w:szCs w:val="24"/>
        </w:rPr>
        <w:t xml:space="preserve"> annotated by Yang, Jianxin, Yinchuan, Ningxia renmin chubanshe, 1987, pp. 120-9.</w:t>
      </w:r>
    </w:p>
    <w:p w14:paraId="0C4B2A0A" w14:textId="20F695CA" w:rsidR="0010363C" w:rsidRPr="002706BC" w:rsidRDefault="0010363C" w:rsidP="0010363C">
      <w:pPr>
        <w:spacing w:line="360" w:lineRule="auto"/>
        <w:rPr>
          <w:rStyle w:val="Hyperlink"/>
          <w:rFonts w:asciiTheme="majorBidi" w:hAnsiTheme="majorBidi" w:cstheme="majorBidi"/>
          <w:color w:val="auto"/>
          <w:sz w:val="24"/>
          <w:szCs w:val="24"/>
          <w:u w:val="none"/>
        </w:rPr>
      </w:pPr>
      <w:r w:rsidRPr="002706BC">
        <w:rPr>
          <w:rStyle w:val="Hyperlink"/>
          <w:rFonts w:asciiTheme="majorBidi" w:hAnsiTheme="majorBidi" w:cstheme="majorBidi"/>
          <w:color w:val="auto"/>
          <w:sz w:val="24"/>
          <w:szCs w:val="24"/>
          <w:u w:val="none"/>
        </w:rPr>
        <w:t>Zhang, Yue</w:t>
      </w:r>
      <w:r w:rsidR="00DC76E4">
        <w:rPr>
          <w:rStyle w:val="Hyperlink"/>
          <w:rFonts w:asciiTheme="majorBidi" w:hAnsiTheme="majorBidi" w:cstheme="majorBidi" w:hint="eastAsia"/>
          <w:color w:val="auto"/>
          <w:sz w:val="24"/>
          <w:szCs w:val="24"/>
          <w:u w:val="none"/>
        </w:rPr>
        <w:t>张说</w:t>
      </w:r>
      <w:r w:rsidRPr="002706BC">
        <w:rPr>
          <w:rStyle w:val="Hyperlink"/>
          <w:rFonts w:asciiTheme="majorBidi" w:hAnsiTheme="majorBidi" w:cstheme="majorBidi"/>
          <w:color w:val="auto"/>
          <w:sz w:val="24"/>
          <w:szCs w:val="24"/>
          <w:u w:val="none"/>
        </w:rPr>
        <w:t>, Tang gu xiazhou dudu Taiyuan wanggong shendaobei</w:t>
      </w:r>
      <w:r w:rsidR="002706BC" w:rsidRPr="002706BC">
        <w:rPr>
          <w:rStyle w:val="Hyperlink"/>
          <w:rFonts w:asciiTheme="majorBidi" w:hAnsiTheme="majorBidi" w:cstheme="majorBidi"/>
          <w:color w:val="auto"/>
          <w:sz w:val="24"/>
          <w:szCs w:val="24"/>
          <w:u w:val="none"/>
        </w:rPr>
        <w:t>唐故夏州都督太原王公神道碑</w:t>
      </w:r>
      <w:r w:rsidRPr="002706BC">
        <w:rPr>
          <w:rStyle w:val="Hyperlink"/>
          <w:rFonts w:asciiTheme="majorBidi" w:hAnsiTheme="majorBidi" w:cstheme="majorBidi"/>
          <w:color w:val="auto"/>
          <w:sz w:val="24"/>
          <w:szCs w:val="24"/>
          <w:u w:val="none"/>
        </w:rPr>
        <w:t xml:space="preserve">, in </w:t>
      </w:r>
      <w:r w:rsidR="00717025" w:rsidRPr="00717025">
        <w:rPr>
          <w:rStyle w:val="Hyperlink"/>
          <w:rFonts w:asciiTheme="majorBidi" w:hAnsiTheme="majorBidi" w:cstheme="majorBidi"/>
          <w:i/>
          <w:iCs/>
          <w:color w:val="auto"/>
          <w:sz w:val="24"/>
          <w:szCs w:val="24"/>
          <w:u w:val="none"/>
        </w:rPr>
        <w:t xml:space="preserve">the </w:t>
      </w:r>
      <w:r w:rsidRPr="00717025">
        <w:rPr>
          <w:rStyle w:val="Hyperlink"/>
          <w:rFonts w:asciiTheme="majorBidi" w:hAnsiTheme="majorBidi" w:cstheme="majorBidi"/>
          <w:i/>
          <w:iCs/>
          <w:color w:val="auto"/>
          <w:sz w:val="24"/>
          <w:szCs w:val="24"/>
          <w:u w:val="none"/>
        </w:rPr>
        <w:t>Quan Tangwen</w:t>
      </w:r>
      <w:r w:rsidR="002706BC" w:rsidRPr="002706BC">
        <w:rPr>
          <w:rStyle w:val="Hyperlink"/>
          <w:rFonts w:asciiTheme="majorBidi" w:hAnsiTheme="majorBidi" w:cstheme="majorBidi"/>
          <w:color w:val="auto"/>
          <w:sz w:val="24"/>
          <w:szCs w:val="24"/>
          <w:u w:val="none"/>
        </w:rPr>
        <w:t>全唐文</w:t>
      </w:r>
      <w:r w:rsidRPr="002706BC">
        <w:rPr>
          <w:rStyle w:val="Hyperlink"/>
          <w:rFonts w:asciiTheme="majorBidi" w:hAnsiTheme="majorBidi" w:cstheme="majorBidi"/>
          <w:color w:val="auto"/>
          <w:sz w:val="24"/>
          <w:szCs w:val="24"/>
          <w:u w:val="none"/>
        </w:rPr>
        <w:t>, volume 228,</w:t>
      </w:r>
      <w:r w:rsidR="002706BC">
        <w:rPr>
          <w:rStyle w:val="Hyperlink"/>
          <w:rFonts w:asciiTheme="majorBidi" w:hAnsiTheme="majorBidi" w:cstheme="majorBidi"/>
          <w:color w:val="auto"/>
          <w:sz w:val="24"/>
          <w:szCs w:val="24"/>
          <w:u w:val="none"/>
        </w:rPr>
        <w:t xml:space="preserve"> </w:t>
      </w:r>
      <w:hyperlink r:id="rId13" w:history="1">
        <w:r w:rsidR="002706BC" w:rsidRPr="00AB4CBD">
          <w:rPr>
            <w:rStyle w:val="Hyperlink"/>
            <w:rFonts w:asciiTheme="majorBidi" w:hAnsiTheme="majorBidi" w:cstheme="majorBidi"/>
            <w:sz w:val="24"/>
            <w:szCs w:val="24"/>
          </w:rPr>
          <w:t>https://zh.m.wikisource.org/wiki/%E5%85%A8%E5%94%90%E6%96%87/%E5%8D%B70228</w:t>
        </w:r>
      </w:hyperlink>
      <w:r w:rsidRPr="002706BC">
        <w:rPr>
          <w:rStyle w:val="Hyperlink"/>
          <w:rFonts w:asciiTheme="majorBidi" w:hAnsiTheme="majorBidi" w:cstheme="majorBidi"/>
          <w:color w:val="auto"/>
          <w:sz w:val="24"/>
          <w:szCs w:val="24"/>
          <w:u w:val="none"/>
        </w:rPr>
        <w:t>.</w:t>
      </w:r>
    </w:p>
    <w:p w14:paraId="7E2B77C2" w14:textId="35326A4B" w:rsidR="0010363C" w:rsidRPr="002706BC" w:rsidRDefault="0010363C" w:rsidP="0010363C">
      <w:pPr>
        <w:spacing w:line="360" w:lineRule="auto"/>
        <w:rPr>
          <w:rFonts w:asciiTheme="majorBidi" w:hAnsiTheme="majorBidi" w:cstheme="majorBidi"/>
          <w:sz w:val="24"/>
          <w:szCs w:val="24"/>
        </w:rPr>
      </w:pPr>
      <w:r w:rsidRPr="002706BC">
        <w:rPr>
          <w:rStyle w:val="Hyperlink"/>
          <w:rFonts w:asciiTheme="majorBidi" w:hAnsiTheme="majorBidi" w:cstheme="majorBidi"/>
          <w:color w:val="auto"/>
          <w:sz w:val="24"/>
          <w:szCs w:val="24"/>
          <w:u w:val="none"/>
        </w:rPr>
        <w:t>----, Zeng taiwei peigong shendaobei</w:t>
      </w:r>
      <w:r w:rsidR="002706BC" w:rsidRPr="002706BC">
        <w:rPr>
          <w:rStyle w:val="Hyperlink"/>
          <w:rFonts w:asciiTheme="majorBidi" w:hAnsiTheme="majorBidi" w:cstheme="majorBidi"/>
          <w:color w:val="auto"/>
          <w:sz w:val="24"/>
          <w:szCs w:val="24"/>
          <w:u w:val="none"/>
        </w:rPr>
        <w:t>赠太尉裴公神道碑</w:t>
      </w:r>
      <w:r w:rsidRPr="002706BC">
        <w:rPr>
          <w:rStyle w:val="Hyperlink"/>
          <w:rFonts w:asciiTheme="majorBidi" w:hAnsiTheme="majorBidi" w:cstheme="majorBidi"/>
          <w:color w:val="auto"/>
          <w:sz w:val="24"/>
          <w:szCs w:val="24"/>
          <w:u w:val="none"/>
        </w:rPr>
        <w:t xml:space="preserve">, in </w:t>
      </w:r>
      <w:r w:rsidR="00717025">
        <w:rPr>
          <w:rStyle w:val="Hyperlink"/>
          <w:rFonts w:asciiTheme="majorBidi" w:hAnsiTheme="majorBidi" w:cstheme="majorBidi"/>
          <w:i/>
          <w:iCs/>
          <w:color w:val="auto"/>
          <w:sz w:val="24"/>
          <w:szCs w:val="24"/>
          <w:u w:val="none"/>
        </w:rPr>
        <w:t xml:space="preserve">the </w:t>
      </w:r>
      <w:r w:rsidRPr="00717025">
        <w:rPr>
          <w:rStyle w:val="Hyperlink"/>
          <w:rFonts w:asciiTheme="majorBidi" w:hAnsiTheme="majorBidi" w:cstheme="majorBidi"/>
          <w:i/>
          <w:iCs/>
          <w:color w:val="auto"/>
          <w:sz w:val="24"/>
          <w:szCs w:val="24"/>
          <w:u w:val="none"/>
        </w:rPr>
        <w:t>Quan Tangwen</w:t>
      </w:r>
      <w:r w:rsidR="002706BC" w:rsidRPr="002706BC">
        <w:rPr>
          <w:rStyle w:val="Hyperlink"/>
          <w:rFonts w:asciiTheme="majorBidi" w:hAnsiTheme="majorBidi" w:cstheme="majorBidi"/>
          <w:color w:val="auto"/>
          <w:sz w:val="24"/>
          <w:szCs w:val="24"/>
          <w:u w:val="none"/>
        </w:rPr>
        <w:t>全唐文</w:t>
      </w:r>
      <w:r w:rsidRPr="002706BC">
        <w:rPr>
          <w:rStyle w:val="Hyperlink"/>
          <w:rFonts w:asciiTheme="majorBidi" w:hAnsiTheme="majorBidi" w:cstheme="majorBidi"/>
          <w:color w:val="auto"/>
          <w:sz w:val="24"/>
          <w:szCs w:val="24"/>
          <w:u w:val="none"/>
        </w:rPr>
        <w:t>,</w:t>
      </w:r>
      <w:r w:rsidR="002706BC" w:rsidRPr="002706BC">
        <w:rPr>
          <w:rStyle w:val="Hyperlink"/>
          <w:rFonts w:asciiTheme="majorBidi" w:hAnsiTheme="majorBidi" w:cstheme="majorBidi"/>
          <w:color w:val="auto"/>
          <w:sz w:val="24"/>
          <w:szCs w:val="24"/>
          <w:u w:val="none"/>
        </w:rPr>
        <w:t xml:space="preserve"> </w:t>
      </w:r>
      <w:r w:rsidRPr="002706BC">
        <w:rPr>
          <w:rStyle w:val="Hyperlink"/>
          <w:rFonts w:asciiTheme="majorBidi" w:hAnsiTheme="majorBidi" w:cstheme="majorBidi"/>
          <w:color w:val="auto"/>
          <w:sz w:val="24"/>
          <w:szCs w:val="24"/>
          <w:u w:val="none"/>
        </w:rPr>
        <w:t>volume 228,</w:t>
      </w:r>
      <w:r w:rsidR="002706BC" w:rsidRPr="002706BC">
        <w:rPr>
          <w:rStyle w:val="Hyperlink"/>
          <w:rFonts w:asciiTheme="majorBidi" w:hAnsiTheme="majorBidi" w:cstheme="majorBidi"/>
          <w:color w:val="auto"/>
          <w:sz w:val="24"/>
          <w:szCs w:val="24"/>
          <w:u w:val="none"/>
        </w:rPr>
        <w:t xml:space="preserve"> </w:t>
      </w:r>
      <w:hyperlink w:history="1">
        <w:r w:rsidR="002706BC" w:rsidRPr="00AB4CBD">
          <w:rPr>
            <w:rStyle w:val="Hyperlink"/>
            <w:rFonts w:asciiTheme="majorBidi" w:hAnsiTheme="majorBidi" w:cstheme="majorBidi"/>
            <w:sz w:val="24"/>
            <w:szCs w:val="24"/>
          </w:rPr>
          <w:t>https:// zh.m.wikisource.org/wiki/%E5%85%A8% E5%94%90%E6%96%87/%E5%8D%B70228</w:t>
        </w:r>
      </w:hyperlink>
      <w:r w:rsidRPr="002706BC">
        <w:rPr>
          <w:rFonts w:asciiTheme="majorBidi" w:hAnsiTheme="majorBidi" w:cstheme="majorBidi"/>
          <w:sz w:val="24"/>
          <w:szCs w:val="24"/>
        </w:rPr>
        <w:t>.</w:t>
      </w:r>
    </w:p>
    <w:bookmarkEnd w:id="25"/>
    <w:p w14:paraId="238F2121" w14:textId="27142BA0" w:rsidR="00D81016" w:rsidRDefault="00D81016" w:rsidP="007B09B6">
      <w:pPr>
        <w:spacing w:line="360" w:lineRule="auto"/>
        <w:rPr>
          <w:rFonts w:asciiTheme="majorBidi" w:hAnsiTheme="majorBidi" w:cstheme="majorBidi"/>
          <w:sz w:val="24"/>
          <w:szCs w:val="24"/>
        </w:rPr>
      </w:pPr>
    </w:p>
    <w:p w14:paraId="4BDA6C72" w14:textId="6C2E101B" w:rsidR="00C96017" w:rsidRDefault="001D4978" w:rsidP="007B09B6">
      <w:pPr>
        <w:spacing w:line="360" w:lineRule="auto"/>
        <w:rPr>
          <w:rFonts w:asciiTheme="majorBidi" w:hAnsiTheme="majorBidi" w:cstheme="majorBidi"/>
          <w:sz w:val="24"/>
          <w:szCs w:val="24"/>
        </w:rPr>
      </w:pPr>
      <w:r>
        <w:rPr>
          <w:rFonts w:asciiTheme="majorBidi" w:hAnsiTheme="majorBidi" w:cstheme="majorBidi"/>
          <w:sz w:val="24"/>
          <w:szCs w:val="24"/>
        </w:rPr>
        <w:t>Secondary studies</w:t>
      </w:r>
    </w:p>
    <w:p w14:paraId="556C59FD" w14:textId="11AF0DBB" w:rsidR="0010363C" w:rsidRPr="006D0684" w:rsidRDefault="0010363C" w:rsidP="0010363C">
      <w:pPr>
        <w:spacing w:line="360" w:lineRule="auto"/>
        <w:rPr>
          <w:rFonts w:asciiTheme="majorBidi" w:hAnsiTheme="majorBidi" w:cstheme="majorBidi"/>
          <w:sz w:val="24"/>
          <w:szCs w:val="24"/>
        </w:rPr>
      </w:pPr>
      <w:r w:rsidRPr="006D0684">
        <w:rPr>
          <w:rFonts w:asciiTheme="majorBidi" w:hAnsiTheme="majorBidi" w:cstheme="majorBidi"/>
          <w:sz w:val="24"/>
          <w:szCs w:val="24"/>
        </w:rPr>
        <w:t xml:space="preserve">Agostini, Domenico &amp; Stark, Sören, Zāwulistān, Kāwulistān and the land Bosi </w:t>
      </w:r>
      <w:r w:rsidRPr="006D0684">
        <w:rPr>
          <w:rFonts w:asciiTheme="majorBidi" w:hAnsiTheme="majorBidi" w:cstheme="majorBidi" w:hint="eastAsia"/>
          <w:sz w:val="24"/>
          <w:szCs w:val="24"/>
        </w:rPr>
        <w:t>波斯</w:t>
      </w:r>
      <w:r w:rsidRPr="006D0684">
        <w:rPr>
          <w:rFonts w:asciiTheme="majorBidi" w:hAnsiTheme="majorBidi" w:cstheme="majorBidi"/>
          <w:sz w:val="24"/>
          <w:szCs w:val="24"/>
        </w:rPr>
        <w:t xml:space="preserve"> – on the question of a Sasanian court-in-exile in the </w:t>
      </w:r>
      <w:r w:rsidR="009A34D0" w:rsidRPr="006D0684">
        <w:rPr>
          <w:rFonts w:asciiTheme="majorBidi" w:hAnsiTheme="majorBidi" w:cstheme="majorBidi"/>
          <w:sz w:val="24"/>
          <w:szCs w:val="24"/>
        </w:rPr>
        <w:t>southern</w:t>
      </w:r>
      <w:r w:rsidRPr="006D0684">
        <w:rPr>
          <w:rFonts w:asciiTheme="majorBidi" w:hAnsiTheme="majorBidi" w:cstheme="majorBidi"/>
          <w:sz w:val="24"/>
          <w:szCs w:val="24"/>
        </w:rPr>
        <w:t xml:space="preserve"> Hindukush, </w:t>
      </w:r>
      <w:r w:rsidRPr="006D0684">
        <w:rPr>
          <w:rFonts w:asciiTheme="majorBidi" w:hAnsiTheme="majorBidi" w:cstheme="majorBidi"/>
          <w:i/>
          <w:iCs/>
          <w:sz w:val="24"/>
          <w:szCs w:val="24"/>
        </w:rPr>
        <w:t>Studia Iranica</w:t>
      </w:r>
      <w:r w:rsidRPr="006D0684">
        <w:rPr>
          <w:rFonts w:asciiTheme="majorBidi" w:hAnsiTheme="majorBidi" w:cstheme="majorBidi"/>
          <w:sz w:val="24"/>
          <w:szCs w:val="24"/>
        </w:rPr>
        <w:t>, 45/1, 2016, pp. 17-38.</w:t>
      </w:r>
    </w:p>
    <w:p w14:paraId="1AF32285" w14:textId="0A02B3EB" w:rsidR="007D383D" w:rsidRDefault="007D383D" w:rsidP="0010363C">
      <w:pPr>
        <w:spacing w:line="360" w:lineRule="auto"/>
        <w:rPr>
          <w:rFonts w:asciiTheme="majorBidi" w:hAnsiTheme="majorBidi" w:cstheme="majorBidi"/>
          <w:sz w:val="24"/>
          <w:szCs w:val="24"/>
        </w:rPr>
      </w:pPr>
      <w:r>
        <w:rPr>
          <w:rFonts w:asciiTheme="majorBidi" w:hAnsiTheme="majorBidi" w:cstheme="majorBidi"/>
          <w:sz w:val="24"/>
          <w:szCs w:val="24"/>
        </w:rPr>
        <w:t xml:space="preserve">Ali, Akbar, Dehkhodā, </w:t>
      </w:r>
      <w:r w:rsidRPr="007B3317">
        <w:rPr>
          <w:rFonts w:asciiTheme="majorBidi" w:hAnsiTheme="majorBidi" w:cstheme="majorBidi"/>
          <w:i/>
          <w:iCs/>
          <w:sz w:val="24"/>
          <w:szCs w:val="24"/>
        </w:rPr>
        <w:t>Logh</w:t>
      </w:r>
      <w:r>
        <w:rPr>
          <w:rFonts w:asciiTheme="majorBidi" w:hAnsiTheme="majorBidi" w:cstheme="majorBidi"/>
          <w:i/>
          <w:iCs/>
          <w:sz w:val="24"/>
          <w:szCs w:val="24"/>
        </w:rPr>
        <w:t>a</w:t>
      </w:r>
      <w:r w:rsidRPr="007B3317">
        <w:rPr>
          <w:rFonts w:asciiTheme="majorBidi" w:hAnsiTheme="majorBidi" w:cstheme="majorBidi"/>
          <w:i/>
          <w:iCs/>
          <w:sz w:val="24"/>
          <w:szCs w:val="24"/>
        </w:rPr>
        <w:t>t-i Nāmeh</w:t>
      </w:r>
      <w:r>
        <w:rPr>
          <w:rFonts w:asciiTheme="majorBidi" w:hAnsiTheme="majorBidi" w:cstheme="majorBidi"/>
          <w:sz w:val="24"/>
          <w:szCs w:val="24"/>
        </w:rPr>
        <w:t>, Tehran, mo</w:t>
      </w:r>
      <w:r w:rsidRPr="007B3317">
        <w:rPr>
          <w:rFonts w:asciiTheme="majorBidi" w:hAnsiTheme="majorBidi" w:cstheme="majorBidi"/>
          <w:sz w:val="24"/>
          <w:szCs w:val="24"/>
        </w:rPr>
        <w:t>ʾ</w:t>
      </w:r>
      <w:r>
        <w:rPr>
          <w:rFonts w:asciiTheme="majorBidi" w:hAnsiTheme="majorBidi" w:cstheme="majorBidi"/>
          <w:sz w:val="24"/>
          <w:szCs w:val="24"/>
        </w:rPr>
        <w:t xml:space="preserve">asaseh-i </w:t>
      </w:r>
      <w:r w:rsidRPr="007B3317">
        <w:rPr>
          <w:rFonts w:asciiTheme="majorBidi" w:hAnsiTheme="majorBidi" w:cstheme="majorBidi"/>
          <w:sz w:val="24"/>
          <w:szCs w:val="24"/>
        </w:rPr>
        <w:t>ʾ</w:t>
      </w:r>
      <w:r>
        <w:rPr>
          <w:rFonts w:asciiTheme="majorBidi" w:hAnsiTheme="majorBidi" w:cstheme="majorBidi"/>
          <w:sz w:val="24"/>
          <w:szCs w:val="24"/>
        </w:rPr>
        <w:t>entešārāt va čāp-i dānešgāh-i tehrān, volume 3, 1998.</w:t>
      </w:r>
    </w:p>
    <w:p w14:paraId="24BCF692" w14:textId="5F0BA2D8" w:rsidR="0043626C" w:rsidRDefault="0043626C" w:rsidP="0010363C">
      <w:pPr>
        <w:spacing w:line="360" w:lineRule="auto"/>
        <w:rPr>
          <w:rFonts w:asciiTheme="majorBidi" w:hAnsiTheme="majorBidi" w:cstheme="majorBidi"/>
          <w:sz w:val="24"/>
          <w:szCs w:val="24"/>
        </w:rPr>
      </w:pPr>
      <w:r>
        <w:rPr>
          <w:rFonts w:asciiTheme="majorBidi" w:hAnsiTheme="majorBidi" w:cstheme="majorBidi"/>
          <w:sz w:val="24"/>
          <w:szCs w:val="24"/>
        </w:rPr>
        <w:t xml:space="preserve">Athamina, Khalil, </w:t>
      </w:r>
      <w:r w:rsidR="00717025">
        <w:rPr>
          <w:rFonts w:asciiTheme="majorBidi" w:hAnsiTheme="majorBidi" w:cstheme="majorBidi"/>
          <w:sz w:val="24"/>
          <w:szCs w:val="24"/>
        </w:rPr>
        <w:t>T</w:t>
      </w:r>
      <w:r>
        <w:rPr>
          <w:rFonts w:asciiTheme="majorBidi" w:hAnsiTheme="majorBidi" w:cstheme="majorBidi"/>
          <w:sz w:val="24"/>
          <w:szCs w:val="24"/>
        </w:rPr>
        <w:t xml:space="preserve">he Historical Work of al-Balādhurī and al-Ṭabarī: </w:t>
      </w:r>
      <w:proofErr w:type="gramStart"/>
      <w:r>
        <w:rPr>
          <w:rFonts w:asciiTheme="majorBidi" w:hAnsiTheme="majorBidi" w:cstheme="majorBidi"/>
          <w:sz w:val="24"/>
          <w:szCs w:val="24"/>
        </w:rPr>
        <w:t>the</w:t>
      </w:r>
      <w:proofErr w:type="gramEnd"/>
      <w:r>
        <w:rPr>
          <w:rFonts w:asciiTheme="majorBidi" w:hAnsiTheme="majorBidi" w:cstheme="majorBidi"/>
          <w:sz w:val="24"/>
          <w:szCs w:val="24"/>
        </w:rPr>
        <w:t xml:space="preserve"> Author’s Attitude towards the Sources, in </w:t>
      </w:r>
      <w:r w:rsidRPr="004C13F0">
        <w:rPr>
          <w:rFonts w:asciiTheme="majorBidi" w:hAnsiTheme="majorBidi" w:cstheme="majorBidi"/>
          <w:i/>
          <w:iCs/>
          <w:sz w:val="24"/>
          <w:szCs w:val="24"/>
        </w:rPr>
        <w:t xml:space="preserve">Al-Ṭabarī: </w:t>
      </w:r>
      <w:r w:rsidR="00717025">
        <w:rPr>
          <w:rFonts w:asciiTheme="majorBidi" w:hAnsiTheme="majorBidi" w:cstheme="majorBidi"/>
          <w:i/>
          <w:iCs/>
          <w:sz w:val="24"/>
          <w:szCs w:val="24"/>
        </w:rPr>
        <w:t>A</w:t>
      </w:r>
      <w:r w:rsidRPr="004C13F0">
        <w:rPr>
          <w:rFonts w:asciiTheme="majorBidi" w:hAnsiTheme="majorBidi" w:cstheme="majorBidi"/>
          <w:i/>
          <w:iCs/>
          <w:sz w:val="24"/>
          <w:szCs w:val="24"/>
        </w:rPr>
        <w:t xml:space="preserve"> Medieval Muslim Historian and his Work</w:t>
      </w:r>
      <w:r>
        <w:rPr>
          <w:rFonts w:asciiTheme="majorBidi" w:hAnsiTheme="majorBidi" w:cstheme="majorBidi"/>
          <w:sz w:val="24"/>
          <w:szCs w:val="24"/>
        </w:rPr>
        <w:t>, edited by Kennedy, Hugh, Princeton, the Darwin Press, 2008, pp. 141-55.</w:t>
      </w:r>
    </w:p>
    <w:p w14:paraId="33BA086F" w14:textId="11AF7408" w:rsidR="00D341D7" w:rsidRDefault="0010363C" w:rsidP="0010363C">
      <w:pPr>
        <w:spacing w:line="360" w:lineRule="auto"/>
        <w:rPr>
          <w:rFonts w:asciiTheme="majorBidi" w:hAnsiTheme="majorBidi" w:cstheme="majorBidi"/>
          <w:sz w:val="24"/>
          <w:szCs w:val="24"/>
        </w:rPr>
      </w:pPr>
      <w:r>
        <w:rPr>
          <w:rFonts w:asciiTheme="majorBidi" w:hAnsiTheme="majorBidi" w:cstheme="majorBidi"/>
          <w:sz w:val="24"/>
          <w:szCs w:val="24"/>
        </w:rPr>
        <w:t xml:space="preserve">Azad, Arezou, </w:t>
      </w:r>
      <w:r w:rsidR="00D341D7">
        <w:rPr>
          <w:rFonts w:asciiTheme="majorBidi" w:hAnsiTheme="majorBidi" w:cstheme="majorBidi"/>
          <w:sz w:val="24"/>
          <w:szCs w:val="24"/>
        </w:rPr>
        <w:t xml:space="preserve">Ecology, Economy, and the Conquest of Khurasan, in </w:t>
      </w:r>
      <w:r w:rsidR="00717025">
        <w:rPr>
          <w:rFonts w:asciiTheme="majorBidi" w:hAnsiTheme="majorBidi" w:cstheme="majorBidi"/>
          <w:i/>
          <w:iCs/>
          <w:sz w:val="24"/>
          <w:szCs w:val="24"/>
        </w:rPr>
        <w:t>T</w:t>
      </w:r>
      <w:r w:rsidR="00D341D7" w:rsidRPr="00D341D7">
        <w:rPr>
          <w:rFonts w:asciiTheme="majorBidi" w:hAnsiTheme="majorBidi" w:cstheme="majorBidi"/>
          <w:i/>
          <w:iCs/>
          <w:sz w:val="24"/>
          <w:szCs w:val="24"/>
        </w:rPr>
        <w:t>he Umayyad World</w:t>
      </w:r>
      <w:r w:rsidR="00D341D7">
        <w:rPr>
          <w:rFonts w:asciiTheme="majorBidi" w:hAnsiTheme="majorBidi" w:cstheme="majorBidi"/>
          <w:sz w:val="24"/>
          <w:szCs w:val="24"/>
        </w:rPr>
        <w:t>, edited by Marsham, Andrew, London and New York, Routledge, 2021, pp. 332-</w:t>
      </w:r>
      <w:r w:rsidR="001E6C70">
        <w:rPr>
          <w:rFonts w:asciiTheme="majorBidi" w:hAnsiTheme="majorBidi" w:cstheme="majorBidi"/>
          <w:sz w:val="24"/>
          <w:szCs w:val="24"/>
        </w:rPr>
        <w:t>54.</w:t>
      </w:r>
    </w:p>
    <w:p w14:paraId="53397FAA" w14:textId="70FE9639" w:rsidR="00812D71" w:rsidRDefault="00812D71" w:rsidP="00812D71">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812D71">
        <w:rPr>
          <w:rFonts w:asciiTheme="majorBidi" w:hAnsiTheme="majorBidi" w:cstheme="majorBidi"/>
          <w:i/>
          <w:iCs/>
          <w:sz w:val="24"/>
          <w:szCs w:val="24"/>
        </w:rPr>
        <w:t>Sacred Landscape in Medieval Afghanistan: Revisiting the Faḍāʾil-i Balkh</w:t>
      </w:r>
      <w:r>
        <w:rPr>
          <w:rFonts w:asciiTheme="majorBidi" w:hAnsiTheme="majorBidi" w:cstheme="majorBidi"/>
          <w:sz w:val="24"/>
          <w:szCs w:val="24"/>
        </w:rPr>
        <w:t>, London, Oxford University Press, 2013.</w:t>
      </w:r>
    </w:p>
    <w:p w14:paraId="38C533B9" w14:textId="259F0BEB" w:rsidR="0010363C" w:rsidRDefault="00D341D7" w:rsidP="0010363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717025">
        <w:rPr>
          <w:rFonts w:asciiTheme="majorBidi" w:hAnsiTheme="majorBidi" w:cstheme="majorBidi"/>
          <w:sz w:val="24"/>
          <w:szCs w:val="24"/>
        </w:rPr>
        <w:t>T</w:t>
      </w:r>
      <w:r w:rsidR="0010363C">
        <w:rPr>
          <w:rFonts w:asciiTheme="majorBidi" w:hAnsiTheme="majorBidi" w:cstheme="majorBidi"/>
          <w:sz w:val="24"/>
          <w:szCs w:val="24"/>
        </w:rPr>
        <w:t xml:space="preserve">he Beginning of Islam in Afghanistan: Conquest, Acculturation, and Islamization, in </w:t>
      </w:r>
      <w:r w:rsidR="0010363C" w:rsidRPr="00717025">
        <w:rPr>
          <w:rFonts w:asciiTheme="majorBidi" w:hAnsiTheme="majorBidi" w:cstheme="majorBidi"/>
          <w:i/>
          <w:iCs/>
          <w:sz w:val="24"/>
          <w:szCs w:val="24"/>
        </w:rPr>
        <w:t>Afghanistan's Islam: from Conversion to the Taliban</w:t>
      </w:r>
      <w:r w:rsidR="0010363C">
        <w:rPr>
          <w:rFonts w:asciiTheme="majorBidi" w:hAnsiTheme="majorBidi" w:cstheme="majorBidi"/>
          <w:sz w:val="24"/>
          <w:szCs w:val="24"/>
        </w:rPr>
        <w:t>, edited by Green, Nile, California, University of California Press, 2017, pp. 41-55, 263-70.</w:t>
      </w:r>
    </w:p>
    <w:p w14:paraId="73E4A45D" w14:textId="57043261" w:rsidR="00557390" w:rsidRDefault="00557390" w:rsidP="00557390">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Azad, Arezou &amp; Kennedy, Hugh, </w:t>
      </w:r>
      <w:r w:rsidR="00F1176F">
        <w:rPr>
          <w:rFonts w:asciiTheme="majorBidi" w:hAnsiTheme="majorBidi" w:cstheme="majorBidi"/>
          <w:sz w:val="24"/>
          <w:szCs w:val="24"/>
        </w:rPr>
        <w:t>T</w:t>
      </w:r>
      <w:r>
        <w:rPr>
          <w:rFonts w:asciiTheme="majorBidi" w:hAnsiTheme="majorBidi" w:cstheme="majorBidi"/>
          <w:sz w:val="24"/>
          <w:szCs w:val="24"/>
        </w:rPr>
        <w:t xml:space="preserve">he Coming of Islam to Balkh, in </w:t>
      </w:r>
      <w:r w:rsidRPr="00B30398">
        <w:rPr>
          <w:rFonts w:asciiTheme="majorBidi" w:hAnsiTheme="majorBidi" w:cstheme="majorBidi"/>
          <w:i/>
          <w:iCs/>
          <w:sz w:val="24"/>
          <w:szCs w:val="24"/>
        </w:rPr>
        <w:t>Authority and Control in the Countryside: from Antiquity to Islam in the Mediterranean and Near East (6</w:t>
      </w:r>
      <w:r w:rsidRPr="00B30398">
        <w:rPr>
          <w:rFonts w:asciiTheme="majorBidi" w:hAnsiTheme="majorBidi" w:cstheme="majorBidi"/>
          <w:i/>
          <w:iCs/>
          <w:sz w:val="24"/>
          <w:szCs w:val="24"/>
          <w:vertAlign w:val="superscript"/>
        </w:rPr>
        <w:t>th</w:t>
      </w:r>
      <w:r w:rsidRPr="00B30398">
        <w:rPr>
          <w:rFonts w:asciiTheme="majorBidi" w:hAnsiTheme="majorBidi" w:cstheme="majorBidi"/>
          <w:i/>
          <w:iCs/>
          <w:sz w:val="24"/>
          <w:szCs w:val="24"/>
        </w:rPr>
        <w:t>-10</w:t>
      </w:r>
      <w:r w:rsidRPr="00B30398">
        <w:rPr>
          <w:rFonts w:asciiTheme="majorBidi" w:hAnsiTheme="majorBidi" w:cstheme="majorBidi"/>
          <w:i/>
          <w:iCs/>
          <w:sz w:val="24"/>
          <w:szCs w:val="24"/>
          <w:vertAlign w:val="superscript"/>
        </w:rPr>
        <w:t>th</w:t>
      </w:r>
      <w:r w:rsidRPr="00B30398">
        <w:rPr>
          <w:rFonts w:asciiTheme="majorBidi" w:hAnsiTheme="majorBidi" w:cstheme="majorBidi"/>
          <w:i/>
          <w:iCs/>
          <w:sz w:val="24"/>
          <w:szCs w:val="24"/>
        </w:rPr>
        <w:t xml:space="preserve"> century)</w:t>
      </w:r>
      <w:r>
        <w:rPr>
          <w:rFonts w:asciiTheme="majorBidi" w:hAnsiTheme="majorBidi" w:cstheme="majorBidi"/>
          <w:sz w:val="24"/>
          <w:szCs w:val="24"/>
        </w:rPr>
        <w:t>, edited by Delattre, Alain, Legendre, Marie &amp; Sijpesteijn, Petra, Boston, Brill, 2018, pp. 284-310.</w:t>
      </w:r>
    </w:p>
    <w:p w14:paraId="570DA940" w14:textId="084A5673" w:rsidR="006F6566" w:rsidRDefault="006F6566" w:rsidP="00557390">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Backus, Charles, </w:t>
      </w:r>
      <w:r w:rsidRPr="006F6566">
        <w:rPr>
          <w:rFonts w:asciiTheme="majorBidi" w:hAnsiTheme="majorBidi" w:cstheme="majorBidi"/>
          <w:i/>
          <w:iCs/>
          <w:sz w:val="24"/>
          <w:szCs w:val="24"/>
        </w:rPr>
        <w:t>The Nan-chao Kingdom and T'ang China's South Western Frontier</w:t>
      </w:r>
      <w:r>
        <w:rPr>
          <w:rFonts w:asciiTheme="majorBidi" w:hAnsiTheme="majorBidi" w:cstheme="majorBidi"/>
          <w:sz w:val="24"/>
          <w:szCs w:val="24"/>
        </w:rPr>
        <w:t xml:space="preserve">, </w:t>
      </w:r>
      <w:r>
        <w:rPr>
          <w:rFonts w:asciiTheme="majorBidi" w:hAnsiTheme="majorBidi" w:cstheme="majorBidi"/>
          <w:sz w:val="24"/>
          <w:szCs w:val="24"/>
        </w:rPr>
        <w:lastRenderedPageBreak/>
        <w:t>Cambridge, Cambridge University Press, 1981.</w:t>
      </w:r>
    </w:p>
    <w:p w14:paraId="3C02717C" w14:textId="4732633F" w:rsidR="00D6588F" w:rsidRDefault="00D6588F" w:rsidP="00557390">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Baghbidi, Hassan, New Light on the Middle Persian-Chinese Bilingual Inscription from Xī’ān, in </w:t>
      </w:r>
      <w:r w:rsidR="00717025">
        <w:rPr>
          <w:rFonts w:asciiTheme="majorBidi" w:hAnsiTheme="majorBidi" w:cstheme="majorBidi"/>
          <w:i/>
          <w:iCs/>
          <w:sz w:val="24"/>
          <w:szCs w:val="24"/>
        </w:rPr>
        <w:t>T</w:t>
      </w:r>
      <w:r w:rsidRPr="00D6588F">
        <w:rPr>
          <w:rFonts w:asciiTheme="majorBidi" w:hAnsiTheme="majorBidi" w:cstheme="majorBidi"/>
          <w:i/>
          <w:iCs/>
          <w:sz w:val="24"/>
          <w:szCs w:val="24"/>
        </w:rPr>
        <w:t>he Persian Language in History</w:t>
      </w:r>
      <w:r>
        <w:rPr>
          <w:rFonts w:asciiTheme="majorBidi" w:hAnsiTheme="majorBidi" w:cstheme="majorBidi"/>
          <w:sz w:val="24"/>
          <w:szCs w:val="24"/>
        </w:rPr>
        <w:t>, edited by Maggi, Mauro and Orsatii, Paola, Wiesbaden, Dr. Ludwig Richert Verlag, 2011, pp. 105-15.</w:t>
      </w:r>
    </w:p>
    <w:p w14:paraId="0840C30A" w14:textId="75BC61E3" w:rsidR="006F6566" w:rsidRDefault="00121921" w:rsidP="006F6566">
      <w:pPr>
        <w:spacing w:line="360" w:lineRule="auto"/>
        <w:rPr>
          <w:rFonts w:asciiTheme="majorBidi" w:hAnsiTheme="majorBidi" w:cstheme="majorBidi"/>
          <w:sz w:val="24"/>
          <w:szCs w:val="24"/>
        </w:rPr>
      </w:pPr>
      <w:r>
        <w:rPr>
          <w:rFonts w:asciiTheme="majorBidi" w:hAnsiTheme="majorBidi" w:cstheme="majorBidi"/>
          <w:sz w:val="24"/>
          <w:szCs w:val="24"/>
        </w:rPr>
        <w:t xml:space="preserve">Bailey, Harold, Tokharika, </w:t>
      </w:r>
      <w:r w:rsidR="00717025">
        <w:rPr>
          <w:rFonts w:asciiTheme="majorBidi" w:hAnsiTheme="majorBidi" w:cstheme="majorBidi"/>
          <w:i/>
          <w:iCs/>
          <w:sz w:val="24"/>
          <w:szCs w:val="24"/>
        </w:rPr>
        <w:t>T</w:t>
      </w:r>
      <w:r w:rsidRPr="0058300C">
        <w:rPr>
          <w:rFonts w:asciiTheme="majorBidi" w:hAnsiTheme="majorBidi" w:cstheme="majorBidi"/>
          <w:i/>
          <w:iCs/>
          <w:sz w:val="24"/>
          <w:szCs w:val="24"/>
        </w:rPr>
        <w:t>he Journal of the Royal Asiatic Society of Great Britain and Ireland</w:t>
      </w:r>
      <w:r>
        <w:rPr>
          <w:rFonts w:asciiTheme="majorBidi" w:hAnsiTheme="majorBidi" w:cstheme="majorBidi"/>
          <w:sz w:val="24"/>
          <w:szCs w:val="24"/>
        </w:rPr>
        <w:t>, number 2, 1970, pp. 121-2.</w:t>
      </w:r>
    </w:p>
    <w:p w14:paraId="6741132F" w14:textId="13EC5F13" w:rsidR="00557390" w:rsidRDefault="00557390" w:rsidP="00557390">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Baumer, Christoph, </w:t>
      </w:r>
      <w:r w:rsidR="00717025">
        <w:rPr>
          <w:rFonts w:asciiTheme="majorBidi" w:hAnsiTheme="majorBidi" w:cstheme="majorBidi"/>
          <w:i/>
          <w:iCs/>
          <w:sz w:val="24"/>
          <w:szCs w:val="24"/>
        </w:rPr>
        <w:t>T</w:t>
      </w:r>
      <w:r w:rsidRPr="00DB0F23">
        <w:rPr>
          <w:rFonts w:asciiTheme="majorBidi" w:hAnsiTheme="majorBidi" w:cstheme="majorBidi"/>
          <w:i/>
          <w:iCs/>
          <w:sz w:val="24"/>
          <w:szCs w:val="24"/>
        </w:rPr>
        <w:t>he History of Central Asia: the age of Silk Roads</w:t>
      </w:r>
      <w:r>
        <w:rPr>
          <w:rFonts w:asciiTheme="majorBidi" w:hAnsiTheme="majorBidi" w:cstheme="majorBidi"/>
          <w:sz w:val="24"/>
          <w:szCs w:val="24"/>
        </w:rPr>
        <w:t>, volume 2, London, New York, I. B. Tauris, 2014.</w:t>
      </w:r>
    </w:p>
    <w:p w14:paraId="78FA2F74" w14:textId="139157D2" w:rsidR="000B3C91" w:rsidRDefault="000B3C91" w:rsidP="007B09B6">
      <w:pPr>
        <w:spacing w:line="360" w:lineRule="auto"/>
        <w:rPr>
          <w:rFonts w:asciiTheme="majorBidi" w:hAnsiTheme="majorBidi" w:cstheme="majorBidi"/>
          <w:sz w:val="24"/>
          <w:szCs w:val="24"/>
        </w:rPr>
      </w:pPr>
      <w:r>
        <w:rPr>
          <w:rFonts w:asciiTheme="majorBidi" w:hAnsiTheme="majorBidi" w:cstheme="majorBidi"/>
          <w:sz w:val="24"/>
          <w:szCs w:val="24"/>
        </w:rPr>
        <w:t>Barthold, Wilhelm,</w:t>
      </w:r>
      <w:r w:rsidRPr="00956CB5">
        <w:rPr>
          <w:rFonts w:asciiTheme="majorBidi" w:hAnsiTheme="majorBidi" w:cstheme="majorBidi"/>
          <w:i/>
          <w:iCs/>
          <w:sz w:val="24"/>
          <w:szCs w:val="24"/>
        </w:rPr>
        <w:t xml:space="preserve"> An Historical Geography of Iran</w:t>
      </w:r>
      <w:r>
        <w:rPr>
          <w:rFonts w:asciiTheme="majorBidi" w:hAnsiTheme="majorBidi" w:cstheme="majorBidi"/>
          <w:sz w:val="24"/>
          <w:szCs w:val="24"/>
        </w:rPr>
        <w:t>, translated by Soucek, Svat, Princeton, New Jersey, Princeton University Press, 1984.</w:t>
      </w:r>
    </w:p>
    <w:p w14:paraId="54110AE7" w14:textId="08A190CC" w:rsidR="005A33CD" w:rsidRDefault="005A33CD" w:rsidP="005A33CD">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894E0B">
        <w:rPr>
          <w:rFonts w:asciiTheme="majorBidi" w:hAnsiTheme="majorBidi" w:cstheme="majorBidi"/>
          <w:i/>
          <w:iCs/>
          <w:sz w:val="24"/>
          <w:szCs w:val="24"/>
        </w:rPr>
        <w:t>Turkestan down to the Mongol Invasion</w:t>
      </w:r>
      <w:r>
        <w:rPr>
          <w:rFonts w:asciiTheme="majorBidi" w:hAnsiTheme="majorBidi" w:cstheme="majorBidi"/>
          <w:sz w:val="24"/>
          <w:szCs w:val="24"/>
        </w:rPr>
        <w:t>, translated by Mrs. T., Minorsky, London, Messrs. Luzac and Company, 19</w:t>
      </w:r>
      <w:r w:rsidR="00674F7C">
        <w:rPr>
          <w:rFonts w:asciiTheme="majorBidi" w:hAnsiTheme="majorBidi" w:cstheme="majorBidi"/>
          <w:sz w:val="24"/>
          <w:szCs w:val="24"/>
        </w:rPr>
        <w:t>28</w:t>
      </w:r>
      <w:r>
        <w:rPr>
          <w:rFonts w:asciiTheme="majorBidi" w:hAnsiTheme="majorBidi" w:cstheme="majorBidi"/>
          <w:sz w:val="24"/>
          <w:szCs w:val="24"/>
        </w:rPr>
        <w:t>.</w:t>
      </w:r>
    </w:p>
    <w:p w14:paraId="5FD9E2B8" w14:textId="1A7B24C5" w:rsidR="00D47BFC" w:rsidRDefault="00D47BFC" w:rsidP="00D47BF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Beckwith, Christopher, </w:t>
      </w:r>
      <w:r w:rsidR="00717025">
        <w:rPr>
          <w:rFonts w:asciiTheme="majorBidi" w:hAnsiTheme="majorBidi" w:cstheme="majorBidi"/>
          <w:i/>
          <w:iCs/>
          <w:sz w:val="24"/>
          <w:szCs w:val="24"/>
        </w:rPr>
        <w:t>T</w:t>
      </w:r>
      <w:r w:rsidRPr="009732BC">
        <w:rPr>
          <w:rFonts w:asciiTheme="majorBidi" w:hAnsiTheme="majorBidi" w:cstheme="majorBidi"/>
          <w:i/>
          <w:iCs/>
          <w:sz w:val="24"/>
          <w:szCs w:val="24"/>
        </w:rPr>
        <w:t xml:space="preserve">he Tibetan Empire in Central Asia: </w:t>
      </w:r>
      <w:r w:rsidR="00F43550">
        <w:rPr>
          <w:rFonts w:asciiTheme="majorBidi" w:hAnsiTheme="majorBidi" w:cstheme="majorBidi"/>
          <w:i/>
          <w:iCs/>
          <w:sz w:val="24"/>
          <w:szCs w:val="24"/>
        </w:rPr>
        <w:t>A H</w:t>
      </w:r>
      <w:r w:rsidRPr="009732BC">
        <w:rPr>
          <w:rFonts w:asciiTheme="majorBidi" w:hAnsiTheme="majorBidi" w:cstheme="majorBidi"/>
          <w:i/>
          <w:iCs/>
          <w:sz w:val="24"/>
          <w:szCs w:val="24"/>
        </w:rPr>
        <w:t xml:space="preserve">istory of the </w:t>
      </w:r>
      <w:r w:rsidR="00717025">
        <w:rPr>
          <w:rFonts w:asciiTheme="majorBidi" w:hAnsiTheme="majorBidi" w:cstheme="majorBidi"/>
          <w:i/>
          <w:iCs/>
          <w:sz w:val="24"/>
          <w:szCs w:val="24"/>
        </w:rPr>
        <w:t>S</w:t>
      </w:r>
      <w:r w:rsidRPr="009732BC">
        <w:rPr>
          <w:rFonts w:asciiTheme="majorBidi" w:hAnsiTheme="majorBidi" w:cstheme="majorBidi"/>
          <w:i/>
          <w:iCs/>
          <w:sz w:val="24"/>
          <w:szCs w:val="24"/>
        </w:rPr>
        <w:t xml:space="preserve">truggle for </w:t>
      </w:r>
      <w:r w:rsidR="00717025">
        <w:rPr>
          <w:rFonts w:asciiTheme="majorBidi" w:hAnsiTheme="majorBidi" w:cstheme="majorBidi"/>
          <w:i/>
          <w:iCs/>
          <w:sz w:val="24"/>
          <w:szCs w:val="24"/>
        </w:rPr>
        <w:t>G</w:t>
      </w:r>
      <w:r w:rsidRPr="009732BC">
        <w:rPr>
          <w:rFonts w:asciiTheme="majorBidi" w:hAnsiTheme="majorBidi" w:cstheme="majorBidi"/>
          <w:i/>
          <w:iCs/>
          <w:sz w:val="24"/>
          <w:szCs w:val="24"/>
        </w:rPr>
        <w:t xml:space="preserve">reat </w:t>
      </w:r>
      <w:r w:rsidR="00717025">
        <w:rPr>
          <w:rFonts w:asciiTheme="majorBidi" w:hAnsiTheme="majorBidi" w:cstheme="majorBidi"/>
          <w:i/>
          <w:iCs/>
          <w:sz w:val="24"/>
          <w:szCs w:val="24"/>
        </w:rPr>
        <w:t>P</w:t>
      </w:r>
      <w:r w:rsidRPr="009732BC">
        <w:rPr>
          <w:rFonts w:asciiTheme="majorBidi" w:hAnsiTheme="majorBidi" w:cstheme="majorBidi"/>
          <w:i/>
          <w:iCs/>
          <w:sz w:val="24"/>
          <w:szCs w:val="24"/>
        </w:rPr>
        <w:t xml:space="preserve">ower among Tibetans, Turks, Arabs, and Chinese during the </w:t>
      </w:r>
      <w:r w:rsidR="00717025">
        <w:rPr>
          <w:rFonts w:asciiTheme="majorBidi" w:hAnsiTheme="majorBidi" w:cstheme="majorBidi"/>
          <w:i/>
          <w:iCs/>
          <w:sz w:val="24"/>
          <w:szCs w:val="24"/>
        </w:rPr>
        <w:t>E</w:t>
      </w:r>
      <w:r w:rsidRPr="009732BC">
        <w:rPr>
          <w:rFonts w:asciiTheme="majorBidi" w:hAnsiTheme="majorBidi" w:cstheme="majorBidi"/>
          <w:i/>
          <w:iCs/>
          <w:sz w:val="24"/>
          <w:szCs w:val="24"/>
        </w:rPr>
        <w:t>arly Middle Ages</w:t>
      </w:r>
      <w:r>
        <w:rPr>
          <w:rFonts w:asciiTheme="majorBidi" w:hAnsiTheme="majorBidi" w:cstheme="majorBidi"/>
          <w:sz w:val="24"/>
          <w:szCs w:val="24"/>
        </w:rPr>
        <w:t>, New Jersey, Princeton Universty Press, 1987.</w:t>
      </w:r>
    </w:p>
    <w:p w14:paraId="12417963" w14:textId="512C4D7E" w:rsidR="000074EF" w:rsidRDefault="000074EF" w:rsidP="00D47BF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Benjamin, Craig, </w:t>
      </w:r>
      <w:r w:rsidR="00717025">
        <w:rPr>
          <w:rFonts w:asciiTheme="majorBidi" w:hAnsiTheme="majorBidi" w:cstheme="majorBidi"/>
          <w:i/>
          <w:iCs/>
          <w:sz w:val="24"/>
          <w:szCs w:val="24"/>
        </w:rPr>
        <w:t>T</w:t>
      </w:r>
      <w:r w:rsidRPr="004504D6">
        <w:rPr>
          <w:rFonts w:asciiTheme="majorBidi" w:hAnsiTheme="majorBidi" w:cstheme="majorBidi"/>
          <w:i/>
          <w:iCs/>
          <w:sz w:val="24"/>
          <w:szCs w:val="24"/>
        </w:rPr>
        <w:t>he Yuezhi: Origin, Migration and the Conquest of Northern Bactria</w:t>
      </w:r>
      <w:r>
        <w:rPr>
          <w:rFonts w:asciiTheme="majorBidi" w:hAnsiTheme="majorBidi" w:cstheme="majorBidi"/>
          <w:sz w:val="24"/>
          <w:szCs w:val="24"/>
        </w:rPr>
        <w:t xml:space="preserve">, </w:t>
      </w:r>
      <w:r w:rsidR="004504D6">
        <w:rPr>
          <w:rFonts w:asciiTheme="majorBidi" w:hAnsiTheme="majorBidi" w:cstheme="majorBidi"/>
          <w:sz w:val="24"/>
          <w:szCs w:val="24"/>
        </w:rPr>
        <w:t>Silk Road Studies XIV, Turnhout, Brepols, 2007.</w:t>
      </w:r>
    </w:p>
    <w:p w14:paraId="04A150EC" w14:textId="6AA755D4" w:rsidR="00D47BFC" w:rsidRPr="00D47BFC" w:rsidRDefault="00FC6F13" w:rsidP="00D47BFC">
      <w:pPr>
        <w:spacing w:line="360" w:lineRule="auto"/>
        <w:jc w:val="left"/>
        <w:rPr>
          <w:rFonts w:asciiTheme="majorBidi" w:hAnsiTheme="majorBidi" w:cstheme="majorBidi"/>
          <w:i/>
          <w:iCs/>
          <w:sz w:val="24"/>
          <w:szCs w:val="24"/>
        </w:rPr>
      </w:pPr>
      <w:r>
        <w:rPr>
          <w:rFonts w:asciiTheme="majorBidi" w:hAnsiTheme="majorBidi" w:cstheme="majorBidi"/>
          <w:sz w:val="24"/>
          <w:szCs w:val="24"/>
        </w:rPr>
        <w:t xml:space="preserve">Bosworth, Clifford, </w:t>
      </w:r>
      <w:r w:rsidR="00D47BFC" w:rsidRPr="001D489F">
        <w:rPr>
          <w:rFonts w:asciiTheme="majorBidi" w:hAnsiTheme="majorBidi" w:cstheme="majorBidi"/>
          <w:i/>
          <w:iCs/>
          <w:sz w:val="24"/>
          <w:szCs w:val="24"/>
        </w:rPr>
        <w:t>Sīstān under the Arabs, from the Islamic Conquest to the Rise of</w:t>
      </w:r>
      <w:r w:rsidR="00D47BFC">
        <w:rPr>
          <w:rFonts w:asciiTheme="majorBidi" w:hAnsiTheme="majorBidi" w:cstheme="majorBidi"/>
          <w:i/>
          <w:iCs/>
          <w:sz w:val="24"/>
          <w:szCs w:val="24"/>
        </w:rPr>
        <w:t xml:space="preserve"> </w:t>
      </w:r>
      <w:r w:rsidR="00D47BFC" w:rsidRPr="001D489F">
        <w:rPr>
          <w:rFonts w:asciiTheme="majorBidi" w:hAnsiTheme="majorBidi" w:cstheme="majorBidi"/>
          <w:i/>
          <w:iCs/>
          <w:sz w:val="24"/>
          <w:szCs w:val="24"/>
        </w:rPr>
        <w:t>the Ṣaffārids (30-250/651-864)</w:t>
      </w:r>
      <w:r w:rsidR="00D47BFC" w:rsidRPr="001D489F">
        <w:rPr>
          <w:rFonts w:asciiTheme="majorBidi" w:hAnsiTheme="majorBidi" w:cstheme="majorBidi"/>
          <w:sz w:val="24"/>
          <w:szCs w:val="24"/>
        </w:rPr>
        <w:t>, Rome, IsMEO, 1968.</w:t>
      </w:r>
    </w:p>
    <w:p w14:paraId="0B2A95AF" w14:textId="72E0976D" w:rsidR="00FC6F13" w:rsidRDefault="00D47BFC" w:rsidP="00FC6F13">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717025">
        <w:rPr>
          <w:rFonts w:asciiTheme="majorBidi" w:hAnsiTheme="majorBidi" w:cstheme="majorBidi"/>
          <w:sz w:val="24"/>
          <w:szCs w:val="24"/>
        </w:rPr>
        <w:t>Th</w:t>
      </w:r>
      <w:r w:rsidR="00FC6F13">
        <w:rPr>
          <w:rFonts w:asciiTheme="majorBidi" w:hAnsiTheme="majorBidi" w:cstheme="majorBidi"/>
          <w:sz w:val="24"/>
          <w:szCs w:val="24"/>
        </w:rPr>
        <w:t xml:space="preserve">e Appearance and Establishment of Islam in Afghanistan, in </w:t>
      </w:r>
      <w:bookmarkStart w:id="26" w:name="_Hlk84928194"/>
      <w:r w:rsidR="00FC6F13">
        <w:rPr>
          <w:rFonts w:asciiTheme="majorBidi" w:hAnsiTheme="majorBidi" w:cstheme="majorBidi"/>
          <w:i/>
          <w:iCs/>
          <w:sz w:val="24"/>
          <w:szCs w:val="24"/>
        </w:rPr>
        <w:t>Islamisation de l'Asie Centrale: Processus locaux d’acculturation du VIIe au XIe siècle</w:t>
      </w:r>
      <w:r w:rsidR="00FC6F13">
        <w:rPr>
          <w:rFonts w:asciiTheme="majorBidi" w:hAnsiTheme="majorBidi" w:cstheme="majorBidi"/>
          <w:sz w:val="24"/>
          <w:szCs w:val="24"/>
        </w:rPr>
        <w:t xml:space="preserve">, edited </w:t>
      </w:r>
      <w:bookmarkStart w:id="27" w:name="_Hlk84928170"/>
      <w:r w:rsidR="00FC6F13">
        <w:rPr>
          <w:rFonts w:asciiTheme="majorBidi" w:hAnsiTheme="majorBidi" w:cstheme="majorBidi"/>
          <w:sz w:val="24"/>
          <w:szCs w:val="24"/>
        </w:rPr>
        <w:t xml:space="preserve">by de la Vaissière, </w:t>
      </w:r>
      <w:r w:rsidR="008143BF">
        <w:rPr>
          <w:rFonts w:asciiTheme="majorBidi" w:hAnsiTheme="majorBidi" w:cstheme="majorBidi"/>
          <w:sz w:val="24"/>
          <w:szCs w:val="24"/>
        </w:rPr>
        <w:t xml:space="preserve">Étienne, </w:t>
      </w:r>
      <w:bookmarkEnd w:id="27"/>
      <w:r w:rsidR="00FC6F13">
        <w:rPr>
          <w:rFonts w:asciiTheme="majorBidi" w:hAnsiTheme="majorBidi" w:cstheme="majorBidi"/>
          <w:sz w:val="24"/>
          <w:szCs w:val="24"/>
        </w:rPr>
        <w:t>Leuven, 2008</w:t>
      </w:r>
      <w:bookmarkEnd w:id="26"/>
      <w:r w:rsidR="00FC6F13">
        <w:rPr>
          <w:rFonts w:asciiTheme="majorBidi" w:hAnsiTheme="majorBidi" w:cstheme="majorBidi"/>
          <w:sz w:val="24"/>
          <w:szCs w:val="24"/>
        </w:rPr>
        <w:t>, pp. 97-114.</w:t>
      </w:r>
    </w:p>
    <w:p w14:paraId="67DC0892" w14:textId="7B261013" w:rsidR="0010363C" w:rsidRDefault="0010363C" w:rsidP="0010363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717025">
        <w:rPr>
          <w:rFonts w:asciiTheme="majorBidi" w:hAnsiTheme="majorBidi" w:cstheme="majorBidi"/>
          <w:sz w:val="24"/>
          <w:szCs w:val="24"/>
        </w:rPr>
        <w:t>T</w:t>
      </w:r>
      <w:r>
        <w:rPr>
          <w:rFonts w:asciiTheme="majorBidi" w:hAnsiTheme="majorBidi" w:cstheme="majorBidi"/>
          <w:sz w:val="24"/>
          <w:szCs w:val="24"/>
        </w:rPr>
        <w:t xml:space="preserve">he Heritage of Rulership in Early Islamic Iran and the Search for Dynastic Connections with the Past, </w:t>
      </w:r>
      <w:r w:rsidRPr="00CF1895">
        <w:rPr>
          <w:rFonts w:asciiTheme="majorBidi" w:hAnsiTheme="majorBidi" w:cstheme="majorBidi"/>
          <w:i/>
          <w:iCs/>
          <w:sz w:val="24"/>
          <w:szCs w:val="24"/>
        </w:rPr>
        <w:t>Iran</w:t>
      </w:r>
      <w:r>
        <w:rPr>
          <w:rFonts w:asciiTheme="majorBidi" w:hAnsiTheme="majorBidi" w:cstheme="majorBidi"/>
          <w:sz w:val="24"/>
          <w:szCs w:val="24"/>
        </w:rPr>
        <w:t>, 1973, vol. 11, pp. 51-62.</w:t>
      </w:r>
    </w:p>
    <w:p w14:paraId="733C8003" w14:textId="03F4EB8F" w:rsidR="0066346F" w:rsidRDefault="0066346F" w:rsidP="00491083">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717025">
        <w:rPr>
          <w:rFonts w:asciiTheme="majorBidi" w:hAnsiTheme="majorBidi" w:cstheme="majorBidi"/>
          <w:sz w:val="24"/>
          <w:szCs w:val="24"/>
        </w:rPr>
        <w:t>T</w:t>
      </w:r>
      <w:r>
        <w:rPr>
          <w:rFonts w:asciiTheme="majorBidi" w:hAnsiTheme="majorBidi" w:cstheme="majorBidi"/>
          <w:sz w:val="24"/>
          <w:szCs w:val="24"/>
        </w:rPr>
        <w:t xml:space="preserve">he Rulers of Chaghāniyān in Early Islamic Times, </w:t>
      </w:r>
      <w:r w:rsidRPr="0066346F">
        <w:rPr>
          <w:rFonts w:asciiTheme="majorBidi" w:hAnsiTheme="majorBidi" w:cstheme="majorBidi"/>
          <w:i/>
          <w:iCs/>
          <w:sz w:val="24"/>
          <w:szCs w:val="24"/>
        </w:rPr>
        <w:t>Iran</w:t>
      </w:r>
      <w:r>
        <w:rPr>
          <w:rFonts w:asciiTheme="majorBidi" w:hAnsiTheme="majorBidi" w:cstheme="majorBidi"/>
          <w:sz w:val="24"/>
          <w:szCs w:val="24"/>
        </w:rPr>
        <w:t>, 1981, vol. 19, pp. 1-20.</w:t>
      </w:r>
    </w:p>
    <w:p w14:paraId="4DF17DD3" w14:textId="52B5AAF9" w:rsidR="00491083" w:rsidRDefault="00491083" w:rsidP="00491083">
      <w:pPr>
        <w:spacing w:line="360" w:lineRule="auto"/>
        <w:rPr>
          <w:rFonts w:asciiTheme="majorBidi" w:hAnsiTheme="majorBidi" w:cstheme="majorBidi"/>
          <w:sz w:val="24"/>
          <w:szCs w:val="24"/>
        </w:rPr>
      </w:pPr>
      <w:r>
        <w:rPr>
          <w:rFonts w:asciiTheme="majorBidi" w:hAnsiTheme="majorBidi" w:cstheme="majorBidi"/>
          <w:sz w:val="24"/>
          <w:szCs w:val="24"/>
        </w:rPr>
        <w:t xml:space="preserve">Bosworth, Clifford &amp; Clauson, Gerard, al-Xwārazmī on the Peoples of Central Asia, </w:t>
      </w:r>
      <w:r w:rsidRPr="0016575B">
        <w:rPr>
          <w:rFonts w:asciiTheme="majorBidi" w:hAnsiTheme="majorBidi" w:cstheme="majorBidi"/>
          <w:i/>
          <w:iCs/>
          <w:sz w:val="24"/>
          <w:szCs w:val="24"/>
        </w:rPr>
        <w:t>Journal of the Royal Asiatic Society of Great Britain and Ireland</w:t>
      </w:r>
      <w:r>
        <w:rPr>
          <w:rFonts w:asciiTheme="majorBidi" w:hAnsiTheme="majorBidi" w:cstheme="majorBidi"/>
          <w:sz w:val="24"/>
          <w:szCs w:val="24"/>
        </w:rPr>
        <w:t>, no. 1/2, 1965, pp. 2-12.</w:t>
      </w:r>
    </w:p>
    <w:p w14:paraId="1E6CE4E1" w14:textId="2E15AC74" w:rsidR="006D40D1" w:rsidRDefault="006D40D1" w:rsidP="00E34B12">
      <w:pPr>
        <w:spacing w:line="360" w:lineRule="auto"/>
        <w:rPr>
          <w:rFonts w:asciiTheme="majorBidi" w:hAnsiTheme="majorBidi" w:cstheme="majorBidi"/>
          <w:sz w:val="24"/>
          <w:szCs w:val="24"/>
        </w:rPr>
      </w:pPr>
      <w:r>
        <w:rPr>
          <w:rFonts w:asciiTheme="majorBidi" w:hAnsiTheme="majorBidi" w:cstheme="majorBidi"/>
          <w:sz w:val="24"/>
          <w:szCs w:val="24"/>
        </w:rPr>
        <w:t xml:space="preserve">Brege, Yuri, </w:t>
      </w:r>
      <w:r w:rsidRPr="00E34B12">
        <w:rPr>
          <w:rFonts w:asciiTheme="majorBidi" w:hAnsiTheme="majorBidi" w:cstheme="majorBidi"/>
          <w:i/>
          <w:iCs/>
          <w:sz w:val="24"/>
          <w:szCs w:val="24"/>
        </w:rPr>
        <w:t>An Historical Atlas of Central Asia</w:t>
      </w:r>
      <w:r>
        <w:rPr>
          <w:rFonts w:asciiTheme="majorBidi" w:hAnsiTheme="majorBidi" w:cstheme="majorBidi"/>
          <w:sz w:val="24"/>
          <w:szCs w:val="24"/>
        </w:rPr>
        <w:t xml:space="preserve">, </w:t>
      </w:r>
      <w:r w:rsidR="00E34B12">
        <w:rPr>
          <w:rFonts w:asciiTheme="majorBidi" w:hAnsiTheme="majorBidi" w:cstheme="majorBidi"/>
          <w:sz w:val="24"/>
          <w:szCs w:val="24"/>
        </w:rPr>
        <w:t>Leiden, Brill, 2003.</w:t>
      </w:r>
    </w:p>
    <w:p w14:paraId="0E4DC8E3" w14:textId="1A628A06" w:rsidR="00033CC0" w:rsidRDefault="00033CC0" w:rsidP="00491083">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Brunn, Stanley, Toops, Stanley, Gilbreath, Richard, </w:t>
      </w:r>
      <w:r w:rsidRPr="00033CC0">
        <w:rPr>
          <w:rFonts w:asciiTheme="majorBidi" w:hAnsiTheme="majorBidi" w:cstheme="majorBidi"/>
          <w:i/>
          <w:iCs/>
          <w:sz w:val="24"/>
          <w:szCs w:val="24"/>
        </w:rPr>
        <w:t>The Routledge Atlas of Central Eurasian Affairs</w:t>
      </w:r>
      <w:r>
        <w:rPr>
          <w:rFonts w:asciiTheme="majorBidi" w:hAnsiTheme="majorBidi" w:cstheme="majorBidi"/>
          <w:sz w:val="24"/>
          <w:szCs w:val="24"/>
        </w:rPr>
        <w:t>, London and New York, Routledge, 2012.</w:t>
      </w:r>
    </w:p>
    <w:p w14:paraId="09E62A1F" w14:textId="22FF29F3" w:rsidR="00585B04" w:rsidRDefault="00585B04" w:rsidP="005A33CD">
      <w:pPr>
        <w:spacing w:line="360" w:lineRule="auto"/>
        <w:rPr>
          <w:rFonts w:asciiTheme="majorBidi" w:hAnsiTheme="majorBidi" w:cstheme="majorBidi"/>
          <w:sz w:val="24"/>
          <w:szCs w:val="24"/>
        </w:rPr>
      </w:pPr>
      <w:r>
        <w:rPr>
          <w:rFonts w:asciiTheme="majorBidi" w:hAnsiTheme="majorBidi" w:cstheme="majorBidi"/>
          <w:sz w:val="24"/>
          <w:szCs w:val="24"/>
        </w:rPr>
        <w:t>Cen, Zhongmian</w:t>
      </w:r>
      <w:r w:rsidR="00DB6F72">
        <w:rPr>
          <w:rFonts w:asciiTheme="majorBidi" w:hAnsiTheme="majorBidi" w:cstheme="majorBidi" w:hint="eastAsia"/>
          <w:sz w:val="24"/>
          <w:szCs w:val="24"/>
        </w:rPr>
        <w:t>岑仲勉</w:t>
      </w:r>
      <w:r>
        <w:rPr>
          <w:rFonts w:asciiTheme="majorBidi" w:hAnsiTheme="majorBidi" w:cstheme="majorBidi"/>
          <w:sz w:val="24"/>
          <w:szCs w:val="24"/>
        </w:rPr>
        <w:t xml:space="preserve">, </w:t>
      </w:r>
      <w:r w:rsidR="00573400">
        <w:rPr>
          <w:rFonts w:asciiTheme="majorBidi" w:hAnsiTheme="majorBidi" w:cstheme="majorBidi"/>
          <w:i/>
          <w:iCs/>
          <w:sz w:val="24"/>
          <w:szCs w:val="24"/>
        </w:rPr>
        <w:t>Additions and Studies of the Documents on the Western Turks</w:t>
      </w:r>
      <w:r w:rsidR="00573400">
        <w:rPr>
          <w:rFonts w:asciiTheme="majorBidi" w:hAnsiTheme="majorBidi" w:cstheme="majorBidi" w:hint="eastAsia"/>
          <w:sz w:val="24"/>
          <w:szCs w:val="24"/>
        </w:rPr>
        <w:t>西突厥史料补缺及考证</w:t>
      </w:r>
      <w:r w:rsidR="00573400">
        <w:rPr>
          <w:rFonts w:asciiTheme="majorBidi" w:hAnsiTheme="majorBidi" w:cstheme="majorBidi" w:hint="eastAsia"/>
          <w:sz w:val="24"/>
          <w:szCs w:val="24"/>
        </w:rPr>
        <w:t>,</w:t>
      </w:r>
      <w:r w:rsidR="00573400">
        <w:rPr>
          <w:rFonts w:asciiTheme="majorBidi" w:hAnsiTheme="majorBidi" w:cstheme="majorBidi"/>
          <w:sz w:val="24"/>
          <w:szCs w:val="24"/>
        </w:rPr>
        <w:t xml:space="preserve"> </w:t>
      </w:r>
      <w:r>
        <w:rPr>
          <w:rFonts w:asciiTheme="majorBidi" w:hAnsiTheme="majorBidi" w:cstheme="majorBidi"/>
          <w:sz w:val="24"/>
          <w:szCs w:val="24"/>
        </w:rPr>
        <w:t>Beijing, Zhonghua shuju, 1958.</w:t>
      </w:r>
    </w:p>
    <w:p w14:paraId="7431A4F7" w14:textId="212C6C55" w:rsidR="003B2DC2" w:rsidRDefault="003B2DC2" w:rsidP="005A33CD">
      <w:pPr>
        <w:spacing w:line="360" w:lineRule="auto"/>
        <w:rPr>
          <w:rFonts w:asciiTheme="majorBidi" w:hAnsiTheme="majorBidi" w:cstheme="majorBidi"/>
          <w:sz w:val="24"/>
          <w:szCs w:val="24"/>
        </w:rPr>
      </w:pPr>
      <w:r>
        <w:rPr>
          <w:rFonts w:asciiTheme="majorBidi" w:hAnsiTheme="majorBidi" w:cstheme="majorBidi"/>
          <w:sz w:val="24"/>
          <w:szCs w:val="24"/>
        </w:rPr>
        <w:t xml:space="preserve">Chavannes, Edouard, </w:t>
      </w:r>
      <w:r w:rsidRPr="003B2DC2">
        <w:rPr>
          <w:rFonts w:asciiTheme="majorBidi" w:hAnsiTheme="majorBidi" w:cstheme="majorBidi"/>
          <w:i/>
          <w:iCs/>
          <w:sz w:val="24"/>
          <w:szCs w:val="24"/>
        </w:rPr>
        <w:t>Documents sur les Tou-Kiue (Turcs) occidentaux</w:t>
      </w:r>
      <w:r>
        <w:rPr>
          <w:rFonts w:asciiTheme="majorBidi" w:hAnsiTheme="majorBidi" w:cstheme="majorBidi"/>
          <w:sz w:val="24"/>
          <w:szCs w:val="24"/>
        </w:rPr>
        <w:t>, St. Petersburg, Commissionnaires de l'Académie Impériale, 1903.</w:t>
      </w:r>
    </w:p>
    <w:p w14:paraId="4044AB75" w14:textId="32CAEAE7" w:rsidR="00EB376D" w:rsidRDefault="00EB376D" w:rsidP="005A33CD">
      <w:pPr>
        <w:spacing w:line="360" w:lineRule="auto"/>
        <w:rPr>
          <w:rFonts w:asciiTheme="majorBidi" w:hAnsiTheme="majorBidi" w:cstheme="majorBidi"/>
          <w:sz w:val="24"/>
          <w:szCs w:val="24"/>
        </w:rPr>
      </w:pPr>
      <w:r>
        <w:rPr>
          <w:rFonts w:asciiTheme="majorBidi" w:hAnsiTheme="majorBidi" w:cstheme="majorBidi"/>
          <w:sz w:val="24"/>
          <w:szCs w:val="24"/>
        </w:rPr>
        <w:t xml:space="preserve">Clausen, Gerard, Ak Beshim-Suyab, </w:t>
      </w:r>
      <w:r w:rsidRPr="00EB376D">
        <w:rPr>
          <w:rFonts w:asciiTheme="majorBidi" w:hAnsiTheme="majorBidi" w:cstheme="majorBidi"/>
          <w:i/>
          <w:iCs/>
          <w:sz w:val="24"/>
          <w:szCs w:val="24"/>
        </w:rPr>
        <w:t>the Journal of the Royal Asiatic Society of Great Britain and Ireland</w:t>
      </w:r>
      <w:r>
        <w:rPr>
          <w:rFonts w:asciiTheme="majorBidi" w:hAnsiTheme="majorBidi" w:cstheme="majorBidi"/>
          <w:sz w:val="24"/>
          <w:szCs w:val="24"/>
        </w:rPr>
        <w:t>, 1961, number 1/2, pp. 1-13.</w:t>
      </w:r>
    </w:p>
    <w:p w14:paraId="3509ED2C" w14:textId="77777777" w:rsidR="00D47BFC" w:rsidRDefault="00D47BFC" w:rsidP="00D47BFC">
      <w:pPr>
        <w:spacing w:line="360" w:lineRule="auto"/>
        <w:jc w:val="left"/>
        <w:rPr>
          <w:rFonts w:asciiTheme="majorBidi" w:hAnsiTheme="majorBidi" w:cstheme="majorBidi"/>
          <w:sz w:val="24"/>
          <w:szCs w:val="24"/>
        </w:rPr>
      </w:pPr>
      <w:r w:rsidRPr="008E7522">
        <w:rPr>
          <w:rFonts w:asciiTheme="majorBidi" w:hAnsiTheme="majorBidi" w:cstheme="majorBidi"/>
          <w:sz w:val="24"/>
          <w:szCs w:val="24"/>
        </w:rPr>
        <w:t xml:space="preserve">Christensen, Arthur, </w:t>
      </w:r>
      <w:r w:rsidRPr="008E7522">
        <w:rPr>
          <w:rFonts w:asciiTheme="majorBidi" w:hAnsiTheme="majorBidi" w:cstheme="majorBidi"/>
          <w:i/>
          <w:iCs/>
          <w:sz w:val="24"/>
          <w:szCs w:val="24"/>
        </w:rPr>
        <w:t>L'Iran sous les Sassanides</w:t>
      </w:r>
      <w:r w:rsidRPr="008E7522">
        <w:rPr>
          <w:rFonts w:asciiTheme="majorBidi" w:hAnsiTheme="majorBidi" w:cstheme="majorBidi"/>
          <w:sz w:val="24"/>
          <w:szCs w:val="24"/>
        </w:rPr>
        <w:t>, Copenhagen, Ejnar Munksgaard, 19</w:t>
      </w:r>
      <w:r>
        <w:rPr>
          <w:rFonts w:asciiTheme="majorBidi" w:hAnsiTheme="majorBidi" w:cstheme="majorBidi"/>
          <w:sz w:val="24"/>
          <w:szCs w:val="24"/>
        </w:rPr>
        <w:t>36</w:t>
      </w:r>
      <w:r w:rsidRPr="008E7522">
        <w:rPr>
          <w:rFonts w:asciiTheme="majorBidi" w:hAnsiTheme="majorBidi" w:cstheme="majorBidi"/>
          <w:sz w:val="24"/>
          <w:szCs w:val="24"/>
        </w:rPr>
        <w:t>.</w:t>
      </w:r>
    </w:p>
    <w:p w14:paraId="3158C1A7" w14:textId="47DBB6CA" w:rsidR="00D47BFC" w:rsidRDefault="00D47BFC" w:rsidP="00D47BFC">
      <w:pPr>
        <w:spacing w:line="360" w:lineRule="auto"/>
        <w:jc w:val="left"/>
        <w:rPr>
          <w:rFonts w:asciiTheme="majorBidi" w:hAnsiTheme="majorBidi" w:cstheme="majorBidi"/>
          <w:sz w:val="24"/>
          <w:szCs w:val="24"/>
        </w:rPr>
      </w:pPr>
      <w:r w:rsidRPr="008E7522">
        <w:rPr>
          <w:rFonts w:asciiTheme="majorBidi" w:hAnsiTheme="majorBidi" w:cstheme="majorBidi"/>
          <w:sz w:val="24"/>
          <w:szCs w:val="24"/>
        </w:rPr>
        <w:t xml:space="preserve">Compareti, Matteo, </w:t>
      </w:r>
      <w:r w:rsidR="00717025">
        <w:rPr>
          <w:rFonts w:asciiTheme="majorBidi" w:hAnsiTheme="majorBidi" w:cstheme="majorBidi"/>
          <w:sz w:val="24"/>
          <w:szCs w:val="24"/>
        </w:rPr>
        <w:t>T</w:t>
      </w:r>
      <w:r w:rsidRPr="008E7522">
        <w:rPr>
          <w:rFonts w:asciiTheme="majorBidi" w:hAnsiTheme="majorBidi" w:cstheme="majorBidi"/>
          <w:sz w:val="24"/>
          <w:szCs w:val="24"/>
        </w:rPr>
        <w:t xml:space="preserve">he last Sasanians in China, </w:t>
      </w:r>
      <w:r w:rsidRPr="008E7522">
        <w:rPr>
          <w:rFonts w:asciiTheme="majorBidi" w:hAnsiTheme="majorBidi" w:cstheme="majorBidi"/>
          <w:i/>
          <w:iCs/>
          <w:sz w:val="24"/>
          <w:szCs w:val="24"/>
        </w:rPr>
        <w:t>Eurasian Studies</w:t>
      </w:r>
      <w:r w:rsidRPr="008E7522">
        <w:rPr>
          <w:rFonts w:asciiTheme="majorBidi" w:hAnsiTheme="majorBidi" w:cstheme="majorBidi"/>
          <w:sz w:val="24"/>
          <w:szCs w:val="24"/>
        </w:rPr>
        <w:t xml:space="preserve"> 2/2, 2003, pp. 197-213.</w:t>
      </w:r>
    </w:p>
    <w:p w14:paraId="18E753C5" w14:textId="4F17E962" w:rsidR="004476E0" w:rsidRDefault="004476E0" w:rsidP="00D47BF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Conrad, Lawrence, Ibn </w:t>
      </w:r>
      <w:proofErr w:type="gramStart"/>
      <w:r>
        <w:rPr>
          <w:rFonts w:asciiTheme="majorBidi" w:hAnsiTheme="majorBidi" w:cstheme="majorBidi"/>
          <w:sz w:val="24"/>
          <w:szCs w:val="24"/>
        </w:rPr>
        <w:t>A‘</w:t>
      </w:r>
      <w:proofErr w:type="gramEnd"/>
      <w:r w:rsidR="00650AB0">
        <w:rPr>
          <w:rFonts w:asciiTheme="majorBidi" w:hAnsiTheme="majorBidi" w:cstheme="majorBidi"/>
          <w:sz w:val="24"/>
          <w:szCs w:val="24"/>
        </w:rPr>
        <w:t xml:space="preserve">tham and His History, </w:t>
      </w:r>
      <w:r w:rsidR="00650AB0" w:rsidRPr="00650AB0">
        <w:rPr>
          <w:rFonts w:asciiTheme="majorBidi" w:hAnsiTheme="majorBidi" w:cstheme="majorBidi"/>
          <w:i/>
          <w:iCs/>
          <w:sz w:val="24"/>
          <w:szCs w:val="24"/>
        </w:rPr>
        <w:t>Al-‘Uṣūr al-Wusṭā</w:t>
      </w:r>
      <w:r w:rsidR="00650AB0">
        <w:rPr>
          <w:rFonts w:asciiTheme="majorBidi" w:hAnsiTheme="majorBidi" w:cstheme="majorBidi"/>
          <w:sz w:val="24"/>
          <w:szCs w:val="24"/>
        </w:rPr>
        <w:t>, volume 23, 2015, pp. 87-125.</w:t>
      </w:r>
    </w:p>
    <w:p w14:paraId="63613C4D" w14:textId="39D732B0" w:rsidR="00274C0A" w:rsidRDefault="00274C0A" w:rsidP="00D47BF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Crone, Patricia, </w:t>
      </w:r>
      <w:r w:rsidR="00717025">
        <w:rPr>
          <w:rFonts w:asciiTheme="majorBidi" w:hAnsiTheme="majorBidi" w:cstheme="majorBidi"/>
          <w:sz w:val="24"/>
          <w:szCs w:val="24"/>
        </w:rPr>
        <w:t>T</w:t>
      </w:r>
      <w:r>
        <w:rPr>
          <w:rFonts w:asciiTheme="majorBidi" w:hAnsiTheme="majorBidi" w:cstheme="majorBidi"/>
          <w:sz w:val="24"/>
          <w:szCs w:val="24"/>
        </w:rPr>
        <w:t xml:space="preserve">he Tribe and the State, in </w:t>
      </w:r>
      <w:r w:rsidR="00717025">
        <w:rPr>
          <w:rFonts w:asciiTheme="majorBidi" w:hAnsiTheme="majorBidi" w:cstheme="majorBidi"/>
          <w:i/>
          <w:iCs/>
          <w:sz w:val="24"/>
          <w:szCs w:val="24"/>
        </w:rPr>
        <w:t>T</w:t>
      </w:r>
      <w:r w:rsidRPr="00274C0A">
        <w:rPr>
          <w:rFonts w:asciiTheme="majorBidi" w:hAnsiTheme="majorBidi" w:cstheme="majorBidi"/>
          <w:i/>
          <w:iCs/>
          <w:sz w:val="24"/>
          <w:szCs w:val="24"/>
        </w:rPr>
        <w:t xml:space="preserve">he State: </w:t>
      </w:r>
      <w:r w:rsidR="00717025">
        <w:rPr>
          <w:rFonts w:asciiTheme="majorBidi" w:hAnsiTheme="majorBidi" w:cstheme="majorBidi"/>
          <w:i/>
          <w:iCs/>
          <w:sz w:val="24"/>
          <w:szCs w:val="24"/>
        </w:rPr>
        <w:t>C</w:t>
      </w:r>
      <w:r w:rsidRPr="00274C0A">
        <w:rPr>
          <w:rFonts w:asciiTheme="majorBidi" w:hAnsiTheme="majorBidi" w:cstheme="majorBidi"/>
          <w:i/>
          <w:iCs/>
          <w:sz w:val="24"/>
          <w:szCs w:val="24"/>
        </w:rPr>
        <w:t xml:space="preserve">ritical </w:t>
      </w:r>
      <w:r w:rsidR="00717025">
        <w:rPr>
          <w:rFonts w:asciiTheme="majorBidi" w:hAnsiTheme="majorBidi" w:cstheme="majorBidi"/>
          <w:i/>
          <w:iCs/>
          <w:sz w:val="24"/>
          <w:szCs w:val="24"/>
        </w:rPr>
        <w:t>C</w:t>
      </w:r>
      <w:r w:rsidRPr="00274C0A">
        <w:rPr>
          <w:rFonts w:asciiTheme="majorBidi" w:hAnsiTheme="majorBidi" w:cstheme="majorBidi"/>
          <w:i/>
          <w:iCs/>
          <w:sz w:val="24"/>
          <w:szCs w:val="24"/>
        </w:rPr>
        <w:t>oncepts</w:t>
      </w:r>
      <w:r>
        <w:rPr>
          <w:rFonts w:asciiTheme="majorBidi" w:hAnsiTheme="majorBidi" w:cstheme="majorBidi"/>
          <w:sz w:val="24"/>
          <w:szCs w:val="24"/>
        </w:rPr>
        <w:t>, edited by Hall, John, London, Routledge, 1994, pp. 446-73.</w:t>
      </w:r>
    </w:p>
    <w:p w14:paraId="35BC71DE" w14:textId="196932AF" w:rsidR="00AF160C" w:rsidRPr="005A33CD" w:rsidRDefault="00CF33BB" w:rsidP="00AF160C">
      <w:pPr>
        <w:spacing w:line="360" w:lineRule="auto"/>
        <w:rPr>
          <w:rFonts w:asciiTheme="majorBidi" w:hAnsiTheme="majorBidi" w:cstheme="majorBidi"/>
          <w:sz w:val="24"/>
          <w:szCs w:val="24"/>
        </w:rPr>
      </w:pPr>
      <w:bookmarkStart w:id="28" w:name="_Hlk81171230"/>
      <w:r>
        <w:rPr>
          <w:rFonts w:asciiTheme="majorBidi" w:hAnsiTheme="majorBidi" w:cstheme="majorBidi" w:hint="eastAsia"/>
          <w:sz w:val="24"/>
          <w:szCs w:val="24"/>
        </w:rPr>
        <w:t>D</w:t>
      </w:r>
      <w:r>
        <w:rPr>
          <w:rFonts w:asciiTheme="majorBidi" w:hAnsiTheme="majorBidi" w:cstheme="majorBidi"/>
          <w:sz w:val="24"/>
          <w:szCs w:val="24"/>
        </w:rPr>
        <w:t xml:space="preserve">ani, A., Litvinsky, B. and Zamir Safi, M., Eastern Kushans, Kidarites in Gandhara and Kashmir, and Later Hephthalites, in </w:t>
      </w:r>
      <w:r w:rsidRPr="00D33DE7">
        <w:rPr>
          <w:rFonts w:asciiTheme="majorBidi" w:hAnsiTheme="majorBidi" w:cstheme="majorBidi"/>
          <w:i/>
          <w:iCs/>
          <w:sz w:val="24"/>
          <w:szCs w:val="24"/>
        </w:rPr>
        <w:t>History of Civilizations of Central Asia</w:t>
      </w:r>
      <w:r>
        <w:rPr>
          <w:rFonts w:asciiTheme="majorBidi" w:hAnsiTheme="majorBidi" w:cstheme="majorBidi"/>
          <w:sz w:val="24"/>
          <w:szCs w:val="24"/>
        </w:rPr>
        <w:t xml:space="preserve">, </w:t>
      </w:r>
      <w:r w:rsidRPr="00DD3BAB">
        <w:rPr>
          <w:rFonts w:asciiTheme="majorBidi" w:hAnsiTheme="majorBidi" w:cstheme="majorBidi"/>
          <w:i/>
          <w:iCs/>
          <w:sz w:val="24"/>
          <w:szCs w:val="24"/>
        </w:rPr>
        <w:t xml:space="preserve">Volume III, the crossroads of civilizations: A.D. 250 </w:t>
      </w:r>
      <w:r w:rsidRPr="00DD3BAB">
        <w:rPr>
          <w:rFonts w:asciiTheme="majorBidi" w:hAnsiTheme="majorBidi" w:cstheme="majorBidi" w:hint="eastAsia"/>
          <w:i/>
          <w:iCs/>
          <w:sz w:val="24"/>
          <w:szCs w:val="24"/>
        </w:rPr>
        <w:t>to</w:t>
      </w:r>
      <w:r w:rsidRPr="00DD3BAB">
        <w:rPr>
          <w:rFonts w:asciiTheme="majorBidi" w:hAnsiTheme="majorBidi" w:cstheme="majorBidi"/>
          <w:i/>
          <w:iCs/>
          <w:sz w:val="24"/>
          <w:szCs w:val="24"/>
        </w:rPr>
        <w:t xml:space="preserve"> 750</w:t>
      </w:r>
      <w:r>
        <w:rPr>
          <w:rFonts w:asciiTheme="majorBidi" w:hAnsiTheme="majorBidi" w:cstheme="majorBidi"/>
          <w:sz w:val="24"/>
          <w:szCs w:val="24"/>
        </w:rPr>
        <w:t>, edited by Litvinsky, Boris, Zhang, Guangda &amp; Samghabadi, Shabani, Paris, UNESCO Publishing, 1996, pp. 163-83.</w:t>
      </w:r>
      <w:bookmarkEnd w:id="28"/>
    </w:p>
    <w:p w14:paraId="20380949" w14:textId="7CAC4B21" w:rsidR="0095208B" w:rsidRDefault="00D47BFC" w:rsidP="00D47BFC">
      <w:pPr>
        <w:spacing w:line="360" w:lineRule="auto"/>
        <w:jc w:val="left"/>
        <w:rPr>
          <w:rFonts w:asciiTheme="majorBidi" w:hAnsiTheme="majorBidi" w:cstheme="majorBidi"/>
          <w:sz w:val="24"/>
          <w:szCs w:val="24"/>
        </w:rPr>
      </w:pPr>
      <w:r w:rsidRPr="008E7522">
        <w:rPr>
          <w:rFonts w:asciiTheme="majorBidi" w:hAnsiTheme="majorBidi" w:cstheme="majorBidi"/>
          <w:sz w:val="24"/>
          <w:szCs w:val="24"/>
        </w:rPr>
        <w:t>Daryaee, Touraj,</w:t>
      </w:r>
      <w:r w:rsidR="0095208B">
        <w:rPr>
          <w:rFonts w:asciiTheme="majorBidi" w:hAnsiTheme="majorBidi" w:cstheme="majorBidi"/>
          <w:sz w:val="24"/>
          <w:szCs w:val="24"/>
        </w:rPr>
        <w:t xml:space="preserve"> </w:t>
      </w:r>
      <w:r w:rsidR="00717025">
        <w:rPr>
          <w:rFonts w:asciiTheme="majorBidi" w:hAnsiTheme="majorBidi" w:cstheme="majorBidi"/>
          <w:sz w:val="24"/>
          <w:szCs w:val="24"/>
        </w:rPr>
        <w:t>O</w:t>
      </w:r>
      <w:r w:rsidR="0095208B">
        <w:rPr>
          <w:rFonts w:asciiTheme="majorBidi" w:hAnsiTheme="majorBidi" w:cstheme="majorBidi"/>
          <w:sz w:val="24"/>
          <w:szCs w:val="24"/>
        </w:rPr>
        <w:t xml:space="preserve">n the Coming of Zoroastrian Messiah: </w:t>
      </w:r>
      <w:proofErr w:type="gramStart"/>
      <w:r w:rsidR="00717025">
        <w:rPr>
          <w:rFonts w:asciiTheme="majorBidi" w:hAnsiTheme="majorBidi" w:cstheme="majorBidi"/>
          <w:sz w:val="24"/>
          <w:szCs w:val="24"/>
        </w:rPr>
        <w:t>a</w:t>
      </w:r>
      <w:proofErr w:type="gramEnd"/>
      <w:r w:rsidR="0095208B">
        <w:rPr>
          <w:rFonts w:asciiTheme="majorBidi" w:hAnsiTheme="majorBidi" w:cstheme="majorBidi"/>
          <w:sz w:val="24"/>
          <w:szCs w:val="24"/>
        </w:rPr>
        <w:t xml:space="preserve"> Middle Persian Poem on History and Apocalypticism </w:t>
      </w:r>
      <w:r w:rsidR="00AF079C">
        <w:rPr>
          <w:rFonts w:asciiTheme="majorBidi" w:hAnsiTheme="majorBidi" w:cstheme="majorBidi"/>
          <w:sz w:val="24"/>
          <w:szCs w:val="24"/>
        </w:rPr>
        <w:t xml:space="preserve">in Early Medieval Islamic Iran, in </w:t>
      </w:r>
      <w:r w:rsidR="00AF079C" w:rsidRPr="00AF079C">
        <w:rPr>
          <w:rFonts w:asciiTheme="majorBidi" w:hAnsiTheme="majorBidi" w:cstheme="majorBidi"/>
          <w:i/>
          <w:iCs/>
          <w:sz w:val="24"/>
          <w:szCs w:val="24"/>
        </w:rPr>
        <w:t>Converging Zones</w:t>
      </w:r>
      <w:r w:rsidR="00AF079C">
        <w:rPr>
          <w:rFonts w:asciiTheme="majorBidi" w:hAnsiTheme="majorBidi" w:cstheme="majorBidi"/>
          <w:sz w:val="24"/>
          <w:szCs w:val="24"/>
        </w:rPr>
        <w:t>, 2012, pp. 5-14.</w:t>
      </w:r>
    </w:p>
    <w:p w14:paraId="770E24C0" w14:textId="47CD20DE" w:rsidR="00D47BFC" w:rsidRDefault="0095208B" w:rsidP="00D47BFC">
      <w:pPr>
        <w:spacing w:line="360" w:lineRule="auto"/>
        <w:jc w:val="left"/>
        <w:rPr>
          <w:rFonts w:asciiTheme="majorBidi" w:hAnsiTheme="majorBidi" w:cstheme="majorBidi"/>
          <w:sz w:val="24"/>
          <w:szCs w:val="24"/>
        </w:rPr>
      </w:pPr>
      <w:r>
        <w:rPr>
          <w:rFonts w:asciiTheme="majorBidi" w:hAnsiTheme="majorBidi" w:cstheme="majorBidi"/>
          <w:sz w:val="24"/>
          <w:szCs w:val="24"/>
        </w:rPr>
        <w:t>----,</w:t>
      </w:r>
      <w:r w:rsidR="00D47BFC" w:rsidRPr="008E7522">
        <w:rPr>
          <w:rFonts w:asciiTheme="majorBidi" w:hAnsiTheme="majorBidi" w:cstheme="majorBidi"/>
          <w:sz w:val="24"/>
          <w:szCs w:val="24"/>
        </w:rPr>
        <w:t xml:space="preserve"> </w:t>
      </w:r>
      <w:r w:rsidR="00D47BFC" w:rsidRPr="008E7522">
        <w:rPr>
          <w:rFonts w:asciiTheme="majorBidi" w:hAnsiTheme="majorBidi" w:cstheme="majorBidi"/>
          <w:i/>
          <w:iCs/>
          <w:sz w:val="24"/>
          <w:szCs w:val="24"/>
        </w:rPr>
        <w:t>Sasanian Persia: the Rise and Fall of an Empire</w:t>
      </w:r>
      <w:r w:rsidR="00D47BFC" w:rsidRPr="008E7522">
        <w:rPr>
          <w:rFonts w:asciiTheme="majorBidi" w:hAnsiTheme="majorBidi" w:cstheme="majorBidi"/>
          <w:sz w:val="24"/>
          <w:szCs w:val="24"/>
        </w:rPr>
        <w:t>, New York, I.</w:t>
      </w:r>
      <w:proofErr w:type="gramStart"/>
      <w:r w:rsidR="00D47BFC" w:rsidRPr="008E7522">
        <w:rPr>
          <w:rFonts w:asciiTheme="majorBidi" w:hAnsiTheme="majorBidi" w:cstheme="majorBidi"/>
          <w:sz w:val="24"/>
          <w:szCs w:val="24"/>
        </w:rPr>
        <w:t>B.Tauris</w:t>
      </w:r>
      <w:proofErr w:type="gramEnd"/>
      <w:r w:rsidR="00D47BFC" w:rsidRPr="008E7522">
        <w:rPr>
          <w:rFonts w:asciiTheme="majorBidi" w:hAnsiTheme="majorBidi" w:cstheme="majorBidi"/>
          <w:sz w:val="24"/>
          <w:szCs w:val="24"/>
        </w:rPr>
        <w:t>, 2009.</w:t>
      </w:r>
    </w:p>
    <w:p w14:paraId="3C6C0A54" w14:textId="56F74CE0" w:rsidR="00724B6C" w:rsidRDefault="00D47BFC" w:rsidP="00D47BFC">
      <w:pPr>
        <w:spacing w:line="360" w:lineRule="auto"/>
        <w:rPr>
          <w:rFonts w:asciiTheme="majorBidi" w:hAnsiTheme="majorBidi" w:cstheme="majorBidi"/>
          <w:sz w:val="24"/>
          <w:szCs w:val="24"/>
        </w:rPr>
      </w:pPr>
      <w:r>
        <w:rPr>
          <w:rFonts w:asciiTheme="majorBidi" w:hAnsiTheme="majorBidi" w:cstheme="majorBidi"/>
          <w:sz w:val="24"/>
          <w:szCs w:val="24"/>
        </w:rPr>
        <w:t>De la Vai</w:t>
      </w:r>
      <w:r w:rsidRPr="00F33069">
        <w:rPr>
          <w:rFonts w:asciiTheme="majorBidi" w:hAnsiTheme="majorBidi" w:cstheme="majorBidi"/>
          <w:sz w:val="24"/>
          <w:szCs w:val="24"/>
        </w:rPr>
        <w:t>ssière</w:t>
      </w:r>
      <w:r>
        <w:rPr>
          <w:rFonts w:asciiTheme="majorBidi" w:hAnsiTheme="majorBidi" w:cstheme="majorBidi"/>
          <w:sz w:val="24"/>
          <w:szCs w:val="24"/>
        </w:rPr>
        <w:t>,</w:t>
      </w:r>
      <w:r w:rsidRPr="00F33069">
        <w:rPr>
          <w:rFonts w:asciiTheme="majorBidi" w:hAnsiTheme="majorBidi" w:cstheme="majorBidi"/>
          <w:sz w:val="24"/>
          <w:szCs w:val="24"/>
        </w:rPr>
        <w:t xml:space="preserve"> </w:t>
      </w:r>
      <w:r>
        <w:rPr>
          <w:rFonts w:asciiTheme="majorBidi" w:hAnsiTheme="majorBidi" w:cstheme="majorBidi"/>
          <w:sz w:val="24"/>
          <w:szCs w:val="24"/>
        </w:rPr>
        <w:t>Étienne,</w:t>
      </w:r>
      <w:r w:rsidR="00E72141">
        <w:rPr>
          <w:rFonts w:asciiTheme="majorBidi" w:hAnsiTheme="majorBidi" w:cstheme="majorBidi"/>
          <w:sz w:val="24"/>
          <w:szCs w:val="24"/>
        </w:rPr>
        <w:t xml:space="preserve"> De Bactres à Balkh, par le Nowbahār, </w:t>
      </w:r>
      <w:r w:rsidR="00E72141" w:rsidRPr="00E72141">
        <w:rPr>
          <w:rFonts w:asciiTheme="majorBidi" w:hAnsiTheme="majorBidi" w:cstheme="majorBidi"/>
          <w:i/>
          <w:iCs/>
          <w:sz w:val="24"/>
          <w:szCs w:val="24"/>
        </w:rPr>
        <w:t>Journal Asiatique</w:t>
      </w:r>
      <w:r w:rsidR="00E72141">
        <w:rPr>
          <w:rFonts w:asciiTheme="majorBidi" w:hAnsiTheme="majorBidi" w:cstheme="majorBidi"/>
          <w:sz w:val="24"/>
          <w:szCs w:val="24"/>
        </w:rPr>
        <w:t>, 2010</w:t>
      </w:r>
      <w:r w:rsidR="003B3FAB">
        <w:rPr>
          <w:rFonts w:asciiTheme="majorBidi" w:hAnsiTheme="majorBidi" w:cstheme="majorBidi"/>
          <w:sz w:val="24"/>
          <w:szCs w:val="24"/>
        </w:rPr>
        <w:t>a</w:t>
      </w:r>
      <w:r w:rsidR="00E72141">
        <w:rPr>
          <w:rFonts w:asciiTheme="majorBidi" w:hAnsiTheme="majorBidi" w:cstheme="majorBidi"/>
          <w:sz w:val="24"/>
          <w:szCs w:val="24"/>
        </w:rPr>
        <w:t>, 298.2, pp. 517-33.</w:t>
      </w:r>
    </w:p>
    <w:p w14:paraId="684D1B25" w14:textId="10C4B0FF" w:rsidR="00491317" w:rsidRDefault="00491317" w:rsidP="00D47BFC">
      <w:pPr>
        <w:spacing w:line="360" w:lineRule="auto"/>
        <w:rPr>
          <w:rFonts w:asciiTheme="majorBidi" w:hAnsiTheme="majorBidi" w:cstheme="majorBidi"/>
          <w:sz w:val="24"/>
          <w:szCs w:val="24"/>
        </w:rPr>
      </w:pPr>
      <w:r>
        <w:rPr>
          <w:rFonts w:asciiTheme="majorBidi" w:hAnsiTheme="majorBidi" w:cstheme="majorBidi"/>
          <w:sz w:val="24"/>
          <w:szCs w:val="24"/>
        </w:rPr>
        <w:t>----</w:t>
      </w:r>
      <w:r w:rsidR="00532FE5">
        <w:rPr>
          <w:rFonts w:asciiTheme="majorBidi" w:hAnsiTheme="majorBidi" w:cstheme="majorBidi" w:hint="eastAsia"/>
          <w:sz w:val="24"/>
          <w:szCs w:val="24"/>
        </w:rPr>
        <w:t>,</w:t>
      </w:r>
      <w:r>
        <w:rPr>
          <w:rFonts w:asciiTheme="majorBidi" w:hAnsiTheme="majorBidi" w:cstheme="majorBidi" w:hint="eastAsia"/>
          <w:sz w:val="24"/>
          <w:szCs w:val="24"/>
        </w:rPr>
        <w:t xml:space="preserve"> </w:t>
      </w:r>
      <w:r>
        <w:rPr>
          <w:rFonts w:asciiTheme="majorBidi" w:hAnsiTheme="majorBidi" w:cstheme="majorBidi"/>
          <w:sz w:val="24"/>
          <w:szCs w:val="24"/>
        </w:rPr>
        <w:t>I</w:t>
      </w:r>
      <w:r>
        <w:rPr>
          <w:rFonts w:asciiTheme="majorBidi" w:hAnsiTheme="majorBidi" w:cstheme="majorBidi" w:hint="eastAsia"/>
          <w:sz w:val="24"/>
          <w:szCs w:val="24"/>
        </w:rPr>
        <w:t>nherited</w:t>
      </w:r>
      <w:r>
        <w:rPr>
          <w:rFonts w:asciiTheme="majorBidi" w:hAnsiTheme="majorBidi" w:cstheme="majorBidi"/>
          <w:sz w:val="24"/>
          <w:szCs w:val="24"/>
        </w:rPr>
        <w:t xml:space="preserve"> Landscapes in Muslim Bactra, </w:t>
      </w:r>
      <w:r w:rsidR="00C14ECF" w:rsidRPr="00C14ECF">
        <w:rPr>
          <w:rFonts w:asciiTheme="majorBidi" w:hAnsiTheme="majorBidi" w:cstheme="majorBidi"/>
          <w:i/>
          <w:iCs/>
          <w:sz w:val="24"/>
          <w:szCs w:val="24"/>
        </w:rPr>
        <w:t>Eurasian Studies</w:t>
      </w:r>
      <w:r w:rsidR="00C14ECF">
        <w:rPr>
          <w:rFonts w:asciiTheme="majorBidi" w:hAnsiTheme="majorBidi" w:cstheme="majorBidi"/>
          <w:sz w:val="24"/>
          <w:szCs w:val="24"/>
        </w:rPr>
        <w:t>, 2018, volume 16, pp. 124-41.</w:t>
      </w:r>
    </w:p>
    <w:p w14:paraId="155850F9" w14:textId="31053A1E" w:rsidR="005229C8" w:rsidRDefault="00724B6C" w:rsidP="00D47BFC">
      <w:pPr>
        <w:spacing w:line="360" w:lineRule="auto"/>
        <w:rPr>
          <w:rFonts w:asciiTheme="majorBidi" w:hAnsiTheme="majorBidi" w:cstheme="majorBidi"/>
          <w:sz w:val="24"/>
          <w:szCs w:val="24"/>
        </w:rPr>
      </w:pPr>
      <w:r>
        <w:rPr>
          <w:rFonts w:asciiTheme="majorBidi" w:hAnsiTheme="majorBidi" w:cstheme="majorBidi"/>
          <w:sz w:val="24"/>
          <w:szCs w:val="24"/>
        </w:rPr>
        <w:t>----</w:t>
      </w:r>
      <w:r w:rsidR="00E72141">
        <w:rPr>
          <w:rFonts w:asciiTheme="majorBidi" w:hAnsiTheme="majorBidi" w:cstheme="majorBidi"/>
          <w:sz w:val="24"/>
          <w:szCs w:val="24"/>
        </w:rPr>
        <w:t xml:space="preserve">, </w:t>
      </w:r>
      <w:r w:rsidR="005229C8">
        <w:rPr>
          <w:rFonts w:asciiTheme="majorBidi" w:hAnsiTheme="majorBidi" w:cstheme="majorBidi"/>
          <w:sz w:val="24"/>
          <w:szCs w:val="24"/>
        </w:rPr>
        <w:t xml:space="preserve">Is there a “Nationality of the Hephthalites”? </w:t>
      </w:r>
      <w:r w:rsidR="005229C8" w:rsidRPr="005229C8">
        <w:rPr>
          <w:rFonts w:asciiTheme="majorBidi" w:hAnsiTheme="majorBidi" w:cstheme="majorBidi"/>
          <w:i/>
          <w:iCs/>
          <w:sz w:val="24"/>
          <w:szCs w:val="24"/>
        </w:rPr>
        <w:t>Bulletin of the Asia Institute</w:t>
      </w:r>
      <w:r w:rsidR="005229C8">
        <w:rPr>
          <w:rFonts w:asciiTheme="majorBidi" w:hAnsiTheme="majorBidi" w:cstheme="majorBidi"/>
          <w:sz w:val="24"/>
          <w:szCs w:val="24"/>
        </w:rPr>
        <w:t xml:space="preserve">, 2003, </w:t>
      </w:r>
      <w:r w:rsidR="005229C8">
        <w:rPr>
          <w:rFonts w:asciiTheme="majorBidi" w:hAnsiTheme="majorBidi" w:cstheme="majorBidi"/>
          <w:sz w:val="24"/>
          <w:szCs w:val="24"/>
        </w:rPr>
        <w:lastRenderedPageBreak/>
        <w:t>New Series, volume 17, pp. 119-32.</w:t>
      </w:r>
    </w:p>
    <w:p w14:paraId="3093517D" w14:textId="43ACB2B8" w:rsidR="00C85572" w:rsidRDefault="00C85572" w:rsidP="00D47BFC">
      <w:pPr>
        <w:spacing w:line="360" w:lineRule="auto"/>
        <w:rPr>
          <w:rFonts w:asciiTheme="majorBidi" w:hAnsiTheme="majorBidi" w:cstheme="majorBidi"/>
          <w:sz w:val="24"/>
          <w:szCs w:val="24"/>
        </w:rPr>
      </w:pPr>
      <w:r>
        <w:rPr>
          <w:rFonts w:asciiTheme="majorBidi" w:hAnsiTheme="majorBidi" w:cstheme="majorBidi"/>
          <w:sz w:val="24"/>
          <w:szCs w:val="24"/>
        </w:rPr>
        <w:t xml:space="preserve">----, Note sur la Chronologie du Voyage de Xuanzang, </w:t>
      </w:r>
      <w:r w:rsidRPr="00C85572">
        <w:rPr>
          <w:rFonts w:asciiTheme="majorBidi" w:hAnsiTheme="majorBidi" w:cstheme="majorBidi"/>
          <w:i/>
          <w:iCs/>
          <w:sz w:val="24"/>
          <w:szCs w:val="24"/>
        </w:rPr>
        <w:t>Journal Asiatique</w:t>
      </w:r>
      <w:r>
        <w:rPr>
          <w:rFonts w:asciiTheme="majorBidi" w:hAnsiTheme="majorBidi" w:cstheme="majorBidi"/>
          <w:sz w:val="24"/>
          <w:szCs w:val="24"/>
        </w:rPr>
        <w:t>, 2010</w:t>
      </w:r>
      <w:r w:rsidR="00B4078C">
        <w:rPr>
          <w:rFonts w:asciiTheme="majorBidi" w:hAnsiTheme="majorBidi" w:cstheme="majorBidi"/>
          <w:sz w:val="24"/>
          <w:szCs w:val="24"/>
        </w:rPr>
        <w:t>b</w:t>
      </w:r>
      <w:r>
        <w:rPr>
          <w:rFonts w:asciiTheme="majorBidi" w:hAnsiTheme="majorBidi" w:cstheme="majorBidi"/>
          <w:sz w:val="24"/>
          <w:szCs w:val="24"/>
        </w:rPr>
        <w:t>, 298.1, pp. 157-68.</w:t>
      </w:r>
    </w:p>
    <w:p w14:paraId="58521333" w14:textId="6B416DD4" w:rsidR="00D47BFC" w:rsidRDefault="005229C8" w:rsidP="00D47BF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D46994">
        <w:rPr>
          <w:rFonts w:asciiTheme="majorBidi" w:hAnsiTheme="majorBidi" w:cstheme="majorBidi"/>
          <w:sz w:val="24"/>
          <w:szCs w:val="24"/>
        </w:rPr>
        <w:t>T</w:t>
      </w:r>
      <w:r w:rsidR="00D47BFC">
        <w:rPr>
          <w:rFonts w:asciiTheme="majorBidi" w:hAnsiTheme="majorBidi" w:cstheme="majorBidi"/>
          <w:sz w:val="24"/>
          <w:szCs w:val="24"/>
        </w:rPr>
        <w:t>he Last Bactrian Kings,</w:t>
      </w:r>
      <w:r w:rsidR="00D47BFC" w:rsidRPr="00F33069">
        <w:rPr>
          <w:rFonts w:asciiTheme="majorBidi" w:hAnsiTheme="majorBidi" w:cstheme="majorBidi"/>
          <w:sz w:val="24"/>
          <w:szCs w:val="24"/>
        </w:rPr>
        <w:t xml:space="preserve"> </w:t>
      </w:r>
      <w:r w:rsidR="00D47BFC">
        <w:rPr>
          <w:rFonts w:asciiTheme="majorBidi" w:hAnsiTheme="majorBidi" w:cstheme="majorBidi"/>
          <w:sz w:val="24"/>
          <w:szCs w:val="24"/>
        </w:rPr>
        <w:t xml:space="preserve">in </w:t>
      </w:r>
      <w:r w:rsidR="00D47BFC" w:rsidRPr="0055662D">
        <w:rPr>
          <w:rFonts w:asciiTheme="majorBidi" w:hAnsiTheme="majorBidi" w:cstheme="majorBidi"/>
          <w:i/>
          <w:iCs/>
          <w:sz w:val="24"/>
          <w:szCs w:val="24"/>
        </w:rPr>
        <w:t>Coins, Art and Chronology II: the first millennium C.E. in the Indo-Iranian borderlands</w:t>
      </w:r>
      <w:r w:rsidR="00D47BFC">
        <w:rPr>
          <w:rFonts w:asciiTheme="majorBidi" w:hAnsiTheme="majorBidi" w:cstheme="majorBidi"/>
          <w:sz w:val="24"/>
          <w:szCs w:val="24"/>
        </w:rPr>
        <w:t xml:space="preserve">, edited by Alram, Michael; Klimburg-Salter, Deborah; Inaba, Minoru &amp; Pfisterer, Matthias, Wien, </w:t>
      </w:r>
      <w:r w:rsidR="00D47BFC" w:rsidRPr="008D455A">
        <w:rPr>
          <w:rFonts w:asciiTheme="majorBidi" w:hAnsiTheme="majorBidi" w:cstheme="majorBidi"/>
          <w:sz w:val="24"/>
          <w:szCs w:val="24"/>
        </w:rPr>
        <w:t>Öesterreichischen Akademie der Wissenschaften</w:t>
      </w:r>
      <w:r w:rsidR="00D47BFC">
        <w:rPr>
          <w:rFonts w:asciiTheme="majorBidi" w:hAnsiTheme="majorBidi" w:cstheme="majorBidi"/>
          <w:sz w:val="24"/>
          <w:szCs w:val="24"/>
        </w:rPr>
        <w:t>, 2010</w:t>
      </w:r>
      <w:r w:rsidR="00B4078C">
        <w:rPr>
          <w:rFonts w:asciiTheme="majorBidi" w:hAnsiTheme="majorBidi" w:cstheme="majorBidi"/>
          <w:sz w:val="24"/>
          <w:szCs w:val="24"/>
        </w:rPr>
        <w:t>c</w:t>
      </w:r>
      <w:r w:rsidR="00D47BFC">
        <w:rPr>
          <w:rFonts w:asciiTheme="majorBidi" w:hAnsiTheme="majorBidi" w:cstheme="majorBidi"/>
          <w:sz w:val="24"/>
          <w:szCs w:val="24"/>
        </w:rPr>
        <w:t>, pp. 213-18.</w:t>
      </w:r>
    </w:p>
    <w:p w14:paraId="08210879" w14:textId="0EFDF59C" w:rsidR="00F74A14" w:rsidRDefault="00F74A14" w:rsidP="00D47BFC">
      <w:pPr>
        <w:spacing w:line="360" w:lineRule="auto"/>
        <w:rPr>
          <w:rFonts w:asciiTheme="majorBidi" w:hAnsiTheme="majorBidi" w:cstheme="majorBidi"/>
          <w:sz w:val="24"/>
          <w:szCs w:val="24"/>
        </w:rPr>
      </w:pPr>
      <w:r>
        <w:rPr>
          <w:rFonts w:asciiTheme="majorBidi" w:hAnsiTheme="majorBidi" w:cstheme="majorBidi"/>
          <w:sz w:val="24"/>
          <w:szCs w:val="24"/>
        </w:rPr>
        <w:t xml:space="preserve">Dhaka, Ambrish, Buddhism as a Link between Afghanistan and Tibet, in </w:t>
      </w:r>
      <w:r w:rsidRPr="00803212">
        <w:rPr>
          <w:rFonts w:asciiTheme="majorBidi" w:hAnsiTheme="majorBidi" w:cstheme="majorBidi"/>
          <w:i/>
          <w:iCs/>
          <w:sz w:val="24"/>
          <w:szCs w:val="24"/>
        </w:rPr>
        <w:t>The Trans-Himalayan Tibet: Buddhism at the Crossroads</w:t>
      </w:r>
      <w:r>
        <w:rPr>
          <w:rFonts w:asciiTheme="majorBidi" w:hAnsiTheme="majorBidi" w:cstheme="majorBidi"/>
          <w:sz w:val="24"/>
          <w:szCs w:val="24"/>
        </w:rPr>
        <w:t xml:space="preserve">, edited by Namgyal, Tsetan, New Dehli, Manakin Press, </w:t>
      </w:r>
      <w:r w:rsidR="00803212">
        <w:rPr>
          <w:rFonts w:asciiTheme="majorBidi" w:hAnsiTheme="majorBidi" w:cstheme="majorBidi"/>
          <w:sz w:val="24"/>
          <w:szCs w:val="24"/>
        </w:rPr>
        <w:t>2017, pp. 3-14.</w:t>
      </w:r>
    </w:p>
    <w:p w14:paraId="3FC417FF" w14:textId="5D2C7D59" w:rsidR="00234CB5" w:rsidRDefault="00234CB5" w:rsidP="00234CB5">
      <w:pPr>
        <w:spacing w:line="360" w:lineRule="auto"/>
        <w:rPr>
          <w:rFonts w:asciiTheme="majorBidi" w:hAnsiTheme="majorBidi" w:cstheme="majorBidi"/>
          <w:sz w:val="24"/>
          <w:szCs w:val="24"/>
        </w:rPr>
      </w:pPr>
      <w:r>
        <w:rPr>
          <w:rFonts w:asciiTheme="majorBidi" w:hAnsiTheme="majorBidi" w:cstheme="majorBidi"/>
          <w:sz w:val="24"/>
          <w:szCs w:val="24"/>
        </w:rPr>
        <w:t>Dunlop, Douglas, Arab Relations with Tibet in the 8</w:t>
      </w:r>
      <w:r w:rsidRPr="008E0E87">
        <w:rPr>
          <w:rFonts w:asciiTheme="majorBidi" w:hAnsiTheme="majorBidi" w:cstheme="majorBidi"/>
          <w:sz w:val="24"/>
          <w:szCs w:val="24"/>
          <w:vertAlign w:val="superscript"/>
        </w:rPr>
        <w:t>th</w:t>
      </w:r>
      <w:r>
        <w:rPr>
          <w:rFonts w:asciiTheme="majorBidi" w:hAnsiTheme="majorBidi" w:cstheme="majorBidi"/>
          <w:sz w:val="24"/>
          <w:szCs w:val="24"/>
        </w:rPr>
        <w:t xml:space="preserve"> and early 9</w:t>
      </w:r>
      <w:r w:rsidRPr="008E0E87">
        <w:rPr>
          <w:rFonts w:asciiTheme="majorBidi" w:hAnsiTheme="majorBidi" w:cstheme="majorBidi"/>
          <w:sz w:val="24"/>
          <w:szCs w:val="24"/>
          <w:vertAlign w:val="superscript"/>
        </w:rPr>
        <w:t>th</w:t>
      </w:r>
      <w:r>
        <w:rPr>
          <w:rFonts w:asciiTheme="majorBidi" w:hAnsiTheme="majorBidi" w:cstheme="majorBidi"/>
          <w:sz w:val="24"/>
          <w:szCs w:val="24"/>
        </w:rPr>
        <w:t xml:space="preserve"> centuries A.D., </w:t>
      </w:r>
      <w:r w:rsidRPr="008E0E87">
        <w:rPr>
          <w:rFonts w:asciiTheme="majorBidi" w:hAnsiTheme="majorBidi" w:cstheme="majorBidi"/>
          <w:sz w:val="24"/>
          <w:szCs w:val="24"/>
        </w:rPr>
        <w:t xml:space="preserve">in </w:t>
      </w:r>
      <w:r w:rsidRPr="008E0E87">
        <w:rPr>
          <w:rFonts w:asciiTheme="majorBidi" w:hAnsiTheme="majorBidi" w:cstheme="majorBidi"/>
          <w:i/>
          <w:iCs/>
          <w:sz w:val="24"/>
          <w:szCs w:val="24"/>
        </w:rPr>
        <w:t>İslam Tetkikleri Dergisi</w:t>
      </w:r>
      <w:r>
        <w:rPr>
          <w:rFonts w:asciiTheme="majorBidi" w:hAnsiTheme="majorBidi" w:cstheme="majorBidi"/>
          <w:sz w:val="24"/>
          <w:szCs w:val="24"/>
        </w:rPr>
        <w:t>, edited by Gokbilgin, Tayyib, 1973, volume V, number 1-4, pp.</w:t>
      </w:r>
      <w:r w:rsidR="00EC6299">
        <w:rPr>
          <w:rFonts w:asciiTheme="majorBidi" w:hAnsiTheme="majorBidi" w:cstheme="majorBidi"/>
          <w:sz w:val="24"/>
          <w:szCs w:val="24"/>
        </w:rPr>
        <w:t xml:space="preserve"> </w:t>
      </w:r>
      <w:r>
        <w:rPr>
          <w:rFonts w:asciiTheme="majorBidi" w:hAnsiTheme="majorBidi" w:cstheme="majorBidi"/>
          <w:sz w:val="24"/>
          <w:szCs w:val="24"/>
        </w:rPr>
        <w:t>301-18.</w:t>
      </w:r>
    </w:p>
    <w:p w14:paraId="1C6B53F4" w14:textId="0E7010BA" w:rsidR="003554ED" w:rsidRDefault="003554ED" w:rsidP="00D47BFC">
      <w:pPr>
        <w:spacing w:line="360" w:lineRule="auto"/>
        <w:rPr>
          <w:rFonts w:asciiTheme="majorBidi" w:hAnsiTheme="majorBidi" w:cstheme="majorBidi"/>
          <w:sz w:val="24"/>
          <w:szCs w:val="24"/>
        </w:rPr>
      </w:pPr>
      <w:r>
        <w:rPr>
          <w:rFonts w:asciiTheme="majorBidi" w:hAnsiTheme="majorBidi" w:cstheme="majorBidi"/>
          <w:sz w:val="24"/>
          <w:szCs w:val="24"/>
        </w:rPr>
        <w:t xml:space="preserve">Duri, </w:t>
      </w:r>
      <w:r w:rsidR="00751578">
        <w:rPr>
          <w:rFonts w:asciiTheme="majorBidi" w:hAnsiTheme="majorBidi" w:cstheme="majorBidi"/>
          <w:sz w:val="24"/>
          <w:szCs w:val="24"/>
        </w:rPr>
        <w:t>‘Abd al</w:t>
      </w:r>
      <w:proofErr w:type="gramStart"/>
      <w:r w:rsidR="00751578">
        <w:rPr>
          <w:rFonts w:asciiTheme="majorBidi" w:hAnsiTheme="majorBidi" w:cstheme="majorBidi"/>
          <w:sz w:val="24"/>
          <w:szCs w:val="24"/>
        </w:rPr>
        <w:t>-‘</w:t>
      </w:r>
      <w:proofErr w:type="gramEnd"/>
      <w:r w:rsidR="00751578">
        <w:rPr>
          <w:rFonts w:asciiTheme="majorBidi" w:hAnsiTheme="majorBidi" w:cstheme="majorBidi"/>
          <w:sz w:val="24"/>
          <w:szCs w:val="24"/>
        </w:rPr>
        <w:t xml:space="preserve">Aziz, </w:t>
      </w:r>
      <w:r w:rsidR="004617BE">
        <w:rPr>
          <w:rFonts w:asciiTheme="majorBidi" w:hAnsiTheme="majorBidi" w:cstheme="majorBidi"/>
          <w:i/>
          <w:iCs/>
          <w:sz w:val="24"/>
          <w:szCs w:val="24"/>
        </w:rPr>
        <w:t>T</w:t>
      </w:r>
      <w:r w:rsidR="00751578" w:rsidRPr="00751578">
        <w:rPr>
          <w:rFonts w:asciiTheme="majorBidi" w:hAnsiTheme="majorBidi" w:cstheme="majorBidi"/>
          <w:i/>
          <w:iCs/>
          <w:sz w:val="24"/>
          <w:szCs w:val="24"/>
        </w:rPr>
        <w:t>he Rise of Historical Writing among the Arabs</w:t>
      </w:r>
      <w:r w:rsidR="00751578">
        <w:rPr>
          <w:rFonts w:asciiTheme="majorBidi" w:hAnsiTheme="majorBidi" w:cstheme="majorBidi"/>
          <w:sz w:val="24"/>
          <w:szCs w:val="24"/>
        </w:rPr>
        <w:t>, Princeton, Princeton University Press, 1983.</w:t>
      </w:r>
    </w:p>
    <w:p w14:paraId="24909149" w14:textId="73CBA24C" w:rsidR="002D66BB" w:rsidRDefault="002D66BB" w:rsidP="00D47BFC">
      <w:pPr>
        <w:spacing w:line="360" w:lineRule="auto"/>
        <w:rPr>
          <w:rFonts w:asciiTheme="majorBidi" w:hAnsiTheme="majorBidi" w:cstheme="majorBidi"/>
          <w:sz w:val="24"/>
          <w:szCs w:val="24"/>
        </w:rPr>
      </w:pPr>
      <w:r>
        <w:rPr>
          <w:rFonts w:asciiTheme="majorBidi" w:hAnsiTheme="majorBidi" w:cstheme="majorBidi"/>
          <w:sz w:val="24"/>
          <w:szCs w:val="24"/>
        </w:rPr>
        <w:t xml:space="preserve">Esin, E., </w:t>
      </w:r>
      <w:r>
        <w:rPr>
          <w:rFonts w:asciiTheme="majorBidi" w:hAnsiTheme="majorBidi" w:cstheme="majorBidi" w:hint="eastAsia"/>
          <w:sz w:val="24"/>
          <w:szCs w:val="24"/>
        </w:rPr>
        <w:t>T</w:t>
      </w:r>
      <w:r>
        <w:rPr>
          <w:rFonts w:asciiTheme="majorBidi" w:hAnsiTheme="majorBidi" w:cstheme="majorBidi"/>
          <w:sz w:val="24"/>
          <w:szCs w:val="24"/>
        </w:rPr>
        <w:t xml:space="preserve">arkhan Nīzak or Tarkhan Tirek? An Enquiry concerning the Prince of Badhghīs who in A.H. 91/A.D. 709-710 opposed the ‘Omayyad Conquest of Central Asia, </w:t>
      </w:r>
      <w:r w:rsidRPr="00B27B3C">
        <w:rPr>
          <w:rFonts w:asciiTheme="majorBidi" w:hAnsiTheme="majorBidi" w:cstheme="majorBidi"/>
          <w:i/>
          <w:iCs/>
          <w:sz w:val="24"/>
          <w:szCs w:val="24"/>
        </w:rPr>
        <w:t>Journal of the American Oriental Society</w:t>
      </w:r>
      <w:r>
        <w:rPr>
          <w:rFonts w:asciiTheme="majorBidi" w:hAnsiTheme="majorBidi" w:cstheme="majorBidi"/>
          <w:sz w:val="24"/>
          <w:szCs w:val="24"/>
        </w:rPr>
        <w:t>, 1977, vol. 98, no. 3, pp. 323-32.</w:t>
      </w:r>
    </w:p>
    <w:p w14:paraId="661E24A2" w14:textId="1A4D3232" w:rsidR="007202FD" w:rsidRDefault="007202FD" w:rsidP="00D47BFC">
      <w:pPr>
        <w:spacing w:line="360" w:lineRule="auto"/>
        <w:rPr>
          <w:rFonts w:asciiTheme="majorBidi" w:hAnsiTheme="majorBidi" w:cstheme="majorBidi"/>
          <w:sz w:val="24"/>
          <w:szCs w:val="24"/>
        </w:rPr>
      </w:pPr>
      <w:r>
        <w:rPr>
          <w:rFonts w:asciiTheme="majorBidi" w:hAnsiTheme="majorBidi" w:cstheme="majorBidi"/>
          <w:sz w:val="24"/>
          <w:szCs w:val="24"/>
        </w:rPr>
        <w:t>F</w:t>
      </w:r>
      <w:r>
        <w:rPr>
          <w:rFonts w:asciiTheme="majorBidi" w:hAnsiTheme="majorBidi" w:cstheme="majorBidi" w:hint="eastAsia"/>
          <w:sz w:val="24"/>
          <w:szCs w:val="24"/>
        </w:rPr>
        <w:t>owden</w:t>
      </w:r>
      <w:r>
        <w:rPr>
          <w:rFonts w:asciiTheme="majorBidi" w:hAnsiTheme="majorBidi" w:cstheme="majorBidi"/>
          <w:sz w:val="24"/>
          <w:szCs w:val="24"/>
        </w:rPr>
        <w:t xml:space="preserve">, Garth, </w:t>
      </w:r>
      <w:r w:rsidRPr="007202FD">
        <w:rPr>
          <w:rFonts w:asciiTheme="majorBidi" w:hAnsiTheme="majorBidi" w:cstheme="majorBidi"/>
          <w:i/>
          <w:iCs/>
          <w:sz w:val="24"/>
          <w:szCs w:val="24"/>
        </w:rPr>
        <w:t>Quṣayr ‘Amra: Art and the Umayyad Elite in Late Antique Syria</w:t>
      </w:r>
      <w:r>
        <w:rPr>
          <w:rFonts w:asciiTheme="majorBidi" w:hAnsiTheme="majorBidi" w:cstheme="majorBidi"/>
          <w:sz w:val="24"/>
          <w:szCs w:val="24"/>
        </w:rPr>
        <w:t>, Berkeley and Los Angeles, University of California Press, 2004.</w:t>
      </w:r>
    </w:p>
    <w:p w14:paraId="17E07C6F" w14:textId="77777777" w:rsidR="00D47BFC" w:rsidRDefault="00D47BFC" w:rsidP="00D47BFC">
      <w:pPr>
        <w:spacing w:line="360" w:lineRule="auto"/>
        <w:jc w:val="left"/>
        <w:rPr>
          <w:rFonts w:asciiTheme="majorBidi" w:hAnsiTheme="majorBidi" w:cstheme="majorBidi"/>
          <w:sz w:val="24"/>
          <w:szCs w:val="24"/>
        </w:rPr>
      </w:pPr>
      <w:r w:rsidRPr="008E7522">
        <w:rPr>
          <w:rFonts w:asciiTheme="majorBidi" w:hAnsiTheme="majorBidi" w:cstheme="majorBidi"/>
          <w:sz w:val="24"/>
          <w:szCs w:val="24"/>
        </w:rPr>
        <w:t xml:space="preserve">Frye, Richard, </w:t>
      </w:r>
      <w:r w:rsidRPr="008E7522">
        <w:rPr>
          <w:rFonts w:asciiTheme="majorBidi" w:hAnsiTheme="majorBidi" w:cstheme="majorBidi"/>
          <w:i/>
          <w:iCs/>
          <w:sz w:val="24"/>
          <w:szCs w:val="24"/>
        </w:rPr>
        <w:t>The History of Ancient Iran</w:t>
      </w:r>
      <w:r w:rsidRPr="008E7522">
        <w:rPr>
          <w:rFonts w:asciiTheme="majorBidi" w:hAnsiTheme="majorBidi" w:cstheme="majorBidi"/>
          <w:sz w:val="24"/>
          <w:szCs w:val="24"/>
        </w:rPr>
        <w:t>, Munich, Beck, 1984</w:t>
      </w:r>
      <w:r>
        <w:rPr>
          <w:rFonts w:asciiTheme="majorBidi" w:hAnsiTheme="majorBidi" w:cstheme="majorBidi"/>
          <w:sz w:val="24"/>
          <w:szCs w:val="24"/>
        </w:rPr>
        <w:t>.</w:t>
      </w:r>
    </w:p>
    <w:p w14:paraId="7060CAFF" w14:textId="6487385F" w:rsidR="00D47BFC" w:rsidRPr="00DD3BAB" w:rsidRDefault="00D47BFC" w:rsidP="00D47BF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 The Turks in Khurasan and Transoxania at the Time of the Arab Conquest with A. M. Sayili, </w:t>
      </w:r>
      <w:r w:rsidRPr="00D47BFC">
        <w:rPr>
          <w:rFonts w:asciiTheme="majorBidi" w:hAnsiTheme="majorBidi" w:cstheme="majorBidi"/>
          <w:sz w:val="24"/>
          <w:szCs w:val="24"/>
        </w:rPr>
        <w:t>the Moslem World</w:t>
      </w:r>
      <w:r>
        <w:rPr>
          <w:rFonts w:asciiTheme="majorBidi" w:hAnsiTheme="majorBidi" w:cstheme="majorBidi"/>
          <w:sz w:val="24"/>
          <w:szCs w:val="24"/>
        </w:rPr>
        <w:t>, volume 35, Hartford, 1945, pp. 308-15.</w:t>
      </w:r>
      <w:r w:rsidRPr="008A20DE">
        <w:rPr>
          <w:rFonts w:asciiTheme="majorBidi" w:hAnsiTheme="majorBidi" w:cstheme="majorBidi"/>
          <w:sz w:val="24"/>
          <w:szCs w:val="24"/>
        </w:rPr>
        <w:t xml:space="preserve"> </w:t>
      </w:r>
    </w:p>
    <w:p w14:paraId="6BFB139B" w14:textId="7390AA66" w:rsidR="00CA2634" w:rsidRDefault="00CA2634" w:rsidP="00CA2634">
      <w:pPr>
        <w:spacing w:line="360" w:lineRule="auto"/>
        <w:rPr>
          <w:rFonts w:asciiTheme="majorBidi" w:hAnsiTheme="majorBidi" w:cstheme="majorBidi"/>
          <w:sz w:val="24"/>
          <w:szCs w:val="24"/>
        </w:rPr>
      </w:pPr>
      <w:r w:rsidRPr="00CA2634">
        <w:rPr>
          <w:rFonts w:asciiTheme="majorBidi" w:hAnsiTheme="majorBidi" w:cstheme="majorBidi"/>
          <w:sz w:val="24"/>
          <w:szCs w:val="24"/>
        </w:rPr>
        <w:t xml:space="preserve">Frye, Richard &amp; Sayili, Aydin., the Turks in Khurasan and Transoxania at the Time of the Arab Conquest, </w:t>
      </w:r>
      <w:r w:rsidRPr="00CA2634">
        <w:rPr>
          <w:rFonts w:asciiTheme="majorBidi" w:hAnsiTheme="majorBidi" w:cstheme="majorBidi"/>
          <w:i/>
          <w:iCs/>
          <w:sz w:val="24"/>
          <w:szCs w:val="24"/>
        </w:rPr>
        <w:t>the Moslem World</w:t>
      </w:r>
      <w:r w:rsidRPr="00CA2634">
        <w:rPr>
          <w:rFonts w:asciiTheme="majorBidi" w:hAnsiTheme="majorBidi" w:cstheme="majorBidi"/>
          <w:sz w:val="24"/>
          <w:szCs w:val="24"/>
        </w:rPr>
        <w:t>, XXXV, 1945, pp. 308-15.</w:t>
      </w:r>
    </w:p>
    <w:p w14:paraId="0FE60438" w14:textId="785181D1" w:rsidR="00026C0D" w:rsidRDefault="00026C0D" w:rsidP="00CA2634">
      <w:pPr>
        <w:spacing w:line="360" w:lineRule="auto"/>
        <w:rPr>
          <w:rFonts w:asciiTheme="majorBidi" w:hAnsiTheme="majorBidi" w:cstheme="majorBidi"/>
          <w:sz w:val="24"/>
          <w:szCs w:val="24"/>
        </w:rPr>
      </w:pPr>
      <w:r>
        <w:rPr>
          <w:rFonts w:asciiTheme="majorBidi" w:hAnsiTheme="majorBidi" w:cstheme="majorBidi"/>
          <w:sz w:val="24"/>
          <w:szCs w:val="24"/>
        </w:rPr>
        <w:t xml:space="preserve">George, Alain, Direct Sea Trade between Early Islamic Iraq and Tang China: from the Exchange of Goods to the Transmission of Ideas, </w:t>
      </w:r>
      <w:r w:rsidRPr="00026C0D">
        <w:rPr>
          <w:rFonts w:asciiTheme="majorBidi" w:hAnsiTheme="majorBidi" w:cstheme="majorBidi"/>
          <w:i/>
          <w:iCs/>
          <w:sz w:val="24"/>
          <w:szCs w:val="24"/>
        </w:rPr>
        <w:t>Journal of the Royal Asiatic Society</w:t>
      </w:r>
      <w:r>
        <w:rPr>
          <w:rFonts w:asciiTheme="majorBidi" w:hAnsiTheme="majorBidi" w:cstheme="majorBidi"/>
          <w:sz w:val="24"/>
          <w:szCs w:val="24"/>
        </w:rPr>
        <w:t>, 2015, volume 25, number 4, pp. 579-624.</w:t>
      </w:r>
    </w:p>
    <w:p w14:paraId="3A71B930" w14:textId="5FE01D5C" w:rsidR="007B4C7C" w:rsidRDefault="007B4C7C" w:rsidP="00CA2634">
      <w:pPr>
        <w:spacing w:line="360" w:lineRule="auto"/>
        <w:rPr>
          <w:rFonts w:asciiTheme="majorBidi" w:hAnsiTheme="majorBidi" w:cstheme="majorBidi"/>
          <w:sz w:val="24"/>
          <w:szCs w:val="24"/>
        </w:rPr>
      </w:pPr>
      <w:r>
        <w:rPr>
          <w:rFonts w:asciiTheme="majorBidi" w:hAnsiTheme="majorBidi" w:cstheme="majorBidi"/>
          <w:sz w:val="24"/>
          <w:szCs w:val="24"/>
        </w:rPr>
        <w:t xml:space="preserve">Geus, Klaus, "Alexander" and "Caesar" in a Middle Persian Text: </w:t>
      </w:r>
      <w:r w:rsidR="00717025">
        <w:rPr>
          <w:rFonts w:asciiTheme="majorBidi" w:hAnsiTheme="majorBidi" w:cstheme="majorBidi"/>
          <w:sz w:val="24"/>
          <w:szCs w:val="24"/>
        </w:rPr>
        <w:t>I</w:t>
      </w:r>
      <w:r>
        <w:rPr>
          <w:rFonts w:asciiTheme="majorBidi" w:hAnsiTheme="majorBidi" w:cstheme="majorBidi"/>
          <w:sz w:val="24"/>
          <w:szCs w:val="24"/>
        </w:rPr>
        <w:t xml:space="preserve">nterpreting some </w:t>
      </w:r>
      <w:r w:rsidR="00717025">
        <w:rPr>
          <w:rFonts w:asciiTheme="majorBidi" w:hAnsiTheme="majorBidi" w:cstheme="majorBidi"/>
          <w:sz w:val="24"/>
          <w:szCs w:val="24"/>
        </w:rPr>
        <w:lastRenderedPageBreak/>
        <w:t>N</w:t>
      </w:r>
      <w:r>
        <w:rPr>
          <w:rFonts w:asciiTheme="majorBidi" w:hAnsiTheme="majorBidi" w:cstheme="majorBidi"/>
          <w:sz w:val="24"/>
          <w:szCs w:val="24"/>
        </w:rPr>
        <w:t>ames in the</w:t>
      </w:r>
      <w:r w:rsidRPr="007B4C7C">
        <w:rPr>
          <w:rFonts w:asciiTheme="majorBidi" w:hAnsiTheme="majorBidi" w:cstheme="majorBidi"/>
          <w:sz w:val="24"/>
          <w:szCs w:val="24"/>
        </w:rPr>
        <w:t xml:space="preserve"> Šahrestānīhā ī Ērānšahr</w:t>
      </w:r>
      <w:r>
        <w:rPr>
          <w:rFonts w:asciiTheme="majorBidi" w:hAnsiTheme="majorBidi" w:cstheme="majorBidi"/>
          <w:sz w:val="24"/>
          <w:szCs w:val="24"/>
        </w:rPr>
        <w:t xml:space="preserve">, in </w:t>
      </w:r>
      <w:r w:rsidRPr="007B4C7C">
        <w:rPr>
          <w:rFonts w:asciiTheme="majorBidi" w:hAnsiTheme="majorBidi" w:cstheme="majorBidi"/>
          <w:i/>
          <w:iCs/>
          <w:sz w:val="24"/>
          <w:szCs w:val="24"/>
        </w:rPr>
        <w:t>Space, Landscapes and Settlements in Byzantium: Studies in Historical Geography of the Eastern Mediterranean</w:t>
      </w:r>
      <w:r>
        <w:rPr>
          <w:rFonts w:asciiTheme="majorBidi" w:hAnsiTheme="majorBidi" w:cstheme="majorBidi"/>
          <w:sz w:val="24"/>
          <w:szCs w:val="24"/>
        </w:rPr>
        <w:t xml:space="preserve">, edited by Külzer, Andreas &amp; Popović, Mihailo, </w:t>
      </w:r>
      <w:r w:rsidRPr="007B4C7C">
        <w:rPr>
          <w:rFonts w:asciiTheme="majorBidi" w:hAnsiTheme="majorBidi" w:cstheme="majorBidi"/>
          <w:sz w:val="24"/>
          <w:szCs w:val="24"/>
        </w:rPr>
        <w:t>Vienna, Austrian Academy of Sciences, 2017, p. 131-143</w:t>
      </w:r>
      <w:r>
        <w:rPr>
          <w:rFonts w:asciiTheme="majorBidi" w:hAnsiTheme="majorBidi" w:cstheme="majorBidi"/>
          <w:sz w:val="24"/>
          <w:szCs w:val="24"/>
        </w:rPr>
        <w:t>.</w:t>
      </w:r>
    </w:p>
    <w:p w14:paraId="2D8F97D0" w14:textId="48474D26" w:rsidR="006B58C3" w:rsidRPr="006B58C3" w:rsidRDefault="006B58C3" w:rsidP="006B58C3">
      <w:pPr>
        <w:widowControl/>
        <w:spacing w:line="360" w:lineRule="auto"/>
        <w:rPr>
          <w:rFonts w:asciiTheme="majorBidi" w:hAnsiTheme="majorBidi" w:cstheme="majorBidi"/>
          <w:sz w:val="24"/>
          <w:szCs w:val="24"/>
        </w:rPr>
      </w:pPr>
      <w:r>
        <w:rPr>
          <w:rFonts w:asciiTheme="majorBidi" w:hAnsiTheme="majorBidi" w:cstheme="majorBidi"/>
          <w:sz w:val="24"/>
          <w:szCs w:val="24"/>
        </w:rPr>
        <w:t xml:space="preserve">Ghirshman, Roman, </w:t>
      </w:r>
      <w:r w:rsidR="00717025">
        <w:rPr>
          <w:rFonts w:asciiTheme="majorBidi" w:hAnsiTheme="majorBidi" w:cstheme="majorBidi"/>
          <w:i/>
          <w:iCs/>
          <w:sz w:val="24"/>
          <w:szCs w:val="24"/>
        </w:rPr>
        <w:t>L</w:t>
      </w:r>
      <w:r w:rsidRPr="006B58C3">
        <w:rPr>
          <w:rFonts w:asciiTheme="majorBidi" w:hAnsiTheme="majorBidi" w:cstheme="majorBidi"/>
          <w:i/>
          <w:iCs/>
          <w:sz w:val="24"/>
          <w:szCs w:val="24"/>
        </w:rPr>
        <w:t>es Chionites-Hephtalites</w:t>
      </w:r>
      <w:r>
        <w:rPr>
          <w:rFonts w:asciiTheme="majorBidi" w:hAnsiTheme="majorBidi" w:cstheme="majorBidi"/>
          <w:sz w:val="24"/>
          <w:szCs w:val="24"/>
        </w:rPr>
        <w:t xml:space="preserve">, </w:t>
      </w:r>
      <w:r w:rsidRPr="006B58C3">
        <w:rPr>
          <w:rFonts w:asciiTheme="majorBidi" w:hAnsiTheme="majorBidi" w:cstheme="majorBidi"/>
          <w:sz w:val="24"/>
          <w:szCs w:val="24"/>
        </w:rPr>
        <w:t>Le Caire: Impr</w:t>
      </w:r>
      <w:r>
        <w:rPr>
          <w:rFonts w:asciiTheme="majorBidi" w:hAnsiTheme="majorBidi" w:cstheme="majorBidi"/>
          <w:sz w:val="24"/>
          <w:szCs w:val="24"/>
        </w:rPr>
        <w:t>imerie</w:t>
      </w:r>
      <w:r w:rsidRPr="006B58C3">
        <w:rPr>
          <w:rFonts w:asciiTheme="majorBidi" w:hAnsiTheme="majorBidi" w:cstheme="majorBidi"/>
          <w:sz w:val="24"/>
          <w:szCs w:val="24"/>
        </w:rPr>
        <w:t xml:space="preserve"> de l'Institut français d'archéologie orientale, 1948</w:t>
      </w:r>
      <w:r>
        <w:rPr>
          <w:rFonts w:asciiTheme="majorBidi" w:hAnsiTheme="majorBidi" w:cstheme="majorBidi"/>
          <w:sz w:val="24"/>
          <w:szCs w:val="24"/>
        </w:rPr>
        <w:t>.</w:t>
      </w:r>
    </w:p>
    <w:p w14:paraId="2C2DB086" w14:textId="0824C1F2" w:rsidR="00AF160C" w:rsidRDefault="00AF160C" w:rsidP="00CA2634">
      <w:pPr>
        <w:spacing w:line="360" w:lineRule="auto"/>
        <w:rPr>
          <w:rFonts w:asciiTheme="majorBidi" w:hAnsiTheme="majorBidi" w:cstheme="majorBidi"/>
          <w:sz w:val="24"/>
          <w:szCs w:val="24"/>
        </w:rPr>
      </w:pPr>
      <w:r>
        <w:rPr>
          <w:rFonts w:asciiTheme="majorBidi" w:hAnsiTheme="majorBidi" w:cstheme="majorBidi"/>
          <w:sz w:val="24"/>
          <w:szCs w:val="24"/>
        </w:rPr>
        <w:t xml:space="preserve">Gibb, Hamilton, </w:t>
      </w:r>
      <w:r w:rsidR="00717025">
        <w:rPr>
          <w:rFonts w:asciiTheme="majorBidi" w:hAnsiTheme="majorBidi" w:cstheme="majorBidi"/>
          <w:i/>
          <w:iCs/>
          <w:sz w:val="24"/>
          <w:szCs w:val="24"/>
        </w:rPr>
        <w:t>T</w:t>
      </w:r>
      <w:r w:rsidRPr="00AF160C">
        <w:rPr>
          <w:rFonts w:asciiTheme="majorBidi" w:hAnsiTheme="majorBidi" w:cstheme="majorBidi"/>
          <w:i/>
          <w:iCs/>
          <w:sz w:val="24"/>
          <w:szCs w:val="24"/>
        </w:rPr>
        <w:t>he Arab Conquests in Central Asia</w:t>
      </w:r>
      <w:r>
        <w:rPr>
          <w:rFonts w:asciiTheme="majorBidi" w:hAnsiTheme="majorBidi" w:cstheme="majorBidi"/>
          <w:sz w:val="24"/>
          <w:szCs w:val="24"/>
        </w:rPr>
        <w:t>, New York, AMS Press, 19</w:t>
      </w:r>
      <w:r w:rsidR="009E6DC1">
        <w:rPr>
          <w:rFonts w:asciiTheme="majorBidi" w:hAnsiTheme="majorBidi" w:cstheme="majorBidi"/>
          <w:sz w:val="24"/>
          <w:szCs w:val="24"/>
        </w:rPr>
        <w:t>23</w:t>
      </w:r>
      <w:r>
        <w:rPr>
          <w:rFonts w:asciiTheme="majorBidi" w:hAnsiTheme="majorBidi" w:cstheme="majorBidi"/>
          <w:sz w:val="24"/>
          <w:szCs w:val="24"/>
        </w:rPr>
        <w:t>.</w:t>
      </w:r>
    </w:p>
    <w:p w14:paraId="27D18F7D" w14:textId="49C65D86" w:rsidR="004C3DE1" w:rsidRDefault="004A2D08" w:rsidP="004A2D08">
      <w:pPr>
        <w:spacing w:line="360" w:lineRule="auto"/>
        <w:rPr>
          <w:rFonts w:asciiTheme="majorBidi" w:hAnsiTheme="majorBidi" w:cstheme="majorBidi"/>
          <w:sz w:val="24"/>
          <w:szCs w:val="24"/>
        </w:rPr>
      </w:pPr>
      <w:r>
        <w:rPr>
          <w:rFonts w:asciiTheme="majorBidi" w:hAnsiTheme="majorBidi" w:cstheme="majorBidi"/>
          <w:sz w:val="24"/>
          <w:szCs w:val="24"/>
        </w:rPr>
        <w:t xml:space="preserve">Grenet, Frantz, </w:t>
      </w:r>
      <w:r w:rsidR="004C3DE1">
        <w:rPr>
          <w:rFonts w:asciiTheme="majorBidi" w:hAnsiTheme="majorBidi" w:cstheme="majorBidi"/>
          <w:sz w:val="24"/>
          <w:szCs w:val="24"/>
        </w:rPr>
        <w:t xml:space="preserve">Regional interaction in Central Asia and Northwest India in the Kidarite and Hephthalite periods, </w:t>
      </w:r>
      <w:r w:rsidR="004C3DE1" w:rsidRPr="004C3DE1">
        <w:rPr>
          <w:rFonts w:asciiTheme="majorBidi" w:hAnsiTheme="majorBidi" w:cstheme="majorBidi"/>
          <w:i/>
          <w:iCs/>
          <w:sz w:val="24"/>
          <w:szCs w:val="24"/>
        </w:rPr>
        <w:t>Proceedings of the British Academy</w:t>
      </w:r>
      <w:r w:rsidR="004C3DE1">
        <w:rPr>
          <w:rFonts w:asciiTheme="majorBidi" w:hAnsiTheme="majorBidi" w:cstheme="majorBidi"/>
          <w:sz w:val="24"/>
          <w:szCs w:val="24"/>
        </w:rPr>
        <w:t>, number 116, 20</w:t>
      </w:r>
      <w:r w:rsidR="004421E2">
        <w:rPr>
          <w:rFonts w:asciiTheme="majorBidi" w:hAnsiTheme="majorBidi" w:cstheme="majorBidi"/>
          <w:sz w:val="24"/>
          <w:szCs w:val="24"/>
        </w:rPr>
        <w:t>0</w:t>
      </w:r>
      <w:r w:rsidR="004C3DE1">
        <w:rPr>
          <w:rFonts w:asciiTheme="majorBidi" w:hAnsiTheme="majorBidi" w:cstheme="majorBidi"/>
          <w:sz w:val="24"/>
          <w:szCs w:val="24"/>
        </w:rPr>
        <w:t>2, pp. 203-24.</w:t>
      </w:r>
    </w:p>
    <w:p w14:paraId="3360F44C" w14:textId="14837CA3" w:rsidR="004A2D08" w:rsidRDefault="004C3DE1" w:rsidP="004A2D08">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717025">
        <w:rPr>
          <w:rFonts w:asciiTheme="majorBidi" w:hAnsiTheme="majorBidi" w:cstheme="majorBidi"/>
          <w:sz w:val="24"/>
          <w:szCs w:val="24"/>
        </w:rPr>
        <w:t>T</w:t>
      </w:r>
      <w:r w:rsidR="004A2D08">
        <w:rPr>
          <w:rFonts w:asciiTheme="majorBidi" w:hAnsiTheme="majorBidi" w:cstheme="majorBidi"/>
          <w:sz w:val="24"/>
          <w:szCs w:val="24"/>
        </w:rPr>
        <w:t>he Nomadic Element in the Kushan Empire (1</w:t>
      </w:r>
      <w:r w:rsidR="004A2D08" w:rsidRPr="00C6133D">
        <w:rPr>
          <w:rFonts w:asciiTheme="majorBidi" w:hAnsiTheme="majorBidi" w:cstheme="majorBidi"/>
          <w:sz w:val="24"/>
          <w:szCs w:val="24"/>
          <w:vertAlign w:val="superscript"/>
        </w:rPr>
        <w:t>st</w:t>
      </w:r>
      <w:r w:rsidR="004A2D08">
        <w:rPr>
          <w:rFonts w:asciiTheme="majorBidi" w:hAnsiTheme="majorBidi" w:cstheme="majorBidi"/>
          <w:sz w:val="24"/>
          <w:szCs w:val="24"/>
        </w:rPr>
        <w:t>-3</w:t>
      </w:r>
      <w:r w:rsidR="004A2D08" w:rsidRPr="00C6133D">
        <w:rPr>
          <w:rFonts w:asciiTheme="majorBidi" w:hAnsiTheme="majorBidi" w:cstheme="majorBidi"/>
          <w:sz w:val="24"/>
          <w:szCs w:val="24"/>
          <w:vertAlign w:val="superscript"/>
        </w:rPr>
        <w:t>rd</w:t>
      </w:r>
      <w:r w:rsidR="004A2D08">
        <w:rPr>
          <w:rFonts w:asciiTheme="majorBidi" w:hAnsiTheme="majorBidi" w:cstheme="majorBidi"/>
          <w:sz w:val="24"/>
          <w:szCs w:val="24"/>
        </w:rPr>
        <w:t xml:space="preserve"> Century AD), </w:t>
      </w:r>
      <w:r w:rsidR="004A2D08" w:rsidRPr="00C6133D">
        <w:rPr>
          <w:rFonts w:asciiTheme="majorBidi" w:hAnsiTheme="majorBidi" w:cstheme="majorBidi"/>
          <w:i/>
          <w:iCs/>
          <w:sz w:val="24"/>
          <w:szCs w:val="24"/>
        </w:rPr>
        <w:t>Journal of Central Eurasian Studies</w:t>
      </w:r>
      <w:r w:rsidR="004A2D08">
        <w:rPr>
          <w:rFonts w:asciiTheme="majorBidi" w:hAnsiTheme="majorBidi" w:cstheme="majorBidi"/>
          <w:sz w:val="24"/>
          <w:szCs w:val="24"/>
        </w:rPr>
        <w:t>, volume 3, 2012, pp. 1-22.</w:t>
      </w:r>
    </w:p>
    <w:p w14:paraId="1351328A" w14:textId="55129451" w:rsidR="00C067DD" w:rsidRDefault="00C067DD" w:rsidP="00C067DD">
      <w:pPr>
        <w:spacing w:line="360" w:lineRule="auto"/>
        <w:rPr>
          <w:rFonts w:asciiTheme="majorBidi" w:hAnsiTheme="majorBidi" w:cstheme="majorBidi"/>
          <w:sz w:val="24"/>
          <w:szCs w:val="24"/>
        </w:rPr>
      </w:pPr>
      <w:r>
        <w:rPr>
          <w:rFonts w:asciiTheme="majorBidi" w:hAnsiTheme="majorBidi" w:cstheme="majorBidi" w:hint="eastAsia"/>
          <w:sz w:val="24"/>
          <w:szCs w:val="24"/>
        </w:rPr>
        <w:t>G</w:t>
      </w:r>
      <w:r>
        <w:rPr>
          <w:rFonts w:asciiTheme="majorBidi" w:hAnsiTheme="majorBidi" w:cstheme="majorBidi"/>
          <w:sz w:val="24"/>
          <w:szCs w:val="24"/>
        </w:rPr>
        <w:t>hosh, Suchandra, Maritime Trade between the Persian Gulf and West Coast of India (c. 3</w:t>
      </w:r>
      <w:r w:rsidRPr="00DB7564">
        <w:rPr>
          <w:rFonts w:asciiTheme="majorBidi" w:hAnsiTheme="majorBidi" w:cstheme="majorBidi"/>
          <w:sz w:val="24"/>
          <w:szCs w:val="24"/>
          <w:vertAlign w:val="superscript"/>
        </w:rPr>
        <w:t>rd</w:t>
      </w:r>
      <w:r>
        <w:rPr>
          <w:rFonts w:asciiTheme="majorBidi" w:hAnsiTheme="majorBidi" w:cstheme="majorBidi"/>
          <w:sz w:val="24"/>
          <w:szCs w:val="24"/>
        </w:rPr>
        <w:t xml:space="preserve"> century A.D. to 7</w:t>
      </w:r>
      <w:r w:rsidRPr="00DB7564">
        <w:rPr>
          <w:rFonts w:asciiTheme="majorBidi" w:hAnsiTheme="majorBidi" w:cstheme="majorBidi"/>
          <w:sz w:val="24"/>
          <w:szCs w:val="24"/>
          <w:vertAlign w:val="superscript"/>
        </w:rPr>
        <w:t>th</w:t>
      </w:r>
      <w:r>
        <w:rPr>
          <w:rFonts w:asciiTheme="majorBidi" w:hAnsiTheme="majorBidi" w:cstheme="majorBidi"/>
          <w:sz w:val="24"/>
          <w:szCs w:val="24"/>
        </w:rPr>
        <w:t xml:space="preserve"> century A.D.), </w:t>
      </w:r>
      <w:r w:rsidRPr="00DB7564">
        <w:rPr>
          <w:rFonts w:asciiTheme="majorBidi" w:hAnsiTheme="majorBidi" w:cstheme="majorBidi"/>
          <w:i/>
          <w:iCs/>
          <w:sz w:val="24"/>
          <w:szCs w:val="24"/>
        </w:rPr>
        <w:t>Proceedings of the Indian History Congress</w:t>
      </w:r>
      <w:r>
        <w:rPr>
          <w:rFonts w:asciiTheme="majorBidi" w:hAnsiTheme="majorBidi" w:cstheme="majorBidi"/>
          <w:sz w:val="24"/>
          <w:szCs w:val="24"/>
        </w:rPr>
        <w:t>, 2003, vol. 64, pp. 132-42.</w:t>
      </w:r>
    </w:p>
    <w:p w14:paraId="49DBC287" w14:textId="226FC2AB" w:rsidR="00025BB3" w:rsidRPr="00DC2C06" w:rsidRDefault="00025BB3" w:rsidP="00DC2C06">
      <w:pPr>
        <w:spacing w:line="360" w:lineRule="auto"/>
        <w:rPr>
          <w:rFonts w:asciiTheme="majorBidi" w:hAnsiTheme="majorBidi" w:cstheme="majorBidi"/>
          <w:sz w:val="24"/>
          <w:szCs w:val="24"/>
        </w:rPr>
      </w:pPr>
      <w:r w:rsidRPr="00DC2C06">
        <w:rPr>
          <w:rFonts w:asciiTheme="majorBidi" w:hAnsiTheme="majorBidi" w:cstheme="majorBidi"/>
          <w:sz w:val="24"/>
          <w:szCs w:val="24"/>
        </w:rPr>
        <w:t xml:space="preserve">Gyselen, Rika, </w:t>
      </w:r>
      <w:r w:rsidR="006B1D32">
        <w:rPr>
          <w:rFonts w:asciiTheme="majorBidi" w:hAnsiTheme="majorBidi" w:cstheme="majorBidi"/>
          <w:sz w:val="24"/>
          <w:szCs w:val="24"/>
        </w:rPr>
        <w:t>‘</w:t>
      </w:r>
      <w:r w:rsidRPr="00DC2C06">
        <w:rPr>
          <w:rFonts w:asciiTheme="majorBidi" w:hAnsiTheme="majorBidi" w:cstheme="majorBidi"/>
          <w:sz w:val="24"/>
          <w:szCs w:val="24"/>
        </w:rPr>
        <w:t>Umayyad</w:t>
      </w:r>
      <w:r w:rsidR="006B1D32">
        <w:rPr>
          <w:rFonts w:asciiTheme="majorBidi" w:hAnsiTheme="majorBidi" w:cstheme="majorBidi"/>
          <w:sz w:val="24"/>
          <w:szCs w:val="24"/>
        </w:rPr>
        <w:t>’</w:t>
      </w:r>
      <w:r w:rsidRPr="00DC2C06">
        <w:rPr>
          <w:rFonts w:asciiTheme="majorBidi" w:hAnsiTheme="majorBidi" w:cstheme="majorBidi"/>
          <w:sz w:val="24"/>
          <w:szCs w:val="24"/>
        </w:rPr>
        <w:t xml:space="preserve"> Zāvulistān and Arachosia: Copper Coinage</w:t>
      </w:r>
      <w:r w:rsidR="00DC2C06" w:rsidRPr="00DC2C06">
        <w:rPr>
          <w:rFonts w:asciiTheme="majorBidi" w:hAnsiTheme="majorBidi" w:cstheme="majorBidi"/>
          <w:sz w:val="24"/>
          <w:szCs w:val="24"/>
        </w:rPr>
        <w:t xml:space="preserve"> </w:t>
      </w:r>
      <w:r w:rsidRPr="00DC2C06">
        <w:rPr>
          <w:rFonts w:asciiTheme="majorBidi" w:hAnsiTheme="majorBidi" w:cstheme="majorBidi"/>
          <w:sz w:val="24"/>
          <w:szCs w:val="24"/>
        </w:rPr>
        <w:t xml:space="preserve">and the Sasanian Monetary Heritage,” in </w:t>
      </w:r>
      <w:r w:rsidR="00DC2C06" w:rsidRPr="00DC2C06">
        <w:rPr>
          <w:rFonts w:asciiTheme="majorBidi" w:hAnsiTheme="majorBidi" w:cstheme="majorBidi"/>
          <w:i/>
          <w:iCs/>
          <w:sz w:val="24"/>
          <w:szCs w:val="24"/>
        </w:rPr>
        <w:t>Coins, Art and Chronology II: the first millennium C.E. in the Indo-Iranian borderlands</w:t>
      </w:r>
      <w:r w:rsidR="00DC2C06" w:rsidRPr="00DC2C06">
        <w:rPr>
          <w:rFonts w:asciiTheme="majorBidi" w:hAnsiTheme="majorBidi" w:cstheme="majorBidi"/>
          <w:sz w:val="24"/>
          <w:szCs w:val="24"/>
        </w:rPr>
        <w:t xml:space="preserve">, edited by Alram, Michael, Kimburg-Salter, Deborah, Inaba, Minoru &amp; Pfisterer, Matthias, Wien, Verlag der Österreichischen Akademie der Wissenschaften, 2010, </w:t>
      </w:r>
      <w:r w:rsidRPr="00DC2C06">
        <w:rPr>
          <w:rFonts w:asciiTheme="majorBidi" w:hAnsiTheme="majorBidi" w:cstheme="majorBidi"/>
          <w:sz w:val="24"/>
          <w:szCs w:val="24"/>
        </w:rPr>
        <w:t>pp. 219-241</w:t>
      </w:r>
      <w:r w:rsidR="00DC2C06" w:rsidRPr="00DC2C06">
        <w:rPr>
          <w:rFonts w:asciiTheme="majorBidi" w:hAnsiTheme="majorBidi" w:cstheme="majorBidi"/>
          <w:sz w:val="24"/>
          <w:szCs w:val="24"/>
        </w:rPr>
        <w:t>.</w:t>
      </w:r>
    </w:p>
    <w:p w14:paraId="4246D1B9" w14:textId="54AD8F98" w:rsidR="00A62A3C" w:rsidRDefault="00A62A3C" w:rsidP="00A62A3C">
      <w:pPr>
        <w:spacing w:line="360" w:lineRule="auto"/>
        <w:rPr>
          <w:rFonts w:asciiTheme="majorBidi" w:hAnsiTheme="majorBidi" w:cstheme="majorBidi"/>
          <w:sz w:val="24"/>
          <w:szCs w:val="24"/>
        </w:rPr>
      </w:pPr>
      <w:r>
        <w:rPr>
          <w:rFonts w:asciiTheme="majorBidi" w:hAnsiTheme="majorBidi" w:cstheme="majorBidi"/>
          <w:sz w:val="24"/>
          <w:szCs w:val="24"/>
        </w:rPr>
        <w:t>Harmatta, János</w:t>
      </w:r>
      <w:r w:rsidR="00D16E34">
        <w:rPr>
          <w:rFonts w:asciiTheme="majorBidi" w:hAnsiTheme="majorBidi" w:cstheme="majorBidi"/>
          <w:sz w:val="24"/>
          <w:szCs w:val="24"/>
        </w:rPr>
        <w:t xml:space="preserve"> &amp; Litvinsky, Boris, </w:t>
      </w:r>
      <w:r w:rsidR="00A832E4">
        <w:rPr>
          <w:rFonts w:asciiTheme="majorBidi" w:hAnsiTheme="majorBidi" w:cstheme="majorBidi"/>
          <w:sz w:val="24"/>
          <w:szCs w:val="24"/>
        </w:rPr>
        <w:t>Ṭukhāristān</w:t>
      </w:r>
      <w:r w:rsidRPr="00A62A3C">
        <w:rPr>
          <w:rFonts w:asciiTheme="majorBidi" w:hAnsiTheme="majorBidi" w:cstheme="majorBidi"/>
          <w:sz w:val="24"/>
          <w:szCs w:val="24"/>
        </w:rPr>
        <w:t xml:space="preserve"> and Gandhara under Western Türk rule</w:t>
      </w:r>
      <w:r w:rsidR="00D16E34">
        <w:rPr>
          <w:rFonts w:asciiTheme="majorBidi" w:hAnsiTheme="majorBidi" w:cstheme="majorBidi"/>
          <w:sz w:val="24"/>
          <w:szCs w:val="24"/>
        </w:rPr>
        <w:t xml:space="preserve"> (650-750), in </w:t>
      </w:r>
      <w:r w:rsidR="00D16E34" w:rsidRPr="00D33DE7">
        <w:rPr>
          <w:rFonts w:asciiTheme="majorBidi" w:hAnsiTheme="majorBidi" w:cstheme="majorBidi"/>
          <w:i/>
          <w:iCs/>
          <w:sz w:val="24"/>
          <w:szCs w:val="24"/>
        </w:rPr>
        <w:t>History of Civilizations of Central Asia</w:t>
      </w:r>
      <w:r w:rsidR="00D16E34">
        <w:rPr>
          <w:rFonts w:asciiTheme="majorBidi" w:hAnsiTheme="majorBidi" w:cstheme="majorBidi"/>
          <w:sz w:val="24"/>
          <w:szCs w:val="24"/>
        </w:rPr>
        <w:t xml:space="preserve">, </w:t>
      </w:r>
      <w:r w:rsidR="00D16E34" w:rsidRPr="00DD3BAB">
        <w:rPr>
          <w:rFonts w:asciiTheme="majorBidi" w:hAnsiTheme="majorBidi" w:cstheme="majorBidi"/>
          <w:i/>
          <w:iCs/>
          <w:sz w:val="24"/>
          <w:szCs w:val="24"/>
        </w:rPr>
        <w:t xml:space="preserve">Volume III, the crossroads of civilizations: A.D. 250 </w:t>
      </w:r>
      <w:r w:rsidR="00D16E34" w:rsidRPr="00DD3BAB">
        <w:rPr>
          <w:rFonts w:asciiTheme="majorBidi" w:hAnsiTheme="majorBidi" w:cstheme="majorBidi" w:hint="eastAsia"/>
          <w:i/>
          <w:iCs/>
          <w:sz w:val="24"/>
          <w:szCs w:val="24"/>
        </w:rPr>
        <w:t>to</w:t>
      </w:r>
      <w:r w:rsidR="00D16E34" w:rsidRPr="00DD3BAB">
        <w:rPr>
          <w:rFonts w:asciiTheme="majorBidi" w:hAnsiTheme="majorBidi" w:cstheme="majorBidi"/>
          <w:i/>
          <w:iCs/>
          <w:sz w:val="24"/>
          <w:szCs w:val="24"/>
        </w:rPr>
        <w:t xml:space="preserve"> 750</w:t>
      </w:r>
      <w:r w:rsidR="00D16E34">
        <w:rPr>
          <w:rFonts w:asciiTheme="majorBidi" w:hAnsiTheme="majorBidi" w:cstheme="majorBidi"/>
          <w:sz w:val="24"/>
          <w:szCs w:val="24"/>
        </w:rPr>
        <w:t>, edited by Litvinsky, Boris, Zhang, Guangda &amp; Samghabadi, Shabani, Paris, UNESCO Publishing, 1996, pp.</w:t>
      </w:r>
      <w:r w:rsidR="00D16E34" w:rsidRPr="00D16E34">
        <w:rPr>
          <w:rFonts w:asciiTheme="majorBidi" w:hAnsiTheme="majorBidi" w:cstheme="majorBidi"/>
          <w:sz w:val="24"/>
          <w:szCs w:val="24"/>
        </w:rPr>
        <w:t xml:space="preserve"> </w:t>
      </w:r>
      <w:r w:rsidR="00D16E34">
        <w:rPr>
          <w:rFonts w:asciiTheme="majorBidi" w:hAnsiTheme="majorBidi" w:cstheme="majorBidi"/>
          <w:sz w:val="24"/>
          <w:szCs w:val="24"/>
        </w:rPr>
        <w:t>367-402.</w:t>
      </w:r>
    </w:p>
    <w:p w14:paraId="216AA585" w14:textId="42903971" w:rsidR="00E10F8F" w:rsidRDefault="00E10F8F" w:rsidP="00A62A3C">
      <w:pPr>
        <w:spacing w:line="360" w:lineRule="auto"/>
        <w:rPr>
          <w:rFonts w:asciiTheme="majorBidi" w:hAnsiTheme="majorBidi" w:cstheme="majorBidi"/>
          <w:sz w:val="24"/>
          <w:szCs w:val="24"/>
        </w:rPr>
      </w:pPr>
      <w:r>
        <w:rPr>
          <w:rFonts w:asciiTheme="majorBidi" w:hAnsiTheme="majorBidi" w:cstheme="majorBidi"/>
          <w:sz w:val="24"/>
          <w:szCs w:val="24"/>
        </w:rPr>
        <w:t xml:space="preserve">Haug, Robert, </w:t>
      </w:r>
      <w:r w:rsidR="00717025">
        <w:rPr>
          <w:rFonts w:asciiTheme="majorBidi" w:hAnsiTheme="majorBidi" w:cstheme="majorBidi"/>
          <w:i/>
          <w:iCs/>
          <w:sz w:val="24"/>
          <w:szCs w:val="24"/>
        </w:rPr>
        <w:t>T</w:t>
      </w:r>
      <w:r w:rsidRPr="00E10F8F">
        <w:rPr>
          <w:rFonts w:asciiTheme="majorBidi" w:hAnsiTheme="majorBidi" w:cstheme="majorBidi"/>
          <w:i/>
          <w:iCs/>
          <w:sz w:val="24"/>
          <w:szCs w:val="24"/>
        </w:rPr>
        <w:t>he Eastern Frontier: Limits of Empire in Late Antique and Early Medieval Central Asia</w:t>
      </w:r>
      <w:r>
        <w:rPr>
          <w:rFonts w:asciiTheme="majorBidi" w:hAnsiTheme="majorBidi" w:cstheme="majorBidi"/>
          <w:sz w:val="24"/>
          <w:szCs w:val="24"/>
        </w:rPr>
        <w:t>, London, I.B. Tauris, 2019.</w:t>
      </w:r>
    </w:p>
    <w:p w14:paraId="04A4AF83" w14:textId="6C353371" w:rsidR="00A13279" w:rsidRDefault="00A13279" w:rsidP="00A62A3C">
      <w:pPr>
        <w:spacing w:line="360" w:lineRule="auto"/>
        <w:rPr>
          <w:rFonts w:asciiTheme="majorBidi" w:hAnsiTheme="majorBidi" w:cstheme="majorBidi"/>
          <w:sz w:val="24"/>
          <w:szCs w:val="24"/>
        </w:rPr>
      </w:pPr>
      <w:bookmarkStart w:id="29" w:name="_Hlk82000640"/>
      <w:r w:rsidRPr="008E7522">
        <w:rPr>
          <w:rFonts w:asciiTheme="majorBidi" w:hAnsiTheme="majorBidi" w:cstheme="majorBidi"/>
          <w:sz w:val="24"/>
          <w:szCs w:val="24"/>
        </w:rPr>
        <w:t xml:space="preserve">Hoyland, Robert, </w:t>
      </w:r>
      <w:r w:rsidRPr="008E7522">
        <w:rPr>
          <w:rFonts w:asciiTheme="majorBidi" w:hAnsiTheme="majorBidi" w:cstheme="majorBidi"/>
          <w:i/>
          <w:iCs/>
          <w:sz w:val="24"/>
          <w:szCs w:val="24"/>
        </w:rPr>
        <w:t xml:space="preserve">In God's Path: the Arab </w:t>
      </w:r>
      <w:r w:rsidR="004617BE">
        <w:rPr>
          <w:rFonts w:asciiTheme="majorBidi" w:hAnsiTheme="majorBidi" w:cstheme="majorBidi"/>
          <w:i/>
          <w:iCs/>
          <w:sz w:val="24"/>
          <w:szCs w:val="24"/>
        </w:rPr>
        <w:t>C</w:t>
      </w:r>
      <w:r w:rsidRPr="008E7522">
        <w:rPr>
          <w:rFonts w:asciiTheme="majorBidi" w:hAnsiTheme="majorBidi" w:cstheme="majorBidi"/>
          <w:i/>
          <w:iCs/>
          <w:sz w:val="24"/>
          <w:szCs w:val="24"/>
        </w:rPr>
        <w:t xml:space="preserve">onquests and the </w:t>
      </w:r>
      <w:r w:rsidR="004617BE">
        <w:rPr>
          <w:rFonts w:asciiTheme="majorBidi" w:hAnsiTheme="majorBidi" w:cstheme="majorBidi"/>
          <w:i/>
          <w:iCs/>
          <w:sz w:val="24"/>
          <w:szCs w:val="24"/>
        </w:rPr>
        <w:t>C</w:t>
      </w:r>
      <w:r w:rsidRPr="008E7522">
        <w:rPr>
          <w:rFonts w:asciiTheme="majorBidi" w:hAnsiTheme="majorBidi" w:cstheme="majorBidi"/>
          <w:i/>
          <w:iCs/>
          <w:sz w:val="24"/>
          <w:szCs w:val="24"/>
        </w:rPr>
        <w:t xml:space="preserve">reation of an Islamic </w:t>
      </w:r>
      <w:r w:rsidR="004617BE">
        <w:rPr>
          <w:rFonts w:asciiTheme="majorBidi" w:hAnsiTheme="majorBidi" w:cstheme="majorBidi"/>
          <w:i/>
          <w:iCs/>
          <w:sz w:val="24"/>
          <w:szCs w:val="24"/>
        </w:rPr>
        <w:t>E</w:t>
      </w:r>
      <w:r w:rsidRPr="008E7522">
        <w:rPr>
          <w:rFonts w:asciiTheme="majorBidi" w:hAnsiTheme="majorBidi" w:cstheme="majorBidi"/>
          <w:i/>
          <w:iCs/>
          <w:sz w:val="24"/>
          <w:szCs w:val="24"/>
        </w:rPr>
        <w:t>mpire</w:t>
      </w:r>
      <w:r w:rsidRPr="008E7522">
        <w:rPr>
          <w:rFonts w:asciiTheme="majorBidi" w:hAnsiTheme="majorBidi" w:cstheme="majorBidi"/>
          <w:sz w:val="24"/>
          <w:szCs w:val="24"/>
        </w:rPr>
        <w:t>, New York, Oxford University Press, 2015.</w:t>
      </w:r>
    </w:p>
    <w:bookmarkEnd w:id="29"/>
    <w:p w14:paraId="25A8D654" w14:textId="7B0570E5" w:rsidR="002D66BB" w:rsidRDefault="002D66BB" w:rsidP="002D66BB">
      <w:pPr>
        <w:spacing w:line="360" w:lineRule="auto"/>
        <w:rPr>
          <w:rFonts w:asciiTheme="majorBidi" w:hAnsiTheme="majorBidi" w:cstheme="majorBidi"/>
          <w:sz w:val="24"/>
          <w:szCs w:val="24"/>
        </w:rPr>
      </w:pPr>
      <w:r>
        <w:rPr>
          <w:rFonts w:asciiTheme="majorBidi" w:hAnsiTheme="majorBidi" w:cstheme="majorBidi"/>
          <w:sz w:val="24"/>
          <w:szCs w:val="24"/>
        </w:rPr>
        <w:t xml:space="preserve">Inaba, Minoru, Nezak in Chinese Sources, in </w:t>
      </w:r>
      <w:r w:rsidRPr="00D071DF">
        <w:rPr>
          <w:rFonts w:asciiTheme="majorBidi" w:hAnsiTheme="majorBidi" w:cstheme="majorBidi"/>
          <w:i/>
          <w:iCs/>
          <w:sz w:val="24"/>
          <w:szCs w:val="24"/>
        </w:rPr>
        <w:t xml:space="preserve">Coins, Art and Chronology II: the first </w:t>
      </w:r>
      <w:r w:rsidRPr="00D071DF">
        <w:rPr>
          <w:rFonts w:asciiTheme="majorBidi" w:hAnsiTheme="majorBidi" w:cstheme="majorBidi"/>
          <w:i/>
          <w:iCs/>
          <w:sz w:val="24"/>
          <w:szCs w:val="24"/>
        </w:rPr>
        <w:lastRenderedPageBreak/>
        <w:t>millennium C.E. in the Indo-Iranian borderlands</w:t>
      </w:r>
      <w:r>
        <w:rPr>
          <w:rFonts w:asciiTheme="majorBidi" w:hAnsiTheme="majorBidi" w:cstheme="majorBidi"/>
          <w:sz w:val="24"/>
          <w:szCs w:val="24"/>
        </w:rPr>
        <w:t>, edited by Alram, Michael, Kimburg-Salter, Deborah, Inaba, Minoru &amp; Pfisterer, Matthias, Wien, Verlag der Österreichischen Akademie der Wissenschaften, 2010, pp. 191-202.</w:t>
      </w:r>
    </w:p>
    <w:p w14:paraId="700325D4" w14:textId="77777777" w:rsidR="004A2D08" w:rsidRDefault="004A2D08" w:rsidP="004A2D08">
      <w:pPr>
        <w:spacing w:line="360" w:lineRule="auto"/>
        <w:rPr>
          <w:rFonts w:asciiTheme="majorBidi" w:hAnsiTheme="majorBidi" w:cstheme="majorBidi"/>
          <w:sz w:val="24"/>
          <w:szCs w:val="24"/>
        </w:rPr>
      </w:pPr>
      <w:r>
        <w:rPr>
          <w:rFonts w:asciiTheme="majorBidi" w:hAnsiTheme="majorBidi" w:cstheme="majorBidi"/>
          <w:sz w:val="24"/>
          <w:szCs w:val="24"/>
        </w:rPr>
        <w:t xml:space="preserve">Jackson, Williams, Where Was Zoroaster’s Native Place, </w:t>
      </w:r>
      <w:r w:rsidRPr="00B12BEA">
        <w:rPr>
          <w:rFonts w:asciiTheme="majorBidi" w:hAnsiTheme="majorBidi" w:cstheme="majorBidi"/>
          <w:i/>
          <w:iCs/>
          <w:sz w:val="24"/>
          <w:szCs w:val="24"/>
        </w:rPr>
        <w:t>Journal of the American Oriental Society</w:t>
      </w:r>
      <w:r>
        <w:rPr>
          <w:rFonts w:asciiTheme="majorBidi" w:hAnsiTheme="majorBidi" w:cstheme="majorBidi"/>
          <w:sz w:val="24"/>
          <w:szCs w:val="24"/>
        </w:rPr>
        <w:t>, 1893, volume 15, pp. 221-232.</w:t>
      </w:r>
    </w:p>
    <w:p w14:paraId="1AC8FD20" w14:textId="1C3EE3C4" w:rsidR="00174F08" w:rsidRDefault="00174F08" w:rsidP="00174F08">
      <w:pPr>
        <w:spacing w:line="360" w:lineRule="auto"/>
        <w:rPr>
          <w:rFonts w:asciiTheme="majorBidi" w:hAnsiTheme="majorBidi" w:cstheme="majorBidi"/>
          <w:sz w:val="24"/>
          <w:szCs w:val="24"/>
        </w:rPr>
      </w:pPr>
      <w:r>
        <w:rPr>
          <w:rFonts w:asciiTheme="majorBidi" w:hAnsiTheme="majorBidi" w:cstheme="majorBidi"/>
          <w:sz w:val="24"/>
          <w:szCs w:val="24"/>
        </w:rPr>
        <w:t>Jiang, Boqin</w:t>
      </w:r>
      <w:r w:rsidR="00DB6F72">
        <w:rPr>
          <w:rFonts w:asciiTheme="majorBidi" w:hAnsiTheme="majorBidi" w:cstheme="majorBidi" w:hint="eastAsia"/>
          <w:sz w:val="24"/>
          <w:szCs w:val="24"/>
        </w:rPr>
        <w:t>姜伯勤</w:t>
      </w:r>
      <w:r>
        <w:rPr>
          <w:rFonts w:asciiTheme="majorBidi" w:hAnsiTheme="majorBidi" w:cstheme="majorBidi"/>
          <w:sz w:val="24"/>
          <w:szCs w:val="24"/>
        </w:rPr>
        <w:t xml:space="preserve">, </w:t>
      </w:r>
      <w:r w:rsidRPr="0056532D">
        <w:rPr>
          <w:rFonts w:asciiTheme="majorBidi" w:hAnsiTheme="majorBidi" w:cstheme="majorBidi"/>
          <w:i/>
          <w:iCs/>
          <w:sz w:val="24"/>
          <w:szCs w:val="24"/>
        </w:rPr>
        <w:t xml:space="preserve">Dunhuang </w:t>
      </w:r>
      <w:r w:rsidR="00573400">
        <w:rPr>
          <w:rFonts w:asciiTheme="majorBidi" w:hAnsiTheme="majorBidi" w:cstheme="majorBidi" w:hint="eastAsia"/>
          <w:i/>
          <w:iCs/>
          <w:sz w:val="24"/>
          <w:szCs w:val="24"/>
        </w:rPr>
        <w:t>and</w:t>
      </w:r>
      <w:r w:rsidR="00573400">
        <w:rPr>
          <w:rFonts w:asciiTheme="majorBidi" w:hAnsiTheme="majorBidi" w:cstheme="majorBidi"/>
          <w:i/>
          <w:iCs/>
          <w:sz w:val="24"/>
          <w:szCs w:val="24"/>
        </w:rPr>
        <w:t xml:space="preserve"> Turfan Manuscripts and the Silk Road</w:t>
      </w:r>
      <w:r w:rsidR="00573400">
        <w:rPr>
          <w:rFonts w:asciiTheme="majorBidi" w:hAnsiTheme="majorBidi" w:cstheme="majorBidi" w:hint="eastAsia"/>
          <w:sz w:val="24"/>
          <w:szCs w:val="24"/>
        </w:rPr>
        <w:t>敦煌吐鲁番文书与丝绸之路</w:t>
      </w:r>
      <w:r w:rsidR="00573400">
        <w:rPr>
          <w:rFonts w:asciiTheme="majorBidi" w:hAnsiTheme="majorBidi" w:cstheme="majorBidi"/>
          <w:sz w:val="24"/>
          <w:szCs w:val="24"/>
        </w:rPr>
        <w:t>,</w:t>
      </w:r>
      <w:r>
        <w:rPr>
          <w:rFonts w:asciiTheme="majorBidi" w:hAnsiTheme="majorBidi" w:cstheme="majorBidi"/>
          <w:sz w:val="24"/>
          <w:szCs w:val="24"/>
        </w:rPr>
        <w:t xml:space="preserve"> Beijing, Wenwu chubanshe, 1994.</w:t>
      </w:r>
    </w:p>
    <w:p w14:paraId="4CB27FE6" w14:textId="770A753D" w:rsidR="00A13279" w:rsidRDefault="00A13279" w:rsidP="00A13279">
      <w:pPr>
        <w:spacing w:line="360" w:lineRule="auto"/>
        <w:jc w:val="left"/>
        <w:rPr>
          <w:rFonts w:asciiTheme="majorBidi" w:hAnsiTheme="majorBidi" w:cstheme="majorBidi"/>
          <w:sz w:val="24"/>
          <w:szCs w:val="24"/>
        </w:rPr>
      </w:pPr>
      <w:r w:rsidRPr="008E7522">
        <w:rPr>
          <w:rFonts w:asciiTheme="majorBidi" w:hAnsiTheme="majorBidi" w:cstheme="majorBidi"/>
          <w:sz w:val="24"/>
          <w:szCs w:val="24"/>
        </w:rPr>
        <w:t xml:space="preserve">Kennedy, Hugh, </w:t>
      </w:r>
      <w:r w:rsidRPr="008E7522">
        <w:rPr>
          <w:rFonts w:asciiTheme="majorBidi" w:hAnsiTheme="majorBidi" w:cstheme="majorBidi"/>
          <w:i/>
          <w:iCs/>
          <w:sz w:val="24"/>
          <w:szCs w:val="24"/>
        </w:rPr>
        <w:t>The Great Arab Conquests: how the spread of Islam changed the world we live i</w:t>
      </w:r>
      <w:r w:rsidRPr="008E7522">
        <w:rPr>
          <w:rFonts w:asciiTheme="majorBidi" w:hAnsiTheme="majorBidi" w:cstheme="majorBidi"/>
          <w:sz w:val="24"/>
          <w:szCs w:val="24"/>
        </w:rPr>
        <w:t xml:space="preserve">n, </w:t>
      </w:r>
      <w:r>
        <w:rPr>
          <w:rFonts w:asciiTheme="majorBidi" w:hAnsiTheme="majorBidi" w:cstheme="majorBidi"/>
          <w:sz w:val="24"/>
          <w:szCs w:val="24"/>
        </w:rPr>
        <w:t>Philadelphia</w:t>
      </w:r>
      <w:r w:rsidRPr="008E7522">
        <w:rPr>
          <w:rFonts w:asciiTheme="majorBidi" w:hAnsiTheme="majorBidi" w:cstheme="majorBidi"/>
          <w:sz w:val="24"/>
          <w:szCs w:val="24"/>
        </w:rPr>
        <w:t xml:space="preserve">, </w:t>
      </w:r>
      <w:r>
        <w:rPr>
          <w:rFonts w:asciiTheme="majorBidi" w:hAnsiTheme="majorBidi" w:cstheme="majorBidi"/>
          <w:sz w:val="24"/>
          <w:szCs w:val="24"/>
        </w:rPr>
        <w:t>Da Capo Press</w:t>
      </w:r>
      <w:r w:rsidRPr="008E7522">
        <w:rPr>
          <w:rFonts w:asciiTheme="majorBidi" w:hAnsiTheme="majorBidi" w:cstheme="majorBidi"/>
          <w:sz w:val="24"/>
          <w:szCs w:val="24"/>
        </w:rPr>
        <w:t>, 200</w:t>
      </w:r>
      <w:r>
        <w:rPr>
          <w:rFonts w:asciiTheme="majorBidi" w:hAnsiTheme="majorBidi" w:cstheme="majorBidi"/>
          <w:sz w:val="24"/>
          <w:szCs w:val="24"/>
        </w:rPr>
        <w:t>7</w:t>
      </w:r>
      <w:r w:rsidRPr="008E7522">
        <w:rPr>
          <w:rFonts w:asciiTheme="majorBidi" w:hAnsiTheme="majorBidi" w:cstheme="majorBidi"/>
          <w:sz w:val="24"/>
          <w:szCs w:val="24"/>
        </w:rPr>
        <w:t>.</w:t>
      </w:r>
    </w:p>
    <w:p w14:paraId="6740A6B6" w14:textId="53E44D00" w:rsidR="00836532" w:rsidRDefault="00836532" w:rsidP="00A13279">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Khazaee, Sahmeddin, Pirouz III the last king of the Sasanian throne, </w:t>
      </w:r>
      <w:r w:rsidRPr="00836532">
        <w:rPr>
          <w:rFonts w:asciiTheme="majorBidi" w:hAnsiTheme="majorBidi" w:cstheme="majorBidi"/>
          <w:i/>
          <w:iCs/>
          <w:sz w:val="24"/>
          <w:szCs w:val="24"/>
        </w:rPr>
        <w:t>Natural History Society of Northumbria</w:t>
      </w:r>
      <w:r>
        <w:rPr>
          <w:rFonts w:asciiTheme="majorBidi" w:hAnsiTheme="majorBidi" w:cstheme="majorBidi"/>
          <w:sz w:val="24"/>
          <w:szCs w:val="24"/>
        </w:rPr>
        <w:t>, 2015, pp. 221-8.</w:t>
      </w:r>
    </w:p>
    <w:p w14:paraId="059C46B5" w14:textId="590B57EE" w:rsidR="004A2D08" w:rsidRDefault="004A2D08" w:rsidP="004A2D08">
      <w:pPr>
        <w:spacing w:line="360" w:lineRule="auto"/>
        <w:rPr>
          <w:rFonts w:asciiTheme="majorBidi" w:hAnsiTheme="majorBidi" w:cstheme="majorBidi"/>
          <w:sz w:val="24"/>
          <w:szCs w:val="24"/>
        </w:rPr>
      </w:pPr>
      <w:r>
        <w:rPr>
          <w:rFonts w:asciiTheme="majorBidi" w:hAnsiTheme="majorBidi" w:cstheme="majorBidi"/>
          <w:sz w:val="24"/>
          <w:szCs w:val="24"/>
        </w:rPr>
        <w:t xml:space="preserve">Koshelenko, Gennadij, Gaibov, Vasif, </w:t>
      </w:r>
      <w:r w:rsidR="00717025">
        <w:rPr>
          <w:rFonts w:asciiTheme="majorBidi" w:hAnsiTheme="majorBidi" w:cstheme="majorBidi"/>
          <w:sz w:val="24"/>
          <w:szCs w:val="24"/>
        </w:rPr>
        <w:t>T</w:t>
      </w:r>
      <w:r>
        <w:rPr>
          <w:rFonts w:asciiTheme="majorBidi" w:hAnsiTheme="majorBidi" w:cstheme="majorBidi"/>
          <w:sz w:val="24"/>
          <w:szCs w:val="24"/>
        </w:rPr>
        <w:t xml:space="preserve">he Avestan Vara and the Early Towns of Central Asia, </w:t>
      </w:r>
      <w:r w:rsidRPr="000B4571">
        <w:rPr>
          <w:rFonts w:asciiTheme="majorBidi" w:hAnsiTheme="majorBidi" w:cstheme="majorBidi"/>
          <w:i/>
          <w:iCs/>
          <w:sz w:val="24"/>
          <w:szCs w:val="24"/>
        </w:rPr>
        <w:t xml:space="preserve">Parthica: </w:t>
      </w:r>
      <w:r w:rsidR="00717025">
        <w:rPr>
          <w:rFonts w:asciiTheme="majorBidi" w:hAnsiTheme="majorBidi" w:cstheme="majorBidi"/>
          <w:i/>
          <w:iCs/>
          <w:sz w:val="24"/>
          <w:szCs w:val="24"/>
        </w:rPr>
        <w:t>I</w:t>
      </w:r>
      <w:r w:rsidRPr="000B4571">
        <w:rPr>
          <w:rFonts w:asciiTheme="majorBidi" w:hAnsiTheme="majorBidi" w:cstheme="majorBidi"/>
          <w:i/>
          <w:iCs/>
          <w:sz w:val="24"/>
          <w:szCs w:val="24"/>
        </w:rPr>
        <w:t xml:space="preserve">ncontri di </w:t>
      </w:r>
      <w:r w:rsidR="00717025">
        <w:rPr>
          <w:rFonts w:asciiTheme="majorBidi" w:hAnsiTheme="majorBidi" w:cstheme="majorBidi"/>
          <w:i/>
          <w:iCs/>
          <w:sz w:val="24"/>
          <w:szCs w:val="24"/>
        </w:rPr>
        <w:t>C</w:t>
      </w:r>
      <w:r w:rsidRPr="000B4571">
        <w:rPr>
          <w:rFonts w:asciiTheme="majorBidi" w:hAnsiTheme="majorBidi" w:cstheme="majorBidi"/>
          <w:i/>
          <w:iCs/>
          <w:sz w:val="24"/>
          <w:szCs w:val="24"/>
        </w:rPr>
        <w:t xml:space="preserve">ulture nel </w:t>
      </w:r>
      <w:r w:rsidR="00717025">
        <w:rPr>
          <w:rFonts w:asciiTheme="majorBidi" w:hAnsiTheme="majorBidi" w:cstheme="majorBidi"/>
          <w:i/>
          <w:iCs/>
          <w:sz w:val="24"/>
          <w:szCs w:val="24"/>
        </w:rPr>
        <w:t>M</w:t>
      </w:r>
      <w:r w:rsidRPr="000B4571">
        <w:rPr>
          <w:rFonts w:asciiTheme="majorBidi" w:hAnsiTheme="majorBidi" w:cstheme="majorBidi"/>
          <w:i/>
          <w:iCs/>
          <w:sz w:val="24"/>
          <w:szCs w:val="24"/>
        </w:rPr>
        <w:t xml:space="preserve">ondo </w:t>
      </w:r>
      <w:r w:rsidR="00717025">
        <w:rPr>
          <w:rFonts w:asciiTheme="majorBidi" w:hAnsiTheme="majorBidi" w:cstheme="majorBidi"/>
          <w:i/>
          <w:iCs/>
          <w:sz w:val="24"/>
          <w:szCs w:val="24"/>
        </w:rPr>
        <w:t>A</w:t>
      </w:r>
      <w:r w:rsidRPr="000B4571">
        <w:rPr>
          <w:rFonts w:asciiTheme="majorBidi" w:hAnsiTheme="majorBidi" w:cstheme="majorBidi"/>
          <w:i/>
          <w:iCs/>
          <w:sz w:val="24"/>
          <w:szCs w:val="24"/>
        </w:rPr>
        <w:t>ntico</w:t>
      </w:r>
      <w:r>
        <w:rPr>
          <w:rFonts w:asciiTheme="majorBidi" w:hAnsiTheme="majorBidi" w:cstheme="majorBidi"/>
          <w:sz w:val="24"/>
          <w:szCs w:val="24"/>
        </w:rPr>
        <w:t>, volume 16, 2014, pp. 69-91.</w:t>
      </w:r>
    </w:p>
    <w:p w14:paraId="23392E4A" w14:textId="019442AC" w:rsidR="008536EA" w:rsidRPr="008536EA" w:rsidRDefault="008536EA" w:rsidP="004A2D08">
      <w:pPr>
        <w:spacing w:line="360" w:lineRule="auto"/>
        <w:rPr>
          <w:rFonts w:asciiTheme="majorBidi" w:hAnsiTheme="majorBidi" w:cstheme="majorBidi"/>
          <w:sz w:val="24"/>
          <w:szCs w:val="24"/>
        </w:rPr>
      </w:pPr>
      <w:r>
        <w:rPr>
          <w:rFonts w:asciiTheme="majorBidi" w:hAnsiTheme="majorBidi" w:cstheme="majorBidi"/>
          <w:sz w:val="24"/>
          <w:szCs w:val="24"/>
        </w:rPr>
        <w:t>K</w:t>
      </w:r>
      <w:r>
        <w:rPr>
          <w:rFonts w:asciiTheme="majorBidi" w:hAnsiTheme="majorBidi" w:cstheme="majorBidi" w:hint="eastAsia"/>
          <w:sz w:val="24"/>
          <w:szCs w:val="24"/>
        </w:rPr>
        <w:t>owalski</w:t>
      </w:r>
      <w:r>
        <w:rPr>
          <w:rFonts w:asciiTheme="majorBidi" w:hAnsiTheme="majorBidi" w:cstheme="majorBidi"/>
          <w:sz w:val="24"/>
          <w:szCs w:val="24"/>
        </w:rPr>
        <w:t>, Tadeusz, The Oldest Mentions of the Turks in Arabic Literature, in The Turks in the Early Islamic World, edited by Bosworth, Clifford, Hants and Burlington, Ashate, 2007, pp. 117-9.</w:t>
      </w:r>
    </w:p>
    <w:p w14:paraId="33985A8C" w14:textId="4283BAC5" w:rsidR="00C039D7" w:rsidRDefault="001C6819" w:rsidP="001C6819">
      <w:pPr>
        <w:spacing w:line="360" w:lineRule="auto"/>
        <w:rPr>
          <w:rFonts w:asciiTheme="majorBidi" w:hAnsiTheme="majorBidi" w:cstheme="majorBidi"/>
          <w:sz w:val="24"/>
          <w:szCs w:val="24"/>
        </w:rPr>
      </w:pPr>
      <w:r>
        <w:rPr>
          <w:rFonts w:asciiTheme="majorBidi" w:hAnsiTheme="majorBidi" w:cstheme="majorBidi"/>
          <w:sz w:val="24"/>
          <w:szCs w:val="24"/>
        </w:rPr>
        <w:t xml:space="preserve">Kurbanov, Aydogdy, </w:t>
      </w:r>
      <w:r w:rsidR="00717025">
        <w:rPr>
          <w:rFonts w:asciiTheme="majorBidi" w:hAnsiTheme="majorBidi" w:cstheme="majorBidi"/>
          <w:sz w:val="24"/>
          <w:szCs w:val="24"/>
        </w:rPr>
        <w:t>T</w:t>
      </w:r>
      <w:r w:rsidR="00C039D7">
        <w:rPr>
          <w:rFonts w:asciiTheme="majorBidi" w:hAnsiTheme="majorBidi" w:cstheme="majorBidi"/>
          <w:sz w:val="24"/>
          <w:szCs w:val="24"/>
        </w:rPr>
        <w:t xml:space="preserve">he Hephthalite Numismatics, </w:t>
      </w:r>
      <w:r w:rsidR="00C039D7" w:rsidRPr="00C039D7">
        <w:rPr>
          <w:rFonts w:asciiTheme="majorBidi" w:hAnsiTheme="majorBidi" w:cstheme="majorBidi"/>
          <w:i/>
          <w:iCs/>
          <w:sz w:val="24"/>
          <w:szCs w:val="24"/>
        </w:rPr>
        <w:t>Tyragetia</w:t>
      </w:r>
      <w:r w:rsidR="00C039D7">
        <w:rPr>
          <w:rFonts w:asciiTheme="majorBidi" w:hAnsiTheme="majorBidi" w:cstheme="majorBidi"/>
          <w:sz w:val="24"/>
          <w:szCs w:val="24"/>
        </w:rPr>
        <w:t>, volume VII, number 1, 2013, pp. 369-80.</w:t>
      </w:r>
    </w:p>
    <w:p w14:paraId="31BA4798" w14:textId="04CFA3A5" w:rsidR="001C6819" w:rsidRDefault="00C039D7" w:rsidP="001C6819">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717025">
        <w:rPr>
          <w:rFonts w:asciiTheme="majorBidi" w:hAnsiTheme="majorBidi" w:cstheme="majorBidi"/>
          <w:sz w:val="24"/>
          <w:szCs w:val="24"/>
        </w:rPr>
        <w:t>T</w:t>
      </w:r>
      <w:r w:rsidR="001C6819">
        <w:rPr>
          <w:rFonts w:asciiTheme="majorBidi" w:hAnsiTheme="majorBidi" w:cstheme="majorBidi"/>
          <w:sz w:val="24"/>
          <w:szCs w:val="24"/>
        </w:rPr>
        <w:t xml:space="preserve">he </w:t>
      </w:r>
      <w:r w:rsidR="001C6819" w:rsidRPr="001C6819">
        <w:rPr>
          <w:rFonts w:asciiTheme="majorBidi" w:hAnsiTheme="majorBidi" w:cstheme="majorBidi"/>
          <w:sz w:val="24"/>
          <w:szCs w:val="24"/>
        </w:rPr>
        <w:t>Hephthalites</w:t>
      </w:r>
      <w:r w:rsidR="00162E00">
        <w:rPr>
          <w:rFonts w:asciiTheme="majorBidi" w:hAnsiTheme="majorBidi" w:cstheme="majorBidi"/>
          <w:sz w:val="24"/>
          <w:szCs w:val="24"/>
        </w:rPr>
        <w:t>:</w:t>
      </w:r>
      <w:r w:rsidR="001C6819" w:rsidRPr="001C6819">
        <w:rPr>
          <w:rFonts w:asciiTheme="majorBidi" w:hAnsiTheme="majorBidi" w:cstheme="majorBidi"/>
          <w:sz w:val="24"/>
          <w:szCs w:val="24"/>
        </w:rPr>
        <w:t xml:space="preserve"> </w:t>
      </w:r>
      <w:r w:rsidR="00162E00">
        <w:rPr>
          <w:rFonts w:asciiTheme="majorBidi" w:hAnsiTheme="majorBidi" w:cstheme="majorBidi"/>
          <w:sz w:val="24"/>
          <w:szCs w:val="24"/>
        </w:rPr>
        <w:t>A</w:t>
      </w:r>
      <w:r w:rsidR="001C6819" w:rsidRPr="001C6819">
        <w:rPr>
          <w:rFonts w:asciiTheme="majorBidi" w:hAnsiTheme="majorBidi" w:cstheme="majorBidi"/>
          <w:sz w:val="24"/>
          <w:szCs w:val="24"/>
        </w:rPr>
        <w:t xml:space="preserve">rchaeological and </w:t>
      </w:r>
      <w:r w:rsidR="00162E00">
        <w:rPr>
          <w:rFonts w:asciiTheme="majorBidi" w:hAnsiTheme="majorBidi" w:cstheme="majorBidi"/>
          <w:sz w:val="24"/>
          <w:szCs w:val="24"/>
        </w:rPr>
        <w:t>H</w:t>
      </w:r>
      <w:r w:rsidR="001C6819" w:rsidRPr="001C6819">
        <w:rPr>
          <w:rFonts w:asciiTheme="majorBidi" w:hAnsiTheme="majorBidi" w:cstheme="majorBidi"/>
          <w:sz w:val="24"/>
          <w:szCs w:val="24"/>
        </w:rPr>
        <w:t xml:space="preserve">istorical </w:t>
      </w:r>
      <w:r w:rsidR="00162E00">
        <w:rPr>
          <w:rFonts w:asciiTheme="majorBidi" w:hAnsiTheme="majorBidi" w:cstheme="majorBidi"/>
          <w:sz w:val="24"/>
          <w:szCs w:val="24"/>
        </w:rPr>
        <w:t>A</w:t>
      </w:r>
      <w:r w:rsidR="001C6819" w:rsidRPr="001C6819">
        <w:rPr>
          <w:rFonts w:asciiTheme="majorBidi" w:hAnsiTheme="majorBidi" w:cstheme="majorBidi"/>
          <w:sz w:val="24"/>
          <w:szCs w:val="24"/>
        </w:rPr>
        <w:t>nalysis</w:t>
      </w:r>
      <w:r w:rsidR="001C6819">
        <w:rPr>
          <w:rFonts w:asciiTheme="majorBidi" w:hAnsiTheme="majorBidi" w:cstheme="majorBidi"/>
          <w:sz w:val="24"/>
          <w:szCs w:val="24"/>
        </w:rPr>
        <w:t>, Berlin, Berlin Freie Universität</w:t>
      </w:r>
      <w:r w:rsidR="00662B1C">
        <w:rPr>
          <w:rFonts w:asciiTheme="majorBidi" w:hAnsiTheme="majorBidi" w:cstheme="majorBidi"/>
          <w:sz w:val="24"/>
          <w:szCs w:val="24"/>
        </w:rPr>
        <w:t xml:space="preserve"> (doctoral dissertation), 2010.</w:t>
      </w:r>
    </w:p>
    <w:p w14:paraId="13EA04CC" w14:textId="3563ECFE" w:rsidR="0053195B" w:rsidRDefault="0053195B" w:rsidP="001C6819">
      <w:pPr>
        <w:spacing w:line="360" w:lineRule="auto"/>
        <w:rPr>
          <w:rFonts w:asciiTheme="majorBidi" w:hAnsiTheme="majorBidi" w:cstheme="majorBidi"/>
          <w:sz w:val="24"/>
          <w:szCs w:val="24"/>
        </w:rPr>
      </w:pPr>
      <w:r>
        <w:rPr>
          <w:rFonts w:asciiTheme="majorBidi" w:hAnsiTheme="majorBidi" w:cstheme="majorBidi"/>
          <w:sz w:val="24"/>
          <w:szCs w:val="24"/>
        </w:rPr>
        <w:t xml:space="preserve">Kuhrt, Amélie, </w:t>
      </w:r>
      <w:r w:rsidR="00717025">
        <w:rPr>
          <w:rFonts w:asciiTheme="majorBidi" w:hAnsiTheme="majorBidi" w:cstheme="majorBidi"/>
          <w:i/>
          <w:iCs/>
          <w:sz w:val="24"/>
          <w:szCs w:val="24"/>
        </w:rPr>
        <w:t>T</w:t>
      </w:r>
      <w:r w:rsidRPr="0053195B">
        <w:rPr>
          <w:rFonts w:asciiTheme="majorBidi" w:hAnsiTheme="majorBidi" w:cstheme="majorBidi"/>
          <w:i/>
          <w:iCs/>
          <w:sz w:val="24"/>
          <w:szCs w:val="24"/>
        </w:rPr>
        <w:t xml:space="preserve">he Persian Empire: </w:t>
      </w:r>
      <w:proofErr w:type="gramStart"/>
      <w:r w:rsidRPr="0053195B">
        <w:rPr>
          <w:rFonts w:asciiTheme="majorBidi" w:hAnsiTheme="majorBidi" w:cstheme="majorBidi"/>
          <w:i/>
          <w:iCs/>
          <w:sz w:val="24"/>
          <w:szCs w:val="24"/>
        </w:rPr>
        <w:t>a</w:t>
      </w:r>
      <w:proofErr w:type="gramEnd"/>
      <w:r w:rsidRPr="0053195B">
        <w:rPr>
          <w:rFonts w:asciiTheme="majorBidi" w:hAnsiTheme="majorBidi" w:cstheme="majorBidi"/>
          <w:i/>
          <w:iCs/>
          <w:sz w:val="24"/>
          <w:szCs w:val="24"/>
        </w:rPr>
        <w:t xml:space="preserve"> Corpus of Sources from the Achaemenid Period</w:t>
      </w:r>
      <w:r>
        <w:rPr>
          <w:rFonts w:asciiTheme="majorBidi" w:hAnsiTheme="majorBidi" w:cstheme="majorBidi"/>
          <w:sz w:val="24"/>
          <w:szCs w:val="24"/>
        </w:rPr>
        <w:t>, London and New York, Routledge, 2007.</w:t>
      </w:r>
    </w:p>
    <w:p w14:paraId="38EC0100" w14:textId="5F24FC18" w:rsidR="00607E8D" w:rsidRDefault="00EC3FC6" w:rsidP="001C6819">
      <w:pPr>
        <w:spacing w:line="360" w:lineRule="auto"/>
        <w:rPr>
          <w:rFonts w:asciiTheme="majorBidi" w:hAnsiTheme="majorBidi" w:cstheme="majorBidi"/>
          <w:sz w:val="24"/>
          <w:szCs w:val="24"/>
        </w:rPr>
      </w:pPr>
      <w:r>
        <w:rPr>
          <w:rFonts w:asciiTheme="majorBidi" w:hAnsiTheme="majorBidi" w:cstheme="majorBidi"/>
          <w:sz w:val="24"/>
          <w:szCs w:val="24"/>
        </w:rPr>
        <w:t xml:space="preserve">Kuwayama, Shoshin, </w:t>
      </w:r>
      <w:r w:rsidR="00607E8D">
        <w:rPr>
          <w:rFonts w:asciiTheme="majorBidi" w:hAnsiTheme="majorBidi" w:cstheme="majorBidi"/>
          <w:sz w:val="24"/>
          <w:szCs w:val="24"/>
        </w:rPr>
        <w:t xml:space="preserve">Chinese Records on Bamiyan: Translation and Commentary, </w:t>
      </w:r>
      <w:r w:rsidR="00607E8D" w:rsidRPr="00607E8D">
        <w:rPr>
          <w:rFonts w:asciiTheme="majorBidi" w:hAnsiTheme="majorBidi" w:cstheme="majorBidi"/>
          <w:i/>
          <w:iCs/>
          <w:sz w:val="24"/>
          <w:szCs w:val="24"/>
        </w:rPr>
        <w:t>East and West</w:t>
      </w:r>
      <w:r w:rsidR="00607E8D">
        <w:rPr>
          <w:rFonts w:asciiTheme="majorBidi" w:hAnsiTheme="majorBidi" w:cstheme="majorBidi"/>
          <w:sz w:val="24"/>
          <w:szCs w:val="24"/>
        </w:rPr>
        <w:t>, 2005, volume 55, number 1/4, pp. 139-61.</w:t>
      </w:r>
    </w:p>
    <w:p w14:paraId="17A79646" w14:textId="016B03D6" w:rsidR="00EC3FC6" w:rsidRDefault="00607E8D" w:rsidP="001C6819">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717025">
        <w:rPr>
          <w:rFonts w:asciiTheme="majorBidi" w:hAnsiTheme="majorBidi" w:cstheme="majorBidi"/>
          <w:sz w:val="24"/>
          <w:szCs w:val="24"/>
        </w:rPr>
        <w:t>T</w:t>
      </w:r>
      <w:r w:rsidR="003B1682">
        <w:rPr>
          <w:rFonts w:asciiTheme="majorBidi" w:hAnsiTheme="majorBidi" w:cstheme="majorBidi"/>
          <w:sz w:val="24"/>
          <w:szCs w:val="24"/>
        </w:rPr>
        <w:t xml:space="preserve">he Hephthalites in Tokharistan and Gandhara, in </w:t>
      </w:r>
      <w:r w:rsidR="003B1682" w:rsidRPr="003B1682">
        <w:rPr>
          <w:rFonts w:asciiTheme="majorBidi" w:hAnsiTheme="majorBidi" w:cstheme="majorBidi"/>
          <w:i/>
          <w:iCs/>
          <w:sz w:val="24"/>
          <w:szCs w:val="24"/>
        </w:rPr>
        <w:t xml:space="preserve">Across the Hindukush of the First </w:t>
      </w:r>
      <w:r w:rsidR="00717025" w:rsidRPr="003B1682">
        <w:rPr>
          <w:rFonts w:asciiTheme="majorBidi" w:hAnsiTheme="majorBidi" w:cstheme="majorBidi"/>
          <w:i/>
          <w:iCs/>
          <w:sz w:val="24"/>
          <w:szCs w:val="24"/>
        </w:rPr>
        <w:t>Millennium</w:t>
      </w:r>
      <w:r w:rsidR="003B1682" w:rsidRPr="003B1682">
        <w:rPr>
          <w:rFonts w:asciiTheme="majorBidi" w:hAnsiTheme="majorBidi" w:cstheme="majorBidi"/>
          <w:i/>
          <w:iCs/>
          <w:sz w:val="24"/>
          <w:szCs w:val="24"/>
        </w:rPr>
        <w:t xml:space="preserve">: </w:t>
      </w:r>
      <w:proofErr w:type="gramStart"/>
      <w:r w:rsidR="003B1682" w:rsidRPr="003B1682">
        <w:rPr>
          <w:rFonts w:asciiTheme="majorBidi" w:hAnsiTheme="majorBidi" w:cstheme="majorBidi"/>
          <w:i/>
          <w:iCs/>
          <w:sz w:val="24"/>
          <w:szCs w:val="24"/>
        </w:rPr>
        <w:t>a</w:t>
      </w:r>
      <w:proofErr w:type="gramEnd"/>
      <w:r w:rsidR="003B1682" w:rsidRPr="003B1682">
        <w:rPr>
          <w:rFonts w:asciiTheme="majorBidi" w:hAnsiTheme="majorBidi" w:cstheme="majorBidi"/>
          <w:i/>
          <w:iCs/>
          <w:sz w:val="24"/>
          <w:szCs w:val="24"/>
        </w:rPr>
        <w:t xml:space="preserve"> Collection of the Papers</w:t>
      </w:r>
      <w:r w:rsidR="003B1682">
        <w:rPr>
          <w:rFonts w:asciiTheme="majorBidi" w:hAnsiTheme="majorBidi" w:cstheme="majorBidi"/>
          <w:sz w:val="24"/>
          <w:szCs w:val="24"/>
        </w:rPr>
        <w:t xml:space="preserve">, Kyoto, Institute for Research in Humanities, Kyoto University, </w:t>
      </w:r>
      <w:r w:rsidR="006A0BAC">
        <w:rPr>
          <w:rFonts w:asciiTheme="majorBidi" w:hAnsiTheme="majorBidi" w:cstheme="majorBidi"/>
          <w:sz w:val="24"/>
          <w:szCs w:val="24"/>
        </w:rPr>
        <w:t xml:space="preserve">2002, </w:t>
      </w:r>
      <w:r w:rsidR="003B1682">
        <w:rPr>
          <w:rFonts w:asciiTheme="majorBidi" w:hAnsiTheme="majorBidi" w:cstheme="majorBidi"/>
          <w:sz w:val="24"/>
          <w:szCs w:val="24"/>
        </w:rPr>
        <w:t>pp. 107-39.</w:t>
      </w:r>
    </w:p>
    <w:p w14:paraId="79BF7386" w14:textId="17C1A7A0" w:rsidR="000C77BC" w:rsidRDefault="000C77BC" w:rsidP="001C6819">
      <w:pPr>
        <w:spacing w:line="360" w:lineRule="auto"/>
        <w:rPr>
          <w:rFonts w:asciiTheme="majorBidi" w:hAnsiTheme="majorBidi" w:cstheme="majorBidi"/>
          <w:sz w:val="24"/>
          <w:szCs w:val="24"/>
        </w:rPr>
      </w:pPr>
      <w:r>
        <w:rPr>
          <w:rFonts w:asciiTheme="majorBidi" w:hAnsiTheme="majorBidi" w:cstheme="majorBidi"/>
          <w:sz w:val="24"/>
          <w:szCs w:val="24"/>
        </w:rPr>
        <w:t xml:space="preserve">Lecoq, </w:t>
      </w:r>
      <w:r w:rsidR="0017781E">
        <w:rPr>
          <w:rFonts w:asciiTheme="majorBidi" w:hAnsiTheme="majorBidi" w:cstheme="majorBidi"/>
          <w:sz w:val="24"/>
          <w:szCs w:val="24"/>
        </w:rPr>
        <w:t xml:space="preserve">Pierre, </w:t>
      </w:r>
      <w:r w:rsidR="00717025">
        <w:rPr>
          <w:rFonts w:asciiTheme="majorBidi" w:hAnsiTheme="majorBidi" w:cstheme="majorBidi"/>
          <w:i/>
          <w:iCs/>
          <w:sz w:val="24"/>
          <w:szCs w:val="24"/>
        </w:rPr>
        <w:t>L</w:t>
      </w:r>
      <w:r w:rsidR="0017781E" w:rsidRPr="0017781E">
        <w:rPr>
          <w:rFonts w:asciiTheme="majorBidi" w:hAnsiTheme="majorBidi" w:cstheme="majorBidi"/>
          <w:i/>
          <w:iCs/>
          <w:sz w:val="24"/>
          <w:szCs w:val="24"/>
        </w:rPr>
        <w:t xml:space="preserve">es </w:t>
      </w:r>
      <w:r w:rsidR="00717025">
        <w:rPr>
          <w:rFonts w:asciiTheme="majorBidi" w:hAnsiTheme="majorBidi" w:cstheme="majorBidi"/>
          <w:i/>
          <w:iCs/>
          <w:sz w:val="24"/>
          <w:szCs w:val="24"/>
        </w:rPr>
        <w:t>I</w:t>
      </w:r>
      <w:r w:rsidR="0017781E" w:rsidRPr="0017781E">
        <w:rPr>
          <w:rFonts w:asciiTheme="majorBidi" w:hAnsiTheme="majorBidi" w:cstheme="majorBidi"/>
          <w:i/>
          <w:iCs/>
          <w:sz w:val="24"/>
          <w:szCs w:val="24"/>
        </w:rPr>
        <w:t>nscriptions de la Perse achéménide</w:t>
      </w:r>
      <w:r w:rsidR="0017781E">
        <w:rPr>
          <w:rFonts w:asciiTheme="majorBidi" w:hAnsiTheme="majorBidi" w:cstheme="majorBidi"/>
          <w:sz w:val="24"/>
          <w:szCs w:val="24"/>
        </w:rPr>
        <w:t xml:space="preserve">, Paris, Gallimard, 1997. </w:t>
      </w:r>
    </w:p>
    <w:p w14:paraId="18A63936" w14:textId="08F5EB4E" w:rsidR="00FE6CFC" w:rsidRDefault="004A2D08" w:rsidP="00FE6CFC">
      <w:pPr>
        <w:spacing w:line="360" w:lineRule="auto"/>
        <w:rPr>
          <w:rFonts w:asciiTheme="majorBidi" w:hAnsiTheme="majorBidi" w:cstheme="majorBidi"/>
          <w:sz w:val="24"/>
          <w:szCs w:val="24"/>
        </w:rPr>
      </w:pPr>
      <w:r>
        <w:rPr>
          <w:rFonts w:asciiTheme="majorBidi" w:hAnsiTheme="majorBidi" w:cstheme="majorBidi"/>
          <w:sz w:val="24"/>
          <w:szCs w:val="24"/>
        </w:rPr>
        <w:t xml:space="preserve">Leriche, Pierre, Grenet, Frantz, Bactria, </w:t>
      </w:r>
      <w:r w:rsidRPr="00824600">
        <w:rPr>
          <w:rFonts w:asciiTheme="majorBidi" w:hAnsiTheme="majorBidi" w:cstheme="majorBidi"/>
          <w:i/>
          <w:iCs/>
          <w:sz w:val="24"/>
          <w:szCs w:val="24"/>
        </w:rPr>
        <w:t>Encyclopaedia Iranica</w:t>
      </w:r>
      <w:r>
        <w:rPr>
          <w:rFonts w:asciiTheme="majorBidi" w:hAnsiTheme="majorBidi" w:cstheme="majorBidi"/>
          <w:sz w:val="24"/>
          <w:szCs w:val="24"/>
        </w:rPr>
        <w:t xml:space="preserve">, volume III, New York, </w:t>
      </w:r>
      <w:r>
        <w:rPr>
          <w:rFonts w:asciiTheme="majorBidi" w:hAnsiTheme="majorBidi" w:cstheme="majorBidi"/>
          <w:sz w:val="24"/>
          <w:szCs w:val="24"/>
        </w:rPr>
        <w:lastRenderedPageBreak/>
        <w:t xml:space="preserve">1988, </w:t>
      </w:r>
      <w:r>
        <w:rPr>
          <w:rFonts w:asciiTheme="majorBidi" w:hAnsiTheme="majorBidi" w:cstheme="majorBidi" w:hint="eastAsia"/>
          <w:sz w:val="24"/>
          <w:szCs w:val="24"/>
        </w:rPr>
        <w:t>pp</w:t>
      </w:r>
      <w:r>
        <w:rPr>
          <w:rFonts w:asciiTheme="majorBidi" w:hAnsiTheme="majorBidi" w:cstheme="majorBidi"/>
          <w:sz w:val="24"/>
          <w:szCs w:val="24"/>
        </w:rPr>
        <w:t>. 339-344</w:t>
      </w:r>
      <w:r w:rsidR="007D3AFD">
        <w:rPr>
          <w:rFonts w:asciiTheme="majorBidi" w:hAnsiTheme="majorBidi" w:cstheme="majorBidi"/>
          <w:sz w:val="24"/>
          <w:szCs w:val="24"/>
        </w:rPr>
        <w:t xml:space="preserve">, </w:t>
      </w:r>
      <w:hyperlink r:id="rId14" w:history="1">
        <w:r w:rsidR="00812D71" w:rsidRPr="00C91677">
          <w:rPr>
            <w:rStyle w:val="Hyperlink"/>
            <w:rFonts w:asciiTheme="majorBidi" w:hAnsiTheme="majorBidi" w:cstheme="majorBidi"/>
            <w:sz w:val="24"/>
            <w:szCs w:val="24"/>
          </w:rPr>
          <w:t>https://www.iranicaonline.org/articles/bactria</w:t>
        </w:r>
      </w:hyperlink>
      <w:r w:rsidR="007D3AFD">
        <w:rPr>
          <w:rFonts w:asciiTheme="majorBidi" w:hAnsiTheme="majorBidi" w:cstheme="majorBidi"/>
          <w:sz w:val="24"/>
          <w:szCs w:val="24"/>
        </w:rPr>
        <w:t>.</w:t>
      </w:r>
    </w:p>
    <w:p w14:paraId="1F205F81" w14:textId="23E8C1AF" w:rsidR="005A33CD" w:rsidRDefault="005A33CD" w:rsidP="005A33CD">
      <w:pPr>
        <w:spacing w:line="360" w:lineRule="auto"/>
        <w:rPr>
          <w:rFonts w:asciiTheme="majorBidi" w:hAnsiTheme="majorBidi" w:cstheme="majorBidi"/>
          <w:sz w:val="24"/>
          <w:szCs w:val="24"/>
        </w:rPr>
      </w:pPr>
      <w:r>
        <w:rPr>
          <w:rFonts w:asciiTheme="majorBidi" w:hAnsiTheme="majorBidi" w:cstheme="majorBidi"/>
          <w:sz w:val="24"/>
          <w:szCs w:val="24"/>
        </w:rPr>
        <w:t xml:space="preserve">Le Strange, Guy, </w:t>
      </w:r>
      <w:r w:rsidR="00717025">
        <w:rPr>
          <w:rFonts w:asciiTheme="majorBidi" w:hAnsiTheme="majorBidi" w:cstheme="majorBidi"/>
          <w:i/>
          <w:iCs/>
          <w:sz w:val="24"/>
          <w:szCs w:val="24"/>
        </w:rPr>
        <w:t>T</w:t>
      </w:r>
      <w:r w:rsidRPr="003D79FA">
        <w:rPr>
          <w:rFonts w:asciiTheme="majorBidi" w:hAnsiTheme="majorBidi" w:cstheme="majorBidi"/>
          <w:i/>
          <w:iCs/>
          <w:sz w:val="24"/>
          <w:szCs w:val="24"/>
        </w:rPr>
        <w:t>he Lands of the Eastern Caliphate: Mesopotamia, Persia, and Central Asia from the Moslem conquest to the time of Timur</w:t>
      </w:r>
      <w:r>
        <w:rPr>
          <w:rFonts w:asciiTheme="majorBidi" w:hAnsiTheme="majorBidi" w:cstheme="majorBidi"/>
          <w:sz w:val="24"/>
          <w:szCs w:val="24"/>
        </w:rPr>
        <w:t>, Cambridge, the Cambridge University Press, 1930.</w:t>
      </w:r>
    </w:p>
    <w:p w14:paraId="1BE4BA25" w14:textId="38BEE868" w:rsidR="00B9634B" w:rsidRDefault="00B9634B" w:rsidP="005A33CD">
      <w:pPr>
        <w:spacing w:line="360" w:lineRule="auto"/>
        <w:rPr>
          <w:rFonts w:asciiTheme="majorBidi" w:hAnsiTheme="majorBidi" w:cstheme="majorBidi"/>
          <w:sz w:val="24"/>
          <w:szCs w:val="24"/>
          <w:rtl/>
        </w:rPr>
      </w:pPr>
      <w:r>
        <w:rPr>
          <w:rFonts w:asciiTheme="majorBidi" w:hAnsiTheme="majorBidi" w:cstheme="majorBidi"/>
          <w:sz w:val="24"/>
          <w:szCs w:val="24"/>
        </w:rPr>
        <w:t>L</w:t>
      </w:r>
      <w:r>
        <w:rPr>
          <w:rFonts w:asciiTheme="majorBidi" w:hAnsiTheme="majorBidi" w:cstheme="majorBidi" w:hint="eastAsia"/>
          <w:sz w:val="24"/>
          <w:szCs w:val="24"/>
        </w:rPr>
        <w:t>e</w:t>
      </w:r>
      <w:r>
        <w:rPr>
          <w:rFonts w:asciiTheme="majorBidi" w:hAnsiTheme="majorBidi" w:cstheme="majorBidi"/>
          <w:sz w:val="24"/>
          <w:szCs w:val="24"/>
        </w:rPr>
        <w:t xml:space="preserve">vy-Rubin, Milka, </w:t>
      </w:r>
      <w:r w:rsidR="00717025">
        <w:rPr>
          <w:rFonts w:asciiTheme="majorBidi" w:hAnsiTheme="majorBidi" w:cstheme="majorBidi"/>
          <w:sz w:val="24"/>
          <w:szCs w:val="24"/>
        </w:rPr>
        <w:t>T</w:t>
      </w:r>
      <w:r>
        <w:rPr>
          <w:rFonts w:asciiTheme="majorBidi" w:hAnsiTheme="majorBidi" w:cstheme="majorBidi"/>
          <w:sz w:val="24"/>
          <w:szCs w:val="24"/>
        </w:rPr>
        <w:t xml:space="preserve">he Surrender Agreements: origins and authenticity, in </w:t>
      </w:r>
      <w:r w:rsidR="00A6273D">
        <w:rPr>
          <w:rFonts w:asciiTheme="majorBidi" w:hAnsiTheme="majorBidi" w:cstheme="majorBidi"/>
          <w:i/>
          <w:iCs/>
          <w:sz w:val="24"/>
          <w:szCs w:val="24"/>
        </w:rPr>
        <w:t>T</w:t>
      </w:r>
      <w:r w:rsidRPr="00B9634B">
        <w:rPr>
          <w:rFonts w:asciiTheme="majorBidi" w:hAnsiTheme="majorBidi" w:cstheme="majorBidi"/>
          <w:i/>
          <w:iCs/>
          <w:sz w:val="24"/>
          <w:szCs w:val="24"/>
        </w:rPr>
        <w:t>he Umayyad World</w:t>
      </w:r>
      <w:r>
        <w:rPr>
          <w:rFonts w:asciiTheme="majorBidi" w:hAnsiTheme="majorBidi" w:cstheme="majorBidi"/>
          <w:sz w:val="24"/>
          <w:szCs w:val="24"/>
        </w:rPr>
        <w:t>, edited by Marsham, Andrew, London and New York, Routledge, 2021, pp. 196-215.</w:t>
      </w:r>
    </w:p>
    <w:p w14:paraId="5603F575" w14:textId="68A997DB" w:rsidR="00A13279" w:rsidRDefault="00A13279" w:rsidP="00A13279">
      <w:pPr>
        <w:spacing w:line="360" w:lineRule="auto"/>
        <w:rPr>
          <w:rFonts w:asciiTheme="majorBidi" w:hAnsiTheme="majorBidi" w:cstheme="majorBidi"/>
          <w:sz w:val="24"/>
          <w:szCs w:val="24"/>
        </w:rPr>
      </w:pPr>
      <w:r>
        <w:rPr>
          <w:rFonts w:asciiTheme="majorBidi" w:hAnsiTheme="majorBidi" w:cstheme="majorBidi"/>
          <w:sz w:val="24"/>
          <w:szCs w:val="24"/>
        </w:rPr>
        <w:t xml:space="preserve">Liang, Zi &amp; Wen, Jun, A study of the foreign kings in Qianling Mausoleum, </w:t>
      </w:r>
      <w:r w:rsidRPr="00A13279">
        <w:rPr>
          <w:rFonts w:asciiTheme="majorBidi" w:hAnsiTheme="majorBidi" w:cstheme="majorBidi" w:hint="eastAsia"/>
          <w:i/>
          <w:iCs/>
          <w:sz w:val="24"/>
          <w:szCs w:val="24"/>
        </w:rPr>
        <w:t>Relics and Museolgy</w:t>
      </w:r>
      <w:r>
        <w:rPr>
          <w:rFonts w:asciiTheme="majorBidi" w:hAnsiTheme="majorBidi" w:cstheme="majorBidi"/>
          <w:sz w:val="24"/>
          <w:szCs w:val="24"/>
        </w:rPr>
        <w:t>,</w:t>
      </w:r>
      <w:r w:rsidRPr="008E7522">
        <w:rPr>
          <w:rFonts w:asciiTheme="majorBidi" w:hAnsiTheme="majorBidi" w:cstheme="majorBidi"/>
          <w:sz w:val="24"/>
          <w:szCs w:val="24"/>
        </w:rPr>
        <w:t xml:space="preserve"> </w:t>
      </w:r>
      <w:r>
        <w:rPr>
          <w:rFonts w:asciiTheme="majorBidi" w:hAnsiTheme="majorBidi" w:cstheme="majorBidi"/>
          <w:sz w:val="24"/>
          <w:szCs w:val="24"/>
        </w:rPr>
        <w:t xml:space="preserve">2003, number 6, pp. 44-51. </w:t>
      </w:r>
    </w:p>
    <w:p w14:paraId="16BB3413" w14:textId="6B143865" w:rsidR="000D5B5D" w:rsidRDefault="000D5B5D" w:rsidP="000D5B5D">
      <w:pPr>
        <w:spacing w:line="360" w:lineRule="auto"/>
        <w:rPr>
          <w:rFonts w:asciiTheme="majorBidi" w:hAnsiTheme="majorBidi" w:cstheme="majorBidi"/>
          <w:sz w:val="24"/>
          <w:szCs w:val="24"/>
        </w:rPr>
      </w:pPr>
      <w:r>
        <w:rPr>
          <w:rFonts w:asciiTheme="majorBidi" w:hAnsiTheme="majorBidi" w:cstheme="majorBidi"/>
          <w:sz w:val="24"/>
          <w:szCs w:val="24"/>
        </w:rPr>
        <w:t>Lin, Meicun</w:t>
      </w:r>
      <w:r w:rsidR="00DB6F72">
        <w:rPr>
          <w:rFonts w:asciiTheme="majorBidi" w:hAnsiTheme="majorBidi" w:cstheme="majorBidi" w:hint="eastAsia"/>
          <w:sz w:val="24"/>
          <w:szCs w:val="24"/>
        </w:rPr>
        <w:t>林梅村</w:t>
      </w:r>
      <w:r>
        <w:rPr>
          <w:rFonts w:asciiTheme="majorBidi" w:hAnsiTheme="majorBidi" w:cstheme="majorBidi"/>
          <w:sz w:val="24"/>
          <w:szCs w:val="24"/>
        </w:rPr>
        <w:t xml:space="preserve">, </w:t>
      </w:r>
      <w:r w:rsidR="00142FEB" w:rsidRPr="00142FEB">
        <w:rPr>
          <w:rFonts w:asciiTheme="majorBidi" w:hAnsiTheme="majorBidi" w:cstheme="majorBidi"/>
          <w:i/>
          <w:iCs/>
          <w:sz w:val="24"/>
          <w:szCs w:val="24"/>
        </w:rPr>
        <w:t xml:space="preserve">Ancient Roads and the Western Wind: Chinese and Western Cultural Interactions </w:t>
      </w:r>
      <w:r w:rsidR="003541DC">
        <w:rPr>
          <w:rFonts w:asciiTheme="majorBidi" w:hAnsiTheme="majorBidi" w:cstheme="majorBidi"/>
          <w:i/>
          <w:iCs/>
          <w:sz w:val="24"/>
          <w:szCs w:val="24"/>
        </w:rPr>
        <w:t xml:space="preserve">as </w:t>
      </w:r>
      <w:r w:rsidR="00142FEB" w:rsidRPr="00142FEB">
        <w:rPr>
          <w:rFonts w:asciiTheme="majorBidi" w:hAnsiTheme="majorBidi" w:cstheme="majorBidi"/>
          <w:i/>
          <w:iCs/>
          <w:sz w:val="24"/>
          <w:szCs w:val="24"/>
        </w:rPr>
        <w:t>Reflected in New Archaeological Discoveries</w:t>
      </w:r>
      <w:r w:rsidR="00A70576">
        <w:rPr>
          <w:rFonts w:asciiTheme="majorBidi" w:hAnsiTheme="majorBidi" w:cstheme="majorBidi" w:hint="eastAsia"/>
          <w:sz w:val="24"/>
          <w:szCs w:val="24"/>
        </w:rPr>
        <w:t>古道西风：考古新发现所见中西文化交流</w:t>
      </w:r>
      <w:r w:rsidR="00DB6F72">
        <w:rPr>
          <w:rFonts w:asciiTheme="majorBidi" w:hAnsiTheme="majorBidi" w:cstheme="majorBidi" w:hint="eastAsia"/>
          <w:sz w:val="24"/>
          <w:szCs w:val="24"/>
        </w:rPr>
        <w:t>,</w:t>
      </w:r>
      <w:r w:rsidR="00DB6F72">
        <w:rPr>
          <w:rFonts w:asciiTheme="majorBidi" w:hAnsiTheme="majorBidi" w:cstheme="majorBidi"/>
          <w:sz w:val="24"/>
          <w:szCs w:val="24"/>
        </w:rPr>
        <w:t xml:space="preserve"> </w:t>
      </w:r>
      <w:r>
        <w:rPr>
          <w:rFonts w:asciiTheme="majorBidi" w:hAnsiTheme="majorBidi" w:cstheme="majorBidi"/>
          <w:sz w:val="24"/>
          <w:szCs w:val="24"/>
        </w:rPr>
        <w:t>Beijing, Shenghuo dushu xinzhi sanlian shudian, 2000.</w:t>
      </w:r>
    </w:p>
    <w:p w14:paraId="317B2B0F" w14:textId="43447018" w:rsidR="00DD3BAB" w:rsidRDefault="00DD3BAB" w:rsidP="000D5B5D">
      <w:pPr>
        <w:spacing w:line="360" w:lineRule="auto"/>
        <w:rPr>
          <w:rFonts w:asciiTheme="majorBidi" w:hAnsiTheme="majorBidi" w:cstheme="majorBidi"/>
          <w:sz w:val="24"/>
          <w:szCs w:val="24"/>
        </w:rPr>
      </w:pPr>
      <w:r>
        <w:rPr>
          <w:rFonts w:asciiTheme="majorBidi" w:hAnsiTheme="majorBidi" w:cstheme="majorBidi" w:hint="eastAsia"/>
          <w:sz w:val="24"/>
          <w:szCs w:val="24"/>
        </w:rPr>
        <w:t>L</w:t>
      </w:r>
      <w:r>
        <w:rPr>
          <w:rFonts w:asciiTheme="majorBidi" w:hAnsiTheme="majorBidi" w:cstheme="majorBidi"/>
          <w:sz w:val="24"/>
          <w:szCs w:val="24"/>
        </w:rPr>
        <w:t xml:space="preserve">itvinsky, Boris, </w:t>
      </w:r>
      <w:r w:rsidR="00A6273D">
        <w:rPr>
          <w:rFonts w:asciiTheme="majorBidi" w:hAnsiTheme="majorBidi" w:cstheme="majorBidi"/>
          <w:sz w:val="24"/>
          <w:szCs w:val="24"/>
        </w:rPr>
        <w:t>Th</w:t>
      </w:r>
      <w:r>
        <w:rPr>
          <w:rFonts w:asciiTheme="majorBidi" w:hAnsiTheme="majorBidi" w:cstheme="majorBidi"/>
          <w:sz w:val="24"/>
          <w:szCs w:val="24"/>
        </w:rPr>
        <w:t xml:space="preserve">e Hephthalite Empire, in </w:t>
      </w:r>
      <w:r w:rsidRPr="00D33DE7">
        <w:rPr>
          <w:rFonts w:asciiTheme="majorBidi" w:hAnsiTheme="majorBidi" w:cstheme="majorBidi"/>
          <w:i/>
          <w:iCs/>
          <w:sz w:val="24"/>
          <w:szCs w:val="24"/>
        </w:rPr>
        <w:t>History of Civilizations of Central Asia</w:t>
      </w:r>
      <w:r>
        <w:rPr>
          <w:rFonts w:asciiTheme="majorBidi" w:hAnsiTheme="majorBidi" w:cstheme="majorBidi"/>
          <w:sz w:val="24"/>
          <w:szCs w:val="24"/>
        </w:rPr>
        <w:t xml:space="preserve">, </w:t>
      </w:r>
      <w:r w:rsidRPr="00DD3BAB">
        <w:rPr>
          <w:rFonts w:asciiTheme="majorBidi" w:hAnsiTheme="majorBidi" w:cstheme="majorBidi"/>
          <w:i/>
          <w:iCs/>
          <w:sz w:val="24"/>
          <w:szCs w:val="24"/>
        </w:rPr>
        <w:t xml:space="preserve">Volume III, the </w:t>
      </w:r>
      <w:r w:rsidR="00A6273D">
        <w:rPr>
          <w:rFonts w:asciiTheme="majorBidi" w:hAnsiTheme="majorBidi" w:cstheme="majorBidi"/>
          <w:i/>
          <w:iCs/>
          <w:sz w:val="24"/>
          <w:szCs w:val="24"/>
        </w:rPr>
        <w:t>C</w:t>
      </w:r>
      <w:r w:rsidRPr="00DD3BAB">
        <w:rPr>
          <w:rFonts w:asciiTheme="majorBidi" w:hAnsiTheme="majorBidi" w:cstheme="majorBidi"/>
          <w:i/>
          <w:iCs/>
          <w:sz w:val="24"/>
          <w:szCs w:val="24"/>
        </w:rPr>
        <w:t xml:space="preserve">rossroads of </w:t>
      </w:r>
      <w:r w:rsidR="00A6273D">
        <w:rPr>
          <w:rFonts w:asciiTheme="majorBidi" w:hAnsiTheme="majorBidi" w:cstheme="majorBidi"/>
          <w:i/>
          <w:iCs/>
          <w:sz w:val="24"/>
          <w:szCs w:val="24"/>
        </w:rPr>
        <w:t>C</w:t>
      </w:r>
      <w:r w:rsidRPr="00DD3BAB">
        <w:rPr>
          <w:rFonts w:asciiTheme="majorBidi" w:hAnsiTheme="majorBidi" w:cstheme="majorBidi"/>
          <w:i/>
          <w:iCs/>
          <w:sz w:val="24"/>
          <w:szCs w:val="24"/>
        </w:rPr>
        <w:t xml:space="preserve">ivilizations: A.D. 250 </w:t>
      </w:r>
      <w:r w:rsidRPr="00DD3BAB">
        <w:rPr>
          <w:rFonts w:asciiTheme="majorBidi" w:hAnsiTheme="majorBidi" w:cstheme="majorBidi" w:hint="eastAsia"/>
          <w:i/>
          <w:iCs/>
          <w:sz w:val="24"/>
          <w:szCs w:val="24"/>
        </w:rPr>
        <w:t>to</w:t>
      </w:r>
      <w:r w:rsidRPr="00DD3BAB">
        <w:rPr>
          <w:rFonts w:asciiTheme="majorBidi" w:hAnsiTheme="majorBidi" w:cstheme="majorBidi"/>
          <w:i/>
          <w:iCs/>
          <w:sz w:val="24"/>
          <w:szCs w:val="24"/>
        </w:rPr>
        <w:t xml:space="preserve"> 750</w:t>
      </w:r>
      <w:r>
        <w:rPr>
          <w:rFonts w:asciiTheme="majorBidi" w:hAnsiTheme="majorBidi" w:cstheme="majorBidi"/>
          <w:sz w:val="24"/>
          <w:szCs w:val="24"/>
        </w:rPr>
        <w:t>, edited by Litvinsky, Boris, Zhang, Guangda &amp; Samghabadi, Shabani, Paris, UNESCO Publishing, 1996, pp. 135-62.</w:t>
      </w:r>
    </w:p>
    <w:p w14:paraId="301F1A1C" w14:textId="62AD4262" w:rsidR="00174F08" w:rsidRDefault="00174F08" w:rsidP="00174F08">
      <w:pPr>
        <w:spacing w:line="360" w:lineRule="auto"/>
        <w:rPr>
          <w:rFonts w:asciiTheme="majorBidi" w:hAnsiTheme="majorBidi" w:cstheme="majorBidi"/>
          <w:sz w:val="24"/>
          <w:szCs w:val="24"/>
        </w:rPr>
      </w:pPr>
      <w:r>
        <w:rPr>
          <w:rFonts w:asciiTheme="majorBidi" w:hAnsiTheme="majorBidi" w:cstheme="majorBidi" w:hint="eastAsia"/>
          <w:sz w:val="24"/>
          <w:szCs w:val="24"/>
        </w:rPr>
        <w:t>L</w:t>
      </w:r>
      <w:r>
        <w:rPr>
          <w:rFonts w:asciiTheme="majorBidi" w:hAnsiTheme="majorBidi" w:cstheme="majorBidi"/>
          <w:sz w:val="24"/>
          <w:szCs w:val="24"/>
        </w:rPr>
        <w:t xml:space="preserve">itvinsky, Boris, </w:t>
      </w:r>
      <w:r w:rsidRPr="008B09FA">
        <w:rPr>
          <w:rFonts w:asciiTheme="majorBidi" w:hAnsiTheme="majorBidi" w:cstheme="majorBidi"/>
          <w:sz w:val="24"/>
          <w:szCs w:val="24"/>
        </w:rPr>
        <w:t>Jalilov, A.</w:t>
      </w:r>
      <w:r>
        <w:rPr>
          <w:rFonts w:asciiTheme="majorBidi" w:hAnsiTheme="majorBidi" w:cstheme="majorBidi"/>
          <w:sz w:val="24"/>
          <w:szCs w:val="24"/>
        </w:rPr>
        <w:t xml:space="preserve">, </w:t>
      </w:r>
      <w:r w:rsidRPr="008B09FA">
        <w:rPr>
          <w:rFonts w:asciiTheme="majorBidi" w:hAnsiTheme="majorBidi" w:cstheme="majorBidi"/>
          <w:sz w:val="24"/>
          <w:szCs w:val="24"/>
        </w:rPr>
        <w:t>Kolesnikov, A.</w:t>
      </w:r>
      <w:r>
        <w:rPr>
          <w:rFonts w:asciiTheme="majorBidi" w:hAnsiTheme="majorBidi" w:cstheme="majorBidi"/>
          <w:sz w:val="24"/>
          <w:szCs w:val="24"/>
        </w:rPr>
        <w:t>,</w:t>
      </w:r>
      <w:r w:rsidRPr="008B09FA">
        <w:rPr>
          <w:rFonts w:asciiTheme="majorBidi" w:hAnsiTheme="majorBidi" w:cstheme="majorBidi"/>
          <w:sz w:val="24"/>
          <w:szCs w:val="24"/>
        </w:rPr>
        <w:t xml:space="preserve"> </w:t>
      </w:r>
      <w:hyperlink r:id="rId15" w:history="1">
        <w:r w:rsidR="00A6273D">
          <w:rPr>
            <w:rFonts w:asciiTheme="majorBidi" w:hAnsiTheme="majorBidi" w:cstheme="majorBidi"/>
            <w:sz w:val="24"/>
            <w:szCs w:val="24"/>
          </w:rPr>
          <w:t>T</w:t>
        </w:r>
        <w:r w:rsidRPr="008B09FA">
          <w:rPr>
            <w:rFonts w:asciiTheme="majorBidi" w:hAnsiTheme="majorBidi" w:cstheme="majorBidi"/>
            <w:sz w:val="24"/>
            <w:szCs w:val="24"/>
          </w:rPr>
          <w:t>he Arab Conquest</w:t>
        </w:r>
      </w:hyperlink>
      <w:r>
        <w:rPr>
          <w:rFonts w:asciiTheme="majorBidi" w:hAnsiTheme="majorBidi" w:cstheme="majorBidi"/>
          <w:sz w:val="24"/>
          <w:szCs w:val="24"/>
        </w:rPr>
        <w:t>, in</w:t>
      </w:r>
      <w:r w:rsidRPr="008B09FA">
        <w:rPr>
          <w:rFonts w:asciiTheme="majorBidi" w:hAnsiTheme="majorBidi" w:cstheme="majorBidi"/>
          <w:sz w:val="24"/>
          <w:szCs w:val="24"/>
        </w:rPr>
        <w:t> </w:t>
      </w:r>
      <w:r w:rsidRPr="00A6273D">
        <w:rPr>
          <w:rFonts w:asciiTheme="majorBidi" w:hAnsiTheme="majorBidi" w:cstheme="majorBidi"/>
          <w:i/>
          <w:iCs/>
          <w:sz w:val="24"/>
          <w:szCs w:val="24"/>
        </w:rPr>
        <w:t xml:space="preserve">History of </w:t>
      </w:r>
      <w:r w:rsidR="00A6273D">
        <w:rPr>
          <w:rFonts w:asciiTheme="majorBidi" w:hAnsiTheme="majorBidi" w:cstheme="majorBidi"/>
          <w:i/>
          <w:iCs/>
          <w:sz w:val="24"/>
          <w:szCs w:val="24"/>
        </w:rPr>
        <w:t>C</w:t>
      </w:r>
      <w:r w:rsidRPr="00A6273D">
        <w:rPr>
          <w:rFonts w:asciiTheme="majorBidi" w:hAnsiTheme="majorBidi" w:cstheme="majorBidi"/>
          <w:i/>
          <w:iCs/>
          <w:sz w:val="24"/>
          <w:szCs w:val="24"/>
        </w:rPr>
        <w:t>ivilizations of Central Asia, Volume III: The crossroads of civilizations: A.D. 250 to 750</w:t>
      </w:r>
      <w:r>
        <w:rPr>
          <w:rFonts w:asciiTheme="majorBidi" w:hAnsiTheme="majorBidi" w:cstheme="majorBidi"/>
          <w:sz w:val="24"/>
          <w:szCs w:val="24"/>
        </w:rPr>
        <w:t xml:space="preserve">, edited by Litvinsky, Boris, 1996, </w:t>
      </w:r>
      <w:r w:rsidRPr="008B09FA">
        <w:rPr>
          <w:rFonts w:asciiTheme="majorBidi" w:hAnsiTheme="majorBidi" w:cstheme="majorBidi"/>
          <w:sz w:val="24"/>
          <w:szCs w:val="24"/>
        </w:rPr>
        <w:t>Paris</w:t>
      </w:r>
      <w:r>
        <w:rPr>
          <w:rFonts w:asciiTheme="majorBidi" w:hAnsiTheme="majorBidi" w:cstheme="majorBidi"/>
          <w:sz w:val="24"/>
          <w:szCs w:val="24"/>
        </w:rPr>
        <w:t xml:space="preserve">, </w:t>
      </w:r>
      <w:r w:rsidRPr="008B09FA">
        <w:rPr>
          <w:rFonts w:asciiTheme="majorBidi" w:hAnsiTheme="majorBidi" w:cstheme="majorBidi"/>
          <w:sz w:val="24"/>
          <w:szCs w:val="24"/>
        </w:rPr>
        <w:t>UNESCO Publishing. pp. 449–472. </w:t>
      </w:r>
    </w:p>
    <w:p w14:paraId="3B32F4BF" w14:textId="77777777" w:rsidR="00531E59" w:rsidRDefault="00174F08" w:rsidP="00142FEB">
      <w:pPr>
        <w:spacing w:line="360" w:lineRule="auto"/>
        <w:rPr>
          <w:rFonts w:asciiTheme="majorBidi" w:hAnsiTheme="majorBidi" w:cstheme="majorBidi"/>
          <w:sz w:val="24"/>
          <w:szCs w:val="24"/>
        </w:rPr>
      </w:pPr>
      <w:r w:rsidRPr="00142FEB">
        <w:rPr>
          <w:rFonts w:asciiTheme="majorBidi" w:hAnsiTheme="majorBidi" w:cstheme="majorBidi"/>
          <w:sz w:val="24"/>
          <w:szCs w:val="24"/>
        </w:rPr>
        <w:t>Liu, Yingsheng</w:t>
      </w:r>
      <w:r w:rsidR="00DB6F72">
        <w:rPr>
          <w:rFonts w:asciiTheme="majorBidi" w:hAnsiTheme="majorBidi" w:cstheme="majorBidi" w:hint="eastAsia"/>
          <w:sz w:val="24"/>
          <w:szCs w:val="24"/>
        </w:rPr>
        <w:t>刘迎胜</w:t>
      </w:r>
      <w:r w:rsidRPr="00142FEB">
        <w:rPr>
          <w:rFonts w:asciiTheme="majorBidi" w:hAnsiTheme="majorBidi" w:cstheme="majorBidi"/>
          <w:sz w:val="24"/>
          <w:szCs w:val="24"/>
        </w:rPr>
        <w:t xml:space="preserve">, </w:t>
      </w:r>
      <w:r w:rsidR="00142FEB" w:rsidRPr="00142FEB">
        <w:rPr>
          <w:rFonts w:asciiTheme="majorBidi" w:hAnsiTheme="majorBidi" w:cstheme="majorBidi"/>
          <w:sz w:val="24"/>
          <w:szCs w:val="24"/>
        </w:rPr>
        <w:t>A N</w:t>
      </w:r>
      <w:r w:rsidR="00142FEB" w:rsidRPr="00142FEB">
        <w:rPr>
          <w:rFonts w:asciiTheme="majorBidi" w:hAnsiTheme="majorBidi" w:cstheme="majorBidi" w:hint="eastAsia"/>
          <w:sz w:val="24"/>
          <w:szCs w:val="24"/>
        </w:rPr>
        <w:t>ew</w:t>
      </w:r>
      <w:r w:rsidR="00142FEB" w:rsidRPr="00142FEB">
        <w:rPr>
          <w:rFonts w:asciiTheme="majorBidi" w:hAnsiTheme="majorBidi" w:cstheme="majorBidi"/>
          <w:sz w:val="24"/>
          <w:szCs w:val="24"/>
        </w:rPr>
        <w:t xml:space="preserve"> Study of the Chinese-Pehlevi Epitaph of Mrs. Su Liang, Nee Ma, of the Tang Dynasty</w:t>
      </w:r>
      <w:r w:rsidR="00142FEB" w:rsidRPr="00142FEB">
        <w:rPr>
          <w:rFonts w:asciiTheme="majorBidi" w:hAnsiTheme="majorBidi" w:cstheme="majorBidi"/>
          <w:sz w:val="24"/>
          <w:szCs w:val="24"/>
        </w:rPr>
        <w:t>唐苏谅妻马氏汉巴列维文墓志再研究</w:t>
      </w:r>
      <w:r w:rsidRPr="00142FEB">
        <w:rPr>
          <w:rFonts w:asciiTheme="majorBidi" w:hAnsiTheme="majorBidi" w:cstheme="majorBidi"/>
          <w:sz w:val="24"/>
          <w:szCs w:val="24"/>
        </w:rPr>
        <w:t xml:space="preserve">, </w:t>
      </w:r>
      <w:r w:rsidRPr="00142FEB">
        <w:rPr>
          <w:rFonts w:asciiTheme="majorBidi" w:hAnsiTheme="majorBidi" w:cstheme="majorBidi"/>
          <w:i/>
          <w:iCs/>
          <w:sz w:val="24"/>
          <w:szCs w:val="24"/>
        </w:rPr>
        <w:t xml:space="preserve">Acta </w:t>
      </w:r>
      <w:r w:rsidR="00142FEB" w:rsidRPr="00142FEB">
        <w:rPr>
          <w:rFonts w:asciiTheme="majorBidi" w:hAnsiTheme="majorBidi" w:cstheme="majorBidi"/>
          <w:i/>
          <w:iCs/>
          <w:sz w:val="24"/>
          <w:szCs w:val="24"/>
        </w:rPr>
        <w:t>A</w:t>
      </w:r>
      <w:r w:rsidRPr="00142FEB">
        <w:rPr>
          <w:rFonts w:asciiTheme="majorBidi" w:hAnsiTheme="majorBidi" w:cstheme="majorBidi"/>
          <w:i/>
          <w:iCs/>
          <w:sz w:val="24"/>
          <w:szCs w:val="24"/>
        </w:rPr>
        <w:t>rchaeologia Sinica</w:t>
      </w:r>
      <w:r w:rsidRPr="00142FEB">
        <w:rPr>
          <w:rFonts w:asciiTheme="majorBidi" w:hAnsiTheme="majorBidi" w:cstheme="majorBidi"/>
          <w:sz w:val="24"/>
          <w:szCs w:val="24"/>
        </w:rPr>
        <w:t>, 1990, no. 3, pp. 295-305.</w:t>
      </w:r>
    </w:p>
    <w:p w14:paraId="3439813C" w14:textId="05F8D105" w:rsidR="00174F08" w:rsidRPr="00142FEB" w:rsidRDefault="00531E59" w:rsidP="00142FEB">
      <w:pPr>
        <w:spacing w:line="360" w:lineRule="auto"/>
        <w:rPr>
          <w:rFonts w:asciiTheme="majorBidi" w:hAnsiTheme="majorBidi" w:cstheme="majorBidi"/>
          <w:sz w:val="24"/>
          <w:szCs w:val="24"/>
        </w:rPr>
      </w:pPr>
      <w:r>
        <w:rPr>
          <w:rFonts w:asciiTheme="majorBidi" w:hAnsiTheme="majorBidi" w:cstheme="majorBidi"/>
          <w:sz w:val="24"/>
          <w:szCs w:val="24"/>
        </w:rPr>
        <w:t xml:space="preserve">Mackerras, Colin, </w:t>
      </w:r>
      <w:r w:rsidRPr="00531E59">
        <w:rPr>
          <w:rFonts w:asciiTheme="majorBidi" w:hAnsiTheme="majorBidi" w:cstheme="majorBidi"/>
          <w:i/>
          <w:iCs/>
          <w:sz w:val="24"/>
          <w:szCs w:val="24"/>
        </w:rPr>
        <w:t>The Uighur Empire: According to the T'ang Dynastic Histories</w:t>
      </w:r>
      <w:r>
        <w:rPr>
          <w:rFonts w:asciiTheme="majorBidi" w:hAnsiTheme="majorBidi" w:cstheme="majorBidi"/>
          <w:sz w:val="24"/>
          <w:szCs w:val="24"/>
        </w:rPr>
        <w:t>, Canberra, Australian National University Press, 1972.</w:t>
      </w:r>
      <w:r w:rsidR="00174F08" w:rsidRPr="00142FEB">
        <w:rPr>
          <w:rFonts w:asciiTheme="majorBidi" w:hAnsiTheme="majorBidi" w:cstheme="majorBidi"/>
          <w:sz w:val="24"/>
          <w:szCs w:val="24"/>
        </w:rPr>
        <w:t xml:space="preserve"> </w:t>
      </w:r>
    </w:p>
    <w:p w14:paraId="78A358E4" w14:textId="0D9C7C51" w:rsidR="00531E59" w:rsidRDefault="00FC62D1" w:rsidP="00531E59">
      <w:pPr>
        <w:spacing w:line="360" w:lineRule="auto"/>
        <w:rPr>
          <w:rFonts w:asciiTheme="majorBidi" w:hAnsiTheme="majorBidi" w:cstheme="majorBidi"/>
          <w:sz w:val="24"/>
          <w:szCs w:val="24"/>
        </w:rPr>
      </w:pPr>
      <w:r>
        <w:rPr>
          <w:rFonts w:asciiTheme="majorBidi" w:hAnsiTheme="majorBidi" w:cstheme="majorBidi"/>
          <w:sz w:val="24"/>
          <w:szCs w:val="24"/>
        </w:rPr>
        <w:t xml:space="preserve">Mairs, Rachel, </w:t>
      </w:r>
      <w:r w:rsidR="00FB6B9D">
        <w:rPr>
          <w:rFonts w:asciiTheme="majorBidi" w:hAnsiTheme="majorBidi" w:cstheme="majorBidi"/>
          <w:i/>
          <w:iCs/>
          <w:sz w:val="24"/>
          <w:szCs w:val="24"/>
        </w:rPr>
        <w:t>T</w:t>
      </w:r>
      <w:r w:rsidRPr="003E021E">
        <w:rPr>
          <w:rFonts w:asciiTheme="majorBidi" w:hAnsiTheme="majorBidi" w:cstheme="majorBidi"/>
          <w:i/>
          <w:iCs/>
          <w:sz w:val="24"/>
          <w:szCs w:val="24"/>
        </w:rPr>
        <w:t>he Hellenistic Far East: Archaeology, Lanugage, and Identity in Greek Central Asia</w:t>
      </w:r>
      <w:r>
        <w:rPr>
          <w:rFonts w:asciiTheme="majorBidi" w:hAnsiTheme="majorBidi" w:cstheme="majorBidi"/>
          <w:sz w:val="24"/>
          <w:szCs w:val="24"/>
        </w:rPr>
        <w:t>, Oakland, University of California Press, 2014.</w:t>
      </w:r>
    </w:p>
    <w:p w14:paraId="4759D56A" w14:textId="16ADDEDD" w:rsidR="00482DE2" w:rsidRDefault="00482DE2" w:rsidP="00531E59">
      <w:pPr>
        <w:spacing w:line="360" w:lineRule="auto"/>
        <w:rPr>
          <w:rFonts w:asciiTheme="majorBidi" w:hAnsiTheme="majorBidi" w:cstheme="majorBidi"/>
          <w:sz w:val="24"/>
          <w:szCs w:val="24"/>
        </w:rPr>
      </w:pPr>
      <w:r>
        <w:rPr>
          <w:rFonts w:asciiTheme="majorBidi" w:hAnsiTheme="majorBidi" w:cstheme="majorBidi"/>
          <w:sz w:val="24"/>
          <w:szCs w:val="24"/>
        </w:rPr>
        <w:t xml:space="preserve">Malekandathil, Pius, </w:t>
      </w:r>
      <w:r w:rsidR="002E60CA" w:rsidRPr="002E60CA">
        <w:rPr>
          <w:rFonts w:asciiTheme="majorBidi" w:hAnsiTheme="majorBidi" w:cstheme="majorBidi"/>
          <w:sz w:val="24"/>
          <w:szCs w:val="24"/>
        </w:rPr>
        <w:t>The Sasanids and the Maritime Trade of India during the Early Medieval Period</w:t>
      </w:r>
      <w:r w:rsidR="00CC1A05" w:rsidRPr="002E60CA">
        <w:rPr>
          <w:rFonts w:asciiTheme="majorBidi" w:hAnsiTheme="majorBidi" w:cstheme="majorBidi"/>
          <w:sz w:val="24"/>
          <w:szCs w:val="24"/>
        </w:rPr>
        <w:t>,</w:t>
      </w:r>
      <w:r w:rsidR="002E60CA" w:rsidRPr="002E60CA">
        <w:rPr>
          <w:rFonts w:asciiTheme="majorBidi" w:hAnsiTheme="majorBidi" w:cstheme="majorBidi"/>
          <w:sz w:val="24"/>
          <w:szCs w:val="24"/>
        </w:rPr>
        <w:t xml:space="preserve"> </w:t>
      </w:r>
      <w:r w:rsidR="002E60CA" w:rsidRPr="002E60CA">
        <w:rPr>
          <w:rFonts w:asciiTheme="majorBidi" w:hAnsiTheme="majorBidi" w:cstheme="majorBidi"/>
          <w:i/>
          <w:iCs/>
          <w:sz w:val="24"/>
          <w:szCs w:val="24"/>
        </w:rPr>
        <w:t>Proceedings of the Indian History Congress</w:t>
      </w:r>
      <w:r w:rsidR="002E60CA">
        <w:rPr>
          <w:rFonts w:asciiTheme="majorBidi" w:hAnsiTheme="majorBidi" w:cstheme="majorBidi"/>
          <w:sz w:val="24"/>
          <w:szCs w:val="24"/>
        </w:rPr>
        <w:t xml:space="preserve">, 2002, volume 63, pp. </w:t>
      </w:r>
      <w:r w:rsidR="002E60CA">
        <w:rPr>
          <w:rFonts w:asciiTheme="majorBidi" w:hAnsiTheme="majorBidi" w:cstheme="majorBidi"/>
          <w:sz w:val="24"/>
          <w:szCs w:val="24"/>
        </w:rPr>
        <w:lastRenderedPageBreak/>
        <w:t>156-73.</w:t>
      </w:r>
    </w:p>
    <w:p w14:paraId="26891FE1" w14:textId="6915ABD1" w:rsidR="00860889" w:rsidRDefault="00860889" w:rsidP="00531E59">
      <w:pPr>
        <w:spacing w:line="360" w:lineRule="auto"/>
        <w:rPr>
          <w:rFonts w:asciiTheme="majorBidi" w:hAnsiTheme="majorBidi" w:cstheme="majorBidi"/>
          <w:sz w:val="24"/>
          <w:szCs w:val="24"/>
        </w:rPr>
      </w:pPr>
      <w:r>
        <w:rPr>
          <w:rFonts w:asciiTheme="majorBidi" w:hAnsiTheme="majorBidi" w:cstheme="majorBidi"/>
          <w:sz w:val="24"/>
          <w:szCs w:val="24"/>
        </w:rPr>
        <w:t xml:space="preserve">Marks, Thomas, Nanchao and Tibet in South-western China and Central Asia, </w:t>
      </w:r>
      <w:r w:rsidRPr="00860889">
        <w:rPr>
          <w:rFonts w:asciiTheme="majorBidi" w:hAnsiTheme="majorBidi" w:cstheme="majorBidi"/>
          <w:i/>
          <w:iCs/>
          <w:sz w:val="24"/>
          <w:szCs w:val="24"/>
        </w:rPr>
        <w:t>The Tibet Journal</w:t>
      </w:r>
      <w:r>
        <w:rPr>
          <w:rFonts w:asciiTheme="majorBidi" w:hAnsiTheme="majorBidi" w:cstheme="majorBidi"/>
          <w:sz w:val="24"/>
          <w:szCs w:val="24"/>
        </w:rPr>
        <w:t>, 1978, volume 3, number 4, pp. 3-26.</w:t>
      </w:r>
    </w:p>
    <w:p w14:paraId="14DEDAD9" w14:textId="77777777" w:rsidR="000D5B5D" w:rsidRDefault="000D5B5D" w:rsidP="000D5B5D">
      <w:pPr>
        <w:spacing w:line="360" w:lineRule="auto"/>
        <w:rPr>
          <w:rFonts w:asciiTheme="majorBidi" w:hAnsiTheme="majorBidi" w:cstheme="majorBidi"/>
          <w:sz w:val="24"/>
          <w:szCs w:val="24"/>
        </w:rPr>
      </w:pPr>
      <w:r>
        <w:rPr>
          <w:rFonts w:asciiTheme="majorBidi" w:hAnsiTheme="majorBidi" w:cstheme="majorBidi"/>
          <w:sz w:val="24"/>
          <w:szCs w:val="24"/>
        </w:rPr>
        <w:t xml:space="preserve">Marquart, Josef, </w:t>
      </w:r>
      <w:r w:rsidRPr="004775A1">
        <w:rPr>
          <w:rFonts w:asciiTheme="majorBidi" w:hAnsiTheme="majorBidi" w:cstheme="majorBidi"/>
          <w:i/>
          <w:iCs/>
          <w:sz w:val="24"/>
          <w:szCs w:val="24"/>
        </w:rPr>
        <w:t>Ērānšahr nach der Geographie des Ps. Moses Xorenacʻi</w:t>
      </w:r>
      <w:r>
        <w:rPr>
          <w:rFonts w:asciiTheme="majorBidi" w:hAnsiTheme="majorBidi" w:cstheme="majorBidi"/>
          <w:sz w:val="24"/>
          <w:szCs w:val="24"/>
        </w:rPr>
        <w:t>, Berlin, Weidmannsche Buchhandlung, 1901.</w:t>
      </w:r>
    </w:p>
    <w:p w14:paraId="447E6C42" w14:textId="77777777" w:rsidR="000D5B5D" w:rsidRDefault="000D5B5D" w:rsidP="000D5B5D">
      <w:pPr>
        <w:spacing w:line="360" w:lineRule="auto"/>
        <w:rPr>
          <w:rFonts w:asciiTheme="majorBidi" w:hAnsiTheme="majorBidi" w:cstheme="majorBidi"/>
          <w:sz w:val="24"/>
          <w:szCs w:val="24"/>
        </w:rPr>
      </w:pPr>
      <w:r>
        <w:rPr>
          <w:rFonts w:asciiTheme="majorBidi" w:hAnsiTheme="majorBidi" w:cstheme="majorBidi"/>
          <w:sz w:val="24"/>
          <w:szCs w:val="24"/>
        </w:rPr>
        <w:t xml:space="preserve">Monchi-Zadeh, Davoud, </w:t>
      </w:r>
      <w:r w:rsidRPr="00B404EA">
        <w:rPr>
          <w:rFonts w:asciiTheme="majorBidi" w:hAnsiTheme="majorBidi" w:cstheme="majorBidi"/>
          <w:i/>
          <w:iCs/>
          <w:sz w:val="24"/>
          <w:szCs w:val="24"/>
        </w:rPr>
        <w:t>Topographisch-Historische Studien zum Iranischen Nationalepos</w:t>
      </w:r>
      <w:r>
        <w:rPr>
          <w:rFonts w:asciiTheme="majorBidi" w:hAnsiTheme="majorBidi" w:cstheme="majorBidi"/>
          <w:sz w:val="24"/>
          <w:szCs w:val="24"/>
        </w:rPr>
        <w:t>, Wiesbaden, Kommissionsverlag Franz Steiner GMBH, 1975.</w:t>
      </w:r>
    </w:p>
    <w:p w14:paraId="410BE702" w14:textId="636C5228" w:rsidR="000D5B5D" w:rsidRPr="003541DC" w:rsidRDefault="000D5B5D" w:rsidP="003541DC">
      <w:pPr>
        <w:spacing w:line="360" w:lineRule="auto"/>
        <w:rPr>
          <w:rFonts w:asciiTheme="majorBidi" w:hAnsiTheme="majorBidi" w:cstheme="majorBidi"/>
          <w:sz w:val="24"/>
          <w:szCs w:val="24"/>
        </w:rPr>
      </w:pPr>
      <w:r w:rsidRPr="003541DC">
        <w:rPr>
          <w:rFonts w:asciiTheme="majorBidi" w:hAnsiTheme="majorBidi" w:cstheme="majorBidi"/>
          <w:sz w:val="24"/>
          <w:szCs w:val="24"/>
        </w:rPr>
        <w:t>Nie, Jingjie</w:t>
      </w:r>
      <w:r w:rsidR="00DB6F72">
        <w:rPr>
          <w:rFonts w:asciiTheme="majorBidi" w:hAnsiTheme="majorBidi" w:cstheme="majorBidi" w:hint="eastAsia"/>
          <w:sz w:val="24"/>
          <w:szCs w:val="24"/>
        </w:rPr>
        <w:t>聂静洁</w:t>
      </w:r>
      <w:r w:rsidRPr="003541DC">
        <w:rPr>
          <w:rFonts w:asciiTheme="majorBidi" w:hAnsiTheme="majorBidi" w:cstheme="majorBidi"/>
          <w:sz w:val="24"/>
          <w:szCs w:val="24"/>
        </w:rPr>
        <w:t>,</w:t>
      </w:r>
      <w:r w:rsidR="003541DC" w:rsidRPr="003541DC">
        <w:rPr>
          <w:rFonts w:asciiTheme="majorBidi" w:hAnsiTheme="majorBidi" w:cstheme="majorBidi"/>
          <w:sz w:val="24"/>
          <w:szCs w:val="24"/>
        </w:rPr>
        <w:t xml:space="preserve"> A Study on the </w:t>
      </w:r>
      <w:r w:rsidR="003541DC">
        <w:rPr>
          <w:rFonts w:asciiTheme="majorBidi" w:hAnsiTheme="majorBidi" w:cstheme="majorBidi"/>
          <w:sz w:val="24"/>
          <w:szCs w:val="24"/>
        </w:rPr>
        <w:t>Routes</w:t>
      </w:r>
      <w:r w:rsidR="003541DC" w:rsidRPr="003541DC">
        <w:rPr>
          <w:rFonts w:asciiTheme="majorBidi" w:hAnsiTheme="majorBidi" w:cstheme="majorBidi"/>
          <w:sz w:val="24"/>
          <w:szCs w:val="24"/>
        </w:rPr>
        <w:t xml:space="preserve"> of </w:t>
      </w:r>
      <w:r w:rsidR="003541DC">
        <w:rPr>
          <w:rFonts w:asciiTheme="majorBidi" w:hAnsiTheme="majorBidi" w:cstheme="majorBidi"/>
          <w:sz w:val="24"/>
          <w:szCs w:val="24"/>
        </w:rPr>
        <w:t xml:space="preserve">Shi Wukong’s Traveling to India, </w:t>
      </w:r>
      <w:r w:rsidR="003541DC" w:rsidRPr="003541DC">
        <w:rPr>
          <w:rFonts w:asciiTheme="majorBidi" w:hAnsiTheme="majorBidi" w:cstheme="majorBidi"/>
          <w:sz w:val="24"/>
          <w:szCs w:val="24"/>
        </w:rPr>
        <w:t>S</w:t>
      </w:r>
      <w:r w:rsidR="003541DC">
        <w:rPr>
          <w:rFonts w:asciiTheme="majorBidi" w:hAnsiTheme="majorBidi" w:cstheme="majorBidi"/>
          <w:sz w:val="24"/>
          <w:szCs w:val="24"/>
        </w:rPr>
        <w:t xml:space="preserve">tudying Buddhism </w:t>
      </w:r>
      <w:r w:rsidR="003541DC" w:rsidRPr="003541DC">
        <w:rPr>
          <w:rFonts w:asciiTheme="majorBidi" w:hAnsiTheme="majorBidi" w:cstheme="majorBidi"/>
          <w:sz w:val="24"/>
          <w:szCs w:val="24"/>
        </w:rPr>
        <w:t xml:space="preserve">and Returning </w:t>
      </w:r>
      <w:r w:rsidR="003541DC">
        <w:rPr>
          <w:rFonts w:asciiTheme="majorBidi" w:hAnsiTheme="majorBidi" w:cstheme="majorBidi"/>
          <w:sz w:val="24"/>
          <w:szCs w:val="24"/>
        </w:rPr>
        <w:t xml:space="preserve">to China: </w:t>
      </w:r>
      <w:proofErr w:type="gramStart"/>
      <w:r w:rsidR="003541DC">
        <w:rPr>
          <w:rFonts w:asciiTheme="majorBidi" w:hAnsiTheme="majorBidi" w:cstheme="majorBidi"/>
          <w:sz w:val="24"/>
          <w:szCs w:val="24"/>
        </w:rPr>
        <w:t>the</w:t>
      </w:r>
      <w:proofErr w:type="gramEnd"/>
      <w:r w:rsidR="003541DC">
        <w:rPr>
          <w:rFonts w:asciiTheme="majorBidi" w:hAnsiTheme="majorBidi" w:cstheme="majorBidi"/>
          <w:sz w:val="24"/>
          <w:szCs w:val="24"/>
        </w:rPr>
        <w:t xml:space="preserve"> Silk Road as Reflected in the Records of Wukong’s </w:t>
      </w:r>
      <w:r w:rsidR="003541DC" w:rsidRPr="003541DC">
        <w:rPr>
          <w:rFonts w:asciiTheme="majorBidi" w:hAnsiTheme="majorBidi" w:cstheme="majorBidi"/>
          <w:sz w:val="24"/>
          <w:szCs w:val="24"/>
        </w:rPr>
        <w:t>Journey</w:t>
      </w:r>
      <w:r w:rsidR="003541DC">
        <w:rPr>
          <w:rFonts w:asciiTheme="majorBidi" w:hAnsiTheme="majorBidi" w:cstheme="majorBidi"/>
          <w:sz w:val="24"/>
          <w:szCs w:val="24"/>
        </w:rPr>
        <w:t xml:space="preserve"> to India</w:t>
      </w:r>
      <w:bookmarkStart w:id="30" w:name="_Hlk88038946"/>
      <w:r w:rsidR="00142FEB" w:rsidRPr="003541DC">
        <w:rPr>
          <w:rFonts w:asciiTheme="majorBidi" w:hAnsiTheme="majorBidi" w:cstheme="majorBidi"/>
          <w:sz w:val="24"/>
          <w:szCs w:val="24"/>
        </w:rPr>
        <w:t>唐释悟空入竺、求法及归国路线考：《悟空入竺记》所见丝绸之路</w:t>
      </w:r>
      <w:bookmarkEnd w:id="30"/>
      <w:r w:rsidRPr="003541DC">
        <w:rPr>
          <w:rFonts w:asciiTheme="majorBidi" w:hAnsiTheme="majorBidi" w:cstheme="majorBidi"/>
          <w:sz w:val="24"/>
          <w:szCs w:val="24"/>
        </w:rPr>
        <w:t xml:space="preserve">, </w:t>
      </w:r>
      <w:r w:rsidRPr="003541DC">
        <w:rPr>
          <w:rFonts w:asciiTheme="majorBidi" w:hAnsiTheme="majorBidi" w:cstheme="majorBidi"/>
          <w:i/>
          <w:iCs/>
          <w:sz w:val="24"/>
          <w:szCs w:val="24"/>
        </w:rPr>
        <w:t>Eurasian Studies</w:t>
      </w:r>
      <w:r w:rsidRPr="003541DC">
        <w:rPr>
          <w:rFonts w:asciiTheme="majorBidi" w:hAnsiTheme="majorBidi" w:cstheme="majorBidi"/>
          <w:sz w:val="24"/>
          <w:szCs w:val="24"/>
        </w:rPr>
        <w:t>, 2007, pp. 161-79.</w:t>
      </w:r>
    </w:p>
    <w:p w14:paraId="0F4B6BA1" w14:textId="65E6795F" w:rsidR="00864FA3" w:rsidRDefault="00864FA3" w:rsidP="000D5B5D">
      <w:pPr>
        <w:spacing w:line="360" w:lineRule="auto"/>
        <w:rPr>
          <w:rFonts w:asciiTheme="majorBidi" w:hAnsiTheme="majorBidi" w:cstheme="majorBidi"/>
          <w:sz w:val="24"/>
          <w:szCs w:val="24"/>
        </w:rPr>
      </w:pPr>
      <w:r>
        <w:rPr>
          <w:rFonts w:asciiTheme="majorBidi" w:hAnsiTheme="majorBidi" w:cstheme="majorBidi"/>
          <w:sz w:val="24"/>
          <w:szCs w:val="24"/>
        </w:rPr>
        <w:t xml:space="preserve">Nikitin, Alexander &amp; Roth, Gunter, </w:t>
      </w:r>
      <w:r w:rsidR="00FB6B9D">
        <w:rPr>
          <w:rFonts w:asciiTheme="majorBidi" w:hAnsiTheme="majorBidi" w:cstheme="majorBidi"/>
          <w:sz w:val="24"/>
          <w:szCs w:val="24"/>
        </w:rPr>
        <w:t>The</w:t>
      </w:r>
      <w:r>
        <w:rPr>
          <w:rFonts w:asciiTheme="majorBidi" w:hAnsiTheme="majorBidi" w:cstheme="majorBidi"/>
          <w:sz w:val="24"/>
          <w:szCs w:val="24"/>
        </w:rPr>
        <w:t xml:space="preserve"> Earliest Arab-Sasanian Coins, </w:t>
      </w:r>
      <w:r w:rsidR="00FB6B9D">
        <w:rPr>
          <w:rFonts w:asciiTheme="majorBidi" w:hAnsiTheme="majorBidi" w:cstheme="majorBidi"/>
          <w:i/>
          <w:iCs/>
          <w:sz w:val="24"/>
          <w:szCs w:val="24"/>
        </w:rPr>
        <w:t>T</w:t>
      </w:r>
      <w:r w:rsidRPr="00864FA3">
        <w:rPr>
          <w:rFonts w:asciiTheme="majorBidi" w:hAnsiTheme="majorBidi" w:cstheme="majorBidi"/>
          <w:i/>
          <w:iCs/>
          <w:sz w:val="24"/>
          <w:szCs w:val="24"/>
        </w:rPr>
        <w:t>he Numismatic Chronicle</w:t>
      </w:r>
      <w:r>
        <w:rPr>
          <w:rFonts w:asciiTheme="majorBidi" w:hAnsiTheme="majorBidi" w:cstheme="majorBidi"/>
          <w:sz w:val="24"/>
          <w:szCs w:val="24"/>
        </w:rPr>
        <w:t>, 1995, volume 155, pp. 131-7.</w:t>
      </w:r>
    </w:p>
    <w:p w14:paraId="3C1F477A" w14:textId="7C10FD67" w:rsidR="004865FB" w:rsidRDefault="004865FB" w:rsidP="000D5B5D">
      <w:pPr>
        <w:spacing w:line="360" w:lineRule="auto"/>
        <w:rPr>
          <w:rFonts w:asciiTheme="majorBidi" w:hAnsiTheme="majorBidi" w:cstheme="majorBidi"/>
          <w:sz w:val="24"/>
          <w:szCs w:val="24"/>
        </w:rPr>
      </w:pPr>
      <w:r w:rsidRPr="004865FB">
        <w:rPr>
          <w:rFonts w:asciiTheme="majorBidi" w:hAnsiTheme="majorBidi" w:cstheme="majorBidi"/>
          <w:sz w:val="24"/>
          <w:szCs w:val="24"/>
        </w:rPr>
        <w:t>Nölle-Karimi</w:t>
      </w:r>
      <w:r>
        <w:rPr>
          <w:rFonts w:asciiTheme="majorBidi" w:hAnsiTheme="majorBidi" w:cstheme="majorBidi"/>
          <w:sz w:val="24"/>
          <w:szCs w:val="24"/>
        </w:rPr>
        <w:t xml:space="preserve">, Christine, </w:t>
      </w:r>
      <w:r w:rsidRPr="004865FB">
        <w:rPr>
          <w:rFonts w:asciiTheme="majorBidi" w:hAnsiTheme="majorBidi" w:cstheme="majorBidi"/>
          <w:sz w:val="24"/>
          <w:szCs w:val="24"/>
        </w:rPr>
        <w:t xml:space="preserve">Khurasan and Its Limits: Changing Concepts of Territory from Pre-Modern to Modern Times, </w:t>
      </w:r>
      <w:r>
        <w:rPr>
          <w:rFonts w:asciiTheme="majorBidi" w:hAnsiTheme="majorBidi" w:cstheme="majorBidi"/>
          <w:sz w:val="24"/>
          <w:szCs w:val="24"/>
        </w:rPr>
        <w:t xml:space="preserve">in </w:t>
      </w:r>
      <w:r w:rsidRPr="004865FB">
        <w:rPr>
          <w:rFonts w:asciiTheme="majorBidi" w:hAnsiTheme="majorBidi" w:cstheme="majorBidi"/>
          <w:i/>
          <w:iCs/>
          <w:sz w:val="24"/>
          <w:szCs w:val="24"/>
        </w:rPr>
        <w:t>Iran und iranisch geprägte Kulturen: Studien zu Ehren von Bert G. Fragner</w:t>
      </w:r>
      <w:r>
        <w:rPr>
          <w:rFonts w:asciiTheme="majorBidi" w:hAnsiTheme="majorBidi" w:cstheme="majorBidi"/>
          <w:sz w:val="24"/>
          <w:szCs w:val="24"/>
        </w:rPr>
        <w:t xml:space="preserve">, edited by Ritter, </w:t>
      </w:r>
      <w:r w:rsidRPr="004865FB">
        <w:rPr>
          <w:rFonts w:asciiTheme="majorBidi" w:hAnsiTheme="majorBidi" w:cstheme="majorBidi"/>
          <w:sz w:val="24"/>
          <w:szCs w:val="24"/>
        </w:rPr>
        <w:t>Markus Ritter</w:t>
      </w:r>
      <w:r>
        <w:rPr>
          <w:rFonts w:asciiTheme="majorBidi" w:hAnsiTheme="majorBidi" w:cstheme="majorBidi"/>
          <w:sz w:val="24"/>
          <w:szCs w:val="24"/>
        </w:rPr>
        <w:t xml:space="preserve">, Kauz, </w:t>
      </w:r>
      <w:r w:rsidRPr="004865FB">
        <w:rPr>
          <w:rFonts w:asciiTheme="majorBidi" w:hAnsiTheme="majorBidi" w:cstheme="majorBidi"/>
          <w:sz w:val="24"/>
          <w:szCs w:val="24"/>
        </w:rPr>
        <w:t>Ralph Kauz</w:t>
      </w:r>
      <w:r>
        <w:rPr>
          <w:rFonts w:asciiTheme="majorBidi" w:hAnsiTheme="majorBidi" w:cstheme="majorBidi"/>
          <w:sz w:val="24"/>
          <w:szCs w:val="24"/>
        </w:rPr>
        <w:t xml:space="preserve"> and Hoffmann, </w:t>
      </w:r>
      <w:r w:rsidRPr="004865FB">
        <w:rPr>
          <w:rFonts w:asciiTheme="majorBidi" w:hAnsiTheme="majorBidi" w:cstheme="majorBidi"/>
          <w:sz w:val="24"/>
          <w:szCs w:val="24"/>
        </w:rPr>
        <w:t>Birgitt</w:t>
      </w:r>
      <w:r>
        <w:rPr>
          <w:rFonts w:asciiTheme="majorBidi" w:hAnsiTheme="majorBidi" w:cstheme="majorBidi"/>
          <w:sz w:val="24"/>
          <w:szCs w:val="24"/>
        </w:rPr>
        <w:t xml:space="preserve">, </w:t>
      </w:r>
      <w:r w:rsidRPr="004865FB">
        <w:rPr>
          <w:rFonts w:asciiTheme="majorBidi" w:hAnsiTheme="majorBidi" w:cstheme="majorBidi"/>
          <w:sz w:val="24"/>
          <w:szCs w:val="24"/>
        </w:rPr>
        <w:t xml:space="preserve">Wiesbaden, Ludwig Reichert, 2008, </w:t>
      </w:r>
      <w:r>
        <w:rPr>
          <w:rFonts w:asciiTheme="majorBidi" w:hAnsiTheme="majorBidi" w:cstheme="majorBidi"/>
          <w:sz w:val="24"/>
          <w:szCs w:val="24"/>
        </w:rPr>
        <w:t xml:space="preserve">pp. </w:t>
      </w:r>
      <w:r w:rsidRPr="004865FB">
        <w:rPr>
          <w:rFonts w:asciiTheme="majorBidi" w:hAnsiTheme="majorBidi" w:cstheme="majorBidi"/>
          <w:sz w:val="24"/>
          <w:szCs w:val="24"/>
        </w:rPr>
        <w:t>9–19.</w:t>
      </w:r>
    </w:p>
    <w:p w14:paraId="7502C1EF" w14:textId="69B02B2B" w:rsidR="00432B30" w:rsidRDefault="00432B30" w:rsidP="000D5B5D">
      <w:pPr>
        <w:spacing w:line="360" w:lineRule="auto"/>
        <w:rPr>
          <w:rFonts w:asciiTheme="majorBidi" w:hAnsiTheme="majorBidi" w:cstheme="majorBidi"/>
          <w:sz w:val="24"/>
          <w:szCs w:val="24"/>
        </w:rPr>
      </w:pPr>
      <w:r>
        <w:rPr>
          <w:rFonts w:asciiTheme="majorBidi" w:hAnsiTheme="majorBidi" w:cstheme="majorBidi"/>
          <w:sz w:val="24"/>
          <w:szCs w:val="24"/>
        </w:rPr>
        <w:t xml:space="preserve">Pashazanous, Hamidreza &amp; Afkande, Ehsan, </w:t>
      </w:r>
      <w:r w:rsidR="00FB6B9D">
        <w:rPr>
          <w:rFonts w:asciiTheme="majorBidi" w:hAnsiTheme="majorBidi" w:cstheme="majorBidi"/>
          <w:sz w:val="24"/>
          <w:szCs w:val="24"/>
        </w:rPr>
        <w:t>T</w:t>
      </w:r>
      <w:r>
        <w:rPr>
          <w:rFonts w:asciiTheme="majorBidi" w:hAnsiTheme="majorBidi" w:cstheme="majorBidi"/>
          <w:sz w:val="24"/>
          <w:szCs w:val="24"/>
        </w:rPr>
        <w:t xml:space="preserve">he Last Sasanians in Eastern Iran and China, </w:t>
      </w:r>
      <w:r w:rsidRPr="00432B30">
        <w:rPr>
          <w:rFonts w:asciiTheme="majorBidi" w:hAnsiTheme="majorBidi" w:cstheme="majorBidi"/>
          <w:i/>
          <w:iCs/>
          <w:sz w:val="24"/>
          <w:szCs w:val="24"/>
        </w:rPr>
        <w:t>Anabasis: Studia Classica et Orientalia</w:t>
      </w:r>
      <w:r>
        <w:rPr>
          <w:rFonts w:asciiTheme="majorBidi" w:hAnsiTheme="majorBidi" w:cstheme="majorBidi"/>
          <w:sz w:val="24"/>
          <w:szCs w:val="24"/>
        </w:rPr>
        <w:t>, number 5, 2014, pp. 139-54.</w:t>
      </w:r>
    </w:p>
    <w:p w14:paraId="40A64AB9" w14:textId="1638D02C" w:rsidR="00160810" w:rsidRDefault="00160810" w:rsidP="00160810">
      <w:pPr>
        <w:spacing w:line="360" w:lineRule="auto"/>
        <w:jc w:val="left"/>
        <w:rPr>
          <w:rFonts w:asciiTheme="majorBidi" w:hAnsiTheme="majorBidi" w:cstheme="majorBidi"/>
          <w:sz w:val="24"/>
          <w:szCs w:val="24"/>
        </w:rPr>
      </w:pPr>
      <w:r>
        <w:rPr>
          <w:rFonts w:asciiTheme="majorBidi" w:hAnsiTheme="majorBidi" w:cstheme="majorBidi"/>
          <w:sz w:val="24"/>
          <w:szCs w:val="24"/>
        </w:rPr>
        <w:t>Pashaz</w:t>
      </w:r>
      <w:r w:rsidRPr="008E7522">
        <w:rPr>
          <w:rFonts w:asciiTheme="majorBidi" w:hAnsiTheme="majorBidi" w:cstheme="majorBidi"/>
          <w:sz w:val="24"/>
          <w:szCs w:val="24"/>
        </w:rPr>
        <w:t xml:space="preserve">anous, Hamidreza &amp; Sangari, Esmaeil, </w:t>
      </w:r>
      <w:proofErr w:type="gramStart"/>
      <w:r w:rsidR="00FB6B9D">
        <w:rPr>
          <w:rFonts w:asciiTheme="majorBidi" w:hAnsiTheme="majorBidi" w:cstheme="majorBidi"/>
          <w:sz w:val="24"/>
          <w:szCs w:val="24"/>
        </w:rPr>
        <w:t>T</w:t>
      </w:r>
      <w:r w:rsidRPr="008E7522">
        <w:rPr>
          <w:rFonts w:asciiTheme="majorBidi" w:hAnsiTheme="majorBidi" w:cstheme="majorBidi"/>
          <w:sz w:val="24"/>
          <w:szCs w:val="24"/>
        </w:rPr>
        <w:t>he</w:t>
      </w:r>
      <w:proofErr w:type="gramEnd"/>
      <w:r w:rsidRPr="008E7522">
        <w:rPr>
          <w:rFonts w:asciiTheme="majorBidi" w:hAnsiTheme="majorBidi" w:cstheme="majorBidi"/>
          <w:sz w:val="24"/>
          <w:szCs w:val="24"/>
        </w:rPr>
        <w:t xml:space="preserve"> last Sasanians in Chinese literary sources: recently identified statue head of a Sasanian prince at the Qianling mausoleum, </w:t>
      </w:r>
      <w:r w:rsidRPr="008E7522">
        <w:rPr>
          <w:rFonts w:asciiTheme="majorBidi" w:hAnsiTheme="majorBidi" w:cstheme="majorBidi"/>
          <w:i/>
          <w:iCs/>
          <w:sz w:val="24"/>
          <w:szCs w:val="24"/>
        </w:rPr>
        <w:t>Iranian Studies</w:t>
      </w:r>
      <w:r w:rsidRPr="008E7522">
        <w:rPr>
          <w:rFonts w:asciiTheme="majorBidi" w:hAnsiTheme="majorBidi" w:cstheme="majorBidi"/>
          <w:sz w:val="24"/>
          <w:szCs w:val="24"/>
        </w:rPr>
        <w:t xml:space="preserve">, 51/4, 2018, pp. </w:t>
      </w:r>
      <w:r>
        <w:rPr>
          <w:rFonts w:asciiTheme="majorBidi" w:hAnsiTheme="majorBidi" w:cstheme="majorBidi"/>
          <w:sz w:val="24"/>
          <w:szCs w:val="24"/>
        </w:rPr>
        <w:t>1-17</w:t>
      </w:r>
      <w:r w:rsidRPr="008E7522">
        <w:rPr>
          <w:rFonts w:asciiTheme="majorBidi" w:hAnsiTheme="majorBidi" w:cstheme="majorBidi"/>
          <w:sz w:val="24"/>
          <w:szCs w:val="24"/>
        </w:rPr>
        <w:t>.</w:t>
      </w:r>
    </w:p>
    <w:p w14:paraId="1C96F3BD" w14:textId="5FD076EF" w:rsidR="00172250" w:rsidRDefault="00172250" w:rsidP="00172250">
      <w:pPr>
        <w:spacing w:line="360" w:lineRule="auto"/>
        <w:rPr>
          <w:rFonts w:asciiTheme="majorBidi" w:hAnsiTheme="majorBidi" w:cstheme="majorBidi"/>
          <w:sz w:val="24"/>
          <w:szCs w:val="24"/>
        </w:rPr>
      </w:pPr>
      <w:r>
        <w:rPr>
          <w:rFonts w:asciiTheme="majorBidi" w:hAnsiTheme="majorBidi" w:cstheme="majorBidi"/>
          <w:sz w:val="24"/>
          <w:szCs w:val="24"/>
        </w:rPr>
        <w:t xml:space="preserve">Pashazanous, Hamidreza &amp; Zohouri, Majid Montazer, Some Thoughts on the Iranian-Chinese Maritime Trade in Late Antiquity and during the Early Islamic Period, in </w:t>
      </w:r>
      <w:r w:rsidRPr="00760317">
        <w:rPr>
          <w:rFonts w:asciiTheme="majorBidi" w:hAnsiTheme="majorBidi" w:cstheme="majorBidi"/>
          <w:i/>
          <w:iCs/>
          <w:sz w:val="24"/>
          <w:szCs w:val="24"/>
        </w:rPr>
        <w:t>Proceedings of the 11</w:t>
      </w:r>
      <w:r w:rsidRPr="00760317">
        <w:rPr>
          <w:rFonts w:asciiTheme="majorBidi" w:hAnsiTheme="majorBidi" w:cstheme="majorBidi"/>
          <w:i/>
          <w:iCs/>
          <w:sz w:val="24"/>
          <w:szCs w:val="24"/>
          <w:vertAlign w:val="superscript"/>
        </w:rPr>
        <w:t>th</w:t>
      </w:r>
      <w:r w:rsidRPr="00760317">
        <w:rPr>
          <w:rFonts w:asciiTheme="majorBidi" w:hAnsiTheme="majorBidi" w:cstheme="majorBidi"/>
          <w:i/>
          <w:iCs/>
          <w:sz w:val="24"/>
          <w:szCs w:val="24"/>
        </w:rPr>
        <w:t xml:space="preserve"> International Congress on the Archaeology of the Ancient Near East</w:t>
      </w:r>
      <w:r>
        <w:rPr>
          <w:rFonts w:asciiTheme="majorBidi" w:hAnsiTheme="majorBidi" w:cstheme="majorBidi"/>
          <w:sz w:val="24"/>
          <w:szCs w:val="24"/>
        </w:rPr>
        <w:t>, volume 2, Field Reports, edited by Otto, Adelheid, Herles, Michael, and Kaniuth, Kai, 2020, pp. 547-58.</w:t>
      </w:r>
    </w:p>
    <w:p w14:paraId="0DA8D6E0" w14:textId="536B6AF4" w:rsidR="0019768E" w:rsidRPr="00160810" w:rsidRDefault="0019768E" w:rsidP="00160810">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Peacock, Andrew, </w:t>
      </w:r>
      <w:r w:rsidRPr="0019768E">
        <w:rPr>
          <w:rFonts w:asciiTheme="majorBidi" w:hAnsiTheme="majorBidi" w:cstheme="majorBidi"/>
          <w:i/>
          <w:iCs/>
          <w:sz w:val="24"/>
          <w:szCs w:val="24"/>
        </w:rPr>
        <w:t xml:space="preserve">Medieval Islamic Historiography and Political Legitimacy: </w:t>
      </w:r>
      <w:r w:rsidRPr="0019768E">
        <w:rPr>
          <w:rFonts w:asciiTheme="majorBidi" w:hAnsiTheme="majorBidi" w:cstheme="majorBidi"/>
          <w:i/>
          <w:iCs/>
          <w:sz w:val="24"/>
          <w:szCs w:val="24"/>
        </w:rPr>
        <w:lastRenderedPageBreak/>
        <w:t>Bal'amī's Tārīkhnāma</w:t>
      </w:r>
      <w:r>
        <w:rPr>
          <w:rFonts w:asciiTheme="majorBidi" w:hAnsiTheme="majorBidi" w:cstheme="majorBidi"/>
          <w:sz w:val="24"/>
          <w:szCs w:val="24"/>
        </w:rPr>
        <w:t>, London and New York, Routledge, 2007.</w:t>
      </w:r>
    </w:p>
    <w:p w14:paraId="08447F30" w14:textId="45B0D7B0" w:rsidR="00A13279" w:rsidRDefault="00A13279" w:rsidP="00A13279">
      <w:pPr>
        <w:spacing w:line="360" w:lineRule="auto"/>
        <w:jc w:val="left"/>
        <w:rPr>
          <w:rFonts w:asciiTheme="majorBidi" w:hAnsiTheme="majorBidi" w:cstheme="majorBidi"/>
          <w:sz w:val="24"/>
          <w:szCs w:val="24"/>
        </w:rPr>
      </w:pPr>
      <w:r w:rsidRPr="008E7522">
        <w:rPr>
          <w:rFonts w:asciiTheme="majorBidi" w:hAnsiTheme="majorBidi" w:cstheme="majorBidi"/>
          <w:sz w:val="24"/>
          <w:szCs w:val="24"/>
        </w:rPr>
        <w:t xml:space="preserve">Pourshariati, Parvaneh, </w:t>
      </w:r>
      <w:r w:rsidRPr="008E7522">
        <w:rPr>
          <w:rFonts w:asciiTheme="majorBidi" w:hAnsiTheme="majorBidi" w:cstheme="majorBidi"/>
          <w:i/>
          <w:iCs/>
          <w:sz w:val="24"/>
          <w:szCs w:val="24"/>
        </w:rPr>
        <w:t>Decline and Fall of the Sasanian Empire: the Sasanian-Parthian Confederacy and the Arab Conquest of Iran</w:t>
      </w:r>
      <w:r w:rsidRPr="008E7522">
        <w:rPr>
          <w:rFonts w:asciiTheme="majorBidi" w:hAnsiTheme="majorBidi" w:cstheme="majorBidi"/>
          <w:sz w:val="24"/>
          <w:szCs w:val="24"/>
        </w:rPr>
        <w:t>, New York, I.</w:t>
      </w:r>
      <w:proofErr w:type="gramStart"/>
      <w:r w:rsidRPr="008E7522">
        <w:rPr>
          <w:rFonts w:asciiTheme="majorBidi" w:hAnsiTheme="majorBidi" w:cstheme="majorBidi"/>
          <w:sz w:val="24"/>
          <w:szCs w:val="24"/>
        </w:rPr>
        <w:t>B.Tauris</w:t>
      </w:r>
      <w:proofErr w:type="gramEnd"/>
      <w:r w:rsidRPr="008E7522">
        <w:rPr>
          <w:rFonts w:asciiTheme="majorBidi" w:hAnsiTheme="majorBidi" w:cstheme="majorBidi"/>
          <w:sz w:val="24"/>
          <w:szCs w:val="24"/>
        </w:rPr>
        <w:t>, 2008.</w:t>
      </w:r>
    </w:p>
    <w:p w14:paraId="2C4F65DD" w14:textId="3A9952E4" w:rsidR="00997EDA" w:rsidRPr="00390EE7" w:rsidRDefault="00997EDA" w:rsidP="00997EDA">
      <w:pPr>
        <w:spacing w:line="360" w:lineRule="auto"/>
        <w:rPr>
          <w:rFonts w:asciiTheme="majorBidi" w:hAnsiTheme="majorBidi" w:cstheme="majorBidi"/>
          <w:sz w:val="24"/>
          <w:szCs w:val="24"/>
        </w:rPr>
      </w:pPr>
      <w:r>
        <w:rPr>
          <w:rFonts w:asciiTheme="majorBidi" w:hAnsiTheme="majorBidi" w:cstheme="majorBidi"/>
          <w:sz w:val="24"/>
          <w:szCs w:val="24"/>
        </w:rPr>
        <w:t xml:space="preserve">----, </w:t>
      </w:r>
      <w:hyperlink r:id="rId16" w:history="1">
        <w:r w:rsidRPr="00997EDA">
          <w:rPr>
            <w:rFonts w:asciiTheme="majorBidi" w:hAnsiTheme="majorBidi" w:cstheme="majorBidi"/>
            <w:sz w:val="24"/>
            <w:szCs w:val="24"/>
          </w:rPr>
          <w:t>The Akhbār al-Ṭiwāl of Abū Ḥanīfa Dīnawarī: A Shuʻūbī Treatise on Late Antique Iran</w:t>
        </w:r>
      </w:hyperlink>
      <w:r>
        <w:rPr>
          <w:rFonts w:asciiTheme="majorBidi" w:hAnsiTheme="majorBidi" w:cstheme="majorBidi"/>
          <w:sz w:val="24"/>
          <w:szCs w:val="24"/>
        </w:rPr>
        <w:t xml:space="preserve">, in </w:t>
      </w:r>
      <w:r w:rsidRPr="00997EDA">
        <w:rPr>
          <w:rFonts w:asciiTheme="majorBidi" w:hAnsiTheme="majorBidi" w:cstheme="majorBidi"/>
          <w:i/>
          <w:iCs/>
          <w:sz w:val="24"/>
          <w:szCs w:val="24"/>
        </w:rPr>
        <w:t>Sources for the History of Sasanian and Post-Sasanian Iran</w:t>
      </w:r>
      <w:r>
        <w:rPr>
          <w:rFonts w:asciiTheme="majorBidi" w:hAnsiTheme="majorBidi" w:cstheme="majorBidi"/>
          <w:sz w:val="24"/>
          <w:szCs w:val="24"/>
        </w:rPr>
        <w:t>, issue XIX, 2010, pp. 239-89.</w:t>
      </w:r>
    </w:p>
    <w:p w14:paraId="00AA1910" w14:textId="1F235D7C" w:rsidR="000D5B5D" w:rsidRDefault="000D5B5D" w:rsidP="000D5B5D">
      <w:pPr>
        <w:spacing w:line="360" w:lineRule="auto"/>
        <w:rPr>
          <w:rFonts w:asciiTheme="majorBidi" w:hAnsiTheme="majorBidi" w:cstheme="majorBidi"/>
          <w:sz w:val="24"/>
          <w:szCs w:val="24"/>
        </w:rPr>
      </w:pPr>
      <w:r>
        <w:rPr>
          <w:rFonts w:asciiTheme="majorBidi" w:hAnsiTheme="majorBidi" w:cstheme="majorBidi"/>
          <w:sz w:val="24"/>
          <w:szCs w:val="24"/>
        </w:rPr>
        <w:t xml:space="preserve">Rawlinson, Henry, </w:t>
      </w:r>
      <w:r w:rsidR="00FB6B9D">
        <w:rPr>
          <w:rFonts w:asciiTheme="majorBidi" w:hAnsiTheme="majorBidi" w:cstheme="majorBidi"/>
          <w:sz w:val="24"/>
          <w:szCs w:val="24"/>
        </w:rPr>
        <w:t>T</w:t>
      </w:r>
      <w:r>
        <w:rPr>
          <w:rFonts w:asciiTheme="majorBidi" w:hAnsiTheme="majorBidi" w:cstheme="majorBidi"/>
          <w:sz w:val="24"/>
          <w:szCs w:val="24"/>
        </w:rPr>
        <w:t xml:space="preserve">he Persian Cuneiform Inscription at Behistun, Decyphered and Translated: with a Memoir on Persian Cuneiform Inscriptions in General, and on that of Behistun in Particular, </w:t>
      </w:r>
      <w:r w:rsidR="00FB6B9D">
        <w:rPr>
          <w:rFonts w:asciiTheme="majorBidi" w:hAnsiTheme="majorBidi" w:cstheme="majorBidi"/>
          <w:i/>
          <w:iCs/>
          <w:sz w:val="24"/>
          <w:szCs w:val="24"/>
        </w:rPr>
        <w:t>T</w:t>
      </w:r>
      <w:r w:rsidRPr="00721E6B">
        <w:rPr>
          <w:rFonts w:asciiTheme="majorBidi" w:hAnsiTheme="majorBidi" w:cstheme="majorBidi"/>
          <w:i/>
          <w:iCs/>
          <w:sz w:val="24"/>
          <w:szCs w:val="24"/>
        </w:rPr>
        <w:t>he Journal of the Royal Asiatic Society of Great Britain and Ireland</w:t>
      </w:r>
      <w:r>
        <w:rPr>
          <w:rFonts w:asciiTheme="majorBidi" w:hAnsiTheme="majorBidi" w:cstheme="majorBidi"/>
          <w:sz w:val="24"/>
          <w:szCs w:val="24"/>
        </w:rPr>
        <w:t>, 1848, volume 10, pp. i-lxxi, 1-265, 268-349.</w:t>
      </w:r>
    </w:p>
    <w:p w14:paraId="109449F1" w14:textId="32402BC1" w:rsidR="00DB7036" w:rsidRDefault="00DB7036" w:rsidP="00DB7036">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FB6B9D">
        <w:rPr>
          <w:rFonts w:asciiTheme="majorBidi" w:hAnsiTheme="majorBidi" w:cstheme="majorBidi"/>
          <w:sz w:val="24"/>
          <w:szCs w:val="24"/>
        </w:rPr>
        <w:t>T</w:t>
      </w:r>
      <w:r>
        <w:rPr>
          <w:rFonts w:asciiTheme="majorBidi" w:hAnsiTheme="majorBidi" w:cstheme="majorBidi"/>
          <w:sz w:val="24"/>
          <w:szCs w:val="24"/>
        </w:rPr>
        <w:t xml:space="preserve">he Persian Cuneiform Inscription at Behistun, Decyphered and Translated: with a Memoir (continued), </w:t>
      </w:r>
      <w:r w:rsidR="00FB6B9D">
        <w:rPr>
          <w:rFonts w:asciiTheme="majorBidi" w:hAnsiTheme="majorBidi" w:cstheme="majorBidi"/>
          <w:i/>
          <w:iCs/>
          <w:sz w:val="24"/>
          <w:szCs w:val="24"/>
        </w:rPr>
        <w:t>T</w:t>
      </w:r>
      <w:r w:rsidRPr="00721E6B">
        <w:rPr>
          <w:rFonts w:asciiTheme="majorBidi" w:hAnsiTheme="majorBidi" w:cstheme="majorBidi"/>
          <w:i/>
          <w:iCs/>
          <w:sz w:val="24"/>
          <w:szCs w:val="24"/>
        </w:rPr>
        <w:t>he Journal of the Royal Asiatic Society of Great Britain and Ireland</w:t>
      </w:r>
      <w:r>
        <w:rPr>
          <w:rFonts w:asciiTheme="majorBidi" w:hAnsiTheme="majorBidi" w:cstheme="majorBidi"/>
          <w:sz w:val="24"/>
          <w:szCs w:val="24"/>
        </w:rPr>
        <w:t>, 1849, volume 11, pp. 1-192.</w:t>
      </w:r>
    </w:p>
    <w:p w14:paraId="0923D33B" w14:textId="77777777" w:rsidR="00A13279" w:rsidRDefault="00A13279" w:rsidP="00A13279">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Rezakhani, Khodadad, Balkh and the Sasanians: the economy and society of northern Afghanistan as reflected in the Bactrian economic documents, in </w:t>
      </w:r>
      <w:r w:rsidRPr="003A7A31">
        <w:rPr>
          <w:rFonts w:asciiTheme="majorBidi" w:hAnsiTheme="majorBidi" w:cstheme="majorBidi"/>
          <w:i/>
          <w:iCs/>
          <w:sz w:val="24"/>
          <w:szCs w:val="24"/>
        </w:rPr>
        <w:t>Iranica</w:t>
      </w:r>
      <w:r>
        <w:rPr>
          <w:rFonts w:asciiTheme="majorBidi" w:hAnsiTheme="majorBidi" w:cstheme="majorBidi"/>
          <w:sz w:val="24"/>
          <w:szCs w:val="24"/>
        </w:rPr>
        <w:t>, band 19, 6</w:t>
      </w:r>
      <w:r w:rsidRPr="003A7A31">
        <w:rPr>
          <w:rFonts w:asciiTheme="majorBidi" w:hAnsiTheme="majorBidi" w:cstheme="majorBidi"/>
          <w:sz w:val="24"/>
          <w:szCs w:val="24"/>
          <w:vertAlign w:val="superscript"/>
        </w:rPr>
        <w:t>th</w:t>
      </w:r>
      <w:r>
        <w:rPr>
          <w:rFonts w:asciiTheme="majorBidi" w:hAnsiTheme="majorBidi" w:cstheme="majorBidi"/>
          <w:sz w:val="24"/>
          <w:szCs w:val="24"/>
        </w:rPr>
        <w:t xml:space="preserve"> European conference of Iranian studies: Ancient and Middle Iranian studies, Wiesbaden, Harrassowitz, 2010, pp. 191-204.  </w:t>
      </w:r>
    </w:p>
    <w:p w14:paraId="7D250741" w14:textId="29E92002" w:rsidR="00DB7036" w:rsidRDefault="00A13279" w:rsidP="00DB7036">
      <w:pPr>
        <w:spacing w:line="360" w:lineRule="auto"/>
        <w:rPr>
          <w:rFonts w:asciiTheme="majorBidi" w:hAnsiTheme="majorBidi" w:cstheme="majorBidi"/>
          <w:sz w:val="24"/>
          <w:szCs w:val="24"/>
        </w:rPr>
      </w:pPr>
      <w:r>
        <w:rPr>
          <w:rFonts w:asciiTheme="majorBidi" w:hAnsiTheme="majorBidi" w:cstheme="majorBidi"/>
          <w:sz w:val="24"/>
          <w:szCs w:val="24"/>
        </w:rPr>
        <w:t>----,</w:t>
      </w:r>
      <w:r w:rsidR="00DB7036">
        <w:rPr>
          <w:rFonts w:asciiTheme="majorBidi" w:hAnsiTheme="majorBidi" w:cstheme="majorBidi"/>
          <w:sz w:val="24"/>
          <w:szCs w:val="24"/>
        </w:rPr>
        <w:t xml:space="preserve"> From the Kushans to the Western Turks, in </w:t>
      </w:r>
      <w:r w:rsidR="00DB7036" w:rsidRPr="004136A7">
        <w:rPr>
          <w:rFonts w:asciiTheme="majorBidi" w:hAnsiTheme="majorBidi" w:cstheme="majorBidi"/>
          <w:i/>
          <w:iCs/>
          <w:sz w:val="24"/>
          <w:szCs w:val="24"/>
        </w:rPr>
        <w:t xml:space="preserve">King of the Seven Climes: </w:t>
      </w:r>
      <w:proofErr w:type="gramStart"/>
      <w:r w:rsidR="00DB7036" w:rsidRPr="004136A7">
        <w:rPr>
          <w:rFonts w:asciiTheme="majorBidi" w:hAnsiTheme="majorBidi" w:cstheme="majorBidi"/>
          <w:i/>
          <w:iCs/>
          <w:sz w:val="24"/>
          <w:szCs w:val="24"/>
        </w:rPr>
        <w:t>a</w:t>
      </w:r>
      <w:proofErr w:type="gramEnd"/>
      <w:r w:rsidR="00DB7036" w:rsidRPr="004136A7">
        <w:rPr>
          <w:rFonts w:asciiTheme="majorBidi" w:hAnsiTheme="majorBidi" w:cstheme="majorBidi"/>
          <w:i/>
          <w:iCs/>
          <w:sz w:val="24"/>
          <w:szCs w:val="24"/>
        </w:rPr>
        <w:t xml:space="preserve"> History of the Ancient Iranian World (3000 BCE – 651 CE)</w:t>
      </w:r>
      <w:r w:rsidR="00DB7036">
        <w:rPr>
          <w:rFonts w:asciiTheme="majorBidi" w:hAnsiTheme="majorBidi" w:cstheme="majorBidi"/>
          <w:sz w:val="24"/>
          <w:szCs w:val="24"/>
        </w:rPr>
        <w:t>, edited by Daryaee, Touraj, Irvine, UCI Jordan Center for Persian Studies, 2017, pp. 199-225.</w:t>
      </w:r>
    </w:p>
    <w:p w14:paraId="2993A86A" w14:textId="2BF529C8" w:rsidR="00525B73" w:rsidRDefault="00416085" w:rsidP="00525B73">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FD63E4">
        <w:rPr>
          <w:rFonts w:asciiTheme="majorBidi" w:hAnsiTheme="majorBidi" w:cstheme="majorBidi"/>
          <w:i/>
          <w:iCs/>
          <w:sz w:val="24"/>
          <w:szCs w:val="24"/>
        </w:rPr>
        <w:t xml:space="preserve">Reorienting the Sasanians: </w:t>
      </w:r>
      <w:r w:rsidR="005A7C68">
        <w:rPr>
          <w:rFonts w:asciiTheme="majorBidi" w:hAnsiTheme="majorBidi" w:cstheme="majorBidi"/>
          <w:i/>
          <w:iCs/>
          <w:sz w:val="24"/>
          <w:szCs w:val="24"/>
        </w:rPr>
        <w:t>E</w:t>
      </w:r>
      <w:r w:rsidRPr="00FD63E4">
        <w:rPr>
          <w:rFonts w:asciiTheme="majorBidi" w:hAnsiTheme="majorBidi" w:cstheme="majorBidi"/>
          <w:i/>
          <w:iCs/>
          <w:sz w:val="24"/>
          <w:szCs w:val="24"/>
        </w:rPr>
        <w:t xml:space="preserve">ast Iran in </w:t>
      </w:r>
      <w:r w:rsidR="005A7C68">
        <w:rPr>
          <w:rFonts w:asciiTheme="majorBidi" w:hAnsiTheme="majorBidi" w:cstheme="majorBidi"/>
          <w:i/>
          <w:iCs/>
          <w:sz w:val="24"/>
          <w:szCs w:val="24"/>
        </w:rPr>
        <w:t>L</w:t>
      </w:r>
      <w:r w:rsidRPr="00FD63E4">
        <w:rPr>
          <w:rFonts w:asciiTheme="majorBidi" w:hAnsiTheme="majorBidi" w:cstheme="majorBidi"/>
          <w:i/>
          <w:iCs/>
          <w:sz w:val="24"/>
          <w:szCs w:val="24"/>
        </w:rPr>
        <w:t>ate Antiquity</w:t>
      </w:r>
      <w:r>
        <w:rPr>
          <w:rFonts w:asciiTheme="majorBidi" w:hAnsiTheme="majorBidi" w:cstheme="majorBidi"/>
          <w:sz w:val="24"/>
          <w:szCs w:val="24"/>
        </w:rPr>
        <w:t>, Edinburg, Edinburg University Press, 2017.</w:t>
      </w:r>
    </w:p>
    <w:p w14:paraId="717DDA33" w14:textId="2B76CB6D" w:rsidR="00525B73" w:rsidRDefault="00174F08" w:rsidP="00174F08">
      <w:pPr>
        <w:spacing w:line="360" w:lineRule="auto"/>
        <w:rPr>
          <w:rFonts w:asciiTheme="majorBidi" w:hAnsiTheme="majorBidi" w:cstheme="majorBidi"/>
          <w:sz w:val="24"/>
          <w:szCs w:val="24"/>
        </w:rPr>
      </w:pPr>
      <w:r>
        <w:rPr>
          <w:rFonts w:asciiTheme="majorBidi" w:hAnsiTheme="majorBidi" w:cstheme="majorBidi"/>
          <w:sz w:val="24"/>
          <w:szCs w:val="24"/>
        </w:rPr>
        <w:t>Rong, Xinjiang</w:t>
      </w:r>
      <w:r w:rsidR="00DB6F72">
        <w:rPr>
          <w:rFonts w:asciiTheme="majorBidi" w:hAnsiTheme="majorBidi" w:cstheme="majorBidi" w:hint="eastAsia"/>
          <w:sz w:val="24"/>
          <w:szCs w:val="24"/>
        </w:rPr>
        <w:t>荣新江</w:t>
      </w:r>
      <w:r>
        <w:rPr>
          <w:rFonts w:asciiTheme="majorBidi" w:hAnsiTheme="majorBidi" w:cstheme="majorBidi"/>
          <w:sz w:val="24"/>
          <w:szCs w:val="24"/>
        </w:rPr>
        <w:t>,</w:t>
      </w:r>
      <w:r w:rsidR="00525B73">
        <w:rPr>
          <w:rFonts w:asciiTheme="majorBidi" w:hAnsiTheme="majorBidi" w:cstheme="majorBidi"/>
          <w:sz w:val="24"/>
          <w:szCs w:val="24"/>
        </w:rPr>
        <w:t xml:space="preserve"> </w:t>
      </w:r>
      <w:r w:rsidR="00EF782C">
        <w:rPr>
          <w:rFonts w:asciiTheme="majorBidi" w:hAnsiTheme="majorBidi" w:cstheme="majorBidi"/>
          <w:sz w:val="24"/>
          <w:szCs w:val="24"/>
        </w:rPr>
        <w:t>Persia and China</w:t>
      </w:r>
      <w:r w:rsidR="00EF782C">
        <w:rPr>
          <w:rFonts w:asciiTheme="majorBidi" w:hAnsiTheme="majorBidi" w:cstheme="majorBidi" w:hint="eastAsia"/>
          <w:sz w:val="24"/>
          <w:szCs w:val="24"/>
        </w:rPr>
        <w:t>:</w:t>
      </w:r>
      <w:r w:rsidR="00EF782C">
        <w:rPr>
          <w:rFonts w:asciiTheme="majorBidi" w:hAnsiTheme="majorBidi" w:cstheme="majorBidi"/>
          <w:sz w:val="24"/>
          <w:szCs w:val="24"/>
        </w:rPr>
        <w:t xml:space="preserve"> Interactions of the Two Cultures in the Tang Dynast</w:t>
      </w:r>
      <w:r w:rsidR="00DB6F72">
        <w:rPr>
          <w:rFonts w:asciiTheme="majorBidi" w:hAnsiTheme="majorBidi" w:cstheme="majorBidi"/>
          <w:sz w:val="24"/>
          <w:szCs w:val="24"/>
        </w:rPr>
        <w:t>y</w:t>
      </w:r>
      <w:r w:rsidR="00EF782C">
        <w:rPr>
          <w:rFonts w:asciiTheme="majorBidi" w:hAnsiTheme="majorBidi" w:cstheme="majorBidi" w:hint="eastAsia"/>
          <w:sz w:val="24"/>
          <w:szCs w:val="24"/>
        </w:rPr>
        <w:t>波斯与中国：两种文化在唐朝的交融</w:t>
      </w:r>
      <w:r w:rsidR="00525B73">
        <w:rPr>
          <w:rFonts w:asciiTheme="majorBidi" w:hAnsiTheme="majorBidi" w:cstheme="majorBidi"/>
          <w:sz w:val="24"/>
          <w:szCs w:val="24"/>
        </w:rPr>
        <w:t xml:space="preserve">, in </w:t>
      </w:r>
      <w:r w:rsidR="00FB6B9D">
        <w:rPr>
          <w:rFonts w:asciiTheme="majorBidi" w:hAnsiTheme="majorBidi" w:cstheme="majorBidi"/>
          <w:i/>
          <w:iCs/>
          <w:sz w:val="24"/>
          <w:szCs w:val="24"/>
        </w:rPr>
        <w:t>T</w:t>
      </w:r>
      <w:r w:rsidR="00525B73" w:rsidRPr="00525B73">
        <w:rPr>
          <w:rFonts w:asciiTheme="majorBidi" w:hAnsiTheme="majorBidi" w:cstheme="majorBidi"/>
          <w:i/>
          <w:iCs/>
          <w:sz w:val="24"/>
          <w:szCs w:val="24"/>
        </w:rPr>
        <w:t>he Silk Road and Cultural Interaction between East and West</w:t>
      </w:r>
      <w:r w:rsidR="00DB6F72">
        <w:rPr>
          <w:rFonts w:asciiTheme="majorBidi" w:hAnsiTheme="majorBidi" w:cstheme="majorBidi" w:hint="eastAsia"/>
          <w:sz w:val="24"/>
          <w:szCs w:val="24"/>
        </w:rPr>
        <w:t>丝绸之路与东西文化交流</w:t>
      </w:r>
      <w:r w:rsidR="00525B73">
        <w:rPr>
          <w:rFonts w:asciiTheme="majorBidi" w:hAnsiTheme="majorBidi" w:cstheme="majorBidi"/>
          <w:sz w:val="24"/>
          <w:szCs w:val="24"/>
        </w:rPr>
        <w:t>, by Rong, Xinjiang, Beijing, Peking University Press, 2015, pp. 61-80.</w:t>
      </w:r>
    </w:p>
    <w:p w14:paraId="21B7614C" w14:textId="23B0C8B9" w:rsidR="00174F08" w:rsidRDefault="00525B73" w:rsidP="00174F08">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EF782C">
        <w:rPr>
          <w:rFonts w:asciiTheme="majorBidi" w:hAnsiTheme="majorBidi" w:cstheme="majorBidi"/>
          <w:sz w:val="24"/>
          <w:szCs w:val="24"/>
        </w:rPr>
        <w:t>A Persian Nestorian Family in Tang China</w:t>
      </w:r>
      <w:r w:rsidR="00EF782C">
        <w:rPr>
          <w:rFonts w:asciiTheme="majorBidi" w:hAnsiTheme="majorBidi" w:cstheme="majorBidi" w:hint="eastAsia"/>
          <w:sz w:val="24"/>
          <w:szCs w:val="24"/>
        </w:rPr>
        <w:t>一个入仕唐朝的波斯景教家族</w:t>
      </w:r>
      <w:r w:rsidR="00174F08">
        <w:rPr>
          <w:rFonts w:asciiTheme="majorBidi" w:hAnsiTheme="majorBidi" w:cstheme="majorBidi"/>
          <w:sz w:val="24"/>
          <w:szCs w:val="24"/>
        </w:rPr>
        <w:t xml:space="preserve">, in </w:t>
      </w:r>
      <w:r w:rsidR="00F62F2D">
        <w:rPr>
          <w:rFonts w:asciiTheme="majorBidi" w:hAnsiTheme="majorBidi" w:cstheme="majorBidi"/>
          <w:i/>
          <w:iCs/>
          <w:sz w:val="24"/>
          <w:szCs w:val="24"/>
        </w:rPr>
        <w:t>Medieval China and Foreign Civilizations</w:t>
      </w:r>
      <w:r w:rsidR="00F62F2D">
        <w:rPr>
          <w:rFonts w:asciiTheme="majorBidi" w:hAnsiTheme="majorBidi" w:cstheme="majorBidi" w:hint="eastAsia"/>
          <w:sz w:val="24"/>
          <w:szCs w:val="24"/>
        </w:rPr>
        <w:t>中古中国与外来文明</w:t>
      </w:r>
      <w:r w:rsidR="00DB6F72">
        <w:rPr>
          <w:rFonts w:asciiTheme="majorBidi" w:hAnsiTheme="majorBidi" w:cstheme="majorBidi" w:hint="eastAsia"/>
          <w:sz w:val="24"/>
          <w:szCs w:val="24"/>
        </w:rPr>
        <w:t>,</w:t>
      </w:r>
      <w:r w:rsidR="00DB6F72">
        <w:rPr>
          <w:rFonts w:asciiTheme="majorBidi" w:hAnsiTheme="majorBidi" w:cstheme="majorBidi"/>
          <w:sz w:val="24"/>
          <w:szCs w:val="24"/>
        </w:rPr>
        <w:t xml:space="preserve"> </w:t>
      </w:r>
      <w:r w:rsidR="00174F08">
        <w:rPr>
          <w:rFonts w:asciiTheme="majorBidi" w:hAnsiTheme="majorBidi" w:cstheme="majorBidi"/>
          <w:sz w:val="24"/>
          <w:szCs w:val="24"/>
        </w:rPr>
        <w:t xml:space="preserve">Rong, Xinjiang </w:t>
      </w:r>
      <w:r w:rsidR="00174F08">
        <w:rPr>
          <w:rFonts w:asciiTheme="majorBidi" w:hAnsiTheme="majorBidi" w:cstheme="majorBidi"/>
          <w:sz w:val="24"/>
          <w:szCs w:val="24"/>
        </w:rPr>
        <w:lastRenderedPageBreak/>
        <w:t>(editor), Beijing, Sanlian chubanshe, 2001, pp. 238-57.</w:t>
      </w:r>
    </w:p>
    <w:p w14:paraId="459854DF" w14:textId="737E6A4D" w:rsidR="00EC56EB" w:rsidRDefault="00EC56EB" w:rsidP="00174F08">
      <w:pPr>
        <w:spacing w:line="360" w:lineRule="auto"/>
        <w:rPr>
          <w:rFonts w:asciiTheme="majorBidi" w:hAnsiTheme="majorBidi" w:cstheme="majorBidi"/>
          <w:sz w:val="24"/>
          <w:szCs w:val="24"/>
        </w:rPr>
      </w:pPr>
      <w:r>
        <w:rPr>
          <w:rFonts w:asciiTheme="majorBidi" w:hAnsiTheme="majorBidi" w:cstheme="majorBidi"/>
          <w:sz w:val="24"/>
          <w:szCs w:val="24"/>
        </w:rPr>
        <w:t xml:space="preserve">Rosenthal, Franz, </w:t>
      </w:r>
      <w:r w:rsidRPr="00EC56EB">
        <w:rPr>
          <w:rFonts w:asciiTheme="majorBidi" w:hAnsiTheme="majorBidi" w:cstheme="majorBidi"/>
          <w:i/>
          <w:iCs/>
          <w:sz w:val="24"/>
          <w:szCs w:val="24"/>
        </w:rPr>
        <w:t>A History of Muslim Historiography</w:t>
      </w:r>
      <w:r>
        <w:rPr>
          <w:rFonts w:asciiTheme="majorBidi" w:hAnsiTheme="majorBidi" w:cstheme="majorBidi"/>
          <w:sz w:val="24"/>
          <w:szCs w:val="24"/>
        </w:rPr>
        <w:t>, Leiden, Brill, 1968.</w:t>
      </w:r>
    </w:p>
    <w:p w14:paraId="0D81784C" w14:textId="44970A79" w:rsidR="00D83BA4" w:rsidRDefault="00D83BA4" w:rsidP="00174F08">
      <w:pPr>
        <w:spacing w:line="360" w:lineRule="auto"/>
        <w:rPr>
          <w:rFonts w:asciiTheme="majorBidi" w:hAnsiTheme="majorBidi" w:cstheme="majorBidi"/>
          <w:sz w:val="24"/>
          <w:szCs w:val="24"/>
        </w:rPr>
      </w:pPr>
      <w:r>
        <w:rPr>
          <w:rFonts w:asciiTheme="majorBidi" w:hAnsiTheme="majorBidi" w:cstheme="majorBidi"/>
          <w:sz w:val="24"/>
          <w:szCs w:val="24"/>
        </w:rPr>
        <w:t>Scheiner, Jens, Writing the History of the Futū</w:t>
      </w:r>
      <w:r w:rsidR="009756B4">
        <w:rPr>
          <w:rFonts w:asciiTheme="majorBidi" w:hAnsiTheme="majorBidi" w:cstheme="majorBidi"/>
          <w:sz w:val="24"/>
          <w:szCs w:val="24"/>
        </w:rPr>
        <w:t xml:space="preserve">ḥ: the Futūḥ-Works by al-Azdī, Ibn </w:t>
      </w:r>
      <w:proofErr w:type="gramStart"/>
      <w:r w:rsidR="009756B4">
        <w:rPr>
          <w:rFonts w:asciiTheme="majorBidi" w:hAnsiTheme="majorBidi" w:cstheme="majorBidi"/>
          <w:sz w:val="24"/>
          <w:szCs w:val="24"/>
        </w:rPr>
        <w:t>A‘</w:t>
      </w:r>
      <w:proofErr w:type="gramEnd"/>
      <w:r w:rsidR="009756B4">
        <w:rPr>
          <w:rFonts w:asciiTheme="majorBidi" w:hAnsiTheme="majorBidi" w:cstheme="majorBidi"/>
          <w:sz w:val="24"/>
          <w:szCs w:val="24"/>
        </w:rPr>
        <w:t xml:space="preserve">tham, and al-Wāqidī, </w:t>
      </w:r>
      <w:r w:rsidR="009756B4" w:rsidRPr="00FB6B9D">
        <w:rPr>
          <w:rFonts w:asciiTheme="majorBidi" w:hAnsiTheme="majorBidi" w:cstheme="majorBidi"/>
          <w:sz w:val="24"/>
          <w:szCs w:val="24"/>
        </w:rPr>
        <w:t xml:space="preserve">in </w:t>
      </w:r>
      <w:r w:rsidR="00FB6B9D">
        <w:rPr>
          <w:rFonts w:asciiTheme="majorBidi" w:hAnsiTheme="majorBidi" w:cstheme="majorBidi"/>
          <w:i/>
          <w:iCs/>
          <w:sz w:val="24"/>
          <w:szCs w:val="24"/>
        </w:rPr>
        <w:t>T</w:t>
      </w:r>
      <w:r w:rsidR="009756B4" w:rsidRPr="00FB6B9D">
        <w:rPr>
          <w:rFonts w:asciiTheme="majorBidi" w:hAnsiTheme="majorBidi" w:cstheme="majorBidi"/>
          <w:i/>
          <w:iCs/>
          <w:sz w:val="24"/>
          <w:szCs w:val="24"/>
        </w:rPr>
        <w:t>he Lineaments of Islam: Studies in Honor of Fred McGraw Donner</w:t>
      </w:r>
      <w:r w:rsidR="009756B4">
        <w:rPr>
          <w:rFonts w:asciiTheme="majorBidi" w:hAnsiTheme="majorBidi" w:cstheme="majorBidi"/>
          <w:sz w:val="24"/>
          <w:szCs w:val="24"/>
        </w:rPr>
        <w:t>, edited by Cobb, Paul, Leiden, Brill, 2012, pp. 151-76.</w:t>
      </w:r>
    </w:p>
    <w:p w14:paraId="717995A0" w14:textId="2DCD1E92" w:rsidR="00764370" w:rsidRPr="00764370" w:rsidRDefault="00764370" w:rsidP="00764370">
      <w:pPr>
        <w:spacing w:line="360" w:lineRule="auto"/>
        <w:rPr>
          <w:rFonts w:asciiTheme="majorBidi" w:hAnsiTheme="majorBidi" w:cstheme="majorBidi"/>
          <w:sz w:val="24"/>
          <w:szCs w:val="24"/>
        </w:rPr>
      </w:pPr>
      <w:r w:rsidRPr="00764370">
        <w:rPr>
          <w:rFonts w:asciiTheme="majorBidi" w:hAnsiTheme="majorBidi" w:cstheme="majorBidi"/>
          <w:sz w:val="24"/>
          <w:szCs w:val="24"/>
        </w:rPr>
        <w:t xml:space="preserve">Schottenhammer, Angela, Yang Liangyao’s Mission of 785 to the Caliph of Baghdad: Evidence of an Early Sino-Arabic Power Alliance? </w:t>
      </w:r>
      <w:r>
        <w:rPr>
          <w:rFonts w:asciiTheme="majorBidi" w:hAnsiTheme="majorBidi" w:cstheme="majorBidi"/>
          <w:sz w:val="24"/>
          <w:szCs w:val="24"/>
        </w:rPr>
        <w:t>É</w:t>
      </w:r>
      <w:r w:rsidRPr="00764370">
        <w:rPr>
          <w:rFonts w:asciiTheme="majorBidi" w:hAnsiTheme="majorBidi" w:cstheme="majorBidi"/>
          <w:sz w:val="24"/>
          <w:szCs w:val="24"/>
        </w:rPr>
        <w:t>cole franaise d’</w:t>
      </w:r>
      <w:r w:rsidR="00472AE9">
        <w:rPr>
          <w:rFonts w:asciiTheme="majorBidi" w:hAnsiTheme="majorBidi" w:cstheme="majorBidi"/>
          <w:sz w:val="24"/>
          <w:szCs w:val="24"/>
        </w:rPr>
        <w:t>E</w:t>
      </w:r>
      <w:r w:rsidRPr="00764370">
        <w:rPr>
          <w:rFonts w:asciiTheme="majorBidi" w:hAnsiTheme="majorBidi" w:cstheme="majorBidi"/>
          <w:sz w:val="24"/>
          <w:szCs w:val="24"/>
        </w:rPr>
        <w:t>xtr</w:t>
      </w:r>
      <w:r w:rsidR="00472AE9">
        <w:rPr>
          <w:rFonts w:asciiTheme="majorBidi" w:hAnsiTheme="majorBidi" w:cstheme="majorBidi"/>
          <w:sz w:val="24"/>
          <w:szCs w:val="24"/>
        </w:rPr>
        <w:t>ê</w:t>
      </w:r>
      <w:r w:rsidRPr="00764370">
        <w:rPr>
          <w:rFonts w:asciiTheme="majorBidi" w:hAnsiTheme="majorBidi" w:cstheme="majorBidi"/>
          <w:sz w:val="24"/>
          <w:szCs w:val="24"/>
        </w:rPr>
        <w:t>me-Orient, 2015, volume 101, pp. 172-242.</w:t>
      </w:r>
    </w:p>
    <w:p w14:paraId="131C77C1" w14:textId="21C85B8A" w:rsidR="00174F08" w:rsidRDefault="00174F08" w:rsidP="00174F08">
      <w:pPr>
        <w:spacing w:line="360" w:lineRule="auto"/>
        <w:rPr>
          <w:rFonts w:asciiTheme="majorBidi" w:hAnsiTheme="majorBidi" w:cstheme="majorBidi"/>
          <w:sz w:val="24"/>
          <w:szCs w:val="24"/>
        </w:rPr>
      </w:pPr>
      <w:r>
        <w:rPr>
          <w:rFonts w:asciiTheme="majorBidi" w:hAnsiTheme="majorBidi" w:cstheme="majorBidi"/>
          <w:sz w:val="24"/>
          <w:szCs w:val="24"/>
        </w:rPr>
        <w:t xml:space="preserve">Shaban, Muhammad, </w:t>
      </w:r>
      <w:r w:rsidR="00FB6B9D">
        <w:rPr>
          <w:rFonts w:asciiTheme="majorBidi" w:hAnsiTheme="majorBidi" w:cstheme="majorBidi"/>
          <w:i/>
          <w:iCs/>
          <w:sz w:val="24"/>
          <w:szCs w:val="24"/>
        </w:rPr>
        <w:t>T</w:t>
      </w:r>
      <w:r w:rsidRPr="00032CFF">
        <w:rPr>
          <w:rFonts w:asciiTheme="majorBidi" w:hAnsiTheme="majorBidi" w:cstheme="majorBidi"/>
          <w:i/>
          <w:iCs/>
          <w:sz w:val="24"/>
          <w:szCs w:val="24"/>
        </w:rPr>
        <w:t>he ‘Abbāsid Revolution</w:t>
      </w:r>
      <w:r>
        <w:rPr>
          <w:rFonts w:asciiTheme="majorBidi" w:hAnsiTheme="majorBidi" w:cstheme="majorBidi"/>
          <w:sz w:val="24"/>
          <w:szCs w:val="24"/>
        </w:rPr>
        <w:t>, Cambridge, Cambridge University Press, 1970.</w:t>
      </w:r>
    </w:p>
    <w:p w14:paraId="0EDFC27A" w14:textId="61EDC8DB" w:rsidR="006875F2" w:rsidRDefault="006875F2" w:rsidP="00EE4835">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Shapira, Dan, Was there Geographical Science in Sasnian Iran, </w:t>
      </w:r>
      <w:r w:rsidRPr="006875F2">
        <w:rPr>
          <w:rFonts w:asciiTheme="majorBidi" w:hAnsiTheme="majorBidi" w:cstheme="majorBidi"/>
          <w:i/>
          <w:iCs/>
          <w:sz w:val="24"/>
          <w:szCs w:val="24"/>
        </w:rPr>
        <w:t>Acta Orientalia Academiae Scientirium Hungaricae</w:t>
      </w:r>
      <w:r>
        <w:rPr>
          <w:rFonts w:asciiTheme="majorBidi" w:hAnsiTheme="majorBidi" w:cstheme="majorBidi"/>
          <w:sz w:val="24"/>
          <w:szCs w:val="24"/>
        </w:rPr>
        <w:t>, 2001, volume 54, number 2/3, pp. 319-38.</w:t>
      </w:r>
    </w:p>
    <w:p w14:paraId="4161ED9C" w14:textId="4A508A8B" w:rsidR="00B425D5" w:rsidRPr="00EE4835" w:rsidRDefault="001D6F5A" w:rsidP="00EE4835">
      <w:pPr>
        <w:spacing w:line="360" w:lineRule="auto"/>
        <w:jc w:val="left"/>
        <w:rPr>
          <w:rFonts w:asciiTheme="majorBidi" w:hAnsiTheme="majorBidi" w:cstheme="majorBidi"/>
          <w:sz w:val="24"/>
          <w:szCs w:val="24"/>
        </w:rPr>
      </w:pPr>
      <w:r w:rsidRPr="00EE4835">
        <w:rPr>
          <w:rFonts w:asciiTheme="majorBidi" w:hAnsiTheme="majorBidi" w:cstheme="majorBidi"/>
          <w:sz w:val="24"/>
          <w:szCs w:val="24"/>
        </w:rPr>
        <w:t>Sims-Williams,</w:t>
      </w:r>
      <w:r w:rsidR="005831E3" w:rsidRPr="00EE4835">
        <w:rPr>
          <w:rFonts w:asciiTheme="majorBidi" w:hAnsiTheme="majorBidi" w:cstheme="majorBidi"/>
          <w:sz w:val="24"/>
          <w:szCs w:val="24"/>
        </w:rPr>
        <w:t xml:space="preserve"> </w:t>
      </w:r>
      <w:r w:rsidR="00B425D5" w:rsidRPr="00EE4835">
        <w:rPr>
          <w:rFonts w:asciiTheme="majorBidi" w:hAnsiTheme="majorBidi" w:cstheme="majorBidi"/>
          <w:sz w:val="24"/>
          <w:szCs w:val="24"/>
        </w:rPr>
        <w:t xml:space="preserve">Nicholas, Ancient Afghanistan and its invaders: Linguistic evidence from the Bactrian documents and inscriptions, in </w:t>
      </w:r>
      <w:r w:rsidR="00B425D5" w:rsidRPr="00EE4835">
        <w:rPr>
          <w:rFonts w:asciiTheme="majorBidi" w:hAnsiTheme="majorBidi" w:cstheme="majorBidi"/>
          <w:i/>
          <w:iCs/>
          <w:sz w:val="24"/>
          <w:szCs w:val="24"/>
        </w:rPr>
        <w:t>Indo-Iranian Languages and Peoples</w:t>
      </w:r>
      <w:r w:rsidR="00B425D5" w:rsidRPr="00EE4835">
        <w:rPr>
          <w:rFonts w:asciiTheme="majorBidi" w:hAnsiTheme="majorBidi" w:cstheme="majorBidi"/>
          <w:sz w:val="24"/>
          <w:szCs w:val="24"/>
        </w:rPr>
        <w:t>, edited by Sims-Williams, Nicholas, 2002, pp.</w:t>
      </w:r>
      <w:r w:rsidR="00D17001" w:rsidRPr="00EE4835">
        <w:t xml:space="preserve"> </w:t>
      </w:r>
      <w:r w:rsidR="00EE4835" w:rsidRPr="00EE4835">
        <w:t>225-42.</w:t>
      </w:r>
    </w:p>
    <w:p w14:paraId="4E0656FF" w14:textId="0FF5B6A4" w:rsidR="005831E3" w:rsidRDefault="00B425D5" w:rsidP="001D6F5A">
      <w:pPr>
        <w:spacing w:line="360" w:lineRule="auto"/>
        <w:jc w:val="left"/>
        <w:rPr>
          <w:rFonts w:asciiTheme="majorBidi" w:hAnsiTheme="majorBidi" w:cstheme="majorBidi"/>
          <w:i/>
          <w:iCs/>
          <w:sz w:val="24"/>
          <w:szCs w:val="24"/>
        </w:rPr>
      </w:pPr>
      <w:r>
        <w:rPr>
          <w:rFonts w:asciiTheme="majorBidi" w:hAnsiTheme="majorBidi" w:cstheme="majorBidi"/>
          <w:sz w:val="24"/>
          <w:szCs w:val="24"/>
        </w:rPr>
        <w:t xml:space="preserve">----, </w:t>
      </w:r>
      <w:r w:rsidR="005831E3">
        <w:rPr>
          <w:rFonts w:asciiTheme="majorBidi" w:hAnsiTheme="majorBidi" w:cstheme="majorBidi"/>
          <w:sz w:val="24"/>
          <w:szCs w:val="24"/>
        </w:rPr>
        <w:t xml:space="preserve">A new Bactrian inscription from the time of Kanishka, in </w:t>
      </w:r>
      <w:r w:rsidR="005831E3" w:rsidRPr="00247293">
        <w:rPr>
          <w:rFonts w:asciiTheme="majorBidi" w:hAnsiTheme="majorBidi" w:cstheme="majorBidi"/>
          <w:i/>
          <w:iCs/>
          <w:sz w:val="24"/>
          <w:szCs w:val="24"/>
        </w:rPr>
        <w:t>Kushan Histories: Literary Sources and Selected Papers from a Symposium at Berlin, December 5 to 7, 2013</w:t>
      </w:r>
      <w:r w:rsidR="005831E3">
        <w:rPr>
          <w:rFonts w:asciiTheme="majorBidi" w:hAnsiTheme="majorBidi" w:cstheme="majorBidi"/>
          <w:sz w:val="24"/>
          <w:szCs w:val="24"/>
        </w:rPr>
        <w:t>, Bremen, Hempen Verlag, 2015, pp. 255-64.</w:t>
      </w:r>
      <w:r w:rsidR="001D6F5A">
        <w:rPr>
          <w:rFonts w:asciiTheme="majorBidi" w:hAnsiTheme="majorBidi" w:cstheme="majorBidi"/>
          <w:sz w:val="24"/>
          <w:szCs w:val="24"/>
        </w:rPr>
        <w:t xml:space="preserve"> </w:t>
      </w:r>
    </w:p>
    <w:p w14:paraId="32336AC8" w14:textId="77937F88" w:rsidR="001D6F5A" w:rsidRDefault="005831E3" w:rsidP="001D6F5A">
      <w:pPr>
        <w:spacing w:line="360" w:lineRule="auto"/>
        <w:jc w:val="left"/>
        <w:rPr>
          <w:rFonts w:asciiTheme="majorBidi" w:hAnsiTheme="majorBidi" w:cstheme="majorBidi"/>
          <w:sz w:val="24"/>
          <w:szCs w:val="24"/>
        </w:rPr>
      </w:pPr>
      <w:r w:rsidRPr="005831E3">
        <w:rPr>
          <w:rFonts w:asciiTheme="majorBidi" w:hAnsiTheme="majorBidi" w:cstheme="majorBidi"/>
          <w:sz w:val="24"/>
          <w:szCs w:val="24"/>
        </w:rPr>
        <w:t xml:space="preserve">----, </w:t>
      </w:r>
      <w:r w:rsidR="001D6F5A" w:rsidRPr="001D6F5A">
        <w:rPr>
          <w:rFonts w:asciiTheme="majorBidi" w:hAnsiTheme="majorBidi" w:cstheme="majorBidi"/>
          <w:i/>
          <w:iCs/>
          <w:sz w:val="24"/>
          <w:szCs w:val="24"/>
        </w:rPr>
        <w:t>Bactrian Documents from Northern Afghanistan I: Legal and Economic Documents</w:t>
      </w:r>
      <w:r w:rsidR="001D6F5A">
        <w:rPr>
          <w:rFonts w:asciiTheme="majorBidi" w:hAnsiTheme="majorBidi" w:cstheme="majorBidi"/>
          <w:sz w:val="24"/>
          <w:szCs w:val="24"/>
        </w:rPr>
        <w:t>, Oxford, the Nour Foundation in association with Azimuth Editions and Oxford University Press, 2000.</w:t>
      </w:r>
    </w:p>
    <w:p w14:paraId="4C0CD25F" w14:textId="3DEE0464" w:rsidR="00D5453C" w:rsidRDefault="00D5453C" w:rsidP="00D5453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 </w:t>
      </w:r>
      <w:r w:rsidRPr="00D5453C">
        <w:rPr>
          <w:rFonts w:asciiTheme="majorBidi" w:hAnsiTheme="majorBidi" w:cstheme="majorBidi"/>
          <w:i/>
          <w:iCs/>
          <w:sz w:val="24"/>
          <w:szCs w:val="24"/>
        </w:rPr>
        <w:t xml:space="preserve">Bactrian </w:t>
      </w:r>
      <w:r w:rsidR="00FB6B9D">
        <w:rPr>
          <w:rFonts w:asciiTheme="majorBidi" w:hAnsiTheme="majorBidi" w:cstheme="majorBidi"/>
          <w:i/>
          <w:iCs/>
          <w:sz w:val="24"/>
          <w:szCs w:val="24"/>
        </w:rPr>
        <w:t>D</w:t>
      </w:r>
      <w:r w:rsidRPr="00D5453C">
        <w:rPr>
          <w:rFonts w:asciiTheme="majorBidi" w:hAnsiTheme="majorBidi" w:cstheme="majorBidi"/>
          <w:i/>
          <w:iCs/>
          <w:sz w:val="24"/>
          <w:szCs w:val="24"/>
        </w:rPr>
        <w:t xml:space="preserve">ocuments from </w:t>
      </w:r>
      <w:r w:rsidR="00FB6B9D">
        <w:rPr>
          <w:rFonts w:asciiTheme="majorBidi" w:hAnsiTheme="majorBidi" w:cstheme="majorBidi"/>
          <w:i/>
          <w:iCs/>
          <w:sz w:val="24"/>
          <w:szCs w:val="24"/>
        </w:rPr>
        <w:t>N</w:t>
      </w:r>
      <w:r w:rsidRPr="00D5453C">
        <w:rPr>
          <w:rFonts w:asciiTheme="majorBidi" w:hAnsiTheme="majorBidi" w:cstheme="majorBidi"/>
          <w:i/>
          <w:iCs/>
          <w:sz w:val="24"/>
          <w:szCs w:val="24"/>
        </w:rPr>
        <w:t xml:space="preserve">orthern Afghanistan II: </w:t>
      </w:r>
      <w:r w:rsidR="00FB6B9D">
        <w:rPr>
          <w:rFonts w:asciiTheme="majorBidi" w:hAnsiTheme="majorBidi" w:cstheme="majorBidi"/>
          <w:i/>
          <w:iCs/>
          <w:sz w:val="24"/>
          <w:szCs w:val="24"/>
        </w:rPr>
        <w:t>L</w:t>
      </w:r>
      <w:r w:rsidRPr="00D5453C">
        <w:rPr>
          <w:rFonts w:asciiTheme="majorBidi" w:hAnsiTheme="majorBidi" w:cstheme="majorBidi"/>
          <w:i/>
          <w:iCs/>
          <w:sz w:val="24"/>
          <w:szCs w:val="24"/>
        </w:rPr>
        <w:t>etters and Buddhist Texts</w:t>
      </w:r>
      <w:r>
        <w:rPr>
          <w:rFonts w:asciiTheme="majorBidi" w:hAnsiTheme="majorBidi" w:cstheme="majorBidi"/>
          <w:sz w:val="24"/>
          <w:szCs w:val="24"/>
        </w:rPr>
        <w:t>, London, the Nour Foundation, 2007.</w:t>
      </w:r>
    </w:p>
    <w:p w14:paraId="7735A4B0" w14:textId="6C6152ED" w:rsidR="00A64A0D" w:rsidRDefault="00A64A0D" w:rsidP="00A64A0D">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 New Light on Ancient Afghanistan: </w:t>
      </w:r>
      <w:proofErr w:type="gramStart"/>
      <w:r>
        <w:rPr>
          <w:rFonts w:asciiTheme="majorBidi" w:hAnsiTheme="majorBidi" w:cstheme="majorBidi"/>
          <w:sz w:val="24"/>
          <w:szCs w:val="24"/>
        </w:rPr>
        <w:t>the</w:t>
      </w:r>
      <w:proofErr w:type="gramEnd"/>
      <w:r>
        <w:rPr>
          <w:rFonts w:asciiTheme="majorBidi" w:hAnsiTheme="majorBidi" w:cstheme="majorBidi"/>
          <w:sz w:val="24"/>
          <w:szCs w:val="24"/>
        </w:rPr>
        <w:t xml:space="preserve"> Decipherment of Bactrian, in </w:t>
      </w:r>
      <w:r w:rsidR="00FB6B9D">
        <w:rPr>
          <w:rFonts w:asciiTheme="majorBidi" w:hAnsiTheme="majorBidi" w:cstheme="majorBidi"/>
          <w:i/>
          <w:iCs/>
          <w:sz w:val="24"/>
          <w:szCs w:val="24"/>
        </w:rPr>
        <w:t>T</w:t>
      </w:r>
      <w:r w:rsidRPr="00D86AA0">
        <w:rPr>
          <w:rFonts w:asciiTheme="majorBidi" w:hAnsiTheme="majorBidi" w:cstheme="majorBidi"/>
          <w:i/>
          <w:iCs/>
          <w:sz w:val="24"/>
          <w:szCs w:val="24"/>
        </w:rPr>
        <w:t>he Silk Road Key Papers: part 1, the pre-Islamic period</w:t>
      </w:r>
      <w:r>
        <w:rPr>
          <w:rFonts w:asciiTheme="majorBidi" w:hAnsiTheme="majorBidi" w:cstheme="majorBidi"/>
          <w:sz w:val="24"/>
          <w:szCs w:val="24"/>
        </w:rPr>
        <w:t>, volume 1, edited by Hansen, Valerie, Leiden, Global Oriental, 2012, pp. 94-114.</w:t>
      </w:r>
    </w:p>
    <w:p w14:paraId="6D5E8FDC" w14:textId="4F2A99D9" w:rsidR="009E6C12" w:rsidRDefault="009E6C12" w:rsidP="00A64A0D">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 </w:t>
      </w:r>
      <w:r w:rsidR="00FB6B9D">
        <w:rPr>
          <w:rFonts w:asciiTheme="majorBidi" w:hAnsiTheme="majorBidi" w:cstheme="majorBidi"/>
          <w:sz w:val="24"/>
          <w:szCs w:val="24"/>
        </w:rPr>
        <w:t>T</w:t>
      </w:r>
      <w:r>
        <w:rPr>
          <w:rFonts w:asciiTheme="majorBidi" w:hAnsiTheme="majorBidi" w:cstheme="majorBidi"/>
          <w:sz w:val="24"/>
          <w:szCs w:val="24"/>
        </w:rPr>
        <w:t xml:space="preserve">he Arab-Sasanian and Arab-Hephthalite coinage: a view from the East, in </w:t>
      </w:r>
      <w:r w:rsidRPr="009E6C12">
        <w:rPr>
          <w:rFonts w:asciiTheme="majorBidi" w:hAnsiTheme="majorBidi" w:cstheme="majorBidi"/>
          <w:i/>
          <w:iCs/>
          <w:sz w:val="24"/>
          <w:szCs w:val="24"/>
        </w:rPr>
        <w:t>Islamisation de l’Asie Centrale: processus locaux d’acculturation du VII</w:t>
      </w:r>
      <w:r w:rsidRPr="009E6C12">
        <w:rPr>
          <w:rFonts w:asciiTheme="majorBidi" w:hAnsiTheme="majorBidi" w:cstheme="majorBidi"/>
          <w:i/>
          <w:iCs/>
          <w:sz w:val="24"/>
          <w:szCs w:val="24"/>
          <w:vertAlign w:val="superscript"/>
        </w:rPr>
        <w:t>e</w:t>
      </w:r>
      <w:r w:rsidRPr="009E6C12">
        <w:rPr>
          <w:rFonts w:asciiTheme="majorBidi" w:hAnsiTheme="majorBidi" w:cstheme="majorBidi"/>
          <w:i/>
          <w:iCs/>
          <w:sz w:val="24"/>
          <w:szCs w:val="24"/>
        </w:rPr>
        <w:t xml:space="preserve"> au XI</w:t>
      </w:r>
      <w:r w:rsidRPr="009E6C12">
        <w:rPr>
          <w:rFonts w:asciiTheme="majorBidi" w:hAnsiTheme="majorBidi" w:cstheme="majorBidi"/>
          <w:i/>
          <w:iCs/>
          <w:sz w:val="24"/>
          <w:szCs w:val="24"/>
          <w:vertAlign w:val="superscript"/>
        </w:rPr>
        <w:t>e</w:t>
      </w:r>
      <w:r w:rsidRPr="009E6C12">
        <w:rPr>
          <w:rFonts w:asciiTheme="majorBidi" w:hAnsiTheme="majorBidi" w:cstheme="majorBidi"/>
          <w:i/>
          <w:iCs/>
          <w:sz w:val="24"/>
          <w:szCs w:val="24"/>
        </w:rPr>
        <w:t xml:space="preserve"> siècle</w:t>
      </w:r>
      <w:r>
        <w:rPr>
          <w:rFonts w:asciiTheme="majorBidi" w:hAnsiTheme="majorBidi" w:cstheme="majorBidi"/>
          <w:sz w:val="24"/>
          <w:szCs w:val="24"/>
        </w:rPr>
        <w:t xml:space="preserve">, edited by de la Vaissière, Étienne, Paris, Association pour l’Avancement des </w:t>
      </w:r>
      <w:r>
        <w:rPr>
          <w:rFonts w:asciiTheme="majorBidi" w:hAnsiTheme="majorBidi" w:cstheme="majorBidi"/>
          <w:sz w:val="24"/>
          <w:szCs w:val="24"/>
        </w:rPr>
        <w:lastRenderedPageBreak/>
        <w:t>Études Iraniennes, 2008, pp. 115-30.</w:t>
      </w:r>
    </w:p>
    <w:p w14:paraId="305CECEE" w14:textId="75F70C2E" w:rsidR="00973672" w:rsidRDefault="00973672" w:rsidP="00A64A0D">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 The Bactrian Documents as a Historical Source, in </w:t>
      </w:r>
      <w:r w:rsidRPr="00DF7F3F">
        <w:rPr>
          <w:rFonts w:asciiTheme="majorBidi" w:hAnsiTheme="majorBidi" w:cstheme="majorBidi"/>
          <w:i/>
          <w:iCs/>
          <w:sz w:val="24"/>
          <w:szCs w:val="24"/>
        </w:rPr>
        <w:t>The Limits of Empire in Ancient Afghanistan: Rule and Resistance in the Hindu Kush, circa 600 BCE-600 CE</w:t>
      </w:r>
      <w:r>
        <w:rPr>
          <w:rFonts w:asciiTheme="majorBidi" w:hAnsiTheme="majorBidi" w:cstheme="majorBidi"/>
          <w:sz w:val="24"/>
          <w:szCs w:val="24"/>
        </w:rPr>
        <w:t>, edited by Payne, Richard &amp; King, Rhyne, Wiesbaden, Harrassowitz Verlag, 2020, pp. 231-44.</w:t>
      </w:r>
    </w:p>
    <w:p w14:paraId="2D152111" w14:textId="53E0631A" w:rsidR="005831E3" w:rsidRDefault="005831E3" w:rsidP="005831E3">
      <w:pPr>
        <w:spacing w:line="360" w:lineRule="auto"/>
        <w:rPr>
          <w:rFonts w:asciiTheme="majorBidi" w:hAnsiTheme="majorBidi" w:cstheme="majorBidi"/>
          <w:sz w:val="24"/>
          <w:szCs w:val="24"/>
        </w:rPr>
      </w:pPr>
      <w:r>
        <w:rPr>
          <w:rFonts w:asciiTheme="majorBidi" w:hAnsiTheme="majorBidi" w:cstheme="majorBidi" w:hint="eastAsia"/>
          <w:sz w:val="24"/>
          <w:szCs w:val="24"/>
        </w:rPr>
        <w:t>S</w:t>
      </w:r>
      <w:r>
        <w:rPr>
          <w:rFonts w:asciiTheme="majorBidi" w:hAnsiTheme="majorBidi" w:cstheme="majorBidi"/>
          <w:sz w:val="24"/>
          <w:szCs w:val="24"/>
        </w:rPr>
        <w:t xml:space="preserve">ims-Williams, Nicholas &amp; Cribb, Joe, </w:t>
      </w:r>
      <w:r w:rsidRPr="00BA71B8">
        <w:rPr>
          <w:rFonts w:asciiTheme="majorBidi" w:hAnsiTheme="majorBidi" w:cstheme="majorBidi"/>
          <w:sz w:val="24"/>
          <w:szCs w:val="24"/>
        </w:rPr>
        <w:t xml:space="preserve">A new Bactrian inscription of Kanishka the Great, in </w:t>
      </w:r>
      <w:r w:rsidRPr="00BA71B8">
        <w:rPr>
          <w:rFonts w:asciiTheme="majorBidi" w:hAnsiTheme="majorBidi" w:cstheme="majorBidi"/>
          <w:i/>
          <w:iCs/>
          <w:sz w:val="24"/>
          <w:szCs w:val="24"/>
        </w:rPr>
        <w:t>Silk Road Art and Archaeology</w:t>
      </w:r>
      <w:r w:rsidRPr="00BA71B8">
        <w:rPr>
          <w:rFonts w:asciiTheme="majorBidi" w:hAnsiTheme="majorBidi" w:cstheme="majorBidi"/>
          <w:sz w:val="24"/>
          <w:szCs w:val="24"/>
        </w:rPr>
        <w:t>, vol.</w:t>
      </w:r>
      <w:r>
        <w:rPr>
          <w:rFonts w:asciiTheme="majorBidi" w:hAnsiTheme="majorBidi" w:cstheme="majorBidi"/>
          <w:sz w:val="24"/>
          <w:szCs w:val="24"/>
        </w:rPr>
        <w:t xml:space="preserve"> </w:t>
      </w:r>
      <w:r w:rsidRPr="00BA71B8">
        <w:rPr>
          <w:rFonts w:asciiTheme="majorBidi" w:hAnsiTheme="majorBidi" w:cstheme="majorBidi"/>
          <w:sz w:val="24"/>
          <w:szCs w:val="24"/>
        </w:rPr>
        <w:t>4</w:t>
      </w:r>
      <w:r>
        <w:rPr>
          <w:rFonts w:asciiTheme="majorBidi" w:hAnsiTheme="majorBidi" w:cstheme="majorBidi"/>
          <w:sz w:val="24"/>
          <w:szCs w:val="24"/>
        </w:rPr>
        <w:t xml:space="preserve">, 1995/6, </w:t>
      </w:r>
      <w:r w:rsidRPr="00BA71B8">
        <w:rPr>
          <w:rFonts w:asciiTheme="majorBidi" w:hAnsiTheme="majorBidi" w:cstheme="majorBidi"/>
          <w:sz w:val="24"/>
          <w:szCs w:val="24"/>
        </w:rPr>
        <w:t>pp.76-142</w:t>
      </w:r>
      <w:r>
        <w:rPr>
          <w:rFonts w:asciiTheme="majorBidi" w:hAnsiTheme="majorBidi" w:cstheme="majorBidi"/>
          <w:sz w:val="24"/>
          <w:szCs w:val="24"/>
        </w:rPr>
        <w:t>.</w:t>
      </w:r>
    </w:p>
    <w:p w14:paraId="2D43EA91" w14:textId="5991837E" w:rsidR="005831E3" w:rsidRDefault="001D6F5A" w:rsidP="005831E3">
      <w:pPr>
        <w:spacing w:line="360" w:lineRule="auto"/>
        <w:jc w:val="left"/>
        <w:rPr>
          <w:rFonts w:asciiTheme="majorBidi" w:hAnsiTheme="majorBidi" w:cstheme="majorBidi"/>
          <w:sz w:val="24"/>
          <w:szCs w:val="24"/>
        </w:rPr>
      </w:pPr>
      <w:r>
        <w:rPr>
          <w:rFonts w:asciiTheme="majorBidi" w:hAnsiTheme="majorBidi" w:cstheme="majorBidi"/>
          <w:sz w:val="24"/>
          <w:szCs w:val="24"/>
        </w:rPr>
        <w:t>Sims-Williams, Nicholas &amp; de Blois, Fran</w:t>
      </w:r>
      <w:r w:rsidRPr="00F413A8">
        <w:rPr>
          <w:rFonts w:asciiTheme="majorBidi" w:hAnsiTheme="majorBidi" w:cstheme="majorBidi" w:hint="eastAsia"/>
          <w:sz w:val="24"/>
          <w:szCs w:val="24"/>
        </w:rPr>
        <w:t>ç</w:t>
      </w:r>
      <w:r>
        <w:rPr>
          <w:rFonts w:asciiTheme="majorBidi" w:hAnsiTheme="majorBidi" w:cstheme="majorBidi"/>
          <w:sz w:val="24"/>
          <w:szCs w:val="24"/>
        </w:rPr>
        <w:t xml:space="preserve">ois, </w:t>
      </w:r>
      <w:r w:rsidRPr="00F413A8">
        <w:rPr>
          <w:rFonts w:asciiTheme="majorBidi" w:hAnsiTheme="majorBidi" w:cstheme="majorBidi"/>
          <w:i/>
          <w:iCs/>
          <w:sz w:val="24"/>
          <w:szCs w:val="24"/>
        </w:rPr>
        <w:t>Studies in the Chronology of the Bactrian Documents from Northern Afghanistan</w:t>
      </w:r>
      <w:r>
        <w:rPr>
          <w:rFonts w:asciiTheme="majorBidi" w:hAnsiTheme="majorBidi" w:cstheme="majorBidi"/>
          <w:sz w:val="24"/>
          <w:szCs w:val="24"/>
        </w:rPr>
        <w:t xml:space="preserve">, Wien, </w:t>
      </w:r>
      <w:r w:rsidRPr="00F413A8">
        <w:rPr>
          <w:rFonts w:asciiTheme="majorBidi" w:hAnsiTheme="majorBidi" w:cstheme="majorBidi" w:hint="eastAsia"/>
          <w:sz w:val="24"/>
          <w:szCs w:val="24"/>
        </w:rPr>
        <w:t>Verlag der Österreichischen Akademie der Wissenschaften</w:t>
      </w:r>
      <w:r>
        <w:rPr>
          <w:rFonts w:asciiTheme="majorBidi" w:hAnsiTheme="majorBidi" w:cstheme="majorBidi"/>
          <w:sz w:val="24"/>
          <w:szCs w:val="24"/>
        </w:rPr>
        <w:t>, 2018.</w:t>
      </w:r>
    </w:p>
    <w:p w14:paraId="3E6E6066" w14:textId="2B750AEA" w:rsidR="005831E3" w:rsidRDefault="005831E3" w:rsidP="005831E3">
      <w:pPr>
        <w:spacing w:line="360" w:lineRule="auto"/>
        <w:jc w:val="left"/>
        <w:rPr>
          <w:rFonts w:asciiTheme="majorBidi" w:hAnsiTheme="majorBidi" w:cstheme="majorBidi"/>
          <w:sz w:val="24"/>
          <w:szCs w:val="24"/>
        </w:rPr>
      </w:pPr>
      <w:r w:rsidRPr="00721E6B">
        <w:rPr>
          <w:rFonts w:asciiTheme="majorBidi" w:hAnsiTheme="majorBidi" w:cstheme="majorBidi"/>
          <w:sz w:val="24"/>
          <w:szCs w:val="24"/>
        </w:rPr>
        <w:t>Skjærvø</w:t>
      </w:r>
      <w:r>
        <w:rPr>
          <w:rFonts w:asciiTheme="majorBidi" w:hAnsiTheme="majorBidi" w:cstheme="majorBidi"/>
          <w:sz w:val="24"/>
          <w:szCs w:val="24"/>
        </w:rPr>
        <w:t xml:space="preserve">, Prods, </w:t>
      </w:r>
      <w:r w:rsidRPr="00721E6B">
        <w:rPr>
          <w:rFonts w:asciiTheme="majorBidi" w:hAnsiTheme="majorBidi" w:cstheme="majorBidi"/>
          <w:i/>
          <w:iCs/>
          <w:sz w:val="24"/>
          <w:szCs w:val="24"/>
        </w:rPr>
        <w:t>An Introduction to Old Persian</w:t>
      </w:r>
      <w:r>
        <w:rPr>
          <w:rFonts w:asciiTheme="majorBidi" w:hAnsiTheme="majorBidi" w:cstheme="majorBidi"/>
          <w:sz w:val="24"/>
          <w:szCs w:val="24"/>
        </w:rPr>
        <w:t>, 2016.</w:t>
      </w:r>
    </w:p>
    <w:p w14:paraId="17F82BAE" w14:textId="02E922C7" w:rsidR="003C546F" w:rsidRDefault="003C546F" w:rsidP="00DD3BAB">
      <w:pPr>
        <w:spacing w:line="360" w:lineRule="auto"/>
        <w:rPr>
          <w:rFonts w:asciiTheme="majorBidi" w:hAnsiTheme="majorBidi" w:cstheme="majorBidi"/>
          <w:sz w:val="24"/>
          <w:szCs w:val="24"/>
        </w:rPr>
      </w:pPr>
      <w:r>
        <w:rPr>
          <w:rFonts w:asciiTheme="majorBidi" w:hAnsiTheme="majorBidi" w:cstheme="majorBidi"/>
          <w:sz w:val="24"/>
          <w:szCs w:val="24"/>
        </w:rPr>
        <w:t>S</w:t>
      </w:r>
      <w:r>
        <w:rPr>
          <w:rFonts w:asciiTheme="majorBidi" w:hAnsiTheme="majorBidi" w:cstheme="majorBidi" w:hint="eastAsia"/>
          <w:sz w:val="24"/>
          <w:szCs w:val="24"/>
        </w:rPr>
        <w:t>tark</w:t>
      </w:r>
      <w:r>
        <w:rPr>
          <w:rFonts w:asciiTheme="majorBidi" w:hAnsiTheme="majorBidi" w:cstheme="majorBidi"/>
          <w:sz w:val="24"/>
          <w:szCs w:val="24"/>
        </w:rPr>
        <w:t xml:space="preserve">, Sören, </w:t>
      </w:r>
      <w:r w:rsidRPr="003C546F">
        <w:rPr>
          <w:rFonts w:asciiTheme="majorBidi" w:hAnsiTheme="majorBidi" w:cstheme="majorBidi"/>
          <w:sz w:val="24"/>
          <w:szCs w:val="24"/>
        </w:rPr>
        <w:t xml:space="preserve">Mercenaries and City Rulers: Early Turks in Pre-Muslim Mawarannahr”, in Popova, Laura, Hartley, Charles &amp; Smith, Adam (editors), </w:t>
      </w:r>
      <w:r w:rsidRPr="003C546F">
        <w:rPr>
          <w:rFonts w:asciiTheme="majorBidi" w:hAnsiTheme="majorBidi" w:cstheme="majorBidi"/>
          <w:i/>
          <w:iCs/>
          <w:sz w:val="24"/>
          <w:szCs w:val="24"/>
        </w:rPr>
        <w:t>Social Orders and Social Landscapes: Proceedings of the 2005 University of Chicago Conference on Eurasian Archaeology</w:t>
      </w:r>
      <w:r w:rsidRPr="003C546F">
        <w:rPr>
          <w:rFonts w:asciiTheme="majorBidi" w:hAnsiTheme="majorBidi" w:cstheme="majorBidi"/>
          <w:sz w:val="24"/>
          <w:szCs w:val="24"/>
        </w:rPr>
        <w:t>, Newcastle, 2007, pp. 307–334.</w:t>
      </w:r>
    </w:p>
    <w:p w14:paraId="64D65753" w14:textId="6A623332" w:rsidR="00172250" w:rsidRDefault="002A674B" w:rsidP="00DD3BAB">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FB6B9D">
        <w:rPr>
          <w:rFonts w:asciiTheme="majorBidi" w:hAnsiTheme="majorBidi" w:cstheme="majorBidi"/>
          <w:sz w:val="24"/>
          <w:szCs w:val="24"/>
        </w:rPr>
        <w:t>T</w:t>
      </w:r>
      <w:r>
        <w:rPr>
          <w:rFonts w:asciiTheme="majorBidi" w:hAnsiTheme="majorBidi" w:cstheme="majorBidi"/>
          <w:sz w:val="24"/>
          <w:szCs w:val="24"/>
        </w:rPr>
        <w:t>he Arab Conquest of Bukhārā</w:t>
      </w:r>
      <w:r w:rsidR="00DF6B08">
        <w:rPr>
          <w:rFonts w:asciiTheme="majorBidi" w:hAnsiTheme="majorBidi" w:cstheme="majorBidi"/>
          <w:sz w:val="24"/>
          <w:szCs w:val="24"/>
        </w:rPr>
        <w:t xml:space="preserve">: Reconsidering Qutayba b. Muslim's Campaigns 87-90 H/706-709 CE, </w:t>
      </w:r>
      <w:r w:rsidR="00DF6B08" w:rsidRPr="00DF6B08">
        <w:rPr>
          <w:rFonts w:asciiTheme="majorBidi" w:hAnsiTheme="majorBidi" w:cstheme="majorBidi"/>
          <w:i/>
          <w:iCs/>
          <w:sz w:val="24"/>
          <w:szCs w:val="24"/>
        </w:rPr>
        <w:t>Der Islam</w:t>
      </w:r>
      <w:r w:rsidR="00DF6B08">
        <w:rPr>
          <w:rFonts w:asciiTheme="majorBidi" w:hAnsiTheme="majorBidi" w:cstheme="majorBidi"/>
          <w:sz w:val="24"/>
          <w:szCs w:val="24"/>
        </w:rPr>
        <w:t>, 95 (2), 2018, pp. 367-400</w:t>
      </w:r>
      <w:r w:rsidR="00172250">
        <w:rPr>
          <w:rFonts w:asciiTheme="majorBidi" w:hAnsiTheme="majorBidi" w:cstheme="majorBidi"/>
          <w:sz w:val="24"/>
          <w:szCs w:val="24"/>
        </w:rPr>
        <w:t>.</w:t>
      </w:r>
    </w:p>
    <w:p w14:paraId="44E7CB77" w14:textId="34CF36C6" w:rsidR="002A674B" w:rsidRDefault="00172250" w:rsidP="00172250">
      <w:pPr>
        <w:spacing w:line="360" w:lineRule="auto"/>
        <w:rPr>
          <w:rFonts w:asciiTheme="majorBidi" w:hAnsiTheme="majorBidi" w:cstheme="majorBidi"/>
          <w:sz w:val="24"/>
          <w:szCs w:val="24"/>
        </w:rPr>
      </w:pPr>
      <w:r>
        <w:rPr>
          <w:rFonts w:asciiTheme="majorBidi" w:hAnsiTheme="majorBidi" w:cstheme="majorBidi"/>
          <w:sz w:val="24"/>
          <w:szCs w:val="24"/>
        </w:rPr>
        <w:t>Sun, Li</w:t>
      </w:r>
      <w:r w:rsidR="00B77ED2">
        <w:rPr>
          <w:rFonts w:asciiTheme="majorBidi" w:hAnsiTheme="majorBidi" w:cstheme="majorBidi" w:hint="eastAsia"/>
          <w:sz w:val="24"/>
          <w:szCs w:val="24"/>
        </w:rPr>
        <w:t>孙莉</w:t>
      </w:r>
      <w:r>
        <w:rPr>
          <w:rFonts w:asciiTheme="majorBidi" w:hAnsiTheme="majorBidi" w:cstheme="majorBidi"/>
          <w:sz w:val="24"/>
          <w:szCs w:val="24"/>
        </w:rPr>
        <w:t>, Sashan yinbi zai zhongguo de fenbu jiqi gongneng</w:t>
      </w:r>
      <w:r>
        <w:rPr>
          <w:rFonts w:asciiTheme="majorBidi" w:hAnsiTheme="majorBidi" w:cstheme="majorBidi" w:hint="eastAsia"/>
          <w:sz w:val="24"/>
          <w:szCs w:val="24"/>
        </w:rPr>
        <w:t>萨珊银币在中国的分布及其功能</w:t>
      </w:r>
      <w:r>
        <w:rPr>
          <w:rFonts w:asciiTheme="majorBidi" w:hAnsiTheme="majorBidi" w:cstheme="majorBidi"/>
          <w:sz w:val="24"/>
          <w:szCs w:val="24"/>
        </w:rPr>
        <w:t xml:space="preserve">, </w:t>
      </w:r>
      <w:r w:rsidRPr="008A3323">
        <w:rPr>
          <w:rFonts w:asciiTheme="majorBidi" w:hAnsiTheme="majorBidi" w:cstheme="majorBidi"/>
          <w:i/>
          <w:iCs/>
          <w:sz w:val="24"/>
          <w:szCs w:val="24"/>
        </w:rPr>
        <w:t>Acta Archaeologica Sinica</w:t>
      </w:r>
      <w:r>
        <w:rPr>
          <w:rFonts w:asciiTheme="majorBidi" w:hAnsiTheme="majorBidi" w:cstheme="majorBidi"/>
          <w:sz w:val="24"/>
          <w:szCs w:val="24"/>
        </w:rPr>
        <w:t>, 2004 (1), pp. 35-54</w:t>
      </w:r>
      <w:r w:rsidR="00DF6B08">
        <w:rPr>
          <w:rFonts w:asciiTheme="majorBidi" w:hAnsiTheme="majorBidi" w:cstheme="majorBidi"/>
          <w:sz w:val="24"/>
          <w:szCs w:val="24"/>
        </w:rPr>
        <w:t>.</w:t>
      </w:r>
    </w:p>
    <w:p w14:paraId="038FB326" w14:textId="1E1CEFDE" w:rsidR="00295846" w:rsidRDefault="00295846" w:rsidP="00DD3BAB">
      <w:pPr>
        <w:spacing w:line="360" w:lineRule="auto"/>
        <w:rPr>
          <w:rFonts w:asciiTheme="majorBidi" w:hAnsiTheme="majorBidi" w:cstheme="majorBidi"/>
          <w:sz w:val="24"/>
          <w:szCs w:val="24"/>
        </w:rPr>
      </w:pPr>
      <w:r>
        <w:rPr>
          <w:rFonts w:asciiTheme="majorBidi" w:hAnsiTheme="majorBidi" w:cstheme="majorBidi"/>
          <w:sz w:val="24"/>
          <w:szCs w:val="24"/>
        </w:rPr>
        <w:t xml:space="preserve">Tekin, Talat, </w:t>
      </w:r>
      <w:r w:rsidRPr="00295846">
        <w:rPr>
          <w:rFonts w:asciiTheme="majorBidi" w:hAnsiTheme="majorBidi" w:cstheme="majorBidi"/>
          <w:i/>
          <w:iCs/>
          <w:sz w:val="24"/>
          <w:szCs w:val="24"/>
        </w:rPr>
        <w:t>A Grammar of Orkhon Turkic</w:t>
      </w:r>
      <w:r>
        <w:rPr>
          <w:rFonts w:asciiTheme="majorBidi" w:hAnsiTheme="majorBidi" w:cstheme="majorBidi"/>
          <w:sz w:val="24"/>
          <w:szCs w:val="24"/>
        </w:rPr>
        <w:t>, Bloomington, Indiana University, 1968.</w:t>
      </w:r>
    </w:p>
    <w:p w14:paraId="572AD397" w14:textId="797F9AA8" w:rsidR="00790AF6" w:rsidRDefault="00790AF6" w:rsidP="00790AF6">
      <w:pPr>
        <w:spacing w:line="360" w:lineRule="auto"/>
        <w:rPr>
          <w:rFonts w:asciiTheme="majorBidi" w:hAnsiTheme="majorBidi" w:cstheme="majorBidi"/>
          <w:sz w:val="24"/>
          <w:szCs w:val="24"/>
        </w:rPr>
      </w:pPr>
      <w:bookmarkStart w:id="31" w:name="_Hlk82509134"/>
      <w:r>
        <w:rPr>
          <w:rFonts w:asciiTheme="majorBidi" w:hAnsiTheme="majorBidi" w:cstheme="majorBidi"/>
          <w:sz w:val="24"/>
          <w:szCs w:val="24"/>
        </w:rPr>
        <w:t xml:space="preserve">Van Bladel, Kevin, </w:t>
      </w:r>
      <w:r w:rsidR="00FB6B9D">
        <w:rPr>
          <w:rFonts w:asciiTheme="majorBidi" w:hAnsiTheme="majorBidi" w:cstheme="majorBidi"/>
          <w:sz w:val="24"/>
          <w:szCs w:val="24"/>
        </w:rPr>
        <w:t>T</w:t>
      </w:r>
      <w:r>
        <w:rPr>
          <w:rFonts w:asciiTheme="majorBidi" w:hAnsiTheme="majorBidi" w:cstheme="majorBidi"/>
          <w:sz w:val="24"/>
          <w:szCs w:val="24"/>
        </w:rPr>
        <w:t xml:space="preserve">he Bactrian Background of the Barmakids, </w:t>
      </w:r>
      <w:bookmarkStart w:id="32" w:name="_Hlk82510270"/>
      <w:r>
        <w:rPr>
          <w:rFonts w:asciiTheme="majorBidi" w:hAnsiTheme="majorBidi" w:cstheme="majorBidi"/>
          <w:sz w:val="24"/>
          <w:szCs w:val="24"/>
        </w:rPr>
        <w:t xml:space="preserve">in </w:t>
      </w:r>
      <w:r>
        <w:rPr>
          <w:rFonts w:asciiTheme="majorBidi" w:hAnsiTheme="majorBidi" w:cstheme="majorBidi"/>
          <w:i/>
          <w:iCs/>
          <w:sz w:val="24"/>
          <w:szCs w:val="24"/>
        </w:rPr>
        <w:t>Islam and Tibet: Interactions along the Musk Routes</w:t>
      </w:r>
      <w:r>
        <w:rPr>
          <w:rFonts w:asciiTheme="majorBidi" w:hAnsiTheme="majorBidi" w:cstheme="majorBidi"/>
          <w:sz w:val="24"/>
          <w:szCs w:val="24"/>
        </w:rPr>
        <w:t>, edited by Akasoy, Anna, Burnett, Charles, and Yoeli-Tlalim, Ronit, Farnham and Burlington, Ashgate, 2011, pp.</w:t>
      </w:r>
      <w:bookmarkEnd w:id="32"/>
      <w:r>
        <w:rPr>
          <w:rFonts w:asciiTheme="majorBidi" w:hAnsiTheme="majorBidi" w:cstheme="majorBidi"/>
          <w:sz w:val="24"/>
          <w:szCs w:val="24"/>
        </w:rPr>
        <w:t xml:space="preserve"> 43-88.</w:t>
      </w:r>
    </w:p>
    <w:p w14:paraId="69F0C059" w14:textId="43B8EE3C" w:rsidR="00234DBA" w:rsidRDefault="00234DBA" w:rsidP="00790AF6">
      <w:pPr>
        <w:spacing w:line="360" w:lineRule="auto"/>
        <w:rPr>
          <w:rFonts w:asciiTheme="majorBidi" w:hAnsiTheme="majorBidi" w:cstheme="majorBidi"/>
          <w:sz w:val="24"/>
          <w:szCs w:val="24"/>
        </w:rPr>
      </w:pPr>
      <w:r>
        <w:rPr>
          <w:rFonts w:asciiTheme="majorBidi" w:hAnsiTheme="majorBidi" w:cstheme="majorBidi"/>
          <w:sz w:val="24"/>
          <w:szCs w:val="24"/>
        </w:rPr>
        <w:t xml:space="preserve">Tyler-Smith, Susan, Coinage in the Name of Yazdgerd III (AD 632-651) and the Arab Conquest of Iran, </w:t>
      </w:r>
      <w:r w:rsidR="00FB6B9D">
        <w:rPr>
          <w:rFonts w:asciiTheme="majorBidi" w:hAnsiTheme="majorBidi" w:cstheme="majorBidi"/>
          <w:i/>
          <w:iCs/>
          <w:sz w:val="24"/>
          <w:szCs w:val="24"/>
        </w:rPr>
        <w:t>T</w:t>
      </w:r>
      <w:r w:rsidRPr="00234DBA">
        <w:rPr>
          <w:rFonts w:asciiTheme="majorBidi" w:hAnsiTheme="majorBidi" w:cstheme="majorBidi"/>
          <w:i/>
          <w:iCs/>
          <w:sz w:val="24"/>
          <w:szCs w:val="24"/>
        </w:rPr>
        <w:t>he Numismatic Chronicle</w:t>
      </w:r>
      <w:r>
        <w:rPr>
          <w:rFonts w:asciiTheme="majorBidi" w:hAnsiTheme="majorBidi" w:cstheme="majorBidi"/>
          <w:sz w:val="24"/>
          <w:szCs w:val="24"/>
        </w:rPr>
        <w:t>, 2000, volume 160, pp. 135-70.</w:t>
      </w:r>
    </w:p>
    <w:p w14:paraId="289845B2" w14:textId="12C7609B" w:rsidR="00180F8D" w:rsidRDefault="00180F8D" w:rsidP="00790AF6">
      <w:pPr>
        <w:spacing w:line="360" w:lineRule="auto"/>
        <w:rPr>
          <w:rFonts w:asciiTheme="majorBidi" w:hAnsiTheme="majorBidi" w:cstheme="majorBidi"/>
          <w:sz w:val="24"/>
          <w:szCs w:val="24"/>
        </w:rPr>
      </w:pPr>
      <w:r>
        <w:rPr>
          <w:rFonts w:asciiTheme="majorBidi" w:hAnsiTheme="majorBidi" w:cstheme="majorBidi"/>
          <w:sz w:val="24"/>
          <w:szCs w:val="24"/>
        </w:rPr>
        <w:t>Van Steenbergen, Jo, Arabian Expansions and Late Antique Transformations (7</w:t>
      </w:r>
      <w:r w:rsidRPr="00180F8D">
        <w:rPr>
          <w:rFonts w:asciiTheme="majorBidi" w:hAnsiTheme="majorBidi" w:cstheme="majorBidi"/>
          <w:sz w:val="24"/>
          <w:szCs w:val="24"/>
          <w:vertAlign w:val="superscript"/>
        </w:rPr>
        <w:t>th</w:t>
      </w:r>
      <w:r>
        <w:rPr>
          <w:rFonts w:asciiTheme="majorBidi" w:hAnsiTheme="majorBidi" w:cstheme="majorBidi"/>
          <w:sz w:val="24"/>
          <w:szCs w:val="24"/>
        </w:rPr>
        <w:t>-8</w:t>
      </w:r>
      <w:r w:rsidRPr="00180F8D">
        <w:rPr>
          <w:rFonts w:asciiTheme="majorBidi" w:hAnsiTheme="majorBidi" w:cstheme="majorBidi"/>
          <w:sz w:val="24"/>
          <w:szCs w:val="24"/>
          <w:vertAlign w:val="superscript"/>
        </w:rPr>
        <w:t>th</w:t>
      </w:r>
      <w:r>
        <w:rPr>
          <w:rFonts w:asciiTheme="majorBidi" w:hAnsiTheme="majorBidi" w:cstheme="majorBidi"/>
          <w:sz w:val="24"/>
          <w:szCs w:val="24"/>
        </w:rPr>
        <w:t xml:space="preserve"> centuries), in </w:t>
      </w:r>
      <w:r w:rsidRPr="00180F8D">
        <w:rPr>
          <w:rFonts w:asciiTheme="majorBidi" w:hAnsiTheme="majorBidi" w:cstheme="majorBidi"/>
          <w:i/>
          <w:iCs/>
          <w:sz w:val="24"/>
          <w:szCs w:val="24"/>
        </w:rPr>
        <w:t>A History of the Islamic World, 600-1800: Empire, Dynastic Formations, and Heterogeneities in Pre-Modern Islamic West-Asia</w:t>
      </w:r>
      <w:r>
        <w:rPr>
          <w:rFonts w:asciiTheme="majorBidi" w:hAnsiTheme="majorBidi" w:cstheme="majorBidi"/>
          <w:sz w:val="24"/>
          <w:szCs w:val="24"/>
        </w:rPr>
        <w:t>, London and New York, Routledge, 2021, pp. 57-80.</w:t>
      </w:r>
    </w:p>
    <w:bookmarkEnd w:id="31"/>
    <w:p w14:paraId="530937E9" w14:textId="11375AB6" w:rsidR="00AA311D" w:rsidRDefault="00D071DF" w:rsidP="007B09B6">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Vondrovec, Klaus, Coinage of the Nezak, in </w:t>
      </w:r>
      <w:r w:rsidRPr="00D071DF">
        <w:rPr>
          <w:rFonts w:asciiTheme="majorBidi" w:hAnsiTheme="majorBidi" w:cstheme="majorBidi"/>
          <w:i/>
          <w:iCs/>
          <w:sz w:val="24"/>
          <w:szCs w:val="24"/>
        </w:rPr>
        <w:t xml:space="preserve">Coins, Art and Chronology II: </w:t>
      </w:r>
      <w:proofErr w:type="gramStart"/>
      <w:r w:rsidRPr="00D071DF">
        <w:rPr>
          <w:rFonts w:asciiTheme="majorBidi" w:hAnsiTheme="majorBidi" w:cstheme="majorBidi"/>
          <w:i/>
          <w:iCs/>
          <w:sz w:val="24"/>
          <w:szCs w:val="24"/>
        </w:rPr>
        <w:t>the</w:t>
      </w:r>
      <w:proofErr w:type="gramEnd"/>
      <w:r w:rsidRPr="00D071DF">
        <w:rPr>
          <w:rFonts w:asciiTheme="majorBidi" w:hAnsiTheme="majorBidi" w:cstheme="majorBidi"/>
          <w:i/>
          <w:iCs/>
          <w:sz w:val="24"/>
          <w:szCs w:val="24"/>
        </w:rPr>
        <w:t xml:space="preserve"> </w:t>
      </w:r>
      <w:r w:rsidR="00FB6B9D">
        <w:rPr>
          <w:rFonts w:asciiTheme="majorBidi" w:hAnsiTheme="majorBidi" w:cstheme="majorBidi"/>
          <w:i/>
          <w:iCs/>
          <w:sz w:val="24"/>
          <w:szCs w:val="24"/>
        </w:rPr>
        <w:t>F</w:t>
      </w:r>
      <w:r w:rsidRPr="00D071DF">
        <w:rPr>
          <w:rFonts w:asciiTheme="majorBidi" w:hAnsiTheme="majorBidi" w:cstheme="majorBidi"/>
          <w:i/>
          <w:iCs/>
          <w:sz w:val="24"/>
          <w:szCs w:val="24"/>
        </w:rPr>
        <w:t xml:space="preserve">irst </w:t>
      </w:r>
      <w:r w:rsidR="00FB6B9D">
        <w:rPr>
          <w:rFonts w:asciiTheme="majorBidi" w:hAnsiTheme="majorBidi" w:cstheme="majorBidi"/>
          <w:i/>
          <w:iCs/>
          <w:sz w:val="24"/>
          <w:szCs w:val="24"/>
        </w:rPr>
        <w:t>M</w:t>
      </w:r>
      <w:r w:rsidRPr="00D071DF">
        <w:rPr>
          <w:rFonts w:asciiTheme="majorBidi" w:hAnsiTheme="majorBidi" w:cstheme="majorBidi"/>
          <w:i/>
          <w:iCs/>
          <w:sz w:val="24"/>
          <w:szCs w:val="24"/>
        </w:rPr>
        <w:t xml:space="preserve">illennium C.E. in the Indo-Iranian </w:t>
      </w:r>
      <w:r w:rsidR="00FB6B9D">
        <w:rPr>
          <w:rFonts w:asciiTheme="majorBidi" w:hAnsiTheme="majorBidi" w:cstheme="majorBidi"/>
          <w:i/>
          <w:iCs/>
          <w:sz w:val="24"/>
          <w:szCs w:val="24"/>
        </w:rPr>
        <w:t>B</w:t>
      </w:r>
      <w:r w:rsidRPr="00D071DF">
        <w:rPr>
          <w:rFonts w:asciiTheme="majorBidi" w:hAnsiTheme="majorBidi" w:cstheme="majorBidi"/>
          <w:i/>
          <w:iCs/>
          <w:sz w:val="24"/>
          <w:szCs w:val="24"/>
        </w:rPr>
        <w:t>orderlands</w:t>
      </w:r>
      <w:r>
        <w:rPr>
          <w:rFonts w:asciiTheme="majorBidi" w:hAnsiTheme="majorBidi" w:cstheme="majorBidi"/>
          <w:sz w:val="24"/>
          <w:szCs w:val="24"/>
        </w:rPr>
        <w:t>, edited by Alram, Michael, Kimburg-Salter, Deborah, Inaba, Minoru &amp; Pfisterer, Matthias, Wien, Verlag der Österreichischen Akademie der Wissenschaften, 2010, pp. 169-90.</w:t>
      </w:r>
    </w:p>
    <w:p w14:paraId="26406B49" w14:textId="73552C0C" w:rsidR="001D7B67" w:rsidRDefault="001D7B67" w:rsidP="007B09B6">
      <w:pPr>
        <w:spacing w:line="360" w:lineRule="auto"/>
        <w:rPr>
          <w:rFonts w:asciiTheme="majorBidi" w:hAnsiTheme="majorBidi" w:cstheme="majorBidi"/>
          <w:sz w:val="24"/>
          <w:szCs w:val="24"/>
        </w:rPr>
      </w:pPr>
      <w:r>
        <w:rPr>
          <w:rFonts w:asciiTheme="majorBidi" w:hAnsiTheme="majorBidi" w:cstheme="majorBidi" w:hint="eastAsia"/>
          <w:sz w:val="24"/>
          <w:szCs w:val="24"/>
        </w:rPr>
        <w:t>-</w:t>
      </w:r>
      <w:r>
        <w:rPr>
          <w:rFonts w:asciiTheme="majorBidi" w:hAnsiTheme="majorBidi" w:cstheme="majorBidi"/>
          <w:sz w:val="24"/>
          <w:szCs w:val="24"/>
        </w:rPr>
        <w:t xml:space="preserve">---, </w:t>
      </w:r>
      <w:r w:rsidR="00FB6B9D">
        <w:rPr>
          <w:rFonts w:asciiTheme="majorBidi" w:hAnsiTheme="majorBidi" w:cstheme="majorBidi"/>
          <w:i/>
          <w:iCs/>
          <w:sz w:val="24"/>
          <w:szCs w:val="24"/>
        </w:rPr>
        <w:t>T</w:t>
      </w:r>
      <w:r w:rsidRPr="001D7B67">
        <w:rPr>
          <w:rFonts w:asciiTheme="majorBidi" w:hAnsiTheme="majorBidi" w:cstheme="majorBidi"/>
          <w:i/>
          <w:iCs/>
          <w:sz w:val="24"/>
          <w:szCs w:val="24"/>
        </w:rPr>
        <w:t>he Coinage of Iranian Huns</w:t>
      </w:r>
      <w:r>
        <w:rPr>
          <w:rFonts w:asciiTheme="majorBidi" w:hAnsiTheme="majorBidi" w:cstheme="majorBidi"/>
          <w:sz w:val="24"/>
          <w:szCs w:val="24"/>
        </w:rPr>
        <w:t>, 2 volumes, Wien, Österreichische Akademie der Wissenschaften, 2014.</w:t>
      </w:r>
    </w:p>
    <w:p w14:paraId="1108071D" w14:textId="1CA1913A" w:rsidR="006C2F09" w:rsidRDefault="006C2F09" w:rsidP="006C2F09">
      <w:pPr>
        <w:spacing w:line="360" w:lineRule="auto"/>
        <w:jc w:val="left"/>
        <w:rPr>
          <w:rFonts w:asciiTheme="majorBidi" w:hAnsiTheme="majorBidi" w:cstheme="majorBidi"/>
          <w:sz w:val="24"/>
          <w:szCs w:val="24"/>
        </w:rPr>
      </w:pPr>
      <w:r>
        <w:rPr>
          <w:rFonts w:asciiTheme="majorBidi" w:hAnsiTheme="majorBidi" w:cstheme="majorBidi"/>
          <w:sz w:val="24"/>
          <w:szCs w:val="24"/>
        </w:rPr>
        <w:t>Wang, Xiaof</w:t>
      </w:r>
      <w:r w:rsidR="00DB6F72">
        <w:rPr>
          <w:rFonts w:asciiTheme="majorBidi" w:hAnsiTheme="majorBidi" w:cstheme="majorBidi"/>
          <w:sz w:val="24"/>
          <w:szCs w:val="24"/>
        </w:rPr>
        <w:t>u</w:t>
      </w:r>
      <w:r w:rsidR="00DB6F72">
        <w:rPr>
          <w:rFonts w:asciiTheme="majorBidi" w:hAnsiTheme="majorBidi" w:cstheme="majorBidi" w:hint="eastAsia"/>
          <w:sz w:val="24"/>
          <w:szCs w:val="24"/>
        </w:rPr>
        <w:t>王小甫</w:t>
      </w:r>
      <w:r>
        <w:rPr>
          <w:rFonts w:asciiTheme="majorBidi" w:hAnsiTheme="majorBidi" w:cstheme="majorBidi"/>
          <w:sz w:val="24"/>
          <w:szCs w:val="24"/>
        </w:rPr>
        <w:t xml:space="preserve">, </w:t>
      </w:r>
      <w:r w:rsidR="00F62F2D" w:rsidRPr="00F62F2D">
        <w:rPr>
          <w:rFonts w:asciiTheme="majorBidi" w:hAnsiTheme="majorBidi" w:cstheme="majorBidi"/>
          <w:i/>
          <w:iCs/>
          <w:sz w:val="24"/>
          <w:szCs w:val="24"/>
        </w:rPr>
        <w:t>Political relations between </w:t>
      </w:r>
      <w:r w:rsidR="00F62F2D">
        <w:rPr>
          <w:rFonts w:asciiTheme="majorBidi" w:hAnsiTheme="majorBidi" w:cstheme="majorBidi"/>
          <w:i/>
          <w:iCs/>
          <w:sz w:val="24"/>
          <w:szCs w:val="24"/>
        </w:rPr>
        <w:t xml:space="preserve">the </w:t>
      </w:r>
      <w:r w:rsidR="00F62F2D" w:rsidRPr="00F62F2D">
        <w:rPr>
          <w:rFonts w:asciiTheme="majorBidi" w:hAnsiTheme="majorBidi" w:cstheme="majorBidi"/>
          <w:i/>
          <w:iCs/>
          <w:sz w:val="24"/>
          <w:szCs w:val="24"/>
        </w:rPr>
        <w:t>Tang</w:t>
      </w:r>
      <w:r w:rsidR="00F62F2D">
        <w:rPr>
          <w:rFonts w:asciiTheme="majorBidi" w:hAnsiTheme="majorBidi" w:cstheme="majorBidi"/>
          <w:i/>
          <w:iCs/>
          <w:sz w:val="24"/>
          <w:szCs w:val="24"/>
        </w:rPr>
        <w:t xml:space="preserve"> Empire</w:t>
      </w:r>
      <w:r w:rsidR="00F62F2D" w:rsidRPr="00F62F2D">
        <w:rPr>
          <w:rFonts w:asciiTheme="majorBidi" w:hAnsiTheme="majorBidi" w:cstheme="majorBidi"/>
          <w:i/>
          <w:iCs/>
          <w:sz w:val="24"/>
          <w:szCs w:val="24"/>
        </w:rPr>
        <w:t>, </w:t>
      </w:r>
      <w:r w:rsidR="00F62F2D">
        <w:rPr>
          <w:rFonts w:asciiTheme="majorBidi" w:hAnsiTheme="majorBidi" w:cstheme="majorBidi"/>
          <w:i/>
          <w:iCs/>
          <w:sz w:val="24"/>
          <w:szCs w:val="24"/>
        </w:rPr>
        <w:t xml:space="preserve">the </w:t>
      </w:r>
      <w:r w:rsidR="00F62F2D" w:rsidRPr="00F62F2D">
        <w:rPr>
          <w:rFonts w:asciiTheme="majorBidi" w:hAnsiTheme="majorBidi" w:cstheme="majorBidi"/>
          <w:i/>
          <w:iCs/>
          <w:sz w:val="24"/>
          <w:szCs w:val="24"/>
        </w:rPr>
        <w:t>Tibet </w:t>
      </w:r>
      <w:r w:rsidR="00F62F2D">
        <w:rPr>
          <w:rFonts w:asciiTheme="majorBidi" w:hAnsiTheme="majorBidi" w:cstheme="majorBidi"/>
          <w:i/>
          <w:iCs/>
          <w:sz w:val="24"/>
          <w:szCs w:val="24"/>
        </w:rPr>
        <w:t xml:space="preserve">Empire </w:t>
      </w:r>
      <w:r w:rsidR="00F62F2D" w:rsidRPr="00F62F2D">
        <w:rPr>
          <w:rFonts w:asciiTheme="majorBidi" w:hAnsiTheme="majorBidi" w:cstheme="majorBidi"/>
          <w:i/>
          <w:iCs/>
          <w:sz w:val="24"/>
          <w:szCs w:val="24"/>
        </w:rPr>
        <w:t xml:space="preserve">and </w:t>
      </w:r>
      <w:r w:rsidR="00F62F2D">
        <w:rPr>
          <w:rFonts w:asciiTheme="majorBidi" w:hAnsiTheme="majorBidi" w:cstheme="majorBidi"/>
          <w:i/>
          <w:iCs/>
          <w:sz w:val="24"/>
          <w:szCs w:val="24"/>
        </w:rPr>
        <w:t xml:space="preserve">the </w:t>
      </w:r>
      <w:r w:rsidR="00F62F2D" w:rsidRPr="00F62F2D">
        <w:rPr>
          <w:rFonts w:asciiTheme="majorBidi" w:hAnsiTheme="majorBidi" w:cstheme="majorBidi"/>
          <w:i/>
          <w:iCs/>
          <w:sz w:val="24"/>
          <w:szCs w:val="24"/>
        </w:rPr>
        <w:t>Arab</w:t>
      </w:r>
      <w:r w:rsidR="00F62F2D">
        <w:rPr>
          <w:rFonts w:asciiTheme="majorBidi" w:hAnsiTheme="majorBidi" w:cstheme="majorBidi"/>
          <w:i/>
          <w:iCs/>
          <w:sz w:val="24"/>
          <w:szCs w:val="24"/>
        </w:rPr>
        <w:t xml:space="preserve"> Empire</w:t>
      </w:r>
      <w:r w:rsidR="00F62F2D">
        <w:rPr>
          <w:rFonts w:asciiTheme="majorBidi" w:hAnsiTheme="majorBidi" w:cstheme="majorBidi" w:hint="eastAsia"/>
          <w:sz w:val="24"/>
          <w:szCs w:val="24"/>
        </w:rPr>
        <w:t>唐吐蕃大食政治关系史</w:t>
      </w:r>
      <w:r w:rsidR="00F62F2D">
        <w:rPr>
          <w:rFonts w:asciiTheme="majorBidi" w:hAnsiTheme="majorBidi" w:cstheme="majorBidi"/>
          <w:sz w:val="24"/>
          <w:szCs w:val="24"/>
        </w:rPr>
        <w:t xml:space="preserve">, </w:t>
      </w:r>
      <w:r>
        <w:rPr>
          <w:rFonts w:asciiTheme="majorBidi" w:hAnsiTheme="majorBidi" w:cstheme="majorBidi"/>
          <w:sz w:val="24"/>
          <w:szCs w:val="24"/>
        </w:rPr>
        <w:t>Beijing, China Renmin University Press, 2009.</w:t>
      </w:r>
    </w:p>
    <w:p w14:paraId="15CC2CB1" w14:textId="34CEBB97" w:rsidR="002D66BB" w:rsidRDefault="002D66BB" w:rsidP="006C2F09">
      <w:pPr>
        <w:spacing w:line="360" w:lineRule="auto"/>
        <w:jc w:val="left"/>
        <w:rPr>
          <w:rFonts w:asciiTheme="majorBidi" w:hAnsiTheme="majorBidi" w:cstheme="majorBidi"/>
          <w:sz w:val="24"/>
          <w:szCs w:val="24"/>
        </w:rPr>
      </w:pPr>
      <w:r>
        <w:rPr>
          <w:rFonts w:asciiTheme="majorBidi" w:hAnsiTheme="majorBidi" w:cstheme="majorBidi"/>
          <w:sz w:val="24"/>
          <w:szCs w:val="24"/>
        </w:rPr>
        <w:t>Wang, Xin</w:t>
      </w:r>
      <w:r w:rsidR="00DB6F72">
        <w:rPr>
          <w:rFonts w:asciiTheme="majorBidi" w:hAnsiTheme="majorBidi" w:cstheme="majorBidi" w:hint="eastAsia"/>
          <w:sz w:val="24"/>
          <w:szCs w:val="24"/>
        </w:rPr>
        <w:t>王欣</w:t>
      </w:r>
      <w:r>
        <w:rPr>
          <w:rFonts w:asciiTheme="majorBidi" w:hAnsiTheme="majorBidi" w:cstheme="majorBidi"/>
          <w:sz w:val="24"/>
          <w:szCs w:val="24"/>
        </w:rPr>
        <w:t xml:space="preserve">, </w:t>
      </w:r>
      <w:r w:rsidR="00F62F2D" w:rsidRPr="00F62F2D">
        <w:rPr>
          <w:rFonts w:asciiTheme="majorBidi" w:hAnsiTheme="majorBidi" w:cstheme="majorBidi"/>
          <w:i/>
          <w:iCs/>
          <w:sz w:val="24"/>
          <w:szCs w:val="24"/>
        </w:rPr>
        <w:t>A Historical Study of Ṭukhāristān</w:t>
      </w:r>
      <w:r w:rsidR="00F62F2D">
        <w:rPr>
          <w:rFonts w:asciiTheme="majorBidi" w:hAnsiTheme="majorBidi" w:cstheme="majorBidi" w:hint="eastAsia"/>
          <w:sz w:val="24"/>
          <w:szCs w:val="24"/>
        </w:rPr>
        <w:t>吐火罗史研究</w:t>
      </w:r>
      <w:r w:rsidR="00F62F2D">
        <w:rPr>
          <w:rFonts w:asciiTheme="majorBidi" w:hAnsiTheme="majorBidi" w:cstheme="majorBidi"/>
          <w:sz w:val="24"/>
          <w:szCs w:val="24"/>
        </w:rPr>
        <w:t xml:space="preserve">, </w:t>
      </w:r>
      <w:r>
        <w:rPr>
          <w:rFonts w:asciiTheme="majorBidi" w:hAnsiTheme="majorBidi" w:cstheme="majorBidi"/>
          <w:sz w:val="24"/>
          <w:szCs w:val="24"/>
        </w:rPr>
        <w:t>Beijing, the Commercial Press, 2017.</w:t>
      </w:r>
    </w:p>
    <w:p w14:paraId="1EF18D5A" w14:textId="44CA6BD1" w:rsidR="001276AC" w:rsidRDefault="001276AC" w:rsidP="006C2F09">
      <w:pPr>
        <w:spacing w:line="360" w:lineRule="auto"/>
        <w:jc w:val="left"/>
        <w:rPr>
          <w:rFonts w:asciiTheme="majorBidi" w:hAnsiTheme="majorBidi" w:cstheme="majorBidi"/>
          <w:sz w:val="24"/>
          <w:szCs w:val="24"/>
        </w:rPr>
      </w:pPr>
      <w:r>
        <w:rPr>
          <w:rFonts w:asciiTheme="majorBidi" w:hAnsiTheme="majorBidi" w:cstheme="majorBidi"/>
          <w:sz w:val="24"/>
          <w:szCs w:val="24"/>
        </w:rPr>
        <w:t>W</w:t>
      </w:r>
      <w:r>
        <w:rPr>
          <w:rFonts w:asciiTheme="majorBidi" w:hAnsiTheme="majorBidi" w:cstheme="majorBidi" w:hint="eastAsia"/>
          <w:sz w:val="24"/>
          <w:szCs w:val="24"/>
        </w:rPr>
        <w:t>ebb</w:t>
      </w:r>
      <w:r>
        <w:rPr>
          <w:rFonts w:asciiTheme="majorBidi" w:hAnsiTheme="majorBidi" w:cstheme="majorBidi"/>
          <w:sz w:val="24"/>
          <w:szCs w:val="24"/>
        </w:rPr>
        <w:t xml:space="preserve">, Peter, Ethnicity, Power and Umayyad Society: the rise and fall of the people of </w:t>
      </w:r>
      <w:proofErr w:type="gramStart"/>
      <w:r>
        <w:rPr>
          <w:rFonts w:asciiTheme="majorBidi" w:hAnsiTheme="majorBidi" w:cstheme="majorBidi"/>
          <w:sz w:val="24"/>
          <w:szCs w:val="24"/>
        </w:rPr>
        <w:t>Ma‘</w:t>
      </w:r>
      <w:proofErr w:type="gramEnd"/>
      <w:r>
        <w:rPr>
          <w:rFonts w:asciiTheme="majorBidi" w:hAnsiTheme="majorBidi" w:cstheme="majorBidi"/>
          <w:sz w:val="24"/>
          <w:szCs w:val="24"/>
        </w:rPr>
        <w:t xml:space="preserve">add, in </w:t>
      </w:r>
      <w:r w:rsidR="00FB6B9D">
        <w:rPr>
          <w:rFonts w:asciiTheme="majorBidi" w:hAnsiTheme="majorBidi" w:cstheme="majorBidi"/>
          <w:i/>
          <w:iCs/>
          <w:sz w:val="24"/>
          <w:szCs w:val="24"/>
        </w:rPr>
        <w:t>T</w:t>
      </w:r>
      <w:r w:rsidRPr="001276AC">
        <w:rPr>
          <w:rFonts w:asciiTheme="majorBidi" w:hAnsiTheme="majorBidi" w:cstheme="majorBidi"/>
          <w:i/>
          <w:iCs/>
          <w:sz w:val="24"/>
          <w:szCs w:val="24"/>
        </w:rPr>
        <w:t>he Umayyad World</w:t>
      </w:r>
      <w:r>
        <w:rPr>
          <w:rFonts w:asciiTheme="majorBidi" w:hAnsiTheme="majorBidi" w:cstheme="majorBidi"/>
          <w:sz w:val="24"/>
          <w:szCs w:val="24"/>
        </w:rPr>
        <w:t>, edited by Marsham, Andrew, London and New York, Routledge, 2021, pp. 65-102.</w:t>
      </w:r>
    </w:p>
    <w:p w14:paraId="249702D3" w14:textId="10272105" w:rsidR="00445DA8" w:rsidRPr="001276AC" w:rsidRDefault="00445DA8" w:rsidP="006C2F09">
      <w:pPr>
        <w:spacing w:line="360" w:lineRule="auto"/>
        <w:jc w:val="left"/>
        <w:rPr>
          <w:rFonts w:asciiTheme="majorBidi" w:hAnsiTheme="majorBidi" w:cstheme="majorBidi"/>
          <w:sz w:val="24"/>
          <w:szCs w:val="24"/>
        </w:rPr>
      </w:pPr>
      <w:r>
        <w:rPr>
          <w:rFonts w:asciiTheme="majorBidi" w:hAnsiTheme="majorBidi" w:cstheme="majorBidi"/>
          <w:sz w:val="24"/>
          <w:szCs w:val="24"/>
        </w:rPr>
        <w:t>W</w:t>
      </w:r>
      <w:r>
        <w:rPr>
          <w:rFonts w:asciiTheme="majorBidi" w:hAnsiTheme="majorBidi" w:cstheme="majorBidi" w:hint="eastAsia"/>
          <w:sz w:val="24"/>
          <w:szCs w:val="24"/>
        </w:rPr>
        <w:t>ellhausen</w:t>
      </w:r>
      <w:r>
        <w:rPr>
          <w:rFonts w:asciiTheme="majorBidi" w:hAnsiTheme="majorBidi" w:cstheme="majorBidi"/>
          <w:sz w:val="24"/>
          <w:szCs w:val="24"/>
        </w:rPr>
        <w:t xml:space="preserve">, Julius, </w:t>
      </w:r>
      <w:r w:rsidR="00944547" w:rsidRPr="00944547">
        <w:rPr>
          <w:rFonts w:asciiTheme="majorBidi" w:hAnsiTheme="majorBidi" w:cstheme="majorBidi"/>
          <w:i/>
          <w:iCs/>
          <w:sz w:val="24"/>
          <w:szCs w:val="24"/>
        </w:rPr>
        <w:t>The Arab Kingdom and its Fall</w:t>
      </w:r>
      <w:r w:rsidR="00944547">
        <w:rPr>
          <w:rFonts w:asciiTheme="majorBidi" w:hAnsiTheme="majorBidi" w:cstheme="majorBidi"/>
          <w:sz w:val="24"/>
          <w:szCs w:val="24"/>
        </w:rPr>
        <w:t xml:space="preserve">, translated by Weir, Margaret, Calcutta, University of Calcutta, 1927. </w:t>
      </w:r>
    </w:p>
    <w:p w14:paraId="45234497" w14:textId="07A98829" w:rsidR="006C2F09" w:rsidRDefault="006C2F09" w:rsidP="006C2F09">
      <w:pPr>
        <w:spacing w:line="360" w:lineRule="auto"/>
        <w:rPr>
          <w:rFonts w:asciiTheme="majorBidi" w:hAnsiTheme="majorBidi" w:cstheme="majorBidi"/>
          <w:sz w:val="24"/>
          <w:szCs w:val="24"/>
        </w:rPr>
      </w:pPr>
      <w:r>
        <w:rPr>
          <w:rFonts w:asciiTheme="majorBidi" w:hAnsiTheme="majorBidi" w:cstheme="majorBidi"/>
          <w:sz w:val="24"/>
          <w:szCs w:val="24"/>
        </w:rPr>
        <w:t>Xue, Zongzheng</w:t>
      </w:r>
      <w:r w:rsidR="00DB6F72">
        <w:rPr>
          <w:rFonts w:asciiTheme="majorBidi" w:hAnsiTheme="majorBidi" w:cstheme="majorBidi" w:hint="eastAsia"/>
          <w:sz w:val="24"/>
          <w:szCs w:val="24"/>
        </w:rPr>
        <w:t>薛宗正</w:t>
      </w:r>
      <w:r w:rsidRPr="00FF28BE">
        <w:rPr>
          <w:rFonts w:asciiTheme="majorBidi" w:hAnsiTheme="majorBidi" w:cstheme="majorBidi"/>
          <w:sz w:val="24"/>
          <w:szCs w:val="24"/>
        </w:rPr>
        <w:t xml:space="preserve">, </w:t>
      </w:r>
      <w:r w:rsidR="00FB6B9D">
        <w:rPr>
          <w:rFonts w:asciiTheme="majorBidi" w:hAnsiTheme="majorBidi" w:cstheme="majorBidi"/>
          <w:sz w:val="24"/>
          <w:szCs w:val="24"/>
        </w:rPr>
        <w:t>T</w:t>
      </w:r>
      <w:r w:rsidR="00F62F2D" w:rsidRPr="00FF28BE">
        <w:rPr>
          <w:rFonts w:asciiTheme="majorBidi" w:hAnsiTheme="majorBidi" w:cstheme="majorBidi" w:hint="eastAsia"/>
          <w:sz w:val="24"/>
          <w:szCs w:val="24"/>
        </w:rPr>
        <w:t>he</w:t>
      </w:r>
      <w:r w:rsidR="00FF28BE" w:rsidRPr="00FF28BE">
        <w:rPr>
          <w:rFonts w:asciiTheme="majorBidi" w:hAnsiTheme="majorBidi" w:cstheme="majorBidi"/>
          <w:sz w:val="24"/>
          <w:szCs w:val="24"/>
        </w:rPr>
        <w:t xml:space="preserve"> History of the </w:t>
      </w:r>
      <w:r w:rsidR="00F62F2D" w:rsidRPr="00FF28BE">
        <w:rPr>
          <w:rFonts w:asciiTheme="majorBidi" w:hAnsiTheme="majorBidi" w:cstheme="majorBidi"/>
          <w:sz w:val="24"/>
          <w:szCs w:val="24"/>
        </w:rPr>
        <w:t xml:space="preserve">Sasanian </w:t>
      </w:r>
      <w:r w:rsidR="00FF28BE" w:rsidRPr="00FF28BE">
        <w:rPr>
          <w:rFonts w:asciiTheme="majorBidi" w:hAnsiTheme="majorBidi" w:cstheme="majorBidi"/>
          <w:sz w:val="24"/>
          <w:szCs w:val="24"/>
        </w:rPr>
        <w:t xml:space="preserve">Descendants’ </w:t>
      </w:r>
      <w:r w:rsidR="00FF28BE">
        <w:rPr>
          <w:rFonts w:asciiTheme="majorBidi" w:hAnsiTheme="majorBidi" w:cstheme="majorBidi"/>
          <w:sz w:val="24"/>
          <w:szCs w:val="24"/>
        </w:rPr>
        <w:t>A</w:t>
      </w:r>
      <w:r w:rsidR="00FF28BE" w:rsidRPr="00FF28BE">
        <w:rPr>
          <w:rFonts w:asciiTheme="majorBidi" w:hAnsiTheme="majorBidi" w:cstheme="majorBidi"/>
          <w:sz w:val="24"/>
          <w:szCs w:val="24"/>
        </w:rPr>
        <w:t>lliance with Ṭukhāristān to Fight the Arabs with Comments on the Confrontation between the Tang and the Arabs in Central Asia</w:t>
      </w:r>
      <w:r w:rsidR="00F62F2D">
        <w:rPr>
          <w:rFonts w:asciiTheme="majorBidi" w:hAnsiTheme="majorBidi" w:cstheme="majorBidi" w:hint="eastAsia"/>
          <w:sz w:val="24"/>
          <w:szCs w:val="24"/>
        </w:rPr>
        <w:t>波斯萨珊王裔联合吐火罗抗击大食始末：兼论唐与大食中亚对峙形势的研究</w:t>
      </w:r>
      <w:r>
        <w:rPr>
          <w:rFonts w:asciiTheme="majorBidi" w:hAnsiTheme="majorBidi" w:cstheme="majorBidi"/>
          <w:sz w:val="24"/>
          <w:szCs w:val="24"/>
        </w:rPr>
        <w:t xml:space="preserve">, </w:t>
      </w:r>
      <w:r w:rsidRPr="00005A50">
        <w:rPr>
          <w:rFonts w:asciiTheme="majorBidi" w:hAnsiTheme="majorBidi" w:cstheme="majorBidi"/>
          <w:i/>
          <w:iCs/>
          <w:sz w:val="24"/>
          <w:szCs w:val="24"/>
        </w:rPr>
        <w:t>Social Sciences in Xinjiang</w:t>
      </w:r>
      <w:r>
        <w:rPr>
          <w:rFonts w:asciiTheme="majorBidi" w:hAnsiTheme="majorBidi" w:cstheme="majorBidi"/>
          <w:sz w:val="24"/>
          <w:szCs w:val="24"/>
        </w:rPr>
        <w:t xml:space="preserve">, </w:t>
      </w:r>
      <w:r>
        <w:rPr>
          <w:rFonts w:asciiTheme="majorBidi" w:hAnsiTheme="majorBidi" w:cstheme="majorBidi" w:hint="eastAsia"/>
          <w:sz w:val="24"/>
          <w:szCs w:val="24"/>
        </w:rPr>
        <w:t>number</w:t>
      </w:r>
      <w:r>
        <w:rPr>
          <w:rFonts w:asciiTheme="majorBidi" w:hAnsiTheme="majorBidi" w:cstheme="majorBidi"/>
          <w:sz w:val="24"/>
          <w:szCs w:val="24"/>
        </w:rPr>
        <w:t xml:space="preserve"> 6, 1988, pp. 65-77.</w:t>
      </w:r>
    </w:p>
    <w:p w14:paraId="6E7740F0" w14:textId="03E73F27" w:rsidR="006C2F09" w:rsidRDefault="00A00244" w:rsidP="002A5026">
      <w:pPr>
        <w:spacing w:line="360" w:lineRule="auto"/>
        <w:jc w:val="left"/>
        <w:rPr>
          <w:rFonts w:asciiTheme="majorBidi" w:hAnsiTheme="majorBidi" w:cstheme="majorBidi"/>
          <w:sz w:val="24"/>
          <w:szCs w:val="24"/>
        </w:rPr>
      </w:pPr>
      <w:r>
        <w:rPr>
          <w:rFonts w:asciiTheme="majorBidi" w:hAnsiTheme="majorBidi" w:cstheme="majorBidi"/>
          <w:sz w:val="24"/>
          <w:szCs w:val="24"/>
        </w:rPr>
        <w:t>Yu, Taishan</w:t>
      </w:r>
      <w:r w:rsidR="00DB6F72">
        <w:rPr>
          <w:rFonts w:asciiTheme="majorBidi" w:hAnsiTheme="majorBidi" w:cstheme="majorBidi" w:hint="eastAsia"/>
          <w:sz w:val="24"/>
          <w:szCs w:val="24"/>
        </w:rPr>
        <w:t>余太山</w:t>
      </w:r>
      <w:r w:rsidR="005831E3">
        <w:rPr>
          <w:rFonts w:asciiTheme="majorBidi" w:hAnsiTheme="majorBidi" w:cstheme="majorBidi"/>
          <w:sz w:val="24"/>
          <w:szCs w:val="24"/>
        </w:rPr>
        <w:t xml:space="preserve">, </w:t>
      </w:r>
      <w:r w:rsidR="002A5026">
        <w:rPr>
          <w:rFonts w:asciiTheme="majorBidi" w:hAnsiTheme="majorBidi" w:cstheme="majorBidi"/>
          <w:sz w:val="24"/>
          <w:szCs w:val="24"/>
        </w:rPr>
        <w:t xml:space="preserve">About Faxian’s Routes </w:t>
      </w:r>
      <w:r w:rsidR="0000106F">
        <w:rPr>
          <w:rFonts w:asciiTheme="majorBidi" w:hAnsiTheme="majorBidi" w:cstheme="majorBidi"/>
          <w:sz w:val="24"/>
          <w:szCs w:val="24"/>
        </w:rPr>
        <w:t>to India for Buddhism Studying and the Journeys of Zhimeng and Dharmodgata</w:t>
      </w:r>
      <w:r w:rsidR="002A5026" w:rsidRPr="002A5026">
        <w:rPr>
          <w:rFonts w:asciiTheme="majorBidi" w:hAnsiTheme="majorBidi" w:cstheme="majorBidi" w:hint="eastAsia"/>
          <w:sz w:val="24"/>
          <w:szCs w:val="24"/>
        </w:rPr>
        <w:t>关于法显的入竺求法路线——兼说智猛和昙无竭的入竺行</w:t>
      </w:r>
      <w:r w:rsidR="005831E3">
        <w:rPr>
          <w:rFonts w:asciiTheme="majorBidi" w:hAnsiTheme="majorBidi" w:cstheme="majorBidi"/>
          <w:sz w:val="24"/>
          <w:szCs w:val="24"/>
        </w:rPr>
        <w:t xml:space="preserve">, </w:t>
      </w:r>
      <w:r w:rsidR="005831E3" w:rsidRPr="008F52C2">
        <w:rPr>
          <w:rFonts w:asciiTheme="majorBidi" w:hAnsiTheme="majorBidi" w:cstheme="majorBidi"/>
          <w:i/>
          <w:iCs/>
          <w:sz w:val="24"/>
          <w:szCs w:val="24"/>
        </w:rPr>
        <w:t>Eurasian Studies</w:t>
      </w:r>
      <w:r w:rsidR="005831E3">
        <w:rPr>
          <w:rFonts w:asciiTheme="majorBidi" w:hAnsiTheme="majorBidi" w:cstheme="majorBidi"/>
          <w:sz w:val="24"/>
          <w:szCs w:val="24"/>
        </w:rPr>
        <w:t>, 2004, issue 6, pp. 138-53.</w:t>
      </w:r>
    </w:p>
    <w:p w14:paraId="4C48B7BD" w14:textId="40C0500D" w:rsidR="005831E3" w:rsidRDefault="006C2F09" w:rsidP="005831E3">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 </w:t>
      </w:r>
      <w:r w:rsidR="00FF28BE">
        <w:rPr>
          <w:rFonts w:asciiTheme="majorBidi" w:hAnsiTheme="majorBidi" w:cstheme="majorBidi"/>
          <w:sz w:val="24"/>
          <w:szCs w:val="24"/>
        </w:rPr>
        <w:t>Three Routes from Dunhuang to the Black Sea Recorded in Pei Ju’s I</w:t>
      </w:r>
      <w:r w:rsidR="00FF28BE">
        <w:rPr>
          <w:rFonts w:asciiTheme="majorBidi" w:hAnsiTheme="majorBidi" w:cstheme="majorBidi" w:hint="eastAsia"/>
          <w:sz w:val="24"/>
          <w:szCs w:val="24"/>
        </w:rPr>
        <w:t>llustrated</w:t>
      </w:r>
      <w:r w:rsidR="00FF28BE">
        <w:rPr>
          <w:rFonts w:asciiTheme="majorBidi" w:hAnsiTheme="majorBidi" w:cstheme="majorBidi"/>
          <w:sz w:val="24"/>
          <w:szCs w:val="24"/>
        </w:rPr>
        <w:t xml:space="preserve"> Book of the Western Regions</w:t>
      </w:r>
      <w:r w:rsidR="00FF28BE">
        <w:rPr>
          <w:rFonts w:asciiTheme="majorBidi" w:hAnsiTheme="majorBidi" w:cstheme="majorBidi" w:hint="eastAsia"/>
          <w:sz w:val="24"/>
          <w:szCs w:val="24"/>
        </w:rPr>
        <w:t>裴矩《西域图记》</w:t>
      </w:r>
      <w:proofErr w:type="gramStart"/>
      <w:r w:rsidR="00D47F2A">
        <w:rPr>
          <w:rFonts w:asciiTheme="majorBidi" w:hAnsiTheme="majorBidi" w:cstheme="majorBidi" w:hint="eastAsia"/>
          <w:sz w:val="24"/>
          <w:szCs w:val="24"/>
        </w:rPr>
        <w:t>所见敦煌至西海的</w:t>
      </w:r>
      <w:r w:rsidR="00D47F2A" w:rsidRPr="0023782E">
        <w:rPr>
          <w:rFonts w:asciiTheme="majorBidi" w:hAnsiTheme="majorBidi" w:cstheme="majorBidi"/>
          <w:sz w:val="24"/>
          <w:szCs w:val="24"/>
        </w:rPr>
        <w:t>“</w:t>
      </w:r>
      <w:proofErr w:type="gramEnd"/>
      <w:r w:rsidR="00FF28BE">
        <w:rPr>
          <w:rFonts w:asciiTheme="majorBidi" w:hAnsiTheme="majorBidi" w:cstheme="majorBidi" w:hint="eastAsia"/>
          <w:sz w:val="24"/>
          <w:szCs w:val="24"/>
        </w:rPr>
        <w:t>三道</w:t>
      </w:r>
      <w:r w:rsidR="004C13F0" w:rsidRPr="0023782E">
        <w:rPr>
          <w:rFonts w:asciiTheme="majorBidi" w:hAnsiTheme="majorBidi" w:cstheme="majorBidi"/>
          <w:sz w:val="24"/>
          <w:szCs w:val="24"/>
        </w:rPr>
        <w:t>”</w:t>
      </w:r>
      <w:r w:rsidR="00FF28BE">
        <w:rPr>
          <w:rFonts w:asciiTheme="majorBidi" w:hAnsiTheme="majorBidi" w:cstheme="majorBidi" w:hint="eastAsia"/>
          <w:sz w:val="24"/>
          <w:szCs w:val="24"/>
        </w:rPr>
        <w:t>,</w:t>
      </w:r>
      <w:r w:rsidR="00FF28BE">
        <w:rPr>
          <w:rFonts w:asciiTheme="majorBidi" w:hAnsiTheme="majorBidi" w:cstheme="majorBidi"/>
          <w:sz w:val="24"/>
          <w:szCs w:val="24"/>
        </w:rPr>
        <w:t xml:space="preserve"> </w:t>
      </w:r>
      <w:r>
        <w:rPr>
          <w:rFonts w:asciiTheme="majorBidi" w:hAnsiTheme="majorBidi" w:cstheme="majorBidi"/>
          <w:sz w:val="24"/>
          <w:szCs w:val="24"/>
        </w:rPr>
        <w:t xml:space="preserve">in </w:t>
      </w:r>
      <w:r w:rsidR="0000106F">
        <w:rPr>
          <w:rFonts w:asciiTheme="majorBidi" w:hAnsiTheme="majorBidi" w:cstheme="majorBidi"/>
          <w:i/>
          <w:iCs/>
          <w:sz w:val="24"/>
          <w:szCs w:val="24"/>
        </w:rPr>
        <w:t>S</w:t>
      </w:r>
      <w:r w:rsidR="0000106F">
        <w:rPr>
          <w:rFonts w:asciiTheme="majorBidi" w:hAnsiTheme="majorBidi" w:cstheme="majorBidi" w:hint="eastAsia"/>
          <w:i/>
          <w:iCs/>
          <w:sz w:val="24"/>
          <w:szCs w:val="24"/>
        </w:rPr>
        <w:t>tud</w:t>
      </w:r>
      <w:r w:rsidR="0000106F">
        <w:rPr>
          <w:rFonts w:asciiTheme="majorBidi" w:hAnsiTheme="majorBidi" w:cstheme="majorBidi"/>
          <w:i/>
          <w:iCs/>
          <w:sz w:val="24"/>
          <w:szCs w:val="24"/>
        </w:rPr>
        <w:t>ies of Early Sources about the Silk Road</w:t>
      </w:r>
      <w:r w:rsidR="0000106F" w:rsidRPr="0000106F">
        <w:rPr>
          <w:rFonts w:asciiTheme="majorBidi" w:hAnsiTheme="majorBidi" w:cstheme="majorBidi" w:hint="eastAsia"/>
          <w:sz w:val="24"/>
          <w:szCs w:val="24"/>
        </w:rPr>
        <w:t>早期丝绸之路文献研究</w:t>
      </w:r>
      <w:r>
        <w:rPr>
          <w:rFonts w:asciiTheme="majorBidi" w:hAnsiTheme="majorBidi" w:cstheme="majorBidi"/>
          <w:sz w:val="24"/>
          <w:szCs w:val="24"/>
        </w:rPr>
        <w:t xml:space="preserve">, Shanghai, </w:t>
      </w:r>
      <w:r>
        <w:rPr>
          <w:rFonts w:asciiTheme="majorBidi" w:hAnsiTheme="majorBidi" w:cstheme="majorBidi"/>
          <w:sz w:val="24"/>
          <w:szCs w:val="24"/>
        </w:rPr>
        <w:lastRenderedPageBreak/>
        <w:t>Shanghai</w:t>
      </w:r>
      <w:r>
        <w:rPr>
          <w:rFonts w:asciiTheme="majorBidi" w:hAnsiTheme="majorBidi" w:cstheme="majorBidi" w:hint="eastAsia"/>
          <w:sz w:val="24"/>
          <w:szCs w:val="24"/>
        </w:rPr>
        <w:t xml:space="preserve"> </w:t>
      </w:r>
      <w:r>
        <w:rPr>
          <w:rFonts w:asciiTheme="majorBidi" w:hAnsiTheme="majorBidi" w:cstheme="majorBidi"/>
          <w:sz w:val="24"/>
          <w:szCs w:val="24"/>
        </w:rPr>
        <w:t>People's Press, 2009, pp. 73-86.</w:t>
      </w:r>
      <w:r w:rsidR="005831E3" w:rsidRPr="00174F08">
        <w:rPr>
          <w:rFonts w:asciiTheme="majorBidi" w:hAnsiTheme="majorBidi" w:cstheme="majorBidi"/>
          <w:sz w:val="24"/>
          <w:szCs w:val="24"/>
        </w:rPr>
        <w:t xml:space="preserve"> </w:t>
      </w:r>
    </w:p>
    <w:p w14:paraId="617737AE" w14:textId="359FE8E0" w:rsidR="006D40D1" w:rsidRDefault="006C2F09" w:rsidP="006D40D1">
      <w:pPr>
        <w:spacing w:line="360" w:lineRule="auto"/>
        <w:jc w:val="left"/>
        <w:rPr>
          <w:rFonts w:asciiTheme="majorBidi" w:hAnsiTheme="majorBidi" w:cstheme="majorBidi"/>
          <w:sz w:val="24"/>
          <w:szCs w:val="24"/>
        </w:rPr>
      </w:pPr>
      <w:r>
        <w:rPr>
          <w:rFonts w:asciiTheme="majorBidi" w:hAnsiTheme="majorBidi" w:cstheme="majorBidi"/>
          <w:sz w:val="24"/>
          <w:szCs w:val="24"/>
        </w:rPr>
        <w:t>----</w:t>
      </w:r>
      <w:r w:rsidR="00C216D4">
        <w:rPr>
          <w:rFonts w:asciiTheme="majorBidi" w:hAnsiTheme="majorBidi" w:cstheme="majorBidi"/>
          <w:sz w:val="24"/>
          <w:szCs w:val="24"/>
        </w:rPr>
        <w:t xml:space="preserve">, </w:t>
      </w:r>
      <w:r w:rsidR="008842F1" w:rsidRPr="00DB6F72">
        <w:rPr>
          <w:rFonts w:asciiTheme="majorBidi" w:hAnsiTheme="majorBidi" w:cstheme="majorBidi"/>
          <w:i/>
          <w:iCs/>
          <w:sz w:val="24"/>
          <w:szCs w:val="24"/>
        </w:rPr>
        <w:t>A Study of the Hephthalite</w:t>
      </w:r>
      <w:r w:rsidR="0023782E" w:rsidRPr="00DB6F72">
        <w:rPr>
          <w:rFonts w:asciiTheme="majorBidi" w:hAnsiTheme="majorBidi" w:cstheme="majorBidi"/>
          <w:i/>
          <w:iCs/>
          <w:sz w:val="24"/>
          <w:szCs w:val="24"/>
        </w:rPr>
        <w:t xml:space="preserve"> History</w:t>
      </w:r>
      <w:r w:rsidR="0023782E">
        <w:rPr>
          <w:rFonts w:ascii="Arial" w:hAnsi="Arial" w:cs="Arial"/>
          <w:color w:val="202122"/>
          <w:sz w:val="23"/>
          <w:szCs w:val="23"/>
          <w:shd w:val="clear" w:color="auto" w:fill="FFFFFF"/>
        </w:rPr>
        <w:t>嚈哒史研</w:t>
      </w:r>
      <w:r w:rsidR="0023782E">
        <w:rPr>
          <w:rFonts w:ascii="MS Gothic" w:eastAsia="MS Gothic" w:hAnsi="MS Gothic" w:cs="MS Gothic" w:hint="eastAsia"/>
          <w:color w:val="202122"/>
          <w:sz w:val="23"/>
          <w:szCs w:val="23"/>
          <w:shd w:val="clear" w:color="auto" w:fill="FFFFFF"/>
        </w:rPr>
        <w:t>究</w:t>
      </w:r>
      <w:r w:rsidR="00C216D4">
        <w:rPr>
          <w:rFonts w:asciiTheme="majorBidi" w:hAnsiTheme="majorBidi" w:cstheme="majorBidi"/>
          <w:sz w:val="24"/>
          <w:szCs w:val="24"/>
        </w:rPr>
        <w:t>, Beijing, the Commercial Press, 2012.</w:t>
      </w:r>
    </w:p>
    <w:p w14:paraId="64D0A87C" w14:textId="762CBB8C" w:rsidR="00757957" w:rsidRDefault="00757957" w:rsidP="00174F08">
      <w:pPr>
        <w:spacing w:line="360" w:lineRule="auto"/>
        <w:jc w:val="left"/>
        <w:rPr>
          <w:rFonts w:asciiTheme="majorBidi" w:hAnsiTheme="majorBidi" w:cstheme="majorBidi"/>
          <w:sz w:val="24"/>
          <w:szCs w:val="24"/>
        </w:rPr>
      </w:pPr>
      <w:r>
        <w:rPr>
          <w:rFonts w:asciiTheme="majorBidi" w:hAnsiTheme="majorBidi" w:cstheme="majorBidi"/>
          <w:sz w:val="24"/>
          <w:szCs w:val="24"/>
        </w:rPr>
        <w:t>Zhang, Guangda</w:t>
      </w:r>
      <w:r>
        <w:rPr>
          <w:rFonts w:asciiTheme="majorBidi" w:hAnsiTheme="majorBidi" w:cstheme="majorBidi" w:hint="eastAsia"/>
          <w:sz w:val="24"/>
          <w:szCs w:val="24"/>
        </w:rPr>
        <w:t>张广达</w:t>
      </w:r>
      <w:r>
        <w:rPr>
          <w:rFonts w:asciiTheme="majorBidi" w:hAnsiTheme="majorBidi" w:cstheme="majorBidi" w:hint="eastAsia"/>
          <w:sz w:val="24"/>
          <w:szCs w:val="24"/>
        </w:rPr>
        <w:t>,</w:t>
      </w:r>
      <w:r>
        <w:rPr>
          <w:rFonts w:asciiTheme="majorBidi" w:hAnsiTheme="majorBidi" w:cstheme="majorBidi"/>
          <w:sz w:val="24"/>
          <w:szCs w:val="24"/>
        </w:rPr>
        <w:t xml:space="preserve"> A Study of the Location of Suyab</w:t>
      </w:r>
      <w:r>
        <w:rPr>
          <w:rFonts w:asciiTheme="majorBidi" w:hAnsiTheme="majorBidi" w:cstheme="majorBidi" w:hint="eastAsia"/>
          <w:sz w:val="24"/>
          <w:szCs w:val="24"/>
        </w:rPr>
        <w:t>碎叶城今地考</w:t>
      </w:r>
      <w:r>
        <w:rPr>
          <w:rFonts w:asciiTheme="majorBidi" w:hAnsiTheme="majorBidi" w:cstheme="majorBidi" w:hint="eastAsia"/>
          <w:sz w:val="24"/>
          <w:szCs w:val="24"/>
        </w:rPr>
        <w:t>,</w:t>
      </w:r>
      <w:r>
        <w:rPr>
          <w:rFonts w:asciiTheme="majorBidi" w:hAnsiTheme="majorBidi" w:cstheme="majorBidi"/>
          <w:sz w:val="24"/>
          <w:szCs w:val="24"/>
        </w:rPr>
        <w:t xml:space="preserve"> </w:t>
      </w:r>
      <w:r w:rsidRPr="00757957">
        <w:rPr>
          <w:rFonts w:asciiTheme="majorBidi" w:hAnsiTheme="majorBidi" w:cstheme="majorBidi"/>
          <w:i/>
          <w:iCs/>
          <w:sz w:val="24"/>
          <w:szCs w:val="24"/>
        </w:rPr>
        <w:t>Journal of Peking University</w:t>
      </w:r>
      <w:r>
        <w:rPr>
          <w:rFonts w:asciiTheme="majorBidi" w:hAnsiTheme="majorBidi" w:cstheme="majorBidi" w:hint="eastAsia"/>
          <w:sz w:val="24"/>
          <w:szCs w:val="24"/>
        </w:rPr>
        <w:t>北京大学学报</w:t>
      </w:r>
      <w:r>
        <w:rPr>
          <w:rFonts w:asciiTheme="majorBidi" w:hAnsiTheme="majorBidi" w:cstheme="majorBidi" w:hint="eastAsia"/>
          <w:sz w:val="24"/>
          <w:szCs w:val="24"/>
        </w:rPr>
        <w:t>,</w:t>
      </w:r>
      <w:r>
        <w:rPr>
          <w:rFonts w:asciiTheme="majorBidi" w:hAnsiTheme="majorBidi" w:cstheme="majorBidi"/>
          <w:sz w:val="24"/>
          <w:szCs w:val="24"/>
        </w:rPr>
        <w:t xml:space="preserve"> 1979, number 05, pp. 71-83.</w:t>
      </w:r>
    </w:p>
    <w:p w14:paraId="1E0341A7" w14:textId="6895E52C" w:rsidR="00C216D4" w:rsidRPr="009C07ED" w:rsidRDefault="006C2F09" w:rsidP="00315045">
      <w:pPr>
        <w:spacing w:line="360" w:lineRule="auto"/>
        <w:jc w:val="left"/>
        <w:rPr>
          <w:rFonts w:asciiTheme="majorBidi" w:hAnsiTheme="majorBidi" w:cstheme="majorBidi"/>
          <w:sz w:val="24"/>
          <w:szCs w:val="24"/>
        </w:rPr>
      </w:pPr>
      <w:r>
        <w:rPr>
          <w:rFonts w:asciiTheme="majorBidi" w:hAnsiTheme="majorBidi" w:cstheme="majorBidi"/>
          <w:sz w:val="24"/>
          <w:szCs w:val="24"/>
        </w:rPr>
        <w:t>Zhang Hongjie</w:t>
      </w:r>
      <w:r w:rsidR="00DB6F72">
        <w:rPr>
          <w:rFonts w:asciiTheme="majorBidi" w:hAnsiTheme="majorBidi" w:cstheme="majorBidi" w:hint="eastAsia"/>
          <w:sz w:val="24"/>
          <w:szCs w:val="24"/>
        </w:rPr>
        <w:t>张鸿杰</w:t>
      </w:r>
      <w:r>
        <w:rPr>
          <w:rFonts w:asciiTheme="majorBidi" w:hAnsiTheme="majorBidi" w:cstheme="majorBidi" w:hint="eastAsia"/>
          <w:sz w:val="24"/>
          <w:szCs w:val="24"/>
        </w:rPr>
        <w:t>,</w:t>
      </w:r>
      <w:r>
        <w:rPr>
          <w:rFonts w:asciiTheme="majorBidi" w:hAnsiTheme="majorBidi" w:cstheme="majorBidi"/>
          <w:sz w:val="24"/>
          <w:szCs w:val="24"/>
        </w:rPr>
        <w:t xml:space="preserve"> </w:t>
      </w:r>
      <w:r w:rsidRPr="003B092D">
        <w:rPr>
          <w:rFonts w:asciiTheme="majorBidi" w:hAnsiTheme="majorBidi" w:cstheme="majorBidi"/>
          <w:sz w:val="24"/>
          <w:szCs w:val="24"/>
        </w:rPr>
        <w:t>Title of the sixty-one statues of tribal officials in Qia</w:t>
      </w:r>
      <w:r w:rsidR="00DB6F72">
        <w:rPr>
          <w:rFonts w:asciiTheme="majorBidi" w:hAnsiTheme="majorBidi" w:cstheme="majorBidi"/>
          <w:sz w:val="24"/>
          <w:szCs w:val="24"/>
        </w:rPr>
        <w:t>n</w:t>
      </w:r>
      <w:proofErr w:type="gramStart"/>
      <w:r w:rsidR="0023782E" w:rsidRPr="0023782E">
        <w:rPr>
          <w:rFonts w:asciiTheme="majorBidi" w:hAnsiTheme="majorBidi" w:cstheme="majorBidi"/>
          <w:sz w:val="24"/>
          <w:szCs w:val="24"/>
        </w:rPr>
        <w:t>乾陵</w:t>
      </w:r>
      <w:r w:rsidR="0023782E" w:rsidRPr="0023782E">
        <w:rPr>
          <w:rFonts w:asciiTheme="majorBidi" w:hAnsiTheme="majorBidi" w:cstheme="majorBidi"/>
          <w:sz w:val="24"/>
          <w:szCs w:val="24"/>
        </w:rPr>
        <w:t>“</w:t>
      </w:r>
      <w:proofErr w:type="gramEnd"/>
      <w:r w:rsidR="0023782E" w:rsidRPr="0023782E">
        <w:rPr>
          <w:rFonts w:asciiTheme="majorBidi" w:hAnsiTheme="majorBidi" w:cstheme="majorBidi"/>
          <w:sz w:val="24"/>
          <w:szCs w:val="24"/>
        </w:rPr>
        <w:t>六十一藩臣像</w:t>
      </w:r>
      <w:r w:rsidR="0023782E" w:rsidRPr="0023782E">
        <w:rPr>
          <w:rFonts w:asciiTheme="majorBidi" w:hAnsiTheme="majorBidi" w:cstheme="majorBidi"/>
          <w:sz w:val="24"/>
          <w:szCs w:val="24"/>
        </w:rPr>
        <w:t>”</w:t>
      </w:r>
      <w:r w:rsidR="0023782E" w:rsidRPr="0023782E">
        <w:rPr>
          <w:rFonts w:asciiTheme="majorBidi" w:hAnsiTheme="majorBidi" w:cstheme="majorBidi"/>
          <w:sz w:val="24"/>
          <w:szCs w:val="24"/>
        </w:rPr>
        <w:t>衔名订补</w:t>
      </w:r>
      <w:r>
        <w:rPr>
          <w:rFonts w:asciiTheme="majorBidi" w:hAnsiTheme="majorBidi" w:cstheme="majorBidi"/>
          <w:sz w:val="24"/>
          <w:szCs w:val="24"/>
        </w:rPr>
        <w:t xml:space="preserve">, </w:t>
      </w:r>
      <w:r w:rsidRPr="003B092D">
        <w:rPr>
          <w:rFonts w:asciiTheme="majorBidi" w:hAnsiTheme="majorBidi" w:cstheme="majorBidi"/>
          <w:i/>
          <w:iCs/>
          <w:sz w:val="24"/>
          <w:szCs w:val="24"/>
        </w:rPr>
        <w:t>Journal of Xianyang Teachers College</w:t>
      </w:r>
      <w:r>
        <w:rPr>
          <w:rFonts w:asciiTheme="majorBidi" w:hAnsiTheme="majorBidi" w:cstheme="majorBidi" w:hint="eastAsia"/>
          <w:sz w:val="24"/>
          <w:szCs w:val="24"/>
        </w:rPr>
        <w:t>,</w:t>
      </w:r>
      <w:r>
        <w:rPr>
          <w:rFonts w:asciiTheme="majorBidi" w:hAnsiTheme="majorBidi" w:cstheme="majorBidi"/>
          <w:sz w:val="24"/>
          <w:szCs w:val="24"/>
        </w:rPr>
        <w:t xml:space="preserve"> 2003, number 3, pp. 8-11.</w:t>
      </w:r>
    </w:p>
    <w:sectPr w:rsidR="00C216D4" w:rsidRPr="009C07ED">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CC7AF" w14:textId="77777777" w:rsidR="00902FCD" w:rsidRDefault="00902FCD" w:rsidP="007B09B6">
      <w:r>
        <w:separator/>
      </w:r>
    </w:p>
  </w:endnote>
  <w:endnote w:type="continuationSeparator" w:id="0">
    <w:p w14:paraId="132D99D0" w14:textId="77777777" w:rsidR="00902FCD" w:rsidRDefault="00902FCD" w:rsidP="007B0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Microsoft YaHei"/>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Microsoft YaHei"/>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1251505"/>
      <w:docPartObj>
        <w:docPartGallery w:val="Page Numbers (Bottom of Page)"/>
        <w:docPartUnique/>
      </w:docPartObj>
    </w:sdtPr>
    <w:sdtContent>
      <w:p w14:paraId="0F036638" w14:textId="778F4E19" w:rsidR="00902FCD" w:rsidRDefault="00902FCD">
        <w:pPr>
          <w:pStyle w:val="Footer"/>
          <w:jc w:val="center"/>
        </w:pPr>
        <w:r>
          <w:fldChar w:fldCharType="begin"/>
        </w:r>
        <w:r>
          <w:instrText>PAGE   \* MERGEFORMAT</w:instrText>
        </w:r>
        <w:r>
          <w:fldChar w:fldCharType="separate"/>
        </w:r>
        <w:r>
          <w:rPr>
            <w:lang w:val="zh-CN"/>
          </w:rPr>
          <w:t>2</w:t>
        </w:r>
        <w:r>
          <w:fldChar w:fldCharType="end"/>
        </w:r>
      </w:p>
    </w:sdtContent>
  </w:sdt>
  <w:p w14:paraId="36F15F94" w14:textId="77777777" w:rsidR="00902FCD" w:rsidRDefault="00902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0F670E" w14:textId="77777777" w:rsidR="00902FCD" w:rsidRDefault="00902FCD" w:rsidP="007B09B6">
      <w:r>
        <w:separator/>
      </w:r>
    </w:p>
  </w:footnote>
  <w:footnote w:type="continuationSeparator" w:id="0">
    <w:p w14:paraId="61636731" w14:textId="77777777" w:rsidR="00902FCD" w:rsidRDefault="00902FCD" w:rsidP="007B09B6">
      <w:r>
        <w:continuationSeparator/>
      </w:r>
    </w:p>
  </w:footnote>
  <w:footnote w:id="1">
    <w:p w14:paraId="12BB3F80" w14:textId="71BA7452" w:rsidR="00902FCD" w:rsidRPr="00F67543" w:rsidRDefault="00902FCD" w:rsidP="00301421">
      <w:pPr>
        <w:pStyle w:val="FootnoteText"/>
        <w:spacing w:line="360" w:lineRule="auto"/>
        <w:rPr>
          <w:rFonts w:asciiTheme="majorBidi" w:hAnsiTheme="majorBidi" w:cstheme="majorBidi"/>
          <w:sz w:val="20"/>
          <w:szCs w:val="20"/>
        </w:rPr>
      </w:pPr>
      <w:r w:rsidRPr="00F67543">
        <w:rPr>
          <w:rFonts w:asciiTheme="majorBidi" w:hAnsiTheme="majorBidi" w:cstheme="majorBidi"/>
          <w:sz w:val="20"/>
          <w:szCs w:val="20"/>
          <w:vertAlign w:val="superscript"/>
        </w:rPr>
        <w:footnoteRef/>
      </w:r>
      <w:r w:rsidRPr="00F67543">
        <w:rPr>
          <w:rFonts w:asciiTheme="majorBidi" w:hAnsiTheme="majorBidi" w:cstheme="majorBidi"/>
          <w:sz w:val="20"/>
          <w:szCs w:val="20"/>
          <w:rtl/>
        </w:rPr>
        <w:t xml:space="preserve"> </w:t>
      </w:r>
      <w:r>
        <w:rPr>
          <w:rFonts w:asciiTheme="majorBidi" w:hAnsiTheme="majorBidi" w:cstheme="majorBidi"/>
          <w:sz w:val="20"/>
          <w:szCs w:val="20"/>
        </w:rPr>
        <w:t>The historians include the 7</w:t>
      </w:r>
      <w:r w:rsidRPr="00301421">
        <w:rPr>
          <w:rFonts w:asciiTheme="majorBidi" w:hAnsiTheme="majorBidi" w:cstheme="majorBidi"/>
          <w:sz w:val="20"/>
          <w:szCs w:val="20"/>
          <w:vertAlign w:val="superscript"/>
        </w:rPr>
        <w:t>th</w:t>
      </w:r>
      <w:r>
        <w:rPr>
          <w:rFonts w:asciiTheme="majorBidi" w:hAnsiTheme="majorBidi" w:cstheme="majorBidi"/>
          <w:sz w:val="20"/>
          <w:szCs w:val="20"/>
        </w:rPr>
        <w:t xml:space="preserve"> century Armenian historian Sebeos (</w:t>
      </w:r>
      <w:r w:rsidRPr="00F67543">
        <w:rPr>
          <w:rFonts w:asciiTheme="majorBidi" w:hAnsiTheme="majorBidi" w:cstheme="majorBidi"/>
          <w:sz w:val="20"/>
          <w:szCs w:val="20"/>
        </w:rPr>
        <w:t>1999, p. 135</w:t>
      </w:r>
      <w:r>
        <w:rPr>
          <w:rFonts w:asciiTheme="majorBidi" w:hAnsiTheme="majorBidi" w:cstheme="majorBidi"/>
          <w:sz w:val="20"/>
          <w:szCs w:val="20"/>
        </w:rPr>
        <w:t>) and the Muslims such as al-</w:t>
      </w:r>
      <w:r w:rsidRPr="00301421">
        <w:rPr>
          <w:rFonts w:asciiTheme="majorBidi" w:hAnsiTheme="majorBidi" w:cstheme="majorBidi"/>
          <w:sz w:val="20"/>
          <w:szCs w:val="20"/>
        </w:rPr>
        <w:t>Dīnawarī (d. 896 CE)</w:t>
      </w:r>
      <w:r>
        <w:rPr>
          <w:rFonts w:asciiTheme="majorBidi" w:hAnsiTheme="majorBidi" w:cstheme="majorBidi"/>
          <w:sz w:val="20"/>
          <w:szCs w:val="20"/>
        </w:rPr>
        <w:t xml:space="preserve"> (</w:t>
      </w:r>
      <w:r w:rsidRPr="00E83993">
        <w:rPr>
          <w:rFonts w:asciiTheme="majorBidi" w:hAnsiTheme="majorBidi" w:cstheme="majorBidi"/>
          <w:sz w:val="20"/>
          <w:szCs w:val="20"/>
        </w:rPr>
        <w:t xml:space="preserve">1888, p. 149; </w:t>
      </w:r>
      <w:r>
        <w:rPr>
          <w:rFonts w:asciiTheme="majorBidi" w:hAnsiTheme="majorBidi" w:cstheme="majorBidi"/>
          <w:sz w:val="20"/>
          <w:szCs w:val="20"/>
        </w:rPr>
        <w:t xml:space="preserve">tr. </w:t>
      </w:r>
      <w:r w:rsidRPr="00E83993">
        <w:rPr>
          <w:rFonts w:asciiTheme="majorBidi" w:hAnsiTheme="majorBidi" w:cstheme="majorBidi"/>
          <w:sz w:val="20"/>
          <w:szCs w:val="20"/>
        </w:rPr>
        <w:t>2010, p. 271</w:t>
      </w:r>
      <w:r>
        <w:rPr>
          <w:rFonts w:asciiTheme="majorBidi" w:hAnsiTheme="majorBidi" w:cstheme="majorBidi"/>
          <w:sz w:val="20"/>
          <w:szCs w:val="20"/>
        </w:rPr>
        <w:t xml:space="preserve">: </w:t>
      </w:r>
      <w:r>
        <w:rPr>
          <w:rFonts w:asciiTheme="majorBidi" w:hAnsiTheme="majorBidi" w:cstheme="majorBidi" w:hint="cs"/>
          <w:sz w:val="20"/>
          <w:szCs w:val="20"/>
          <w:rtl/>
          <w:lang w:bidi="ar-SY"/>
        </w:rPr>
        <w:t>ذلك انقضى ملك فارس</w:t>
      </w:r>
      <w:r>
        <w:rPr>
          <w:rFonts w:asciiTheme="majorBidi" w:hAnsiTheme="majorBidi" w:cstheme="majorBidi"/>
          <w:sz w:val="20"/>
          <w:szCs w:val="20"/>
        </w:rPr>
        <w:t>),</w:t>
      </w:r>
      <w:r w:rsidRPr="00301421">
        <w:rPr>
          <w:rFonts w:asciiTheme="majorBidi" w:hAnsiTheme="majorBidi" w:cstheme="majorBidi"/>
          <w:sz w:val="20"/>
          <w:szCs w:val="20"/>
        </w:rPr>
        <w:t xml:space="preserve"> al-Ṭabarī (d. 923 CE)</w:t>
      </w:r>
      <w:r>
        <w:rPr>
          <w:rFonts w:asciiTheme="majorBidi" w:hAnsiTheme="majorBidi" w:cstheme="majorBidi"/>
          <w:sz w:val="20"/>
          <w:szCs w:val="20"/>
        </w:rPr>
        <w:t xml:space="preserve"> (2001, volume 2, p. 624; tr., </w:t>
      </w:r>
      <w:r w:rsidRPr="00F67543">
        <w:rPr>
          <w:rFonts w:asciiTheme="majorBidi" w:hAnsiTheme="majorBidi" w:cstheme="majorBidi"/>
          <w:sz w:val="20"/>
          <w:szCs w:val="20"/>
        </w:rPr>
        <w:t xml:space="preserve">1990, volume </w:t>
      </w:r>
      <w:r>
        <w:rPr>
          <w:rFonts w:asciiTheme="majorBidi" w:hAnsiTheme="majorBidi" w:cstheme="majorBidi"/>
          <w:sz w:val="20"/>
          <w:szCs w:val="20"/>
        </w:rPr>
        <w:t>XV</w:t>
      </w:r>
      <w:r w:rsidRPr="00F67543">
        <w:rPr>
          <w:rFonts w:asciiTheme="majorBidi" w:hAnsiTheme="majorBidi" w:cstheme="majorBidi"/>
          <w:sz w:val="20"/>
          <w:szCs w:val="20"/>
        </w:rPr>
        <w:t>, p. 90</w:t>
      </w:r>
      <w:r>
        <w:rPr>
          <w:rFonts w:asciiTheme="majorBidi" w:hAnsiTheme="majorBidi" w:cstheme="majorBidi"/>
          <w:sz w:val="20"/>
          <w:szCs w:val="20"/>
        </w:rPr>
        <w:t xml:space="preserve">: </w:t>
      </w:r>
      <w:r>
        <w:rPr>
          <w:rFonts w:asciiTheme="majorBidi" w:hAnsiTheme="majorBidi" w:cstheme="majorBidi" w:hint="cs"/>
          <w:sz w:val="20"/>
          <w:szCs w:val="20"/>
          <w:rtl/>
          <w:lang w:bidi="ar-JO"/>
        </w:rPr>
        <w:t>وكان اخر ملك ملك من ال اردشير بن بابك وصفا الملك بعده للعرب</w:t>
      </w:r>
      <w:r>
        <w:rPr>
          <w:rFonts w:asciiTheme="majorBidi" w:hAnsiTheme="majorBidi" w:cstheme="majorBidi"/>
          <w:sz w:val="20"/>
          <w:szCs w:val="20"/>
        </w:rPr>
        <w:t>) and Gardīzī (active in the 11</w:t>
      </w:r>
      <w:r w:rsidRPr="00A73225">
        <w:rPr>
          <w:rFonts w:asciiTheme="majorBidi" w:hAnsiTheme="majorBidi" w:cstheme="majorBidi"/>
          <w:sz w:val="20"/>
          <w:szCs w:val="20"/>
          <w:vertAlign w:val="superscript"/>
        </w:rPr>
        <w:t>th</w:t>
      </w:r>
      <w:r>
        <w:rPr>
          <w:rFonts w:asciiTheme="majorBidi" w:hAnsiTheme="majorBidi" w:cstheme="majorBidi"/>
          <w:sz w:val="20"/>
          <w:szCs w:val="20"/>
        </w:rPr>
        <w:t xml:space="preserve"> century) (1984, p. 104: </w:t>
      </w:r>
      <w:r w:rsidRPr="00A73225">
        <w:rPr>
          <w:rFonts w:asciiTheme="majorBidi" w:hAnsiTheme="majorBidi" w:cs="Times New Roman" w:hint="cs"/>
          <w:sz w:val="20"/>
          <w:szCs w:val="20"/>
          <w:rtl/>
          <w:lang w:bidi="ar-SA"/>
        </w:rPr>
        <w:t>ومملكت</w:t>
      </w:r>
      <w:r w:rsidRPr="00A73225">
        <w:rPr>
          <w:rFonts w:asciiTheme="majorBidi" w:hAnsiTheme="majorBidi" w:cs="Times New Roman"/>
          <w:sz w:val="20"/>
          <w:szCs w:val="20"/>
          <w:rtl/>
          <w:lang w:bidi="ar-SA"/>
        </w:rPr>
        <w:t xml:space="preserve"> </w:t>
      </w:r>
      <w:r w:rsidRPr="00A73225">
        <w:rPr>
          <w:rFonts w:asciiTheme="majorBidi" w:hAnsiTheme="majorBidi" w:cs="Times New Roman" w:hint="cs"/>
          <w:sz w:val="20"/>
          <w:szCs w:val="20"/>
          <w:rtl/>
          <w:lang w:bidi="ar-SA"/>
        </w:rPr>
        <w:t>عجم</w:t>
      </w:r>
      <w:r w:rsidRPr="00A73225">
        <w:rPr>
          <w:rFonts w:asciiTheme="majorBidi" w:hAnsiTheme="majorBidi" w:cs="Times New Roman"/>
          <w:sz w:val="20"/>
          <w:szCs w:val="20"/>
          <w:rtl/>
          <w:lang w:bidi="ar-SA"/>
        </w:rPr>
        <w:t xml:space="preserve"> </w:t>
      </w:r>
      <w:r w:rsidRPr="00A73225">
        <w:rPr>
          <w:rFonts w:asciiTheme="majorBidi" w:hAnsiTheme="majorBidi" w:cs="Times New Roman" w:hint="cs"/>
          <w:sz w:val="20"/>
          <w:szCs w:val="20"/>
          <w:rtl/>
          <w:lang w:bidi="ar-SA"/>
        </w:rPr>
        <w:t>بروي</w:t>
      </w:r>
      <w:r w:rsidRPr="00A73225">
        <w:rPr>
          <w:rFonts w:asciiTheme="majorBidi" w:hAnsiTheme="majorBidi" w:cs="Times New Roman"/>
          <w:sz w:val="20"/>
          <w:szCs w:val="20"/>
          <w:rtl/>
          <w:lang w:bidi="ar-SA"/>
        </w:rPr>
        <w:t xml:space="preserve"> </w:t>
      </w:r>
      <w:r w:rsidRPr="00A73225">
        <w:rPr>
          <w:rFonts w:asciiTheme="majorBidi" w:hAnsiTheme="majorBidi" w:cs="Times New Roman" w:hint="cs"/>
          <w:sz w:val="20"/>
          <w:szCs w:val="20"/>
          <w:rtl/>
          <w:lang w:bidi="ar-SA"/>
        </w:rPr>
        <w:t>ختم</w:t>
      </w:r>
      <w:r w:rsidRPr="00A73225">
        <w:rPr>
          <w:rFonts w:asciiTheme="majorBidi" w:hAnsiTheme="majorBidi" w:cs="Times New Roman"/>
          <w:sz w:val="20"/>
          <w:szCs w:val="20"/>
          <w:rtl/>
          <w:lang w:bidi="ar-SA"/>
        </w:rPr>
        <w:t xml:space="preserve"> </w:t>
      </w:r>
      <w:r w:rsidRPr="00A73225">
        <w:rPr>
          <w:rFonts w:asciiTheme="majorBidi" w:hAnsiTheme="majorBidi" w:cs="Times New Roman" w:hint="cs"/>
          <w:sz w:val="20"/>
          <w:szCs w:val="20"/>
          <w:rtl/>
          <w:lang w:bidi="ar-SA"/>
        </w:rPr>
        <w:t>شد</w:t>
      </w:r>
      <w:r w:rsidRPr="00A73225">
        <w:rPr>
          <w:rFonts w:asciiTheme="majorBidi" w:hAnsiTheme="majorBidi" w:cs="Times New Roman"/>
          <w:sz w:val="20"/>
          <w:szCs w:val="20"/>
          <w:rtl/>
          <w:lang w:bidi="ar-SA"/>
        </w:rPr>
        <w:t xml:space="preserve"> </w:t>
      </w:r>
      <w:r w:rsidRPr="00A73225">
        <w:rPr>
          <w:rFonts w:asciiTheme="majorBidi" w:hAnsiTheme="majorBidi" w:cs="Times New Roman" w:hint="cs"/>
          <w:sz w:val="20"/>
          <w:szCs w:val="20"/>
          <w:rtl/>
          <w:lang w:bidi="ar-SA"/>
        </w:rPr>
        <w:t>وپس</w:t>
      </w:r>
      <w:r w:rsidRPr="00A73225">
        <w:rPr>
          <w:rFonts w:asciiTheme="majorBidi" w:hAnsiTheme="majorBidi" w:cs="Times New Roman"/>
          <w:sz w:val="20"/>
          <w:szCs w:val="20"/>
          <w:rtl/>
          <w:lang w:bidi="ar-SA"/>
        </w:rPr>
        <w:t xml:space="preserve"> </w:t>
      </w:r>
      <w:r w:rsidRPr="00A73225">
        <w:rPr>
          <w:rFonts w:asciiTheme="majorBidi" w:hAnsiTheme="majorBidi" w:cs="Times New Roman" w:hint="cs"/>
          <w:sz w:val="20"/>
          <w:szCs w:val="20"/>
          <w:rtl/>
          <w:lang w:bidi="ar-SA"/>
        </w:rPr>
        <w:t>مسلمانان</w:t>
      </w:r>
      <w:r w:rsidRPr="00A73225">
        <w:rPr>
          <w:rFonts w:asciiTheme="majorBidi" w:hAnsiTheme="majorBidi" w:cs="Times New Roman"/>
          <w:sz w:val="20"/>
          <w:szCs w:val="20"/>
          <w:rtl/>
          <w:lang w:bidi="ar-SA"/>
        </w:rPr>
        <w:t xml:space="preserve"> </w:t>
      </w:r>
      <w:r w:rsidRPr="00A73225">
        <w:rPr>
          <w:rFonts w:asciiTheme="majorBidi" w:hAnsiTheme="majorBidi" w:cs="Times New Roman" w:hint="cs"/>
          <w:sz w:val="20"/>
          <w:szCs w:val="20"/>
          <w:rtl/>
          <w:lang w:bidi="ar-SA"/>
        </w:rPr>
        <w:t>ايرانشهر</w:t>
      </w:r>
      <w:r w:rsidRPr="00A73225">
        <w:rPr>
          <w:rFonts w:asciiTheme="majorBidi" w:hAnsiTheme="majorBidi" w:cs="Times New Roman"/>
          <w:sz w:val="20"/>
          <w:szCs w:val="20"/>
          <w:rtl/>
          <w:lang w:bidi="ar-SA"/>
        </w:rPr>
        <w:t xml:space="preserve"> </w:t>
      </w:r>
      <w:r w:rsidRPr="00A73225">
        <w:rPr>
          <w:rFonts w:asciiTheme="majorBidi" w:hAnsiTheme="majorBidi" w:cs="Times New Roman" w:hint="cs"/>
          <w:sz w:val="20"/>
          <w:szCs w:val="20"/>
          <w:rtl/>
          <w:lang w:bidi="ar-SA"/>
        </w:rPr>
        <w:t>بگرفتند</w:t>
      </w:r>
      <w:r>
        <w:rPr>
          <w:rFonts w:asciiTheme="majorBidi" w:hAnsiTheme="majorBidi" w:cstheme="majorBidi"/>
          <w:sz w:val="20"/>
          <w:szCs w:val="20"/>
        </w:rPr>
        <w:t>)</w:t>
      </w:r>
      <w:r w:rsidRPr="00F67543">
        <w:rPr>
          <w:rFonts w:asciiTheme="majorBidi" w:hAnsiTheme="majorBidi" w:cstheme="majorBidi"/>
          <w:sz w:val="20"/>
          <w:szCs w:val="20"/>
        </w:rPr>
        <w:t>.</w:t>
      </w:r>
    </w:p>
  </w:footnote>
  <w:footnote w:id="2">
    <w:p w14:paraId="4912B5E8" w14:textId="77777777" w:rsidR="00902FCD" w:rsidRDefault="00902FCD" w:rsidP="00660101">
      <w:pPr>
        <w:pStyle w:val="FootnoteText"/>
        <w:spacing w:line="360" w:lineRule="auto"/>
        <w:rPr>
          <w:rFonts w:asciiTheme="majorBidi" w:hAnsiTheme="majorBidi" w:cstheme="majorBidi"/>
          <w:sz w:val="20"/>
          <w:szCs w:val="20"/>
        </w:rPr>
      </w:pPr>
      <w:r w:rsidRPr="000D4CAB">
        <w:rPr>
          <w:rFonts w:asciiTheme="majorBidi" w:hAnsiTheme="majorBidi" w:cstheme="majorBidi"/>
          <w:sz w:val="20"/>
          <w:szCs w:val="20"/>
          <w:vertAlign w:val="superscript"/>
        </w:rPr>
        <w:footnoteRef/>
      </w:r>
      <w:r w:rsidRPr="000D4CAB">
        <w:rPr>
          <w:rFonts w:asciiTheme="majorBidi" w:hAnsiTheme="majorBidi" w:cstheme="majorBidi"/>
          <w:sz w:val="20"/>
          <w:szCs w:val="20"/>
        </w:rPr>
        <w:t xml:space="preserve"> Bactria (Βακτριανή) is the Hellenized form of probably a local Iranian term, which was close to the Old Persian form </w:t>
      </w:r>
      <w:r w:rsidRPr="000D4CAB">
        <w:rPr>
          <w:rFonts w:asciiTheme="majorBidi" w:hAnsiTheme="majorBidi" w:cstheme="majorBidi"/>
          <w:i/>
          <w:iCs/>
          <w:sz w:val="20"/>
          <w:szCs w:val="20"/>
        </w:rPr>
        <w:t>Bāxtrī</w:t>
      </w:r>
      <w:r w:rsidRPr="000D4CAB">
        <w:rPr>
          <w:rFonts w:asciiTheme="majorBidi" w:hAnsiTheme="majorBidi" w:cstheme="majorBidi"/>
          <w:sz w:val="20"/>
          <w:szCs w:val="20"/>
        </w:rPr>
        <w:t xml:space="preserve"> attested in the inscription of Darius the Great (522-486 BCE) at Behistun (</w:t>
      </w:r>
      <w:r w:rsidRPr="0045007E">
        <w:rPr>
          <w:rFonts w:asciiTheme="majorBidi" w:hAnsiTheme="majorBidi" w:cstheme="majorBidi"/>
          <w:sz w:val="20"/>
          <w:szCs w:val="20"/>
        </w:rPr>
        <w:t>Rawlinson, 1948, p. i, xi, xxvii, xxxiii</w:t>
      </w:r>
      <w:r>
        <w:rPr>
          <w:rFonts w:asciiTheme="majorBidi" w:hAnsiTheme="majorBidi" w:cstheme="majorBidi"/>
          <w:sz w:val="20"/>
          <w:szCs w:val="20"/>
        </w:rPr>
        <w:t>; Lecoq, 1997, pp. 188, 201-2; Kuhrt, 2007, pp. 141-58</w:t>
      </w:r>
      <w:r w:rsidRPr="000D4CAB">
        <w:rPr>
          <w:rFonts w:asciiTheme="majorBidi" w:hAnsiTheme="majorBidi" w:cstheme="majorBidi"/>
          <w:sz w:val="20"/>
          <w:szCs w:val="20"/>
        </w:rPr>
        <w:t>).</w:t>
      </w:r>
      <w:r w:rsidRPr="00FA6DD1">
        <w:rPr>
          <w:rFonts w:asciiTheme="majorBidi" w:hAnsiTheme="majorBidi" w:cstheme="majorBidi"/>
          <w:sz w:val="20"/>
          <w:szCs w:val="20"/>
        </w:rPr>
        <w:t xml:space="preserve"> </w:t>
      </w:r>
      <w:r>
        <w:rPr>
          <w:rFonts w:asciiTheme="majorBidi" w:hAnsiTheme="majorBidi" w:cstheme="majorBidi"/>
          <w:sz w:val="20"/>
          <w:szCs w:val="20"/>
        </w:rPr>
        <w:t xml:space="preserve">And </w:t>
      </w:r>
      <w:r w:rsidRPr="000D4CAB">
        <w:rPr>
          <w:rFonts w:asciiTheme="majorBidi" w:hAnsiTheme="majorBidi" w:cstheme="majorBidi"/>
          <w:i/>
          <w:iCs/>
          <w:sz w:val="20"/>
          <w:szCs w:val="20"/>
        </w:rPr>
        <w:t>Bākhtarish</w:t>
      </w:r>
      <w:r w:rsidRPr="0045007E">
        <w:rPr>
          <w:rFonts w:asciiTheme="majorBidi" w:hAnsiTheme="majorBidi" w:cstheme="majorBidi"/>
          <w:sz w:val="20"/>
          <w:szCs w:val="20"/>
        </w:rPr>
        <w:t>, the old transcription of the Old Persian word for Bactria given by Rawlinson (</w:t>
      </w:r>
      <w:r>
        <w:rPr>
          <w:rFonts w:asciiTheme="majorBidi" w:hAnsiTheme="majorBidi" w:cstheme="majorBidi"/>
          <w:sz w:val="20"/>
          <w:szCs w:val="20"/>
        </w:rPr>
        <w:t>Rawlinson, 1948</w:t>
      </w:r>
      <w:r w:rsidRPr="0045007E">
        <w:rPr>
          <w:rFonts w:asciiTheme="majorBidi" w:hAnsiTheme="majorBidi" w:cstheme="majorBidi"/>
          <w:sz w:val="20"/>
          <w:szCs w:val="20"/>
        </w:rPr>
        <w:t xml:space="preserve">, pp. 85, 123) is updated as </w:t>
      </w:r>
      <w:r w:rsidRPr="000D4CAB">
        <w:rPr>
          <w:rFonts w:asciiTheme="majorBidi" w:hAnsiTheme="majorBidi" w:cstheme="majorBidi"/>
          <w:i/>
          <w:iCs/>
          <w:sz w:val="20"/>
          <w:szCs w:val="20"/>
        </w:rPr>
        <w:t>Bāxtri/ī</w:t>
      </w:r>
      <w:r w:rsidRPr="0045007E">
        <w:rPr>
          <w:rFonts w:asciiTheme="majorBidi" w:hAnsiTheme="majorBidi" w:cstheme="majorBidi"/>
          <w:sz w:val="20"/>
          <w:szCs w:val="20"/>
        </w:rPr>
        <w:t xml:space="preserve"> according to Skjærvø (2016, pp. 170, 175).</w:t>
      </w:r>
      <w:r>
        <w:rPr>
          <w:rFonts w:asciiTheme="majorBidi" w:hAnsiTheme="majorBidi" w:cstheme="majorBidi"/>
          <w:sz w:val="20"/>
          <w:szCs w:val="20"/>
        </w:rPr>
        <w:t xml:space="preserve"> </w:t>
      </w:r>
      <w:r w:rsidRPr="000D4CAB">
        <w:rPr>
          <w:rFonts w:asciiTheme="majorBidi" w:hAnsiTheme="majorBidi" w:cstheme="majorBidi"/>
          <w:sz w:val="20"/>
          <w:szCs w:val="20"/>
        </w:rPr>
        <w:t xml:space="preserve">The Middle Persian geographical text </w:t>
      </w:r>
      <w:r w:rsidRPr="000D4CAB">
        <w:rPr>
          <w:rFonts w:asciiTheme="majorBidi" w:hAnsiTheme="majorBidi" w:cstheme="majorBidi"/>
          <w:i/>
          <w:iCs/>
          <w:sz w:val="20"/>
          <w:szCs w:val="20"/>
        </w:rPr>
        <w:t>Šahrestānīhā ī Ērānšahr</w:t>
      </w:r>
      <w:r w:rsidRPr="000D4CAB">
        <w:rPr>
          <w:rFonts w:asciiTheme="majorBidi" w:hAnsiTheme="majorBidi" w:cstheme="majorBidi"/>
          <w:sz w:val="20"/>
          <w:szCs w:val="20"/>
        </w:rPr>
        <w:t xml:space="preserve"> attests that it had evolved as </w:t>
      </w:r>
      <w:r w:rsidRPr="000D4CAB">
        <w:rPr>
          <w:rFonts w:asciiTheme="majorBidi" w:hAnsiTheme="majorBidi" w:cstheme="majorBidi"/>
          <w:i/>
          <w:iCs/>
          <w:sz w:val="20"/>
          <w:szCs w:val="20"/>
        </w:rPr>
        <w:t xml:space="preserve">Baxl </w:t>
      </w:r>
      <w:r w:rsidRPr="000D4CAB">
        <w:rPr>
          <w:rFonts w:asciiTheme="majorBidi" w:hAnsiTheme="majorBidi" w:cstheme="majorBidi"/>
          <w:sz w:val="20"/>
          <w:szCs w:val="20"/>
        </w:rPr>
        <w:t>in Middle Persian (</w:t>
      </w:r>
      <w:r w:rsidRPr="0045007E">
        <w:rPr>
          <w:rFonts w:asciiTheme="majorBidi" w:hAnsiTheme="majorBidi" w:cstheme="majorBidi"/>
          <w:sz w:val="20"/>
          <w:szCs w:val="20"/>
        </w:rPr>
        <w:t>Daryaee, 2002, pp. 13, 17</w:t>
      </w:r>
      <w:r w:rsidRPr="000D4CAB">
        <w:rPr>
          <w:rFonts w:asciiTheme="majorBidi" w:hAnsiTheme="majorBidi" w:cstheme="majorBidi"/>
          <w:sz w:val="20"/>
          <w:szCs w:val="20"/>
        </w:rPr>
        <w:t>), from which its New Persian form Balkh (</w:t>
      </w:r>
      <w:r w:rsidRPr="000D4CAB">
        <w:rPr>
          <w:rFonts w:asciiTheme="majorBidi" w:hAnsiTheme="majorBidi" w:cstheme="majorBidi"/>
          <w:sz w:val="20"/>
          <w:szCs w:val="20"/>
          <w:rtl/>
          <w:lang w:bidi="ar-SA"/>
        </w:rPr>
        <w:t>بلخ</w:t>
      </w:r>
      <w:r w:rsidRPr="000D4CAB">
        <w:rPr>
          <w:rFonts w:asciiTheme="majorBidi" w:hAnsiTheme="majorBidi" w:cstheme="majorBidi"/>
          <w:sz w:val="20"/>
          <w:szCs w:val="20"/>
        </w:rPr>
        <w:t xml:space="preserve">) as attested in the </w:t>
      </w:r>
      <w:r w:rsidRPr="000D4CAB">
        <w:rPr>
          <w:rFonts w:asciiTheme="majorBidi" w:hAnsiTheme="majorBidi" w:cstheme="majorBidi"/>
          <w:i/>
          <w:iCs/>
          <w:sz w:val="20"/>
          <w:szCs w:val="20"/>
        </w:rPr>
        <w:t>Shāhnāmeh</w:t>
      </w:r>
      <w:r w:rsidRPr="000D4CAB">
        <w:rPr>
          <w:rFonts w:asciiTheme="majorBidi" w:hAnsiTheme="majorBidi" w:cstheme="majorBidi"/>
          <w:sz w:val="20"/>
          <w:szCs w:val="20"/>
        </w:rPr>
        <w:t xml:space="preserve"> is evolved (</w:t>
      </w:r>
      <w:r w:rsidRPr="0045007E">
        <w:rPr>
          <w:rFonts w:asciiTheme="majorBidi" w:hAnsiTheme="majorBidi" w:cstheme="majorBidi"/>
          <w:sz w:val="20"/>
          <w:szCs w:val="20"/>
        </w:rPr>
        <w:t xml:space="preserve">Ferdowsi, 1987, volume 2, p. 245; </w:t>
      </w:r>
      <w:r>
        <w:rPr>
          <w:rFonts w:asciiTheme="majorBidi" w:hAnsiTheme="majorBidi" w:cstheme="majorBidi"/>
          <w:sz w:val="20"/>
          <w:szCs w:val="20"/>
        </w:rPr>
        <w:t>tr.</w:t>
      </w:r>
      <w:r w:rsidRPr="0045007E">
        <w:rPr>
          <w:rFonts w:asciiTheme="majorBidi" w:hAnsiTheme="majorBidi" w:cstheme="majorBidi"/>
          <w:sz w:val="20"/>
          <w:szCs w:val="20"/>
        </w:rPr>
        <w:t>, 2006, pp. 230-1</w:t>
      </w:r>
      <w:r>
        <w:rPr>
          <w:rFonts w:asciiTheme="majorBidi" w:hAnsiTheme="majorBidi" w:cstheme="majorBidi"/>
          <w:sz w:val="20"/>
          <w:szCs w:val="20"/>
        </w:rPr>
        <w:t xml:space="preserve">; </w:t>
      </w:r>
      <w:r w:rsidRPr="0045007E">
        <w:rPr>
          <w:rFonts w:asciiTheme="majorBidi" w:hAnsiTheme="majorBidi" w:cstheme="majorBidi"/>
          <w:sz w:val="20"/>
          <w:szCs w:val="20"/>
        </w:rPr>
        <w:t>volume 5, p</w:t>
      </w:r>
      <w:r>
        <w:rPr>
          <w:rFonts w:asciiTheme="majorBidi" w:hAnsiTheme="majorBidi" w:cstheme="majorBidi"/>
          <w:sz w:val="20"/>
          <w:szCs w:val="20"/>
        </w:rPr>
        <w:t>p</w:t>
      </w:r>
      <w:r w:rsidRPr="0045007E">
        <w:rPr>
          <w:rFonts w:asciiTheme="majorBidi" w:hAnsiTheme="majorBidi" w:cstheme="majorBidi"/>
          <w:sz w:val="20"/>
          <w:szCs w:val="20"/>
        </w:rPr>
        <w:t>. 178</w:t>
      </w:r>
      <w:r>
        <w:rPr>
          <w:rFonts w:asciiTheme="majorBidi" w:hAnsiTheme="majorBidi" w:cstheme="majorBidi"/>
          <w:sz w:val="20"/>
          <w:szCs w:val="20"/>
        </w:rPr>
        <w:t>, 184, 431;</w:t>
      </w:r>
      <w:r w:rsidRPr="0045007E">
        <w:rPr>
          <w:rFonts w:asciiTheme="majorBidi" w:hAnsiTheme="majorBidi" w:cstheme="majorBidi"/>
          <w:sz w:val="20"/>
          <w:szCs w:val="20"/>
        </w:rPr>
        <w:t xml:space="preserve"> </w:t>
      </w:r>
      <w:r>
        <w:rPr>
          <w:rFonts w:asciiTheme="majorBidi" w:hAnsiTheme="majorBidi" w:cstheme="majorBidi"/>
          <w:sz w:val="20"/>
          <w:szCs w:val="20"/>
        </w:rPr>
        <w:t>tr.</w:t>
      </w:r>
      <w:r w:rsidRPr="0045007E">
        <w:rPr>
          <w:rFonts w:asciiTheme="majorBidi" w:hAnsiTheme="majorBidi" w:cstheme="majorBidi"/>
          <w:sz w:val="20"/>
          <w:szCs w:val="20"/>
        </w:rPr>
        <w:t xml:space="preserve">, </w:t>
      </w:r>
      <w:r>
        <w:rPr>
          <w:rFonts w:asciiTheme="majorBidi" w:hAnsiTheme="majorBidi" w:cstheme="majorBidi"/>
          <w:sz w:val="20"/>
          <w:szCs w:val="20"/>
        </w:rPr>
        <w:t>pp.</w:t>
      </w:r>
      <w:r w:rsidRPr="0045007E">
        <w:rPr>
          <w:rFonts w:asciiTheme="majorBidi" w:hAnsiTheme="majorBidi" w:cstheme="majorBidi"/>
          <w:sz w:val="20"/>
          <w:szCs w:val="20"/>
        </w:rPr>
        <w:t>369</w:t>
      </w:r>
      <w:r>
        <w:rPr>
          <w:rFonts w:asciiTheme="majorBidi" w:hAnsiTheme="majorBidi" w:cstheme="majorBidi"/>
          <w:sz w:val="20"/>
          <w:szCs w:val="20"/>
        </w:rPr>
        <w:t xml:space="preserve">, 420; </w:t>
      </w:r>
      <w:r w:rsidRPr="0045007E">
        <w:rPr>
          <w:rFonts w:asciiTheme="majorBidi" w:hAnsiTheme="majorBidi" w:cstheme="majorBidi"/>
          <w:sz w:val="20"/>
          <w:szCs w:val="20"/>
        </w:rPr>
        <w:t>volume 7, p</w:t>
      </w:r>
      <w:r>
        <w:rPr>
          <w:rFonts w:asciiTheme="majorBidi" w:hAnsiTheme="majorBidi" w:cstheme="majorBidi"/>
          <w:sz w:val="20"/>
          <w:szCs w:val="20"/>
        </w:rPr>
        <w:t>p</w:t>
      </w:r>
      <w:r w:rsidRPr="0045007E">
        <w:rPr>
          <w:rFonts w:asciiTheme="majorBidi" w:hAnsiTheme="majorBidi" w:cstheme="majorBidi"/>
          <w:sz w:val="20"/>
          <w:szCs w:val="20"/>
        </w:rPr>
        <w:t>. 552</w:t>
      </w:r>
      <w:r>
        <w:rPr>
          <w:rFonts w:asciiTheme="majorBidi" w:hAnsiTheme="majorBidi" w:cstheme="majorBidi"/>
          <w:sz w:val="20"/>
          <w:szCs w:val="20"/>
        </w:rPr>
        <w:t>, 579, 589, 609;</w:t>
      </w:r>
      <w:r w:rsidRPr="0045007E">
        <w:rPr>
          <w:rFonts w:asciiTheme="majorBidi" w:hAnsiTheme="majorBidi" w:cstheme="majorBidi"/>
          <w:sz w:val="20"/>
          <w:szCs w:val="20"/>
        </w:rPr>
        <w:t xml:space="preserve"> </w:t>
      </w:r>
      <w:r>
        <w:rPr>
          <w:rFonts w:asciiTheme="majorBidi" w:hAnsiTheme="majorBidi" w:cstheme="majorBidi"/>
          <w:sz w:val="20"/>
          <w:szCs w:val="20"/>
        </w:rPr>
        <w:t>tr.</w:t>
      </w:r>
      <w:r w:rsidRPr="0045007E">
        <w:rPr>
          <w:rFonts w:asciiTheme="majorBidi" w:hAnsiTheme="majorBidi" w:cstheme="majorBidi"/>
          <w:sz w:val="20"/>
          <w:szCs w:val="20"/>
        </w:rPr>
        <w:t>, p</w:t>
      </w:r>
      <w:r>
        <w:rPr>
          <w:rFonts w:asciiTheme="majorBidi" w:hAnsiTheme="majorBidi" w:cstheme="majorBidi"/>
          <w:sz w:val="20"/>
          <w:szCs w:val="20"/>
        </w:rPr>
        <w:t>p</w:t>
      </w:r>
      <w:r w:rsidRPr="0045007E">
        <w:rPr>
          <w:rFonts w:asciiTheme="majorBidi" w:hAnsiTheme="majorBidi" w:cstheme="majorBidi"/>
          <w:sz w:val="20"/>
          <w:szCs w:val="20"/>
        </w:rPr>
        <w:t>. 747</w:t>
      </w:r>
      <w:r>
        <w:rPr>
          <w:rFonts w:asciiTheme="majorBidi" w:hAnsiTheme="majorBidi" w:cstheme="majorBidi"/>
          <w:sz w:val="20"/>
          <w:szCs w:val="20"/>
        </w:rPr>
        <w:t>, 757, 760, 767</w:t>
      </w:r>
      <w:r w:rsidRPr="000D4CAB">
        <w:rPr>
          <w:rFonts w:asciiTheme="majorBidi" w:hAnsiTheme="majorBidi" w:cstheme="majorBidi"/>
          <w:sz w:val="20"/>
          <w:szCs w:val="20"/>
        </w:rPr>
        <w:t>).</w:t>
      </w:r>
    </w:p>
    <w:p w14:paraId="60F35883" w14:textId="7782D715" w:rsidR="00902FCD" w:rsidRPr="006C4053" w:rsidRDefault="00902FCD" w:rsidP="00660101">
      <w:pPr>
        <w:pStyle w:val="FootnoteText"/>
        <w:spacing w:line="360" w:lineRule="auto"/>
        <w:rPr>
          <w:rFonts w:asciiTheme="majorBidi" w:hAnsiTheme="majorBidi" w:cstheme="majorBidi"/>
          <w:sz w:val="20"/>
          <w:szCs w:val="20"/>
        </w:rPr>
      </w:pPr>
      <w:r w:rsidRPr="000D4CAB">
        <w:rPr>
          <w:rFonts w:asciiTheme="majorBidi" w:hAnsiTheme="majorBidi" w:cstheme="majorBidi"/>
          <w:sz w:val="20"/>
          <w:szCs w:val="20"/>
        </w:rPr>
        <w:t>As for Ṭukhāristān (</w:t>
      </w:r>
      <w:r w:rsidRPr="001E2DA6">
        <w:rPr>
          <w:rFonts w:asciiTheme="majorBidi" w:hAnsiTheme="majorBidi" w:cstheme="majorBidi"/>
          <w:sz w:val="20"/>
          <w:szCs w:val="20"/>
        </w:rPr>
        <w:t>τοχοαρστανο</w:t>
      </w:r>
      <w:r w:rsidRPr="000D4CAB">
        <w:rPr>
          <w:rFonts w:asciiTheme="majorBidi" w:hAnsiTheme="majorBidi" w:cstheme="majorBidi"/>
          <w:sz w:val="20"/>
          <w:szCs w:val="20"/>
        </w:rPr>
        <w:t xml:space="preserve">), a compound meaning the land of the </w:t>
      </w:r>
      <w:r w:rsidRPr="000D4CAB">
        <w:rPr>
          <w:rFonts w:asciiTheme="majorBidi" w:hAnsiTheme="majorBidi" w:cstheme="majorBidi"/>
          <w:i/>
          <w:iCs/>
          <w:sz w:val="20"/>
          <w:szCs w:val="20"/>
        </w:rPr>
        <w:t>Tokharoi</w:t>
      </w:r>
      <w:r w:rsidRPr="000D4CAB">
        <w:rPr>
          <w:rFonts w:asciiTheme="majorBidi" w:hAnsiTheme="majorBidi" w:cstheme="majorBidi"/>
          <w:sz w:val="20"/>
          <w:szCs w:val="20"/>
        </w:rPr>
        <w:t xml:space="preserve"> (τοχοροι) in the local Bactrian language, it is first attested in the early </w:t>
      </w:r>
      <w:r>
        <w:rPr>
          <w:rFonts w:asciiTheme="majorBidi" w:hAnsiTheme="majorBidi" w:cstheme="majorBidi"/>
          <w:sz w:val="20"/>
          <w:szCs w:val="20"/>
        </w:rPr>
        <w:t>2</w:t>
      </w:r>
      <w:r w:rsidRPr="006C4053">
        <w:rPr>
          <w:rFonts w:asciiTheme="majorBidi" w:hAnsiTheme="majorBidi" w:cstheme="majorBidi"/>
          <w:sz w:val="20"/>
          <w:szCs w:val="20"/>
          <w:vertAlign w:val="superscript"/>
        </w:rPr>
        <w:t>nd</w:t>
      </w:r>
      <w:r w:rsidRPr="000D4CAB">
        <w:rPr>
          <w:rFonts w:asciiTheme="majorBidi" w:hAnsiTheme="majorBidi" w:cstheme="majorBidi"/>
          <w:sz w:val="20"/>
          <w:szCs w:val="20"/>
        </w:rPr>
        <w:t xml:space="preserve"> century by the Bactrian inscription from the reign of the Kushan king Kanishka I (120-144 CE) (</w:t>
      </w:r>
      <w:r w:rsidRPr="00941DCA">
        <w:rPr>
          <w:rFonts w:asciiTheme="majorBidi" w:hAnsiTheme="majorBidi" w:cstheme="majorBidi"/>
          <w:sz w:val="20"/>
          <w:szCs w:val="20"/>
        </w:rPr>
        <w:t>Sims-Williams, 2015, p. 257</w:t>
      </w:r>
      <w:r w:rsidRPr="000D4CAB">
        <w:rPr>
          <w:rFonts w:asciiTheme="majorBidi" w:hAnsiTheme="majorBidi" w:cstheme="majorBidi"/>
          <w:sz w:val="20"/>
          <w:szCs w:val="20"/>
        </w:rPr>
        <w:t>).</w:t>
      </w:r>
      <w:r>
        <w:rPr>
          <w:rFonts w:asciiTheme="majorBidi" w:hAnsiTheme="majorBidi" w:cstheme="majorBidi"/>
          <w:sz w:val="20"/>
          <w:szCs w:val="20"/>
        </w:rPr>
        <w:t xml:space="preserve"> </w:t>
      </w:r>
      <w:r w:rsidRPr="006C4053">
        <w:rPr>
          <w:rFonts w:asciiTheme="majorBidi" w:hAnsiTheme="majorBidi" w:cstheme="majorBidi"/>
          <w:sz w:val="20"/>
          <w:szCs w:val="20"/>
        </w:rPr>
        <w:t xml:space="preserve">A combination of the written sources and </w:t>
      </w:r>
      <w:r>
        <w:rPr>
          <w:rFonts w:asciiTheme="majorBidi" w:hAnsiTheme="majorBidi" w:cstheme="majorBidi"/>
          <w:sz w:val="20"/>
          <w:szCs w:val="20"/>
        </w:rPr>
        <w:t xml:space="preserve">the </w:t>
      </w:r>
      <w:r w:rsidRPr="006C4053">
        <w:rPr>
          <w:rFonts w:asciiTheme="majorBidi" w:hAnsiTheme="majorBidi" w:cstheme="majorBidi"/>
          <w:sz w:val="20"/>
          <w:szCs w:val="20"/>
        </w:rPr>
        <w:t xml:space="preserve">archaeological discoveries show that the </w:t>
      </w:r>
      <w:r w:rsidRPr="006C4053">
        <w:rPr>
          <w:rFonts w:asciiTheme="majorBidi" w:hAnsiTheme="majorBidi" w:cstheme="majorBidi"/>
          <w:i/>
          <w:iCs/>
          <w:sz w:val="20"/>
          <w:szCs w:val="20"/>
        </w:rPr>
        <w:t xml:space="preserve">Tokharoi </w:t>
      </w:r>
      <w:r>
        <w:rPr>
          <w:rFonts w:asciiTheme="majorBidi" w:hAnsiTheme="majorBidi" w:cstheme="majorBidi"/>
          <w:sz w:val="20"/>
          <w:szCs w:val="20"/>
        </w:rPr>
        <w:t>in the Greek sources (</w:t>
      </w:r>
      <w:r w:rsidRPr="0045007E">
        <w:rPr>
          <w:rFonts w:asciiTheme="majorBidi" w:hAnsiTheme="majorBidi" w:cstheme="majorBidi"/>
          <w:sz w:val="20"/>
          <w:szCs w:val="20"/>
        </w:rPr>
        <w:t>Strabo</w:t>
      </w:r>
      <w:r>
        <w:rPr>
          <w:rFonts w:asciiTheme="majorBidi" w:hAnsiTheme="majorBidi" w:cstheme="majorBidi"/>
          <w:sz w:val="20"/>
          <w:szCs w:val="20"/>
        </w:rPr>
        <w:t xml:space="preserve">, </w:t>
      </w:r>
      <w:r w:rsidRPr="0045007E">
        <w:rPr>
          <w:rFonts w:asciiTheme="majorBidi" w:hAnsiTheme="majorBidi" w:cstheme="majorBidi"/>
          <w:sz w:val="20"/>
          <w:szCs w:val="20"/>
        </w:rPr>
        <w:t>1928, volume 11.8.2, pp. 259-61</w:t>
      </w:r>
      <w:r>
        <w:rPr>
          <w:rFonts w:asciiTheme="majorBidi" w:hAnsiTheme="majorBidi" w:cstheme="majorBidi"/>
          <w:sz w:val="20"/>
          <w:szCs w:val="20"/>
        </w:rPr>
        <w:t xml:space="preserve">; </w:t>
      </w:r>
      <w:r w:rsidRPr="0045007E">
        <w:rPr>
          <w:rFonts w:asciiTheme="majorBidi" w:hAnsiTheme="majorBidi" w:cstheme="majorBidi"/>
          <w:sz w:val="20"/>
          <w:szCs w:val="20"/>
        </w:rPr>
        <w:t xml:space="preserve">Ptolemy, 1845, p. 116; </w:t>
      </w:r>
      <w:r>
        <w:rPr>
          <w:rFonts w:asciiTheme="majorBidi" w:hAnsiTheme="majorBidi" w:cstheme="majorBidi"/>
          <w:sz w:val="20"/>
          <w:szCs w:val="20"/>
        </w:rPr>
        <w:t>tr.</w:t>
      </w:r>
      <w:r w:rsidRPr="0045007E">
        <w:rPr>
          <w:rFonts w:asciiTheme="majorBidi" w:hAnsiTheme="majorBidi" w:cstheme="majorBidi"/>
          <w:sz w:val="20"/>
          <w:szCs w:val="20"/>
        </w:rPr>
        <w:t>, 1991, p. 141</w:t>
      </w:r>
      <w:r>
        <w:rPr>
          <w:rFonts w:asciiTheme="majorBidi" w:hAnsiTheme="majorBidi" w:cstheme="majorBidi"/>
          <w:sz w:val="20"/>
          <w:szCs w:val="20"/>
        </w:rPr>
        <w:t xml:space="preserve">) </w:t>
      </w:r>
      <w:r w:rsidRPr="006C4053">
        <w:rPr>
          <w:rFonts w:asciiTheme="majorBidi" w:hAnsiTheme="majorBidi" w:cstheme="majorBidi"/>
          <w:sz w:val="20"/>
          <w:szCs w:val="20"/>
        </w:rPr>
        <w:t>should be identified with the Yuezhi (</w:t>
      </w:r>
      <w:r w:rsidRPr="006C4053">
        <w:rPr>
          <w:rFonts w:ascii="SimSun" w:eastAsia="SimSun" w:hAnsi="SimSun" w:cs="SimSun" w:hint="eastAsia"/>
          <w:sz w:val="20"/>
          <w:szCs w:val="20"/>
        </w:rPr>
        <w:t>月氏</w:t>
      </w:r>
      <w:r w:rsidRPr="006C4053">
        <w:rPr>
          <w:rFonts w:asciiTheme="majorBidi" w:hAnsiTheme="majorBidi" w:cstheme="majorBidi"/>
          <w:sz w:val="20"/>
          <w:szCs w:val="20"/>
        </w:rPr>
        <w:t>) mentioned in the Chinese sources</w:t>
      </w:r>
      <w:r>
        <w:rPr>
          <w:rFonts w:asciiTheme="majorBidi" w:hAnsiTheme="majorBidi" w:cstheme="majorBidi"/>
          <w:sz w:val="20"/>
          <w:szCs w:val="20"/>
        </w:rPr>
        <w:t xml:space="preserve"> (</w:t>
      </w:r>
      <w:r w:rsidRPr="0045007E">
        <w:rPr>
          <w:rFonts w:asciiTheme="majorBidi" w:hAnsiTheme="majorBidi" w:cstheme="majorBidi"/>
          <w:sz w:val="20"/>
          <w:szCs w:val="20"/>
        </w:rPr>
        <w:t>Bailey</w:t>
      </w:r>
      <w:r>
        <w:rPr>
          <w:rFonts w:asciiTheme="majorBidi" w:hAnsiTheme="majorBidi" w:cstheme="majorBidi"/>
          <w:sz w:val="20"/>
          <w:szCs w:val="20"/>
        </w:rPr>
        <w:t xml:space="preserve">, </w:t>
      </w:r>
      <w:r w:rsidRPr="0045007E">
        <w:rPr>
          <w:rFonts w:asciiTheme="majorBidi" w:hAnsiTheme="majorBidi" w:cstheme="majorBidi"/>
          <w:sz w:val="20"/>
          <w:szCs w:val="20"/>
        </w:rPr>
        <w:t>1970, pp. 121-2</w:t>
      </w:r>
      <w:r>
        <w:rPr>
          <w:rFonts w:asciiTheme="majorBidi" w:hAnsiTheme="majorBidi" w:cstheme="majorBidi"/>
          <w:sz w:val="20"/>
          <w:szCs w:val="20"/>
        </w:rPr>
        <w:t xml:space="preserve">; Beckwith, 1987, p. 6; Sims-Williams, 2002, p. 229; Benjamin, 2007, p. 213; Grenet, 2012, p. 7; </w:t>
      </w:r>
      <w:r w:rsidRPr="00756598">
        <w:rPr>
          <w:rFonts w:asciiTheme="majorBidi" w:hAnsiTheme="majorBidi" w:cstheme="majorBidi"/>
          <w:sz w:val="20"/>
          <w:szCs w:val="20"/>
        </w:rPr>
        <w:t>Haug</w:t>
      </w:r>
      <w:r>
        <w:rPr>
          <w:rFonts w:asciiTheme="majorBidi" w:hAnsiTheme="majorBidi" w:cstheme="majorBidi"/>
          <w:sz w:val="20"/>
          <w:szCs w:val="20"/>
        </w:rPr>
        <w:t xml:space="preserve">, </w:t>
      </w:r>
      <w:r w:rsidRPr="00756598">
        <w:rPr>
          <w:rFonts w:asciiTheme="majorBidi" w:hAnsiTheme="majorBidi" w:cstheme="majorBidi"/>
          <w:sz w:val="20"/>
          <w:szCs w:val="20"/>
        </w:rPr>
        <w:t>2019, p. 11</w:t>
      </w:r>
      <w:r>
        <w:rPr>
          <w:rFonts w:asciiTheme="majorBidi" w:hAnsiTheme="majorBidi" w:cstheme="majorBidi"/>
          <w:sz w:val="20"/>
          <w:szCs w:val="20"/>
        </w:rPr>
        <w:t>)</w:t>
      </w:r>
      <w:r w:rsidRPr="006C4053">
        <w:rPr>
          <w:rFonts w:asciiTheme="majorBidi" w:hAnsiTheme="majorBidi" w:cstheme="majorBidi"/>
          <w:sz w:val="20"/>
          <w:szCs w:val="20"/>
        </w:rPr>
        <w:t>, who migrated from western China all the way to Bactria under the pressure of the Xiongnu</w:t>
      </w:r>
      <w:r>
        <w:rPr>
          <w:rFonts w:asciiTheme="majorBidi" w:hAnsiTheme="majorBidi" w:cstheme="majorBidi"/>
          <w:sz w:val="20"/>
          <w:szCs w:val="20"/>
        </w:rPr>
        <w:t xml:space="preserve"> (</w:t>
      </w:r>
      <w:r>
        <w:rPr>
          <w:rFonts w:ascii="SimSun" w:eastAsia="SimSun" w:hAnsi="SimSun" w:cs="SimSun" w:hint="eastAsia"/>
          <w:sz w:val="20"/>
          <w:szCs w:val="20"/>
        </w:rPr>
        <w:t>匈奴</w:t>
      </w:r>
      <w:r>
        <w:rPr>
          <w:rFonts w:asciiTheme="majorBidi" w:hAnsiTheme="majorBidi" w:cstheme="majorBidi"/>
          <w:sz w:val="20"/>
          <w:szCs w:val="20"/>
        </w:rPr>
        <w:t>)</w:t>
      </w:r>
      <w:r w:rsidRPr="006C4053">
        <w:rPr>
          <w:rFonts w:asciiTheme="majorBidi" w:hAnsiTheme="majorBidi" w:cstheme="majorBidi"/>
          <w:sz w:val="20"/>
          <w:szCs w:val="20"/>
        </w:rPr>
        <w:t>, a confederation of nomads established in the late 3</w:t>
      </w:r>
      <w:r w:rsidRPr="006C4053">
        <w:rPr>
          <w:rFonts w:asciiTheme="majorBidi" w:hAnsiTheme="majorBidi" w:cstheme="majorBidi"/>
          <w:sz w:val="20"/>
          <w:szCs w:val="20"/>
          <w:vertAlign w:val="superscript"/>
        </w:rPr>
        <w:t>rd</w:t>
      </w:r>
      <w:r w:rsidRPr="006C4053">
        <w:rPr>
          <w:rFonts w:asciiTheme="majorBidi" w:hAnsiTheme="majorBidi" w:cstheme="majorBidi"/>
          <w:sz w:val="20"/>
          <w:szCs w:val="20"/>
        </w:rPr>
        <w:t xml:space="preserve"> century BCE in modern Mongolia</w:t>
      </w:r>
      <w:r>
        <w:rPr>
          <w:rFonts w:asciiTheme="majorBidi" w:hAnsiTheme="majorBidi" w:cstheme="majorBidi"/>
          <w:sz w:val="20"/>
          <w:szCs w:val="20"/>
        </w:rPr>
        <w:t xml:space="preserve"> </w:t>
      </w:r>
      <w:r w:rsidRPr="006C4053">
        <w:rPr>
          <w:rFonts w:asciiTheme="majorBidi" w:hAnsiTheme="majorBidi" w:cstheme="majorBidi"/>
          <w:sz w:val="20"/>
          <w:szCs w:val="20"/>
        </w:rPr>
        <w:t>(</w:t>
      </w:r>
      <w:r>
        <w:rPr>
          <w:rFonts w:asciiTheme="majorBidi" w:hAnsiTheme="majorBidi" w:cstheme="majorBidi"/>
          <w:sz w:val="20"/>
          <w:szCs w:val="20"/>
        </w:rPr>
        <w:t>for primary sources, s</w:t>
      </w:r>
      <w:r w:rsidRPr="0045007E">
        <w:rPr>
          <w:rFonts w:asciiTheme="majorBidi" w:hAnsiTheme="majorBidi" w:cstheme="majorBidi"/>
          <w:sz w:val="20"/>
          <w:szCs w:val="20"/>
        </w:rPr>
        <w:t xml:space="preserve">ee </w:t>
      </w:r>
      <w:r w:rsidRPr="00F86C9E">
        <w:rPr>
          <w:rFonts w:asciiTheme="majorBidi" w:hAnsiTheme="majorBidi" w:cstheme="majorBidi"/>
          <w:sz w:val="20"/>
          <w:szCs w:val="20"/>
        </w:rPr>
        <w:t>Sima, 1996,</w:t>
      </w:r>
      <w:r w:rsidRPr="0045007E">
        <w:rPr>
          <w:rFonts w:asciiTheme="majorBidi" w:hAnsiTheme="majorBidi" w:cstheme="majorBidi"/>
          <w:sz w:val="20"/>
          <w:szCs w:val="20"/>
        </w:rPr>
        <w:t xml:space="preserve"> volume 110, p. 2890, volume 123, p. 3157;</w:t>
      </w:r>
      <w:r>
        <w:rPr>
          <w:rFonts w:asciiTheme="majorBidi" w:hAnsiTheme="majorBidi" w:cstheme="majorBidi"/>
          <w:sz w:val="20"/>
          <w:szCs w:val="20"/>
        </w:rPr>
        <w:t xml:space="preserve"> Ban, 1995,</w:t>
      </w:r>
      <w:r w:rsidRPr="0045007E">
        <w:rPr>
          <w:rFonts w:asciiTheme="majorBidi" w:hAnsiTheme="majorBidi" w:cstheme="majorBidi"/>
          <w:sz w:val="20"/>
          <w:szCs w:val="20"/>
        </w:rPr>
        <w:t xml:space="preserve"> volume 61, pp. 2687-8, 2692, volume 94a, pp. 3750, 3757, volume 96a, pp. 3890-1</w:t>
      </w:r>
      <w:r>
        <w:rPr>
          <w:rFonts w:asciiTheme="majorBidi" w:hAnsiTheme="majorBidi" w:cstheme="majorBidi"/>
          <w:sz w:val="20"/>
          <w:szCs w:val="20"/>
        </w:rPr>
        <w:t>; for scholarly studies, see Benjamin, 2007, pp. 66-8, 71-4, 86-101, 136-68, 191-215</w:t>
      </w:r>
      <w:r w:rsidRPr="006C4053">
        <w:rPr>
          <w:rFonts w:asciiTheme="majorBidi" w:hAnsiTheme="majorBidi" w:cstheme="majorBidi"/>
          <w:sz w:val="20"/>
          <w:szCs w:val="20"/>
        </w:rPr>
        <w:t>)</w:t>
      </w:r>
      <w:r>
        <w:rPr>
          <w:rFonts w:asciiTheme="majorBidi" w:hAnsiTheme="majorBidi" w:cstheme="majorBidi"/>
          <w:sz w:val="16"/>
          <w:szCs w:val="16"/>
        </w:rPr>
        <w:t>.</w:t>
      </w:r>
      <w:r w:rsidRPr="006C4053">
        <w:rPr>
          <w:rFonts w:asciiTheme="majorBidi" w:hAnsiTheme="majorBidi" w:cstheme="majorBidi"/>
          <w:sz w:val="24"/>
          <w:szCs w:val="24"/>
        </w:rPr>
        <w:t xml:space="preserve"> </w:t>
      </w:r>
      <w:r w:rsidRPr="006C4053">
        <w:rPr>
          <w:rFonts w:asciiTheme="majorBidi" w:hAnsiTheme="majorBidi" w:cstheme="majorBidi"/>
          <w:sz w:val="20"/>
          <w:szCs w:val="20"/>
        </w:rPr>
        <w:t>Clearly, Ṭukhāristān was the most popular geographical term for the region in the 7</w:t>
      </w:r>
      <w:r w:rsidRPr="006C4053">
        <w:rPr>
          <w:rFonts w:asciiTheme="majorBidi" w:hAnsiTheme="majorBidi" w:cstheme="majorBidi"/>
          <w:sz w:val="20"/>
          <w:szCs w:val="20"/>
          <w:vertAlign w:val="superscript"/>
        </w:rPr>
        <w:t>th</w:t>
      </w:r>
      <w:r w:rsidRPr="006C4053">
        <w:rPr>
          <w:rFonts w:asciiTheme="majorBidi" w:hAnsiTheme="majorBidi" w:cstheme="majorBidi"/>
          <w:sz w:val="20"/>
          <w:szCs w:val="20"/>
        </w:rPr>
        <w:t xml:space="preserve"> and 8</w:t>
      </w:r>
      <w:r w:rsidRPr="006C4053">
        <w:rPr>
          <w:rFonts w:asciiTheme="majorBidi" w:hAnsiTheme="majorBidi" w:cstheme="majorBidi"/>
          <w:sz w:val="20"/>
          <w:szCs w:val="20"/>
          <w:vertAlign w:val="superscript"/>
        </w:rPr>
        <w:t>th</w:t>
      </w:r>
      <w:r w:rsidRPr="006C4053">
        <w:rPr>
          <w:rFonts w:asciiTheme="majorBidi" w:hAnsiTheme="majorBidi" w:cstheme="majorBidi"/>
          <w:sz w:val="20"/>
          <w:szCs w:val="20"/>
        </w:rPr>
        <w:t xml:space="preserve"> centuries, while the Bactrian term βαχλο was attested in coins as an archaic form and was geographically limited to the region's capital city Balkh as it remains today (de la Vassi</w:t>
      </w:r>
      <w:r w:rsidRPr="006C4053">
        <w:rPr>
          <w:rFonts w:asciiTheme="majorBidi" w:eastAsiaTheme="minorHAnsi" w:hAnsiTheme="majorBidi" w:cstheme="majorBidi"/>
          <w:sz w:val="20"/>
          <w:szCs w:val="20"/>
        </w:rPr>
        <w:t>è</w:t>
      </w:r>
      <w:r w:rsidRPr="006C4053">
        <w:rPr>
          <w:rFonts w:asciiTheme="majorBidi" w:hAnsiTheme="majorBidi" w:cstheme="majorBidi"/>
          <w:sz w:val="20"/>
          <w:szCs w:val="20"/>
        </w:rPr>
        <w:t>re, 2010</w:t>
      </w:r>
      <w:r>
        <w:rPr>
          <w:rFonts w:asciiTheme="majorBidi" w:hAnsiTheme="majorBidi" w:cstheme="majorBidi"/>
          <w:sz w:val="20"/>
          <w:szCs w:val="20"/>
        </w:rPr>
        <w:t>c</w:t>
      </w:r>
      <w:r w:rsidRPr="006C4053">
        <w:rPr>
          <w:rFonts w:asciiTheme="majorBidi" w:hAnsiTheme="majorBidi" w:cstheme="majorBidi"/>
          <w:sz w:val="20"/>
          <w:szCs w:val="20"/>
        </w:rPr>
        <w:t>, pp. 213-6).</w:t>
      </w:r>
    </w:p>
  </w:footnote>
  <w:footnote w:id="3">
    <w:p w14:paraId="7297790C" w14:textId="5C748200" w:rsidR="00902FCD" w:rsidRPr="00690B2A" w:rsidRDefault="00902FCD" w:rsidP="00660101">
      <w:pPr>
        <w:pStyle w:val="FootnoteText"/>
        <w:spacing w:line="360" w:lineRule="auto"/>
        <w:rPr>
          <w:rFonts w:asciiTheme="majorBidi" w:hAnsiTheme="majorBidi" w:cstheme="majorBidi"/>
          <w:sz w:val="20"/>
          <w:szCs w:val="20"/>
        </w:rPr>
      </w:pPr>
      <w:r w:rsidRPr="00690B2A">
        <w:rPr>
          <w:rFonts w:asciiTheme="majorBidi" w:hAnsiTheme="majorBidi" w:cstheme="majorBidi"/>
          <w:sz w:val="20"/>
          <w:szCs w:val="20"/>
          <w:vertAlign w:val="superscript"/>
        </w:rPr>
        <w:footnoteRef/>
      </w:r>
      <w:r w:rsidRPr="00690B2A">
        <w:rPr>
          <w:rFonts w:asciiTheme="majorBidi" w:hAnsiTheme="majorBidi" w:cstheme="majorBidi"/>
          <w:sz w:val="20"/>
          <w:szCs w:val="20"/>
        </w:rPr>
        <w:t xml:space="preserve"> Liu, 1995, volume 198, pp. 5312-3;</w:t>
      </w:r>
      <w:r>
        <w:rPr>
          <w:rFonts w:asciiTheme="majorBidi" w:hAnsiTheme="majorBidi" w:cstheme="majorBidi"/>
          <w:sz w:val="20"/>
          <w:szCs w:val="20"/>
        </w:rPr>
        <w:t xml:space="preserve"> tr., Appendix II.</w:t>
      </w:r>
      <w:r w:rsidRPr="00690B2A">
        <w:rPr>
          <w:rFonts w:asciiTheme="majorBidi" w:hAnsiTheme="majorBidi" w:cstheme="majorBidi"/>
          <w:sz w:val="20"/>
          <w:szCs w:val="20"/>
        </w:rPr>
        <w:t xml:space="preserve"> Ouyang &amp; Song, 1995, p. 6259</w:t>
      </w:r>
      <w:r>
        <w:rPr>
          <w:rFonts w:asciiTheme="majorBidi" w:hAnsiTheme="majorBidi" w:cstheme="majorBidi"/>
          <w:sz w:val="20"/>
          <w:szCs w:val="20"/>
        </w:rPr>
        <w:t>; tr., Appendix II</w:t>
      </w:r>
      <w:r w:rsidRPr="00690B2A">
        <w:rPr>
          <w:rFonts w:asciiTheme="majorBidi" w:hAnsiTheme="majorBidi" w:cstheme="majorBidi"/>
          <w:sz w:val="20"/>
          <w:szCs w:val="20"/>
        </w:rPr>
        <w:t>.</w:t>
      </w:r>
      <w:r>
        <w:rPr>
          <w:rFonts w:asciiTheme="majorBidi" w:hAnsiTheme="majorBidi" w:cstheme="majorBidi"/>
          <w:sz w:val="20"/>
          <w:szCs w:val="20"/>
        </w:rPr>
        <w:t xml:space="preserve"> The capital of the Tang Empire (618-907 CE) was Chang’an (</w:t>
      </w:r>
      <w:r>
        <w:rPr>
          <w:rFonts w:asciiTheme="majorBidi" w:hAnsiTheme="majorBidi" w:cstheme="majorBidi" w:hint="eastAsia"/>
          <w:sz w:val="20"/>
          <w:szCs w:val="20"/>
          <w:lang w:bidi="ar-JO"/>
        </w:rPr>
        <w:t>长安</w:t>
      </w:r>
      <w:r>
        <w:rPr>
          <w:rFonts w:asciiTheme="majorBidi" w:hAnsiTheme="majorBidi" w:cstheme="majorBidi"/>
          <w:sz w:val="20"/>
          <w:szCs w:val="20"/>
        </w:rPr>
        <w:t xml:space="preserve">). For more information of the Empire, see the following historical background. </w:t>
      </w:r>
    </w:p>
  </w:footnote>
  <w:footnote w:id="4">
    <w:p w14:paraId="2CEAB53C" w14:textId="2DDBEBEA" w:rsidR="00902FCD" w:rsidRDefault="00902FCD" w:rsidP="004674B4">
      <w:pPr>
        <w:pStyle w:val="FootnoteText"/>
        <w:spacing w:line="360" w:lineRule="auto"/>
        <w:rPr>
          <w:rFonts w:asciiTheme="majorBidi" w:hAnsiTheme="majorBidi" w:cstheme="majorBidi"/>
          <w:sz w:val="20"/>
          <w:szCs w:val="20"/>
        </w:rPr>
      </w:pPr>
      <w:r w:rsidRPr="006E74F2">
        <w:rPr>
          <w:rStyle w:val="FootnoteReference"/>
          <w:rFonts w:asciiTheme="majorBidi" w:hAnsiTheme="majorBidi" w:cstheme="majorBidi"/>
          <w:sz w:val="20"/>
          <w:szCs w:val="20"/>
        </w:rPr>
        <w:footnoteRef/>
      </w:r>
      <w:r w:rsidRPr="006E74F2">
        <w:rPr>
          <w:rFonts w:asciiTheme="majorBidi" w:hAnsiTheme="majorBidi" w:cstheme="majorBidi"/>
          <w:sz w:val="20"/>
          <w:szCs w:val="20"/>
          <w:rtl/>
        </w:rPr>
        <w:t xml:space="preserve"> </w:t>
      </w:r>
      <w:r>
        <w:rPr>
          <w:rFonts w:asciiTheme="majorBidi" w:hAnsiTheme="majorBidi" w:cstheme="majorBidi"/>
          <w:sz w:val="20"/>
          <w:szCs w:val="20"/>
        </w:rPr>
        <w:t xml:space="preserve">Among historians of the Arab conquests in general, Kennedy does not mention </w:t>
      </w:r>
      <w:r w:rsidRPr="006E74F2">
        <w:rPr>
          <w:rFonts w:asciiTheme="majorBidi" w:hAnsiTheme="majorBidi" w:cstheme="majorBidi"/>
          <w:sz w:val="20"/>
          <w:szCs w:val="20"/>
        </w:rPr>
        <w:t>Yazdegerd's family in his monograph (2007, pp. 169-99)</w:t>
      </w:r>
      <w:r>
        <w:rPr>
          <w:rFonts w:asciiTheme="majorBidi" w:hAnsiTheme="majorBidi" w:cstheme="majorBidi"/>
          <w:sz w:val="20"/>
          <w:szCs w:val="20"/>
        </w:rPr>
        <w:t>; Hoyland (</w:t>
      </w:r>
      <w:r w:rsidRPr="007317DB">
        <w:rPr>
          <w:rFonts w:asciiTheme="majorBidi" w:hAnsiTheme="majorBidi" w:cstheme="majorBidi"/>
          <w:sz w:val="20"/>
          <w:szCs w:val="20"/>
        </w:rPr>
        <w:t>2015, pp. 87, 261</w:t>
      </w:r>
      <w:r>
        <w:rPr>
          <w:rFonts w:asciiTheme="majorBidi" w:hAnsiTheme="majorBidi" w:cstheme="majorBidi"/>
          <w:sz w:val="20"/>
          <w:szCs w:val="20"/>
        </w:rPr>
        <w:t xml:space="preserve">), who puts emphasis on non-Arabic sources </w:t>
      </w:r>
      <w:r w:rsidRPr="006E74F2">
        <w:rPr>
          <w:rFonts w:asciiTheme="majorBidi" w:hAnsiTheme="majorBidi" w:cstheme="majorBidi"/>
          <w:sz w:val="20"/>
          <w:szCs w:val="20"/>
        </w:rPr>
        <w:t>to reconstruct the history of the Arab conquests</w:t>
      </w:r>
      <w:r>
        <w:rPr>
          <w:rFonts w:asciiTheme="majorBidi" w:hAnsiTheme="majorBidi" w:cstheme="majorBidi"/>
          <w:sz w:val="20"/>
          <w:szCs w:val="20"/>
        </w:rPr>
        <w:t>, incorporates an account of the last Sasanian princes based on Daryaee (2009, pp. 37-8) and others’ research.</w:t>
      </w:r>
      <w:r w:rsidRPr="006E74F2">
        <w:rPr>
          <w:rFonts w:asciiTheme="majorBidi" w:hAnsiTheme="majorBidi" w:cstheme="majorBidi"/>
          <w:sz w:val="20"/>
          <w:szCs w:val="20"/>
        </w:rPr>
        <w:t xml:space="preserve"> </w:t>
      </w:r>
      <w:r>
        <w:rPr>
          <w:rFonts w:asciiTheme="majorBidi" w:hAnsiTheme="majorBidi" w:cstheme="majorBidi"/>
          <w:sz w:val="20"/>
          <w:szCs w:val="20"/>
        </w:rPr>
        <w:t>Gibb (1923, pp. 16, 27) and Shaban (1970, pp. 27-8), the two historians of the Arab conquests of Central Asia, incorporate Chavannes’s translation of the relevant records about the last Sasanian princes into their narratives of the Arab conquests of Central Asia.</w:t>
      </w:r>
    </w:p>
    <w:p w14:paraId="22448757" w14:textId="6D559FAD" w:rsidR="00902FCD" w:rsidRPr="007317DB" w:rsidRDefault="00902FCD" w:rsidP="004674B4">
      <w:pPr>
        <w:pStyle w:val="FootnoteText"/>
        <w:spacing w:line="360" w:lineRule="auto"/>
        <w:rPr>
          <w:rFonts w:asciiTheme="majorBidi" w:hAnsiTheme="majorBidi" w:cstheme="majorBidi"/>
          <w:sz w:val="20"/>
          <w:szCs w:val="20"/>
        </w:rPr>
      </w:pPr>
      <w:r>
        <w:rPr>
          <w:rFonts w:asciiTheme="majorBidi" w:hAnsiTheme="majorBidi" w:cstheme="majorBidi"/>
          <w:sz w:val="20"/>
          <w:szCs w:val="20"/>
        </w:rPr>
        <w:t xml:space="preserve">As for the historians of the Sasanian dynasty, </w:t>
      </w:r>
      <w:r w:rsidRPr="006E74F2">
        <w:rPr>
          <w:rFonts w:asciiTheme="majorBidi" w:hAnsiTheme="majorBidi" w:cstheme="majorBidi"/>
          <w:sz w:val="20"/>
          <w:szCs w:val="20"/>
        </w:rPr>
        <w:t xml:space="preserve">Frye </w:t>
      </w:r>
      <w:r>
        <w:rPr>
          <w:rFonts w:asciiTheme="majorBidi" w:hAnsiTheme="majorBidi" w:cstheme="majorBidi"/>
          <w:sz w:val="20"/>
          <w:szCs w:val="20"/>
        </w:rPr>
        <w:t>(1984, pp. 334-9) and Pourshariati (2008, pp. 161-285)</w:t>
      </w:r>
      <w:r w:rsidRPr="006E74F2">
        <w:rPr>
          <w:rFonts w:asciiTheme="majorBidi" w:hAnsiTheme="majorBidi" w:cstheme="majorBidi"/>
          <w:sz w:val="20"/>
          <w:szCs w:val="20"/>
        </w:rPr>
        <w:t xml:space="preserve"> </w:t>
      </w:r>
      <w:r>
        <w:rPr>
          <w:rFonts w:asciiTheme="majorBidi" w:hAnsiTheme="majorBidi" w:cstheme="majorBidi"/>
          <w:sz w:val="20"/>
          <w:szCs w:val="20"/>
        </w:rPr>
        <w:t xml:space="preserve">do not touch the topic; </w:t>
      </w:r>
      <w:r w:rsidRPr="006E74F2">
        <w:rPr>
          <w:rFonts w:asciiTheme="majorBidi" w:hAnsiTheme="majorBidi" w:cstheme="majorBidi"/>
          <w:sz w:val="20"/>
          <w:szCs w:val="20"/>
        </w:rPr>
        <w:t xml:space="preserve">Christensen </w:t>
      </w:r>
      <w:r>
        <w:rPr>
          <w:rFonts w:asciiTheme="majorBidi" w:hAnsiTheme="majorBidi" w:cstheme="majorBidi"/>
          <w:sz w:val="20"/>
          <w:szCs w:val="20"/>
        </w:rPr>
        <w:t>presents but a b</w:t>
      </w:r>
      <w:r>
        <w:rPr>
          <w:rFonts w:asciiTheme="majorBidi" w:hAnsiTheme="majorBidi" w:cstheme="majorBidi" w:hint="eastAsia"/>
          <w:sz w:val="20"/>
          <w:szCs w:val="20"/>
        </w:rPr>
        <w:t>rief</w:t>
      </w:r>
      <w:r>
        <w:rPr>
          <w:rFonts w:asciiTheme="majorBidi" w:hAnsiTheme="majorBidi" w:cstheme="majorBidi"/>
          <w:sz w:val="20"/>
          <w:szCs w:val="20"/>
        </w:rPr>
        <w:t xml:space="preserve"> account of Yazdegerd's descendants based on</w:t>
      </w:r>
      <w:r w:rsidRPr="006E74F2">
        <w:rPr>
          <w:rFonts w:asciiTheme="majorBidi" w:hAnsiTheme="majorBidi" w:cstheme="majorBidi"/>
          <w:sz w:val="20"/>
          <w:szCs w:val="20"/>
        </w:rPr>
        <w:t xml:space="preserve"> Marquart's </w:t>
      </w:r>
      <w:r w:rsidRPr="006E74F2">
        <w:rPr>
          <w:rFonts w:asciiTheme="majorBidi" w:hAnsiTheme="majorBidi" w:cstheme="majorBidi"/>
          <w:i/>
          <w:iCs/>
          <w:sz w:val="20"/>
          <w:szCs w:val="20"/>
        </w:rPr>
        <w:t>Ērānšahr</w:t>
      </w:r>
      <w:r w:rsidRPr="006E74F2">
        <w:rPr>
          <w:rFonts w:asciiTheme="majorBidi" w:hAnsiTheme="majorBidi" w:cstheme="majorBidi"/>
          <w:sz w:val="20"/>
          <w:szCs w:val="20"/>
        </w:rPr>
        <w:t xml:space="preserve"> (1936, pp. 502-3).</w:t>
      </w:r>
    </w:p>
  </w:footnote>
  <w:footnote w:id="5">
    <w:p w14:paraId="64FA7AF9" w14:textId="13B950D6" w:rsidR="00902FCD" w:rsidRPr="007317DB" w:rsidRDefault="00902FCD" w:rsidP="001D3B25">
      <w:pPr>
        <w:pStyle w:val="FootnoteText"/>
        <w:spacing w:line="360" w:lineRule="auto"/>
        <w:rPr>
          <w:rFonts w:asciiTheme="majorBidi" w:hAnsiTheme="majorBidi" w:cstheme="majorBidi"/>
          <w:sz w:val="20"/>
          <w:szCs w:val="20"/>
          <w:lang w:eastAsia="en-US"/>
        </w:rPr>
      </w:pPr>
      <w:r w:rsidRPr="007317DB">
        <w:rPr>
          <w:rFonts w:asciiTheme="majorBidi" w:hAnsiTheme="majorBidi" w:cstheme="majorBidi"/>
          <w:sz w:val="20"/>
          <w:szCs w:val="20"/>
          <w:vertAlign w:val="superscript"/>
        </w:rPr>
        <w:footnoteRef/>
      </w:r>
      <w:r w:rsidRPr="007317DB">
        <w:rPr>
          <w:rFonts w:asciiTheme="majorBidi" w:hAnsiTheme="majorBidi" w:cstheme="majorBidi"/>
          <w:sz w:val="20"/>
          <w:szCs w:val="20"/>
          <w:rtl/>
        </w:rPr>
        <w:t xml:space="preserve"> </w:t>
      </w:r>
      <w:r w:rsidRPr="007317DB">
        <w:rPr>
          <w:rFonts w:asciiTheme="majorBidi" w:hAnsiTheme="majorBidi" w:cstheme="majorBidi"/>
          <w:sz w:val="20"/>
          <w:szCs w:val="20"/>
        </w:rPr>
        <w:t xml:space="preserve">Liang </w:t>
      </w:r>
      <w:r>
        <w:rPr>
          <w:rFonts w:asciiTheme="majorBidi" w:hAnsiTheme="majorBidi" w:cstheme="majorBidi"/>
          <w:sz w:val="20"/>
          <w:szCs w:val="20"/>
        </w:rPr>
        <w:t>and</w:t>
      </w:r>
      <w:r w:rsidRPr="007317DB">
        <w:rPr>
          <w:rFonts w:asciiTheme="majorBidi" w:hAnsiTheme="majorBidi" w:cstheme="majorBidi"/>
          <w:sz w:val="20"/>
          <w:szCs w:val="20"/>
        </w:rPr>
        <w:t xml:space="preserve"> Wen, 2003, pp. 44-51; Zhang, 2003, pp. 8-11.</w:t>
      </w:r>
      <w:r>
        <w:rPr>
          <w:rFonts w:asciiTheme="majorBidi" w:hAnsiTheme="majorBidi" w:cstheme="majorBidi"/>
          <w:sz w:val="20"/>
          <w:szCs w:val="20"/>
        </w:rPr>
        <w:t xml:space="preserve"> The Qianling Mausoleum is the tomb of the Gaozong Emperor (649-683 CE) and his wife Wu Zetian, who later ascended the throne for more than one decade (690-705 CE).</w:t>
      </w:r>
    </w:p>
  </w:footnote>
  <w:footnote w:id="6">
    <w:p w14:paraId="784C98B1" w14:textId="55B786FA" w:rsidR="00902FCD" w:rsidRPr="00875CD8" w:rsidRDefault="00902FCD" w:rsidP="001D3B25">
      <w:pPr>
        <w:pStyle w:val="FootnoteText"/>
        <w:spacing w:line="360" w:lineRule="auto"/>
        <w:rPr>
          <w:rFonts w:asciiTheme="majorBidi" w:hAnsiTheme="majorBidi" w:cstheme="majorBidi"/>
          <w:sz w:val="20"/>
          <w:szCs w:val="20"/>
        </w:rPr>
      </w:pPr>
      <w:r w:rsidRPr="00875CD8">
        <w:rPr>
          <w:rFonts w:asciiTheme="majorBidi" w:hAnsiTheme="majorBidi" w:cstheme="majorBidi"/>
          <w:sz w:val="20"/>
          <w:szCs w:val="20"/>
          <w:vertAlign w:val="superscript"/>
        </w:rPr>
        <w:footnoteRef/>
      </w:r>
      <w:r>
        <w:rPr>
          <w:rFonts w:asciiTheme="majorBidi" w:hAnsiTheme="majorBidi" w:cstheme="majorBidi"/>
          <w:sz w:val="20"/>
          <w:szCs w:val="20"/>
        </w:rPr>
        <w:t xml:space="preserve"> </w:t>
      </w:r>
      <w:r w:rsidRPr="00875CD8">
        <w:rPr>
          <w:rFonts w:asciiTheme="majorBidi" w:hAnsiTheme="majorBidi" w:cstheme="majorBidi"/>
          <w:sz w:val="20"/>
          <w:szCs w:val="20"/>
        </w:rPr>
        <w:t>Th</w:t>
      </w:r>
      <w:r>
        <w:rPr>
          <w:rFonts w:asciiTheme="majorBidi" w:hAnsiTheme="majorBidi" w:cstheme="majorBidi"/>
          <w:sz w:val="20"/>
          <w:szCs w:val="20"/>
        </w:rPr>
        <w:t xml:space="preserve">e surviving names of the escorting soldiers shows that the Persian army was actually a </w:t>
      </w:r>
      <w:r w:rsidRPr="00875CD8">
        <w:rPr>
          <w:rFonts w:asciiTheme="majorBidi" w:hAnsiTheme="majorBidi" w:cstheme="majorBidi"/>
          <w:sz w:val="20"/>
          <w:szCs w:val="20"/>
        </w:rPr>
        <w:t>Chinese army labeled as Persian</w:t>
      </w:r>
      <w:r>
        <w:rPr>
          <w:rFonts w:asciiTheme="majorBidi" w:hAnsiTheme="majorBidi" w:cstheme="majorBidi"/>
          <w:sz w:val="20"/>
          <w:szCs w:val="20"/>
        </w:rPr>
        <w:t>.</w:t>
      </w:r>
    </w:p>
  </w:footnote>
  <w:footnote w:id="7">
    <w:p w14:paraId="2D8AB045" w14:textId="5152170F" w:rsidR="00902FCD" w:rsidRPr="007317DB" w:rsidRDefault="00902FCD" w:rsidP="001D3B25">
      <w:pPr>
        <w:pStyle w:val="FootnoteText"/>
        <w:spacing w:line="360" w:lineRule="auto"/>
        <w:rPr>
          <w:rFonts w:asciiTheme="majorBidi" w:hAnsiTheme="majorBidi" w:cstheme="majorBidi"/>
          <w:sz w:val="20"/>
          <w:szCs w:val="20"/>
        </w:rPr>
      </w:pPr>
      <w:r w:rsidRPr="007317DB">
        <w:rPr>
          <w:rFonts w:asciiTheme="majorBidi" w:hAnsiTheme="majorBidi" w:cstheme="majorBidi"/>
          <w:sz w:val="20"/>
          <w:szCs w:val="20"/>
          <w:vertAlign w:val="superscript"/>
        </w:rPr>
        <w:footnoteRef/>
      </w:r>
      <w:r>
        <w:rPr>
          <w:rFonts w:asciiTheme="majorBidi" w:hAnsiTheme="majorBidi" w:cstheme="majorBidi" w:hint="cs"/>
          <w:sz w:val="20"/>
          <w:szCs w:val="20"/>
          <w:rtl/>
        </w:rPr>
        <w:t xml:space="preserve"> </w:t>
      </w:r>
      <w:r w:rsidRPr="007317DB">
        <w:rPr>
          <w:rFonts w:asciiTheme="majorBidi" w:hAnsiTheme="majorBidi" w:cstheme="majorBidi"/>
          <w:sz w:val="20"/>
          <w:szCs w:val="20"/>
        </w:rPr>
        <w:t>Jiang, 1994, pp. 37-50.</w:t>
      </w:r>
    </w:p>
  </w:footnote>
  <w:footnote w:id="8">
    <w:p w14:paraId="3C99052F" w14:textId="672D563C" w:rsidR="00902FCD" w:rsidRPr="007317DB" w:rsidRDefault="00902FCD" w:rsidP="001D3B25">
      <w:pPr>
        <w:pStyle w:val="FootnoteText"/>
        <w:spacing w:line="360" w:lineRule="auto"/>
        <w:rPr>
          <w:rFonts w:asciiTheme="majorBidi" w:hAnsiTheme="majorBidi" w:cstheme="majorBidi"/>
          <w:sz w:val="20"/>
          <w:szCs w:val="20"/>
        </w:rPr>
      </w:pPr>
      <w:r w:rsidRPr="007317DB">
        <w:rPr>
          <w:rFonts w:asciiTheme="majorBidi" w:hAnsiTheme="majorBidi" w:cstheme="majorBidi"/>
          <w:sz w:val="20"/>
          <w:szCs w:val="20"/>
          <w:vertAlign w:val="superscript"/>
        </w:rPr>
        <w:footnoteRef/>
      </w:r>
      <w:r w:rsidRPr="007317DB">
        <w:rPr>
          <w:rFonts w:asciiTheme="majorBidi" w:hAnsiTheme="majorBidi" w:cstheme="majorBidi"/>
          <w:sz w:val="20"/>
          <w:szCs w:val="20"/>
          <w:rtl/>
        </w:rPr>
        <w:t xml:space="preserve"> </w:t>
      </w:r>
      <w:r w:rsidRPr="007317DB">
        <w:rPr>
          <w:rFonts w:asciiTheme="majorBidi" w:hAnsiTheme="majorBidi" w:cstheme="majorBidi"/>
          <w:sz w:val="20"/>
          <w:szCs w:val="20"/>
        </w:rPr>
        <w:t>Xue, 1988, pp. 65-77.</w:t>
      </w:r>
    </w:p>
  </w:footnote>
  <w:footnote w:id="9">
    <w:p w14:paraId="7CDD0FFB" w14:textId="77777777" w:rsidR="00902FCD" w:rsidRPr="007317DB" w:rsidRDefault="00902FCD" w:rsidP="00CD4F67">
      <w:pPr>
        <w:pStyle w:val="FootnoteText"/>
        <w:spacing w:line="360" w:lineRule="auto"/>
        <w:rPr>
          <w:rFonts w:asciiTheme="majorBidi" w:hAnsiTheme="majorBidi" w:cstheme="majorBidi"/>
          <w:sz w:val="20"/>
          <w:szCs w:val="20"/>
        </w:rPr>
      </w:pPr>
      <w:r w:rsidRPr="007317DB">
        <w:rPr>
          <w:rFonts w:asciiTheme="majorBidi" w:hAnsiTheme="majorBidi" w:cstheme="majorBidi"/>
          <w:sz w:val="20"/>
          <w:szCs w:val="20"/>
          <w:vertAlign w:val="superscript"/>
        </w:rPr>
        <w:footnoteRef/>
      </w:r>
      <w:r w:rsidRPr="007317DB">
        <w:rPr>
          <w:rFonts w:asciiTheme="majorBidi" w:hAnsiTheme="majorBidi" w:cstheme="majorBidi"/>
          <w:sz w:val="20"/>
          <w:szCs w:val="20"/>
          <w:vertAlign w:val="superscript"/>
          <w:rtl/>
        </w:rPr>
        <w:t xml:space="preserve"> </w:t>
      </w:r>
      <w:r w:rsidRPr="007317DB">
        <w:rPr>
          <w:rFonts w:asciiTheme="majorBidi" w:hAnsiTheme="majorBidi" w:cstheme="majorBidi"/>
          <w:sz w:val="20"/>
          <w:szCs w:val="20"/>
        </w:rPr>
        <w:t>Compareti, 2003, pp. 197-213.</w:t>
      </w:r>
    </w:p>
  </w:footnote>
  <w:footnote w:id="10">
    <w:p w14:paraId="47BAFF87" w14:textId="110A5A79" w:rsidR="00902FCD" w:rsidRPr="007317DB" w:rsidRDefault="00902FCD" w:rsidP="00CD4F67">
      <w:pPr>
        <w:pStyle w:val="FootnoteText"/>
        <w:spacing w:line="360" w:lineRule="auto"/>
        <w:rPr>
          <w:rFonts w:asciiTheme="majorBidi" w:hAnsiTheme="majorBidi" w:cstheme="majorBidi"/>
          <w:sz w:val="20"/>
          <w:szCs w:val="20"/>
        </w:rPr>
      </w:pPr>
      <w:r w:rsidRPr="007317DB">
        <w:rPr>
          <w:rFonts w:asciiTheme="majorBidi" w:hAnsiTheme="majorBidi" w:cstheme="majorBidi"/>
          <w:sz w:val="20"/>
          <w:szCs w:val="20"/>
          <w:vertAlign w:val="superscript"/>
        </w:rPr>
        <w:footnoteRef/>
      </w:r>
      <w:r w:rsidRPr="007317DB">
        <w:rPr>
          <w:rFonts w:asciiTheme="majorBidi" w:hAnsiTheme="majorBidi" w:cstheme="majorBidi"/>
          <w:sz w:val="20"/>
          <w:szCs w:val="20"/>
          <w:rtl/>
        </w:rPr>
        <w:t xml:space="preserve"> </w:t>
      </w:r>
      <w:r>
        <w:rPr>
          <w:rFonts w:asciiTheme="majorBidi" w:hAnsiTheme="majorBidi" w:cstheme="majorBidi"/>
          <w:sz w:val="20"/>
          <w:szCs w:val="20"/>
        </w:rPr>
        <w:t>Pashaz</w:t>
      </w:r>
      <w:r w:rsidRPr="007317DB">
        <w:rPr>
          <w:rFonts w:asciiTheme="majorBidi" w:hAnsiTheme="majorBidi" w:cstheme="majorBidi"/>
          <w:sz w:val="20"/>
          <w:szCs w:val="20"/>
        </w:rPr>
        <w:t xml:space="preserve">anous </w:t>
      </w:r>
      <w:r>
        <w:rPr>
          <w:rFonts w:asciiTheme="majorBidi" w:hAnsiTheme="majorBidi" w:cstheme="majorBidi"/>
          <w:sz w:val="20"/>
          <w:szCs w:val="20"/>
        </w:rPr>
        <w:t>and</w:t>
      </w:r>
      <w:r w:rsidRPr="007317DB">
        <w:rPr>
          <w:rFonts w:asciiTheme="majorBidi" w:hAnsiTheme="majorBidi" w:cstheme="majorBidi"/>
          <w:sz w:val="20"/>
          <w:szCs w:val="20"/>
        </w:rPr>
        <w:t xml:space="preserve"> Sangari, 2018, pp. 1-17.</w:t>
      </w:r>
    </w:p>
  </w:footnote>
  <w:footnote w:id="11">
    <w:p w14:paraId="6BE9C046" w14:textId="77777777" w:rsidR="00902FCD" w:rsidRPr="007317DB" w:rsidRDefault="00902FCD" w:rsidP="00CD4F67">
      <w:pPr>
        <w:pStyle w:val="FootnoteText"/>
        <w:spacing w:line="360" w:lineRule="auto"/>
        <w:rPr>
          <w:rFonts w:asciiTheme="majorBidi" w:hAnsiTheme="majorBidi" w:cstheme="majorBidi"/>
          <w:sz w:val="20"/>
          <w:szCs w:val="20"/>
        </w:rPr>
      </w:pPr>
      <w:r w:rsidRPr="007317DB">
        <w:rPr>
          <w:rFonts w:asciiTheme="majorBidi" w:hAnsiTheme="majorBidi" w:cstheme="majorBidi"/>
          <w:sz w:val="20"/>
          <w:szCs w:val="20"/>
          <w:vertAlign w:val="superscript"/>
        </w:rPr>
        <w:footnoteRef/>
      </w:r>
      <w:r w:rsidRPr="007317DB">
        <w:rPr>
          <w:rFonts w:asciiTheme="majorBidi" w:hAnsiTheme="majorBidi" w:cstheme="majorBidi"/>
          <w:sz w:val="20"/>
          <w:szCs w:val="20"/>
          <w:rtl/>
        </w:rPr>
        <w:t xml:space="preserve"> </w:t>
      </w:r>
      <w:r w:rsidRPr="007317DB">
        <w:rPr>
          <w:rFonts w:asciiTheme="majorBidi" w:hAnsiTheme="majorBidi" w:cstheme="majorBidi"/>
          <w:sz w:val="20"/>
          <w:szCs w:val="20"/>
        </w:rPr>
        <w:t xml:space="preserve">Agostini </w:t>
      </w:r>
      <w:r>
        <w:rPr>
          <w:rFonts w:asciiTheme="majorBidi" w:hAnsiTheme="majorBidi" w:cstheme="majorBidi"/>
          <w:sz w:val="20"/>
          <w:szCs w:val="20"/>
        </w:rPr>
        <w:t>and</w:t>
      </w:r>
      <w:r w:rsidRPr="007317DB">
        <w:rPr>
          <w:rFonts w:asciiTheme="majorBidi" w:hAnsiTheme="majorBidi" w:cstheme="majorBidi"/>
          <w:sz w:val="20"/>
          <w:szCs w:val="20"/>
        </w:rPr>
        <w:t xml:space="preserve"> Stark, 2016, pp. 17-38.</w:t>
      </w:r>
    </w:p>
  </w:footnote>
  <w:footnote w:id="12">
    <w:p w14:paraId="15CC2150" w14:textId="77777777" w:rsidR="00902FCD" w:rsidRPr="00033673" w:rsidRDefault="00902FCD" w:rsidP="00A31C83">
      <w:pPr>
        <w:pStyle w:val="FootnoteText"/>
        <w:spacing w:line="360" w:lineRule="auto"/>
        <w:rPr>
          <w:rFonts w:asciiTheme="majorBidi" w:hAnsiTheme="majorBidi" w:cstheme="majorBidi"/>
          <w:sz w:val="20"/>
          <w:szCs w:val="20"/>
        </w:rPr>
      </w:pPr>
      <w:r w:rsidRPr="00033673">
        <w:rPr>
          <w:rFonts w:asciiTheme="majorBidi" w:hAnsiTheme="majorBidi" w:cstheme="majorBidi"/>
          <w:sz w:val="20"/>
          <w:szCs w:val="20"/>
          <w:vertAlign w:val="superscript"/>
        </w:rPr>
        <w:footnoteRef/>
      </w:r>
      <w:r w:rsidRPr="00033673">
        <w:rPr>
          <w:rFonts w:asciiTheme="majorBidi" w:hAnsiTheme="majorBidi" w:cstheme="majorBidi"/>
          <w:sz w:val="20"/>
          <w:szCs w:val="20"/>
          <w:vertAlign w:val="superscript"/>
        </w:rPr>
        <w:t xml:space="preserve"> </w:t>
      </w:r>
      <w:r>
        <w:rPr>
          <w:rFonts w:asciiTheme="majorBidi" w:hAnsiTheme="majorBidi" w:cstheme="majorBidi"/>
          <w:sz w:val="20"/>
          <w:szCs w:val="20"/>
        </w:rPr>
        <w:t>Haug, 2019, pp. 92-4.</w:t>
      </w:r>
    </w:p>
  </w:footnote>
  <w:footnote w:id="13">
    <w:p w14:paraId="770D94EF" w14:textId="0B69AE0A" w:rsidR="00902FCD" w:rsidRPr="00D844D5" w:rsidRDefault="00902FCD" w:rsidP="00D844D5">
      <w:pPr>
        <w:pStyle w:val="FootnoteText"/>
        <w:spacing w:line="360" w:lineRule="auto"/>
        <w:rPr>
          <w:rFonts w:asciiTheme="majorBidi" w:hAnsiTheme="majorBidi" w:cstheme="majorBidi"/>
          <w:sz w:val="20"/>
          <w:szCs w:val="20"/>
        </w:rPr>
      </w:pPr>
      <w:r w:rsidRPr="00D844D5">
        <w:rPr>
          <w:rFonts w:asciiTheme="majorBidi" w:hAnsiTheme="majorBidi" w:cstheme="majorBidi"/>
          <w:sz w:val="20"/>
          <w:szCs w:val="20"/>
          <w:vertAlign w:val="superscript"/>
        </w:rPr>
        <w:footnoteRef/>
      </w:r>
      <w:r w:rsidRPr="00D844D5">
        <w:rPr>
          <w:rFonts w:asciiTheme="majorBidi" w:hAnsiTheme="majorBidi" w:cstheme="majorBidi"/>
          <w:sz w:val="20"/>
          <w:szCs w:val="20"/>
        </w:rPr>
        <w:t xml:space="preserve"> Pashazanous and Afkande, 2014, pp. 144-6; Agostini and Stark, 2016, p. 18.</w:t>
      </w:r>
    </w:p>
  </w:footnote>
  <w:footnote w:id="14">
    <w:p w14:paraId="02E7D717" w14:textId="199DCC1E" w:rsidR="00902FCD" w:rsidRPr="005F0505" w:rsidRDefault="00902FCD" w:rsidP="005F0505">
      <w:pPr>
        <w:pStyle w:val="FootnoteText"/>
        <w:spacing w:line="360" w:lineRule="auto"/>
        <w:rPr>
          <w:rFonts w:asciiTheme="majorBidi" w:hAnsiTheme="majorBidi" w:cstheme="majorBidi"/>
          <w:sz w:val="20"/>
          <w:szCs w:val="20"/>
        </w:rPr>
      </w:pPr>
      <w:r w:rsidRPr="005F0505">
        <w:rPr>
          <w:rFonts w:asciiTheme="majorBidi" w:hAnsiTheme="majorBidi" w:cstheme="majorBidi"/>
          <w:sz w:val="20"/>
          <w:szCs w:val="20"/>
          <w:vertAlign w:val="superscript"/>
        </w:rPr>
        <w:footnoteRef/>
      </w:r>
      <w:r w:rsidRPr="005F0505">
        <w:rPr>
          <w:rFonts w:asciiTheme="majorBidi" w:hAnsiTheme="majorBidi" w:cstheme="majorBidi"/>
          <w:sz w:val="20"/>
          <w:szCs w:val="20"/>
          <w:vertAlign w:val="superscript"/>
        </w:rPr>
        <w:t xml:space="preserve"> </w:t>
      </w:r>
      <w:r w:rsidRPr="00554711">
        <w:rPr>
          <w:rFonts w:asciiTheme="majorBidi" w:hAnsiTheme="majorBidi" w:cstheme="majorBidi"/>
          <w:sz w:val="20"/>
          <w:szCs w:val="20"/>
        </w:rPr>
        <w:t>The Arabic and Persian sources suffer from partiality, focusing on the Arab conquests and Islam.</w:t>
      </w:r>
      <w:r>
        <w:rPr>
          <w:rFonts w:asciiTheme="majorBidi" w:hAnsiTheme="majorBidi" w:cstheme="majorBidi"/>
          <w:sz w:val="20"/>
          <w:szCs w:val="20"/>
        </w:rPr>
        <w:t xml:space="preserve"> For the last Sasanian princes, </w:t>
      </w:r>
      <w:r w:rsidRPr="005F0505">
        <w:rPr>
          <w:rFonts w:asciiTheme="majorBidi" w:hAnsiTheme="majorBidi" w:cstheme="majorBidi"/>
          <w:sz w:val="20"/>
          <w:szCs w:val="20"/>
        </w:rPr>
        <w:t>the</w:t>
      </w:r>
      <w:r>
        <w:rPr>
          <w:rFonts w:asciiTheme="majorBidi" w:hAnsiTheme="majorBidi" w:cstheme="majorBidi"/>
          <w:sz w:val="20"/>
          <w:szCs w:val="20"/>
        </w:rPr>
        <w:t xml:space="preserve">y </w:t>
      </w:r>
      <w:r w:rsidRPr="005F0505">
        <w:rPr>
          <w:rFonts w:asciiTheme="majorBidi" w:hAnsiTheme="majorBidi" w:cstheme="majorBidi"/>
          <w:sz w:val="20"/>
          <w:szCs w:val="20"/>
        </w:rPr>
        <w:t xml:space="preserve">barely mention </w:t>
      </w:r>
      <w:r>
        <w:rPr>
          <w:rFonts w:asciiTheme="majorBidi" w:hAnsiTheme="majorBidi" w:cstheme="majorBidi"/>
          <w:sz w:val="20"/>
          <w:szCs w:val="20"/>
        </w:rPr>
        <w:t>them</w:t>
      </w:r>
      <w:r w:rsidRPr="005F0505">
        <w:rPr>
          <w:rFonts w:asciiTheme="majorBidi" w:hAnsiTheme="majorBidi" w:cstheme="majorBidi"/>
          <w:sz w:val="20"/>
          <w:szCs w:val="20"/>
        </w:rPr>
        <w:t xml:space="preserve"> because of the lack of interest in these claimants who would not threaten their rule of Khurasan, while the Chinese sources limit their interest to their </w:t>
      </w:r>
      <w:r>
        <w:rPr>
          <w:rFonts w:asciiTheme="majorBidi" w:hAnsiTheme="majorBidi" w:cstheme="majorBidi"/>
          <w:sz w:val="20"/>
          <w:szCs w:val="20"/>
        </w:rPr>
        <w:t xml:space="preserve">relations with the Tang court such as </w:t>
      </w:r>
      <w:r w:rsidRPr="005F0505">
        <w:rPr>
          <w:rFonts w:asciiTheme="majorBidi" w:hAnsiTheme="majorBidi" w:cstheme="majorBidi"/>
          <w:sz w:val="20"/>
          <w:szCs w:val="20"/>
        </w:rPr>
        <w:t>paying tribute and arriving at the Tang court.</w:t>
      </w:r>
    </w:p>
  </w:footnote>
  <w:footnote w:id="15">
    <w:p w14:paraId="689AE0BD" w14:textId="23E0027B" w:rsidR="00902FCD" w:rsidRPr="00FB5867" w:rsidRDefault="00902FCD" w:rsidP="00FB5867">
      <w:pPr>
        <w:pStyle w:val="FootnoteText"/>
        <w:spacing w:line="360" w:lineRule="auto"/>
        <w:rPr>
          <w:rFonts w:asciiTheme="majorBidi" w:hAnsiTheme="majorBidi" w:cstheme="majorBidi"/>
          <w:sz w:val="20"/>
          <w:szCs w:val="20"/>
        </w:rPr>
      </w:pPr>
      <w:r w:rsidRPr="00FB5867">
        <w:rPr>
          <w:rFonts w:asciiTheme="majorBidi" w:hAnsiTheme="majorBidi" w:cstheme="majorBidi"/>
          <w:sz w:val="20"/>
          <w:szCs w:val="20"/>
          <w:vertAlign w:val="superscript"/>
        </w:rPr>
        <w:footnoteRef/>
      </w:r>
      <w:r w:rsidRPr="00FB5867">
        <w:rPr>
          <w:rFonts w:asciiTheme="majorBidi" w:hAnsiTheme="majorBidi" w:cstheme="majorBidi"/>
          <w:sz w:val="20"/>
          <w:szCs w:val="20"/>
        </w:rPr>
        <w:t xml:space="preserve"> </w:t>
      </w:r>
      <w:r w:rsidRPr="008128A3">
        <w:rPr>
          <w:rFonts w:asciiTheme="majorBidi" w:hAnsiTheme="majorBidi" w:cstheme="majorBidi"/>
          <w:sz w:val="20"/>
          <w:szCs w:val="20"/>
        </w:rPr>
        <w:t>See Gibb (1923, pp. 11-4), Barthold (1928, pp. 1-6) and Shaban (1970, pp. xvii-xxii).</w:t>
      </w:r>
      <w:r>
        <w:rPr>
          <w:rFonts w:asciiTheme="majorBidi" w:hAnsiTheme="majorBidi" w:cstheme="majorBidi"/>
          <w:sz w:val="20"/>
          <w:szCs w:val="20"/>
        </w:rPr>
        <w:t xml:space="preserve"> Shaban pays attention to al-Kūfī’s </w:t>
      </w:r>
      <w:r w:rsidRPr="008128A3">
        <w:rPr>
          <w:rFonts w:asciiTheme="majorBidi" w:hAnsiTheme="majorBidi" w:cstheme="majorBidi"/>
          <w:i/>
          <w:iCs/>
          <w:sz w:val="20"/>
          <w:szCs w:val="20"/>
        </w:rPr>
        <w:t>Kitāb al-Futūḥ</w:t>
      </w:r>
      <w:r>
        <w:rPr>
          <w:rFonts w:asciiTheme="majorBidi" w:hAnsiTheme="majorBidi" w:cstheme="majorBidi"/>
          <w:sz w:val="20"/>
          <w:szCs w:val="20"/>
        </w:rPr>
        <w:t xml:space="preserve">, which both Gibb and Barthold do not refer to, and realizes its value as one of the oldest Arabic histories that survived largely intact. </w:t>
      </w:r>
      <w:r w:rsidRPr="00FB5867">
        <w:rPr>
          <w:rFonts w:asciiTheme="majorBidi" w:hAnsiTheme="majorBidi" w:cstheme="majorBidi"/>
          <w:sz w:val="20"/>
          <w:szCs w:val="20"/>
        </w:rPr>
        <w:t>For al-Kūfī's chronology and historical composition, see Conrad (2015, pp. 87-125).</w:t>
      </w:r>
    </w:p>
  </w:footnote>
  <w:footnote w:id="16">
    <w:p w14:paraId="5C94EC36" w14:textId="02202C33" w:rsidR="00902FCD" w:rsidRDefault="00902FCD" w:rsidP="0011385F">
      <w:pPr>
        <w:pStyle w:val="FootnoteText"/>
        <w:spacing w:line="360" w:lineRule="auto"/>
        <w:rPr>
          <w:rFonts w:asciiTheme="majorBidi" w:hAnsiTheme="majorBidi" w:cstheme="majorBidi"/>
          <w:sz w:val="20"/>
          <w:szCs w:val="20"/>
        </w:rPr>
      </w:pPr>
      <w:r w:rsidRPr="0011385F">
        <w:rPr>
          <w:rFonts w:asciiTheme="majorBidi" w:hAnsiTheme="majorBidi" w:cstheme="majorBidi"/>
          <w:sz w:val="20"/>
          <w:szCs w:val="20"/>
          <w:vertAlign w:val="superscript"/>
        </w:rPr>
        <w:footnoteRef/>
      </w:r>
      <w:r w:rsidRPr="0011385F">
        <w:rPr>
          <w:rFonts w:asciiTheme="majorBidi" w:hAnsiTheme="majorBidi" w:cstheme="majorBidi"/>
          <w:sz w:val="20"/>
          <w:szCs w:val="20"/>
          <w:vertAlign w:val="superscript"/>
        </w:rPr>
        <w:t xml:space="preserve"> </w:t>
      </w:r>
      <w:r>
        <w:rPr>
          <w:rFonts w:asciiTheme="majorBidi" w:hAnsiTheme="majorBidi" w:cstheme="majorBidi"/>
          <w:sz w:val="20"/>
          <w:szCs w:val="20"/>
        </w:rPr>
        <w:t xml:space="preserve">Gibb, Barthold and Shaban do not mention Khalīfa ibn Khayyāṭ's </w:t>
      </w:r>
      <w:r w:rsidRPr="007128AB">
        <w:rPr>
          <w:rFonts w:asciiTheme="majorBidi" w:hAnsiTheme="majorBidi" w:cstheme="majorBidi"/>
          <w:i/>
          <w:iCs/>
          <w:sz w:val="20"/>
          <w:szCs w:val="20"/>
        </w:rPr>
        <w:t>Tārīkh</w:t>
      </w:r>
      <w:r>
        <w:rPr>
          <w:rFonts w:asciiTheme="majorBidi" w:hAnsiTheme="majorBidi" w:cstheme="majorBidi"/>
          <w:sz w:val="20"/>
          <w:szCs w:val="20"/>
        </w:rPr>
        <w:t>, since its only survived copy was found as late as 1966 in Morocco.</w:t>
      </w:r>
    </w:p>
    <w:p w14:paraId="274C63BD" w14:textId="71D79934" w:rsidR="00902FCD" w:rsidRPr="0011385F" w:rsidRDefault="00902FCD" w:rsidP="0011385F">
      <w:pPr>
        <w:pStyle w:val="FootnoteText"/>
        <w:spacing w:line="360" w:lineRule="auto"/>
        <w:rPr>
          <w:rFonts w:asciiTheme="majorBidi" w:hAnsiTheme="majorBidi" w:cstheme="majorBidi"/>
          <w:sz w:val="20"/>
          <w:szCs w:val="20"/>
        </w:rPr>
      </w:pPr>
      <w:r>
        <w:rPr>
          <w:rFonts w:asciiTheme="majorBidi" w:hAnsiTheme="majorBidi" w:cstheme="majorBidi"/>
          <w:sz w:val="20"/>
          <w:szCs w:val="20"/>
        </w:rPr>
        <w:t>Al-</w:t>
      </w:r>
      <w:r w:rsidRPr="00E107D4">
        <w:rPr>
          <w:rFonts w:asciiTheme="majorBidi" w:hAnsiTheme="majorBidi" w:cstheme="majorBidi"/>
          <w:sz w:val="20"/>
          <w:szCs w:val="20"/>
        </w:rPr>
        <w:t xml:space="preserve">Balādhurī’s </w:t>
      </w:r>
      <w:r w:rsidRPr="00E107D4">
        <w:rPr>
          <w:rFonts w:asciiTheme="majorBidi" w:hAnsiTheme="majorBidi" w:cstheme="majorBidi"/>
          <w:i/>
          <w:iCs/>
          <w:sz w:val="20"/>
          <w:szCs w:val="20"/>
        </w:rPr>
        <w:t>Futūḥ al-Buldān</w:t>
      </w:r>
      <w:r w:rsidRPr="00E107D4">
        <w:rPr>
          <w:rFonts w:asciiTheme="majorBidi" w:hAnsiTheme="majorBidi" w:cstheme="majorBidi"/>
          <w:sz w:val="20"/>
          <w:szCs w:val="20"/>
        </w:rPr>
        <w:t xml:space="preserve"> is a history about the Arab conquests about different regions.</w:t>
      </w:r>
    </w:p>
  </w:footnote>
  <w:footnote w:id="17">
    <w:p w14:paraId="3C48B9F2" w14:textId="103E9808" w:rsidR="00902FCD" w:rsidRDefault="00902FCD" w:rsidP="00146D0D">
      <w:pPr>
        <w:pStyle w:val="FootnoteText"/>
        <w:spacing w:line="360" w:lineRule="auto"/>
        <w:rPr>
          <w:rFonts w:asciiTheme="majorBidi" w:hAnsiTheme="majorBidi" w:cstheme="majorBidi"/>
          <w:sz w:val="20"/>
          <w:szCs w:val="20"/>
        </w:rPr>
      </w:pPr>
      <w:r w:rsidRPr="00146D0D">
        <w:rPr>
          <w:rFonts w:asciiTheme="majorBidi" w:hAnsiTheme="majorBidi" w:cstheme="majorBidi"/>
          <w:sz w:val="20"/>
          <w:szCs w:val="20"/>
          <w:vertAlign w:val="superscript"/>
        </w:rPr>
        <w:footnoteRef/>
      </w:r>
      <w:r w:rsidRPr="00146D0D">
        <w:rPr>
          <w:rFonts w:asciiTheme="majorBidi" w:hAnsiTheme="majorBidi" w:cstheme="majorBidi"/>
          <w:sz w:val="20"/>
          <w:szCs w:val="20"/>
        </w:rPr>
        <w:t xml:space="preserve"> Although al-Dīnawarī’s </w:t>
      </w:r>
      <w:r w:rsidRPr="00146D0D">
        <w:rPr>
          <w:rFonts w:asciiTheme="majorBidi" w:hAnsiTheme="majorBidi" w:cstheme="majorBidi"/>
          <w:i/>
          <w:iCs/>
          <w:sz w:val="20"/>
          <w:szCs w:val="20"/>
        </w:rPr>
        <w:t>Kitāb al-akhbār al-ṭiwāl</w:t>
      </w:r>
      <w:r w:rsidRPr="00146D0D">
        <w:rPr>
          <w:rFonts w:asciiTheme="majorBidi" w:hAnsiTheme="majorBidi" w:cstheme="majorBidi"/>
          <w:sz w:val="20"/>
          <w:szCs w:val="20"/>
        </w:rPr>
        <w:t xml:space="preserve"> is written in Arabic, it is a history from a Persian point of view.</w:t>
      </w:r>
    </w:p>
    <w:p w14:paraId="4C5B1265" w14:textId="68118F08" w:rsidR="00902FCD" w:rsidRPr="00146D0D" w:rsidRDefault="00902FCD" w:rsidP="00146D0D">
      <w:pPr>
        <w:pStyle w:val="FootnoteText"/>
        <w:spacing w:line="360" w:lineRule="auto"/>
        <w:rPr>
          <w:rFonts w:asciiTheme="majorBidi" w:hAnsiTheme="majorBidi" w:cstheme="majorBidi"/>
          <w:sz w:val="20"/>
          <w:szCs w:val="20"/>
        </w:rPr>
      </w:pPr>
      <w:r w:rsidRPr="00146D0D">
        <w:rPr>
          <w:rFonts w:asciiTheme="majorBidi" w:hAnsiTheme="majorBidi" w:cstheme="majorBidi"/>
          <w:sz w:val="20"/>
          <w:szCs w:val="20"/>
        </w:rPr>
        <w:t xml:space="preserve">Al-Yaʿqūbī’s </w:t>
      </w:r>
      <w:r w:rsidRPr="00146D0D">
        <w:rPr>
          <w:rFonts w:asciiTheme="majorBidi" w:hAnsiTheme="majorBidi" w:cstheme="majorBidi"/>
          <w:i/>
          <w:iCs/>
          <w:sz w:val="20"/>
          <w:szCs w:val="20"/>
        </w:rPr>
        <w:t>Tārīkh</w:t>
      </w:r>
      <w:r w:rsidRPr="00146D0D">
        <w:rPr>
          <w:rFonts w:asciiTheme="majorBidi" w:hAnsiTheme="majorBidi" w:cstheme="majorBidi"/>
          <w:sz w:val="20"/>
          <w:szCs w:val="20"/>
        </w:rPr>
        <w:t xml:space="preserve"> includes both the pre-Islamic and the Islamic periods</w:t>
      </w:r>
      <w:r>
        <w:rPr>
          <w:rFonts w:asciiTheme="majorBidi" w:hAnsiTheme="majorBidi" w:cstheme="majorBidi"/>
          <w:sz w:val="20"/>
          <w:szCs w:val="20"/>
        </w:rPr>
        <w:t xml:space="preserve"> (a</w:t>
      </w:r>
      <w:r w:rsidRPr="00146D0D">
        <w:rPr>
          <w:rFonts w:asciiTheme="majorBidi" w:hAnsiTheme="majorBidi" w:cstheme="majorBidi"/>
          <w:sz w:val="20"/>
          <w:szCs w:val="20"/>
        </w:rPr>
        <w:t>l-Yaʿqūbī</w:t>
      </w:r>
      <w:r>
        <w:rPr>
          <w:rFonts w:asciiTheme="majorBidi" w:hAnsiTheme="majorBidi" w:cstheme="majorBidi"/>
          <w:sz w:val="20"/>
          <w:szCs w:val="20"/>
        </w:rPr>
        <w:t>, 2018, volume 1, pp. 4-6)</w:t>
      </w:r>
      <w:r w:rsidRPr="00146D0D">
        <w:rPr>
          <w:rFonts w:asciiTheme="majorBidi" w:hAnsiTheme="majorBidi" w:cstheme="majorBidi"/>
          <w:sz w:val="20"/>
          <w:szCs w:val="20"/>
        </w:rPr>
        <w:t xml:space="preserve">. However, despite its breadth, </w:t>
      </w:r>
      <w:r>
        <w:rPr>
          <w:rFonts w:asciiTheme="majorBidi" w:hAnsiTheme="majorBidi" w:cstheme="majorBidi"/>
          <w:sz w:val="20"/>
          <w:szCs w:val="20"/>
        </w:rPr>
        <w:t>it</w:t>
      </w:r>
      <w:r w:rsidRPr="00146D0D">
        <w:rPr>
          <w:rFonts w:asciiTheme="majorBidi" w:hAnsiTheme="majorBidi" w:cstheme="majorBidi"/>
          <w:sz w:val="20"/>
          <w:szCs w:val="20"/>
        </w:rPr>
        <w:t xml:space="preserve"> contains much less details comparing to </w:t>
      </w:r>
      <w:r>
        <w:rPr>
          <w:rFonts w:asciiTheme="majorBidi" w:hAnsiTheme="majorBidi" w:cstheme="majorBidi"/>
          <w:sz w:val="20"/>
          <w:szCs w:val="20"/>
        </w:rPr>
        <w:t>al-</w:t>
      </w:r>
      <w:r w:rsidRPr="004930DB">
        <w:rPr>
          <w:rFonts w:asciiTheme="majorBidi" w:hAnsiTheme="majorBidi" w:cstheme="majorBidi"/>
          <w:sz w:val="20"/>
          <w:szCs w:val="20"/>
        </w:rPr>
        <w:t>Ṭabarī</w:t>
      </w:r>
      <w:r>
        <w:rPr>
          <w:rFonts w:asciiTheme="majorBidi" w:hAnsiTheme="majorBidi" w:cstheme="majorBidi"/>
          <w:sz w:val="20"/>
          <w:szCs w:val="20"/>
        </w:rPr>
        <w:t>’s annals.</w:t>
      </w:r>
    </w:p>
  </w:footnote>
  <w:footnote w:id="18">
    <w:p w14:paraId="4032A1F1" w14:textId="1A399E68" w:rsidR="00902FCD" w:rsidRPr="0011385F" w:rsidRDefault="00902FCD" w:rsidP="0011385F">
      <w:pPr>
        <w:pStyle w:val="FootnoteText"/>
        <w:spacing w:line="360" w:lineRule="auto"/>
      </w:pPr>
      <w:r w:rsidRPr="0011385F">
        <w:rPr>
          <w:rFonts w:asciiTheme="majorBidi" w:hAnsiTheme="majorBidi" w:cstheme="majorBidi"/>
          <w:sz w:val="20"/>
          <w:szCs w:val="20"/>
          <w:vertAlign w:val="superscript"/>
        </w:rPr>
        <w:footnoteRef/>
      </w:r>
      <w:r w:rsidRPr="0011385F">
        <w:rPr>
          <w:rFonts w:asciiTheme="majorBidi" w:hAnsiTheme="majorBidi" w:cstheme="majorBidi"/>
          <w:sz w:val="20"/>
          <w:szCs w:val="20"/>
        </w:rPr>
        <w:t xml:space="preserve"> </w:t>
      </w:r>
      <w:r>
        <w:rPr>
          <w:rFonts w:asciiTheme="majorBidi" w:hAnsiTheme="majorBidi" w:cstheme="majorBidi"/>
          <w:sz w:val="20"/>
          <w:szCs w:val="20"/>
        </w:rPr>
        <w:t xml:space="preserve">According to Barthold (1928, pp. 2-3), the chief source of </w:t>
      </w:r>
      <w:r w:rsidRPr="004930DB">
        <w:rPr>
          <w:rFonts w:asciiTheme="majorBidi" w:hAnsiTheme="majorBidi" w:cstheme="majorBidi"/>
          <w:sz w:val="20"/>
          <w:szCs w:val="20"/>
        </w:rPr>
        <w:t>Ibn ’Athīr’s</w:t>
      </w:r>
      <w:r>
        <w:rPr>
          <w:rFonts w:asciiTheme="majorBidi" w:hAnsiTheme="majorBidi" w:cstheme="majorBidi"/>
          <w:sz w:val="20"/>
          <w:szCs w:val="20"/>
        </w:rPr>
        <w:t xml:space="preserve"> history for the first three Islamic centureies is al-</w:t>
      </w:r>
      <w:r w:rsidRPr="004930DB">
        <w:rPr>
          <w:rFonts w:asciiTheme="majorBidi" w:hAnsiTheme="majorBidi" w:cstheme="majorBidi"/>
          <w:sz w:val="20"/>
          <w:szCs w:val="20"/>
        </w:rPr>
        <w:t>Ṭabarī</w:t>
      </w:r>
      <w:r>
        <w:rPr>
          <w:rFonts w:asciiTheme="majorBidi" w:hAnsiTheme="majorBidi" w:cstheme="majorBidi"/>
          <w:sz w:val="20"/>
          <w:szCs w:val="20"/>
        </w:rPr>
        <w:t>’s annals</w:t>
      </w:r>
      <w:r w:rsidRPr="004930DB">
        <w:rPr>
          <w:rFonts w:asciiTheme="majorBidi" w:hAnsiTheme="majorBidi" w:cstheme="majorBidi"/>
          <w:sz w:val="20"/>
          <w:szCs w:val="20"/>
        </w:rPr>
        <w:t>. However, Ibn ’Athīr presents records with more thorough understanding.</w:t>
      </w:r>
      <w:r>
        <w:rPr>
          <w:rFonts w:asciiTheme="majorBidi" w:hAnsiTheme="majorBidi" w:cstheme="majorBidi"/>
          <w:sz w:val="24"/>
          <w:szCs w:val="24"/>
        </w:rPr>
        <w:t xml:space="preserve"> </w:t>
      </w:r>
      <w:r>
        <w:rPr>
          <w:rFonts w:asciiTheme="majorBidi" w:hAnsiTheme="majorBidi" w:cstheme="majorBidi"/>
          <w:sz w:val="20"/>
          <w:szCs w:val="20"/>
        </w:rPr>
        <w:t>For dedicated discussions about Arabic historiography, see Rosenthal (1968, part one, pp. 1-193) and Duri (1983).</w:t>
      </w:r>
    </w:p>
  </w:footnote>
  <w:footnote w:id="19">
    <w:p w14:paraId="6993B4BD" w14:textId="3C975D3F" w:rsidR="00902FCD" w:rsidRPr="00473563" w:rsidRDefault="00902FCD" w:rsidP="00473563">
      <w:pPr>
        <w:pStyle w:val="FootnoteText"/>
        <w:spacing w:line="360" w:lineRule="auto"/>
        <w:rPr>
          <w:rFonts w:asciiTheme="majorBidi" w:hAnsiTheme="majorBidi" w:cstheme="majorBidi"/>
          <w:sz w:val="20"/>
          <w:szCs w:val="20"/>
        </w:rPr>
      </w:pPr>
      <w:r w:rsidRPr="00473563">
        <w:rPr>
          <w:rFonts w:asciiTheme="majorBidi" w:hAnsiTheme="majorBidi" w:cstheme="majorBidi"/>
          <w:sz w:val="20"/>
          <w:szCs w:val="20"/>
          <w:vertAlign w:val="superscript"/>
        </w:rPr>
        <w:footnoteRef/>
      </w:r>
      <w:r w:rsidRPr="00473563">
        <w:rPr>
          <w:rFonts w:asciiTheme="majorBidi" w:hAnsiTheme="majorBidi" w:cstheme="majorBidi"/>
          <w:sz w:val="20"/>
          <w:szCs w:val="20"/>
          <w:vertAlign w:val="superscript"/>
        </w:rPr>
        <w:t xml:space="preserve"> </w:t>
      </w:r>
      <w:r w:rsidRPr="00473563">
        <w:rPr>
          <w:rFonts w:asciiTheme="majorBidi" w:hAnsiTheme="majorBidi" w:cstheme="majorBidi"/>
          <w:sz w:val="20"/>
          <w:szCs w:val="20"/>
        </w:rPr>
        <w:t xml:space="preserve">The translation </w:t>
      </w:r>
      <w:r>
        <w:rPr>
          <w:rFonts w:asciiTheme="majorBidi" w:hAnsiTheme="majorBidi" w:cstheme="majorBidi"/>
          <w:sz w:val="20"/>
          <w:szCs w:val="20"/>
        </w:rPr>
        <w:t>wa</w:t>
      </w:r>
      <w:r w:rsidRPr="00473563">
        <w:rPr>
          <w:rFonts w:asciiTheme="majorBidi" w:hAnsiTheme="majorBidi" w:cstheme="majorBidi"/>
          <w:sz w:val="20"/>
          <w:szCs w:val="20"/>
        </w:rPr>
        <w:t>s done by the Samanid vizier in the second half of the 10</w:t>
      </w:r>
      <w:r w:rsidRPr="00956A25">
        <w:rPr>
          <w:rFonts w:asciiTheme="majorBidi" w:hAnsiTheme="majorBidi" w:cstheme="majorBidi"/>
          <w:sz w:val="20"/>
          <w:szCs w:val="20"/>
          <w:vertAlign w:val="superscript"/>
        </w:rPr>
        <w:t>th</w:t>
      </w:r>
      <w:r w:rsidRPr="00473563">
        <w:rPr>
          <w:rFonts w:asciiTheme="majorBidi" w:hAnsiTheme="majorBidi" w:cstheme="majorBidi"/>
          <w:sz w:val="20"/>
          <w:szCs w:val="20"/>
        </w:rPr>
        <w:t xml:space="preserve"> century. Although Peacock </w:t>
      </w:r>
      <w:r>
        <w:rPr>
          <w:rFonts w:asciiTheme="majorBidi" w:hAnsiTheme="majorBidi" w:cstheme="majorBidi"/>
          <w:sz w:val="20"/>
          <w:szCs w:val="20"/>
        </w:rPr>
        <w:t xml:space="preserve">(2007, pp. 4-14) </w:t>
      </w:r>
      <w:r w:rsidRPr="00473563">
        <w:rPr>
          <w:rFonts w:asciiTheme="majorBidi" w:hAnsiTheme="majorBidi" w:cstheme="majorBidi"/>
          <w:sz w:val="20"/>
          <w:szCs w:val="20"/>
        </w:rPr>
        <w:t>argue</w:t>
      </w:r>
      <w:r>
        <w:rPr>
          <w:rFonts w:asciiTheme="majorBidi" w:hAnsiTheme="majorBidi" w:cstheme="majorBidi"/>
          <w:sz w:val="20"/>
          <w:szCs w:val="20"/>
        </w:rPr>
        <w:t>s</w:t>
      </w:r>
      <w:r w:rsidRPr="00473563">
        <w:rPr>
          <w:rFonts w:asciiTheme="majorBidi" w:hAnsiTheme="majorBidi" w:cstheme="majorBidi"/>
          <w:sz w:val="20"/>
          <w:szCs w:val="20"/>
        </w:rPr>
        <w:t xml:space="preserve"> that it is more than a simple translation</w:t>
      </w:r>
      <w:r>
        <w:rPr>
          <w:rFonts w:asciiTheme="majorBidi" w:hAnsiTheme="majorBidi" w:cstheme="majorBidi"/>
          <w:sz w:val="20"/>
          <w:szCs w:val="20"/>
        </w:rPr>
        <w:t xml:space="preserve"> but reflects the political agenda of the Samanids</w:t>
      </w:r>
      <w:r w:rsidRPr="00473563">
        <w:rPr>
          <w:rFonts w:asciiTheme="majorBidi" w:hAnsiTheme="majorBidi" w:cstheme="majorBidi"/>
          <w:sz w:val="20"/>
          <w:szCs w:val="20"/>
        </w:rPr>
        <w:t xml:space="preserve">. However, the records relevant to the present study are largely </w:t>
      </w:r>
      <w:r>
        <w:rPr>
          <w:rFonts w:asciiTheme="majorBidi" w:hAnsiTheme="majorBidi" w:cstheme="majorBidi"/>
          <w:sz w:val="20"/>
          <w:szCs w:val="20"/>
        </w:rPr>
        <w:t>identical to</w:t>
      </w:r>
      <w:r w:rsidRPr="00473563">
        <w:rPr>
          <w:rFonts w:asciiTheme="majorBidi" w:hAnsiTheme="majorBidi" w:cstheme="majorBidi"/>
          <w:sz w:val="20"/>
          <w:szCs w:val="20"/>
        </w:rPr>
        <w:t xml:space="preserve"> al-Ṭabarī’s Arabic text, </w:t>
      </w:r>
      <w:r>
        <w:rPr>
          <w:rFonts w:asciiTheme="majorBidi" w:hAnsiTheme="majorBidi" w:cstheme="majorBidi"/>
          <w:sz w:val="20"/>
          <w:szCs w:val="20"/>
        </w:rPr>
        <w:t xml:space="preserve">with </w:t>
      </w:r>
      <w:r w:rsidRPr="00473563">
        <w:rPr>
          <w:rFonts w:asciiTheme="majorBidi" w:hAnsiTheme="majorBidi" w:cstheme="majorBidi"/>
          <w:sz w:val="20"/>
          <w:szCs w:val="20"/>
        </w:rPr>
        <w:t xml:space="preserve">some abridgements </w:t>
      </w:r>
      <w:r>
        <w:rPr>
          <w:rFonts w:asciiTheme="majorBidi" w:hAnsiTheme="majorBidi" w:cstheme="majorBidi"/>
          <w:sz w:val="20"/>
          <w:szCs w:val="20"/>
        </w:rPr>
        <w:t xml:space="preserve">of narratives </w:t>
      </w:r>
      <w:r w:rsidRPr="00473563">
        <w:rPr>
          <w:rFonts w:asciiTheme="majorBidi" w:hAnsiTheme="majorBidi" w:cstheme="majorBidi"/>
          <w:sz w:val="20"/>
          <w:szCs w:val="20"/>
        </w:rPr>
        <w:t xml:space="preserve">and </w:t>
      </w:r>
      <w:r>
        <w:rPr>
          <w:rFonts w:asciiTheme="majorBidi" w:hAnsiTheme="majorBidi" w:cstheme="majorBidi"/>
          <w:sz w:val="20"/>
          <w:szCs w:val="20"/>
        </w:rPr>
        <w:t xml:space="preserve">the </w:t>
      </w:r>
      <w:r w:rsidRPr="00473563">
        <w:rPr>
          <w:rFonts w:asciiTheme="majorBidi" w:hAnsiTheme="majorBidi" w:cstheme="majorBidi"/>
          <w:sz w:val="20"/>
          <w:szCs w:val="20"/>
        </w:rPr>
        <w:t xml:space="preserve">omission of the chain of informants. </w:t>
      </w:r>
    </w:p>
  </w:footnote>
  <w:footnote w:id="20">
    <w:p w14:paraId="023039DB" w14:textId="77777777" w:rsidR="00902FCD" w:rsidRDefault="00902FCD" w:rsidP="00AC4B35">
      <w:pPr>
        <w:pStyle w:val="FootnoteText"/>
        <w:spacing w:line="360" w:lineRule="auto"/>
        <w:rPr>
          <w:rFonts w:asciiTheme="majorBidi" w:hAnsiTheme="majorBidi" w:cstheme="majorBidi"/>
          <w:sz w:val="20"/>
          <w:szCs w:val="20"/>
        </w:rPr>
      </w:pPr>
      <w:r w:rsidRPr="00AC4B35">
        <w:rPr>
          <w:rFonts w:asciiTheme="majorBidi" w:hAnsiTheme="majorBidi" w:cstheme="majorBidi"/>
          <w:sz w:val="20"/>
          <w:szCs w:val="20"/>
          <w:vertAlign w:val="superscript"/>
        </w:rPr>
        <w:footnoteRef/>
      </w:r>
      <w:r w:rsidRPr="00AC4B35">
        <w:rPr>
          <w:rFonts w:asciiTheme="majorBidi" w:hAnsiTheme="majorBidi" w:cstheme="majorBidi"/>
          <w:sz w:val="20"/>
          <w:szCs w:val="20"/>
        </w:rPr>
        <w:t xml:space="preserve"> </w:t>
      </w:r>
      <w:r w:rsidRPr="00DB4D4D">
        <w:rPr>
          <w:rFonts w:asciiTheme="majorBidi" w:hAnsiTheme="majorBidi" w:cstheme="majorBidi"/>
          <w:i/>
          <w:iCs/>
          <w:sz w:val="20"/>
          <w:szCs w:val="20"/>
        </w:rPr>
        <w:t>Tārīkh-i Sīstān</w:t>
      </w:r>
      <w:r w:rsidRPr="00DB4D4D">
        <w:rPr>
          <w:rFonts w:asciiTheme="majorBidi" w:hAnsiTheme="majorBidi" w:cstheme="majorBidi"/>
          <w:sz w:val="20"/>
          <w:szCs w:val="20"/>
        </w:rPr>
        <w:t xml:space="preserve"> is a local history of Sīstān,</w:t>
      </w:r>
      <w:r>
        <w:rPr>
          <w:rFonts w:asciiTheme="majorBidi" w:hAnsiTheme="majorBidi" w:cstheme="majorBidi"/>
          <w:sz w:val="20"/>
          <w:szCs w:val="20"/>
        </w:rPr>
        <w:t xml:space="preserve"> a region in modern eastern Iran and southern Afghanistan.</w:t>
      </w:r>
    </w:p>
    <w:p w14:paraId="278E2748" w14:textId="7F6042E8" w:rsidR="00902FCD" w:rsidRPr="00AC4B35" w:rsidRDefault="00902FCD" w:rsidP="00AC4B35">
      <w:pPr>
        <w:pStyle w:val="FootnoteText"/>
        <w:spacing w:line="360" w:lineRule="auto"/>
        <w:rPr>
          <w:rFonts w:asciiTheme="majorBidi" w:hAnsiTheme="majorBidi" w:cstheme="majorBidi"/>
          <w:sz w:val="20"/>
          <w:szCs w:val="20"/>
        </w:rPr>
      </w:pPr>
      <w:r w:rsidRPr="00AC4B35">
        <w:rPr>
          <w:rFonts w:asciiTheme="majorBidi" w:hAnsiTheme="majorBidi" w:cstheme="majorBidi"/>
          <w:sz w:val="20"/>
          <w:szCs w:val="20"/>
        </w:rPr>
        <w:t>Gardīzī's history</w:t>
      </w:r>
      <w:r>
        <w:rPr>
          <w:rFonts w:asciiTheme="majorBidi" w:hAnsiTheme="majorBidi" w:cstheme="majorBidi"/>
          <w:sz w:val="20"/>
          <w:szCs w:val="20"/>
        </w:rPr>
        <w:t xml:space="preserve">, which is also called </w:t>
      </w:r>
      <w:r w:rsidRPr="005377B4">
        <w:rPr>
          <w:rFonts w:asciiTheme="majorBidi" w:hAnsiTheme="majorBidi" w:cstheme="majorBidi"/>
          <w:i/>
          <w:iCs/>
          <w:sz w:val="20"/>
          <w:szCs w:val="20"/>
        </w:rPr>
        <w:t>Zayn-i ’Akhbār</w:t>
      </w:r>
      <w:r>
        <w:rPr>
          <w:rFonts w:asciiTheme="majorBidi" w:hAnsiTheme="majorBidi" w:cstheme="majorBidi"/>
          <w:sz w:val="20"/>
          <w:szCs w:val="20"/>
        </w:rPr>
        <w:t>,</w:t>
      </w:r>
      <w:r w:rsidRPr="00AC4B35">
        <w:rPr>
          <w:rFonts w:asciiTheme="majorBidi" w:hAnsiTheme="majorBidi" w:cstheme="majorBidi"/>
          <w:sz w:val="20"/>
          <w:szCs w:val="20"/>
        </w:rPr>
        <w:t xml:space="preserve"> </w:t>
      </w:r>
      <w:r>
        <w:rPr>
          <w:rFonts w:asciiTheme="majorBidi" w:hAnsiTheme="majorBidi" w:cstheme="majorBidi"/>
          <w:sz w:val="20"/>
          <w:szCs w:val="20"/>
        </w:rPr>
        <w:t>presents in a summary fashion the early history of Islam with the focus on Khurasan (Gardīzī, 2011, pp. 1-3)</w:t>
      </w:r>
      <w:r w:rsidRPr="00AC4B35">
        <w:rPr>
          <w:rFonts w:asciiTheme="majorBidi" w:hAnsiTheme="majorBidi" w:cstheme="majorBidi"/>
          <w:sz w:val="20"/>
          <w:szCs w:val="20"/>
        </w:rPr>
        <w:t>.</w:t>
      </w:r>
    </w:p>
  </w:footnote>
  <w:footnote w:id="21">
    <w:p w14:paraId="5020E106" w14:textId="777B7B38" w:rsidR="00902FCD" w:rsidRPr="0011385F" w:rsidRDefault="00902FCD" w:rsidP="008128A3">
      <w:pPr>
        <w:pStyle w:val="FootnoteText"/>
        <w:spacing w:line="360" w:lineRule="auto"/>
        <w:rPr>
          <w:rFonts w:asciiTheme="majorBidi" w:hAnsiTheme="majorBidi" w:cstheme="majorBidi"/>
          <w:sz w:val="20"/>
          <w:szCs w:val="20"/>
        </w:rPr>
      </w:pPr>
      <w:r w:rsidRPr="008128A3">
        <w:rPr>
          <w:rFonts w:asciiTheme="majorBidi" w:hAnsiTheme="majorBidi" w:cstheme="majorBidi"/>
          <w:sz w:val="20"/>
          <w:szCs w:val="20"/>
          <w:vertAlign w:val="superscript"/>
        </w:rPr>
        <w:footnoteRef/>
      </w:r>
      <w:r w:rsidRPr="008128A3">
        <w:rPr>
          <w:rFonts w:asciiTheme="majorBidi" w:hAnsiTheme="majorBidi" w:cstheme="majorBidi"/>
          <w:sz w:val="20"/>
          <w:szCs w:val="20"/>
          <w:vertAlign w:val="superscript"/>
        </w:rPr>
        <w:t xml:space="preserve"> </w:t>
      </w:r>
      <w:r>
        <w:rPr>
          <w:rFonts w:asciiTheme="majorBidi" w:hAnsiTheme="majorBidi" w:cstheme="majorBidi"/>
          <w:sz w:val="20"/>
          <w:szCs w:val="20"/>
        </w:rPr>
        <w:t>Azad, 2013, pp. 10-2</w:t>
      </w:r>
      <w:r>
        <w:rPr>
          <w:rFonts w:asciiTheme="majorBidi" w:hAnsiTheme="majorBidi" w:cstheme="majorBidi" w:hint="eastAsia"/>
          <w:sz w:val="20"/>
          <w:szCs w:val="20"/>
        </w:rPr>
        <w:t>,</w:t>
      </w:r>
      <w:r>
        <w:rPr>
          <w:rFonts w:asciiTheme="majorBidi" w:hAnsiTheme="majorBidi" w:cstheme="majorBidi"/>
          <w:sz w:val="20"/>
          <w:szCs w:val="20"/>
        </w:rPr>
        <w:t xml:space="preserve"> 22-7. However, this source only briefly reports Qutayba’s conquest of Balkh in 707 CE without mentioning the rebellion of Nīzak (Balkhī, 1971, p. 18).</w:t>
      </w:r>
    </w:p>
  </w:footnote>
  <w:footnote w:id="22">
    <w:p w14:paraId="22305F75" w14:textId="5FE83EAD" w:rsidR="00902FCD" w:rsidRPr="00CD1F77" w:rsidRDefault="00902FCD" w:rsidP="00CD1F77">
      <w:pPr>
        <w:pStyle w:val="FootnoteText"/>
        <w:spacing w:line="360" w:lineRule="auto"/>
        <w:rPr>
          <w:rFonts w:asciiTheme="majorBidi" w:hAnsiTheme="majorBidi" w:cstheme="majorBidi"/>
          <w:sz w:val="20"/>
          <w:szCs w:val="20"/>
        </w:rPr>
      </w:pPr>
      <w:r w:rsidRPr="00CD1F77">
        <w:rPr>
          <w:rFonts w:asciiTheme="majorBidi" w:hAnsiTheme="majorBidi" w:cstheme="majorBidi"/>
          <w:sz w:val="20"/>
          <w:szCs w:val="20"/>
          <w:vertAlign w:val="superscript"/>
        </w:rPr>
        <w:footnoteRef/>
      </w:r>
      <w:r w:rsidRPr="00CD1F77">
        <w:rPr>
          <w:rFonts w:asciiTheme="majorBidi" w:hAnsiTheme="majorBidi" w:cstheme="majorBidi"/>
          <w:sz w:val="20"/>
          <w:szCs w:val="20"/>
        </w:rPr>
        <w:t xml:space="preserve"> Agostini, 2016, pp. 26-</w:t>
      </w:r>
      <w:r>
        <w:rPr>
          <w:rFonts w:asciiTheme="majorBidi" w:hAnsiTheme="majorBidi" w:cstheme="majorBidi"/>
          <w:sz w:val="20"/>
          <w:szCs w:val="20"/>
        </w:rPr>
        <w:t>30</w:t>
      </w:r>
      <w:r w:rsidRPr="00CD1F77">
        <w:rPr>
          <w:rFonts w:asciiTheme="majorBidi" w:hAnsiTheme="majorBidi" w:cstheme="majorBidi"/>
          <w:sz w:val="20"/>
          <w:szCs w:val="20"/>
        </w:rPr>
        <w:t>.</w:t>
      </w:r>
    </w:p>
  </w:footnote>
  <w:footnote w:id="23">
    <w:p w14:paraId="1F3AEE0F" w14:textId="576A112E" w:rsidR="00902FCD" w:rsidRPr="00CC28CB" w:rsidRDefault="00902FCD" w:rsidP="00CC28CB">
      <w:pPr>
        <w:pStyle w:val="FootnoteText"/>
        <w:spacing w:line="360" w:lineRule="auto"/>
        <w:rPr>
          <w:rFonts w:asciiTheme="majorBidi" w:hAnsiTheme="majorBidi" w:cstheme="majorBidi"/>
          <w:sz w:val="20"/>
          <w:szCs w:val="20"/>
        </w:rPr>
      </w:pPr>
      <w:r w:rsidRPr="00CC28CB">
        <w:rPr>
          <w:rFonts w:asciiTheme="majorBidi" w:hAnsiTheme="majorBidi" w:cstheme="majorBidi"/>
          <w:sz w:val="20"/>
          <w:szCs w:val="20"/>
          <w:vertAlign w:val="superscript"/>
        </w:rPr>
        <w:footnoteRef/>
      </w:r>
      <w:r w:rsidRPr="00CC28CB">
        <w:rPr>
          <w:rFonts w:asciiTheme="majorBidi" w:hAnsiTheme="majorBidi" w:cstheme="majorBidi"/>
          <w:sz w:val="20"/>
          <w:szCs w:val="20"/>
          <w:vertAlign w:val="superscript"/>
        </w:rPr>
        <w:t xml:space="preserve"> </w:t>
      </w:r>
      <w:r w:rsidRPr="00CC28CB">
        <w:rPr>
          <w:rFonts w:asciiTheme="majorBidi" w:hAnsiTheme="majorBidi" w:cstheme="majorBidi"/>
          <w:sz w:val="20"/>
          <w:szCs w:val="20"/>
        </w:rPr>
        <w:t xml:space="preserve">Traditionally, there are two opinions concerning the starting year of Xuanzang’s journey: one is 627 CE, </w:t>
      </w:r>
      <w:r>
        <w:rPr>
          <w:rFonts w:asciiTheme="majorBidi" w:hAnsiTheme="majorBidi" w:cstheme="majorBidi"/>
          <w:sz w:val="20"/>
          <w:szCs w:val="20"/>
        </w:rPr>
        <w:t xml:space="preserve">and </w:t>
      </w:r>
      <w:r w:rsidRPr="00CC28CB">
        <w:rPr>
          <w:rFonts w:asciiTheme="majorBidi" w:hAnsiTheme="majorBidi" w:cstheme="majorBidi"/>
          <w:sz w:val="20"/>
          <w:szCs w:val="20"/>
        </w:rPr>
        <w:t xml:space="preserve">the other </w:t>
      </w:r>
      <w:r>
        <w:rPr>
          <w:rFonts w:asciiTheme="majorBidi" w:hAnsiTheme="majorBidi" w:cstheme="majorBidi"/>
          <w:sz w:val="20"/>
          <w:szCs w:val="20"/>
        </w:rPr>
        <w:t xml:space="preserve">is </w:t>
      </w:r>
      <w:r w:rsidRPr="00CC28CB">
        <w:rPr>
          <w:rFonts w:asciiTheme="majorBidi" w:hAnsiTheme="majorBidi" w:cstheme="majorBidi"/>
          <w:sz w:val="20"/>
          <w:szCs w:val="20"/>
        </w:rPr>
        <w:t xml:space="preserve">629 CE. De la </w:t>
      </w:r>
      <w:r w:rsidRPr="006C4053">
        <w:rPr>
          <w:rFonts w:asciiTheme="majorBidi" w:hAnsiTheme="majorBidi" w:cstheme="majorBidi"/>
          <w:sz w:val="20"/>
          <w:szCs w:val="20"/>
        </w:rPr>
        <w:t>Vassi</w:t>
      </w:r>
      <w:r w:rsidRPr="00CC28CB">
        <w:rPr>
          <w:rFonts w:asciiTheme="majorBidi" w:hAnsiTheme="majorBidi" w:cstheme="majorBidi"/>
          <w:sz w:val="20"/>
          <w:szCs w:val="20"/>
        </w:rPr>
        <w:t>è</w:t>
      </w:r>
      <w:r w:rsidRPr="006C4053">
        <w:rPr>
          <w:rFonts w:asciiTheme="majorBidi" w:hAnsiTheme="majorBidi" w:cstheme="majorBidi"/>
          <w:sz w:val="20"/>
          <w:szCs w:val="20"/>
        </w:rPr>
        <w:t>re</w:t>
      </w:r>
      <w:r w:rsidRPr="00CC28CB">
        <w:rPr>
          <w:rFonts w:asciiTheme="majorBidi" w:hAnsiTheme="majorBidi" w:cstheme="majorBidi"/>
          <w:sz w:val="20"/>
          <w:szCs w:val="20"/>
        </w:rPr>
        <w:t xml:space="preserve"> studies the chronology and argues for 629 CE (2010b, pp. 157-68)</w:t>
      </w:r>
      <w:r>
        <w:rPr>
          <w:rFonts w:asciiTheme="majorBidi" w:hAnsiTheme="majorBidi" w:cstheme="majorBidi"/>
          <w:sz w:val="20"/>
          <w:szCs w:val="20"/>
        </w:rPr>
        <w:t>.</w:t>
      </w:r>
    </w:p>
  </w:footnote>
  <w:footnote w:id="24">
    <w:p w14:paraId="632DB3B9" w14:textId="3BE38E00" w:rsidR="00902FCD" w:rsidRPr="000758BA" w:rsidRDefault="00902FCD" w:rsidP="000758BA">
      <w:pPr>
        <w:pStyle w:val="FootnoteText"/>
        <w:spacing w:line="360" w:lineRule="auto"/>
        <w:rPr>
          <w:rFonts w:asciiTheme="majorBidi" w:hAnsiTheme="majorBidi" w:cstheme="majorBidi"/>
          <w:sz w:val="20"/>
          <w:szCs w:val="20"/>
        </w:rPr>
      </w:pPr>
      <w:r w:rsidRPr="000758BA">
        <w:rPr>
          <w:rFonts w:asciiTheme="majorBidi" w:hAnsiTheme="majorBidi" w:cstheme="majorBidi"/>
          <w:sz w:val="20"/>
          <w:szCs w:val="20"/>
          <w:vertAlign w:val="superscript"/>
        </w:rPr>
        <w:footnoteRef/>
      </w:r>
      <w:r w:rsidRPr="000758BA">
        <w:rPr>
          <w:rFonts w:asciiTheme="majorBidi" w:hAnsiTheme="majorBidi" w:cstheme="majorBidi"/>
          <w:sz w:val="20"/>
          <w:szCs w:val="20"/>
          <w:vertAlign w:val="superscript"/>
        </w:rPr>
        <w:t xml:space="preserve"> </w:t>
      </w:r>
      <w:r w:rsidRPr="000758BA">
        <w:rPr>
          <w:rFonts w:asciiTheme="majorBidi" w:hAnsiTheme="majorBidi" w:cstheme="majorBidi"/>
          <w:sz w:val="20"/>
          <w:szCs w:val="20"/>
        </w:rPr>
        <w:t xml:space="preserve">The </w:t>
      </w:r>
      <w:r w:rsidRPr="000758BA">
        <w:rPr>
          <w:rFonts w:asciiTheme="majorBidi" w:hAnsiTheme="majorBidi" w:cstheme="majorBidi"/>
          <w:i/>
          <w:iCs/>
          <w:sz w:val="20"/>
          <w:szCs w:val="20"/>
        </w:rPr>
        <w:t>Zizhi tongjian</w:t>
      </w:r>
      <w:r>
        <w:rPr>
          <w:rFonts w:asciiTheme="majorBidi" w:hAnsiTheme="majorBidi" w:cstheme="majorBidi"/>
          <w:sz w:val="20"/>
          <w:szCs w:val="20"/>
        </w:rPr>
        <w:t xml:space="preserve"> (</w:t>
      </w:r>
      <w:r>
        <w:rPr>
          <w:rFonts w:asciiTheme="majorBidi" w:hAnsiTheme="majorBidi" w:cstheme="majorBidi" w:hint="eastAsia"/>
          <w:sz w:val="20"/>
          <w:szCs w:val="20"/>
        </w:rPr>
        <w:t>资治通鉴</w:t>
      </w:r>
      <w:r>
        <w:rPr>
          <w:rFonts w:asciiTheme="majorBidi" w:hAnsiTheme="majorBidi" w:cstheme="majorBidi"/>
          <w:sz w:val="20"/>
          <w:szCs w:val="20"/>
        </w:rPr>
        <w:t>),</w:t>
      </w:r>
      <w:r w:rsidRPr="000758BA">
        <w:rPr>
          <w:rFonts w:asciiTheme="majorBidi" w:hAnsiTheme="majorBidi" w:cstheme="majorBidi"/>
          <w:sz w:val="20"/>
          <w:szCs w:val="20"/>
        </w:rPr>
        <w:t xml:space="preserve"> which was </w:t>
      </w:r>
      <w:r>
        <w:rPr>
          <w:rFonts w:asciiTheme="majorBidi" w:hAnsiTheme="majorBidi" w:cstheme="majorBidi"/>
          <w:sz w:val="20"/>
          <w:szCs w:val="20"/>
        </w:rPr>
        <w:t>presented to the court by Sima Guang (</w:t>
      </w:r>
      <w:r>
        <w:rPr>
          <w:rFonts w:asciiTheme="majorBidi" w:hAnsiTheme="majorBidi" w:cstheme="majorBidi" w:hint="eastAsia"/>
          <w:sz w:val="20"/>
          <w:szCs w:val="20"/>
        </w:rPr>
        <w:t>司马光</w:t>
      </w:r>
      <w:r>
        <w:rPr>
          <w:rFonts w:asciiTheme="majorBidi" w:hAnsiTheme="majorBidi" w:cstheme="majorBidi"/>
          <w:sz w:val="20"/>
          <w:szCs w:val="20"/>
        </w:rPr>
        <w:t>) in 1084 CE after compilation for almost two decades, is an important source to check the two dynastic histories of the Tang.</w:t>
      </w:r>
    </w:p>
  </w:footnote>
  <w:footnote w:id="25">
    <w:p w14:paraId="299B4207" w14:textId="74055897" w:rsidR="00902FCD" w:rsidRPr="00A90306" w:rsidRDefault="00902FCD" w:rsidP="00A90306">
      <w:pPr>
        <w:pStyle w:val="FootnoteText"/>
        <w:spacing w:line="360" w:lineRule="auto"/>
        <w:rPr>
          <w:rFonts w:asciiTheme="majorBidi" w:hAnsiTheme="majorBidi" w:cstheme="majorBidi"/>
          <w:sz w:val="20"/>
          <w:szCs w:val="20"/>
        </w:rPr>
      </w:pPr>
      <w:r w:rsidRPr="00A90306">
        <w:rPr>
          <w:rFonts w:asciiTheme="majorBidi" w:hAnsiTheme="majorBidi" w:cstheme="majorBidi"/>
          <w:sz w:val="20"/>
          <w:szCs w:val="20"/>
          <w:vertAlign w:val="superscript"/>
        </w:rPr>
        <w:footnoteRef/>
      </w:r>
      <w:r w:rsidRPr="00A90306">
        <w:rPr>
          <w:rFonts w:asciiTheme="majorBidi" w:hAnsiTheme="majorBidi" w:cstheme="majorBidi"/>
          <w:sz w:val="20"/>
          <w:szCs w:val="20"/>
        </w:rPr>
        <w:t xml:space="preserve"> The title of the encyclopedia can be translated as the </w:t>
      </w:r>
      <w:r w:rsidRPr="00E9433A">
        <w:rPr>
          <w:rFonts w:asciiTheme="majorBidi" w:hAnsiTheme="majorBidi" w:cstheme="majorBidi"/>
          <w:i/>
          <w:iCs/>
          <w:sz w:val="20"/>
          <w:szCs w:val="20"/>
        </w:rPr>
        <w:t>Model of Archives</w:t>
      </w:r>
      <w:r w:rsidRPr="00A90306">
        <w:rPr>
          <w:rFonts w:asciiTheme="majorBidi" w:hAnsiTheme="majorBidi" w:cstheme="majorBidi"/>
          <w:sz w:val="20"/>
          <w:szCs w:val="20"/>
        </w:rPr>
        <w:t>.</w:t>
      </w:r>
    </w:p>
  </w:footnote>
  <w:footnote w:id="26">
    <w:p w14:paraId="1E5F0B98" w14:textId="71C99FAD" w:rsidR="00902FCD" w:rsidRPr="00056768" w:rsidRDefault="00902FCD" w:rsidP="00C10B7E">
      <w:pPr>
        <w:pStyle w:val="FootnoteText"/>
        <w:spacing w:line="360" w:lineRule="auto"/>
        <w:rPr>
          <w:rFonts w:asciiTheme="majorBidi" w:hAnsiTheme="majorBidi" w:cstheme="majorBidi"/>
          <w:sz w:val="20"/>
          <w:szCs w:val="20"/>
        </w:rPr>
      </w:pPr>
      <w:r w:rsidRPr="00056768">
        <w:rPr>
          <w:rStyle w:val="FootnoteReference"/>
          <w:rFonts w:asciiTheme="majorBidi" w:hAnsiTheme="majorBidi" w:cstheme="majorBidi"/>
          <w:sz w:val="20"/>
          <w:szCs w:val="20"/>
        </w:rPr>
        <w:footnoteRef/>
      </w:r>
      <w:r w:rsidRPr="00056768">
        <w:rPr>
          <w:rFonts w:asciiTheme="majorBidi" w:hAnsiTheme="majorBidi" w:cstheme="majorBidi"/>
          <w:sz w:val="20"/>
          <w:szCs w:val="20"/>
        </w:rPr>
        <w:t xml:space="preserve"> The Bactrian documents</w:t>
      </w:r>
      <w:r>
        <w:rPr>
          <w:rFonts w:asciiTheme="majorBidi" w:hAnsiTheme="majorBidi" w:cstheme="majorBidi"/>
          <w:sz w:val="20"/>
          <w:szCs w:val="20"/>
        </w:rPr>
        <w:t xml:space="preserve">, which are edited and translated by Sims-Williams in three volumes (volume 1, 2000; volume 2, 2007; volume 3, 2012), </w:t>
      </w:r>
      <w:r w:rsidRPr="00056768">
        <w:rPr>
          <w:rFonts w:asciiTheme="majorBidi" w:hAnsiTheme="majorBidi" w:cstheme="majorBidi"/>
          <w:sz w:val="20"/>
          <w:szCs w:val="20"/>
        </w:rPr>
        <w:t>are precious sociopolitical information</w:t>
      </w:r>
      <w:r>
        <w:rPr>
          <w:rFonts w:asciiTheme="majorBidi" w:hAnsiTheme="majorBidi" w:cstheme="majorBidi"/>
          <w:sz w:val="20"/>
          <w:szCs w:val="20"/>
        </w:rPr>
        <w:t xml:space="preserve"> of </w:t>
      </w:r>
      <w:r w:rsidRPr="00CC28CB">
        <w:rPr>
          <w:rFonts w:asciiTheme="majorBidi" w:hAnsiTheme="majorBidi" w:cstheme="majorBidi"/>
          <w:sz w:val="20"/>
          <w:szCs w:val="20"/>
        </w:rPr>
        <w:t xml:space="preserve">Ṭukhāristān </w:t>
      </w:r>
      <w:r>
        <w:rPr>
          <w:rFonts w:asciiTheme="majorBidi" w:hAnsiTheme="majorBidi" w:cstheme="majorBidi"/>
          <w:sz w:val="20"/>
          <w:szCs w:val="20"/>
        </w:rPr>
        <w:t>in the local Bactrian language</w:t>
      </w:r>
      <w:r w:rsidRPr="00056768">
        <w:rPr>
          <w:rFonts w:asciiTheme="majorBidi" w:hAnsiTheme="majorBidi" w:cstheme="majorBidi"/>
          <w:sz w:val="20"/>
          <w:szCs w:val="20"/>
        </w:rPr>
        <w:t xml:space="preserve">, </w:t>
      </w:r>
      <w:r>
        <w:rPr>
          <w:rFonts w:asciiTheme="majorBidi" w:hAnsiTheme="majorBidi" w:cstheme="majorBidi"/>
          <w:sz w:val="20"/>
          <w:szCs w:val="20"/>
        </w:rPr>
        <w:t>one of the eastern Middle Iranian languages</w:t>
      </w:r>
      <w:r w:rsidRPr="00067C6D">
        <w:rPr>
          <w:rFonts w:asciiTheme="majorBidi" w:hAnsiTheme="majorBidi" w:cstheme="majorBidi"/>
          <w:sz w:val="20"/>
          <w:szCs w:val="20"/>
        </w:rPr>
        <w:t>.</w:t>
      </w:r>
    </w:p>
  </w:footnote>
  <w:footnote w:id="27">
    <w:p w14:paraId="3F36D2CA" w14:textId="77777777" w:rsidR="00902FCD" w:rsidRPr="00AF7A14" w:rsidRDefault="00902FCD" w:rsidP="00C10B7E">
      <w:pPr>
        <w:pStyle w:val="FootnoteText"/>
        <w:spacing w:line="360" w:lineRule="auto"/>
        <w:rPr>
          <w:rFonts w:asciiTheme="majorBidi" w:hAnsiTheme="majorBidi" w:cstheme="majorBidi"/>
          <w:sz w:val="20"/>
          <w:szCs w:val="20"/>
        </w:rPr>
      </w:pPr>
      <w:r w:rsidRPr="00AF7A14">
        <w:rPr>
          <w:rFonts w:asciiTheme="majorBidi" w:hAnsiTheme="majorBidi" w:cstheme="majorBidi"/>
          <w:sz w:val="20"/>
          <w:szCs w:val="20"/>
          <w:vertAlign w:val="superscript"/>
        </w:rPr>
        <w:footnoteRef/>
      </w:r>
      <w:r w:rsidRPr="00AF7A14">
        <w:rPr>
          <w:rFonts w:asciiTheme="majorBidi" w:hAnsiTheme="majorBidi" w:cstheme="majorBidi"/>
          <w:sz w:val="20"/>
          <w:szCs w:val="20"/>
        </w:rPr>
        <w:t xml:space="preserve"> The coins of Central Asia minted by the Hephthalites and the Western Turks are collected and studied by Vondrovec in two volumes (2014).</w:t>
      </w:r>
    </w:p>
  </w:footnote>
  <w:footnote w:id="28">
    <w:p w14:paraId="5AF94802" w14:textId="79730861" w:rsidR="00902FCD" w:rsidRPr="009B28E2" w:rsidRDefault="00902FCD" w:rsidP="009B28E2">
      <w:pPr>
        <w:pStyle w:val="FootnoteText"/>
        <w:spacing w:line="360" w:lineRule="auto"/>
        <w:rPr>
          <w:rFonts w:asciiTheme="majorBidi" w:hAnsiTheme="majorBidi" w:cstheme="majorBidi"/>
          <w:sz w:val="20"/>
          <w:szCs w:val="20"/>
        </w:rPr>
      </w:pPr>
      <w:r w:rsidRPr="009B28E2">
        <w:rPr>
          <w:rStyle w:val="FootnoteReference"/>
          <w:rFonts w:asciiTheme="majorBidi" w:hAnsiTheme="majorBidi" w:cstheme="majorBidi"/>
          <w:sz w:val="20"/>
          <w:szCs w:val="20"/>
        </w:rPr>
        <w:footnoteRef/>
      </w:r>
      <w:r w:rsidRPr="009B28E2">
        <w:rPr>
          <w:rFonts w:asciiTheme="majorBidi" w:hAnsiTheme="majorBidi" w:cstheme="majorBidi"/>
          <w:sz w:val="20"/>
          <w:szCs w:val="20"/>
        </w:rPr>
        <w:t xml:space="preserve"> Transoxiana is </w:t>
      </w:r>
      <w:r w:rsidRPr="009B28E2">
        <w:rPr>
          <w:rFonts w:asciiTheme="majorBidi" w:hAnsiTheme="majorBidi" w:cstheme="majorBidi"/>
          <w:i/>
          <w:iCs/>
          <w:sz w:val="20"/>
          <w:szCs w:val="20"/>
        </w:rPr>
        <w:t>m</w:t>
      </w:r>
      <w:r w:rsidRPr="009B28E2">
        <w:rPr>
          <w:rFonts w:asciiTheme="majorBidi" w:eastAsiaTheme="minorHAnsi" w:hAnsiTheme="majorBidi" w:cstheme="majorBidi"/>
          <w:i/>
          <w:iCs/>
          <w:sz w:val="20"/>
          <w:szCs w:val="20"/>
        </w:rPr>
        <w:t>ā</w:t>
      </w:r>
      <w:r w:rsidRPr="009B28E2">
        <w:rPr>
          <w:rFonts w:asciiTheme="majorBidi" w:hAnsiTheme="majorBidi" w:cstheme="majorBidi"/>
          <w:i/>
          <w:iCs/>
          <w:sz w:val="20"/>
          <w:szCs w:val="20"/>
        </w:rPr>
        <w:t xml:space="preserve"> war</w:t>
      </w:r>
      <w:r w:rsidRPr="009B28E2">
        <w:rPr>
          <w:rFonts w:asciiTheme="majorBidi" w:eastAsiaTheme="minorHAnsi" w:hAnsiTheme="majorBidi" w:cstheme="majorBidi"/>
          <w:i/>
          <w:iCs/>
          <w:sz w:val="20"/>
          <w:szCs w:val="20"/>
        </w:rPr>
        <w:t>ā</w:t>
      </w:r>
      <w:r w:rsidRPr="009B28E2">
        <w:rPr>
          <w:rFonts w:asciiTheme="majorBidi" w:hAnsiTheme="majorBidi" w:cstheme="majorBidi"/>
          <w:i/>
          <w:iCs/>
          <w:sz w:val="20"/>
          <w:szCs w:val="20"/>
        </w:rPr>
        <w:t>’ al-nahr</w:t>
      </w:r>
      <w:r w:rsidRPr="009B28E2">
        <w:rPr>
          <w:rFonts w:asciiTheme="majorBidi" w:hAnsiTheme="majorBidi" w:cstheme="majorBidi"/>
          <w:sz w:val="20"/>
          <w:szCs w:val="20"/>
        </w:rPr>
        <w:t xml:space="preserve"> in Arabic, meaning beyond the Oxus. It is found between the Oxus in the south and the Jaxertes in the north with Samarkand and Bukhara as the most important city-states. When the Arabs came to the region, it was </w:t>
      </w:r>
      <w:r>
        <w:rPr>
          <w:rFonts w:asciiTheme="majorBidi" w:hAnsiTheme="majorBidi" w:cstheme="majorBidi"/>
          <w:sz w:val="20"/>
          <w:szCs w:val="20"/>
        </w:rPr>
        <w:t xml:space="preserve">a </w:t>
      </w:r>
      <w:r w:rsidRPr="009B28E2">
        <w:rPr>
          <w:rFonts w:asciiTheme="majorBidi" w:hAnsiTheme="majorBidi" w:cstheme="majorBidi"/>
          <w:sz w:val="20"/>
          <w:szCs w:val="20"/>
        </w:rPr>
        <w:t xml:space="preserve">trading kingdom </w:t>
      </w:r>
      <w:r>
        <w:rPr>
          <w:rFonts w:asciiTheme="majorBidi" w:hAnsiTheme="majorBidi" w:cstheme="majorBidi"/>
          <w:sz w:val="20"/>
          <w:szCs w:val="20"/>
        </w:rPr>
        <w:t xml:space="preserve">of the Sogdians </w:t>
      </w:r>
      <w:r w:rsidRPr="009B28E2">
        <w:rPr>
          <w:rFonts w:asciiTheme="majorBidi" w:hAnsiTheme="majorBidi" w:cstheme="majorBidi"/>
          <w:sz w:val="20"/>
          <w:szCs w:val="20"/>
        </w:rPr>
        <w:t>that dominated international trades</w:t>
      </w:r>
      <w:r>
        <w:rPr>
          <w:rFonts w:asciiTheme="majorBidi" w:hAnsiTheme="majorBidi" w:cstheme="majorBidi"/>
          <w:sz w:val="20"/>
          <w:szCs w:val="20"/>
        </w:rPr>
        <w:t xml:space="preserve"> in the east</w:t>
      </w:r>
      <w:r w:rsidRPr="009B28E2">
        <w:rPr>
          <w:rFonts w:asciiTheme="majorBidi" w:hAnsiTheme="majorBidi" w:cstheme="majorBidi"/>
          <w:sz w:val="20"/>
          <w:szCs w:val="20"/>
        </w:rPr>
        <w:t>.</w:t>
      </w:r>
    </w:p>
  </w:footnote>
  <w:footnote w:id="29">
    <w:p w14:paraId="6CB26EC2" w14:textId="10C2457C" w:rsidR="00902FCD" w:rsidRPr="008A4C0A" w:rsidRDefault="00902FCD" w:rsidP="008A4C0A">
      <w:pPr>
        <w:pStyle w:val="FootnoteText"/>
        <w:spacing w:line="360" w:lineRule="auto"/>
        <w:rPr>
          <w:rFonts w:asciiTheme="majorBidi" w:hAnsiTheme="majorBidi" w:cstheme="majorBidi"/>
          <w:sz w:val="20"/>
          <w:szCs w:val="20"/>
        </w:rPr>
      </w:pPr>
      <w:r w:rsidRPr="008A4C0A">
        <w:rPr>
          <w:rFonts w:asciiTheme="majorBidi" w:hAnsiTheme="majorBidi" w:cstheme="majorBidi"/>
          <w:sz w:val="20"/>
          <w:szCs w:val="20"/>
          <w:vertAlign w:val="superscript"/>
        </w:rPr>
        <w:footnoteRef/>
      </w:r>
      <w:r w:rsidRPr="008A4C0A">
        <w:rPr>
          <w:rFonts w:asciiTheme="majorBidi" w:hAnsiTheme="majorBidi" w:cstheme="majorBidi"/>
          <w:sz w:val="20"/>
          <w:szCs w:val="20"/>
        </w:rPr>
        <w:t xml:space="preserve"> The Rouran fled to Europe through the Eurasian steppes after defeating by the Turks and was called the Avars in the Byzantine sources.</w:t>
      </w:r>
    </w:p>
  </w:footnote>
  <w:footnote w:id="30">
    <w:p w14:paraId="6DA2B111" w14:textId="427903FF" w:rsidR="00902FCD" w:rsidRPr="00B164B8" w:rsidRDefault="00902FCD" w:rsidP="00CA00DC">
      <w:pPr>
        <w:pStyle w:val="FootnoteText"/>
        <w:spacing w:line="360" w:lineRule="auto"/>
        <w:rPr>
          <w:rFonts w:asciiTheme="majorBidi" w:hAnsiTheme="majorBidi" w:cstheme="majorBidi"/>
          <w:sz w:val="20"/>
          <w:szCs w:val="20"/>
        </w:rPr>
      </w:pPr>
      <w:r w:rsidRPr="00B164B8">
        <w:rPr>
          <w:rStyle w:val="FootnoteReference"/>
          <w:rFonts w:asciiTheme="majorBidi" w:hAnsiTheme="majorBidi" w:cstheme="majorBidi"/>
          <w:sz w:val="20"/>
          <w:szCs w:val="20"/>
        </w:rPr>
        <w:footnoteRef/>
      </w:r>
      <w:r w:rsidRPr="00B164B8">
        <w:rPr>
          <w:rFonts w:asciiTheme="majorBidi" w:hAnsiTheme="majorBidi" w:cstheme="majorBidi"/>
          <w:sz w:val="20"/>
          <w:szCs w:val="20"/>
        </w:rPr>
        <w:t xml:space="preserve"> See Litvinsky, 1996, pp. 143-4;</w:t>
      </w:r>
      <w:r>
        <w:rPr>
          <w:rFonts w:asciiTheme="majorBidi" w:hAnsiTheme="majorBidi" w:cstheme="majorBidi"/>
          <w:sz w:val="20"/>
          <w:szCs w:val="20"/>
        </w:rPr>
        <w:t xml:space="preserve"> Bregel, 2003, p. 14;</w:t>
      </w:r>
      <w:r w:rsidRPr="00B164B8">
        <w:rPr>
          <w:rFonts w:asciiTheme="majorBidi" w:hAnsiTheme="majorBidi" w:cstheme="majorBidi"/>
          <w:sz w:val="20"/>
          <w:szCs w:val="20"/>
        </w:rPr>
        <w:t xml:space="preserve"> Kurbanov, 2010, pp. 186-90; Vondrovec, 2014, pp. 404-5</w:t>
      </w:r>
      <w:r>
        <w:rPr>
          <w:rFonts w:asciiTheme="majorBidi" w:hAnsiTheme="majorBidi" w:cstheme="majorBidi"/>
          <w:sz w:val="20"/>
          <w:szCs w:val="20"/>
        </w:rPr>
        <w:t>; Haug, 2019, pp. 64-5</w:t>
      </w:r>
      <w:r w:rsidRPr="00B164B8">
        <w:rPr>
          <w:rFonts w:asciiTheme="majorBidi" w:hAnsiTheme="majorBidi" w:cstheme="majorBidi"/>
          <w:sz w:val="20"/>
          <w:szCs w:val="20"/>
        </w:rPr>
        <w:t>.</w:t>
      </w:r>
    </w:p>
  </w:footnote>
  <w:footnote w:id="31">
    <w:p w14:paraId="156FBC4F" w14:textId="1ECBFCF3" w:rsidR="00902FCD" w:rsidRPr="00CF2563" w:rsidRDefault="00902FCD" w:rsidP="00CA00DC">
      <w:pPr>
        <w:pStyle w:val="FootnoteText"/>
        <w:spacing w:line="360" w:lineRule="auto"/>
        <w:rPr>
          <w:rFonts w:asciiTheme="majorBidi" w:hAnsiTheme="majorBidi" w:cstheme="majorBidi"/>
          <w:sz w:val="20"/>
          <w:szCs w:val="20"/>
        </w:rPr>
      </w:pPr>
      <w:r w:rsidRPr="00CF2563">
        <w:rPr>
          <w:rFonts w:asciiTheme="majorBidi" w:hAnsiTheme="majorBidi" w:cstheme="majorBidi"/>
          <w:sz w:val="20"/>
          <w:szCs w:val="20"/>
          <w:vertAlign w:val="superscript"/>
        </w:rPr>
        <w:footnoteRef/>
      </w:r>
      <w:r w:rsidRPr="00CF2563">
        <w:rPr>
          <w:rFonts w:asciiTheme="majorBidi" w:hAnsiTheme="majorBidi" w:cstheme="majorBidi"/>
          <w:sz w:val="20"/>
          <w:szCs w:val="20"/>
        </w:rPr>
        <w:t xml:space="preserve"> </w:t>
      </w:r>
      <w:r>
        <w:rPr>
          <w:rFonts w:asciiTheme="majorBidi" w:hAnsiTheme="majorBidi" w:cstheme="majorBidi"/>
          <w:sz w:val="20"/>
          <w:szCs w:val="20"/>
        </w:rPr>
        <w:t xml:space="preserve">For the Hephthalites in general, see: Ghirshman (1948), Kurbanov’s (2010) and Yu (2012); more specific studies, see: Kuwayama (2002, pp. 107-39) discusses several political, military and religious issues of the Hephthalites; </w:t>
      </w:r>
      <w:r w:rsidRPr="00CF2563">
        <w:rPr>
          <w:rFonts w:asciiTheme="majorBidi" w:hAnsiTheme="majorBidi" w:cstheme="majorBidi"/>
          <w:sz w:val="20"/>
          <w:szCs w:val="20"/>
        </w:rPr>
        <w:t>de la Vassière</w:t>
      </w:r>
      <w:r>
        <w:rPr>
          <w:rFonts w:asciiTheme="majorBidi" w:hAnsiTheme="majorBidi" w:cstheme="majorBidi"/>
          <w:sz w:val="20"/>
          <w:szCs w:val="20"/>
        </w:rPr>
        <w:t xml:space="preserve"> (</w:t>
      </w:r>
      <w:r w:rsidRPr="00CF2563">
        <w:rPr>
          <w:rFonts w:asciiTheme="majorBidi" w:hAnsiTheme="majorBidi" w:cstheme="majorBidi"/>
          <w:sz w:val="20"/>
          <w:szCs w:val="20"/>
        </w:rPr>
        <w:t>2003, pp. 119-32</w:t>
      </w:r>
      <w:r>
        <w:rPr>
          <w:rFonts w:asciiTheme="majorBidi" w:hAnsiTheme="majorBidi" w:cstheme="majorBidi"/>
          <w:sz w:val="20"/>
          <w:szCs w:val="20"/>
        </w:rPr>
        <w:t>) studies their origin; Grenet (2002, pp. 209-224) pays attention to the contribution that the Hephthalites made to regional interaction in Central Asia; Rezakhani (2017, pp. 125-56) traces the relations between the Sasanians and the Hephthalites and so on.</w:t>
      </w:r>
    </w:p>
  </w:footnote>
  <w:footnote w:id="32">
    <w:p w14:paraId="6CDFA118" w14:textId="43466600" w:rsidR="00902FCD" w:rsidRPr="004E336A" w:rsidRDefault="00902FCD" w:rsidP="004E336A">
      <w:pPr>
        <w:pStyle w:val="FootnoteText"/>
        <w:spacing w:line="360" w:lineRule="auto"/>
        <w:rPr>
          <w:rFonts w:asciiTheme="majorBidi" w:hAnsiTheme="majorBidi" w:cstheme="majorBidi"/>
          <w:sz w:val="20"/>
          <w:szCs w:val="20"/>
        </w:rPr>
      </w:pPr>
      <w:r w:rsidRPr="00734899">
        <w:rPr>
          <w:rFonts w:asciiTheme="majorBidi" w:hAnsiTheme="majorBidi" w:cstheme="majorBidi"/>
          <w:sz w:val="20"/>
          <w:szCs w:val="20"/>
          <w:vertAlign w:val="superscript"/>
        </w:rPr>
        <w:footnoteRef/>
      </w:r>
      <w:r w:rsidRPr="00734899">
        <w:rPr>
          <w:rFonts w:asciiTheme="majorBidi" w:hAnsiTheme="majorBidi" w:cstheme="majorBidi"/>
          <w:sz w:val="20"/>
          <w:szCs w:val="20"/>
          <w:vertAlign w:val="superscript"/>
        </w:rPr>
        <w:t xml:space="preserve"> </w:t>
      </w:r>
      <w:r w:rsidRPr="00734899">
        <w:rPr>
          <w:rFonts w:asciiTheme="majorBidi" w:hAnsiTheme="majorBidi" w:cstheme="majorBidi"/>
          <w:sz w:val="20"/>
          <w:szCs w:val="20"/>
        </w:rPr>
        <w:t xml:space="preserve">The Byzantine historians Menander (1985, pp. 111-27, 171-9) and Simocatta (1986, pp. 188-95) report several exchanges of emissaries between the Byzantine Empire and the Turks in </w:t>
      </w:r>
      <w:r>
        <w:rPr>
          <w:rFonts w:asciiTheme="majorBidi" w:hAnsiTheme="majorBidi" w:cstheme="majorBidi"/>
          <w:sz w:val="20"/>
          <w:szCs w:val="20"/>
        </w:rPr>
        <w:t>the 2</w:t>
      </w:r>
      <w:r w:rsidRPr="005B18B5">
        <w:rPr>
          <w:rFonts w:asciiTheme="majorBidi" w:hAnsiTheme="majorBidi" w:cstheme="majorBidi"/>
          <w:sz w:val="20"/>
          <w:szCs w:val="20"/>
          <w:vertAlign w:val="superscript"/>
        </w:rPr>
        <w:t>nd</w:t>
      </w:r>
      <w:r w:rsidRPr="00734899">
        <w:rPr>
          <w:rFonts w:asciiTheme="majorBidi" w:hAnsiTheme="majorBidi" w:cstheme="majorBidi"/>
          <w:sz w:val="20"/>
          <w:szCs w:val="20"/>
        </w:rPr>
        <w:t xml:space="preserve"> half of the </w:t>
      </w:r>
      <w:r>
        <w:rPr>
          <w:rFonts w:asciiTheme="majorBidi" w:hAnsiTheme="majorBidi" w:cstheme="majorBidi"/>
          <w:sz w:val="20"/>
          <w:szCs w:val="20"/>
        </w:rPr>
        <w:t>6</w:t>
      </w:r>
      <w:r w:rsidRPr="005B18B5">
        <w:rPr>
          <w:rFonts w:asciiTheme="majorBidi" w:hAnsiTheme="majorBidi" w:cstheme="majorBidi"/>
          <w:sz w:val="20"/>
          <w:szCs w:val="20"/>
          <w:vertAlign w:val="superscript"/>
        </w:rPr>
        <w:t>th</w:t>
      </w:r>
      <w:r w:rsidRPr="00734899">
        <w:rPr>
          <w:rFonts w:asciiTheme="majorBidi" w:hAnsiTheme="majorBidi" w:cstheme="majorBidi"/>
          <w:sz w:val="20"/>
          <w:szCs w:val="20"/>
        </w:rPr>
        <w:t xml:space="preserve"> century.</w:t>
      </w:r>
      <w:r>
        <w:rPr>
          <w:rFonts w:asciiTheme="majorBidi" w:hAnsiTheme="majorBidi" w:cstheme="majorBidi"/>
          <w:sz w:val="20"/>
          <w:szCs w:val="20"/>
        </w:rPr>
        <w:t xml:space="preserve"> According to Menander (1985, pp. 111-7), the Sogdian </w:t>
      </w:r>
      <w:r w:rsidRPr="000E16CD">
        <w:rPr>
          <w:rFonts w:asciiTheme="majorBidi" w:hAnsiTheme="majorBidi" w:cstheme="majorBidi"/>
          <w:sz w:val="20"/>
          <w:szCs w:val="20"/>
        </w:rPr>
        <w:t>Maniakh</w:t>
      </w:r>
      <w:r>
        <w:rPr>
          <w:rFonts w:asciiTheme="majorBidi" w:hAnsiTheme="majorBidi" w:cstheme="majorBidi"/>
          <w:sz w:val="20"/>
          <w:szCs w:val="20"/>
        </w:rPr>
        <w:t xml:space="preserve"> was sent by Ishtemi Khāqān (553-576 CE) of the Western Turks to Byzantium in 568 CE to establish trading relations with the Byzantine Empire after Khosrow I refused the request to trade.</w:t>
      </w:r>
    </w:p>
  </w:footnote>
  <w:footnote w:id="33">
    <w:p w14:paraId="7CA64311" w14:textId="72BA6D37" w:rsidR="00902FCD" w:rsidRPr="004C528A" w:rsidRDefault="00902FCD" w:rsidP="006605C9">
      <w:pPr>
        <w:pStyle w:val="FootnoteText"/>
        <w:spacing w:line="360" w:lineRule="auto"/>
        <w:rPr>
          <w:rFonts w:asciiTheme="majorBidi" w:hAnsiTheme="majorBidi" w:cstheme="majorBidi"/>
          <w:sz w:val="20"/>
          <w:szCs w:val="20"/>
        </w:rPr>
      </w:pPr>
      <w:r w:rsidRPr="006605C9">
        <w:rPr>
          <w:rFonts w:asciiTheme="majorBidi" w:hAnsiTheme="majorBidi" w:cstheme="majorBidi"/>
          <w:sz w:val="20"/>
          <w:szCs w:val="20"/>
          <w:vertAlign w:val="superscript"/>
        </w:rPr>
        <w:footnoteRef/>
      </w:r>
      <w:r w:rsidRPr="006605C9">
        <w:rPr>
          <w:rFonts w:asciiTheme="majorBidi" w:hAnsiTheme="majorBidi" w:cstheme="majorBidi"/>
          <w:sz w:val="20"/>
          <w:szCs w:val="20"/>
        </w:rPr>
        <w:t xml:space="preserve"> </w:t>
      </w:r>
      <w:r>
        <w:rPr>
          <w:rFonts w:asciiTheme="majorBidi" w:hAnsiTheme="majorBidi" w:cstheme="majorBidi"/>
          <w:sz w:val="20"/>
          <w:szCs w:val="20"/>
        </w:rPr>
        <w:t>For Bahrām’s campaign, see al-</w:t>
      </w:r>
      <w:r w:rsidRPr="004930DB">
        <w:rPr>
          <w:rFonts w:asciiTheme="majorBidi" w:hAnsiTheme="majorBidi" w:cstheme="majorBidi"/>
          <w:sz w:val="20"/>
          <w:szCs w:val="20"/>
        </w:rPr>
        <w:t>Ṭabarī</w:t>
      </w:r>
      <w:r>
        <w:rPr>
          <w:rFonts w:asciiTheme="majorBidi" w:hAnsiTheme="majorBidi" w:cstheme="majorBidi"/>
          <w:sz w:val="20"/>
          <w:szCs w:val="20"/>
        </w:rPr>
        <w:t>, 2001, volume 1, pp. 462-3; tr., 1999, volume V, pp. 298-303. See also Haug, 2019, pp. 64-9. Bahrām</w:t>
      </w:r>
      <w:r w:rsidRPr="006605C9">
        <w:rPr>
          <w:rFonts w:asciiTheme="majorBidi" w:hAnsiTheme="majorBidi" w:cstheme="majorBidi"/>
          <w:sz w:val="20"/>
          <w:szCs w:val="20"/>
        </w:rPr>
        <w:t xml:space="preserve">’s victory is reflected by </w:t>
      </w:r>
      <w:r w:rsidRPr="00AC1FD1">
        <w:rPr>
          <w:rFonts w:asciiTheme="majorBidi" w:hAnsiTheme="majorBidi" w:cstheme="majorBidi"/>
          <w:sz w:val="20"/>
          <w:szCs w:val="20"/>
        </w:rPr>
        <w:t>Hormizd IV’s (579-590 CE) coins</w:t>
      </w:r>
      <w:r w:rsidRPr="006605C9">
        <w:rPr>
          <w:rFonts w:asciiTheme="majorBidi" w:hAnsiTheme="majorBidi" w:cstheme="majorBidi"/>
          <w:sz w:val="20"/>
          <w:szCs w:val="20"/>
        </w:rPr>
        <w:t xml:space="preserve"> minted in Balkh (</w:t>
      </w:r>
      <w:r w:rsidRPr="00AC1FD1">
        <w:rPr>
          <w:rFonts w:asciiTheme="majorBidi" w:hAnsiTheme="majorBidi" w:cstheme="majorBidi"/>
          <w:sz w:val="20"/>
          <w:szCs w:val="20"/>
        </w:rPr>
        <w:t>Vondrovec, 2014, volume I, pp. 369-70</w:t>
      </w:r>
      <w:r w:rsidRPr="006E74F2">
        <w:rPr>
          <w:rFonts w:asciiTheme="majorBidi" w:hAnsiTheme="majorBidi" w:cstheme="majorBidi"/>
          <w:sz w:val="20"/>
          <w:szCs w:val="20"/>
        </w:rPr>
        <w:t>; Wang, 2017, pp. 111-2</w:t>
      </w:r>
      <w:r>
        <w:rPr>
          <w:rFonts w:asciiTheme="majorBidi" w:hAnsiTheme="majorBidi" w:cstheme="majorBidi"/>
          <w:sz w:val="20"/>
          <w:szCs w:val="20"/>
        </w:rPr>
        <w:t xml:space="preserve">). For Smbat’s campaign, see Sebeos, 1999, pp. 49-53. </w:t>
      </w:r>
      <w:r w:rsidRPr="004C528A">
        <w:rPr>
          <w:rFonts w:asciiTheme="majorBidi" w:hAnsiTheme="majorBidi" w:cstheme="majorBidi"/>
          <w:sz w:val="20"/>
          <w:szCs w:val="20"/>
        </w:rPr>
        <w:t xml:space="preserve">According to the </w:t>
      </w:r>
      <w:r w:rsidRPr="004C528A">
        <w:rPr>
          <w:rFonts w:asciiTheme="majorBidi" w:hAnsiTheme="majorBidi" w:cstheme="majorBidi"/>
          <w:i/>
          <w:iCs/>
          <w:sz w:val="20"/>
          <w:szCs w:val="20"/>
        </w:rPr>
        <w:t>Šahrestānīhā ī Ērānšahr</w:t>
      </w:r>
      <w:r w:rsidRPr="004C528A">
        <w:rPr>
          <w:rFonts w:asciiTheme="majorBidi" w:hAnsiTheme="majorBidi" w:cstheme="majorBidi"/>
          <w:sz w:val="20"/>
          <w:szCs w:val="20"/>
        </w:rPr>
        <w:t>, both Sogdiana and Ṭukhāristān were within the domain of the Sasanians (Daryaee, 2002, tr., pp. 13, 17-8). Although both Daryaee and Geus argued that part of this source was composed as late as the early 7</w:t>
      </w:r>
      <w:r w:rsidRPr="004C528A">
        <w:rPr>
          <w:rFonts w:asciiTheme="majorBidi" w:hAnsiTheme="majorBidi" w:cstheme="majorBidi"/>
          <w:sz w:val="20"/>
          <w:szCs w:val="20"/>
          <w:vertAlign w:val="superscript"/>
        </w:rPr>
        <w:t>th</w:t>
      </w:r>
      <w:r w:rsidRPr="004C528A">
        <w:rPr>
          <w:rFonts w:asciiTheme="majorBidi" w:hAnsiTheme="majorBidi" w:cstheme="majorBidi"/>
          <w:sz w:val="20"/>
          <w:szCs w:val="20"/>
        </w:rPr>
        <w:t xml:space="preserve"> century (Ibid., pp. 4. 7-8; Geus, 2017, pp. 131-43), its propagandist nature makes historical argument</w:t>
      </w:r>
      <w:r>
        <w:rPr>
          <w:rFonts w:asciiTheme="majorBidi" w:hAnsiTheme="majorBidi" w:cstheme="majorBidi"/>
          <w:sz w:val="20"/>
          <w:szCs w:val="20"/>
        </w:rPr>
        <w:t>s</w:t>
      </w:r>
      <w:r w:rsidRPr="004C528A">
        <w:rPr>
          <w:rFonts w:asciiTheme="majorBidi" w:hAnsiTheme="majorBidi" w:cstheme="majorBidi"/>
          <w:sz w:val="20"/>
          <w:szCs w:val="20"/>
        </w:rPr>
        <w:t xml:space="preserve"> based on the source slippery</w:t>
      </w:r>
      <w:r>
        <w:rPr>
          <w:rFonts w:asciiTheme="majorBidi" w:hAnsiTheme="majorBidi" w:cstheme="majorBidi"/>
          <w:sz w:val="20"/>
          <w:szCs w:val="20"/>
        </w:rPr>
        <w:t xml:space="preserve">. Sogdiana, for example, was under the hegemony of the Turks instead of the Sasanians. In other words, even after the military victories, the Sasanians controlled mainly </w:t>
      </w:r>
      <w:r w:rsidRPr="00222300">
        <w:rPr>
          <w:rFonts w:asciiTheme="majorBidi" w:hAnsiTheme="majorBidi" w:cstheme="majorBidi"/>
          <w:sz w:val="20"/>
          <w:szCs w:val="20"/>
        </w:rPr>
        <w:t>Ṭukhāristān.</w:t>
      </w:r>
    </w:p>
  </w:footnote>
  <w:footnote w:id="34">
    <w:p w14:paraId="575FF851" w14:textId="7CAF900C" w:rsidR="00902FCD" w:rsidRPr="00E770DA" w:rsidRDefault="00902FCD" w:rsidP="00E770DA">
      <w:pPr>
        <w:pStyle w:val="FootnoteText"/>
        <w:spacing w:line="360" w:lineRule="auto"/>
        <w:rPr>
          <w:rFonts w:asciiTheme="majorBidi" w:hAnsiTheme="majorBidi" w:cstheme="majorBidi"/>
          <w:sz w:val="20"/>
          <w:szCs w:val="20"/>
        </w:rPr>
      </w:pPr>
      <w:r w:rsidRPr="00E770DA">
        <w:rPr>
          <w:rFonts w:asciiTheme="majorBidi" w:hAnsiTheme="majorBidi" w:cstheme="majorBidi"/>
          <w:sz w:val="20"/>
          <w:szCs w:val="20"/>
          <w:vertAlign w:val="superscript"/>
        </w:rPr>
        <w:footnoteRef/>
      </w:r>
      <w:r w:rsidRPr="00E770DA">
        <w:rPr>
          <w:rFonts w:asciiTheme="majorBidi" w:hAnsiTheme="majorBidi" w:cstheme="majorBidi"/>
          <w:sz w:val="20"/>
          <w:szCs w:val="20"/>
        </w:rPr>
        <w:t xml:space="preserve"> Bregel, 2003, p. 14.</w:t>
      </w:r>
    </w:p>
  </w:footnote>
  <w:footnote w:id="35">
    <w:p w14:paraId="2961973E" w14:textId="1C8B6F8F" w:rsidR="00902FCD" w:rsidRPr="0081043D" w:rsidRDefault="00902FCD" w:rsidP="0081043D">
      <w:pPr>
        <w:pStyle w:val="FootnoteText"/>
        <w:spacing w:line="360" w:lineRule="auto"/>
        <w:rPr>
          <w:rFonts w:asciiTheme="majorBidi" w:hAnsiTheme="majorBidi" w:cstheme="majorBidi"/>
          <w:sz w:val="20"/>
          <w:szCs w:val="20"/>
        </w:rPr>
      </w:pPr>
      <w:r w:rsidRPr="0081043D">
        <w:rPr>
          <w:rFonts w:asciiTheme="majorBidi" w:hAnsiTheme="majorBidi" w:cstheme="majorBidi"/>
          <w:sz w:val="20"/>
          <w:szCs w:val="20"/>
          <w:vertAlign w:val="superscript"/>
        </w:rPr>
        <w:footnoteRef/>
      </w:r>
      <w:r w:rsidRPr="0081043D">
        <w:rPr>
          <w:rFonts w:asciiTheme="majorBidi" w:hAnsiTheme="majorBidi" w:cstheme="majorBidi"/>
          <w:sz w:val="20"/>
          <w:szCs w:val="20"/>
        </w:rPr>
        <w:t xml:space="preserve"> </w:t>
      </w:r>
      <w:r w:rsidRPr="0081043D">
        <w:rPr>
          <w:rFonts w:asciiTheme="majorBidi" w:hAnsiTheme="majorBidi" w:cstheme="majorBidi" w:hint="eastAsia"/>
          <w:sz w:val="20"/>
          <w:szCs w:val="20"/>
        </w:rPr>
        <w:t>S</w:t>
      </w:r>
      <w:r w:rsidRPr="0081043D">
        <w:rPr>
          <w:rFonts w:asciiTheme="majorBidi" w:hAnsiTheme="majorBidi" w:cstheme="majorBidi"/>
          <w:sz w:val="20"/>
          <w:szCs w:val="20"/>
        </w:rPr>
        <w:t xml:space="preserve">ūyāb was one of the garrisons in the earlier stage, and was replaced </w:t>
      </w:r>
      <w:r>
        <w:rPr>
          <w:rFonts w:asciiTheme="majorBidi" w:hAnsiTheme="majorBidi" w:cstheme="majorBidi"/>
          <w:sz w:val="20"/>
          <w:szCs w:val="20"/>
        </w:rPr>
        <w:t xml:space="preserve">by </w:t>
      </w:r>
      <w:r w:rsidRPr="0081043D">
        <w:rPr>
          <w:rFonts w:asciiTheme="majorBidi" w:hAnsiTheme="majorBidi" w:cstheme="majorBidi"/>
          <w:sz w:val="20"/>
          <w:szCs w:val="20"/>
        </w:rPr>
        <w:t>Karashahr</w:t>
      </w:r>
      <w:r>
        <w:rPr>
          <w:rFonts w:asciiTheme="majorBidi" w:hAnsiTheme="majorBidi" w:cstheme="majorBidi"/>
          <w:sz w:val="20"/>
          <w:szCs w:val="20"/>
        </w:rPr>
        <w:t xml:space="preserve"> </w:t>
      </w:r>
      <w:r w:rsidRPr="0081043D">
        <w:rPr>
          <w:rFonts w:asciiTheme="majorBidi" w:hAnsiTheme="majorBidi" w:cstheme="majorBidi"/>
          <w:sz w:val="20"/>
          <w:szCs w:val="20"/>
        </w:rPr>
        <w:t>(</w:t>
      </w:r>
      <w:r w:rsidRPr="0081043D">
        <w:rPr>
          <w:rFonts w:asciiTheme="majorBidi" w:hAnsiTheme="majorBidi" w:cstheme="majorBidi" w:hint="eastAsia"/>
          <w:sz w:val="20"/>
          <w:szCs w:val="20"/>
        </w:rPr>
        <w:t>焉耆</w:t>
      </w:r>
      <w:r w:rsidRPr="0081043D">
        <w:rPr>
          <w:rFonts w:asciiTheme="majorBidi" w:hAnsiTheme="majorBidi" w:cstheme="majorBidi"/>
          <w:sz w:val="20"/>
          <w:szCs w:val="20"/>
        </w:rPr>
        <w:t>) in the early 8th century.</w:t>
      </w:r>
    </w:p>
  </w:footnote>
  <w:footnote w:id="36">
    <w:p w14:paraId="03289932" w14:textId="6F4A9177" w:rsidR="00902FCD" w:rsidRPr="00ED57D5" w:rsidRDefault="00902FCD" w:rsidP="00ED57D5">
      <w:pPr>
        <w:pStyle w:val="FootnoteText"/>
        <w:spacing w:line="360" w:lineRule="auto"/>
        <w:rPr>
          <w:rFonts w:asciiTheme="majorBidi" w:hAnsiTheme="majorBidi" w:cstheme="majorBidi"/>
          <w:sz w:val="20"/>
          <w:szCs w:val="20"/>
        </w:rPr>
      </w:pPr>
      <w:r w:rsidRPr="00ED57D5">
        <w:rPr>
          <w:rFonts w:asciiTheme="majorBidi" w:hAnsiTheme="majorBidi" w:cstheme="majorBidi"/>
          <w:sz w:val="20"/>
          <w:szCs w:val="20"/>
          <w:vertAlign w:val="superscript"/>
        </w:rPr>
        <w:footnoteRef/>
      </w:r>
      <w:r w:rsidRPr="00ED57D5">
        <w:rPr>
          <w:rFonts w:asciiTheme="majorBidi" w:hAnsiTheme="majorBidi" w:cstheme="majorBidi"/>
          <w:sz w:val="20"/>
          <w:szCs w:val="20"/>
          <w:vertAlign w:val="superscript"/>
        </w:rPr>
        <w:t xml:space="preserve"> </w:t>
      </w:r>
      <w:r>
        <w:rPr>
          <w:rFonts w:asciiTheme="majorBidi" w:hAnsiTheme="majorBidi" w:cstheme="majorBidi"/>
          <w:sz w:val="20"/>
          <w:szCs w:val="20"/>
        </w:rPr>
        <w:t>The administration of the Tang is called the Ji-mi system (</w:t>
      </w:r>
      <w:r>
        <w:rPr>
          <w:rFonts w:asciiTheme="majorBidi" w:hAnsiTheme="majorBidi" w:cstheme="majorBidi" w:hint="eastAsia"/>
          <w:sz w:val="20"/>
          <w:szCs w:val="20"/>
        </w:rPr>
        <w:t>羁縻</w:t>
      </w:r>
      <w:r>
        <w:rPr>
          <w:rFonts w:asciiTheme="majorBidi" w:hAnsiTheme="majorBidi" w:cstheme="majorBidi"/>
          <w:sz w:val="20"/>
          <w:szCs w:val="20"/>
        </w:rPr>
        <w:t xml:space="preserve">), under which the vasals were autonomous. </w:t>
      </w:r>
      <w:r w:rsidRPr="00BC2327">
        <w:rPr>
          <w:rFonts w:asciiTheme="majorBidi" w:hAnsiTheme="majorBidi" w:cstheme="majorBidi"/>
          <w:sz w:val="20"/>
          <w:szCs w:val="20"/>
        </w:rPr>
        <w:t xml:space="preserve">Liu, 1995, volume 194b, p. 5187; Ouyang &amp; Song, 1995, volume 215b, p. 6063. </w:t>
      </w:r>
      <w:r>
        <w:rPr>
          <w:rFonts w:asciiTheme="majorBidi" w:hAnsiTheme="majorBidi" w:cstheme="majorBidi"/>
          <w:sz w:val="20"/>
          <w:szCs w:val="20"/>
        </w:rPr>
        <w:t>For academic studies see Bregel, 2003, p. 16;</w:t>
      </w:r>
      <w:r w:rsidRPr="00BC2327">
        <w:rPr>
          <w:rFonts w:asciiTheme="majorBidi" w:hAnsiTheme="majorBidi" w:cstheme="majorBidi"/>
          <w:sz w:val="20"/>
          <w:szCs w:val="20"/>
        </w:rPr>
        <w:t xml:space="preserve"> Wang, 2017, p</w:t>
      </w:r>
      <w:r>
        <w:rPr>
          <w:rFonts w:asciiTheme="majorBidi" w:hAnsiTheme="majorBidi" w:cstheme="majorBidi"/>
          <w:sz w:val="20"/>
          <w:szCs w:val="20"/>
        </w:rPr>
        <w:t>p</w:t>
      </w:r>
      <w:r w:rsidRPr="00BC2327">
        <w:rPr>
          <w:rFonts w:asciiTheme="majorBidi" w:hAnsiTheme="majorBidi" w:cstheme="majorBidi"/>
          <w:sz w:val="20"/>
          <w:szCs w:val="20"/>
        </w:rPr>
        <w:t>. 125</w:t>
      </w:r>
      <w:r>
        <w:rPr>
          <w:rFonts w:asciiTheme="majorBidi" w:hAnsiTheme="majorBidi" w:cstheme="majorBidi"/>
          <w:sz w:val="20"/>
          <w:szCs w:val="20"/>
        </w:rPr>
        <w:t>-32</w:t>
      </w:r>
      <w:r w:rsidRPr="00BC2327">
        <w:rPr>
          <w:rFonts w:asciiTheme="majorBidi" w:hAnsiTheme="majorBidi" w:cstheme="majorBidi"/>
          <w:sz w:val="20"/>
          <w:szCs w:val="20"/>
        </w:rPr>
        <w:t>.</w:t>
      </w:r>
    </w:p>
  </w:footnote>
  <w:footnote w:id="37">
    <w:p w14:paraId="751E44E1" w14:textId="569C81B5" w:rsidR="00902FCD" w:rsidRPr="00FD0AB4" w:rsidRDefault="00902FCD" w:rsidP="00C2029E">
      <w:pPr>
        <w:pStyle w:val="FootnoteText"/>
        <w:spacing w:line="360" w:lineRule="auto"/>
        <w:rPr>
          <w:rFonts w:asciiTheme="majorBidi" w:hAnsiTheme="majorBidi" w:cstheme="majorBidi"/>
          <w:sz w:val="20"/>
          <w:szCs w:val="20"/>
        </w:rPr>
      </w:pPr>
      <w:r w:rsidRPr="00FD0AB4">
        <w:rPr>
          <w:rFonts w:asciiTheme="majorBidi" w:hAnsiTheme="majorBidi" w:cstheme="majorBidi"/>
          <w:sz w:val="20"/>
          <w:szCs w:val="20"/>
          <w:vertAlign w:val="superscript"/>
        </w:rPr>
        <w:footnoteRef/>
      </w:r>
      <w:r w:rsidRPr="00FD0AB4">
        <w:rPr>
          <w:rFonts w:asciiTheme="majorBidi" w:hAnsiTheme="majorBidi" w:cstheme="majorBidi"/>
          <w:sz w:val="20"/>
          <w:szCs w:val="20"/>
          <w:vertAlign w:val="superscript"/>
        </w:rPr>
        <w:t xml:space="preserve"> </w:t>
      </w:r>
      <w:r w:rsidRPr="00FD0AB4">
        <w:rPr>
          <w:rFonts w:asciiTheme="majorBidi" w:hAnsiTheme="majorBidi" w:cstheme="majorBidi"/>
          <w:sz w:val="20"/>
          <w:szCs w:val="20"/>
        </w:rPr>
        <w:t xml:space="preserve">Wang, 2009, pp. 8-12; Haug, 2019, pp. 95-7. </w:t>
      </w:r>
    </w:p>
  </w:footnote>
  <w:footnote w:id="38">
    <w:p w14:paraId="41DD1C3A" w14:textId="50A5F9DC" w:rsidR="00902FCD" w:rsidRPr="00C2029E" w:rsidRDefault="00902FCD" w:rsidP="00C2029E">
      <w:pPr>
        <w:pStyle w:val="FootnoteText"/>
        <w:spacing w:line="360" w:lineRule="auto"/>
        <w:rPr>
          <w:rFonts w:asciiTheme="majorBidi" w:hAnsiTheme="majorBidi" w:cstheme="majorBidi"/>
          <w:sz w:val="20"/>
          <w:szCs w:val="20"/>
        </w:rPr>
      </w:pPr>
      <w:r w:rsidRPr="00734899">
        <w:rPr>
          <w:rFonts w:asciiTheme="majorBidi" w:hAnsiTheme="majorBidi" w:cstheme="majorBidi"/>
          <w:sz w:val="20"/>
          <w:szCs w:val="20"/>
          <w:vertAlign w:val="superscript"/>
        </w:rPr>
        <w:footnoteRef/>
      </w:r>
      <w:r w:rsidRPr="00734899">
        <w:rPr>
          <w:rFonts w:asciiTheme="majorBidi" w:hAnsiTheme="majorBidi" w:cstheme="majorBidi"/>
          <w:sz w:val="20"/>
          <w:szCs w:val="20"/>
          <w:vertAlign w:val="superscript"/>
        </w:rPr>
        <w:t xml:space="preserve"> </w:t>
      </w:r>
      <w:r w:rsidRPr="00734899">
        <w:rPr>
          <w:rFonts w:asciiTheme="majorBidi" w:hAnsiTheme="majorBidi" w:cstheme="majorBidi"/>
          <w:sz w:val="20"/>
          <w:szCs w:val="20"/>
        </w:rPr>
        <w:t>Liu, 1995, volume 198, pp. 5312-3; Ouyang &amp; Song, 1995, p. 6259.</w:t>
      </w:r>
    </w:p>
  </w:footnote>
  <w:footnote w:id="39">
    <w:p w14:paraId="0F8CEFC0" w14:textId="4055C056" w:rsidR="00902FCD" w:rsidRPr="00E52B64" w:rsidRDefault="00902FCD" w:rsidP="00E52B64">
      <w:pPr>
        <w:pStyle w:val="FootnoteText"/>
        <w:spacing w:line="360" w:lineRule="auto"/>
        <w:rPr>
          <w:rFonts w:asciiTheme="majorBidi" w:hAnsiTheme="majorBidi" w:cstheme="majorBidi"/>
          <w:sz w:val="20"/>
          <w:szCs w:val="20"/>
        </w:rPr>
      </w:pPr>
      <w:r w:rsidRPr="00E52B64">
        <w:rPr>
          <w:rFonts w:asciiTheme="majorBidi" w:hAnsiTheme="majorBidi" w:cstheme="majorBidi"/>
          <w:sz w:val="20"/>
          <w:szCs w:val="20"/>
          <w:vertAlign w:val="superscript"/>
        </w:rPr>
        <w:footnoteRef/>
      </w:r>
      <w:r w:rsidRPr="00E52B64">
        <w:rPr>
          <w:rFonts w:asciiTheme="majorBidi" w:hAnsiTheme="majorBidi" w:cstheme="majorBidi"/>
          <w:sz w:val="20"/>
          <w:szCs w:val="20"/>
        </w:rPr>
        <w:t xml:space="preserve"> </w:t>
      </w:r>
      <w:r>
        <w:rPr>
          <w:rFonts w:asciiTheme="majorBidi" w:hAnsiTheme="majorBidi" w:cstheme="majorBidi"/>
          <w:sz w:val="20"/>
          <w:szCs w:val="20"/>
        </w:rPr>
        <w:t>Wei</w:t>
      </w:r>
      <w:r w:rsidRPr="009C66B1">
        <w:rPr>
          <w:rFonts w:asciiTheme="majorBidi" w:hAnsiTheme="majorBidi" w:cstheme="majorBidi"/>
          <w:sz w:val="20"/>
          <w:szCs w:val="20"/>
        </w:rPr>
        <w:t xml:space="preserve">, 1996, volume </w:t>
      </w:r>
      <w:r>
        <w:rPr>
          <w:rFonts w:asciiTheme="majorBidi" w:hAnsiTheme="majorBidi" w:cstheme="majorBidi"/>
          <w:sz w:val="20"/>
          <w:szCs w:val="20"/>
        </w:rPr>
        <w:t xml:space="preserve">63, </w:t>
      </w:r>
      <w:r w:rsidRPr="009C66B1">
        <w:rPr>
          <w:rFonts w:asciiTheme="majorBidi" w:hAnsiTheme="majorBidi" w:cstheme="majorBidi"/>
          <w:sz w:val="20"/>
          <w:szCs w:val="20"/>
        </w:rPr>
        <w:t>83, pp. 1856-7</w:t>
      </w:r>
      <w:r w:rsidRPr="00E52B64">
        <w:rPr>
          <w:rFonts w:asciiTheme="majorBidi" w:hAnsiTheme="majorBidi" w:cstheme="majorBidi"/>
          <w:sz w:val="20"/>
          <w:szCs w:val="20"/>
        </w:rPr>
        <w:t>.</w:t>
      </w:r>
      <w:r>
        <w:rPr>
          <w:rFonts w:asciiTheme="majorBidi" w:hAnsiTheme="majorBidi" w:cstheme="majorBidi"/>
          <w:sz w:val="20"/>
          <w:szCs w:val="20"/>
        </w:rPr>
        <w:t xml:space="preserve"> The Sasanian emissaries arrived at China in 455, 461, 468 and 517 CE during the Wei dynasty with a letter of Kavad I (484-496, 498-531 CE, </w:t>
      </w:r>
      <w:r>
        <w:rPr>
          <w:rFonts w:asciiTheme="majorBidi" w:hAnsiTheme="majorBidi" w:cstheme="majorBidi" w:hint="eastAsia"/>
          <w:sz w:val="20"/>
          <w:szCs w:val="20"/>
        </w:rPr>
        <w:t>居和多</w:t>
      </w:r>
      <w:r>
        <w:rPr>
          <w:rFonts w:asciiTheme="majorBidi" w:hAnsiTheme="majorBidi" w:cstheme="majorBidi"/>
          <w:sz w:val="20"/>
          <w:szCs w:val="20"/>
        </w:rPr>
        <w:t>) arriving at the court in 517 CE; the Wei sent Han Yangpi (</w:t>
      </w:r>
      <w:r>
        <w:rPr>
          <w:rFonts w:asciiTheme="majorBidi" w:hAnsiTheme="majorBidi" w:cstheme="majorBidi" w:hint="eastAsia"/>
          <w:sz w:val="20"/>
          <w:szCs w:val="20"/>
        </w:rPr>
        <w:t>韩羊皮</w:t>
      </w:r>
      <w:r>
        <w:rPr>
          <w:rFonts w:asciiTheme="majorBidi" w:hAnsiTheme="majorBidi" w:cstheme="majorBidi"/>
          <w:sz w:val="20"/>
          <w:szCs w:val="20"/>
        </w:rPr>
        <w:t>) to the Sasanian court in the early 460s (</w:t>
      </w:r>
      <w:r w:rsidRPr="00E52B64">
        <w:rPr>
          <w:rFonts w:asciiTheme="majorBidi" w:hAnsiTheme="majorBidi" w:cstheme="majorBidi"/>
          <w:sz w:val="20"/>
          <w:szCs w:val="20"/>
        </w:rPr>
        <w:t xml:space="preserve">Wei, 1995, </w:t>
      </w:r>
      <w:r>
        <w:rPr>
          <w:rFonts w:asciiTheme="majorBidi" w:hAnsiTheme="majorBidi" w:cstheme="majorBidi"/>
          <w:sz w:val="20"/>
          <w:szCs w:val="20"/>
        </w:rPr>
        <w:t xml:space="preserve">volumes 5, 6, 9, </w:t>
      </w:r>
      <w:r w:rsidRPr="00E52B64">
        <w:rPr>
          <w:rFonts w:asciiTheme="majorBidi" w:hAnsiTheme="majorBidi" w:cstheme="majorBidi"/>
          <w:sz w:val="20"/>
          <w:szCs w:val="20"/>
        </w:rPr>
        <w:t xml:space="preserve">102, </w:t>
      </w:r>
      <w:r w:rsidRPr="004E73F8">
        <w:rPr>
          <w:rFonts w:asciiTheme="majorBidi" w:hAnsiTheme="majorBidi" w:cstheme="majorBidi"/>
          <w:sz w:val="20"/>
          <w:szCs w:val="20"/>
        </w:rPr>
        <w:t>pp. 115, 128, 228, 2272</w:t>
      </w:r>
      <w:r>
        <w:rPr>
          <w:rFonts w:asciiTheme="majorBidi" w:hAnsiTheme="majorBidi" w:cstheme="majorBidi"/>
          <w:sz w:val="20"/>
          <w:szCs w:val="20"/>
        </w:rPr>
        <w:t xml:space="preserve">). And during the Sui dynasty, the </w:t>
      </w:r>
      <w:r w:rsidRPr="00BD74AA">
        <w:rPr>
          <w:rFonts w:asciiTheme="majorBidi" w:hAnsiTheme="majorBidi" w:cstheme="majorBidi"/>
          <w:i/>
          <w:iCs/>
          <w:sz w:val="20"/>
          <w:szCs w:val="20"/>
        </w:rPr>
        <w:t>Suishu</w:t>
      </w:r>
      <w:r>
        <w:rPr>
          <w:rFonts w:asciiTheme="majorBidi" w:hAnsiTheme="majorBidi" w:cstheme="majorBidi"/>
          <w:sz w:val="20"/>
          <w:szCs w:val="20"/>
        </w:rPr>
        <w:t xml:space="preserve"> reports that the Sasanians always sent emissaries to the court, while the Sui sent Li Yu (</w:t>
      </w:r>
      <w:r>
        <w:rPr>
          <w:rFonts w:asciiTheme="majorBidi" w:hAnsiTheme="majorBidi" w:cstheme="majorBidi" w:hint="eastAsia"/>
          <w:sz w:val="20"/>
          <w:szCs w:val="20"/>
        </w:rPr>
        <w:t>李昱</w:t>
      </w:r>
      <w:r>
        <w:rPr>
          <w:rFonts w:asciiTheme="majorBidi" w:hAnsiTheme="majorBidi" w:cstheme="majorBidi"/>
          <w:sz w:val="20"/>
          <w:szCs w:val="20"/>
        </w:rPr>
        <w:t>) to Khosrow II (590-628 CE) in the early 7</w:t>
      </w:r>
      <w:r w:rsidRPr="00BD74AA">
        <w:rPr>
          <w:rFonts w:asciiTheme="majorBidi" w:hAnsiTheme="majorBidi" w:cstheme="majorBidi"/>
          <w:sz w:val="20"/>
          <w:szCs w:val="20"/>
          <w:vertAlign w:val="superscript"/>
        </w:rPr>
        <w:t>th</w:t>
      </w:r>
      <w:r>
        <w:rPr>
          <w:rFonts w:asciiTheme="majorBidi" w:hAnsiTheme="majorBidi" w:cstheme="majorBidi"/>
          <w:sz w:val="20"/>
          <w:szCs w:val="20"/>
        </w:rPr>
        <w:t xml:space="preserve"> century (Wei, 1996, volume 83, pp. 1856-7). A</w:t>
      </w:r>
      <w:r>
        <w:rPr>
          <w:rFonts w:asciiTheme="majorBidi" w:hAnsiTheme="majorBidi" w:cstheme="majorBidi" w:hint="eastAsia"/>
          <w:sz w:val="20"/>
          <w:szCs w:val="20"/>
        </w:rPr>
        <w:t>lthoug</w:t>
      </w:r>
      <w:r>
        <w:rPr>
          <w:rFonts w:asciiTheme="majorBidi" w:hAnsiTheme="majorBidi" w:cstheme="majorBidi"/>
          <w:sz w:val="20"/>
          <w:szCs w:val="20"/>
        </w:rPr>
        <w:t xml:space="preserve">h not all these Sasanian emissaries were necessarily sent by the court, with part of them being representatives of the </w:t>
      </w:r>
      <w:r w:rsidRPr="003A503F">
        <w:rPr>
          <w:rFonts w:asciiTheme="majorBidi" w:hAnsiTheme="majorBidi" w:cstheme="majorBidi"/>
          <w:i/>
          <w:iCs/>
          <w:sz w:val="20"/>
          <w:szCs w:val="20"/>
        </w:rPr>
        <w:t>marzbāns</w:t>
      </w:r>
      <w:r>
        <w:rPr>
          <w:rFonts w:asciiTheme="majorBidi" w:hAnsiTheme="majorBidi" w:cstheme="majorBidi"/>
          <w:sz w:val="20"/>
          <w:szCs w:val="20"/>
        </w:rPr>
        <w:t xml:space="preserve"> in eastern frontiers or even merchants who pretended to be official envoys, the Sasanian court clearly established diplomatic relations with Chinese dynasties.  </w:t>
      </w:r>
    </w:p>
  </w:footnote>
  <w:footnote w:id="40">
    <w:p w14:paraId="0E10D867" w14:textId="7E4E6A68" w:rsidR="00902FCD" w:rsidRPr="00FA1628" w:rsidRDefault="00902FCD" w:rsidP="00FA1628">
      <w:pPr>
        <w:pStyle w:val="FootnoteText"/>
        <w:spacing w:line="360" w:lineRule="auto"/>
        <w:rPr>
          <w:rFonts w:asciiTheme="majorBidi" w:hAnsiTheme="majorBidi" w:cstheme="majorBidi"/>
          <w:sz w:val="20"/>
          <w:szCs w:val="20"/>
        </w:rPr>
      </w:pPr>
      <w:r w:rsidRPr="00FA1628">
        <w:rPr>
          <w:rFonts w:asciiTheme="majorBidi" w:hAnsiTheme="majorBidi" w:cstheme="majorBidi"/>
          <w:sz w:val="20"/>
          <w:szCs w:val="20"/>
          <w:vertAlign w:val="superscript"/>
        </w:rPr>
        <w:footnoteRef/>
      </w:r>
      <w:r w:rsidRPr="00FA1628">
        <w:rPr>
          <w:rFonts w:asciiTheme="majorBidi" w:hAnsiTheme="majorBidi" w:cstheme="majorBidi"/>
          <w:sz w:val="20"/>
          <w:szCs w:val="20"/>
          <w:vertAlign w:val="superscript"/>
        </w:rPr>
        <w:t xml:space="preserve"> </w:t>
      </w:r>
      <w:r w:rsidRPr="00FA1628">
        <w:rPr>
          <w:rFonts w:asciiTheme="majorBidi" w:hAnsiTheme="majorBidi" w:cstheme="majorBidi"/>
          <w:sz w:val="20"/>
          <w:szCs w:val="20"/>
        </w:rPr>
        <w:t>The Sasanians actively engaged in trading in the Indian Ocean from the early stage of their dynasty (G</w:t>
      </w:r>
      <w:r>
        <w:rPr>
          <w:rFonts w:asciiTheme="majorBidi" w:hAnsiTheme="majorBidi" w:cstheme="majorBidi"/>
          <w:sz w:val="20"/>
          <w:szCs w:val="20"/>
        </w:rPr>
        <w:t>h</w:t>
      </w:r>
      <w:r w:rsidRPr="00FA1628">
        <w:rPr>
          <w:rFonts w:asciiTheme="majorBidi" w:hAnsiTheme="majorBidi" w:cstheme="majorBidi"/>
          <w:sz w:val="20"/>
          <w:szCs w:val="20"/>
        </w:rPr>
        <w:t>osh, 2003, pp. 132-42). In the 6th century, the Persian merchants met their Chinese counterparts in Sri Lanka for trading, which was a commercial hub for ships from India, Persia, Ethiopia, and China (Cosmas, 1897, pp. 365-8). In 671 CE, the Buddhist pilgrim Yijing boarded a Persian vessel in Guangzhou for India (</w:t>
      </w:r>
      <w:r w:rsidRPr="00713B79">
        <w:rPr>
          <w:rFonts w:asciiTheme="majorBidi" w:hAnsiTheme="majorBidi" w:cstheme="majorBidi"/>
          <w:sz w:val="20"/>
          <w:szCs w:val="20"/>
        </w:rPr>
        <w:t>Yijing, 2000, p. 152</w:t>
      </w:r>
      <w:r w:rsidRPr="00FA1628">
        <w:rPr>
          <w:rFonts w:asciiTheme="majorBidi" w:hAnsiTheme="majorBidi" w:cstheme="majorBidi"/>
          <w:sz w:val="20"/>
          <w:szCs w:val="20"/>
        </w:rPr>
        <w:t>). Clearly, the Persian merchants arrived at China at an earlier stage.</w:t>
      </w:r>
      <w:r>
        <w:rPr>
          <w:rFonts w:asciiTheme="majorBidi" w:hAnsiTheme="majorBidi" w:cstheme="majorBidi"/>
          <w:sz w:val="20"/>
          <w:szCs w:val="20"/>
        </w:rPr>
        <w:t xml:space="preserve"> </w:t>
      </w:r>
      <w:r w:rsidRPr="00FA1628">
        <w:rPr>
          <w:rFonts w:asciiTheme="majorBidi" w:hAnsiTheme="majorBidi" w:cstheme="majorBidi"/>
          <w:sz w:val="20"/>
          <w:szCs w:val="20"/>
        </w:rPr>
        <w:t xml:space="preserve">The </w:t>
      </w:r>
      <w:r>
        <w:rPr>
          <w:rFonts w:asciiTheme="majorBidi" w:hAnsiTheme="majorBidi" w:cstheme="majorBidi"/>
          <w:sz w:val="20"/>
          <w:szCs w:val="20"/>
        </w:rPr>
        <w:t xml:space="preserve">archaeological discoveries such as the </w:t>
      </w:r>
      <w:r w:rsidRPr="00FA1628">
        <w:rPr>
          <w:rFonts w:asciiTheme="majorBidi" w:hAnsiTheme="majorBidi" w:cstheme="majorBidi"/>
          <w:sz w:val="20"/>
          <w:szCs w:val="20"/>
        </w:rPr>
        <w:t xml:space="preserve">Sasanian silver coins </w:t>
      </w:r>
      <w:r>
        <w:rPr>
          <w:rFonts w:asciiTheme="majorBidi" w:hAnsiTheme="majorBidi" w:cstheme="majorBidi"/>
          <w:sz w:val="20"/>
          <w:szCs w:val="20"/>
        </w:rPr>
        <w:t xml:space="preserve">found </w:t>
      </w:r>
      <w:r w:rsidRPr="00FA1628">
        <w:rPr>
          <w:rFonts w:asciiTheme="majorBidi" w:hAnsiTheme="majorBidi" w:cstheme="majorBidi"/>
          <w:sz w:val="20"/>
          <w:szCs w:val="20"/>
        </w:rPr>
        <w:t xml:space="preserve">in the coastal regions of Guangdong show that direct maritime trade most probably started already in the </w:t>
      </w:r>
      <w:r>
        <w:rPr>
          <w:rFonts w:asciiTheme="majorBidi" w:hAnsiTheme="majorBidi" w:cstheme="majorBidi"/>
          <w:sz w:val="20"/>
          <w:szCs w:val="20"/>
        </w:rPr>
        <w:t>6</w:t>
      </w:r>
      <w:r w:rsidRPr="00286A90">
        <w:rPr>
          <w:rFonts w:asciiTheme="majorBidi" w:hAnsiTheme="majorBidi" w:cstheme="majorBidi"/>
          <w:sz w:val="20"/>
          <w:szCs w:val="20"/>
          <w:vertAlign w:val="superscript"/>
        </w:rPr>
        <w:t>th</w:t>
      </w:r>
      <w:r w:rsidRPr="00FA1628">
        <w:rPr>
          <w:rFonts w:asciiTheme="majorBidi" w:hAnsiTheme="majorBidi" w:cstheme="majorBidi"/>
          <w:sz w:val="20"/>
          <w:szCs w:val="20"/>
        </w:rPr>
        <w:t xml:space="preserve"> century (Sun, 2014, pp. 41-2; Pahazanous, Zohouri, 2020, pp. 547-58). </w:t>
      </w:r>
      <w:r>
        <w:rPr>
          <w:rFonts w:asciiTheme="majorBidi" w:hAnsiTheme="majorBidi" w:cstheme="majorBidi"/>
          <w:sz w:val="20"/>
          <w:szCs w:val="20"/>
        </w:rPr>
        <w:t>The direct maritime trade between the Persian Gulf and China continued to develop and flourished in the Umayyad and Abbasid dynasties (Geogre, 2015, pp. 579-624).</w:t>
      </w:r>
    </w:p>
  </w:footnote>
  <w:footnote w:id="41">
    <w:p w14:paraId="51BCF8FF" w14:textId="05DBAB26" w:rsidR="00902FCD" w:rsidRPr="003A503F" w:rsidRDefault="00902FCD" w:rsidP="003A503F">
      <w:pPr>
        <w:pStyle w:val="FootnoteText"/>
        <w:spacing w:line="360" w:lineRule="auto"/>
        <w:rPr>
          <w:rFonts w:asciiTheme="majorBidi" w:hAnsiTheme="majorBidi" w:cstheme="majorBidi"/>
          <w:sz w:val="20"/>
          <w:szCs w:val="20"/>
        </w:rPr>
      </w:pPr>
      <w:r w:rsidRPr="003A503F">
        <w:rPr>
          <w:rFonts w:asciiTheme="majorBidi" w:hAnsiTheme="majorBidi" w:cstheme="majorBidi"/>
          <w:sz w:val="20"/>
          <w:szCs w:val="20"/>
          <w:vertAlign w:val="superscript"/>
        </w:rPr>
        <w:footnoteRef/>
      </w:r>
      <w:r w:rsidRPr="003A503F">
        <w:rPr>
          <w:rFonts w:asciiTheme="majorBidi" w:hAnsiTheme="majorBidi" w:cstheme="majorBidi"/>
          <w:sz w:val="20"/>
          <w:szCs w:val="20"/>
        </w:rPr>
        <w:t xml:space="preserve"> Another direction of the Tibetan expansion is the upper streams of the Indus River (Dunlop, 1973, p. 302).</w:t>
      </w:r>
      <w:r>
        <w:rPr>
          <w:rFonts w:asciiTheme="majorBidi" w:hAnsiTheme="majorBidi" w:cstheme="majorBidi"/>
          <w:sz w:val="20"/>
          <w:szCs w:val="20"/>
        </w:rPr>
        <w:t xml:space="preserve"> However, this is bascailly irrelevant to the present study.</w:t>
      </w:r>
    </w:p>
  </w:footnote>
  <w:footnote w:id="42">
    <w:p w14:paraId="19C4CEF5" w14:textId="2F0711D8" w:rsidR="00902FCD" w:rsidRPr="00286A90" w:rsidRDefault="00902FCD" w:rsidP="00286A90">
      <w:pPr>
        <w:pStyle w:val="FootnoteText"/>
        <w:spacing w:line="360" w:lineRule="auto"/>
        <w:rPr>
          <w:rFonts w:asciiTheme="majorBidi" w:hAnsiTheme="majorBidi" w:cstheme="majorBidi"/>
          <w:sz w:val="20"/>
          <w:szCs w:val="20"/>
        </w:rPr>
      </w:pPr>
      <w:r w:rsidRPr="00286A90">
        <w:rPr>
          <w:rFonts w:asciiTheme="majorBidi" w:hAnsiTheme="majorBidi" w:cstheme="majorBidi"/>
          <w:sz w:val="20"/>
          <w:szCs w:val="20"/>
          <w:vertAlign w:val="superscript"/>
        </w:rPr>
        <w:footnoteRef/>
      </w:r>
      <w:r w:rsidRPr="00286A90">
        <w:rPr>
          <w:rFonts w:asciiTheme="majorBidi" w:hAnsiTheme="majorBidi" w:cstheme="majorBidi"/>
          <w:sz w:val="20"/>
          <w:szCs w:val="20"/>
        </w:rPr>
        <w:t xml:space="preserve"> Nevertheless, the Tibetans were able to capture the four garrisons only at the end of the</w:t>
      </w:r>
      <w:r>
        <w:rPr>
          <w:rFonts w:asciiTheme="majorBidi" w:hAnsiTheme="majorBidi" w:cstheme="majorBidi"/>
          <w:sz w:val="20"/>
          <w:szCs w:val="20"/>
        </w:rPr>
        <w:t xml:space="preserve"> 8</w:t>
      </w:r>
      <w:r w:rsidRPr="00286A90">
        <w:rPr>
          <w:rFonts w:asciiTheme="majorBidi" w:hAnsiTheme="majorBidi" w:cstheme="majorBidi"/>
          <w:sz w:val="20"/>
          <w:szCs w:val="20"/>
          <w:vertAlign w:val="superscript"/>
        </w:rPr>
        <w:t>th</w:t>
      </w:r>
      <w:r w:rsidRPr="00286A90">
        <w:rPr>
          <w:rFonts w:asciiTheme="majorBidi" w:hAnsiTheme="majorBidi" w:cstheme="majorBidi"/>
          <w:sz w:val="20"/>
          <w:szCs w:val="20"/>
        </w:rPr>
        <w:t xml:space="preserve"> century.</w:t>
      </w:r>
    </w:p>
  </w:footnote>
  <w:footnote w:id="43">
    <w:p w14:paraId="427D9CCC" w14:textId="043E9401" w:rsidR="00902FCD" w:rsidRPr="00780168" w:rsidRDefault="00902FCD" w:rsidP="00780168">
      <w:pPr>
        <w:pStyle w:val="FootnoteText"/>
        <w:spacing w:line="360" w:lineRule="auto"/>
        <w:rPr>
          <w:rFonts w:asciiTheme="majorBidi" w:hAnsiTheme="majorBidi" w:cstheme="majorBidi"/>
          <w:sz w:val="20"/>
          <w:szCs w:val="20"/>
        </w:rPr>
      </w:pPr>
      <w:r w:rsidRPr="00780168">
        <w:rPr>
          <w:rFonts w:asciiTheme="majorBidi" w:hAnsiTheme="majorBidi" w:cstheme="majorBidi"/>
          <w:sz w:val="20"/>
          <w:szCs w:val="20"/>
          <w:vertAlign w:val="superscript"/>
        </w:rPr>
        <w:footnoteRef/>
      </w:r>
      <w:r w:rsidRPr="00780168">
        <w:rPr>
          <w:rFonts w:asciiTheme="majorBidi" w:hAnsiTheme="majorBidi" w:cstheme="majorBidi"/>
          <w:sz w:val="20"/>
          <w:szCs w:val="20"/>
        </w:rPr>
        <w:t xml:space="preserve"> </w:t>
      </w:r>
      <w:r>
        <w:rPr>
          <w:rFonts w:asciiTheme="majorBidi" w:hAnsiTheme="majorBidi" w:cstheme="majorBidi"/>
          <w:sz w:val="20"/>
          <w:szCs w:val="20"/>
        </w:rPr>
        <w:t xml:space="preserve">Beckwith, 1987, pp. 11-142; Bregel, 2003, p. 16; </w:t>
      </w:r>
      <w:r w:rsidRPr="00780168">
        <w:rPr>
          <w:rFonts w:asciiTheme="majorBidi" w:hAnsiTheme="majorBidi" w:cstheme="majorBidi"/>
          <w:sz w:val="20"/>
          <w:szCs w:val="20"/>
        </w:rPr>
        <w:t>Wang, 2009, pp. 42-</w:t>
      </w:r>
      <w:r>
        <w:rPr>
          <w:rFonts w:asciiTheme="majorBidi" w:hAnsiTheme="majorBidi" w:cstheme="majorBidi"/>
          <w:sz w:val="20"/>
          <w:szCs w:val="20"/>
        </w:rPr>
        <w:t>190</w:t>
      </w:r>
      <w:r w:rsidRPr="00780168">
        <w:rPr>
          <w:rFonts w:asciiTheme="majorBidi" w:hAnsiTheme="majorBidi" w:cstheme="majorBidi"/>
          <w:sz w:val="20"/>
          <w:szCs w:val="20"/>
        </w:rPr>
        <w:t>.</w:t>
      </w:r>
    </w:p>
  </w:footnote>
  <w:footnote w:id="44">
    <w:p w14:paraId="2145F7A2" w14:textId="5751FAE2" w:rsidR="00902FCD" w:rsidRPr="004B11A3" w:rsidRDefault="00902FCD" w:rsidP="004B11A3">
      <w:pPr>
        <w:pStyle w:val="FootnoteText"/>
        <w:spacing w:line="360" w:lineRule="auto"/>
        <w:rPr>
          <w:rFonts w:asciiTheme="majorBidi" w:hAnsiTheme="majorBidi" w:cstheme="majorBidi"/>
          <w:sz w:val="20"/>
          <w:szCs w:val="20"/>
        </w:rPr>
      </w:pPr>
      <w:r w:rsidRPr="004B11A3">
        <w:rPr>
          <w:rFonts w:asciiTheme="majorBidi" w:hAnsiTheme="majorBidi" w:cstheme="majorBidi"/>
          <w:sz w:val="20"/>
          <w:szCs w:val="20"/>
          <w:vertAlign w:val="superscript"/>
        </w:rPr>
        <w:footnoteRef/>
      </w:r>
      <w:r w:rsidRPr="004B11A3">
        <w:rPr>
          <w:rFonts w:asciiTheme="majorBidi" w:hAnsiTheme="majorBidi" w:cstheme="majorBidi"/>
          <w:sz w:val="20"/>
          <w:szCs w:val="20"/>
        </w:rPr>
        <w:t xml:space="preserve"> </w:t>
      </w:r>
      <w:r>
        <w:rPr>
          <w:rFonts w:asciiTheme="majorBidi" w:hAnsiTheme="majorBidi" w:cstheme="majorBidi"/>
          <w:sz w:val="20"/>
          <w:szCs w:val="20"/>
        </w:rPr>
        <w:t xml:space="preserve">Dunlop, 1973, pp. 301-12. </w:t>
      </w:r>
      <w:r w:rsidRPr="004B11A3">
        <w:rPr>
          <w:rFonts w:asciiTheme="majorBidi" w:hAnsiTheme="majorBidi" w:cstheme="majorBidi"/>
          <w:sz w:val="20"/>
          <w:szCs w:val="20"/>
        </w:rPr>
        <w:t xml:space="preserve">The allies of the Tibetan Empire included the Karluks, who occupied the steppes </w:t>
      </w:r>
      <w:r>
        <w:rPr>
          <w:rFonts w:asciiTheme="majorBidi" w:hAnsiTheme="majorBidi" w:cstheme="majorBidi"/>
          <w:sz w:val="20"/>
          <w:szCs w:val="20"/>
        </w:rPr>
        <w:t>around Sūyāb and Talas after the collapse of the Türgesh (699-766 CE)</w:t>
      </w:r>
      <w:r w:rsidRPr="004B11A3">
        <w:rPr>
          <w:rFonts w:asciiTheme="majorBidi" w:hAnsiTheme="majorBidi" w:cstheme="majorBidi"/>
          <w:sz w:val="20"/>
          <w:szCs w:val="20"/>
        </w:rPr>
        <w:t>, and the Kyrgyz (Beckwith, 1987, p</w:t>
      </w:r>
      <w:r>
        <w:rPr>
          <w:rFonts w:asciiTheme="majorBidi" w:hAnsiTheme="majorBidi" w:cstheme="majorBidi"/>
          <w:sz w:val="20"/>
          <w:szCs w:val="20"/>
        </w:rPr>
        <w:t>. 157</w:t>
      </w:r>
      <w:r w:rsidRPr="004B11A3">
        <w:rPr>
          <w:rFonts w:asciiTheme="majorBidi" w:hAnsiTheme="majorBidi" w:cstheme="majorBidi"/>
          <w:sz w:val="20"/>
          <w:szCs w:val="20"/>
        </w:rPr>
        <w:t>; Wang, 2009, pp. 193-4).</w:t>
      </w:r>
      <w:r>
        <w:rPr>
          <w:rFonts w:asciiTheme="majorBidi" w:hAnsiTheme="majorBidi" w:cstheme="majorBidi"/>
          <w:sz w:val="20"/>
          <w:szCs w:val="20"/>
        </w:rPr>
        <w:t xml:space="preserve"> Actually, the Tibetan Empire had made attempts to penetrate to</w:t>
      </w:r>
      <w:r w:rsidRPr="003A503F">
        <w:rPr>
          <w:rFonts w:asciiTheme="majorBidi" w:hAnsiTheme="majorBidi" w:cstheme="majorBidi"/>
          <w:sz w:val="20"/>
          <w:szCs w:val="20"/>
        </w:rPr>
        <w:t xml:space="preserve"> Ṭukhāristān as early as 704 CE and to Farghānah in 715 CE though without much success</w:t>
      </w:r>
      <w:r>
        <w:rPr>
          <w:rFonts w:asciiTheme="majorBidi" w:hAnsiTheme="majorBidi" w:cstheme="majorBidi"/>
          <w:sz w:val="20"/>
          <w:szCs w:val="20"/>
        </w:rPr>
        <w:t xml:space="preserve"> (Dunlop, 1973, p. 304; Beckwith, 1987, pp. 69-70; Wang, 2009, pp. 130-1)</w:t>
      </w:r>
      <w:r w:rsidRPr="003A503F">
        <w:rPr>
          <w:rFonts w:asciiTheme="majorBidi" w:hAnsiTheme="majorBidi" w:cstheme="majorBidi"/>
          <w:sz w:val="20"/>
          <w:szCs w:val="20"/>
        </w:rPr>
        <w:t>.</w:t>
      </w:r>
      <w:r>
        <w:rPr>
          <w:rFonts w:asciiTheme="majorBidi" w:hAnsiTheme="majorBidi" w:cstheme="majorBidi"/>
          <w:sz w:val="20"/>
          <w:szCs w:val="20"/>
        </w:rPr>
        <w:t xml:space="preserve"> </w:t>
      </w:r>
    </w:p>
  </w:footnote>
  <w:footnote w:id="45">
    <w:p w14:paraId="36D929AD" w14:textId="66E6277A" w:rsidR="00902FCD" w:rsidRPr="00200CA6" w:rsidRDefault="00902FCD" w:rsidP="00200CA6">
      <w:pPr>
        <w:pStyle w:val="FootnoteText"/>
        <w:spacing w:line="360" w:lineRule="auto"/>
        <w:rPr>
          <w:rFonts w:asciiTheme="majorBidi" w:hAnsiTheme="majorBidi" w:cstheme="majorBidi"/>
          <w:sz w:val="20"/>
          <w:szCs w:val="20"/>
        </w:rPr>
      </w:pPr>
      <w:r w:rsidRPr="00200CA6">
        <w:rPr>
          <w:rFonts w:asciiTheme="majorBidi" w:hAnsiTheme="majorBidi" w:cstheme="majorBidi"/>
          <w:sz w:val="20"/>
          <w:szCs w:val="20"/>
          <w:vertAlign w:val="superscript"/>
        </w:rPr>
        <w:footnoteRef/>
      </w:r>
      <w:r w:rsidRPr="00200CA6">
        <w:rPr>
          <w:rFonts w:asciiTheme="majorBidi" w:hAnsiTheme="majorBidi" w:cstheme="majorBidi"/>
          <w:sz w:val="20"/>
          <w:szCs w:val="20"/>
          <w:vertAlign w:val="superscript"/>
        </w:rPr>
        <w:t xml:space="preserve"> </w:t>
      </w:r>
      <w:r w:rsidRPr="00200CA6">
        <w:rPr>
          <w:rFonts w:asciiTheme="majorBidi" w:hAnsiTheme="majorBidi" w:cstheme="majorBidi"/>
          <w:sz w:val="20"/>
          <w:szCs w:val="20"/>
        </w:rPr>
        <w:t xml:space="preserve">For the battles between the Uyghurs and the Tibetans, see Beckwith, 1987, pp. 151-6. </w:t>
      </w:r>
      <w:r>
        <w:rPr>
          <w:rFonts w:asciiTheme="majorBidi" w:hAnsiTheme="majorBidi" w:cstheme="majorBidi"/>
          <w:sz w:val="20"/>
          <w:szCs w:val="20"/>
        </w:rPr>
        <w:t xml:space="preserve">For </w:t>
      </w:r>
      <w:r w:rsidRPr="00531E59">
        <w:rPr>
          <w:rFonts w:asciiTheme="majorBidi" w:hAnsiTheme="majorBidi" w:cstheme="majorBidi"/>
          <w:sz w:val="20"/>
          <w:szCs w:val="20"/>
        </w:rPr>
        <w:t>a general study of the Uyghur Khag</w:t>
      </w:r>
      <w:r>
        <w:rPr>
          <w:rFonts w:asciiTheme="majorBidi" w:hAnsiTheme="majorBidi" w:cstheme="majorBidi"/>
          <w:sz w:val="20"/>
          <w:szCs w:val="20"/>
        </w:rPr>
        <w:t>a</w:t>
      </w:r>
      <w:r w:rsidRPr="00531E59">
        <w:rPr>
          <w:rFonts w:asciiTheme="majorBidi" w:hAnsiTheme="majorBidi" w:cstheme="majorBidi"/>
          <w:sz w:val="20"/>
          <w:szCs w:val="20"/>
        </w:rPr>
        <w:t>nate, see Mack</w:t>
      </w:r>
      <w:r>
        <w:rPr>
          <w:rFonts w:asciiTheme="majorBidi" w:hAnsiTheme="majorBidi" w:cstheme="majorBidi"/>
          <w:sz w:val="20"/>
          <w:szCs w:val="20"/>
        </w:rPr>
        <w:t>e</w:t>
      </w:r>
      <w:r w:rsidRPr="00531E59">
        <w:rPr>
          <w:rFonts w:asciiTheme="majorBidi" w:hAnsiTheme="majorBidi" w:cstheme="majorBidi"/>
          <w:sz w:val="20"/>
          <w:szCs w:val="20"/>
        </w:rPr>
        <w:t>rras, 1972.</w:t>
      </w:r>
    </w:p>
  </w:footnote>
  <w:footnote w:id="46">
    <w:p w14:paraId="1BD06EDF" w14:textId="5BB8E2A1" w:rsidR="00902FCD" w:rsidRPr="00531E59" w:rsidRDefault="00902FCD" w:rsidP="00531E59">
      <w:pPr>
        <w:pStyle w:val="FootnoteText"/>
        <w:spacing w:line="360" w:lineRule="auto"/>
        <w:rPr>
          <w:rFonts w:asciiTheme="majorBidi" w:hAnsiTheme="majorBidi" w:cstheme="majorBidi"/>
          <w:sz w:val="20"/>
          <w:szCs w:val="20"/>
        </w:rPr>
      </w:pPr>
      <w:r w:rsidRPr="00531E59">
        <w:rPr>
          <w:rFonts w:asciiTheme="majorBidi" w:hAnsiTheme="majorBidi" w:cstheme="majorBidi"/>
          <w:sz w:val="20"/>
          <w:szCs w:val="20"/>
          <w:vertAlign w:val="superscript"/>
        </w:rPr>
        <w:footnoteRef/>
      </w:r>
      <w:r>
        <w:rPr>
          <w:rFonts w:asciiTheme="majorBidi" w:hAnsiTheme="majorBidi" w:cstheme="majorBidi"/>
          <w:sz w:val="20"/>
          <w:szCs w:val="20"/>
        </w:rPr>
        <w:t xml:space="preserve"> For the tripartite relations between Nanzhao, the Tibetan Empire and the Tang, see Backus, 1981, 69-100; Marks, 1978, pp. 11-8, although mistakes are present in the study. For a general study of the Nanzhao kingdom, see Backus, 1981.</w:t>
      </w:r>
    </w:p>
  </w:footnote>
  <w:footnote w:id="47">
    <w:p w14:paraId="30F1A7A4" w14:textId="0A6669A5" w:rsidR="00902FCD" w:rsidRPr="00780168" w:rsidRDefault="00902FCD" w:rsidP="00780168">
      <w:pPr>
        <w:pStyle w:val="FootnoteText"/>
        <w:spacing w:line="360" w:lineRule="auto"/>
        <w:rPr>
          <w:rFonts w:asciiTheme="majorBidi" w:hAnsiTheme="majorBidi" w:cstheme="majorBidi"/>
          <w:sz w:val="20"/>
          <w:szCs w:val="20"/>
        </w:rPr>
      </w:pPr>
      <w:r w:rsidRPr="00780168">
        <w:rPr>
          <w:rFonts w:asciiTheme="majorBidi" w:hAnsiTheme="majorBidi" w:cstheme="majorBidi"/>
          <w:sz w:val="20"/>
          <w:szCs w:val="20"/>
          <w:vertAlign w:val="superscript"/>
        </w:rPr>
        <w:footnoteRef/>
      </w:r>
      <w:r w:rsidRPr="00780168">
        <w:rPr>
          <w:rFonts w:asciiTheme="majorBidi" w:hAnsiTheme="majorBidi" w:cstheme="majorBidi"/>
          <w:sz w:val="20"/>
          <w:szCs w:val="20"/>
        </w:rPr>
        <w:t xml:space="preserve"> </w:t>
      </w:r>
      <w:r>
        <w:rPr>
          <w:rFonts w:asciiTheme="majorBidi" w:hAnsiTheme="majorBidi" w:cstheme="majorBidi"/>
          <w:sz w:val="20"/>
          <w:szCs w:val="20"/>
        </w:rPr>
        <w:t>Beckwith, 1987, pp. 143-72; Wang, 2009, pp. 190-6. Li Mi (</w:t>
      </w:r>
      <w:r>
        <w:rPr>
          <w:rFonts w:asciiTheme="majorBidi" w:hAnsiTheme="majorBidi" w:cstheme="majorBidi" w:hint="eastAsia"/>
          <w:sz w:val="20"/>
          <w:szCs w:val="20"/>
          <w:lang w:bidi="ar-SY"/>
        </w:rPr>
        <w:t>李泌</w:t>
      </w:r>
      <w:r>
        <w:rPr>
          <w:rFonts w:asciiTheme="majorBidi" w:hAnsiTheme="majorBidi" w:cstheme="majorBidi"/>
          <w:sz w:val="20"/>
          <w:szCs w:val="20"/>
        </w:rPr>
        <w:t>) proposed in 785 CE to the Dezong Emperor (779-805 CE) to forge an alliance with the Uyghurs in the north, Nanzhao in the south and the Arabs in the west to confront the Tibetan Empire. Emissaries were sent to carry out the alliance, with Yang Liangyao (</w:t>
      </w:r>
      <w:r>
        <w:rPr>
          <w:rFonts w:asciiTheme="majorBidi" w:hAnsiTheme="majorBidi" w:cstheme="majorBidi" w:hint="eastAsia"/>
          <w:sz w:val="20"/>
          <w:szCs w:val="20"/>
        </w:rPr>
        <w:t>杨良瑶</w:t>
      </w:r>
      <w:r>
        <w:rPr>
          <w:rFonts w:asciiTheme="majorBidi" w:hAnsiTheme="majorBidi" w:cstheme="majorBidi"/>
          <w:sz w:val="20"/>
          <w:szCs w:val="20"/>
        </w:rPr>
        <w:t>) sailed for Baghdad. The Uyghurs responded positively in 787 CE; Nanzhao defected to the Tang in 793 CE; after Yang Liangyao’s mission, the Abbasid emissaries to the Tang court in 798 CE, and the Abbasids did fight intensively with the Tibetans (Beckwith, 1987, pp. 151-2; Wang, 2009, pp. 190-3; Schottenhammer, 2015, pp. 177-204). However, because of defect of positivce evidence, it is still not conclusive that the Abbasids engaged the Tibetans as a direct result of its alliance with the Tang.</w:t>
      </w:r>
    </w:p>
  </w:footnote>
  <w:footnote w:id="48">
    <w:p w14:paraId="5563B328" w14:textId="1528B43A" w:rsidR="00902FCD" w:rsidRPr="00F679E1" w:rsidRDefault="00902FCD" w:rsidP="00F679E1">
      <w:pPr>
        <w:pStyle w:val="FootnoteText"/>
        <w:spacing w:line="360" w:lineRule="auto"/>
        <w:rPr>
          <w:rFonts w:asciiTheme="majorBidi" w:hAnsiTheme="majorBidi" w:cstheme="majorBidi"/>
          <w:sz w:val="20"/>
          <w:szCs w:val="20"/>
        </w:rPr>
      </w:pPr>
      <w:r w:rsidRPr="00F679E1">
        <w:rPr>
          <w:rFonts w:asciiTheme="majorBidi" w:hAnsiTheme="majorBidi" w:cstheme="majorBidi"/>
          <w:sz w:val="20"/>
          <w:szCs w:val="20"/>
          <w:vertAlign w:val="superscript"/>
        </w:rPr>
        <w:footnoteRef/>
      </w:r>
      <w:r w:rsidRPr="00F679E1">
        <w:rPr>
          <w:rFonts w:asciiTheme="majorBidi" w:hAnsiTheme="majorBidi" w:cstheme="majorBidi"/>
          <w:sz w:val="20"/>
          <w:szCs w:val="20"/>
          <w:vertAlign w:val="superscript"/>
        </w:rPr>
        <w:t xml:space="preserve"> </w:t>
      </w:r>
      <w:r w:rsidRPr="00F679E1">
        <w:rPr>
          <w:rFonts w:asciiTheme="majorBidi" w:hAnsiTheme="majorBidi" w:cstheme="majorBidi"/>
          <w:sz w:val="20"/>
          <w:szCs w:val="20"/>
        </w:rPr>
        <w:t>After leaving Marw, Pērōz most probably went to the Yabghū’s court via Balkh.</w:t>
      </w:r>
    </w:p>
  </w:footnote>
  <w:footnote w:id="49">
    <w:p w14:paraId="1A66D7E3" w14:textId="61CFDD5B" w:rsidR="00902FCD" w:rsidRPr="00F679E1" w:rsidRDefault="00902FCD" w:rsidP="00F679E1">
      <w:pPr>
        <w:pStyle w:val="FootnoteText"/>
        <w:spacing w:line="360" w:lineRule="auto"/>
        <w:rPr>
          <w:rFonts w:asciiTheme="majorBidi" w:hAnsiTheme="majorBidi" w:cstheme="majorBidi"/>
          <w:sz w:val="20"/>
          <w:szCs w:val="20"/>
        </w:rPr>
      </w:pPr>
      <w:r w:rsidRPr="00F679E1">
        <w:rPr>
          <w:rFonts w:asciiTheme="majorBidi" w:hAnsiTheme="majorBidi" w:cstheme="majorBidi"/>
          <w:sz w:val="20"/>
          <w:szCs w:val="20"/>
          <w:vertAlign w:val="superscript"/>
        </w:rPr>
        <w:footnoteRef/>
      </w:r>
      <w:r w:rsidRPr="00F679E1">
        <w:rPr>
          <w:rFonts w:asciiTheme="majorBidi" w:hAnsiTheme="majorBidi" w:cstheme="majorBidi"/>
          <w:sz w:val="20"/>
          <w:szCs w:val="20"/>
        </w:rPr>
        <w:t xml:space="preserve"> Pērōz</w:t>
      </w:r>
      <w:r>
        <w:rPr>
          <w:rFonts w:asciiTheme="majorBidi" w:hAnsiTheme="majorBidi" w:cstheme="majorBidi"/>
          <w:sz w:val="20"/>
          <w:szCs w:val="20"/>
        </w:rPr>
        <w:t xml:space="preserve"> returned to Sīstān most probably by the route passing Balkh and Herat.</w:t>
      </w:r>
    </w:p>
  </w:footnote>
  <w:footnote w:id="50">
    <w:p w14:paraId="69BB160D" w14:textId="7FC69E6A" w:rsidR="00902FCD" w:rsidRPr="00250EE9" w:rsidRDefault="00902FCD" w:rsidP="00250EE9">
      <w:pPr>
        <w:pStyle w:val="FootnoteText"/>
        <w:spacing w:line="360" w:lineRule="auto"/>
        <w:rPr>
          <w:rFonts w:asciiTheme="majorBidi" w:hAnsiTheme="majorBidi" w:cstheme="majorBidi"/>
          <w:sz w:val="20"/>
          <w:szCs w:val="20"/>
        </w:rPr>
      </w:pPr>
      <w:r w:rsidRPr="00250EE9">
        <w:rPr>
          <w:rFonts w:asciiTheme="majorBidi" w:hAnsiTheme="majorBidi" w:cstheme="majorBidi"/>
          <w:sz w:val="20"/>
          <w:szCs w:val="20"/>
          <w:vertAlign w:val="superscript"/>
        </w:rPr>
        <w:footnoteRef/>
      </w:r>
      <w:r w:rsidRPr="00250EE9">
        <w:rPr>
          <w:rFonts w:asciiTheme="majorBidi" w:hAnsiTheme="majorBidi" w:cstheme="majorBidi"/>
          <w:sz w:val="20"/>
          <w:szCs w:val="20"/>
        </w:rPr>
        <w:t xml:space="preserve"> Both </w:t>
      </w:r>
      <w:r w:rsidRPr="00F679E1">
        <w:rPr>
          <w:rFonts w:asciiTheme="majorBidi" w:hAnsiTheme="majorBidi" w:cstheme="majorBidi"/>
          <w:sz w:val="20"/>
          <w:szCs w:val="20"/>
        </w:rPr>
        <w:t>Pērōz</w:t>
      </w:r>
      <w:r>
        <w:rPr>
          <w:rFonts w:asciiTheme="majorBidi" w:hAnsiTheme="majorBidi" w:cstheme="majorBidi"/>
          <w:sz w:val="20"/>
          <w:szCs w:val="20"/>
        </w:rPr>
        <w:t xml:space="preserve"> and Narseh most probably left Ṭukhāristān from Badakhshān, which leads to the Wakhon Corridor and the Tarim Basin.</w:t>
      </w:r>
    </w:p>
  </w:footnote>
  <w:footnote w:id="51">
    <w:p w14:paraId="2A0CAACC" w14:textId="63112D87" w:rsidR="00902FCD" w:rsidRPr="00067C6D" w:rsidRDefault="00902FCD" w:rsidP="00300168">
      <w:pPr>
        <w:pStyle w:val="FootnoteText"/>
        <w:spacing w:line="360" w:lineRule="auto"/>
        <w:rPr>
          <w:rFonts w:asciiTheme="majorBidi" w:hAnsiTheme="majorBidi" w:cstheme="majorBidi"/>
          <w:sz w:val="20"/>
          <w:szCs w:val="20"/>
        </w:rPr>
      </w:pPr>
      <w:r w:rsidRPr="00067C6D">
        <w:rPr>
          <w:rStyle w:val="FootnoteReference"/>
          <w:rFonts w:asciiTheme="majorBidi" w:hAnsiTheme="majorBidi" w:cstheme="majorBidi"/>
          <w:sz w:val="20"/>
          <w:szCs w:val="20"/>
        </w:rPr>
        <w:footnoteRef/>
      </w:r>
      <w:r w:rsidRPr="00067C6D">
        <w:rPr>
          <w:rFonts w:asciiTheme="majorBidi" w:hAnsiTheme="majorBidi" w:cstheme="majorBidi"/>
          <w:sz w:val="20"/>
          <w:szCs w:val="20"/>
        </w:rPr>
        <w:t xml:space="preserve"> The Muslim geographies </w:t>
      </w:r>
      <w:r>
        <w:rPr>
          <w:rFonts w:asciiTheme="majorBidi" w:hAnsiTheme="majorBidi" w:cstheme="majorBidi"/>
          <w:sz w:val="20"/>
          <w:szCs w:val="20"/>
        </w:rPr>
        <w:t xml:space="preserve">mainly </w:t>
      </w:r>
      <w:r w:rsidRPr="00067C6D">
        <w:rPr>
          <w:rFonts w:asciiTheme="majorBidi" w:hAnsiTheme="majorBidi" w:cstheme="majorBidi"/>
          <w:sz w:val="20"/>
          <w:szCs w:val="20"/>
        </w:rPr>
        <w:t xml:space="preserve">include </w:t>
      </w:r>
      <w:r w:rsidRPr="00067C6D">
        <w:rPr>
          <w:rFonts w:asciiTheme="majorBidi" w:hAnsiTheme="majorBidi" w:cstheme="majorBidi"/>
          <w:i/>
          <w:iCs/>
          <w:sz w:val="20"/>
          <w:szCs w:val="20"/>
        </w:rPr>
        <w:t>Kitāb al-Buldān</w:t>
      </w:r>
      <w:r w:rsidRPr="00067C6D">
        <w:rPr>
          <w:rFonts w:asciiTheme="majorBidi" w:hAnsiTheme="majorBidi" w:cstheme="majorBidi"/>
          <w:sz w:val="20"/>
          <w:szCs w:val="20"/>
        </w:rPr>
        <w:t xml:space="preserve"> by al-</w:t>
      </w:r>
      <w:proofErr w:type="gramStart"/>
      <w:r w:rsidRPr="00067C6D">
        <w:rPr>
          <w:rFonts w:asciiTheme="majorBidi" w:hAnsiTheme="majorBidi" w:cstheme="majorBidi"/>
          <w:sz w:val="20"/>
          <w:szCs w:val="20"/>
        </w:rPr>
        <w:t>Ya‘</w:t>
      </w:r>
      <w:proofErr w:type="gramEnd"/>
      <w:r w:rsidRPr="00067C6D">
        <w:rPr>
          <w:rFonts w:asciiTheme="majorBidi" w:hAnsiTheme="majorBidi" w:cstheme="majorBidi"/>
          <w:sz w:val="20"/>
          <w:szCs w:val="20"/>
        </w:rPr>
        <w:t>qūbī</w:t>
      </w:r>
      <w:r>
        <w:rPr>
          <w:rFonts w:asciiTheme="majorBidi" w:hAnsiTheme="majorBidi" w:cstheme="majorBidi"/>
          <w:sz w:val="20"/>
          <w:szCs w:val="20"/>
        </w:rPr>
        <w:t xml:space="preserve">, </w:t>
      </w:r>
      <w:r w:rsidRPr="00067C6D">
        <w:rPr>
          <w:rFonts w:asciiTheme="majorBidi" w:hAnsiTheme="majorBidi" w:cstheme="majorBidi"/>
          <w:i/>
          <w:iCs/>
          <w:sz w:val="20"/>
          <w:szCs w:val="20"/>
        </w:rPr>
        <w:t>Kitāb al-Masālik va-Mamālik</w:t>
      </w:r>
      <w:r w:rsidRPr="00067C6D">
        <w:rPr>
          <w:rFonts w:asciiTheme="majorBidi" w:hAnsiTheme="majorBidi" w:cstheme="majorBidi"/>
          <w:sz w:val="20"/>
          <w:szCs w:val="20"/>
        </w:rPr>
        <w:t xml:space="preserve"> by al-Istakhrī (d. after 952 CE), </w:t>
      </w:r>
      <w:r w:rsidRPr="00067C6D">
        <w:rPr>
          <w:rFonts w:asciiTheme="majorBidi" w:hAnsiTheme="majorBidi" w:cstheme="majorBidi"/>
          <w:i/>
          <w:iCs/>
          <w:sz w:val="20"/>
          <w:szCs w:val="20"/>
        </w:rPr>
        <w:t>Kitāb al-Masālik va-Mamālik</w:t>
      </w:r>
      <w:r w:rsidRPr="00067C6D">
        <w:rPr>
          <w:rFonts w:asciiTheme="majorBidi" w:hAnsiTheme="majorBidi" w:cstheme="majorBidi"/>
          <w:sz w:val="20"/>
          <w:szCs w:val="20"/>
        </w:rPr>
        <w:t xml:space="preserve"> by </w:t>
      </w:r>
      <w:r>
        <w:rPr>
          <w:rFonts w:asciiTheme="majorBidi" w:hAnsiTheme="majorBidi" w:cstheme="majorBidi"/>
          <w:sz w:val="20"/>
          <w:szCs w:val="20"/>
        </w:rPr>
        <w:t>Ibn</w:t>
      </w:r>
      <w:r w:rsidRPr="00067C6D">
        <w:rPr>
          <w:rFonts w:asciiTheme="majorBidi" w:hAnsiTheme="majorBidi" w:cstheme="majorBidi"/>
          <w:sz w:val="20"/>
          <w:szCs w:val="20"/>
        </w:rPr>
        <w:t xml:space="preserve"> al- Ḥawqal (d. after 978 CE), </w:t>
      </w:r>
      <w:r w:rsidRPr="00067C6D">
        <w:rPr>
          <w:rFonts w:asciiTheme="majorBidi" w:hAnsiTheme="majorBidi" w:cstheme="majorBidi"/>
          <w:i/>
          <w:iCs/>
          <w:color w:val="202122"/>
          <w:sz w:val="20"/>
          <w:szCs w:val="20"/>
          <w:shd w:val="clear" w:color="auto" w:fill="FFFFFF"/>
        </w:rPr>
        <w:t>Aḥsan al-taqāsīm fī maʿrifat al-aqālīm</w:t>
      </w:r>
      <w:r w:rsidRPr="00067C6D">
        <w:rPr>
          <w:rFonts w:asciiTheme="majorBidi" w:hAnsiTheme="majorBidi" w:cstheme="majorBidi"/>
          <w:sz w:val="20"/>
          <w:szCs w:val="20"/>
        </w:rPr>
        <w:t xml:space="preserve"> by al-Muqaddasī (d. 991 CE), the anonymous Persian geography </w:t>
      </w:r>
      <w:r w:rsidRPr="00067C6D">
        <w:rPr>
          <w:rFonts w:asciiTheme="majorBidi" w:hAnsiTheme="majorBidi" w:cstheme="majorBidi"/>
          <w:i/>
          <w:iCs/>
          <w:color w:val="202122"/>
          <w:sz w:val="20"/>
          <w:szCs w:val="20"/>
          <w:shd w:val="clear" w:color="auto" w:fill="FFFFFF"/>
        </w:rPr>
        <w:t xml:space="preserve">Ḥudūd al-ʿĀlam </w:t>
      </w:r>
      <w:r w:rsidRPr="00067C6D">
        <w:rPr>
          <w:rFonts w:asciiTheme="majorBidi" w:hAnsiTheme="majorBidi" w:cstheme="majorBidi"/>
          <w:sz w:val="20"/>
          <w:szCs w:val="20"/>
        </w:rPr>
        <w:t>(published in 982 CE), and so on.</w:t>
      </w:r>
      <w:r>
        <w:rPr>
          <w:rFonts w:asciiTheme="majorBidi" w:hAnsiTheme="majorBidi" w:cstheme="majorBidi"/>
          <w:sz w:val="20"/>
          <w:szCs w:val="20"/>
        </w:rPr>
        <w:t xml:space="preserve"> These Muslim geographies keep detailed records of the subregions, cities and routes of</w:t>
      </w:r>
      <w:r w:rsidRPr="00300168">
        <w:rPr>
          <w:rFonts w:asciiTheme="majorBidi" w:hAnsiTheme="majorBidi" w:cstheme="majorBidi"/>
          <w:sz w:val="20"/>
          <w:szCs w:val="20"/>
        </w:rPr>
        <w:t xml:space="preserve"> Ṭukhāristān</w:t>
      </w:r>
      <w:r>
        <w:rPr>
          <w:rFonts w:asciiTheme="majorBidi" w:hAnsiTheme="majorBidi" w:cstheme="majorBidi"/>
          <w:sz w:val="20"/>
          <w:szCs w:val="20"/>
        </w:rPr>
        <w:t xml:space="preserve">. </w:t>
      </w:r>
    </w:p>
  </w:footnote>
  <w:footnote w:id="52">
    <w:p w14:paraId="1D022F56" w14:textId="77777777" w:rsidR="00902FCD" w:rsidRPr="00067C6D" w:rsidRDefault="00902FCD" w:rsidP="00300168">
      <w:pPr>
        <w:pStyle w:val="FootnoteText"/>
        <w:spacing w:line="360" w:lineRule="auto"/>
        <w:rPr>
          <w:rFonts w:asciiTheme="majorBidi" w:hAnsiTheme="majorBidi" w:cstheme="majorBidi"/>
          <w:sz w:val="20"/>
          <w:szCs w:val="20"/>
        </w:rPr>
      </w:pPr>
      <w:r w:rsidRPr="00067C6D">
        <w:rPr>
          <w:rFonts w:asciiTheme="majorBidi" w:hAnsiTheme="majorBidi" w:cstheme="majorBidi"/>
          <w:sz w:val="20"/>
          <w:szCs w:val="20"/>
          <w:vertAlign w:val="superscript"/>
        </w:rPr>
        <w:footnoteRef/>
      </w:r>
      <w:r w:rsidRPr="00067C6D">
        <w:rPr>
          <w:rFonts w:asciiTheme="majorBidi" w:hAnsiTheme="majorBidi" w:cstheme="majorBidi"/>
          <w:sz w:val="20"/>
          <w:szCs w:val="20"/>
        </w:rPr>
        <w:t xml:space="preserve"> </w:t>
      </w:r>
      <w:r>
        <w:rPr>
          <w:rFonts w:asciiTheme="majorBidi" w:hAnsiTheme="majorBidi" w:cstheme="majorBidi"/>
          <w:sz w:val="20"/>
          <w:szCs w:val="20"/>
        </w:rPr>
        <w:t>For a detailed explanation of the geographical information contained in the Bactrian documents, see Sims-Williams’ study in 2018, pp. 11-4.</w:t>
      </w:r>
    </w:p>
  </w:footnote>
  <w:footnote w:id="53">
    <w:p w14:paraId="577C36C1" w14:textId="77777777" w:rsidR="00902FCD" w:rsidRDefault="00902FCD" w:rsidP="009275E2">
      <w:pPr>
        <w:pStyle w:val="FootnoteText"/>
        <w:spacing w:line="360" w:lineRule="auto"/>
        <w:rPr>
          <w:rFonts w:asciiTheme="majorBidi" w:hAnsiTheme="majorBidi" w:cstheme="majorBidi"/>
          <w:sz w:val="20"/>
          <w:szCs w:val="20"/>
        </w:rPr>
      </w:pPr>
      <w:r w:rsidRPr="00962DFE">
        <w:rPr>
          <w:rFonts w:asciiTheme="majorBidi" w:hAnsiTheme="majorBidi" w:cstheme="majorBidi"/>
          <w:sz w:val="20"/>
          <w:szCs w:val="20"/>
          <w:vertAlign w:val="superscript"/>
        </w:rPr>
        <w:footnoteRef/>
      </w:r>
      <w:r w:rsidRPr="00962DFE">
        <w:rPr>
          <w:rFonts w:asciiTheme="majorBidi" w:hAnsiTheme="majorBidi" w:cstheme="majorBidi"/>
          <w:sz w:val="20"/>
          <w:szCs w:val="20"/>
        </w:rPr>
        <w:t xml:space="preserve"> </w:t>
      </w:r>
      <w:r w:rsidRPr="00C4487F">
        <w:rPr>
          <w:rFonts w:asciiTheme="majorBidi" w:hAnsiTheme="majorBidi" w:cstheme="majorBidi"/>
          <w:sz w:val="20"/>
          <w:szCs w:val="20"/>
        </w:rPr>
        <w:t>Huichao</w:t>
      </w:r>
      <w:r>
        <w:rPr>
          <w:rFonts w:asciiTheme="majorBidi" w:hAnsiTheme="majorBidi" w:cstheme="majorBidi"/>
          <w:sz w:val="20"/>
          <w:szCs w:val="20"/>
        </w:rPr>
        <w:t xml:space="preserve">'s </w:t>
      </w:r>
      <w:r w:rsidRPr="00C4487F">
        <w:rPr>
          <w:rFonts w:asciiTheme="majorBidi" w:hAnsiTheme="majorBidi" w:cstheme="majorBidi"/>
          <w:sz w:val="20"/>
          <w:szCs w:val="20"/>
        </w:rPr>
        <w:t xml:space="preserve">travelogue </w:t>
      </w:r>
      <w:r w:rsidRPr="00C4487F">
        <w:rPr>
          <w:rFonts w:asciiTheme="majorBidi" w:hAnsiTheme="majorBidi" w:cstheme="majorBidi"/>
          <w:i/>
          <w:iCs/>
          <w:sz w:val="20"/>
          <w:szCs w:val="20"/>
        </w:rPr>
        <w:t>Hye Ch'o Diary: A Memoir of the Pilgrimage to the Five Regions of India</w:t>
      </w:r>
      <w:r>
        <w:rPr>
          <w:rFonts w:asciiTheme="majorBidi" w:hAnsiTheme="majorBidi" w:cstheme="majorBidi"/>
          <w:sz w:val="20"/>
          <w:szCs w:val="20"/>
        </w:rPr>
        <w:t xml:space="preserve"> (</w:t>
      </w:r>
      <w:r>
        <w:rPr>
          <w:rFonts w:asciiTheme="majorBidi" w:hAnsiTheme="majorBidi" w:cstheme="majorBidi" w:hint="eastAsia"/>
          <w:sz w:val="20"/>
          <w:szCs w:val="20"/>
        </w:rPr>
        <w:t>慧超往五天竺国记</w:t>
      </w:r>
      <w:r>
        <w:rPr>
          <w:rFonts w:asciiTheme="majorBidi" w:hAnsiTheme="majorBidi" w:cstheme="majorBidi"/>
          <w:sz w:val="20"/>
          <w:szCs w:val="20"/>
        </w:rPr>
        <w:t xml:space="preserve">) </w:t>
      </w:r>
      <w:r w:rsidRPr="00C4487F">
        <w:rPr>
          <w:rFonts w:asciiTheme="majorBidi" w:hAnsiTheme="majorBidi" w:cstheme="majorBidi"/>
          <w:sz w:val="20"/>
          <w:szCs w:val="20"/>
        </w:rPr>
        <w:t>was lost until its recovery from Dunhuang in 1905 by Paul Pelliot.</w:t>
      </w:r>
    </w:p>
    <w:p w14:paraId="33920FFC" w14:textId="260E9464" w:rsidR="00902FCD" w:rsidRPr="00962DFE" w:rsidRDefault="00902FCD" w:rsidP="009275E2">
      <w:pPr>
        <w:pStyle w:val="FootnoteText"/>
        <w:spacing w:line="360" w:lineRule="auto"/>
        <w:rPr>
          <w:rFonts w:asciiTheme="majorBidi" w:hAnsiTheme="majorBidi" w:cstheme="majorBidi"/>
          <w:sz w:val="20"/>
          <w:szCs w:val="20"/>
        </w:rPr>
      </w:pPr>
      <w:r>
        <w:rPr>
          <w:rFonts w:asciiTheme="majorBidi" w:hAnsiTheme="majorBidi" w:cstheme="majorBidi"/>
          <w:sz w:val="20"/>
          <w:szCs w:val="20"/>
        </w:rPr>
        <w:t xml:space="preserve">The geograhical information of the two dynastic histories of the Tang is found in </w:t>
      </w:r>
      <w:r w:rsidRPr="00962DFE">
        <w:rPr>
          <w:rFonts w:asciiTheme="majorBidi" w:hAnsiTheme="majorBidi" w:cstheme="majorBidi"/>
          <w:sz w:val="20"/>
          <w:szCs w:val="20"/>
        </w:rPr>
        <w:t xml:space="preserve">the </w:t>
      </w:r>
      <w:r>
        <w:rPr>
          <w:rFonts w:asciiTheme="majorBidi" w:hAnsiTheme="majorBidi" w:cstheme="majorBidi"/>
          <w:sz w:val="20"/>
          <w:szCs w:val="20"/>
        </w:rPr>
        <w:t xml:space="preserve">entries of the </w:t>
      </w:r>
      <w:r w:rsidRPr="00962DFE">
        <w:rPr>
          <w:rFonts w:asciiTheme="majorBidi" w:hAnsiTheme="majorBidi" w:cstheme="majorBidi"/>
          <w:sz w:val="20"/>
          <w:szCs w:val="20"/>
        </w:rPr>
        <w:t xml:space="preserve">political entities </w:t>
      </w:r>
      <w:r>
        <w:rPr>
          <w:rFonts w:asciiTheme="majorBidi" w:hAnsiTheme="majorBidi" w:cstheme="majorBidi"/>
          <w:sz w:val="20"/>
          <w:szCs w:val="20"/>
        </w:rPr>
        <w:t xml:space="preserve">in </w:t>
      </w:r>
      <w:r w:rsidRPr="009275E2">
        <w:rPr>
          <w:rFonts w:asciiTheme="majorBidi" w:hAnsiTheme="majorBidi" w:cstheme="majorBidi"/>
          <w:sz w:val="20"/>
          <w:szCs w:val="20"/>
        </w:rPr>
        <w:t xml:space="preserve">Ṭukhāristān </w:t>
      </w:r>
      <w:r w:rsidRPr="00962DFE">
        <w:rPr>
          <w:rFonts w:asciiTheme="majorBidi" w:hAnsiTheme="majorBidi" w:cstheme="majorBidi"/>
          <w:sz w:val="20"/>
          <w:szCs w:val="20"/>
        </w:rPr>
        <w:t xml:space="preserve">and </w:t>
      </w:r>
      <w:r>
        <w:rPr>
          <w:rFonts w:asciiTheme="majorBidi" w:hAnsiTheme="majorBidi" w:cstheme="majorBidi"/>
          <w:sz w:val="20"/>
          <w:szCs w:val="20"/>
        </w:rPr>
        <w:t xml:space="preserve">in </w:t>
      </w:r>
      <w:r w:rsidRPr="00962DFE">
        <w:rPr>
          <w:rFonts w:asciiTheme="majorBidi" w:hAnsiTheme="majorBidi" w:cstheme="majorBidi"/>
          <w:sz w:val="20"/>
          <w:szCs w:val="20"/>
        </w:rPr>
        <w:t>the geographical monographs.</w:t>
      </w:r>
    </w:p>
  </w:footnote>
  <w:footnote w:id="54">
    <w:p w14:paraId="057BF7D0" w14:textId="77777777" w:rsidR="00902FCD" w:rsidRPr="00683089" w:rsidRDefault="00902FCD" w:rsidP="00300168">
      <w:pPr>
        <w:pStyle w:val="FootnoteText"/>
        <w:spacing w:line="360" w:lineRule="auto"/>
        <w:rPr>
          <w:rFonts w:asciiTheme="majorBidi" w:hAnsiTheme="majorBidi" w:cstheme="majorBidi"/>
          <w:sz w:val="20"/>
          <w:szCs w:val="20"/>
        </w:rPr>
      </w:pPr>
      <w:r w:rsidRPr="00683089">
        <w:rPr>
          <w:rStyle w:val="FootnoteReference"/>
          <w:rFonts w:asciiTheme="majorBidi" w:hAnsiTheme="majorBidi" w:cstheme="majorBidi"/>
          <w:sz w:val="20"/>
          <w:szCs w:val="20"/>
        </w:rPr>
        <w:footnoteRef/>
      </w:r>
      <w:r w:rsidRPr="00683089">
        <w:rPr>
          <w:rFonts w:asciiTheme="majorBidi" w:hAnsiTheme="majorBidi" w:cstheme="majorBidi"/>
          <w:sz w:val="20"/>
          <w:szCs w:val="20"/>
        </w:rPr>
        <w:t xml:space="preserve"> Xuanzang, 2000</w:t>
      </w:r>
      <w:r>
        <w:rPr>
          <w:rFonts w:asciiTheme="majorBidi" w:hAnsiTheme="majorBidi" w:cstheme="majorBidi"/>
          <w:sz w:val="20"/>
          <w:szCs w:val="20"/>
        </w:rPr>
        <w:t>, pp.</w:t>
      </w:r>
      <w:r w:rsidRPr="00683089">
        <w:rPr>
          <w:rFonts w:asciiTheme="majorBidi" w:hAnsiTheme="majorBidi" w:cstheme="majorBidi"/>
          <w:sz w:val="20"/>
          <w:szCs w:val="20"/>
        </w:rPr>
        <w:t xml:space="preserve"> 100</w:t>
      </w:r>
      <w:r>
        <w:rPr>
          <w:rFonts w:asciiTheme="majorBidi" w:hAnsiTheme="majorBidi" w:cstheme="majorBidi"/>
          <w:sz w:val="20"/>
          <w:szCs w:val="20"/>
        </w:rPr>
        <w:t>, 103</w:t>
      </w:r>
      <w:r w:rsidRPr="00683089">
        <w:rPr>
          <w:rFonts w:asciiTheme="majorBidi" w:hAnsiTheme="majorBidi" w:cstheme="majorBidi"/>
          <w:sz w:val="20"/>
          <w:szCs w:val="20"/>
        </w:rPr>
        <w:t xml:space="preserve">; </w:t>
      </w:r>
      <w:r>
        <w:rPr>
          <w:rFonts w:asciiTheme="majorBidi" w:hAnsiTheme="majorBidi" w:cstheme="majorBidi"/>
          <w:sz w:val="20"/>
          <w:szCs w:val="20"/>
        </w:rPr>
        <w:t>tr.</w:t>
      </w:r>
      <w:r w:rsidRPr="00683089">
        <w:rPr>
          <w:rFonts w:asciiTheme="majorBidi" w:hAnsiTheme="majorBidi" w:cstheme="majorBidi"/>
          <w:sz w:val="20"/>
          <w:szCs w:val="20"/>
        </w:rPr>
        <w:t xml:space="preserve">, Li, </w:t>
      </w:r>
      <w:r>
        <w:rPr>
          <w:rFonts w:asciiTheme="majorBidi" w:hAnsiTheme="majorBidi" w:cstheme="majorBidi"/>
          <w:sz w:val="20"/>
          <w:szCs w:val="20"/>
        </w:rPr>
        <w:t>1996</w:t>
      </w:r>
      <w:r w:rsidRPr="00683089">
        <w:rPr>
          <w:rFonts w:asciiTheme="majorBidi" w:hAnsiTheme="majorBidi" w:cstheme="majorBidi"/>
          <w:sz w:val="20"/>
          <w:szCs w:val="20"/>
        </w:rPr>
        <w:t>, p</w:t>
      </w:r>
      <w:r>
        <w:rPr>
          <w:rFonts w:asciiTheme="majorBidi" w:hAnsiTheme="majorBidi" w:cstheme="majorBidi"/>
          <w:sz w:val="20"/>
          <w:szCs w:val="20"/>
        </w:rPr>
        <w:t>p</w:t>
      </w:r>
      <w:r w:rsidRPr="00683089">
        <w:rPr>
          <w:rFonts w:asciiTheme="majorBidi" w:hAnsiTheme="majorBidi" w:cstheme="majorBidi"/>
          <w:sz w:val="20"/>
          <w:szCs w:val="20"/>
        </w:rPr>
        <w:t>. 25</w:t>
      </w:r>
      <w:r>
        <w:rPr>
          <w:rFonts w:asciiTheme="majorBidi" w:hAnsiTheme="majorBidi" w:cstheme="majorBidi"/>
          <w:sz w:val="20"/>
          <w:szCs w:val="20"/>
        </w:rPr>
        <w:t xml:space="preserve">-6; Huili &amp; Yancong, 2000, p. 30; </w:t>
      </w:r>
      <w:r w:rsidRPr="00683089">
        <w:rPr>
          <w:rFonts w:asciiTheme="majorBidi" w:hAnsiTheme="majorBidi" w:cstheme="majorBidi"/>
          <w:sz w:val="20"/>
          <w:szCs w:val="20"/>
        </w:rPr>
        <w:t>Barthold, 19</w:t>
      </w:r>
      <w:r>
        <w:rPr>
          <w:rFonts w:asciiTheme="majorBidi" w:hAnsiTheme="majorBidi" w:cstheme="majorBidi"/>
          <w:sz w:val="20"/>
          <w:szCs w:val="20"/>
        </w:rPr>
        <w:t>28</w:t>
      </w:r>
      <w:r w:rsidRPr="00683089">
        <w:rPr>
          <w:rFonts w:asciiTheme="majorBidi" w:hAnsiTheme="majorBidi" w:cstheme="majorBidi"/>
          <w:sz w:val="20"/>
          <w:szCs w:val="20"/>
        </w:rPr>
        <w:t>, p. 66; 1984, p. 18; Le Strange, 1930, pp. 426-7.</w:t>
      </w:r>
      <w:r w:rsidRPr="00704028">
        <w:rPr>
          <w:rFonts w:asciiTheme="majorBidi" w:hAnsiTheme="majorBidi" w:cstheme="majorBidi"/>
          <w:sz w:val="20"/>
          <w:szCs w:val="20"/>
        </w:rPr>
        <w:t xml:space="preserve"> </w:t>
      </w:r>
      <w:r w:rsidRPr="00683089">
        <w:rPr>
          <w:rFonts w:asciiTheme="majorBidi" w:hAnsiTheme="majorBidi" w:cstheme="majorBidi"/>
          <w:sz w:val="20"/>
          <w:szCs w:val="20"/>
        </w:rPr>
        <w:t xml:space="preserve">Tirmidh </w:t>
      </w:r>
      <w:r>
        <w:rPr>
          <w:rFonts w:asciiTheme="majorBidi" w:hAnsiTheme="majorBidi" w:cstheme="majorBidi"/>
          <w:sz w:val="20"/>
          <w:szCs w:val="20"/>
        </w:rPr>
        <w:t>was</w:t>
      </w:r>
      <w:r w:rsidRPr="00683089">
        <w:rPr>
          <w:rFonts w:asciiTheme="majorBidi" w:hAnsiTheme="majorBidi" w:cstheme="majorBidi"/>
          <w:sz w:val="20"/>
          <w:szCs w:val="20"/>
        </w:rPr>
        <w:t xml:space="preserve"> a famous crossing </w:t>
      </w:r>
      <w:r>
        <w:rPr>
          <w:rFonts w:asciiTheme="majorBidi" w:hAnsiTheme="majorBidi" w:cstheme="majorBidi"/>
          <w:sz w:val="20"/>
          <w:szCs w:val="20"/>
        </w:rPr>
        <w:t>point of t</w:t>
      </w:r>
      <w:r w:rsidRPr="00683089">
        <w:rPr>
          <w:rFonts w:asciiTheme="majorBidi" w:hAnsiTheme="majorBidi" w:cstheme="majorBidi"/>
          <w:sz w:val="20"/>
          <w:szCs w:val="20"/>
        </w:rPr>
        <w:t>he Oxus</w:t>
      </w:r>
      <w:r>
        <w:rPr>
          <w:rFonts w:asciiTheme="majorBidi" w:hAnsiTheme="majorBidi" w:cstheme="majorBidi"/>
          <w:sz w:val="20"/>
          <w:szCs w:val="20"/>
        </w:rPr>
        <w:t xml:space="preserve"> with a journey of</w:t>
      </w:r>
      <w:r w:rsidRPr="00683089">
        <w:rPr>
          <w:rFonts w:asciiTheme="majorBidi" w:hAnsiTheme="majorBidi" w:cstheme="majorBidi"/>
          <w:sz w:val="20"/>
          <w:szCs w:val="20"/>
        </w:rPr>
        <w:t xml:space="preserve"> two days to Balkh (</w:t>
      </w:r>
      <w:r>
        <w:rPr>
          <w:rFonts w:asciiTheme="majorBidi" w:hAnsiTheme="majorBidi" w:cstheme="majorBidi"/>
          <w:sz w:val="20"/>
          <w:szCs w:val="20"/>
        </w:rPr>
        <w:t>Ibn</w:t>
      </w:r>
      <w:r w:rsidRPr="00683089">
        <w:rPr>
          <w:rFonts w:asciiTheme="majorBidi" w:hAnsiTheme="majorBidi" w:cstheme="majorBidi"/>
          <w:sz w:val="20"/>
          <w:szCs w:val="20"/>
        </w:rPr>
        <w:t xml:space="preserve"> Ḥawqal, 1872, pp. 331-2; </w:t>
      </w:r>
      <w:r>
        <w:rPr>
          <w:rFonts w:asciiTheme="majorBidi" w:hAnsiTheme="majorBidi" w:cstheme="majorBidi"/>
          <w:sz w:val="20"/>
          <w:szCs w:val="20"/>
        </w:rPr>
        <w:t>tr.</w:t>
      </w:r>
      <w:r w:rsidRPr="00683089">
        <w:rPr>
          <w:rFonts w:asciiTheme="majorBidi" w:hAnsiTheme="majorBidi" w:cstheme="majorBidi"/>
          <w:sz w:val="20"/>
          <w:szCs w:val="20"/>
        </w:rPr>
        <w:t xml:space="preserve">, 1800, p. 228: </w:t>
      </w:r>
      <w:r w:rsidRPr="00683089">
        <w:rPr>
          <w:rFonts w:asciiTheme="majorBidi" w:hAnsiTheme="majorBidi" w:cstheme="majorBidi"/>
          <w:sz w:val="20"/>
          <w:szCs w:val="20"/>
          <w:rtl/>
          <w:lang w:bidi="ar-JO"/>
        </w:rPr>
        <w:t>ومن بلخ الى شط جيحون في طريق الترمذ يومان</w:t>
      </w:r>
      <w:r w:rsidRPr="00683089">
        <w:rPr>
          <w:rFonts w:asciiTheme="majorBidi" w:hAnsiTheme="majorBidi" w:cstheme="majorBidi"/>
          <w:sz w:val="20"/>
          <w:szCs w:val="20"/>
        </w:rPr>
        <w:t>).</w:t>
      </w:r>
    </w:p>
  </w:footnote>
  <w:footnote w:id="55">
    <w:p w14:paraId="37262AD1" w14:textId="300DDC02" w:rsidR="00902FCD" w:rsidRPr="00D4690A" w:rsidRDefault="00902FCD" w:rsidP="00D4690A">
      <w:pPr>
        <w:pStyle w:val="FootnoteText"/>
        <w:spacing w:line="360" w:lineRule="auto"/>
        <w:rPr>
          <w:rFonts w:asciiTheme="majorBidi" w:hAnsiTheme="majorBidi" w:cstheme="majorBidi"/>
          <w:sz w:val="20"/>
          <w:szCs w:val="20"/>
        </w:rPr>
      </w:pPr>
      <w:r w:rsidRPr="00D4690A">
        <w:rPr>
          <w:rFonts w:asciiTheme="majorBidi" w:hAnsiTheme="majorBidi" w:cstheme="majorBidi"/>
          <w:sz w:val="20"/>
          <w:szCs w:val="20"/>
          <w:vertAlign w:val="superscript"/>
        </w:rPr>
        <w:footnoteRef/>
      </w:r>
      <w:r w:rsidRPr="00D4690A">
        <w:rPr>
          <w:rFonts w:asciiTheme="majorBidi" w:hAnsiTheme="majorBidi" w:cstheme="majorBidi"/>
          <w:sz w:val="20"/>
          <w:szCs w:val="20"/>
        </w:rPr>
        <w:t xml:space="preserve"> </w:t>
      </w:r>
      <w:r w:rsidRPr="006C4861">
        <w:rPr>
          <w:rFonts w:asciiTheme="majorBidi" w:hAnsiTheme="majorBidi" w:cstheme="majorBidi"/>
          <w:sz w:val="20"/>
          <w:szCs w:val="20"/>
        </w:rPr>
        <w:t>Akharūn and Shūmān</w:t>
      </w:r>
      <w:r w:rsidRPr="00D4690A">
        <w:rPr>
          <w:rFonts w:asciiTheme="majorBidi" w:hAnsiTheme="majorBidi" w:cstheme="majorBidi"/>
          <w:sz w:val="20"/>
          <w:szCs w:val="20"/>
        </w:rPr>
        <w:t xml:space="preserve"> are at the at the upper stream of Kafirnihān and close to modern Dushanbe.</w:t>
      </w:r>
    </w:p>
  </w:footnote>
  <w:footnote w:id="56">
    <w:p w14:paraId="4DC2E682" w14:textId="48E404D4" w:rsidR="00902FCD" w:rsidRPr="00683089" w:rsidRDefault="00902FCD" w:rsidP="008D3D4F">
      <w:pPr>
        <w:pStyle w:val="FootnoteText"/>
        <w:spacing w:line="360" w:lineRule="auto"/>
        <w:rPr>
          <w:rFonts w:asciiTheme="majorBidi" w:hAnsiTheme="majorBidi" w:cstheme="majorBidi"/>
          <w:sz w:val="20"/>
          <w:szCs w:val="20"/>
        </w:rPr>
      </w:pPr>
      <w:r w:rsidRPr="00683089">
        <w:rPr>
          <w:rStyle w:val="FootnoteReference"/>
          <w:rFonts w:asciiTheme="majorBidi" w:hAnsiTheme="majorBidi" w:cstheme="majorBidi"/>
          <w:sz w:val="20"/>
          <w:szCs w:val="20"/>
        </w:rPr>
        <w:footnoteRef/>
      </w:r>
      <w:r w:rsidRPr="00683089">
        <w:rPr>
          <w:rFonts w:asciiTheme="majorBidi" w:hAnsiTheme="majorBidi" w:cstheme="majorBidi"/>
          <w:sz w:val="20"/>
          <w:szCs w:val="20"/>
        </w:rPr>
        <w:t xml:space="preserve"> Huili &amp; Yancong, 2000, p. 31. </w:t>
      </w:r>
      <w:r w:rsidRPr="00EC4449">
        <w:rPr>
          <w:rFonts w:asciiTheme="majorBidi" w:hAnsiTheme="majorBidi" w:cstheme="majorBidi"/>
          <w:sz w:val="20"/>
          <w:szCs w:val="20"/>
        </w:rPr>
        <w:t xml:space="preserve">Xuanzang, 2000, pp. 105-12; </w:t>
      </w:r>
      <w:r>
        <w:rPr>
          <w:rFonts w:asciiTheme="majorBidi" w:hAnsiTheme="majorBidi" w:cstheme="majorBidi"/>
          <w:sz w:val="20"/>
          <w:szCs w:val="20"/>
        </w:rPr>
        <w:t>tr.,</w:t>
      </w:r>
      <w:r w:rsidRPr="00EC4449">
        <w:rPr>
          <w:rFonts w:asciiTheme="majorBidi" w:hAnsiTheme="majorBidi" w:cstheme="majorBidi"/>
          <w:sz w:val="20"/>
          <w:szCs w:val="20"/>
        </w:rPr>
        <w:t xml:space="preserve"> Li, </w:t>
      </w:r>
      <w:r>
        <w:rPr>
          <w:rFonts w:asciiTheme="majorBidi" w:hAnsiTheme="majorBidi" w:cstheme="majorBidi"/>
          <w:sz w:val="20"/>
          <w:szCs w:val="20"/>
        </w:rPr>
        <w:t>199</w:t>
      </w:r>
      <w:r w:rsidRPr="00EC4449">
        <w:rPr>
          <w:rFonts w:asciiTheme="majorBidi" w:hAnsiTheme="majorBidi" w:cstheme="majorBidi"/>
          <w:sz w:val="20"/>
          <w:szCs w:val="20"/>
        </w:rPr>
        <w:t>6, pp. 26-7.</w:t>
      </w:r>
      <w:r>
        <w:rPr>
          <w:rFonts w:asciiTheme="majorBidi" w:hAnsiTheme="majorBidi" w:cstheme="majorBidi"/>
          <w:sz w:val="20"/>
          <w:szCs w:val="20"/>
        </w:rPr>
        <w:t xml:space="preserve"> </w:t>
      </w:r>
      <w:r w:rsidRPr="00683089">
        <w:rPr>
          <w:rFonts w:asciiTheme="majorBidi" w:hAnsiTheme="majorBidi" w:cstheme="majorBidi"/>
          <w:sz w:val="20"/>
          <w:szCs w:val="20"/>
        </w:rPr>
        <w:t xml:space="preserve">Xuanzang's itinerary </w:t>
      </w:r>
      <w:r>
        <w:rPr>
          <w:rFonts w:asciiTheme="majorBidi" w:hAnsiTheme="majorBidi" w:cstheme="majorBidi"/>
          <w:sz w:val="20"/>
          <w:szCs w:val="20"/>
        </w:rPr>
        <w:t xml:space="preserve">mainly </w:t>
      </w:r>
      <w:r w:rsidRPr="00683089">
        <w:rPr>
          <w:rFonts w:asciiTheme="majorBidi" w:hAnsiTheme="majorBidi" w:cstheme="majorBidi"/>
          <w:sz w:val="20"/>
          <w:szCs w:val="20"/>
        </w:rPr>
        <w:t xml:space="preserve">passed regions </w:t>
      </w:r>
      <w:r>
        <w:rPr>
          <w:rFonts w:asciiTheme="majorBidi" w:hAnsiTheme="majorBidi" w:cstheme="majorBidi"/>
          <w:sz w:val="20"/>
          <w:szCs w:val="20"/>
        </w:rPr>
        <w:t>controlled by</w:t>
      </w:r>
      <w:r w:rsidRPr="00683089">
        <w:rPr>
          <w:rFonts w:asciiTheme="majorBidi" w:hAnsiTheme="majorBidi" w:cstheme="majorBidi"/>
          <w:sz w:val="20"/>
          <w:szCs w:val="20"/>
        </w:rPr>
        <w:t xml:space="preserve"> the Turks in his journey to India</w:t>
      </w:r>
      <w:r>
        <w:rPr>
          <w:rFonts w:asciiTheme="majorBidi" w:hAnsiTheme="majorBidi" w:cstheme="majorBidi"/>
          <w:sz w:val="20"/>
          <w:szCs w:val="20"/>
        </w:rPr>
        <w:t xml:space="preserve">. </w:t>
      </w:r>
      <w:r w:rsidRPr="00683089">
        <w:rPr>
          <w:rFonts w:asciiTheme="majorBidi" w:hAnsiTheme="majorBidi" w:cstheme="majorBidi"/>
          <w:sz w:val="20"/>
          <w:szCs w:val="20"/>
        </w:rPr>
        <w:t>Le Strange, 1930, p. 435-6; Barthold, 19</w:t>
      </w:r>
      <w:r>
        <w:rPr>
          <w:rFonts w:asciiTheme="majorBidi" w:hAnsiTheme="majorBidi" w:cstheme="majorBidi"/>
          <w:sz w:val="20"/>
          <w:szCs w:val="20"/>
        </w:rPr>
        <w:t>2</w:t>
      </w:r>
      <w:r w:rsidRPr="00683089">
        <w:rPr>
          <w:rFonts w:asciiTheme="majorBidi" w:hAnsiTheme="majorBidi" w:cstheme="majorBidi"/>
          <w:sz w:val="20"/>
          <w:szCs w:val="20"/>
        </w:rPr>
        <w:t>8, p. 69; al-Istakhrī, 1927, p. 279:</w:t>
      </w:r>
      <w:r>
        <w:rPr>
          <w:rFonts w:asciiTheme="majorBidi" w:hAnsiTheme="majorBidi" w:cstheme="majorBidi"/>
          <w:sz w:val="20"/>
          <w:szCs w:val="20"/>
        </w:rPr>
        <w:t xml:space="preserve"> </w:t>
      </w:r>
      <w:r w:rsidRPr="00683089">
        <w:rPr>
          <w:rFonts w:asciiTheme="majorBidi" w:hAnsiTheme="majorBidi" w:cstheme="majorBidi"/>
          <w:sz w:val="20"/>
          <w:szCs w:val="20"/>
          <w:rtl/>
          <w:lang w:bidi="ar-JO"/>
        </w:rPr>
        <w:t>والختل بين نهر وخشاب و بين نهر بذخشان</w:t>
      </w:r>
      <w:r>
        <w:rPr>
          <w:rFonts w:asciiTheme="majorBidi" w:hAnsiTheme="majorBidi" w:cstheme="majorBidi"/>
          <w:sz w:val="20"/>
          <w:szCs w:val="20"/>
        </w:rPr>
        <w:t>). Although there is a consensus among scholars to identify Huoguo as</w:t>
      </w:r>
      <w:r w:rsidRPr="008A3F83">
        <w:rPr>
          <w:rFonts w:asciiTheme="majorBidi" w:hAnsiTheme="majorBidi" w:cstheme="majorBidi"/>
          <w:sz w:val="20"/>
          <w:szCs w:val="20"/>
        </w:rPr>
        <w:t xml:space="preserve"> </w:t>
      </w:r>
      <w:r>
        <w:rPr>
          <w:rFonts w:asciiTheme="majorBidi" w:hAnsiTheme="majorBidi" w:cstheme="majorBidi"/>
          <w:sz w:val="20"/>
          <w:szCs w:val="20"/>
        </w:rPr>
        <w:t>Warwālīz in the Muslim geographies (Le Strange, 1930, p. 428; Barthold, 1968, p. 67; 1984, p. 24; Harmatta &amp; Litvinsky, 2002, p. 133), Kuwayama disagrees with the remaining scholars in identifying Warwālīz as m</w:t>
      </w:r>
      <w:r w:rsidRPr="008A3F83">
        <w:rPr>
          <w:rFonts w:asciiTheme="majorBidi" w:hAnsiTheme="majorBidi" w:cstheme="majorBidi"/>
          <w:sz w:val="20"/>
          <w:szCs w:val="20"/>
        </w:rPr>
        <w:t xml:space="preserve"> </w:t>
      </w:r>
      <w:r>
        <w:rPr>
          <w:rFonts w:asciiTheme="majorBidi" w:hAnsiTheme="majorBidi" w:cstheme="majorBidi"/>
          <w:sz w:val="20"/>
          <w:szCs w:val="20"/>
        </w:rPr>
        <w:t xml:space="preserve">odern Kunduz, and suggests it should be modern </w:t>
      </w:r>
      <w:r w:rsidRPr="00160607">
        <w:rPr>
          <w:rFonts w:asciiTheme="majorBidi" w:hAnsiTheme="majorBidi" w:cstheme="majorBidi"/>
          <w:sz w:val="20"/>
          <w:szCs w:val="20"/>
        </w:rPr>
        <w:t>Qal'a-ye Za</w:t>
      </w:r>
      <w:r>
        <w:rPr>
          <w:rFonts w:asciiTheme="majorBidi" w:hAnsiTheme="majorBidi" w:cstheme="majorBidi"/>
          <w:sz w:val="20"/>
          <w:szCs w:val="20"/>
        </w:rPr>
        <w:t>l, where the Kunduz river joins the Oxus.</w:t>
      </w:r>
    </w:p>
  </w:footnote>
  <w:footnote w:id="57">
    <w:p w14:paraId="3B6500E8" w14:textId="7355E695" w:rsidR="00902FCD" w:rsidRPr="008256A5" w:rsidRDefault="00902FCD" w:rsidP="00D4690A">
      <w:pPr>
        <w:pStyle w:val="FootnoteText"/>
        <w:spacing w:line="360" w:lineRule="auto"/>
        <w:rPr>
          <w:rFonts w:asciiTheme="majorBidi" w:hAnsiTheme="majorBidi" w:cstheme="majorBidi"/>
          <w:sz w:val="20"/>
          <w:szCs w:val="20"/>
        </w:rPr>
      </w:pPr>
      <w:r w:rsidRPr="008256A5">
        <w:rPr>
          <w:rStyle w:val="FootnoteReference"/>
          <w:rFonts w:asciiTheme="majorBidi" w:hAnsiTheme="majorBidi" w:cstheme="majorBidi"/>
          <w:sz w:val="20"/>
          <w:szCs w:val="20"/>
        </w:rPr>
        <w:footnoteRef/>
      </w:r>
      <w:r w:rsidRPr="008256A5">
        <w:rPr>
          <w:rFonts w:asciiTheme="majorBidi" w:hAnsiTheme="majorBidi" w:cstheme="majorBidi"/>
          <w:sz w:val="20"/>
          <w:szCs w:val="20"/>
        </w:rPr>
        <w:t xml:space="preserve"> Xuanzang, 2000, pp. 127-9; </w:t>
      </w:r>
      <w:r>
        <w:rPr>
          <w:rFonts w:asciiTheme="majorBidi" w:hAnsiTheme="majorBidi" w:cstheme="majorBidi"/>
          <w:sz w:val="20"/>
          <w:szCs w:val="20"/>
        </w:rPr>
        <w:t>tr.,</w:t>
      </w:r>
      <w:r w:rsidRPr="008256A5">
        <w:rPr>
          <w:rFonts w:asciiTheme="majorBidi" w:hAnsiTheme="majorBidi" w:cstheme="majorBidi"/>
          <w:sz w:val="20"/>
          <w:szCs w:val="20"/>
        </w:rPr>
        <w:t xml:space="preserve"> Li, </w:t>
      </w:r>
      <w:r>
        <w:rPr>
          <w:rFonts w:asciiTheme="majorBidi" w:hAnsiTheme="majorBidi" w:cstheme="majorBidi"/>
          <w:sz w:val="20"/>
          <w:szCs w:val="20"/>
        </w:rPr>
        <w:t>199</w:t>
      </w:r>
      <w:r w:rsidRPr="008256A5">
        <w:rPr>
          <w:rFonts w:asciiTheme="majorBidi" w:hAnsiTheme="majorBidi" w:cstheme="majorBidi"/>
          <w:sz w:val="20"/>
          <w:szCs w:val="20"/>
        </w:rPr>
        <w:t>6, pp. 30-1; Huili &amp; Yancong, 2000, p. 33.</w:t>
      </w:r>
      <w:r>
        <w:rPr>
          <w:rFonts w:asciiTheme="majorBidi" w:hAnsiTheme="majorBidi" w:cstheme="majorBidi"/>
          <w:sz w:val="20"/>
          <w:szCs w:val="20"/>
        </w:rPr>
        <w:t xml:space="preserve"> Xuanzang did not leave </w:t>
      </w:r>
      <w:r w:rsidRPr="00684A13">
        <w:rPr>
          <w:rFonts w:asciiTheme="majorBidi" w:hAnsiTheme="majorBidi" w:cstheme="majorBidi"/>
          <w:sz w:val="20"/>
          <w:szCs w:val="20"/>
        </w:rPr>
        <w:t>Ṭukhāristān via Andarāb</w:t>
      </w:r>
      <w:r>
        <w:rPr>
          <w:rFonts w:asciiTheme="majorBidi" w:hAnsiTheme="majorBidi" w:cstheme="majorBidi"/>
          <w:sz w:val="20"/>
          <w:szCs w:val="20"/>
        </w:rPr>
        <w:t xml:space="preserve"> on the northern slope of the Hindukush</w:t>
      </w:r>
      <w:r w:rsidRPr="00684A13">
        <w:rPr>
          <w:rFonts w:asciiTheme="majorBidi" w:hAnsiTheme="majorBidi" w:cstheme="majorBidi"/>
          <w:sz w:val="20"/>
          <w:szCs w:val="20"/>
        </w:rPr>
        <w:t xml:space="preserve">, </w:t>
      </w:r>
      <w:r>
        <w:rPr>
          <w:rFonts w:asciiTheme="majorBidi" w:hAnsiTheme="majorBidi" w:cstheme="majorBidi"/>
          <w:sz w:val="20"/>
          <w:szCs w:val="20"/>
        </w:rPr>
        <w:t>although this was</w:t>
      </w:r>
      <w:r w:rsidRPr="00684A13">
        <w:rPr>
          <w:rFonts w:asciiTheme="majorBidi" w:hAnsiTheme="majorBidi" w:cstheme="majorBidi"/>
          <w:sz w:val="20"/>
          <w:szCs w:val="20"/>
        </w:rPr>
        <w:t xml:space="preserve"> the most frequent route </w:t>
      </w:r>
      <w:r>
        <w:rPr>
          <w:rFonts w:asciiTheme="majorBidi" w:hAnsiTheme="majorBidi" w:cstheme="majorBidi"/>
          <w:sz w:val="20"/>
          <w:szCs w:val="20"/>
        </w:rPr>
        <w:t>for</w:t>
      </w:r>
      <w:r w:rsidRPr="00684A13">
        <w:rPr>
          <w:rFonts w:asciiTheme="majorBidi" w:hAnsiTheme="majorBidi" w:cstheme="majorBidi"/>
          <w:sz w:val="20"/>
          <w:szCs w:val="20"/>
        </w:rPr>
        <w:t xml:space="preserve"> merchants and pilgrims (</w:t>
      </w:r>
      <w:r w:rsidRPr="008256A5">
        <w:rPr>
          <w:rFonts w:asciiTheme="majorBidi" w:hAnsiTheme="majorBidi" w:cstheme="majorBidi"/>
          <w:sz w:val="20"/>
          <w:szCs w:val="20"/>
        </w:rPr>
        <w:t>Barthold, 19</w:t>
      </w:r>
      <w:r>
        <w:rPr>
          <w:rFonts w:asciiTheme="majorBidi" w:hAnsiTheme="majorBidi" w:cstheme="majorBidi"/>
          <w:sz w:val="20"/>
          <w:szCs w:val="20"/>
        </w:rPr>
        <w:t>2</w:t>
      </w:r>
      <w:r w:rsidRPr="008256A5">
        <w:rPr>
          <w:rFonts w:asciiTheme="majorBidi" w:hAnsiTheme="majorBidi" w:cstheme="majorBidi"/>
          <w:sz w:val="20"/>
          <w:szCs w:val="20"/>
        </w:rPr>
        <w:t>8, p. 67; Le Strange, 1930, p. 427</w:t>
      </w:r>
      <w:r w:rsidRPr="00684A13">
        <w:rPr>
          <w:rFonts w:asciiTheme="majorBidi" w:hAnsiTheme="majorBidi" w:cstheme="majorBidi"/>
          <w:sz w:val="20"/>
          <w:szCs w:val="20"/>
        </w:rPr>
        <w:t>)</w:t>
      </w:r>
      <w:r>
        <w:rPr>
          <w:rFonts w:asciiTheme="majorBidi" w:hAnsiTheme="majorBidi" w:cstheme="majorBidi"/>
          <w:sz w:val="20"/>
          <w:szCs w:val="20"/>
        </w:rPr>
        <w:t>, but might have followed the route that was mentioned by Ibn</w:t>
      </w:r>
      <w:r w:rsidRPr="00684A13">
        <w:rPr>
          <w:rFonts w:asciiTheme="majorBidi" w:hAnsiTheme="majorBidi" w:cstheme="majorBidi"/>
          <w:sz w:val="20"/>
          <w:szCs w:val="20"/>
        </w:rPr>
        <w:t xml:space="preserve"> Ḥawqal (</w:t>
      </w:r>
      <w:r w:rsidRPr="008256A5">
        <w:rPr>
          <w:rFonts w:asciiTheme="majorBidi" w:hAnsiTheme="majorBidi" w:cstheme="majorBidi"/>
          <w:sz w:val="20"/>
          <w:szCs w:val="20"/>
        </w:rPr>
        <w:t xml:space="preserve">1872, p. 335: </w:t>
      </w:r>
      <w:r w:rsidRPr="008256A5">
        <w:rPr>
          <w:rFonts w:asciiTheme="majorBidi" w:hAnsiTheme="majorBidi" w:cstheme="majorBidi"/>
          <w:sz w:val="20"/>
          <w:szCs w:val="20"/>
          <w:rtl/>
          <w:lang w:bidi="ar-JO"/>
        </w:rPr>
        <w:t>ومن بلخ الى مذر ٤ مراحل ومن مذر الى كه مرحلة ومن كة الى الباميان ٣ مراحل</w:t>
      </w:r>
      <w:r w:rsidRPr="001632AF">
        <w:rPr>
          <w:rFonts w:asciiTheme="majorBidi" w:hAnsiTheme="majorBidi" w:cstheme="majorBidi"/>
          <w:sz w:val="20"/>
          <w:szCs w:val="20"/>
        </w:rPr>
        <w:t>). Namely, he proceeded upstream along the Balkh River (Kuwayama, 2005, p. 153).</w:t>
      </w:r>
      <w:r>
        <w:rPr>
          <w:rFonts w:asciiTheme="majorBidi" w:hAnsiTheme="majorBidi" w:cstheme="majorBidi"/>
          <w:sz w:val="20"/>
          <w:szCs w:val="20"/>
        </w:rPr>
        <w:t xml:space="preserve"> </w:t>
      </w:r>
    </w:p>
  </w:footnote>
  <w:footnote w:id="58">
    <w:p w14:paraId="2CE09EDF" w14:textId="24247E60" w:rsidR="00902FCD" w:rsidRPr="008256A5" w:rsidRDefault="00902FCD" w:rsidP="00D4690A">
      <w:pPr>
        <w:pStyle w:val="FootnoteText"/>
        <w:spacing w:line="360" w:lineRule="auto"/>
        <w:rPr>
          <w:rFonts w:asciiTheme="majorBidi" w:hAnsiTheme="majorBidi" w:cstheme="majorBidi"/>
          <w:sz w:val="20"/>
          <w:szCs w:val="20"/>
        </w:rPr>
      </w:pPr>
      <w:r w:rsidRPr="008256A5">
        <w:rPr>
          <w:rStyle w:val="FootnoteReference"/>
          <w:rFonts w:asciiTheme="majorBidi" w:hAnsiTheme="majorBidi" w:cstheme="majorBidi"/>
          <w:sz w:val="20"/>
          <w:szCs w:val="20"/>
        </w:rPr>
        <w:footnoteRef/>
      </w:r>
      <w:r w:rsidRPr="008256A5">
        <w:rPr>
          <w:rFonts w:asciiTheme="majorBidi" w:hAnsiTheme="majorBidi" w:cstheme="majorBidi"/>
          <w:sz w:val="20"/>
          <w:szCs w:val="20"/>
        </w:rPr>
        <w:t xml:space="preserve"> Xuanzang, 2000, p</w:t>
      </w:r>
      <w:r>
        <w:rPr>
          <w:rFonts w:asciiTheme="majorBidi" w:hAnsiTheme="majorBidi" w:cstheme="majorBidi"/>
          <w:sz w:val="20"/>
          <w:szCs w:val="20"/>
        </w:rPr>
        <w:t>p</w:t>
      </w:r>
      <w:r w:rsidRPr="008256A5">
        <w:rPr>
          <w:rFonts w:asciiTheme="majorBidi" w:hAnsiTheme="majorBidi" w:cstheme="majorBidi"/>
          <w:sz w:val="20"/>
          <w:szCs w:val="20"/>
        </w:rPr>
        <w:t xml:space="preserve">. </w:t>
      </w:r>
      <w:r>
        <w:rPr>
          <w:rFonts w:asciiTheme="majorBidi" w:hAnsiTheme="majorBidi" w:cstheme="majorBidi"/>
          <w:sz w:val="20"/>
          <w:szCs w:val="20"/>
        </w:rPr>
        <w:t xml:space="preserve">125-7, </w:t>
      </w:r>
      <w:r w:rsidRPr="008256A5">
        <w:rPr>
          <w:rFonts w:asciiTheme="majorBidi" w:hAnsiTheme="majorBidi" w:cstheme="majorBidi"/>
          <w:sz w:val="20"/>
          <w:szCs w:val="20"/>
        </w:rPr>
        <w:t xml:space="preserve">962; </w:t>
      </w:r>
      <w:r>
        <w:rPr>
          <w:rFonts w:asciiTheme="majorBidi" w:hAnsiTheme="majorBidi" w:cstheme="majorBidi"/>
          <w:sz w:val="20"/>
          <w:szCs w:val="20"/>
        </w:rPr>
        <w:t>tr.</w:t>
      </w:r>
      <w:r w:rsidRPr="008256A5">
        <w:rPr>
          <w:rFonts w:asciiTheme="majorBidi" w:hAnsiTheme="majorBidi" w:cstheme="majorBidi"/>
          <w:sz w:val="20"/>
          <w:szCs w:val="20"/>
        </w:rPr>
        <w:t xml:space="preserve">, Li, </w:t>
      </w:r>
      <w:r>
        <w:rPr>
          <w:rFonts w:asciiTheme="majorBidi" w:hAnsiTheme="majorBidi" w:cstheme="majorBidi"/>
          <w:sz w:val="20"/>
          <w:szCs w:val="20"/>
        </w:rPr>
        <w:t>199</w:t>
      </w:r>
      <w:r w:rsidRPr="008256A5">
        <w:rPr>
          <w:rFonts w:asciiTheme="majorBidi" w:hAnsiTheme="majorBidi" w:cstheme="majorBidi"/>
          <w:sz w:val="20"/>
          <w:szCs w:val="20"/>
        </w:rPr>
        <w:t>6, p</w:t>
      </w:r>
      <w:r>
        <w:rPr>
          <w:rFonts w:asciiTheme="majorBidi" w:hAnsiTheme="majorBidi" w:cstheme="majorBidi"/>
          <w:sz w:val="20"/>
          <w:szCs w:val="20"/>
        </w:rPr>
        <w:t>p</w:t>
      </w:r>
      <w:r w:rsidRPr="008256A5">
        <w:rPr>
          <w:rFonts w:asciiTheme="majorBidi" w:hAnsiTheme="majorBidi" w:cstheme="majorBidi"/>
          <w:sz w:val="20"/>
          <w:szCs w:val="20"/>
        </w:rPr>
        <w:t xml:space="preserve">. </w:t>
      </w:r>
      <w:r>
        <w:rPr>
          <w:rFonts w:asciiTheme="majorBidi" w:hAnsiTheme="majorBidi" w:cstheme="majorBidi"/>
          <w:sz w:val="20"/>
          <w:szCs w:val="20"/>
        </w:rPr>
        <w:t xml:space="preserve">30, </w:t>
      </w:r>
      <w:r w:rsidRPr="008256A5">
        <w:rPr>
          <w:rFonts w:asciiTheme="majorBidi" w:hAnsiTheme="majorBidi" w:cstheme="majorBidi"/>
          <w:sz w:val="20"/>
          <w:szCs w:val="20"/>
        </w:rPr>
        <w:t>317; Huili &amp; Yancong, 2000, p</w:t>
      </w:r>
      <w:r>
        <w:rPr>
          <w:rFonts w:asciiTheme="majorBidi" w:hAnsiTheme="majorBidi" w:cstheme="majorBidi"/>
          <w:sz w:val="20"/>
          <w:szCs w:val="20"/>
        </w:rPr>
        <w:t>p</w:t>
      </w:r>
      <w:r w:rsidRPr="008256A5">
        <w:rPr>
          <w:rFonts w:asciiTheme="majorBidi" w:hAnsiTheme="majorBidi" w:cstheme="majorBidi"/>
          <w:sz w:val="20"/>
          <w:szCs w:val="20"/>
        </w:rPr>
        <w:t xml:space="preserve">. </w:t>
      </w:r>
      <w:r>
        <w:rPr>
          <w:rFonts w:asciiTheme="majorBidi" w:hAnsiTheme="majorBidi" w:cstheme="majorBidi"/>
          <w:sz w:val="20"/>
          <w:szCs w:val="20"/>
        </w:rPr>
        <w:t xml:space="preserve">33, </w:t>
      </w:r>
      <w:r w:rsidRPr="008256A5">
        <w:rPr>
          <w:rFonts w:asciiTheme="majorBidi" w:hAnsiTheme="majorBidi" w:cstheme="majorBidi"/>
          <w:sz w:val="20"/>
          <w:szCs w:val="20"/>
        </w:rPr>
        <w:t>116.</w:t>
      </w:r>
      <w:r>
        <w:rPr>
          <w:rFonts w:asciiTheme="majorBidi" w:hAnsiTheme="majorBidi" w:cstheme="majorBidi"/>
          <w:sz w:val="20"/>
          <w:szCs w:val="20"/>
        </w:rPr>
        <w:t xml:space="preserve"> On his way back to China in the 640s, Xuanzang arrived at Huoguo for a second time via Andarāb in southern </w:t>
      </w:r>
      <w:r w:rsidRPr="00684A13">
        <w:rPr>
          <w:rFonts w:asciiTheme="majorBidi" w:hAnsiTheme="majorBidi" w:cstheme="majorBidi"/>
          <w:sz w:val="20"/>
          <w:szCs w:val="20"/>
        </w:rPr>
        <w:t>Ṭukhāristān</w:t>
      </w:r>
      <w:r>
        <w:rPr>
          <w:rFonts w:asciiTheme="majorBidi" w:hAnsiTheme="majorBidi" w:cstheme="majorBidi"/>
          <w:sz w:val="20"/>
          <w:szCs w:val="20"/>
        </w:rPr>
        <w:t xml:space="preserve"> and stayed with the Yabghū Ishbara for a month before joining a trading caravan and continuing his journey for China (</w:t>
      </w:r>
      <w:r w:rsidRPr="008256A5">
        <w:rPr>
          <w:rFonts w:asciiTheme="majorBidi" w:hAnsiTheme="majorBidi" w:cstheme="majorBidi"/>
          <w:sz w:val="20"/>
          <w:szCs w:val="20"/>
        </w:rPr>
        <w:t xml:space="preserve">Xuanzang, 2000, p. 963; </w:t>
      </w:r>
      <w:r>
        <w:rPr>
          <w:rFonts w:asciiTheme="majorBidi" w:hAnsiTheme="majorBidi" w:cstheme="majorBidi"/>
          <w:sz w:val="20"/>
          <w:szCs w:val="20"/>
        </w:rPr>
        <w:t>tr.</w:t>
      </w:r>
      <w:r w:rsidRPr="008256A5">
        <w:rPr>
          <w:rFonts w:asciiTheme="majorBidi" w:hAnsiTheme="majorBidi" w:cstheme="majorBidi"/>
          <w:sz w:val="20"/>
          <w:szCs w:val="20"/>
        </w:rPr>
        <w:t xml:space="preserve">, Li, </w:t>
      </w:r>
      <w:r>
        <w:rPr>
          <w:rFonts w:asciiTheme="majorBidi" w:hAnsiTheme="majorBidi" w:cstheme="majorBidi"/>
          <w:sz w:val="20"/>
          <w:szCs w:val="20"/>
        </w:rPr>
        <w:t>1996</w:t>
      </w:r>
      <w:r w:rsidRPr="008256A5">
        <w:rPr>
          <w:rFonts w:asciiTheme="majorBidi" w:hAnsiTheme="majorBidi" w:cstheme="majorBidi"/>
          <w:sz w:val="20"/>
          <w:szCs w:val="20"/>
        </w:rPr>
        <w:t>, p. 318; Huili &amp; Yancong, 2000, p. 116</w:t>
      </w:r>
      <w:r>
        <w:rPr>
          <w:rFonts w:asciiTheme="majorBidi" w:hAnsiTheme="majorBidi" w:cstheme="majorBidi"/>
          <w:sz w:val="20"/>
          <w:szCs w:val="20"/>
        </w:rPr>
        <w:t>).</w:t>
      </w:r>
    </w:p>
  </w:footnote>
  <w:footnote w:id="59">
    <w:p w14:paraId="012DEB94" w14:textId="5037F3F5" w:rsidR="00902FCD" w:rsidRPr="00756598" w:rsidRDefault="00902FCD" w:rsidP="008D3D4F">
      <w:pPr>
        <w:pStyle w:val="FootnoteText"/>
        <w:spacing w:line="360" w:lineRule="auto"/>
        <w:rPr>
          <w:rFonts w:asciiTheme="majorBidi" w:hAnsiTheme="majorBidi" w:cstheme="majorBidi"/>
          <w:sz w:val="20"/>
          <w:szCs w:val="20"/>
        </w:rPr>
      </w:pPr>
      <w:r w:rsidRPr="00756598">
        <w:rPr>
          <w:rStyle w:val="FootnoteReference"/>
          <w:rFonts w:asciiTheme="majorBidi" w:hAnsiTheme="majorBidi" w:cstheme="majorBidi"/>
          <w:sz w:val="20"/>
          <w:szCs w:val="20"/>
        </w:rPr>
        <w:footnoteRef/>
      </w:r>
      <w:r w:rsidRPr="00756598">
        <w:rPr>
          <w:rFonts w:asciiTheme="majorBidi" w:hAnsiTheme="majorBidi" w:cstheme="majorBidi"/>
          <w:sz w:val="20"/>
          <w:szCs w:val="20"/>
        </w:rPr>
        <w:t xml:space="preserve"> </w:t>
      </w:r>
      <w:r>
        <w:rPr>
          <w:rFonts w:asciiTheme="majorBidi" w:hAnsiTheme="majorBidi" w:cstheme="majorBidi"/>
          <w:sz w:val="20"/>
          <w:szCs w:val="20"/>
        </w:rPr>
        <w:t xml:space="preserve">Al-Balādhurī (1987, p. 573: tr., part II, p. 167: </w:t>
      </w:r>
      <w:r>
        <w:rPr>
          <w:rFonts w:asciiTheme="majorBidi" w:hAnsiTheme="majorBidi" w:cstheme="majorBidi" w:hint="cs"/>
          <w:sz w:val="20"/>
          <w:szCs w:val="20"/>
          <w:rtl/>
          <w:lang w:bidi="ar-JO"/>
        </w:rPr>
        <w:t>وهي مدينة طخارا</w:t>
      </w:r>
      <w:r>
        <w:rPr>
          <w:rFonts w:asciiTheme="majorBidi" w:hAnsiTheme="majorBidi" w:cstheme="majorBidi"/>
          <w:sz w:val="20"/>
          <w:szCs w:val="20"/>
        </w:rPr>
        <w:t xml:space="preserve">) reports that Balkh was still the capital of the region. </w:t>
      </w:r>
      <w:r w:rsidRPr="00756598">
        <w:rPr>
          <w:rFonts w:asciiTheme="majorBidi" w:hAnsiTheme="majorBidi" w:cstheme="majorBidi"/>
          <w:sz w:val="20"/>
          <w:szCs w:val="20"/>
        </w:rPr>
        <w:t>Haug also adopted this geographic definition of Ṭukhāristān</w:t>
      </w:r>
      <w:r>
        <w:rPr>
          <w:rFonts w:asciiTheme="majorBidi" w:hAnsiTheme="majorBidi" w:cstheme="majorBidi"/>
          <w:sz w:val="20"/>
          <w:szCs w:val="20"/>
        </w:rPr>
        <w:t xml:space="preserve"> in late antique and early medieval periods</w:t>
      </w:r>
      <w:r w:rsidRPr="00756598">
        <w:rPr>
          <w:rFonts w:asciiTheme="majorBidi" w:hAnsiTheme="majorBidi" w:cstheme="majorBidi"/>
          <w:sz w:val="20"/>
          <w:szCs w:val="20"/>
        </w:rPr>
        <w:t xml:space="preserve"> (2019, p. 11).</w:t>
      </w:r>
    </w:p>
  </w:footnote>
  <w:footnote w:id="60">
    <w:p w14:paraId="5047DDB4" w14:textId="77777777" w:rsidR="00902FCD" w:rsidRPr="00C0351B" w:rsidRDefault="00902FCD" w:rsidP="00D72BD3">
      <w:pPr>
        <w:pStyle w:val="FootnoteText"/>
        <w:spacing w:line="360" w:lineRule="auto"/>
        <w:rPr>
          <w:rFonts w:asciiTheme="majorBidi" w:hAnsiTheme="majorBidi" w:cstheme="majorBidi"/>
          <w:sz w:val="20"/>
          <w:szCs w:val="20"/>
        </w:rPr>
      </w:pPr>
      <w:r w:rsidRPr="00C0351B">
        <w:rPr>
          <w:rStyle w:val="FootnoteReference"/>
          <w:rFonts w:asciiTheme="majorBidi" w:hAnsiTheme="majorBidi" w:cstheme="majorBidi"/>
          <w:sz w:val="20"/>
          <w:szCs w:val="20"/>
        </w:rPr>
        <w:footnoteRef/>
      </w:r>
      <w:r w:rsidRPr="00C0351B">
        <w:rPr>
          <w:rFonts w:asciiTheme="majorBidi" w:hAnsiTheme="majorBidi" w:cstheme="majorBidi"/>
          <w:sz w:val="20"/>
          <w:szCs w:val="20"/>
        </w:rPr>
        <w:t xml:space="preserve"> </w:t>
      </w:r>
      <w:r>
        <w:rPr>
          <w:rFonts w:asciiTheme="majorBidi" w:hAnsiTheme="majorBidi" w:cstheme="majorBidi"/>
          <w:sz w:val="20"/>
          <w:szCs w:val="20"/>
        </w:rPr>
        <w:t xml:space="preserve">Kuwayama, 2002, pp. 125-6; </w:t>
      </w:r>
      <w:r w:rsidRPr="00C0351B">
        <w:rPr>
          <w:rFonts w:asciiTheme="majorBidi" w:hAnsiTheme="majorBidi" w:cstheme="majorBidi"/>
          <w:sz w:val="20"/>
          <w:szCs w:val="20"/>
        </w:rPr>
        <w:t>Hoyland, 2015, p. 118.</w:t>
      </w:r>
    </w:p>
  </w:footnote>
  <w:footnote w:id="61">
    <w:p w14:paraId="70111662" w14:textId="23190EED" w:rsidR="00902FCD" w:rsidRPr="00436140" w:rsidRDefault="00902FCD" w:rsidP="00D72BD3">
      <w:pPr>
        <w:pStyle w:val="FootnoteText"/>
        <w:spacing w:line="360" w:lineRule="auto"/>
        <w:rPr>
          <w:rFonts w:asciiTheme="majorBidi" w:hAnsiTheme="majorBidi" w:cstheme="majorBidi"/>
          <w:sz w:val="20"/>
          <w:szCs w:val="20"/>
        </w:rPr>
      </w:pPr>
      <w:r w:rsidRPr="00436140">
        <w:rPr>
          <w:rStyle w:val="FootnoteReference"/>
          <w:rFonts w:asciiTheme="majorBidi" w:hAnsiTheme="majorBidi" w:cstheme="majorBidi"/>
          <w:sz w:val="20"/>
          <w:szCs w:val="20"/>
        </w:rPr>
        <w:footnoteRef/>
      </w:r>
      <w:r w:rsidRPr="00436140">
        <w:rPr>
          <w:rFonts w:asciiTheme="majorBidi" w:hAnsiTheme="majorBidi" w:cstheme="majorBidi"/>
          <w:sz w:val="20"/>
          <w:szCs w:val="20"/>
        </w:rPr>
        <w:t xml:space="preserve"> </w:t>
      </w:r>
      <w:r>
        <w:rPr>
          <w:rFonts w:asciiTheme="majorBidi" w:hAnsiTheme="majorBidi" w:cstheme="majorBidi"/>
          <w:sz w:val="20"/>
          <w:szCs w:val="20"/>
        </w:rPr>
        <w:t xml:space="preserve">Haug, </w:t>
      </w:r>
      <w:r w:rsidRPr="00436140">
        <w:rPr>
          <w:rFonts w:asciiTheme="majorBidi" w:hAnsiTheme="majorBidi" w:cstheme="majorBidi"/>
          <w:sz w:val="20"/>
          <w:szCs w:val="20"/>
        </w:rPr>
        <w:t>2019, p. 39.</w:t>
      </w:r>
    </w:p>
  </w:footnote>
  <w:footnote w:id="62">
    <w:p w14:paraId="563022DA" w14:textId="0E1DBCC3" w:rsidR="00902FCD" w:rsidRPr="00E17CAD" w:rsidRDefault="00902FCD" w:rsidP="00F9127B">
      <w:pPr>
        <w:pStyle w:val="FootnoteText"/>
        <w:spacing w:line="360" w:lineRule="auto"/>
        <w:rPr>
          <w:rFonts w:asciiTheme="majorBidi" w:hAnsiTheme="majorBidi" w:cstheme="majorBidi"/>
          <w:sz w:val="20"/>
          <w:szCs w:val="20"/>
        </w:rPr>
      </w:pPr>
      <w:r w:rsidRPr="00E17CAD">
        <w:rPr>
          <w:rStyle w:val="FootnoteReference"/>
          <w:rFonts w:asciiTheme="majorBidi" w:hAnsiTheme="majorBidi"/>
          <w:sz w:val="20"/>
          <w:szCs w:val="20"/>
        </w:rPr>
        <w:footnoteRef/>
      </w:r>
      <w:r w:rsidRPr="00E17CAD">
        <w:rPr>
          <w:rFonts w:asciiTheme="majorBidi" w:hAnsiTheme="majorBidi" w:cstheme="majorBidi"/>
          <w:sz w:val="20"/>
          <w:szCs w:val="20"/>
        </w:rPr>
        <w:t xml:space="preserve"> Xuanzang, 2000, pp. 961-74; </w:t>
      </w:r>
      <w:r>
        <w:rPr>
          <w:rFonts w:asciiTheme="majorBidi" w:hAnsiTheme="majorBidi" w:cstheme="majorBidi"/>
          <w:sz w:val="20"/>
          <w:szCs w:val="20"/>
        </w:rPr>
        <w:t>tr.</w:t>
      </w:r>
      <w:r w:rsidRPr="00E17CAD">
        <w:rPr>
          <w:rFonts w:asciiTheme="majorBidi" w:hAnsiTheme="majorBidi" w:cstheme="majorBidi"/>
          <w:sz w:val="20"/>
          <w:szCs w:val="20"/>
        </w:rPr>
        <w:t xml:space="preserve">, Li, </w:t>
      </w:r>
      <w:r>
        <w:rPr>
          <w:rFonts w:asciiTheme="majorBidi" w:hAnsiTheme="majorBidi" w:cstheme="majorBidi"/>
          <w:sz w:val="20"/>
          <w:szCs w:val="20"/>
        </w:rPr>
        <w:t>199</w:t>
      </w:r>
      <w:r w:rsidRPr="00E17CAD">
        <w:rPr>
          <w:rFonts w:asciiTheme="majorBidi" w:hAnsiTheme="majorBidi" w:cstheme="majorBidi"/>
          <w:sz w:val="20"/>
          <w:szCs w:val="20"/>
        </w:rPr>
        <w:t>6, pp. 317-21.</w:t>
      </w:r>
      <w:r w:rsidRPr="00313C81">
        <w:rPr>
          <w:rFonts w:asciiTheme="majorBidi" w:hAnsiTheme="majorBidi" w:cstheme="majorBidi"/>
          <w:sz w:val="20"/>
          <w:szCs w:val="20"/>
        </w:rPr>
        <w:t xml:space="preserve"> Actually, almost all the mentioned regions</w:t>
      </w:r>
      <w:r>
        <w:rPr>
          <w:rFonts w:asciiTheme="majorBidi" w:hAnsiTheme="majorBidi" w:cstheme="majorBidi"/>
          <w:sz w:val="20"/>
          <w:szCs w:val="20"/>
        </w:rPr>
        <w:t xml:space="preserve"> that were found in eastern </w:t>
      </w:r>
      <w:r w:rsidRPr="00756598">
        <w:rPr>
          <w:rFonts w:asciiTheme="majorBidi" w:hAnsiTheme="majorBidi" w:cstheme="majorBidi"/>
          <w:sz w:val="20"/>
          <w:szCs w:val="20"/>
        </w:rPr>
        <w:t>Ṭukhāristān</w:t>
      </w:r>
      <w:r w:rsidRPr="00313C81">
        <w:rPr>
          <w:rFonts w:asciiTheme="majorBidi" w:hAnsiTheme="majorBidi" w:cstheme="majorBidi"/>
          <w:sz w:val="20"/>
          <w:szCs w:val="20"/>
        </w:rPr>
        <w:t xml:space="preserve"> on his </w:t>
      </w:r>
      <w:r w:rsidRPr="00313C81">
        <w:rPr>
          <w:rFonts w:asciiTheme="majorBidi" w:hAnsiTheme="majorBidi" w:cstheme="majorBidi" w:hint="eastAsia"/>
          <w:sz w:val="20"/>
          <w:szCs w:val="20"/>
        </w:rPr>
        <w:t>journey</w:t>
      </w:r>
      <w:r w:rsidRPr="00313C81">
        <w:rPr>
          <w:rFonts w:asciiTheme="majorBidi" w:hAnsiTheme="majorBidi" w:cstheme="majorBidi"/>
          <w:sz w:val="20"/>
          <w:szCs w:val="20"/>
        </w:rPr>
        <w:t xml:space="preserve"> </w:t>
      </w:r>
      <w:r w:rsidRPr="00313C81">
        <w:rPr>
          <w:rFonts w:asciiTheme="majorBidi" w:hAnsiTheme="majorBidi" w:cstheme="majorBidi" w:hint="eastAsia"/>
          <w:sz w:val="20"/>
          <w:szCs w:val="20"/>
        </w:rPr>
        <w:t>back</w:t>
      </w:r>
      <w:r w:rsidRPr="00313C81">
        <w:rPr>
          <w:rFonts w:asciiTheme="majorBidi" w:hAnsiTheme="majorBidi" w:cstheme="majorBidi"/>
          <w:sz w:val="20"/>
          <w:szCs w:val="20"/>
        </w:rPr>
        <w:t xml:space="preserve"> </w:t>
      </w:r>
      <w:r w:rsidRPr="00313C81">
        <w:rPr>
          <w:rFonts w:asciiTheme="majorBidi" w:hAnsiTheme="majorBidi" w:cstheme="majorBidi" w:hint="eastAsia"/>
          <w:sz w:val="20"/>
          <w:szCs w:val="20"/>
        </w:rPr>
        <w:t>were</w:t>
      </w:r>
      <w:r w:rsidRPr="00313C81">
        <w:rPr>
          <w:rFonts w:asciiTheme="majorBidi" w:hAnsiTheme="majorBidi" w:cstheme="majorBidi"/>
          <w:sz w:val="20"/>
          <w:szCs w:val="20"/>
        </w:rPr>
        <w:t xml:space="preserve"> noted explicitly as old territories of Ṭukhāristān.</w:t>
      </w:r>
    </w:p>
  </w:footnote>
  <w:footnote w:id="63">
    <w:p w14:paraId="5060FD6E" w14:textId="1CB56B06" w:rsidR="00902FCD" w:rsidRPr="00F9127B" w:rsidRDefault="00902FCD" w:rsidP="00F9127B">
      <w:pPr>
        <w:pStyle w:val="FootnoteText"/>
        <w:spacing w:line="360" w:lineRule="auto"/>
        <w:rPr>
          <w:rFonts w:asciiTheme="majorBidi" w:hAnsiTheme="majorBidi" w:cstheme="majorBidi"/>
          <w:sz w:val="20"/>
          <w:szCs w:val="20"/>
        </w:rPr>
      </w:pPr>
      <w:r w:rsidRPr="00F9127B">
        <w:rPr>
          <w:rFonts w:asciiTheme="majorBidi" w:hAnsiTheme="majorBidi" w:cstheme="majorBidi"/>
          <w:sz w:val="20"/>
          <w:szCs w:val="20"/>
          <w:vertAlign w:val="superscript"/>
        </w:rPr>
        <w:footnoteRef/>
      </w:r>
      <w:r w:rsidRPr="00F9127B">
        <w:rPr>
          <w:rFonts w:asciiTheme="majorBidi" w:hAnsiTheme="majorBidi" w:cstheme="majorBidi"/>
          <w:sz w:val="20"/>
          <w:szCs w:val="20"/>
        </w:rPr>
        <w:t xml:space="preserve"> The </w:t>
      </w:r>
      <w:r>
        <w:rPr>
          <w:rFonts w:asciiTheme="majorBidi" w:hAnsiTheme="majorBidi" w:cstheme="majorBidi"/>
          <w:sz w:val="20"/>
          <w:szCs w:val="20"/>
        </w:rPr>
        <w:t>ancient polity of</w:t>
      </w:r>
      <w:r w:rsidRPr="00F9127B">
        <w:rPr>
          <w:rFonts w:asciiTheme="majorBidi" w:hAnsiTheme="majorBidi" w:cstheme="majorBidi"/>
          <w:sz w:val="20"/>
          <w:szCs w:val="20"/>
        </w:rPr>
        <w:t xml:space="preserve"> Ṭukhāristān clearly refers to a political entity that </w:t>
      </w:r>
      <w:r>
        <w:rPr>
          <w:rFonts w:asciiTheme="majorBidi" w:hAnsiTheme="majorBidi" w:cstheme="majorBidi"/>
          <w:sz w:val="20"/>
          <w:szCs w:val="20"/>
        </w:rPr>
        <w:t xml:space="preserve">had </w:t>
      </w:r>
      <w:r w:rsidRPr="00F9127B">
        <w:rPr>
          <w:rFonts w:asciiTheme="majorBidi" w:hAnsiTheme="majorBidi" w:cstheme="majorBidi"/>
          <w:sz w:val="20"/>
          <w:szCs w:val="20"/>
        </w:rPr>
        <w:t xml:space="preserve">ceased to exist </w:t>
      </w:r>
      <w:r>
        <w:rPr>
          <w:rFonts w:asciiTheme="majorBidi" w:hAnsiTheme="majorBidi" w:cstheme="majorBidi"/>
          <w:sz w:val="20"/>
          <w:szCs w:val="20"/>
        </w:rPr>
        <w:t xml:space="preserve">several centuries before </w:t>
      </w:r>
      <w:r w:rsidRPr="00F9127B">
        <w:rPr>
          <w:rFonts w:asciiTheme="majorBidi" w:hAnsiTheme="majorBidi" w:cstheme="majorBidi"/>
          <w:sz w:val="20"/>
          <w:szCs w:val="20"/>
        </w:rPr>
        <w:t>Xuanzang’s time.</w:t>
      </w:r>
    </w:p>
  </w:footnote>
  <w:footnote w:id="64">
    <w:p w14:paraId="44792E5A" w14:textId="77777777" w:rsidR="00902FCD" w:rsidRPr="00515CD7" w:rsidRDefault="00902FCD" w:rsidP="008D3D4F">
      <w:pPr>
        <w:pStyle w:val="FootnoteText"/>
        <w:spacing w:line="360" w:lineRule="auto"/>
        <w:rPr>
          <w:rFonts w:asciiTheme="majorBidi" w:hAnsiTheme="majorBidi" w:cstheme="majorBidi"/>
          <w:sz w:val="20"/>
          <w:szCs w:val="20"/>
        </w:rPr>
      </w:pPr>
      <w:r w:rsidRPr="00AA29AB">
        <w:rPr>
          <w:rFonts w:asciiTheme="majorBidi" w:hAnsiTheme="majorBidi" w:cstheme="majorBidi"/>
          <w:sz w:val="20"/>
          <w:szCs w:val="20"/>
          <w:vertAlign w:val="superscript"/>
        </w:rPr>
        <w:footnoteRef/>
      </w:r>
      <w:r w:rsidRPr="00AA29AB">
        <w:rPr>
          <w:rFonts w:asciiTheme="majorBidi" w:hAnsiTheme="majorBidi" w:cstheme="majorBidi"/>
          <w:sz w:val="20"/>
          <w:szCs w:val="20"/>
          <w:vertAlign w:val="superscript"/>
        </w:rPr>
        <w:t xml:space="preserve"> </w:t>
      </w:r>
      <w:r w:rsidRPr="00515CD7">
        <w:rPr>
          <w:rFonts w:asciiTheme="majorBidi" w:hAnsiTheme="majorBidi" w:cstheme="majorBidi"/>
          <w:sz w:val="20"/>
          <w:szCs w:val="20"/>
        </w:rPr>
        <w:t>Barthold, 19</w:t>
      </w:r>
      <w:r>
        <w:rPr>
          <w:rFonts w:asciiTheme="majorBidi" w:hAnsiTheme="majorBidi" w:cstheme="majorBidi"/>
          <w:sz w:val="20"/>
          <w:szCs w:val="20"/>
        </w:rPr>
        <w:t>2</w:t>
      </w:r>
      <w:r w:rsidRPr="00515CD7">
        <w:rPr>
          <w:rFonts w:asciiTheme="majorBidi" w:hAnsiTheme="majorBidi" w:cstheme="majorBidi"/>
          <w:sz w:val="20"/>
          <w:szCs w:val="20"/>
        </w:rPr>
        <w:t>8, p. 66; 1984, p. 18; Le Strange, 1930, pp. 426-7.</w:t>
      </w:r>
      <w:r>
        <w:rPr>
          <w:rFonts w:asciiTheme="majorBidi" w:hAnsiTheme="majorBidi" w:cstheme="majorBidi"/>
          <w:sz w:val="20"/>
          <w:szCs w:val="20"/>
        </w:rPr>
        <w:t xml:space="preserve"> Generally, Ṭukhāristān</w:t>
      </w:r>
      <w:r w:rsidRPr="00515CD7">
        <w:rPr>
          <w:rFonts w:asciiTheme="majorBidi" w:hAnsiTheme="majorBidi" w:cstheme="majorBidi"/>
          <w:sz w:val="20"/>
          <w:szCs w:val="20"/>
        </w:rPr>
        <w:t xml:space="preserve"> </w:t>
      </w:r>
      <w:r>
        <w:rPr>
          <w:rFonts w:asciiTheme="majorBidi" w:hAnsiTheme="majorBidi" w:cstheme="majorBidi"/>
          <w:sz w:val="20"/>
          <w:szCs w:val="20"/>
        </w:rPr>
        <w:t xml:space="preserve">in the medieval Muslim geographies was of </w:t>
      </w:r>
      <w:r>
        <w:rPr>
          <w:rFonts w:asciiTheme="majorBidi" w:hAnsiTheme="majorBidi" w:cstheme="majorBidi" w:hint="eastAsia"/>
          <w:sz w:val="20"/>
          <w:szCs w:val="20"/>
        </w:rPr>
        <w:t>decreased</w:t>
      </w:r>
      <w:r>
        <w:rPr>
          <w:rFonts w:asciiTheme="majorBidi" w:hAnsiTheme="majorBidi" w:cstheme="majorBidi"/>
          <w:sz w:val="20"/>
          <w:szCs w:val="20"/>
        </w:rPr>
        <w:t xml:space="preserve"> territories. </w:t>
      </w:r>
      <w:r w:rsidRPr="006A6F97">
        <w:rPr>
          <w:rFonts w:asciiTheme="majorBidi" w:hAnsiTheme="majorBidi" w:cstheme="majorBidi"/>
          <w:i/>
          <w:iCs/>
          <w:sz w:val="20"/>
          <w:szCs w:val="20"/>
        </w:rPr>
        <w:t>Ḥudūd al-ʿĀlam</w:t>
      </w:r>
      <w:r w:rsidRPr="00847BE2">
        <w:rPr>
          <w:rFonts w:asciiTheme="majorBidi" w:hAnsiTheme="majorBidi" w:cstheme="majorBidi"/>
          <w:sz w:val="20"/>
          <w:szCs w:val="20"/>
        </w:rPr>
        <w:t xml:space="preserve"> </w:t>
      </w:r>
      <w:r>
        <w:rPr>
          <w:rFonts w:asciiTheme="majorBidi" w:hAnsiTheme="majorBidi" w:cstheme="majorBidi"/>
          <w:sz w:val="20"/>
          <w:szCs w:val="20"/>
        </w:rPr>
        <w:t>from late 10</w:t>
      </w:r>
      <w:r w:rsidRPr="006A6F97">
        <w:rPr>
          <w:rFonts w:asciiTheme="majorBidi" w:hAnsiTheme="majorBidi" w:cstheme="majorBidi"/>
          <w:sz w:val="20"/>
          <w:szCs w:val="20"/>
          <w:vertAlign w:val="superscript"/>
        </w:rPr>
        <w:t>th</w:t>
      </w:r>
      <w:r>
        <w:rPr>
          <w:rFonts w:asciiTheme="majorBidi" w:hAnsiTheme="majorBidi" w:cstheme="majorBidi"/>
          <w:sz w:val="20"/>
          <w:szCs w:val="20"/>
        </w:rPr>
        <w:t xml:space="preserve"> century reports that Bādhghīs, Gūzgān, Balkh, Tirmidh, Chaghāniyān, Shūmān and so on did not belong to Ṭukhāristān (1937, pp. 102-9, 114-5). A</w:t>
      </w:r>
      <w:r w:rsidRPr="00515CD7">
        <w:rPr>
          <w:rFonts w:asciiTheme="majorBidi" w:hAnsiTheme="majorBidi" w:cstheme="majorBidi"/>
          <w:sz w:val="20"/>
          <w:szCs w:val="20"/>
        </w:rPr>
        <w:t>l-Muqaddasī</w:t>
      </w:r>
      <w:r>
        <w:rPr>
          <w:rFonts w:asciiTheme="majorBidi" w:hAnsiTheme="majorBidi" w:cstheme="majorBidi"/>
          <w:sz w:val="20"/>
          <w:szCs w:val="20"/>
        </w:rPr>
        <w:t xml:space="preserve"> (d. 991 CE) clarifies that</w:t>
      </w:r>
      <w:r w:rsidRPr="00515CD7">
        <w:rPr>
          <w:rFonts w:asciiTheme="majorBidi" w:hAnsiTheme="majorBidi" w:cstheme="majorBidi"/>
          <w:sz w:val="20"/>
          <w:szCs w:val="20"/>
        </w:rPr>
        <w:t xml:space="preserve"> </w:t>
      </w:r>
      <w:r>
        <w:rPr>
          <w:rFonts w:asciiTheme="majorBidi" w:hAnsiTheme="majorBidi" w:cstheme="majorBidi"/>
          <w:sz w:val="20"/>
          <w:szCs w:val="20"/>
        </w:rPr>
        <w:t>Ṭukhāristān</w:t>
      </w:r>
      <w:r w:rsidRPr="00515CD7">
        <w:rPr>
          <w:rFonts w:asciiTheme="majorBidi" w:hAnsiTheme="majorBidi" w:cstheme="majorBidi"/>
          <w:sz w:val="20"/>
          <w:szCs w:val="20"/>
        </w:rPr>
        <w:t xml:space="preserve"> was limited to regions between the Oxus </w:t>
      </w:r>
      <w:r>
        <w:rPr>
          <w:rFonts w:asciiTheme="majorBidi" w:hAnsiTheme="majorBidi" w:cstheme="majorBidi"/>
          <w:sz w:val="20"/>
          <w:szCs w:val="20"/>
        </w:rPr>
        <w:t xml:space="preserve">in the north </w:t>
      </w:r>
      <w:r w:rsidRPr="00515CD7">
        <w:rPr>
          <w:rFonts w:asciiTheme="majorBidi" w:hAnsiTheme="majorBidi" w:cstheme="majorBidi"/>
          <w:sz w:val="20"/>
          <w:szCs w:val="20"/>
        </w:rPr>
        <w:t xml:space="preserve">and </w:t>
      </w:r>
      <w:r>
        <w:rPr>
          <w:rFonts w:asciiTheme="majorBidi" w:hAnsiTheme="majorBidi" w:cstheme="majorBidi"/>
          <w:sz w:val="20"/>
          <w:szCs w:val="20"/>
        </w:rPr>
        <w:t xml:space="preserve">Bāmyān in the south and between Balkh in the west and Badakhshān in the east </w:t>
      </w:r>
      <w:r w:rsidRPr="00515CD7">
        <w:rPr>
          <w:rFonts w:asciiTheme="majorBidi" w:hAnsiTheme="majorBidi" w:cstheme="majorBidi"/>
          <w:sz w:val="20"/>
          <w:szCs w:val="20"/>
        </w:rPr>
        <w:t xml:space="preserve">(1906, pp. 295-6: </w:t>
      </w:r>
      <w:bookmarkStart w:id="3" w:name="_Hlk75348599"/>
      <w:r w:rsidRPr="00AA29AB">
        <w:rPr>
          <w:rFonts w:asciiTheme="majorBidi" w:hAnsiTheme="majorBidi" w:cstheme="majorBidi"/>
          <w:sz w:val="20"/>
          <w:szCs w:val="20"/>
          <w:rtl/>
          <w:lang w:bidi="ar-JO"/>
        </w:rPr>
        <w:t>فاما بلغ فانها اسم القصبة أيضا ومن مدنها اشغورقان سليم كركو جا مذر برواز ومن النواحي طخارستان وهى القصبة أيضا ومن مدنها</w:t>
      </w:r>
      <w:bookmarkEnd w:id="3"/>
      <w:r w:rsidRPr="00AA29AB">
        <w:rPr>
          <w:rFonts w:asciiTheme="majorBidi" w:hAnsiTheme="majorBidi" w:cstheme="majorBidi"/>
          <w:sz w:val="20"/>
          <w:szCs w:val="20"/>
          <w:rtl/>
        </w:rPr>
        <w:t xml:space="preserve"> </w:t>
      </w:r>
      <w:r w:rsidRPr="00AA29AB">
        <w:rPr>
          <w:rFonts w:asciiTheme="majorBidi" w:hAnsiTheme="majorBidi" w:cstheme="majorBidi" w:hint="cs"/>
          <w:sz w:val="20"/>
          <w:szCs w:val="20"/>
          <w:rtl/>
          <w:lang w:bidi="ar-JO"/>
        </w:rPr>
        <w:t xml:space="preserve">ولوالج الطيقان خلم غربنك سمنجان اسكلكند روب بغلان السفلي بغلان العليا اسكيمشت راون </w:t>
      </w:r>
      <w:r w:rsidRPr="00AA29AB">
        <w:rPr>
          <w:rFonts w:asciiTheme="majorBidi" w:hAnsiTheme="majorBidi" w:cstheme="majorBidi"/>
          <w:sz w:val="20"/>
          <w:szCs w:val="20"/>
          <w:rtl/>
          <w:lang w:bidi="ar-JO"/>
        </w:rPr>
        <w:t>آرهن</w:t>
      </w:r>
      <w:r w:rsidRPr="00AA29AB">
        <w:rPr>
          <w:rFonts w:asciiTheme="majorBidi" w:hAnsiTheme="majorBidi" w:cstheme="majorBidi" w:hint="cs"/>
          <w:sz w:val="20"/>
          <w:szCs w:val="20"/>
          <w:rtl/>
          <w:lang w:bidi="ar-JO"/>
        </w:rPr>
        <w:t xml:space="preserve"> اندراب خست سراي عاصم</w:t>
      </w:r>
      <w:r>
        <w:rPr>
          <w:rFonts w:asciiTheme="majorBidi" w:hAnsiTheme="majorBidi" w:cstheme="majorBidi"/>
          <w:sz w:val="20"/>
          <w:szCs w:val="20"/>
          <w:lang w:bidi="ar-JO"/>
        </w:rPr>
        <w:t xml:space="preserve">; p. 303: </w:t>
      </w:r>
      <w:r>
        <w:rPr>
          <w:rFonts w:asciiTheme="majorBidi" w:hAnsiTheme="majorBidi" w:cstheme="majorBidi" w:hint="cs"/>
          <w:sz w:val="20"/>
          <w:szCs w:val="20"/>
          <w:rtl/>
          <w:lang w:bidi="ar-JO"/>
        </w:rPr>
        <w:t>وبذخشان متاخمة لبلاد الترك فوق طخارستان</w:t>
      </w:r>
      <w:r>
        <w:rPr>
          <w:rFonts w:asciiTheme="majorBidi" w:hAnsiTheme="majorBidi" w:cstheme="majorBidi"/>
          <w:sz w:val="20"/>
          <w:szCs w:val="20"/>
        </w:rPr>
        <w:t>), with Balkh not being part of the region as attested by</w:t>
      </w:r>
      <w:r w:rsidRPr="00123117">
        <w:rPr>
          <w:rFonts w:asciiTheme="majorBidi" w:hAnsiTheme="majorBidi" w:cstheme="majorBidi"/>
          <w:sz w:val="20"/>
          <w:szCs w:val="20"/>
        </w:rPr>
        <w:t xml:space="preserve"> al-Istakhr</w:t>
      </w:r>
      <w:r>
        <w:rPr>
          <w:rFonts w:asciiTheme="majorBidi" w:hAnsiTheme="majorBidi" w:cstheme="majorBidi"/>
          <w:sz w:val="20"/>
          <w:szCs w:val="20"/>
        </w:rPr>
        <w:t xml:space="preserve">ī (d. after 952 CE) (1927, p. 275: </w:t>
      </w:r>
      <w:r>
        <w:rPr>
          <w:rFonts w:asciiTheme="majorBidi" w:hAnsiTheme="majorBidi" w:cstheme="majorBidi" w:hint="cs"/>
          <w:sz w:val="20"/>
          <w:szCs w:val="20"/>
          <w:rtl/>
          <w:lang w:bidi="ar-JO"/>
        </w:rPr>
        <w:t>واما بلخ فان الذي يتصل بها طخيرستان والختل و بنجهير وبذخشان و عمل باميان وما يتصل بها</w:t>
      </w:r>
      <w:r>
        <w:rPr>
          <w:rFonts w:asciiTheme="majorBidi" w:hAnsiTheme="majorBidi" w:cstheme="majorBidi"/>
          <w:sz w:val="20"/>
          <w:szCs w:val="20"/>
        </w:rPr>
        <w:t>).</w:t>
      </w:r>
    </w:p>
  </w:footnote>
  <w:footnote w:id="65">
    <w:p w14:paraId="73CFA23C" w14:textId="77777777" w:rsidR="00902FCD" w:rsidRPr="006D3203" w:rsidRDefault="00902FCD" w:rsidP="00A748BE">
      <w:pPr>
        <w:pStyle w:val="FootnoteText"/>
        <w:spacing w:line="360" w:lineRule="auto"/>
        <w:rPr>
          <w:rFonts w:asciiTheme="majorBidi" w:hAnsiTheme="majorBidi" w:cstheme="majorBidi"/>
          <w:sz w:val="20"/>
          <w:szCs w:val="20"/>
        </w:rPr>
      </w:pPr>
      <w:r w:rsidRPr="006D3203">
        <w:rPr>
          <w:rFonts w:asciiTheme="majorBidi" w:hAnsiTheme="majorBidi" w:cstheme="majorBidi"/>
          <w:sz w:val="20"/>
          <w:szCs w:val="20"/>
          <w:vertAlign w:val="superscript"/>
        </w:rPr>
        <w:footnoteRef/>
      </w:r>
      <w:r w:rsidRPr="006D3203">
        <w:rPr>
          <w:rFonts w:asciiTheme="majorBidi" w:hAnsiTheme="majorBidi" w:cstheme="majorBidi"/>
          <w:sz w:val="20"/>
          <w:szCs w:val="20"/>
        </w:rPr>
        <w:t xml:space="preserve"> </w:t>
      </w:r>
      <w:r>
        <w:rPr>
          <w:rFonts w:asciiTheme="majorBidi" w:hAnsiTheme="majorBidi" w:cstheme="majorBidi"/>
          <w:sz w:val="20"/>
          <w:szCs w:val="20"/>
        </w:rPr>
        <w:t>A</w:t>
      </w:r>
      <w:r w:rsidRPr="006D3203">
        <w:rPr>
          <w:rFonts w:asciiTheme="majorBidi" w:hAnsiTheme="majorBidi" w:cstheme="majorBidi"/>
          <w:sz w:val="20"/>
          <w:szCs w:val="20"/>
        </w:rPr>
        <w:t xml:space="preserve">l-Balādhurī's </w:t>
      </w:r>
      <w:r>
        <w:rPr>
          <w:rFonts w:asciiTheme="majorBidi" w:hAnsiTheme="majorBidi" w:cstheme="majorBidi"/>
          <w:sz w:val="20"/>
          <w:szCs w:val="20"/>
        </w:rPr>
        <w:t xml:space="preserve">reports show </w:t>
      </w:r>
      <w:r w:rsidRPr="006D3203">
        <w:rPr>
          <w:rFonts w:asciiTheme="majorBidi" w:hAnsiTheme="majorBidi" w:cstheme="majorBidi"/>
          <w:sz w:val="20"/>
          <w:szCs w:val="20"/>
        </w:rPr>
        <w:t>that Ṭukhāristān extended all the way to the east bank of the Murghāb (</w:t>
      </w:r>
      <w:r w:rsidRPr="00AF346D">
        <w:rPr>
          <w:rFonts w:asciiTheme="majorBidi" w:hAnsiTheme="majorBidi" w:cstheme="majorBidi" w:hint="eastAsia"/>
          <w:sz w:val="20"/>
          <w:szCs w:val="20"/>
        </w:rPr>
        <w:t>S</w:t>
      </w:r>
      <w:r w:rsidRPr="00AF346D">
        <w:rPr>
          <w:rFonts w:asciiTheme="majorBidi" w:hAnsiTheme="majorBidi" w:cstheme="majorBidi"/>
          <w:sz w:val="20"/>
          <w:szCs w:val="20"/>
        </w:rPr>
        <w:t>haban, 1970, p. 10</w:t>
      </w:r>
      <w:r w:rsidRPr="006D3203">
        <w:rPr>
          <w:rFonts w:asciiTheme="majorBidi" w:hAnsiTheme="majorBidi" w:cstheme="majorBidi"/>
          <w:sz w:val="20"/>
          <w:szCs w:val="20"/>
        </w:rPr>
        <w:t>); al</w:t>
      </w:r>
      <w:r>
        <w:rPr>
          <w:rFonts w:asciiTheme="majorBidi" w:hAnsiTheme="majorBidi" w:cstheme="majorBidi"/>
          <w:sz w:val="20"/>
          <w:szCs w:val="20"/>
        </w:rPr>
        <w:t>-</w:t>
      </w:r>
      <w:r w:rsidRPr="006D3203">
        <w:rPr>
          <w:rFonts w:asciiTheme="majorBidi" w:hAnsiTheme="majorBidi" w:cstheme="majorBidi"/>
          <w:sz w:val="20"/>
          <w:szCs w:val="20"/>
        </w:rPr>
        <w:t xml:space="preserve">Ṭabarī’s annals </w:t>
      </w:r>
      <w:r>
        <w:rPr>
          <w:rFonts w:asciiTheme="majorBidi" w:hAnsiTheme="majorBidi" w:cstheme="majorBidi"/>
          <w:sz w:val="20"/>
          <w:szCs w:val="20"/>
        </w:rPr>
        <w:t>report</w:t>
      </w:r>
      <w:r w:rsidRPr="006D3203">
        <w:rPr>
          <w:rFonts w:asciiTheme="majorBidi" w:hAnsiTheme="majorBidi" w:cstheme="majorBidi"/>
          <w:sz w:val="20"/>
          <w:szCs w:val="20"/>
        </w:rPr>
        <w:t xml:space="preserve"> Akharūn and Shūmān as part of Ṭukhāristān (</w:t>
      </w:r>
      <w:r w:rsidRPr="003F1E0E">
        <w:rPr>
          <w:rFonts w:asciiTheme="majorBidi" w:hAnsiTheme="majorBidi" w:cstheme="majorBidi"/>
          <w:sz w:val="20"/>
          <w:szCs w:val="20"/>
        </w:rPr>
        <w:t xml:space="preserve">2001, volume 3, p. 670; </w:t>
      </w:r>
      <w:r>
        <w:rPr>
          <w:rFonts w:asciiTheme="majorBidi" w:hAnsiTheme="majorBidi" w:cstheme="majorBidi"/>
          <w:sz w:val="20"/>
          <w:szCs w:val="20"/>
        </w:rPr>
        <w:t>tr.</w:t>
      </w:r>
      <w:r w:rsidRPr="003F1E0E">
        <w:rPr>
          <w:rFonts w:asciiTheme="majorBidi" w:hAnsiTheme="majorBidi" w:cstheme="majorBidi"/>
          <w:sz w:val="20"/>
          <w:szCs w:val="20"/>
        </w:rPr>
        <w:t xml:space="preserve">, 1990, volume </w:t>
      </w:r>
      <w:r>
        <w:rPr>
          <w:rFonts w:asciiTheme="majorBidi" w:hAnsiTheme="majorBidi" w:cstheme="majorBidi"/>
          <w:sz w:val="20"/>
          <w:szCs w:val="20"/>
        </w:rPr>
        <w:t>XXIII</w:t>
      </w:r>
      <w:r w:rsidRPr="003F1E0E">
        <w:rPr>
          <w:rFonts w:asciiTheme="majorBidi" w:hAnsiTheme="majorBidi" w:cstheme="majorBidi"/>
          <w:sz w:val="20"/>
          <w:szCs w:val="20"/>
        </w:rPr>
        <w:t>, p. 12</w:t>
      </w:r>
      <w:r>
        <w:rPr>
          <w:rFonts w:asciiTheme="majorBidi" w:hAnsiTheme="majorBidi" w:cstheme="majorBidi"/>
          <w:sz w:val="20"/>
          <w:szCs w:val="20"/>
        </w:rPr>
        <w:t xml:space="preserve">8: </w:t>
      </w:r>
      <w:r>
        <w:rPr>
          <w:rFonts w:asciiTheme="majorBidi" w:hAnsiTheme="majorBidi" w:cstheme="majorBidi" w:hint="cs"/>
          <w:sz w:val="20"/>
          <w:szCs w:val="20"/>
          <w:rtl/>
          <w:lang w:bidi="ar-JO"/>
        </w:rPr>
        <w:t xml:space="preserve">اخرون وشومان </w:t>
      </w:r>
      <w:r>
        <w:rPr>
          <w:rFonts w:asciiTheme="majorBidi" w:hAnsiTheme="majorBidi" w:cstheme="majorBidi"/>
          <w:sz w:val="20"/>
          <w:szCs w:val="20"/>
          <w:rtl/>
          <w:lang w:bidi="ar-JO"/>
        </w:rPr>
        <w:t>–</w:t>
      </w:r>
      <w:r>
        <w:rPr>
          <w:rFonts w:asciiTheme="majorBidi" w:hAnsiTheme="majorBidi" w:cstheme="majorBidi" w:hint="cs"/>
          <w:sz w:val="20"/>
          <w:szCs w:val="20"/>
          <w:rtl/>
          <w:lang w:bidi="ar-JO"/>
        </w:rPr>
        <w:t xml:space="preserve"> وهما من طخارستان</w:t>
      </w:r>
      <w:r>
        <w:rPr>
          <w:rFonts w:asciiTheme="majorBidi" w:hAnsiTheme="majorBidi" w:cstheme="majorBidi"/>
          <w:sz w:val="20"/>
          <w:szCs w:val="20"/>
        </w:rPr>
        <w:t>.</w:t>
      </w:r>
      <w:r w:rsidRPr="003F1E0E">
        <w:rPr>
          <w:rFonts w:asciiTheme="majorBidi" w:hAnsiTheme="majorBidi" w:cstheme="majorBidi"/>
          <w:sz w:val="20"/>
          <w:szCs w:val="20"/>
        </w:rPr>
        <w:t xml:space="preserve"> See also </w:t>
      </w:r>
      <w:r w:rsidRPr="006D3203">
        <w:rPr>
          <w:rFonts w:asciiTheme="majorBidi" w:hAnsiTheme="majorBidi" w:cstheme="majorBidi"/>
          <w:sz w:val="20"/>
          <w:szCs w:val="20"/>
        </w:rPr>
        <w:t>Ibn-’Athīr, 1987, volume 4,</w:t>
      </w:r>
      <w:r>
        <w:rPr>
          <w:rFonts w:asciiTheme="majorBidi" w:hAnsiTheme="majorBidi" w:cstheme="majorBidi"/>
          <w:sz w:val="20"/>
          <w:szCs w:val="20"/>
        </w:rPr>
        <w:t xml:space="preserve"> p. 241</w:t>
      </w:r>
      <w:r w:rsidRPr="006D3203">
        <w:rPr>
          <w:rFonts w:asciiTheme="majorBidi" w:hAnsiTheme="majorBidi" w:cstheme="majorBidi"/>
          <w:sz w:val="20"/>
          <w:szCs w:val="20"/>
        </w:rPr>
        <w:t xml:space="preserve">), though later medieval Muslim geographies such as </w:t>
      </w:r>
      <w:r w:rsidRPr="00FA5BBD">
        <w:rPr>
          <w:rFonts w:asciiTheme="majorBidi" w:hAnsiTheme="majorBidi" w:cstheme="majorBidi"/>
          <w:i/>
          <w:iCs/>
          <w:sz w:val="20"/>
          <w:szCs w:val="20"/>
        </w:rPr>
        <w:t>Ḥudūd al-ʿĀlam</w:t>
      </w:r>
      <w:r w:rsidRPr="006D3203">
        <w:rPr>
          <w:rFonts w:asciiTheme="majorBidi" w:hAnsiTheme="majorBidi" w:cstheme="majorBidi"/>
          <w:sz w:val="20"/>
          <w:szCs w:val="20"/>
        </w:rPr>
        <w:t xml:space="preserve"> excluded them from the region (</w:t>
      </w:r>
      <w:r>
        <w:rPr>
          <w:rFonts w:asciiTheme="majorBidi" w:hAnsiTheme="majorBidi" w:cstheme="majorBidi"/>
          <w:sz w:val="20"/>
          <w:szCs w:val="20"/>
        </w:rPr>
        <w:t>1937, pp. 114-5</w:t>
      </w:r>
      <w:r w:rsidRPr="006D3203">
        <w:rPr>
          <w:rFonts w:asciiTheme="majorBidi" w:hAnsiTheme="majorBidi" w:cstheme="majorBidi"/>
          <w:sz w:val="20"/>
          <w:szCs w:val="20"/>
        </w:rPr>
        <w:t xml:space="preserve">). </w:t>
      </w:r>
    </w:p>
  </w:footnote>
  <w:footnote w:id="66">
    <w:p w14:paraId="6680CD3C" w14:textId="77777777" w:rsidR="00902FCD" w:rsidRPr="001255B5" w:rsidRDefault="00902FCD" w:rsidP="008D3D4F">
      <w:pPr>
        <w:pStyle w:val="FootnoteText"/>
        <w:spacing w:line="360" w:lineRule="auto"/>
        <w:rPr>
          <w:rFonts w:asciiTheme="majorBidi" w:hAnsiTheme="majorBidi" w:cstheme="majorBidi"/>
          <w:sz w:val="20"/>
          <w:szCs w:val="20"/>
        </w:rPr>
      </w:pPr>
      <w:r w:rsidRPr="001255B5">
        <w:rPr>
          <w:rFonts w:asciiTheme="majorBidi" w:hAnsiTheme="majorBidi" w:cstheme="majorBidi"/>
          <w:sz w:val="20"/>
          <w:szCs w:val="20"/>
          <w:vertAlign w:val="superscript"/>
        </w:rPr>
        <w:footnoteRef/>
      </w:r>
      <w:r w:rsidRPr="001255B5">
        <w:rPr>
          <w:rFonts w:asciiTheme="majorBidi" w:hAnsiTheme="majorBidi" w:cstheme="majorBidi"/>
          <w:sz w:val="20"/>
          <w:szCs w:val="20"/>
          <w:vertAlign w:val="superscript"/>
        </w:rPr>
        <w:t xml:space="preserve"> </w:t>
      </w:r>
      <w:r w:rsidRPr="00191069">
        <w:rPr>
          <w:rFonts w:asciiTheme="majorBidi" w:hAnsiTheme="majorBidi" w:cstheme="majorBidi"/>
          <w:sz w:val="20"/>
          <w:szCs w:val="20"/>
        </w:rPr>
        <w:t>Barthold, 1928, p. 68</w:t>
      </w:r>
      <w:r w:rsidRPr="001255B5">
        <w:rPr>
          <w:rFonts w:asciiTheme="majorBidi" w:hAnsiTheme="majorBidi" w:cstheme="majorBidi"/>
          <w:sz w:val="20"/>
          <w:szCs w:val="20"/>
        </w:rPr>
        <w:t>; 1984, p. 18.</w:t>
      </w:r>
    </w:p>
  </w:footnote>
  <w:footnote w:id="67">
    <w:p w14:paraId="4E875B78" w14:textId="77777777" w:rsidR="00902FCD" w:rsidRPr="003B3FAB" w:rsidRDefault="00902FCD" w:rsidP="00F27AE4">
      <w:pPr>
        <w:pStyle w:val="FootnoteText"/>
        <w:spacing w:line="360" w:lineRule="auto"/>
        <w:rPr>
          <w:rFonts w:asciiTheme="majorBidi" w:hAnsiTheme="majorBidi" w:cstheme="majorBidi"/>
          <w:sz w:val="20"/>
          <w:szCs w:val="20"/>
        </w:rPr>
      </w:pPr>
      <w:r w:rsidRPr="003B3FAB">
        <w:rPr>
          <w:rStyle w:val="FootnoteReference"/>
          <w:rFonts w:asciiTheme="majorBidi" w:hAnsiTheme="majorBidi" w:cstheme="majorBidi"/>
          <w:sz w:val="20"/>
          <w:szCs w:val="20"/>
        </w:rPr>
        <w:footnoteRef/>
      </w:r>
      <w:r w:rsidRPr="003B3FAB">
        <w:rPr>
          <w:rFonts w:asciiTheme="majorBidi" w:hAnsiTheme="majorBidi" w:cstheme="majorBidi"/>
          <w:sz w:val="20"/>
          <w:szCs w:val="20"/>
        </w:rPr>
        <w:t xml:space="preserve"> De la Vaissi</w:t>
      </w:r>
      <w:r w:rsidRPr="003B3FAB">
        <w:rPr>
          <w:rFonts w:asciiTheme="majorBidi" w:eastAsiaTheme="minorHAnsi" w:hAnsiTheme="majorBidi" w:cstheme="majorBidi"/>
          <w:sz w:val="20"/>
          <w:szCs w:val="20"/>
        </w:rPr>
        <w:t>è</w:t>
      </w:r>
      <w:r w:rsidRPr="003B3FAB">
        <w:rPr>
          <w:rFonts w:asciiTheme="majorBidi" w:hAnsiTheme="majorBidi" w:cstheme="majorBidi"/>
          <w:sz w:val="20"/>
          <w:szCs w:val="20"/>
        </w:rPr>
        <w:t>re employ</w:t>
      </w:r>
      <w:r>
        <w:rPr>
          <w:rFonts w:asciiTheme="majorBidi" w:hAnsiTheme="majorBidi" w:cstheme="majorBidi"/>
          <w:sz w:val="20"/>
          <w:szCs w:val="20"/>
        </w:rPr>
        <w:t>s</w:t>
      </w:r>
      <w:r w:rsidRPr="003B3FAB">
        <w:rPr>
          <w:rFonts w:asciiTheme="majorBidi" w:hAnsiTheme="majorBidi" w:cstheme="majorBidi"/>
          <w:sz w:val="20"/>
          <w:szCs w:val="20"/>
        </w:rPr>
        <w:t xml:space="preserve"> the term </w:t>
      </w:r>
      <w:r w:rsidRPr="003B3FAB">
        <w:rPr>
          <w:rFonts w:asciiTheme="majorBidi" w:hAnsiTheme="majorBidi" w:cstheme="majorBidi"/>
          <w:i/>
          <w:iCs/>
          <w:sz w:val="20"/>
          <w:szCs w:val="20"/>
        </w:rPr>
        <w:t>Bactriane orientale</w:t>
      </w:r>
      <w:r w:rsidRPr="003B3FAB">
        <w:rPr>
          <w:rFonts w:asciiTheme="majorBidi" w:hAnsiTheme="majorBidi" w:cstheme="majorBidi"/>
          <w:sz w:val="20"/>
          <w:szCs w:val="20"/>
        </w:rPr>
        <w:t>, namely eastern Bactria (2010a, p. 524).</w:t>
      </w:r>
    </w:p>
  </w:footnote>
  <w:footnote w:id="68">
    <w:p w14:paraId="764E6DB5" w14:textId="77777777" w:rsidR="00902FCD" w:rsidRPr="00191069" w:rsidRDefault="00902FCD" w:rsidP="008D3D4F">
      <w:pPr>
        <w:pStyle w:val="FootnoteText"/>
        <w:spacing w:line="360" w:lineRule="auto"/>
        <w:rPr>
          <w:rFonts w:asciiTheme="majorBidi" w:hAnsiTheme="majorBidi" w:cstheme="majorBidi"/>
          <w:sz w:val="20"/>
          <w:szCs w:val="20"/>
        </w:rPr>
      </w:pPr>
      <w:r w:rsidRPr="00191069">
        <w:rPr>
          <w:rFonts w:asciiTheme="majorBidi" w:hAnsiTheme="majorBidi" w:cstheme="majorBidi"/>
          <w:sz w:val="20"/>
          <w:szCs w:val="20"/>
          <w:vertAlign w:val="superscript"/>
        </w:rPr>
        <w:footnoteRef/>
      </w:r>
      <w:r w:rsidRPr="00191069">
        <w:rPr>
          <w:rFonts w:asciiTheme="majorBidi" w:hAnsiTheme="majorBidi" w:cstheme="majorBidi"/>
          <w:sz w:val="20"/>
          <w:szCs w:val="20"/>
        </w:rPr>
        <w:t xml:space="preserve"> Gibb, 1923, pp. 15-7, 31-8.</w:t>
      </w:r>
    </w:p>
  </w:footnote>
  <w:footnote w:id="69">
    <w:p w14:paraId="39D39CB5" w14:textId="77777777" w:rsidR="00902FCD" w:rsidRPr="00191069" w:rsidRDefault="00902FCD" w:rsidP="008D3D4F">
      <w:pPr>
        <w:pStyle w:val="FootnoteText"/>
        <w:spacing w:line="360" w:lineRule="auto"/>
        <w:rPr>
          <w:rFonts w:asciiTheme="majorBidi" w:hAnsiTheme="majorBidi" w:cstheme="majorBidi"/>
          <w:sz w:val="20"/>
          <w:szCs w:val="20"/>
        </w:rPr>
      </w:pPr>
      <w:r w:rsidRPr="00191069">
        <w:rPr>
          <w:rFonts w:asciiTheme="majorBidi" w:hAnsiTheme="majorBidi" w:cstheme="majorBidi"/>
          <w:sz w:val="20"/>
          <w:szCs w:val="20"/>
          <w:vertAlign w:val="superscript"/>
        </w:rPr>
        <w:footnoteRef/>
      </w:r>
      <w:r w:rsidRPr="00191069">
        <w:rPr>
          <w:rFonts w:asciiTheme="majorBidi" w:hAnsiTheme="majorBidi" w:cstheme="majorBidi"/>
          <w:sz w:val="20"/>
          <w:szCs w:val="20"/>
        </w:rPr>
        <w:t xml:space="preserve"> Barthold, 1928, p. 68; Le Strange, 1930, pp. 426-7.</w:t>
      </w:r>
    </w:p>
  </w:footnote>
  <w:footnote w:id="70">
    <w:p w14:paraId="65882C8F" w14:textId="594FA767" w:rsidR="00902FCD" w:rsidRPr="00EA4BBF" w:rsidRDefault="00902FCD" w:rsidP="0078471D">
      <w:pPr>
        <w:pStyle w:val="FootnoteText"/>
        <w:spacing w:line="360" w:lineRule="auto"/>
        <w:rPr>
          <w:rFonts w:asciiTheme="majorBidi" w:hAnsiTheme="majorBidi" w:cstheme="majorBidi"/>
          <w:sz w:val="20"/>
          <w:szCs w:val="20"/>
        </w:rPr>
      </w:pPr>
      <w:r w:rsidRPr="00E86EB4">
        <w:rPr>
          <w:rFonts w:asciiTheme="majorBidi" w:hAnsiTheme="majorBidi" w:cstheme="majorBidi"/>
          <w:sz w:val="20"/>
          <w:szCs w:val="20"/>
          <w:vertAlign w:val="superscript"/>
        </w:rPr>
        <w:footnoteRef/>
      </w:r>
      <w:r w:rsidRPr="00E86EB4">
        <w:rPr>
          <w:rFonts w:asciiTheme="majorBidi" w:hAnsiTheme="majorBidi" w:cstheme="majorBidi"/>
          <w:sz w:val="22"/>
          <w:szCs w:val="22"/>
          <w:vertAlign w:val="superscript"/>
        </w:rPr>
        <w:t xml:space="preserve"> </w:t>
      </w:r>
      <w:r w:rsidRPr="00EA4BBF">
        <w:rPr>
          <w:rFonts w:asciiTheme="majorBidi" w:hAnsiTheme="majorBidi" w:cstheme="majorBidi"/>
          <w:sz w:val="20"/>
          <w:szCs w:val="20"/>
        </w:rPr>
        <w:t>This overland route to China through Sogdiana is also mentioned by medieval Muslim geographers such as al-</w:t>
      </w:r>
      <w:proofErr w:type="gramStart"/>
      <w:r w:rsidRPr="00EA4BBF">
        <w:rPr>
          <w:rFonts w:asciiTheme="majorBidi" w:hAnsiTheme="majorBidi" w:cstheme="majorBidi"/>
          <w:sz w:val="20"/>
          <w:szCs w:val="20"/>
        </w:rPr>
        <w:t>Ya‘</w:t>
      </w:r>
      <w:proofErr w:type="gramEnd"/>
      <w:r w:rsidRPr="00EA4BBF">
        <w:rPr>
          <w:rFonts w:asciiTheme="majorBidi" w:hAnsiTheme="majorBidi" w:cstheme="majorBidi"/>
          <w:sz w:val="20"/>
          <w:szCs w:val="20"/>
        </w:rPr>
        <w:t>qūbī (</w:t>
      </w:r>
      <w:r>
        <w:rPr>
          <w:rFonts w:asciiTheme="majorBidi" w:hAnsiTheme="majorBidi" w:cstheme="majorBidi"/>
          <w:sz w:val="20"/>
          <w:szCs w:val="20"/>
        </w:rPr>
        <w:t xml:space="preserve">2010, </w:t>
      </w:r>
      <w:r w:rsidRPr="00EA4BBF">
        <w:rPr>
          <w:rFonts w:asciiTheme="majorBidi" w:hAnsiTheme="majorBidi" w:cstheme="majorBidi"/>
          <w:sz w:val="20"/>
          <w:szCs w:val="20"/>
        </w:rPr>
        <w:t xml:space="preserve">p. 227; </w:t>
      </w:r>
      <w:r>
        <w:rPr>
          <w:rFonts w:asciiTheme="majorBidi" w:hAnsiTheme="majorBidi" w:cstheme="majorBidi"/>
          <w:sz w:val="20"/>
          <w:szCs w:val="20"/>
        </w:rPr>
        <w:t>tr.,</w:t>
      </w:r>
      <w:r w:rsidRPr="00EA4BBF">
        <w:rPr>
          <w:rFonts w:asciiTheme="majorBidi" w:hAnsiTheme="majorBidi" w:cstheme="majorBidi"/>
          <w:sz w:val="20"/>
          <w:szCs w:val="20"/>
        </w:rPr>
        <w:t xml:space="preserve"> </w:t>
      </w:r>
      <w:r>
        <w:rPr>
          <w:rFonts w:asciiTheme="majorBidi" w:hAnsiTheme="majorBidi" w:cstheme="majorBidi"/>
          <w:sz w:val="20"/>
          <w:szCs w:val="20"/>
        </w:rPr>
        <w:t xml:space="preserve">2018, </w:t>
      </w:r>
      <w:r w:rsidRPr="00EA4BBF">
        <w:rPr>
          <w:rFonts w:asciiTheme="majorBidi" w:hAnsiTheme="majorBidi" w:cstheme="majorBidi"/>
          <w:sz w:val="20"/>
          <w:szCs w:val="20"/>
        </w:rPr>
        <w:t>volume 2, p. 486:</w:t>
      </w:r>
      <w:r w:rsidRPr="00EA4BBF">
        <w:rPr>
          <w:rFonts w:asciiTheme="majorBidi" w:hAnsiTheme="majorBidi" w:cstheme="majorBidi"/>
          <w:sz w:val="20"/>
          <w:szCs w:val="20"/>
          <w:rtl/>
          <w:lang w:bidi="ar-JO"/>
        </w:rPr>
        <w:t>ومن أراد الصين على البر سار في نهر بلخ وقطع بلاد السغد وفرغانة والشاش والتبت حتى يصير اليها</w:t>
      </w:r>
      <w:r w:rsidRPr="00EA4BBF">
        <w:rPr>
          <w:rFonts w:asciiTheme="majorBidi" w:hAnsiTheme="majorBidi" w:cstheme="majorBidi"/>
          <w:sz w:val="20"/>
          <w:szCs w:val="20"/>
        </w:rPr>
        <w:t xml:space="preserve">). Of course, it is important to realize that a route was subject to </w:t>
      </w:r>
      <w:r>
        <w:rPr>
          <w:rFonts w:asciiTheme="majorBidi" w:hAnsiTheme="majorBidi" w:cstheme="majorBidi"/>
          <w:sz w:val="20"/>
          <w:szCs w:val="20"/>
        </w:rPr>
        <w:t>minor or major changes</w:t>
      </w:r>
      <w:r w:rsidRPr="00EA4BBF">
        <w:rPr>
          <w:rFonts w:asciiTheme="majorBidi" w:hAnsiTheme="majorBidi" w:cstheme="majorBidi"/>
          <w:sz w:val="20"/>
          <w:szCs w:val="20"/>
        </w:rPr>
        <w:t xml:space="preserve"> due to changing </w:t>
      </w:r>
      <w:r>
        <w:rPr>
          <w:rFonts w:asciiTheme="majorBidi" w:hAnsiTheme="majorBidi" w:cstheme="majorBidi"/>
          <w:sz w:val="20"/>
          <w:szCs w:val="20"/>
        </w:rPr>
        <w:t xml:space="preserve">of the </w:t>
      </w:r>
      <w:r w:rsidRPr="00EA4BBF">
        <w:rPr>
          <w:rFonts w:asciiTheme="majorBidi" w:hAnsiTheme="majorBidi" w:cstheme="majorBidi"/>
          <w:sz w:val="20"/>
          <w:szCs w:val="20"/>
        </w:rPr>
        <w:t xml:space="preserve">political situations. </w:t>
      </w:r>
    </w:p>
  </w:footnote>
  <w:footnote w:id="71">
    <w:p w14:paraId="7B6A1AC6" w14:textId="61689A40" w:rsidR="00902FCD" w:rsidRDefault="00902FCD" w:rsidP="00437269">
      <w:pPr>
        <w:pStyle w:val="FootnoteText"/>
        <w:spacing w:line="360" w:lineRule="auto"/>
        <w:rPr>
          <w:rFonts w:asciiTheme="majorBidi" w:hAnsiTheme="majorBidi" w:cstheme="majorBidi"/>
          <w:sz w:val="20"/>
          <w:szCs w:val="20"/>
        </w:rPr>
      </w:pPr>
      <w:r w:rsidRPr="007F16F7">
        <w:rPr>
          <w:rStyle w:val="FootnoteReference"/>
          <w:rFonts w:asciiTheme="majorBidi" w:hAnsiTheme="majorBidi"/>
          <w:sz w:val="20"/>
          <w:szCs w:val="20"/>
        </w:rPr>
        <w:footnoteRef/>
      </w:r>
      <w:r w:rsidRPr="007F16F7">
        <w:rPr>
          <w:rFonts w:asciiTheme="majorBidi" w:hAnsiTheme="majorBidi" w:cstheme="majorBidi"/>
          <w:sz w:val="20"/>
          <w:szCs w:val="20"/>
        </w:rPr>
        <w:t xml:space="preserve"> </w:t>
      </w:r>
      <w:r w:rsidRPr="00B95B0A">
        <w:rPr>
          <w:rFonts w:asciiTheme="majorBidi" w:hAnsiTheme="majorBidi" w:cstheme="majorBidi"/>
          <w:sz w:val="20"/>
          <w:szCs w:val="20"/>
        </w:rPr>
        <w:t xml:space="preserve">Song and </w:t>
      </w:r>
      <w:r>
        <w:rPr>
          <w:rFonts w:asciiTheme="majorBidi" w:hAnsiTheme="majorBidi" w:cstheme="majorBidi"/>
          <w:sz w:val="20"/>
          <w:szCs w:val="20"/>
        </w:rPr>
        <w:t>the</w:t>
      </w:r>
      <w:r w:rsidRPr="00B95B0A">
        <w:rPr>
          <w:rFonts w:asciiTheme="majorBidi" w:hAnsiTheme="majorBidi" w:cstheme="majorBidi"/>
          <w:sz w:val="20"/>
          <w:szCs w:val="20"/>
        </w:rPr>
        <w:t xml:space="preserve"> Buddhist monk Huisheng</w:t>
      </w:r>
      <w:r>
        <w:rPr>
          <w:rFonts w:asciiTheme="majorBidi" w:hAnsiTheme="majorBidi" w:cstheme="majorBidi"/>
          <w:sz w:val="20"/>
          <w:szCs w:val="20"/>
        </w:rPr>
        <w:t xml:space="preserve"> (</w:t>
      </w:r>
      <w:r>
        <w:rPr>
          <w:rFonts w:asciiTheme="majorBidi" w:hAnsiTheme="majorBidi" w:cstheme="majorBidi" w:hint="eastAsia"/>
          <w:sz w:val="20"/>
          <w:szCs w:val="20"/>
        </w:rPr>
        <w:t>慧生</w:t>
      </w:r>
      <w:r>
        <w:rPr>
          <w:rFonts w:asciiTheme="majorBidi" w:hAnsiTheme="majorBidi" w:cstheme="majorBidi"/>
          <w:sz w:val="20"/>
          <w:szCs w:val="20"/>
        </w:rPr>
        <w:t>)</w:t>
      </w:r>
      <w:r w:rsidRPr="00B95B0A">
        <w:rPr>
          <w:rFonts w:asciiTheme="majorBidi" w:hAnsiTheme="majorBidi" w:cstheme="majorBidi"/>
          <w:sz w:val="20"/>
          <w:szCs w:val="20"/>
        </w:rPr>
        <w:t xml:space="preserve"> were dispatched to Uddiyana (modern Peshawar in Pakistan) and </w:t>
      </w:r>
      <w:r>
        <w:rPr>
          <w:rFonts w:asciiTheme="majorBidi" w:hAnsiTheme="majorBidi" w:cstheme="majorBidi"/>
          <w:sz w:val="20"/>
          <w:szCs w:val="20"/>
        </w:rPr>
        <w:t>Gandhāra</w:t>
      </w:r>
      <w:r w:rsidRPr="00B95B0A">
        <w:rPr>
          <w:rFonts w:asciiTheme="majorBidi" w:hAnsiTheme="majorBidi" w:cstheme="majorBidi"/>
          <w:sz w:val="20"/>
          <w:szCs w:val="20"/>
        </w:rPr>
        <w:t xml:space="preserve"> (modern Swat in Pakistan) by the Wei empress dowager in late 518 CE and returned to the Wei court in late 522 CE. </w:t>
      </w:r>
      <w:r>
        <w:rPr>
          <w:rFonts w:asciiTheme="majorBidi" w:hAnsiTheme="majorBidi" w:cstheme="majorBidi"/>
          <w:sz w:val="20"/>
          <w:szCs w:val="20"/>
        </w:rPr>
        <w:t>They traveled through</w:t>
      </w:r>
      <w:r w:rsidRPr="00B95B0A">
        <w:rPr>
          <w:rFonts w:asciiTheme="majorBidi" w:hAnsiTheme="majorBidi" w:cstheme="majorBidi"/>
          <w:sz w:val="20"/>
          <w:szCs w:val="20"/>
        </w:rPr>
        <w:t xml:space="preserve"> Khotan, principalities in the </w:t>
      </w:r>
      <w:r>
        <w:rPr>
          <w:rFonts w:asciiTheme="majorBidi" w:hAnsiTheme="majorBidi" w:cstheme="majorBidi"/>
          <w:sz w:val="20"/>
          <w:szCs w:val="20"/>
        </w:rPr>
        <w:t>Wakhān</w:t>
      </w:r>
      <w:r w:rsidRPr="00B95B0A">
        <w:rPr>
          <w:rFonts w:asciiTheme="majorBidi" w:hAnsiTheme="majorBidi" w:cstheme="majorBidi"/>
          <w:sz w:val="20"/>
          <w:szCs w:val="20"/>
        </w:rPr>
        <w:t xml:space="preserve"> Corridor and the Pamirs for Uddiyana instead </w:t>
      </w:r>
      <w:r>
        <w:rPr>
          <w:rFonts w:asciiTheme="majorBidi" w:hAnsiTheme="majorBidi" w:cstheme="majorBidi"/>
          <w:sz w:val="20"/>
          <w:szCs w:val="20"/>
        </w:rPr>
        <w:t xml:space="preserve">of </w:t>
      </w:r>
      <w:r w:rsidRPr="00B95B0A">
        <w:rPr>
          <w:rFonts w:asciiTheme="majorBidi" w:hAnsiTheme="majorBidi" w:cstheme="majorBidi"/>
          <w:sz w:val="20"/>
          <w:szCs w:val="20"/>
        </w:rPr>
        <w:t xml:space="preserve">continuing eastward for </w:t>
      </w:r>
      <w:r>
        <w:rPr>
          <w:rFonts w:asciiTheme="majorBidi" w:hAnsiTheme="majorBidi" w:cstheme="majorBidi"/>
          <w:sz w:val="20"/>
          <w:szCs w:val="20"/>
        </w:rPr>
        <w:t>Ṭukhāristān</w:t>
      </w:r>
      <w:r w:rsidRPr="00B95B0A">
        <w:rPr>
          <w:rFonts w:asciiTheme="majorBidi" w:hAnsiTheme="majorBidi" w:cstheme="majorBidi"/>
          <w:sz w:val="20"/>
          <w:szCs w:val="20"/>
        </w:rPr>
        <w:t>. See Yang, 2000, pp. 181-224.</w:t>
      </w:r>
    </w:p>
    <w:p w14:paraId="566E7A12" w14:textId="3092190A" w:rsidR="00902FCD" w:rsidRDefault="00902FCD" w:rsidP="00437269">
      <w:pPr>
        <w:pStyle w:val="FootnoteText"/>
        <w:spacing w:line="360" w:lineRule="auto"/>
        <w:rPr>
          <w:rFonts w:asciiTheme="majorBidi" w:hAnsiTheme="majorBidi" w:cstheme="majorBidi"/>
          <w:sz w:val="20"/>
          <w:szCs w:val="20"/>
        </w:rPr>
      </w:pPr>
      <w:r w:rsidRPr="00C4487F">
        <w:rPr>
          <w:rFonts w:asciiTheme="majorBidi" w:hAnsiTheme="majorBidi" w:cstheme="majorBidi"/>
          <w:sz w:val="20"/>
          <w:szCs w:val="20"/>
        </w:rPr>
        <w:t>Wukong went to Central Asia in</w:t>
      </w:r>
      <w:r>
        <w:rPr>
          <w:rFonts w:asciiTheme="majorBidi" w:hAnsiTheme="majorBidi" w:cstheme="majorBidi"/>
          <w:sz w:val="20"/>
          <w:szCs w:val="20"/>
        </w:rPr>
        <w:t xml:space="preserve"> the</w:t>
      </w:r>
      <w:r w:rsidRPr="00C4487F">
        <w:rPr>
          <w:rFonts w:asciiTheme="majorBidi" w:hAnsiTheme="majorBidi" w:cstheme="majorBidi"/>
          <w:sz w:val="20"/>
          <w:szCs w:val="20"/>
        </w:rPr>
        <w:t xml:space="preserve"> 750s and stayed there for almost </w:t>
      </w:r>
      <w:r>
        <w:rPr>
          <w:rFonts w:asciiTheme="majorBidi" w:hAnsiTheme="majorBidi" w:cstheme="majorBidi"/>
          <w:sz w:val="20"/>
          <w:szCs w:val="20"/>
        </w:rPr>
        <w:t>four</w:t>
      </w:r>
      <w:r w:rsidRPr="00C4487F">
        <w:rPr>
          <w:rFonts w:asciiTheme="majorBidi" w:hAnsiTheme="majorBidi" w:cstheme="majorBidi"/>
          <w:sz w:val="20"/>
          <w:szCs w:val="20"/>
        </w:rPr>
        <w:t xml:space="preserve"> decades. Another monk Yuanzhao met and interviewed him in 800 CE and kept a record of his travelogue. </w:t>
      </w:r>
      <w:r>
        <w:rPr>
          <w:rFonts w:asciiTheme="majorBidi" w:hAnsiTheme="majorBidi" w:cstheme="majorBidi"/>
          <w:sz w:val="20"/>
          <w:szCs w:val="20"/>
        </w:rPr>
        <w:t xml:space="preserve">Wukong’s itinerary to Gandhāra </w:t>
      </w:r>
      <w:r w:rsidRPr="006F3247">
        <w:rPr>
          <w:rFonts w:asciiTheme="majorBidi" w:hAnsiTheme="majorBidi" w:cstheme="majorBidi"/>
          <w:sz w:val="20"/>
          <w:szCs w:val="20"/>
        </w:rPr>
        <w:t>was largely the same as Song Yun</w:t>
      </w:r>
      <w:r>
        <w:rPr>
          <w:rFonts w:asciiTheme="majorBidi" w:hAnsiTheme="majorBidi" w:cstheme="majorBidi"/>
          <w:sz w:val="20"/>
          <w:szCs w:val="20"/>
        </w:rPr>
        <w:t xml:space="preserve">. On his journey back to China in the late 780s, </w:t>
      </w:r>
      <w:r w:rsidRPr="006F3247">
        <w:rPr>
          <w:rFonts w:asciiTheme="majorBidi" w:hAnsiTheme="majorBidi" w:cstheme="majorBidi"/>
          <w:sz w:val="20"/>
          <w:szCs w:val="20"/>
        </w:rPr>
        <w:t xml:space="preserve">he traveled through </w:t>
      </w:r>
      <w:r>
        <w:rPr>
          <w:rFonts w:asciiTheme="majorBidi" w:hAnsiTheme="majorBidi" w:cstheme="majorBidi"/>
          <w:sz w:val="20"/>
          <w:szCs w:val="20"/>
        </w:rPr>
        <w:t>Ṭukhāristān</w:t>
      </w:r>
      <w:r w:rsidRPr="006F3247">
        <w:rPr>
          <w:rFonts w:asciiTheme="majorBidi" w:hAnsiTheme="majorBidi" w:cstheme="majorBidi"/>
          <w:sz w:val="20"/>
          <w:szCs w:val="20"/>
        </w:rPr>
        <w:t xml:space="preserve"> before crossing the </w:t>
      </w:r>
      <w:r>
        <w:rPr>
          <w:rFonts w:asciiTheme="majorBidi" w:hAnsiTheme="majorBidi" w:cstheme="majorBidi"/>
          <w:sz w:val="20"/>
          <w:szCs w:val="20"/>
        </w:rPr>
        <w:t>Wakhān</w:t>
      </w:r>
      <w:r w:rsidRPr="006F3247">
        <w:rPr>
          <w:rFonts w:asciiTheme="majorBidi" w:hAnsiTheme="majorBidi" w:cstheme="majorBidi"/>
          <w:sz w:val="20"/>
          <w:szCs w:val="20"/>
        </w:rPr>
        <w:t xml:space="preserve"> Corridor. See Yuanzhao, 1987, pp. 122-5</w:t>
      </w:r>
      <w:r>
        <w:rPr>
          <w:rFonts w:asciiTheme="majorBidi" w:hAnsiTheme="majorBidi" w:cstheme="majorBidi"/>
          <w:sz w:val="20"/>
          <w:szCs w:val="20"/>
        </w:rPr>
        <w:t>; Nie, 2007, pp. 161-7, 170-1</w:t>
      </w:r>
      <w:r w:rsidRPr="006F3247">
        <w:rPr>
          <w:rFonts w:asciiTheme="majorBidi" w:hAnsiTheme="majorBidi" w:cstheme="majorBidi"/>
          <w:sz w:val="20"/>
          <w:szCs w:val="20"/>
        </w:rPr>
        <w:t>.</w:t>
      </w:r>
    </w:p>
    <w:p w14:paraId="55345DFE" w14:textId="77777777" w:rsidR="00902FCD" w:rsidRDefault="00902FCD" w:rsidP="00A30513">
      <w:pPr>
        <w:pStyle w:val="FootnoteText"/>
        <w:spacing w:line="360" w:lineRule="auto"/>
        <w:rPr>
          <w:rFonts w:asciiTheme="majorBidi" w:hAnsiTheme="majorBidi" w:cstheme="majorBidi"/>
          <w:sz w:val="20"/>
          <w:szCs w:val="20"/>
        </w:rPr>
      </w:pPr>
      <w:r w:rsidRPr="007F16F7">
        <w:rPr>
          <w:rFonts w:asciiTheme="majorBidi" w:hAnsiTheme="majorBidi" w:cstheme="majorBidi"/>
          <w:sz w:val="20"/>
          <w:szCs w:val="20"/>
        </w:rPr>
        <w:t>Faxian</w:t>
      </w:r>
      <w:r>
        <w:rPr>
          <w:rFonts w:asciiTheme="majorBidi" w:hAnsiTheme="majorBidi" w:cstheme="majorBidi"/>
          <w:sz w:val="20"/>
          <w:szCs w:val="20"/>
        </w:rPr>
        <w:t>, the first Chinese Buddhist pilgrim with surviving travelogue,</w:t>
      </w:r>
      <w:r w:rsidRPr="007F16F7">
        <w:rPr>
          <w:rFonts w:asciiTheme="majorBidi" w:hAnsiTheme="majorBidi" w:cstheme="majorBidi"/>
          <w:sz w:val="20"/>
          <w:szCs w:val="20"/>
        </w:rPr>
        <w:t xml:space="preserve"> left Chang</w:t>
      </w:r>
      <w:r>
        <w:rPr>
          <w:rFonts w:asciiTheme="majorBidi" w:hAnsiTheme="majorBidi" w:cstheme="majorBidi"/>
          <w:sz w:val="20"/>
          <w:szCs w:val="20"/>
        </w:rPr>
        <w:t>’</w:t>
      </w:r>
      <w:r w:rsidRPr="007F16F7">
        <w:rPr>
          <w:rFonts w:asciiTheme="majorBidi" w:hAnsiTheme="majorBidi" w:cstheme="majorBidi"/>
          <w:sz w:val="20"/>
          <w:szCs w:val="20"/>
        </w:rPr>
        <w:t>an</w:t>
      </w:r>
      <w:r>
        <w:rPr>
          <w:rFonts w:asciiTheme="majorBidi" w:hAnsiTheme="majorBidi" w:cstheme="majorBidi"/>
          <w:sz w:val="20"/>
          <w:szCs w:val="20"/>
        </w:rPr>
        <w:t xml:space="preserve"> </w:t>
      </w:r>
      <w:r w:rsidRPr="007F16F7">
        <w:rPr>
          <w:rFonts w:asciiTheme="majorBidi" w:hAnsiTheme="majorBidi" w:cstheme="majorBidi"/>
          <w:sz w:val="20"/>
          <w:szCs w:val="20"/>
        </w:rPr>
        <w:t>in 399 CE for India. After leaving the Tarim Basin, he crossed the Wakhon Corridor</w:t>
      </w:r>
      <w:r>
        <w:rPr>
          <w:rFonts w:asciiTheme="majorBidi" w:hAnsiTheme="majorBidi" w:cstheme="majorBidi"/>
          <w:sz w:val="20"/>
          <w:szCs w:val="20"/>
        </w:rPr>
        <w:t xml:space="preserve">, </w:t>
      </w:r>
      <w:r w:rsidRPr="007F16F7">
        <w:rPr>
          <w:rFonts w:asciiTheme="majorBidi" w:hAnsiTheme="majorBidi" w:cstheme="majorBidi"/>
          <w:sz w:val="20"/>
          <w:szCs w:val="20"/>
        </w:rPr>
        <w:t>turned southward and crossed the Karakoram mountains for the Indus valley</w:t>
      </w:r>
      <w:r>
        <w:rPr>
          <w:rFonts w:asciiTheme="majorBidi" w:hAnsiTheme="majorBidi" w:cstheme="majorBidi"/>
          <w:sz w:val="20"/>
          <w:szCs w:val="20"/>
        </w:rPr>
        <w:t xml:space="preserve"> instead of traveling eastward for Ṭukhāristān</w:t>
      </w:r>
      <w:r w:rsidRPr="007F16F7">
        <w:rPr>
          <w:rFonts w:asciiTheme="majorBidi" w:hAnsiTheme="majorBidi" w:cstheme="majorBidi"/>
          <w:sz w:val="20"/>
          <w:szCs w:val="20"/>
        </w:rPr>
        <w:t>. See Faxian, 2008, pp. 2-22</w:t>
      </w:r>
      <w:r>
        <w:rPr>
          <w:rFonts w:asciiTheme="majorBidi" w:hAnsiTheme="majorBidi" w:cstheme="majorBidi"/>
          <w:sz w:val="20"/>
          <w:szCs w:val="20"/>
        </w:rPr>
        <w:t>; tr., 1959, pp. 1-9; Yu, 2004, pp. 138-41</w:t>
      </w:r>
      <w:r w:rsidRPr="007F16F7">
        <w:rPr>
          <w:rFonts w:asciiTheme="majorBidi" w:hAnsiTheme="majorBidi" w:cstheme="majorBidi"/>
          <w:sz w:val="20"/>
          <w:szCs w:val="20"/>
        </w:rPr>
        <w:t>.</w:t>
      </w:r>
      <w:r w:rsidRPr="00057F99">
        <w:rPr>
          <w:rFonts w:asciiTheme="majorBidi" w:hAnsiTheme="majorBidi" w:cstheme="majorBidi"/>
          <w:sz w:val="20"/>
          <w:szCs w:val="20"/>
        </w:rPr>
        <w:t xml:space="preserve"> </w:t>
      </w:r>
    </w:p>
    <w:p w14:paraId="0A3444F5" w14:textId="77777777" w:rsidR="00902FCD" w:rsidRDefault="00902FCD" w:rsidP="00A30513">
      <w:pPr>
        <w:pStyle w:val="FootnoteText"/>
        <w:spacing w:line="360" w:lineRule="auto"/>
        <w:rPr>
          <w:rFonts w:asciiTheme="majorBidi" w:hAnsiTheme="majorBidi" w:cstheme="majorBidi"/>
          <w:sz w:val="20"/>
          <w:szCs w:val="20"/>
        </w:rPr>
      </w:pPr>
      <w:r>
        <w:rPr>
          <w:rFonts w:asciiTheme="majorBidi" w:hAnsiTheme="majorBidi" w:cstheme="majorBidi"/>
          <w:sz w:val="20"/>
          <w:szCs w:val="20"/>
        </w:rPr>
        <w:t>As for Huichao, he</w:t>
      </w:r>
      <w:r w:rsidRPr="00C17328">
        <w:rPr>
          <w:rFonts w:asciiTheme="majorBidi" w:hAnsiTheme="majorBidi" w:cstheme="majorBidi"/>
          <w:sz w:val="20"/>
          <w:szCs w:val="20"/>
        </w:rPr>
        <w:t xml:space="preserve"> entered </w:t>
      </w:r>
      <w:r>
        <w:rPr>
          <w:rFonts w:asciiTheme="majorBidi" w:hAnsiTheme="majorBidi" w:cstheme="majorBidi"/>
          <w:sz w:val="20"/>
          <w:szCs w:val="20"/>
        </w:rPr>
        <w:t>Ṭukhāristān</w:t>
      </w:r>
      <w:r w:rsidRPr="00C17328">
        <w:rPr>
          <w:rFonts w:asciiTheme="majorBidi" w:hAnsiTheme="majorBidi" w:cstheme="majorBidi"/>
          <w:sz w:val="20"/>
          <w:szCs w:val="20"/>
        </w:rPr>
        <w:t xml:space="preserve"> from B</w:t>
      </w:r>
      <w:r>
        <w:rPr>
          <w:rFonts w:asciiTheme="majorBidi" w:hAnsiTheme="majorBidi" w:cstheme="majorBidi"/>
          <w:sz w:val="20"/>
          <w:szCs w:val="20"/>
        </w:rPr>
        <w:t>ā</w:t>
      </w:r>
      <w:r w:rsidRPr="00C17328">
        <w:rPr>
          <w:rFonts w:asciiTheme="majorBidi" w:hAnsiTheme="majorBidi" w:cstheme="majorBidi"/>
          <w:sz w:val="20"/>
          <w:szCs w:val="20"/>
        </w:rPr>
        <w:t>my</w:t>
      </w:r>
      <w:r>
        <w:rPr>
          <w:rFonts w:asciiTheme="majorBidi" w:hAnsiTheme="majorBidi" w:cstheme="majorBidi"/>
          <w:sz w:val="20"/>
          <w:szCs w:val="20"/>
        </w:rPr>
        <w:t>ā</w:t>
      </w:r>
      <w:r w:rsidRPr="00C17328">
        <w:rPr>
          <w:rFonts w:asciiTheme="majorBidi" w:hAnsiTheme="majorBidi" w:cstheme="majorBidi"/>
          <w:sz w:val="20"/>
          <w:szCs w:val="20"/>
        </w:rPr>
        <w:t xml:space="preserve">n, </w:t>
      </w:r>
      <w:r>
        <w:rPr>
          <w:rFonts w:asciiTheme="majorBidi" w:hAnsiTheme="majorBidi" w:cstheme="majorBidi"/>
          <w:sz w:val="20"/>
          <w:szCs w:val="20"/>
        </w:rPr>
        <w:t xml:space="preserve">and </w:t>
      </w:r>
      <w:r w:rsidRPr="00C17328">
        <w:rPr>
          <w:rFonts w:asciiTheme="majorBidi" w:hAnsiTheme="majorBidi" w:cstheme="majorBidi"/>
          <w:sz w:val="20"/>
          <w:szCs w:val="20"/>
        </w:rPr>
        <w:t xml:space="preserve">traveled </w:t>
      </w:r>
      <w:r>
        <w:rPr>
          <w:rFonts w:asciiTheme="majorBidi" w:hAnsiTheme="majorBidi" w:cstheme="majorBidi"/>
          <w:sz w:val="20"/>
          <w:szCs w:val="20"/>
        </w:rPr>
        <w:t>through</w:t>
      </w:r>
      <w:r w:rsidRPr="00C17328">
        <w:rPr>
          <w:rFonts w:asciiTheme="majorBidi" w:hAnsiTheme="majorBidi" w:cstheme="majorBidi"/>
          <w:sz w:val="20"/>
          <w:szCs w:val="20"/>
        </w:rPr>
        <w:t xml:space="preserve"> Balkh, Badakhshān</w:t>
      </w:r>
      <w:r>
        <w:rPr>
          <w:rFonts w:asciiTheme="majorBidi" w:hAnsiTheme="majorBidi" w:cstheme="majorBidi"/>
          <w:sz w:val="20"/>
          <w:szCs w:val="20"/>
        </w:rPr>
        <w:t xml:space="preserve"> and</w:t>
      </w:r>
      <w:r w:rsidRPr="00C17328">
        <w:rPr>
          <w:rFonts w:asciiTheme="majorBidi" w:hAnsiTheme="majorBidi" w:cstheme="majorBidi"/>
          <w:sz w:val="20"/>
          <w:szCs w:val="20"/>
        </w:rPr>
        <w:t xml:space="preserve"> the </w:t>
      </w:r>
      <w:r>
        <w:rPr>
          <w:rFonts w:asciiTheme="majorBidi" w:hAnsiTheme="majorBidi" w:cstheme="majorBidi"/>
          <w:sz w:val="20"/>
          <w:szCs w:val="20"/>
        </w:rPr>
        <w:t>Wakhān</w:t>
      </w:r>
      <w:r w:rsidRPr="00C17328">
        <w:rPr>
          <w:rFonts w:asciiTheme="majorBidi" w:hAnsiTheme="majorBidi" w:cstheme="majorBidi"/>
          <w:sz w:val="20"/>
          <w:szCs w:val="20"/>
        </w:rPr>
        <w:t xml:space="preserve"> Corridor</w:t>
      </w:r>
      <w:r>
        <w:rPr>
          <w:rFonts w:asciiTheme="majorBidi" w:hAnsiTheme="majorBidi" w:cstheme="majorBidi"/>
          <w:sz w:val="20"/>
          <w:szCs w:val="20"/>
        </w:rPr>
        <w:t xml:space="preserve"> </w:t>
      </w:r>
      <w:r w:rsidRPr="00C17328">
        <w:rPr>
          <w:rFonts w:asciiTheme="majorBidi" w:hAnsiTheme="majorBidi" w:cstheme="majorBidi"/>
          <w:sz w:val="20"/>
          <w:szCs w:val="20"/>
        </w:rPr>
        <w:t xml:space="preserve">before arriving at Kashgar. See Huichao, 2000, pp. 96-153; </w:t>
      </w:r>
      <w:r>
        <w:rPr>
          <w:rFonts w:asciiTheme="majorBidi" w:hAnsiTheme="majorBidi" w:cstheme="majorBidi"/>
          <w:sz w:val="20"/>
          <w:szCs w:val="20"/>
        </w:rPr>
        <w:t>tr.,</w:t>
      </w:r>
      <w:r w:rsidRPr="00C17328">
        <w:rPr>
          <w:rFonts w:asciiTheme="majorBidi" w:hAnsiTheme="majorBidi" w:cstheme="majorBidi"/>
          <w:sz w:val="20"/>
          <w:szCs w:val="20"/>
        </w:rPr>
        <w:t xml:space="preserve"> 1984, pp. 52-7.</w:t>
      </w:r>
    </w:p>
    <w:p w14:paraId="327E33B8" w14:textId="610DAD2E" w:rsidR="00902FCD" w:rsidRPr="007F16F7" w:rsidRDefault="00902FCD" w:rsidP="00985CFB">
      <w:pPr>
        <w:pStyle w:val="FootnoteText"/>
        <w:spacing w:line="360" w:lineRule="auto"/>
        <w:rPr>
          <w:rFonts w:asciiTheme="majorBidi" w:hAnsiTheme="majorBidi" w:cstheme="majorBidi"/>
          <w:sz w:val="20"/>
          <w:szCs w:val="20"/>
        </w:rPr>
      </w:pPr>
      <w:r>
        <w:rPr>
          <w:rFonts w:asciiTheme="majorBidi" w:hAnsiTheme="majorBidi" w:cstheme="majorBidi"/>
          <w:sz w:val="20"/>
          <w:szCs w:val="20"/>
        </w:rPr>
        <w:t xml:space="preserve">According to the medieval Muslim geographers such </w:t>
      </w:r>
      <w:r w:rsidRPr="00F87587">
        <w:rPr>
          <w:rFonts w:asciiTheme="majorBidi" w:hAnsiTheme="majorBidi" w:cstheme="majorBidi"/>
          <w:sz w:val="20"/>
          <w:szCs w:val="20"/>
        </w:rPr>
        <w:t>as Ibn al-Faqīh and al</w:t>
      </w:r>
      <w:r w:rsidRPr="00CD2747">
        <w:rPr>
          <w:rFonts w:asciiTheme="majorBidi" w:hAnsiTheme="majorBidi" w:cstheme="majorBidi"/>
          <w:sz w:val="20"/>
          <w:szCs w:val="20"/>
        </w:rPr>
        <w:t>-Yaʿqūbī</w:t>
      </w:r>
      <w:r>
        <w:rPr>
          <w:rFonts w:asciiTheme="majorBidi" w:hAnsiTheme="majorBidi" w:cstheme="majorBidi"/>
          <w:sz w:val="20"/>
          <w:szCs w:val="20"/>
        </w:rPr>
        <w:t>, after crossing the Wakhān Corridor, the route that turns southward leads to Tibet through Gilgit, Baltistan and Ladakh and so on (Dunlop, 1973, pp. 305-6).</w:t>
      </w:r>
    </w:p>
  </w:footnote>
  <w:footnote w:id="72">
    <w:p w14:paraId="245D974F" w14:textId="3B15AAED" w:rsidR="00902FCD" w:rsidRPr="00825665" w:rsidRDefault="00902FCD" w:rsidP="00825665">
      <w:pPr>
        <w:pStyle w:val="FootnoteText"/>
        <w:spacing w:line="360" w:lineRule="auto"/>
        <w:rPr>
          <w:rFonts w:asciiTheme="majorBidi" w:hAnsiTheme="majorBidi" w:cstheme="majorBidi"/>
          <w:sz w:val="20"/>
          <w:szCs w:val="20"/>
        </w:rPr>
      </w:pPr>
      <w:r w:rsidRPr="00825665">
        <w:rPr>
          <w:rFonts w:asciiTheme="majorBidi" w:hAnsiTheme="majorBidi" w:cstheme="majorBidi"/>
          <w:sz w:val="20"/>
          <w:szCs w:val="20"/>
          <w:vertAlign w:val="superscript"/>
        </w:rPr>
        <w:footnoteRef/>
      </w:r>
      <w:r w:rsidRPr="00825665">
        <w:rPr>
          <w:rFonts w:asciiTheme="majorBidi" w:hAnsiTheme="majorBidi" w:cstheme="majorBidi"/>
          <w:sz w:val="20"/>
          <w:szCs w:val="20"/>
        </w:rPr>
        <w:t xml:space="preserve"> </w:t>
      </w:r>
      <w:r w:rsidRPr="00191069">
        <w:rPr>
          <w:rFonts w:asciiTheme="majorBidi" w:hAnsiTheme="majorBidi" w:cstheme="majorBidi"/>
          <w:sz w:val="20"/>
          <w:szCs w:val="20"/>
        </w:rPr>
        <w:t>Barthold, 1928, p</w:t>
      </w:r>
      <w:r>
        <w:rPr>
          <w:rFonts w:asciiTheme="majorBidi" w:hAnsiTheme="majorBidi" w:cstheme="majorBidi"/>
          <w:sz w:val="20"/>
          <w:szCs w:val="20"/>
        </w:rPr>
        <w:t>p</w:t>
      </w:r>
      <w:r w:rsidRPr="00191069">
        <w:rPr>
          <w:rFonts w:asciiTheme="majorBidi" w:hAnsiTheme="majorBidi" w:cstheme="majorBidi"/>
          <w:sz w:val="20"/>
          <w:szCs w:val="20"/>
        </w:rPr>
        <w:t xml:space="preserve">. </w:t>
      </w:r>
      <w:r>
        <w:rPr>
          <w:rFonts w:asciiTheme="majorBidi" w:hAnsiTheme="majorBidi" w:cstheme="majorBidi"/>
          <w:sz w:val="20"/>
          <w:szCs w:val="20"/>
        </w:rPr>
        <w:t>79-80</w:t>
      </w:r>
      <w:r w:rsidRPr="00191069">
        <w:rPr>
          <w:rFonts w:asciiTheme="majorBidi" w:hAnsiTheme="majorBidi" w:cstheme="majorBidi"/>
          <w:sz w:val="20"/>
          <w:szCs w:val="20"/>
        </w:rPr>
        <w:t xml:space="preserve">; </w:t>
      </w:r>
      <w:r>
        <w:rPr>
          <w:rFonts w:asciiTheme="majorBidi" w:hAnsiTheme="majorBidi" w:cstheme="majorBidi"/>
          <w:sz w:val="20"/>
          <w:szCs w:val="20"/>
        </w:rPr>
        <w:t xml:space="preserve">1984, pp. 35, 50; </w:t>
      </w:r>
      <w:r w:rsidRPr="00191069">
        <w:rPr>
          <w:rFonts w:asciiTheme="majorBidi" w:hAnsiTheme="majorBidi" w:cstheme="majorBidi"/>
          <w:sz w:val="20"/>
          <w:szCs w:val="20"/>
        </w:rPr>
        <w:t>Le Strange, 1930, p</w:t>
      </w:r>
      <w:r>
        <w:rPr>
          <w:rFonts w:asciiTheme="majorBidi" w:hAnsiTheme="majorBidi" w:cstheme="majorBidi"/>
          <w:sz w:val="20"/>
          <w:szCs w:val="20"/>
        </w:rPr>
        <w:t>p. 404, 423, 431-2.</w:t>
      </w:r>
    </w:p>
  </w:footnote>
  <w:footnote w:id="73">
    <w:p w14:paraId="1B9D4204" w14:textId="005B2190" w:rsidR="00902FCD" w:rsidRPr="00825665" w:rsidRDefault="00902FCD" w:rsidP="00825665">
      <w:pPr>
        <w:pStyle w:val="FootnoteText"/>
        <w:spacing w:line="360" w:lineRule="auto"/>
        <w:rPr>
          <w:rFonts w:asciiTheme="majorBidi" w:hAnsiTheme="majorBidi" w:cstheme="majorBidi"/>
          <w:sz w:val="20"/>
          <w:szCs w:val="20"/>
        </w:rPr>
      </w:pPr>
      <w:r w:rsidRPr="00825665">
        <w:rPr>
          <w:rFonts w:asciiTheme="majorBidi" w:hAnsiTheme="majorBidi" w:cstheme="majorBidi"/>
          <w:sz w:val="20"/>
          <w:szCs w:val="20"/>
          <w:vertAlign w:val="superscript"/>
        </w:rPr>
        <w:footnoteRef/>
      </w:r>
      <w:r w:rsidRPr="00825665">
        <w:rPr>
          <w:rFonts w:asciiTheme="majorBidi" w:hAnsiTheme="majorBidi" w:cstheme="majorBidi"/>
          <w:sz w:val="20"/>
          <w:szCs w:val="20"/>
        </w:rPr>
        <w:t xml:space="preserve"> </w:t>
      </w:r>
      <w:r w:rsidRPr="00191069">
        <w:rPr>
          <w:rFonts w:asciiTheme="majorBidi" w:hAnsiTheme="majorBidi" w:cstheme="majorBidi"/>
          <w:sz w:val="20"/>
          <w:szCs w:val="20"/>
        </w:rPr>
        <w:t xml:space="preserve">Barthold, </w:t>
      </w:r>
      <w:r>
        <w:rPr>
          <w:rFonts w:asciiTheme="majorBidi" w:hAnsiTheme="majorBidi" w:cstheme="majorBidi"/>
          <w:sz w:val="20"/>
          <w:szCs w:val="20"/>
        </w:rPr>
        <w:t xml:space="preserve">1984, pp. 44, 47, 50, 64; </w:t>
      </w:r>
      <w:r w:rsidRPr="00191069">
        <w:rPr>
          <w:rFonts w:asciiTheme="majorBidi" w:hAnsiTheme="majorBidi" w:cstheme="majorBidi"/>
          <w:sz w:val="20"/>
          <w:szCs w:val="20"/>
        </w:rPr>
        <w:t xml:space="preserve">Le Strange, 1930, pp. </w:t>
      </w:r>
      <w:r>
        <w:rPr>
          <w:rFonts w:asciiTheme="majorBidi" w:hAnsiTheme="majorBidi" w:cstheme="majorBidi"/>
          <w:sz w:val="20"/>
          <w:szCs w:val="20"/>
        </w:rPr>
        <w:t>408, 412, 431.</w:t>
      </w:r>
    </w:p>
  </w:footnote>
  <w:footnote w:id="74">
    <w:p w14:paraId="31452BB1" w14:textId="77777777" w:rsidR="00902FCD" w:rsidRPr="008418D1" w:rsidRDefault="00902FCD" w:rsidP="00C1184C">
      <w:pPr>
        <w:pStyle w:val="FootnoteText"/>
        <w:spacing w:line="360" w:lineRule="auto"/>
        <w:rPr>
          <w:rFonts w:asciiTheme="majorBidi" w:hAnsiTheme="majorBidi" w:cstheme="majorBidi"/>
          <w:sz w:val="20"/>
          <w:szCs w:val="20"/>
        </w:rPr>
      </w:pPr>
      <w:r w:rsidRPr="008418D1">
        <w:rPr>
          <w:rFonts w:asciiTheme="majorBidi" w:hAnsiTheme="majorBidi" w:cstheme="majorBidi"/>
          <w:sz w:val="20"/>
          <w:szCs w:val="20"/>
          <w:vertAlign w:val="superscript"/>
        </w:rPr>
        <w:footnoteRef/>
      </w:r>
      <w:r>
        <w:rPr>
          <w:rFonts w:asciiTheme="majorBidi" w:hAnsiTheme="majorBidi" w:cstheme="majorBidi"/>
          <w:sz w:val="20"/>
          <w:szCs w:val="20"/>
        </w:rPr>
        <w:t xml:space="preserve"> </w:t>
      </w:r>
      <w:r w:rsidRPr="008418D1">
        <w:rPr>
          <w:rFonts w:asciiTheme="majorBidi" w:hAnsiTheme="majorBidi" w:cstheme="majorBidi"/>
          <w:sz w:val="20"/>
          <w:szCs w:val="20"/>
        </w:rPr>
        <w:t>Al-Masʿūdī, 18</w:t>
      </w:r>
      <w:r>
        <w:rPr>
          <w:rFonts w:asciiTheme="majorBidi" w:hAnsiTheme="majorBidi" w:cstheme="majorBidi"/>
          <w:sz w:val="20"/>
          <w:szCs w:val="20"/>
        </w:rPr>
        <w:t>63</w:t>
      </w:r>
      <w:r w:rsidRPr="008418D1">
        <w:rPr>
          <w:rFonts w:asciiTheme="majorBidi" w:hAnsiTheme="majorBidi" w:cstheme="majorBidi"/>
          <w:sz w:val="20"/>
          <w:szCs w:val="20"/>
        </w:rPr>
        <w:t xml:space="preserve">, volume II, p. 241: </w:t>
      </w:r>
      <w:r w:rsidRPr="008418D1">
        <w:rPr>
          <w:rFonts w:asciiTheme="majorBidi" w:hAnsiTheme="majorBidi" w:cstheme="majorBidi" w:hint="cs"/>
          <w:sz w:val="20"/>
          <w:szCs w:val="20"/>
          <w:rtl/>
          <w:lang w:bidi="ar-JO"/>
        </w:rPr>
        <w:t>وخلف من الولد بهرام وفير</w:t>
      </w:r>
      <w:r w:rsidRPr="00A62B83">
        <w:rPr>
          <w:rFonts w:asciiTheme="majorBidi" w:eastAsiaTheme="minorHAnsi" w:hAnsiTheme="majorBidi" w:cstheme="majorBidi" w:hint="cs"/>
          <w:sz w:val="20"/>
          <w:szCs w:val="20"/>
          <w:rtl/>
          <w:lang w:bidi="ar-JO"/>
        </w:rPr>
        <w:t>و</w:t>
      </w:r>
      <w:r w:rsidRPr="008418D1">
        <w:rPr>
          <w:rFonts w:asciiTheme="majorBidi" w:hAnsiTheme="majorBidi" w:cstheme="majorBidi" w:hint="cs"/>
          <w:sz w:val="20"/>
          <w:szCs w:val="20"/>
          <w:rtl/>
          <w:lang w:bidi="ar-JO"/>
        </w:rPr>
        <w:t>ز ومن النساء ادرك وشهين ومرداوند</w:t>
      </w:r>
      <w:r w:rsidRPr="008418D1">
        <w:rPr>
          <w:rFonts w:asciiTheme="majorBidi" w:hAnsiTheme="majorBidi" w:cstheme="majorBidi"/>
          <w:sz w:val="20"/>
          <w:szCs w:val="20"/>
        </w:rPr>
        <w:t>.</w:t>
      </w:r>
    </w:p>
  </w:footnote>
  <w:footnote w:id="75">
    <w:p w14:paraId="691625AB" w14:textId="77777777" w:rsidR="00902FCD" w:rsidRPr="00F67543" w:rsidRDefault="00902FCD" w:rsidP="00660101">
      <w:pPr>
        <w:pStyle w:val="FootnoteText"/>
        <w:spacing w:line="360" w:lineRule="auto"/>
        <w:rPr>
          <w:rFonts w:asciiTheme="majorBidi" w:hAnsiTheme="majorBidi" w:cstheme="majorBidi"/>
          <w:kern w:val="0"/>
          <w:sz w:val="20"/>
          <w:szCs w:val="20"/>
          <w:lang w:eastAsia="en-US"/>
        </w:rPr>
      </w:pPr>
      <w:r w:rsidRPr="00F67543">
        <w:rPr>
          <w:rFonts w:asciiTheme="majorBidi" w:hAnsiTheme="majorBidi" w:cstheme="majorBidi"/>
          <w:sz w:val="20"/>
          <w:szCs w:val="20"/>
          <w:vertAlign w:val="superscript"/>
        </w:rPr>
        <w:footnoteRef/>
      </w:r>
      <w:r>
        <w:rPr>
          <w:rFonts w:asciiTheme="majorBidi" w:hAnsiTheme="majorBidi" w:cstheme="majorBidi"/>
          <w:sz w:val="20"/>
          <w:szCs w:val="20"/>
        </w:rPr>
        <w:t xml:space="preserve"> </w:t>
      </w:r>
      <w:r w:rsidRPr="00F67543">
        <w:rPr>
          <w:rFonts w:asciiTheme="majorBidi" w:hAnsiTheme="majorBidi" w:cstheme="majorBidi"/>
          <w:sz w:val="20"/>
          <w:szCs w:val="20"/>
        </w:rPr>
        <w:t xml:space="preserve">Al- Balādhurī, </w:t>
      </w:r>
      <w:r>
        <w:rPr>
          <w:rFonts w:asciiTheme="majorBidi" w:hAnsiTheme="majorBidi" w:cstheme="majorBidi"/>
          <w:sz w:val="20"/>
          <w:szCs w:val="20"/>
        </w:rPr>
        <w:t xml:space="preserve">1987, p. 443; tr., part I, </w:t>
      </w:r>
      <w:r w:rsidRPr="00F67543">
        <w:rPr>
          <w:rFonts w:asciiTheme="majorBidi" w:hAnsiTheme="majorBidi" w:cstheme="majorBidi"/>
          <w:sz w:val="20"/>
          <w:szCs w:val="20"/>
        </w:rPr>
        <w:t>1916, p. 493</w:t>
      </w:r>
      <w:r>
        <w:rPr>
          <w:rFonts w:asciiTheme="majorBidi" w:hAnsiTheme="majorBidi" w:cstheme="majorBidi"/>
          <w:sz w:val="20"/>
          <w:szCs w:val="20"/>
        </w:rPr>
        <w:t xml:space="preserve">: </w:t>
      </w:r>
      <w:r w:rsidRPr="00A62B83">
        <w:rPr>
          <w:rFonts w:asciiTheme="majorBidi" w:eastAsiaTheme="minorHAnsi" w:hAnsiTheme="majorBidi" w:cstheme="majorBidi" w:hint="cs"/>
          <w:sz w:val="20"/>
          <w:szCs w:val="20"/>
          <w:rtl/>
          <w:lang w:bidi="ar-JO"/>
        </w:rPr>
        <w:t>ووقع فيروز بن يزدجرد فيما يزعمون الى الترك</w:t>
      </w:r>
      <w:r w:rsidRPr="00F67543">
        <w:rPr>
          <w:rFonts w:asciiTheme="majorBidi" w:hAnsiTheme="majorBidi" w:cstheme="majorBidi"/>
          <w:sz w:val="20"/>
          <w:szCs w:val="20"/>
        </w:rPr>
        <w:t>.</w:t>
      </w:r>
    </w:p>
  </w:footnote>
  <w:footnote w:id="76">
    <w:p w14:paraId="0D2AFE3C" w14:textId="03E54CE2" w:rsidR="00902FCD" w:rsidRPr="00F64BFA" w:rsidRDefault="00902FCD" w:rsidP="007B1F80">
      <w:pPr>
        <w:pStyle w:val="FootnoteText"/>
        <w:spacing w:line="360" w:lineRule="auto"/>
        <w:rPr>
          <w:rFonts w:asciiTheme="majorBidi" w:eastAsiaTheme="minorHAnsi" w:hAnsiTheme="majorBidi" w:cstheme="majorBidi"/>
          <w:sz w:val="20"/>
          <w:szCs w:val="20"/>
        </w:rPr>
      </w:pPr>
      <w:r w:rsidRPr="00F64BFA">
        <w:rPr>
          <w:rFonts w:asciiTheme="majorBidi" w:eastAsiaTheme="minorHAnsi" w:hAnsiTheme="majorBidi" w:cstheme="majorBidi"/>
          <w:sz w:val="20"/>
          <w:szCs w:val="20"/>
          <w:vertAlign w:val="superscript"/>
        </w:rPr>
        <w:footnoteRef/>
      </w:r>
      <w:r w:rsidRPr="00F64BFA">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 xml:space="preserve">Both </w:t>
      </w:r>
      <w:r>
        <w:rPr>
          <w:rFonts w:asciiTheme="majorBidi" w:eastAsiaTheme="minorHAnsi" w:hAnsiTheme="majorBidi" w:cstheme="majorBidi" w:hint="eastAsia"/>
          <w:sz w:val="20"/>
          <w:szCs w:val="20"/>
        </w:rPr>
        <w:t>a</w:t>
      </w:r>
      <w:r>
        <w:rPr>
          <w:rFonts w:asciiTheme="majorBidi" w:eastAsiaTheme="minorHAnsi" w:hAnsiTheme="majorBidi" w:cstheme="majorBidi"/>
          <w:sz w:val="20"/>
          <w:szCs w:val="20"/>
        </w:rPr>
        <w:t>l-</w:t>
      </w:r>
      <w:r w:rsidRPr="00EB45C9">
        <w:rPr>
          <w:rFonts w:asciiTheme="majorBidi" w:eastAsiaTheme="minorHAnsi" w:hAnsiTheme="majorBidi" w:cstheme="majorBidi"/>
          <w:sz w:val="20"/>
          <w:szCs w:val="20"/>
        </w:rPr>
        <w:t>Ṭabarī</w:t>
      </w:r>
      <w:r>
        <w:rPr>
          <w:rFonts w:asciiTheme="majorBidi" w:eastAsiaTheme="minorHAnsi" w:hAnsiTheme="majorBidi" w:cstheme="majorBidi"/>
          <w:sz w:val="20"/>
          <w:szCs w:val="20"/>
        </w:rPr>
        <w:t xml:space="preserve"> (</w:t>
      </w:r>
      <w:r w:rsidRPr="00F64BFA">
        <w:rPr>
          <w:rFonts w:asciiTheme="majorBidi" w:eastAsiaTheme="minorHAnsi" w:hAnsiTheme="majorBidi" w:cstheme="majorBidi"/>
          <w:sz w:val="20"/>
          <w:szCs w:val="20"/>
        </w:rPr>
        <w:t xml:space="preserve">2001, volume 4, p. 272; tr., 1989, volume XXVI, p. 243: </w:t>
      </w:r>
      <w:r w:rsidRPr="00F64BFA">
        <w:rPr>
          <w:rFonts w:asciiTheme="majorBidi" w:eastAsiaTheme="minorHAnsi" w:hAnsiTheme="majorBidi" w:cstheme="majorBidi" w:hint="cs"/>
          <w:sz w:val="20"/>
          <w:szCs w:val="20"/>
          <w:rtl/>
          <w:lang w:bidi="ar-JO"/>
        </w:rPr>
        <w:t>وامه ام ولد اسمها شاه آفريد بنت</w:t>
      </w:r>
      <w:r>
        <w:rPr>
          <w:rFonts w:asciiTheme="majorBidi" w:hAnsiTheme="majorBidi" w:cstheme="majorBidi" w:hint="cs"/>
          <w:sz w:val="20"/>
          <w:szCs w:val="20"/>
          <w:rtl/>
          <w:lang w:bidi="ar-JO"/>
        </w:rPr>
        <w:t xml:space="preserve"> فيروز بن يزدجرد بن شهريار بن كسرى</w:t>
      </w:r>
      <w:r>
        <w:rPr>
          <w:rFonts w:asciiTheme="majorBidi" w:eastAsiaTheme="minorHAnsi" w:hAnsiTheme="majorBidi" w:cstheme="majorBidi"/>
          <w:sz w:val="20"/>
          <w:szCs w:val="20"/>
        </w:rPr>
        <w:t>) and Ibn al-Faqīh (1996, p. 417) report on the authority of al-Kalbī</w:t>
      </w:r>
      <w:r>
        <w:rPr>
          <w:rFonts w:asciiTheme="majorBidi" w:eastAsiaTheme="minorHAnsi" w:hAnsiTheme="majorBidi" w:cstheme="majorBidi"/>
          <w:sz w:val="20"/>
          <w:szCs w:val="20"/>
          <w:lang w:bidi="ar-JO"/>
        </w:rPr>
        <w:t xml:space="preserve"> (</w:t>
      </w:r>
      <w:r>
        <w:rPr>
          <w:rFonts w:asciiTheme="majorBidi" w:eastAsiaTheme="minorHAnsi" w:hAnsiTheme="majorBidi" w:cstheme="majorBidi"/>
          <w:sz w:val="20"/>
          <w:szCs w:val="20"/>
        </w:rPr>
        <w:t>d. 819) that the Sasanian princess whom al-Walīd I took as concubine and who later mothered Yazīd III (744 CE) was a daughter of Pērōz. Ibn al-Faqīh even adds that she was captured by Qutayba when the Arab governor of Khurasan was engaging</w:t>
      </w:r>
      <w:r w:rsidRPr="001F70D0">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Pērōz in Khurasan. However, al-Kalbī</w:t>
      </w:r>
      <w:r>
        <w:rPr>
          <w:rFonts w:asciiTheme="majorBidi" w:eastAsiaTheme="minorHAnsi" w:hAnsiTheme="majorBidi" w:cstheme="majorBidi"/>
          <w:sz w:val="20"/>
          <w:szCs w:val="20"/>
          <w:lang w:bidi="ar-JO"/>
        </w:rPr>
        <w:t xml:space="preserve">’s report is impossible since </w:t>
      </w:r>
      <w:r w:rsidRPr="00321B2E">
        <w:rPr>
          <w:rFonts w:asciiTheme="majorBidi" w:hAnsiTheme="majorBidi" w:cstheme="majorBidi"/>
          <w:sz w:val="20"/>
          <w:szCs w:val="20"/>
        </w:rPr>
        <w:t>Pērōz died in the late 670s and clearly could not fight Qutayba.</w:t>
      </w:r>
      <w:r>
        <w:rPr>
          <w:rFonts w:asciiTheme="majorBidi" w:hAnsiTheme="majorBidi" w:cstheme="majorBidi"/>
          <w:sz w:val="20"/>
          <w:szCs w:val="20"/>
        </w:rPr>
        <w:t xml:space="preserve"> Actually, </w:t>
      </w:r>
      <w:r>
        <w:rPr>
          <w:rFonts w:asciiTheme="majorBidi" w:eastAsiaTheme="minorHAnsi" w:hAnsiTheme="majorBidi" w:cstheme="majorBidi" w:hint="eastAsia"/>
          <w:sz w:val="20"/>
          <w:szCs w:val="20"/>
        </w:rPr>
        <w:t>a</w:t>
      </w:r>
      <w:r>
        <w:rPr>
          <w:rFonts w:asciiTheme="majorBidi" w:eastAsiaTheme="minorHAnsi" w:hAnsiTheme="majorBidi" w:cstheme="majorBidi"/>
          <w:sz w:val="20"/>
          <w:szCs w:val="20"/>
        </w:rPr>
        <w:t>l-</w:t>
      </w:r>
      <w:r w:rsidRPr="00EB45C9">
        <w:rPr>
          <w:rFonts w:asciiTheme="majorBidi" w:eastAsiaTheme="minorHAnsi" w:hAnsiTheme="majorBidi" w:cstheme="majorBidi"/>
          <w:sz w:val="20"/>
          <w:szCs w:val="20"/>
        </w:rPr>
        <w:t>Ṭabarī</w:t>
      </w:r>
      <w:r>
        <w:rPr>
          <w:rFonts w:asciiTheme="majorBidi" w:eastAsiaTheme="minorHAnsi" w:hAnsiTheme="majorBidi" w:cstheme="majorBidi"/>
          <w:sz w:val="20"/>
          <w:szCs w:val="20"/>
        </w:rPr>
        <w:t xml:space="preserve"> also reports on the authority of al-</w:t>
      </w:r>
      <w:r w:rsidRPr="00B31CA6">
        <w:rPr>
          <w:rFonts w:asciiTheme="majorBidi" w:eastAsiaTheme="minorHAnsi" w:hAnsiTheme="majorBidi" w:cstheme="majorBidi"/>
          <w:sz w:val="20"/>
          <w:szCs w:val="20"/>
        </w:rPr>
        <w:t>Madāʾinī</w:t>
      </w:r>
      <w:r>
        <w:rPr>
          <w:rFonts w:asciiTheme="majorBidi" w:eastAsiaTheme="minorHAnsi" w:hAnsiTheme="majorBidi" w:cstheme="majorBidi"/>
          <w:sz w:val="20"/>
          <w:szCs w:val="20"/>
        </w:rPr>
        <w:t xml:space="preserve"> </w:t>
      </w:r>
      <w:r>
        <w:rPr>
          <w:rFonts w:asciiTheme="majorBidi" w:eastAsiaTheme="minorHAnsi" w:hAnsiTheme="majorBidi" w:cstheme="majorBidi" w:hint="eastAsia"/>
          <w:sz w:val="20"/>
          <w:szCs w:val="20"/>
        </w:rPr>
        <w:t>(</w:t>
      </w:r>
      <w:r>
        <w:rPr>
          <w:rFonts w:asciiTheme="majorBidi" w:eastAsiaTheme="minorHAnsi" w:hAnsiTheme="majorBidi" w:cstheme="majorBidi"/>
          <w:sz w:val="20"/>
          <w:szCs w:val="20"/>
        </w:rPr>
        <w:t xml:space="preserve">d. 843) that the captured Sasanian princess was by a posthumous son of Yazdegerd and captured in Sogdiana (2001, volume 2, p. 621; </w:t>
      </w:r>
      <w:r>
        <w:rPr>
          <w:rFonts w:asciiTheme="majorBidi" w:hAnsiTheme="majorBidi" w:cstheme="majorBidi"/>
          <w:sz w:val="20"/>
          <w:szCs w:val="20"/>
        </w:rPr>
        <w:t>tr.</w:t>
      </w:r>
      <w:r w:rsidRPr="00321B2E">
        <w:rPr>
          <w:rFonts w:asciiTheme="majorBidi" w:hAnsiTheme="majorBidi" w:cstheme="majorBidi"/>
          <w:sz w:val="20"/>
          <w:szCs w:val="20"/>
        </w:rPr>
        <w:t xml:space="preserve">, 1990, </w:t>
      </w:r>
      <w:r w:rsidRPr="001D5A89">
        <w:rPr>
          <w:rFonts w:asciiTheme="majorBidi" w:hAnsiTheme="majorBidi" w:cstheme="majorBidi"/>
          <w:sz w:val="20"/>
          <w:szCs w:val="20"/>
        </w:rPr>
        <w:t>volume XV, p. 79</w:t>
      </w:r>
      <w:r w:rsidRPr="00321B2E">
        <w:rPr>
          <w:rFonts w:asciiTheme="majorBidi" w:hAnsiTheme="majorBidi" w:cstheme="majorBidi"/>
          <w:sz w:val="20"/>
          <w:szCs w:val="20"/>
        </w:rPr>
        <w:t xml:space="preserve">). It seems that al-Madāʾinī </w:t>
      </w:r>
      <w:r>
        <w:rPr>
          <w:rFonts w:asciiTheme="majorBidi" w:hAnsiTheme="majorBidi" w:cstheme="majorBidi"/>
          <w:sz w:val="20"/>
          <w:szCs w:val="20"/>
        </w:rPr>
        <w:t>i</w:t>
      </w:r>
      <w:r w:rsidRPr="00321B2E">
        <w:rPr>
          <w:rFonts w:asciiTheme="majorBidi" w:hAnsiTheme="majorBidi" w:cstheme="majorBidi"/>
          <w:sz w:val="20"/>
          <w:szCs w:val="20"/>
        </w:rPr>
        <w:t>s more trustworthy</w:t>
      </w:r>
      <w:r>
        <w:rPr>
          <w:rFonts w:asciiTheme="majorBidi" w:hAnsiTheme="majorBidi" w:cstheme="majorBidi"/>
          <w:sz w:val="20"/>
          <w:szCs w:val="20"/>
        </w:rPr>
        <w:t xml:space="preserve"> than</w:t>
      </w:r>
      <w:r w:rsidRPr="00321B2E">
        <w:rPr>
          <w:rFonts w:asciiTheme="majorBidi" w:hAnsiTheme="majorBidi" w:cstheme="majorBidi"/>
          <w:sz w:val="20"/>
          <w:szCs w:val="20"/>
        </w:rPr>
        <w:t xml:space="preserve"> al-Kalbī</w:t>
      </w:r>
      <w:r>
        <w:rPr>
          <w:rFonts w:asciiTheme="majorBidi" w:hAnsiTheme="majorBidi" w:cstheme="majorBidi"/>
          <w:sz w:val="20"/>
          <w:szCs w:val="20"/>
        </w:rPr>
        <w:t>. And</w:t>
      </w:r>
      <w:r>
        <w:rPr>
          <w:rFonts w:asciiTheme="majorBidi" w:eastAsiaTheme="minorHAnsi" w:hAnsiTheme="majorBidi" w:cstheme="majorBidi"/>
          <w:sz w:val="20"/>
          <w:szCs w:val="20"/>
        </w:rPr>
        <w:t xml:space="preserve"> t</w:t>
      </w:r>
      <w:r w:rsidRPr="008D08FD">
        <w:rPr>
          <w:rFonts w:asciiTheme="majorBidi" w:eastAsiaTheme="minorHAnsi" w:hAnsiTheme="majorBidi" w:cstheme="majorBidi"/>
          <w:sz w:val="20"/>
          <w:szCs w:val="20"/>
        </w:rPr>
        <w:t xml:space="preserve">he Umayyad Caliph Yazīd </w:t>
      </w:r>
      <w:r>
        <w:rPr>
          <w:rFonts w:asciiTheme="majorBidi" w:eastAsiaTheme="minorHAnsi" w:hAnsiTheme="majorBidi" w:cstheme="majorBidi"/>
          <w:sz w:val="20"/>
          <w:szCs w:val="20"/>
        </w:rPr>
        <w:t>III’s claiming</w:t>
      </w:r>
      <w:r w:rsidRPr="008D08FD">
        <w:rPr>
          <w:rFonts w:asciiTheme="majorBidi" w:eastAsiaTheme="minorHAnsi" w:hAnsiTheme="majorBidi" w:cstheme="majorBidi"/>
          <w:sz w:val="20"/>
          <w:szCs w:val="20"/>
        </w:rPr>
        <w:t xml:space="preserve"> his ancestors </w:t>
      </w:r>
      <w:r>
        <w:rPr>
          <w:rFonts w:asciiTheme="majorBidi" w:eastAsiaTheme="minorHAnsi" w:hAnsiTheme="majorBidi" w:cstheme="majorBidi"/>
          <w:sz w:val="20"/>
          <w:szCs w:val="20"/>
        </w:rPr>
        <w:t>being</w:t>
      </w:r>
      <w:r w:rsidRPr="008D08FD">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the Sasanian monarch</w:t>
      </w:r>
      <w:r w:rsidRPr="008D08FD">
        <w:rPr>
          <w:rFonts w:asciiTheme="majorBidi" w:eastAsiaTheme="minorHAnsi" w:hAnsiTheme="majorBidi" w:cstheme="majorBidi"/>
          <w:sz w:val="20"/>
          <w:szCs w:val="20"/>
        </w:rPr>
        <w:t xml:space="preserve"> and the Khāqān (</w:t>
      </w:r>
      <w:r>
        <w:rPr>
          <w:rFonts w:asciiTheme="majorBidi" w:eastAsiaTheme="minorHAnsi" w:hAnsiTheme="majorBidi" w:cstheme="majorBidi"/>
          <w:sz w:val="20"/>
          <w:szCs w:val="20"/>
        </w:rPr>
        <w:t>a</w:t>
      </w:r>
      <w:r w:rsidRPr="00014C21">
        <w:rPr>
          <w:rFonts w:asciiTheme="majorBidi" w:eastAsiaTheme="minorHAnsi" w:hAnsiTheme="majorBidi" w:cstheme="majorBidi"/>
          <w:sz w:val="20"/>
          <w:szCs w:val="20"/>
        </w:rPr>
        <w:t xml:space="preserve">l-Ṭabarī, 2001, volume 4, p. 272; </w:t>
      </w:r>
      <w:r>
        <w:rPr>
          <w:rFonts w:asciiTheme="majorBidi" w:hAnsiTheme="majorBidi" w:cstheme="majorBidi"/>
          <w:sz w:val="20"/>
          <w:szCs w:val="20"/>
        </w:rPr>
        <w:t>tr.</w:t>
      </w:r>
      <w:r w:rsidRPr="00014C21">
        <w:rPr>
          <w:rFonts w:asciiTheme="majorBidi" w:eastAsiaTheme="minorHAnsi" w:hAnsiTheme="majorBidi" w:cstheme="majorBidi"/>
          <w:sz w:val="20"/>
          <w:szCs w:val="20"/>
        </w:rPr>
        <w:t xml:space="preserve">, volume 26, p. 243: </w:t>
      </w:r>
      <w:r w:rsidRPr="00014C21">
        <w:rPr>
          <w:rFonts w:asciiTheme="majorBidi" w:eastAsiaTheme="minorHAnsi" w:hAnsiTheme="majorBidi" w:cstheme="majorBidi" w:hint="cs"/>
          <w:sz w:val="20"/>
          <w:szCs w:val="20"/>
          <w:rtl/>
          <w:lang w:bidi="ar-JO"/>
        </w:rPr>
        <w:t>انا ابن كسرى</w:t>
      </w:r>
      <w:r>
        <w:rPr>
          <w:rFonts w:asciiTheme="majorBidi" w:eastAsiaTheme="minorHAnsi" w:hAnsiTheme="majorBidi" w:cstheme="majorBidi" w:hint="cs"/>
          <w:sz w:val="20"/>
          <w:szCs w:val="20"/>
          <w:rtl/>
          <w:lang w:bidi="ar-JO"/>
        </w:rPr>
        <w:t xml:space="preserve"> وابي مروان وقيصر جدي </w:t>
      </w:r>
      <w:r w:rsidRPr="00014C21">
        <w:rPr>
          <w:rFonts w:asciiTheme="majorBidi" w:eastAsiaTheme="minorHAnsi" w:hAnsiTheme="majorBidi" w:cstheme="majorBidi" w:hint="cs"/>
          <w:sz w:val="20"/>
          <w:szCs w:val="20"/>
          <w:rtl/>
          <w:lang w:bidi="ar-JO"/>
        </w:rPr>
        <w:t>وجد</w:t>
      </w:r>
      <w:r>
        <w:rPr>
          <w:rFonts w:asciiTheme="majorBidi" w:eastAsiaTheme="minorHAnsi" w:hAnsiTheme="majorBidi" w:cstheme="majorBidi" w:hint="cs"/>
          <w:sz w:val="20"/>
          <w:szCs w:val="20"/>
          <w:rtl/>
          <w:lang w:bidi="ar-JO"/>
        </w:rPr>
        <w:t>ي</w:t>
      </w:r>
      <w:r w:rsidRPr="00014C21">
        <w:rPr>
          <w:rFonts w:asciiTheme="majorBidi" w:eastAsiaTheme="minorHAnsi" w:hAnsiTheme="majorBidi" w:cstheme="majorBidi" w:hint="cs"/>
          <w:sz w:val="20"/>
          <w:szCs w:val="20"/>
          <w:rtl/>
          <w:lang w:bidi="ar-JO"/>
        </w:rPr>
        <w:t xml:space="preserve"> خاقان</w:t>
      </w:r>
      <w:r w:rsidRPr="008D08FD">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seems to be irrevant to Pērōz, since the ancestral Khāqān can refer to the grandfather of the Sasanian monarch Hormizd IV (579-590 CE), whose mother was a daughter of the Khāqān Ishtemi (a</w:t>
      </w:r>
      <w:r w:rsidRPr="00014C21">
        <w:rPr>
          <w:rFonts w:asciiTheme="majorBidi" w:eastAsiaTheme="minorHAnsi" w:hAnsiTheme="majorBidi" w:cstheme="majorBidi"/>
          <w:sz w:val="20"/>
          <w:szCs w:val="20"/>
        </w:rPr>
        <w:t>l-Ṭabarī, 2001,</w:t>
      </w:r>
      <w:r>
        <w:rPr>
          <w:rFonts w:asciiTheme="majorBidi" w:eastAsiaTheme="minorHAnsi" w:hAnsiTheme="majorBidi" w:cstheme="majorBidi"/>
          <w:sz w:val="20"/>
          <w:szCs w:val="20"/>
        </w:rPr>
        <w:t xml:space="preserve"> volume 1, p. 461; tr., 1999, </w:t>
      </w:r>
      <w:r>
        <w:rPr>
          <w:rFonts w:asciiTheme="majorBidi" w:eastAsiaTheme="minorHAnsi" w:hAnsiTheme="majorBidi" w:cstheme="majorBidi"/>
          <w:sz w:val="20"/>
          <w:szCs w:val="20"/>
          <w:lang w:bidi="ar-JO"/>
        </w:rPr>
        <w:t xml:space="preserve">volume V, </w:t>
      </w:r>
      <w:r>
        <w:rPr>
          <w:rFonts w:asciiTheme="majorBidi" w:eastAsiaTheme="minorHAnsi" w:hAnsiTheme="majorBidi" w:cstheme="majorBidi"/>
          <w:sz w:val="20"/>
          <w:szCs w:val="20"/>
        </w:rPr>
        <w:t xml:space="preserve">p. 295: </w:t>
      </w:r>
      <w:r>
        <w:rPr>
          <w:rFonts w:asciiTheme="majorBidi" w:eastAsiaTheme="minorHAnsi" w:hAnsiTheme="majorBidi" w:cstheme="majorBidi" w:hint="cs"/>
          <w:sz w:val="20"/>
          <w:szCs w:val="20"/>
          <w:rtl/>
          <w:lang w:bidi="ar-JO"/>
        </w:rPr>
        <w:t>وكانت امه ابنة خاقان الاكبر</w:t>
      </w:r>
      <w:r>
        <w:rPr>
          <w:rFonts w:asciiTheme="majorBidi" w:eastAsiaTheme="minorHAnsi" w:hAnsiTheme="majorBidi" w:cstheme="majorBidi"/>
          <w:sz w:val="20"/>
          <w:szCs w:val="20"/>
        </w:rPr>
        <w:t xml:space="preserve">). </w:t>
      </w:r>
      <w:r w:rsidRPr="006421F5">
        <w:rPr>
          <w:rFonts w:asciiTheme="majorBidi" w:eastAsiaTheme="minorHAnsi" w:hAnsiTheme="majorBidi" w:cstheme="majorBidi"/>
          <w:sz w:val="20"/>
          <w:szCs w:val="20"/>
        </w:rPr>
        <w:t>Pērōz probably married a daughter of Irbis Duolu Khāqān (</w:t>
      </w:r>
      <w:r w:rsidRPr="006421F5">
        <w:rPr>
          <w:rFonts w:asciiTheme="majorBidi" w:hAnsiTheme="majorBidi" w:cstheme="majorBidi" w:hint="eastAsia"/>
          <w:sz w:val="20"/>
          <w:szCs w:val="20"/>
          <w:lang w:bidi="ar-JO"/>
        </w:rPr>
        <w:t>乙毗咄陆可汗</w:t>
      </w:r>
      <w:r w:rsidRPr="006421F5">
        <w:rPr>
          <w:rFonts w:asciiTheme="majorBidi" w:hAnsiTheme="majorBidi" w:cstheme="majorBidi"/>
          <w:sz w:val="20"/>
          <w:szCs w:val="20"/>
          <w:lang w:bidi="ar-JO"/>
        </w:rPr>
        <w:t xml:space="preserve">, </w:t>
      </w:r>
      <w:r w:rsidRPr="006421F5">
        <w:rPr>
          <w:rFonts w:asciiTheme="majorBidi" w:hAnsiTheme="majorBidi" w:cstheme="majorBidi"/>
          <w:sz w:val="20"/>
          <w:szCs w:val="20"/>
        </w:rPr>
        <w:t>638-642 CE),</w:t>
      </w:r>
      <w:r w:rsidRPr="006421F5">
        <w:rPr>
          <w:rFonts w:asciiTheme="majorBidi" w:eastAsiaTheme="minorHAnsi" w:hAnsiTheme="majorBidi" w:cstheme="majorBidi"/>
          <w:sz w:val="20"/>
          <w:szCs w:val="20"/>
        </w:rPr>
        <w:t xml:space="preserve"> who fled to </w:t>
      </w:r>
      <w:r w:rsidRPr="006421F5">
        <w:rPr>
          <w:rFonts w:asciiTheme="majorBidi" w:hAnsiTheme="majorBidi" w:cstheme="majorBidi"/>
          <w:sz w:val="20"/>
          <w:szCs w:val="20"/>
        </w:rPr>
        <w:t>Ṭukhāristān after his deposition in 642 CE until death in 653 CE, or a daughter of the Yabghū</w:t>
      </w:r>
      <w:r w:rsidRPr="006421F5">
        <w:rPr>
          <w:rFonts w:asciiTheme="majorBidi" w:eastAsiaTheme="minorHAnsi" w:hAnsiTheme="majorBidi" w:cstheme="majorBidi"/>
          <w:sz w:val="20"/>
          <w:szCs w:val="20"/>
        </w:rPr>
        <w:t>.</w:t>
      </w:r>
    </w:p>
  </w:footnote>
  <w:footnote w:id="77">
    <w:p w14:paraId="261D624C" w14:textId="30756884" w:rsidR="00902FCD" w:rsidRPr="00AF1B2B" w:rsidRDefault="00902FCD" w:rsidP="00660101">
      <w:pPr>
        <w:pStyle w:val="FootnoteText"/>
        <w:spacing w:line="360" w:lineRule="auto"/>
        <w:rPr>
          <w:rFonts w:asciiTheme="majorBidi" w:hAnsiTheme="majorBidi" w:cstheme="majorBidi"/>
          <w:sz w:val="20"/>
          <w:szCs w:val="20"/>
        </w:rPr>
      </w:pPr>
      <w:r w:rsidRPr="00AF1B2B">
        <w:rPr>
          <w:rFonts w:asciiTheme="majorBidi" w:hAnsiTheme="majorBidi" w:cstheme="majorBidi"/>
          <w:sz w:val="20"/>
          <w:szCs w:val="20"/>
          <w:vertAlign w:val="superscript"/>
        </w:rPr>
        <w:footnoteRef/>
      </w:r>
      <w:r>
        <w:rPr>
          <w:rFonts w:asciiTheme="majorBidi" w:hAnsiTheme="majorBidi" w:cstheme="majorBidi"/>
          <w:sz w:val="20"/>
          <w:szCs w:val="20"/>
        </w:rPr>
        <w:t xml:space="preserve"> These include the</w:t>
      </w:r>
      <w:r w:rsidRPr="00AF1B2B">
        <w:rPr>
          <w:rFonts w:asciiTheme="majorBidi" w:hAnsiTheme="majorBidi" w:cstheme="majorBidi"/>
          <w:sz w:val="20"/>
          <w:szCs w:val="20"/>
        </w:rPr>
        <w:t xml:space="preserve"> Sasanian princess </w:t>
      </w:r>
      <w:r>
        <w:rPr>
          <w:rFonts w:asciiTheme="majorBidi" w:hAnsiTheme="majorBidi" w:cstheme="majorBidi"/>
          <w:sz w:val="20"/>
          <w:szCs w:val="20"/>
        </w:rPr>
        <w:t xml:space="preserve">Shāh-i Āfrīd, </w:t>
      </w:r>
      <w:r w:rsidRPr="00AF1B2B">
        <w:rPr>
          <w:rFonts w:asciiTheme="majorBidi" w:hAnsiTheme="majorBidi" w:cstheme="majorBidi"/>
          <w:sz w:val="20"/>
          <w:szCs w:val="20"/>
        </w:rPr>
        <w:t>who was captured by the Arab governor of Khurasan Qutayba</w:t>
      </w:r>
      <w:r>
        <w:rPr>
          <w:rFonts w:asciiTheme="majorBidi" w:hAnsiTheme="majorBidi" w:cstheme="majorBidi"/>
          <w:sz w:val="20"/>
          <w:szCs w:val="20"/>
        </w:rPr>
        <w:t xml:space="preserve"> ibn Muslim</w:t>
      </w:r>
      <w:r w:rsidRPr="00AF1B2B">
        <w:rPr>
          <w:rFonts w:asciiTheme="majorBidi" w:hAnsiTheme="majorBidi" w:cstheme="majorBidi"/>
          <w:sz w:val="20"/>
          <w:szCs w:val="20"/>
        </w:rPr>
        <w:t xml:space="preserve"> (705-715 CE) in Transoxiana and became the Umayyad Caliph al-Walīd’s (705-715 CE) concubine and Yazīd III’s (744 CE) mother (al-Ṭabarī, 2001, volume 2, p. 621; </w:t>
      </w:r>
      <w:r>
        <w:rPr>
          <w:rFonts w:asciiTheme="majorBidi" w:hAnsiTheme="majorBidi" w:cstheme="majorBidi"/>
          <w:sz w:val="20"/>
          <w:szCs w:val="20"/>
        </w:rPr>
        <w:t>tr.</w:t>
      </w:r>
      <w:r w:rsidRPr="00321B2E">
        <w:rPr>
          <w:rFonts w:asciiTheme="majorBidi" w:hAnsiTheme="majorBidi" w:cstheme="majorBidi"/>
          <w:sz w:val="20"/>
          <w:szCs w:val="20"/>
        </w:rPr>
        <w:t xml:space="preserve">, 1990, </w:t>
      </w:r>
      <w:r w:rsidRPr="001D5A89">
        <w:rPr>
          <w:rFonts w:asciiTheme="majorBidi" w:hAnsiTheme="majorBidi" w:cstheme="majorBidi"/>
          <w:sz w:val="20"/>
          <w:szCs w:val="20"/>
        </w:rPr>
        <w:t>volume XV, p. 79</w:t>
      </w:r>
      <w:r w:rsidRPr="00AF1B2B">
        <w:rPr>
          <w:rFonts w:asciiTheme="majorBidi" w:hAnsiTheme="majorBidi" w:cstheme="majorBidi"/>
          <w:sz w:val="20"/>
          <w:szCs w:val="20"/>
        </w:rPr>
        <w:t xml:space="preserve">), the Sasanian prince Khosrow, who was campaigning together with the Türgesh Khāqān Suluk in Transoxiana in 728/9 CE against the Arabs (Al-Ṭabarī, 2001, volume 4, p. 133; </w:t>
      </w:r>
      <w:r>
        <w:rPr>
          <w:rFonts w:asciiTheme="majorBidi" w:hAnsiTheme="majorBidi" w:cstheme="majorBidi"/>
          <w:sz w:val="20"/>
          <w:szCs w:val="20"/>
        </w:rPr>
        <w:t xml:space="preserve">tr., </w:t>
      </w:r>
      <w:r w:rsidRPr="00AF1B2B">
        <w:rPr>
          <w:rFonts w:asciiTheme="majorBidi" w:hAnsiTheme="majorBidi" w:cstheme="majorBidi"/>
          <w:sz w:val="20"/>
          <w:szCs w:val="20"/>
        </w:rPr>
        <w:t>1989, volume XXV, pp. 55-6)</w:t>
      </w:r>
      <w:r>
        <w:rPr>
          <w:rFonts w:asciiTheme="majorBidi" w:hAnsiTheme="majorBidi" w:cstheme="majorBidi"/>
          <w:sz w:val="20"/>
          <w:szCs w:val="20"/>
        </w:rPr>
        <w:t xml:space="preserve"> and so on. </w:t>
      </w:r>
      <w:r w:rsidRPr="00AF1B2B">
        <w:rPr>
          <w:rFonts w:asciiTheme="majorBidi" w:hAnsiTheme="majorBidi" w:cstheme="majorBidi"/>
          <w:sz w:val="20"/>
          <w:szCs w:val="20"/>
        </w:rPr>
        <w:t xml:space="preserve">  </w:t>
      </w:r>
    </w:p>
  </w:footnote>
  <w:footnote w:id="78">
    <w:p w14:paraId="46EAB985" w14:textId="77777777" w:rsidR="00902FCD" w:rsidRPr="00690B2A" w:rsidRDefault="00902FCD" w:rsidP="00660101">
      <w:pPr>
        <w:pStyle w:val="FootnoteText"/>
        <w:spacing w:line="360" w:lineRule="auto"/>
        <w:rPr>
          <w:rFonts w:asciiTheme="majorBidi" w:hAnsiTheme="majorBidi" w:cstheme="majorBidi"/>
          <w:sz w:val="20"/>
          <w:szCs w:val="20"/>
        </w:rPr>
      </w:pPr>
      <w:r w:rsidRPr="00690B2A">
        <w:rPr>
          <w:rFonts w:asciiTheme="majorBidi" w:hAnsiTheme="majorBidi" w:cstheme="majorBidi"/>
          <w:sz w:val="20"/>
          <w:szCs w:val="20"/>
          <w:vertAlign w:val="superscript"/>
        </w:rPr>
        <w:footnoteRef/>
      </w:r>
      <w:r w:rsidRPr="00690B2A">
        <w:rPr>
          <w:rFonts w:asciiTheme="majorBidi" w:hAnsiTheme="majorBidi" w:cstheme="majorBidi"/>
          <w:sz w:val="20"/>
          <w:szCs w:val="20"/>
        </w:rPr>
        <w:t xml:space="preserve"> Liu, 1995, volume 198, pp. 5312-3;</w:t>
      </w:r>
      <w:r>
        <w:rPr>
          <w:rFonts w:asciiTheme="majorBidi" w:hAnsiTheme="majorBidi" w:cstheme="majorBidi"/>
          <w:sz w:val="20"/>
          <w:szCs w:val="20"/>
        </w:rPr>
        <w:t xml:space="preserve"> tr., Appendix II.</w:t>
      </w:r>
      <w:r w:rsidRPr="00690B2A">
        <w:rPr>
          <w:rFonts w:asciiTheme="majorBidi" w:hAnsiTheme="majorBidi" w:cstheme="majorBidi"/>
          <w:sz w:val="20"/>
          <w:szCs w:val="20"/>
        </w:rPr>
        <w:t xml:space="preserve"> Ouyang &amp; Song, 1995, p. 6259</w:t>
      </w:r>
      <w:r>
        <w:rPr>
          <w:rFonts w:asciiTheme="majorBidi" w:hAnsiTheme="majorBidi" w:cstheme="majorBidi"/>
          <w:sz w:val="20"/>
          <w:szCs w:val="20"/>
        </w:rPr>
        <w:t>; tr., Appendix II</w:t>
      </w:r>
      <w:r w:rsidRPr="00690B2A">
        <w:rPr>
          <w:rFonts w:asciiTheme="majorBidi" w:hAnsiTheme="majorBidi" w:cstheme="majorBidi"/>
          <w:sz w:val="20"/>
          <w:szCs w:val="20"/>
        </w:rPr>
        <w:t>.</w:t>
      </w:r>
    </w:p>
  </w:footnote>
  <w:footnote w:id="79">
    <w:p w14:paraId="7E983349" w14:textId="5B38856B" w:rsidR="00902FCD" w:rsidRPr="00E32A8B" w:rsidRDefault="00902FCD" w:rsidP="00D06FA7">
      <w:pPr>
        <w:pStyle w:val="FootnoteText"/>
        <w:spacing w:line="360" w:lineRule="auto"/>
        <w:rPr>
          <w:rFonts w:asciiTheme="majorBidi" w:eastAsiaTheme="minorHAnsi" w:hAnsiTheme="majorBidi" w:cstheme="majorBidi"/>
          <w:sz w:val="20"/>
          <w:szCs w:val="20"/>
        </w:rPr>
      </w:pPr>
      <w:r w:rsidRPr="00A62B83">
        <w:rPr>
          <w:rFonts w:asciiTheme="majorBidi" w:eastAsiaTheme="minorHAnsi" w:hAnsiTheme="majorBidi" w:cstheme="majorBidi"/>
          <w:sz w:val="20"/>
          <w:szCs w:val="20"/>
          <w:vertAlign w:val="superscript"/>
        </w:rPr>
        <w:footnoteRef/>
      </w:r>
      <w:r w:rsidRPr="00A62B83">
        <w:rPr>
          <w:rFonts w:asciiTheme="majorBidi" w:eastAsiaTheme="minorHAnsi" w:hAnsiTheme="majorBidi" w:cstheme="majorBidi"/>
          <w:sz w:val="20"/>
          <w:szCs w:val="20"/>
          <w:vertAlign w:val="superscript"/>
        </w:rPr>
        <w:t xml:space="preserve"> </w:t>
      </w:r>
      <w:r w:rsidRPr="00A62B83">
        <w:rPr>
          <w:rFonts w:asciiTheme="majorBidi" w:eastAsiaTheme="minorHAnsi" w:hAnsiTheme="majorBidi" w:cstheme="majorBidi"/>
          <w:sz w:val="20"/>
          <w:szCs w:val="20"/>
        </w:rPr>
        <w:t xml:space="preserve">Al-Balādhurī, </w:t>
      </w:r>
      <w:r>
        <w:rPr>
          <w:rFonts w:asciiTheme="majorBidi" w:eastAsiaTheme="minorHAnsi" w:hAnsiTheme="majorBidi" w:cstheme="majorBidi"/>
          <w:sz w:val="20"/>
          <w:szCs w:val="20"/>
        </w:rPr>
        <w:t>translation,</w:t>
      </w:r>
      <w:r w:rsidRPr="00A62B83">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part I, </w:t>
      </w:r>
      <w:r w:rsidRPr="00A62B83">
        <w:rPr>
          <w:rFonts w:asciiTheme="majorBidi" w:eastAsiaTheme="minorHAnsi" w:hAnsiTheme="majorBidi" w:cstheme="majorBidi"/>
          <w:sz w:val="20"/>
          <w:szCs w:val="20"/>
        </w:rPr>
        <w:t>1916, p. 493.</w:t>
      </w:r>
      <w:r>
        <w:rPr>
          <w:rFonts w:asciiTheme="majorBidi" w:eastAsiaTheme="minorHAnsi" w:hAnsiTheme="majorBidi" w:cstheme="majorBidi"/>
          <w:sz w:val="20"/>
          <w:szCs w:val="20"/>
        </w:rPr>
        <w:t xml:space="preserve"> </w:t>
      </w:r>
    </w:p>
  </w:footnote>
  <w:footnote w:id="80">
    <w:p w14:paraId="5AB6D3BF" w14:textId="20C914B8" w:rsidR="00902FCD" w:rsidRPr="00E67E2C" w:rsidRDefault="00902FCD" w:rsidP="00E67E2C">
      <w:pPr>
        <w:pStyle w:val="FootnoteText"/>
        <w:spacing w:line="360" w:lineRule="auto"/>
        <w:rPr>
          <w:rFonts w:asciiTheme="majorBidi" w:eastAsiaTheme="minorHAnsi" w:hAnsiTheme="majorBidi" w:cstheme="majorBidi"/>
          <w:sz w:val="20"/>
          <w:szCs w:val="20"/>
        </w:rPr>
      </w:pPr>
      <w:r w:rsidRPr="00E67E2C">
        <w:rPr>
          <w:rFonts w:asciiTheme="majorBidi" w:eastAsiaTheme="minorHAnsi" w:hAnsiTheme="majorBidi" w:cstheme="majorBidi"/>
          <w:sz w:val="20"/>
          <w:szCs w:val="20"/>
          <w:vertAlign w:val="superscript"/>
        </w:rPr>
        <w:footnoteRef/>
      </w:r>
      <w:r w:rsidRPr="00E67E2C">
        <w:rPr>
          <w:rFonts w:asciiTheme="majorBidi" w:eastAsiaTheme="minorHAnsi" w:hAnsiTheme="majorBidi" w:cstheme="majorBidi"/>
          <w:sz w:val="20"/>
          <w:szCs w:val="20"/>
        </w:rPr>
        <w:t xml:space="preserve"> Haug, 2019, p, 92. Pashazanous and Afkande </w:t>
      </w:r>
      <w:r>
        <w:rPr>
          <w:rFonts w:asciiTheme="majorBidi" w:eastAsiaTheme="minorHAnsi" w:hAnsiTheme="majorBidi" w:cstheme="majorBidi"/>
          <w:sz w:val="20"/>
          <w:szCs w:val="20"/>
        </w:rPr>
        <w:t xml:space="preserve">(2014, p. 142) </w:t>
      </w:r>
      <w:r w:rsidRPr="00E67E2C">
        <w:rPr>
          <w:rFonts w:asciiTheme="majorBidi" w:eastAsiaTheme="minorHAnsi" w:hAnsiTheme="majorBidi" w:cstheme="majorBidi"/>
          <w:sz w:val="20"/>
          <w:szCs w:val="20"/>
        </w:rPr>
        <w:t xml:space="preserve">even claim that the </w:t>
      </w:r>
      <w:r w:rsidRPr="00E67E2C">
        <w:rPr>
          <w:rFonts w:asciiTheme="majorBidi" w:eastAsiaTheme="minorHAnsi" w:hAnsiTheme="majorBidi" w:cstheme="majorBidi"/>
          <w:i/>
          <w:iCs/>
          <w:sz w:val="20"/>
          <w:szCs w:val="20"/>
        </w:rPr>
        <w:t>Xin Tangshu</w:t>
      </w:r>
      <w:r w:rsidRPr="00E67E2C">
        <w:rPr>
          <w:rFonts w:asciiTheme="majorBidi" w:eastAsiaTheme="minorHAnsi" w:hAnsiTheme="majorBidi" w:cstheme="majorBidi"/>
          <w:sz w:val="20"/>
          <w:szCs w:val="20"/>
        </w:rPr>
        <w:t xml:space="preserve"> shows that his son Narseh instead of Pērōz was captured by the Turks. As for Khazaee (2015, p. 223), he states that the </w:t>
      </w:r>
      <w:r w:rsidRPr="00E67E2C">
        <w:rPr>
          <w:rFonts w:asciiTheme="majorBidi" w:eastAsiaTheme="minorHAnsi" w:hAnsiTheme="majorBidi" w:cstheme="majorBidi"/>
          <w:i/>
          <w:iCs/>
          <w:sz w:val="20"/>
          <w:szCs w:val="20"/>
        </w:rPr>
        <w:t>Jiu Tangshu</w:t>
      </w:r>
      <w:r w:rsidRPr="00E67E2C">
        <w:rPr>
          <w:rFonts w:asciiTheme="majorBidi" w:eastAsiaTheme="minorHAnsi" w:hAnsiTheme="majorBidi" w:cstheme="majorBidi"/>
          <w:sz w:val="20"/>
          <w:szCs w:val="20"/>
        </w:rPr>
        <w:t xml:space="preserve"> records that Pērōz was captured by the Turks and made up the story that the Sasanian prince tried to outwit his Turkic guides in order to send an emissary to the Tang court.</w:t>
      </w:r>
    </w:p>
  </w:footnote>
  <w:footnote w:id="81">
    <w:p w14:paraId="2FF480B7" w14:textId="3D11598B" w:rsidR="00902FCD" w:rsidRPr="00246069" w:rsidRDefault="00902FCD" w:rsidP="00D06FA7">
      <w:pPr>
        <w:pStyle w:val="FootnoteText"/>
        <w:spacing w:line="360" w:lineRule="auto"/>
        <w:rPr>
          <w:rFonts w:asciiTheme="majorBidi" w:eastAsiaTheme="minorHAnsi" w:hAnsiTheme="majorBidi" w:cstheme="majorBidi"/>
          <w:sz w:val="20"/>
          <w:szCs w:val="20"/>
        </w:rPr>
      </w:pPr>
      <w:r w:rsidRPr="00246069">
        <w:rPr>
          <w:rFonts w:asciiTheme="majorBidi" w:eastAsiaTheme="minorHAnsi" w:hAnsiTheme="majorBidi" w:cstheme="majorBidi"/>
          <w:sz w:val="20"/>
          <w:szCs w:val="20"/>
          <w:vertAlign w:val="superscript"/>
        </w:rPr>
        <w:footnoteRef/>
      </w:r>
      <w:r w:rsidRPr="00246069">
        <w:rPr>
          <w:rFonts w:asciiTheme="majorBidi" w:eastAsiaTheme="minorHAnsi" w:hAnsiTheme="majorBidi" w:cstheme="majorBidi"/>
          <w:sz w:val="20"/>
          <w:szCs w:val="20"/>
        </w:rPr>
        <w:t xml:space="preserve"> </w:t>
      </w:r>
      <w:r w:rsidRPr="003F3DCE">
        <w:rPr>
          <w:rFonts w:asciiTheme="majorBidi" w:eastAsiaTheme="minorHAnsi" w:hAnsiTheme="majorBidi" w:cstheme="majorBidi"/>
          <w:sz w:val="20"/>
          <w:szCs w:val="20"/>
        </w:rPr>
        <w:t xml:space="preserve">Liu, 1995, volume 198, p. 5312; </w:t>
      </w:r>
      <w:r>
        <w:rPr>
          <w:rFonts w:asciiTheme="majorBidi" w:eastAsiaTheme="minorHAnsi" w:hAnsiTheme="majorBidi" w:cstheme="majorBidi"/>
          <w:sz w:val="20"/>
          <w:szCs w:val="20"/>
        </w:rPr>
        <w:t xml:space="preserve">tr., Appendix II. </w:t>
      </w:r>
      <w:r w:rsidRPr="003F3DCE">
        <w:rPr>
          <w:rFonts w:asciiTheme="majorBidi" w:eastAsiaTheme="minorHAnsi" w:hAnsiTheme="majorBidi" w:cstheme="majorBidi"/>
          <w:sz w:val="20"/>
          <w:szCs w:val="20"/>
        </w:rPr>
        <w:t>Ouyang &amp; Song, 1995, volume 221b,</w:t>
      </w:r>
      <w:r>
        <w:rPr>
          <w:rFonts w:asciiTheme="majorBidi" w:eastAsiaTheme="minorHAnsi" w:hAnsiTheme="majorBidi" w:cstheme="majorBidi"/>
          <w:sz w:val="20"/>
          <w:szCs w:val="20"/>
        </w:rPr>
        <w:t xml:space="preserve"> p. 6259, tr., Appendix II.</w:t>
      </w:r>
    </w:p>
  </w:footnote>
  <w:footnote w:id="82">
    <w:p w14:paraId="7E16BE55" w14:textId="77777777" w:rsidR="00902FCD" w:rsidRPr="00885313" w:rsidRDefault="00902FCD" w:rsidP="00DA5155">
      <w:pPr>
        <w:pStyle w:val="FootnoteText"/>
        <w:spacing w:line="360" w:lineRule="auto"/>
        <w:rPr>
          <w:rFonts w:asciiTheme="majorBidi" w:eastAsiaTheme="minorHAnsi" w:hAnsiTheme="majorBidi" w:cstheme="majorBidi"/>
          <w:sz w:val="20"/>
          <w:szCs w:val="20"/>
        </w:rPr>
      </w:pPr>
      <w:r w:rsidRPr="00885313">
        <w:rPr>
          <w:rFonts w:asciiTheme="majorBidi" w:eastAsiaTheme="minorHAnsi" w:hAnsiTheme="majorBidi" w:cstheme="majorBidi"/>
          <w:sz w:val="20"/>
          <w:szCs w:val="20"/>
          <w:vertAlign w:val="superscript"/>
        </w:rPr>
        <w:footnoteRef/>
      </w:r>
      <w:r w:rsidRPr="00885313">
        <w:rPr>
          <w:rFonts w:asciiTheme="majorBidi" w:eastAsiaTheme="minorHAnsi" w:hAnsiTheme="majorBidi" w:cstheme="majorBidi"/>
          <w:sz w:val="20"/>
          <w:szCs w:val="20"/>
        </w:rPr>
        <w:t xml:space="preserve"> Livtvinsky, 1996, pp. 138-40</w:t>
      </w:r>
      <w:r>
        <w:rPr>
          <w:rFonts w:asciiTheme="majorBidi" w:eastAsiaTheme="minorHAnsi" w:hAnsiTheme="majorBidi" w:cstheme="majorBidi"/>
          <w:sz w:val="20"/>
          <w:szCs w:val="20"/>
        </w:rPr>
        <w:t>; Rezakhani, 2017, pp. 126-34.</w:t>
      </w:r>
    </w:p>
  </w:footnote>
  <w:footnote w:id="83">
    <w:p w14:paraId="07497E37" w14:textId="3A70B342" w:rsidR="00902FCD" w:rsidRPr="00A855C4" w:rsidRDefault="00902FCD" w:rsidP="009E7E43">
      <w:pPr>
        <w:pStyle w:val="FootnoteText"/>
        <w:spacing w:line="360" w:lineRule="auto"/>
        <w:rPr>
          <w:rFonts w:asciiTheme="majorBidi" w:eastAsiaTheme="minorHAnsi" w:hAnsiTheme="majorBidi" w:cstheme="majorBidi"/>
          <w:sz w:val="20"/>
          <w:szCs w:val="20"/>
        </w:rPr>
      </w:pPr>
      <w:r w:rsidRPr="00C54A97">
        <w:rPr>
          <w:rFonts w:asciiTheme="majorBidi" w:eastAsiaTheme="minorHAnsi" w:hAnsiTheme="majorBidi" w:cstheme="majorBidi"/>
          <w:sz w:val="20"/>
          <w:szCs w:val="20"/>
          <w:vertAlign w:val="superscript"/>
        </w:rPr>
        <w:footnoteRef/>
      </w:r>
      <w:r w:rsidRPr="00C54A97">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A</w:t>
      </w:r>
      <w:r w:rsidRPr="008D5660">
        <w:rPr>
          <w:rFonts w:asciiTheme="majorBidi" w:eastAsiaTheme="minorHAnsi" w:hAnsiTheme="majorBidi" w:cstheme="majorBidi"/>
          <w:sz w:val="20"/>
          <w:szCs w:val="20"/>
        </w:rPr>
        <w:t>l-Ṭabarī</w:t>
      </w:r>
      <w:r>
        <w:rPr>
          <w:rFonts w:asciiTheme="majorBidi" w:eastAsiaTheme="minorHAnsi" w:hAnsiTheme="majorBidi" w:cstheme="majorBidi"/>
          <w:sz w:val="20"/>
          <w:szCs w:val="20"/>
        </w:rPr>
        <w:t xml:space="preserve">, 2001, volume 2, pp. 546-8; tr., 1994, volume XIV, pp. 54-8. </w:t>
      </w:r>
      <w:r>
        <w:rPr>
          <w:rFonts w:asciiTheme="majorBidi" w:hAnsiTheme="majorBidi" w:cstheme="majorBidi"/>
          <w:sz w:val="20"/>
          <w:szCs w:val="20"/>
        </w:rPr>
        <w:t>According to a</w:t>
      </w:r>
      <w:r w:rsidRPr="008D5660">
        <w:rPr>
          <w:rFonts w:asciiTheme="majorBidi" w:eastAsiaTheme="minorHAnsi" w:hAnsiTheme="majorBidi" w:cstheme="majorBidi"/>
          <w:sz w:val="20"/>
          <w:szCs w:val="20"/>
        </w:rPr>
        <w:t>l-Ṭabarī</w:t>
      </w:r>
      <w:r>
        <w:rPr>
          <w:rFonts w:asciiTheme="majorBidi" w:eastAsiaTheme="minorHAnsi" w:hAnsiTheme="majorBidi" w:cstheme="majorBidi"/>
          <w:sz w:val="20"/>
          <w:szCs w:val="20"/>
        </w:rPr>
        <w:t>, t</w:t>
      </w:r>
      <w:r w:rsidRPr="00A855C4">
        <w:rPr>
          <w:rFonts w:asciiTheme="majorBidi" w:hAnsiTheme="majorBidi" w:cstheme="majorBidi"/>
          <w:sz w:val="20"/>
          <w:szCs w:val="20"/>
        </w:rPr>
        <w:t xml:space="preserve">he Turks and their vassal the Sogdians led by the Khāqān did come to assist him. </w:t>
      </w:r>
      <w:r>
        <w:rPr>
          <w:rFonts w:asciiTheme="majorBidi" w:hAnsiTheme="majorBidi" w:cstheme="majorBidi"/>
          <w:sz w:val="20"/>
          <w:szCs w:val="20"/>
        </w:rPr>
        <w:t xml:space="preserve">However, the assistance </w:t>
      </w:r>
      <w:r w:rsidRPr="00A855C4">
        <w:rPr>
          <w:rFonts w:asciiTheme="majorBidi" w:hAnsiTheme="majorBidi" w:cstheme="majorBidi"/>
          <w:sz w:val="20"/>
          <w:szCs w:val="20"/>
        </w:rPr>
        <w:t>should be after the battle of Nahāvand in 642 CE instead of during the caliphate of ‘Umar (632-644 CE)</w:t>
      </w:r>
      <w:r>
        <w:rPr>
          <w:rFonts w:asciiTheme="majorBidi" w:hAnsiTheme="majorBidi" w:cstheme="majorBidi"/>
          <w:sz w:val="20"/>
          <w:szCs w:val="20"/>
        </w:rPr>
        <w:t xml:space="preserve">. The campaign of the Western Turks </w:t>
      </w:r>
      <w:r w:rsidRPr="005C3AED">
        <w:rPr>
          <w:rFonts w:asciiTheme="majorBidi" w:hAnsiTheme="majorBidi" w:cstheme="majorBidi"/>
          <w:sz w:val="20"/>
          <w:szCs w:val="20"/>
        </w:rPr>
        <w:t>in Ṭukhāristān</w:t>
      </w:r>
      <w:r>
        <w:rPr>
          <w:rFonts w:asciiTheme="majorBidi" w:hAnsiTheme="majorBidi" w:cstheme="majorBidi"/>
          <w:sz w:val="20"/>
          <w:szCs w:val="20"/>
        </w:rPr>
        <w:t xml:space="preserve"> led by </w:t>
      </w:r>
      <w:r w:rsidRPr="005C3AED">
        <w:rPr>
          <w:rFonts w:asciiTheme="majorBidi" w:hAnsiTheme="majorBidi" w:cstheme="majorBidi"/>
          <w:sz w:val="20"/>
          <w:szCs w:val="20"/>
        </w:rPr>
        <w:t>Irbis Duolu Khāqān in the early 640s</w:t>
      </w:r>
      <w:r>
        <w:rPr>
          <w:rFonts w:asciiTheme="majorBidi" w:hAnsiTheme="majorBidi" w:cstheme="majorBidi"/>
          <w:sz w:val="20"/>
          <w:szCs w:val="20"/>
        </w:rPr>
        <w:t xml:space="preserve"> seems to support al-</w:t>
      </w:r>
      <w:r w:rsidRPr="008D5660">
        <w:rPr>
          <w:rFonts w:asciiTheme="majorBidi" w:eastAsiaTheme="minorHAnsi" w:hAnsiTheme="majorBidi" w:cstheme="majorBidi"/>
          <w:sz w:val="20"/>
          <w:szCs w:val="20"/>
        </w:rPr>
        <w:t>Ṭabarī</w:t>
      </w:r>
      <w:r>
        <w:rPr>
          <w:rFonts w:asciiTheme="majorBidi" w:eastAsiaTheme="minorHAnsi" w:hAnsiTheme="majorBidi" w:cstheme="majorBidi"/>
          <w:sz w:val="20"/>
          <w:szCs w:val="20"/>
        </w:rPr>
        <w:t>’s report. However, the suggestion meets chronological difficulty.</w:t>
      </w:r>
    </w:p>
  </w:footnote>
  <w:footnote w:id="84">
    <w:p w14:paraId="7E03AC90" w14:textId="3EFFC18E" w:rsidR="00902FCD" w:rsidRPr="005D0CCC" w:rsidRDefault="00902FCD" w:rsidP="005D0CCC">
      <w:pPr>
        <w:pStyle w:val="FootnoteText"/>
        <w:spacing w:line="360" w:lineRule="auto"/>
        <w:rPr>
          <w:rFonts w:asciiTheme="majorBidi" w:eastAsiaTheme="minorHAnsi" w:hAnsiTheme="majorBidi" w:cstheme="majorBidi"/>
          <w:sz w:val="20"/>
          <w:szCs w:val="20"/>
        </w:rPr>
      </w:pPr>
      <w:r w:rsidRPr="005D0CCC">
        <w:rPr>
          <w:rFonts w:asciiTheme="majorBidi" w:eastAsiaTheme="minorHAnsi" w:hAnsiTheme="majorBidi" w:cstheme="majorBidi"/>
          <w:sz w:val="20"/>
          <w:szCs w:val="20"/>
          <w:vertAlign w:val="superscript"/>
        </w:rPr>
        <w:footnoteRef/>
      </w:r>
      <w:r w:rsidRPr="005D0CCC">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A</w:t>
      </w:r>
      <w:r w:rsidRPr="008D5660">
        <w:rPr>
          <w:rFonts w:asciiTheme="majorBidi" w:eastAsiaTheme="minorHAnsi" w:hAnsiTheme="majorBidi" w:cstheme="majorBidi"/>
          <w:sz w:val="20"/>
          <w:szCs w:val="20"/>
        </w:rPr>
        <w:t>l-Ṭabarī</w:t>
      </w:r>
      <w:r>
        <w:rPr>
          <w:rFonts w:asciiTheme="majorBidi" w:eastAsiaTheme="minorHAnsi" w:hAnsiTheme="majorBidi" w:cstheme="majorBidi"/>
          <w:sz w:val="20"/>
          <w:szCs w:val="20"/>
        </w:rPr>
        <w:t>, 2001, volume 2, pp. 548-9; tr., 1994, volume XIV, pp. 59-62.</w:t>
      </w:r>
    </w:p>
  </w:footnote>
  <w:footnote w:id="85">
    <w:p w14:paraId="0FF35D4E" w14:textId="36B3AD6F" w:rsidR="00902FCD" w:rsidRPr="00221E2E" w:rsidRDefault="00902FCD" w:rsidP="00221E2E">
      <w:pPr>
        <w:pStyle w:val="FootnoteText"/>
        <w:spacing w:line="360" w:lineRule="auto"/>
        <w:rPr>
          <w:rFonts w:asciiTheme="majorBidi" w:hAnsiTheme="majorBidi" w:cstheme="majorBidi"/>
        </w:rPr>
      </w:pPr>
      <w:r w:rsidRPr="00221E2E">
        <w:rPr>
          <w:rStyle w:val="FootnoteReference"/>
          <w:rFonts w:asciiTheme="majorBidi" w:hAnsiTheme="majorBidi" w:cstheme="majorBidi"/>
        </w:rPr>
        <w:footnoteRef/>
      </w:r>
      <w:r w:rsidRPr="00221E2E">
        <w:rPr>
          <w:rFonts w:asciiTheme="majorBidi" w:hAnsiTheme="majorBidi" w:cstheme="majorBidi"/>
        </w:rPr>
        <w:t xml:space="preserve"> </w:t>
      </w:r>
      <w:r w:rsidRPr="00221E2E">
        <w:rPr>
          <w:rFonts w:asciiTheme="majorBidi" w:eastAsiaTheme="minorHAnsi" w:hAnsiTheme="majorBidi" w:cstheme="majorBidi"/>
          <w:sz w:val="20"/>
          <w:szCs w:val="20"/>
        </w:rPr>
        <w:t>Liu, 1995, volume 198, p. 5312; tr., Appendix II. Ouyang &amp; Song, 1995, volume 221b, p. 6259, tr., Appendix II.</w:t>
      </w:r>
    </w:p>
  </w:footnote>
  <w:footnote w:id="86">
    <w:p w14:paraId="30B7E7D8" w14:textId="77777777" w:rsidR="00902FCD" w:rsidRPr="00B51D22" w:rsidRDefault="00902FCD" w:rsidP="00221E2E">
      <w:pPr>
        <w:pStyle w:val="FootnoteText"/>
        <w:spacing w:line="360" w:lineRule="auto"/>
        <w:rPr>
          <w:rFonts w:asciiTheme="majorBidi" w:eastAsiaTheme="minorHAnsi" w:hAnsiTheme="majorBidi" w:cstheme="majorBidi"/>
          <w:sz w:val="20"/>
          <w:szCs w:val="20"/>
        </w:rPr>
      </w:pPr>
      <w:r w:rsidRPr="00B51D22">
        <w:rPr>
          <w:rFonts w:asciiTheme="majorBidi" w:eastAsiaTheme="minorHAnsi" w:hAnsiTheme="majorBidi" w:cstheme="majorBidi"/>
          <w:sz w:val="20"/>
          <w:szCs w:val="20"/>
          <w:vertAlign w:val="superscript"/>
        </w:rPr>
        <w:footnoteRef/>
      </w:r>
      <w:r w:rsidRPr="00B51D22">
        <w:rPr>
          <w:rFonts w:asciiTheme="majorBidi" w:eastAsiaTheme="minorHAnsi" w:hAnsiTheme="majorBidi" w:cstheme="majorBidi"/>
          <w:sz w:val="20"/>
          <w:szCs w:val="20"/>
          <w:vertAlign w:val="superscript"/>
        </w:rPr>
        <w:t xml:space="preserve"> </w:t>
      </w:r>
      <w:r w:rsidRPr="00B51D22">
        <w:rPr>
          <w:rFonts w:asciiTheme="majorBidi" w:eastAsiaTheme="minorHAnsi" w:hAnsiTheme="majorBidi" w:cstheme="majorBidi"/>
          <w:sz w:val="20"/>
          <w:szCs w:val="20"/>
        </w:rPr>
        <w:t>Sūyāb</w:t>
      </w:r>
      <w:r>
        <w:rPr>
          <w:rFonts w:asciiTheme="majorBidi" w:eastAsiaTheme="minorHAnsi" w:hAnsiTheme="majorBidi" w:cstheme="majorBidi"/>
          <w:sz w:val="20"/>
          <w:szCs w:val="20"/>
        </w:rPr>
        <w:t xml:space="preserve"> </w:t>
      </w:r>
      <w:r w:rsidRPr="00B51D22">
        <w:rPr>
          <w:rFonts w:asciiTheme="majorBidi" w:eastAsiaTheme="minorHAnsi" w:hAnsiTheme="majorBidi" w:cstheme="majorBidi"/>
          <w:sz w:val="20"/>
          <w:szCs w:val="20"/>
        </w:rPr>
        <w:t>is identified as Ak-Beshim in modern Kyrgyzstan by Clausen (1961, pp. 1-13) and Zhang (</w:t>
      </w:r>
      <w:r w:rsidRPr="00B51D22">
        <w:rPr>
          <w:rFonts w:asciiTheme="majorBidi" w:eastAsiaTheme="minorHAnsi" w:hAnsiTheme="majorBidi" w:cstheme="majorBidi" w:hint="eastAsia"/>
          <w:sz w:val="20"/>
          <w:szCs w:val="20"/>
        </w:rPr>
        <w:t>1</w:t>
      </w:r>
      <w:r w:rsidRPr="00B51D22">
        <w:rPr>
          <w:rFonts w:asciiTheme="majorBidi" w:eastAsiaTheme="minorHAnsi" w:hAnsiTheme="majorBidi" w:cstheme="majorBidi"/>
          <w:sz w:val="20"/>
          <w:szCs w:val="20"/>
        </w:rPr>
        <w:t>979, pp. 71-83)</w:t>
      </w:r>
      <w:r>
        <w:rPr>
          <w:rFonts w:asciiTheme="majorBidi" w:eastAsiaTheme="minorHAnsi" w:hAnsiTheme="majorBidi" w:cstheme="majorBidi"/>
          <w:sz w:val="20"/>
          <w:szCs w:val="20"/>
        </w:rPr>
        <w:t>.</w:t>
      </w:r>
    </w:p>
  </w:footnote>
  <w:footnote w:id="87">
    <w:p w14:paraId="153694F4" w14:textId="05169717" w:rsidR="00902FCD" w:rsidRPr="002A322B" w:rsidRDefault="00902FCD" w:rsidP="002A322B">
      <w:pPr>
        <w:pStyle w:val="FootnoteText"/>
        <w:spacing w:line="360" w:lineRule="auto"/>
        <w:rPr>
          <w:rFonts w:asciiTheme="majorBidi" w:hAnsiTheme="majorBidi" w:cstheme="majorBidi"/>
          <w:sz w:val="20"/>
          <w:szCs w:val="20"/>
        </w:rPr>
      </w:pPr>
      <w:r w:rsidRPr="002A322B">
        <w:rPr>
          <w:rFonts w:asciiTheme="majorBidi" w:eastAsiaTheme="minorHAnsi" w:hAnsiTheme="majorBidi" w:cstheme="majorBidi"/>
          <w:sz w:val="20"/>
          <w:szCs w:val="20"/>
          <w:vertAlign w:val="superscript"/>
        </w:rPr>
        <w:footnoteRef/>
      </w:r>
      <w:r w:rsidRPr="002A322B">
        <w:rPr>
          <w:rFonts w:asciiTheme="majorBidi" w:eastAsiaTheme="minorHAnsi" w:hAnsiTheme="majorBidi" w:cstheme="majorBidi"/>
          <w:sz w:val="20"/>
          <w:szCs w:val="20"/>
          <w:vertAlign w:val="superscript"/>
        </w:rPr>
        <w:t xml:space="preserve"> </w:t>
      </w:r>
      <w:r w:rsidRPr="006E74F2">
        <w:rPr>
          <w:rFonts w:asciiTheme="majorBidi" w:hAnsiTheme="majorBidi" w:cstheme="majorBidi"/>
          <w:sz w:val="20"/>
          <w:szCs w:val="20"/>
        </w:rPr>
        <w:t>Liu, 1995, volume 194b, pp. 5179,</w:t>
      </w:r>
      <w:r>
        <w:rPr>
          <w:rFonts w:asciiTheme="majorBidi" w:hAnsiTheme="majorBidi" w:cstheme="majorBidi"/>
          <w:sz w:val="20"/>
          <w:szCs w:val="20"/>
        </w:rPr>
        <w:t xml:space="preserve"> 5182,</w:t>
      </w:r>
      <w:r w:rsidRPr="006E74F2">
        <w:rPr>
          <w:rFonts w:asciiTheme="majorBidi" w:hAnsiTheme="majorBidi" w:cstheme="majorBidi"/>
          <w:sz w:val="20"/>
          <w:szCs w:val="20"/>
        </w:rPr>
        <w:t xml:space="preserve"> 5184; Ouyang &amp;</w:t>
      </w:r>
      <w:r w:rsidRPr="00610C45">
        <w:rPr>
          <w:rFonts w:asciiTheme="majorBidi" w:hAnsiTheme="majorBidi" w:cstheme="majorBidi"/>
          <w:sz w:val="20"/>
          <w:szCs w:val="20"/>
        </w:rPr>
        <w:t xml:space="preserve"> Song, 1995, volume 215b, p</w:t>
      </w:r>
      <w:r w:rsidRPr="00610C45">
        <w:rPr>
          <w:rFonts w:asciiTheme="majorBidi" w:hAnsiTheme="majorBidi" w:cstheme="majorBidi" w:hint="eastAsia"/>
          <w:sz w:val="20"/>
          <w:szCs w:val="20"/>
        </w:rPr>
        <w:t>p</w:t>
      </w:r>
      <w:r w:rsidRPr="00610C45">
        <w:rPr>
          <w:rFonts w:asciiTheme="majorBidi" w:hAnsiTheme="majorBidi" w:cstheme="majorBidi"/>
          <w:sz w:val="20"/>
          <w:szCs w:val="20"/>
        </w:rPr>
        <w:t>. 6055-6</w:t>
      </w:r>
      <w:r>
        <w:rPr>
          <w:rFonts w:asciiTheme="majorBidi" w:hAnsiTheme="majorBidi" w:cstheme="majorBidi"/>
          <w:sz w:val="20"/>
          <w:szCs w:val="20"/>
        </w:rPr>
        <w:t>, 6058-60</w:t>
      </w:r>
      <w:r w:rsidRPr="00610C45">
        <w:rPr>
          <w:rFonts w:asciiTheme="majorBidi" w:hAnsiTheme="majorBidi" w:cstheme="majorBidi"/>
          <w:sz w:val="20"/>
          <w:szCs w:val="20"/>
        </w:rPr>
        <w:t>.</w:t>
      </w:r>
    </w:p>
  </w:footnote>
  <w:footnote w:id="88">
    <w:p w14:paraId="3EC443F1" w14:textId="7C4853A1" w:rsidR="00902FCD" w:rsidRPr="009222EA" w:rsidRDefault="00902FCD" w:rsidP="009222EA">
      <w:pPr>
        <w:pStyle w:val="FootnoteText"/>
        <w:spacing w:line="360" w:lineRule="auto"/>
        <w:rPr>
          <w:rFonts w:asciiTheme="majorBidi" w:eastAsiaTheme="minorHAnsi" w:hAnsiTheme="majorBidi" w:cstheme="majorBidi"/>
          <w:sz w:val="20"/>
          <w:szCs w:val="20"/>
        </w:rPr>
      </w:pPr>
      <w:r w:rsidRPr="00011012">
        <w:rPr>
          <w:rFonts w:asciiTheme="majorBidi" w:eastAsiaTheme="minorHAnsi" w:hAnsiTheme="majorBidi" w:cstheme="majorBidi"/>
          <w:sz w:val="20"/>
          <w:szCs w:val="20"/>
          <w:vertAlign w:val="superscript"/>
        </w:rPr>
        <w:footnoteRef/>
      </w:r>
      <w:r w:rsidRPr="00011012">
        <w:rPr>
          <w:rFonts w:asciiTheme="majorBidi" w:eastAsiaTheme="minorHAnsi" w:hAnsiTheme="majorBidi" w:cstheme="majorBidi"/>
          <w:sz w:val="20"/>
          <w:szCs w:val="20"/>
        </w:rPr>
        <w:t xml:space="preserve"> Liu, 1995, volume 194b, p. 5182; Ouyang &amp; Song, 1995, volume 215b, pp. 6059-60. The Khāqān</w:t>
      </w:r>
      <w:r>
        <w:rPr>
          <w:rFonts w:asciiTheme="majorBidi" w:eastAsiaTheme="minorHAnsi" w:hAnsiTheme="majorBidi" w:cstheme="majorBidi"/>
          <w:sz w:val="20"/>
          <w:szCs w:val="20"/>
        </w:rPr>
        <w:t xml:space="preserve"> was greedy, and withdrew the booty from the tribes. One of the tribal chiefs took the booty by force and the Khāqān executed him. As a result, a general of the executed tribal chief attacked the Khāqān. The chaos led to his final flight to </w:t>
      </w:r>
      <w:r>
        <w:rPr>
          <w:rFonts w:asciiTheme="majorBidi" w:hAnsiTheme="majorBidi" w:cstheme="majorBidi"/>
          <w:sz w:val="20"/>
          <w:szCs w:val="20"/>
        </w:rPr>
        <w:t>Ṭukhāristān.</w:t>
      </w:r>
      <w:r>
        <w:rPr>
          <w:rFonts w:asciiTheme="majorBidi" w:eastAsiaTheme="minorHAnsi" w:hAnsiTheme="majorBidi" w:cstheme="majorBidi"/>
          <w:sz w:val="20"/>
          <w:szCs w:val="20"/>
        </w:rPr>
        <w:t xml:space="preserve"> </w:t>
      </w:r>
    </w:p>
  </w:footnote>
  <w:footnote w:id="89">
    <w:p w14:paraId="43D307F4" w14:textId="0742B8F0" w:rsidR="00902FCD" w:rsidRPr="00615738" w:rsidRDefault="00902FCD" w:rsidP="007F1B1B">
      <w:pPr>
        <w:pStyle w:val="FootnoteText"/>
        <w:spacing w:line="360" w:lineRule="auto"/>
        <w:rPr>
          <w:rFonts w:asciiTheme="majorBidi" w:hAnsiTheme="majorBidi" w:cstheme="majorBidi"/>
          <w:sz w:val="20"/>
          <w:szCs w:val="20"/>
        </w:rPr>
      </w:pPr>
      <w:r w:rsidRPr="00615738">
        <w:rPr>
          <w:rStyle w:val="FootnoteReference"/>
          <w:rFonts w:asciiTheme="majorBidi" w:hAnsiTheme="majorBidi" w:cstheme="majorBidi"/>
          <w:sz w:val="20"/>
          <w:szCs w:val="20"/>
        </w:rPr>
        <w:footnoteRef/>
      </w:r>
      <w:r w:rsidRPr="00615738">
        <w:rPr>
          <w:rFonts w:asciiTheme="majorBidi" w:hAnsiTheme="majorBidi" w:cstheme="majorBidi"/>
          <w:sz w:val="20"/>
          <w:szCs w:val="20"/>
        </w:rPr>
        <w:t xml:space="preserve"> </w:t>
      </w:r>
      <w:r w:rsidRPr="00615738">
        <w:rPr>
          <w:rFonts w:asciiTheme="majorBidi" w:eastAsiaTheme="minorHAnsi" w:hAnsiTheme="majorBidi" w:cstheme="majorBidi"/>
          <w:sz w:val="20"/>
          <w:szCs w:val="20"/>
        </w:rPr>
        <w:t>Liu, 1995, volume 194b, p. 5184; Ouyang &amp; Song, 1995, volume 215b, p. 6062.</w:t>
      </w:r>
    </w:p>
  </w:footnote>
  <w:footnote w:id="90">
    <w:p w14:paraId="7D87687E" w14:textId="2EE10FE0" w:rsidR="00902FCD" w:rsidRPr="007F1B1B" w:rsidRDefault="00902FCD" w:rsidP="007F1B1B">
      <w:pPr>
        <w:pStyle w:val="FootnoteText"/>
        <w:spacing w:line="360" w:lineRule="auto"/>
        <w:rPr>
          <w:rFonts w:asciiTheme="majorBidi" w:hAnsiTheme="majorBidi" w:cstheme="majorBidi"/>
          <w:sz w:val="20"/>
          <w:szCs w:val="20"/>
        </w:rPr>
      </w:pPr>
      <w:r w:rsidRPr="007F1B1B">
        <w:rPr>
          <w:rStyle w:val="FootnoteReference"/>
          <w:rFonts w:asciiTheme="majorBidi" w:hAnsiTheme="majorBidi" w:cstheme="majorBidi"/>
          <w:sz w:val="20"/>
          <w:szCs w:val="20"/>
        </w:rPr>
        <w:footnoteRef/>
      </w:r>
      <w:r w:rsidRPr="007F1B1B">
        <w:rPr>
          <w:rFonts w:asciiTheme="majorBidi" w:hAnsiTheme="majorBidi" w:cstheme="majorBidi"/>
          <w:sz w:val="20"/>
          <w:szCs w:val="20"/>
        </w:rPr>
        <w:t xml:space="preserve"> The Ṭukhārā Yabghū dynasty was established when Tong Yabghū Khāqān (618-630 CE) conquered the region in the 620s and put his oldest son Tardu Shad (d. 630 CE) on its throne. Actually, this is not the first time that the Western Turks attempted to establish more efficient control in Ṭukhāristān. A Turkic prince was set up over the Hephthalites in the region probably during the last two decades of the 6th century. Yet his brief rule was terminated in the 1st decade of the 7th century (Wei, 1996, volume 83, p. 1854; tr., Yu, 2015, p. 236). As for the first Ṭukhārā Yabghū Tardu Shad, the sick ruler was poisoned by his elder son, who succeeded him as the Ishbara Yabghū in 630 CE. </w:t>
      </w:r>
      <w:r w:rsidRPr="007F1B1B">
        <w:rPr>
          <w:rFonts w:asciiTheme="majorBidi" w:hAnsiTheme="majorBidi" w:cstheme="majorBidi"/>
          <w:sz w:val="20"/>
          <w:szCs w:val="20"/>
          <w:lang w:bidi="ar-JO"/>
        </w:rPr>
        <w:t xml:space="preserve">The transition of power took place when Xuanzang was in the Yabghū's court. Consequently, it is reported in his biography (Huili &amp; Yancong, </w:t>
      </w:r>
      <w:r w:rsidRPr="007F1B1B">
        <w:rPr>
          <w:rFonts w:asciiTheme="majorBidi" w:hAnsiTheme="majorBidi" w:cstheme="majorBidi"/>
          <w:sz w:val="20"/>
          <w:szCs w:val="20"/>
        </w:rPr>
        <w:t>2000, volume 3, p. 31; tr., Appendix III</w:t>
      </w:r>
      <w:r w:rsidRPr="007F1B1B">
        <w:rPr>
          <w:rFonts w:asciiTheme="majorBidi" w:hAnsiTheme="majorBidi" w:cstheme="majorBidi"/>
          <w:sz w:val="20"/>
          <w:szCs w:val="20"/>
          <w:lang w:bidi="ar-JO"/>
        </w:rPr>
        <w:t>).</w:t>
      </w:r>
    </w:p>
  </w:footnote>
  <w:footnote w:id="91">
    <w:p w14:paraId="47DA34C3" w14:textId="77777777" w:rsidR="00902FCD" w:rsidRPr="004A715B" w:rsidRDefault="00902FCD" w:rsidP="00EA4531">
      <w:pPr>
        <w:pStyle w:val="FootnoteText"/>
        <w:spacing w:line="360" w:lineRule="auto"/>
        <w:rPr>
          <w:rFonts w:asciiTheme="majorBidi" w:eastAsiaTheme="minorHAnsi" w:hAnsiTheme="majorBidi" w:cstheme="majorBidi"/>
          <w:sz w:val="20"/>
          <w:szCs w:val="20"/>
        </w:rPr>
      </w:pPr>
      <w:r w:rsidRPr="004A715B">
        <w:rPr>
          <w:rFonts w:asciiTheme="majorBidi" w:eastAsiaTheme="minorHAnsi" w:hAnsiTheme="majorBidi" w:cstheme="majorBidi"/>
          <w:sz w:val="20"/>
          <w:szCs w:val="20"/>
          <w:vertAlign w:val="superscript"/>
        </w:rPr>
        <w:footnoteRef/>
      </w:r>
      <w:r w:rsidRPr="004A715B">
        <w:rPr>
          <w:rFonts w:asciiTheme="majorBidi" w:eastAsiaTheme="minorHAnsi" w:hAnsiTheme="majorBidi" w:cstheme="majorBidi"/>
          <w:sz w:val="20"/>
          <w:szCs w:val="20"/>
        </w:rPr>
        <w:t xml:space="preserve"> This is shown both by the Tang’s organization of administration</w:t>
      </w:r>
      <w:r>
        <w:rPr>
          <w:rFonts w:asciiTheme="majorBidi" w:eastAsiaTheme="minorHAnsi" w:hAnsiTheme="majorBidi" w:cstheme="majorBidi"/>
          <w:sz w:val="20"/>
          <w:szCs w:val="20"/>
        </w:rPr>
        <w:t xml:space="preserve"> in the early 660s</w:t>
      </w:r>
      <w:r w:rsidRPr="004A715B">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w:t>
      </w:r>
      <w:r w:rsidRPr="00B1357F">
        <w:rPr>
          <w:rFonts w:asciiTheme="majorBidi" w:hAnsiTheme="majorBidi" w:cstheme="majorBidi"/>
          <w:sz w:val="20"/>
          <w:szCs w:val="20"/>
        </w:rPr>
        <w:t xml:space="preserve">Ouyang &amp; Song, 1995, volume 43b, </w:t>
      </w:r>
      <w:r>
        <w:rPr>
          <w:rFonts w:asciiTheme="majorBidi" w:hAnsiTheme="majorBidi" w:cstheme="majorBidi"/>
          <w:sz w:val="20"/>
          <w:szCs w:val="20"/>
        </w:rPr>
        <w:t>p</w:t>
      </w:r>
      <w:r w:rsidRPr="00B1357F">
        <w:rPr>
          <w:rFonts w:asciiTheme="majorBidi" w:hAnsiTheme="majorBidi" w:cstheme="majorBidi"/>
          <w:sz w:val="20"/>
          <w:szCs w:val="20"/>
        </w:rPr>
        <w:t>p. 113</w:t>
      </w:r>
      <w:r>
        <w:rPr>
          <w:rFonts w:asciiTheme="majorBidi" w:hAnsiTheme="majorBidi" w:cstheme="majorBidi"/>
          <w:sz w:val="20"/>
          <w:szCs w:val="20"/>
        </w:rPr>
        <w:t>5-</w:t>
      </w:r>
      <w:r w:rsidRPr="00B1357F">
        <w:rPr>
          <w:rFonts w:asciiTheme="majorBidi" w:hAnsiTheme="majorBidi" w:cstheme="majorBidi"/>
          <w:sz w:val="20"/>
          <w:szCs w:val="20"/>
        </w:rPr>
        <w:t>6</w:t>
      </w:r>
      <w:r>
        <w:rPr>
          <w:rFonts w:asciiTheme="majorBidi" w:eastAsiaTheme="minorHAnsi" w:hAnsiTheme="majorBidi" w:cstheme="majorBidi"/>
          <w:sz w:val="20"/>
          <w:szCs w:val="20"/>
        </w:rPr>
        <w:t xml:space="preserve">) </w:t>
      </w:r>
      <w:r w:rsidRPr="004A715B">
        <w:rPr>
          <w:rFonts w:asciiTheme="majorBidi" w:eastAsiaTheme="minorHAnsi" w:hAnsiTheme="majorBidi" w:cstheme="majorBidi"/>
          <w:sz w:val="20"/>
          <w:szCs w:val="20"/>
        </w:rPr>
        <w:t>and Puluo’s list of the Yabghū’s vassals</w:t>
      </w:r>
      <w:r>
        <w:rPr>
          <w:rFonts w:asciiTheme="majorBidi" w:eastAsiaTheme="minorHAnsi" w:hAnsiTheme="majorBidi" w:cstheme="majorBidi"/>
          <w:sz w:val="20"/>
          <w:szCs w:val="20"/>
        </w:rPr>
        <w:t xml:space="preserve"> in the late 710s (Wang &amp; Yang, 1994, </w:t>
      </w:r>
      <w:r w:rsidRPr="004A715B">
        <w:rPr>
          <w:rFonts w:asciiTheme="majorBidi" w:eastAsiaTheme="minorHAnsi" w:hAnsiTheme="majorBidi" w:cstheme="majorBidi"/>
          <w:sz w:val="20"/>
          <w:szCs w:val="20"/>
        </w:rPr>
        <w:t>volume 999, pp. 11721-2; tr., Yu, 2015, p. 250, see also Appendix IV</w:t>
      </w:r>
      <w:r>
        <w:rPr>
          <w:rFonts w:asciiTheme="majorBidi" w:eastAsiaTheme="minorHAnsi" w:hAnsiTheme="majorBidi" w:cstheme="majorBidi"/>
          <w:sz w:val="20"/>
          <w:szCs w:val="20"/>
        </w:rPr>
        <w:t>)</w:t>
      </w:r>
      <w:r w:rsidRPr="004A715B">
        <w:rPr>
          <w:rFonts w:asciiTheme="majorBidi" w:eastAsiaTheme="minorHAnsi" w:hAnsiTheme="majorBidi" w:cstheme="majorBidi"/>
          <w:sz w:val="20"/>
          <w:szCs w:val="20"/>
        </w:rPr>
        <w:t xml:space="preserve">, which include not only the principalities in </w:t>
      </w:r>
      <w:r w:rsidRPr="00F87E31">
        <w:rPr>
          <w:rFonts w:asciiTheme="majorBidi" w:eastAsiaTheme="minorHAnsi" w:hAnsiTheme="majorBidi" w:cstheme="majorBidi"/>
          <w:sz w:val="20"/>
          <w:szCs w:val="20"/>
        </w:rPr>
        <w:t>Ṭukhāristān</w:t>
      </w:r>
      <w:r>
        <w:rPr>
          <w:rFonts w:asciiTheme="majorBidi" w:eastAsiaTheme="minorHAnsi" w:hAnsiTheme="majorBidi" w:cstheme="majorBidi"/>
          <w:sz w:val="20"/>
          <w:szCs w:val="20"/>
        </w:rPr>
        <w:t xml:space="preserve">, but also those in Sogdiana and to the south of the Hindukush. As for numismatics, the inscription </w:t>
      </w:r>
      <w:r w:rsidRPr="00CF36E3">
        <w:rPr>
          <w:rFonts w:asciiTheme="majorBidi" w:eastAsiaTheme="minorHAnsi" w:hAnsiTheme="majorBidi" w:cstheme="majorBidi"/>
          <w:i/>
          <w:iCs/>
          <w:sz w:val="20"/>
          <w:szCs w:val="20"/>
        </w:rPr>
        <w:t>zabul</w:t>
      </w:r>
      <w:r>
        <w:rPr>
          <w:rFonts w:asciiTheme="majorBidi" w:eastAsiaTheme="minorHAnsi" w:hAnsiTheme="majorBidi" w:cstheme="majorBidi"/>
          <w:sz w:val="20"/>
          <w:szCs w:val="20"/>
        </w:rPr>
        <w:t xml:space="preserve"> that appears on Types 265, 265A and 266 suggests that these coins of the Yabghū were minted in Zābulistān (Vondrovec, 2014, pp. 527-8, 544). In other words,</w:t>
      </w:r>
      <w:r w:rsidRPr="009B1C49">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Zābulistān was the Yabghū's vassal.    </w:t>
      </w:r>
    </w:p>
  </w:footnote>
  <w:footnote w:id="92">
    <w:p w14:paraId="352CA419" w14:textId="77777777" w:rsidR="00902FCD" w:rsidRPr="008D5660" w:rsidRDefault="00902FCD" w:rsidP="00B84DAC">
      <w:pPr>
        <w:pStyle w:val="FootnoteText"/>
        <w:spacing w:line="360" w:lineRule="auto"/>
        <w:rPr>
          <w:rFonts w:asciiTheme="majorBidi" w:eastAsiaTheme="minorHAnsi" w:hAnsiTheme="majorBidi" w:cstheme="majorBidi"/>
          <w:sz w:val="20"/>
          <w:szCs w:val="20"/>
        </w:rPr>
      </w:pPr>
      <w:r w:rsidRPr="008D5660">
        <w:rPr>
          <w:rFonts w:asciiTheme="majorBidi" w:eastAsiaTheme="minorHAnsi" w:hAnsiTheme="majorBidi" w:cstheme="majorBidi"/>
          <w:sz w:val="20"/>
          <w:szCs w:val="20"/>
          <w:vertAlign w:val="subscript"/>
        </w:rPr>
        <w:footnoteRef/>
      </w:r>
      <w:r w:rsidRPr="008D5660">
        <w:rPr>
          <w:rFonts w:asciiTheme="majorBidi" w:eastAsiaTheme="minorHAnsi" w:hAnsiTheme="majorBidi" w:cstheme="majorBidi"/>
          <w:sz w:val="20"/>
          <w:szCs w:val="20"/>
          <w:vertAlign w:val="subscript"/>
        </w:rPr>
        <w:t xml:space="preserve"> </w:t>
      </w:r>
      <w:r w:rsidRPr="008D5660">
        <w:rPr>
          <w:rFonts w:asciiTheme="majorBidi" w:eastAsiaTheme="minorHAnsi" w:hAnsiTheme="majorBidi" w:cstheme="majorBidi"/>
          <w:sz w:val="20"/>
          <w:szCs w:val="20"/>
        </w:rPr>
        <w:t>This is more convincing if al-Ṭabarī’s report that Yazdegerd’s family had stayed in Farghānah with the Western Turks is true (</w:t>
      </w:r>
      <w:r>
        <w:rPr>
          <w:rFonts w:asciiTheme="majorBidi" w:eastAsiaTheme="minorHAnsi" w:hAnsiTheme="majorBidi" w:cstheme="majorBidi"/>
          <w:sz w:val="20"/>
          <w:szCs w:val="20"/>
        </w:rPr>
        <w:t xml:space="preserve">2001, volume 2, p. 549; </w:t>
      </w:r>
      <w:r>
        <w:rPr>
          <w:rFonts w:asciiTheme="majorBidi" w:hAnsiTheme="majorBidi" w:cstheme="majorBidi"/>
          <w:sz w:val="20"/>
          <w:szCs w:val="20"/>
        </w:rPr>
        <w:t>tr.</w:t>
      </w:r>
      <w:r>
        <w:rPr>
          <w:rFonts w:asciiTheme="majorBidi" w:eastAsiaTheme="minorHAnsi" w:hAnsiTheme="majorBidi" w:cstheme="majorBidi"/>
          <w:sz w:val="20"/>
          <w:szCs w:val="20"/>
        </w:rPr>
        <w:t xml:space="preserve">, 1994, volume XIV, p. 62: </w:t>
      </w:r>
      <w:r>
        <w:rPr>
          <w:rFonts w:asciiTheme="majorBidi" w:eastAsiaTheme="minorHAnsi" w:hAnsiTheme="majorBidi" w:cstheme="majorBidi" w:hint="cs"/>
          <w:sz w:val="20"/>
          <w:szCs w:val="20"/>
          <w:rtl/>
          <w:lang w:bidi="ar-JO"/>
        </w:rPr>
        <w:t>واقام يزدجرد وال كسرى بفرغانة معهم عهد من خاقان</w:t>
      </w:r>
      <w:r w:rsidRPr="008D5660">
        <w:rPr>
          <w:rFonts w:asciiTheme="majorBidi" w:eastAsiaTheme="minorHAnsi" w:hAnsiTheme="majorBidi" w:cstheme="majorBidi"/>
          <w:sz w:val="20"/>
          <w:szCs w:val="20"/>
        </w:rPr>
        <w:t>).</w:t>
      </w:r>
    </w:p>
  </w:footnote>
  <w:footnote w:id="93">
    <w:p w14:paraId="602707D2" w14:textId="7C4D420D" w:rsidR="00902FCD" w:rsidRPr="00235A14" w:rsidRDefault="00902FCD" w:rsidP="007814DA">
      <w:pPr>
        <w:pStyle w:val="FootnoteText"/>
        <w:spacing w:line="360" w:lineRule="auto"/>
        <w:rPr>
          <w:rFonts w:asciiTheme="majorBidi" w:eastAsiaTheme="minorHAnsi" w:hAnsiTheme="majorBidi" w:cstheme="majorBidi"/>
          <w:sz w:val="20"/>
          <w:szCs w:val="20"/>
        </w:rPr>
      </w:pPr>
      <w:r w:rsidRPr="00235A14">
        <w:rPr>
          <w:rStyle w:val="FootnoteReference"/>
          <w:rFonts w:asciiTheme="majorBidi" w:hAnsiTheme="majorBidi" w:cstheme="majorBidi"/>
          <w:sz w:val="20"/>
          <w:szCs w:val="20"/>
        </w:rPr>
        <w:footnoteRef/>
      </w:r>
      <w:r w:rsidRPr="00235A14">
        <w:rPr>
          <w:rFonts w:asciiTheme="majorBidi" w:hAnsiTheme="majorBidi" w:cstheme="majorBidi"/>
          <w:sz w:val="20"/>
          <w:szCs w:val="20"/>
        </w:rPr>
        <w:t xml:space="preserve"> If </w:t>
      </w:r>
      <w:r>
        <w:rPr>
          <w:rFonts w:asciiTheme="majorBidi" w:hAnsiTheme="majorBidi" w:cstheme="majorBidi"/>
          <w:sz w:val="20"/>
          <w:szCs w:val="20"/>
        </w:rPr>
        <w:t>W</w:t>
      </w:r>
      <w:r w:rsidRPr="00235A14">
        <w:rPr>
          <w:rFonts w:asciiTheme="majorBidi" w:hAnsiTheme="majorBidi" w:cstheme="majorBidi"/>
          <w:sz w:val="20"/>
          <w:szCs w:val="20"/>
        </w:rPr>
        <w:t xml:space="preserve">ahrām’s adventure is legendary, </w:t>
      </w:r>
      <w:r>
        <w:rPr>
          <w:rFonts w:asciiTheme="majorBidi" w:hAnsiTheme="majorBidi" w:cstheme="majorBidi"/>
          <w:sz w:val="20"/>
          <w:szCs w:val="20"/>
        </w:rPr>
        <w:t>al-</w:t>
      </w:r>
      <w:r w:rsidRPr="00235A14">
        <w:rPr>
          <w:rFonts w:asciiTheme="majorBidi" w:hAnsiTheme="majorBidi" w:cstheme="majorBidi"/>
          <w:sz w:val="20"/>
          <w:szCs w:val="20"/>
        </w:rPr>
        <w:t xml:space="preserve">Dīnawarī’s historical records about the Sasanian princess Būmān, who came from Kabul to Nīshāpūr to participate an insurrection against the Arabs during Ali’s caliphate (al-Dīnawarī, </w:t>
      </w:r>
      <w:r w:rsidRPr="00235A14">
        <w:rPr>
          <w:rFonts w:asciiTheme="majorBidi" w:eastAsiaTheme="minorHAnsi" w:hAnsiTheme="majorBidi" w:cstheme="majorBidi"/>
          <w:sz w:val="20"/>
          <w:szCs w:val="20"/>
        </w:rPr>
        <w:t>1888, p. 163</w:t>
      </w:r>
      <w:r w:rsidRPr="00235A14">
        <w:rPr>
          <w:rFonts w:asciiTheme="majorBidi" w:hAnsiTheme="majorBidi" w:cstheme="majorBidi"/>
          <w:sz w:val="20"/>
          <w:szCs w:val="20"/>
        </w:rPr>
        <w:t>)</w:t>
      </w:r>
      <w:r>
        <w:rPr>
          <w:rFonts w:asciiTheme="majorBidi" w:hAnsiTheme="majorBidi" w:cstheme="majorBidi"/>
          <w:sz w:val="20"/>
          <w:szCs w:val="20"/>
        </w:rPr>
        <w:t>, show that the Sasanian fugitives did flee to the regions to the south of the Hindukush</w:t>
      </w:r>
      <w:r w:rsidRPr="00235A14">
        <w:rPr>
          <w:rFonts w:asciiTheme="majorBidi" w:eastAsiaTheme="minorHAnsi" w:hAnsiTheme="majorBidi" w:cstheme="majorBidi"/>
          <w:sz w:val="20"/>
          <w:szCs w:val="20"/>
        </w:rPr>
        <w:t xml:space="preserve">. Haug (2019, p. 93) translates </w:t>
      </w:r>
      <w:r w:rsidRPr="00235A14">
        <w:rPr>
          <w:rFonts w:asciiTheme="majorBidi" w:eastAsiaTheme="minorHAnsi" w:hAnsiTheme="majorBidi" w:cstheme="majorBidi"/>
          <w:i/>
          <w:iCs/>
          <w:sz w:val="20"/>
          <w:szCs w:val="20"/>
        </w:rPr>
        <w:t>bint likisra</w:t>
      </w:r>
      <w:r w:rsidRPr="00235A14">
        <w:rPr>
          <w:rFonts w:asciiTheme="majorBidi" w:eastAsiaTheme="minorHAnsi" w:hAnsiTheme="majorBidi" w:cstheme="majorBidi"/>
          <w:sz w:val="20"/>
          <w:szCs w:val="20"/>
        </w:rPr>
        <w:t xml:space="preserve"> as a daughter of Khursow II. However, a better translation is a daughter of an (unidentified) Sasanian monarch, since </w:t>
      </w:r>
      <w:r w:rsidRPr="00235A14">
        <w:rPr>
          <w:rFonts w:asciiTheme="majorBidi" w:eastAsiaTheme="minorHAnsi" w:hAnsiTheme="majorBidi" w:cstheme="majorBidi"/>
          <w:i/>
          <w:iCs/>
          <w:sz w:val="20"/>
          <w:szCs w:val="20"/>
        </w:rPr>
        <w:t>kisra</w:t>
      </w:r>
      <w:r w:rsidRPr="00235A14">
        <w:rPr>
          <w:rFonts w:asciiTheme="majorBidi" w:eastAsiaTheme="minorHAnsi" w:hAnsiTheme="majorBidi" w:cstheme="majorBidi"/>
          <w:sz w:val="20"/>
          <w:szCs w:val="20"/>
        </w:rPr>
        <w:t xml:space="preserve"> is a term for any Sasanian monarch.</w:t>
      </w:r>
    </w:p>
  </w:footnote>
  <w:footnote w:id="94">
    <w:p w14:paraId="191DE6F9" w14:textId="77777777" w:rsidR="00902FCD" w:rsidRPr="004C64A0" w:rsidRDefault="00902FCD" w:rsidP="0010221E">
      <w:pPr>
        <w:pStyle w:val="FootnoteText"/>
        <w:spacing w:line="360" w:lineRule="auto"/>
        <w:rPr>
          <w:rFonts w:asciiTheme="majorBidi" w:hAnsiTheme="majorBidi" w:cstheme="majorBidi"/>
          <w:sz w:val="20"/>
          <w:szCs w:val="20"/>
        </w:rPr>
      </w:pPr>
      <w:r w:rsidRPr="004C64A0">
        <w:rPr>
          <w:rFonts w:asciiTheme="majorBidi" w:hAnsiTheme="majorBidi" w:cstheme="majorBidi"/>
          <w:sz w:val="20"/>
          <w:szCs w:val="20"/>
          <w:vertAlign w:val="superscript"/>
        </w:rPr>
        <w:footnoteRef/>
      </w:r>
      <w:r w:rsidRPr="004C64A0">
        <w:rPr>
          <w:rFonts w:asciiTheme="majorBidi" w:hAnsiTheme="majorBidi" w:cstheme="majorBidi"/>
          <w:sz w:val="20"/>
          <w:szCs w:val="20"/>
        </w:rPr>
        <w:t xml:space="preserve"> </w:t>
      </w:r>
      <w:r>
        <w:rPr>
          <w:rFonts w:asciiTheme="majorBidi" w:hAnsiTheme="majorBidi" w:cstheme="majorBidi"/>
          <w:sz w:val="20"/>
          <w:szCs w:val="20"/>
        </w:rPr>
        <w:t>S</w:t>
      </w:r>
      <w:r>
        <w:rPr>
          <w:rFonts w:asciiTheme="majorBidi" w:hAnsiTheme="majorBidi" w:cstheme="majorBidi" w:hint="eastAsia"/>
          <w:sz w:val="20"/>
          <w:szCs w:val="20"/>
        </w:rPr>
        <w:t>ee</w:t>
      </w:r>
      <w:r>
        <w:rPr>
          <w:rFonts w:asciiTheme="majorBidi" w:hAnsiTheme="majorBidi" w:cstheme="majorBidi"/>
          <w:sz w:val="20"/>
          <w:szCs w:val="20"/>
        </w:rPr>
        <w:t xml:space="preserve"> Daryaee, 2009, p. 38; Agostini and Stark, 2016, pp. 26-30; Rezakhani, 2017, p. 184</w:t>
      </w:r>
      <w:r w:rsidRPr="004C64A0">
        <w:rPr>
          <w:rFonts w:asciiTheme="majorBidi" w:hAnsiTheme="majorBidi" w:cstheme="majorBidi"/>
          <w:sz w:val="20"/>
          <w:szCs w:val="20"/>
        </w:rPr>
        <w:t>.</w:t>
      </w:r>
    </w:p>
  </w:footnote>
  <w:footnote w:id="95">
    <w:p w14:paraId="2B328C9D" w14:textId="50264A13" w:rsidR="00902FCD" w:rsidRPr="009725D1" w:rsidRDefault="00902FCD" w:rsidP="0010221E">
      <w:pPr>
        <w:pStyle w:val="FootnoteText"/>
        <w:spacing w:line="360" w:lineRule="auto"/>
        <w:rPr>
          <w:rFonts w:asciiTheme="majorBidi" w:hAnsiTheme="majorBidi" w:cstheme="majorBidi"/>
          <w:sz w:val="20"/>
          <w:szCs w:val="20"/>
        </w:rPr>
      </w:pPr>
      <w:r w:rsidRPr="009725D1">
        <w:rPr>
          <w:rFonts w:asciiTheme="majorBidi" w:hAnsiTheme="majorBidi" w:cstheme="majorBidi"/>
          <w:sz w:val="20"/>
          <w:szCs w:val="20"/>
          <w:vertAlign w:val="superscript"/>
        </w:rPr>
        <w:footnoteRef/>
      </w:r>
      <w:r w:rsidRPr="009725D1">
        <w:rPr>
          <w:rFonts w:asciiTheme="majorBidi" w:hAnsiTheme="majorBidi" w:cstheme="majorBidi"/>
          <w:sz w:val="20"/>
          <w:szCs w:val="20"/>
        </w:rPr>
        <w:t xml:space="preserve"> As for his attempts to restore the dynasty</w:t>
      </w:r>
      <w:r>
        <w:rPr>
          <w:rFonts w:asciiTheme="majorBidi" w:hAnsiTheme="majorBidi" w:cstheme="majorBidi"/>
          <w:sz w:val="20"/>
          <w:szCs w:val="20"/>
        </w:rPr>
        <w:t>,</w:t>
      </w:r>
      <w:r w:rsidRPr="009725D1">
        <w:rPr>
          <w:rFonts w:asciiTheme="majorBidi" w:hAnsiTheme="majorBidi" w:cstheme="majorBidi"/>
          <w:sz w:val="20"/>
          <w:szCs w:val="20"/>
        </w:rPr>
        <w:t xml:space="preserve"> if he made any, no historical sources shed light on them.</w:t>
      </w:r>
      <w:r>
        <w:rPr>
          <w:rFonts w:asciiTheme="majorBidi" w:hAnsiTheme="majorBidi" w:cstheme="majorBidi"/>
          <w:sz w:val="20"/>
          <w:szCs w:val="20"/>
        </w:rPr>
        <w:t xml:space="preserve"> Since Forte’s identifying A-luo-han</w:t>
      </w:r>
      <w:r w:rsidRPr="00586B3C">
        <w:rPr>
          <w:rFonts w:asciiTheme="majorBidi" w:hAnsiTheme="majorBidi" w:cstheme="majorBidi"/>
          <w:sz w:val="20"/>
          <w:szCs w:val="20"/>
        </w:rPr>
        <w:t xml:space="preserve"> </w:t>
      </w:r>
      <w:r>
        <w:rPr>
          <w:rFonts w:asciiTheme="majorBidi" w:hAnsiTheme="majorBidi" w:cstheme="majorBidi"/>
          <w:sz w:val="20"/>
          <w:szCs w:val="20"/>
        </w:rPr>
        <w:t xml:space="preserve">as Wahrām, </w:t>
      </w:r>
      <w:r w:rsidRPr="004C64A0">
        <w:rPr>
          <w:rFonts w:asciiTheme="majorBidi" w:hAnsiTheme="majorBidi" w:cstheme="majorBidi"/>
          <w:sz w:val="20"/>
          <w:szCs w:val="20"/>
        </w:rPr>
        <w:t xml:space="preserve">scholars </w:t>
      </w:r>
      <w:r>
        <w:rPr>
          <w:rFonts w:asciiTheme="majorBidi" w:hAnsiTheme="majorBidi" w:cstheme="majorBidi"/>
          <w:sz w:val="20"/>
          <w:szCs w:val="20"/>
        </w:rPr>
        <w:t>such as Daryaee (2009, p. 38), Pashazanous (2014, pp. 148-9), and Rezakhani (2017, p. 184) follow the identification, which</w:t>
      </w:r>
      <w:r w:rsidRPr="004C64A0">
        <w:rPr>
          <w:rFonts w:asciiTheme="majorBidi" w:hAnsiTheme="majorBidi" w:cstheme="majorBidi"/>
          <w:sz w:val="20"/>
          <w:szCs w:val="20"/>
        </w:rPr>
        <w:t xml:space="preserve"> </w:t>
      </w:r>
      <w:r>
        <w:rPr>
          <w:rFonts w:asciiTheme="majorBidi" w:hAnsiTheme="majorBidi" w:cstheme="majorBidi"/>
          <w:sz w:val="20"/>
          <w:szCs w:val="20"/>
        </w:rPr>
        <w:t>Rong suspects (2015, pp. 69-70). T</w:t>
      </w:r>
      <w:r w:rsidRPr="004C64A0">
        <w:rPr>
          <w:rFonts w:asciiTheme="majorBidi" w:hAnsiTheme="majorBidi" w:cstheme="majorBidi"/>
          <w:sz w:val="20"/>
          <w:szCs w:val="20"/>
        </w:rPr>
        <w:t xml:space="preserve">he identification </w:t>
      </w:r>
      <w:r>
        <w:rPr>
          <w:rFonts w:asciiTheme="majorBidi" w:hAnsiTheme="majorBidi" w:cstheme="majorBidi"/>
          <w:sz w:val="20"/>
          <w:szCs w:val="20"/>
        </w:rPr>
        <w:t xml:space="preserve">seems </w:t>
      </w:r>
      <w:r w:rsidRPr="004C64A0">
        <w:rPr>
          <w:rFonts w:asciiTheme="majorBidi" w:hAnsiTheme="majorBidi" w:cstheme="majorBidi"/>
          <w:sz w:val="20"/>
          <w:szCs w:val="20"/>
        </w:rPr>
        <w:t>out of the question</w:t>
      </w:r>
      <w:r>
        <w:rPr>
          <w:rFonts w:asciiTheme="majorBidi" w:hAnsiTheme="majorBidi" w:cstheme="majorBidi"/>
          <w:sz w:val="20"/>
          <w:szCs w:val="20"/>
        </w:rPr>
        <w:t xml:space="preserve"> in light of two points: firstly, A-luo-han was a Persian chief instead of a prince; secondly, he was born at about the same time with </w:t>
      </w:r>
      <w:r w:rsidRPr="004C64A0">
        <w:rPr>
          <w:rFonts w:asciiTheme="majorBidi" w:hAnsiTheme="majorBidi" w:cstheme="majorBidi"/>
          <w:sz w:val="20"/>
          <w:szCs w:val="20"/>
        </w:rPr>
        <w:t>Yazdegerd III</w:t>
      </w:r>
      <w:r>
        <w:rPr>
          <w:rFonts w:asciiTheme="majorBidi" w:hAnsiTheme="majorBidi" w:cstheme="majorBidi"/>
          <w:sz w:val="20"/>
          <w:szCs w:val="20"/>
        </w:rPr>
        <w:t xml:space="preserve"> instead of being the latter’s son </w:t>
      </w:r>
      <w:r>
        <w:rPr>
          <w:rFonts w:asciiTheme="majorBidi" w:hAnsiTheme="majorBidi" w:cstheme="majorBidi" w:hint="eastAsia"/>
          <w:sz w:val="20"/>
          <w:szCs w:val="20"/>
        </w:rPr>
        <w:t>(</w:t>
      </w:r>
      <w:r>
        <w:rPr>
          <w:rFonts w:asciiTheme="majorBidi" w:hAnsiTheme="majorBidi" w:cstheme="majorBidi"/>
          <w:sz w:val="20"/>
          <w:szCs w:val="20"/>
        </w:rPr>
        <w:t>al-</w:t>
      </w:r>
      <w:r w:rsidRPr="007B3251">
        <w:rPr>
          <w:rFonts w:asciiTheme="majorBidi" w:hAnsiTheme="majorBidi" w:cstheme="majorBidi"/>
          <w:sz w:val="20"/>
          <w:szCs w:val="20"/>
        </w:rPr>
        <w:t xml:space="preserve">Dīnawarī, 1888, p. 125; </w:t>
      </w:r>
      <w:r>
        <w:rPr>
          <w:rFonts w:asciiTheme="majorBidi" w:hAnsiTheme="majorBidi" w:cstheme="majorBidi"/>
          <w:sz w:val="20"/>
          <w:szCs w:val="20"/>
        </w:rPr>
        <w:t>tr.</w:t>
      </w:r>
      <w:r w:rsidRPr="007B3251">
        <w:rPr>
          <w:rFonts w:asciiTheme="majorBidi" w:hAnsiTheme="majorBidi" w:cstheme="majorBidi"/>
          <w:sz w:val="20"/>
          <w:szCs w:val="20"/>
        </w:rPr>
        <w:t>, 2010, p. 264</w:t>
      </w:r>
      <w:r>
        <w:rPr>
          <w:rFonts w:asciiTheme="majorBidi" w:hAnsiTheme="majorBidi" w:cstheme="majorBidi"/>
          <w:sz w:val="20"/>
          <w:szCs w:val="20"/>
        </w:rPr>
        <w:t xml:space="preserve">: </w:t>
      </w:r>
      <w:r>
        <w:rPr>
          <w:rFonts w:asciiTheme="majorBidi" w:hAnsiTheme="majorBidi" w:cstheme="majorBidi" w:hint="cs"/>
          <w:sz w:val="20"/>
          <w:szCs w:val="20"/>
          <w:rtl/>
          <w:lang w:bidi="ar-SY"/>
        </w:rPr>
        <w:t>فاجتمعوا على يزدجرد بن شهربار ابن كسرى ابرويز فملكوه عليهم وهو يومئذ غلام ابن ست عشرة سنة</w:t>
      </w:r>
      <w:r>
        <w:rPr>
          <w:rFonts w:asciiTheme="majorBidi" w:hAnsiTheme="majorBidi" w:cstheme="majorBidi"/>
          <w:sz w:val="20"/>
          <w:szCs w:val="20"/>
        </w:rPr>
        <w:t>; al-</w:t>
      </w:r>
      <w:r w:rsidRPr="001238C7">
        <w:rPr>
          <w:rFonts w:asciiTheme="majorBidi" w:hAnsiTheme="majorBidi" w:cstheme="majorBidi"/>
          <w:sz w:val="20"/>
          <w:szCs w:val="20"/>
        </w:rPr>
        <w:t xml:space="preserve"> Masʿūdī</w:t>
      </w:r>
      <w:r>
        <w:rPr>
          <w:rFonts w:asciiTheme="majorBidi" w:hAnsiTheme="majorBidi" w:cstheme="majorBidi"/>
          <w:sz w:val="20"/>
          <w:szCs w:val="20"/>
        </w:rPr>
        <w:t xml:space="preserve">, 1863, volume II, p. 241: </w:t>
      </w:r>
      <w:r>
        <w:rPr>
          <w:rFonts w:asciiTheme="majorBidi" w:hAnsiTheme="majorBidi" w:cstheme="majorBidi" w:hint="cs"/>
          <w:sz w:val="20"/>
          <w:szCs w:val="20"/>
          <w:rtl/>
          <w:lang w:bidi="ar-JO"/>
        </w:rPr>
        <w:t>وله خمس وثالثون سنة</w:t>
      </w:r>
      <w:r>
        <w:rPr>
          <w:rFonts w:asciiTheme="majorBidi" w:hAnsiTheme="majorBidi" w:cstheme="majorBidi"/>
          <w:sz w:val="20"/>
          <w:szCs w:val="20"/>
          <w:lang w:bidi="ar-JO"/>
        </w:rPr>
        <w:t xml:space="preserve">; </w:t>
      </w:r>
      <w:r w:rsidRPr="00AD32CC">
        <w:rPr>
          <w:rFonts w:asciiTheme="majorBidi" w:hAnsiTheme="majorBidi" w:cstheme="majorBidi"/>
          <w:sz w:val="20"/>
          <w:szCs w:val="20"/>
          <w:lang w:bidi="ar-JO"/>
        </w:rPr>
        <w:t>Gardīzī,</w:t>
      </w:r>
      <w:r>
        <w:rPr>
          <w:rFonts w:asciiTheme="majorBidi" w:hAnsiTheme="majorBidi" w:cstheme="majorBidi"/>
          <w:sz w:val="20"/>
          <w:szCs w:val="20"/>
          <w:lang w:bidi="ar-JO"/>
        </w:rPr>
        <w:t xml:space="preserve"> 1984, </w:t>
      </w:r>
      <w:r>
        <w:rPr>
          <w:rFonts w:asciiTheme="majorBidi" w:hAnsiTheme="majorBidi" w:cstheme="majorBidi"/>
          <w:sz w:val="20"/>
          <w:szCs w:val="20"/>
        </w:rPr>
        <w:t xml:space="preserve">p. 103: </w:t>
      </w:r>
      <w:r w:rsidRPr="00D54E2D">
        <w:rPr>
          <w:rFonts w:asciiTheme="majorBidi" w:hAnsiTheme="majorBidi" w:cs="Times New Roman" w:hint="cs"/>
          <w:sz w:val="20"/>
          <w:szCs w:val="20"/>
          <w:rtl/>
          <w:lang w:bidi="ar-SA"/>
        </w:rPr>
        <w:t>وپانزده</w:t>
      </w:r>
      <w:r w:rsidRPr="00D54E2D">
        <w:rPr>
          <w:rFonts w:asciiTheme="majorBidi" w:hAnsiTheme="majorBidi" w:cs="Times New Roman"/>
          <w:sz w:val="20"/>
          <w:szCs w:val="20"/>
          <w:rtl/>
          <w:lang w:bidi="ar-SA"/>
        </w:rPr>
        <w:t xml:space="preserve"> </w:t>
      </w:r>
      <w:r w:rsidRPr="00D54E2D">
        <w:rPr>
          <w:rFonts w:asciiTheme="majorBidi" w:hAnsiTheme="majorBidi" w:cs="Times New Roman" w:hint="cs"/>
          <w:sz w:val="20"/>
          <w:szCs w:val="20"/>
          <w:rtl/>
          <w:lang w:bidi="ar-SA"/>
        </w:rPr>
        <w:t>ساله</w:t>
      </w:r>
      <w:r w:rsidRPr="00D54E2D">
        <w:rPr>
          <w:rFonts w:asciiTheme="majorBidi" w:hAnsiTheme="majorBidi" w:cs="Times New Roman"/>
          <w:sz w:val="20"/>
          <w:szCs w:val="20"/>
          <w:rtl/>
          <w:lang w:bidi="ar-SA"/>
        </w:rPr>
        <w:t xml:space="preserve"> </w:t>
      </w:r>
      <w:r w:rsidRPr="00D54E2D">
        <w:rPr>
          <w:rFonts w:asciiTheme="majorBidi" w:hAnsiTheme="majorBidi" w:cs="Times New Roman" w:hint="cs"/>
          <w:sz w:val="20"/>
          <w:szCs w:val="20"/>
          <w:rtl/>
          <w:lang w:bidi="ar-SA"/>
        </w:rPr>
        <w:t>بود</w:t>
      </w:r>
      <w:r w:rsidRPr="00D54E2D">
        <w:rPr>
          <w:rFonts w:asciiTheme="majorBidi" w:hAnsiTheme="majorBidi" w:cs="Times New Roman"/>
          <w:sz w:val="20"/>
          <w:szCs w:val="20"/>
          <w:rtl/>
          <w:lang w:bidi="ar-SA"/>
        </w:rPr>
        <w:t xml:space="preserve"> </w:t>
      </w:r>
      <w:r w:rsidRPr="00D54E2D">
        <w:rPr>
          <w:rFonts w:asciiTheme="majorBidi" w:hAnsiTheme="majorBidi" w:cs="Times New Roman" w:hint="cs"/>
          <w:sz w:val="20"/>
          <w:szCs w:val="20"/>
          <w:rtl/>
          <w:lang w:bidi="ar-SA"/>
        </w:rPr>
        <w:t>بپادشاهي</w:t>
      </w:r>
      <w:r w:rsidRPr="00D54E2D">
        <w:rPr>
          <w:rFonts w:asciiTheme="majorBidi" w:hAnsiTheme="majorBidi" w:cs="Times New Roman"/>
          <w:sz w:val="20"/>
          <w:szCs w:val="20"/>
          <w:rtl/>
          <w:lang w:bidi="ar-SA"/>
        </w:rPr>
        <w:t xml:space="preserve"> </w:t>
      </w:r>
      <w:r w:rsidRPr="00D54E2D">
        <w:rPr>
          <w:rFonts w:asciiTheme="majorBidi" w:hAnsiTheme="majorBidi" w:cs="Times New Roman" w:hint="cs"/>
          <w:sz w:val="20"/>
          <w:szCs w:val="20"/>
          <w:rtl/>
          <w:lang w:bidi="ar-SA"/>
        </w:rPr>
        <w:t>نشست</w:t>
      </w:r>
      <w:r>
        <w:rPr>
          <w:rFonts w:asciiTheme="majorBidi" w:hAnsiTheme="majorBidi" w:cstheme="majorBidi"/>
          <w:sz w:val="20"/>
          <w:szCs w:val="20"/>
        </w:rPr>
        <w:t xml:space="preserve">). </w:t>
      </w:r>
    </w:p>
  </w:footnote>
  <w:footnote w:id="96">
    <w:p w14:paraId="25C4688A" w14:textId="0072AEB2" w:rsidR="00902FCD" w:rsidRPr="00245CC1" w:rsidRDefault="00902FCD" w:rsidP="00245CC1">
      <w:pPr>
        <w:pStyle w:val="FootnoteText"/>
        <w:spacing w:line="360" w:lineRule="auto"/>
        <w:rPr>
          <w:rFonts w:asciiTheme="majorBidi" w:hAnsiTheme="majorBidi" w:cstheme="majorBidi"/>
          <w:sz w:val="20"/>
          <w:szCs w:val="20"/>
        </w:rPr>
      </w:pPr>
      <w:r w:rsidRPr="00245CC1">
        <w:rPr>
          <w:rFonts w:asciiTheme="majorBidi" w:hAnsiTheme="majorBidi" w:cstheme="majorBidi"/>
          <w:sz w:val="20"/>
          <w:szCs w:val="20"/>
          <w:vertAlign w:val="superscript"/>
        </w:rPr>
        <w:footnoteRef/>
      </w:r>
      <w:r w:rsidRPr="00245CC1">
        <w:rPr>
          <w:rFonts w:asciiTheme="majorBidi" w:hAnsiTheme="majorBidi" w:cstheme="majorBidi"/>
          <w:sz w:val="20"/>
          <w:szCs w:val="20"/>
          <w:vertAlign w:val="superscript"/>
        </w:rPr>
        <w:t xml:space="preserve"> </w:t>
      </w:r>
      <w:r w:rsidRPr="00245CC1">
        <w:rPr>
          <w:rFonts w:asciiTheme="majorBidi" w:hAnsiTheme="majorBidi" w:cstheme="majorBidi"/>
          <w:sz w:val="20"/>
          <w:szCs w:val="20"/>
        </w:rPr>
        <w:t xml:space="preserve">The two brothers probably came to agreement in advance to separate from one another in order to </w:t>
      </w:r>
      <w:r w:rsidRPr="00245CC1">
        <w:rPr>
          <w:rFonts w:asciiTheme="majorBidi" w:hAnsiTheme="majorBidi" w:cstheme="majorBidi" w:hint="eastAsia"/>
          <w:sz w:val="20"/>
          <w:szCs w:val="20"/>
        </w:rPr>
        <w:t>avoid</w:t>
      </w:r>
      <w:r w:rsidRPr="00245CC1">
        <w:rPr>
          <w:rFonts w:asciiTheme="majorBidi" w:hAnsiTheme="majorBidi" w:cstheme="majorBidi"/>
          <w:sz w:val="20"/>
          <w:szCs w:val="20"/>
        </w:rPr>
        <w:t xml:space="preserve"> putting all the eggs in one basket. Or the adherents of both young princes were ambitious to put their supported prince on the throne and could not tolerate staying together. A third possibility is simply that Wahrām left his father in Sīstān and continued to regions to the south of the Hindukush.</w:t>
      </w:r>
    </w:p>
  </w:footnote>
  <w:footnote w:id="97">
    <w:p w14:paraId="335E7F89" w14:textId="36517D53" w:rsidR="00902FCD" w:rsidRPr="00B5301C" w:rsidRDefault="00902FCD" w:rsidP="00B5301C">
      <w:pPr>
        <w:pStyle w:val="FootnoteText"/>
        <w:spacing w:line="360" w:lineRule="auto"/>
        <w:rPr>
          <w:rFonts w:asciiTheme="majorBidi" w:eastAsiaTheme="minorHAnsi" w:hAnsiTheme="majorBidi" w:cstheme="majorBidi"/>
          <w:sz w:val="20"/>
          <w:szCs w:val="20"/>
        </w:rPr>
      </w:pPr>
      <w:r w:rsidRPr="00B5301C">
        <w:rPr>
          <w:rFonts w:asciiTheme="majorBidi" w:eastAsiaTheme="minorHAnsi" w:hAnsiTheme="majorBidi" w:cstheme="majorBidi"/>
          <w:sz w:val="20"/>
          <w:szCs w:val="20"/>
          <w:vertAlign w:val="superscript"/>
        </w:rPr>
        <w:footnoteRef/>
      </w:r>
      <w:r w:rsidRPr="00B5301C">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A</w:t>
      </w:r>
      <w:r w:rsidRPr="008D5660">
        <w:rPr>
          <w:rFonts w:asciiTheme="majorBidi" w:eastAsiaTheme="minorHAnsi" w:hAnsiTheme="majorBidi" w:cstheme="majorBidi"/>
          <w:sz w:val="20"/>
          <w:szCs w:val="20"/>
        </w:rPr>
        <w:t>l-Ṭabarī</w:t>
      </w:r>
      <w:r>
        <w:rPr>
          <w:rFonts w:asciiTheme="majorBidi" w:eastAsiaTheme="minorHAnsi" w:hAnsiTheme="majorBidi" w:cstheme="majorBidi"/>
          <w:sz w:val="20"/>
          <w:szCs w:val="20"/>
        </w:rPr>
        <w:t xml:space="preserve">, 2001, volume 2, p. 624; tr., 1994, volume XV, p. 87: </w:t>
      </w:r>
      <w:r>
        <w:rPr>
          <w:rFonts w:asciiTheme="majorBidi" w:eastAsiaTheme="minorHAnsi" w:hAnsiTheme="majorBidi" w:cstheme="majorBidi" w:hint="cs"/>
          <w:sz w:val="20"/>
          <w:szCs w:val="20"/>
          <w:rtl/>
          <w:lang w:bidi="ar-JO"/>
        </w:rPr>
        <w:t>شارف مرو في زهاء أربعة الاف رجل</w:t>
      </w:r>
      <w:r>
        <w:rPr>
          <w:rFonts w:asciiTheme="majorBidi" w:eastAsiaTheme="minorHAnsi" w:hAnsiTheme="majorBidi" w:cstheme="majorBidi"/>
          <w:sz w:val="20"/>
          <w:szCs w:val="20"/>
        </w:rPr>
        <w:t>.</w:t>
      </w:r>
    </w:p>
  </w:footnote>
  <w:footnote w:id="98">
    <w:p w14:paraId="63EB8FF3" w14:textId="221CDA90" w:rsidR="00902FCD" w:rsidRPr="00B5301C" w:rsidRDefault="00902FCD" w:rsidP="00B5301C">
      <w:pPr>
        <w:pStyle w:val="FootnoteText"/>
        <w:spacing w:line="360" w:lineRule="auto"/>
        <w:rPr>
          <w:rFonts w:asciiTheme="majorBidi" w:eastAsiaTheme="minorHAnsi" w:hAnsiTheme="majorBidi" w:cstheme="majorBidi"/>
          <w:sz w:val="20"/>
          <w:szCs w:val="20"/>
        </w:rPr>
      </w:pPr>
      <w:r w:rsidRPr="00B5301C">
        <w:rPr>
          <w:rFonts w:asciiTheme="majorBidi" w:eastAsiaTheme="minorHAnsi" w:hAnsiTheme="majorBidi" w:cstheme="majorBidi"/>
          <w:sz w:val="20"/>
          <w:szCs w:val="20"/>
          <w:vertAlign w:val="superscript"/>
        </w:rPr>
        <w:footnoteRef/>
      </w:r>
      <w:r w:rsidRPr="00B5301C">
        <w:rPr>
          <w:rFonts w:asciiTheme="majorBidi" w:eastAsiaTheme="minorHAnsi" w:hAnsiTheme="majorBidi" w:cstheme="majorBidi"/>
          <w:sz w:val="20"/>
          <w:szCs w:val="20"/>
        </w:rPr>
        <w:t xml:space="preserve"> </w:t>
      </w:r>
      <w:r w:rsidRPr="00F87E31">
        <w:rPr>
          <w:rFonts w:asciiTheme="majorBidi" w:eastAsiaTheme="minorHAnsi" w:hAnsiTheme="majorBidi" w:cstheme="majorBidi"/>
          <w:sz w:val="20"/>
          <w:szCs w:val="20"/>
        </w:rPr>
        <w:t>Liu, 1995, volume 198, p. 5313; tr., Appendix II</w:t>
      </w:r>
      <w:r>
        <w:rPr>
          <w:rFonts w:asciiTheme="majorBidi" w:eastAsiaTheme="minorHAnsi" w:hAnsiTheme="majorBidi" w:cstheme="majorBidi"/>
          <w:sz w:val="20"/>
          <w:szCs w:val="20"/>
        </w:rPr>
        <w:t>.</w:t>
      </w:r>
    </w:p>
  </w:footnote>
  <w:footnote w:id="99">
    <w:p w14:paraId="72FA861E" w14:textId="5F775F90" w:rsidR="00902FCD" w:rsidRPr="000070C9" w:rsidRDefault="00902FCD" w:rsidP="000070C9">
      <w:pPr>
        <w:pStyle w:val="FootnoteText"/>
        <w:spacing w:line="360" w:lineRule="auto"/>
        <w:rPr>
          <w:rFonts w:asciiTheme="majorBidi" w:eastAsiaTheme="minorHAnsi" w:hAnsiTheme="majorBidi" w:cstheme="majorBidi"/>
          <w:sz w:val="20"/>
          <w:szCs w:val="20"/>
        </w:rPr>
      </w:pPr>
      <w:r w:rsidRPr="000070C9">
        <w:rPr>
          <w:rFonts w:asciiTheme="majorBidi" w:eastAsiaTheme="minorHAnsi" w:hAnsiTheme="majorBidi" w:cstheme="majorBidi"/>
          <w:sz w:val="20"/>
          <w:szCs w:val="20"/>
          <w:vertAlign w:val="superscript"/>
        </w:rPr>
        <w:footnoteRef/>
      </w:r>
      <w:r w:rsidRPr="000070C9">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About the Yabghū Wu-shi-bo, the </w:t>
      </w:r>
      <w:r w:rsidRPr="00E30008">
        <w:rPr>
          <w:rFonts w:asciiTheme="majorBidi" w:eastAsiaTheme="minorHAnsi" w:hAnsiTheme="majorBidi" w:cstheme="majorBidi"/>
          <w:i/>
          <w:iCs/>
          <w:sz w:val="20"/>
          <w:szCs w:val="20"/>
        </w:rPr>
        <w:t>Cefu yuangui</w:t>
      </w:r>
      <w:r>
        <w:rPr>
          <w:rFonts w:asciiTheme="majorBidi" w:eastAsiaTheme="minorHAnsi" w:hAnsiTheme="majorBidi" w:cstheme="majorBidi"/>
          <w:sz w:val="20"/>
          <w:szCs w:val="20"/>
        </w:rPr>
        <w:t xml:space="preserve"> (</w:t>
      </w:r>
      <w:r w:rsidRPr="00E91065">
        <w:rPr>
          <w:rFonts w:asciiTheme="majorBidi" w:hAnsiTheme="majorBidi" w:cstheme="majorBidi"/>
          <w:sz w:val="20"/>
          <w:szCs w:val="20"/>
        </w:rPr>
        <w:t>Wang &amp; Yang, 1994, volume 966, p. 11365</w:t>
      </w:r>
      <w:r>
        <w:rPr>
          <w:rFonts w:asciiTheme="majorBidi" w:eastAsiaTheme="minorHAnsi" w:hAnsiTheme="majorBidi" w:cstheme="majorBidi"/>
          <w:sz w:val="20"/>
          <w:szCs w:val="20"/>
        </w:rPr>
        <w:t xml:space="preserve">) reports that he was appointed as the military governor of </w:t>
      </w:r>
      <w:r w:rsidRPr="00F87E31">
        <w:rPr>
          <w:rFonts w:asciiTheme="majorBidi" w:eastAsiaTheme="minorHAnsi" w:hAnsiTheme="majorBidi" w:cstheme="majorBidi"/>
          <w:sz w:val="20"/>
          <w:szCs w:val="20"/>
        </w:rPr>
        <w:t>Ṭukhāristān</w:t>
      </w:r>
      <w:r w:rsidRPr="000070C9">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in 652 CE. Both Xue (1992, 368-9) and Wang (2017, pp. 153-5) argue correctly that the report is problematic, since the Tang’s administrative organization is possible only after the Khāqān of the Western Turks Helu’s defeat in 657 CE. </w:t>
      </w:r>
      <w:r w:rsidRPr="000070C9">
        <w:rPr>
          <w:rFonts w:asciiTheme="majorBidi" w:eastAsiaTheme="minorHAnsi" w:hAnsiTheme="majorBidi" w:cstheme="majorBidi"/>
          <w:sz w:val="20"/>
          <w:szCs w:val="20"/>
        </w:rPr>
        <w:t xml:space="preserve">Wang </w:t>
      </w:r>
      <w:r>
        <w:rPr>
          <w:rFonts w:asciiTheme="majorBidi" w:eastAsiaTheme="minorHAnsi" w:hAnsiTheme="majorBidi" w:cstheme="majorBidi"/>
          <w:sz w:val="20"/>
          <w:szCs w:val="20"/>
        </w:rPr>
        <w:t>(ibid., pp. 132-5) even suggest</w:t>
      </w:r>
      <w:r w:rsidRPr="000070C9">
        <w:rPr>
          <w:rFonts w:asciiTheme="majorBidi" w:eastAsiaTheme="minorHAnsi" w:hAnsiTheme="majorBidi" w:cstheme="majorBidi"/>
          <w:sz w:val="20"/>
          <w:szCs w:val="20"/>
        </w:rPr>
        <w:t xml:space="preserve">s that Tardu Shad's successor </w:t>
      </w:r>
      <w:r>
        <w:rPr>
          <w:rFonts w:asciiTheme="majorBidi" w:eastAsiaTheme="minorHAnsi" w:hAnsiTheme="majorBidi" w:cstheme="majorBidi"/>
          <w:sz w:val="20"/>
          <w:szCs w:val="20"/>
        </w:rPr>
        <w:t>Ishbara</w:t>
      </w:r>
      <w:r w:rsidRPr="000070C9">
        <w:rPr>
          <w:rFonts w:asciiTheme="majorBidi" w:eastAsiaTheme="minorHAnsi" w:hAnsiTheme="majorBidi" w:cstheme="majorBidi"/>
          <w:sz w:val="20"/>
          <w:szCs w:val="20"/>
        </w:rPr>
        <w:t xml:space="preserve"> attested by coins should be Wu-shi-bo in the Chinese sources.</w:t>
      </w:r>
      <w:r>
        <w:rPr>
          <w:rFonts w:asciiTheme="majorBidi" w:eastAsiaTheme="minorHAnsi" w:hAnsiTheme="majorBidi" w:cstheme="majorBidi"/>
          <w:sz w:val="20"/>
          <w:szCs w:val="20"/>
        </w:rPr>
        <w:t xml:space="preserve"> However, this identification is </w:t>
      </w:r>
      <w:r>
        <w:rPr>
          <w:rFonts w:asciiTheme="majorBidi" w:eastAsiaTheme="minorHAnsi" w:hAnsiTheme="majorBidi" w:cstheme="majorBidi" w:hint="eastAsia"/>
          <w:sz w:val="20"/>
          <w:szCs w:val="20"/>
        </w:rPr>
        <w:t>unlikely</w:t>
      </w:r>
      <w:r>
        <w:rPr>
          <w:rFonts w:asciiTheme="majorBidi" w:eastAsiaTheme="minorHAnsi" w:hAnsiTheme="majorBidi" w:cstheme="majorBidi"/>
          <w:sz w:val="20"/>
          <w:szCs w:val="20"/>
        </w:rPr>
        <w:t>, since the Turkic name is rendered as Sha-bo-la (</w:t>
      </w:r>
      <w:r>
        <w:rPr>
          <w:rFonts w:asciiTheme="majorBidi" w:eastAsiaTheme="minorHAnsi" w:hAnsiTheme="majorBidi" w:cstheme="majorBidi" w:hint="eastAsia"/>
          <w:sz w:val="20"/>
          <w:szCs w:val="20"/>
        </w:rPr>
        <w:t>沙钵罗</w:t>
      </w:r>
      <w:r>
        <w:rPr>
          <w:rFonts w:asciiTheme="majorBidi" w:eastAsiaTheme="minorHAnsi" w:hAnsiTheme="majorBidi" w:cstheme="majorBidi"/>
          <w:sz w:val="20"/>
          <w:szCs w:val="20"/>
        </w:rPr>
        <w:t>or</w:t>
      </w:r>
      <w:r w:rsidRPr="005F32C3">
        <w:rPr>
          <w:rFonts w:asciiTheme="majorBidi" w:eastAsiaTheme="minorHAnsi" w:hAnsiTheme="majorBidi" w:cstheme="majorBidi"/>
          <w:sz w:val="20"/>
          <w:szCs w:val="20"/>
        </w:rPr>
        <w:t>沙缽</w:t>
      </w:r>
      <w:r w:rsidRPr="005F32C3">
        <w:rPr>
          <w:rFonts w:asciiTheme="majorBidi" w:eastAsiaTheme="minorHAnsi" w:hAnsiTheme="majorBidi" w:cstheme="majorBidi" w:hint="eastAsia"/>
          <w:sz w:val="20"/>
          <w:szCs w:val="20"/>
        </w:rPr>
        <w:t>略</w:t>
      </w:r>
      <w:r>
        <w:rPr>
          <w:rFonts w:asciiTheme="majorBidi" w:eastAsiaTheme="minorHAnsi" w:hAnsiTheme="majorBidi" w:cstheme="majorBidi"/>
          <w:sz w:val="20"/>
          <w:szCs w:val="20"/>
        </w:rPr>
        <w:t>) in M</w:t>
      </w:r>
      <w:r>
        <w:rPr>
          <w:rFonts w:asciiTheme="majorBidi" w:eastAsiaTheme="minorHAnsi" w:hAnsiTheme="majorBidi" w:cstheme="majorBidi" w:hint="eastAsia"/>
          <w:sz w:val="20"/>
          <w:szCs w:val="20"/>
        </w:rPr>
        <w:t>iddle</w:t>
      </w:r>
      <w:r>
        <w:rPr>
          <w:rFonts w:asciiTheme="majorBidi" w:eastAsiaTheme="minorHAnsi" w:hAnsiTheme="majorBidi" w:cstheme="majorBidi"/>
          <w:sz w:val="20"/>
          <w:szCs w:val="20"/>
        </w:rPr>
        <w:t xml:space="preserve"> Chinese. A more probable solution is shown by the </w:t>
      </w:r>
      <w:r w:rsidRPr="00F92F06">
        <w:rPr>
          <w:rFonts w:asciiTheme="majorBidi" w:eastAsiaTheme="minorHAnsi" w:hAnsiTheme="majorBidi" w:cstheme="majorBidi"/>
          <w:i/>
          <w:iCs/>
          <w:sz w:val="20"/>
          <w:szCs w:val="20"/>
        </w:rPr>
        <w:t>Tang huiyao</w:t>
      </w:r>
      <w:r>
        <w:rPr>
          <w:rFonts w:asciiTheme="majorBidi" w:eastAsiaTheme="minorHAnsi" w:hAnsiTheme="majorBidi" w:cstheme="majorBidi"/>
          <w:sz w:val="20"/>
          <w:szCs w:val="20"/>
        </w:rPr>
        <w:t xml:space="preserve"> (</w:t>
      </w:r>
      <w:r>
        <w:rPr>
          <w:rFonts w:asciiTheme="majorBidi" w:eastAsiaTheme="minorHAnsi" w:hAnsiTheme="majorBidi" w:cstheme="majorBidi" w:hint="eastAsia"/>
          <w:sz w:val="20"/>
          <w:szCs w:val="20"/>
        </w:rPr>
        <w:t>唐会要</w:t>
      </w:r>
      <w:r>
        <w:rPr>
          <w:rFonts w:asciiTheme="majorBidi" w:eastAsiaTheme="minorHAnsi" w:hAnsiTheme="majorBidi" w:cstheme="majorBidi" w:hint="eastAsia"/>
          <w:sz w:val="20"/>
          <w:szCs w:val="20"/>
        </w:rPr>
        <w:t>,</w:t>
      </w:r>
      <w:r>
        <w:rPr>
          <w:rFonts w:asciiTheme="majorBidi" w:eastAsiaTheme="minorHAnsi" w:hAnsiTheme="majorBidi" w:cstheme="majorBidi"/>
          <w:sz w:val="20"/>
          <w:szCs w:val="20"/>
        </w:rPr>
        <w:t xml:space="preserve"> the </w:t>
      </w:r>
      <w:r w:rsidRPr="00F92F06">
        <w:rPr>
          <w:rFonts w:asciiTheme="majorBidi" w:eastAsiaTheme="minorHAnsi" w:hAnsiTheme="majorBidi" w:cstheme="majorBidi"/>
          <w:i/>
          <w:iCs/>
          <w:sz w:val="20"/>
          <w:szCs w:val="20"/>
        </w:rPr>
        <w:t>Institutional History of Tang</w:t>
      </w:r>
      <w:r>
        <w:rPr>
          <w:rFonts w:asciiTheme="majorBidi" w:eastAsiaTheme="minorHAnsi" w:hAnsiTheme="majorBidi" w:cstheme="majorBidi"/>
          <w:sz w:val="20"/>
          <w:szCs w:val="20"/>
        </w:rPr>
        <w:t xml:space="preserve">), which reports that Wu-shi-bo’s memoire was presented to the Tang court in 652 CE to inform his enthronement and to </w:t>
      </w:r>
      <w:r>
        <w:rPr>
          <w:rFonts w:asciiTheme="majorBidi" w:hAnsiTheme="majorBidi" w:cstheme="majorBidi"/>
          <w:sz w:val="20"/>
          <w:szCs w:val="20"/>
        </w:rPr>
        <w:t>seek confirmation</w:t>
      </w:r>
      <w:r>
        <w:rPr>
          <w:rFonts w:asciiTheme="majorBidi" w:eastAsiaTheme="minorHAnsi" w:hAnsiTheme="majorBidi" w:cstheme="majorBidi"/>
          <w:sz w:val="20"/>
          <w:szCs w:val="20"/>
        </w:rPr>
        <w:t xml:space="preserve"> from the court (</w:t>
      </w:r>
      <w:r>
        <w:rPr>
          <w:rFonts w:asciiTheme="majorBidi" w:hAnsiTheme="majorBidi" w:cstheme="majorBidi"/>
          <w:sz w:val="20"/>
          <w:szCs w:val="20"/>
        </w:rPr>
        <w:t>Wang, 1998, volume 99, p. 1773</w:t>
      </w:r>
      <w:r>
        <w:rPr>
          <w:rFonts w:asciiTheme="majorBidi" w:eastAsiaTheme="minorHAnsi" w:hAnsiTheme="majorBidi" w:cstheme="majorBidi"/>
          <w:sz w:val="20"/>
          <w:szCs w:val="20"/>
        </w:rPr>
        <w:t xml:space="preserve">). And the same Yabghū was later confirmed as governor of </w:t>
      </w:r>
      <w:r w:rsidRPr="009D4436">
        <w:rPr>
          <w:rFonts w:asciiTheme="majorBidi" w:eastAsiaTheme="minorHAnsi" w:hAnsiTheme="majorBidi" w:cstheme="majorBidi"/>
          <w:sz w:val="20"/>
          <w:szCs w:val="20"/>
        </w:rPr>
        <w:t>Ṭukhāristān</w:t>
      </w:r>
      <w:r>
        <w:rPr>
          <w:rFonts w:asciiTheme="majorBidi" w:eastAsiaTheme="minorHAnsi" w:hAnsiTheme="majorBidi" w:cstheme="majorBidi"/>
          <w:sz w:val="20"/>
          <w:szCs w:val="20"/>
        </w:rPr>
        <w:t xml:space="preserve"> in 657 CE.</w:t>
      </w:r>
    </w:p>
  </w:footnote>
  <w:footnote w:id="100">
    <w:p w14:paraId="287E833A" w14:textId="20EDDC2E" w:rsidR="00902FCD" w:rsidRPr="009D4436" w:rsidRDefault="00902FCD" w:rsidP="009D4436">
      <w:pPr>
        <w:pStyle w:val="FootnoteText"/>
        <w:spacing w:line="360" w:lineRule="auto"/>
        <w:rPr>
          <w:rFonts w:asciiTheme="majorBidi" w:eastAsiaTheme="minorHAnsi" w:hAnsiTheme="majorBidi" w:cstheme="majorBidi"/>
          <w:sz w:val="20"/>
          <w:szCs w:val="20"/>
        </w:rPr>
      </w:pPr>
      <w:r w:rsidRPr="009D4436">
        <w:rPr>
          <w:rFonts w:asciiTheme="majorBidi" w:eastAsiaTheme="minorHAnsi" w:hAnsiTheme="majorBidi" w:cstheme="majorBidi"/>
          <w:sz w:val="20"/>
          <w:szCs w:val="20"/>
          <w:vertAlign w:val="superscript"/>
        </w:rPr>
        <w:footnoteRef/>
      </w:r>
      <w:r w:rsidRPr="009D4436">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According to a</w:t>
      </w:r>
      <w:r w:rsidRPr="008D5660">
        <w:rPr>
          <w:rFonts w:asciiTheme="majorBidi" w:eastAsiaTheme="minorHAnsi" w:hAnsiTheme="majorBidi" w:cstheme="majorBidi"/>
          <w:sz w:val="20"/>
          <w:szCs w:val="20"/>
        </w:rPr>
        <w:t>l-Ṭabarī</w:t>
      </w:r>
      <w:r>
        <w:rPr>
          <w:rFonts w:asciiTheme="majorBidi" w:eastAsiaTheme="minorHAnsi" w:hAnsiTheme="majorBidi" w:cstheme="majorBidi"/>
          <w:sz w:val="20"/>
          <w:szCs w:val="20"/>
        </w:rPr>
        <w:t xml:space="preserve"> (</w:t>
      </w:r>
      <w:r w:rsidRPr="00C23CAF">
        <w:rPr>
          <w:rFonts w:asciiTheme="majorBidi" w:eastAsiaTheme="minorHAnsi" w:hAnsiTheme="majorBidi" w:cstheme="majorBidi"/>
          <w:sz w:val="20"/>
          <w:szCs w:val="20"/>
        </w:rPr>
        <w:t xml:space="preserve">2001, volume 2, p. 625-6, 630-3; </w:t>
      </w:r>
      <w:r w:rsidRPr="00377989">
        <w:rPr>
          <w:rFonts w:asciiTheme="majorBidi" w:eastAsiaTheme="minorHAnsi" w:hAnsiTheme="majorBidi" w:cstheme="majorBidi"/>
          <w:sz w:val="20"/>
          <w:szCs w:val="20"/>
        </w:rPr>
        <w:t xml:space="preserve">tr., 1994, volume XV, pp. </w:t>
      </w:r>
      <w:r>
        <w:rPr>
          <w:rFonts w:asciiTheme="majorBidi" w:eastAsiaTheme="minorHAnsi" w:hAnsiTheme="majorBidi" w:cstheme="majorBidi"/>
          <w:sz w:val="20"/>
          <w:szCs w:val="20"/>
        </w:rPr>
        <w:t xml:space="preserve">90-3, 102-10), western </w:t>
      </w:r>
      <w:r w:rsidRPr="009D4436">
        <w:rPr>
          <w:rFonts w:asciiTheme="majorBidi" w:eastAsiaTheme="minorHAnsi" w:hAnsiTheme="majorBidi" w:cstheme="majorBidi"/>
          <w:sz w:val="20"/>
          <w:szCs w:val="20"/>
        </w:rPr>
        <w:t>Ṭukhāristān</w:t>
      </w:r>
      <w:r>
        <w:rPr>
          <w:rFonts w:asciiTheme="majorBidi" w:eastAsiaTheme="minorHAnsi" w:hAnsiTheme="majorBidi" w:cstheme="majorBidi"/>
          <w:sz w:val="20"/>
          <w:szCs w:val="20"/>
        </w:rPr>
        <w:t xml:space="preserve"> was subjugated by the Arabs led by </w:t>
      </w:r>
      <w:r w:rsidRPr="00377989">
        <w:rPr>
          <w:rFonts w:asciiTheme="majorBidi" w:eastAsiaTheme="minorHAnsi" w:hAnsiTheme="majorBidi" w:cstheme="majorBidi"/>
          <w:sz w:val="20"/>
          <w:szCs w:val="20"/>
        </w:rPr>
        <w:t>Aḥnaf</w:t>
      </w:r>
      <w:r>
        <w:rPr>
          <w:rFonts w:asciiTheme="majorBidi" w:eastAsiaTheme="minorHAnsi" w:hAnsiTheme="majorBidi" w:cstheme="majorBidi"/>
          <w:sz w:val="20"/>
          <w:szCs w:val="20"/>
        </w:rPr>
        <w:t>, who was sent by the governor of Basra ‘Abdallāh b. ‘Āmir, either by force or under conditions all the way until Balkh. For the Arab expansion into the region, see also al-Ba</w:t>
      </w:r>
      <w:r w:rsidRPr="008D08FD">
        <w:rPr>
          <w:rFonts w:asciiTheme="majorBidi" w:eastAsiaTheme="minorHAnsi" w:hAnsiTheme="majorBidi" w:cstheme="majorBidi"/>
          <w:sz w:val="20"/>
          <w:szCs w:val="20"/>
        </w:rPr>
        <w:t>lādhurī</w:t>
      </w:r>
      <w:r>
        <w:rPr>
          <w:rFonts w:asciiTheme="majorBidi" w:eastAsiaTheme="minorHAnsi" w:hAnsiTheme="majorBidi" w:cstheme="majorBidi"/>
          <w:sz w:val="20"/>
          <w:szCs w:val="20"/>
        </w:rPr>
        <w:t>, 1987, pp. 567-75; tr., part II, pp. 159-68; al-Kūfī, 1975, volume 2, pp. 104-7. A</w:t>
      </w:r>
      <w:r w:rsidRPr="008D5660">
        <w:rPr>
          <w:rFonts w:asciiTheme="majorBidi" w:eastAsiaTheme="minorHAnsi" w:hAnsiTheme="majorBidi" w:cstheme="majorBidi"/>
          <w:sz w:val="20"/>
          <w:szCs w:val="20"/>
        </w:rPr>
        <w:t>l-Ṭabarī</w:t>
      </w:r>
      <w:r>
        <w:rPr>
          <w:rFonts w:asciiTheme="majorBidi" w:eastAsiaTheme="minorHAnsi" w:hAnsiTheme="majorBidi" w:cstheme="majorBidi"/>
          <w:sz w:val="20"/>
          <w:szCs w:val="20"/>
        </w:rPr>
        <w:t>’s report (</w:t>
      </w:r>
      <w:r w:rsidRPr="00BF764C">
        <w:rPr>
          <w:rFonts w:asciiTheme="majorBidi" w:eastAsiaTheme="minorHAnsi" w:hAnsiTheme="majorBidi" w:cstheme="majorBidi"/>
          <w:sz w:val="20"/>
          <w:szCs w:val="20"/>
        </w:rPr>
        <w:t xml:space="preserve">2001, volume 2, p. 546; </w:t>
      </w:r>
      <w:r w:rsidRPr="00377989">
        <w:rPr>
          <w:rFonts w:asciiTheme="majorBidi" w:eastAsiaTheme="minorHAnsi" w:hAnsiTheme="majorBidi" w:cstheme="majorBidi"/>
          <w:sz w:val="20"/>
          <w:szCs w:val="20"/>
        </w:rPr>
        <w:t>tr., 1994, volume XIV, pp. 53-4)</w:t>
      </w:r>
      <w:r>
        <w:rPr>
          <w:rFonts w:asciiTheme="majorBidi" w:eastAsiaTheme="minorHAnsi" w:hAnsiTheme="majorBidi" w:cstheme="majorBidi"/>
          <w:sz w:val="20"/>
          <w:szCs w:val="20"/>
        </w:rPr>
        <w:t xml:space="preserve"> that</w:t>
      </w:r>
      <w:r w:rsidRPr="009F273D">
        <w:rPr>
          <w:rFonts w:asciiTheme="majorBidi" w:eastAsiaTheme="minorHAnsi" w:hAnsiTheme="majorBidi" w:cstheme="majorBidi"/>
          <w:sz w:val="20"/>
          <w:szCs w:val="20"/>
        </w:rPr>
        <w:t xml:space="preserve"> </w:t>
      </w:r>
      <w:r w:rsidRPr="00377989">
        <w:rPr>
          <w:rFonts w:asciiTheme="majorBidi" w:eastAsiaTheme="minorHAnsi" w:hAnsiTheme="majorBidi" w:cstheme="majorBidi"/>
          <w:sz w:val="20"/>
          <w:szCs w:val="20"/>
        </w:rPr>
        <w:t>Aḥnaf</w:t>
      </w:r>
      <w:r>
        <w:rPr>
          <w:rFonts w:asciiTheme="majorBidi" w:eastAsiaTheme="minorHAnsi" w:hAnsiTheme="majorBidi" w:cstheme="majorBidi"/>
          <w:sz w:val="20"/>
          <w:szCs w:val="20"/>
        </w:rPr>
        <w:t xml:space="preserve"> campaigned in Herat, Nīshāpūr, Marw, Sarakhs and Balkh during </w:t>
      </w:r>
      <w:r>
        <w:rPr>
          <w:rFonts w:asciiTheme="majorBidi" w:eastAsiaTheme="minorHAnsi" w:hAnsiTheme="majorBidi" w:cstheme="majorBidi"/>
          <w:sz w:val="20"/>
          <w:szCs w:val="20"/>
          <w:lang w:bidi="ar-JO"/>
        </w:rPr>
        <w:t>‘Umar's reign is unlikely, since the eastern territories of the Sasanian Empire was still not subjugated in the early 640s.</w:t>
      </w:r>
    </w:p>
  </w:footnote>
  <w:footnote w:id="101">
    <w:p w14:paraId="441B5838" w14:textId="4CCB4742" w:rsidR="00902FCD" w:rsidRPr="0043741A" w:rsidRDefault="00902FCD" w:rsidP="0043741A">
      <w:pPr>
        <w:pStyle w:val="FootnoteText"/>
        <w:spacing w:line="360" w:lineRule="auto"/>
        <w:rPr>
          <w:rFonts w:asciiTheme="majorBidi" w:eastAsiaTheme="minorHAnsi" w:hAnsiTheme="majorBidi" w:cstheme="majorBidi"/>
          <w:sz w:val="20"/>
          <w:szCs w:val="20"/>
        </w:rPr>
      </w:pPr>
      <w:r w:rsidRPr="0043741A">
        <w:rPr>
          <w:rFonts w:asciiTheme="majorBidi" w:eastAsiaTheme="minorHAnsi" w:hAnsiTheme="majorBidi" w:cstheme="majorBidi"/>
          <w:sz w:val="20"/>
          <w:szCs w:val="20"/>
          <w:vertAlign w:val="superscript"/>
        </w:rPr>
        <w:footnoteRef/>
      </w:r>
      <w:r w:rsidRPr="0043741A">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Narseh</w:t>
      </w:r>
      <w:r w:rsidRPr="0043741A">
        <w:rPr>
          <w:rFonts w:asciiTheme="majorBidi" w:eastAsiaTheme="minorHAnsi" w:hAnsiTheme="majorBidi" w:cstheme="majorBidi"/>
          <w:sz w:val="20"/>
          <w:szCs w:val="20"/>
        </w:rPr>
        <w:t xml:space="preserve"> was probably serving as a royal guard in the Tang capital, since foreign princes staying in the Tang court usually were royal guards and close to the Tang emperors.</w:t>
      </w:r>
    </w:p>
  </w:footnote>
  <w:footnote w:id="102">
    <w:p w14:paraId="2DCC15F8" w14:textId="5AF9BF25" w:rsidR="00902FCD" w:rsidRPr="00673F36" w:rsidRDefault="00902FCD" w:rsidP="00B51D22">
      <w:pPr>
        <w:pStyle w:val="FootnoteText"/>
        <w:spacing w:line="360" w:lineRule="auto"/>
        <w:rPr>
          <w:rFonts w:asciiTheme="majorBidi" w:hAnsiTheme="majorBidi" w:cstheme="majorBidi"/>
          <w:sz w:val="20"/>
          <w:szCs w:val="20"/>
        </w:rPr>
      </w:pPr>
      <w:r w:rsidRPr="00673F36">
        <w:rPr>
          <w:rStyle w:val="FootnoteReference"/>
          <w:rFonts w:asciiTheme="majorBidi" w:hAnsiTheme="majorBidi" w:cstheme="majorBidi"/>
          <w:sz w:val="20"/>
          <w:szCs w:val="20"/>
        </w:rPr>
        <w:footnoteRef/>
      </w:r>
      <w:r w:rsidRPr="00673F36">
        <w:rPr>
          <w:rFonts w:asciiTheme="majorBidi" w:hAnsiTheme="majorBidi" w:cstheme="majorBidi"/>
          <w:sz w:val="20"/>
          <w:szCs w:val="20"/>
        </w:rPr>
        <w:t xml:space="preserve"> </w:t>
      </w:r>
      <w:r w:rsidRPr="00447151">
        <w:rPr>
          <w:rFonts w:asciiTheme="majorBidi" w:hAnsiTheme="majorBidi" w:cstheme="majorBidi"/>
          <w:sz w:val="20"/>
          <w:szCs w:val="20"/>
        </w:rPr>
        <w:t xml:space="preserve">Although the </w:t>
      </w:r>
      <w:r w:rsidRPr="00447151">
        <w:rPr>
          <w:rFonts w:asciiTheme="majorBidi" w:hAnsiTheme="majorBidi" w:cstheme="majorBidi"/>
          <w:i/>
          <w:iCs/>
          <w:sz w:val="20"/>
          <w:szCs w:val="20"/>
        </w:rPr>
        <w:t>Jiu Tangshu</w:t>
      </w:r>
      <w:r w:rsidRPr="00447151">
        <w:rPr>
          <w:rFonts w:asciiTheme="majorBidi" w:hAnsiTheme="majorBidi" w:cstheme="majorBidi"/>
          <w:sz w:val="20"/>
          <w:szCs w:val="20"/>
        </w:rPr>
        <w:t xml:space="preserve"> records that Pērōz was escorted, the other sources, including Pei’s biography in both dynastic histories of the Tang and Pei’s epitaph, show that it is secure to conclude that Narseh instead of Pērōz was escorted </w:t>
      </w:r>
      <w:r>
        <w:rPr>
          <w:rFonts w:asciiTheme="majorBidi" w:hAnsiTheme="majorBidi" w:cstheme="majorBidi"/>
          <w:sz w:val="24"/>
          <w:szCs w:val="24"/>
        </w:rPr>
        <w:t>(</w:t>
      </w:r>
      <w:r w:rsidRPr="00444D4A">
        <w:rPr>
          <w:rFonts w:asciiTheme="majorBidi" w:eastAsiaTheme="minorHAnsi" w:hAnsiTheme="majorBidi" w:cstheme="majorBidi"/>
          <w:sz w:val="20"/>
          <w:szCs w:val="20"/>
        </w:rPr>
        <w:t xml:space="preserve">Liu, 1995, volume 84, </w:t>
      </w:r>
      <w:r>
        <w:rPr>
          <w:rFonts w:asciiTheme="majorBidi" w:eastAsiaTheme="minorHAnsi" w:hAnsiTheme="majorBidi" w:cstheme="majorBidi"/>
          <w:sz w:val="20"/>
          <w:szCs w:val="20"/>
        </w:rPr>
        <w:t>pp. 2802-3</w:t>
      </w:r>
      <w:r w:rsidRPr="00444D4A">
        <w:rPr>
          <w:rFonts w:asciiTheme="majorBidi" w:eastAsiaTheme="minorHAnsi" w:hAnsiTheme="majorBidi" w:cstheme="majorBidi"/>
          <w:sz w:val="20"/>
          <w:szCs w:val="20"/>
        </w:rPr>
        <w:t xml:space="preserve">; Ouyang &amp; Song, 1995, </w:t>
      </w:r>
      <w:r w:rsidRPr="00697741">
        <w:rPr>
          <w:rFonts w:asciiTheme="majorBidi" w:eastAsiaTheme="minorHAnsi" w:hAnsiTheme="majorBidi" w:cstheme="majorBidi"/>
          <w:sz w:val="20"/>
          <w:szCs w:val="20"/>
        </w:rPr>
        <w:t xml:space="preserve">volume </w:t>
      </w:r>
      <w:r>
        <w:rPr>
          <w:rFonts w:asciiTheme="majorBidi" w:eastAsiaTheme="minorHAnsi" w:hAnsiTheme="majorBidi" w:cstheme="majorBidi"/>
          <w:sz w:val="20"/>
          <w:szCs w:val="20"/>
        </w:rPr>
        <w:t xml:space="preserve">108, pp. 4086-7; the </w:t>
      </w:r>
      <w:r w:rsidRPr="00444D4A">
        <w:rPr>
          <w:rFonts w:asciiTheme="majorBidi" w:eastAsiaTheme="minorHAnsi" w:hAnsiTheme="majorBidi" w:cstheme="majorBidi"/>
          <w:i/>
          <w:iCs/>
          <w:sz w:val="20"/>
          <w:szCs w:val="20"/>
        </w:rPr>
        <w:t>Quan Tangwen</w:t>
      </w:r>
      <w:r w:rsidRPr="00444D4A">
        <w:rPr>
          <w:rFonts w:asciiTheme="majorBidi" w:eastAsiaTheme="minorHAnsi" w:hAnsiTheme="majorBidi" w:cstheme="majorBidi"/>
          <w:sz w:val="20"/>
          <w:szCs w:val="20"/>
        </w:rPr>
        <w:t xml:space="preserve">, </w:t>
      </w:r>
      <w:r>
        <w:rPr>
          <w:rFonts w:asciiTheme="majorBidi" w:eastAsiaTheme="minorHAnsi" w:hAnsiTheme="majorBidi" w:cstheme="majorBidi" w:hint="eastAsia"/>
          <w:sz w:val="20"/>
          <w:szCs w:val="20"/>
        </w:rPr>
        <w:t>volume</w:t>
      </w:r>
      <w:r>
        <w:rPr>
          <w:rFonts w:asciiTheme="majorBidi" w:eastAsiaTheme="minorHAnsi" w:hAnsiTheme="majorBidi" w:cstheme="majorBidi"/>
          <w:sz w:val="20"/>
          <w:szCs w:val="20"/>
        </w:rPr>
        <w:t xml:space="preserve"> 228 for the epitaphs of Pei and Wang</w:t>
      </w:r>
      <w:r>
        <w:rPr>
          <w:rFonts w:asciiTheme="majorBidi" w:hAnsiTheme="majorBidi" w:cstheme="majorBidi"/>
          <w:sz w:val="24"/>
          <w:szCs w:val="24"/>
        </w:rPr>
        <w:t xml:space="preserve">). </w:t>
      </w:r>
      <w:r>
        <w:rPr>
          <w:rFonts w:asciiTheme="majorBidi" w:hAnsiTheme="majorBidi" w:cstheme="majorBidi"/>
          <w:sz w:val="20"/>
          <w:szCs w:val="20"/>
        </w:rPr>
        <w:t xml:space="preserve">Additional information about the campaign includes </w:t>
      </w:r>
      <w:r w:rsidRPr="00673F36">
        <w:rPr>
          <w:rFonts w:asciiTheme="majorBidi" w:hAnsiTheme="majorBidi" w:cstheme="majorBidi"/>
          <w:sz w:val="20"/>
          <w:szCs w:val="20"/>
        </w:rPr>
        <w:t xml:space="preserve">Pei’s deputy </w:t>
      </w:r>
      <w:r>
        <w:rPr>
          <w:rFonts w:asciiTheme="majorBidi" w:hAnsiTheme="majorBidi" w:cstheme="majorBidi"/>
          <w:sz w:val="20"/>
          <w:szCs w:val="20"/>
        </w:rPr>
        <w:t xml:space="preserve">being </w:t>
      </w:r>
      <w:r w:rsidRPr="00673F36">
        <w:rPr>
          <w:rFonts w:asciiTheme="majorBidi" w:hAnsiTheme="majorBidi" w:cstheme="majorBidi"/>
          <w:sz w:val="20"/>
          <w:szCs w:val="20"/>
        </w:rPr>
        <w:t>Wang Fangyi (Liu, 1995, volume 185a, pp.</w:t>
      </w:r>
      <w:r>
        <w:rPr>
          <w:rFonts w:asciiTheme="majorBidi" w:hAnsiTheme="majorBidi" w:cstheme="majorBidi"/>
          <w:sz w:val="20"/>
          <w:szCs w:val="20"/>
        </w:rPr>
        <w:t xml:space="preserve"> 4802-3</w:t>
      </w:r>
      <w:r w:rsidRPr="00673F36">
        <w:rPr>
          <w:rFonts w:asciiTheme="majorBidi" w:hAnsiTheme="majorBidi" w:cstheme="majorBidi"/>
          <w:sz w:val="20"/>
          <w:szCs w:val="20"/>
        </w:rPr>
        <w:t xml:space="preserve">; Ouyang &amp; Song, 1995, volume 111, p. </w:t>
      </w:r>
      <w:r>
        <w:rPr>
          <w:rFonts w:asciiTheme="majorBidi" w:hAnsiTheme="majorBidi" w:cstheme="majorBidi"/>
          <w:sz w:val="20"/>
          <w:szCs w:val="20"/>
        </w:rPr>
        <w:t>4135</w:t>
      </w:r>
      <w:r w:rsidRPr="00673F36">
        <w:rPr>
          <w:rFonts w:asciiTheme="majorBidi" w:hAnsiTheme="majorBidi" w:cstheme="majorBidi"/>
          <w:sz w:val="20"/>
          <w:szCs w:val="20"/>
        </w:rPr>
        <w:t>)</w:t>
      </w:r>
      <w:r>
        <w:rPr>
          <w:rFonts w:asciiTheme="majorBidi" w:hAnsiTheme="majorBidi" w:cstheme="majorBidi"/>
          <w:sz w:val="20"/>
          <w:szCs w:val="20"/>
        </w:rPr>
        <w:t>. As for the Persian army, both Wang’s epitaph and the escorts’ names found in the Turfan manuscript show that the army were of Chinese soldiers.</w:t>
      </w:r>
    </w:p>
  </w:footnote>
  <w:footnote w:id="103">
    <w:p w14:paraId="4966B680" w14:textId="77777777" w:rsidR="00902FCD" w:rsidRPr="00083263" w:rsidRDefault="00902FCD" w:rsidP="00233FF7">
      <w:pPr>
        <w:pStyle w:val="FootnoteText"/>
        <w:spacing w:line="360" w:lineRule="auto"/>
        <w:rPr>
          <w:rFonts w:asciiTheme="majorBidi" w:eastAsiaTheme="minorHAnsi" w:hAnsiTheme="majorBidi" w:cstheme="majorBidi"/>
          <w:sz w:val="20"/>
          <w:szCs w:val="20"/>
        </w:rPr>
      </w:pPr>
      <w:r w:rsidRPr="00083263">
        <w:rPr>
          <w:rFonts w:asciiTheme="majorBidi" w:eastAsiaTheme="minorHAnsi" w:hAnsiTheme="majorBidi" w:cstheme="majorBidi"/>
          <w:sz w:val="20"/>
          <w:szCs w:val="20"/>
          <w:vertAlign w:val="superscript"/>
        </w:rPr>
        <w:footnoteRef/>
      </w:r>
      <w:r w:rsidRPr="00083263">
        <w:rPr>
          <w:rFonts w:asciiTheme="majorBidi" w:eastAsiaTheme="minorHAnsi" w:hAnsiTheme="majorBidi" w:cstheme="majorBidi"/>
          <w:sz w:val="20"/>
          <w:szCs w:val="20"/>
        </w:rPr>
        <w:t xml:space="preserve"> </w:t>
      </w:r>
      <w:r w:rsidRPr="006B4BC9">
        <w:rPr>
          <w:rFonts w:asciiTheme="majorBidi" w:eastAsiaTheme="minorHAnsi" w:hAnsiTheme="majorBidi" w:cstheme="majorBidi"/>
          <w:sz w:val="20"/>
          <w:szCs w:val="20"/>
        </w:rPr>
        <w:t>Liu, 1995, volume 198, p. 5313</w:t>
      </w:r>
      <w:r>
        <w:rPr>
          <w:rFonts w:asciiTheme="majorBidi" w:eastAsiaTheme="minorHAnsi" w:hAnsiTheme="majorBidi" w:cstheme="majorBidi"/>
          <w:sz w:val="20"/>
          <w:szCs w:val="20"/>
        </w:rPr>
        <w:t>; tr., Appendix II.</w:t>
      </w:r>
      <w:r w:rsidRPr="006B4BC9">
        <w:rPr>
          <w:rFonts w:asciiTheme="majorBidi" w:eastAsiaTheme="minorHAnsi" w:hAnsiTheme="majorBidi" w:cstheme="majorBidi"/>
          <w:sz w:val="20"/>
          <w:szCs w:val="20"/>
        </w:rPr>
        <w:t xml:space="preserve"> Ouyang &amp; Song, 1995, volume 221b, p. 6259</w:t>
      </w:r>
      <w:r>
        <w:rPr>
          <w:rFonts w:asciiTheme="majorBidi" w:eastAsiaTheme="minorHAnsi" w:hAnsiTheme="majorBidi" w:cstheme="majorBidi"/>
          <w:sz w:val="20"/>
          <w:szCs w:val="20"/>
        </w:rPr>
        <w:t>; tr., Appendix II</w:t>
      </w:r>
      <w:r w:rsidRPr="006B4BC9">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Cen, </w:t>
      </w:r>
      <w:r w:rsidRPr="00083263">
        <w:rPr>
          <w:rFonts w:asciiTheme="majorBidi" w:eastAsiaTheme="minorHAnsi" w:hAnsiTheme="majorBidi" w:cstheme="majorBidi" w:hint="eastAsia"/>
          <w:sz w:val="20"/>
          <w:szCs w:val="20"/>
        </w:rPr>
        <w:t>1</w:t>
      </w:r>
      <w:r w:rsidRPr="00083263">
        <w:rPr>
          <w:rFonts w:asciiTheme="majorBidi" w:eastAsiaTheme="minorHAnsi" w:hAnsiTheme="majorBidi" w:cstheme="majorBidi"/>
          <w:sz w:val="20"/>
          <w:szCs w:val="20"/>
        </w:rPr>
        <w:t>958, pp. 58-9</w:t>
      </w:r>
      <w:r>
        <w:rPr>
          <w:rFonts w:asciiTheme="majorBidi" w:eastAsiaTheme="minorHAnsi" w:hAnsiTheme="majorBidi" w:cstheme="majorBidi"/>
          <w:sz w:val="20"/>
          <w:szCs w:val="20"/>
        </w:rPr>
        <w:t>. Both Beckwith (1987, pp. 45-6) and Wang (2009, p. 76) follow Cen and argue that Pei undertook the mission in the year 679 CE.</w:t>
      </w:r>
    </w:p>
  </w:footnote>
  <w:footnote w:id="104">
    <w:p w14:paraId="047416D5" w14:textId="77777777" w:rsidR="00902FCD" w:rsidRPr="00673F36" w:rsidRDefault="00902FCD" w:rsidP="00233FF7">
      <w:pPr>
        <w:pStyle w:val="FootnoteText"/>
        <w:spacing w:line="360" w:lineRule="auto"/>
        <w:rPr>
          <w:rFonts w:asciiTheme="majorBidi" w:eastAsiaTheme="minorHAnsi" w:hAnsiTheme="majorBidi" w:cstheme="majorBidi"/>
          <w:sz w:val="20"/>
          <w:szCs w:val="20"/>
        </w:rPr>
      </w:pPr>
      <w:r w:rsidRPr="00673F36">
        <w:rPr>
          <w:rFonts w:asciiTheme="majorBidi" w:eastAsiaTheme="minorHAnsi" w:hAnsiTheme="majorBidi" w:cstheme="majorBidi"/>
          <w:sz w:val="20"/>
          <w:szCs w:val="20"/>
          <w:vertAlign w:val="superscript"/>
        </w:rPr>
        <w:footnoteRef/>
      </w:r>
      <w:r w:rsidRPr="00673F36">
        <w:rPr>
          <w:rFonts w:asciiTheme="majorBidi" w:eastAsiaTheme="minorHAnsi" w:hAnsiTheme="majorBidi" w:cstheme="majorBidi"/>
          <w:sz w:val="20"/>
          <w:szCs w:val="20"/>
          <w:vertAlign w:val="superscript"/>
        </w:rPr>
        <w:t xml:space="preserve"> </w:t>
      </w:r>
      <w:r w:rsidRPr="00673F36">
        <w:rPr>
          <w:rFonts w:asciiTheme="majorBidi" w:eastAsiaTheme="minorHAnsi" w:hAnsiTheme="majorBidi" w:cstheme="majorBidi"/>
          <w:sz w:val="20"/>
          <w:szCs w:val="20"/>
        </w:rPr>
        <w:t>Jiang, 1994, pp. 37-50.</w:t>
      </w:r>
      <w:r>
        <w:rPr>
          <w:rFonts w:asciiTheme="majorBidi" w:eastAsiaTheme="minorHAnsi" w:hAnsiTheme="majorBidi" w:cstheme="majorBidi"/>
          <w:sz w:val="20"/>
          <w:szCs w:val="20"/>
        </w:rPr>
        <w:t xml:space="preserve"> The Turfan manuscripts even record some of the names, ages and other information of the escorts.</w:t>
      </w:r>
    </w:p>
  </w:footnote>
  <w:footnote w:id="105">
    <w:p w14:paraId="3843E66E" w14:textId="7592FA6F" w:rsidR="00902FCD" w:rsidRPr="00447151" w:rsidRDefault="00902FCD" w:rsidP="00447151">
      <w:pPr>
        <w:pStyle w:val="FootnoteText"/>
        <w:spacing w:line="360" w:lineRule="auto"/>
        <w:rPr>
          <w:rFonts w:asciiTheme="majorBidi" w:hAnsiTheme="majorBidi" w:cstheme="majorBidi"/>
          <w:sz w:val="20"/>
          <w:szCs w:val="20"/>
        </w:rPr>
      </w:pPr>
      <w:r w:rsidRPr="00447151">
        <w:rPr>
          <w:rFonts w:asciiTheme="majorBidi" w:hAnsiTheme="majorBidi" w:cstheme="majorBidi"/>
          <w:sz w:val="20"/>
          <w:szCs w:val="20"/>
          <w:vertAlign w:val="superscript"/>
        </w:rPr>
        <w:footnoteRef/>
      </w:r>
      <w:r w:rsidRPr="00447151">
        <w:rPr>
          <w:rFonts w:asciiTheme="majorBidi" w:hAnsiTheme="majorBidi" w:cstheme="majorBidi"/>
          <w:sz w:val="20"/>
          <w:szCs w:val="20"/>
        </w:rPr>
        <w:t xml:space="preserve"> Liu, 1995, volume 198, p. 5313; tr., Appendix II; Ouyang &amp; Song, 1995, volume 221b, p. 6259; tr., Appendix II.</w:t>
      </w:r>
    </w:p>
  </w:footnote>
  <w:footnote w:id="106">
    <w:p w14:paraId="71C6D0D7" w14:textId="2A763CDD" w:rsidR="00902FCD" w:rsidRPr="00364FEE" w:rsidRDefault="00902FCD" w:rsidP="00B307F9">
      <w:pPr>
        <w:pStyle w:val="FootnoteText"/>
        <w:spacing w:line="360" w:lineRule="auto"/>
        <w:rPr>
          <w:rFonts w:asciiTheme="majorBidi" w:hAnsiTheme="majorBidi" w:cstheme="majorBidi"/>
          <w:sz w:val="20"/>
          <w:szCs w:val="20"/>
        </w:rPr>
      </w:pPr>
      <w:r w:rsidRPr="00364FEE">
        <w:rPr>
          <w:rStyle w:val="FootnoteReference"/>
          <w:rFonts w:asciiTheme="majorBidi" w:hAnsiTheme="majorBidi" w:cstheme="majorBidi"/>
          <w:sz w:val="20"/>
          <w:szCs w:val="20"/>
        </w:rPr>
        <w:footnoteRef/>
      </w:r>
      <w:r w:rsidRPr="00364FEE">
        <w:rPr>
          <w:rFonts w:asciiTheme="majorBidi" w:hAnsiTheme="majorBidi" w:cstheme="majorBidi"/>
          <w:sz w:val="20"/>
          <w:szCs w:val="20"/>
        </w:rPr>
        <w:t xml:space="preserve"> </w:t>
      </w:r>
      <w:r>
        <w:rPr>
          <w:rFonts w:asciiTheme="majorBidi" w:hAnsiTheme="majorBidi" w:cstheme="majorBidi"/>
          <w:sz w:val="20"/>
          <w:szCs w:val="20"/>
        </w:rPr>
        <w:t>When</w:t>
      </w:r>
      <w:r w:rsidRPr="00364FEE">
        <w:rPr>
          <w:rFonts w:asciiTheme="majorBidi" w:hAnsiTheme="majorBidi" w:cstheme="majorBidi"/>
          <w:sz w:val="20"/>
          <w:szCs w:val="20"/>
        </w:rPr>
        <w:t xml:space="preserve"> leaving Khurasan for Iraq in 683/4 CE, Salm b. Ziyād appointed governors over </w:t>
      </w:r>
      <w:r w:rsidRPr="00364FEE">
        <w:rPr>
          <w:rFonts w:asciiTheme="majorBidi" w:eastAsiaTheme="minorHAnsi" w:hAnsiTheme="majorBidi" w:cstheme="majorBidi"/>
          <w:sz w:val="20"/>
          <w:szCs w:val="20"/>
        </w:rPr>
        <w:t>Marw al-Rūd, Fāryāb, Tālaqān, Jūzjān and Herat</w:t>
      </w:r>
      <w:r>
        <w:rPr>
          <w:rFonts w:asciiTheme="majorBidi" w:eastAsiaTheme="minorHAnsi" w:hAnsiTheme="majorBidi" w:cstheme="majorBidi"/>
          <w:sz w:val="20"/>
          <w:szCs w:val="20"/>
        </w:rPr>
        <w:t xml:space="preserve">, which were all in </w:t>
      </w:r>
      <w:r w:rsidRPr="009D4436">
        <w:rPr>
          <w:rFonts w:asciiTheme="majorBidi" w:eastAsiaTheme="minorHAnsi" w:hAnsiTheme="majorBidi" w:cstheme="majorBidi"/>
          <w:sz w:val="20"/>
          <w:szCs w:val="20"/>
        </w:rPr>
        <w:t>Ṭukhāristān</w:t>
      </w:r>
      <w:r w:rsidRPr="00364FEE">
        <w:rPr>
          <w:rFonts w:asciiTheme="majorBidi" w:eastAsiaTheme="minorHAnsi" w:hAnsiTheme="majorBidi" w:cstheme="majorBidi"/>
          <w:sz w:val="20"/>
          <w:szCs w:val="20"/>
        </w:rPr>
        <w:t xml:space="preserve"> (</w:t>
      </w:r>
      <w:r w:rsidRPr="0092605F">
        <w:rPr>
          <w:rFonts w:asciiTheme="majorBidi" w:hAnsiTheme="majorBidi" w:cstheme="majorBidi"/>
          <w:sz w:val="20"/>
          <w:szCs w:val="20"/>
        </w:rPr>
        <w:t xml:space="preserve">2001, vol. 3, p. 387; </w:t>
      </w:r>
      <w:r>
        <w:rPr>
          <w:rFonts w:asciiTheme="majorBidi" w:hAnsiTheme="majorBidi" w:cstheme="majorBidi"/>
          <w:sz w:val="20"/>
          <w:szCs w:val="20"/>
        </w:rPr>
        <w:t>tr.</w:t>
      </w:r>
      <w:r w:rsidRPr="0092605F">
        <w:rPr>
          <w:rFonts w:asciiTheme="majorBidi" w:hAnsiTheme="majorBidi" w:cstheme="majorBidi"/>
          <w:sz w:val="20"/>
          <w:szCs w:val="20"/>
        </w:rPr>
        <w:t xml:space="preserve">, 1989, vol. XX, pp. 71-2; see also </w:t>
      </w:r>
      <w:r>
        <w:rPr>
          <w:rFonts w:asciiTheme="majorBidi" w:eastAsiaTheme="minorHAnsi" w:hAnsiTheme="majorBidi" w:cstheme="majorBidi"/>
          <w:sz w:val="20"/>
          <w:szCs w:val="20"/>
        </w:rPr>
        <w:t>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3, p. 484</w:t>
      </w:r>
      <w:r w:rsidRPr="00364FEE">
        <w:rPr>
          <w:rFonts w:asciiTheme="majorBidi" w:eastAsiaTheme="minorHAnsi" w:hAnsiTheme="majorBidi" w:cstheme="majorBidi"/>
          <w:sz w:val="20"/>
          <w:szCs w:val="20"/>
        </w:rPr>
        <w:t>)</w:t>
      </w:r>
      <w:r>
        <w:rPr>
          <w:rFonts w:asciiTheme="majorBidi" w:eastAsiaTheme="minorHAnsi" w:hAnsiTheme="majorBidi" w:cstheme="majorBidi"/>
          <w:sz w:val="20"/>
          <w:szCs w:val="20"/>
        </w:rPr>
        <w:t>.</w:t>
      </w:r>
    </w:p>
  </w:footnote>
  <w:footnote w:id="107">
    <w:p w14:paraId="7346C036" w14:textId="77777777" w:rsidR="00902FCD" w:rsidRPr="00804603" w:rsidRDefault="00902FCD" w:rsidP="00B307F9">
      <w:pPr>
        <w:pStyle w:val="FootnoteText"/>
        <w:spacing w:line="360" w:lineRule="auto"/>
        <w:rPr>
          <w:rFonts w:asciiTheme="majorBidi" w:eastAsiaTheme="minorHAnsi" w:hAnsiTheme="majorBidi" w:cstheme="majorBidi"/>
          <w:sz w:val="20"/>
          <w:szCs w:val="20"/>
        </w:rPr>
      </w:pPr>
      <w:r w:rsidRPr="00D3079B">
        <w:rPr>
          <w:rFonts w:asciiTheme="majorBidi" w:eastAsiaTheme="minorHAnsi" w:hAnsiTheme="majorBidi" w:cstheme="majorBidi"/>
          <w:sz w:val="20"/>
          <w:szCs w:val="20"/>
          <w:vertAlign w:val="superscript"/>
        </w:rPr>
        <w:footnoteRef/>
      </w:r>
      <w:r w:rsidRPr="00804603">
        <w:rPr>
          <w:rFonts w:asciiTheme="majorBidi" w:eastAsiaTheme="minorHAnsi" w:hAnsiTheme="majorBidi" w:cstheme="majorBidi"/>
          <w:sz w:val="20"/>
          <w:szCs w:val="20"/>
        </w:rPr>
        <w:t xml:space="preserve"> </w:t>
      </w:r>
      <w:r w:rsidRPr="00F87E31">
        <w:rPr>
          <w:rFonts w:asciiTheme="majorBidi" w:eastAsiaTheme="minorHAnsi" w:hAnsiTheme="majorBidi" w:cstheme="majorBidi"/>
          <w:sz w:val="20"/>
          <w:szCs w:val="20"/>
        </w:rPr>
        <w:t>Liu, 1995, volume 198, p. 5313; tr., Appendix II</w:t>
      </w:r>
      <w:r>
        <w:rPr>
          <w:rFonts w:asciiTheme="majorBidi" w:eastAsiaTheme="minorHAnsi" w:hAnsiTheme="majorBidi" w:cstheme="majorBidi"/>
          <w:sz w:val="20"/>
          <w:szCs w:val="20"/>
        </w:rPr>
        <w:t>.</w:t>
      </w:r>
    </w:p>
  </w:footnote>
  <w:footnote w:id="108">
    <w:p w14:paraId="2F393378" w14:textId="7C6A96FE" w:rsidR="00902FCD" w:rsidRPr="00103C13" w:rsidRDefault="00902FCD" w:rsidP="00103C13">
      <w:pPr>
        <w:pStyle w:val="FootnoteText"/>
        <w:spacing w:line="360" w:lineRule="auto"/>
        <w:rPr>
          <w:rFonts w:asciiTheme="majorBidi" w:eastAsiaTheme="minorHAnsi" w:hAnsiTheme="majorBidi" w:cstheme="majorBidi"/>
          <w:sz w:val="20"/>
          <w:szCs w:val="20"/>
        </w:rPr>
      </w:pPr>
      <w:r w:rsidRPr="003307DD">
        <w:rPr>
          <w:rFonts w:asciiTheme="majorBidi" w:hAnsiTheme="majorBidi" w:cstheme="majorBidi"/>
          <w:sz w:val="20"/>
          <w:szCs w:val="20"/>
          <w:vertAlign w:val="superscript"/>
        </w:rPr>
        <w:footnoteRef/>
      </w:r>
      <w:r w:rsidRPr="003307DD">
        <w:rPr>
          <w:rFonts w:asciiTheme="majorBidi" w:hAnsiTheme="majorBidi" w:cstheme="majorBidi"/>
          <w:sz w:val="20"/>
          <w:szCs w:val="20"/>
        </w:rPr>
        <w:t xml:space="preserve"> </w:t>
      </w:r>
      <w:r w:rsidRPr="006545FA">
        <w:rPr>
          <w:rFonts w:asciiTheme="majorBidi" w:eastAsiaTheme="minorHAnsi" w:hAnsiTheme="majorBidi" w:cstheme="majorBidi"/>
          <w:sz w:val="20"/>
          <w:szCs w:val="20"/>
        </w:rPr>
        <w:t xml:space="preserve">The </w:t>
      </w:r>
      <w:r>
        <w:rPr>
          <w:rFonts w:asciiTheme="majorBidi" w:eastAsiaTheme="minorHAnsi" w:hAnsiTheme="majorBidi" w:cstheme="majorBidi"/>
          <w:sz w:val="20"/>
          <w:szCs w:val="20"/>
        </w:rPr>
        <w:t xml:space="preserve">Chinese </w:t>
      </w:r>
      <w:r w:rsidRPr="006545FA">
        <w:rPr>
          <w:rFonts w:asciiTheme="majorBidi" w:eastAsiaTheme="minorHAnsi" w:hAnsiTheme="majorBidi" w:cstheme="majorBidi"/>
          <w:sz w:val="20"/>
          <w:szCs w:val="20"/>
        </w:rPr>
        <w:t xml:space="preserve">sources include the </w:t>
      </w:r>
      <w:r w:rsidRPr="008B64EA">
        <w:rPr>
          <w:rFonts w:asciiTheme="majorBidi" w:eastAsiaTheme="minorHAnsi" w:hAnsiTheme="majorBidi" w:cstheme="majorBidi"/>
          <w:i/>
          <w:iCs/>
          <w:sz w:val="20"/>
          <w:szCs w:val="20"/>
        </w:rPr>
        <w:t>Jiu Tangshu</w:t>
      </w:r>
      <w:r w:rsidRPr="006545FA">
        <w:rPr>
          <w:rFonts w:asciiTheme="majorBidi" w:eastAsiaTheme="minorHAnsi" w:hAnsiTheme="majorBidi" w:cstheme="majorBidi"/>
          <w:sz w:val="20"/>
          <w:szCs w:val="20"/>
        </w:rPr>
        <w:t xml:space="preserve"> (</w:t>
      </w:r>
      <w:r w:rsidRPr="003A44CA">
        <w:rPr>
          <w:rFonts w:asciiTheme="majorBidi" w:eastAsiaTheme="minorHAnsi" w:hAnsiTheme="majorBidi" w:cstheme="majorBidi"/>
          <w:sz w:val="20"/>
          <w:szCs w:val="20"/>
        </w:rPr>
        <w:t>Liu, 1995, volume 198, pp. 5312-3</w:t>
      </w:r>
      <w:r>
        <w:rPr>
          <w:rFonts w:asciiTheme="majorBidi" w:eastAsiaTheme="minorHAnsi" w:hAnsiTheme="majorBidi" w:cstheme="majorBidi"/>
          <w:sz w:val="20"/>
          <w:szCs w:val="20"/>
        </w:rPr>
        <w:t xml:space="preserve">; </w:t>
      </w:r>
      <w:r>
        <w:rPr>
          <w:rFonts w:asciiTheme="majorBidi" w:hAnsiTheme="majorBidi" w:cstheme="majorBidi"/>
          <w:sz w:val="20"/>
          <w:szCs w:val="20"/>
        </w:rPr>
        <w:t>tr.</w:t>
      </w:r>
      <w:r>
        <w:rPr>
          <w:rFonts w:asciiTheme="majorBidi" w:eastAsiaTheme="minorHAnsi" w:hAnsiTheme="majorBidi" w:cstheme="majorBidi"/>
          <w:sz w:val="20"/>
          <w:szCs w:val="20"/>
        </w:rPr>
        <w:t>, Appendix II</w:t>
      </w:r>
      <w:r w:rsidRPr="006545FA">
        <w:rPr>
          <w:rFonts w:asciiTheme="majorBidi" w:eastAsiaTheme="minorHAnsi" w:hAnsiTheme="majorBidi" w:cstheme="majorBidi"/>
          <w:sz w:val="20"/>
          <w:szCs w:val="20"/>
        </w:rPr>
        <w:t xml:space="preserve">), the </w:t>
      </w:r>
      <w:r w:rsidRPr="008B64EA">
        <w:rPr>
          <w:rFonts w:asciiTheme="majorBidi" w:eastAsiaTheme="minorHAnsi" w:hAnsiTheme="majorBidi" w:cstheme="majorBidi"/>
          <w:i/>
          <w:iCs/>
          <w:sz w:val="20"/>
          <w:szCs w:val="20"/>
        </w:rPr>
        <w:t>Xin Tangshu</w:t>
      </w:r>
      <w:r w:rsidRPr="006545FA">
        <w:rPr>
          <w:rFonts w:asciiTheme="majorBidi" w:eastAsiaTheme="minorHAnsi" w:hAnsiTheme="majorBidi" w:cstheme="majorBidi"/>
          <w:sz w:val="20"/>
          <w:szCs w:val="20"/>
        </w:rPr>
        <w:t xml:space="preserve"> (</w:t>
      </w:r>
      <w:r w:rsidRPr="007D4514">
        <w:rPr>
          <w:rFonts w:asciiTheme="majorBidi" w:eastAsiaTheme="minorHAnsi" w:hAnsiTheme="majorBidi" w:cstheme="majorBidi"/>
          <w:sz w:val="20"/>
          <w:szCs w:val="20"/>
        </w:rPr>
        <w:t>Ouyang &amp; Song, 1995, volume 221b, p. 6259</w:t>
      </w:r>
      <w:r>
        <w:rPr>
          <w:rFonts w:asciiTheme="majorBidi" w:eastAsiaTheme="minorHAnsi" w:hAnsiTheme="majorBidi" w:cstheme="majorBidi"/>
          <w:sz w:val="20"/>
          <w:szCs w:val="20"/>
        </w:rPr>
        <w:t>; tr., Appendix II</w:t>
      </w:r>
      <w:r w:rsidRPr="006545FA">
        <w:rPr>
          <w:rFonts w:asciiTheme="majorBidi" w:eastAsiaTheme="minorHAnsi" w:hAnsiTheme="majorBidi" w:cstheme="majorBidi"/>
          <w:sz w:val="20"/>
          <w:szCs w:val="20"/>
        </w:rPr>
        <w:t xml:space="preserve">), and the </w:t>
      </w:r>
      <w:r w:rsidRPr="008B64EA">
        <w:rPr>
          <w:rFonts w:asciiTheme="majorBidi" w:eastAsiaTheme="minorHAnsi" w:hAnsiTheme="majorBidi" w:cstheme="majorBidi"/>
          <w:i/>
          <w:iCs/>
          <w:sz w:val="20"/>
          <w:szCs w:val="20"/>
        </w:rPr>
        <w:t>Zizhi tongjian</w:t>
      </w:r>
      <w:r w:rsidRPr="006545FA">
        <w:rPr>
          <w:rFonts w:asciiTheme="majorBidi" w:eastAsiaTheme="minorHAnsi" w:hAnsiTheme="majorBidi" w:cstheme="majorBidi"/>
          <w:sz w:val="20"/>
          <w:szCs w:val="20"/>
        </w:rPr>
        <w:t xml:space="preserve"> (</w:t>
      </w:r>
      <w:r w:rsidRPr="00B95C14">
        <w:rPr>
          <w:rFonts w:asciiTheme="majorBidi" w:eastAsiaTheme="minorHAnsi" w:hAnsiTheme="majorBidi" w:cstheme="majorBidi"/>
          <w:sz w:val="20"/>
          <w:szCs w:val="20"/>
        </w:rPr>
        <w:t>Sima</w:t>
      </w:r>
      <w:r>
        <w:rPr>
          <w:rFonts w:asciiTheme="majorBidi" w:eastAsiaTheme="minorHAnsi" w:hAnsiTheme="majorBidi" w:cstheme="majorBidi"/>
          <w:sz w:val="20"/>
          <w:szCs w:val="20"/>
        </w:rPr>
        <w:t xml:space="preserve">, </w:t>
      </w:r>
      <w:r w:rsidRPr="00B95C14">
        <w:rPr>
          <w:rFonts w:asciiTheme="majorBidi" w:eastAsiaTheme="minorHAnsi" w:hAnsiTheme="majorBidi" w:cstheme="majorBidi"/>
          <w:sz w:val="20"/>
          <w:szCs w:val="20"/>
        </w:rPr>
        <w:t>1964, volume 199, p. 6285</w:t>
      </w:r>
      <w:r w:rsidRPr="006545FA">
        <w:rPr>
          <w:rFonts w:asciiTheme="majorBidi" w:eastAsiaTheme="minorHAnsi" w:hAnsiTheme="majorBidi" w:cstheme="majorBidi"/>
          <w:sz w:val="20"/>
          <w:szCs w:val="20"/>
        </w:rPr>
        <w:t>).</w:t>
      </w:r>
    </w:p>
  </w:footnote>
  <w:footnote w:id="109">
    <w:p w14:paraId="64A1846E" w14:textId="57227636" w:rsidR="00902FCD" w:rsidRPr="00593C06" w:rsidRDefault="00902FCD" w:rsidP="00593C06">
      <w:pPr>
        <w:pStyle w:val="FootnoteText"/>
        <w:spacing w:line="360" w:lineRule="auto"/>
        <w:rPr>
          <w:rFonts w:asciiTheme="majorBidi" w:eastAsiaTheme="minorHAnsi" w:hAnsiTheme="majorBidi" w:cstheme="majorBidi"/>
          <w:sz w:val="20"/>
          <w:szCs w:val="20"/>
        </w:rPr>
      </w:pPr>
      <w:r w:rsidRPr="00593C06">
        <w:rPr>
          <w:rFonts w:asciiTheme="majorBidi" w:eastAsiaTheme="minorHAnsi" w:hAnsiTheme="majorBidi" w:cstheme="majorBidi"/>
          <w:sz w:val="20"/>
          <w:szCs w:val="20"/>
          <w:vertAlign w:val="superscript"/>
        </w:rPr>
        <w:footnoteRef/>
      </w:r>
      <w:r w:rsidRPr="00593C06">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 xml:space="preserve">Ibn al-Faqīh (1996, p. 417: </w:t>
      </w:r>
      <w:r w:rsidRPr="00122894">
        <w:rPr>
          <w:rFonts w:asciiTheme="majorBidi" w:eastAsiaTheme="minorHAnsi" w:hAnsiTheme="majorBidi" w:cs="Times New Roman" w:hint="cs"/>
          <w:sz w:val="20"/>
          <w:szCs w:val="20"/>
          <w:rtl/>
          <w:lang w:bidi="ar-SA"/>
        </w:rPr>
        <w:t>ظفر</w:t>
      </w:r>
      <w:r w:rsidRPr="00122894">
        <w:rPr>
          <w:rFonts w:asciiTheme="majorBidi" w:eastAsiaTheme="minorHAnsi" w:hAnsiTheme="majorBidi" w:cs="Times New Roman"/>
          <w:sz w:val="20"/>
          <w:szCs w:val="20"/>
          <w:rtl/>
          <w:lang w:bidi="ar-SA"/>
        </w:rPr>
        <w:t xml:space="preserve"> </w:t>
      </w:r>
      <w:r w:rsidRPr="00122894">
        <w:rPr>
          <w:rFonts w:asciiTheme="majorBidi" w:eastAsiaTheme="minorHAnsi" w:hAnsiTheme="majorBidi" w:cs="Times New Roman" w:hint="cs"/>
          <w:sz w:val="20"/>
          <w:szCs w:val="20"/>
          <w:rtl/>
          <w:lang w:bidi="ar-SA"/>
        </w:rPr>
        <w:t>قتيبة</w:t>
      </w:r>
      <w:r w:rsidRPr="00122894">
        <w:rPr>
          <w:rFonts w:asciiTheme="majorBidi" w:eastAsiaTheme="minorHAnsi" w:hAnsiTheme="majorBidi" w:cs="Times New Roman"/>
          <w:sz w:val="20"/>
          <w:szCs w:val="20"/>
          <w:rtl/>
          <w:lang w:bidi="ar-SA"/>
        </w:rPr>
        <w:t xml:space="preserve"> </w:t>
      </w:r>
      <w:r w:rsidRPr="00122894">
        <w:rPr>
          <w:rFonts w:asciiTheme="majorBidi" w:eastAsiaTheme="minorHAnsi" w:hAnsiTheme="majorBidi" w:cs="Times New Roman" w:hint="cs"/>
          <w:sz w:val="20"/>
          <w:szCs w:val="20"/>
          <w:rtl/>
          <w:lang w:bidi="ar-SA"/>
        </w:rPr>
        <w:t>بن</w:t>
      </w:r>
      <w:r w:rsidRPr="00122894">
        <w:rPr>
          <w:rFonts w:asciiTheme="majorBidi" w:eastAsiaTheme="minorHAnsi" w:hAnsiTheme="majorBidi" w:cs="Times New Roman"/>
          <w:sz w:val="20"/>
          <w:szCs w:val="20"/>
          <w:rtl/>
          <w:lang w:bidi="ar-SA"/>
        </w:rPr>
        <w:t xml:space="preserve"> </w:t>
      </w:r>
      <w:r w:rsidRPr="00122894">
        <w:rPr>
          <w:rFonts w:asciiTheme="majorBidi" w:eastAsiaTheme="minorHAnsi" w:hAnsiTheme="majorBidi" w:cs="Times New Roman" w:hint="cs"/>
          <w:sz w:val="20"/>
          <w:szCs w:val="20"/>
          <w:rtl/>
          <w:lang w:bidi="ar-SA"/>
        </w:rPr>
        <w:t>مسلم</w:t>
      </w:r>
      <w:r w:rsidRPr="00122894">
        <w:rPr>
          <w:rFonts w:asciiTheme="majorBidi" w:eastAsiaTheme="minorHAnsi" w:hAnsiTheme="majorBidi" w:cs="Times New Roman"/>
          <w:sz w:val="20"/>
          <w:szCs w:val="20"/>
          <w:rtl/>
          <w:lang w:bidi="ar-SA"/>
        </w:rPr>
        <w:t xml:space="preserve"> </w:t>
      </w:r>
      <w:r w:rsidRPr="00122894">
        <w:rPr>
          <w:rFonts w:asciiTheme="majorBidi" w:eastAsiaTheme="minorHAnsi" w:hAnsiTheme="majorBidi" w:cs="Times New Roman" w:hint="cs"/>
          <w:sz w:val="20"/>
          <w:szCs w:val="20"/>
          <w:rtl/>
          <w:lang w:bidi="ar-SA"/>
        </w:rPr>
        <w:t>بفيروز</w:t>
      </w:r>
      <w:r w:rsidRPr="00122894">
        <w:rPr>
          <w:rFonts w:asciiTheme="majorBidi" w:eastAsiaTheme="minorHAnsi" w:hAnsiTheme="majorBidi" w:cs="Times New Roman"/>
          <w:sz w:val="20"/>
          <w:szCs w:val="20"/>
          <w:rtl/>
          <w:lang w:bidi="ar-SA"/>
        </w:rPr>
        <w:t xml:space="preserve"> </w:t>
      </w:r>
      <w:r w:rsidRPr="00122894">
        <w:rPr>
          <w:rFonts w:asciiTheme="majorBidi" w:eastAsiaTheme="minorHAnsi" w:hAnsiTheme="majorBidi" w:cs="Times New Roman" w:hint="cs"/>
          <w:sz w:val="20"/>
          <w:szCs w:val="20"/>
          <w:rtl/>
          <w:lang w:bidi="ar-SA"/>
        </w:rPr>
        <w:t>بن</w:t>
      </w:r>
      <w:r w:rsidRPr="00122894">
        <w:rPr>
          <w:rFonts w:asciiTheme="majorBidi" w:eastAsiaTheme="minorHAnsi" w:hAnsiTheme="majorBidi" w:cs="Times New Roman"/>
          <w:sz w:val="20"/>
          <w:szCs w:val="20"/>
          <w:rtl/>
          <w:lang w:bidi="ar-SA"/>
        </w:rPr>
        <w:t xml:space="preserve"> </w:t>
      </w:r>
      <w:r w:rsidRPr="00122894">
        <w:rPr>
          <w:rFonts w:asciiTheme="majorBidi" w:eastAsiaTheme="minorHAnsi" w:hAnsiTheme="majorBidi" w:cs="Times New Roman" w:hint="cs"/>
          <w:sz w:val="20"/>
          <w:szCs w:val="20"/>
          <w:rtl/>
          <w:lang w:bidi="ar-SA"/>
        </w:rPr>
        <w:t>كسرى</w:t>
      </w:r>
      <w:r w:rsidRPr="00122894">
        <w:rPr>
          <w:rFonts w:asciiTheme="majorBidi" w:eastAsiaTheme="minorHAnsi" w:hAnsiTheme="majorBidi" w:cs="Times New Roman"/>
          <w:sz w:val="20"/>
          <w:szCs w:val="20"/>
          <w:rtl/>
          <w:lang w:bidi="ar-SA"/>
        </w:rPr>
        <w:t xml:space="preserve"> </w:t>
      </w:r>
      <w:r w:rsidRPr="00122894">
        <w:rPr>
          <w:rFonts w:asciiTheme="majorBidi" w:eastAsiaTheme="minorHAnsi" w:hAnsiTheme="majorBidi" w:cs="Times New Roman" w:hint="cs"/>
          <w:sz w:val="20"/>
          <w:szCs w:val="20"/>
          <w:rtl/>
          <w:lang w:bidi="ar-SA"/>
        </w:rPr>
        <w:t>يزدجرد</w:t>
      </w:r>
      <w:r>
        <w:rPr>
          <w:rFonts w:asciiTheme="majorBidi" w:eastAsiaTheme="minorHAnsi" w:hAnsiTheme="majorBidi" w:cstheme="majorBidi"/>
          <w:sz w:val="20"/>
          <w:szCs w:val="20"/>
        </w:rPr>
        <w:t>) reports that Pērōz engaged the Arab governor of Khurasan Qutayba ibn Muslim in the early 8</w:t>
      </w:r>
      <w:r w:rsidRPr="00593C06">
        <w:rPr>
          <w:rFonts w:asciiTheme="majorBidi" w:eastAsiaTheme="minorHAnsi" w:hAnsiTheme="majorBidi" w:cstheme="majorBidi"/>
          <w:sz w:val="20"/>
          <w:szCs w:val="20"/>
        </w:rPr>
        <w:t>th</w:t>
      </w:r>
      <w:r>
        <w:rPr>
          <w:rFonts w:asciiTheme="majorBidi" w:eastAsiaTheme="minorHAnsi" w:hAnsiTheme="majorBidi" w:cstheme="majorBidi"/>
          <w:sz w:val="20"/>
          <w:szCs w:val="20"/>
        </w:rPr>
        <w:t xml:space="preserve"> century. However, this piece of information is impossible, since Pērōz died in the late 670s. Anyhow, this piece of information s</w:t>
      </w:r>
      <w:r w:rsidRPr="0061021E">
        <w:rPr>
          <w:rFonts w:asciiTheme="majorBidi" w:eastAsiaTheme="minorHAnsi" w:hAnsiTheme="majorBidi" w:cstheme="majorBidi"/>
          <w:sz w:val="20"/>
          <w:szCs w:val="20"/>
        </w:rPr>
        <w:t xml:space="preserve">hows that the </w:t>
      </w:r>
      <w:r>
        <w:rPr>
          <w:rFonts w:asciiTheme="majorBidi" w:eastAsiaTheme="minorHAnsi" w:hAnsiTheme="majorBidi" w:cstheme="majorBidi"/>
          <w:sz w:val="20"/>
          <w:szCs w:val="20"/>
        </w:rPr>
        <w:t>Arab</w:t>
      </w:r>
      <w:r w:rsidRPr="0061021E">
        <w:rPr>
          <w:rFonts w:asciiTheme="majorBidi" w:eastAsiaTheme="minorHAnsi" w:hAnsiTheme="majorBidi" w:cstheme="majorBidi"/>
          <w:sz w:val="20"/>
          <w:szCs w:val="20"/>
        </w:rPr>
        <w:t xml:space="preserve">s were </w:t>
      </w:r>
      <w:r>
        <w:rPr>
          <w:rFonts w:asciiTheme="majorBidi" w:eastAsiaTheme="minorHAnsi" w:hAnsiTheme="majorBidi" w:cstheme="majorBidi"/>
          <w:sz w:val="20"/>
          <w:szCs w:val="20"/>
        </w:rPr>
        <w:t>not totally ignorant of</w:t>
      </w:r>
      <w:r w:rsidRPr="0061021E">
        <w:rPr>
          <w:rFonts w:asciiTheme="majorBidi" w:eastAsiaTheme="minorHAnsi" w:hAnsiTheme="majorBidi" w:cstheme="majorBidi"/>
          <w:sz w:val="20"/>
          <w:szCs w:val="20"/>
        </w:rPr>
        <w:t xml:space="preserve"> this </w:t>
      </w:r>
      <w:r>
        <w:rPr>
          <w:rFonts w:asciiTheme="majorBidi" w:eastAsiaTheme="minorHAnsi" w:hAnsiTheme="majorBidi" w:cstheme="majorBidi"/>
          <w:sz w:val="20"/>
          <w:szCs w:val="20"/>
        </w:rPr>
        <w:t xml:space="preserve">Sasanian </w:t>
      </w:r>
      <w:r w:rsidRPr="0061021E">
        <w:rPr>
          <w:rFonts w:asciiTheme="majorBidi" w:eastAsiaTheme="minorHAnsi" w:hAnsiTheme="majorBidi" w:cstheme="majorBidi"/>
          <w:sz w:val="20"/>
          <w:szCs w:val="20"/>
        </w:rPr>
        <w:t>claimant</w:t>
      </w:r>
      <w:r>
        <w:rPr>
          <w:rFonts w:asciiTheme="majorBidi" w:eastAsiaTheme="minorHAnsi" w:hAnsiTheme="majorBidi" w:cstheme="majorBidi"/>
          <w:sz w:val="20"/>
          <w:szCs w:val="20"/>
        </w:rPr>
        <w:t>.</w:t>
      </w:r>
    </w:p>
  </w:footnote>
  <w:footnote w:id="110">
    <w:p w14:paraId="7B33A793" w14:textId="6015EB3C" w:rsidR="00902FCD" w:rsidRPr="00CA304B" w:rsidRDefault="00902FCD" w:rsidP="00802619">
      <w:pPr>
        <w:pStyle w:val="FootnoteText"/>
        <w:spacing w:line="360" w:lineRule="auto"/>
        <w:rPr>
          <w:rFonts w:asciiTheme="majorBidi" w:hAnsiTheme="majorBidi" w:cstheme="majorBidi"/>
          <w:sz w:val="20"/>
          <w:szCs w:val="20"/>
        </w:rPr>
      </w:pPr>
      <w:r w:rsidRPr="00CF2563">
        <w:rPr>
          <w:rFonts w:asciiTheme="majorBidi" w:hAnsiTheme="majorBidi" w:cstheme="majorBidi"/>
          <w:sz w:val="20"/>
          <w:szCs w:val="20"/>
          <w:vertAlign w:val="superscript"/>
        </w:rPr>
        <w:footnoteRef/>
      </w:r>
      <w:r w:rsidRPr="00CA304B">
        <w:rPr>
          <w:rFonts w:asciiTheme="majorBidi" w:hAnsiTheme="majorBidi" w:cstheme="majorBidi"/>
          <w:sz w:val="20"/>
          <w:szCs w:val="20"/>
        </w:rPr>
        <w:t xml:space="preserve"> Xuanzang, 2000, p. 100; </w:t>
      </w:r>
      <w:r>
        <w:rPr>
          <w:rFonts w:asciiTheme="majorBidi" w:hAnsiTheme="majorBidi" w:cstheme="majorBidi"/>
          <w:sz w:val="20"/>
          <w:szCs w:val="20"/>
        </w:rPr>
        <w:t>tr.</w:t>
      </w:r>
      <w:r w:rsidRPr="00CA304B">
        <w:rPr>
          <w:rFonts w:asciiTheme="majorBidi" w:hAnsiTheme="majorBidi" w:cstheme="majorBidi"/>
          <w:sz w:val="20"/>
          <w:szCs w:val="20"/>
        </w:rPr>
        <w:t>, Li, 1996, p. 25.</w:t>
      </w:r>
      <w:r>
        <w:rPr>
          <w:rFonts w:asciiTheme="majorBidi" w:hAnsiTheme="majorBidi" w:cstheme="majorBidi"/>
          <w:sz w:val="20"/>
          <w:szCs w:val="20"/>
        </w:rPr>
        <w:t xml:space="preserve"> Xuanzang’s reports include rich information about the Turks in</w:t>
      </w:r>
      <w:r w:rsidRPr="00EB077A">
        <w:rPr>
          <w:rFonts w:asciiTheme="majorBidi" w:hAnsiTheme="majorBidi" w:cstheme="majorBidi"/>
          <w:sz w:val="20"/>
          <w:szCs w:val="20"/>
        </w:rPr>
        <w:t xml:space="preserve"> </w:t>
      </w:r>
      <w:r w:rsidRPr="00675AC0">
        <w:rPr>
          <w:rFonts w:asciiTheme="majorBidi" w:hAnsiTheme="majorBidi" w:cstheme="majorBidi"/>
          <w:sz w:val="20"/>
          <w:szCs w:val="20"/>
        </w:rPr>
        <w:t>Ṭukhāristān</w:t>
      </w:r>
      <w:r>
        <w:rPr>
          <w:rFonts w:asciiTheme="majorBidi" w:hAnsiTheme="majorBidi" w:cstheme="majorBidi"/>
          <w:sz w:val="20"/>
          <w:szCs w:val="20"/>
        </w:rPr>
        <w:t xml:space="preserve"> and their relations with the Western Turks because of personal reasons.</w:t>
      </w:r>
      <w:r w:rsidRPr="00EB077A">
        <w:rPr>
          <w:rFonts w:asciiTheme="majorBidi" w:hAnsiTheme="majorBidi" w:cstheme="majorBidi"/>
          <w:sz w:val="20"/>
          <w:szCs w:val="20"/>
        </w:rPr>
        <w:t xml:space="preserve"> </w:t>
      </w:r>
      <w:r>
        <w:rPr>
          <w:rFonts w:asciiTheme="majorBidi" w:hAnsiTheme="majorBidi" w:cstheme="majorBidi"/>
          <w:sz w:val="20"/>
          <w:szCs w:val="20"/>
        </w:rPr>
        <w:t xml:space="preserve">When he passed Gaochang (modern Turfan), its ruler showed respect to the Chinese pilgrim and introduced him to visit both his suzerain Tong </w:t>
      </w:r>
      <w:r w:rsidRPr="00675AC0">
        <w:rPr>
          <w:rFonts w:asciiTheme="majorBidi" w:hAnsiTheme="majorBidi" w:cstheme="majorBidi"/>
          <w:sz w:val="20"/>
          <w:szCs w:val="20"/>
        </w:rPr>
        <w:t>Yabghū Khāqān in Sūyāb</w:t>
      </w:r>
      <w:r>
        <w:rPr>
          <w:rFonts w:asciiTheme="majorBidi" w:hAnsiTheme="majorBidi" w:cstheme="majorBidi"/>
          <w:sz w:val="20"/>
          <w:szCs w:val="20"/>
        </w:rPr>
        <w:t xml:space="preserve">, and his brother-in-law the Turkic ruler of </w:t>
      </w:r>
      <w:r w:rsidRPr="00675AC0">
        <w:rPr>
          <w:rFonts w:asciiTheme="majorBidi" w:hAnsiTheme="majorBidi" w:cstheme="majorBidi"/>
          <w:sz w:val="20"/>
          <w:szCs w:val="20"/>
        </w:rPr>
        <w:t>Ṭukhāristān</w:t>
      </w:r>
      <w:r>
        <w:rPr>
          <w:rFonts w:asciiTheme="majorBidi" w:hAnsiTheme="majorBidi" w:cstheme="majorBidi"/>
          <w:sz w:val="20"/>
          <w:szCs w:val="20"/>
        </w:rPr>
        <w:t xml:space="preserve"> established by his father Tong </w:t>
      </w:r>
      <w:r w:rsidRPr="00675AC0">
        <w:rPr>
          <w:rFonts w:asciiTheme="majorBidi" w:hAnsiTheme="majorBidi" w:cstheme="majorBidi"/>
          <w:sz w:val="20"/>
          <w:szCs w:val="20"/>
        </w:rPr>
        <w:t xml:space="preserve">Yabghū Khāqān </w:t>
      </w:r>
      <w:r>
        <w:rPr>
          <w:rFonts w:asciiTheme="majorBidi" w:hAnsiTheme="majorBidi" w:cstheme="majorBidi"/>
          <w:sz w:val="20"/>
          <w:szCs w:val="20"/>
        </w:rPr>
        <w:t>(Huili &amp; Yancong, 2000, pp. 18-23, 27-9, 31; tr., Appendix III)</w:t>
      </w:r>
      <w:r w:rsidRPr="003073D5">
        <w:rPr>
          <w:rFonts w:asciiTheme="majorBidi" w:hAnsiTheme="majorBidi" w:cstheme="majorBidi"/>
          <w:sz w:val="20"/>
          <w:szCs w:val="20"/>
        </w:rPr>
        <w:t>.</w:t>
      </w:r>
      <w:r>
        <w:rPr>
          <w:rFonts w:asciiTheme="majorBidi" w:hAnsiTheme="majorBidi" w:cstheme="majorBidi"/>
          <w:sz w:val="20"/>
          <w:szCs w:val="20"/>
        </w:rPr>
        <w:t xml:space="preserve">   </w:t>
      </w:r>
    </w:p>
  </w:footnote>
  <w:footnote w:id="111">
    <w:p w14:paraId="0819778F" w14:textId="02201824" w:rsidR="00902FCD" w:rsidRPr="000B12F6" w:rsidRDefault="00902FCD" w:rsidP="000B12F6">
      <w:pPr>
        <w:pStyle w:val="FootnoteText"/>
        <w:spacing w:line="360" w:lineRule="auto"/>
        <w:rPr>
          <w:rFonts w:asciiTheme="majorBidi" w:hAnsiTheme="majorBidi" w:cstheme="majorBidi"/>
          <w:sz w:val="20"/>
          <w:szCs w:val="20"/>
        </w:rPr>
      </w:pPr>
      <w:r w:rsidRPr="000B12F6">
        <w:rPr>
          <w:rFonts w:asciiTheme="majorBidi" w:hAnsiTheme="majorBidi" w:cstheme="majorBidi"/>
          <w:sz w:val="20"/>
          <w:szCs w:val="20"/>
          <w:vertAlign w:val="superscript"/>
        </w:rPr>
        <w:footnoteRef/>
      </w:r>
      <w:r w:rsidRPr="000B12F6">
        <w:rPr>
          <w:rFonts w:asciiTheme="majorBidi" w:hAnsiTheme="majorBidi" w:cstheme="majorBidi"/>
          <w:sz w:val="20"/>
          <w:szCs w:val="20"/>
        </w:rPr>
        <w:t xml:space="preserve"> Wang (2017, 132-5) attempts to present a list of the dynasty's rulers. However, there is no information </w:t>
      </w:r>
      <w:r>
        <w:rPr>
          <w:rFonts w:asciiTheme="majorBidi" w:hAnsiTheme="majorBidi" w:cstheme="majorBidi"/>
          <w:sz w:val="20"/>
          <w:szCs w:val="20"/>
        </w:rPr>
        <w:t xml:space="preserve">at all </w:t>
      </w:r>
      <w:r w:rsidRPr="000B12F6">
        <w:rPr>
          <w:rFonts w:asciiTheme="majorBidi" w:hAnsiTheme="majorBidi" w:cstheme="majorBidi"/>
          <w:sz w:val="20"/>
          <w:szCs w:val="20"/>
        </w:rPr>
        <w:t xml:space="preserve">about the ruler(s) between Wu-shi-bo, the Yabghū in the 650s, and Du-ni-li, the Yabghū in the 700s. </w:t>
      </w:r>
    </w:p>
  </w:footnote>
  <w:footnote w:id="112">
    <w:p w14:paraId="7ECAE7F2" w14:textId="77777777" w:rsidR="00902FCD" w:rsidRPr="00A50AFA" w:rsidRDefault="00902FCD" w:rsidP="00017AE5">
      <w:pPr>
        <w:pStyle w:val="FootnoteText"/>
        <w:spacing w:line="360" w:lineRule="auto"/>
        <w:rPr>
          <w:rFonts w:asciiTheme="majorBidi" w:hAnsiTheme="majorBidi" w:cstheme="majorBidi"/>
          <w:sz w:val="20"/>
          <w:szCs w:val="20"/>
        </w:rPr>
      </w:pPr>
      <w:r w:rsidRPr="00A50AFA">
        <w:rPr>
          <w:rFonts w:asciiTheme="majorBidi" w:hAnsiTheme="majorBidi" w:cstheme="majorBidi"/>
          <w:sz w:val="20"/>
          <w:szCs w:val="20"/>
          <w:vertAlign w:val="superscript"/>
        </w:rPr>
        <w:footnoteRef/>
      </w:r>
      <w:r w:rsidRPr="00A50AFA">
        <w:rPr>
          <w:rFonts w:asciiTheme="majorBidi" w:hAnsiTheme="majorBidi" w:cstheme="majorBidi"/>
          <w:sz w:val="20"/>
          <w:szCs w:val="20"/>
          <w:vertAlign w:val="superscript"/>
        </w:rPr>
        <w:t xml:space="preserve"> </w:t>
      </w:r>
      <w:r w:rsidRPr="00B52F41">
        <w:rPr>
          <w:rFonts w:asciiTheme="majorBidi" w:hAnsiTheme="majorBidi" w:cstheme="majorBidi"/>
          <w:sz w:val="20"/>
          <w:szCs w:val="20"/>
        </w:rPr>
        <w:t>Gibb</w:t>
      </w:r>
      <w:r>
        <w:rPr>
          <w:rFonts w:asciiTheme="majorBidi" w:hAnsiTheme="majorBidi" w:cstheme="majorBidi"/>
          <w:sz w:val="20"/>
          <w:szCs w:val="20"/>
        </w:rPr>
        <w:t xml:space="preserve">, </w:t>
      </w:r>
      <w:r w:rsidRPr="00B52F41">
        <w:rPr>
          <w:rFonts w:asciiTheme="majorBidi" w:hAnsiTheme="majorBidi" w:cstheme="majorBidi"/>
          <w:sz w:val="20"/>
          <w:szCs w:val="20"/>
        </w:rPr>
        <w:t>1923</w:t>
      </w:r>
      <w:r>
        <w:rPr>
          <w:rFonts w:asciiTheme="majorBidi" w:hAnsiTheme="majorBidi" w:cstheme="majorBidi"/>
          <w:sz w:val="20"/>
          <w:szCs w:val="20"/>
        </w:rPr>
        <w:t>;</w:t>
      </w:r>
      <w:r w:rsidRPr="00B52F41">
        <w:rPr>
          <w:rFonts w:asciiTheme="majorBidi" w:hAnsiTheme="majorBidi" w:cstheme="majorBidi"/>
          <w:sz w:val="20"/>
          <w:szCs w:val="20"/>
        </w:rPr>
        <w:t xml:space="preserve"> Barthold</w:t>
      </w:r>
      <w:r>
        <w:rPr>
          <w:rFonts w:asciiTheme="majorBidi" w:hAnsiTheme="majorBidi" w:cstheme="majorBidi"/>
          <w:sz w:val="20"/>
          <w:szCs w:val="20"/>
        </w:rPr>
        <w:t xml:space="preserve">, </w:t>
      </w:r>
      <w:r w:rsidRPr="00B52F41">
        <w:rPr>
          <w:rFonts w:asciiTheme="majorBidi" w:hAnsiTheme="majorBidi" w:cstheme="majorBidi"/>
          <w:sz w:val="20"/>
          <w:szCs w:val="20"/>
        </w:rPr>
        <w:t>1928, pp. 180-91</w:t>
      </w:r>
      <w:r>
        <w:rPr>
          <w:rFonts w:asciiTheme="majorBidi" w:hAnsiTheme="majorBidi" w:cstheme="majorBidi"/>
          <w:sz w:val="20"/>
          <w:szCs w:val="20"/>
        </w:rPr>
        <w:t>;</w:t>
      </w:r>
      <w:r w:rsidRPr="00B52F41">
        <w:rPr>
          <w:rFonts w:asciiTheme="majorBidi" w:hAnsiTheme="majorBidi" w:cstheme="majorBidi"/>
          <w:sz w:val="20"/>
          <w:szCs w:val="20"/>
        </w:rPr>
        <w:t xml:space="preserve"> Shaban</w:t>
      </w:r>
      <w:r>
        <w:rPr>
          <w:rFonts w:asciiTheme="majorBidi" w:hAnsiTheme="majorBidi" w:cstheme="majorBidi"/>
          <w:sz w:val="20"/>
          <w:szCs w:val="20"/>
        </w:rPr>
        <w:t xml:space="preserve">, </w:t>
      </w:r>
      <w:r w:rsidRPr="00B52F41">
        <w:rPr>
          <w:rFonts w:asciiTheme="majorBidi" w:hAnsiTheme="majorBidi" w:cstheme="majorBidi"/>
          <w:sz w:val="20"/>
          <w:szCs w:val="20"/>
        </w:rPr>
        <w:t>1970</w:t>
      </w:r>
      <w:r>
        <w:rPr>
          <w:rFonts w:asciiTheme="majorBidi" w:hAnsiTheme="majorBidi" w:cstheme="majorBidi"/>
          <w:sz w:val="20"/>
          <w:szCs w:val="20"/>
        </w:rPr>
        <w:t>.</w:t>
      </w:r>
    </w:p>
  </w:footnote>
  <w:footnote w:id="113">
    <w:p w14:paraId="2E6297D1" w14:textId="0DBA7ECA" w:rsidR="00902FCD" w:rsidRPr="00FB6CB3" w:rsidRDefault="00902FCD" w:rsidP="001E56BB">
      <w:pPr>
        <w:pStyle w:val="FootnoteText"/>
        <w:spacing w:line="360" w:lineRule="auto"/>
        <w:rPr>
          <w:rFonts w:asciiTheme="majorBidi" w:hAnsiTheme="majorBidi" w:cstheme="majorBidi"/>
          <w:sz w:val="20"/>
          <w:szCs w:val="20"/>
        </w:rPr>
      </w:pPr>
      <w:r w:rsidRPr="00FB6CB3">
        <w:rPr>
          <w:rFonts w:asciiTheme="majorBidi" w:hAnsiTheme="majorBidi" w:cstheme="majorBidi"/>
          <w:sz w:val="20"/>
          <w:szCs w:val="20"/>
          <w:vertAlign w:val="superscript"/>
        </w:rPr>
        <w:footnoteRef/>
      </w:r>
      <w:r w:rsidRPr="00FB6CB3">
        <w:rPr>
          <w:rFonts w:asciiTheme="majorBidi" w:hAnsiTheme="majorBidi" w:cstheme="majorBidi"/>
          <w:sz w:val="20"/>
          <w:szCs w:val="20"/>
          <w:vertAlign w:val="superscript"/>
        </w:rPr>
        <w:t xml:space="preserve"> </w:t>
      </w:r>
      <w:r>
        <w:rPr>
          <w:rFonts w:asciiTheme="majorBidi" w:hAnsiTheme="majorBidi" w:cstheme="majorBidi"/>
          <w:sz w:val="20"/>
          <w:szCs w:val="20"/>
        </w:rPr>
        <w:t>Sims-Williams, 2000, pp. 50-5, 94-5; 2007, pp. 116-26.</w:t>
      </w:r>
    </w:p>
  </w:footnote>
  <w:footnote w:id="114">
    <w:p w14:paraId="220677B3" w14:textId="643016E4" w:rsidR="00902FCD" w:rsidRPr="001E56BB" w:rsidRDefault="00902FCD" w:rsidP="001E56BB">
      <w:pPr>
        <w:pStyle w:val="FootnoteText"/>
        <w:spacing w:line="360" w:lineRule="auto"/>
        <w:rPr>
          <w:rFonts w:asciiTheme="majorBidi" w:hAnsiTheme="majorBidi" w:cstheme="majorBidi"/>
          <w:sz w:val="20"/>
          <w:szCs w:val="20"/>
        </w:rPr>
      </w:pPr>
      <w:r w:rsidRPr="001E56BB">
        <w:rPr>
          <w:rFonts w:asciiTheme="majorBidi" w:hAnsiTheme="majorBidi" w:cstheme="majorBidi"/>
          <w:sz w:val="20"/>
          <w:szCs w:val="20"/>
          <w:vertAlign w:val="superscript"/>
        </w:rPr>
        <w:footnoteRef/>
      </w:r>
      <w:r w:rsidRPr="001E56BB">
        <w:rPr>
          <w:rFonts w:asciiTheme="majorBidi" w:hAnsiTheme="majorBidi" w:cstheme="majorBidi"/>
          <w:sz w:val="20"/>
          <w:szCs w:val="20"/>
        </w:rPr>
        <w:t xml:space="preserve"> </w:t>
      </w:r>
      <w:r>
        <w:rPr>
          <w:rFonts w:asciiTheme="majorBidi" w:hAnsiTheme="majorBidi" w:cstheme="majorBidi"/>
          <w:sz w:val="20"/>
          <w:szCs w:val="20"/>
        </w:rPr>
        <w:t>Although t</w:t>
      </w:r>
      <w:r w:rsidRPr="001E56BB">
        <w:rPr>
          <w:rFonts w:asciiTheme="majorBidi" w:hAnsiTheme="majorBidi" w:cstheme="majorBidi"/>
          <w:sz w:val="20"/>
          <w:szCs w:val="20"/>
        </w:rPr>
        <w:t>he documents were mainly about Rūb, Siminjān, Kadagistan, and Gūzgān (Sims-Williams &amp; de Blois, 2018, pp. 11-3). However, the taxation of the other regions should be quite similar if not the same to the above-listed regions.</w:t>
      </w:r>
    </w:p>
  </w:footnote>
  <w:footnote w:id="115">
    <w:p w14:paraId="41CA1444" w14:textId="6A76C0AF" w:rsidR="00902FCD" w:rsidRPr="002A627E" w:rsidRDefault="00902FCD" w:rsidP="002A627E">
      <w:pPr>
        <w:pStyle w:val="FootnoteText"/>
        <w:spacing w:line="360" w:lineRule="auto"/>
        <w:rPr>
          <w:rFonts w:asciiTheme="majorBidi" w:hAnsiTheme="majorBidi" w:cstheme="majorBidi"/>
          <w:sz w:val="20"/>
          <w:szCs w:val="20"/>
        </w:rPr>
      </w:pPr>
      <w:r w:rsidRPr="002A627E">
        <w:rPr>
          <w:rFonts w:asciiTheme="majorBidi" w:hAnsiTheme="majorBidi" w:cstheme="majorBidi"/>
          <w:sz w:val="20"/>
          <w:szCs w:val="20"/>
          <w:vertAlign w:val="superscript"/>
        </w:rPr>
        <w:footnoteRef/>
      </w:r>
      <w:r w:rsidRPr="002A627E">
        <w:rPr>
          <w:rFonts w:asciiTheme="majorBidi" w:hAnsiTheme="majorBidi" w:cstheme="majorBidi"/>
          <w:sz w:val="20"/>
          <w:szCs w:val="20"/>
        </w:rPr>
        <w:t xml:space="preserve"> Vondrovec (2014, </w:t>
      </w:r>
      <w:r>
        <w:rPr>
          <w:rFonts w:asciiTheme="majorBidi" w:hAnsiTheme="majorBidi" w:cstheme="majorBidi"/>
          <w:sz w:val="20"/>
          <w:szCs w:val="20"/>
        </w:rPr>
        <w:t xml:space="preserve">volume I, </w:t>
      </w:r>
      <w:r w:rsidRPr="002A627E">
        <w:rPr>
          <w:rFonts w:asciiTheme="majorBidi" w:hAnsiTheme="majorBidi" w:cstheme="majorBidi"/>
          <w:sz w:val="20"/>
          <w:szCs w:val="20"/>
        </w:rPr>
        <w:t>p</w:t>
      </w:r>
      <w:r>
        <w:rPr>
          <w:rFonts w:asciiTheme="majorBidi" w:hAnsiTheme="majorBidi" w:cstheme="majorBidi"/>
          <w:sz w:val="20"/>
          <w:szCs w:val="20"/>
        </w:rPr>
        <w:t>p</w:t>
      </w:r>
      <w:r w:rsidRPr="002A627E">
        <w:rPr>
          <w:rFonts w:asciiTheme="majorBidi" w:hAnsiTheme="majorBidi" w:cstheme="majorBidi"/>
          <w:sz w:val="20"/>
          <w:szCs w:val="20"/>
        </w:rPr>
        <w:t>. 401</w:t>
      </w:r>
      <w:r>
        <w:rPr>
          <w:rFonts w:asciiTheme="majorBidi" w:hAnsiTheme="majorBidi" w:cstheme="majorBidi"/>
          <w:sz w:val="20"/>
          <w:szCs w:val="20"/>
        </w:rPr>
        <w:t>, 415-8</w:t>
      </w:r>
      <w:r w:rsidRPr="002A627E">
        <w:rPr>
          <w:rFonts w:asciiTheme="majorBidi" w:hAnsiTheme="majorBidi" w:cstheme="majorBidi"/>
          <w:sz w:val="20"/>
          <w:szCs w:val="20"/>
        </w:rPr>
        <w:t>) suggest</w:t>
      </w:r>
      <w:r>
        <w:rPr>
          <w:rFonts w:asciiTheme="majorBidi" w:hAnsiTheme="majorBidi" w:cstheme="majorBidi"/>
          <w:sz w:val="20"/>
          <w:szCs w:val="20"/>
        </w:rPr>
        <w:t>s</w:t>
      </w:r>
      <w:r w:rsidRPr="002A627E">
        <w:rPr>
          <w:rFonts w:asciiTheme="majorBidi" w:hAnsiTheme="majorBidi" w:cstheme="majorBidi"/>
          <w:sz w:val="20"/>
          <w:szCs w:val="20"/>
        </w:rPr>
        <w:t xml:space="preserve"> that coins of </w:t>
      </w:r>
      <w:r>
        <w:rPr>
          <w:rFonts w:asciiTheme="majorBidi" w:hAnsiTheme="majorBidi" w:cstheme="majorBidi"/>
          <w:sz w:val="20"/>
          <w:szCs w:val="20"/>
        </w:rPr>
        <w:t>T</w:t>
      </w:r>
      <w:r w:rsidRPr="002A627E">
        <w:rPr>
          <w:rFonts w:asciiTheme="majorBidi" w:hAnsiTheme="majorBidi" w:cstheme="majorBidi"/>
          <w:sz w:val="20"/>
          <w:szCs w:val="20"/>
        </w:rPr>
        <w:t>ype</w:t>
      </w:r>
      <w:r>
        <w:rPr>
          <w:rFonts w:asciiTheme="majorBidi" w:hAnsiTheme="majorBidi" w:cstheme="majorBidi"/>
          <w:sz w:val="20"/>
          <w:szCs w:val="20"/>
        </w:rPr>
        <w:t>s</w:t>
      </w:r>
      <w:r w:rsidRPr="002A627E">
        <w:rPr>
          <w:rFonts w:asciiTheme="majorBidi" w:hAnsiTheme="majorBidi" w:cstheme="majorBidi"/>
          <w:sz w:val="20"/>
          <w:szCs w:val="20"/>
        </w:rPr>
        <w:t xml:space="preserve"> 288 and 289 were found in great numbers in Uzbekistan and probably minted in Tirmidh.</w:t>
      </w:r>
    </w:p>
  </w:footnote>
  <w:footnote w:id="116">
    <w:p w14:paraId="25C1120E" w14:textId="396E2F14" w:rsidR="00902FCD" w:rsidRPr="00D4302D" w:rsidRDefault="00902FCD" w:rsidP="00D4302D">
      <w:pPr>
        <w:pStyle w:val="FootnoteText"/>
        <w:spacing w:line="360" w:lineRule="auto"/>
        <w:rPr>
          <w:rFonts w:asciiTheme="majorBidi" w:hAnsiTheme="majorBidi" w:cstheme="majorBidi"/>
          <w:sz w:val="20"/>
          <w:szCs w:val="20"/>
        </w:rPr>
      </w:pPr>
      <w:r w:rsidRPr="00D4302D">
        <w:rPr>
          <w:rFonts w:asciiTheme="majorBidi" w:hAnsiTheme="majorBidi" w:cstheme="majorBidi"/>
          <w:sz w:val="20"/>
          <w:szCs w:val="20"/>
          <w:vertAlign w:val="superscript"/>
        </w:rPr>
        <w:footnoteRef/>
      </w:r>
      <w:r w:rsidRPr="00D4302D">
        <w:rPr>
          <w:rFonts w:asciiTheme="majorBidi" w:hAnsiTheme="majorBidi" w:cstheme="majorBidi"/>
          <w:sz w:val="20"/>
          <w:szCs w:val="20"/>
        </w:rPr>
        <w:t xml:space="preserve"> </w:t>
      </w:r>
      <w:r>
        <w:rPr>
          <w:rFonts w:asciiTheme="majorBidi" w:hAnsiTheme="majorBidi" w:cstheme="majorBidi"/>
          <w:sz w:val="20"/>
          <w:szCs w:val="20"/>
        </w:rPr>
        <w:t>The</w:t>
      </w:r>
      <w:r w:rsidRPr="00D4302D">
        <w:rPr>
          <w:rFonts w:asciiTheme="majorBidi" w:hAnsiTheme="majorBidi" w:cstheme="majorBidi"/>
          <w:sz w:val="20"/>
          <w:szCs w:val="20"/>
        </w:rPr>
        <w:t xml:space="preserve"> ruler </w:t>
      </w:r>
      <w:r>
        <w:rPr>
          <w:rFonts w:asciiTheme="majorBidi" w:hAnsiTheme="majorBidi" w:cstheme="majorBidi"/>
          <w:sz w:val="20"/>
          <w:szCs w:val="20"/>
        </w:rPr>
        <w:t xml:space="preserve">of Tirmidh </w:t>
      </w:r>
      <w:r w:rsidRPr="00D4302D">
        <w:rPr>
          <w:rFonts w:asciiTheme="majorBidi" w:hAnsiTheme="majorBidi" w:cstheme="majorBidi"/>
          <w:sz w:val="20"/>
          <w:szCs w:val="20"/>
        </w:rPr>
        <w:t>went to the Turks when he was expelled by the governor of Khurasan</w:t>
      </w:r>
      <w:r>
        <w:rPr>
          <w:rFonts w:asciiTheme="majorBidi" w:hAnsiTheme="majorBidi" w:cstheme="majorBidi"/>
          <w:sz w:val="20"/>
          <w:szCs w:val="20"/>
        </w:rPr>
        <w:t xml:space="preserve"> </w:t>
      </w:r>
      <w:r w:rsidRPr="00D4302D">
        <w:rPr>
          <w:rFonts w:asciiTheme="majorBidi" w:hAnsiTheme="majorBidi" w:cstheme="majorBidi"/>
          <w:sz w:val="20"/>
          <w:szCs w:val="20"/>
        </w:rPr>
        <w:t>‘Abdallāh b. Khāzim al-Sulamī’s son Mūsā</w:t>
      </w:r>
      <w:r>
        <w:rPr>
          <w:rFonts w:asciiTheme="majorBidi" w:hAnsiTheme="majorBidi" w:cstheme="majorBidi"/>
          <w:sz w:val="20"/>
          <w:szCs w:val="20"/>
        </w:rPr>
        <w:t xml:space="preserve">. However, </w:t>
      </w:r>
      <w:r w:rsidRPr="00BA50E3">
        <w:rPr>
          <w:rFonts w:asciiTheme="majorBidi" w:eastAsiaTheme="minorHAnsi" w:hAnsiTheme="majorBidi" w:cstheme="majorBidi"/>
          <w:sz w:val="20"/>
          <w:szCs w:val="20"/>
        </w:rPr>
        <w:t>Ṭarkhūn, the ruler of Samarkand</w:t>
      </w:r>
      <w:r>
        <w:rPr>
          <w:rFonts w:asciiTheme="majorBidi" w:eastAsiaTheme="minorHAnsi" w:hAnsiTheme="majorBidi" w:cstheme="majorBidi"/>
          <w:sz w:val="20"/>
          <w:szCs w:val="20"/>
        </w:rPr>
        <w:t>, and Nīzak, the Hephthalite ruler of Bādghīs, were also involved in later fighting against M</w:t>
      </w:r>
      <w:r w:rsidRPr="00D4302D">
        <w:rPr>
          <w:rFonts w:asciiTheme="majorBidi" w:hAnsiTheme="majorBidi" w:cstheme="majorBidi"/>
          <w:sz w:val="20"/>
          <w:szCs w:val="20"/>
        </w:rPr>
        <w:t>ūsā</w:t>
      </w:r>
      <w:r>
        <w:rPr>
          <w:rFonts w:asciiTheme="majorBidi" w:hAnsiTheme="majorBidi" w:cstheme="majorBidi"/>
          <w:sz w:val="20"/>
          <w:szCs w:val="20"/>
        </w:rPr>
        <w:t xml:space="preserve"> besides the Turks. The records are insufficient to clarify who the suzerain of Tirmidh was.</w:t>
      </w:r>
    </w:p>
  </w:footnote>
  <w:footnote w:id="117">
    <w:p w14:paraId="0883080E" w14:textId="77777777" w:rsidR="00902FCD" w:rsidRPr="00663ECA" w:rsidRDefault="00902FCD" w:rsidP="00D4144C">
      <w:pPr>
        <w:pStyle w:val="FootnoteText"/>
        <w:spacing w:line="360" w:lineRule="auto"/>
        <w:rPr>
          <w:rFonts w:asciiTheme="majorBidi" w:hAnsiTheme="majorBidi" w:cstheme="majorBidi"/>
          <w:sz w:val="20"/>
          <w:szCs w:val="20"/>
        </w:rPr>
      </w:pPr>
      <w:r w:rsidRPr="00663ECA">
        <w:rPr>
          <w:rFonts w:asciiTheme="majorBidi" w:hAnsiTheme="majorBidi" w:cstheme="majorBidi"/>
          <w:sz w:val="20"/>
          <w:szCs w:val="20"/>
          <w:vertAlign w:val="superscript"/>
        </w:rPr>
        <w:footnoteRef/>
      </w:r>
      <w:r w:rsidRPr="00663ECA">
        <w:rPr>
          <w:rFonts w:asciiTheme="majorBidi" w:hAnsiTheme="majorBidi" w:cstheme="majorBidi"/>
          <w:sz w:val="20"/>
          <w:szCs w:val="20"/>
        </w:rPr>
        <w:t xml:space="preserve"> </w:t>
      </w:r>
      <w:r>
        <w:rPr>
          <w:rFonts w:asciiTheme="majorBidi" w:hAnsiTheme="majorBidi" w:cstheme="majorBidi"/>
          <w:sz w:val="20"/>
          <w:szCs w:val="20"/>
        </w:rPr>
        <w:t>A</w:t>
      </w:r>
      <w:r w:rsidRPr="00C43804">
        <w:rPr>
          <w:rFonts w:asciiTheme="majorBidi" w:hAnsiTheme="majorBidi" w:cstheme="majorBidi"/>
          <w:sz w:val="20"/>
          <w:szCs w:val="20"/>
        </w:rPr>
        <w:t xml:space="preserve">l-Ṭabarī, </w:t>
      </w:r>
      <w:r>
        <w:rPr>
          <w:rFonts w:asciiTheme="majorBidi" w:hAnsiTheme="majorBidi" w:cstheme="majorBidi"/>
          <w:sz w:val="20"/>
          <w:szCs w:val="20"/>
        </w:rPr>
        <w:t xml:space="preserve">2001, volume 3, pp. 657-8; tr., </w:t>
      </w:r>
      <w:r w:rsidRPr="00C43804">
        <w:rPr>
          <w:rFonts w:asciiTheme="majorBidi" w:hAnsiTheme="majorBidi" w:cstheme="majorBidi"/>
          <w:sz w:val="20"/>
          <w:szCs w:val="20"/>
        </w:rPr>
        <w:t>1990, volume XXIII, pp. 90-5</w:t>
      </w:r>
      <w:r>
        <w:rPr>
          <w:rFonts w:asciiTheme="majorBidi" w:hAnsiTheme="majorBidi" w:cstheme="majorBidi"/>
          <w:sz w:val="20"/>
          <w:szCs w:val="20"/>
        </w:rPr>
        <w:t>.</w:t>
      </w:r>
    </w:p>
  </w:footnote>
  <w:footnote w:id="118">
    <w:p w14:paraId="223CA93D" w14:textId="17FF14B1" w:rsidR="00902FCD" w:rsidRPr="007B6730" w:rsidRDefault="00902FCD" w:rsidP="00887522">
      <w:pPr>
        <w:pStyle w:val="FootnoteText"/>
        <w:spacing w:line="360" w:lineRule="auto"/>
        <w:rPr>
          <w:rFonts w:asciiTheme="majorBidi" w:hAnsiTheme="majorBidi" w:cstheme="majorBidi"/>
          <w:sz w:val="20"/>
          <w:szCs w:val="20"/>
        </w:rPr>
      </w:pPr>
      <w:r w:rsidRPr="007B6730">
        <w:rPr>
          <w:rFonts w:asciiTheme="majorBidi" w:hAnsiTheme="majorBidi" w:cstheme="majorBidi"/>
          <w:sz w:val="20"/>
          <w:szCs w:val="20"/>
          <w:vertAlign w:val="superscript"/>
        </w:rPr>
        <w:footnoteRef/>
      </w:r>
      <w:r w:rsidRPr="007B6730">
        <w:rPr>
          <w:rFonts w:asciiTheme="majorBidi" w:hAnsiTheme="majorBidi" w:cstheme="majorBidi"/>
          <w:sz w:val="20"/>
          <w:szCs w:val="20"/>
        </w:rPr>
        <w:t xml:space="preserve"> </w:t>
      </w:r>
      <w:r>
        <w:rPr>
          <w:rFonts w:asciiTheme="majorBidi" w:hAnsiTheme="majorBidi" w:cstheme="majorBidi"/>
          <w:sz w:val="20"/>
          <w:szCs w:val="20"/>
        </w:rPr>
        <w:t>According to</w:t>
      </w:r>
      <w:r w:rsidRPr="007B6730">
        <w:rPr>
          <w:rFonts w:asciiTheme="majorBidi" w:hAnsiTheme="majorBidi" w:cstheme="majorBidi"/>
          <w:sz w:val="20"/>
          <w:szCs w:val="20"/>
        </w:rPr>
        <w:t xml:space="preserve"> Xuanzang</w:t>
      </w:r>
      <w:r>
        <w:rPr>
          <w:rFonts w:asciiTheme="majorBidi" w:hAnsiTheme="majorBidi" w:cstheme="majorBidi"/>
          <w:sz w:val="20"/>
          <w:szCs w:val="20"/>
        </w:rPr>
        <w:t xml:space="preserve">, </w:t>
      </w:r>
      <w:r w:rsidRPr="007B6730">
        <w:rPr>
          <w:rFonts w:asciiTheme="majorBidi" w:hAnsiTheme="majorBidi" w:cstheme="majorBidi"/>
          <w:sz w:val="20"/>
          <w:szCs w:val="20"/>
        </w:rPr>
        <w:t xml:space="preserve">Akharān had two Buddhist monasteries and around 100 monks, while Shūmān had two monasteries and </w:t>
      </w:r>
      <w:r>
        <w:rPr>
          <w:rFonts w:asciiTheme="majorBidi" w:hAnsiTheme="majorBidi" w:cstheme="majorBidi"/>
          <w:sz w:val="20"/>
          <w:szCs w:val="20"/>
        </w:rPr>
        <w:t xml:space="preserve">a </w:t>
      </w:r>
      <w:r w:rsidRPr="007B6730">
        <w:rPr>
          <w:rFonts w:asciiTheme="majorBidi" w:hAnsiTheme="majorBidi" w:cstheme="majorBidi"/>
          <w:sz w:val="20"/>
          <w:szCs w:val="20"/>
        </w:rPr>
        <w:t>few monks (</w:t>
      </w:r>
      <w:r w:rsidRPr="00A832E4">
        <w:rPr>
          <w:rFonts w:asciiTheme="majorBidi" w:hAnsiTheme="majorBidi" w:cstheme="majorBidi"/>
          <w:sz w:val="20"/>
          <w:szCs w:val="20"/>
        </w:rPr>
        <w:t>2000, pp. 106-7</w:t>
      </w:r>
      <w:r>
        <w:rPr>
          <w:rFonts w:asciiTheme="majorBidi" w:hAnsiTheme="majorBidi" w:cstheme="majorBidi"/>
          <w:sz w:val="20"/>
          <w:szCs w:val="20"/>
        </w:rPr>
        <w:t>; tr., 1996, p. 26</w:t>
      </w:r>
      <w:r w:rsidRPr="007B6730">
        <w:rPr>
          <w:rFonts w:asciiTheme="majorBidi" w:hAnsiTheme="majorBidi" w:cstheme="majorBidi"/>
          <w:sz w:val="20"/>
          <w:szCs w:val="20"/>
        </w:rPr>
        <w:t>).</w:t>
      </w:r>
      <w:r>
        <w:rPr>
          <w:rFonts w:asciiTheme="majorBidi" w:hAnsiTheme="majorBidi" w:cstheme="majorBidi"/>
          <w:sz w:val="20"/>
          <w:szCs w:val="20"/>
        </w:rPr>
        <w:t xml:space="preserve"> In Balkh, however, </w:t>
      </w:r>
      <w:r w:rsidRPr="007B6730">
        <w:rPr>
          <w:rFonts w:asciiTheme="majorBidi" w:hAnsiTheme="majorBidi" w:cstheme="majorBidi"/>
          <w:sz w:val="20"/>
          <w:szCs w:val="20"/>
        </w:rPr>
        <w:t xml:space="preserve">around 100 monasteries and 3,000 monks </w:t>
      </w:r>
      <w:r>
        <w:rPr>
          <w:rFonts w:asciiTheme="majorBidi" w:hAnsiTheme="majorBidi" w:cstheme="majorBidi"/>
          <w:sz w:val="20"/>
          <w:szCs w:val="20"/>
        </w:rPr>
        <w:t xml:space="preserve">were found </w:t>
      </w:r>
      <w:r w:rsidRPr="007B6730">
        <w:rPr>
          <w:rFonts w:asciiTheme="majorBidi" w:hAnsiTheme="majorBidi" w:cstheme="majorBidi"/>
          <w:sz w:val="20"/>
          <w:szCs w:val="20"/>
        </w:rPr>
        <w:t>(</w:t>
      </w:r>
      <w:r>
        <w:rPr>
          <w:rFonts w:asciiTheme="majorBidi" w:hAnsiTheme="majorBidi" w:cstheme="majorBidi"/>
          <w:sz w:val="20"/>
          <w:szCs w:val="20"/>
        </w:rPr>
        <w:t>2000,</w:t>
      </w:r>
      <w:r w:rsidRPr="007B6730">
        <w:rPr>
          <w:rFonts w:asciiTheme="majorBidi" w:hAnsiTheme="majorBidi" w:cstheme="majorBidi"/>
          <w:sz w:val="20"/>
          <w:szCs w:val="20"/>
        </w:rPr>
        <w:t xml:space="preserve"> p. 115; </w:t>
      </w:r>
      <w:r>
        <w:rPr>
          <w:rFonts w:asciiTheme="majorBidi" w:hAnsiTheme="majorBidi" w:cstheme="majorBidi"/>
          <w:sz w:val="20"/>
          <w:szCs w:val="20"/>
        </w:rPr>
        <w:t>tr.</w:t>
      </w:r>
      <w:r w:rsidRPr="007B6730">
        <w:rPr>
          <w:rFonts w:asciiTheme="majorBidi" w:hAnsiTheme="majorBidi" w:cstheme="majorBidi"/>
          <w:sz w:val="20"/>
          <w:szCs w:val="20"/>
        </w:rPr>
        <w:t>, 1996, p. 28).</w:t>
      </w:r>
    </w:p>
  </w:footnote>
  <w:footnote w:id="119">
    <w:p w14:paraId="0C3550F2" w14:textId="39D618F9" w:rsidR="00902FCD" w:rsidRPr="00596CC6" w:rsidRDefault="00902FCD" w:rsidP="00887522">
      <w:pPr>
        <w:pStyle w:val="FootnoteText"/>
        <w:spacing w:line="360" w:lineRule="auto"/>
        <w:rPr>
          <w:rFonts w:asciiTheme="majorBidi" w:hAnsiTheme="majorBidi" w:cstheme="majorBidi"/>
          <w:sz w:val="20"/>
          <w:szCs w:val="20"/>
        </w:rPr>
      </w:pPr>
      <w:r w:rsidRPr="00AB3D57">
        <w:rPr>
          <w:rFonts w:asciiTheme="majorBidi" w:hAnsiTheme="majorBidi" w:cstheme="majorBidi"/>
          <w:sz w:val="20"/>
          <w:szCs w:val="20"/>
          <w:vertAlign w:val="superscript"/>
        </w:rPr>
        <w:footnoteRef/>
      </w:r>
      <w:r w:rsidRPr="00AB3D57">
        <w:rPr>
          <w:rFonts w:asciiTheme="majorBidi" w:hAnsiTheme="majorBidi" w:cstheme="majorBidi"/>
          <w:sz w:val="22"/>
          <w:szCs w:val="22"/>
          <w:vertAlign w:val="superscript"/>
        </w:rPr>
        <w:t xml:space="preserve"> </w:t>
      </w:r>
      <w:r>
        <w:rPr>
          <w:rFonts w:asciiTheme="majorBidi" w:hAnsiTheme="majorBidi" w:cstheme="majorBidi"/>
          <w:sz w:val="20"/>
          <w:szCs w:val="20"/>
        </w:rPr>
        <w:t>Xuanzang visited both Balkh and the other subregions where Buddhism was practiced (Huili &amp; Yancong, 2000, pp. 31-3)</w:t>
      </w:r>
      <w:r w:rsidRPr="00F1206A">
        <w:rPr>
          <w:rFonts w:asciiTheme="majorBidi" w:hAnsiTheme="majorBidi" w:cstheme="majorBidi"/>
          <w:sz w:val="20"/>
          <w:szCs w:val="20"/>
        </w:rPr>
        <w:t xml:space="preserve">. The </w:t>
      </w:r>
      <w:r>
        <w:rPr>
          <w:rFonts w:asciiTheme="majorBidi" w:hAnsiTheme="majorBidi" w:cstheme="majorBidi"/>
          <w:sz w:val="20"/>
          <w:szCs w:val="20"/>
        </w:rPr>
        <w:t xml:space="preserve">Buddhist texts found in the </w:t>
      </w:r>
      <w:r w:rsidRPr="00F1206A">
        <w:rPr>
          <w:rFonts w:asciiTheme="majorBidi" w:hAnsiTheme="majorBidi" w:cstheme="majorBidi"/>
          <w:sz w:val="20"/>
          <w:szCs w:val="20"/>
        </w:rPr>
        <w:t>Bactrian documents (Sims-Williams, 2007, pp. 174-</w:t>
      </w:r>
      <w:r>
        <w:rPr>
          <w:rFonts w:asciiTheme="majorBidi" w:hAnsiTheme="majorBidi" w:cstheme="majorBidi"/>
          <w:sz w:val="20"/>
          <w:szCs w:val="20"/>
        </w:rPr>
        <w:t>7</w:t>
      </w:r>
      <w:r w:rsidRPr="00F1206A">
        <w:rPr>
          <w:rFonts w:asciiTheme="majorBidi" w:hAnsiTheme="majorBidi" w:cstheme="majorBidi"/>
          <w:sz w:val="20"/>
          <w:szCs w:val="20"/>
        </w:rPr>
        <w:t>)</w:t>
      </w:r>
      <w:r>
        <w:rPr>
          <w:rFonts w:asciiTheme="majorBidi" w:hAnsiTheme="majorBidi" w:cstheme="majorBidi"/>
          <w:sz w:val="20"/>
          <w:szCs w:val="20"/>
        </w:rPr>
        <w:t xml:space="preserve"> also attest the popularity of Buddhism in Ṭukhāristān</w:t>
      </w:r>
      <w:r w:rsidRPr="00F1206A">
        <w:rPr>
          <w:rFonts w:asciiTheme="majorBidi" w:hAnsiTheme="majorBidi" w:cstheme="majorBidi"/>
          <w:sz w:val="20"/>
          <w:szCs w:val="20"/>
        </w:rPr>
        <w:t>.</w:t>
      </w:r>
      <w:r>
        <w:rPr>
          <w:rFonts w:asciiTheme="majorBidi" w:hAnsiTheme="majorBidi" w:cstheme="majorBidi"/>
          <w:sz w:val="20"/>
          <w:szCs w:val="20"/>
        </w:rPr>
        <w:t xml:space="preserve"> For the predominance of Buddhism in</w:t>
      </w:r>
      <w:r w:rsidRPr="0020330F">
        <w:rPr>
          <w:rFonts w:asciiTheme="majorBidi" w:hAnsiTheme="majorBidi" w:cstheme="majorBidi"/>
          <w:sz w:val="20"/>
          <w:szCs w:val="20"/>
        </w:rPr>
        <w:t xml:space="preserve"> </w:t>
      </w:r>
      <w:r>
        <w:rPr>
          <w:rFonts w:asciiTheme="majorBidi" w:hAnsiTheme="majorBidi" w:cstheme="majorBidi"/>
          <w:sz w:val="20"/>
          <w:szCs w:val="20"/>
        </w:rPr>
        <w:t>the region despite the presence of Christianity, Manicheanism and other religions, see Bosworth, 2008, p. 239; van Bladel,</w:t>
      </w:r>
      <w:r w:rsidRPr="0020330F">
        <w:rPr>
          <w:rFonts w:asciiTheme="majorBidi" w:hAnsiTheme="majorBidi" w:cstheme="majorBidi"/>
          <w:sz w:val="20"/>
          <w:szCs w:val="20"/>
        </w:rPr>
        <w:t xml:space="preserve"> </w:t>
      </w:r>
      <w:r w:rsidRPr="00933BCB">
        <w:rPr>
          <w:rFonts w:asciiTheme="majorBidi" w:hAnsiTheme="majorBidi" w:cstheme="majorBidi"/>
          <w:sz w:val="20"/>
          <w:szCs w:val="20"/>
        </w:rPr>
        <w:t>2011, pp. 49-57</w:t>
      </w:r>
      <w:r>
        <w:rPr>
          <w:rFonts w:asciiTheme="majorBidi" w:hAnsiTheme="majorBidi" w:cstheme="majorBidi"/>
          <w:sz w:val="20"/>
          <w:szCs w:val="20"/>
        </w:rPr>
        <w:t>.</w:t>
      </w:r>
      <w:r>
        <w:rPr>
          <w:rFonts w:asciiTheme="majorBidi" w:hAnsiTheme="majorBidi" w:cstheme="majorBidi"/>
          <w:sz w:val="24"/>
          <w:szCs w:val="24"/>
        </w:rPr>
        <w:t xml:space="preserve"> </w:t>
      </w:r>
      <w:r w:rsidRPr="00737915">
        <w:rPr>
          <w:rFonts w:asciiTheme="majorBidi" w:hAnsiTheme="majorBidi" w:cstheme="majorBidi"/>
          <w:sz w:val="20"/>
          <w:szCs w:val="20"/>
        </w:rPr>
        <w:t>The case of the Turkic princess who worshipped the local god Kamird found in the Bactrian documents suggests that some of the Turks even worshiped local deities</w:t>
      </w:r>
      <w:r>
        <w:rPr>
          <w:rFonts w:asciiTheme="majorBidi" w:hAnsiTheme="majorBidi" w:cstheme="majorBidi"/>
          <w:sz w:val="24"/>
          <w:szCs w:val="24"/>
        </w:rPr>
        <w:t xml:space="preserve"> (</w:t>
      </w:r>
      <w:r w:rsidRPr="008F55F8">
        <w:rPr>
          <w:rFonts w:asciiTheme="majorBidi" w:hAnsiTheme="majorBidi" w:cstheme="majorBidi"/>
          <w:sz w:val="20"/>
          <w:szCs w:val="20"/>
        </w:rPr>
        <w:t>Sims-Williams, 2000, pp. 98-105</w:t>
      </w:r>
      <w:r>
        <w:rPr>
          <w:rFonts w:asciiTheme="majorBidi" w:hAnsiTheme="majorBidi" w:cstheme="majorBidi"/>
          <w:sz w:val="24"/>
          <w:szCs w:val="24"/>
        </w:rPr>
        <w:t xml:space="preserve">). </w:t>
      </w:r>
      <w:r>
        <w:rPr>
          <w:rFonts w:asciiTheme="majorBidi" w:hAnsiTheme="majorBidi" w:cstheme="majorBidi"/>
          <w:sz w:val="20"/>
          <w:szCs w:val="20"/>
        </w:rPr>
        <w:t>And the archaeological findings in Balkh, Gūzgān, Bādghīs, Badakhshān attest the presence of Buddhism in these regions (Dhaka, 2017, p. 4).</w:t>
      </w:r>
    </w:p>
  </w:footnote>
  <w:footnote w:id="120">
    <w:p w14:paraId="60D3E253" w14:textId="795E343D" w:rsidR="00902FCD" w:rsidRPr="00D5246D" w:rsidRDefault="00902FCD" w:rsidP="006C2B0B">
      <w:pPr>
        <w:pStyle w:val="FootnoteText"/>
        <w:spacing w:line="360" w:lineRule="auto"/>
        <w:rPr>
          <w:rFonts w:asciiTheme="majorBidi" w:hAnsiTheme="majorBidi" w:cstheme="majorBidi"/>
          <w:sz w:val="20"/>
          <w:szCs w:val="20"/>
        </w:rPr>
      </w:pPr>
      <w:r w:rsidRPr="00D5246D">
        <w:rPr>
          <w:rFonts w:asciiTheme="majorBidi" w:hAnsiTheme="majorBidi" w:cstheme="majorBidi"/>
          <w:sz w:val="20"/>
          <w:szCs w:val="20"/>
          <w:vertAlign w:val="superscript"/>
        </w:rPr>
        <w:footnoteRef/>
      </w:r>
      <w:r w:rsidRPr="00D5246D">
        <w:rPr>
          <w:rFonts w:asciiTheme="majorBidi" w:hAnsiTheme="majorBidi" w:cstheme="majorBidi"/>
          <w:sz w:val="20"/>
          <w:szCs w:val="20"/>
          <w:vertAlign w:val="superscript"/>
        </w:rPr>
        <w:t xml:space="preserve"> </w:t>
      </w:r>
      <w:r>
        <w:rPr>
          <w:rFonts w:asciiTheme="majorBidi" w:hAnsiTheme="majorBidi" w:cstheme="majorBidi"/>
          <w:sz w:val="20"/>
          <w:szCs w:val="20"/>
        </w:rPr>
        <w:t>Politically, Balkh was the old capital of Ṭukhāristān; economically, it had been a commercial hub that connects China, India and Iran (Van Bladel, 2011, pp. 47-8) that had been largely replaced by Sogdiana in the 7</w:t>
      </w:r>
      <w:r w:rsidRPr="00BF77AA">
        <w:rPr>
          <w:rFonts w:asciiTheme="majorBidi" w:hAnsiTheme="majorBidi" w:cstheme="majorBidi"/>
          <w:sz w:val="20"/>
          <w:szCs w:val="20"/>
          <w:vertAlign w:val="superscript"/>
        </w:rPr>
        <w:t>th</w:t>
      </w:r>
      <w:r>
        <w:rPr>
          <w:rFonts w:asciiTheme="majorBidi" w:hAnsiTheme="majorBidi" w:cstheme="majorBidi"/>
          <w:sz w:val="20"/>
          <w:szCs w:val="20"/>
        </w:rPr>
        <w:t xml:space="preserve"> and 8</w:t>
      </w:r>
      <w:r w:rsidRPr="00BF77AA">
        <w:rPr>
          <w:rFonts w:asciiTheme="majorBidi" w:hAnsiTheme="majorBidi" w:cstheme="majorBidi"/>
          <w:sz w:val="20"/>
          <w:szCs w:val="20"/>
          <w:vertAlign w:val="superscript"/>
        </w:rPr>
        <w:t>th</w:t>
      </w:r>
      <w:r>
        <w:rPr>
          <w:rFonts w:asciiTheme="majorBidi" w:hAnsiTheme="majorBidi" w:cstheme="majorBidi"/>
          <w:sz w:val="20"/>
          <w:szCs w:val="20"/>
        </w:rPr>
        <w:t xml:space="preserve"> centuries. Although coins were struck in Balkh probably even after the collapse of the Hephthalites in 560 CE (</w:t>
      </w:r>
      <w:r w:rsidRPr="002A627E">
        <w:rPr>
          <w:rFonts w:asciiTheme="majorBidi" w:hAnsiTheme="majorBidi" w:cstheme="majorBidi"/>
          <w:sz w:val="20"/>
          <w:szCs w:val="20"/>
        </w:rPr>
        <w:t>Vondrovec, 2014, pp. 399-401</w:t>
      </w:r>
      <w:r>
        <w:rPr>
          <w:rFonts w:asciiTheme="majorBidi" w:hAnsiTheme="majorBidi" w:cstheme="majorBidi"/>
          <w:sz w:val="20"/>
          <w:szCs w:val="20"/>
        </w:rPr>
        <w:t xml:space="preserve">), </w:t>
      </w:r>
      <w:r w:rsidRPr="00D5246D">
        <w:rPr>
          <w:rFonts w:asciiTheme="majorBidi" w:hAnsiTheme="majorBidi" w:cstheme="majorBidi"/>
          <w:sz w:val="20"/>
          <w:szCs w:val="20"/>
        </w:rPr>
        <w:t xml:space="preserve">Xuanzang (2000, p. 115; </w:t>
      </w:r>
      <w:r>
        <w:rPr>
          <w:rFonts w:asciiTheme="majorBidi" w:hAnsiTheme="majorBidi" w:cstheme="majorBidi"/>
          <w:sz w:val="20"/>
          <w:szCs w:val="20"/>
        </w:rPr>
        <w:t>tr.</w:t>
      </w:r>
      <w:r w:rsidRPr="00D5246D">
        <w:rPr>
          <w:rFonts w:asciiTheme="majorBidi" w:hAnsiTheme="majorBidi" w:cstheme="majorBidi"/>
          <w:sz w:val="20"/>
          <w:szCs w:val="20"/>
        </w:rPr>
        <w:t>, 1996, p. 28) record</w:t>
      </w:r>
      <w:r>
        <w:rPr>
          <w:rFonts w:asciiTheme="majorBidi" w:hAnsiTheme="majorBidi" w:cstheme="majorBidi"/>
          <w:sz w:val="20"/>
          <w:szCs w:val="20"/>
        </w:rPr>
        <w:t>s</w:t>
      </w:r>
      <w:r w:rsidRPr="00D5246D">
        <w:rPr>
          <w:rFonts w:asciiTheme="majorBidi" w:hAnsiTheme="majorBidi" w:cstheme="majorBidi"/>
          <w:sz w:val="20"/>
          <w:szCs w:val="20"/>
        </w:rPr>
        <w:t xml:space="preserve"> that </w:t>
      </w:r>
      <w:r>
        <w:rPr>
          <w:rFonts w:asciiTheme="majorBidi" w:hAnsiTheme="majorBidi" w:cstheme="majorBidi"/>
          <w:sz w:val="20"/>
          <w:szCs w:val="20"/>
        </w:rPr>
        <w:t xml:space="preserve">the </w:t>
      </w:r>
      <w:r w:rsidRPr="00D5246D">
        <w:rPr>
          <w:rFonts w:asciiTheme="majorBidi" w:hAnsiTheme="majorBidi" w:cstheme="majorBidi"/>
          <w:sz w:val="20"/>
          <w:szCs w:val="20"/>
        </w:rPr>
        <w:t xml:space="preserve">residents </w:t>
      </w:r>
      <w:r>
        <w:rPr>
          <w:rFonts w:asciiTheme="majorBidi" w:hAnsiTheme="majorBidi" w:cstheme="majorBidi"/>
          <w:sz w:val="20"/>
          <w:szCs w:val="20"/>
        </w:rPr>
        <w:t xml:space="preserve">in Balkh </w:t>
      </w:r>
      <w:r w:rsidRPr="00D5246D">
        <w:rPr>
          <w:rFonts w:asciiTheme="majorBidi" w:hAnsiTheme="majorBidi" w:cstheme="majorBidi"/>
          <w:sz w:val="20"/>
          <w:szCs w:val="20"/>
        </w:rPr>
        <w:t>were sparse although the fortifications were strong.</w:t>
      </w:r>
      <w:r>
        <w:rPr>
          <w:rFonts w:asciiTheme="majorBidi" w:hAnsiTheme="majorBidi" w:cstheme="majorBidi"/>
          <w:sz w:val="20"/>
          <w:szCs w:val="20"/>
        </w:rPr>
        <w:t xml:space="preserve"> De la Vassière (2018, pp. 126-7) explains that the destruction resulted from it as the buffer zone between the Sasanians and later Arabs based in Marw and the Western Turks based in Kunduz. </w:t>
      </w:r>
    </w:p>
  </w:footnote>
  <w:footnote w:id="121">
    <w:p w14:paraId="1F3F300B" w14:textId="5774C72B" w:rsidR="00902FCD" w:rsidRPr="009A622F" w:rsidRDefault="00902FCD" w:rsidP="008A3643">
      <w:pPr>
        <w:pStyle w:val="FootnoteText"/>
        <w:spacing w:line="360" w:lineRule="auto"/>
        <w:rPr>
          <w:rFonts w:asciiTheme="majorBidi" w:hAnsiTheme="majorBidi" w:cstheme="majorBidi"/>
          <w:sz w:val="20"/>
          <w:szCs w:val="20"/>
        </w:rPr>
      </w:pPr>
      <w:r w:rsidRPr="009A622F">
        <w:rPr>
          <w:rFonts w:asciiTheme="majorBidi" w:hAnsiTheme="majorBidi" w:cstheme="majorBidi"/>
          <w:sz w:val="20"/>
          <w:szCs w:val="20"/>
          <w:vertAlign w:val="superscript"/>
        </w:rPr>
        <w:footnoteRef/>
      </w:r>
      <w:r w:rsidRPr="009A622F">
        <w:rPr>
          <w:rFonts w:asciiTheme="majorBidi" w:hAnsiTheme="majorBidi" w:cstheme="majorBidi"/>
          <w:sz w:val="20"/>
          <w:szCs w:val="20"/>
          <w:vertAlign w:val="superscript"/>
        </w:rPr>
        <w:t xml:space="preserve"> </w:t>
      </w:r>
      <w:r>
        <w:rPr>
          <w:rFonts w:asciiTheme="majorBidi" w:hAnsiTheme="majorBidi" w:cstheme="majorBidi"/>
          <w:sz w:val="20"/>
          <w:szCs w:val="20"/>
        </w:rPr>
        <w:t xml:space="preserve">The etymology </w:t>
      </w:r>
      <w:r w:rsidRPr="00812D71">
        <w:rPr>
          <w:rFonts w:asciiTheme="majorBidi" w:hAnsiTheme="majorBidi" w:cstheme="majorBidi"/>
          <w:sz w:val="20"/>
          <w:szCs w:val="20"/>
        </w:rPr>
        <w:t>Nawbahār is the Sanskrit</w:t>
      </w:r>
      <w:r w:rsidRPr="00737915">
        <w:rPr>
          <w:rFonts w:asciiTheme="majorBidi" w:hAnsiTheme="majorBidi" w:cstheme="majorBidi"/>
          <w:i/>
          <w:iCs/>
          <w:sz w:val="20"/>
          <w:szCs w:val="20"/>
        </w:rPr>
        <w:t xml:space="preserve"> nava vihara</w:t>
      </w:r>
      <w:r w:rsidRPr="00812D71">
        <w:rPr>
          <w:rFonts w:asciiTheme="majorBidi" w:hAnsiTheme="majorBidi" w:cstheme="majorBidi"/>
          <w:sz w:val="20"/>
          <w:szCs w:val="20"/>
        </w:rPr>
        <w:t>, meaning new monastery</w:t>
      </w:r>
      <w:r>
        <w:rPr>
          <w:rFonts w:asciiTheme="majorBidi" w:hAnsiTheme="majorBidi" w:cstheme="majorBidi"/>
          <w:sz w:val="20"/>
          <w:szCs w:val="20"/>
        </w:rPr>
        <w:t xml:space="preserve"> (Azad, 2013, p. 82)</w:t>
      </w:r>
      <w:r>
        <w:rPr>
          <w:rFonts w:asciiTheme="majorBidi" w:hAnsiTheme="majorBidi" w:cstheme="majorBidi"/>
          <w:sz w:val="24"/>
          <w:szCs w:val="24"/>
        </w:rPr>
        <w:t xml:space="preserve">. </w:t>
      </w:r>
      <w:r w:rsidRPr="009A622F">
        <w:rPr>
          <w:rFonts w:asciiTheme="majorBidi" w:hAnsiTheme="majorBidi" w:cstheme="majorBidi"/>
          <w:sz w:val="20"/>
          <w:szCs w:val="20"/>
        </w:rPr>
        <w:t xml:space="preserve">Xuanzang (2000, pp. 117-21; </w:t>
      </w:r>
      <w:r>
        <w:rPr>
          <w:rFonts w:asciiTheme="majorBidi" w:hAnsiTheme="majorBidi" w:cstheme="majorBidi"/>
          <w:sz w:val="20"/>
          <w:szCs w:val="20"/>
        </w:rPr>
        <w:t>tr.</w:t>
      </w:r>
      <w:r w:rsidRPr="009A622F">
        <w:rPr>
          <w:rFonts w:asciiTheme="majorBidi" w:hAnsiTheme="majorBidi" w:cstheme="majorBidi"/>
          <w:sz w:val="20"/>
          <w:szCs w:val="20"/>
        </w:rPr>
        <w:t xml:space="preserve">, 1996, pp. 28-9) presented a detailed description of the </w:t>
      </w:r>
      <w:r>
        <w:rPr>
          <w:rFonts w:asciiTheme="majorBidi" w:hAnsiTheme="majorBidi" w:cstheme="majorBidi"/>
          <w:sz w:val="20"/>
          <w:szCs w:val="20"/>
        </w:rPr>
        <w:t xml:space="preserve">Nawbahār </w:t>
      </w:r>
      <w:r w:rsidRPr="009A622F">
        <w:rPr>
          <w:rFonts w:asciiTheme="majorBidi" w:hAnsiTheme="majorBidi" w:cstheme="majorBidi"/>
          <w:sz w:val="20"/>
          <w:szCs w:val="20"/>
        </w:rPr>
        <w:t>monastery.</w:t>
      </w:r>
    </w:p>
  </w:footnote>
  <w:footnote w:id="122">
    <w:p w14:paraId="32E0B310" w14:textId="7956E162" w:rsidR="00902FCD" w:rsidRPr="00D25055" w:rsidRDefault="00902FCD" w:rsidP="008A3643">
      <w:pPr>
        <w:pStyle w:val="FootnoteText"/>
        <w:spacing w:line="360" w:lineRule="auto"/>
        <w:rPr>
          <w:rFonts w:asciiTheme="majorBidi" w:hAnsiTheme="majorBidi" w:cstheme="majorBidi"/>
          <w:sz w:val="20"/>
          <w:szCs w:val="20"/>
        </w:rPr>
      </w:pPr>
      <w:r w:rsidRPr="00D25055">
        <w:rPr>
          <w:rFonts w:asciiTheme="majorBidi" w:hAnsiTheme="majorBidi" w:cstheme="majorBidi"/>
          <w:sz w:val="20"/>
          <w:szCs w:val="20"/>
          <w:vertAlign w:val="superscript"/>
        </w:rPr>
        <w:footnoteRef/>
      </w:r>
      <w:r w:rsidRPr="00D25055">
        <w:rPr>
          <w:rFonts w:asciiTheme="majorBidi" w:hAnsiTheme="majorBidi" w:cstheme="majorBidi"/>
          <w:sz w:val="20"/>
          <w:szCs w:val="20"/>
        </w:rPr>
        <w:t xml:space="preserve"> </w:t>
      </w:r>
      <w:r>
        <w:rPr>
          <w:rFonts w:asciiTheme="majorBidi" w:hAnsiTheme="majorBidi" w:cstheme="majorBidi"/>
          <w:sz w:val="20"/>
          <w:szCs w:val="20"/>
        </w:rPr>
        <w:t xml:space="preserve">According to Bosworth (2008, p. 239) and van Bladel (2011, pp. 61-74), Barmak was a title of Sanskrit origin </w:t>
      </w:r>
      <w:r w:rsidRPr="00812D71">
        <w:rPr>
          <w:rFonts w:asciiTheme="majorBidi" w:hAnsiTheme="majorBidi" w:cstheme="majorBidi"/>
          <w:i/>
          <w:iCs/>
          <w:sz w:val="20"/>
          <w:szCs w:val="20"/>
        </w:rPr>
        <w:t>pramukha</w:t>
      </w:r>
      <w:r>
        <w:rPr>
          <w:rFonts w:asciiTheme="majorBidi" w:hAnsiTheme="majorBidi" w:cstheme="majorBidi"/>
          <w:sz w:val="20"/>
          <w:szCs w:val="20"/>
        </w:rPr>
        <w:t xml:space="preserve">, meaning chief or leader. The local source of Balkh </w:t>
      </w:r>
      <w:proofErr w:type="gramStart"/>
      <w:r w:rsidRPr="004F5CF3">
        <w:rPr>
          <w:rFonts w:asciiTheme="majorBidi" w:hAnsiTheme="majorBidi" w:cstheme="majorBidi"/>
          <w:i/>
          <w:iCs/>
          <w:sz w:val="20"/>
          <w:szCs w:val="20"/>
        </w:rPr>
        <w:t>Faḍā‘</w:t>
      </w:r>
      <w:proofErr w:type="gramEnd"/>
      <w:r w:rsidRPr="004F5CF3">
        <w:rPr>
          <w:rFonts w:asciiTheme="majorBidi" w:hAnsiTheme="majorBidi" w:cstheme="majorBidi"/>
          <w:i/>
          <w:iCs/>
          <w:sz w:val="20"/>
          <w:szCs w:val="20"/>
        </w:rPr>
        <w:t>il-i Balkh</w:t>
      </w:r>
      <w:r>
        <w:rPr>
          <w:rFonts w:asciiTheme="majorBidi" w:hAnsiTheme="majorBidi" w:cstheme="majorBidi"/>
          <w:sz w:val="20"/>
          <w:szCs w:val="20"/>
        </w:rPr>
        <w:t xml:space="preserve"> reports that the Barmakids built and were responsible for the monastery (1971, pp. 19-20; tr., 2013, p. 78). However, the lost of pre-Islamic knowledge of the 11</w:t>
      </w:r>
      <w:r w:rsidRPr="004F5CF3">
        <w:rPr>
          <w:rFonts w:asciiTheme="majorBidi" w:hAnsiTheme="majorBidi" w:cstheme="majorBidi"/>
          <w:sz w:val="20"/>
          <w:szCs w:val="20"/>
          <w:vertAlign w:val="superscript"/>
        </w:rPr>
        <w:t>th</w:t>
      </w:r>
      <w:r>
        <w:rPr>
          <w:rFonts w:asciiTheme="majorBidi" w:hAnsiTheme="majorBidi" w:cstheme="majorBidi"/>
          <w:sz w:val="20"/>
          <w:szCs w:val="20"/>
        </w:rPr>
        <w:t xml:space="preserve"> century Muslim scholars is obvious, since it reports in mistake that the monastery was a temple for Zoroastrian priests.</w:t>
      </w:r>
    </w:p>
  </w:footnote>
  <w:footnote w:id="123">
    <w:p w14:paraId="06CA25C9" w14:textId="12B91CA5" w:rsidR="00902FCD" w:rsidRPr="00C46A0D" w:rsidRDefault="00902FCD" w:rsidP="00C46A0D">
      <w:pPr>
        <w:pStyle w:val="FootnoteText"/>
        <w:spacing w:line="360" w:lineRule="auto"/>
        <w:rPr>
          <w:rFonts w:asciiTheme="majorBidi" w:hAnsiTheme="majorBidi" w:cstheme="majorBidi"/>
          <w:sz w:val="20"/>
          <w:szCs w:val="20"/>
        </w:rPr>
      </w:pPr>
      <w:r w:rsidRPr="00C46A0D">
        <w:rPr>
          <w:rFonts w:asciiTheme="majorBidi" w:hAnsiTheme="majorBidi" w:cstheme="majorBidi"/>
          <w:sz w:val="20"/>
          <w:szCs w:val="20"/>
          <w:vertAlign w:val="superscript"/>
        </w:rPr>
        <w:footnoteRef/>
      </w:r>
      <w:r w:rsidRPr="00C46A0D">
        <w:rPr>
          <w:rFonts w:asciiTheme="majorBidi" w:hAnsiTheme="majorBidi" w:cstheme="majorBidi"/>
          <w:sz w:val="20"/>
          <w:szCs w:val="20"/>
          <w:vertAlign w:val="superscript"/>
        </w:rPr>
        <w:t xml:space="preserve"> </w:t>
      </w:r>
      <w:r w:rsidRPr="00E67EC0">
        <w:rPr>
          <w:rFonts w:asciiTheme="majorBidi" w:hAnsiTheme="majorBidi" w:cstheme="majorBidi"/>
          <w:sz w:val="20"/>
          <w:szCs w:val="20"/>
        </w:rPr>
        <w:t>Azad, 2</w:t>
      </w:r>
      <w:r>
        <w:rPr>
          <w:rFonts w:asciiTheme="majorBidi" w:hAnsiTheme="majorBidi" w:cstheme="majorBidi"/>
          <w:sz w:val="20"/>
          <w:szCs w:val="20"/>
        </w:rPr>
        <w:t xml:space="preserve">013, pp. 77-83. </w:t>
      </w:r>
      <w:r w:rsidRPr="00C46A0D">
        <w:rPr>
          <w:rFonts w:asciiTheme="majorBidi" w:hAnsiTheme="majorBidi" w:cstheme="majorBidi"/>
          <w:sz w:val="20"/>
          <w:szCs w:val="20"/>
        </w:rPr>
        <w:t>For recent archaeological discoveries in the Nawbahār monastery and Balkh in general such as the irrigation network and the wall, see de la Vassière (2008, pp. 124-41).</w:t>
      </w:r>
    </w:p>
  </w:footnote>
  <w:footnote w:id="124">
    <w:p w14:paraId="58053965" w14:textId="2878227C" w:rsidR="00902FCD" w:rsidRPr="000D2A64" w:rsidRDefault="00902FCD" w:rsidP="000D2A64">
      <w:pPr>
        <w:pStyle w:val="FootnoteText"/>
        <w:spacing w:line="360" w:lineRule="auto"/>
        <w:rPr>
          <w:rFonts w:asciiTheme="majorBidi" w:hAnsiTheme="majorBidi" w:cstheme="majorBidi"/>
          <w:sz w:val="20"/>
          <w:szCs w:val="20"/>
        </w:rPr>
      </w:pPr>
      <w:r w:rsidRPr="000D2A64">
        <w:rPr>
          <w:rFonts w:asciiTheme="majorBidi" w:hAnsiTheme="majorBidi" w:cstheme="majorBidi"/>
          <w:sz w:val="20"/>
          <w:szCs w:val="20"/>
          <w:vertAlign w:val="superscript"/>
        </w:rPr>
        <w:footnoteRef/>
      </w:r>
      <w:r w:rsidRPr="000D2A64">
        <w:rPr>
          <w:rFonts w:asciiTheme="majorBidi" w:hAnsiTheme="majorBidi" w:cstheme="majorBidi"/>
          <w:sz w:val="20"/>
          <w:szCs w:val="20"/>
          <w:vertAlign w:val="superscript"/>
        </w:rPr>
        <w:t xml:space="preserve"> </w:t>
      </w:r>
      <w:r w:rsidRPr="000D2A64">
        <w:rPr>
          <w:rFonts w:asciiTheme="majorBidi" w:hAnsiTheme="majorBidi" w:cstheme="majorBidi"/>
          <w:sz w:val="20"/>
          <w:szCs w:val="20"/>
        </w:rPr>
        <w:t>The Western Turks were greatly weakened in their war with the Tang and did not organize any military campaign into Ṭukhāristān in the entire 2nd half of the 7th century (Hoyland, 2015, p. 134).</w:t>
      </w:r>
    </w:p>
  </w:footnote>
  <w:footnote w:id="125">
    <w:p w14:paraId="72F4985C" w14:textId="3BE280C4" w:rsidR="00902FCD" w:rsidRPr="00563BAB" w:rsidRDefault="00902FCD" w:rsidP="000D2A64">
      <w:pPr>
        <w:pStyle w:val="FootnoteText"/>
        <w:spacing w:line="360" w:lineRule="auto"/>
        <w:rPr>
          <w:rFonts w:asciiTheme="majorBidi" w:hAnsiTheme="majorBidi" w:cstheme="majorBidi"/>
          <w:sz w:val="20"/>
          <w:szCs w:val="20"/>
        </w:rPr>
      </w:pPr>
      <w:r w:rsidRPr="00563BAB">
        <w:rPr>
          <w:rFonts w:asciiTheme="majorBidi" w:hAnsiTheme="majorBidi" w:cstheme="majorBidi"/>
          <w:sz w:val="20"/>
          <w:szCs w:val="20"/>
          <w:vertAlign w:val="superscript"/>
        </w:rPr>
        <w:footnoteRef/>
      </w:r>
      <w:r w:rsidRPr="00563BAB">
        <w:rPr>
          <w:rFonts w:asciiTheme="majorBidi" w:hAnsiTheme="majorBidi" w:cstheme="majorBidi"/>
          <w:sz w:val="20"/>
          <w:szCs w:val="20"/>
        </w:rPr>
        <w:t xml:space="preserve"> According to Xuanzang, </w:t>
      </w:r>
      <w:r>
        <w:rPr>
          <w:rFonts w:asciiTheme="majorBidi" w:hAnsiTheme="majorBidi" w:cstheme="majorBidi"/>
          <w:sz w:val="20"/>
          <w:szCs w:val="20"/>
        </w:rPr>
        <w:t xml:space="preserve">the </w:t>
      </w:r>
      <w:r w:rsidRPr="00864D39">
        <w:rPr>
          <w:rFonts w:asciiTheme="majorBidi" w:hAnsiTheme="majorBidi" w:cstheme="majorBidi"/>
          <w:sz w:val="20"/>
          <w:szCs w:val="20"/>
        </w:rPr>
        <w:t xml:space="preserve">Ṭukhārā Yabghū </w:t>
      </w:r>
      <w:r>
        <w:rPr>
          <w:rFonts w:asciiTheme="majorBidi" w:hAnsiTheme="majorBidi" w:cstheme="majorBidi"/>
          <w:sz w:val="20"/>
          <w:szCs w:val="20"/>
        </w:rPr>
        <w:t>Ishbara</w:t>
      </w:r>
      <w:r w:rsidRPr="00563BAB">
        <w:rPr>
          <w:rFonts w:asciiTheme="majorBidi" w:hAnsiTheme="majorBidi" w:cstheme="majorBidi"/>
          <w:sz w:val="20"/>
          <w:szCs w:val="20"/>
        </w:rPr>
        <w:t xml:space="preserve"> was a </w:t>
      </w:r>
      <w:r w:rsidRPr="005F43E8">
        <w:rPr>
          <w:rFonts w:asciiTheme="majorBidi" w:hAnsiTheme="majorBidi" w:cstheme="majorBidi"/>
          <w:i/>
          <w:iCs/>
          <w:sz w:val="20"/>
          <w:szCs w:val="20"/>
        </w:rPr>
        <w:t>tegin</w:t>
      </w:r>
      <w:r w:rsidRPr="00563BAB">
        <w:rPr>
          <w:rFonts w:asciiTheme="majorBidi" w:hAnsiTheme="majorBidi" w:cstheme="majorBidi"/>
          <w:sz w:val="20"/>
          <w:szCs w:val="20"/>
        </w:rPr>
        <w:t xml:space="preserve">, literally a prince, and claimed the </w:t>
      </w:r>
      <w:r w:rsidRPr="005F43E8">
        <w:rPr>
          <w:rFonts w:asciiTheme="majorBidi" w:hAnsiTheme="majorBidi" w:cstheme="majorBidi"/>
          <w:i/>
          <w:iCs/>
          <w:sz w:val="20"/>
          <w:szCs w:val="20"/>
        </w:rPr>
        <w:t>shad</w:t>
      </w:r>
      <w:r>
        <w:rPr>
          <w:rFonts w:asciiTheme="majorBidi" w:hAnsiTheme="majorBidi" w:cstheme="majorBidi"/>
          <w:sz w:val="20"/>
          <w:szCs w:val="20"/>
        </w:rPr>
        <w:t xml:space="preserve">, a high-ranking Turkic title, </w:t>
      </w:r>
      <w:r w:rsidRPr="00563BAB">
        <w:rPr>
          <w:rFonts w:asciiTheme="majorBidi" w:hAnsiTheme="majorBidi" w:cstheme="majorBidi"/>
          <w:sz w:val="20"/>
          <w:szCs w:val="20"/>
        </w:rPr>
        <w:t>when he ascended the throne</w:t>
      </w:r>
      <w:r>
        <w:rPr>
          <w:rFonts w:asciiTheme="majorBidi" w:hAnsiTheme="majorBidi" w:cstheme="majorBidi"/>
          <w:sz w:val="20"/>
          <w:szCs w:val="20"/>
        </w:rPr>
        <w:t xml:space="preserve"> in 630 CE. However, he had claimed the title </w:t>
      </w:r>
      <w:r w:rsidRPr="005F43E8">
        <w:rPr>
          <w:rFonts w:asciiTheme="majorBidi" w:hAnsiTheme="majorBidi" w:cstheme="majorBidi"/>
          <w:i/>
          <w:iCs/>
          <w:sz w:val="20"/>
          <w:szCs w:val="20"/>
        </w:rPr>
        <w:t xml:space="preserve">yabghū </w:t>
      </w:r>
      <w:r>
        <w:rPr>
          <w:rFonts w:asciiTheme="majorBidi" w:hAnsiTheme="majorBidi" w:cstheme="majorBidi"/>
          <w:sz w:val="20"/>
          <w:szCs w:val="20"/>
        </w:rPr>
        <w:t xml:space="preserve">when Xuanzang revisited his court in Huoguo between 643 and 645 CE (Huili &amp; Yancong, 2000, volume 3, p. 31; volume 5, p. 116; tr., Appendix III). Although de la Vaissière (2010c, p. 214) suggests that </w:t>
      </w:r>
      <w:r w:rsidRPr="00E434EA">
        <w:rPr>
          <w:rFonts w:asciiTheme="majorBidi" w:hAnsiTheme="majorBidi" w:cstheme="majorBidi"/>
          <w:i/>
          <w:iCs/>
          <w:sz w:val="20"/>
          <w:szCs w:val="20"/>
        </w:rPr>
        <w:t>zabul</w:t>
      </w:r>
      <w:r>
        <w:rPr>
          <w:rFonts w:asciiTheme="majorBidi" w:hAnsiTheme="majorBidi" w:cstheme="majorBidi"/>
          <w:sz w:val="20"/>
          <w:szCs w:val="20"/>
        </w:rPr>
        <w:t xml:space="preserve"> inscribed on the coins of Types 265 and 266 shows that they were minted by the Turkic rulers of Zābulistān, who claimed them as the </w:t>
      </w:r>
      <w:r w:rsidRPr="0030608E">
        <w:rPr>
          <w:rFonts w:asciiTheme="majorBidi" w:hAnsiTheme="majorBidi" w:cstheme="majorBidi"/>
          <w:i/>
          <w:iCs/>
          <w:sz w:val="20"/>
          <w:szCs w:val="20"/>
        </w:rPr>
        <w:t>yabghū</w:t>
      </w:r>
      <w:r>
        <w:rPr>
          <w:rFonts w:asciiTheme="majorBidi" w:hAnsiTheme="majorBidi" w:cstheme="majorBidi"/>
          <w:sz w:val="20"/>
          <w:szCs w:val="20"/>
        </w:rPr>
        <w:t xml:space="preserve"> of the Bactrians, a greater possibility is that they were minted by the Yabghū in Zābulistān (Vondrovec, 2014, pp. 527, 630-2).</w:t>
      </w:r>
    </w:p>
  </w:footnote>
  <w:footnote w:id="126">
    <w:p w14:paraId="2C85E501" w14:textId="77777777" w:rsidR="00902FCD" w:rsidRPr="00FD0B24" w:rsidRDefault="00902FCD" w:rsidP="000D2A64">
      <w:pPr>
        <w:pStyle w:val="FootnoteText"/>
        <w:spacing w:line="360" w:lineRule="auto"/>
        <w:rPr>
          <w:rFonts w:asciiTheme="majorBidi" w:hAnsiTheme="majorBidi" w:cstheme="majorBidi"/>
          <w:sz w:val="20"/>
          <w:szCs w:val="20"/>
        </w:rPr>
      </w:pPr>
      <w:r w:rsidRPr="00FD0B24">
        <w:rPr>
          <w:rFonts w:asciiTheme="majorBidi" w:hAnsiTheme="majorBidi" w:cstheme="majorBidi"/>
          <w:sz w:val="20"/>
          <w:szCs w:val="20"/>
          <w:vertAlign w:val="superscript"/>
        </w:rPr>
        <w:footnoteRef/>
      </w:r>
      <w:r w:rsidRPr="00FD0B24">
        <w:rPr>
          <w:rFonts w:asciiTheme="majorBidi" w:hAnsiTheme="majorBidi" w:cstheme="majorBidi"/>
          <w:sz w:val="20"/>
          <w:szCs w:val="20"/>
        </w:rPr>
        <w:t xml:space="preserve"> </w:t>
      </w:r>
      <w:r>
        <w:rPr>
          <w:rFonts w:asciiTheme="majorBidi" w:hAnsiTheme="majorBidi" w:cstheme="majorBidi"/>
          <w:sz w:val="20"/>
          <w:szCs w:val="20"/>
        </w:rPr>
        <w:t xml:space="preserve">The title first appeared in the pre-Kushan period as the title of the tribal chiefs of the </w:t>
      </w:r>
      <w:r w:rsidRPr="00907BEF">
        <w:rPr>
          <w:rFonts w:asciiTheme="majorBidi" w:hAnsiTheme="majorBidi" w:cstheme="majorBidi"/>
          <w:i/>
          <w:iCs/>
          <w:sz w:val="20"/>
          <w:szCs w:val="20"/>
        </w:rPr>
        <w:t>Tokharoi</w:t>
      </w:r>
      <w:r>
        <w:rPr>
          <w:rFonts w:asciiTheme="majorBidi" w:hAnsiTheme="majorBidi" w:cstheme="majorBidi"/>
          <w:sz w:val="20"/>
          <w:szCs w:val="20"/>
        </w:rPr>
        <w:t xml:space="preserve"> (Sims-Williams, 2002, pp. 229-30, 233). The Bactrian documents </w:t>
      </w:r>
      <w:r w:rsidRPr="00FD0B24">
        <w:rPr>
          <w:rFonts w:asciiTheme="majorBidi" w:hAnsiTheme="majorBidi" w:cstheme="majorBidi"/>
          <w:sz w:val="20"/>
          <w:szCs w:val="20"/>
        </w:rPr>
        <w:t>attest that the Hephthalite ruler</w:t>
      </w:r>
      <w:r>
        <w:rPr>
          <w:rFonts w:asciiTheme="majorBidi" w:hAnsiTheme="majorBidi" w:cstheme="majorBidi"/>
          <w:sz w:val="20"/>
          <w:szCs w:val="20"/>
        </w:rPr>
        <w:t>s</w:t>
      </w:r>
      <w:r w:rsidRPr="00FD0B24">
        <w:rPr>
          <w:rFonts w:asciiTheme="majorBidi" w:hAnsiTheme="majorBidi" w:cstheme="majorBidi"/>
          <w:sz w:val="20"/>
          <w:szCs w:val="20"/>
        </w:rPr>
        <w:t xml:space="preserve"> of </w:t>
      </w:r>
      <w:r w:rsidRPr="00675AC0">
        <w:rPr>
          <w:rFonts w:asciiTheme="majorBidi" w:hAnsiTheme="majorBidi" w:cstheme="majorBidi"/>
          <w:sz w:val="20"/>
          <w:szCs w:val="20"/>
        </w:rPr>
        <w:t>Ṭukhāristān</w:t>
      </w:r>
      <w:r>
        <w:rPr>
          <w:rFonts w:asciiTheme="majorBidi" w:hAnsiTheme="majorBidi" w:cstheme="majorBidi"/>
          <w:sz w:val="20"/>
          <w:szCs w:val="20"/>
        </w:rPr>
        <w:t xml:space="preserve"> bore the title </w:t>
      </w:r>
      <w:r w:rsidRPr="00907BEF">
        <w:rPr>
          <w:rFonts w:asciiTheme="majorBidi" w:hAnsiTheme="majorBidi" w:cstheme="majorBidi"/>
          <w:i/>
          <w:iCs/>
          <w:sz w:val="20"/>
          <w:szCs w:val="20"/>
        </w:rPr>
        <w:t>yabghū</w:t>
      </w:r>
      <w:r>
        <w:rPr>
          <w:rFonts w:asciiTheme="majorBidi" w:hAnsiTheme="majorBidi" w:cstheme="majorBidi"/>
          <w:sz w:val="20"/>
          <w:szCs w:val="20"/>
        </w:rPr>
        <w:t xml:space="preserve"> (ιαβγο or a variant ββγο as attested in a seal) since late 5</w:t>
      </w:r>
      <w:r w:rsidRPr="00C84B6E">
        <w:rPr>
          <w:rFonts w:asciiTheme="majorBidi" w:hAnsiTheme="majorBidi" w:cstheme="majorBidi"/>
          <w:sz w:val="20"/>
          <w:szCs w:val="20"/>
          <w:vertAlign w:val="superscript"/>
        </w:rPr>
        <w:t>th</w:t>
      </w:r>
      <w:r>
        <w:rPr>
          <w:rFonts w:asciiTheme="majorBidi" w:hAnsiTheme="majorBidi" w:cstheme="majorBidi"/>
          <w:sz w:val="20"/>
          <w:szCs w:val="20"/>
        </w:rPr>
        <w:t xml:space="preserve"> century (</w:t>
      </w:r>
      <w:r w:rsidRPr="003B1DD1">
        <w:rPr>
          <w:rFonts w:asciiTheme="majorBidi" w:hAnsiTheme="majorBidi" w:cstheme="majorBidi"/>
          <w:sz w:val="20"/>
          <w:szCs w:val="20"/>
        </w:rPr>
        <w:t>Vondrovec, 2014, pp. 401-18; Rezakhani, 2017, pp. 134-5</w:t>
      </w:r>
      <w:r>
        <w:rPr>
          <w:rFonts w:asciiTheme="majorBidi" w:hAnsiTheme="majorBidi" w:cstheme="majorBidi"/>
          <w:sz w:val="20"/>
          <w:szCs w:val="20"/>
        </w:rPr>
        <w:t>).</w:t>
      </w:r>
    </w:p>
  </w:footnote>
  <w:footnote w:id="127">
    <w:p w14:paraId="27AF1A47" w14:textId="77777777" w:rsidR="00902FCD" w:rsidRPr="00E60380" w:rsidRDefault="00902FCD" w:rsidP="000D2A64">
      <w:pPr>
        <w:pStyle w:val="FootnoteText"/>
        <w:spacing w:line="360" w:lineRule="auto"/>
        <w:rPr>
          <w:rFonts w:asciiTheme="majorBidi" w:hAnsiTheme="majorBidi" w:cstheme="majorBidi"/>
          <w:sz w:val="20"/>
          <w:szCs w:val="20"/>
        </w:rPr>
      </w:pPr>
      <w:r w:rsidRPr="00E60380">
        <w:rPr>
          <w:rFonts w:asciiTheme="majorBidi" w:hAnsiTheme="majorBidi" w:cstheme="majorBidi"/>
          <w:sz w:val="20"/>
          <w:szCs w:val="20"/>
          <w:vertAlign w:val="superscript"/>
        </w:rPr>
        <w:footnoteRef/>
      </w:r>
      <w:r w:rsidRPr="00E60380">
        <w:rPr>
          <w:rFonts w:asciiTheme="majorBidi" w:hAnsiTheme="majorBidi" w:cstheme="majorBidi"/>
          <w:sz w:val="20"/>
          <w:szCs w:val="20"/>
          <w:vertAlign w:val="superscript"/>
        </w:rPr>
        <w:t xml:space="preserve"> </w:t>
      </w:r>
      <w:r w:rsidRPr="00E60380">
        <w:rPr>
          <w:rFonts w:asciiTheme="majorBidi" w:hAnsiTheme="majorBidi" w:cstheme="majorBidi"/>
          <w:sz w:val="20"/>
          <w:szCs w:val="20"/>
        </w:rPr>
        <w:t>Wang</w:t>
      </w:r>
      <w:r>
        <w:rPr>
          <w:rFonts w:asciiTheme="majorBidi" w:hAnsiTheme="majorBidi" w:cstheme="majorBidi"/>
          <w:sz w:val="20"/>
          <w:szCs w:val="20"/>
        </w:rPr>
        <w:t xml:space="preserve"> (</w:t>
      </w:r>
      <w:r w:rsidRPr="00E60380">
        <w:rPr>
          <w:rFonts w:asciiTheme="majorBidi" w:hAnsiTheme="majorBidi" w:cstheme="majorBidi"/>
          <w:sz w:val="20"/>
          <w:szCs w:val="20"/>
        </w:rPr>
        <w:t>2017, p. 133</w:t>
      </w:r>
      <w:r>
        <w:rPr>
          <w:rFonts w:asciiTheme="majorBidi" w:hAnsiTheme="majorBidi" w:cstheme="majorBidi"/>
          <w:sz w:val="20"/>
          <w:szCs w:val="20"/>
        </w:rPr>
        <w:t xml:space="preserve">) even suggests that the title Yabghū was adopted by Ishbara when Irbis Duolu Khāqān fled to </w:t>
      </w:r>
      <w:r w:rsidRPr="00675AC0">
        <w:rPr>
          <w:rFonts w:asciiTheme="majorBidi" w:hAnsiTheme="majorBidi" w:cstheme="majorBidi"/>
          <w:sz w:val="20"/>
          <w:szCs w:val="20"/>
        </w:rPr>
        <w:t>Ṭukhāristān</w:t>
      </w:r>
      <w:r>
        <w:rPr>
          <w:rFonts w:asciiTheme="majorBidi" w:hAnsiTheme="majorBidi" w:cstheme="majorBidi"/>
          <w:sz w:val="20"/>
          <w:szCs w:val="20"/>
        </w:rPr>
        <w:t xml:space="preserve"> in 642 CE</w:t>
      </w:r>
      <w:r w:rsidRPr="00E60380">
        <w:rPr>
          <w:rFonts w:asciiTheme="majorBidi" w:hAnsiTheme="majorBidi" w:cstheme="majorBidi"/>
          <w:sz w:val="20"/>
          <w:szCs w:val="20"/>
        </w:rPr>
        <w:t>.</w:t>
      </w:r>
      <w:r>
        <w:rPr>
          <w:rFonts w:asciiTheme="majorBidi" w:hAnsiTheme="majorBidi" w:cstheme="majorBidi"/>
          <w:sz w:val="20"/>
          <w:szCs w:val="20"/>
        </w:rPr>
        <w:t xml:space="preserve"> Similarly, t</w:t>
      </w:r>
      <w:r w:rsidRPr="00E60380">
        <w:rPr>
          <w:rFonts w:asciiTheme="majorBidi" w:hAnsiTheme="majorBidi" w:cstheme="majorBidi"/>
          <w:sz w:val="20"/>
          <w:szCs w:val="20"/>
        </w:rPr>
        <w:t>he supreme rulers of the Western Turks claimed the title Khāqān, when they became independen</w:t>
      </w:r>
      <w:r>
        <w:rPr>
          <w:rFonts w:asciiTheme="majorBidi" w:hAnsiTheme="majorBidi" w:cstheme="majorBidi"/>
          <w:sz w:val="20"/>
          <w:szCs w:val="20"/>
        </w:rPr>
        <w:t>t</w:t>
      </w:r>
      <w:r w:rsidRPr="00E60380">
        <w:rPr>
          <w:rFonts w:asciiTheme="majorBidi" w:hAnsiTheme="majorBidi" w:cstheme="majorBidi"/>
          <w:sz w:val="20"/>
          <w:szCs w:val="20"/>
        </w:rPr>
        <w:t xml:space="preserve"> from the Eastern Turks (</w:t>
      </w:r>
      <w:r w:rsidRPr="00C54CBB">
        <w:rPr>
          <w:rFonts w:asciiTheme="majorBidi" w:hAnsiTheme="majorBidi" w:cstheme="majorBidi"/>
          <w:sz w:val="20"/>
          <w:szCs w:val="20"/>
        </w:rPr>
        <w:t>Ouyang &amp; Song, 1995, volume 215b, pp. 6055-6</w:t>
      </w:r>
      <w:r w:rsidRPr="00E60380">
        <w:rPr>
          <w:rFonts w:asciiTheme="majorBidi" w:hAnsiTheme="majorBidi" w:cstheme="majorBidi"/>
          <w:sz w:val="20"/>
          <w:szCs w:val="20"/>
        </w:rPr>
        <w:t>)</w:t>
      </w:r>
      <w:r>
        <w:rPr>
          <w:rFonts w:asciiTheme="majorBidi" w:hAnsiTheme="majorBidi" w:cstheme="majorBidi"/>
          <w:sz w:val="20"/>
          <w:szCs w:val="20"/>
        </w:rPr>
        <w:t>.</w:t>
      </w:r>
    </w:p>
  </w:footnote>
  <w:footnote w:id="128">
    <w:p w14:paraId="038FD124" w14:textId="77777777" w:rsidR="00902FCD" w:rsidRPr="00BC2327" w:rsidRDefault="00902FCD" w:rsidP="000D2A64">
      <w:pPr>
        <w:pStyle w:val="FootnoteText"/>
        <w:spacing w:line="360" w:lineRule="auto"/>
        <w:rPr>
          <w:rFonts w:asciiTheme="majorBidi" w:hAnsiTheme="majorBidi" w:cstheme="majorBidi"/>
          <w:sz w:val="20"/>
          <w:szCs w:val="20"/>
        </w:rPr>
      </w:pPr>
      <w:r w:rsidRPr="00BC2327">
        <w:rPr>
          <w:rFonts w:asciiTheme="majorBidi" w:hAnsiTheme="majorBidi" w:cstheme="majorBidi"/>
          <w:sz w:val="20"/>
          <w:szCs w:val="20"/>
          <w:vertAlign w:val="superscript"/>
        </w:rPr>
        <w:footnoteRef/>
      </w:r>
      <w:r w:rsidRPr="00BC2327">
        <w:rPr>
          <w:rFonts w:asciiTheme="majorBidi" w:hAnsiTheme="majorBidi" w:cstheme="majorBidi"/>
          <w:sz w:val="20"/>
          <w:szCs w:val="20"/>
          <w:vertAlign w:val="superscript"/>
        </w:rPr>
        <w:t xml:space="preserve"> </w:t>
      </w:r>
      <w:r w:rsidRPr="00BC2327">
        <w:rPr>
          <w:rFonts w:asciiTheme="majorBidi" w:hAnsiTheme="majorBidi" w:cstheme="majorBidi"/>
          <w:sz w:val="20"/>
          <w:szCs w:val="20"/>
        </w:rPr>
        <w:t>Liu, 1995, volume 194b, p. 5187; Ouyang &amp; Song, 1995, volume 215b, p. 6063. See also Wang, 2017, p. 125.</w:t>
      </w:r>
    </w:p>
  </w:footnote>
  <w:footnote w:id="129">
    <w:p w14:paraId="3F570029" w14:textId="77777777" w:rsidR="00902FCD" w:rsidRPr="00010655" w:rsidRDefault="00902FCD" w:rsidP="000D2A64">
      <w:pPr>
        <w:pStyle w:val="FootnoteText"/>
        <w:spacing w:line="360" w:lineRule="auto"/>
        <w:rPr>
          <w:rFonts w:asciiTheme="majorBidi" w:hAnsiTheme="majorBidi" w:cstheme="majorBidi"/>
          <w:sz w:val="20"/>
          <w:szCs w:val="20"/>
        </w:rPr>
      </w:pPr>
      <w:r w:rsidRPr="00010655">
        <w:rPr>
          <w:rStyle w:val="FootnoteReference"/>
          <w:rFonts w:asciiTheme="majorBidi" w:hAnsiTheme="majorBidi" w:cstheme="majorBidi"/>
          <w:sz w:val="20"/>
          <w:szCs w:val="20"/>
        </w:rPr>
        <w:footnoteRef/>
      </w:r>
      <w:r w:rsidRPr="00010655">
        <w:rPr>
          <w:rFonts w:asciiTheme="majorBidi" w:hAnsiTheme="majorBidi" w:cstheme="majorBidi"/>
          <w:sz w:val="20"/>
          <w:szCs w:val="20"/>
        </w:rPr>
        <w:t xml:space="preserve"> </w:t>
      </w:r>
      <w:r>
        <w:rPr>
          <w:rFonts w:asciiTheme="majorBidi" w:hAnsiTheme="majorBidi" w:cstheme="majorBidi"/>
          <w:sz w:val="20"/>
          <w:szCs w:val="20"/>
        </w:rPr>
        <w:t xml:space="preserve">Shaban, 1970, p. 10; </w:t>
      </w:r>
      <w:r w:rsidRPr="00010655">
        <w:rPr>
          <w:rFonts w:asciiTheme="majorBidi" w:hAnsiTheme="majorBidi" w:cstheme="majorBidi"/>
          <w:sz w:val="20"/>
          <w:szCs w:val="20"/>
        </w:rPr>
        <w:t>Hoyland, 2015, pp. 119-20.</w:t>
      </w:r>
    </w:p>
  </w:footnote>
  <w:footnote w:id="130">
    <w:p w14:paraId="3C1C2E5F" w14:textId="77777777" w:rsidR="00902FCD" w:rsidRPr="00BA78C2" w:rsidRDefault="00902FCD" w:rsidP="00930707">
      <w:pPr>
        <w:pStyle w:val="FootnoteText"/>
        <w:spacing w:line="360" w:lineRule="auto"/>
        <w:rPr>
          <w:rFonts w:asciiTheme="majorBidi" w:hAnsiTheme="majorBidi" w:cstheme="majorBidi"/>
          <w:sz w:val="20"/>
          <w:szCs w:val="20"/>
        </w:rPr>
      </w:pPr>
      <w:r w:rsidRPr="00BA78C2">
        <w:rPr>
          <w:rFonts w:asciiTheme="majorBidi" w:hAnsiTheme="majorBidi" w:cstheme="majorBidi"/>
          <w:sz w:val="20"/>
          <w:szCs w:val="20"/>
          <w:vertAlign w:val="superscript"/>
        </w:rPr>
        <w:footnoteRef/>
      </w:r>
      <w:r w:rsidRPr="00BA78C2">
        <w:rPr>
          <w:rFonts w:asciiTheme="majorBidi" w:hAnsiTheme="majorBidi" w:cstheme="majorBidi"/>
          <w:sz w:val="20"/>
          <w:szCs w:val="20"/>
        </w:rPr>
        <w:t xml:space="preserve"> </w:t>
      </w:r>
      <w:r w:rsidRPr="00D41317">
        <w:rPr>
          <w:rFonts w:asciiTheme="majorBidi" w:hAnsiTheme="majorBidi" w:cstheme="majorBidi"/>
          <w:sz w:val="20"/>
          <w:szCs w:val="20"/>
        </w:rPr>
        <w:t>Al-Ṭabarī, 2001, vol. 3, p. 68</w:t>
      </w:r>
      <w:r w:rsidRPr="00D41317">
        <w:rPr>
          <w:rFonts w:asciiTheme="majorBidi" w:hAnsiTheme="majorBidi" w:cstheme="majorBidi" w:hint="cs"/>
          <w:sz w:val="20"/>
          <w:szCs w:val="20"/>
          <w:rtl/>
          <w:lang w:bidi="ar-JO"/>
        </w:rPr>
        <w:t>3</w:t>
      </w:r>
      <w:r w:rsidRPr="00D41317">
        <w:rPr>
          <w:rFonts w:asciiTheme="majorBidi" w:hAnsiTheme="majorBidi" w:cstheme="majorBidi"/>
          <w:sz w:val="20"/>
          <w:szCs w:val="20"/>
        </w:rPr>
        <w:t xml:space="preserve">; </w:t>
      </w:r>
      <w:r>
        <w:rPr>
          <w:rFonts w:asciiTheme="majorBidi" w:hAnsiTheme="majorBidi" w:cstheme="majorBidi"/>
          <w:sz w:val="20"/>
          <w:szCs w:val="20"/>
        </w:rPr>
        <w:t>tr.</w:t>
      </w:r>
      <w:r w:rsidRPr="00D41317">
        <w:rPr>
          <w:rFonts w:asciiTheme="majorBidi" w:hAnsiTheme="majorBidi" w:cstheme="majorBidi"/>
          <w:sz w:val="20"/>
          <w:szCs w:val="20"/>
        </w:rPr>
        <w:t xml:space="preserve">, 1990, vol. XXIII, pp. 154-5: </w:t>
      </w:r>
      <w:r>
        <w:rPr>
          <w:rFonts w:asciiTheme="majorBidi" w:hAnsiTheme="majorBidi" w:cstheme="majorBidi" w:hint="cs"/>
          <w:sz w:val="20"/>
          <w:szCs w:val="20"/>
          <w:rtl/>
          <w:lang w:bidi="ar-JO"/>
        </w:rPr>
        <w:t>وكان جبغويه ملك طخارستان ضعيفا</w:t>
      </w:r>
      <w:r w:rsidRPr="00D41317">
        <w:rPr>
          <w:rFonts w:asciiTheme="majorBidi" w:hAnsiTheme="majorBidi" w:cstheme="majorBidi"/>
          <w:sz w:val="20"/>
          <w:szCs w:val="20"/>
        </w:rPr>
        <w:t>.</w:t>
      </w:r>
    </w:p>
  </w:footnote>
  <w:footnote w:id="131">
    <w:p w14:paraId="202BCF5A" w14:textId="77777777" w:rsidR="00902FCD" w:rsidRPr="004C3A30" w:rsidRDefault="00902FCD" w:rsidP="00930707">
      <w:pPr>
        <w:pStyle w:val="FootnoteText"/>
        <w:spacing w:line="360" w:lineRule="auto"/>
        <w:rPr>
          <w:rFonts w:asciiTheme="majorBidi" w:hAnsiTheme="majorBidi" w:cstheme="majorBidi"/>
          <w:sz w:val="20"/>
          <w:szCs w:val="20"/>
        </w:rPr>
      </w:pPr>
      <w:r w:rsidRPr="004C3A30">
        <w:rPr>
          <w:rFonts w:asciiTheme="majorBidi" w:hAnsiTheme="majorBidi" w:cstheme="majorBidi"/>
          <w:sz w:val="20"/>
          <w:szCs w:val="20"/>
          <w:vertAlign w:val="superscript"/>
        </w:rPr>
        <w:footnoteRef/>
      </w:r>
      <w:r w:rsidRPr="004C3A30">
        <w:rPr>
          <w:rFonts w:asciiTheme="majorBidi" w:hAnsiTheme="majorBidi" w:cstheme="majorBidi"/>
          <w:sz w:val="20"/>
          <w:szCs w:val="20"/>
          <w:vertAlign w:val="superscript"/>
        </w:rPr>
        <w:t xml:space="preserve"> </w:t>
      </w:r>
      <w:r w:rsidRPr="00BC34E6">
        <w:rPr>
          <w:rFonts w:asciiTheme="majorBidi" w:hAnsiTheme="majorBidi" w:cstheme="majorBidi"/>
          <w:sz w:val="20"/>
          <w:szCs w:val="20"/>
        </w:rPr>
        <w:t xml:space="preserve">Wang &amp; Yang, 1994, </w:t>
      </w:r>
      <w:r w:rsidRPr="004C3A30">
        <w:rPr>
          <w:rFonts w:asciiTheme="majorBidi" w:hAnsiTheme="majorBidi" w:cstheme="majorBidi"/>
          <w:sz w:val="20"/>
          <w:szCs w:val="20"/>
        </w:rPr>
        <w:t xml:space="preserve">volume 999, pp. 11721-2; </w:t>
      </w:r>
      <w:r>
        <w:rPr>
          <w:rFonts w:asciiTheme="majorBidi" w:hAnsiTheme="majorBidi" w:cstheme="majorBidi"/>
          <w:sz w:val="20"/>
          <w:szCs w:val="20"/>
        </w:rPr>
        <w:t>tr.</w:t>
      </w:r>
      <w:r w:rsidRPr="004C3A30">
        <w:rPr>
          <w:rFonts w:asciiTheme="majorBidi" w:hAnsiTheme="majorBidi" w:cstheme="majorBidi"/>
          <w:sz w:val="20"/>
          <w:szCs w:val="20"/>
        </w:rPr>
        <w:t xml:space="preserve">, Appendix </w:t>
      </w:r>
      <w:r>
        <w:rPr>
          <w:rFonts w:asciiTheme="majorBidi" w:hAnsiTheme="majorBidi" w:cstheme="majorBidi"/>
          <w:sz w:val="20"/>
          <w:szCs w:val="20"/>
        </w:rPr>
        <w:t>IV</w:t>
      </w:r>
      <w:r w:rsidRPr="004C3A30">
        <w:rPr>
          <w:rFonts w:asciiTheme="majorBidi" w:hAnsiTheme="majorBidi" w:cstheme="majorBidi"/>
          <w:sz w:val="20"/>
          <w:szCs w:val="20"/>
        </w:rPr>
        <w:t>.</w:t>
      </w:r>
      <w:r>
        <w:rPr>
          <w:rFonts w:asciiTheme="majorBidi" w:hAnsiTheme="majorBidi" w:cstheme="majorBidi"/>
          <w:sz w:val="20"/>
          <w:szCs w:val="20"/>
        </w:rPr>
        <w:t xml:space="preserve"> Puluo was probably a hostage sent by the Yabghū to the Tang court, although he served as an officer of the royal guards.</w:t>
      </w:r>
    </w:p>
  </w:footnote>
  <w:footnote w:id="132">
    <w:p w14:paraId="7E53AD5F" w14:textId="1819962C" w:rsidR="00902FCD" w:rsidRPr="007A7DD3" w:rsidRDefault="00902FCD" w:rsidP="007A7DD3">
      <w:pPr>
        <w:pStyle w:val="FootnoteText"/>
        <w:spacing w:line="360" w:lineRule="auto"/>
        <w:rPr>
          <w:rFonts w:asciiTheme="majorBidi" w:hAnsiTheme="majorBidi" w:cstheme="majorBidi"/>
          <w:sz w:val="20"/>
          <w:szCs w:val="20"/>
        </w:rPr>
      </w:pPr>
      <w:r w:rsidRPr="007A7DD3">
        <w:rPr>
          <w:rFonts w:asciiTheme="majorBidi" w:hAnsiTheme="majorBidi" w:cstheme="majorBidi"/>
          <w:sz w:val="20"/>
          <w:szCs w:val="20"/>
          <w:vertAlign w:val="superscript"/>
        </w:rPr>
        <w:footnoteRef/>
      </w:r>
      <w:r w:rsidRPr="007A7DD3">
        <w:rPr>
          <w:rFonts w:asciiTheme="majorBidi" w:hAnsiTheme="majorBidi" w:cstheme="majorBidi"/>
          <w:sz w:val="20"/>
          <w:szCs w:val="20"/>
        </w:rPr>
        <w:t xml:space="preserve"> An example of the Yabghū’s losing control of the vassals is Chaghāniyān’s conflict with its neighbors Akharūn and Shūmān, which lasted until 705 CE (</w:t>
      </w:r>
      <w:r>
        <w:rPr>
          <w:rFonts w:asciiTheme="majorBidi" w:hAnsiTheme="majorBidi" w:cstheme="majorBidi"/>
          <w:sz w:val="20"/>
          <w:szCs w:val="20"/>
        </w:rPr>
        <w:t>a</w:t>
      </w:r>
      <w:r w:rsidRPr="00704427">
        <w:rPr>
          <w:rFonts w:asciiTheme="majorBidi" w:hAnsiTheme="majorBidi" w:cstheme="majorBidi"/>
          <w:sz w:val="20"/>
          <w:szCs w:val="20"/>
        </w:rPr>
        <w:t xml:space="preserve">l-Ṭabarī, 2001, volume 3, pp. 670; </w:t>
      </w:r>
      <w:r>
        <w:rPr>
          <w:rFonts w:asciiTheme="majorBidi" w:hAnsiTheme="majorBidi" w:cstheme="majorBidi"/>
          <w:sz w:val="20"/>
          <w:szCs w:val="20"/>
        </w:rPr>
        <w:t>tr.</w:t>
      </w:r>
      <w:r w:rsidRPr="00704427">
        <w:rPr>
          <w:rFonts w:asciiTheme="majorBidi" w:hAnsiTheme="majorBidi" w:cstheme="majorBidi"/>
          <w:sz w:val="20"/>
          <w:szCs w:val="20"/>
        </w:rPr>
        <w:t xml:space="preserve">, 1990, vol. XXIII, pp. 127-8; see also </w:t>
      </w:r>
      <w:r w:rsidRPr="008B3A34">
        <w:rPr>
          <w:rFonts w:asciiTheme="majorBidi" w:hAnsiTheme="majorBidi" w:cstheme="majorBidi"/>
          <w:sz w:val="20"/>
          <w:szCs w:val="20"/>
        </w:rPr>
        <w:t>Ibn-’Athīr, 1987, volume 4, p. 241</w:t>
      </w:r>
      <w:r>
        <w:rPr>
          <w:rFonts w:asciiTheme="majorBidi" w:hAnsiTheme="majorBidi" w:cstheme="majorBidi"/>
          <w:sz w:val="20"/>
          <w:szCs w:val="20"/>
        </w:rPr>
        <w:t>; a</w:t>
      </w:r>
      <w:r w:rsidRPr="00E86EB4">
        <w:rPr>
          <w:rFonts w:asciiTheme="majorBidi" w:hAnsiTheme="majorBidi" w:cstheme="majorBidi"/>
          <w:sz w:val="20"/>
          <w:szCs w:val="20"/>
        </w:rPr>
        <w:t>l-Balādhurī, 1987, p. 590; tr., part II, 1924, p. 186</w:t>
      </w:r>
      <w:r w:rsidRPr="007A7DD3">
        <w:rPr>
          <w:rFonts w:asciiTheme="majorBidi" w:hAnsiTheme="majorBidi" w:cstheme="majorBidi"/>
          <w:sz w:val="20"/>
          <w:szCs w:val="20"/>
        </w:rPr>
        <w:t>).</w:t>
      </w:r>
      <w:r>
        <w:rPr>
          <w:rFonts w:asciiTheme="majorBidi" w:hAnsiTheme="majorBidi" w:cstheme="majorBidi"/>
          <w:sz w:val="20"/>
          <w:szCs w:val="20"/>
        </w:rPr>
        <w:t xml:space="preserve"> Because of losing vassals, the Yabghū dynasty most probably experienced a military difficulty and a financial difficulty as well. </w:t>
      </w:r>
    </w:p>
  </w:footnote>
  <w:footnote w:id="133">
    <w:p w14:paraId="5F20B095" w14:textId="461A5E8E" w:rsidR="00902FCD" w:rsidRPr="002B7135" w:rsidRDefault="00902FCD" w:rsidP="00930707">
      <w:pPr>
        <w:pStyle w:val="FootnoteText"/>
        <w:spacing w:line="360" w:lineRule="auto"/>
        <w:rPr>
          <w:rFonts w:asciiTheme="majorBidi" w:hAnsiTheme="majorBidi" w:cstheme="majorBidi"/>
          <w:sz w:val="20"/>
          <w:szCs w:val="20"/>
        </w:rPr>
      </w:pPr>
      <w:r w:rsidRPr="002B7135">
        <w:rPr>
          <w:rFonts w:asciiTheme="majorBidi" w:hAnsiTheme="majorBidi" w:cstheme="majorBidi"/>
          <w:sz w:val="20"/>
          <w:szCs w:val="20"/>
          <w:vertAlign w:val="superscript"/>
        </w:rPr>
        <w:footnoteRef/>
      </w:r>
      <w:r w:rsidRPr="002B7135">
        <w:rPr>
          <w:rFonts w:asciiTheme="majorBidi" w:hAnsiTheme="majorBidi" w:cstheme="majorBidi"/>
          <w:sz w:val="20"/>
          <w:szCs w:val="20"/>
          <w:vertAlign w:val="superscript"/>
        </w:rPr>
        <w:t xml:space="preserve"> </w:t>
      </w:r>
      <w:r>
        <w:rPr>
          <w:rFonts w:asciiTheme="majorBidi" w:hAnsiTheme="majorBidi" w:cstheme="majorBidi"/>
          <w:sz w:val="20"/>
          <w:szCs w:val="20"/>
        </w:rPr>
        <w:t xml:space="preserve">Another reason for the financial difficulty is probably the interruption of the long-distance trade by the hostility between the big powers, since the tariff imposed on trading caravans is supposed to be an important source of income for the dynasty (Shaban, 1970, p. 8). The big powers competed for the hegemony of Central Asia include the Tang Empire, the Western Turks and the Tibetan Empire. </w:t>
      </w:r>
      <w:r w:rsidRPr="002B7135">
        <w:rPr>
          <w:rFonts w:asciiTheme="majorBidi" w:hAnsiTheme="majorBidi" w:cstheme="majorBidi"/>
          <w:sz w:val="20"/>
          <w:szCs w:val="20"/>
        </w:rPr>
        <w:t xml:space="preserve">Although the Tang claimed the suzerainty over Central Asia after its defeating the Western Turks in the late 650s, it failed to create a Pax Sinica as far as Ṭukhāristān. Since the 670s, the Tibetan Empire (618-842 CE) joined the competition </w:t>
      </w:r>
      <w:r>
        <w:rPr>
          <w:rFonts w:asciiTheme="majorBidi" w:hAnsiTheme="majorBidi" w:cstheme="majorBidi"/>
          <w:sz w:val="20"/>
          <w:szCs w:val="20"/>
        </w:rPr>
        <w:t>to</w:t>
      </w:r>
      <w:r w:rsidRPr="002B7135">
        <w:rPr>
          <w:rFonts w:asciiTheme="majorBidi" w:hAnsiTheme="majorBidi" w:cstheme="majorBidi"/>
          <w:sz w:val="20"/>
          <w:szCs w:val="20"/>
        </w:rPr>
        <w:t xml:space="preserve"> control Central Asia. When the two powers were fighting for the Tarim Basin during the 670s and the early 690s, the Western Turks </w:t>
      </w:r>
      <w:r>
        <w:rPr>
          <w:rFonts w:asciiTheme="majorBidi" w:hAnsiTheme="majorBidi" w:cstheme="majorBidi"/>
          <w:sz w:val="20"/>
          <w:szCs w:val="20"/>
        </w:rPr>
        <w:t>allied with</w:t>
      </w:r>
      <w:r w:rsidRPr="002B7135">
        <w:rPr>
          <w:rFonts w:asciiTheme="majorBidi" w:hAnsiTheme="majorBidi" w:cstheme="majorBidi"/>
          <w:sz w:val="20"/>
          <w:szCs w:val="20"/>
        </w:rPr>
        <w:t xml:space="preserve"> the Tibetans since the late 670s (</w:t>
      </w:r>
      <w:r w:rsidRPr="00AF594E">
        <w:rPr>
          <w:rFonts w:asciiTheme="majorBidi" w:hAnsiTheme="majorBidi" w:cstheme="majorBidi"/>
          <w:sz w:val="20"/>
          <w:szCs w:val="20"/>
        </w:rPr>
        <w:t>Beckwith, 1987, pp. 28-83; Wang, 2009, pp. 62-131</w:t>
      </w:r>
      <w:r w:rsidRPr="002B7135">
        <w:rPr>
          <w:rFonts w:asciiTheme="majorBidi" w:hAnsiTheme="majorBidi" w:cstheme="majorBidi"/>
          <w:sz w:val="20"/>
          <w:szCs w:val="20"/>
        </w:rPr>
        <w:t xml:space="preserve">). </w:t>
      </w:r>
      <w:r w:rsidRPr="007959EE">
        <w:rPr>
          <w:rFonts w:asciiTheme="majorBidi" w:eastAsiaTheme="minorHAnsi" w:hAnsiTheme="majorBidi" w:cstheme="majorBidi"/>
          <w:sz w:val="20"/>
          <w:szCs w:val="20"/>
        </w:rPr>
        <w:t xml:space="preserve">Beckwith's argument (1987, pp. 34-54) that the Tibetans controlled the whole Tarim Basin from 670s up to 692 CE is revised by Wang (2009, pp. 63-4, 70) as a continuous competition between the two powers for the region. For the Tibetan-Western Turkic alliance in 677-8 CE, see the </w:t>
      </w:r>
      <w:r w:rsidRPr="007959EE">
        <w:rPr>
          <w:rFonts w:asciiTheme="majorBidi" w:eastAsiaTheme="minorHAnsi" w:hAnsiTheme="majorBidi" w:cstheme="majorBidi"/>
          <w:i/>
          <w:iCs/>
          <w:sz w:val="20"/>
          <w:szCs w:val="20"/>
        </w:rPr>
        <w:t>Xin Tangshu</w:t>
      </w:r>
      <w:r w:rsidRPr="007959EE">
        <w:rPr>
          <w:rFonts w:asciiTheme="majorBidi" w:eastAsiaTheme="minorHAnsi" w:hAnsiTheme="majorBidi" w:cstheme="majorBidi"/>
          <w:sz w:val="20"/>
          <w:szCs w:val="20"/>
        </w:rPr>
        <w:t>, 1995, volume 215b, p. 6064.</w:t>
      </w:r>
      <w:r>
        <w:rPr>
          <w:rFonts w:asciiTheme="majorBidi" w:eastAsiaTheme="minorHAnsi" w:hAnsiTheme="majorBidi" w:cstheme="majorBidi"/>
          <w:sz w:val="20"/>
          <w:szCs w:val="20"/>
        </w:rPr>
        <w:t xml:space="preserve"> Concerning the overland trading, a</w:t>
      </w:r>
      <w:r>
        <w:rPr>
          <w:rFonts w:asciiTheme="majorBidi" w:hAnsiTheme="majorBidi" w:cstheme="majorBidi"/>
          <w:sz w:val="20"/>
          <w:szCs w:val="20"/>
        </w:rPr>
        <w:t>s Azad explains (2021, p. 342), the goods from Iran, China, India and the steppes were exchanged through long-distance trade. However, this is achieved by a chain of transmissions instead of caravans traveling from the beginning to the end. Although the long-distance trade suffered severely from the political chaos, the routes were not totally blocked at all times during these decades. Both Puluo and Pērōz were able to travel to China.</w:t>
      </w:r>
    </w:p>
  </w:footnote>
  <w:footnote w:id="134">
    <w:p w14:paraId="38A10D51" w14:textId="3B3F9D59" w:rsidR="00902FCD" w:rsidRPr="009817D0" w:rsidRDefault="00902FCD" w:rsidP="009817D0">
      <w:pPr>
        <w:pStyle w:val="FootnoteText"/>
        <w:spacing w:line="360" w:lineRule="auto"/>
        <w:rPr>
          <w:rFonts w:asciiTheme="majorBidi" w:hAnsiTheme="majorBidi" w:cstheme="majorBidi"/>
          <w:sz w:val="20"/>
          <w:szCs w:val="20"/>
        </w:rPr>
      </w:pPr>
      <w:r w:rsidRPr="009817D0">
        <w:rPr>
          <w:rStyle w:val="FootnoteReference"/>
          <w:rFonts w:asciiTheme="majorBidi" w:hAnsiTheme="majorBidi" w:cstheme="majorBidi"/>
          <w:sz w:val="20"/>
          <w:szCs w:val="20"/>
        </w:rPr>
        <w:footnoteRef/>
      </w:r>
      <w:r w:rsidRPr="009817D0">
        <w:rPr>
          <w:rFonts w:asciiTheme="majorBidi" w:hAnsiTheme="majorBidi" w:cstheme="majorBidi"/>
          <w:sz w:val="20"/>
          <w:szCs w:val="20"/>
        </w:rPr>
        <w:t xml:space="preserve"> Al-Ṭabarī (2001, volume 3, p. 683; tr., 1990, volume XXIII, pp. 155, 171: </w:t>
      </w:r>
      <w:r w:rsidRPr="009817D0">
        <w:rPr>
          <w:rFonts w:asciiTheme="majorBidi" w:hAnsiTheme="majorBidi" w:cstheme="majorBidi"/>
          <w:sz w:val="20"/>
          <w:szCs w:val="20"/>
          <w:rtl/>
          <w:lang w:bidi="ar-SA"/>
        </w:rPr>
        <w:t>وجبغويه ملك تخارستان ونيزك من عبيده</w:t>
      </w:r>
      <w:r w:rsidRPr="009817D0">
        <w:rPr>
          <w:rFonts w:asciiTheme="majorBidi" w:hAnsiTheme="majorBidi" w:cstheme="majorBidi"/>
          <w:sz w:val="20"/>
          <w:szCs w:val="20"/>
        </w:rPr>
        <w:t>) reports that the powerful Nīzak dynasty was a vassal of the Yabghū as late as the 700s.</w:t>
      </w:r>
    </w:p>
  </w:footnote>
  <w:footnote w:id="135">
    <w:p w14:paraId="683B9049" w14:textId="77777777" w:rsidR="00902FCD" w:rsidRPr="00BA3E94" w:rsidRDefault="00902FCD" w:rsidP="00AE743C">
      <w:pPr>
        <w:pStyle w:val="FootnoteText"/>
        <w:spacing w:line="360" w:lineRule="auto"/>
        <w:rPr>
          <w:rFonts w:asciiTheme="majorBidi" w:hAnsiTheme="majorBidi" w:cstheme="majorBidi"/>
          <w:sz w:val="20"/>
          <w:szCs w:val="20"/>
        </w:rPr>
      </w:pPr>
      <w:r w:rsidRPr="00BA3E94">
        <w:rPr>
          <w:rFonts w:asciiTheme="majorBidi" w:hAnsiTheme="majorBidi" w:cstheme="majorBidi"/>
          <w:sz w:val="20"/>
          <w:szCs w:val="20"/>
          <w:vertAlign w:val="superscript"/>
        </w:rPr>
        <w:footnoteRef/>
      </w:r>
      <w:r w:rsidRPr="00BA3E94">
        <w:rPr>
          <w:rFonts w:asciiTheme="majorBidi" w:hAnsiTheme="majorBidi" w:cstheme="majorBidi"/>
          <w:sz w:val="20"/>
          <w:szCs w:val="20"/>
        </w:rPr>
        <w:t xml:space="preserve"> </w:t>
      </w:r>
      <w:r w:rsidRPr="00C43804">
        <w:rPr>
          <w:rFonts w:asciiTheme="majorBidi" w:hAnsiTheme="majorBidi" w:cstheme="majorBidi"/>
          <w:sz w:val="20"/>
          <w:szCs w:val="20"/>
        </w:rPr>
        <w:t xml:space="preserve">Al-Ṭabarī, </w:t>
      </w:r>
      <w:r>
        <w:rPr>
          <w:rFonts w:asciiTheme="majorBidi" w:hAnsiTheme="majorBidi" w:cstheme="majorBidi"/>
          <w:sz w:val="20"/>
          <w:szCs w:val="20"/>
        </w:rPr>
        <w:t xml:space="preserve">2001, volume 4, pp. 6; tr., </w:t>
      </w:r>
      <w:r w:rsidRPr="00C43804">
        <w:rPr>
          <w:rFonts w:asciiTheme="majorBidi" w:hAnsiTheme="majorBidi" w:cstheme="majorBidi"/>
          <w:sz w:val="20"/>
          <w:szCs w:val="20"/>
        </w:rPr>
        <w:t xml:space="preserve">1990, volume XXIII, pp. </w:t>
      </w:r>
      <w:r>
        <w:rPr>
          <w:rFonts w:asciiTheme="majorBidi" w:hAnsiTheme="majorBidi" w:cstheme="majorBidi"/>
          <w:sz w:val="20"/>
          <w:szCs w:val="20"/>
        </w:rPr>
        <w:t xml:space="preserve">172: </w:t>
      </w:r>
      <w:r>
        <w:rPr>
          <w:rFonts w:asciiTheme="majorBidi" w:hAnsiTheme="majorBidi" w:cstheme="majorBidi" w:hint="cs"/>
          <w:sz w:val="20"/>
          <w:szCs w:val="20"/>
          <w:rtl/>
          <w:lang w:bidi="ar-JO"/>
        </w:rPr>
        <w:t>واطلق قتيبة جبغويه ومن علىه وبعث به الى الوليد فلم يزل بالشام حتى مات الوليد</w:t>
      </w:r>
      <w:r>
        <w:rPr>
          <w:rFonts w:asciiTheme="majorBidi" w:hAnsiTheme="majorBidi" w:cstheme="majorBidi"/>
          <w:sz w:val="20"/>
          <w:szCs w:val="20"/>
        </w:rPr>
        <w:t>. See Shaban, 1970, p. 67.</w:t>
      </w:r>
    </w:p>
  </w:footnote>
  <w:footnote w:id="136">
    <w:p w14:paraId="11CC27AC" w14:textId="7480555F" w:rsidR="00902FCD" w:rsidRPr="007E3B41" w:rsidRDefault="00902FCD" w:rsidP="00DB6D3C">
      <w:pPr>
        <w:pStyle w:val="FootnoteText"/>
        <w:spacing w:line="360" w:lineRule="auto"/>
        <w:rPr>
          <w:rFonts w:asciiTheme="majorBidi" w:hAnsiTheme="majorBidi" w:cstheme="majorBidi"/>
          <w:sz w:val="20"/>
          <w:szCs w:val="20"/>
        </w:rPr>
      </w:pPr>
      <w:r w:rsidRPr="007E3B41">
        <w:rPr>
          <w:rFonts w:asciiTheme="majorBidi" w:hAnsiTheme="majorBidi" w:cstheme="majorBidi"/>
          <w:sz w:val="20"/>
          <w:szCs w:val="20"/>
          <w:vertAlign w:val="superscript"/>
        </w:rPr>
        <w:footnoteRef/>
      </w:r>
      <w:r w:rsidRPr="007E3B41">
        <w:rPr>
          <w:rFonts w:asciiTheme="majorBidi" w:hAnsiTheme="majorBidi" w:cstheme="majorBidi"/>
          <w:sz w:val="20"/>
          <w:szCs w:val="20"/>
          <w:vertAlign w:val="superscript"/>
        </w:rPr>
        <w:t xml:space="preserve"> </w:t>
      </w:r>
      <w:r>
        <w:rPr>
          <w:rFonts w:asciiTheme="majorBidi" w:hAnsiTheme="majorBidi" w:cstheme="majorBidi"/>
          <w:sz w:val="20"/>
          <w:szCs w:val="20"/>
        </w:rPr>
        <w:t xml:space="preserve">When the Western Turks migrated to </w:t>
      </w:r>
      <w:r w:rsidRPr="00675AC0">
        <w:rPr>
          <w:rFonts w:asciiTheme="majorBidi" w:hAnsiTheme="majorBidi" w:cstheme="majorBidi"/>
          <w:sz w:val="20"/>
          <w:szCs w:val="20"/>
        </w:rPr>
        <w:t>Ṭukhāristān</w:t>
      </w:r>
      <w:r w:rsidRPr="007E3B41">
        <w:rPr>
          <w:rFonts w:asciiTheme="majorBidi" w:hAnsiTheme="majorBidi" w:cstheme="majorBidi"/>
          <w:sz w:val="20"/>
          <w:szCs w:val="20"/>
        </w:rPr>
        <w:t xml:space="preserve"> </w:t>
      </w:r>
      <w:r>
        <w:rPr>
          <w:rFonts w:asciiTheme="majorBidi" w:hAnsiTheme="majorBidi" w:cstheme="majorBidi"/>
          <w:sz w:val="20"/>
          <w:szCs w:val="20"/>
        </w:rPr>
        <w:t xml:space="preserve">under Tardu Shad in the 620s, they dislodged the Hephthalites and seized their winter pasture close to Warwālīz and their summer pasture in Badakhshān (Kuwayama, 2002, pp. 125-6, 133, 138; </w:t>
      </w:r>
      <w:r w:rsidRPr="00046C49">
        <w:rPr>
          <w:rFonts w:asciiTheme="majorBidi" w:hAnsiTheme="majorBidi" w:cstheme="majorBidi"/>
          <w:sz w:val="20"/>
          <w:szCs w:val="20"/>
        </w:rPr>
        <w:t>Harmatta &amp; Lintvinsky, 1996, p</w:t>
      </w:r>
      <w:r>
        <w:rPr>
          <w:rFonts w:asciiTheme="majorBidi" w:hAnsiTheme="majorBidi" w:cstheme="majorBidi"/>
          <w:sz w:val="20"/>
          <w:szCs w:val="20"/>
        </w:rPr>
        <w:t>p</w:t>
      </w:r>
      <w:r w:rsidRPr="00046C49">
        <w:rPr>
          <w:rFonts w:asciiTheme="majorBidi" w:hAnsiTheme="majorBidi" w:cstheme="majorBidi"/>
          <w:sz w:val="20"/>
          <w:szCs w:val="20"/>
        </w:rPr>
        <w:t>. 370</w:t>
      </w:r>
      <w:r>
        <w:rPr>
          <w:rFonts w:asciiTheme="majorBidi" w:hAnsiTheme="majorBidi" w:cstheme="majorBidi"/>
          <w:sz w:val="20"/>
          <w:szCs w:val="20"/>
        </w:rPr>
        <w:t>-1</w:t>
      </w:r>
      <w:r w:rsidRPr="00046C49">
        <w:rPr>
          <w:rFonts w:asciiTheme="majorBidi" w:hAnsiTheme="majorBidi" w:cstheme="majorBidi"/>
          <w:sz w:val="20"/>
          <w:szCs w:val="20"/>
        </w:rPr>
        <w:t>; Wang, 2017, pp. 113-5</w:t>
      </w:r>
      <w:r>
        <w:rPr>
          <w:rFonts w:asciiTheme="majorBidi" w:hAnsiTheme="majorBidi" w:cstheme="majorBidi"/>
          <w:sz w:val="20"/>
          <w:szCs w:val="20"/>
        </w:rPr>
        <w:t xml:space="preserve">; Haug, 2019, pp. 11-2). According to </w:t>
      </w:r>
      <w:r w:rsidRPr="007E3B41">
        <w:rPr>
          <w:rFonts w:asciiTheme="majorBidi" w:hAnsiTheme="majorBidi" w:cstheme="majorBidi"/>
          <w:sz w:val="20"/>
          <w:szCs w:val="20"/>
        </w:rPr>
        <w:t>Xuanzang (</w:t>
      </w:r>
      <w:r w:rsidRPr="00A624CA">
        <w:rPr>
          <w:rFonts w:asciiTheme="majorBidi" w:hAnsiTheme="majorBidi" w:cstheme="majorBidi"/>
          <w:sz w:val="20"/>
          <w:szCs w:val="20"/>
        </w:rPr>
        <w:t xml:space="preserve">2000, pp. 106-7, 963; </w:t>
      </w:r>
      <w:r>
        <w:rPr>
          <w:rFonts w:asciiTheme="majorBidi" w:hAnsiTheme="majorBidi" w:cstheme="majorBidi"/>
          <w:sz w:val="20"/>
          <w:szCs w:val="20"/>
        </w:rPr>
        <w:t>tr.</w:t>
      </w:r>
      <w:r w:rsidRPr="00A624CA">
        <w:rPr>
          <w:rFonts w:asciiTheme="majorBidi" w:hAnsiTheme="majorBidi" w:cstheme="majorBidi"/>
          <w:sz w:val="20"/>
          <w:szCs w:val="20"/>
        </w:rPr>
        <w:t>, Li, 1996, pp. 26, 318; Huili &amp; Yancong, 2000, pp. 31, 116</w:t>
      </w:r>
      <w:r>
        <w:rPr>
          <w:rFonts w:asciiTheme="majorBidi" w:hAnsiTheme="majorBidi" w:cstheme="majorBidi"/>
          <w:sz w:val="20"/>
          <w:szCs w:val="20"/>
        </w:rPr>
        <w:t>; tr., see Appendix III</w:t>
      </w:r>
      <w:r w:rsidRPr="007E3B41">
        <w:rPr>
          <w:rFonts w:asciiTheme="majorBidi" w:hAnsiTheme="majorBidi" w:cstheme="majorBidi"/>
          <w:sz w:val="20"/>
          <w:szCs w:val="20"/>
        </w:rPr>
        <w:t>)</w:t>
      </w:r>
      <w:r>
        <w:rPr>
          <w:rFonts w:asciiTheme="majorBidi" w:hAnsiTheme="majorBidi" w:cstheme="majorBidi"/>
          <w:sz w:val="20"/>
          <w:szCs w:val="20"/>
        </w:rPr>
        <w:t xml:space="preserve">, </w:t>
      </w:r>
      <w:r w:rsidRPr="007E3B41">
        <w:rPr>
          <w:rFonts w:asciiTheme="majorBidi" w:hAnsiTheme="majorBidi" w:cstheme="majorBidi"/>
          <w:sz w:val="20"/>
          <w:szCs w:val="20"/>
        </w:rPr>
        <w:t>the Turks only had direct control over Akharūn, Shūmān and Warwālīz</w:t>
      </w:r>
      <w:r>
        <w:rPr>
          <w:rFonts w:asciiTheme="majorBidi" w:hAnsiTheme="majorBidi" w:cstheme="majorBidi"/>
          <w:sz w:val="20"/>
          <w:szCs w:val="20"/>
        </w:rPr>
        <w:t>. The influence of the dynasty extended to Balkh,</w:t>
      </w:r>
      <w:r w:rsidRPr="00591C1E">
        <w:rPr>
          <w:rFonts w:asciiTheme="majorBidi" w:hAnsiTheme="majorBidi" w:cstheme="majorBidi"/>
          <w:sz w:val="20"/>
          <w:szCs w:val="20"/>
        </w:rPr>
        <w:t xml:space="preserve"> </w:t>
      </w:r>
      <w:r>
        <w:rPr>
          <w:rFonts w:asciiTheme="majorBidi" w:hAnsiTheme="majorBidi" w:cstheme="majorBidi"/>
          <w:sz w:val="20"/>
          <w:szCs w:val="20"/>
        </w:rPr>
        <w:t xml:space="preserve">Tālaqān, Khost and Andarāb (Kuwayama, 2002, pp. 132, 138; de la Vaissière, 2010a, p. </w:t>
      </w:r>
      <w:r w:rsidRPr="003B3FAB">
        <w:rPr>
          <w:rFonts w:asciiTheme="majorBidi" w:hAnsiTheme="majorBidi" w:cstheme="majorBidi"/>
          <w:sz w:val="20"/>
          <w:szCs w:val="20"/>
        </w:rPr>
        <w:t>524</w:t>
      </w:r>
      <w:r>
        <w:rPr>
          <w:rFonts w:asciiTheme="majorBidi" w:hAnsiTheme="majorBidi" w:cstheme="majorBidi"/>
          <w:sz w:val="20"/>
          <w:szCs w:val="20"/>
        </w:rPr>
        <w:t>). However, there is not a definite line to separate eastern from western</w:t>
      </w:r>
      <w:r w:rsidRPr="00D66F0D">
        <w:rPr>
          <w:rFonts w:asciiTheme="majorBidi" w:hAnsiTheme="majorBidi" w:cstheme="majorBidi"/>
          <w:sz w:val="20"/>
          <w:szCs w:val="20"/>
        </w:rPr>
        <w:t xml:space="preserve"> </w:t>
      </w:r>
      <w:r w:rsidRPr="00675AC0">
        <w:rPr>
          <w:rFonts w:asciiTheme="majorBidi" w:hAnsiTheme="majorBidi" w:cstheme="majorBidi"/>
          <w:sz w:val="20"/>
          <w:szCs w:val="20"/>
        </w:rPr>
        <w:t>Ṭukhāristān</w:t>
      </w:r>
      <w:r>
        <w:rPr>
          <w:rFonts w:asciiTheme="majorBidi" w:hAnsiTheme="majorBidi" w:cstheme="majorBidi"/>
          <w:sz w:val="20"/>
          <w:szCs w:val="20"/>
        </w:rPr>
        <w:t>. Xuanzang’s report that the monks of Balkh visited the court when Tardu Shad passed away (</w:t>
      </w:r>
      <w:r w:rsidRPr="00C80C3D">
        <w:rPr>
          <w:rFonts w:asciiTheme="majorBidi" w:hAnsiTheme="majorBidi" w:cstheme="majorBidi"/>
          <w:sz w:val="20"/>
          <w:szCs w:val="20"/>
        </w:rPr>
        <w:t>Huili &amp; Yancong, 2000, p</w:t>
      </w:r>
      <w:r>
        <w:rPr>
          <w:rFonts w:asciiTheme="majorBidi" w:hAnsiTheme="majorBidi" w:cstheme="majorBidi"/>
          <w:sz w:val="20"/>
          <w:szCs w:val="20"/>
        </w:rPr>
        <w:t>p</w:t>
      </w:r>
      <w:r w:rsidRPr="00C80C3D">
        <w:rPr>
          <w:rFonts w:asciiTheme="majorBidi" w:hAnsiTheme="majorBidi" w:cstheme="majorBidi"/>
          <w:sz w:val="20"/>
          <w:szCs w:val="20"/>
        </w:rPr>
        <w:t xml:space="preserve">. </w:t>
      </w:r>
      <w:r>
        <w:rPr>
          <w:rFonts w:asciiTheme="majorBidi" w:hAnsiTheme="majorBidi" w:cstheme="majorBidi"/>
          <w:sz w:val="20"/>
          <w:szCs w:val="20"/>
        </w:rPr>
        <w:t>31-</w:t>
      </w:r>
      <w:r w:rsidRPr="00D2357F">
        <w:rPr>
          <w:rFonts w:asciiTheme="majorBidi" w:hAnsiTheme="majorBidi" w:cstheme="majorBidi"/>
          <w:sz w:val="20"/>
          <w:szCs w:val="20"/>
        </w:rPr>
        <w:t>2</w:t>
      </w:r>
      <w:r>
        <w:rPr>
          <w:rFonts w:asciiTheme="majorBidi" w:hAnsiTheme="majorBidi" w:cstheme="majorBidi"/>
          <w:sz w:val="20"/>
          <w:szCs w:val="20"/>
        </w:rPr>
        <w:t xml:space="preserve">) and by </w:t>
      </w:r>
      <w:proofErr w:type="gramStart"/>
      <w:r w:rsidRPr="002A6BC5">
        <w:rPr>
          <w:rFonts w:asciiTheme="majorBidi" w:hAnsiTheme="majorBidi" w:cstheme="majorBidi"/>
          <w:i/>
          <w:iCs/>
          <w:sz w:val="20"/>
          <w:szCs w:val="20"/>
        </w:rPr>
        <w:t>Faḍā‘</w:t>
      </w:r>
      <w:proofErr w:type="gramEnd"/>
      <w:r w:rsidRPr="002A6BC5">
        <w:rPr>
          <w:rFonts w:asciiTheme="majorBidi" w:hAnsiTheme="majorBidi" w:cstheme="majorBidi"/>
          <w:i/>
          <w:iCs/>
          <w:sz w:val="20"/>
          <w:szCs w:val="20"/>
        </w:rPr>
        <w:t>il-i Balkh</w:t>
      </w:r>
      <w:r>
        <w:rPr>
          <w:rFonts w:asciiTheme="majorBidi" w:hAnsiTheme="majorBidi" w:cstheme="majorBidi"/>
          <w:sz w:val="20"/>
          <w:szCs w:val="20"/>
        </w:rPr>
        <w:t xml:space="preserve">’s record that Qutayba executed the Turkic governor of Balkh (Balkhī, 1971, p. 18: </w:t>
      </w:r>
      <w:r w:rsidRPr="002A6BC5">
        <w:rPr>
          <w:rFonts w:asciiTheme="majorBidi" w:hAnsiTheme="majorBidi" w:cs="Times New Roman" w:hint="cs"/>
          <w:sz w:val="20"/>
          <w:szCs w:val="20"/>
          <w:rtl/>
          <w:lang w:bidi="ar-SA"/>
        </w:rPr>
        <w:t>وترک</w:t>
      </w:r>
      <w:r w:rsidRPr="002A6BC5">
        <w:rPr>
          <w:rFonts w:asciiTheme="majorBidi" w:hAnsiTheme="majorBidi" w:cs="Times New Roman"/>
          <w:sz w:val="20"/>
          <w:szCs w:val="20"/>
          <w:rtl/>
          <w:lang w:bidi="ar-SA"/>
        </w:rPr>
        <w:t xml:space="preserve"> </w:t>
      </w:r>
      <w:r w:rsidRPr="002A6BC5">
        <w:rPr>
          <w:rFonts w:asciiTheme="majorBidi" w:hAnsiTheme="majorBidi" w:cs="Times New Roman" w:hint="cs"/>
          <w:sz w:val="20"/>
          <w:szCs w:val="20"/>
          <w:rtl/>
          <w:lang w:bidi="ar-SA"/>
        </w:rPr>
        <w:t>را</w:t>
      </w:r>
      <w:r w:rsidRPr="002A6BC5">
        <w:rPr>
          <w:rFonts w:asciiTheme="majorBidi" w:hAnsiTheme="majorBidi" w:cs="Times New Roman"/>
          <w:sz w:val="20"/>
          <w:szCs w:val="20"/>
          <w:rtl/>
          <w:lang w:bidi="ar-SA"/>
        </w:rPr>
        <w:t xml:space="preserve"> </w:t>
      </w:r>
      <w:r w:rsidRPr="002A6BC5">
        <w:rPr>
          <w:rFonts w:asciiTheme="majorBidi" w:hAnsiTheme="majorBidi" w:cs="Times New Roman" w:hint="cs"/>
          <w:sz w:val="20"/>
          <w:szCs w:val="20"/>
          <w:rtl/>
          <w:lang w:bidi="ar-SA"/>
        </w:rPr>
        <w:t>که</w:t>
      </w:r>
      <w:r w:rsidRPr="002A6BC5">
        <w:rPr>
          <w:rFonts w:asciiTheme="majorBidi" w:hAnsiTheme="majorBidi" w:cs="Times New Roman"/>
          <w:sz w:val="20"/>
          <w:szCs w:val="20"/>
          <w:rtl/>
          <w:lang w:bidi="ar-SA"/>
        </w:rPr>
        <w:t xml:space="preserve"> </w:t>
      </w:r>
      <w:r w:rsidRPr="002A6BC5">
        <w:rPr>
          <w:rFonts w:asciiTheme="majorBidi" w:hAnsiTheme="majorBidi" w:cs="Times New Roman" w:hint="cs"/>
          <w:sz w:val="20"/>
          <w:szCs w:val="20"/>
          <w:rtl/>
          <w:lang w:bidi="ar-SA"/>
        </w:rPr>
        <w:t>امیر</w:t>
      </w:r>
      <w:r w:rsidRPr="002A6BC5">
        <w:rPr>
          <w:rFonts w:asciiTheme="majorBidi" w:hAnsiTheme="majorBidi" w:cs="Times New Roman"/>
          <w:sz w:val="20"/>
          <w:szCs w:val="20"/>
          <w:rtl/>
          <w:lang w:bidi="ar-SA"/>
        </w:rPr>
        <w:t xml:space="preserve"> </w:t>
      </w:r>
      <w:r w:rsidRPr="002A6BC5">
        <w:rPr>
          <w:rFonts w:asciiTheme="majorBidi" w:hAnsiTheme="majorBidi" w:cs="Times New Roman" w:hint="cs"/>
          <w:sz w:val="20"/>
          <w:szCs w:val="20"/>
          <w:rtl/>
          <w:lang w:bidi="ar-SA"/>
        </w:rPr>
        <w:t>بلخ</w:t>
      </w:r>
      <w:r w:rsidRPr="002A6BC5">
        <w:rPr>
          <w:rFonts w:asciiTheme="majorBidi" w:hAnsiTheme="majorBidi" w:cs="Times New Roman"/>
          <w:sz w:val="20"/>
          <w:szCs w:val="20"/>
          <w:rtl/>
          <w:lang w:bidi="ar-SA"/>
        </w:rPr>
        <w:t xml:space="preserve"> </w:t>
      </w:r>
      <w:r w:rsidRPr="002A6BC5">
        <w:rPr>
          <w:rFonts w:asciiTheme="majorBidi" w:hAnsiTheme="majorBidi" w:cs="Times New Roman" w:hint="cs"/>
          <w:sz w:val="20"/>
          <w:szCs w:val="20"/>
          <w:rtl/>
          <w:lang w:bidi="ar-SA"/>
        </w:rPr>
        <w:t>بود</w:t>
      </w:r>
      <w:r w:rsidRPr="002A6BC5">
        <w:rPr>
          <w:rFonts w:asciiTheme="majorBidi" w:hAnsiTheme="majorBidi" w:cs="Times New Roman"/>
          <w:sz w:val="20"/>
          <w:szCs w:val="20"/>
          <w:rtl/>
          <w:lang w:bidi="ar-SA"/>
        </w:rPr>
        <w:t xml:space="preserve"> </w:t>
      </w:r>
      <w:r w:rsidRPr="002A6BC5">
        <w:rPr>
          <w:rFonts w:asciiTheme="majorBidi" w:hAnsiTheme="majorBidi" w:cs="Times New Roman" w:hint="cs"/>
          <w:sz w:val="20"/>
          <w:szCs w:val="20"/>
          <w:rtl/>
          <w:lang w:bidi="ar-SA"/>
        </w:rPr>
        <w:t>در</w:t>
      </w:r>
      <w:r w:rsidRPr="002A6BC5">
        <w:rPr>
          <w:rFonts w:asciiTheme="majorBidi" w:hAnsiTheme="majorBidi" w:cs="Times New Roman"/>
          <w:sz w:val="20"/>
          <w:szCs w:val="20"/>
          <w:rtl/>
          <w:lang w:bidi="ar-SA"/>
        </w:rPr>
        <w:t xml:space="preserve"> </w:t>
      </w:r>
      <w:r w:rsidRPr="002A6BC5">
        <w:rPr>
          <w:rFonts w:asciiTheme="majorBidi" w:hAnsiTheme="majorBidi" w:cs="Times New Roman" w:hint="cs"/>
          <w:sz w:val="20"/>
          <w:szCs w:val="20"/>
          <w:rtl/>
          <w:lang w:bidi="ar-SA"/>
        </w:rPr>
        <w:t>آنجا</w:t>
      </w:r>
      <w:r w:rsidRPr="002A6BC5">
        <w:rPr>
          <w:rFonts w:asciiTheme="majorBidi" w:hAnsiTheme="majorBidi" w:cs="Times New Roman"/>
          <w:sz w:val="20"/>
          <w:szCs w:val="20"/>
          <w:rtl/>
          <w:lang w:bidi="ar-SA"/>
        </w:rPr>
        <w:t xml:space="preserve"> </w:t>
      </w:r>
      <w:r w:rsidRPr="002A6BC5">
        <w:rPr>
          <w:rFonts w:asciiTheme="majorBidi" w:hAnsiTheme="majorBidi" w:cs="Times New Roman" w:hint="cs"/>
          <w:sz w:val="20"/>
          <w:szCs w:val="20"/>
          <w:rtl/>
          <w:lang w:bidi="ar-SA"/>
        </w:rPr>
        <w:t>کشت</w:t>
      </w:r>
      <w:r>
        <w:rPr>
          <w:rFonts w:asciiTheme="majorBidi" w:hAnsiTheme="majorBidi" w:cstheme="majorBidi"/>
          <w:sz w:val="20"/>
          <w:szCs w:val="20"/>
        </w:rPr>
        <w:t>)</w:t>
      </w:r>
      <w:r w:rsidRPr="00EB687B">
        <w:rPr>
          <w:rFonts w:asciiTheme="majorBidi" w:hAnsiTheme="majorBidi" w:cstheme="majorBidi"/>
          <w:sz w:val="20"/>
          <w:szCs w:val="20"/>
        </w:rPr>
        <w:t xml:space="preserve"> </w:t>
      </w:r>
      <w:r>
        <w:rPr>
          <w:rFonts w:asciiTheme="majorBidi" w:hAnsiTheme="majorBidi" w:cstheme="majorBidi"/>
          <w:sz w:val="20"/>
          <w:szCs w:val="20"/>
        </w:rPr>
        <w:t xml:space="preserve">seem to show that Balkh was a vassal of the Yabghū. However, Balkh was not always the western limit of the influence of the Yabghū dynasty. For example, the Bactrian documents show that </w:t>
      </w:r>
      <w:r w:rsidRPr="00294E45">
        <w:rPr>
          <w:rFonts w:asciiTheme="majorBidi" w:hAnsiTheme="majorBidi" w:cstheme="majorBidi"/>
          <w:sz w:val="20"/>
          <w:szCs w:val="20"/>
        </w:rPr>
        <w:t xml:space="preserve">Gūzgān in western Ṭukhāristān was clearly a vassal of the Yabghū from 655 to 680 CE (Sims-Williams, 2020, pp. 242-3). </w:t>
      </w:r>
      <w:r>
        <w:rPr>
          <w:rFonts w:asciiTheme="majorBidi" w:hAnsiTheme="majorBidi" w:cstheme="majorBidi"/>
          <w:sz w:val="20"/>
          <w:szCs w:val="20"/>
        </w:rPr>
        <w:t xml:space="preserve">As for the discussion of the Turkic immigrants into Transoxiana and </w:t>
      </w:r>
      <w:r w:rsidRPr="00294E45">
        <w:rPr>
          <w:rFonts w:asciiTheme="majorBidi" w:hAnsiTheme="majorBidi" w:cstheme="majorBidi"/>
          <w:sz w:val="20"/>
          <w:szCs w:val="20"/>
        </w:rPr>
        <w:t>Ṭukhāristān</w:t>
      </w:r>
      <w:r>
        <w:rPr>
          <w:rFonts w:asciiTheme="majorBidi" w:hAnsiTheme="majorBidi" w:cstheme="majorBidi"/>
          <w:sz w:val="20"/>
          <w:szCs w:val="20"/>
        </w:rPr>
        <w:t>, see Stark, 2007, pp. 307-334.</w:t>
      </w:r>
    </w:p>
  </w:footnote>
  <w:footnote w:id="137">
    <w:p w14:paraId="371D3486" w14:textId="77777777" w:rsidR="00902FCD" w:rsidRPr="00B63ACB" w:rsidRDefault="00902FCD" w:rsidP="00222C66">
      <w:pPr>
        <w:pStyle w:val="FootnoteText"/>
        <w:spacing w:line="360" w:lineRule="auto"/>
        <w:rPr>
          <w:rFonts w:asciiTheme="majorBidi" w:hAnsiTheme="majorBidi" w:cstheme="majorBidi"/>
          <w:sz w:val="20"/>
          <w:szCs w:val="20"/>
        </w:rPr>
      </w:pPr>
      <w:r w:rsidRPr="00B63ACB">
        <w:rPr>
          <w:rFonts w:asciiTheme="majorBidi" w:hAnsiTheme="majorBidi" w:cstheme="majorBidi"/>
          <w:sz w:val="20"/>
          <w:szCs w:val="20"/>
          <w:vertAlign w:val="superscript"/>
        </w:rPr>
        <w:footnoteRef/>
      </w:r>
      <w:r w:rsidRPr="00B63ACB">
        <w:rPr>
          <w:rFonts w:asciiTheme="majorBidi" w:hAnsiTheme="majorBidi" w:cstheme="majorBidi"/>
          <w:sz w:val="20"/>
          <w:szCs w:val="20"/>
        </w:rPr>
        <w:t xml:space="preserve"> </w:t>
      </w:r>
      <w:r>
        <w:rPr>
          <w:rFonts w:asciiTheme="majorBidi" w:hAnsiTheme="majorBidi" w:cstheme="majorBidi"/>
          <w:sz w:val="20"/>
          <w:szCs w:val="20"/>
        </w:rPr>
        <w:t>Shaban, 1970, p. 9.</w:t>
      </w:r>
    </w:p>
  </w:footnote>
  <w:footnote w:id="138">
    <w:p w14:paraId="7674B6F1" w14:textId="77777777" w:rsidR="00902FCD" w:rsidRPr="00FA39D7" w:rsidRDefault="00902FCD" w:rsidP="00222C66">
      <w:pPr>
        <w:pStyle w:val="FootnoteText"/>
        <w:spacing w:line="360" w:lineRule="auto"/>
        <w:rPr>
          <w:rFonts w:asciiTheme="majorBidi" w:hAnsiTheme="majorBidi" w:cstheme="majorBidi"/>
          <w:sz w:val="20"/>
          <w:szCs w:val="20"/>
        </w:rPr>
      </w:pPr>
      <w:r w:rsidRPr="00FA39D7">
        <w:rPr>
          <w:rFonts w:asciiTheme="majorBidi" w:hAnsiTheme="majorBidi" w:cstheme="majorBidi"/>
          <w:sz w:val="20"/>
          <w:szCs w:val="20"/>
          <w:vertAlign w:val="superscript"/>
        </w:rPr>
        <w:footnoteRef/>
      </w:r>
      <w:r w:rsidRPr="00FA39D7">
        <w:rPr>
          <w:rFonts w:asciiTheme="majorBidi" w:hAnsiTheme="majorBidi" w:cstheme="majorBidi"/>
          <w:sz w:val="20"/>
          <w:szCs w:val="20"/>
          <w:vertAlign w:val="superscript"/>
        </w:rPr>
        <w:t xml:space="preserve"> </w:t>
      </w:r>
      <w:r>
        <w:rPr>
          <w:rFonts w:asciiTheme="majorBidi" w:hAnsiTheme="majorBidi" w:cstheme="majorBidi"/>
          <w:sz w:val="20"/>
          <w:szCs w:val="20"/>
        </w:rPr>
        <w:t>A</w:t>
      </w:r>
      <w:r w:rsidRPr="00C43804">
        <w:rPr>
          <w:rFonts w:asciiTheme="majorBidi" w:hAnsiTheme="majorBidi" w:cstheme="majorBidi"/>
          <w:sz w:val="20"/>
          <w:szCs w:val="20"/>
        </w:rPr>
        <w:t>l-Ṭabarī</w:t>
      </w:r>
      <w:r w:rsidRPr="00FA39D7">
        <w:rPr>
          <w:rFonts w:asciiTheme="majorBidi" w:hAnsiTheme="majorBidi" w:cstheme="majorBidi"/>
          <w:sz w:val="20"/>
          <w:szCs w:val="20"/>
        </w:rPr>
        <w:t xml:space="preserve"> (2001, volume 3, p. 683; </w:t>
      </w:r>
      <w:r>
        <w:rPr>
          <w:rFonts w:asciiTheme="majorBidi" w:hAnsiTheme="majorBidi" w:cstheme="majorBidi"/>
          <w:sz w:val="20"/>
          <w:szCs w:val="20"/>
        </w:rPr>
        <w:t xml:space="preserve">tr., </w:t>
      </w:r>
      <w:r w:rsidRPr="00FA39D7">
        <w:rPr>
          <w:rFonts w:asciiTheme="majorBidi" w:hAnsiTheme="majorBidi" w:cstheme="majorBidi"/>
          <w:sz w:val="20"/>
          <w:szCs w:val="20"/>
        </w:rPr>
        <w:t xml:space="preserve">1990, volume XXIII, pp. 155, 171: </w:t>
      </w:r>
      <w:r w:rsidRPr="00FA39D7">
        <w:rPr>
          <w:rFonts w:asciiTheme="majorBidi" w:hAnsiTheme="majorBidi" w:cstheme="majorBidi"/>
          <w:sz w:val="20"/>
          <w:szCs w:val="20"/>
          <w:rtl/>
          <w:lang w:bidi="ar-SA"/>
        </w:rPr>
        <w:t>وجبغويه ملك تخارستان ونيزك من عبيده</w:t>
      </w:r>
      <w:r w:rsidRPr="00FA39D7">
        <w:rPr>
          <w:rFonts w:asciiTheme="majorBidi" w:hAnsiTheme="majorBidi" w:cstheme="majorBidi"/>
          <w:sz w:val="20"/>
          <w:szCs w:val="20"/>
        </w:rPr>
        <w:t>) re</w:t>
      </w:r>
      <w:r>
        <w:rPr>
          <w:rFonts w:asciiTheme="majorBidi" w:hAnsiTheme="majorBidi" w:cstheme="majorBidi"/>
          <w:sz w:val="20"/>
          <w:szCs w:val="20"/>
        </w:rPr>
        <w:t>ports</w:t>
      </w:r>
      <w:r w:rsidRPr="00FA39D7">
        <w:rPr>
          <w:rFonts w:asciiTheme="majorBidi" w:hAnsiTheme="majorBidi" w:cstheme="majorBidi"/>
          <w:sz w:val="20"/>
          <w:szCs w:val="20"/>
        </w:rPr>
        <w:t xml:space="preserve"> that the powerful Nīzak dynasty was a vassal of the Yabghū</w:t>
      </w:r>
      <w:r>
        <w:rPr>
          <w:rFonts w:asciiTheme="majorBidi" w:hAnsiTheme="majorBidi" w:cstheme="majorBidi"/>
          <w:sz w:val="20"/>
          <w:szCs w:val="20"/>
        </w:rPr>
        <w:t xml:space="preserve"> as late as the 700s.</w:t>
      </w:r>
    </w:p>
  </w:footnote>
  <w:footnote w:id="139">
    <w:p w14:paraId="6C1FC972" w14:textId="56B1EAE2" w:rsidR="00902FCD" w:rsidRPr="00281B2D" w:rsidRDefault="00902FCD" w:rsidP="00281B2D">
      <w:pPr>
        <w:pStyle w:val="FootnoteText"/>
        <w:spacing w:line="360" w:lineRule="auto"/>
        <w:rPr>
          <w:rFonts w:asciiTheme="majorBidi" w:hAnsiTheme="majorBidi" w:cstheme="majorBidi"/>
          <w:sz w:val="20"/>
          <w:szCs w:val="20"/>
        </w:rPr>
      </w:pPr>
      <w:r w:rsidRPr="00281B2D">
        <w:rPr>
          <w:rFonts w:asciiTheme="majorBidi" w:hAnsiTheme="majorBidi" w:cstheme="majorBidi"/>
          <w:sz w:val="20"/>
          <w:szCs w:val="20"/>
          <w:vertAlign w:val="superscript"/>
        </w:rPr>
        <w:footnoteRef/>
      </w:r>
      <w:r w:rsidRPr="00281B2D">
        <w:rPr>
          <w:rFonts w:asciiTheme="majorBidi" w:hAnsiTheme="majorBidi" w:cstheme="majorBidi"/>
          <w:sz w:val="20"/>
          <w:szCs w:val="20"/>
        </w:rPr>
        <w:t xml:space="preserve"> </w:t>
      </w:r>
      <w:r w:rsidRPr="00C43804">
        <w:rPr>
          <w:rFonts w:asciiTheme="majorBidi" w:hAnsiTheme="majorBidi" w:cstheme="majorBidi"/>
          <w:sz w:val="20"/>
          <w:szCs w:val="20"/>
        </w:rPr>
        <w:t>Al-Ṭabarī, 2001, volume 3, p</w:t>
      </w:r>
      <w:r>
        <w:rPr>
          <w:rFonts w:asciiTheme="majorBidi" w:hAnsiTheme="majorBidi" w:cstheme="majorBidi"/>
          <w:sz w:val="20"/>
          <w:szCs w:val="20"/>
        </w:rPr>
        <w:t>p</w:t>
      </w:r>
      <w:r w:rsidRPr="00C43804">
        <w:rPr>
          <w:rFonts w:asciiTheme="majorBidi" w:hAnsiTheme="majorBidi" w:cstheme="majorBidi"/>
          <w:sz w:val="20"/>
          <w:szCs w:val="20"/>
        </w:rPr>
        <w:t>. 68</w:t>
      </w:r>
      <w:r>
        <w:rPr>
          <w:rFonts w:asciiTheme="majorBidi" w:hAnsiTheme="majorBidi" w:cstheme="majorBidi"/>
          <w:sz w:val="20"/>
          <w:szCs w:val="20"/>
        </w:rPr>
        <w:t>1-4</w:t>
      </w:r>
      <w:r w:rsidRPr="00C43804">
        <w:rPr>
          <w:rFonts w:asciiTheme="majorBidi" w:hAnsiTheme="majorBidi" w:cstheme="majorBidi"/>
          <w:sz w:val="20"/>
          <w:szCs w:val="20"/>
        </w:rPr>
        <w:t xml:space="preserve">; </w:t>
      </w:r>
      <w:r>
        <w:rPr>
          <w:rFonts w:asciiTheme="majorBidi" w:hAnsiTheme="majorBidi" w:cstheme="majorBidi"/>
          <w:sz w:val="20"/>
          <w:szCs w:val="20"/>
        </w:rPr>
        <w:t>tr.</w:t>
      </w:r>
      <w:r w:rsidRPr="00C43804">
        <w:rPr>
          <w:rFonts w:asciiTheme="majorBidi" w:hAnsiTheme="majorBidi" w:cstheme="majorBidi"/>
          <w:sz w:val="20"/>
          <w:szCs w:val="20"/>
        </w:rPr>
        <w:t>, 1990, volume XXIII, pp. 154-5.</w:t>
      </w:r>
      <w:r>
        <w:rPr>
          <w:rFonts w:asciiTheme="majorBidi" w:hAnsiTheme="majorBidi" w:cstheme="majorBidi"/>
          <w:sz w:val="20"/>
          <w:szCs w:val="20"/>
        </w:rPr>
        <w:t xml:space="preserve"> </w:t>
      </w:r>
      <w:r>
        <w:rPr>
          <w:rFonts w:asciiTheme="majorBidi" w:eastAsiaTheme="minorHAnsi" w:hAnsiTheme="majorBidi" w:cstheme="majorBidi"/>
          <w:sz w:val="20"/>
          <w:szCs w:val="20"/>
        </w:rPr>
        <w:t>See also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w:t>
      </w:r>
      <w:r w:rsidRPr="00CA3746">
        <w:rPr>
          <w:rFonts w:asciiTheme="majorBidi" w:eastAsiaTheme="minorHAnsi" w:hAnsiTheme="majorBidi" w:cstheme="majorBidi"/>
          <w:sz w:val="20"/>
          <w:szCs w:val="20"/>
        </w:rPr>
        <w:t xml:space="preserve"> volume 4,</w:t>
      </w:r>
      <w:r>
        <w:rPr>
          <w:rFonts w:asciiTheme="majorBidi" w:eastAsiaTheme="minorHAnsi" w:hAnsiTheme="majorBidi" w:cstheme="majorBidi"/>
          <w:sz w:val="20"/>
          <w:szCs w:val="20"/>
        </w:rPr>
        <w:t xml:space="preserve"> pp. 254-6; see also al-Kūfī for Nīzak’s rebellion and coalition against Qutayba (1975, volume 7, pp. 225-6)</w:t>
      </w:r>
      <w:r>
        <w:rPr>
          <w:rFonts w:asciiTheme="majorBidi" w:hAnsiTheme="majorBidi" w:cstheme="majorBidi"/>
          <w:sz w:val="20"/>
          <w:szCs w:val="20"/>
        </w:rPr>
        <w:t>.</w:t>
      </w:r>
    </w:p>
  </w:footnote>
  <w:footnote w:id="140">
    <w:p w14:paraId="35EF1E8F" w14:textId="4D4646D0" w:rsidR="00902FCD" w:rsidRPr="00BA50E3" w:rsidRDefault="00902FCD" w:rsidP="00BA50E3">
      <w:pPr>
        <w:pStyle w:val="FootnoteText"/>
        <w:spacing w:line="360" w:lineRule="auto"/>
        <w:rPr>
          <w:rFonts w:asciiTheme="majorBidi" w:eastAsiaTheme="minorHAnsi" w:hAnsiTheme="majorBidi" w:cstheme="majorBidi"/>
          <w:sz w:val="20"/>
          <w:szCs w:val="20"/>
        </w:rPr>
      </w:pPr>
      <w:r w:rsidRPr="00BA50E3">
        <w:rPr>
          <w:rFonts w:asciiTheme="majorBidi" w:eastAsiaTheme="minorHAnsi" w:hAnsiTheme="majorBidi" w:cstheme="majorBidi"/>
          <w:sz w:val="20"/>
          <w:szCs w:val="20"/>
          <w:vertAlign w:val="superscript"/>
        </w:rPr>
        <w:footnoteRef/>
      </w:r>
      <w:r w:rsidRPr="00BA50E3">
        <w:rPr>
          <w:rFonts w:asciiTheme="majorBidi" w:eastAsiaTheme="minorHAnsi" w:hAnsiTheme="majorBidi" w:cstheme="majorBidi"/>
          <w:sz w:val="20"/>
          <w:szCs w:val="20"/>
        </w:rPr>
        <w:t xml:space="preserve"> Al-Ṭabarī (2001, volume 3, pp. 657-64; tr., 1990, volume XXIII, pp. 90-108.) reports that he fought Mūsā of Tirmidh and ranked only next to Ṭarkhūn, the ruler of Samarkand, among the allies, which included Khuttal, Bukhara, Chaghāniyān and </w:t>
      </w:r>
      <w:r>
        <w:rPr>
          <w:rFonts w:asciiTheme="majorBidi" w:eastAsiaTheme="minorHAnsi" w:hAnsiTheme="majorBidi" w:cstheme="majorBidi"/>
          <w:sz w:val="20"/>
          <w:szCs w:val="20"/>
        </w:rPr>
        <w:t>others</w:t>
      </w:r>
      <w:r w:rsidRPr="00BA50E3">
        <w:rPr>
          <w:rFonts w:asciiTheme="majorBidi" w:eastAsiaTheme="minorHAnsi" w:hAnsiTheme="majorBidi" w:cstheme="majorBidi"/>
          <w:sz w:val="20"/>
          <w:szCs w:val="20"/>
        </w:rPr>
        <w:t xml:space="preserve">. See also </w:t>
      </w:r>
      <w:r>
        <w:rPr>
          <w:rFonts w:asciiTheme="majorBidi" w:eastAsiaTheme="minorHAnsi" w:hAnsiTheme="majorBidi" w:cstheme="majorBidi"/>
          <w:sz w:val="20"/>
          <w:szCs w:val="20"/>
        </w:rPr>
        <w:t xml:space="preserve">Ibn </w:t>
      </w:r>
      <w:r w:rsidRPr="00BA50E3">
        <w:rPr>
          <w:rFonts w:asciiTheme="majorBidi" w:eastAsiaTheme="minorHAnsi" w:hAnsiTheme="majorBidi" w:cstheme="majorBidi"/>
          <w:sz w:val="20"/>
          <w:szCs w:val="20"/>
        </w:rPr>
        <w:t>al</w:t>
      </w:r>
      <w:proofErr w:type="gramStart"/>
      <w:r w:rsidRPr="00BA50E3">
        <w:rPr>
          <w:rFonts w:asciiTheme="majorBidi" w:eastAsiaTheme="minorHAnsi" w:hAnsiTheme="majorBidi" w:cstheme="majorBidi"/>
          <w:sz w:val="20"/>
          <w:szCs w:val="20"/>
        </w:rPr>
        <w:t>-‘</w:t>
      </w:r>
      <w:proofErr w:type="gramEnd"/>
      <w:r w:rsidRPr="00BA50E3">
        <w:rPr>
          <w:rFonts w:asciiTheme="majorBidi" w:eastAsiaTheme="minorHAnsi" w:hAnsiTheme="majorBidi" w:cstheme="majorBidi"/>
          <w:sz w:val="20"/>
          <w:szCs w:val="20"/>
        </w:rPr>
        <w:t>Athīr, 1987, volume 4, pp. 229-34.</w:t>
      </w:r>
    </w:p>
  </w:footnote>
  <w:footnote w:id="141">
    <w:p w14:paraId="010D3C06" w14:textId="4EA91B1F" w:rsidR="00902FCD" w:rsidRPr="000A65DD" w:rsidRDefault="00902FCD" w:rsidP="00464CBA">
      <w:pPr>
        <w:pStyle w:val="FootnoteText"/>
        <w:spacing w:line="360" w:lineRule="auto"/>
        <w:rPr>
          <w:rFonts w:asciiTheme="majorBidi" w:eastAsiaTheme="minorHAnsi" w:hAnsiTheme="majorBidi" w:cstheme="majorBidi"/>
          <w:sz w:val="20"/>
          <w:szCs w:val="20"/>
        </w:rPr>
      </w:pPr>
      <w:r w:rsidRPr="00DF1B84">
        <w:rPr>
          <w:rStyle w:val="FootnoteReference"/>
          <w:rFonts w:asciiTheme="majorBidi" w:hAnsiTheme="majorBidi" w:cstheme="majorBidi"/>
          <w:sz w:val="20"/>
          <w:szCs w:val="20"/>
        </w:rPr>
        <w:footnoteRef/>
      </w:r>
      <w:r w:rsidRPr="00DF1B84">
        <w:rPr>
          <w:rFonts w:asciiTheme="majorBidi" w:hAnsiTheme="majorBidi" w:cstheme="majorBidi"/>
          <w:sz w:val="20"/>
          <w:szCs w:val="20"/>
        </w:rPr>
        <w:t xml:space="preserve"> </w:t>
      </w:r>
      <w:r w:rsidRPr="005F4885">
        <w:rPr>
          <w:rFonts w:asciiTheme="majorBidi" w:hAnsiTheme="majorBidi" w:cstheme="majorBidi"/>
          <w:sz w:val="20"/>
          <w:szCs w:val="20"/>
        </w:rPr>
        <w:t xml:space="preserve">Nīzak </w:t>
      </w:r>
      <w:r w:rsidRPr="00932469">
        <w:rPr>
          <w:rFonts w:asciiTheme="majorBidi" w:hAnsiTheme="majorBidi" w:cstheme="majorBidi"/>
          <w:sz w:val="20"/>
          <w:szCs w:val="20"/>
        </w:rPr>
        <w:t>Ṭ</w:t>
      </w:r>
      <w:r w:rsidRPr="005F4885">
        <w:rPr>
          <w:rFonts w:asciiTheme="majorBidi" w:hAnsiTheme="majorBidi" w:cstheme="majorBidi"/>
          <w:sz w:val="20"/>
          <w:szCs w:val="20"/>
        </w:rPr>
        <w:t>arkhān</w:t>
      </w:r>
      <w:r w:rsidRPr="005F4885">
        <w:rPr>
          <w:rFonts w:asciiTheme="majorBidi" w:hAnsiTheme="majorBidi" w:cstheme="majorBidi"/>
          <w:sz w:val="16"/>
          <w:szCs w:val="16"/>
        </w:rPr>
        <w:t xml:space="preserve"> </w:t>
      </w:r>
      <w:r>
        <w:rPr>
          <w:rFonts w:asciiTheme="majorBidi" w:hAnsiTheme="majorBidi" w:cstheme="majorBidi"/>
          <w:sz w:val="20"/>
          <w:szCs w:val="20"/>
        </w:rPr>
        <w:t>(</w:t>
      </w:r>
      <w:r>
        <w:rPr>
          <w:rFonts w:asciiTheme="majorBidi" w:hAnsiTheme="majorBidi" w:cstheme="majorBidi" w:hint="cs"/>
          <w:sz w:val="20"/>
          <w:szCs w:val="20"/>
          <w:rtl/>
          <w:lang w:bidi="ar-JO"/>
        </w:rPr>
        <w:t>نيزك طرخان</w:t>
      </w:r>
      <w:r>
        <w:rPr>
          <w:rFonts w:asciiTheme="majorBidi" w:hAnsiTheme="majorBidi" w:cstheme="majorBidi"/>
          <w:sz w:val="20"/>
          <w:szCs w:val="20"/>
        </w:rPr>
        <w:t>)</w:t>
      </w:r>
      <w:r w:rsidRPr="00DF1B84">
        <w:rPr>
          <w:rFonts w:asciiTheme="majorBidi" w:hAnsiTheme="majorBidi" w:cstheme="majorBidi"/>
          <w:sz w:val="20"/>
          <w:szCs w:val="20"/>
        </w:rPr>
        <w:t xml:space="preserve"> </w:t>
      </w:r>
      <w:r>
        <w:rPr>
          <w:rFonts w:asciiTheme="majorBidi" w:hAnsiTheme="majorBidi" w:cstheme="majorBidi"/>
          <w:sz w:val="20"/>
          <w:szCs w:val="20"/>
        </w:rPr>
        <w:t>was m</w:t>
      </w:r>
      <w:r w:rsidRPr="00DF1B84">
        <w:rPr>
          <w:rFonts w:asciiTheme="majorBidi" w:hAnsiTheme="majorBidi" w:cstheme="majorBidi"/>
          <w:sz w:val="20"/>
          <w:szCs w:val="20"/>
        </w:rPr>
        <w:t xml:space="preserve">ore often simply </w:t>
      </w:r>
      <w:r>
        <w:rPr>
          <w:rFonts w:asciiTheme="majorBidi" w:hAnsiTheme="majorBidi" w:cstheme="majorBidi"/>
          <w:sz w:val="20"/>
          <w:szCs w:val="20"/>
        </w:rPr>
        <w:t xml:space="preserve">as </w:t>
      </w:r>
      <w:r w:rsidRPr="00DF1B84">
        <w:rPr>
          <w:rFonts w:asciiTheme="majorBidi" w:hAnsiTheme="majorBidi" w:cstheme="majorBidi"/>
          <w:sz w:val="20"/>
          <w:szCs w:val="20"/>
        </w:rPr>
        <w:t>N</w:t>
      </w:r>
      <w:r w:rsidRPr="00DF1B84">
        <w:rPr>
          <w:rFonts w:asciiTheme="majorBidi" w:eastAsiaTheme="minorHAnsi" w:hAnsiTheme="majorBidi" w:cstheme="majorBidi"/>
          <w:sz w:val="20"/>
          <w:szCs w:val="20"/>
        </w:rPr>
        <w:t>ī</w:t>
      </w:r>
      <w:r w:rsidRPr="00DF1B84">
        <w:rPr>
          <w:rFonts w:asciiTheme="majorBidi" w:hAnsiTheme="majorBidi" w:cstheme="majorBidi"/>
          <w:sz w:val="20"/>
          <w:szCs w:val="20"/>
        </w:rPr>
        <w:t>zak.</w:t>
      </w:r>
      <w:r>
        <w:rPr>
          <w:rFonts w:asciiTheme="majorBidi" w:hAnsiTheme="majorBidi" w:cstheme="majorBidi"/>
          <w:sz w:val="20"/>
          <w:szCs w:val="20"/>
        </w:rPr>
        <w:t xml:space="preserve"> Al-Balādhurī, 1987, pp. 441-2; tr., part I, 1916, pp. 491-2; a</w:t>
      </w:r>
      <w:r w:rsidRPr="00DF1B84">
        <w:rPr>
          <w:rFonts w:asciiTheme="majorBidi" w:hAnsiTheme="majorBidi" w:cstheme="majorBidi"/>
          <w:sz w:val="20"/>
          <w:szCs w:val="20"/>
        </w:rPr>
        <w:t>l-Ṭabar</w:t>
      </w:r>
      <w:r w:rsidRPr="00DF1B84">
        <w:rPr>
          <w:rFonts w:asciiTheme="majorBidi" w:eastAsiaTheme="minorHAnsi" w:hAnsiTheme="majorBidi" w:cstheme="majorBidi"/>
          <w:sz w:val="20"/>
          <w:szCs w:val="20"/>
        </w:rPr>
        <w:t xml:space="preserve">ī, </w:t>
      </w:r>
      <w:r>
        <w:rPr>
          <w:rFonts w:asciiTheme="majorBidi" w:eastAsiaTheme="minorHAnsi" w:hAnsiTheme="majorBidi" w:cstheme="majorBidi"/>
          <w:sz w:val="20"/>
          <w:szCs w:val="20"/>
        </w:rPr>
        <w:t xml:space="preserve">2001, volume 2, pp. 621-4; </w:t>
      </w:r>
      <w:r>
        <w:rPr>
          <w:rFonts w:asciiTheme="majorBidi" w:hAnsiTheme="majorBidi" w:cstheme="majorBidi"/>
          <w:sz w:val="20"/>
          <w:szCs w:val="20"/>
        </w:rPr>
        <w:t>tr.</w:t>
      </w:r>
      <w:r>
        <w:rPr>
          <w:rFonts w:asciiTheme="majorBidi" w:eastAsiaTheme="minorHAnsi" w:hAnsiTheme="majorBidi" w:cstheme="majorBidi"/>
          <w:sz w:val="20"/>
          <w:szCs w:val="20"/>
        </w:rPr>
        <w:t xml:space="preserve">, </w:t>
      </w:r>
      <w:r w:rsidRPr="00DF1B84">
        <w:rPr>
          <w:rFonts w:asciiTheme="majorBidi" w:eastAsiaTheme="minorHAnsi" w:hAnsiTheme="majorBidi" w:cstheme="majorBidi"/>
          <w:sz w:val="20"/>
          <w:szCs w:val="20"/>
        </w:rPr>
        <w:t>1990, volume XV, pp. 81-90.</w:t>
      </w:r>
      <w:r>
        <w:rPr>
          <w:rFonts w:asciiTheme="majorBidi" w:eastAsiaTheme="minorHAnsi" w:hAnsiTheme="majorBidi" w:cstheme="majorBidi"/>
          <w:sz w:val="20"/>
          <w:szCs w:val="20"/>
        </w:rPr>
        <w:t xml:space="preserve"> See also Ibn </w:t>
      </w:r>
      <w:r>
        <w:rPr>
          <w:rFonts w:asciiTheme="majorBidi" w:hAnsiTheme="majorBidi" w:cstheme="majorBidi"/>
          <w:sz w:val="20"/>
          <w:szCs w:val="20"/>
        </w:rPr>
        <w:t>al</w:t>
      </w:r>
      <w:proofErr w:type="gramStart"/>
      <w:r>
        <w:rPr>
          <w:rFonts w:asciiTheme="majorBidi" w:hAnsiTheme="majorBidi" w:cstheme="majorBidi"/>
          <w:sz w:val="20"/>
          <w:szCs w:val="20"/>
        </w:rPr>
        <w:t>-‘</w:t>
      </w:r>
      <w:proofErr w:type="gramEnd"/>
      <w:r>
        <w:rPr>
          <w:rFonts w:asciiTheme="majorBidi" w:hAnsiTheme="majorBidi" w:cstheme="majorBidi"/>
          <w:sz w:val="20"/>
          <w:szCs w:val="20"/>
        </w:rPr>
        <w:t>Athīr (1987, volume 3, pp. 15-8), whose annals clearly base on al-</w:t>
      </w:r>
      <w:r w:rsidRPr="00DF1B84">
        <w:rPr>
          <w:rFonts w:asciiTheme="majorBidi" w:hAnsiTheme="majorBidi" w:cstheme="majorBidi"/>
          <w:sz w:val="20"/>
          <w:szCs w:val="20"/>
        </w:rPr>
        <w:t>Ṭabar</w:t>
      </w:r>
      <w:r w:rsidRPr="00DF1B84">
        <w:rPr>
          <w:rFonts w:asciiTheme="majorBidi" w:eastAsiaTheme="minorHAnsi" w:hAnsiTheme="majorBidi" w:cstheme="majorBidi"/>
          <w:sz w:val="20"/>
          <w:szCs w:val="20"/>
        </w:rPr>
        <w:t>ī</w:t>
      </w:r>
      <w:r>
        <w:rPr>
          <w:rFonts w:asciiTheme="majorBidi" w:eastAsiaTheme="minorHAnsi" w:hAnsiTheme="majorBidi" w:cstheme="majorBidi"/>
          <w:sz w:val="20"/>
          <w:szCs w:val="20"/>
        </w:rPr>
        <w:t xml:space="preserve"> with editing (Barthold, 1928, pp. -3).</w:t>
      </w:r>
      <w:r w:rsidRPr="006D49E8">
        <w:rPr>
          <w:rFonts w:asciiTheme="majorBidi" w:hAnsiTheme="majorBidi" w:cstheme="majorBidi"/>
          <w:sz w:val="20"/>
          <w:szCs w:val="20"/>
        </w:rPr>
        <w:t xml:space="preserve"> </w:t>
      </w:r>
      <w:r>
        <w:rPr>
          <w:rFonts w:asciiTheme="majorBidi" w:hAnsiTheme="majorBidi" w:cstheme="majorBidi"/>
          <w:sz w:val="20"/>
          <w:szCs w:val="20"/>
        </w:rPr>
        <w:t>Al-</w:t>
      </w:r>
      <w:r w:rsidRPr="00315045">
        <w:rPr>
          <w:rFonts w:asciiTheme="majorBidi" w:eastAsiaTheme="minorHAnsi" w:hAnsiTheme="majorBidi" w:cstheme="majorBidi"/>
          <w:sz w:val="20"/>
          <w:szCs w:val="20"/>
        </w:rPr>
        <w:t>Dīnawarī</w:t>
      </w:r>
      <w:r>
        <w:rPr>
          <w:rFonts w:asciiTheme="majorBidi" w:eastAsiaTheme="minorHAnsi" w:hAnsiTheme="majorBidi" w:cstheme="majorBidi"/>
          <w:sz w:val="20"/>
          <w:szCs w:val="20"/>
        </w:rPr>
        <w:t xml:space="preserve">'s Khāqān of the Turks instead of Nīzak in cooperation with the </w:t>
      </w:r>
      <w:r w:rsidRPr="00CE375B">
        <w:rPr>
          <w:rFonts w:asciiTheme="majorBidi" w:eastAsiaTheme="minorHAnsi" w:hAnsiTheme="majorBidi" w:cstheme="majorBidi"/>
          <w:i/>
          <w:iCs/>
          <w:sz w:val="20"/>
          <w:szCs w:val="20"/>
        </w:rPr>
        <w:t>marzbān</w:t>
      </w:r>
      <w:r>
        <w:rPr>
          <w:rFonts w:asciiTheme="majorBidi" w:eastAsiaTheme="minorHAnsi" w:hAnsiTheme="majorBidi" w:cstheme="majorBidi"/>
          <w:sz w:val="20"/>
          <w:szCs w:val="20"/>
        </w:rPr>
        <w:t xml:space="preserve"> of Marw is a corruption (1888, pp. 148-9; </w:t>
      </w:r>
      <w:r>
        <w:rPr>
          <w:rFonts w:asciiTheme="majorBidi" w:hAnsiTheme="majorBidi" w:cstheme="majorBidi"/>
          <w:sz w:val="20"/>
          <w:szCs w:val="20"/>
        </w:rPr>
        <w:t>tr.</w:t>
      </w:r>
      <w:r>
        <w:rPr>
          <w:rFonts w:asciiTheme="majorBidi" w:eastAsiaTheme="minorHAnsi" w:hAnsiTheme="majorBidi" w:cstheme="majorBidi"/>
          <w:sz w:val="20"/>
          <w:szCs w:val="20"/>
        </w:rPr>
        <w:t xml:space="preserve">, 2010, p. 271). Among modern scholars, Bosworth fails to realize that Nīzak was a title and suggests that he was active more than half a century (1968, p. 15), while Kennedy (2007, p. 189) mistakenly has Tarkhūn in his account of Yazdegerd III’s death in Marw. Lastly, </w:t>
      </w:r>
      <w:r>
        <w:rPr>
          <w:rFonts w:asciiTheme="majorBidi" w:hAnsiTheme="majorBidi" w:cstheme="majorBidi"/>
          <w:sz w:val="20"/>
          <w:szCs w:val="20"/>
        </w:rPr>
        <w:t>Esin's proposed reading of Nīzak as Tirek is solely based on al-Kūfī’s history and far from convincing (1977, pp. 323-32).</w:t>
      </w:r>
    </w:p>
  </w:footnote>
  <w:footnote w:id="142">
    <w:p w14:paraId="1B5666DA" w14:textId="77777777" w:rsidR="00902FCD" w:rsidRPr="00CE375B" w:rsidRDefault="00902FCD" w:rsidP="00464CBA">
      <w:pPr>
        <w:pStyle w:val="FootnoteText"/>
        <w:spacing w:line="360" w:lineRule="auto"/>
        <w:rPr>
          <w:rFonts w:asciiTheme="majorBidi" w:hAnsiTheme="majorBidi" w:cstheme="majorBidi"/>
          <w:sz w:val="20"/>
          <w:szCs w:val="20"/>
        </w:rPr>
      </w:pPr>
      <w:r w:rsidRPr="00CE375B">
        <w:rPr>
          <w:rFonts w:asciiTheme="majorBidi" w:hAnsiTheme="majorBidi" w:cstheme="majorBidi"/>
          <w:sz w:val="20"/>
          <w:szCs w:val="20"/>
          <w:vertAlign w:val="superscript"/>
        </w:rPr>
        <w:footnoteRef/>
      </w:r>
      <w:r w:rsidRPr="00CE375B">
        <w:rPr>
          <w:rFonts w:asciiTheme="majorBidi" w:hAnsiTheme="majorBidi" w:cstheme="majorBidi"/>
          <w:sz w:val="20"/>
          <w:szCs w:val="20"/>
          <w:vertAlign w:val="superscript"/>
        </w:rPr>
        <w:t xml:space="preserve"> </w:t>
      </w:r>
      <w:r w:rsidRPr="00CE375B">
        <w:rPr>
          <w:rFonts w:asciiTheme="majorBidi" w:hAnsiTheme="majorBidi" w:cstheme="majorBidi"/>
          <w:sz w:val="20"/>
          <w:szCs w:val="20"/>
        </w:rPr>
        <w:t>Bosworth (</w:t>
      </w:r>
      <w:r w:rsidRPr="00D661B7">
        <w:rPr>
          <w:rFonts w:asciiTheme="majorBidi" w:hAnsiTheme="majorBidi" w:cstheme="majorBidi"/>
          <w:sz w:val="20"/>
          <w:szCs w:val="20"/>
        </w:rPr>
        <w:t>1968, p. 15</w:t>
      </w:r>
      <w:r w:rsidRPr="00CE375B">
        <w:rPr>
          <w:rFonts w:asciiTheme="majorBidi" w:hAnsiTheme="majorBidi" w:cstheme="majorBidi"/>
          <w:sz w:val="20"/>
          <w:szCs w:val="20"/>
        </w:rPr>
        <w:t xml:space="preserve">) identifies Nīzak who fought Yazdegerd as the same ruler who was active in the 690s and the 700s. </w:t>
      </w:r>
    </w:p>
  </w:footnote>
  <w:footnote w:id="143">
    <w:p w14:paraId="41C83EC5" w14:textId="789A6F8B" w:rsidR="00902FCD" w:rsidRPr="00281B2D" w:rsidRDefault="00902FCD" w:rsidP="00281B2D">
      <w:pPr>
        <w:pStyle w:val="FootnoteText"/>
        <w:spacing w:line="360" w:lineRule="auto"/>
        <w:rPr>
          <w:rFonts w:asciiTheme="majorBidi" w:hAnsiTheme="majorBidi" w:cstheme="majorBidi"/>
          <w:sz w:val="20"/>
          <w:szCs w:val="20"/>
        </w:rPr>
      </w:pPr>
      <w:r w:rsidRPr="00281B2D">
        <w:rPr>
          <w:rFonts w:asciiTheme="majorBidi" w:hAnsiTheme="majorBidi" w:cstheme="majorBidi"/>
          <w:sz w:val="20"/>
          <w:szCs w:val="20"/>
          <w:vertAlign w:val="superscript"/>
        </w:rPr>
        <w:footnoteRef/>
      </w:r>
      <w:r w:rsidRPr="00281B2D">
        <w:rPr>
          <w:rFonts w:asciiTheme="majorBidi" w:hAnsiTheme="majorBidi" w:cstheme="majorBidi"/>
          <w:sz w:val="20"/>
          <w:szCs w:val="20"/>
          <w:vertAlign w:val="superscript"/>
        </w:rPr>
        <w:t xml:space="preserve"> </w:t>
      </w:r>
      <w:r w:rsidRPr="00DF1B84">
        <w:rPr>
          <w:rFonts w:asciiTheme="majorBidi" w:hAnsiTheme="majorBidi" w:cstheme="majorBidi"/>
          <w:sz w:val="20"/>
          <w:szCs w:val="20"/>
        </w:rPr>
        <w:t xml:space="preserve">Al-Ṭabarī, </w:t>
      </w:r>
      <w:r>
        <w:rPr>
          <w:rFonts w:asciiTheme="majorBidi" w:hAnsiTheme="majorBidi" w:cstheme="majorBidi"/>
          <w:sz w:val="20"/>
          <w:szCs w:val="20"/>
        </w:rPr>
        <w:t xml:space="preserve">2001, volume 3, pp. 683-4; tr., </w:t>
      </w:r>
      <w:r w:rsidRPr="00DF1B84">
        <w:rPr>
          <w:rFonts w:asciiTheme="majorBidi" w:hAnsiTheme="majorBidi" w:cstheme="majorBidi"/>
          <w:sz w:val="20"/>
          <w:szCs w:val="20"/>
        </w:rPr>
        <w:t>1990, volume</w:t>
      </w:r>
      <w:r>
        <w:rPr>
          <w:rFonts w:asciiTheme="majorBidi" w:hAnsiTheme="majorBidi" w:cstheme="majorBidi"/>
          <w:sz w:val="20"/>
          <w:szCs w:val="20"/>
        </w:rPr>
        <w:t xml:space="preserve"> XXIII, pp. 150-6. See also </w:t>
      </w:r>
      <w:r w:rsidRPr="000D6E2F">
        <w:rPr>
          <w:rFonts w:asciiTheme="majorBidi" w:hAnsiTheme="majorBidi" w:cstheme="majorBidi"/>
          <w:sz w:val="20"/>
          <w:szCs w:val="20"/>
        </w:rPr>
        <w:t xml:space="preserve">Ibn </w:t>
      </w:r>
      <w:r>
        <w:rPr>
          <w:rFonts w:asciiTheme="majorBidi" w:hAnsiTheme="majorBidi" w:cstheme="majorBidi"/>
          <w:sz w:val="20"/>
          <w:szCs w:val="20"/>
        </w:rPr>
        <w:t>al</w:t>
      </w:r>
      <w:proofErr w:type="gramStart"/>
      <w:r>
        <w:rPr>
          <w:rFonts w:asciiTheme="majorBidi" w:hAnsiTheme="majorBidi" w:cstheme="majorBidi"/>
          <w:sz w:val="20"/>
          <w:szCs w:val="20"/>
        </w:rPr>
        <w:t>-‘</w:t>
      </w:r>
      <w:proofErr w:type="gramEnd"/>
      <w:r>
        <w:rPr>
          <w:rFonts w:asciiTheme="majorBidi" w:hAnsiTheme="majorBidi" w:cstheme="majorBidi"/>
          <w:sz w:val="20"/>
          <w:szCs w:val="20"/>
        </w:rPr>
        <w:t>Athīr, 1987, volume 4, pp. 254-5, 259-61.</w:t>
      </w:r>
    </w:p>
  </w:footnote>
  <w:footnote w:id="144">
    <w:p w14:paraId="7C86CA56" w14:textId="075E75EF" w:rsidR="00902FCD" w:rsidRPr="00537F1B" w:rsidRDefault="00902FCD" w:rsidP="00537F1B">
      <w:pPr>
        <w:pStyle w:val="FootnoteText"/>
        <w:spacing w:line="360" w:lineRule="auto"/>
        <w:rPr>
          <w:rFonts w:asciiTheme="majorBidi" w:hAnsiTheme="majorBidi" w:cstheme="majorBidi"/>
          <w:sz w:val="20"/>
          <w:szCs w:val="20"/>
        </w:rPr>
      </w:pPr>
      <w:r w:rsidRPr="00537F1B">
        <w:rPr>
          <w:rFonts w:asciiTheme="majorBidi" w:hAnsiTheme="majorBidi" w:cstheme="majorBidi"/>
          <w:sz w:val="20"/>
          <w:szCs w:val="20"/>
          <w:vertAlign w:val="superscript"/>
        </w:rPr>
        <w:footnoteRef/>
      </w:r>
      <w:r w:rsidRPr="00537F1B">
        <w:rPr>
          <w:rFonts w:asciiTheme="majorBidi" w:hAnsiTheme="majorBidi" w:cstheme="majorBidi"/>
          <w:sz w:val="20"/>
          <w:szCs w:val="20"/>
        </w:rPr>
        <w:t xml:space="preserve"> </w:t>
      </w:r>
      <w:r>
        <w:rPr>
          <w:rFonts w:asciiTheme="majorBidi" w:hAnsiTheme="majorBidi" w:cstheme="majorBidi"/>
          <w:sz w:val="20"/>
          <w:szCs w:val="20"/>
        </w:rPr>
        <w:t>T</w:t>
      </w:r>
      <w:r w:rsidRPr="00AE32C9">
        <w:rPr>
          <w:rFonts w:asciiTheme="majorBidi" w:hAnsiTheme="majorBidi" w:cstheme="majorBidi"/>
          <w:sz w:val="20"/>
          <w:szCs w:val="20"/>
        </w:rPr>
        <w:t>he rise of the Nī</w:t>
      </w:r>
      <w:r>
        <w:rPr>
          <w:rFonts w:asciiTheme="majorBidi" w:hAnsiTheme="majorBidi" w:cstheme="majorBidi"/>
          <w:sz w:val="20"/>
          <w:szCs w:val="20"/>
        </w:rPr>
        <w:t>zak dynasty is lost in the mists of time. It</w:t>
      </w:r>
      <w:r w:rsidRPr="00537F1B">
        <w:rPr>
          <w:rFonts w:asciiTheme="majorBidi" w:hAnsiTheme="majorBidi" w:cstheme="majorBidi"/>
          <w:sz w:val="20"/>
          <w:szCs w:val="20"/>
        </w:rPr>
        <w:t xml:space="preserve"> was probably one of the Hephthalite principalities emerged in Ṭukhāristān after the collapse of the Hephthalite Empire in the 560s.</w:t>
      </w:r>
      <w:r>
        <w:rPr>
          <w:rFonts w:asciiTheme="majorBidi" w:hAnsiTheme="majorBidi" w:cstheme="majorBidi"/>
          <w:sz w:val="20"/>
          <w:szCs w:val="20"/>
        </w:rPr>
        <w:t xml:space="preserve"> Others were found in Bāghlān, </w:t>
      </w:r>
      <w:r w:rsidRPr="00BA50E3">
        <w:rPr>
          <w:rFonts w:asciiTheme="majorBidi" w:eastAsiaTheme="minorHAnsi" w:hAnsiTheme="majorBidi" w:cstheme="majorBidi"/>
          <w:sz w:val="20"/>
          <w:szCs w:val="20"/>
        </w:rPr>
        <w:t>Chaghāniyān</w:t>
      </w:r>
      <w:r>
        <w:rPr>
          <w:rFonts w:asciiTheme="majorBidi" w:eastAsiaTheme="minorHAnsi" w:hAnsiTheme="majorBidi" w:cstheme="majorBidi"/>
          <w:sz w:val="20"/>
          <w:szCs w:val="20"/>
        </w:rPr>
        <w:t>,</w:t>
      </w:r>
      <w:r>
        <w:rPr>
          <w:rFonts w:asciiTheme="majorBidi" w:hAnsiTheme="majorBidi" w:cstheme="majorBidi"/>
          <w:sz w:val="20"/>
          <w:szCs w:val="20"/>
        </w:rPr>
        <w:t xml:space="preserve"> Khuttal, Himatala and so on.</w:t>
      </w:r>
    </w:p>
  </w:footnote>
  <w:footnote w:id="145">
    <w:p w14:paraId="1084F75D" w14:textId="7970D316" w:rsidR="00902FCD" w:rsidRDefault="00902FCD" w:rsidP="00CD2747">
      <w:pPr>
        <w:pStyle w:val="FootnoteText"/>
        <w:spacing w:line="360" w:lineRule="auto"/>
        <w:rPr>
          <w:rFonts w:asciiTheme="majorBidi" w:hAnsiTheme="majorBidi" w:cstheme="majorBidi"/>
          <w:sz w:val="20"/>
          <w:szCs w:val="20"/>
        </w:rPr>
      </w:pPr>
      <w:r w:rsidRPr="00CD2747">
        <w:rPr>
          <w:rFonts w:asciiTheme="majorBidi" w:hAnsiTheme="majorBidi" w:cstheme="majorBidi"/>
          <w:sz w:val="20"/>
          <w:szCs w:val="20"/>
          <w:vertAlign w:val="superscript"/>
        </w:rPr>
        <w:footnoteRef/>
      </w:r>
      <w:r w:rsidRPr="00CD2747">
        <w:rPr>
          <w:rFonts w:asciiTheme="majorBidi" w:hAnsiTheme="majorBidi" w:cstheme="majorBidi"/>
          <w:sz w:val="20"/>
          <w:szCs w:val="20"/>
        </w:rPr>
        <w:t xml:space="preserve"> The Muslim sources, for example al-Kūfī (</w:t>
      </w:r>
      <w:r>
        <w:rPr>
          <w:rFonts w:asciiTheme="majorBidi" w:hAnsiTheme="majorBidi" w:cstheme="majorBidi"/>
          <w:sz w:val="20"/>
          <w:szCs w:val="20"/>
        </w:rPr>
        <w:t>1975, volume 7, p. 215</w:t>
      </w:r>
      <w:r w:rsidRPr="00CD2747">
        <w:rPr>
          <w:rFonts w:asciiTheme="majorBidi" w:hAnsiTheme="majorBidi" w:cstheme="majorBidi"/>
          <w:sz w:val="20"/>
          <w:szCs w:val="20"/>
        </w:rPr>
        <w:t>), al-Balādhurī (</w:t>
      </w:r>
      <w:r>
        <w:rPr>
          <w:rFonts w:asciiTheme="majorBidi" w:hAnsiTheme="majorBidi" w:cstheme="majorBidi"/>
          <w:sz w:val="20"/>
          <w:szCs w:val="20"/>
        </w:rPr>
        <w:t>1987, pp. 441-2; tr., part I, 1916, pp. 491-2</w:t>
      </w:r>
      <w:r w:rsidRPr="00CD2747">
        <w:rPr>
          <w:rFonts w:asciiTheme="majorBidi" w:hAnsiTheme="majorBidi" w:cstheme="majorBidi"/>
          <w:sz w:val="20"/>
          <w:szCs w:val="20"/>
        </w:rPr>
        <w:t xml:space="preserve">), </w:t>
      </w:r>
      <w:r w:rsidRPr="00CD2747">
        <w:rPr>
          <w:rFonts w:asciiTheme="majorBidi" w:hAnsiTheme="majorBidi" w:cstheme="majorBidi" w:hint="eastAsia"/>
          <w:sz w:val="20"/>
          <w:szCs w:val="20"/>
        </w:rPr>
        <w:t>al-</w:t>
      </w:r>
      <w:r w:rsidRPr="00CD2747">
        <w:rPr>
          <w:rFonts w:asciiTheme="majorBidi" w:hAnsiTheme="majorBidi" w:cstheme="majorBidi"/>
          <w:sz w:val="20"/>
          <w:szCs w:val="20"/>
        </w:rPr>
        <w:t>Ṭabarī (</w:t>
      </w:r>
      <w:r>
        <w:rPr>
          <w:rFonts w:asciiTheme="majorBidi" w:hAnsiTheme="majorBidi" w:cstheme="majorBidi"/>
          <w:sz w:val="20"/>
          <w:szCs w:val="20"/>
        </w:rPr>
        <w:t>2001</w:t>
      </w:r>
      <w:r>
        <w:rPr>
          <w:rFonts w:asciiTheme="majorBidi" w:hAnsiTheme="majorBidi" w:cstheme="majorBidi" w:hint="eastAsia"/>
          <w:sz w:val="20"/>
          <w:szCs w:val="20"/>
        </w:rPr>
        <w:t>,</w:t>
      </w:r>
      <w:r>
        <w:rPr>
          <w:rFonts w:asciiTheme="majorBidi" w:hAnsiTheme="majorBidi" w:cstheme="majorBidi"/>
          <w:sz w:val="20"/>
          <w:szCs w:val="20"/>
        </w:rPr>
        <w:t xml:space="preserve"> volume 2, pp. 620-1; tr., </w:t>
      </w:r>
      <w:r w:rsidRPr="00DF1B84">
        <w:rPr>
          <w:rFonts w:asciiTheme="majorBidi" w:hAnsiTheme="majorBidi" w:cstheme="majorBidi"/>
          <w:sz w:val="20"/>
          <w:szCs w:val="20"/>
        </w:rPr>
        <w:t>1990, volume XV, pp. 78-81</w:t>
      </w:r>
      <w:r>
        <w:rPr>
          <w:rFonts w:asciiTheme="majorBidi" w:hAnsiTheme="majorBidi" w:cstheme="majorBidi"/>
          <w:sz w:val="20"/>
          <w:szCs w:val="20"/>
        </w:rPr>
        <w:t xml:space="preserve">; 2001, </w:t>
      </w:r>
      <w:r w:rsidRPr="00854769">
        <w:rPr>
          <w:rFonts w:asciiTheme="majorBidi" w:hAnsiTheme="majorBidi" w:cstheme="majorBidi"/>
          <w:sz w:val="20"/>
          <w:szCs w:val="20"/>
        </w:rPr>
        <w:t xml:space="preserve">volume 4, p. 4; </w:t>
      </w:r>
      <w:r>
        <w:rPr>
          <w:rFonts w:asciiTheme="majorBidi" w:hAnsiTheme="majorBidi" w:cstheme="majorBidi"/>
          <w:sz w:val="20"/>
          <w:szCs w:val="20"/>
        </w:rPr>
        <w:t xml:space="preserve">tr., </w:t>
      </w:r>
      <w:r w:rsidRPr="00854769">
        <w:rPr>
          <w:rFonts w:asciiTheme="majorBidi" w:hAnsiTheme="majorBidi" w:cstheme="majorBidi"/>
          <w:sz w:val="20"/>
          <w:szCs w:val="20"/>
        </w:rPr>
        <w:t>1990, volume XXIII, pp. 167</w:t>
      </w:r>
      <w:r w:rsidRPr="00CD2747">
        <w:rPr>
          <w:rFonts w:asciiTheme="majorBidi" w:hAnsiTheme="majorBidi" w:cstheme="majorBidi"/>
          <w:sz w:val="20"/>
          <w:szCs w:val="20"/>
        </w:rPr>
        <w:t>), al-Yaʿqūbī (</w:t>
      </w:r>
      <w:r>
        <w:rPr>
          <w:rFonts w:asciiTheme="majorBidi" w:hAnsiTheme="majorBidi" w:cstheme="majorBidi"/>
          <w:sz w:val="20"/>
          <w:szCs w:val="20"/>
        </w:rPr>
        <w:t xml:space="preserve">2010, volume 2, p. 208; tr., </w:t>
      </w:r>
      <w:r w:rsidRPr="00A45874">
        <w:rPr>
          <w:rFonts w:asciiTheme="majorBidi" w:hAnsiTheme="majorBidi" w:cstheme="majorBidi"/>
          <w:sz w:val="20"/>
          <w:szCs w:val="20"/>
        </w:rPr>
        <w:t xml:space="preserve">2018, volume </w:t>
      </w:r>
      <w:r>
        <w:rPr>
          <w:rFonts w:asciiTheme="majorBidi" w:hAnsiTheme="majorBidi" w:cstheme="majorBidi"/>
          <w:sz w:val="20"/>
          <w:szCs w:val="20"/>
        </w:rPr>
        <w:t>III</w:t>
      </w:r>
      <w:r w:rsidRPr="00A45874">
        <w:rPr>
          <w:rFonts w:asciiTheme="majorBidi" w:hAnsiTheme="majorBidi" w:cstheme="majorBidi"/>
          <w:sz w:val="20"/>
          <w:szCs w:val="20"/>
        </w:rPr>
        <w:t>, p. 994</w:t>
      </w:r>
      <w:r w:rsidRPr="00CD2747">
        <w:rPr>
          <w:rFonts w:asciiTheme="majorBidi" w:hAnsiTheme="majorBidi" w:cstheme="majorBidi"/>
          <w:sz w:val="20"/>
          <w:szCs w:val="20"/>
        </w:rPr>
        <w:t xml:space="preserve">) and others, report that he was a ruler of the Turks. </w:t>
      </w:r>
      <w:r>
        <w:rPr>
          <w:rFonts w:asciiTheme="majorBidi" w:hAnsiTheme="majorBidi" w:cstheme="majorBidi"/>
          <w:sz w:val="20"/>
          <w:szCs w:val="20"/>
        </w:rPr>
        <w:t>As for Khalīfa ibn Khayyāṭ’s annals, there is no information concerning Nīzak’s identity (</w:t>
      </w:r>
      <w:r w:rsidRPr="00CD2747">
        <w:rPr>
          <w:rFonts w:asciiTheme="majorBidi" w:hAnsiTheme="majorBidi" w:cstheme="majorBidi"/>
          <w:sz w:val="20"/>
          <w:szCs w:val="20"/>
        </w:rPr>
        <w:t xml:space="preserve">1985, p. 300; </w:t>
      </w:r>
      <w:r>
        <w:rPr>
          <w:rFonts w:asciiTheme="majorBidi" w:hAnsiTheme="majorBidi" w:cstheme="majorBidi"/>
          <w:sz w:val="20"/>
          <w:szCs w:val="20"/>
        </w:rPr>
        <w:t>tr.</w:t>
      </w:r>
      <w:r w:rsidRPr="00CD2747">
        <w:rPr>
          <w:rFonts w:asciiTheme="majorBidi" w:hAnsiTheme="majorBidi" w:cstheme="majorBidi"/>
          <w:sz w:val="20"/>
          <w:szCs w:val="20"/>
        </w:rPr>
        <w:t>, 2015, p. 171</w:t>
      </w:r>
      <w:r>
        <w:rPr>
          <w:rFonts w:asciiTheme="majorBidi" w:hAnsiTheme="majorBidi" w:cstheme="majorBidi"/>
          <w:sz w:val="20"/>
          <w:szCs w:val="20"/>
        </w:rPr>
        <w:t>).</w:t>
      </w:r>
    </w:p>
    <w:p w14:paraId="785EE973" w14:textId="4FFC8E5F" w:rsidR="00902FCD" w:rsidRPr="00E91CBD" w:rsidRDefault="00902FCD" w:rsidP="00CD2747">
      <w:pPr>
        <w:pStyle w:val="FootnoteText"/>
        <w:spacing w:line="360" w:lineRule="auto"/>
        <w:rPr>
          <w:rFonts w:asciiTheme="majorBidi" w:hAnsiTheme="majorBidi" w:cstheme="majorBidi"/>
          <w:sz w:val="20"/>
          <w:szCs w:val="20"/>
        </w:rPr>
      </w:pPr>
      <w:r w:rsidRPr="00E91CBD">
        <w:rPr>
          <w:rFonts w:asciiTheme="majorBidi" w:hAnsiTheme="majorBidi" w:cstheme="majorBidi"/>
          <w:sz w:val="20"/>
          <w:szCs w:val="20"/>
        </w:rPr>
        <w:t xml:space="preserve">Among modern scholars, Esin (1977, p. 324) believes that al-Barqashī found in al-Kūfī's </w:t>
      </w:r>
      <w:r w:rsidRPr="00E91CBD">
        <w:rPr>
          <w:rFonts w:asciiTheme="majorBidi" w:hAnsiTheme="majorBidi" w:cstheme="majorBidi"/>
          <w:i/>
          <w:iCs/>
          <w:sz w:val="20"/>
          <w:szCs w:val="20"/>
        </w:rPr>
        <w:t>Kitāb al-Futūḥ</w:t>
      </w:r>
      <w:r w:rsidRPr="00E91CBD">
        <w:rPr>
          <w:rFonts w:asciiTheme="majorBidi" w:hAnsiTheme="majorBidi" w:cstheme="majorBidi"/>
          <w:sz w:val="20"/>
          <w:szCs w:val="20"/>
        </w:rPr>
        <w:t xml:space="preserve"> is a corruption of al-Tarqashī and argues that he was a Türgesh</w:t>
      </w:r>
      <w:r w:rsidRPr="00E91CBD">
        <w:rPr>
          <w:rFonts w:asciiTheme="majorBidi" w:hAnsiTheme="majorBidi" w:cstheme="majorBidi" w:hint="eastAsia"/>
          <w:sz w:val="20"/>
          <w:szCs w:val="20"/>
        </w:rPr>
        <w:t>,</w:t>
      </w:r>
      <w:r w:rsidRPr="00E91CBD">
        <w:rPr>
          <w:rFonts w:asciiTheme="majorBidi" w:hAnsiTheme="majorBidi" w:cstheme="majorBidi"/>
          <w:sz w:val="20"/>
          <w:szCs w:val="20"/>
        </w:rPr>
        <w:t xml:space="preserve"> while others such as Marquart (1901, p. 67), Gibb (1923, p. 26), Ghirshman (1948, p. 97), Bosworth (1968, p. 15), Shaban (1970, pp. 11-2), Litvinsky (1996, p. 456), Kuwayama (2002, p. 135), Pashazanous and Afkande (2014, p. 141), Rezakhani (2017, p. 144)</w:t>
      </w:r>
      <w:r>
        <w:rPr>
          <w:rFonts w:asciiTheme="majorBidi" w:hAnsiTheme="majorBidi" w:cstheme="majorBidi"/>
          <w:sz w:val="20"/>
          <w:szCs w:val="20"/>
        </w:rPr>
        <w:t xml:space="preserve"> and</w:t>
      </w:r>
      <w:r w:rsidRPr="00E91CBD">
        <w:rPr>
          <w:rFonts w:asciiTheme="majorBidi" w:hAnsiTheme="majorBidi" w:cstheme="majorBidi"/>
          <w:sz w:val="20"/>
          <w:szCs w:val="20"/>
        </w:rPr>
        <w:t xml:space="preserve"> Azad (2021, p. 334) argue that Nīzak was a Hephthalite.</w:t>
      </w:r>
    </w:p>
  </w:footnote>
  <w:footnote w:id="146">
    <w:p w14:paraId="6F373079" w14:textId="7FB8616E" w:rsidR="00902FCD" w:rsidRPr="00873D2F" w:rsidRDefault="00902FCD" w:rsidP="00873D2F">
      <w:pPr>
        <w:pStyle w:val="FootnoteText"/>
        <w:spacing w:line="360" w:lineRule="auto"/>
        <w:rPr>
          <w:rFonts w:asciiTheme="majorBidi" w:hAnsiTheme="majorBidi" w:cstheme="majorBidi"/>
          <w:sz w:val="20"/>
          <w:szCs w:val="20"/>
        </w:rPr>
      </w:pPr>
      <w:r w:rsidRPr="00873D2F">
        <w:rPr>
          <w:rStyle w:val="FootnoteReference"/>
          <w:rFonts w:asciiTheme="majorBidi" w:hAnsiTheme="majorBidi" w:cstheme="majorBidi"/>
          <w:sz w:val="20"/>
          <w:szCs w:val="20"/>
        </w:rPr>
        <w:footnoteRef/>
      </w:r>
      <w:r w:rsidRPr="00873D2F">
        <w:rPr>
          <w:rFonts w:asciiTheme="majorBidi" w:hAnsiTheme="majorBidi" w:cstheme="majorBidi"/>
          <w:sz w:val="20"/>
          <w:szCs w:val="20"/>
        </w:rPr>
        <w:t xml:space="preserve"> In 703 CE his fortress in Bādghīs was captured by the governor of Khurasan Yazīd b. al-Muhallab when he was absent (2001, volume 3, pp. 650-1; tr., 1990, volume XXIII, pp. 74-6: </w:t>
      </w:r>
      <w:r w:rsidRPr="00873D2F">
        <w:rPr>
          <w:rFonts w:asciiTheme="majorBidi" w:hAnsiTheme="majorBidi" w:cstheme="majorBidi"/>
          <w:sz w:val="20"/>
          <w:szCs w:val="20"/>
          <w:rtl/>
          <w:lang w:bidi="ar-JO"/>
        </w:rPr>
        <w:t>فتح يزيد بن المهلب قلعة نيزك بباذغيس</w:t>
      </w:r>
      <w:r w:rsidRPr="00873D2F">
        <w:rPr>
          <w:rFonts w:asciiTheme="majorBidi" w:hAnsiTheme="majorBidi" w:cstheme="majorBidi"/>
          <w:sz w:val="20"/>
          <w:szCs w:val="20"/>
        </w:rPr>
        <w:t>; see also Ibn al</w:t>
      </w:r>
      <w:proofErr w:type="gramStart"/>
      <w:r w:rsidRPr="00873D2F">
        <w:rPr>
          <w:rFonts w:asciiTheme="majorBidi" w:hAnsiTheme="majorBidi" w:cstheme="majorBidi"/>
          <w:sz w:val="20"/>
          <w:szCs w:val="20"/>
        </w:rPr>
        <w:t>-‘</w:t>
      </w:r>
      <w:proofErr w:type="gramEnd"/>
      <w:r w:rsidRPr="00873D2F">
        <w:rPr>
          <w:rFonts w:asciiTheme="majorBidi" w:hAnsiTheme="majorBidi" w:cstheme="majorBidi"/>
          <w:sz w:val="20"/>
          <w:szCs w:val="20"/>
        </w:rPr>
        <w:t xml:space="preserve">Athīr, 1987, volume 4, p. 224). However, he remained as the ruler of the region, and concluded a treaty with Qutayba in 706 CE in the condition that </w:t>
      </w:r>
      <w:r>
        <w:rPr>
          <w:rFonts w:asciiTheme="majorBidi" w:hAnsiTheme="majorBidi" w:cstheme="majorBidi"/>
          <w:sz w:val="20"/>
          <w:szCs w:val="20"/>
        </w:rPr>
        <w:t xml:space="preserve">the latter </w:t>
      </w:r>
      <w:r w:rsidRPr="00873D2F">
        <w:rPr>
          <w:rFonts w:asciiTheme="majorBidi" w:hAnsiTheme="majorBidi" w:cstheme="majorBidi"/>
          <w:sz w:val="20"/>
          <w:szCs w:val="20"/>
        </w:rPr>
        <w:t xml:space="preserve">would not enter his realm (2001, volume 3, pp. 673; tr., 1990, volume XXIII., p. 133: </w:t>
      </w:r>
      <w:r w:rsidRPr="00873D2F">
        <w:rPr>
          <w:rFonts w:asciiTheme="majorBidi" w:hAnsiTheme="majorBidi" w:cstheme="majorBidi"/>
          <w:sz w:val="20"/>
          <w:szCs w:val="20"/>
          <w:rtl/>
          <w:lang w:bidi="ar-JO"/>
        </w:rPr>
        <w:t>قدم نيزك على قتيبة وصالح قتيبة اهل باذغيس على الا يدخلها قتيبة</w:t>
      </w:r>
      <w:r w:rsidRPr="00873D2F">
        <w:rPr>
          <w:rFonts w:asciiTheme="majorBidi" w:hAnsiTheme="majorBidi" w:cstheme="majorBidi"/>
          <w:sz w:val="20"/>
          <w:szCs w:val="20"/>
        </w:rPr>
        <w:t xml:space="preserve">; see also </w:t>
      </w:r>
      <w:r w:rsidRPr="00873D2F">
        <w:rPr>
          <w:rFonts w:asciiTheme="majorBidi" w:eastAsiaTheme="minorHAnsi" w:hAnsiTheme="majorBidi" w:cstheme="majorBidi"/>
          <w:sz w:val="20"/>
          <w:szCs w:val="20"/>
        </w:rPr>
        <w:t xml:space="preserve">Ibn </w:t>
      </w:r>
      <w:r w:rsidRPr="00873D2F">
        <w:rPr>
          <w:rFonts w:asciiTheme="majorBidi" w:hAnsiTheme="majorBidi" w:cstheme="majorBidi"/>
          <w:sz w:val="20"/>
          <w:szCs w:val="20"/>
        </w:rPr>
        <w:t>al</w:t>
      </w:r>
      <w:proofErr w:type="gramStart"/>
      <w:r w:rsidRPr="00873D2F">
        <w:rPr>
          <w:rFonts w:asciiTheme="majorBidi" w:hAnsiTheme="majorBidi" w:cstheme="majorBidi"/>
          <w:sz w:val="20"/>
          <w:szCs w:val="20"/>
        </w:rPr>
        <w:t>-‘</w:t>
      </w:r>
      <w:proofErr w:type="gramEnd"/>
      <w:r w:rsidRPr="00873D2F">
        <w:rPr>
          <w:rFonts w:asciiTheme="majorBidi" w:hAnsiTheme="majorBidi" w:cstheme="majorBidi"/>
          <w:sz w:val="20"/>
          <w:szCs w:val="20"/>
        </w:rPr>
        <w:t xml:space="preserve">Athīr, 1987, volume 4, pp. 243-4). </w:t>
      </w:r>
      <w:r>
        <w:rPr>
          <w:rFonts w:asciiTheme="majorBidi" w:hAnsiTheme="majorBidi" w:cstheme="majorBidi"/>
          <w:sz w:val="20"/>
          <w:szCs w:val="20"/>
        </w:rPr>
        <w:t xml:space="preserve">It is necessary to be aware that </w:t>
      </w:r>
      <w:r w:rsidRPr="00873D2F">
        <w:rPr>
          <w:rFonts w:asciiTheme="majorBidi" w:hAnsiTheme="majorBidi" w:cstheme="majorBidi"/>
          <w:sz w:val="20"/>
          <w:szCs w:val="20"/>
        </w:rPr>
        <w:t>Bādghīs in medieval sources is different from modern Bādghīs as an administrative term, which refers to the whole northwestern part of modern Afghanistan (Le Strange, 1930, pp. 412-4; Barthold, 1984, pp. 47).</w:t>
      </w:r>
    </w:p>
  </w:footnote>
  <w:footnote w:id="147">
    <w:p w14:paraId="51ED5854" w14:textId="2C91E30F" w:rsidR="00902FCD" w:rsidRPr="000356AB" w:rsidRDefault="00902FCD" w:rsidP="00873D2F">
      <w:pPr>
        <w:pStyle w:val="FootnoteText"/>
        <w:spacing w:line="360" w:lineRule="auto"/>
        <w:rPr>
          <w:rFonts w:asciiTheme="majorBidi" w:hAnsiTheme="majorBidi" w:cstheme="majorBidi"/>
          <w:sz w:val="20"/>
          <w:szCs w:val="20"/>
        </w:rPr>
      </w:pPr>
      <w:r w:rsidRPr="005A2AA4">
        <w:rPr>
          <w:rFonts w:asciiTheme="majorBidi" w:hAnsiTheme="majorBidi" w:cstheme="majorBidi"/>
          <w:sz w:val="20"/>
          <w:szCs w:val="20"/>
          <w:vertAlign w:val="superscript"/>
        </w:rPr>
        <w:footnoteRef/>
      </w:r>
      <w:r w:rsidRPr="000356AB">
        <w:rPr>
          <w:rFonts w:asciiTheme="majorBidi" w:hAnsiTheme="majorBidi" w:cstheme="majorBidi"/>
          <w:sz w:val="20"/>
          <w:szCs w:val="20"/>
        </w:rPr>
        <w:t xml:space="preserve"> </w:t>
      </w:r>
      <w:r>
        <w:rPr>
          <w:rFonts w:asciiTheme="majorBidi" w:hAnsiTheme="majorBidi" w:cstheme="majorBidi"/>
          <w:sz w:val="20"/>
          <w:szCs w:val="20"/>
        </w:rPr>
        <w:t>Al-Balādhurī (</w:t>
      </w:r>
      <w:r w:rsidRPr="00587086">
        <w:rPr>
          <w:rFonts w:asciiTheme="majorBidi" w:hAnsiTheme="majorBidi" w:cstheme="majorBidi"/>
          <w:sz w:val="20"/>
          <w:szCs w:val="20"/>
        </w:rPr>
        <w:t xml:space="preserve">1987, p. 567; </w:t>
      </w:r>
      <w:r>
        <w:rPr>
          <w:rFonts w:asciiTheme="majorBidi" w:hAnsiTheme="majorBidi" w:cstheme="majorBidi"/>
          <w:sz w:val="20"/>
          <w:szCs w:val="20"/>
        </w:rPr>
        <w:t>tr.</w:t>
      </w:r>
      <w:r w:rsidRPr="00587086">
        <w:rPr>
          <w:rFonts w:asciiTheme="majorBidi" w:hAnsiTheme="majorBidi" w:cstheme="majorBidi"/>
          <w:sz w:val="20"/>
          <w:szCs w:val="20"/>
        </w:rPr>
        <w:t xml:space="preserve">, </w:t>
      </w:r>
      <w:r>
        <w:rPr>
          <w:rFonts w:asciiTheme="majorBidi" w:hAnsiTheme="majorBidi" w:cstheme="majorBidi"/>
          <w:sz w:val="20"/>
          <w:szCs w:val="20"/>
        </w:rPr>
        <w:t xml:space="preserve">part II, </w:t>
      </w:r>
      <w:r w:rsidRPr="00587086">
        <w:rPr>
          <w:rFonts w:asciiTheme="majorBidi" w:hAnsiTheme="majorBidi" w:cstheme="majorBidi"/>
          <w:sz w:val="20"/>
          <w:szCs w:val="20"/>
        </w:rPr>
        <w:t>1924, p</w:t>
      </w:r>
      <w:r>
        <w:rPr>
          <w:rFonts w:asciiTheme="majorBidi" w:hAnsiTheme="majorBidi" w:cstheme="majorBidi"/>
          <w:sz w:val="20"/>
          <w:szCs w:val="20"/>
        </w:rPr>
        <w:t>p</w:t>
      </w:r>
      <w:r w:rsidRPr="00587086">
        <w:rPr>
          <w:rFonts w:asciiTheme="majorBidi" w:hAnsiTheme="majorBidi" w:cstheme="majorBidi"/>
          <w:sz w:val="20"/>
          <w:szCs w:val="20"/>
        </w:rPr>
        <w:t>. 1</w:t>
      </w:r>
      <w:r>
        <w:rPr>
          <w:rFonts w:asciiTheme="majorBidi" w:hAnsiTheme="majorBidi" w:cstheme="majorBidi"/>
          <w:sz w:val="20"/>
          <w:szCs w:val="20"/>
        </w:rPr>
        <w:t>59-</w:t>
      </w:r>
      <w:r w:rsidRPr="00587086">
        <w:rPr>
          <w:rFonts w:asciiTheme="majorBidi" w:hAnsiTheme="majorBidi" w:cstheme="majorBidi"/>
          <w:sz w:val="20"/>
          <w:szCs w:val="20"/>
        </w:rPr>
        <w:t>60</w:t>
      </w:r>
      <w:r>
        <w:rPr>
          <w:rFonts w:asciiTheme="majorBidi" w:hAnsiTheme="majorBidi" w:cstheme="majorBidi"/>
          <w:sz w:val="20"/>
          <w:szCs w:val="20"/>
        </w:rPr>
        <w:t xml:space="preserve">) reports that the Arabs led by Aḥnaf b. al-Qays met the Hephthalites in Qūhistān. </w:t>
      </w:r>
      <w:r w:rsidRPr="000356AB">
        <w:rPr>
          <w:rFonts w:asciiTheme="majorBidi" w:hAnsiTheme="majorBidi" w:cstheme="majorBidi"/>
          <w:sz w:val="20"/>
          <w:szCs w:val="20"/>
        </w:rPr>
        <w:t>Al-Ṭabarī</w:t>
      </w:r>
      <w:r>
        <w:rPr>
          <w:rFonts w:asciiTheme="majorBidi" w:hAnsiTheme="majorBidi" w:cstheme="majorBidi"/>
          <w:sz w:val="20"/>
          <w:szCs w:val="20"/>
        </w:rPr>
        <w:t xml:space="preserve"> </w:t>
      </w:r>
      <w:r w:rsidRPr="000356AB">
        <w:rPr>
          <w:rFonts w:asciiTheme="majorBidi" w:hAnsiTheme="majorBidi" w:cstheme="majorBidi"/>
          <w:sz w:val="20"/>
          <w:szCs w:val="20"/>
        </w:rPr>
        <w:t>(</w:t>
      </w:r>
      <w:r>
        <w:rPr>
          <w:rFonts w:asciiTheme="majorBidi" w:hAnsiTheme="majorBidi" w:cstheme="majorBidi"/>
          <w:sz w:val="20"/>
          <w:szCs w:val="20"/>
        </w:rPr>
        <w:t>2001</w:t>
      </w:r>
      <w:r w:rsidRPr="000356AB">
        <w:rPr>
          <w:rFonts w:asciiTheme="majorBidi" w:hAnsiTheme="majorBidi" w:cstheme="majorBidi"/>
          <w:sz w:val="20"/>
          <w:szCs w:val="20"/>
        </w:rPr>
        <w:t xml:space="preserve">, volume 2, p. 625; </w:t>
      </w:r>
      <w:r>
        <w:rPr>
          <w:rFonts w:asciiTheme="majorBidi" w:hAnsiTheme="majorBidi" w:cstheme="majorBidi"/>
          <w:sz w:val="20"/>
          <w:szCs w:val="20"/>
        </w:rPr>
        <w:t>tr.</w:t>
      </w:r>
      <w:r w:rsidRPr="00D43D7B">
        <w:rPr>
          <w:rFonts w:asciiTheme="majorBidi" w:hAnsiTheme="majorBidi" w:cstheme="majorBidi"/>
          <w:sz w:val="20"/>
          <w:szCs w:val="20"/>
        </w:rPr>
        <w:t>, 1990, volume XV, p. 91</w:t>
      </w:r>
      <w:r>
        <w:rPr>
          <w:rFonts w:asciiTheme="majorBidi" w:hAnsiTheme="majorBidi" w:cstheme="majorBidi"/>
          <w:sz w:val="20"/>
          <w:szCs w:val="20"/>
        </w:rPr>
        <w:t xml:space="preserve">: </w:t>
      </w:r>
      <w:r>
        <w:rPr>
          <w:rFonts w:asciiTheme="majorBidi" w:hAnsiTheme="majorBidi" w:cstheme="majorBidi" w:hint="cs"/>
          <w:sz w:val="20"/>
          <w:szCs w:val="20"/>
          <w:rtl/>
          <w:lang w:bidi="ar-JO"/>
        </w:rPr>
        <w:t>وخرج الى ابرشهر فلقيه الهياطلة وهم اهل هراة</w:t>
      </w:r>
      <w:r>
        <w:rPr>
          <w:rFonts w:asciiTheme="majorBidi" w:hAnsiTheme="majorBidi" w:cstheme="majorBidi"/>
          <w:sz w:val="20"/>
          <w:szCs w:val="20"/>
        </w:rPr>
        <w:t>; Bosworth, 2008, p. 240</w:t>
      </w:r>
      <w:r w:rsidRPr="000356AB">
        <w:rPr>
          <w:rFonts w:asciiTheme="majorBidi" w:hAnsiTheme="majorBidi" w:cstheme="majorBidi"/>
          <w:sz w:val="20"/>
          <w:szCs w:val="20"/>
        </w:rPr>
        <w:t>) record</w:t>
      </w:r>
      <w:r>
        <w:rPr>
          <w:rFonts w:asciiTheme="majorBidi" w:hAnsiTheme="majorBidi" w:cstheme="majorBidi"/>
          <w:sz w:val="20"/>
          <w:szCs w:val="20"/>
        </w:rPr>
        <w:t>s</w:t>
      </w:r>
      <w:r w:rsidRPr="000356AB">
        <w:rPr>
          <w:rFonts w:asciiTheme="majorBidi" w:hAnsiTheme="majorBidi" w:cstheme="majorBidi"/>
          <w:sz w:val="20"/>
          <w:szCs w:val="20"/>
        </w:rPr>
        <w:t xml:space="preserve"> that the inhabitants of Herat, the main city of Bādghīs, were Hephthalites.</w:t>
      </w:r>
      <w:r>
        <w:rPr>
          <w:rFonts w:asciiTheme="majorBidi" w:hAnsiTheme="majorBidi" w:cstheme="majorBidi"/>
          <w:sz w:val="20"/>
          <w:szCs w:val="20"/>
        </w:rPr>
        <w:t xml:space="preserve"> Gardīzī </w:t>
      </w:r>
      <w:r w:rsidR="0020424F">
        <w:rPr>
          <w:rFonts w:asciiTheme="majorBidi" w:hAnsiTheme="majorBidi" w:cstheme="majorBidi"/>
          <w:sz w:val="20"/>
          <w:szCs w:val="20"/>
        </w:rPr>
        <w:t xml:space="preserve">(1984, P. 237; tr., 2011, p. 17: </w:t>
      </w:r>
      <w:r w:rsidR="0020424F">
        <w:rPr>
          <w:rFonts w:asciiTheme="majorBidi" w:hAnsiTheme="majorBidi" w:cstheme="majorBidi" w:hint="cs"/>
          <w:sz w:val="20"/>
          <w:szCs w:val="20"/>
          <w:rtl/>
          <w:lang w:bidi="ar-JO"/>
        </w:rPr>
        <w:t xml:space="preserve">وربيع بخراسان </w:t>
      </w:r>
      <w:r w:rsidR="0020424F" w:rsidRPr="0020424F">
        <w:rPr>
          <w:rFonts w:asciiTheme="majorBidi" w:hAnsiTheme="majorBidi" w:cs="Times New Roman" w:hint="cs"/>
          <w:sz w:val="20"/>
          <w:szCs w:val="20"/>
          <w:rtl/>
          <w:lang w:bidi="ar-JO"/>
        </w:rPr>
        <w:t>آمد</w:t>
      </w:r>
      <w:r w:rsidR="0020424F">
        <w:rPr>
          <w:rFonts w:asciiTheme="majorBidi" w:hAnsiTheme="majorBidi" w:cs="Times New Roman" w:hint="cs"/>
          <w:sz w:val="20"/>
          <w:szCs w:val="20"/>
          <w:rtl/>
          <w:lang w:bidi="ar-JO"/>
        </w:rPr>
        <w:t xml:space="preserve"> بمرو وهياطله را هزيمت كرد</w:t>
      </w:r>
      <w:r w:rsidR="0020424F">
        <w:rPr>
          <w:rFonts w:asciiTheme="majorBidi" w:hAnsiTheme="majorBidi" w:cstheme="majorBidi"/>
          <w:sz w:val="20"/>
          <w:szCs w:val="20"/>
        </w:rPr>
        <w:t xml:space="preserve">) </w:t>
      </w:r>
      <w:r>
        <w:rPr>
          <w:rFonts w:asciiTheme="majorBidi" w:hAnsiTheme="majorBidi" w:cstheme="majorBidi"/>
          <w:sz w:val="20"/>
          <w:szCs w:val="20"/>
        </w:rPr>
        <w:t xml:space="preserve">reports that the Umayyad governor of Iraq Ziyād b. Abīhi sent his deputy </w:t>
      </w:r>
      <w:proofErr w:type="gramStart"/>
      <w:r>
        <w:rPr>
          <w:rFonts w:asciiTheme="majorBidi" w:hAnsiTheme="majorBidi" w:cstheme="majorBidi"/>
          <w:sz w:val="20"/>
          <w:szCs w:val="20"/>
        </w:rPr>
        <w:t>Rabī‘ b.</w:t>
      </w:r>
      <w:proofErr w:type="gramEnd"/>
      <w:r>
        <w:rPr>
          <w:rFonts w:asciiTheme="majorBidi" w:hAnsiTheme="majorBidi" w:cstheme="majorBidi"/>
          <w:sz w:val="20"/>
          <w:szCs w:val="20"/>
        </w:rPr>
        <w:t xml:space="preserve"> al-Ḥārithī to Marw in 670 CE, who routed the Hephthalites most probably in </w:t>
      </w:r>
      <w:r w:rsidR="0020424F" w:rsidRPr="000356AB">
        <w:rPr>
          <w:rFonts w:asciiTheme="majorBidi" w:hAnsiTheme="majorBidi" w:cstheme="majorBidi"/>
          <w:sz w:val="20"/>
          <w:szCs w:val="20"/>
        </w:rPr>
        <w:t>Bādghīs</w:t>
      </w:r>
      <w:r w:rsidR="0020424F">
        <w:rPr>
          <w:rFonts w:asciiTheme="majorBidi" w:hAnsiTheme="majorBidi" w:cstheme="majorBidi"/>
          <w:sz w:val="20"/>
          <w:szCs w:val="20"/>
        </w:rPr>
        <w:t>.</w:t>
      </w:r>
      <w:r>
        <w:rPr>
          <w:rFonts w:asciiTheme="majorBidi" w:hAnsiTheme="majorBidi" w:cstheme="majorBidi"/>
          <w:sz w:val="20"/>
          <w:szCs w:val="20"/>
        </w:rPr>
        <w:t xml:space="preserve"> </w:t>
      </w:r>
      <w:r w:rsidRPr="000356AB">
        <w:rPr>
          <w:rFonts w:asciiTheme="majorBidi" w:hAnsiTheme="majorBidi" w:cstheme="majorBidi"/>
          <w:sz w:val="20"/>
          <w:szCs w:val="20"/>
        </w:rPr>
        <w:t>Yāqūt clarifi</w:t>
      </w:r>
      <w:r>
        <w:rPr>
          <w:rFonts w:asciiTheme="majorBidi" w:hAnsiTheme="majorBidi" w:cstheme="majorBidi"/>
          <w:sz w:val="20"/>
          <w:szCs w:val="20"/>
        </w:rPr>
        <w:t>es</w:t>
      </w:r>
      <w:r w:rsidRPr="000356AB">
        <w:rPr>
          <w:rFonts w:asciiTheme="majorBidi" w:hAnsiTheme="majorBidi" w:cstheme="majorBidi"/>
          <w:sz w:val="20"/>
          <w:szCs w:val="20"/>
        </w:rPr>
        <w:t xml:space="preserve"> in his </w:t>
      </w:r>
      <w:r w:rsidRPr="00182371">
        <w:rPr>
          <w:rFonts w:asciiTheme="majorBidi" w:hAnsiTheme="majorBidi" w:cstheme="majorBidi"/>
          <w:i/>
          <w:iCs/>
          <w:sz w:val="20"/>
          <w:szCs w:val="20"/>
        </w:rPr>
        <w:t>Kitāb Muʻjam al-Buldān</w:t>
      </w:r>
      <w:r w:rsidRPr="000356AB">
        <w:rPr>
          <w:rFonts w:asciiTheme="majorBidi" w:hAnsiTheme="majorBidi" w:cstheme="majorBidi"/>
          <w:sz w:val="20"/>
          <w:szCs w:val="20"/>
        </w:rPr>
        <w:t xml:space="preserve"> that Bādghīs as the residence of the Hephthalite kingdom (</w:t>
      </w:r>
      <w:r w:rsidRPr="00EB5E99">
        <w:rPr>
          <w:rFonts w:asciiTheme="majorBidi" w:hAnsiTheme="majorBidi" w:cstheme="majorBidi"/>
          <w:sz w:val="20"/>
          <w:szCs w:val="20"/>
        </w:rPr>
        <w:t xml:space="preserve">1906, volume 2, p. 31: </w:t>
      </w:r>
      <w:r w:rsidRPr="00EB5E99">
        <w:rPr>
          <w:rFonts w:asciiTheme="majorBidi" w:hAnsiTheme="majorBidi" w:cstheme="majorBidi"/>
          <w:sz w:val="20"/>
          <w:szCs w:val="20"/>
          <w:rtl/>
          <w:lang w:bidi="ar-SA"/>
        </w:rPr>
        <w:t>وقيل انها كانت دار مملكة الهياطلة</w:t>
      </w:r>
      <w:r w:rsidRPr="000356AB">
        <w:rPr>
          <w:rFonts w:asciiTheme="majorBidi" w:hAnsiTheme="majorBidi" w:cstheme="majorBidi"/>
          <w:sz w:val="20"/>
          <w:szCs w:val="20"/>
        </w:rPr>
        <w:t>).</w:t>
      </w:r>
    </w:p>
  </w:footnote>
  <w:footnote w:id="148">
    <w:p w14:paraId="2BB60CDA" w14:textId="659DED54" w:rsidR="00902FCD" w:rsidRPr="00540C20" w:rsidRDefault="00902FCD" w:rsidP="00C836E5">
      <w:pPr>
        <w:pStyle w:val="FootnoteText"/>
        <w:spacing w:line="360" w:lineRule="auto"/>
        <w:rPr>
          <w:rFonts w:asciiTheme="majorBidi" w:hAnsiTheme="majorBidi" w:cstheme="majorBidi"/>
          <w:sz w:val="20"/>
          <w:szCs w:val="20"/>
        </w:rPr>
      </w:pPr>
      <w:r w:rsidRPr="00540C20">
        <w:rPr>
          <w:rFonts w:asciiTheme="majorBidi" w:hAnsiTheme="majorBidi" w:cstheme="majorBidi"/>
          <w:sz w:val="20"/>
          <w:szCs w:val="20"/>
          <w:vertAlign w:val="superscript"/>
        </w:rPr>
        <w:footnoteRef/>
      </w:r>
      <w:r w:rsidRPr="00540C20">
        <w:rPr>
          <w:rFonts w:asciiTheme="majorBidi" w:hAnsiTheme="majorBidi" w:cstheme="majorBidi"/>
          <w:sz w:val="20"/>
          <w:szCs w:val="20"/>
        </w:rPr>
        <w:t xml:space="preserve"> T</w:t>
      </w:r>
      <w:r>
        <w:rPr>
          <w:rFonts w:asciiTheme="majorBidi" w:hAnsiTheme="majorBidi" w:cstheme="majorBidi"/>
          <w:sz w:val="20"/>
          <w:szCs w:val="20"/>
        </w:rPr>
        <w:t>h</w:t>
      </w:r>
      <w:r w:rsidRPr="00540C20">
        <w:rPr>
          <w:rFonts w:asciiTheme="majorBidi" w:hAnsiTheme="majorBidi" w:cstheme="majorBidi"/>
          <w:sz w:val="20"/>
          <w:szCs w:val="20"/>
        </w:rPr>
        <w:t>e distance from Herat</w:t>
      </w:r>
      <w:r>
        <w:rPr>
          <w:rFonts w:asciiTheme="majorBidi" w:hAnsiTheme="majorBidi" w:cstheme="majorBidi"/>
          <w:sz w:val="20"/>
          <w:szCs w:val="20"/>
        </w:rPr>
        <w:t>, which was further to the south of Bādghīs,</w:t>
      </w:r>
      <w:r w:rsidRPr="00540C20">
        <w:rPr>
          <w:rFonts w:asciiTheme="majorBidi" w:hAnsiTheme="majorBidi" w:cstheme="majorBidi"/>
          <w:sz w:val="20"/>
          <w:szCs w:val="20"/>
        </w:rPr>
        <w:t xml:space="preserve"> to </w:t>
      </w:r>
      <w:r>
        <w:rPr>
          <w:rFonts w:asciiTheme="majorBidi" w:hAnsiTheme="majorBidi" w:cstheme="majorBidi"/>
          <w:sz w:val="20"/>
          <w:szCs w:val="20"/>
        </w:rPr>
        <w:t xml:space="preserve">Marw </w:t>
      </w:r>
      <w:r w:rsidRPr="00540C20">
        <w:rPr>
          <w:rFonts w:asciiTheme="majorBidi" w:hAnsiTheme="majorBidi" w:cstheme="majorBidi"/>
          <w:sz w:val="20"/>
          <w:szCs w:val="20"/>
        </w:rPr>
        <w:t xml:space="preserve">was </w:t>
      </w:r>
      <w:r>
        <w:rPr>
          <w:rFonts w:asciiTheme="majorBidi" w:hAnsiTheme="majorBidi" w:cstheme="majorBidi"/>
          <w:sz w:val="20"/>
          <w:szCs w:val="20"/>
        </w:rPr>
        <w:t>twelve d</w:t>
      </w:r>
      <w:r w:rsidRPr="00540C20">
        <w:rPr>
          <w:rFonts w:asciiTheme="majorBidi" w:hAnsiTheme="majorBidi" w:cstheme="majorBidi"/>
          <w:sz w:val="20"/>
          <w:szCs w:val="20"/>
        </w:rPr>
        <w:t>ays’ journey for medieval travelers (</w:t>
      </w:r>
      <w:r>
        <w:rPr>
          <w:rFonts w:asciiTheme="majorBidi" w:hAnsiTheme="majorBidi" w:cstheme="majorBidi"/>
          <w:sz w:val="20"/>
          <w:szCs w:val="20"/>
        </w:rPr>
        <w:t>Ibn al-</w:t>
      </w:r>
      <w:r w:rsidRPr="0084414C">
        <w:rPr>
          <w:rFonts w:asciiTheme="majorBidi" w:hAnsiTheme="majorBidi" w:cstheme="majorBidi"/>
          <w:sz w:val="20"/>
          <w:szCs w:val="20"/>
        </w:rPr>
        <w:t>Ḥawqal</w:t>
      </w:r>
      <w:r>
        <w:rPr>
          <w:rFonts w:asciiTheme="majorBidi" w:hAnsiTheme="majorBidi" w:cstheme="majorBidi"/>
          <w:sz w:val="20"/>
          <w:szCs w:val="20"/>
        </w:rPr>
        <w:t>, 1872, p. 331; tr., 1800, p. 288</w:t>
      </w:r>
      <w:r w:rsidRPr="00540C20">
        <w:rPr>
          <w:rFonts w:asciiTheme="majorBidi" w:hAnsiTheme="majorBidi" w:cstheme="majorBidi"/>
          <w:sz w:val="20"/>
          <w:szCs w:val="20"/>
        </w:rPr>
        <w:t>)</w:t>
      </w:r>
      <w:r>
        <w:rPr>
          <w:rFonts w:asciiTheme="majorBidi" w:hAnsiTheme="majorBidi" w:cstheme="majorBidi"/>
          <w:sz w:val="20"/>
          <w:szCs w:val="20"/>
        </w:rPr>
        <w:t xml:space="preserve">. The Tang organized </w:t>
      </w:r>
      <w:r w:rsidRPr="00A9679F">
        <w:rPr>
          <w:rFonts w:asciiTheme="majorBidi" w:hAnsiTheme="majorBidi" w:cstheme="majorBidi"/>
          <w:sz w:val="20"/>
          <w:szCs w:val="20"/>
        </w:rPr>
        <w:t>the Dahan military governate (</w:t>
      </w:r>
      <w:r w:rsidRPr="00A9679F">
        <w:rPr>
          <w:rFonts w:asciiTheme="majorBidi" w:hAnsiTheme="majorBidi" w:cstheme="majorBidi" w:hint="eastAsia"/>
          <w:sz w:val="20"/>
          <w:szCs w:val="20"/>
        </w:rPr>
        <w:t>大汗都督府</w:t>
      </w:r>
      <w:r w:rsidRPr="00A9679F">
        <w:rPr>
          <w:rFonts w:asciiTheme="majorBidi" w:hAnsiTheme="majorBidi" w:cstheme="majorBidi"/>
          <w:sz w:val="20"/>
          <w:szCs w:val="20"/>
        </w:rPr>
        <w:t>)</w:t>
      </w:r>
      <w:r>
        <w:rPr>
          <w:rFonts w:asciiTheme="majorBidi" w:hAnsiTheme="majorBidi" w:cstheme="majorBidi"/>
          <w:sz w:val="20"/>
          <w:szCs w:val="20"/>
        </w:rPr>
        <w:t xml:space="preserve"> in 661 CE. On the one hand, Dahan is a phonetic translation of </w:t>
      </w:r>
      <w:r w:rsidRPr="00932469">
        <w:rPr>
          <w:rFonts w:asciiTheme="majorBidi" w:hAnsiTheme="majorBidi" w:cstheme="majorBidi"/>
          <w:sz w:val="20"/>
          <w:szCs w:val="20"/>
        </w:rPr>
        <w:t>Ṭ</w:t>
      </w:r>
      <w:r w:rsidRPr="005F4885">
        <w:rPr>
          <w:rFonts w:asciiTheme="majorBidi" w:hAnsiTheme="majorBidi" w:cstheme="majorBidi"/>
          <w:sz w:val="20"/>
          <w:szCs w:val="20"/>
        </w:rPr>
        <w:t>arkhān</w:t>
      </w:r>
      <w:r>
        <w:rPr>
          <w:rFonts w:asciiTheme="majorBidi" w:hAnsiTheme="majorBidi" w:cstheme="majorBidi"/>
          <w:sz w:val="20"/>
          <w:szCs w:val="20"/>
        </w:rPr>
        <w:t xml:space="preserve"> (Kuwayama, 2002, pp. 130-5); on the other hand, the governate ranked only after the Yabghū dynasty. Both linguistic and historical analyses seem to show that the Dahan governate could be identified as the Nīzak dynasty, with its capital</w:t>
      </w:r>
      <w:r w:rsidRPr="00A9679F">
        <w:rPr>
          <w:rFonts w:asciiTheme="majorBidi" w:hAnsiTheme="majorBidi" w:cstheme="majorBidi"/>
          <w:sz w:val="20"/>
          <w:szCs w:val="20"/>
        </w:rPr>
        <w:t xml:space="preserve"> Huolu (</w:t>
      </w:r>
      <w:r w:rsidRPr="00A9679F">
        <w:rPr>
          <w:rFonts w:asciiTheme="majorBidi" w:hAnsiTheme="majorBidi" w:cstheme="majorBidi" w:hint="eastAsia"/>
          <w:sz w:val="20"/>
          <w:szCs w:val="20"/>
        </w:rPr>
        <w:t>活路</w:t>
      </w:r>
      <w:r w:rsidRPr="00A9679F">
        <w:rPr>
          <w:rFonts w:asciiTheme="majorBidi" w:hAnsiTheme="majorBidi" w:cstheme="majorBidi"/>
          <w:sz w:val="20"/>
          <w:szCs w:val="20"/>
        </w:rPr>
        <w:t xml:space="preserve">) most probably </w:t>
      </w:r>
      <w:r>
        <w:rPr>
          <w:rFonts w:asciiTheme="majorBidi" w:hAnsiTheme="majorBidi" w:cstheme="majorBidi"/>
          <w:sz w:val="20"/>
          <w:szCs w:val="20"/>
        </w:rPr>
        <w:t xml:space="preserve">as </w:t>
      </w:r>
      <w:r w:rsidRPr="00A9679F">
        <w:rPr>
          <w:rFonts w:asciiTheme="majorBidi" w:hAnsiTheme="majorBidi" w:cstheme="majorBidi"/>
          <w:sz w:val="20"/>
          <w:szCs w:val="20"/>
        </w:rPr>
        <w:t>Harē</w:t>
      </w:r>
      <w:r>
        <w:rPr>
          <w:rFonts w:asciiTheme="majorBidi" w:hAnsiTheme="majorBidi" w:cstheme="majorBidi"/>
          <w:sz w:val="20"/>
          <w:szCs w:val="20"/>
        </w:rPr>
        <w:t xml:space="preserve">, the Middle Persian form of Herat. If the identification stands, the Nīzak dynasty was certainly Hephthalite, since the Dahan governate </w:t>
      </w:r>
      <w:r w:rsidRPr="00A9679F">
        <w:rPr>
          <w:rFonts w:asciiTheme="majorBidi" w:hAnsiTheme="majorBidi" w:cstheme="majorBidi"/>
          <w:sz w:val="20"/>
          <w:szCs w:val="20"/>
        </w:rPr>
        <w:t xml:space="preserve">was a political entity of the Hephthalite tribes </w:t>
      </w:r>
      <w:r>
        <w:rPr>
          <w:rFonts w:asciiTheme="majorBidi" w:hAnsiTheme="majorBidi" w:cstheme="majorBidi"/>
          <w:sz w:val="24"/>
          <w:szCs w:val="24"/>
        </w:rPr>
        <w:t>(</w:t>
      </w:r>
      <w:r w:rsidRPr="00B1357F">
        <w:rPr>
          <w:rFonts w:asciiTheme="majorBidi" w:hAnsiTheme="majorBidi" w:cstheme="majorBidi"/>
          <w:sz w:val="20"/>
          <w:szCs w:val="20"/>
        </w:rPr>
        <w:t xml:space="preserve">Liu, 1995, volume 40, p. 1649; </w:t>
      </w:r>
      <w:r>
        <w:rPr>
          <w:rFonts w:asciiTheme="majorBidi" w:hAnsiTheme="majorBidi" w:cstheme="majorBidi"/>
          <w:sz w:val="20"/>
          <w:szCs w:val="20"/>
        </w:rPr>
        <w:t>tr.</w:t>
      </w:r>
      <w:r w:rsidRPr="00B1357F">
        <w:rPr>
          <w:rFonts w:asciiTheme="majorBidi" w:hAnsiTheme="majorBidi" w:cstheme="majorBidi"/>
          <w:sz w:val="20"/>
          <w:szCs w:val="20"/>
        </w:rPr>
        <w:t>, Yu, 2015, pp. 238-9; Ouyang &amp; Song, 1995, volume 43b, p. 1136</w:t>
      </w:r>
      <w:r>
        <w:rPr>
          <w:rFonts w:asciiTheme="majorBidi" w:hAnsiTheme="majorBidi" w:cstheme="majorBidi"/>
          <w:sz w:val="24"/>
          <w:szCs w:val="24"/>
        </w:rPr>
        <w:t xml:space="preserve">). </w:t>
      </w:r>
      <w:r w:rsidRPr="002F348F">
        <w:rPr>
          <w:rFonts w:asciiTheme="majorBidi" w:hAnsiTheme="majorBidi" w:cstheme="majorBidi"/>
          <w:sz w:val="20"/>
          <w:szCs w:val="20"/>
        </w:rPr>
        <w:t xml:space="preserve">The </w:t>
      </w:r>
      <w:r>
        <w:rPr>
          <w:rFonts w:asciiTheme="majorBidi" w:hAnsiTheme="majorBidi" w:cstheme="majorBidi"/>
          <w:sz w:val="20"/>
          <w:szCs w:val="20"/>
        </w:rPr>
        <w:t>list of toponyms</w:t>
      </w:r>
      <w:r w:rsidRPr="002F348F">
        <w:rPr>
          <w:rFonts w:asciiTheme="majorBidi" w:hAnsiTheme="majorBidi" w:cstheme="majorBidi"/>
          <w:sz w:val="20"/>
          <w:szCs w:val="20"/>
        </w:rPr>
        <w:t xml:space="preserve"> of the Dahan governate (Ouyang &amp; Song, volume 43b, p. 1136) </w:t>
      </w:r>
      <w:r>
        <w:rPr>
          <w:rFonts w:asciiTheme="majorBidi" w:hAnsiTheme="majorBidi" w:cstheme="majorBidi"/>
          <w:sz w:val="20"/>
          <w:szCs w:val="20"/>
        </w:rPr>
        <w:t>is</w:t>
      </w:r>
      <w:r w:rsidRPr="002F348F">
        <w:rPr>
          <w:rFonts w:asciiTheme="majorBidi" w:hAnsiTheme="majorBidi" w:cstheme="majorBidi"/>
          <w:sz w:val="20"/>
          <w:szCs w:val="20"/>
        </w:rPr>
        <w:t xml:space="preserve"> </w:t>
      </w:r>
      <w:r>
        <w:rPr>
          <w:rFonts w:asciiTheme="majorBidi" w:hAnsiTheme="majorBidi" w:cstheme="majorBidi"/>
          <w:sz w:val="20"/>
          <w:szCs w:val="20"/>
        </w:rPr>
        <w:t>decisive in the identification</w:t>
      </w:r>
      <w:r w:rsidRPr="002F348F">
        <w:rPr>
          <w:rFonts w:asciiTheme="majorBidi" w:hAnsiTheme="majorBidi" w:cstheme="majorBidi"/>
          <w:sz w:val="20"/>
          <w:szCs w:val="20"/>
        </w:rPr>
        <w:t xml:space="preserve">. However, both Chavannes (1903, p. 276) and Cen (1958, pp. 144-5) </w:t>
      </w:r>
      <w:r>
        <w:rPr>
          <w:rFonts w:asciiTheme="majorBidi" w:hAnsiTheme="majorBidi" w:cstheme="majorBidi"/>
          <w:sz w:val="20"/>
          <w:szCs w:val="20"/>
        </w:rPr>
        <w:t>admit</w:t>
      </w:r>
      <w:r w:rsidRPr="002F348F">
        <w:rPr>
          <w:rFonts w:asciiTheme="majorBidi" w:hAnsiTheme="majorBidi" w:cstheme="majorBidi"/>
          <w:sz w:val="20"/>
          <w:szCs w:val="20"/>
        </w:rPr>
        <w:t>hat the toponyms</w:t>
      </w:r>
      <w:r>
        <w:rPr>
          <w:rFonts w:asciiTheme="majorBidi" w:hAnsiTheme="majorBidi" w:cstheme="majorBidi"/>
          <w:sz w:val="20"/>
          <w:szCs w:val="20"/>
        </w:rPr>
        <w:t xml:space="preserve"> are</w:t>
      </w:r>
      <w:r w:rsidRPr="002F348F">
        <w:rPr>
          <w:rFonts w:asciiTheme="majorBidi" w:hAnsiTheme="majorBidi" w:cstheme="majorBidi"/>
          <w:sz w:val="20"/>
          <w:szCs w:val="20"/>
        </w:rPr>
        <w:t xml:space="preserve"> impossible to identity.</w:t>
      </w:r>
    </w:p>
  </w:footnote>
  <w:footnote w:id="149">
    <w:p w14:paraId="6D039040" w14:textId="77777777" w:rsidR="00902FCD" w:rsidRPr="00BF0F0C" w:rsidRDefault="00902FCD" w:rsidP="00BC1281">
      <w:pPr>
        <w:pStyle w:val="FootnoteText"/>
        <w:spacing w:line="360" w:lineRule="auto"/>
        <w:rPr>
          <w:rFonts w:asciiTheme="majorBidi" w:hAnsiTheme="majorBidi" w:cstheme="majorBidi"/>
          <w:sz w:val="20"/>
          <w:szCs w:val="20"/>
        </w:rPr>
      </w:pPr>
      <w:r w:rsidRPr="00D312E8">
        <w:rPr>
          <w:rFonts w:asciiTheme="majorBidi" w:hAnsiTheme="majorBidi" w:cstheme="majorBidi"/>
          <w:sz w:val="20"/>
          <w:szCs w:val="20"/>
          <w:vertAlign w:val="superscript"/>
        </w:rPr>
        <w:footnoteRef/>
      </w:r>
      <w:r w:rsidRPr="00D312E8">
        <w:rPr>
          <w:rFonts w:asciiTheme="majorBidi" w:hAnsiTheme="majorBidi" w:cstheme="majorBidi"/>
          <w:sz w:val="20"/>
          <w:szCs w:val="20"/>
          <w:vertAlign w:val="superscript"/>
        </w:rPr>
        <w:t xml:space="preserve"> </w:t>
      </w:r>
      <w:r>
        <w:rPr>
          <w:rFonts w:asciiTheme="majorBidi" w:hAnsiTheme="majorBidi" w:cstheme="majorBidi"/>
          <w:sz w:val="20"/>
          <w:szCs w:val="20"/>
        </w:rPr>
        <w:t xml:space="preserve">Shaban, 1970, p. 14; </w:t>
      </w:r>
      <w:r w:rsidRPr="00BF0F0C">
        <w:rPr>
          <w:rFonts w:asciiTheme="majorBidi" w:hAnsiTheme="majorBidi" w:cstheme="majorBidi"/>
          <w:sz w:val="20"/>
          <w:szCs w:val="20"/>
        </w:rPr>
        <w:t>Barthold, 1984, p. 49.</w:t>
      </w:r>
    </w:p>
  </w:footnote>
  <w:footnote w:id="150">
    <w:p w14:paraId="604B8F78" w14:textId="77777777" w:rsidR="00902FCD" w:rsidRPr="00CD28E9" w:rsidRDefault="00902FCD" w:rsidP="00793EE0">
      <w:pPr>
        <w:pStyle w:val="FootnoteText"/>
        <w:spacing w:line="360" w:lineRule="auto"/>
        <w:rPr>
          <w:rFonts w:asciiTheme="majorBidi" w:hAnsiTheme="majorBidi" w:cstheme="majorBidi"/>
          <w:sz w:val="20"/>
          <w:szCs w:val="20"/>
        </w:rPr>
      </w:pPr>
      <w:r w:rsidRPr="00CD28E9">
        <w:rPr>
          <w:rStyle w:val="FootnoteReference"/>
          <w:rFonts w:asciiTheme="majorBidi" w:hAnsiTheme="majorBidi" w:cstheme="majorBidi"/>
          <w:sz w:val="20"/>
          <w:szCs w:val="20"/>
        </w:rPr>
        <w:footnoteRef/>
      </w:r>
      <w:r w:rsidRPr="00CD28E9">
        <w:rPr>
          <w:rFonts w:asciiTheme="majorBidi" w:hAnsiTheme="majorBidi" w:cstheme="majorBidi"/>
          <w:sz w:val="20"/>
          <w:szCs w:val="20"/>
        </w:rPr>
        <w:t xml:space="preserve"> Haug, 2019, pp. 87-8. </w:t>
      </w:r>
    </w:p>
  </w:footnote>
  <w:footnote w:id="151">
    <w:p w14:paraId="2FC46743" w14:textId="77777777" w:rsidR="00902FCD" w:rsidRPr="00066EC5" w:rsidRDefault="00902FCD" w:rsidP="004D670E">
      <w:pPr>
        <w:pStyle w:val="FootnoteText"/>
        <w:spacing w:line="360" w:lineRule="auto"/>
        <w:rPr>
          <w:rFonts w:asciiTheme="majorBidi" w:hAnsiTheme="majorBidi" w:cstheme="majorBidi"/>
          <w:sz w:val="20"/>
          <w:szCs w:val="20"/>
        </w:rPr>
      </w:pPr>
      <w:r w:rsidRPr="00066EC5">
        <w:rPr>
          <w:rStyle w:val="FootnoteReference"/>
          <w:rFonts w:asciiTheme="majorBidi" w:hAnsiTheme="majorBidi" w:cstheme="majorBidi"/>
          <w:sz w:val="20"/>
          <w:szCs w:val="20"/>
        </w:rPr>
        <w:footnoteRef/>
      </w:r>
      <w:r w:rsidRPr="00066EC5">
        <w:rPr>
          <w:rFonts w:asciiTheme="majorBidi" w:hAnsiTheme="majorBidi" w:cstheme="majorBidi"/>
          <w:sz w:val="20"/>
          <w:szCs w:val="20"/>
        </w:rPr>
        <w:t xml:space="preserve"> De la Vassi</w:t>
      </w:r>
      <w:r w:rsidRPr="00066EC5">
        <w:rPr>
          <w:rFonts w:asciiTheme="majorBidi" w:eastAsiaTheme="minorHAnsi" w:hAnsiTheme="majorBidi" w:cstheme="majorBidi"/>
          <w:sz w:val="20"/>
          <w:szCs w:val="20"/>
        </w:rPr>
        <w:t>è</w:t>
      </w:r>
      <w:r w:rsidRPr="00066EC5">
        <w:rPr>
          <w:rFonts w:asciiTheme="majorBidi" w:hAnsiTheme="majorBidi" w:cstheme="majorBidi"/>
          <w:sz w:val="20"/>
          <w:szCs w:val="20"/>
        </w:rPr>
        <w:t>re, 2003, pp. 123-4.</w:t>
      </w:r>
    </w:p>
  </w:footnote>
  <w:footnote w:id="152">
    <w:p w14:paraId="41736BEE" w14:textId="30FF0BE2" w:rsidR="00902FCD" w:rsidRPr="009D3EE5" w:rsidRDefault="00902FCD" w:rsidP="00464CBA">
      <w:pPr>
        <w:pStyle w:val="FootnoteText"/>
        <w:spacing w:line="360" w:lineRule="auto"/>
        <w:rPr>
          <w:rFonts w:asciiTheme="majorBidi" w:hAnsiTheme="majorBidi" w:cstheme="majorBidi"/>
          <w:sz w:val="20"/>
          <w:szCs w:val="20"/>
        </w:rPr>
      </w:pPr>
      <w:r w:rsidRPr="00464CBA">
        <w:rPr>
          <w:rFonts w:asciiTheme="majorBidi" w:hAnsiTheme="majorBidi" w:cstheme="majorBidi"/>
          <w:sz w:val="20"/>
          <w:szCs w:val="20"/>
          <w:vertAlign w:val="superscript"/>
        </w:rPr>
        <w:footnoteRef/>
      </w:r>
      <w:r w:rsidRPr="00464CBA">
        <w:rPr>
          <w:rFonts w:asciiTheme="majorBidi" w:hAnsiTheme="majorBidi" w:cstheme="majorBidi"/>
          <w:sz w:val="20"/>
          <w:szCs w:val="20"/>
          <w:vertAlign w:val="superscript"/>
        </w:rPr>
        <w:t xml:space="preserve"> </w:t>
      </w:r>
      <w:r w:rsidRPr="00464CBA">
        <w:rPr>
          <w:rFonts w:asciiTheme="majorBidi" w:hAnsiTheme="majorBidi" w:cstheme="majorBidi"/>
          <w:sz w:val="20"/>
          <w:szCs w:val="20"/>
        </w:rPr>
        <w:t>Nīzak</w:t>
      </w:r>
      <w:r>
        <w:rPr>
          <w:rFonts w:asciiTheme="majorBidi" w:hAnsiTheme="majorBidi" w:cstheme="majorBidi"/>
          <w:sz w:val="20"/>
          <w:szCs w:val="20"/>
        </w:rPr>
        <w:t xml:space="preserve"> </w:t>
      </w:r>
      <w:r w:rsidRPr="00464CBA">
        <w:rPr>
          <w:rFonts w:asciiTheme="majorBidi" w:hAnsiTheme="majorBidi" w:cstheme="majorBidi"/>
          <w:sz w:val="20"/>
          <w:szCs w:val="20"/>
        </w:rPr>
        <w:t xml:space="preserve">Ṭarkhān </w:t>
      </w:r>
      <w:r>
        <w:rPr>
          <w:rFonts w:asciiTheme="majorBidi" w:hAnsiTheme="majorBidi" w:cstheme="majorBidi"/>
          <w:sz w:val="20"/>
          <w:szCs w:val="20"/>
        </w:rPr>
        <w:t>are titles instead of private names (</w:t>
      </w:r>
      <w:r w:rsidRPr="008960A0">
        <w:rPr>
          <w:rFonts w:asciiTheme="majorBidi" w:hAnsiTheme="majorBidi" w:cstheme="majorBidi"/>
          <w:sz w:val="20"/>
          <w:szCs w:val="20"/>
        </w:rPr>
        <w:t>Esin, 1977, p. 323</w:t>
      </w:r>
      <w:r>
        <w:rPr>
          <w:rFonts w:asciiTheme="majorBidi" w:hAnsiTheme="majorBidi" w:cstheme="majorBidi"/>
          <w:sz w:val="20"/>
          <w:szCs w:val="20"/>
        </w:rPr>
        <w:t>)</w:t>
      </w:r>
      <w:r w:rsidRPr="008960A0">
        <w:rPr>
          <w:rFonts w:asciiTheme="majorBidi" w:hAnsiTheme="majorBidi" w:cstheme="majorBidi"/>
          <w:sz w:val="20"/>
          <w:szCs w:val="20"/>
        </w:rPr>
        <w:t>.</w:t>
      </w:r>
    </w:p>
  </w:footnote>
  <w:footnote w:id="153">
    <w:p w14:paraId="2D9FD955" w14:textId="021D1A54" w:rsidR="00902FCD" w:rsidRPr="00DF1B84" w:rsidRDefault="00902FCD" w:rsidP="00CA1C96">
      <w:pPr>
        <w:pStyle w:val="FootnoteText"/>
        <w:spacing w:line="360" w:lineRule="auto"/>
        <w:rPr>
          <w:rFonts w:asciiTheme="majorBidi" w:hAnsiTheme="majorBidi" w:cstheme="majorBidi"/>
          <w:sz w:val="20"/>
          <w:szCs w:val="20"/>
        </w:rPr>
      </w:pPr>
      <w:r w:rsidRPr="00A13CF7">
        <w:rPr>
          <w:rFonts w:asciiTheme="majorBidi" w:hAnsiTheme="majorBidi" w:cstheme="majorBidi"/>
          <w:sz w:val="20"/>
          <w:szCs w:val="20"/>
          <w:vertAlign w:val="superscript"/>
        </w:rPr>
        <w:footnoteRef/>
      </w:r>
      <w:r w:rsidRPr="00A13CF7">
        <w:rPr>
          <w:rFonts w:asciiTheme="majorBidi" w:hAnsiTheme="majorBidi" w:cstheme="majorBidi"/>
          <w:sz w:val="20"/>
          <w:szCs w:val="20"/>
        </w:rPr>
        <w:t xml:space="preserve"> </w:t>
      </w:r>
      <w:r>
        <w:rPr>
          <w:rFonts w:asciiTheme="majorBidi" w:hAnsiTheme="majorBidi" w:cstheme="majorBidi"/>
          <w:sz w:val="20"/>
          <w:szCs w:val="20"/>
        </w:rPr>
        <w:t>These coins were minted from the late 5</w:t>
      </w:r>
      <w:r w:rsidRPr="001535DC">
        <w:rPr>
          <w:rFonts w:asciiTheme="majorBidi" w:hAnsiTheme="majorBidi" w:cstheme="majorBidi"/>
          <w:sz w:val="20"/>
          <w:szCs w:val="20"/>
          <w:vertAlign w:val="superscript"/>
        </w:rPr>
        <w:t>th</w:t>
      </w:r>
      <w:r>
        <w:rPr>
          <w:rFonts w:asciiTheme="majorBidi" w:hAnsiTheme="majorBidi" w:cstheme="majorBidi"/>
          <w:sz w:val="20"/>
          <w:szCs w:val="20"/>
        </w:rPr>
        <w:t xml:space="preserve"> century to the late 7</w:t>
      </w:r>
      <w:r w:rsidRPr="001535DC">
        <w:rPr>
          <w:rFonts w:asciiTheme="majorBidi" w:hAnsiTheme="majorBidi" w:cstheme="majorBidi"/>
          <w:sz w:val="20"/>
          <w:szCs w:val="20"/>
          <w:vertAlign w:val="superscript"/>
        </w:rPr>
        <w:t>th</w:t>
      </w:r>
      <w:r>
        <w:rPr>
          <w:rFonts w:asciiTheme="majorBidi" w:hAnsiTheme="majorBidi" w:cstheme="majorBidi"/>
          <w:sz w:val="20"/>
          <w:szCs w:val="20"/>
        </w:rPr>
        <w:t xml:space="preserve"> or the early 8</w:t>
      </w:r>
      <w:r w:rsidRPr="001535DC">
        <w:rPr>
          <w:rFonts w:asciiTheme="majorBidi" w:hAnsiTheme="majorBidi" w:cstheme="majorBidi"/>
          <w:sz w:val="20"/>
          <w:szCs w:val="20"/>
          <w:vertAlign w:val="superscript"/>
        </w:rPr>
        <w:t>th</w:t>
      </w:r>
      <w:r>
        <w:rPr>
          <w:rFonts w:asciiTheme="majorBidi" w:hAnsiTheme="majorBidi" w:cstheme="majorBidi"/>
          <w:sz w:val="20"/>
          <w:szCs w:val="20"/>
        </w:rPr>
        <w:t xml:space="preserve"> century. </w:t>
      </w:r>
      <w:r w:rsidRPr="00DF1B84">
        <w:rPr>
          <w:rFonts w:asciiTheme="majorBidi" w:hAnsiTheme="majorBidi" w:cstheme="majorBidi"/>
          <w:sz w:val="20"/>
          <w:szCs w:val="20"/>
        </w:rPr>
        <w:t xml:space="preserve">Besides the Pahlavi legend </w:t>
      </w:r>
      <w:r w:rsidRPr="00DF1B84">
        <w:rPr>
          <w:rFonts w:asciiTheme="majorBidi" w:hAnsiTheme="majorBidi" w:cstheme="majorBidi"/>
          <w:i/>
          <w:iCs/>
          <w:sz w:val="20"/>
          <w:szCs w:val="20"/>
        </w:rPr>
        <w:t>nyčky MLK῾</w:t>
      </w:r>
      <w:r w:rsidRPr="00DF1B84">
        <w:rPr>
          <w:rFonts w:asciiTheme="majorBidi" w:hAnsiTheme="majorBidi" w:cstheme="majorBidi"/>
          <w:sz w:val="20"/>
          <w:szCs w:val="20"/>
        </w:rPr>
        <w:t xml:space="preserve"> on the ob</w:t>
      </w:r>
      <w:r>
        <w:rPr>
          <w:rFonts w:asciiTheme="majorBidi" w:hAnsiTheme="majorBidi" w:cstheme="majorBidi"/>
          <w:sz w:val="20"/>
          <w:szCs w:val="20"/>
        </w:rPr>
        <w:t>vers</w:t>
      </w:r>
      <w:r w:rsidRPr="00DF1B84">
        <w:rPr>
          <w:rFonts w:asciiTheme="majorBidi" w:hAnsiTheme="majorBidi" w:cstheme="majorBidi"/>
          <w:sz w:val="20"/>
          <w:szCs w:val="20"/>
        </w:rPr>
        <w:t>e, their unique feat</w:t>
      </w:r>
      <w:r>
        <w:rPr>
          <w:rFonts w:asciiTheme="majorBidi" w:hAnsiTheme="majorBidi" w:cstheme="majorBidi"/>
          <w:sz w:val="20"/>
          <w:szCs w:val="20"/>
        </w:rPr>
        <w:t>ure</w:t>
      </w:r>
      <w:r w:rsidRPr="00DF1B84">
        <w:rPr>
          <w:rFonts w:asciiTheme="majorBidi" w:hAnsiTheme="majorBidi" w:cstheme="majorBidi"/>
          <w:sz w:val="20"/>
          <w:szCs w:val="20"/>
        </w:rPr>
        <w:t>s include a buffalo’s head on top of the crowns on the ob</w:t>
      </w:r>
      <w:r>
        <w:rPr>
          <w:rFonts w:asciiTheme="majorBidi" w:hAnsiTheme="majorBidi" w:cstheme="majorBidi"/>
          <w:sz w:val="20"/>
          <w:szCs w:val="20"/>
        </w:rPr>
        <w:t>vers</w:t>
      </w:r>
      <w:r w:rsidRPr="00DF1B84">
        <w:rPr>
          <w:rFonts w:asciiTheme="majorBidi" w:hAnsiTheme="majorBidi" w:cstheme="majorBidi"/>
          <w:sz w:val="20"/>
          <w:szCs w:val="20"/>
        </w:rPr>
        <w:t>e, and a wheel above</w:t>
      </w:r>
      <w:r>
        <w:rPr>
          <w:rFonts w:asciiTheme="majorBidi" w:hAnsiTheme="majorBidi" w:cstheme="majorBidi"/>
          <w:sz w:val="20"/>
          <w:szCs w:val="20"/>
        </w:rPr>
        <w:t xml:space="preserve"> each of the two</w:t>
      </w:r>
      <w:r w:rsidRPr="00DF1B84">
        <w:rPr>
          <w:rFonts w:asciiTheme="majorBidi" w:hAnsiTheme="majorBidi" w:cstheme="majorBidi"/>
          <w:sz w:val="20"/>
          <w:szCs w:val="20"/>
        </w:rPr>
        <w:t xml:space="preserve"> attendants of the fire altar on the reverse (</w:t>
      </w:r>
      <w:r>
        <w:rPr>
          <w:rFonts w:asciiTheme="majorBidi" w:hAnsiTheme="majorBidi" w:cstheme="majorBidi"/>
          <w:sz w:val="20"/>
          <w:szCs w:val="20"/>
        </w:rPr>
        <w:t xml:space="preserve">Vondrovec, </w:t>
      </w:r>
      <w:r w:rsidRPr="00DF1B84">
        <w:rPr>
          <w:rFonts w:asciiTheme="majorBidi" w:hAnsiTheme="majorBidi" w:cstheme="majorBidi"/>
          <w:sz w:val="20"/>
          <w:szCs w:val="20"/>
        </w:rPr>
        <w:t>2010, pp. 169-87).</w:t>
      </w:r>
      <w:r>
        <w:rPr>
          <w:rFonts w:asciiTheme="majorBidi" w:hAnsiTheme="majorBidi" w:cstheme="majorBidi"/>
          <w:sz w:val="20"/>
          <w:szCs w:val="20"/>
        </w:rPr>
        <w:t xml:space="preserve"> See also </w:t>
      </w:r>
      <w:r w:rsidRPr="00DF1B84">
        <w:rPr>
          <w:rFonts w:asciiTheme="majorBidi" w:hAnsiTheme="majorBidi" w:cstheme="majorBidi"/>
          <w:sz w:val="20"/>
          <w:szCs w:val="20"/>
        </w:rPr>
        <w:t>Inaba, 2010, pp. 191-200</w:t>
      </w:r>
      <w:r>
        <w:rPr>
          <w:rFonts w:asciiTheme="majorBidi" w:hAnsiTheme="majorBidi" w:cstheme="majorBidi"/>
          <w:sz w:val="20"/>
          <w:szCs w:val="20"/>
        </w:rPr>
        <w:t>; Grenet, 2002, pp. 217-8.</w:t>
      </w:r>
      <w:r w:rsidRPr="009C14FA">
        <w:rPr>
          <w:rFonts w:asciiTheme="majorBidi" w:hAnsiTheme="majorBidi" w:cstheme="majorBidi"/>
          <w:sz w:val="20"/>
          <w:szCs w:val="20"/>
        </w:rPr>
        <w:t xml:space="preserve"> </w:t>
      </w:r>
      <w:r>
        <w:rPr>
          <w:rFonts w:asciiTheme="majorBidi" w:hAnsiTheme="majorBidi" w:cstheme="majorBidi"/>
          <w:sz w:val="20"/>
          <w:szCs w:val="20"/>
        </w:rPr>
        <w:t xml:space="preserve">It is to </w:t>
      </w:r>
      <w:r w:rsidRPr="00C43804">
        <w:rPr>
          <w:rFonts w:asciiTheme="majorBidi" w:hAnsiTheme="majorBidi" w:cstheme="majorBidi"/>
          <w:sz w:val="20"/>
          <w:szCs w:val="20"/>
        </w:rPr>
        <w:t xml:space="preserve">Kabul </w:t>
      </w:r>
      <w:r>
        <w:rPr>
          <w:rFonts w:asciiTheme="majorBidi" w:hAnsiTheme="majorBidi" w:cstheme="majorBidi"/>
          <w:sz w:val="20"/>
          <w:szCs w:val="20"/>
        </w:rPr>
        <w:t>Sh</w:t>
      </w:r>
      <w:r w:rsidRPr="00C43804">
        <w:rPr>
          <w:rFonts w:asciiTheme="majorBidi" w:hAnsiTheme="majorBidi" w:cstheme="majorBidi"/>
          <w:sz w:val="20"/>
          <w:szCs w:val="20"/>
        </w:rPr>
        <w:t xml:space="preserve">āh, </w:t>
      </w:r>
      <w:r>
        <w:rPr>
          <w:rFonts w:asciiTheme="majorBidi" w:hAnsiTheme="majorBidi" w:cstheme="majorBidi"/>
          <w:sz w:val="20"/>
          <w:szCs w:val="20"/>
        </w:rPr>
        <w:t xml:space="preserve">the ruler of this dynasty, that Nīzak </w:t>
      </w:r>
      <w:r w:rsidRPr="00C43804">
        <w:rPr>
          <w:rFonts w:asciiTheme="majorBidi" w:hAnsiTheme="majorBidi" w:cstheme="majorBidi"/>
          <w:sz w:val="20"/>
          <w:szCs w:val="20"/>
        </w:rPr>
        <w:t xml:space="preserve">sent his baggage and sought promise of refuge during his rebellion against </w:t>
      </w:r>
      <w:r>
        <w:rPr>
          <w:rFonts w:asciiTheme="majorBidi" w:hAnsiTheme="majorBidi" w:cstheme="majorBidi"/>
          <w:sz w:val="20"/>
          <w:szCs w:val="20"/>
        </w:rPr>
        <w:t>Qutayba</w:t>
      </w:r>
      <w:r w:rsidRPr="00C43804">
        <w:rPr>
          <w:rFonts w:asciiTheme="majorBidi" w:hAnsiTheme="majorBidi" w:cstheme="majorBidi"/>
          <w:sz w:val="20"/>
          <w:szCs w:val="20"/>
        </w:rPr>
        <w:t xml:space="preserve"> (Al-Ṭabarī, 2001, volume 3, pp. 683</w:t>
      </w:r>
      <w:r>
        <w:rPr>
          <w:rFonts w:asciiTheme="majorBidi" w:hAnsiTheme="majorBidi" w:cstheme="majorBidi"/>
          <w:sz w:val="20"/>
          <w:szCs w:val="20"/>
        </w:rPr>
        <w:t>; volume 4, p. 4</w:t>
      </w:r>
      <w:r w:rsidRPr="00C43804">
        <w:rPr>
          <w:rFonts w:asciiTheme="majorBidi" w:hAnsiTheme="majorBidi" w:cstheme="majorBidi"/>
          <w:sz w:val="20"/>
          <w:szCs w:val="20"/>
        </w:rPr>
        <w:t xml:space="preserve">; </w:t>
      </w:r>
      <w:r>
        <w:rPr>
          <w:rFonts w:asciiTheme="majorBidi" w:hAnsiTheme="majorBidi" w:cstheme="majorBidi"/>
          <w:sz w:val="20"/>
          <w:szCs w:val="20"/>
        </w:rPr>
        <w:t>tr.</w:t>
      </w:r>
      <w:r w:rsidRPr="00C43804">
        <w:rPr>
          <w:rFonts w:asciiTheme="majorBidi" w:hAnsiTheme="majorBidi" w:cstheme="majorBidi"/>
          <w:sz w:val="20"/>
          <w:szCs w:val="20"/>
        </w:rPr>
        <w:t>, 1990, volume XXIII, pp. 154, 166).</w:t>
      </w:r>
    </w:p>
  </w:footnote>
  <w:footnote w:id="154">
    <w:p w14:paraId="1DBFAF02" w14:textId="255E31D0" w:rsidR="00902FCD" w:rsidRPr="002076D2" w:rsidRDefault="00902FCD" w:rsidP="00CA1C96">
      <w:pPr>
        <w:pStyle w:val="FootnoteText"/>
        <w:spacing w:line="360" w:lineRule="auto"/>
        <w:rPr>
          <w:rFonts w:asciiTheme="majorBidi" w:hAnsiTheme="majorBidi" w:cstheme="majorBidi"/>
          <w:sz w:val="20"/>
          <w:szCs w:val="20"/>
        </w:rPr>
      </w:pPr>
      <w:r w:rsidRPr="00020A39">
        <w:rPr>
          <w:rFonts w:asciiTheme="majorBidi" w:hAnsiTheme="majorBidi" w:cstheme="majorBidi"/>
          <w:sz w:val="20"/>
          <w:szCs w:val="20"/>
          <w:vertAlign w:val="superscript"/>
        </w:rPr>
        <w:footnoteRef/>
      </w:r>
      <w:r w:rsidRPr="002076D2">
        <w:rPr>
          <w:rFonts w:asciiTheme="majorBidi" w:hAnsiTheme="majorBidi" w:cstheme="majorBidi"/>
          <w:sz w:val="20"/>
          <w:szCs w:val="20"/>
        </w:rPr>
        <w:t xml:space="preserve"> </w:t>
      </w:r>
      <w:r w:rsidRPr="00685FC9">
        <w:rPr>
          <w:rFonts w:asciiTheme="majorBidi" w:hAnsiTheme="majorBidi" w:cstheme="majorBidi" w:hint="eastAsia"/>
          <w:sz w:val="20"/>
          <w:szCs w:val="20"/>
        </w:rPr>
        <w:t>Kuwayama</w:t>
      </w:r>
      <w:r w:rsidRPr="00685FC9">
        <w:rPr>
          <w:rFonts w:asciiTheme="majorBidi" w:hAnsiTheme="majorBidi" w:cstheme="majorBidi"/>
          <w:sz w:val="20"/>
          <w:szCs w:val="20"/>
        </w:rPr>
        <w:t>, 2002, p. 125.</w:t>
      </w:r>
      <w:r w:rsidRPr="002076D2">
        <w:rPr>
          <w:rFonts w:asciiTheme="majorBidi" w:hAnsiTheme="majorBidi" w:cstheme="majorBidi" w:hint="eastAsia"/>
          <w:sz w:val="20"/>
          <w:szCs w:val="20"/>
        </w:rPr>
        <w:t>W</w:t>
      </w:r>
      <w:r w:rsidRPr="002076D2">
        <w:rPr>
          <w:rFonts w:asciiTheme="majorBidi" w:hAnsiTheme="majorBidi" w:cstheme="majorBidi"/>
          <w:sz w:val="20"/>
          <w:szCs w:val="20"/>
        </w:rPr>
        <w:t>hen Xuanzang paid homage to Tong Yabghū Khāqān, the Turkic ruler was accompanied by around 200 Ṭarkhāns (</w:t>
      </w:r>
      <w:r>
        <w:rPr>
          <w:rFonts w:asciiTheme="majorBidi" w:hAnsiTheme="majorBidi" w:cstheme="majorBidi"/>
          <w:sz w:val="20"/>
          <w:szCs w:val="20"/>
        </w:rPr>
        <w:t>Huili &amp; Yancong, 2000, p. 27</w:t>
      </w:r>
      <w:r w:rsidRPr="002076D2">
        <w:rPr>
          <w:rFonts w:asciiTheme="majorBidi" w:hAnsiTheme="majorBidi" w:cstheme="majorBidi"/>
          <w:sz w:val="20"/>
          <w:szCs w:val="20"/>
        </w:rPr>
        <w:t>).</w:t>
      </w:r>
      <w:r w:rsidRPr="00CA1C96">
        <w:rPr>
          <w:rFonts w:asciiTheme="majorBidi" w:hAnsiTheme="majorBidi" w:cstheme="majorBidi"/>
          <w:sz w:val="20"/>
          <w:szCs w:val="20"/>
        </w:rPr>
        <w:t xml:space="preserve"> </w:t>
      </w:r>
      <w:r w:rsidRPr="002076D2">
        <w:rPr>
          <w:rFonts w:asciiTheme="majorBidi" w:hAnsiTheme="majorBidi" w:cstheme="majorBidi"/>
          <w:sz w:val="20"/>
          <w:szCs w:val="20"/>
        </w:rPr>
        <w:t xml:space="preserve">Al-Ṭabarī </w:t>
      </w:r>
      <w:r>
        <w:rPr>
          <w:rFonts w:asciiTheme="majorBidi" w:hAnsiTheme="majorBidi" w:cstheme="majorBidi"/>
          <w:sz w:val="20"/>
          <w:szCs w:val="20"/>
        </w:rPr>
        <w:t>reports</w:t>
      </w:r>
      <w:r w:rsidRPr="002076D2">
        <w:rPr>
          <w:rFonts w:asciiTheme="majorBidi" w:hAnsiTheme="majorBidi" w:cstheme="majorBidi"/>
          <w:sz w:val="20"/>
          <w:szCs w:val="20"/>
        </w:rPr>
        <w:t xml:space="preserve"> that this title was held by other subordinates of the Yabghū, such as his deputy Ṣūl Ṭarkhān and his police chief Khanas Ṭarkhān, who surrendered to </w:t>
      </w:r>
      <w:r>
        <w:rPr>
          <w:rFonts w:asciiTheme="majorBidi" w:hAnsiTheme="majorBidi" w:cstheme="majorBidi"/>
          <w:sz w:val="20"/>
          <w:szCs w:val="20"/>
        </w:rPr>
        <w:t>Qutayba</w:t>
      </w:r>
      <w:r w:rsidRPr="002076D2">
        <w:rPr>
          <w:rFonts w:asciiTheme="majorBidi" w:hAnsiTheme="majorBidi" w:cstheme="majorBidi"/>
          <w:sz w:val="20"/>
          <w:szCs w:val="20"/>
        </w:rPr>
        <w:t xml:space="preserve"> together with the Yabghū and Nīzak (</w:t>
      </w:r>
      <w:r w:rsidRPr="00C43804">
        <w:rPr>
          <w:rFonts w:asciiTheme="majorBidi" w:hAnsiTheme="majorBidi" w:cstheme="majorBidi"/>
          <w:sz w:val="20"/>
          <w:szCs w:val="20"/>
        </w:rPr>
        <w:t xml:space="preserve">2001, volume </w:t>
      </w:r>
      <w:r>
        <w:rPr>
          <w:rFonts w:asciiTheme="majorBidi" w:hAnsiTheme="majorBidi" w:cstheme="majorBidi"/>
          <w:sz w:val="20"/>
          <w:szCs w:val="20"/>
        </w:rPr>
        <w:t>4</w:t>
      </w:r>
      <w:r w:rsidRPr="00C43804">
        <w:rPr>
          <w:rFonts w:asciiTheme="majorBidi" w:hAnsiTheme="majorBidi" w:cstheme="majorBidi"/>
          <w:sz w:val="20"/>
          <w:szCs w:val="20"/>
        </w:rPr>
        <w:t xml:space="preserve">, p. </w:t>
      </w:r>
      <w:r>
        <w:rPr>
          <w:rFonts w:asciiTheme="majorBidi" w:hAnsiTheme="majorBidi" w:cstheme="majorBidi"/>
          <w:sz w:val="20"/>
          <w:szCs w:val="20"/>
        </w:rPr>
        <w:t>4</w:t>
      </w:r>
      <w:r w:rsidRPr="00C43804">
        <w:rPr>
          <w:rFonts w:asciiTheme="majorBidi" w:hAnsiTheme="majorBidi" w:cstheme="majorBidi"/>
          <w:sz w:val="20"/>
          <w:szCs w:val="20"/>
        </w:rPr>
        <w:t xml:space="preserve">; </w:t>
      </w:r>
      <w:r>
        <w:rPr>
          <w:rFonts w:asciiTheme="majorBidi" w:hAnsiTheme="majorBidi" w:cstheme="majorBidi"/>
          <w:sz w:val="20"/>
          <w:szCs w:val="20"/>
        </w:rPr>
        <w:t>tr.</w:t>
      </w:r>
      <w:r w:rsidRPr="00C43804">
        <w:rPr>
          <w:rFonts w:asciiTheme="majorBidi" w:hAnsiTheme="majorBidi" w:cstheme="majorBidi"/>
          <w:sz w:val="20"/>
          <w:szCs w:val="20"/>
        </w:rPr>
        <w:t>, 1990, volume XXIII, pp.</w:t>
      </w:r>
      <w:r>
        <w:rPr>
          <w:rFonts w:asciiTheme="majorBidi" w:hAnsiTheme="majorBidi" w:cstheme="majorBidi"/>
          <w:sz w:val="20"/>
          <w:szCs w:val="20"/>
        </w:rPr>
        <w:t xml:space="preserve"> 168: </w:t>
      </w:r>
      <w:r>
        <w:rPr>
          <w:rFonts w:asciiTheme="majorBidi" w:hAnsiTheme="majorBidi" w:cstheme="majorBidi" w:hint="cs"/>
          <w:sz w:val="20"/>
          <w:szCs w:val="20"/>
          <w:rtl/>
          <w:lang w:bidi="ar-JO"/>
        </w:rPr>
        <w:t>وصول طرخان خليفة جبغويه وخنس طرخان صاحب شرطه</w:t>
      </w:r>
      <w:r>
        <w:rPr>
          <w:rFonts w:asciiTheme="majorBidi" w:hAnsiTheme="majorBidi" w:cstheme="majorBidi"/>
          <w:sz w:val="20"/>
          <w:szCs w:val="20"/>
        </w:rPr>
        <w:t>; see also Ibn</w:t>
      </w:r>
      <w:r w:rsidRPr="002076D2">
        <w:rPr>
          <w:rFonts w:asciiTheme="majorBidi" w:hAnsiTheme="majorBidi" w:cstheme="majorBidi"/>
          <w:sz w:val="20"/>
          <w:szCs w:val="20"/>
        </w:rPr>
        <w:t xml:space="preserve"> </w:t>
      </w:r>
      <w:r>
        <w:rPr>
          <w:rFonts w:asciiTheme="majorBidi" w:hAnsiTheme="majorBidi" w:cstheme="majorBidi"/>
          <w:sz w:val="20"/>
          <w:szCs w:val="20"/>
        </w:rPr>
        <w:t>al</w:t>
      </w:r>
      <w:proofErr w:type="gramStart"/>
      <w:r>
        <w:rPr>
          <w:rFonts w:asciiTheme="majorBidi" w:hAnsiTheme="majorBidi" w:cstheme="majorBidi"/>
          <w:sz w:val="20"/>
          <w:szCs w:val="20"/>
        </w:rPr>
        <w:t>-‘</w:t>
      </w:r>
      <w:proofErr w:type="gramEnd"/>
      <w:r>
        <w:rPr>
          <w:rFonts w:asciiTheme="majorBidi" w:hAnsiTheme="majorBidi" w:cstheme="majorBidi"/>
          <w:sz w:val="20"/>
          <w:szCs w:val="20"/>
        </w:rPr>
        <w:t>Athīr, 1987, volume 4, p. 260</w:t>
      </w:r>
      <w:r w:rsidRPr="00685FC9">
        <w:rPr>
          <w:rFonts w:asciiTheme="majorBidi" w:hAnsiTheme="majorBidi" w:cstheme="majorBidi"/>
          <w:sz w:val="20"/>
          <w:szCs w:val="20"/>
        </w:rPr>
        <w:t>).</w:t>
      </w:r>
      <w:r>
        <w:rPr>
          <w:rFonts w:asciiTheme="majorBidi" w:hAnsiTheme="majorBidi" w:cstheme="majorBidi"/>
          <w:sz w:val="20"/>
          <w:szCs w:val="20"/>
        </w:rPr>
        <w:t xml:space="preserve"> For the Turkic titles, see the</w:t>
      </w:r>
      <w:r w:rsidRPr="00CA1C96">
        <w:rPr>
          <w:rFonts w:asciiTheme="majorBidi" w:hAnsiTheme="majorBidi" w:cstheme="majorBidi"/>
          <w:i/>
          <w:iCs/>
          <w:sz w:val="20"/>
          <w:szCs w:val="20"/>
        </w:rPr>
        <w:t xml:space="preserve"> </w:t>
      </w:r>
      <w:r w:rsidRPr="00406109">
        <w:rPr>
          <w:rFonts w:asciiTheme="majorBidi" w:hAnsiTheme="majorBidi" w:cstheme="majorBidi"/>
          <w:i/>
          <w:iCs/>
          <w:sz w:val="20"/>
          <w:szCs w:val="20"/>
        </w:rPr>
        <w:t>Xin Tangshu</w:t>
      </w:r>
      <w:r w:rsidRPr="00406109">
        <w:rPr>
          <w:rFonts w:asciiTheme="majorBidi" w:hAnsiTheme="majorBidi" w:cstheme="majorBidi"/>
          <w:sz w:val="20"/>
          <w:szCs w:val="20"/>
        </w:rPr>
        <w:t xml:space="preserve"> (Ouyang &amp; Song, 1995, volume 215a, p. </w:t>
      </w:r>
      <w:r>
        <w:rPr>
          <w:rFonts w:asciiTheme="majorBidi" w:hAnsiTheme="majorBidi" w:cstheme="majorBidi"/>
          <w:sz w:val="20"/>
          <w:szCs w:val="20"/>
        </w:rPr>
        <w:t>6028</w:t>
      </w:r>
      <w:r w:rsidRPr="00406109">
        <w:rPr>
          <w:rFonts w:asciiTheme="majorBidi" w:hAnsiTheme="majorBidi" w:cstheme="majorBidi"/>
          <w:sz w:val="20"/>
          <w:szCs w:val="20"/>
        </w:rPr>
        <w:t>)</w:t>
      </w:r>
      <w:r>
        <w:rPr>
          <w:rFonts w:asciiTheme="majorBidi" w:hAnsiTheme="majorBidi" w:cstheme="majorBidi"/>
          <w:sz w:val="20"/>
          <w:szCs w:val="20"/>
        </w:rPr>
        <w:t>, which</w:t>
      </w:r>
      <w:r w:rsidRPr="00406109">
        <w:rPr>
          <w:rFonts w:asciiTheme="majorBidi" w:hAnsiTheme="majorBidi" w:cstheme="majorBidi"/>
          <w:sz w:val="20"/>
          <w:szCs w:val="20"/>
        </w:rPr>
        <w:t xml:space="preserve"> lists </w:t>
      </w:r>
      <w:r w:rsidRPr="005857DB">
        <w:rPr>
          <w:rFonts w:asciiTheme="majorBidi" w:hAnsiTheme="majorBidi" w:cstheme="majorBidi"/>
          <w:i/>
          <w:iCs/>
          <w:sz w:val="20"/>
          <w:szCs w:val="20"/>
        </w:rPr>
        <w:t>shad</w:t>
      </w:r>
      <w:r w:rsidRPr="00406109">
        <w:rPr>
          <w:rFonts w:asciiTheme="majorBidi" w:hAnsiTheme="majorBidi" w:cstheme="majorBidi"/>
          <w:sz w:val="20"/>
          <w:szCs w:val="20"/>
        </w:rPr>
        <w:t xml:space="preserve">, </w:t>
      </w:r>
      <w:r w:rsidRPr="005857DB">
        <w:rPr>
          <w:rFonts w:asciiTheme="majorBidi" w:hAnsiTheme="majorBidi" w:cstheme="majorBidi"/>
          <w:i/>
          <w:iCs/>
          <w:sz w:val="20"/>
          <w:szCs w:val="20"/>
        </w:rPr>
        <w:t>yabghū</w:t>
      </w:r>
      <w:r w:rsidRPr="00406109">
        <w:rPr>
          <w:rFonts w:asciiTheme="majorBidi" w:hAnsiTheme="majorBidi" w:cstheme="majorBidi"/>
          <w:sz w:val="20"/>
          <w:szCs w:val="20"/>
        </w:rPr>
        <w:t xml:space="preserve">, </w:t>
      </w:r>
      <w:r w:rsidRPr="005857DB">
        <w:rPr>
          <w:rFonts w:asciiTheme="majorBidi" w:hAnsiTheme="majorBidi" w:cstheme="majorBidi"/>
          <w:i/>
          <w:iCs/>
          <w:sz w:val="20"/>
          <w:szCs w:val="20"/>
        </w:rPr>
        <w:t>tegin</w:t>
      </w:r>
      <w:r w:rsidRPr="00406109">
        <w:rPr>
          <w:rFonts w:asciiTheme="majorBidi" w:hAnsiTheme="majorBidi" w:cstheme="majorBidi"/>
          <w:sz w:val="20"/>
          <w:szCs w:val="20"/>
        </w:rPr>
        <w:t xml:space="preserve">, </w:t>
      </w:r>
      <w:r w:rsidRPr="005857DB">
        <w:rPr>
          <w:rFonts w:asciiTheme="majorBidi" w:hAnsiTheme="majorBidi" w:cstheme="majorBidi"/>
          <w:i/>
          <w:iCs/>
          <w:sz w:val="20"/>
          <w:szCs w:val="20"/>
        </w:rPr>
        <w:t>ṭarkhān</w:t>
      </w:r>
      <w:r w:rsidRPr="00406109">
        <w:rPr>
          <w:rFonts w:asciiTheme="majorBidi" w:hAnsiTheme="majorBidi" w:cstheme="majorBidi"/>
          <w:sz w:val="20"/>
          <w:szCs w:val="20"/>
        </w:rPr>
        <w:t xml:space="preserve"> and other titles</w:t>
      </w:r>
      <w:r>
        <w:rPr>
          <w:rFonts w:asciiTheme="majorBidi" w:hAnsiTheme="majorBidi" w:cstheme="majorBidi"/>
          <w:sz w:val="20"/>
          <w:szCs w:val="20"/>
        </w:rPr>
        <w:t xml:space="preserve">. See </w:t>
      </w:r>
      <w:r w:rsidRPr="00406109">
        <w:rPr>
          <w:rFonts w:asciiTheme="majorBidi" w:hAnsiTheme="majorBidi" w:cstheme="majorBidi"/>
          <w:sz w:val="20"/>
          <w:szCs w:val="20"/>
        </w:rPr>
        <w:t xml:space="preserve">the Orkhon inscriptions </w:t>
      </w:r>
      <w:r>
        <w:rPr>
          <w:rFonts w:asciiTheme="majorBidi" w:hAnsiTheme="majorBidi" w:cstheme="majorBidi"/>
          <w:sz w:val="20"/>
          <w:szCs w:val="20"/>
        </w:rPr>
        <w:t xml:space="preserve">too </w:t>
      </w:r>
      <w:r w:rsidRPr="00406109">
        <w:rPr>
          <w:rFonts w:asciiTheme="majorBidi" w:hAnsiTheme="majorBidi" w:cstheme="majorBidi"/>
          <w:sz w:val="20"/>
          <w:szCs w:val="20"/>
        </w:rPr>
        <w:t>for some of the titles</w:t>
      </w:r>
      <w:r>
        <w:rPr>
          <w:rFonts w:asciiTheme="majorBidi" w:hAnsiTheme="majorBidi" w:cstheme="majorBidi"/>
          <w:sz w:val="20"/>
          <w:szCs w:val="20"/>
        </w:rPr>
        <w:t xml:space="preserve"> (Tekin, 1968, p. 275, 373, 380, 394); </w:t>
      </w:r>
      <w:r w:rsidRPr="00406109">
        <w:rPr>
          <w:rFonts w:asciiTheme="majorBidi" w:hAnsiTheme="majorBidi" w:cstheme="majorBidi"/>
          <w:sz w:val="20"/>
          <w:szCs w:val="20"/>
        </w:rPr>
        <w:t>Bosworth &amp; Clauson, 1965, pp. 6, 11-2.</w:t>
      </w:r>
      <w:r>
        <w:rPr>
          <w:rFonts w:asciiTheme="majorBidi" w:hAnsiTheme="majorBidi" w:cstheme="majorBidi"/>
          <w:sz w:val="20"/>
          <w:szCs w:val="20"/>
        </w:rPr>
        <w:t xml:space="preserve"> The title </w:t>
      </w:r>
      <w:r w:rsidRPr="002076D2">
        <w:rPr>
          <w:rFonts w:asciiTheme="majorBidi" w:hAnsiTheme="majorBidi" w:cstheme="majorBidi"/>
          <w:sz w:val="20"/>
          <w:szCs w:val="20"/>
        </w:rPr>
        <w:t>Ṭarkhān</w:t>
      </w:r>
      <w:r>
        <w:rPr>
          <w:rFonts w:asciiTheme="majorBidi" w:hAnsiTheme="majorBidi" w:cstheme="majorBidi"/>
          <w:sz w:val="20"/>
          <w:szCs w:val="20"/>
        </w:rPr>
        <w:t xml:space="preserve"> is also attested in the coins of Pangul (see coins Types 245 and 245C in Vondrovec, 2014, volume II, pp. 545-8). However, </w:t>
      </w:r>
      <w:r w:rsidRPr="005857DB">
        <w:rPr>
          <w:rFonts w:asciiTheme="majorBidi" w:hAnsiTheme="majorBidi" w:cstheme="majorBidi"/>
          <w:sz w:val="20"/>
          <w:szCs w:val="20"/>
        </w:rPr>
        <w:t>it is hard to conclude whether this Pangul was the ruler of</w:t>
      </w:r>
      <w:r>
        <w:rPr>
          <w:rFonts w:asciiTheme="majorBidi" w:hAnsiTheme="majorBidi" w:cstheme="majorBidi"/>
          <w:sz w:val="20"/>
          <w:szCs w:val="20"/>
        </w:rPr>
        <w:t xml:space="preserve"> the</w:t>
      </w:r>
      <w:r w:rsidRPr="005857DB">
        <w:rPr>
          <w:rFonts w:asciiTheme="majorBidi" w:hAnsiTheme="majorBidi" w:cstheme="majorBidi"/>
          <w:sz w:val="20"/>
          <w:szCs w:val="20"/>
        </w:rPr>
        <w:t xml:space="preserve"> principality in Ṭukhāristān or Z</w:t>
      </w:r>
      <w:r>
        <w:rPr>
          <w:rFonts w:asciiTheme="majorBidi" w:hAnsiTheme="majorBidi" w:cstheme="majorBidi"/>
          <w:sz w:val="20"/>
          <w:szCs w:val="20"/>
        </w:rPr>
        <w:t>ā</w:t>
      </w:r>
      <w:r w:rsidRPr="005857DB">
        <w:rPr>
          <w:rFonts w:asciiTheme="majorBidi" w:hAnsiTheme="majorBidi" w:cstheme="majorBidi"/>
          <w:sz w:val="20"/>
          <w:szCs w:val="20"/>
        </w:rPr>
        <w:t>bulist</w:t>
      </w:r>
      <w:r>
        <w:rPr>
          <w:rFonts w:asciiTheme="majorBidi" w:hAnsiTheme="majorBidi" w:cstheme="majorBidi"/>
          <w:sz w:val="20"/>
          <w:szCs w:val="20"/>
        </w:rPr>
        <w:t>ā</w:t>
      </w:r>
      <w:r w:rsidRPr="005857DB">
        <w:rPr>
          <w:rFonts w:asciiTheme="majorBidi" w:hAnsiTheme="majorBidi" w:cstheme="majorBidi"/>
          <w:sz w:val="20"/>
          <w:szCs w:val="20"/>
        </w:rPr>
        <w:t>n</w:t>
      </w:r>
      <w:r>
        <w:rPr>
          <w:rFonts w:asciiTheme="majorBidi" w:hAnsiTheme="majorBidi" w:cstheme="majorBidi"/>
          <w:sz w:val="20"/>
          <w:szCs w:val="20"/>
        </w:rPr>
        <w:t xml:space="preserve"> and when these coins were minted</w:t>
      </w:r>
      <w:r w:rsidRPr="005857DB">
        <w:rPr>
          <w:rFonts w:asciiTheme="majorBidi" w:hAnsiTheme="majorBidi" w:cstheme="majorBidi"/>
          <w:sz w:val="20"/>
          <w:szCs w:val="20"/>
        </w:rPr>
        <w:t>.</w:t>
      </w:r>
    </w:p>
  </w:footnote>
  <w:footnote w:id="155">
    <w:p w14:paraId="58EF64FE" w14:textId="22B96BCD" w:rsidR="00902FCD" w:rsidRPr="004E39D8" w:rsidRDefault="00902FCD" w:rsidP="007F00B2">
      <w:pPr>
        <w:pStyle w:val="FootnoteText"/>
        <w:spacing w:line="360" w:lineRule="auto"/>
        <w:rPr>
          <w:rFonts w:asciiTheme="majorBidi" w:hAnsiTheme="majorBidi" w:cstheme="majorBidi"/>
          <w:sz w:val="20"/>
          <w:szCs w:val="20"/>
        </w:rPr>
      </w:pPr>
      <w:r w:rsidRPr="004E39D8">
        <w:rPr>
          <w:rFonts w:asciiTheme="majorBidi" w:hAnsiTheme="majorBidi" w:cstheme="majorBidi"/>
          <w:sz w:val="20"/>
          <w:szCs w:val="20"/>
          <w:vertAlign w:val="superscript"/>
        </w:rPr>
        <w:footnoteRef/>
      </w:r>
      <w:r w:rsidRPr="004E39D8">
        <w:rPr>
          <w:rFonts w:asciiTheme="majorBidi" w:hAnsiTheme="majorBidi" w:cstheme="majorBidi"/>
          <w:sz w:val="20"/>
          <w:szCs w:val="20"/>
        </w:rPr>
        <w:t xml:space="preserve"> Ghirshman</w:t>
      </w:r>
      <w:r>
        <w:rPr>
          <w:rFonts w:asciiTheme="majorBidi" w:hAnsiTheme="majorBidi" w:cstheme="majorBidi"/>
          <w:sz w:val="20"/>
          <w:szCs w:val="20"/>
        </w:rPr>
        <w:t xml:space="preserve"> (</w:t>
      </w:r>
      <w:r w:rsidRPr="004E39D8">
        <w:rPr>
          <w:rFonts w:asciiTheme="majorBidi" w:hAnsiTheme="majorBidi" w:cstheme="majorBidi"/>
          <w:sz w:val="20"/>
          <w:szCs w:val="20"/>
        </w:rPr>
        <w:t>1948, p. 98</w:t>
      </w:r>
      <w:r>
        <w:rPr>
          <w:rFonts w:asciiTheme="majorBidi" w:hAnsiTheme="majorBidi" w:cstheme="majorBidi"/>
          <w:sz w:val="20"/>
          <w:szCs w:val="20"/>
        </w:rPr>
        <w:t xml:space="preserve">) argues that the episode occurred in the 650s; Bosworth (2018, p. 240) dates it to the 700s. De la Vaissière discusses this issue in details and suggests that Nīzak’s execution of the Barmak was in the 670s (2010a, pp. 525-7). See also van Bladel, 2011, pp. 63, 65-6, 69. The story of Barmak, including his visiting Mecca and converting to Islam, is legendary to glorify the family. The Barmakids’ adherence to the Arabs and later conversion to Islam are more likely politically motivated. </w:t>
      </w:r>
    </w:p>
  </w:footnote>
  <w:footnote w:id="156">
    <w:p w14:paraId="73025078" w14:textId="5547ABE5" w:rsidR="00902FCD" w:rsidRPr="005223F3" w:rsidRDefault="00902FCD" w:rsidP="00F1425F">
      <w:pPr>
        <w:pStyle w:val="FootnoteText"/>
        <w:spacing w:line="360" w:lineRule="auto"/>
        <w:rPr>
          <w:rFonts w:asciiTheme="majorBidi" w:hAnsiTheme="majorBidi" w:cstheme="majorBidi"/>
          <w:sz w:val="20"/>
          <w:szCs w:val="20"/>
        </w:rPr>
      </w:pPr>
      <w:r w:rsidRPr="005D58DB">
        <w:rPr>
          <w:rFonts w:asciiTheme="majorBidi" w:hAnsiTheme="majorBidi" w:cstheme="majorBidi"/>
          <w:sz w:val="20"/>
          <w:szCs w:val="20"/>
          <w:vertAlign w:val="superscript"/>
        </w:rPr>
        <w:footnoteRef/>
      </w:r>
      <w:r w:rsidRPr="005D58DB">
        <w:rPr>
          <w:rFonts w:asciiTheme="majorBidi" w:hAnsiTheme="majorBidi" w:cstheme="majorBidi"/>
          <w:sz w:val="20"/>
          <w:szCs w:val="20"/>
        </w:rPr>
        <w:t xml:space="preserve"> </w:t>
      </w:r>
      <w:r>
        <w:rPr>
          <w:rFonts w:asciiTheme="majorBidi" w:hAnsiTheme="majorBidi" w:cstheme="majorBidi"/>
          <w:sz w:val="20"/>
          <w:szCs w:val="20"/>
        </w:rPr>
        <w:t xml:space="preserve">Al-Kūfī, 1975, volume 7, p. 215; </w:t>
      </w:r>
      <w:r w:rsidRPr="005D58DB">
        <w:rPr>
          <w:rFonts w:asciiTheme="majorBidi" w:hAnsiTheme="majorBidi" w:cstheme="majorBidi" w:hint="eastAsia"/>
          <w:sz w:val="20"/>
          <w:szCs w:val="20"/>
        </w:rPr>
        <w:t>E</w:t>
      </w:r>
      <w:r w:rsidRPr="005D58DB">
        <w:rPr>
          <w:rFonts w:asciiTheme="majorBidi" w:hAnsiTheme="majorBidi" w:cstheme="majorBidi"/>
          <w:sz w:val="20"/>
          <w:szCs w:val="20"/>
        </w:rPr>
        <w:t>sin, 1977, p. 325</w:t>
      </w:r>
      <w:r>
        <w:rPr>
          <w:rFonts w:asciiTheme="majorBidi" w:hAnsiTheme="majorBidi" w:cstheme="majorBidi"/>
          <w:sz w:val="20"/>
          <w:szCs w:val="20"/>
        </w:rPr>
        <w:t>; Bosworth, 2008, p. 240</w:t>
      </w:r>
      <w:r w:rsidRPr="005D58DB">
        <w:rPr>
          <w:rFonts w:asciiTheme="majorBidi" w:hAnsiTheme="majorBidi" w:cstheme="majorBidi"/>
          <w:sz w:val="20"/>
          <w:szCs w:val="20"/>
        </w:rPr>
        <w:t>.</w:t>
      </w:r>
      <w:r w:rsidR="00C72D9C">
        <w:rPr>
          <w:rFonts w:asciiTheme="majorBidi" w:hAnsiTheme="majorBidi" w:cstheme="majorBidi"/>
          <w:sz w:val="20"/>
          <w:szCs w:val="20"/>
        </w:rPr>
        <w:t xml:space="preserve"> Gardīzī </w:t>
      </w:r>
      <w:r w:rsidR="00C544C7">
        <w:rPr>
          <w:rFonts w:asciiTheme="majorBidi" w:hAnsiTheme="majorBidi" w:cstheme="majorBidi"/>
          <w:sz w:val="20"/>
          <w:szCs w:val="20"/>
        </w:rPr>
        <w:t>(</w:t>
      </w:r>
      <w:r w:rsidR="00C544C7">
        <w:rPr>
          <w:rFonts w:asciiTheme="majorBidi" w:hAnsiTheme="majorBidi" w:cstheme="majorBidi"/>
          <w:sz w:val="20"/>
          <w:szCs w:val="20"/>
        </w:rPr>
        <w:t>1984, P. 237; tr., 2011, p. 17:</w:t>
      </w:r>
      <w:r w:rsidR="00C544C7">
        <w:rPr>
          <w:rFonts w:asciiTheme="majorBidi" w:hAnsiTheme="majorBidi" w:cstheme="majorBidi"/>
          <w:sz w:val="20"/>
          <w:szCs w:val="20"/>
        </w:rPr>
        <w:t xml:space="preserve"> </w:t>
      </w:r>
      <w:r w:rsidR="00C544C7">
        <w:rPr>
          <w:rFonts w:asciiTheme="majorBidi" w:hAnsiTheme="majorBidi" w:cstheme="majorBidi" w:hint="cs"/>
          <w:sz w:val="20"/>
          <w:szCs w:val="20"/>
          <w:rtl/>
          <w:lang w:bidi="ar-JO"/>
        </w:rPr>
        <w:t>واندر سنه احدى وخمسين مردمان بادغيس و</w:t>
      </w:r>
      <w:r w:rsidR="00C544C7" w:rsidRPr="00C544C7">
        <w:rPr>
          <w:rFonts w:asciiTheme="majorBidi" w:hAnsiTheme="majorBidi" w:cs="Times New Roman" w:hint="cs"/>
          <w:sz w:val="20"/>
          <w:szCs w:val="20"/>
          <w:rtl/>
          <w:lang w:bidi="ar-JO"/>
        </w:rPr>
        <w:t>گنج</w:t>
      </w:r>
      <w:r w:rsidR="00C544C7">
        <w:rPr>
          <w:rFonts w:asciiTheme="majorBidi" w:hAnsiTheme="majorBidi" w:cs="Times New Roman" w:hint="cs"/>
          <w:sz w:val="20"/>
          <w:szCs w:val="20"/>
          <w:rtl/>
          <w:lang w:bidi="ar-JO"/>
        </w:rPr>
        <w:t xml:space="preserve"> روستا مرتد شدند</w:t>
      </w:r>
      <w:r w:rsidR="00C544C7">
        <w:rPr>
          <w:rFonts w:asciiTheme="majorBidi" w:hAnsiTheme="majorBidi" w:cstheme="majorBidi"/>
          <w:sz w:val="20"/>
          <w:szCs w:val="20"/>
        </w:rPr>
        <w:t xml:space="preserve">) </w:t>
      </w:r>
      <w:r w:rsidR="00C72D9C">
        <w:rPr>
          <w:rFonts w:asciiTheme="majorBidi" w:hAnsiTheme="majorBidi" w:cstheme="majorBidi"/>
          <w:sz w:val="20"/>
          <w:szCs w:val="20"/>
        </w:rPr>
        <w:t>reports that the people of Bādghīs apostasized from Islam in 671 CE. Probably this refers to the Nīzak dynasty although not necessarily the Nīzak</w:t>
      </w:r>
      <w:r w:rsidR="00C544C7">
        <w:rPr>
          <w:rFonts w:asciiTheme="majorBidi" w:hAnsiTheme="majorBidi" w:cstheme="majorBidi"/>
          <w:sz w:val="20"/>
          <w:szCs w:val="20"/>
        </w:rPr>
        <w:t xml:space="preserve"> who was active in the 690s and the 700s</w:t>
      </w:r>
      <w:r w:rsidR="00C72D9C">
        <w:rPr>
          <w:rFonts w:asciiTheme="majorBidi" w:hAnsiTheme="majorBidi" w:cstheme="majorBidi"/>
          <w:sz w:val="20"/>
          <w:szCs w:val="20"/>
        </w:rPr>
        <w:t xml:space="preserve">. </w:t>
      </w:r>
    </w:p>
  </w:footnote>
  <w:footnote w:id="157">
    <w:p w14:paraId="3AD5F086" w14:textId="7A675510" w:rsidR="00902FCD" w:rsidRPr="00B4687D" w:rsidRDefault="00902FCD" w:rsidP="00F1425F">
      <w:pPr>
        <w:pStyle w:val="FootnoteText"/>
        <w:spacing w:line="360" w:lineRule="auto"/>
        <w:rPr>
          <w:rFonts w:asciiTheme="majorBidi" w:hAnsiTheme="majorBidi" w:cstheme="majorBidi"/>
          <w:sz w:val="20"/>
          <w:szCs w:val="20"/>
        </w:rPr>
      </w:pPr>
      <w:r w:rsidRPr="00B4687D">
        <w:rPr>
          <w:rFonts w:asciiTheme="majorBidi" w:hAnsiTheme="majorBidi" w:cstheme="majorBidi"/>
          <w:sz w:val="20"/>
          <w:szCs w:val="20"/>
          <w:vertAlign w:val="superscript"/>
        </w:rPr>
        <w:footnoteRef/>
      </w:r>
      <w:r w:rsidRPr="00B4687D">
        <w:rPr>
          <w:rFonts w:asciiTheme="majorBidi" w:hAnsiTheme="majorBidi" w:cstheme="majorBidi"/>
          <w:sz w:val="20"/>
          <w:szCs w:val="20"/>
        </w:rPr>
        <w:t xml:space="preserve"> </w:t>
      </w:r>
      <w:r w:rsidRPr="00DF1B84">
        <w:rPr>
          <w:rFonts w:asciiTheme="majorBidi" w:hAnsiTheme="majorBidi" w:cstheme="majorBidi"/>
          <w:sz w:val="20"/>
          <w:szCs w:val="20"/>
          <w:lang w:bidi="ar-SA"/>
        </w:rPr>
        <w:t xml:space="preserve">Al-Ṭabarī, </w:t>
      </w:r>
      <w:r>
        <w:rPr>
          <w:rFonts w:asciiTheme="majorBidi" w:hAnsiTheme="majorBidi" w:cstheme="majorBidi"/>
          <w:sz w:val="20"/>
          <w:szCs w:val="20"/>
          <w:lang w:bidi="ar-SA"/>
        </w:rPr>
        <w:t xml:space="preserve">2001, volume 3, p. 683; </w:t>
      </w:r>
      <w:r>
        <w:rPr>
          <w:rFonts w:asciiTheme="majorBidi" w:hAnsiTheme="majorBidi" w:cstheme="majorBidi"/>
          <w:sz w:val="20"/>
          <w:szCs w:val="20"/>
        </w:rPr>
        <w:t>tr.</w:t>
      </w:r>
      <w:r>
        <w:rPr>
          <w:rFonts w:asciiTheme="majorBidi" w:hAnsiTheme="majorBidi" w:cstheme="majorBidi"/>
          <w:sz w:val="20"/>
          <w:szCs w:val="20"/>
          <w:lang w:bidi="ar-SA"/>
        </w:rPr>
        <w:t xml:space="preserve">, </w:t>
      </w:r>
      <w:r w:rsidRPr="00DF1B84">
        <w:rPr>
          <w:rFonts w:asciiTheme="majorBidi" w:hAnsiTheme="majorBidi" w:cstheme="majorBidi"/>
          <w:sz w:val="20"/>
          <w:szCs w:val="20"/>
          <w:lang w:bidi="ar-SA"/>
        </w:rPr>
        <w:t>1990, volume</w:t>
      </w:r>
      <w:r>
        <w:rPr>
          <w:rFonts w:asciiTheme="majorBidi" w:hAnsiTheme="majorBidi" w:cstheme="majorBidi"/>
          <w:sz w:val="20"/>
          <w:szCs w:val="20"/>
          <w:lang w:bidi="ar-SA"/>
        </w:rPr>
        <w:t xml:space="preserve"> XXIII, p. 154: </w:t>
      </w:r>
      <w:r>
        <w:rPr>
          <w:rFonts w:asciiTheme="majorBidi" w:hAnsiTheme="majorBidi" w:cstheme="majorBidi" w:hint="cs"/>
          <w:sz w:val="20"/>
          <w:szCs w:val="20"/>
          <w:rtl/>
          <w:lang w:bidi="ar-JO"/>
        </w:rPr>
        <w:t>فساروا سيرا شديدا حتى أتوا النوبهر فنزل يصلي فيه وتبرك به</w:t>
      </w:r>
      <w:r>
        <w:rPr>
          <w:rFonts w:asciiTheme="majorBidi" w:hAnsiTheme="majorBidi" w:cstheme="majorBidi"/>
          <w:sz w:val="20"/>
          <w:szCs w:val="20"/>
          <w:lang w:bidi="ar-SA"/>
        </w:rPr>
        <w:t>;</w:t>
      </w:r>
      <w:r>
        <w:rPr>
          <w:rFonts w:asciiTheme="majorBidi" w:hAnsiTheme="majorBidi" w:cstheme="majorBidi"/>
          <w:sz w:val="20"/>
          <w:szCs w:val="20"/>
        </w:rPr>
        <w:t xml:space="preserve"> </w:t>
      </w:r>
      <w:r w:rsidRPr="00B4687D">
        <w:rPr>
          <w:rFonts w:asciiTheme="majorBidi" w:hAnsiTheme="majorBidi" w:cstheme="majorBidi"/>
          <w:sz w:val="20"/>
          <w:szCs w:val="20"/>
        </w:rPr>
        <w:t>Bosworth, 2008, p. 240.</w:t>
      </w:r>
    </w:p>
  </w:footnote>
  <w:footnote w:id="158">
    <w:p w14:paraId="3C7911EE" w14:textId="397089AE" w:rsidR="00902FCD" w:rsidRPr="00FF71CF" w:rsidRDefault="00902FCD" w:rsidP="00817C22">
      <w:pPr>
        <w:pStyle w:val="FootnoteText"/>
        <w:spacing w:line="360" w:lineRule="auto"/>
        <w:rPr>
          <w:rFonts w:asciiTheme="majorBidi" w:hAnsiTheme="majorBidi" w:cstheme="majorBidi"/>
          <w:sz w:val="20"/>
          <w:szCs w:val="20"/>
        </w:rPr>
      </w:pPr>
      <w:r w:rsidRPr="00817C22">
        <w:rPr>
          <w:rFonts w:asciiTheme="majorBidi" w:hAnsiTheme="majorBidi" w:cstheme="majorBidi"/>
          <w:sz w:val="20"/>
          <w:szCs w:val="20"/>
          <w:vertAlign w:val="superscript"/>
        </w:rPr>
        <w:footnoteRef/>
      </w:r>
      <w:r w:rsidRPr="005C4667">
        <w:rPr>
          <w:rFonts w:asciiTheme="majorBidi" w:hAnsiTheme="majorBidi" w:cstheme="majorBidi"/>
          <w:sz w:val="20"/>
          <w:szCs w:val="20"/>
        </w:rPr>
        <w:t xml:space="preserve"> Kuwayama, 2002, pp. 107-24.</w:t>
      </w:r>
      <w:r>
        <w:rPr>
          <w:rFonts w:asciiTheme="majorBidi" w:hAnsiTheme="majorBidi" w:cstheme="majorBidi"/>
          <w:sz w:val="20"/>
          <w:szCs w:val="20"/>
        </w:rPr>
        <w:t xml:space="preserve"> T</w:t>
      </w:r>
      <w:r w:rsidRPr="00FF71CF">
        <w:rPr>
          <w:rFonts w:asciiTheme="majorBidi" w:hAnsiTheme="majorBidi" w:cstheme="majorBidi"/>
          <w:sz w:val="20"/>
          <w:szCs w:val="20"/>
        </w:rPr>
        <w:t>he Hephthalites went Bactrian</w:t>
      </w:r>
      <w:r>
        <w:rPr>
          <w:rFonts w:asciiTheme="majorBidi" w:hAnsiTheme="majorBidi" w:cstheme="majorBidi"/>
          <w:sz w:val="20"/>
          <w:szCs w:val="20"/>
        </w:rPr>
        <w:t xml:space="preserve"> in </w:t>
      </w:r>
      <w:r w:rsidRPr="00FF71CF">
        <w:rPr>
          <w:rFonts w:asciiTheme="majorBidi" w:hAnsiTheme="majorBidi" w:cstheme="majorBidi"/>
          <w:sz w:val="20"/>
          <w:szCs w:val="20"/>
        </w:rPr>
        <w:t>various aspects</w:t>
      </w:r>
      <w:r>
        <w:rPr>
          <w:rFonts w:asciiTheme="majorBidi" w:hAnsiTheme="majorBidi" w:cstheme="majorBidi"/>
          <w:sz w:val="20"/>
          <w:szCs w:val="20"/>
        </w:rPr>
        <w:t xml:space="preserve"> (d</w:t>
      </w:r>
      <w:r w:rsidRPr="00FF71CF">
        <w:rPr>
          <w:rFonts w:asciiTheme="majorBidi" w:hAnsiTheme="majorBidi" w:cstheme="majorBidi"/>
          <w:sz w:val="20"/>
          <w:szCs w:val="20"/>
        </w:rPr>
        <w:t>e la Vassière</w:t>
      </w:r>
      <w:r>
        <w:rPr>
          <w:rFonts w:asciiTheme="majorBidi" w:hAnsiTheme="majorBidi" w:cstheme="majorBidi"/>
          <w:sz w:val="20"/>
          <w:szCs w:val="20"/>
        </w:rPr>
        <w:t xml:space="preserve">, </w:t>
      </w:r>
      <w:r w:rsidRPr="0073250A">
        <w:rPr>
          <w:rFonts w:asciiTheme="majorBidi" w:hAnsiTheme="majorBidi" w:cstheme="majorBidi"/>
          <w:sz w:val="20"/>
          <w:szCs w:val="20"/>
        </w:rPr>
        <w:t>2003, p. 123</w:t>
      </w:r>
      <w:r>
        <w:rPr>
          <w:rFonts w:asciiTheme="majorBidi" w:hAnsiTheme="majorBidi" w:cstheme="majorBidi"/>
          <w:sz w:val="20"/>
          <w:szCs w:val="20"/>
        </w:rPr>
        <w:t xml:space="preserve">), which included religion and social customs such as </w:t>
      </w:r>
      <w:r w:rsidRPr="00FF71CF">
        <w:rPr>
          <w:rFonts w:asciiTheme="majorBidi" w:hAnsiTheme="majorBidi" w:cstheme="majorBidi"/>
          <w:sz w:val="20"/>
          <w:szCs w:val="20"/>
        </w:rPr>
        <w:t>polyandry</w:t>
      </w:r>
      <w:r>
        <w:rPr>
          <w:rFonts w:asciiTheme="majorBidi" w:hAnsiTheme="majorBidi" w:cstheme="majorBidi"/>
          <w:sz w:val="20"/>
          <w:szCs w:val="20"/>
        </w:rPr>
        <w:t>, which the Bactrian documents show as</w:t>
      </w:r>
      <w:r w:rsidRPr="00111834">
        <w:rPr>
          <w:rFonts w:asciiTheme="majorBidi" w:hAnsiTheme="majorBidi" w:cstheme="majorBidi"/>
          <w:sz w:val="20"/>
          <w:szCs w:val="20"/>
        </w:rPr>
        <w:t xml:space="preserve"> pre-Hephthalite (Sims-Williams, 2000, pp. 32-3; de la Vassière, 2003, p. 119</w:t>
      </w:r>
      <w:r w:rsidRPr="00FF71CF">
        <w:rPr>
          <w:rFonts w:asciiTheme="majorBidi" w:hAnsiTheme="majorBidi" w:cstheme="majorBidi"/>
          <w:sz w:val="20"/>
          <w:szCs w:val="20"/>
        </w:rPr>
        <w:t>).</w:t>
      </w:r>
    </w:p>
  </w:footnote>
  <w:footnote w:id="159">
    <w:p w14:paraId="6DBE075A" w14:textId="53403344" w:rsidR="00902FCD" w:rsidRPr="00CE7BC5" w:rsidRDefault="00902FCD" w:rsidP="00AB4C2E">
      <w:pPr>
        <w:pStyle w:val="FootnoteText"/>
        <w:spacing w:line="360" w:lineRule="auto"/>
        <w:rPr>
          <w:rFonts w:asciiTheme="majorBidi" w:hAnsiTheme="majorBidi" w:cstheme="majorBidi"/>
          <w:b/>
          <w:bCs/>
          <w:sz w:val="20"/>
          <w:szCs w:val="20"/>
        </w:rPr>
      </w:pPr>
      <w:r w:rsidRPr="00AB4C2E">
        <w:rPr>
          <w:rFonts w:asciiTheme="majorBidi" w:hAnsiTheme="majorBidi" w:cstheme="majorBidi"/>
          <w:sz w:val="20"/>
          <w:szCs w:val="20"/>
          <w:vertAlign w:val="superscript"/>
        </w:rPr>
        <w:footnoteRef/>
      </w:r>
      <w:r w:rsidRPr="00AB4C2E">
        <w:rPr>
          <w:rFonts w:asciiTheme="majorBidi" w:hAnsiTheme="majorBidi" w:cstheme="majorBidi"/>
          <w:sz w:val="20"/>
          <w:szCs w:val="20"/>
        </w:rPr>
        <w:t xml:space="preserve"> Different explanations are actually proposed to tackle this </w:t>
      </w:r>
      <w:r>
        <w:rPr>
          <w:rFonts w:asciiTheme="majorBidi" w:hAnsiTheme="majorBidi" w:cstheme="majorBidi"/>
          <w:sz w:val="20"/>
          <w:szCs w:val="20"/>
        </w:rPr>
        <w:t>issue</w:t>
      </w:r>
      <w:r w:rsidRPr="00AB4C2E">
        <w:rPr>
          <w:rFonts w:asciiTheme="majorBidi" w:hAnsiTheme="majorBidi" w:cstheme="majorBidi"/>
          <w:sz w:val="20"/>
          <w:szCs w:val="20"/>
        </w:rPr>
        <w:t xml:space="preserve">: the Muslim historians in the medieval period failed to distinguish the Hephthalites from the Turks; the Hephthalites were Turkified </w:t>
      </w:r>
      <w:r>
        <w:rPr>
          <w:rFonts w:asciiTheme="majorBidi" w:hAnsiTheme="majorBidi" w:cstheme="majorBidi"/>
          <w:sz w:val="20"/>
          <w:szCs w:val="20"/>
        </w:rPr>
        <w:t xml:space="preserve">such as Xuanzang </w:t>
      </w:r>
      <w:r w:rsidRPr="00587086">
        <w:rPr>
          <w:rFonts w:asciiTheme="majorBidi" w:hAnsiTheme="majorBidi" w:cstheme="majorBidi"/>
          <w:sz w:val="20"/>
          <w:szCs w:val="20"/>
        </w:rPr>
        <w:t>(</w:t>
      </w:r>
      <w:r>
        <w:rPr>
          <w:rFonts w:asciiTheme="majorBidi" w:hAnsiTheme="majorBidi" w:cstheme="majorBidi"/>
          <w:sz w:val="20"/>
          <w:szCs w:val="20"/>
        </w:rPr>
        <w:t xml:space="preserve">2000, </w:t>
      </w:r>
      <w:r w:rsidRPr="00587086">
        <w:rPr>
          <w:rFonts w:asciiTheme="majorBidi" w:hAnsiTheme="majorBidi" w:cstheme="majorBidi"/>
          <w:sz w:val="20"/>
          <w:szCs w:val="20"/>
        </w:rPr>
        <w:t>volume 12,</w:t>
      </w:r>
      <w:r>
        <w:rPr>
          <w:rFonts w:asciiTheme="majorBidi" w:hAnsiTheme="majorBidi" w:cstheme="majorBidi"/>
          <w:sz w:val="20"/>
          <w:szCs w:val="20"/>
        </w:rPr>
        <w:t xml:space="preserve"> p. 969; tr., Li, pp. 319-20</w:t>
      </w:r>
      <w:r w:rsidRPr="00587086">
        <w:rPr>
          <w:rFonts w:asciiTheme="majorBidi" w:hAnsiTheme="majorBidi" w:cstheme="majorBidi"/>
          <w:sz w:val="20"/>
          <w:szCs w:val="20"/>
        </w:rPr>
        <w:t>)</w:t>
      </w:r>
      <w:r>
        <w:rPr>
          <w:rFonts w:asciiTheme="majorBidi" w:hAnsiTheme="majorBidi" w:cstheme="majorBidi"/>
          <w:sz w:val="20"/>
          <w:szCs w:val="20"/>
        </w:rPr>
        <w:t xml:space="preserve"> reporting that </w:t>
      </w:r>
      <w:r w:rsidRPr="00587086">
        <w:rPr>
          <w:rFonts w:asciiTheme="majorBidi" w:hAnsiTheme="majorBidi" w:cstheme="majorBidi"/>
          <w:sz w:val="20"/>
          <w:szCs w:val="20"/>
        </w:rPr>
        <w:t xml:space="preserve">a region of the Hephthalites in the eastern part of </w:t>
      </w:r>
      <w:r>
        <w:rPr>
          <w:rFonts w:asciiTheme="majorBidi" w:hAnsiTheme="majorBidi" w:cstheme="majorBidi"/>
          <w:sz w:val="20"/>
          <w:szCs w:val="20"/>
        </w:rPr>
        <w:t>Ṭukhāristān</w:t>
      </w:r>
      <w:r w:rsidRPr="00587086">
        <w:rPr>
          <w:rFonts w:asciiTheme="majorBidi" w:hAnsiTheme="majorBidi" w:cstheme="majorBidi"/>
          <w:sz w:val="20"/>
          <w:szCs w:val="20"/>
        </w:rPr>
        <w:t xml:space="preserve"> followed the custom of the Turks simply because they were neighbors</w:t>
      </w:r>
      <w:r>
        <w:rPr>
          <w:rFonts w:asciiTheme="majorBidi" w:hAnsiTheme="majorBidi" w:cstheme="majorBidi"/>
          <w:sz w:val="20"/>
          <w:szCs w:val="20"/>
        </w:rPr>
        <w:t>,</w:t>
      </w:r>
      <w:r w:rsidRPr="00AB4C2E">
        <w:rPr>
          <w:rFonts w:asciiTheme="majorBidi" w:hAnsiTheme="majorBidi" w:cstheme="majorBidi"/>
          <w:sz w:val="20"/>
          <w:szCs w:val="20"/>
        </w:rPr>
        <w:t xml:space="preserve"> and </w:t>
      </w:r>
      <w:r>
        <w:rPr>
          <w:rFonts w:asciiTheme="majorBidi" w:hAnsiTheme="majorBidi" w:cstheme="majorBidi"/>
          <w:sz w:val="20"/>
          <w:szCs w:val="20"/>
        </w:rPr>
        <w:t xml:space="preserve">therefore were </w:t>
      </w:r>
      <w:r w:rsidRPr="00AB4C2E">
        <w:rPr>
          <w:rFonts w:asciiTheme="majorBidi" w:hAnsiTheme="majorBidi" w:cstheme="majorBidi"/>
          <w:sz w:val="20"/>
          <w:szCs w:val="20"/>
        </w:rPr>
        <w:t>called Turks</w:t>
      </w:r>
      <w:r>
        <w:rPr>
          <w:rFonts w:asciiTheme="majorBidi" w:hAnsiTheme="majorBidi" w:cstheme="majorBidi"/>
          <w:sz w:val="20"/>
          <w:szCs w:val="20"/>
        </w:rPr>
        <w:t>.</w:t>
      </w:r>
      <w:r w:rsidRPr="002C6D1B">
        <w:rPr>
          <w:rFonts w:asciiTheme="majorBidi" w:hAnsiTheme="majorBidi" w:cstheme="majorBidi"/>
          <w:sz w:val="20"/>
          <w:szCs w:val="20"/>
        </w:rPr>
        <w:t xml:space="preserve"> </w:t>
      </w:r>
      <w:r>
        <w:rPr>
          <w:rFonts w:asciiTheme="majorBidi" w:hAnsiTheme="majorBidi" w:cstheme="majorBidi"/>
          <w:sz w:val="20"/>
          <w:szCs w:val="20"/>
        </w:rPr>
        <w:t xml:space="preserve">However, </w:t>
      </w:r>
      <w:r w:rsidRPr="00587086">
        <w:rPr>
          <w:rFonts w:asciiTheme="majorBidi" w:hAnsiTheme="majorBidi" w:cstheme="majorBidi"/>
          <w:sz w:val="20"/>
          <w:szCs w:val="20"/>
        </w:rPr>
        <w:t xml:space="preserve">the Turkification is a process that took centuries and </w:t>
      </w:r>
      <w:r>
        <w:rPr>
          <w:rFonts w:asciiTheme="majorBidi" w:hAnsiTheme="majorBidi" w:cstheme="majorBidi"/>
          <w:sz w:val="20"/>
          <w:szCs w:val="20"/>
        </w:rPr>
        <w:t>is</w:t>
      </w:r>
      <w:r w:rsidRPr="00587086">
        <w:rPr>
          <w:rFonts w:asciiTheme="majorBidi" w:hAnsiTheme="majorBidi" w:cstheme="majorBidi"/>
          <w:sz w:val="20"/>
          <w:szCs w:val="20"/>
        </w:rPr>
        <w:t xml:space="preserve"> not expected to accomplish at this stage.</w:t>
      </w:r>
      <w:r>
        <w:rPr>
          <w:rFonts w:asciiTheme="majorBidi" w:hAnsiTheme="majorBidi" w:cstheme="majorBidi"/>
          <w:sz w:val="20"/>
          <w:szCs w:val="20"/>
        </w:rPr>
        <w:t xml:space="preserve"> Two records of a</w:t>
      </w:r>
      <w:r w:rsidRPr="002C6D1B">
        <w:rPr>
          <w:rFonts w:asciiTheme="majorBidi" w:hAnsiTheme="majorBidi" w:cstheme="majorBidi"/>
          <w:sz w:val="20"/>
          <w:szCs w:val="20"/>
        </w:rPr>
        <w:t>l-Balādhurī</w:t>
      </w:r>
      <w:r>
        <w:rPr>
          <w:rFonts w:asciiTheme="majorBidi" w:hAnsiTheme="majorBidi" w:cstheme="majorBidi"/>
          <w:sz w:val="20"/>
          <w:szCs w:val="20"/>
        </w:rPr>
        <w:t xml:space="preserve"> (</w:t>
      </w:r>
      <w:r w:rsidRPr="00587086">
        <w:rPr>
          <w:rFonts w:asciiTheme="majorBidi" w:hAnsiTheme="majorBidi" w:cstheme="majorBidi"/>
          <w:sz w:val="20"/>
          <w:szCs w:val="20"/>
        </w:rPr>
        <w:t>1987, p</w:t>
      </w:r>
      <w:r>
        <w:rPr>
          <w:rFonts w:asciiTheme="majorBidi" w:hAnsiTheme="majorBidi" w:cstheme="majorBidi"/>
          <w:sz w:val="20"/>
          <w:szCs w:val="20"/>
        </w:rPr>
        <w:t>p</w:t>
      </w:r>
      <w:r w:rsidRPr="00587086">
        <w:rPr>
          <w:rFonts w:asciiTheme="majorBidi" w:hAnsiTheme="majorBidi" w:cstheme="majorBidi"/>
          <w:sz w:val="20"/>
          <w:szCs w:val="20"/>
        </w:rPr>
        <w:t>. 567</w:t>
      </w:r>
      <w:r>
        <w:rPr>
          <w:rFonts w:asciiTheme="majorBidi" w:hAnsiTheme="majorBidi" w:cstheme="majorBidi"/>
          <w:sz w:val="20"/>
          <w:szCs w:val="20"/>
        </w:rPr>
        <w:t>, 588</w:t>
      </w:r>
      <w:r w:rsidRPr="00587086">
        <w:rPr>
          <w:rFonts w:asciiTheme="majorBidi" w:hAnsiTheme="majorBidi" w:cstheme="majorBidi"/>
          <w:sz w:val="20"/>
          <w:szCs w:val="20"/>
        </w:rPr>
        <w:t xml:space="preserve">; </w:t>
      </w:r>
      <w:r>
        <w:rPr>
          <w:rFonts w:asciiTheme="majorBidi" w:hAnsiTheme="majorBidi" w:cstheme="majorBidi"/>
          <w:sz w:val="20"/>
          <w:szCs w:val="20"/>
        </w:rPr>
        <w:t>tr.</w:t>
      </w:r>
      <w:r w:rsidRPr="00587086">
        <w:rPr>
          <w:rFonts w:asciiTheme="majorBidi" w:hAnsiTheme="majorBidi" w:cstheme="majorBidi"/>
          <w:sz w:val="20"/>
          <w:szCs w:val="20"/>
        </w:rPr>
        <w:t xml:space="preserve">, </w:t>
      </w:r>
      <w:r>
        <w:rPr>
          <w:rFonts w:asciiTheme="majorBidi" w:hAnsiTheme="majorBidi" w:cstheme="majorBidi"/>
          <w:sz w:val="20"/>
          <w:szCs w:val="20"/>
        </w:rPr>
        <w:t xml:space="preserve">part II, </w:t>
      </w:r>
      <w:r w:rsidRPr="00587086">
        <w:rPr>
          <w:rFonts w:asciiTheme="majorBidi" w:hAnsiTheme="majorBidi" w:cstheme="majorBidi"/>
          <w:sz w:val="20"/>
          <w:szCs w:val="20"/>
        </w:rPr>
        <w:t>1924, p</w:t>
      </w:r>
      <w:r>
        <w:rPr>
          <w:rFonts w:asciiTheme="majorBidi" w:hAnsiTheme="majorBidi" w:cstheme="majorBidi"/>
          <w:sz w:val="20"/>
          <w:szCs w:val="20"/>
        </w:rPr>
        <w:t>p</w:t>
      </w:r>
      <w:r w:rsidRPr="00587086">
        <w:rPr>
          <w:rFonts w:asciiTheme="majorBidi" w:hAnsiTheme="majorBidi" w:cstheme="majorBidi"/>
          <w:sz w:val="20"/>
          <w:szCs w:val="20"/>
        </w:rPr>
        <w:t>. 160</w:t>
      </w:r>
      <w:r>
        <w:rPr>
          <w:rFonts w:asciiTheme="majorBidi" w:hAnsiTheme="majorBidi" w:cstheme="majorBidi"/>
          <w:sz w:val="20"/>
          <w:szCs w:val="20"/>
        </w:rPr>
        <w:t xml:space="preserve">, 184: </w:t>
      </w:r>
      <w:r>
        <w:rPr>
          <w:rFonts w:asciiTheme="majorBidi" w:hAnsiTheme="majorBidi" w:cstheme="majorBidi" w:hint="cs"/>
          <w:sz w:val="20"/>
          <w:szCs w:val="20"/>
          <w:rtl/>
          <w:lang w:bidi="ar-JO"/>
        </w:rPr>
        <w:t>الهياطلة وهم اتراك</w:t>
      </w:r>
      <w:r>
        <w:rPr>
          <w:rFonts w:asciiTheme="majorBidi" w:hAnsiTheme="majorBidi" w:cstheme="majorBidi"/>
          <w:sz w:val="20"/>
          <w:szCs w:val="20"/>
          <w:lang w:bidi="ar-JO"/>
        </w:rPr>
        <w:t xml:space="preserve">; </w:t>
      </w:r>
      <w:r>
        <w:rPr>
          <w:rFonts w:asciiTheme="majorBidi" w:hAnsiTheme="majorBidi" w:cstheme="majorBidi" w:hint="cs"/>
          <w:sz w:val="20"/>
          <w:szCs w:val="20"/>
          <w:rtl/>
          <w:lang w:bidi="ar-JO"/>
        </w:rPr>
        <w:t>وخرج اليه من اهل الترمذ خلق من الهياطلة والترك</w:t>
      </w:r>
      <w:r>
        <w:rPr>
          <w:rFonts w:asciiTheme="majorBidi" w:hAnsiTheme="majorBidi" w:cstheme="majorBidi"/>
          <w:sz w:val="20"/>
          <w:szCs w:val="20"/>
        </w:rPr>
        <w:t xml:space="preserve">), however, point to a third solution: the Hephthalites appeared together with their lord the Turks. The hegonomy of the Turks over the Hephthalites was supported by </w:t>
      </w:r>
      <w:r w:rsidRPr="00CE7BC5">
        <w:rPr>
          <w:rFonts w:asciiTheme="majorBidi" w:hAnsiTheme="majorBidi" w:cstheme="majorBidi"/>
          <w:sz w:val="20"/>
          <w:szCs w:val="20"/>
        </w:rPr>
        <w:t>al-Kūfī</w:t>
      </w:r>
      <w:r>
        <w:rPr>
          <w:rFonts w:asciiTheme="majorBidi" w:hAnsiTheme="majorBidi" w:cstheme="majorBidi"/>
          <w:sz w:val="20"/>
          <w:szCs w:val="20"/>
        </w:rPr>
        <w:t xml:space="preserve"> (</w:t>
      </w:r>
      <w:r w:rsidRPr="00345448">
        <w:rPr>
          <w:rFonts w:asciiTheme="majorBidi" w:hAnsiTheme="majorBidi" w:cstheme="majorBidi"/>
          <w:sz w:val="20"/>
          <w:szCs w:val="20"/>
        </w:rPr>
        <w:t xml:space="preserve">1975, volume 7, p. 219: </w:t>
      </w:r>
      <w:r w:rsidRPr="00345448">
        <w:rPr>
          <w:rFonts w:asciiTheme="majorBidi" w:hAnsiTheme="majorBidi" w:cstheme="majorBidi"/>
          <w:sz w:val="20"/>
          <w:szCs w:val="20"/>
          <w:rtl/>
          <w:lang w:bidi="ar-JO"/>
        </w:rPr>
        <w:t>خاقان ملك الترك والهياطلتهم</w:t>
      </w:r>
      <w:r>
        <w:rPr>
          <w:rFonts w:asciiTheme="majorBidi" w:hAnsiTheme="majorBidi" w:cstheme="majorBidi"/>
          <w:sz w:val="20"/>
          <w:szCs w:val="20"/>
        </w:rPr>
        <w:t>)</w:t>
      </w:r>
      <w:r w:rsidRPr="00CE7BC5">
        <w:rPr>
          <w:rFonts w:asciiTheme="majorBidi" w:hAnsiTheme="majorBidi" w:cstheme="majorBidi"/>
          <w:sz w:val="20"/>
          <w:szCs w:val="20"/>
        </w:rPr>
        <w:t xml:space="preserve">, who reports in his </w:t>
      </w:r>
      <w:r w:rsidRPr="00CE7BC5">
        <w:rPr>
          <w:rFonts w:asciiTheme="majorBidi" w:hAnsiTheme="majorBidi" w:cstheme="majorBidi"/>
          <w:i/>
          <w:iCs/>
          <w:sz w:val="20"/>
          <w:szCs w:val="20"/>
        </w:rPr>
        <w:t>Kitāb al-Futūḥ</w:t>
      </w:r>
      <w:r w:rsidRPr="00CE7BC5">
        <w:rPr>
          <w:rFonts w:asciiTheme="majorBidi" w:hAnsiTheme="majorBidi" w:cstheme="majorBidi"/>
          <w:sz w:val="20"/>
          <w:szCs w:val="20"/>
        </w:rPr>
        <w:t xml:space="preserve"> that the Khāqān who fought Qutayba to relieve Bukhara in 708/9 CE was the king of both the Turks and the Hephthalites</w:t>
      </w:r>
      <w:r>
        <w:rPr>
          <w:rFonts w:asciiTheme="majorBidi" w:hAnsiTheme="majorBidi" w:cstheme="majorBidi"/>
          <w:sz w:val="20"/>
          <w:szCs w:val="20"/>
        </w:rPr>
        <w:t>.</w:t>
      </w:r>
      <w:r w:rsidRPr="00CE7BC5">
        <w:rPr>
          <w:rFonts w:asciiTheme="majorBidi" w:hAnsiTheme="majorBidi" w:cstheme="majorBidi"/>
          <w:sz w:val="24"/>
          <w:szCs w:val="24"/>
        </w:rPr>
        <w:t xml:space="preserve"> </w:t>
      </w:r>
      <w:r w:rsidRPr="00066FCC">
        <w:rPr>
          <w:rFonts w:asciiTheme="majorBidi" w:hAnsiTheme="majorBidi" w:cstheme="majorBidi"/>
          <w:sz w:val="20"/>
          <w:szCs w:val="20"/>
        </w:rPr>
        <w:t xml:space="preserve">Consequently, the Arabs including historians such as al-Ṭabarī feel comfortable to call the Hephthalites the Turks, although they were able to distinguish the two groups (Gibb, 1923, p. 10; Frye, 1945, pp. 314-5; Ghirshman, 1948, p. 98). </w:t>
      </w:r>
      <w:r>
        <w:rPr>
          <w:rFonts w:asciiTheme="majorBidi" w:hAnsiTheme="majorBidi" w:cstheme="majorBidi"/>
          <w:sz w:val="20"/>
          <w:szCs w:val="20"/>
        </w:rPr>
        <w:t>And it is interesting to know that the Turks entered into the Arabic poetry as early as the late 6</w:t>
      </w:r>
      <w:r w:rsidRPr="00A8421F">
        <w:rPr>
          <w:rFonts w:asciiTheme="majorBidi" w:hAnsiTheme="majorBidi" w:cstheme="majorBidi"/>
          <w:sz w:val="20"/>
          <w:szCs w:val="20"/>
          <w:vertAlign w:val="superscript"/>
        </w:rPr>
        <w:t>th</w:t>
      </w:r>
      <w:r>
        <w:rPr>
          <w:rFonts w:asciiTheme="majorBidi" w:hAnsiTheme="majorBidi" w:cstheme="majorBidi"/>
          <w:sz w:val="20"/>
          <w:szCs w:val="20"/>
        </w:rPr>
        <w:t xml:space="preserve"> and the early 7</w:t>
      </w:r>
      <w:r w:rsidRPr="00A8421F">
        <w:rPr>
          <w:rFonts w:asciiTheme="majorBidi" w:hAnsiTheme="majorBidi" w:cstheme="majorBidi"/>
          <w:sz w:val="20"/>
          <w:szCs w:val="20"/>
          <w:vertAlign w:val="superscript"/>
        </w:rPr>
        <w:t>th</w:t>
      </w:r>
      <w:r>
        <w:rPr>
          <w:rFonts w:asciiTheme="majorBidi" w:hAnsiTheme="majorBidi" w:cstheme="majorBidi"/>
          <w:sz w:val="20"/>
          <w:szCs w:val="20"/>
        </w:rPr>
        <w:t xml:space="preserve"> centuries as an obscure people living in the direction of Persia and Afghanistan</w:t>
      </w:r>
      <w:r w:rsidRPr="00066FCC">
        <w:rPr>
          <w:rFonts w:asciiTheme="majorBidi" w:hAnsiTheme="majorBidi" w:cstheme="majorBidi"/>
          <w:sz w:val="20"/>
          <w:szCs w:val="20"/>
        </w:rPr>
        <w:t xml:space="preserve"> </w:t>
      </w:r>
      <w:r>
        <w:rPr>
          <w:rFonts w:asciiTheme="majorBidi" w:hAnsiTheme="majorBidi" w:cstheme="majorBidi"/>
          <w:sz w:val="20"/>
          <w:szCs w:val="20"/>
        </w:rPr>
        <w:t>(Kowalski, 2007, pp. 117-9).</w:t>
      </w:r>
    </w:p>
  </w:footnote>
  <w:footnote w:id="160">
    <w:p w14:paraId="0AE526C1" w14:textId="36A32D9C" w:rsidR="00902FCD" w:rsidRPr="00847B2D" w:rsidRDefault="00902FCD" w:rsidP="00847B2D">
      <w:pPr>
        <w:pStyle w:val="FootnoteText"/>
        <w:spacing w:line="360" w:lineRule="auto"/>
        <w:rPr>
          <w:rFonts w:asciiTheme="majorBidi" w:hAnsiTheme="majorBidi" w:cstheme="majorBidi"/>
          <w:sz w:val="20"/>
          <w:szCs w:val="20"/>
        </w:rPr>
      </w:pPr>
      <w:r w:rsidRPr="00847B2D">
        <w:rPr>
          <w:rFonts w:asciiTheme="majorBidi" w:hAnsiTheme="majorBidi" w:cstheme="majorBidi"/>
          <w:sz w:val="20"/>
          <w:szCs w:val="20"/>
          <w:vertAlign w:val="superscript"/>
        </w:rPr>
        <w:footnoteRef/>
      </w:r>
      <w:r w:rsidRPr="00847B2D">
        <w:rPr>
          <w:rFonts w:asciiTheme="majorBidi" w:hAnsiTheme="majorBidi" w:cstheme="majorBidi"/>
          <w:sz w:val="20"/>
          <w:szCs w:val="20"/>
          <w:vertAlign w:val="superscript"/>
        </w:rPr>
        <w:t xml:space="preserve"> </w:t>
      </w:r>
      <w:r>
        <w:rPr>
          <w:rFonts w:asciiTheme="majorBidi" w:hAnsiTheme="majorBidi" w:cstheme="majorBidi"/>
          <w:sz w:val="20"/>
          <w:szCs w:val="20"/>
        </w:rPr>
        <w:t>As for</w:t>
      </w:r>
      <w:r w:rsidRPr="00854769">
        <w:rPr>
          <w:rFonts w:asciiTheme="majorBidi" w:hAnsiTheme="majorBidi" w:cstheme="majorBidi"/>
          <w:sz w:val="20"/>
          <w:szCs w:val="20"/>
        </w:rPr>
        <w:t xml:space="preserve"> </w:t>
      </w:r>
      <w:proofErr w:type="gramStart"/>
      <w:r w:rsidRPr="00847B2D">
        <w:rPr>
          <w:rFonts w:asciiTheme="majorBidi" w:hAnsiTheme="majorBidi" w:cstheme="majorBidi"/>
          <w:i/>
          <w:iCs/>
          <w:sz w:val="20"/>
          <w:szCs w:val="20"/>
        </w:rPr>
        <w:t>T‘</w:t>
      </w:r>
      <w:proofErr w:type="gramEnd"/>
      <w:r w:rsidRPr="00847B2D">
        <w:rPr>
          <w:rFonts w:asciiTheme="majorBidi" w:hAnsiTheme="majorBidi" w:cstheme="majorBidi"/>
          <w:i/>
          <w:iCs/>
          <w:sz w:val="20"/>
          <w:szCs w:val="20"/>
        </w:rPr>
        <w:t xml:space="preserve">etal </w:t>
      </w:r>
      <w:r>
        <w:rPr>
          <w:rFonts w:asciiTheme="majorBidi" w:hAnsiTheme="majorBidi" w:cstheme="majorBidi"/>
          <w:sz w:val="20"/>
          <w:szCs w:val="20"/>
        </w:rPr>
        <w:t xml:space="preserve">in Sebeos, it </w:t>
      </w:r>
      <w:r w:rsidRPr="00854769">
        <w:rPr>
          <w:rFonts w:asciiTheme="majorBidi" w:hAnsiTheme="majorBidi" w:cstheme="majorBidi"/>
          <w:sz w:val="20"/>
          <w:szCs w:val="20"/>
        </w:rPr>
        <w:t xml:space="preserve">does </w:t>
      </w:r>
      <w:r>
        <w:rPr>
          <w:rFonts w:asciiTheme="majorBidi" w:hAnsiTheme="majorBidi" w:cstheme="majorBidi"/>
          <w:sz w:val="20"/>
          <w:szCs w:val="20"/>
        </w:rPr>
        <w:t>derive from</w:t>
      </w:r>
      <w:r w:rsidRPr="00854769">
        <w:rPr>
          <w:rFonts w:asciiTheme="majorBidi" w:hAnsiTheme="majorBidi" w:cstheme="majorBidi"/>
          <w:sz w:val="20"/>
          <w:szCs w:val="20"/>
        </w:rPr>
        <w:t xml:space="preserve"> Hephthalite</w:t>
      </w:r>
      <w:r>
        <w:rPr>
          <w:rFonts w:asciiTheme="majorBidi" w:hAnsiTheme="majorBidi" w:cstheme="majorBidi"/>
          <w:sz w:val="20"/>
          <w:szCs w:val="20"/>
        </w:rPr>
        <w:t xml:space="preserve">. However, </w:t>
      </w:r>
      <w:r w:rsidRPr="00854769">
        <w:rPr>
          <w:rFonts w:asciiTheme="majorBidi" w:hAnsiTheme="majorBidi" w:cstheme="majorBidi"/>
          <w:sz w:val="20"/>
          <w:szCs w:val="20"/>
        </w:rPr>
        <w:t>the interpretation is slippery, since it actually refers to the Turks as well (Howard-Johnston, 1999, pp. 168, 265, 278).</w:t>
      </w:r>
    </w:p>
  </w:footnote>
  <w:footnote w:id="161">
    <w:p w14:paraId="0D1A0ACE" w14:textId="5B119B38" w:rsidR="00902FCD" w:rsidRPr="00C053A5" w:rsidRDefault="00902FCD" w:rsidP="00A61B51">
      <w:pPr>
        <w:pStyle w:val="FootnoteText"/>
        <w:spacing w:line="360" w:lineRule="auto"/>
        <w:rPr>
          <w:rFonts w:asciiTheme="majorBidi" w:hAnsiTheme="majorBidi" w:cstheme="majorBidi"/>
          <w:sz w:val="20"/>
          <w:szCs w:val="20"/>
        </w:rPr>
      </w:pPr>
      <w:r w:rsidRPr="00C053A5">
        <w:rPr>
          <w:rStyle w:val="FootnoteReference"/>
          <w:rFonts w:asciiTheme="majorBidi" w:hAnsiTheme="majorBidi" w:cstheme="majorBidi"/>
          <w:sz w:val="20"/>
          <w:szCs w:val="20"/>
        </w:rPr>
        <w:footnoteRef/>
      </w:r>
      <w:r w:rsidRPr="00C053A5">
        <w:rPr>
          <w:rFonts w:asciiTheme="majorBidi" w:hAnsiTheme="majorBidi" w:cstheme="majorBidi"/>
          <w:sz w:val="20"/>
          <w:szCs w:val="20"/>
        </w:rPr>
        <w:t xml:space="preserve"> </w:t>
      </w:r>
      <w:r>
        <w:rPr>
          <w:rFonts w:asciiTheme="majorBidi" w:hAnsiTheme="majorBidi" w:cstheme="majorBidi"/>
          <w:sz w:val="20"/>
          <w:szCs w:val="20"/>
        </w:rPr>
        <w:t xml:space="preserve">De la Vassière, </w:t>
      </w:r>
      <w:r w:rsidRPr="00C053A5">
        <w:rPr>
          <w:rFonts w:asciiTheme="majorBidi" w:hAnsiTheme="majorBidi" w:cstheme="majorBidi"/>
          <w:sz w:val="20"/>
          <w:szCs w:val="20"/>
        </w:rPr>
        <w:t>2003, p. 122</w:t>
      </w:r>
      <w:r>
        <w:rPr>
          <w:rFonts w:asciiTheme="majorBidi" w:hAnsiTheme="majorBidi" w:cstheme="majorBidi"/>
          <w:sz w:val="20"/>
          <w:szCs w:val="20"/>
        </w:rPr>
        <w:t>, 124</w:t>
      </w:r>
      <w:r w:rsidRPr="00C053A5">
        <w:rPr>
          <w:rFonts w:asciiTheme="majorBidi" w:hAnsiTheme="majorBidi" w:cstheme="majorBidi"/>
          <w:sz w:val="20"/>
          <w:szCs w:val="20"/>
        </w:rPr>
        <w:t>.</w:t>
      </w:r>
    </w:p>
  </w:footnote>
  <w:footnote w:id="162">
    <w:p w14:paraId="5FAA762C" w14:textId="720C275B" w:rsidR="00902FCD" w:rsidRDefault="00902FCD" w:rsidP="00D572D7">
      <w:pPr>
        <w:pStyle w:val="FootnoteText"/>
        <w:spacing w:line="360" w:lineRule="auto"/>
        <w:rPr>
          <w:rFonts w:asciiTheme="majorBidi" w:hAnsiTheme="majorBidi" w:cstheme="majorBidi"/>
          <w:sz w:val="20"/>
          <w:szCs w:val="20"/>
        </w:rPr>
      </w:pPr>
      <w:r w:rsidRPr="00EE025D">
        <w:rPr>
          <w:rFonts w:asciiTheme="majorBidi" w:hAnsiTheme="majorBidi" w:cstheme="majorBidi"/>
          <w:sz w:val="20"/>
          <w:szCs w:val="20"/>
          <w:vertAlign w:val="superscript"/>
        </w:rPr>
        <w:footnoteRef/>
      </w:r>
      <w:r w:rsidRPr="00EE025D">
        <w:rPr>
          <w:rFonts w:asciiTheme="majorBidi" w:hAnsiTheme="majorBidi" w:cstheme="majorBidi"/>
          <w:sz w:val="20"/>
          <w:szCs w:val="20"/>
          <w:vertAlign w:val="superscript"/>
        </w:rPr>
        <w:t xml:space="preserve"> </w:t>
      </w:r>
      <w:r w:rsidRPr="0041181D">
        <w:rPr>
          <w:rFonts w:asciiTheme="majorBidi" w:hAnsiTheme="majorBidi" w:cstheme="majorBidi" w:hint="eastAsia"/>
          <w:sz w:val="20"/>
          <w:szCs w:val="20"/>
        </w:rPr>
        <w:t>S</w:t>
      </w:r>
      <w:r w:rsidRPr="0041181D">
        <w:rPr>
          <w:rFonts w:asciiTheme="majorBidi" w:hAnsiTheme="majorBidi" w:cstheme="majorBidi"/>
          <w:sz w:val="20"/>
          <w:szCs w:val="20"/>
        </w:rPr>
        <w:t>haban</w:t>
      </w:r>
      <w:r>
        <w:rPr>
          <w:rFonts w:asciiTheme="majorBidi" w:hAnsiTheme="majorBidi" w:cstheme="majorBidi"/>
          <w:sz w:val="20"/>
          <w:szCs w:val="20"/>
        </w:rPr>
        <w:t xml:space="preserve"> (</w:t>
      </w:r>
      <w:r w:rsidRPr="0041181D">
        <w:rPr>
          <w:rFonts w:asciiTheme="majorBidi" w:hAnsiTheme="majorBidi" w:cstheme="majorBidi"/>
          <w:sz w:val="20"/>
          <w:szCs w:val="20"/>
        </w:rPr>
        <w:t>1970, p. 22</w:t>
      </w:r>
      <w:r>
        <w:rPr>
          <w:rFonts w:asciiTheme="majorBidi" w:hAnsiTheme="majorBidi" w:cstheme="majorBidi"/>
          <w:sz w:val="20"/>
          <w:szCs w:val="20"/>
        </w:rPr>
        <w:t xml:space="preserve">) argued that Chaghāniyān was a Hephthalite principality, since it appeared in western Ṭukhāristān in 652/3 CE in order to fight the Arab invaders together with the other Hephthalite principalities such as </w:t>
      </w:r>
      <w:r w:rsidRPr="00420227">
        <w:rPr>
          <w:rFonts w:asciiTheme="majorBidi" w:hAnsiTheme="majorBidi" w:cstheme="majorBidi"/>
          <w:sz w:val="20"/>
          <w:szCs w:val="20"/>
        </w:rPr>
        <w:t>Marw</w:t>
      </w:r>
      <w:r>
        <w:rPr>
          <w:rFonts w:asciiTheme="majorBidi" w:hAnsiTheme="majorBidi" w:cstheme="majorBidi"/>
          <w:sz w:val="20"/>
          <w:szCs w:val="20"/>
        </w:rPr>
        <w:t xml:space="preserve"> al-R</w:t>
      </w:r>
      <w:r w:rsidRPr="00420227">
        <w:rPr>
          <w:rFonts w:asciiTheme="majorBidi" w:hAnsiTheme="majorBidi" w:cstheme="majorBidi"/>
          <w:sz w:val="20"/>
          <w:szCs w:val="20"/>
        </w:rPr>
        <w:t>ūd, Tālaqān, Fāryāb, Gūzgūn, Herāt and Bādghīs</w:t>
      </w:r>
      <w:r w:rsidRPr="0041181D">
        <w:rPr>
          <w:rFonts w:asciiTheme="majorBidi" w:hAnsiTheme="majorBidi" w:cstheme="majorBidi"/>
          <w:sz w:val="20"/>
          <w:szCs w:val="20"/>
        </w:rPr>
        <w:t>.</w:t>
      </w:r>
      <w:r>
        <w:rPr>
          <w:rFonts w:asciiTheme="majorBidi" w:hAnsiTheme="majorBidi" w:cstheme="majorBidi"/>
          <w:sz w:val="20"/>
          <w:szCs w:val="20"/>
        </w:rPr>
        <w:t xml:space="preserve"> Moreover, Bosworth (1981, p. 17) expounds that the word </w:t>
      </w:r>
      <w:r w:rsidRPr="00052162">
        <w:rPr>
          <w:rFonts w:asciiTheme="majorBidi" w:hAnsiTheme="majorBidi" w:cstheme="majorBidi"/>
          <w:sz w:val="20"/>
          <w:szCs w:val="20"/>
        </w:rPr>
        <w:t>Tīsh</w:t>
      </w:r>
      <w:r>
        <w:rPr>
          <w:rFonts w:asciiTheme="majorBidi" w:hAnsiTheme="majorBidi" w:cstheme="majorBidi"/>
          <w:sz w:val="20"/>
          <w:szCs w:val="20"/>
        </w:rPr>
        <w:t xml:space="preserve"> is</w:t>
      </w:r>
      <w:r w:rsidRPr="00052162">
        <w:rPr>
          <w:rFonts w:asciiTheme="majorBidi" w:hAnsiTheme="majorBidi" w:cstheme="majorBidi"/>
          <w:sz w:val="20"/>
          <w:szCs w:val="20"/>
        </w:rPr>
        <w:t xml:space="preserve"> neither Iranian or Turkic</w:t>
      </w:r>
      <w:r>
        <w:rPr>
          <w:rFonts w:asciiTheme="majorBidi" w:hAnsiTheme="majorBidi" w:cstheme="majorBidi"/>
          <w:sz w:val="20"/>
          <w:szCs w:val="20"/>
        </w:rPr>
        <w:t>.</w:t>
      </w:r>
      <w:r w:rsidRPr="00052162">
        <w:rPr>
          <w:rFonts w:asciiTheme="majorBidi" w:hAnsiTheme="majorBidi" w:cstheme="majorBidi"/>
          <w:sz w:val="20"/>
          <w:szCs w:val="20"/>
        </w:rPr>
        <w:t xml:space="preserve"> </w:t>
      </w:r>
      <w:r>
        <w:rPr>
          <w:rFonts w:asciiTheme="majorBidi" w:hAnsiTheme="majorBidi" w:cstheme="majorBidi"/>
          <w:sz w:val="20"/>
          <w:szCs w:val="20"/>
        </w:rPr>
        <w:t>And it is reasonable to susgest that</w:t>
      </w:r>
      <w:r w:rsidRPr="00052162">
        <w:rPr>
          <w:rFonts w:asciiTheme="majorBidi" w:hAnsiTheme="majorBidi" w:cstheme="majorBidi"/>
          <w:sz w:val="20"/>
          <w:szCs w:val="20"/>
        </w:rPr>
        <w:t xml:space="preserve"> he was a Hephthalite prince</w:t>
      </w:r>
      <w:r>
        <w:rPr>
          <w:rFonts w:asciiTheme="majorBidi" w:hAnsiTheme="majorBidi" w:cstheme="majorBidi"/>
          <w:sz w:val="20"/>
          <w:szCs w:val="20"/>
        </w:rPr>
        <w:t>.</w:t>
      </w:r>
      <w:r w:rsidRPr="006A3FD5">
        <w:rPr>
          <w:rFonts w:asciiTheme="majorBidi" w:hAnsiTheme="majorBidi" w:cstheme="majorBidi"/>
          <w:sz w:val="20"/>
          <w:szCs w:val="20"/>
        </w:rPr>
        <w:t xml:space="preserve"> Haug (2019, p. 75) suggest</w:t>
      </w:r>
      <w:r>
        <w:rPr>
          <w:rFonts w:asciiTheme="majorBidi" w:hAnsiTheme="majorBidi" w:cstheme="majorBidi"/>
          <w:sz w:val="20"/>
          <w:szCs w:val="20"/>
        </w:rPr>
        <w:t xml:space="preserve">s </w:t>
      </w:r>
      <w:r w:rsidRPr="006A3FD5">
        <w:rPr>
          <w:rFonts w:asciiTheme="majorBidi" w:hAnsiTheme="majorBidi" w:cstheme="majorBidi"/>
          <w:sz w:val="20"/>
          <w:szCs w:val="20"/>
        </w:rPr>
        <w:t xml:space="preserve">Chaghāniyān </w:t>
      </w:r>
      <w:r>
        <w:rPr>
          <w:rFonts w:asciiTheme="majorBidi" w:hAnsiTheme="majorBidi" w:cstheme="majorBidi"/>
          <w:sz w:val="20"/>
          <w:szCs w:val="20"/>
        </w:rPr>
        <w:t xml:space="preserve">as Hephthalite </w:t>
      </w:r>
      <w:r w:rsidRPr="006A3FD5">
        <w:rPr>
          <w:rFonts w:asciiTheme="majorBidi" w:hAnsiTheme="majorBidi" w:cstheme="majorBidi"/>
          <w:sz w:val="20"/>
          <w:szCs w:val="20"/>
        </w:rPr>
        <w:t>as well.</w:t>
      </w:r>
    </w:p>
    <w:p w14:paraId="14B6BAF7" w14:textId="3D34FCD2" w:rsidR="00902FCD" w:rsidRPr="00EE025D" w:rsidRDefault="00902FCD" w:rsidP="00D572D7">
      <w:pPr>
        <w:pStyle w:val="FootnoteText"/>
        <w:spacing w:line="360" w:lineRule="auto"/>
        <w:rPr>
          <w:rFonts w:asciiTheme="majorBidi" w:hAnsiTheme="majorBidi" w:cstheme="majorBidi"/>
          <w:sz w:val="20"/>
          <w:szCs w:val="20"/>
        </w:rPr>
      </w:pPr>
      <w:r w:rsidRPr="00EE025D">
        <w:rPr>
          <w:rFonts w:asciiTheme="majorBidi" w:hAnsiTheme="majorBidi" w:cstheme="majorBidi"/>
          <w:sz w:val="20"/>
          <w:szCs w:val="20"/>
        </w:rPr>
        <w:t>Khuttal was a Hephthalite principality (Litvinsky &amp; Zamir Safi, 1996, p. 177).</w:t>
      </w:r>
    </w:p>
  </w:footnote>
  <w:footnote w:id="163">
    <w:p w14:paraId="34D90E40" w14:textId="50127D21" w:rsidR="00902FCD" w:rsidRPr="00520A82" w:rsidRDefault="00902FCD" w:rsidP="00D0215D">
      <w:pPr>
        <w:pStyle w:val="FootnoteText"/>
        <w:spacing w:line="360" w:lineRule="auto"/>
        <w:rPr>
          <w:rFonts w:asciiTheme="majorBidi" w:hAnsiTheme="majorBidi" w:cstheme="majorBidi"/>
          <w:sz w:val="20"/>
          <w:szCs w:val="20"/>
        </w:rPr>
      </w:pPr>
      <w:r w:rsidRPr="00520A82">
        <w:rPr>
          <w:rFonts w:asciiTheme="majorBidi" w:hAnsiTheme="majorBidi" w:cstheme="majorBidi"/>
          <w:sz w:val="20"/>
          <w:szCs w:val="20"/>
          <w:vertAlign w:val="superscript"/>
        </w:rPr>
        <w:footnoteRef/>
      </w:r>
      <w:r w:rsidRPr="00520A82">
        <w:rPr>
          <w:rFonts w:asciiTheme="majorBidi" w:hAnsiTheme="majorBidi" w:cstheme="majorBidi"/>
          <w:sz w:val="20"/>
          <w:szCs w:val="20"/>
          <w:vertAlign w:val="superscript"/>
        </w:rPr>
        <w:t xml:space="preserve"> </w:t>
      </w:r>
      <w:r w:rsidRPr="0024564B">
        <w:rPr>
          <w:rFonts w:asciiTheme="majorBidi" w:hAnsiTheme="majorBidi" w:cstheme="majorBidi"/>
          <w:sz w:val="20"/>
          <w:szCs w:val="20"/>
        </w:rPr>
        <w:t xml:space="preserve">Al-Ṭabarī, </w:t>
      </w:r>
      <w:r w:rsidRPr="00520A82">
        <w:rPr>
          <w:rFonts w:asciiTheme="majorBidi" w:hAnsiTheme="majorBidi" w:cstheme="majorBidi"/>
          <w:sz w:val="20"/>
          <w:szCs w:val="20"/>
        </w:rPr>
        <w:t xml:space="preserve">2001, vol. 4, </w:t>
      </w:r>
      <w:r w:rsidRPr="000A65DD">
        <w:rPr>
          <w:rFonts w:asciiTheme="majorBidi" w:hAnsiTheme="majorBidi" w:cstheme="majorBidi"/>
          <w:sz w:val="20"/>
          <w:szCs w:val="20"/>
        </w:rPr>
        <w:t>p. 5</w:t>
      </w:r>
      <w:r w:rsidRPr="00520A82">
        <w:rPr>
          <w:rFonts w:asciiTheme="majorBidi" w:hAnsiTheme="majorBidi" w:cstheme="majorBidi"/>
          <w:sz w:val="20"/>
          <w:szCs w:val="20"/>
        </w:rPr>
        <w:t xml:space="preserve">; </w:t>
      </w:r>
      <w:r>
        <w:rPr>
          <w:rFonts w:asciiTheme="majorBidi" w:hAnsiTheme="majorBidi" w:cstheme="majorBidi"/>
          <w:sz w:val="20"/>
          <w:szCs w:val="20"/>
        </w:rPr>
        <w:t>tr.</w:t>
      </w:r>
      <w:r w:rsidRPr="00520A82">
        <w:rPr>
          <w:rFonts w:asciiTheme="majorBidi" w:hAnsiTheme="majorBidi" w:cstheme="majorBidi"/>
          <w:sz w:val="20"/>
          <w:szCs w:val="20"/>
        </w:rPr>
        <w:t>, 1990, vol. XXIII, p. 171.</w:t>
      </w:r>
    </w:p>
  </w:footnote>
  <w:footnote w:id="164">
    <w:p w14:paraId="096B1BA8" w14:textId="52F4F6FC" w:rsidR="00902FCD" w:rsidRPr="0024564B" w:rsidRDefault="00902FCD" w:rsidP="00032368">
      <w:pPr>
        <w:pStyle w:val="FootnoteText"/>
        <w:spacing w:line="360" w:lineRule="auto"/>
        <w:rPr>
          <w:rFonts w:asciiTheme="majorBidi" w:hAnsiTheme="majorBidi" w:cstheme="majorBidi"/>
          <w:sz w:val="20"/>
          <w:szCs w:val="20"/>
        </w:rPr>
      </w:pPr>
      <w:r w:rsidRPr="0024564B">
        <w:rPr>
          <w:rFonts w:asciiTheme="majorBidi" w:hAnsiTheme="majorBidi" w:cstheme="majorBidi"/>
          <w:sz w:val="20"/>
          <w:szCs w:val="20"/>
          <w:vertAlign w:val="superscript"/>
        </w:rPr>
        <w:footnoteRef/>
      </w:r>
      <w:r w:rsidRPr="0024564B">
        <w:rPr>
          <w:rFonts w:asciiTheme="majorBidi" w:hAnsiTheme="majorBidi" w:cstheme="majorBidi"/>
          <w:sz w:val="20"/>
          <w:szCs w:val="20"/>
        </w:rPr>
        <w:t xml:space="preserve"> Al-Ṭabarī, 2001, volume 3, p. 683; </w:t>
      </w:r>
      <w:r>
        <w:rPr>
          <w:rFonts w:asciiTheme="majorBidi" w:hAnsiTheme="majorBidi" w:cstheme="majorBidi"/>
          <w:sz w:val="20"/>
          <w:szCs w:val="20"/>
        </w:rPr>
        <w:t>tr.</w:t>
      </w:r>
      <w:r w:rsidRPr="0024564B">
        <w:rPr>
          <w:rFonts w:asciiTheme="majorBidi" w:hAnsiTheme="majorBidi" w:cstheme="majorBidi"/>
          <w:sz w:val="20"/>
          <w:szCs w:val="20"/>
        </w:rPr>
        <w:t xml:space="preserve">, 1990, volume XXIII, pp. 155: </w:t>
      </w:r>
      <w:r w:rsidRPr="0024564B">
        <w:rPr>
          <w:rFonts w:asciiTheme="majorBidi" w:hAnsiTheme="majorBidi" w:cstheme="majorBidi"/>
          <w:sz w:val="20"/>
          <w:szCs w:val="20"/>
          <w:rtl/>
          <w:lang w:bidi="ar-JO"/>
        </w:rPr>
        <w:t>جبغويه ملك تخارستان...واسمه الشذ</w:t>
      </w:r>
      <w:r w:rsidRPr="0024564B">
        <w:rPr>
          <w:rFonts w:asciiTheme="majorBidi" w:hAnsiTheme="majorBidi" w:cstheme="majorBidi"/>
          <w:sz w:val="20"/>
          <w:szCs w:val="20"/>
        </w:rPr>
        <w:t>.</w:t>
      </w:r>
      <w:r>
        <w:rPr>
          <w:rFonts w:asciiTheme="majorBidi" w:hAnsiTheme="majorBidi" w:cstheme="majorBidi"/>
          <w:sz w:val="20"/>
          <w:szCs w:val="20"/>
        </w:rPr>
        <w:t xml:space="preserve"> </w:t>
      </w:r>
    </w:p>
  </w:footnote>
  <w:footnote w:id="165">
    <w:p w14:paraId="5AFA5558" w14:textId="7F7BAB9D" w:rsidR="00902FCD" w:rsidRPr="001700F3" w:rsidRDefault="00902FCD" w:rsidP="001700F3">
      <w:pPr>
        <w:pStyle w:val="FootnoteText"/>
        <w:spacing w:line="360" w:lineRule="auto"/>
        <w:rPr>
          <w:rFonts w:asciiTheme="majorBidi" w:hAnsiTheme="majorBidi" w:cstheme="majorBidi"/>
          <w:sz w:val="20"/>
          <w:szCs w:val="20"/>
        </w:rPr>
      </w:pPr>
      <w:r w:rsidRPr="001700F3">
        <w:rPr>
          <w:rFonts w:asciiTheme="majorBidi" w:hAnsiTheme="majorBidi" w:cstheme="majorBidi"/>
          <w:sz w:val="20"/>
          <w:szCs w:val="20"/>
          <w:vertAlign w:val="superscript"/>
        </w:rPr>
        <w:footnoteRef/>
      </w:r>
      <w:r w:rsidRPr="001700F3">
        <w:rPr>
          <w:rFonts w:asciiTheme="majorBidi" w:hAnsiTheme="majorBidi" w:cstheme="majorBidi"/>
          <w:sz w:val="20"/>
          <w:szCs w:val="20"/>
          <w:vertAlign w:val="superscript"/>
        </w:rPr>
        <w:t xml:space="preserve"> </w:t>
      </w:r>
      <w:r>
        <w:rPr>
          <w:rFonts w:asciiTheme="majorBidi" w:hAnsiTheme="majorBidi" w:cstheme="majorBidi"/>
          <w:sz w:val="20"/>
          <w:szCs w:val="20"/>
        </w:rPr>
        <w:t>As Athamina (2008, pp. 141-55) states, the contradictory records in Arabic histories such as al-</w:t>
      </w:r>
      <w:r w:rsidRPr="0024564B">
        <w:rPr>
          <w:rFonts w:asciiTheme="majorBidi" w:hAnsiTheme="majorBidi" w:cstheme="majorBidi"/>
          <w:sz w:val="20"/>
          <w:szCs w:val="20"/>
        </w:rPr>
        <w:t>Ṭabarī</w:t>
      </w:r>
      <w:r>
        <w:rPr>
          <w:rFonts w:asciiTheme="majorBidi" w:hAnsiTheme="majorBidi" w:cstheme="majorBidi"/>
          <w:sz w:val="20"/>
          <w:szCs w:val="20"/>
        </w:rPr>
        <w:t xml:space="preserve"> are expected, since the historians were hardly critical about their sources.</w:t>
      </w:r>
    </w:p>
  </w:footnote>
  <w:footnote w:id="166">
    <w:p w14:paraId="1E89063B" w14:textId="1F07FBAD" w:rsidR="00902FCD" w:rsidRPr="0058061F" w:rsidRDefault="00902FCD" w:rsidP="008B4750">
      <w:pPr>
        <w:pStyle w:val="FootnoteText"/>
        <w:spacing w:line="360" w:lineRule="auto"/>
        <w:rPr>
          <w:rFonts w:asciiTheme="majorBidi" w:hAnsiTheme="majorBidi" w:cstheme="majorBidi"/>
          <w:sz w:val="20"/>
          <w:szCs w:val="20"/>
        </w:rPr>
      </w:pPr>
      <w:r w:rsidRPr="0058061F">
        <w:rPr>
          <w:rStyle w:val="FootnoteReference"/>
          <w:rFonts w:asciiTheme="majorBidi" w:hAnsiTheme="majorBidi" w:cstheme="majorBidi"/>
          <w:sz w:val="20"/>
          <w:szCs w:val="20"/>
        </w:rPr>
        <w:footnoteRef/>
      </w:r>
      <w:r w:rsidRPr="0058061F">
        <w:rPr>
          <w:rFonts w:asciiTheme="majorBidi" w:hAnsiTheme="majorBidi" w:cstheme="majorBidi"/>
          <w:sz w:val="20"/>
          <w:szCs w:val="20"/>
        </w:rPr>
        <w:t xml:space="preserve"> Gibb (1923, p. 9) suggest</w:t>
      </w:r>
      <w:r>
        <w:rPr>
          <w:rFonts w:asciiTheme="majorBidi" w:hAnsiTheme="majorBidi" w:cstheme="majorBidi"/>
          <w:sz w:val="20"/>
          <w:szCs w:val="20"/>
        </w:rPr>
        <w:t>s</w:t>
      </w:r>
      <w:r w:rsidRPr="0058061F">
        <w:rPr>
          <w:rFonts w:asciiTheme="majorBidi" w:hAnsiTheme="majorBidi" w:cstheme="majorBidi"/>
          <w:sz w:val="20"/>
          <w:szCs w:val="20"/>
        </w:rPr>
        <w:t xml:space="preserve"> that the supreme ruler of the Hephthalites, the </w:t>
      </w:r>
      <w:r>
        <w:rPr>
          <w:rFonts w:asciiTheme="majorBidi" w:hAnsiTheme="majorBidi" w:cstheme="majorBidi"/>
          <w:sz w:val="20"/>
          <w:szCs w:val="20"/>
        </w:rPr>
        <w:t>S</w:t>
      </w:r>
      <w:r w:rsidRPr="0058061F">
        <w:rPr>
          <w:rFonts w:asciiTheme="majorBidi" w:hAnsiTheme="majorBidi" w:cstheme="majorBidi"/>
          <w:sz w:val="20"/>
          <w:szCs w:val="20"/>
        </w:rPr>
        <w:t>hadh, was the ruler of Chaghāniyān Tīsh</w:t>
      </w:r>
      <w:r>
        <w:rPr>
          <w:rFonts w:asciiTheme="majorBidi" w:hAnsiTheme="majorBidi" w:cstheme="majorBidi"/>
          <w:sz w:val="20"/>
          <w:szCs w:val="20"/>
        </w:rPr>
        <w:t xml:space="preserve">, while Shaban (1970, p. 12) follows the identification. </w:t>
      </w:r>
      <w:r w:rsidRPr="0058061F">
        <w:rPr>
          <w:rFonts w:asciiTheme="majorBidi" w:hAnsiTheme="majorBidi" w:cstheme="majorBidi"/>
          <w:sz w:val="20"/>
          <w:szCs w:val="20"/>
        </w:rPr>
        <w:t>However, this suggestion is rather weak, since</w:t>
      </w:r>
      <w:r>
        <w:rPr>
          <w:rFonts w:asciiTheme="majorBidi" w:hAnsiTheme="majorBidi" w:cstheme="majorBidi"/>
          <w:sz w:val="20"/>
          <w:szCs w:val="20"/>
        </w:rPr>
        <w:t xml:space="preserve"> there is no textual evidence to support the suggestion</w:t>
      </w:r>
      <w:r w:rsidRPr="0058061F">
        <w:rPr>
          <w:rFonts w:asciiTheme="majorBidi" w:hAnsiTheme="majorBidi" w:cstheme="majorBidi"/>
          <w:sz w:val="20"/>
          <w:szCs w:val="20"/>
        </w:rPr>
        <w:t>.</w:t>
      </w:r>
    </w:p>
  </w:footnote>
  <w:footnote w:id="167">
    <w:p w14:paraId="61F0B3A8" w14:textId="583A22C7" w:rsidR="00902FCD" w:rsidRPr="00FE0689" w:rsidRDefault="00902FCD" w:rsidP="00FE0689">
      <w:pPr>
        <w:pStyle w:val="FootnoteText"/>
        <w:spacing w:line="360" w:lineRule="auto"/>
        <w:rPr>
          <w:rFonts w:asciiTheme="majorBidi" w:hAnsiTheme="majorBidi" w:cstheme="majorBidi"/>
          <w:sz w:val="20"/>
          <w:szCs w:val="20"/>
        </w:rPr>
      </w:pPr>
      <w:r w:rsidRPr="00FE0689">
        <w:rPr>
          <w:rFonts w:asciiTheme="majorBidi" w:hAnsiTheme="majorBidi" w:cstheme="majorBidi"/>
          <w:sz w:val="20"/>
          <w:szCs w:val="20"/>
          <w:vertAlign w:val="superscript"/>
        </w:rPr>
        <w:footnoteRef/>
      </w:r>
      <w:r w:rsidRPr="00FE0689">
        <w:rPr>
          <w:rFonts w:asciiTheme="majorBidi" w:hAnsiTheme="majorBidi" w:cstheme="majorBidi"/>
          <w:sz w:val="20"/>
          <w:szCs w:val="20"/>
          <w:vertAlign w:val="superscript"/>
        </w:rPr>
        <w:t xml:space="preserve"> </w:t>
      </w:r>
      <w:r w:rsidRPr="00BC34E6">
        <w:rPr>
          <w:rFonts w:asciiTheme="majorBidi" w:hAnsiTheme="majorBidi" w:cstheme="majorBidi"/>
          <w:sz w:val="20"/>
          <w:szCs w:val="20"/>
        </w:rPr>
        <w:t>Wang &amp; Yang,</w:t>
      </w:r>
      <w:r>
        <w:rPr>
          <w:rFonts w:asciiTheme="majorBidi" w:hAnsiTheme="majorBidi" w:cstheme="majorBidi"/>
          <w:sz w:val="20"/>
          <w:szCs w:val="20"/>
        </w:rPr>
        <w:t xml:space="preserve"> </w:t>
      </w:r>
      <w:r w:rsidRPr="00BC34E6">
        <w:rPr>
          <w:rFonts w:asciiTheme="majorBidi" w:hAnsiTheme="majorBidi" w:cstheme="majorBidi"/>
          <w:sz w:val="20"/>
          <w:szCs w:val="20"/>
        </w:rPr>
        <w:t>1994, volume 999,</w:t>
      </w:r>
      <w:r>
        <w:rPr>
          <w:rFonts w:asciiTheme="majorBidi" w:hAnsiTheme="majorBidi" w:cstheme="majorBidi"/>
          <w:sz w:val="20"/>
          <w:szCs w:val="20"/>
        </w:rPr>
        <w:t xml:space="preserve"> </w:t>
      </w:r>
      <w:r w:rsidRPr="00BC34E6">
        <w:rPr>
          <w:rFonts w:asciiTheme="majorBidi" w:hAnsiTheme="majorBidi" w:cstheme="majorBidi"/>
          <w:sz w:val="20"/>
          <w:szCs w:val="20"/>
        </w:rPr>
        <w:t xml:space="preserve">p. 11722; </w:t>
      </w:r>
      <w:r>
        <w:rPr>
          <w:rFonts w:asciiTheme="majorBidi" w:hAnsiTheme="majorBidi" w:cstheme="majorBidi"/>
          <w:sz w:val="20"/>
          <w:szCs w:val="20"/>
        </w:rPr>
        <w:t>tr.</w:t>
      </w:r>
      <w:r w:rsidRPr="00BC34E6">
        <w:rPr>
          <w:rFonts w:asciiTheme="majorBidi" w:hAnsiTheme="majorBidi" w:cstheme="majorBidi"/>
          <w:sz w:val="20"/>
          <w:szCs w:val="20"/>
        </w:rPr>
        <w:t xml:space="preserve">, see Appendix </w:t>
      </w:r>
      <w:r>
        <w:rPr>
          <w:rFonts w:asciiTheme="majorBidi" w:hAnsiTheme="majorBidi" w:cstheme="majorBidi"/>
          <w:sz w:val="20"/>
          <w:szCs w:val="20"/>
        </w:rPr>
        <w:t>IV</w:t>
      </w:r>
      <w:r w:rsidRPr="00BC34E6">
        <w:rPr>
          <w:rFonts w:asciiTheme="majorBidi" w:hAnsiTheme="majorBidi" w:cstheme="majorBidi"/>
          <w:sz w:val="20"/>
          <w:szCs w:val="20"/>
        </w:rPr>
        <w:t>.</w:t>
      </w:r>
    </w:p>
  </w:footnote>
  <w:footnote w:id="168">
    <w:p w14:paraId="6480B048" w14:textId="3FF86315" w:rsidR="00902FCD" w:rsidRPr="008D389B" w:rsidRDefault="00902FCD" w:rsidP="008D389B">
      <w:pPr>
        <w:pStyle w:val="FootnoteText"/>
        <w:spacing w:line="360" w:lineRule="auto"/>
        <w:rPr>
          <w:rFonts w:asciiTheme="majorBidi" w:hAnsiTheme="majorBidi" w:cstheme="majorBidi"/>
          <w:sz w:val="20"/>
          <w:szCs w:val="20"/>
        </w:rPr>
      </w:pPr>
      <w:r w:rsidRPr="008D389B">
        <w:rPr>
          <w:rFonts w:asciiTheme="majorBidi" w:hAnsiTheme="majorBidi" w:cstheme="majorBidi"/>
          <w:sz w:val="20"/>
          <w:szCs w:val="20"/>
          <w:vertAlign w:val="superscript"/>
        </w:rPr>
        <w:footnoteRef/>
      </w:r>
      <w:r w:rsidRPr="008D389B">
        <w:rPr>
          <w:rFonts w:asciiTheme="majorBidi" w:hAnsiTheme="majorBidi" w:cstheme="majorBidi"/>
          <w:sz w:val="20"/>
          <w:szCs w:val="20"/>
          <w:vertAlign w:val="superscript"/>
        </w:rPr>
        <w:t xml:space="preserve"> </w:t>
      </w:r>
      <w:r w:rsidRPr="008D389B">
        <w:rPr>
          <w:rFonts w:asciiTheme="majorBidi" w:hAnsiTheme="majorBidi" w:cstheme="majorBidi"/>
          <w:sz w:val="20"/>
          <w:szCs w:val="20"/>
        </w:rPr>
        <w:t>The dynasty was established after being dislodged by the Turks from their winter pasture in Warwālīz and summer pasture Badakhshān and can be traced back to the late 6th century as a legitimate successor of the collapsed Hephthalite Empire (</w:t>
      </w:r>
      <w:r w:rsidRPr="00946250">
        <w:rPr>
          <w:rFonts w:asciiTheme="majorBidi" w:hAnsiTheme="majorBidi" w:cstheme="majorBidi"/>
          <w:sz w:val="20"/>
          <w:szCs w:val="20"/>
        </w:rPr>
        <w:t xml:space="preserve">Kuwayama, 2002, </w:t>
      </w:r>
      <w:r>
        <w:rPr>
          <w:rFonts w:asciiTheme="majorBidi" w:hAnsiTheme="majorBidi" w:cstheme="majorBidi"/>
          <w:sz w:val="20"/>
          <w:szCs w:val="20"/>
        </w:rPr>
        <w:t>p</w:t>
      </w:r>
      <w:r w:rsidRPr="00946250">
        <w:rPr>
          <w:rFonts w:asciiTheme="majorBidi" w:hAnsiTheme="majorBidi" w:cstheme="majorBidi"/>
          <w:sz w:val="20"/>
          <w:szCs w:val="20"/>
        </w:rPr>
        <w:t>p. 13</w:t>
      </w:r>
      <w:r>
        <w:rPr>
          <w:rFonts w:asciiTheme="majorBidi" w:hAnsiTheme="majorBidi" w:cstheme="majorBidi"/>
          <w:sz w:val="20"/>
          <w:szCs w:val="20"/>
        </w:rPr>
        <w:t>0-5; Grenet, 2002, pp. 216-7</w:t>
      </w:r>
      <w:r w:rsidRPr="008D389B">
        <w:rPr>
          <w:rFonts w:asciiTheme="majorBidi" w:hAnsiTheme="majorBidi" w:cstheme="majorBidi"/>
          <w:sz w:val="20"/>
          <w:szCs w:val="20"/>
        </w:rPr>
        <w:t xml:space="preserve">). </w:t>
      </w:r>
      <w:r>
        <w:rPr>
          <w:rFonts w:asciiTheme="majorBidi" w:hAnsiTheme="majorBidi" w:cstheme="majorBidi"/>
          <w:sz w:val="20"/>
          <w:szCs w:val="20"/>
        </w:rPr>
        <w:t xml:space="preserve">However, both </w:t>
      </w:r>
      <w:r w:rsidRPr="00FE0689">
        <w:rPr>
          <w:rFonts w:asciiTheme="majorBidi" w:hAnsiTheme="majorBidi" w:cstheme="majorBidi"/>
          <w:sz w:val="20"/>
          <w:szCs w:val="20"/>
        </w:rPr>
        <w:t>Kuwayama and Grenet identify the Dahan governate as the Hephthalite dynasty based in Bāghlān instead of the above-proposed Nīzak dynasty.</w:t>
      </w:r>
    </w:p>
  </w:footnote>
  <w:footnote w:id="169">
    <w:p w14:paraId="493A2697" w14:textId="59B5EB2F" w:rsidR="00902FCD" w:rsidRPr="001D65EE" w:rsidRDefault="00902FCD" w:rsidP="008A1B30">
      <w:pPr>
        <w:pStyle w:val="FootnoteText"/>
        <w:spacing w:line="360" w:lineRule="auto"/>
        <w:rPr>
          <w:rFonts w:asciiTheme="majorBidi" w:hAnsiTheme="majorBidi" w:cstheme="majorBidi"/>
          <w:sz w:val="20"/>
          <w:szCs w:val="20"/>
        </w:rPr>
      </w:pPr>
      <w:r w:rsidRPr="001D65EE">
        <w:rPr>
          <w:rStyle w:val="FootnoteReference"/>
          <w:rFonts w:asciiTheme="majorBidi" w:hAnsiTheme="majorBidi" w:cstheme="majorBidi"/>
          <w:sz w:val="20"/>
          <w:szCs w:val="20"/>
        </w:rPr>
        <w:footnoteRef/>
      </w:r>
      <w:r w:rsidRPr="001D65EE">
        <w:rPr>
          <w:rFonts w:asciiTheme="majorBidi" w:hAnsiTheme="majorBidi" w:cstheme="majorBidi"/>
          <w:sz w:val="20"/>
          <w:szCs w:val="20"/>
        </w:rPr>
        <w:t xml:space="preserve"> </w:t>
      </w:r>
      <w:r w:rsidRPr="007E689C">
        <w:rPr>
          <w:rFonts w:asciiTheme="majorBidi" w:hAnsiTheme="majorBidi" w:cstheme="majorBidi"/>
          <w:sz w:val="20"/>
          <w:szCs w:val="20"/>
        </w:rPr>
        <w:t>The Yida dynasty in Bāghlān clearly outlived the Nīzak dynasty</w:t>
      </w:r>
      <w:r>
        <w:rPr>
          <w:rFonts w:asciiTheme="majorBidi" w:hAnsiTheme="majorBidi" w:cstheme="majorBidi"/>
          <w:sz w:val="24"/>
          <w:szCs w:val="24"/>
        </w:rPr>
        <w:t>.</w:t>
      </w:r>
      <w:r>
        <w:rPr>
          <w:rFonts w:asciiTheme="majorBidi" w:hAnsiTheme="majorBidi" w:cstheme="majorBidi"/>
          <w:sz w:val="20"/>
          <w:szCs w:val="20"/>
        </w:rPr>
        <w:t xml:space="preserve"> </w:t>
      </w:r>
      <w:r w:rsidRPr="00C917DB">
        <w:rPr>
          <w:rFonts w:asciiTheme="majorBidi" w:hAnsiTheme="majorBidi" w:cstheme="majorBidi"/>
          <w:sz w:val="20"/>
          <w:szCs w:val="20"/>
        </w:rPr>
        <w:t>The</w:t>
      </w:r>
      <w:r>
        <w:rPr>
          <w:rFonts w:asciiTheme="majorBidi" w:hAnsiTheme="majorBidi" w:cstheme="majorBidi"/>
          <w:sz w:val="20"/>
          <w:szCs w:val="20"/>
          <w:vertAlign w:val="superscript"/>
        </w:rPr>
        <w:t xml:space="preserve"> </w:t>
      </w:r>
      <w:r w:rsidRPr="0087456D">
        <w:rPr>
          <w:rFonts w:asciiTheme="majorBidi" w:hAnsiTheme="majorBidi" w:cstheme="majorBidi"/>
          <w:i/>
          <w:iCs/>
          <w:sz w:val="20"/>
          <w:szCs w:val="20"/>
        </w:rPr>
        <w:t>Cefu yuangui</w:t>
      </w:r>
      <w:r w:rsidRPr="0087456D">
        <w:rPr>
          <w:rFonts w:asciiTheme="majorBidi" w:hAnsiTheme="majorBidi" w:cstheme="majorBidi"/>
          <w:sz w:val="20"/>
          <w:szCs w:val="20"/>
        </w:rPr>
        <w:t xml:space="preserve"> </w:t>
      </w:r>
      <w:r>
        <w:rPr>
          <w:rFonts w:asciiTheme="majorBidi" w:hAnsiTheme="majorBidi" w:cstheme="majorBidi"/>
          <w:sz w:val="20"/>
          <w:szCs w:val="20"/>
        </w:rPr>
        <w:t>records</w:t>
      </w:r>
      <w:r w:rsidRPr="0087456D">
        <w:rPr>
          <w:rFonts w:asciiTheme="majorBidi" w:hAnsiTheme="majorBidi" w:cstheme="majorBidi"/>
          <w:sz w:val="20"/>
          <w:szCs w:val="20"/>
        </w:rPr>
        <w:t xml:space="preserve"> envoys of the Hephthalites arrived at the Tang court twice in 748 CE (</w:t>
      </w:r>
      <w:r>
        <w:rPr>
          <w:rFonts w:asciiTheme="majorBidi" w:hAnsiTheme="majorBidi" w:cstheme="majorBidi"/>
          <w:sz w:val="20"/>
          <w:szCs w:val="20"/>
        </w:rPr>
        <w:t xml:space="preserve">Wang &amp;Yang, </w:t>
      </w:r>
      <w:r w:rsidRPr="0087456D">
        <w:rPr>
          <w:rFonts w:asciiTheme="majorBidi" w:hAnsiTheme="majorBidi" w:cstheme="majorBidi"/>
          <w:sz w:val="20"/>
          <w:szCs w:val="20"/>
        </w:rPr>
        <w:t xml:space="preserve">1994, volume 971, p. 11413; </w:t>
      </w:r>
      <w:r>
        <w:rPr>
          <w:rFonts w:asciiTheme="majorBidi" w:hAnsiTheme="majorBidi" w:cstheme="majorBidi"/>
          <w:sz w:val="20"/>
          <w:szCs w:val="20"/>
        </w:rPr>
        <w:t>tr.</w:t>
      </w:r>
      <w:r w:rsidRPr="0087456D">
        <w:rPr>
          <w:rFonts w:asciiTheme="majorBidi" w:hAnsiTheme="majorBidi" w:cstheme="majorBidi"/>
          <w:sz w:val="20"/>
          <w:szCs w:val="20"/>
        </w:rPr>
        <w:t xml:space="preserve">, Yu, 2015, p. 249, see Appendix </w:t>
      </w:r>
      <w:r>
        <w:rPr>
          <w:rFonts w:asciiTheme="majorBidi" w:hAnsiTheme="majorBidi" w:cstheme="majorBidi"/>
          <w:sz w:val="20"/>
          <w:szCs w:val="20"/>
        </w:rPr>
        <w:t>IV</w:t>
      </w:r>
      <w:r w:rsidRPr="0087456D">
        <w:rPr>
          <w:rFonts w:asciiTheme="majorBidi" w:hAnsiTheme="majorBidi" w:cstheme="majorBidi"/>
          <w:sz w:val="20"/>
          <w:szCs w:val="20"/>
        </w:rPr>
        <w:t>; Ghirshman, 1948, pp. 103-4; Grenet, 2002, p. 221</w:t>
      </w:r>
      <w:r>
        <w:rPr>
          <w:rFonts w:asciiTheme="majorBidi" w:hAnsiTheme="majorBidi" w:cstheme="majorBidi"/>
          <w:sz w:val="20"/>
          <w:szCs w:val="20"/>
        </w:rPr>
        <w:t xml:space="preserve"> and </w:t>
      </w:r>
      <w:r w:rsidRPr="0087456D">
        <w:rPr>
          <w:rFonts w:asciiTheme="majorBidi" w:hAnsiTheme="majorBidi" w:cstheme="majorBidi"/>
          <w:sz w:val="20"/>
          <w:szCs w:val="20"/>
        </w:rPr>
        <w:t>Kuwayama, 2002, p. 139).</w:t>
      </w:r>
      <w:r>
        <w:rPr>
          <w:rFonts w:asciiTheme="majorBidi" w:hAnsiTheme="majorBidi" w:cstheme="majorBidi"/>
          <w:sz w:val="20"/>
          <w:szCs w:val="20"/>
        </w:rPr>
        <w:t xml:space="preserve"> The first envoy arrived in the 6</w:t>
      </w:r>
      <w:r w:rsidRPr="00D62CF1">
        <w:rPr>
          <w:rFonts w:asciiTheme="majorBidi" w:hAnsiTheme="majorBidi" w:cstheme="majorBidi"/>
          <w:sz w:val="20"/>
          <w:szCs w:val="20"/>
          <w:vertAlign w:val="superscript"/>
        </w:rPr>
        <w:t>th</w:t>
      </w:r>
      <w:r>
        <w:rPr>
          <w:rFonts w:asciiTheme="majorBidi" w:hAnsiTheme="majorBidi" w:cstheme="majorBidi"/>
          <w:sz w:val="20"/>
          <w:szCs w:val="20"/>
        </w:rPr>
        <w:t xml:space="preserve"> month together with the envoy of Zābulistān, while the 8</w:t>
      </w:r>
      <w:r w:rsidRPr="009A7D6F">
        <w:rPr>
          <w:rFonts w:asciiTheme="majorBidi" w:hAnsiTheme="majorBidi" w:cstheme="majorBidi"/>
          <w:sz w:val="20"/>
          <w:szCs w:val="20"/>
          <w:vertAlign w:val="superscript"/>
        </w:rPr>
        <w:t>th</w:t>
      </w:r>
      <w:r>
        <w:rPr>
          <w:rFonts w:asciiTheme="majorBidi" w:hAnsiTheme="majorBidi" w:cstheme="majorBidi"/>
          <w:sz w:val="20"/>
          <w:szCs w:val="20"/>
        </w:rPr>
        <w:t xml:space="preserve"> month of the same year witnesses the arrival of another envoy. A tentative interpretation is that the first Hephthalite principality was found to the south of the Hindukush, while the second one from</w:t>
      </w:r>
      <w:r w:rsidRPr="00503C61">
        <w:rPr>
          <w:rFonts w:asciiTheme="majorBidi" w:hAnsiTheme="majorBidi" w:cstheme="majorBidi"/>
          <w:sz w:val="20"/>
          <w:szCs w:val="20"/>
        </w:rPr>
        <w:t xml:space="preserve"> </w:t>
      </w:r>
      <w:r w:rsidRPr="005857DB">
        <w:rPr>
          <w:rFonts w:asciiTheme="majorBidi" w:hAnsiTheme="majorBidi" w:cstheme="majorBidi"/>
          <w:sz w:val="20"/>
          <w:szCs w:val="20"/>
        </w:rPr>
        <w:t>Ṭukhāristān</w:t>
      </w:r>
      <w:r>
        <w:rPr>
          <w:rFonts w:asciiTheme="majorBidi" w:hAnsiTheme="majorBidi" w:cstheme="majorBidi"/>
          <w:sz w:val="20"/>
          <w:szCs w:val="20"/>
        </w:rPr>
        <w:t>, probably Baghlān. Unfortunately, so far, no coins are identified minted either by the Hephthalite dynasty in Bāghlān or by the Nīzak dynasty in Bādghīs.</w:t>
      </w:r>
    </w:p>
  </w:footnote>
  <w:footnote w:id="170">
    <w:p w14:paraId="61698FDF" w14:textId="728C68C1" w:rsidR="00902FCD" w:rsidRPr="006A68B2" w:rsidRDefault="00902FCD" w:rsidP="00401402">
      <w:pPr>
        <w:pStyle w:val="FootnoteText"/>
        <w:spacing w:line="360" w:lineRule="auto"/>
        <w:rPr>
          <w:rFonts w:asciiTheme="majorBidi" w:hAnsiTheme="majorBidi" w:cstheme="majorBidi"/>
          <w:sz w:val="20"/>
          <w:szCs w:val="20"/>
        </w:rPr>
      </w:pPr>
      <w:r w:rsidRPr="006A68B2">
        <w:rPr>
          <w:rFonts w:asciiTheme="majorBidi" w:hAnsiTheme="majorBidi" w:cstheme="majorBidi"/>
          <w:sz w:val="20"/>
          <w:szCs w:val="20"/>
          <w:vertAlign w:val="superscript"/>
        </w:rPr>
        <w:footnoteRef/>
      </w:r>
      <w:r w:rsidRPr="006A68B2">
        <w:rPr>
          <w:rFonts w:asciiTheme="majorBidi" w:hAnsiTheme="majorBidi" w:cstheme="majorBidi"/>
          <w:sz w:val="20"/>
          <w:szCs w:val="20"/>
        </w:rPr>
        <w:t xml:space="preserve"> </w:t>
      </w:r>
      <w:r>
        <w:rPr>
          <w:rFonts w:asciiTheme="majorBidi" w:hAnsiTheme="majorBidi" w:cstheme="majorBidi"/>
          <w:sz w:val="20"/>
          <w:szCs w:val="20"/>
        </w:rPr>
        <w:t xml:space="preserve">See also </w:t>
      </w:r>
      <w:r w:rsidRPr="0041181D">
        <w:rPr>
          <w:rFonts w:asciiTheme="majorBidi" w:hAnsiTheme="majorBidi" w:cstheme="majorBidi" w:hint="eastAsia"/>
          <w:sz w:val="20"/>
          <w:szCs w:val="20"/>
        </w:rPr>
        <w:t>S</w:t>
      </w:r>
      <w:r w:rsidRPr="0041181D">
        <w:rPr>
          <w:rFonts w:asciiTheme="majorBidi" w:hAnsiTheme="majorBidi" w:cstheme="majorBidi"/>
          <w:sz w:val="20"/>
          <w:szCs w:val="20"/>
        </w:rPr>
        <w:t>haban</w:t>
      </w:r>
      <w:r>
        <w:rPr>
          <w:rFonts w:asciiTheme="majorBidi" w:hAnsiTheme="majorBidi" w:cstheme="majorBidi"/>
          <w:sz w:val="20"/>
          <w:szCs w:val="20"/>
        </w:rPr>
        <w:t xml:space="preserve">, </w:t>
      </w:r>
      <w:r w:rsidRPr="0041181D">
        <w:rPr>
          <w:rFonts w:asciiTheme="majorBidi" w:hAnsiTheme="majorBidi" w:cstheme="majorBidi"/>
          <w:sz w:val="20"/>
          <w:szCs w:val="20"/>
        </w:rPr>
        <w:t>1970, p. 22.</w:t>
      </w:r>
      <w:r>
        <w:rPr>
          <w:rFonts w:asciiTheme="majorBidi" w:hAnsiTheme="majorBidi" w:cstheme="majorBidi"/>
          <w:sz w:val="20"/>
          <w:szCs w:val="20"/>
        </w:rPr>
        <w:t xml:space="preserve"> </w:t>
      </w:r>
      <w:r w:rsidRPr="008D389B">
        <w:rPr>
          <w:rFonts w:asciiTheme="majorBidi" w:hAnsiTheme="majorBidi" w:cstheme="majorBidi"/>
          <w:sz w:val="20"/>
          <w:szCs w:val="20"/>
        </w:rPr>
        <w:t>The governor of Khurasan ‘Abdallāh b. Khāzim was fighting Bakr b. Wā᾿il in Herat in this year.</w:t>
      </w:r>
    </w:p>
  </w:footnote>
  <w:footnote w:id="171">
    <w:p w14:paraId="29C1402B" w14:textId="760D1462" w:rsidR="00902FCD" w:rsidRPr="006A68B2" w:rsidRDefault="00902FCD" w:rsidP="00401402">
      <w:pPr>
        <w:pStyle w:val="FootnoteText"/>
        <w:spacing w:line="360" w:lineRule="auto"/>
        <w:rPr>
          <w:rFonts w:asciiTheme="majorBidi" w:hAnsiTheme="majorBidi" w:cstheme="majorBidi"/>
          <w:sz w:val="20"/>
          <w:szCs w:val="20"/>
        </w:rPr>
      </w:pPr>
      <w:r w:rsidRPr="006A68B2">
        <w:rPr>
          <w:rFonts w:asciiTheme="majorBidi" w:hAnsiTheme="majorBidi" w:cstheme="majorBidi"/>
          <w:sz w:val="20"/>
          <w:szCs w:val="20"/>
          <w:vertAlign w:val="superscript"/>
        </w:rPr>
        <w:footnoteRef/>
      </w:r>
      <w:r w:rsidRPr="006A68B2">
        <w:rPr>
          <w:rFonts w:asciiTheme="majorBidi" w:hAnsiTheme="majorBidi" w:cstheme="majorBidi"/>
          <w:sz w:val="20"/>
          <w:szCs w:val="20"/>
        </w:rPr>
        <w:t xml:space="preserve"> </w:t>
      </w:r>
      <w:r>
        <w:rPr>
          <w:rFonts w:asciiTheme="majorBidi" w:hAnsiTheme="majorBidi" w:cstheme="majorBidi"/>
          <w:sz w:val="20"/>
          <w:szCs w:val="20"/>
        </w:rPr>
        <w:t>The report is found in a</w:t>
      </w:r>
      <w:r w:rsidRPr="00C43804">
        <w:rPr>
          <w:rFonts w:asciiTheme="majorBidi" w:hAnsiTheme="majorBidi" w:cstheme="majorBidi"/>
          <w:sz w:val="20"/>
          <w:szCs w:val="20"/>
        </w:rPr>
        <w:t>l-Ṭabarī</w:t>
      </w:r>
      <w:r w:rsidRPr="006A68B2">
        <w:rPr>
          <w:rFonts w:asciiTheme="majorBidi" w:hAnsiTheme="majorBidi" w:cstheme="majorBidi"/>
          <w:sz w:val="20"/>
          <w:szCs w:val="20"/>
        </w:rPr>
        <w:t xml:space="preserve"> </w:t>
      </w:r>
      <w:r>
        <w:rPr>
          <w:rFonts w:asciiTheme="majorBidi" w:hAnsiTheme="majorBidi" w:cstheme="majorBidi"/>
          <w:sz w:val="20"/>
          <w:szCs w:val="20"/>
        </w:rPr>
        <w:t>(</w:t>
      </w:r>
      <w:r w:rsidRPr="006A68B2">
        <w:rPr>
          <w:rFonts w:asciiTheme="majorBidi" w:hAnsiTheme="majorBidi" w:cstheme="majorBidi"/>
          <w:sz w:val="20"/>
          <w:szCs w:val="20"/>
        </w:rPr>
        <w:t xml:space="preserve">2001, vol. 3, pp. 386-90; </w:t>
      </w:r>
      <w:r>
        <w:rPr>
          <w:rFonts w:asciiTheme="majorBidi" w:hAnsiTheme="majorBidi" w:cstheme="majorBidi"/>
          <w:sz w:val="20"/>
          <w:szCs w:val="20"/>
        </w:rPr>
        <w:t>tr.</w:t>
      </w:r>
      <w:r w:rsidRPr="006A68B2">
        <w:rPr>
          <w:rFonts w:asciiTheme="majorBidi" w:hAnsiTheme="majorBidi" w:cstheme="majorBidi"/>
          <w:sz w:val="20"/>
          <w:szCs w:val="20"/>
        </w:rPr>
        <w:t>, 1989, vol. XX, pp. 70-</w:t>
      </w:r>
      <w:r w:rsidRPr="006A68B2">
        <w:rPr>
          <w:rFonts w:asciiTheme="majorBidi" w:hAnsiTheme="majorBidi" w:cstheme="majorBidi" w:hint="eastAsia"/>
          <w:sz w:val="20"/>
          <w:szCs w:val="20"/>
        </w:rPr>
        <w:t>80</w:t>
      </w:r>
      <w:r>
        <w:rPr>
          <w:rFonts w:asciiTheme="majorBidi" w:hAnsiTheme="majorBidi" w:cstheme="majorBidi"/>
          <w:sz w:val="20"/>
          <w:szCs w:val="20"/>
        </w:rPr>
        <w:t>). See also Ibn</w:t>
      </w:r>
      <w:r w:rsidRPr="006A68B2">
        <w:rPr>
          <w:rFonts w:asciiTheme="majorBidi" w:hAnsiTheme="majorBidi" w:cstheme="majorBidi"/>
          <w:sz w:val="20"/>
          <w:szCs w:val="20"/>
        </w:rPr>
        <w:t xml:space="preserve"> al-’Athīr</w:t>
      </w:r>
      <w:r>
        <w:rPr>
          <w:rFonts w:asciiTheme="majorBidi" w:hAnsiTheme="majorBidi" w:cstheme="majorBidi"/>
          <w:sz w:val="20"/>
          <w:szCs w:val="20"/>
        </w:rPr>
        <w:t xml:space="preserve"> (</w:t>
      </w:r>
      <w:r w:rsidRPr="006A68B2">
        <w:rPr>
          <w:rFonts w:asciiTheme="majorBidi" w:hAnsiTheme="majorBidi" w:cstheme="majorBidi"/>
          <w:sz w:val="20"/>
          <w:szCs w:val="20"/>
        </w:rPr>
        <w:t>1987, volume 3, pp. 483-6</w:t>
      </w:r>
      <w:r>
        <w:rPr>
          <w:rFonts w:asciiTheme="majorBidi" w:hAnsiTheme="majorBidi" w:cstheme="majorBidi"/>
          <w:sz w:val="20"/>
          <w:szCs w:val="20"/>
        </w:rPr>
        <w:t>)</w:t>
      </w:r>
      <w:r w:rsidRPr="006A68B2">
        <w:rPr>
          <w:rFonts w:asciiTheme="majorBidi" w:hAnsiTheme="majorBidi" w:cstheme="majorBidi"/>
          <w:sz w:val="20"/>
          <w:szCs w:val="20"/>
        </w:rPr>
        <w:t xml:space="preserve">. </w:t>
      </w:r>
      <w:r>
        <w:rPr>
          <w:rFonts w:asciiTheme="majorBidi" w:hAnsiTheme="majorBidi" w:cstheme="majorBidi"/>
          <w:sz w:val="20"/>
          <w:szCs w:val="20"/>
        </w:rPr>
        <w:t>Although a</w:t>
      </w:r>
      <w:r w:rsidRPr="00C43804">
        <w:rPr>
          <w:rFonts w:asciiTheme="majorBidi" w:hAnsiTheme="majorBidi" w:cstheme="majorBidi"/>
          <w:sz w:val="20"/>
          <w:szCs w:val="20"/>
        </w:rPr>
        <w:t>l-Ṭabarī</w:t>
      </w:r>
      <w:r w:rsidRPr="006A68B2">
        <w:rPr>
          <w:rFonts w:asciiTheme="majorBidi" w:hAnsiTheme="majorBidi" w:cstheme="majorBidi"/>
          <w:sz w:val="20"/>
          <w:szCs w:val="20"/>
        </w:rPr>
        <w:t xml:space="preserve"> </w:t>
      </w:r>
      <w:r>
        <w:rPr>
          <w:rFonts w:asciiTheme="majorBidi" w:hAnsiTheme="majorBidi" w:cstheme="majorBidi"/>
          <w:sz w:val="20"/>
          <w:szCs w:val="20"/>
        </w:rPr>
        <w:t xml:space="preserve">reports that they were the Turks, Shaban (1970, p. 43) and </w:t>
      </w:r>
      <w:r w:rsidRPr="006A68B2">
        <w:rPr>
          <w:rFonts w:asciiTheme="majorBidi" w:hAnsiTheme="majorBidi" w:cstheme="majorBidi"/>
          <w:sz w:val="20"/>
          <w:szCs w:val="20"/>
        </w:rPr>
        <w:t>Haug</w:t>
      </w:r>
      <w:r>
        <w:rPr>
          <w:rFonts w:asciiTheme="majorBidi" w:hAnsiTheme="majorBidi" w:cstheme="majorBidi"/>
          <w:sz w:val="20"/>
          <w:szCs w:val="20"/>
        </w:rPr>
        <w:t xml:space="preserve"> (</w:t>
      </w:r>
      <w:r w:rsidRPr="006A68B2">
        <w:rPr>
          <w:rFonts w:asciiTheme="majorBidi" w:hAnsiTheme="majorBidi" w:cstheme="majorBidi"/>
          <w:sz w:val="20"/>
          <w:szCs w:val="20"/>
        </w:rPr>
        <w:t>2019, p</w:t>
      </w:r>
      <w:r>
        <w:rPr>
          <w:rFonts w:asciiTheme="majorBidi" w:hAnsiTheme="majorBidi" w:cstheme="majorBidi"/>
          <w:sz w:val="20"/>
          <w:szCs w:val="20"/>
        </w:rPr>
        <w:t>p</w:t>
      </w:r>
      <w:r w:rsidRPr="006A68B2">
        <w:rPr>
          <w:rFonts w:asciiTheme="majorBidi" w:hAnsiTheme="majorBidi" w:cstheme="majorBidi"/>
          <w:sz w:val="20"/>
          <w:szCs w:val="20"/>
        </w:rPr>
        <w:t xml:space="preserve">. </w:t>
      </w:r>
      <w:r>
        <w:rPr>
          <w:rFonts w:asciiTheme="majorBidi" w:hAnsiTheme="majorBidi" w:cstheme="majorBidi"/>
          <w:sz w:val="20"/>
          <w:szCs w:val="20"/>
        </w:rPr>
        <w:t>105-6) argue that they were the Hephthalites</w:t>
      </w:r>
      <w:r w:rsidRPr="006A68B2">
        <w:rPr>
          <w:rFonts w:asciiTheme="majorBidi" w:hAnsiTheme="majorBidi" w:cstheme="majorBidi"/>
          <w:sz w:val="20"/>
          <w:szCs w:val="20"/>
        </w:rPr>
        <w:t>.</w:t>
      </w:r>
    </w:p>
  </w:footnote>
  <w:footnote w:id="172">
    <w:p w14:paraId="232C939B" w14:textId="77777777" w:rsidR="00902FCD" w:rsidRDefault="00902FCD" w:rsidP="00E50B7E">
      <w:pPr>
        <w:pStyle w:val="FootnoteText"/>
        <w:spacing w:line="360" w:lineRule="auto"/>
        <w:rPr>
          <w:rFonts w:asciiTheme="majorBidi" w:hAnsiTheme="majorBidi" w:cstheme="majorBidi"/>
          <w:sz w:val="20"/>
          <w:szCs w:val="20"/>
        </w:rPr>
      </w:pPr>
      <w:r w:rsidRPr="00E50B7E">
        <w:rPr>
          <w:rFonts w:asciiTheme="majorBidi" w:hAnsiTheme="majorBidi" w:cstheme="majorBidi"/>
          <w:sz w:val="20"/>
          <w:szCs w:val="20"/>
          <w:vertAlign w:val="superscript"/>
        </w:rPr>
        <w:footnoteRef/>
      </w:r>
      <w:r w:rsidRPr="00E50B7E">
        <w:rPr>
          <w:rFonts w:asciiTheme="majorBidi" w:hAnsiTheme="majorBidi" w:cstheme="majorBidi"/>
          <w:sz w:val="20"/>
          <w:szCs w:val="20"/>
        </w:rPr>
        <w:t xml:space="preserve"> </w:t>
      </w:r>
      <w:r>
        <w:rPr>
          <w:rFonts w:asciiTheme="majorBidi" w:hAnsiTheme="majorBidi" w:cstheme="majorBidi"/>
          <w:sz w:val="20"/>
          <w:szCs w:val="20"/>
        </w:rPr>
        <w:t xml:space="preserve">One important social custom of the Hephthalites is </w:t>
      </w:r>
      <w:r w:rsidRPr="00FF71CF">
        <w:rPr>
          <w:rFonts w:asciiTheme="majorBidi" w:hAnsiTheme="majorBidi" w:cstheme="majorBidi"/>
          <w:sz w:val="20"/>
          <w:szCs w:val="20"/>
        </w:rPr>
        <w:t>polyandry</w:t>
      </w:r>
      <w:r>
        <w:rPr>
          <w:rFonts w:asciiTheme="majorBidi" w:hAnsiTheme="majorBidi" w:cstheme="majorBidi"/>
          <w:sz w:val="20"/>
          <w:szCs w:val="20"/>
        </w:rPr>
        <w:t>, which the Bactrian documents show as</w:t>
      </w:r>
      <w:r w:rsidRPr="00111834">
        <w:rPr>
          <w:rFonts w:asciiTheme="majorBidi" w:hAnsiTheme="majorBidi" w:cstheme="majorBidi"/>
          <w:sz w:val="20"/>
          <w:szCs w:val="20"/>
        </w:rPr>
        <w:t xml:space="preserve"> pre-Hephthalite (Sims-Williams, 2000, pp. 32-3; de la Vassière, 2003, p. 119</w:t>
      </w:r>
      <w:r w:rsidRPr="00FF71CF">
        <w:rPr>
          <w:rFonts w:asciiTheme="majorBidi" w:hAnsiTheme="majorBidi" w:cstheme="majorBidi"/>
          <w:sz w:val="20"/>
          <w:szCs w:val="20"/>
        </w:rPr>
        <w:t>).</w:t>
      </w:r>
    </w:p>
    <w:p w14:paraId="3F028039" w14:textId="6778DFBF" w:rsidR="00902FCD" w:rsidRPr="00E50B7E" w:rsidRDefault="00902FCD" w:rsidP="00E50B7E">
      <w:pPr>
        <w:pStyle w:val="FootnoteText"/>
        <w:spacing w:line="360" w:lineRule="auto"/>
        <w:rPr>
          <w:rFonts w:asciiTheme="majorBidi" w:hAnsiTheme="majorBidi" w:cstheme="majorBidi"/>
          <w:sz w:val="20"/>
          <w:szCs w:val="20"/>
        </w:rPr>
      </w:pPr>
      <w:r w:rsidRPr="00E50B7E">
        <w:rPr>
          <w:rFonts w:asciiTheme="majorBidi" w:hAnsiTheme="majorBidi" w:cstheme="majorBidi"/>
          <w:sz w:val="20"/>
          <w:szCs w:val="20"/>
        </w:rPr>
        <w:t>The Hephthalites’ adherence to Buddhism can be traced back to the imperial period, when the rulers on both sides of the Hindukush had adopted the locally predominant Buddhism (</w:t>
      </w:r>
      <w:r w:rsidRPr="005C4667">
        <w:rPr>
          <w:rFonts w:asciiTheme="majorBidi" w:hAnsiTheme="majorBidi" w:cstheme="majorBidi"/>
          <w:sz w:val="20"/>
          <w:szCs w:val="20"/>
        </w:rPr>
        <w:t>Kuwayama, 2002, pp. 107-24</w:t>
      </w:r>
      <w:r w:rsidRPr="00E50B7E">
        <w:rPr>
          <w:rFonts w:asciiTheme="majorBidi" w:hAnsiTheme="majorBidi" w:cstheme="majorBidi"/>
          <w:sz w:val="20"/>
          <w:szCs w:val="20"/>
        </w:rPr>
        <w:t>).</w:t>
      </w:r>
    </w:p>
  </w:footnote>
  <w:footnote w:id="173">
    <w:p w14:paraId="5953C745" w14:textId="77777777" w:rsidR="00902FCD" w:rsidRPr="00131BA4" w:rsidRDefault="00902FCD" w:rsidP="00847F7B">
      <w:pPr>
        <w:pStyle w:val="FootnoteText"/>
        <w:spacing w:line="360" w:lineRule="auto"/>
        <w:rPr>
          <w:rFonts w:asciiTheme="majorBidi" w:hAnsiTheme="majorBidi" w:cstheme="majorBidi"/>
          <w:sz w:val="20"/>
          <w:szCs w:val="20"/>
        </w:rPr>
      </w:pPr>
      <w:r w:rsidRPr="00131BA4">
        <w:rPr>
          <w:rFonts w:asciiTheme="majorBidi" w:hAnsiTheme="majorBidi" w:cstheme="majorBidi"/>
          <w:sz w:val="20"/>
          <w:szCs w:val="20"/>
          <w:vertAlign w:val="superscript"/>
        </w:rPr>
        <w:footnoteRef/>
      </w:r>
      <w:r w:rsidRPr="00131BA4">
        <w:rPr>
          <w:rFonts w:asciiTheme="majorBidi" w:hAnsiTheme="majorBidi" w:cstheme="majorBidi"/>
          <w:sz w:val="20"/>
          <w:szCs w:val="20"/>
        </w:rPr>
        <w:t xml:space="preserve"> </w:t>
      </w:r>
      <w:r>
        <w:rPr>
          <w:rFonts w:asciiTheme="majorBidi" w:hAnsiTheme="majorBidi" w:cstheme="majorBidi"/>
          <w:sz w:val="20"/>
          <w:szCs w:val="20"/>
        </w:rPr>
        <w:t>Al-</w:t>
      </w:r>
      <w:r w:rsidRPr="00DF1B84">
        <w:rPr>
          <w:rFonts w:asciiTheme="majorBidi" w:hAnsiTheme="majorBidi" w:cstheme="majorBidi"/>
          <w:sz w:val="20"/>
          <w:szCs w:val="20"/>
        </w:rPr>
        <w:t xml:space="preserve">Ṭabarī, </w:t>
      </w:r>
      <w:r>
        <w:rPr>
          <w:rFonts w:asciiTheme="majorBidi" w:hAnsiTheme="majorBidi" w:cstheme="majorBidi"/>
          <w:sz w:val="20"/>
          <w:szCs w:val="20"/>
        </w:rPr>
        <w:t xml:space="preserve">2001, </w:t>
      </w:r>
      <w:r>
        <w:rPr>
          <w:rFonts w:asciiTheme="majorBidi" w:hAnsiTheme="majorBidi" w:cstheme="majorBidi" w:hint="eastAsia"/>
          <w:sz w:val="20"/>
          <w:szCs w:val="20"/>
        </w:rPr>
        <w:t>volume</w:t>
      </w:r>
      <w:r>
        <w:rPr>
          <w:rFonts w:asciiTheme="majorBidi" w:hAnsiTheme="majorBidi" w:cstheme="majorBidi"/>
          <w:sz w:val="20"/>
          <w:szCs w:val="20"/>
        </w:rPr>
        <w:t xml:space="preserve"> 3, p. 683; tr., </w:t>
      </w:r>
      <w:r w:rsidRPr="00DF1B84">
        <w:rPr>
          <w:rFonts w:asciiTheme="majorBidi" w:hAnsiTheme="majorBidi" w:cstheme="majorBidi"/>
          <w:sz w:val="20"/>
          <w:szCs w:val="20"/>
        </w:rPr>
        <w:t>1990, volume</w:t>
      </w:r>
      <w:r>
        <w:rPr>
          <w:rFonts w:asciiTheme="majorBidi" w:hAnsiTheme="majorBidi" w:cstheme="majorBidi"/>
          <w:sz w:val="20"/>
          <w:szCs w:val="20"/>
        </w:rPr>
        <w:t xml:space="preserve"> XXIII, pp. 153-4. Praying in the monastery is far from the only thing that Nīzak did in regard to Buddhism. </w:t>
      </w:r>
      <w:r w:rsidRPr="00131BA4">
        <w:rPr>
          <w:rFonts w:asciiTheme="majorBidi" w:hAnsiTheme="majorBidi" w:cstheme="majorBidi"/>
          <w:sz w:val="20"/>
          <w:szCs w:val="20"/>
        </w:rPr>
        <w:t xml:space="preserve">According to de la Vaissière (2010a, p. 527), the only survived son of the executed Barmak returned to Balkh and the hereditary post as the administrator of the Nawbahār monastery. His return was possible only with the permission of Nīzak. And it is reasonable to suggest that Nīzak sent messengers to Kashmir to invite the survived boy </w:t>
      </w:r>
      <w:r>
        <w:rPr>
          <w:rFonts w:asciiTheme="majorBidi" w:hAnsiTheme="majorBidi" w:cstheme="majorBidi"/>
          <w:sz w:val="20"/>
          <w:szCs w:val="20"/>
        </w:rPr>
        <w:t xml:space="preserve">of the last Barmak to come </w:t>
      </w:r>
      <w:r w:rsidRPr="00131BA4">
        <w:rPr>
          <w:rFonts w:asciiTheme="majorBidi" w:hAnsiTheme="majorBidi" w:cstheme="majorBidi"/>
          <w:sz w:val="20"/>
          <w:szCs w:val="20"/>
        </w:rPr>
        <w:t>back to Balkh in order to build a solidarity among the Hephthalite principalities by the religious tie.</w:t>
      </w:r>
    </w:p>
  </w:footnote>
  <w:footnote w:id="174">
    <w:p w14:paraId="364AA04D" w14:textId="43759E7C" w:rsidR="00902FCD" w:rsidRPr="00B3379D" w:rsidRDefault="00902FCD" w:rsidP="004F33D0">
      <w:pPr>
        <w:pStyle w:val="FootnoteText"/>
        <w:spacing w:line="360" w:lineRule="auto"/>
        <w:rPr>
          <w:rFonts w:asciiTheme="majorBidi" w:hAnsiTheme="majorBidi" w:cstheme="majorBidi"/>
          <w:sz w:val="20"/>
          <w:szCs w:val="20"/>
        </w:rPr>
      </w:pPr>
      <w:r w:rsidRPr="00B3379D">
        <w:rPr>
          <w:rFonts w:asciiTheme="majorBidi" w:hAnsiTheme="majorBidi" w:cstheme="majorBidi"/>
          <w:sz w:val="20"/>
          <w:szCs w:val="20"/>
          <w:vertAlign w:val="superscript"/>
        </w:rPr>
        <w:footnoteRef/>
      </w:r>
      <w:r w:rsidRPr="00B3379D">
        <w:rPr>
          <w:rFonts w:asciiTheme="majorBidi" w:hAnsiTheme="majorBidi" w:cstheme="majorBidi"/>
          <w:sz w:val="20"/>
          <w:szCs w:val="20"/>
          <w:vertAlign w:val="superscript"/>
        </w:rPr>
        <w:t xml:space="preserve"> </w:t>
      </w:r>
      <w:r>
        <w:rPr>
          <w:rFonts w:asciiTheme="majorBidi" w:hAnsiTheme="majorBidi" w:cstheme="majorBidi"/>
          <w:sz w:val="20"/>
          <w:szCs w:val="20"/>
        </w:rPr>
        <w:t xml:space="preserve">The Hephthalite principalities seem to have allied with the Turks to raid the Sasanian territories when the Armenian general Smbat was dispatched to the east by Khosrow II (591-628) in the late 600s (Sebeos, 1999, pp. 51-3). However, the Nīzak dynasty was not committed to allying with the Turks and to fighting the Sasanians, but shifted sides for its own interest. Besides joint military actions, al-Dīnawarī reports that the Nīzak and the </w:t>
      </w:r>
      <w:r w:rsidRPr="00A360C6">
        <w:rPr>
          <w:rFonts w:asciiTheme="majorBidi" w:hAnsiTheme="majorBidi" w:cstheme="majorBidi"/>
          <w:i/>
          <w:iCs/>
          <w:sz w:val="20"/>
          <w:szCs w:val="20"/>
        </w:rPr>
        <w:t xml:space="preserve">marzbān </w:t>
      </w:r>
      <w:r>
        <w:rPr>
          <w:rFonts w:asciiTheme="majorBidi" w:hAnsiTheme="majorBidi" w:cstheme="majorBidi"/>
          <w:sz w:val="20"/>
          <w:szCs w:val="20"/>
        </w:rPr>
        <w:t>of Marw even intermarried (Haug, 2019, p. 87). See Kurbanov, 2010, pp. 190-1, 193.</w:t>
      </w:r>
    </w:p>
  </w:footnote>
  <w:footnote w:id="175">
    <w:p w14:paraId="0885C1C7" w14:textId="1824CAF7" w:rsidR="00902FCD" w:rsidRPr="00E63C98" w:rsidRDefault="00902FCD" w:rsidP="00E63C98">
      <w:pPr>
        <w:pStyle w:val="FootnoteText"/>
        <w:spacing w:line="360" w:lineRule="auto"/>
        <w:rPr>
          <w:rFonts w:asciiTheme="majorBidi" w:eastAsiaTheme="minorHAnsi" w:hAnsiTheme="majorBidi" w:cstheme="majorBidi"/>
          <w:sz w:val="20"/>
          <w:szCs w:val="20"/>
        </w:rPr>
      </w:pPr>
      <w:r w:rsidRPr="00E63C98">
        <w:rPr>
          <w:rFonts w:asciiTheme="majorBidi" w:eastAsiaTheme="minorHAnsi" w:hAnsiTheme="majorBidi" w:cstheme="majorBidi"/>
          <w:sz w:val="20"/>
          <w:szCs w:val="20"/>
          <w:vertAlign w:val="superscript"/>
        </w:rPr>
        <w:footnoteRef/>
      </w:r>
      <w:r w:rsidRPr="00E63C98">
        <w:rPr>
          <w:rFonts w:asciiTheme="majorBidi" w:eastAsiaTheme="minorHAnsi" w:hAnsiTheme="majorBidi" w:cstheme="majorBidi"/>
          <w:sz w:val="20"/>
          <w:szCs w:val="20"/>
        </w:rPr>
        <w:t xml:space="preserve"> Shaban, 1970, p. 66.</w:t>
      </w:r>
    </w:p>
  </w:footnote>
  <w:footnote w:id="176">
    <w:p w14:paraId="730CC9AB" w14:textId="5F932E6F" w:rsidR="00902FCD" w:rsidRPr="009805A0" w:rsidRDefault="00902FCD" w:rsidP="009805A0">
      <w:pPr>
        <w:pStyle w:val="FootnoteText"/>
        <w:spacing w:line="360" w:lineRule="auto"/>
        <w:rPr>
          <w:rFonts w:asciiTheme="majorBidi" w:hAnsiTheme="majorBidi" w:cstheme="majorBidi"/>
          <w:sz w:val="20"/>
          <w:szCs w:val="20"/>
        </w:rPr>
      </w:pPr>
      <w:r w:rsidRPr="009805A0">
        <w:rPr>
          <w:rFonts w:asciiTheme="majorBidi" w:hAnsiTheme="majorBidi" w:cstheme="majorBidi"/>
          <w:sz w:val="20"/>
          <w:szCs w:val="20"/>
          <w:vertAlign w:val="superscript"/>
        </w:rPr>
        <w:footnoteRef/>
      </w:r>
      <w:r w:rsidRPr="009805A0">
        <w:rPr>
          <w:rFonts w:asciiTheme="majorBidi" w:hAnsiTheme="majorBidi" w:cstheme="majorBidi"/>
          <w:sz w:val="20"/>
          <w:szCs w:val="20"/>
          <w:vertAlign w:val="superscript"/>
        </w:rPr>
        <w:t xml:space="preserve"> </w:t>
      </w:r>
      <w:r w:rsidRPr="00C43804">
        <w:rPr>
          <w:rFonts w:asciiTheme="majorBidi" w:hAnsiTheme="majorBidi" w:cstheme="majorBidi"/>
          <w:sz w:val="20"/>
          <w:szCs w:val="20"/>
        </w:rPr>
        <w:t>Al-Ṭabarī, 2001, volume 3, p</w:t>
      </w:r>
      <w:r>
        <w:rPr>
          <w:rFonts w:asciiTheme="majorBidi" w:hAnsiTheme="majorBidi" w:cstheme="majorBidi"/>
          <w:sz w:val="20"/>
          <w:szCs w:val="20"/>
        </w:rPr>
        <w:t>p</w:t>
      </w:r>
      <w:r w:rsidRPr="00C43804">
        <w:rPr>
          <w:rFonts w:asciiTheme="majorBidi" w:hAnsiTheme="majorBidi" w:cstheme="majorBidi"/>
          <w:sz w:val="20"/>
          <w:szCs w:val="20"/>
        </w:rPr>
        <w:t>. 68</w:t>
      </w:r>
      <w:r>
        <w:rPr>
          <w:rFonts w:asciiTheme="majorBidi" w:hAnsiTheme="majorBidi" w:cstheme="majorBidi"/>
          <w:sz w:val="20"/>
          <w:szCs w:val="20"/>
        </w:rPr>
        <w:t>1-4</w:t>
      </w:r>
      <w:r w:rsidRPr="00C43804">
        <w:rPr>
          <w:rFonts w:asciiTheme="majorBidi" w:hAnsiTheme="majorBidi" w:cstheme="majorBidi"/>
          <w:sz w:val="20"/>
          <w:szCs w:val="20"/>
        </w:rPr>
        <w:t xml:space="preserve">; </w:t>
      </w:r>
      <w:r>
        <w:rPr>
          <w:rFonts w:asciiTheme="majorBidi" w:hAnsiTheme="majorBidi" w:cstheme="majorBidi"/>
          <w:sz w:val="20"/>
          <w:szCs w:val="20"/>
        </w:rPr>
        <w:t>tr.</w:t>
      </w:r>
      <w:r w:rsidRPr="00C43804">
        <w:rPr>
          <w:rFonts w:asciiTheme="majorBidi" w:hAnsiTheme="majorBidi" w:cstheme="majorBidi"/>
          <w:sz w:val="20"/>
          <w:szCs w:val="20"/>
        </w:rPr>
        <w:t>, 1990, volume XXIII, pp. 154-5.</w:t>
      </w:r>
      <w:r>
        <w:rPr>
          <w:rFonts w:asciiTheme="majorBidi" w:hAnsiTheme="majorBidi" w:cstheme="majorBidi"/>
          <w:sz w:val="20"/>
          <w:szCs w:val="20"/>
        </w:rPr>
        <w:t xml:space="preserve"> </w:t>
      </w:r>
      <w:r w:rsidRPr="009805A0">
        <w:rPr>
          <w:rFonts w:asciiTheme="majorBidi" w:hAnsiTheme="majorBidi" w:cstheme="majorBidi"/>
          <w:sz w:val="20"/>
          <w:szCs w:val="20"/>
        </w:rPr>
        <w:t>See also Ibn-’Athīr, 1987, volume 4, pp. 254-6.</w:t>
      </w:r>
    </w:p>
  </w:footnote>
  <w:footnote w:id="177">
    <w:p w14:paraId="5F7CCCE1" w14:textId="1E75FBB4" w:rsidR="00902FCD" w:rsidRPr="00FB2FDC" w:rsidRDefault="00902FCD" w:rsidP="00FB2FDC">
      <w:pPr>
        <w:pStyle w:val="FootnoteText"/>
        <w:spacing w:line="360" w:lineRule="auto"/>
        <w:rPr>
          <w:rFonts w:asciiTheme="majorBidi" w:hAnsiTheme="majorBidi" w:cstheme="majorBidi"/>
          <w:sz w:val="20"/>
          <w:szCs w:val="20"/>
        </w:rPr>
      </w:pPr>
      <w:r w:rsidRPr="00FB2FDC">
        <w:rPr>
          <w:rStyle w:val="FootnoteReference"/>
          <w:rFonts w:asciiTheme="majorBidi" w:hAnsiTheme="majorBidi" w:cstheme="majorBidi"/>
          <w:sz w:val="20"/>
          <w:szCs w:val="20"/>
        </w:rPr>
        <w:footnoteRef/>
      </w:r>
      <w:r w:rsidRPr="00FB2FDC">
        <w:rPr>
          <w:rFonts w:asciiTheme="majorBidi" w:hAnsiTheme="majorBidi" w:cstheme="majorBidi"/>
          <w:sz w:val="20"/>
          <w:szCs w:val="20"/>
        </w:rPr>
        <w:t xml:space="preserve"> Al-Kūfī, 1975, volume 7, p. 230</w:t>
      </w:r>
      <w:r>
        <w:rPr>
          <w:rFonts w:asciiTheme="majorBidi" w:hAnsiTheme="majorBidi" w:cstheme="majorBidi"/>
          <w:sz w:val="20"/>
          <w:szCs w:val="20"/>
        </w:rPr>
        <w:t xml:space="preserve">: </w:t>
      </w:r>
      <w:r>
        <w:rPr>
          <w:rFonts w:asciiTheme="majorBidi" w:hAnsiTheme="majorBidi" w:cstheme="majorBidi" w:hint="cs"/>
          <w:sz w:val="20"/>
          <w:szCs w:val="20"/>
          <w:rtl/>
          <w:lang w:bidi="ar-JO"/>
        </w:rPr>
        <w:t>ليست هذه منطقة نيزك هذه منطقة رجل من عظماء الترك يقال له جيغويه</w:t>
      </w:r>
      <w:r>
        <w:rPr>
          <w:rFonts w:asciiTheme="majorBidi" w:hAnsiTheme="majorBidi" w:cstheme="majorBidi"/>
          <w:sz w:val="20"/>
          <w:szCs w:val="20"/>
        </w:rPr>
        <w:t xml:space="preserve">. The word j-y-gh-y-h is obviously a corruption of j-b-gh-y-h, the Arabic form of </w:t>
      </w:r>
      <w:r w:rsidRPr="007F01B4">
        <w:rPr>
          <w:rFonts w:asciiTheme="majorBidi" w:hAnsiTheme="majorBidi" w:cstheme="majorBidi"/>
          <w:i/>
          <w:iCs/>
          <w:sz w:val="20"/>
          <w:szCs w:val="20"/>
        </w:rPr>
        <w:t>yabghū</w:t>
      </w:r>
      <w:r w:rsidRPr="00FB2FDC">
        <w:rPr>
          <w:rFonts w:asciiTheme="majorBidi" w:hAnsiTheme="majorBidi" w:cstheme="majorBidi"/>
          <w:sz w:val="20"/>
          <w:szCs w:val="20"/>
        </w:rPr>
        <w:t>.</w:t>
      </w:r>
    </w:p>
  </w:footnote>
  <w:footnote w:id="178">
    <w:p w14:paraId="3EDA8220" w14:textId="074C28F1" w:rsidR="00902FCD" w:rsidRPr="00381E84" w:rsidRDefault="00902FCD" w:rsidP="00381E84">
      <w:pPr>
        <w:pStyle w:val="FootnoteText"/>
        <w:spacing w:line="360" w:lineRule="auto"/>
        <w:rPr>
          <w:rFonts w:asciiTheme="majorBidi" w:hAnsiTheme="majorBidi" w:cstheme="majorBidi"/>
          <w:sz w:val="20"/>
          <w:szCs w:val="20"/>
        </w:rPr>
      </w:pPr>
      <w:r w:rsidRPr="00381E84">
        <w:rPr>
          <w:rFonts w:asciiTheme="majorBidi" w:hAnsiTheme="majorBidi" w:cstheme="majorBidi"/>
          <w:sz w:val="20"/>
          <w:szCs w:val="20"/>
          <w:vertAlign w:val="superscript"/>
        </w:rPr>
        <w:footnoteRef/>
      </w:r>
      <w:r w:rsidRPr="00381E84">
        <w:rPr>
          <w:rFonts w:asciiTheme="majorBidi" w:hAnsiTheme="majorBidi" w:cstheme="majorBidi"/>
          <w:sz w:val="20"/>
          <w:szCs w:val="20"/>
          <w:vertAlign w:val="superscript"/>
        </w:rPr>
        <w:t xml:space="preserve"> </w:t>
      </w:r>
      <w:r w:rsidRPr="0024564B">
        <w:rPr>
          <w:rFonts w:asciiTheme="majorBidi" w:hAnsiTheme="majorBidi" w:cstheme="majorBidi"/>
          <w:sz w:val="20"/>
          <w:szCs w:val="20"/>
        </w:rPr>
        <w:t xml:space="preserve">Al-Ṭabarī, </w:t>
      </w:r>
      <w:r w:rsidRPr="00520A82">
        <w:rPr>
          <w:rFonts w:asciiTheme="majorBidi" w:hAnsiTheme="majorBidi" w:cstheme="majorBidi"/>
          <w:sz w:val="20"/>
          <w:szCs w:val="20"/>
        </w:rPr>
        <w:t xml:space="preserve">2001, vol. 4, </w:t>
      </w:r>
      <w:r w:rsidRPr="000A65DD">
        <w:rPr>
          <w:rFonts w:asciiTheme="majorBidi" w:hAnsiTheme="majorBidi" w:cstheme="majorBidi"/>
          <w:sz w:val="20"/>
          <w:szCs w:val="20"/>
        </w:rPr>
        <w:t>p. 5</w:t>
      </w:r>
      <w:r w:rsidRPr="00520A82">
        <w:rPr>
          <w:rFonts w:asciiTheme="majorBidi" w:hAnsiTheme="majorBidi" w:cstheme="majorBidi"/>
          <w:sz w:val="20"/>
          <w:szCs w:val="20"/>
        </w:rPr>
        <w:t xml:space="preserve">; </w:t>
      </w:r>
      <w:r>
        <w:rPr>
          <w:rFonts w:asciiTheme="majorBidi" w:hAnsiTheme="majorBidi" w:cstheme="majorBidi"/>
          <w:sz w:val="20"/>
          <w:szCs w:val="20"/>
        </w:rPr>
        <w:t>tr.</w:t>
      </w:r>
      <w:r w:rsidRPr="00520A82">
        <w:rPr>
          <w:rFonts w:asciiTheme="majorBidi" w:hAnsiTheme="majorBidi" w:cstheme="majorBidi"/>
          <w:sz w:val="20"/>
          <w:szCs w:val="20"/>
        </w:rPr>
        <w:t>, 1990, vol. XXIII, p. 171.</w:t>
      </w:r>
    </w:p>
  </w:footnote>
  <w:footnote w:id="179">
    <w:p w14:paraId="656C9195" w14:textId="119ADECE" w:rsidR="00902FCD" w:rsidRPr="00F55752" w:rsidRDefault="00902FCD" w:rsidP="00F55752">
      <w:pPr>
        <w:pStyle w:val="FootnoteText"/>
        <w:spacing w:line="360" w:lineRule="auto"/>
        <w:rPr>
          <w:rFonts w:asciiTheme="majorBidi" w:hAnsiTheme="majorBidi" w:cstheme="majorBidi"/>
          <w:sz w:val="20"/>
          <w:szCs w:val="20"/>
        </w:rPr>
      </w:pPr>
      <w:r w:rsidRPr="00F55752">
        <w:rPr>
          <w:rFonts w:asciiTheme="majorBidi" w:hAnsiTheme="majorBidi" w:cstheme="majorBidi"/>
          <w:sz w:val="20"/>
          <w:szCs w:val="20"/>
          <w:vertAlign w:val="superscript"/>
        </w:rPr>
        <w:footnoteRef/>
      </w:r>
      <w:r w:rsidRPr="00F55752">
        <w:rPr>
          <w:rFonts w:asciiTheme="majorBidi" w:hAnsiTheme="majorBidi" w:cstheme="majorBidi"/>
          <w:sz w:val="20"/>
          <w:szCs w:val="20"/>
          <w:vertAlign w:val="superscript"/>
        </w:rPr>
        <w:t xml:space="preserve"> </w:t>
      </w:r>
      <w:r w:rsidRPr="00F55752">
        <w:rPr>
          <w:rFonts w:asciiTheme="majorBidi" w:hAnsiTheme="majorBidi" w:cstheme="majorBidi"/>
          <w:sz w:val="20"/>
          <w:szCs w:val="20"/>
        </w:rPr>
        <w:t xml:space="preserve">The </w:t>
      </w:r>
      <w:r>
        <w:rPr>
          <w:rFonts w:asciiTheme="majorBidi" w:hAnsiTheme="majorBidi" w:cstheme="majorBidi"/>
          <w:sz w:val="20"/>
          <w:szCs w:val="20"/>
        </w:rPr>
        <w:t xml:space="preserve">hostility probably could trace back to the </w:t>
      </w:r>
      <w:r w:rsidRPr="00F55752">
        <w:rPr>
          <w:rFonts w:asciiTheme="majorBidi" w:hAnsiTheme="majorBidi" w:cstheme="majorBidi"/>
          <w:sz w:val="20"/>
          <w:szCs w:val="20"/>
        </w:rPr>
        <w:t>first Turkic ruler over the Hephthalites</w:t>
      </w:r>
      <w:r>
        <w:rPr>
          <w:rFonts w:asciiTheme="majorBidi" w:hAnsiTheme="majorBidi" w:cstheme="majorBidi"/>
          <w:sz w:val="20"/>
          <w:szCs w:val="20"/>
        </w:rPr>
        <w:t>, who</w:t>
      </w:r>
      <w:r w:rsidRPr="00F55752">
        <w:rPr>
          <w:rFonts w:asciiTheme="majorBidi" w:hAnsiTheme="majorBidi" w:cstheme="majorBidi"/>
          <w:sz w:val="20"/>
          <w:szCs w:val="20"/>
        </w:rPr>
        <w:t xml:space="preserve"> ruled briefly at the end of the 6</w:t>
      </w:r>
      <w:r w:rsidRPr="00F55752">
        <w:rPr>
          <w:rFonts w:asciiTheme="majorBidi" w:hAnsiTheme="majorBidi" w:cstheme="majorBidi"/>
          <w:sz w:val="20"/>
          <w:szCs w:val="20"/>
          <w:vertAlign w:val="superscript"/>
        </w:rPr>
        <w:t>th</w:t>
      </w:r>
      <w:r>
        <w:rPr>
          <w:rFonts w:asciiTheme="majorBidi" w:hAnsiTheme="majorBidi" w:cstheme="majorBidi"/>
          <w:sz w:val="20"/>
          <w:szCs w:val="20"/>
        </w:rPr>
        <w:t xml:space="preserve"> </w:t>
      </w:r>
      <w:r w:rsidRPr="00F55752">
        <w:rPr>
          <w:rFonts w:asciiTheme="majorBidi" w:hAnsiTheme="majorBidi" w:cstheme="majorBidi"/>
          <w:sz w:val="20"/>
          <w:szCs w:val="20"/>
        </w:rPr>
        <w:t>century or the early 7</w:t>
      </w:r>
      <w:r w:rsidRPr="00F55752">
        <w:rPr>
          <w:rFonts w:asciiTheme="majorBidi" w:hAnsiTheme="majorBidi" w:cstheme="majorBidi"/>
          <w:sz w:val="20"/>
          <w:szCs w:val="20"/>
          <w:vertAlign w:val="superscript"/>
        </w:rPr>
        <w:t>th</w:t>
      </w:r>
      <w:r w:rsidRPr="00F55752">
        <w:rPr>
          <w:rFonts w:asciiTheme="majorBidi" w:hAnsiTheme="majorBidi" w:cstheme="majorBidi"/>
          <w:sz w:val="20"/>
          <w:szCs w:val="20"/>
        </w:rPr>
        <w:t xml:space="preserve"> century (Wei, 1996, volume 83, p. 1854; </w:t>
      </w:r>
      <w:r>
        <w:rPr>
          <w:rFonts w:asciiTheme="majorBidi" w:hAnsiTheme="majorBidi" w:cstheme="majorBidi"/>
          <w:sz w:val="20"/>
          <w:szCs w:val="20"/>
        </w:rPr>
        <w:t>tr.</w:t>
      </w:r>
      <w:r w:rsidRPr="00F55752">
        <w:rPr>
          <w:rFonts w:asciiTheme="majorBidi" w:hAnsiTheme="majorBidi" w:cstheme="majorBidi"/>
          <w:sz w:val="20"/>
          <w:szCs w:val="20"/>
        </w:rPr>
        <w:t>, Yu, 2015, p. 236)</w:t>
      </w:r>
      <w:r>
        <w:rPr>
          <w:rFonts w:asciiTheme="majorBidi" w:hAnsiTheme="majorBidi" w:cstheme="majorBidi"/>
          <w:sz w:val="20"/>
          <w:szCs w:val="20"/>
        </w:rPr>
        <w:t xml:space="preserve"> and most probably deposed by</w:t>
      </w:r>
      <w:r w:rsidRPr="00F55752">
        <w:rPr>
          <w:rFonts w:asciiTheme="majorBidi" w:hAnsiTheme="majorBidi" w:cstheme="majorBidi"/>
          <w:sz w:val="20"/>
          <w:szCs w:val="20"/>
        </w:rPr>
        <w:t xml:space="preserve"> a Hephthalite insurrection.</w:t>
      </w:r>
      <w:r>
        <w:rPr>
          <w:rFonts w:asciiTheme="majorBidi" w:hAnsiTheme="majorBidi" w:cstheme="majorBidi"/>
          <w:sz w:val="20"/>
          <w:szCs w:val="20"/>
        </w:rPr>
        <w:t xml:space="preserve"> When the Yabghū dynasty was established in the 620s, the Turks dislodged the Hephthalites from their pastures (</w:t>
      </w:r>
      <w:r w:rsidRPr="009F4D01">
        <w:rPr>
          <w:rFonts w:asciiTheme="majorBidi" w:eastAsiaTheme="minorHAnsi" w:hAnsiTheme="majorBidi" w:cstheme="majorBidi"/>
          <w:sz w:val="20"/>
          <w:szCs w:val="20"/>
        </w:rPr>
        <w:t>Kuwayama, 2002, p. 132</w:t>
      </w:r>
      <w:r>
        <w:rPr>
          <w:rFonts w:asciiTheme="majorBidi" w:hAnsiTheme="majorBidi" w:cstheme="majorBidi"/>
          <w:sz w:val="20"/>
          <w:szCs w:val="20"/>
        </w:rPr>
        <w:t>). This probably further intensified the Hephthalites’ hostility towards the Turks.</w:t>
      </w:r>
    </w:p>
  </w:footnote>
  <w:footnote w:id="180">
    <w:p w14:paraId="0E00F041" w14:textId="1E2BC004" w:rsidR="00902FCD" w:rsidRPr="003B1C06" w:rsidRDefault="00902FCD" w:rsidP="003B1C06">
      <w:pPr>
        <w:pStyle w:val="FootnoteText"/>
        <w:spacing w:line="360" w:lineRule="auto"/>
        <w:rPr>
          <w:rFonts w:asciiTheme="majorBidi" w:hAnsiTheme="majorBidi" w:cstheme="majorBidi"/>
          <w:sz w:val="20"/>
          <w:szCs w:val="20"/>
        </w:rPr>
      </w:pPr>
      <w:r w:rsidRPr="003B1C06">
        <w:rPr>
          <w:rFonts w:asciiTheme="majorBidi" w:hAnsiTheme="majorBidi" w:cstheme="majorBidi"/>
          <w:sz w:val="20"/>
          <w:szCs w:val="20"/>
          <w:vertAlign w:val="superscript"/>
        </w:rPr>
        <w:footnoteRef/>
      </w:r>
      <w:r w:rsidRPr="003B1C06">
        <w:rPr>
          <w:rFonts w:asciiTheme="majorBidi" w:hAnsiTheme="majorBidi" w:cstheme="majorBidi"/>
          <w:sz w:val="20"/>
          <w:szCs w:val="20"/>
          <w:vertAlign w:val="superscript"/>
        </w:rPr>
        <w:t xml:space="preserve"> </w:t>
      </w:r>
      <w:r w:rsidRPr="003B1C06">
        <w:rPr>
          <w:rFonts w:asciiTheme="majorBidi" w:hAnsiTheme="majorBidi" w:cstheme="majorBidi"/>
          <w:sz w:val="20"/>
          <w:szCs w:val="20"/>
        </w:rPr>
        <w:t xml:space="preserve">The financial difficulty </w:t>
      </w:r>
      <w:r>
        <w:rPr>
          <w:rFonts w:asciiTheme="majorBidi" w:hAnsiTheme="majorBidi" w:cstheme="majorBidi"/>
          <w:sz w:val="20"/>
          <w:szCs w:val="20"/>
        </w:rPr>
        <w:t xml:space="preserve">of the principalities in </w:t>
      </w:r>
      <w:r w:rsidRPr="003B1C06">
        <w:rPr>
          <w:rFonts w:asciiTheme="majorBidi" w:hAnsiTheme="majorBidi" w:cstheme="majorBidi"/>
          <w:sz w:val="20"/>
          <w:szCs w:val="20"/>
        </w:rPr>
        <w:t>Ṭukhāristān</w:t>
      </w:r>
      <w:r>
        <w:rPr>
          <w:rFonts w:asciiTheme="majorBidi" w:hAnsiTheme="majorBidi" w:cstheme="majorBidi"/>
          <w:sz w:val="20"/>
          <w:szCs w:val="20"/>
        </w:rPr>
        <w:t xml:space="preserve"> in the late 7</w:t>
      </w:r>
      <w:r w:rsidRPr="003B1C06">
        <w:rPr>
          <w:rFonts w:asciiTheme="majorBidi" w:hAnsiTheme="majorBidi" w:cstheme="majorBidi"/>
          <w:sz w:val="20"/>
          <w:szCs w:val="20"/>
          <w:vertAlign w:val="superscript"/>
        </w:rPr>
        <w:t>th</w:t>
      </w:r>
      <w:r>
        <w:rPr>
          <w:rFonts w:asciiTheme="majorBidi" w:hAnsiTheme="majorBidi" w:cstheme="majorBidi"/>
          <w:sz w:val="20"/>
          <w:szCs w:val="20"/>
        </w:rPr>
        <w:t xml:space="preserve"> and the early 8</w:t>
      </w:r>
      <w:r w:rsidRPr="003B1C06">
        <w:rPr>
          <w:rFonts w:asciiTheme="majorBidi" w:hAnsiTheme="majorBidi" w:cstheme="majorBidi"/>
          <w:sz w:val="20"/>
          <w:szCs w:val="20"/>
          <w:vertAlign w:val="superscript"/>
        </w:rPr>
        <w:t>th</w:t>
      </w:r>
      <w:r>
        <w:rPr>
          <w:rFonts w:asciiTheme="majorBidi" w:hAnsiTheme="majorBidi" w:cstheme="majorBidi"/>
          <w:sz w:val="20"/>
          <w:szCs w:val="20"/>
        </w:rPr>
        <w:t xml:space="preserve"> centuries </w:t>
      </w:r>
      <w:r w:rsidRPr="003B1C06">
        <w:rPr>
          <w:rFonts w:asciiTheme="majorBidi" w:hAnsiTheme="majorBidi" w:cstheme="majorBidi"/>
          <w:sz w:val="20"/>
          <w:szCs w:val="20"/>
        </w:rPr>
        <w:t>was probably also related to the negative influence of the competition of the big powers in Central Asia on interreginal and international trading. The Arabs not only raided the region but also cut its economical connection with its western neighbors, while the competition for the Tarim Basin between the Tang and the Tibetan Empire interrupted its trading with the east.</w:t>
      </w:r>
    </w:p>
  </w:footnote>
  <w:footnote w:id="181">
    <w:p w14:paraId="1B7AEFD2" w14:textId="12B1A4A9" w:rsidR="00902FCD" w:rsidRPr="001952A4" w:rsidRDefault="00902FCD" w:rsidP="001952A4">
      <w:pPr>
        <w:pStyle w:val="FootnoteText"/>
        <w:spacing w:line="360" w:lineRule="auto"/>
        <w:rPr>
          <w:rFonts w:asciiTheme="majorBidi" w:hAnsiTheme="majorBidi" w:cstheme="majorBidi"/>
          <w:sz w:val="20"/>
          <w:szCs w:val="20"/>
        </w:rPr>
      </w:pPr>
      <w:r w:rsidRPr="001952A4">
        <w:rPr>
          <w:rFonts w:asciiTheme="majorBidi" w:hAnsiTheme="majorBidi" w:cstheme="majorBidi"/>
          <w:sz w:val="20"/>
          <w:szCs w:val="20"/>
          <w:vertAlign w:val="superscript"/>
        </w:rPr>
        <w:footnoteRef/>
      </w:r>
      <w:r w:rsidRPr="001952A4">
        <w:rPr>
          <w:rFonts w:asciiTheme="majorBidi" w:hAnsiTheme="majorBidi" w:cstheme="majorBidi"/>
          <w:sz w:val="20"/>
          <w:szCs w:val="20"/>
        </w:rPr>
        <w:t xml:space="preserve"> According to al-Ṭabarī (2001, vol. 3, pp. 670-1; </w:t>
      </w:r>
      <w:r>
        <w:rPr>
          <w:rFonts w:asciiTheme="majorBidi" w:hAnsiTheme="majorBidi" w:cstheme="majorBidi"/>
          <w:sz w:val="20"/>
          <w:szCs w:val="20"/>
        </w:rPr>
        <w:t>tr.</w:t>
      </w:r>
      <w:r w:rsidRPr="001952A4">
        <w:rPr>
          <w:rFonts w:asciiTheme="majorBidi" w:hAnsiTheme="majorBidi" w:cstheme="majorBidi"/>
          <w:sz w:val="20"/>
          <w:szCs w:val="20"/>
        </w:rPr>
        <w:t xml:space="preserve">, 1990, vol. XXIII, pp. 127-8; see also </w:t>
      </w:r>
      <w:r>
        <w:rPr>
          <w:rFonts w:asciiTheme="majorBidi" w:hAnsiTheme="majorBidi" w:cstheme="majorBidi"/>
          <w:sz w:val="20"/>
          <w:szCs w:val="20"/>
        </w:rPr>
        <w:t>I</w:t>
      </w:r>
      <w:r w:rsidRPr="001952A4">
        <w:rPr>
          <w:rFonts w:asciiTheme="majorBidi" w:hAnsiTheme="majorBidi" w:cstheme="majorBidi"/>
          <w:sz w:val="20"/>
          <w:szCs w:val="20"/>
        </w:rPr>
        <w:t>bn-’Athīr, 1987, volume 4, p. 241)</w:t>
      </w:r>
      <w:r>
        <w:rPr>
          <w:rFonts w:asciiTheme="majorBidi" w:hAnsiTheme="majorBidi" w:cstheme="majorBidi"/>
          <w:sz w:val="20"/>
          <w:szCs w:val="20"/>
        </w:rPr>
        <w:t xml:space="preserve">, </w:t>
      </w:r>
      <w:r w:rsidRPr="001952A4">
        <w:rPr>
          <w:rFonts w:asciiTheme="majorBidi" w:hAnsiTheme="majorBidi" w:cstheme="majorBidi"/>
          <w:sz w:val="20"/>
          <w:szCs w:val="20"/>
        </w:rPr>
        <w:t>Tīsh, the Hephthalite ruler of Chaghāniyān (</w:t>
      </w:r>
      <w:r w:rsidRPr="00ED3EB1">
        <w:rPr>
          <w:rFonts w:asciiTheme="majorBidi" w:hAnsiTheme="majorBidi" w:cstheme="majorBidi"/>
          <w:sz w:val="20"/>
          <w:szCs w:val="20"/>
        </w:rPr>
        <w:t>Livtinsky &amp; Zamir Safi, 1996, pp. 176-7</w:t>
      </w:r>
      <w:r w:rsidRPr="001952A4">
        <w:rPr>
          <w:rFonts w:asciiTheme="majorBidi" w:hAnsiTheme="majorBidi" w:cstheme="majorBidi"/>
          <w:sz w:val="20"/>
          <w:szCs w:val="20"/>
        </w:rPr>
        <w:t>), was attacked and expelled by the Turkic rulers of neighboring Akharūn and Shūmān in 705 CE (</w:t>
      </w:r>
      <w:r w:rsidRPr="00A832E4">
        <w:rPr>
          <w:rFonts w:asciiTheme="majorBidi" w:hAnsiTheme="majorBidi" w:cstheme="majorBidi"/>
          <w:sz w:val="20"/>
          <w:szCs w:val="20"/>
        </w:rPr>
        <w:t>Xuanzang</w:t>
      </w:r>
      <w:r>
        <w:rPr>
          <w:rFonts w:asciiTheme="majorBidi" w:hAnsiTheme="majorBidi" w:cstheme="majorBidi"/>
          <w:sz w:val="20"/>
          <w:szCs w:val="20"/>
        </w:rPr>
        <w:t xml:space="preserve">, </w:t>
      </w:r>
      <w:r w:rsidRPr="00A832E4">
        <w:rPr>
          <w:rFonts w:asciiTheme="majorBidi" w:hAnsiTheme="majorBidi" w:cstheme="majorBidi"/>
          <w:sz w:val="20"/>
          <w:szCs w:val="20"/>
        </w:rPr>
        <w:t>2000, pp. 106-7</w:t>
      </w:r>
      <w:r>
        <w:rPr>
          <w:rFonts w:asciiTheme="majorBidi" w:hAnsiTheme="majorBidi" w:cstheme="majorBidi"/>
          <w:sz w:val="20"/>
          <w:szCs w:val="20"/>
        </w:rPr>
        <w:t>; tr., 1996, p. 26</w:t>
      </w:r>
      <w:r w:rsidRPr="001952A4">
        <w:rPr>
          <w:rFonts w:asciiTheme="majorBidi" w:hAnsiTheme="majorBidi" w:cstheme="majorBidi"/>
          <w:sz w:val="20"/>
          <w:szCs w:val="20"/>
        </w:rPr>
        <w:t xml:space="preserve">). </w:t>
      </w:r>
      <w:r>
        <w:rPr>
          <w:rFonts w:asciiTheme="majorBidi" w:hAnsiTheme="majorBidi" w:cstheme="majorBidi"/>
          <w:sz w:val="20"/>
          <w:szCs w:val="20"/>
        </w:rPr>
        <w:t>As a result, h</w:t>
      </w:r>
      <w:r w:rsidRPr="001952A4">
        <w:rPr>
          <w:rFonts w:asciiTheme="majorBidi" w:hAnsiTheme="majorBidi" w:cstheme="majorBidi"/>
          <w:sz w:val="20"/>
          <w:szCs w:val="20"/>
        </w:rPr>
        <w:t>e turned to the Arab governor Qutayba for assistance, who restored Tīsh to his throne.</w:t>
      </w:r>
    </w:p>
  </w:footnote>
  <w:footnote w:id="182">
    <w:p w14:paraId="55F5528B" w14:textId="1B3CE46A" w:rsidR="00902FCD" w:rsidRPr="00754CAC" w:rsidRDefault="00902FCD" w:rsidP="00754CAC">
      <w:pPr>
        <w:pStyle w:val="FootnoteText"/>
        <w:spacing w:line="360" w:lineRule="auto"/>
        <w:rPr>
          <w:rFonts w:asciiTheme="majorBidi" w:hAnsiTheme="majorBidi" w:cstheme="majorBidi"/>
          <w:sz w:val="20"/>
          <w:szCs w:val="20"/>
        </w:rPr>
      </w:pPr>
      <w:r w:rsidRPr="00754CAC">
        <w:rPr>
          <w:rFonts w:asciiTheme="majorBidi" w:hAnsiTheme="majorBidi" w:cstheme="majorBidi"/>
          <w:sz w:val="20"/>
          <w:szCs w:val="20"/>
          <w:vertAlign w:val="superscript"/>
        </w:rPr>
        <w:footnoteRef/>
      </w:r>
      <w:r w:rsidRPr="00754CAC">
        <w:rPr>
          <w:rFonts w:asciiTheme="majorBidi" w:hAnsiTheme="majorBidi" w:cstheme="majorBidi"/>
          <w:sz w:val="20"/>
          <w:szCs w:val="20"/>
        </w:rPr>
        <w:t xml:space="preserve"> There were purely geopolitical instead of ethnic conflicts, such as that in Gūzgān. Among two or more rulers of the region in the late 7</w:t>
      </w:r>
      <w:r w:rsidRPr="00EB6E69">
        <w:rPr>
          <w:rFonts w:asciiTheme="majorBidi" w:hAnsiTheme="majorBidi" w:cstheme="majorBidi"/>
          <w:sz w:val="20"/>
          <w:szCs w:val="20"/>
          <w:vertAlign w:val="superscript"/>
        </w:rPr>
        <w:t>th</w:t>
      </w:r>
      <w:r>
        <w:rPr>
          <w:rFonts w:asciiTheme="majorBidi" w:hAnsiTheme="majorBidi" w:cstheme="majorBidi"/>
          <w:sz w:val="20"/>
          <w:szCs w:val="20"/>
        </w:rPr>
        <w:t xml:space="preserve"> </w:t>
      </w:r>
      <w:r w:rsidRPr="00754CAC">
        <w:rPr>
          <w:rFonts w:asciiTheme="majorBidi" w:hAnsiTheme="majorBidi" w:cstheme="majorBidi"/>
          <w:sz w:val="20"/>
          <w:szCs w:val="20"/>
        </w:rPr>
        <w:t>century, one turned to the Arabs for assistance against his rivals (</w:t>
      </w:r>
      <w:r>
        <w:rPr>
          <w:rFonts w:asciiTheme="majorBidi" w:hAnsiTheme="majorBidi" w:cstheme="majorBidi"/>
          <w:sz w:val="20"/>
          <w:szCs w:val="20"/>
        </w:rPr>
        <w:t xml:space="preserve">Sims-Williams, </w:t>
      </w:r>
      <w:r w:rsidRPr="009627DB">
        <w:rPr>
          <w:rFonts w:asciiTheme="majorBidi" w:hAnsiTheme="majorBidi" w:cstheme="majorBidi"/>
          <w:sz w:val="20"/>
          <w:szCs w:val="20"/>
        </w:rPr>
        <w:t>2008, pp. 115-20</w:t>
      </w:r>
      <w:r>
        <w:rPr>
          <w:rFonts w:asciiTheme="majorBidi" w:hAnsiTheme="majorBidi" w:cstheme="majorBidi"/>
          <w:sz w:val="20"/>
          <w:szCs w:val="20"/>
        </w:rPr>
        <w:t>, 122-3</w:t>
      </w:r>
      <w:r w:rsidRPr="00754CAC">
        <w:rPr>
          <w:rFonts w:asciiTheme="majorBidi" w:hAnsiTheme="majorBidi" w:cstheme="majorBidi"/>
          <w:sz w:val="20"/>
          <w:szCs w:val="20"/>
        </w:rPr>
        <w:t>).</w:t>
      </w:r>
    </w:p>
  </w:footnote>
  <w:footnote w:id="183">
    <w:p w14:paraId="62C48AF8" w14:textId="77777777" w:rsidR="00902FCD" w:rsidRPr="00E41615" w:rsidRDefault="00902FCD" w:rsidP="00355670">
      <w:pPr>
        <w:pStyle w:val="FootnoteText"/>
        <w:spacing w:line="360" w:lineRule="auto"/>
        <w:rPr>
          <w:rFonts w:asciiTheme="majorBidi" w:hAnsiTheme="majorBidi" w:cstheme="majorBidi"/>
          <w:sz w:val="20"/>
          <w:szCs w:val="20"/>
        </w:rPr>
      </w:pPr>
      <w:r w:rsidRPr="00E41615">
        <w:rPr>
          <w:rFonts w:asciiTheme="majorBidi" w:hAnsiTheme="majorBidi" w:cstheme="majorBidi"/>
          <w:sz w:val="20"/>
          <w:szCs w:val="20"/>
          <w:vertAlign w:val="superscript"/>
        </w:rPr>
        <w:footnoteRef/>
      </w:r>
      <w:r w:rsidRPr="00E41615">
        <w:rPr>
          <w:rFonts w:asciiTheme="majorBidi" w:hAnsiTheme="majorBidi" w:cstheme="majorBidi"/>
          <w:sz w:val="20"/>
          <w:szCs w:val="20"/>
        </w:rPr>
        <w:t xml:space="preserve"> The rulers of B</w:t>
      </w:r>
      <w:r>
        <w:rPr>
          <w:rFonts w:asciiTheme="majorBidi" w:hAnsiTheme="majorBidi" w:cstheme="majorBidi"/>
          <w:sz w:val="20"/>
          <w:szCs w:val="20"/>
        </w:rPr>
        <w:t>ā</w:t>
      </w:r>
      <w:r w:rsidRPr="00E41615">
        <w:rPr>
          <w:rFonts w:asciiTheme="majorBidi" w:hAnsiTheme="majorBidi" w:cstheme="majorBidi"/>
          <w:sz w:val="20"/>
          <w:szCs w:val="20"/>
        </w:rPr>
        <w:t>gh</w:t>
      </w:r>
      <w:r>
        <w:rPr>
          <w:rFonts w:asciiTheme="majorBidi" w:hAnsiTheme="majorBidi" w:cstheme="majorBidi"/>
          <w:sz w:val="20"/>
          <w:szCs w:val="20"/>
        </w:rPr>
        <w:t>l</w:t>
      </w:r>
      <w:r w:rsidRPr="00E41615">
        <w:rPr>
          <w:rFonts w:asciiTheme="majorBidi" w:hAnsiTheme="majorBidi" w:cstheme="majorBidi"/>
          <w:sz w:val="20"/>
          <w:szCs w:val="20"/>
        </w:rPr>
        <w:t xml:space="preserve">ān and Khuttal decided to submit to </w:t>
      </w:r>
      <w:r>
        <w:rPr>
          <w:rFonts w:asciiTheme="majorBidi" w:hAnsiTheme="majorBidi" w:cstheme="majorBidi"/>
          <w:sz w:val="20"/>
          <w:szCs w:val="20"/>
        </w:rPr>
        <w:t>Qutayba</w:t>
      </w:r>
      <w:r w:rsidRPr="00E41615">
        <w:rPr>
          <w:rFonts w:asciiTheme="majorBidi" w:hAnsiTheme="majorBidi" w:cstheme="majorBidi"/>
          <w:sz w:val="20"/>
          <w:szCs w:val="20"/>
        </w:rPr>
        <w:t xml:space="preserve"> only after Nīzak's capture. This is shown by their coming to </w:t>
      </w:r>
      <w:r>
        <w:rPr>
          <w:rFonts w:asciiTheme="majorBidi" w:hAnsiTheme="majorBidi" w:cstheme="majorBidi"/>
          <w:sz w:val="20"/>
          <w:szCs w:val="20"/>
        </w:rPr>
        <w:t>Qutayba</w:t>
      </w:r>
      <w:r w:rsidRPr="00E41615">
        <w:rPr>
          <w:rFonts w:asciiTheme="majorBidi" w:hAnsiTheme="majorBidi" w:cstheme="majorBidi"/>
          <w:sz w:val="20"/>
          <w:szCs w:val="20"/>
        </w:rPr>
        <w:t xml:space="preserve"> when the later called them.</w:t>
      </w:r>
    </w:p>
  </w:footnote>
  <w:footnote w:id="184">
    <w:p w14:paraId="377E1C9D" w14:textId="0AE1FEDE" w:rsidR="00902FCD" w:rsidRPr="00223EC1" w:rsidRDefault="00902FCD" w:rsidP="00223EC1">
      <w:pPr>
        <w:pStyle w:val="FootnoteText"/>
        <w:spacing w:line="360" w:lineRule="auto"/>
        <w:rPr>
          <w:rFonts w:asciiTheme="majorBidi" w:hAnsiTheme="majorBidi" w:cstheme="majorBidi"/>
          <w:sz w:val="20"/>
          <w:szCs w:val="20"/>
        </w:rPr>
      </w:pPr>
      <w:r w:rsidRPr="00223EC1">
        <w:rPr>
          <w:rStyle w:val="FootnoteReference"/>
          <w:rFonts w:asciiTheme="majorBidi" w:hAnsiTheme="majorBidi" w:cstheme="majorBidi"/>
          <w:sz w:val="20"/>
          <w:szCs w:val="20"/>
        </w:rPr>
        <w:footnoteRef/>
      </w:r>
      <w:r w:rsidRPr="00223EC1">
        <w:rPr>
          <w:rFonts w:asciiTheme="majorBidi" w:hAnsiTheme="majorBidi" w:cstheme="majorBidi"/>
          <w:sz w:val="20"/>
          <w:szCs w:val="20"/>
        </w:rPr>
        <w:t xml:space="preserve"> </w:t>
      </w:r>
      <w:r w:rsidRPr="00AE597E">
        <w:rPr>
          <w:rFonts w:asciiTheme="majorBidi" w:eastAsiaTheme="minorHAnsi" w:hAnsiTheme="majorBidi" w:cstheme="majorBidi"/>
          <w:sz w:val="20"/>
          <w:szCs w:val="20"/>
        </w:rPr>
        <w:t>Al-Ṭabarī, 2001, volume 4, p. 3;</w:t>
      </w:r>
      <w:r w:rsidRPr="00223EC1">
        <w:rPr>
          <w:rFonts w:asciiTheme="majorBidi" w:eastAsiaTheme="minorHAnsi" w:hAnsiTheme="majorBidi" w:cstheme="majorBidi"/>
          <w:sz w:val="20"/>
          <w:szCs w:val="20"/>
        </w:rPr>
        <w:t xml:space="preserve"> </w:t>
      </w:r>
      <w:r>
        <w:rPr>
          <w:rFonts w:asciiTheme="majorBidi" w:hAnsiTheme="majorBidi" w:cstheme="majorBidi"/>
          <w:sz w:val="20"/>
          <w:szCs w:val="20"/>
        </w:rPr>
        <w:t>tr.</w:t>
      </w:r>
      <w:r w:rsidRPr="00223EC1">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1990, </w:t>
      </w:r>
      <w:r w:rsidRPr="00223EC1">
        <w:rPr>
          <w:rFonts w:asciiTheme="majorBidi" w:eastAsiaTheme="minorHAnsi" w:hAnsiTheme="majorBidi" w:cstheme="majorBidi"/>
          <w:sz w:val="20"/>
          <w:szCs w:val="20"/>
        </w:rPr>
        <w:t xml:space="preserve">volume </w:t>
      </w:r>
      <w:r>
        <w:rPr>
          <w:rFonts w:asciiTheme="majorBidi" w:eastAsiaTheme="minorHAnsi" w:hAnsiTheme="majorBidi" w:cstheme="majorBidi"/>
          <w:sz w:val="20"/>
          <w:szCs w:val="20"/>
        </w:rPr>
        <w:t>XXIII</w:t>
      </w:r>
      <w:r w:rsidRPr="00223EC1">
        <w:rPr>
          <w:rFonts w:asciiTheme="majorBidi" w:eastAsiaTheme="minorHAnsi" w:hAnsiTheme="majorBidi" w:cstheme="majorBidi"/>
          <w:sz w:val="20"/>
          <w:szCs w:val="20"/>
        </w:rPr>
        <w:t>, p</w:t>
      </w:r>
      <w:r>
        <w:rPr>
          <w:rFonts w:asciiTheme="majorBidi" w:eastAsiaTheme="minorHAnsi" w:hAnsiTheme="majorBidi" w:cstheme="majorBidi"/>
          <w:sz w:val="20"/>
          <w:szCs w:val="20"/>
        </w:rPr>
        <w:t>p</w:t>
      </w:r>
      <w:r w:rsidRPr="00223EC1">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165-6: </w:t>
      </w:r>
      <w:r>
        <w:rPr>
          <w:rFonts w:asciiTheme="majorBidi" w:eastAsiaTheme="minorHAnsi" w:hAnsiTheme="majorBidi" w:cstheme="majorBidi" w:hint="cs"/>
          <w:sz w:val="20"/>
          <w:szCs w:val="20"/>
          <w:rtl/>
          <w:lang w:bidi="ar-JO"/>
        </w:rPr>
        <w:t>الرؤب خان ملك الرؤب وسمنجان.</w:t>
      </w:r>
    </w:p>
  </w:footnote>
  <w:footnote w:id="185">
    <w:p w14:paraId="31AC45E6" w14:textId="557BFAD3" w:rsidR="00902FCD" w:rsidRPr="00597323" w:rsidRDefault="00902FCD" w:rsidP="00597323">
      <w:pPr>
        <w:pStyle w:val="FootnoteText"/>
        <w:spacing w:line="360" w:lineRule="auto"/>
        <w:rPr>
          <w:rFonts w:asciiTheme="majorBidi" w:hAnsiTheme="majorBidi" w:cstheme="majorBidi"/>
          <w:sz w:val="20"/>
          <w:szCs w:val="20"/>
        </w:rPr>
      </w:pPr>
      <w:r w:rsidRPr="00597323">
        <w:rPr>
          <w:rFonts w:asciiTheme="majorBidi" w:hAnsiTheme="majorBidi" w:cstheme="majorBidi"/>
          <w:sz w:val="20"/>
          <w:szCs w:val="20"/>
          <w:vertAlign w:val="superscript"/>
        </w:rPr>
        <w:footnoteRef/>
      </w:r>
      <w:r w:rsidRPr="00597323">
        <w:rPr>
          <w:rFonts w:asciiTheme="majorBidi" w:hAnsiTheme="majorBidi" w:cstheme="majorBidi"/>
          <w:sz w:val="20"/>
          <w:szCs w:val="20"/>
        </w:rPr>
        <w:t xml:space="preserve"> Gibb, 1923, p. 15.</w:t>
      </w:r>
    </w:p>
  </w:footnote>
  <w:footnote w:id="186">
    <w:p w14:paraId="14D5CED4" w14:textId="0FB5F8B4" w:rsidR="00902FCD" w:rsidRPr="006A1D92" w:rsidRDefault="00902FCD" w:rsidP="006A1D92">
      <w:pPr>
        <w:pStyle w:val="FootnoteText"/>
        <w:spacing w:line="360" w:lineRule="auto"/>
        <w:rPr>
          <w:rFonts w:asciiTheme="majorBidi" w:hAnsiTheme="majorBidi" w:cstheme="majorBidi"/>
          <w:sz w:val="20"/>
          <w:szCs w:val="20"/>
        </w:rPr>
      </w:pPr>
      <w:r w:rsidRPr="006A1D92">
        <w:rPr>
          <w:rFonts w:asciiTheme="majorBidi" w:hAnsiTheme="majorBidi" w:cstheme="majorBidi"/>
          <w:sz w:val="20"/>
          <w:szCs w:val="20"/>
          <w:vertAlign w:val="superscript"/>
        </w:rPr>
        <w:footnoteRef/>
      </w:r>
      <w:r w:rsidRPr="006A1D92">
        <w:rPr>
          <w:rFonts w:asciiTheme="majorBidi" w:hAnsiTheme="majorBidi" w:cstheme="majorBidi"/>
          <w:sz w:val="20"/>
          <w:szCs w:val="20"/>
        </w:rPr>
        <w:t xml:space="preserve"> Gibb, 1923, p. 8.</w:t>
      </w:r>
    </w:p>
  </w:footnote>
  <w:footnote w:id="187">
    <w:p w14:paraId="6F0F38FA" w14:textId="0AAF05B7" w:rsidR="00902FCD" w:rsidRPr="00B52F41" w:rsidRDefault="00902FCD" w:rsidP="00B52F41">
      <w:pPr>
        <w:pStyle w:val="FootnoteText"/>
        <w:spacing w:line="360" w:lineRule="auto"/>
        <w:rPr>
          <w:rFonts w:asciiTheme="majorBidi" w:hAnsiTheme="majorBidi" w:cstheme="majorBidi"/>
          <w:sz w:val="20"/>
          <w:szCs w:val="20"/>
        </w:rPr>
      </w:pPr>
      <w:r w:rsidRPr="00B52F41">
        <w:rPr>
          <w:rFonts w:asciiTheme="majorBidi" w:hAnsiTheme="majorBidi" w:cstheme="majorBidi"/>
          <w:sz w:val="20"/>
          <w:szCs w:val="20"/>
          <w:vertAlign w:val="superscript"/>
        </w:rPr>
        <w:footnoteRef/>
      </w:r>
      <w:r w:rsidRPr="00B52F41">
        <w:rPr>
          <w:rFonts w:asciiTheme="majorBidi" w:hAnsiTheme="majorBidi" w:cstheme="majorBidi"/>
          <w:sz w:val="20"/>
          <w:szCs w:val="20"/>
        </w:rPr>
        <w:t xml:space="preserve"> Gibb (1923), Barthold (1928, pp. 180-91) and Shaban (1970) predominantly use the term Arab conquests, while Kennedy (2007</w:t>
      </w:r>
      <w:r>
        <w:rPr>
          <w:rFonts w:asciiTheme="majorBidi" w:hAnsiTheme="majorBidi" w:cstheme="majorBidi"/>
          <w:sz w:val="20"/>
          <w:szCs w:val="20"/>
        </w:rPr>
        <w:t>, p. 7</w:t>
      </w:r>
      <w:r w:rsidRPr="00B52F41">
        <w:rPr>
          <w:rFonts w:asciiTheme="majorBidi" w:hAnsiTheme="majorBidi" w:cstheme="majorBidi"/>
          <w:sz w:val="20"/>
          <w:szCs w:val="20"/>
        </w:rPr>
        <w:t>) adopt</w:t>
      </w:r>
      <w:r>
        <w:rPr>
          <w:rFonts w:asciiTheme="majorBidi" w:hAnsiTheme="majorBidi" w:cstheme="majorBidi"/>
          <w:sz w:val="20"/>
          <w:szCs w:val="20"/>
        </w:rPr>
        <w:t>s</w:t>
      </w:r>
      <w:r w:rsidRPr="00B52F41">
        <w:rPr>
          <w:rFonts w:asciiTheme="majorBidi" w:hAnsiTheme="majorBidi" w:cstheme="majorBidi"/>
          <w:sz w:val="20"/>
          <w:szCs w:val="20"/>
        </w:rPr>
        <w:t xml:space="preserve"> Arab conquests and Muslim conquests interchangeably.  </w:t>
      </w:r>
    </w:p>
  </w:footnote>
  <w:footnote w:id="188">
    <w:p w14:paraId="5DAA57B7" w14:textId="72E750C6" w:rsidR="00902FCD" w:rsidRPr="001C249F" w:rsidRDefault="00902FCD" w:rsidP="001C249F">
      <w:pPr>
        <w:pStyle w:val="FootnoteText"/>
        <w:spacing w:line="360" w:lineRule="auto"/>
        <w:rPr>
          <w:rFonts w:asciiTheme="majorBidi" w:hAnsiTheme="majorBidi" w:cstheme="majorBidi"/>
          <w:sz w:val="20"/>
          <w:szCs w:val="20"/>
        </w:rPr>
      </w:pPr>
      <w:r w:rsidRPr="001C249F">
        <w:rPr>
          <w:rFonts w:asciiTheme="majorBidi" w:hAnsiTheme="majorBidi" w:cstheme="majorBidi"/>
          <w:sz w:val="20"/>
          <w:szCs w:val="20"/>
          <w:vertAlign w:val="superscript"/>
        </w:rPr>
        <w:footnoteRef/>
      </w:r>
      <w:r w:rsidRPr="001C249F">
        <w:rPr>
          <w:rFonts w:asciiTheme="majorBidi" w:hAnsiTheme="majorBidi" w:cstheme="majorBidi"/>
          <w:sz w:val="20"/>
          <w:szCs w:val="20"/>
        </w:rPr>
        <w:t xml:space="preserve"> </w:t>
      </w:r>
      <w:r>
        <w:rPr>
          <w:rFonts w:asciiTheme="majorBidi" w:hAnsiTheme="majorBidi" w:cstheme="majorBidi"/>
          <w:sz w:val="20"/>
          <w:szCs w:val="20"/>
        </w:rPr>
        <w:t xml:space="preserve">Hoyland, </w:t>
      </w:r>
      <w:r w:rsidRPr="001C249F">
        <w:rPr>
          <w:rFonts w:asciiTheme="majorBidi" w:hAnsiTheme="majorBidi" w:cstheme="majorBidi"/>
          <w:sz w:val="20"/>
          <w:szCs w:val="20"/>
        </w:rPr>
        <w:t>2015, pp. 59-60, 162-7.</w:t>
      </w:r>
    </w:p>
  </w:footnote>
  <w:footnote w:id="189">
    <w:p w14:paraId="2E58DD53" w14:textId="1F3326A0" w:rsidR="00902FCD" w:rsidRPr="00FE695D" w:rsidRDefault="00902FCD" w:rsidP="00FE695D">
      <w:pPr>
        <w:pStyle w:val="FootnoteText"/>
        <w:spacing w:line="360" w:lineRule="auto"/>
        <w:rPr>
          <w:rFonts w:asciiTheme="majorBidi" w:hAnsiTheme="majorBidi" w:cstheme="majorBidi"/>
          <w:sz w:val="20"/>
          <w:szCs w:val="20"/>
        </w:rPr>
      </w:pPr>
      <w:r w:rsidRPr="00FE695D">
        <w:rPr>
          <w:rFonts w:asciiTheme="majorBidi" w:hAnsiTheme="majorBidi" w:cstheme="majorBidi"/>
          <w:sz w:val="20"/>
          <w:szCs w:val="20"/>
          <w:vertAlign w:val="superscript"/>
        </w:rPr>
        <w:footnoteRef/>
      </w:r>
      <w:r w:rsidRPr="00FE695D">
        <w:rPr>
          <w:rFonts w:asciiTheme="majorBidi" w:hAnsiTheme="majorBidi" w:cstheme="majorBidi"/>
          <w:sz w:val="20"/>
          <w:szCs w:val="20"/>
        </w:rPr>
        <w:t xml:space="preserve"> </w:t>
      </w:r>
      <w:r>
        <w:rPr>
          <w:rFonts w:asciiTheme="majorBidi" w:hAnsiTheme="majorBidi" w:cstheme="majorBidi"/>
          <w:sz w:val="20"/>
          <w:szCs w:val="20"/>
        </w:rPr>
        <w:t xml:space="preserve">Webb, </w:t>
      </w:r>
      <w:r w:rsidRPr="00FE695D">
        <w:rPr>
          <w:rFonts w:asciiTheme="majorBidi" w:hAnsiTheme="majorBidi" w:cstheme="majorBidi"/>
          <w:sz w:val="20"/>
          <w:szCs w:val="20"/>
        </w:rPr>
        <w:t>2021, pp. 65-102.</w:t>
      </w:r>
    </w:p>
  </w:footnote>
  <w:footnote w:id="190">
    <w:p w14:paraId="1641EE44" w14:textId="589E3AC6" w:rsidR="00902FCD" w:rsidRPr="00B52F41" w:rsidRDefault="00902FCD" w:rsidP="004C1111">
      <w:pPr>
        <w:pStyle w:val="FootnoteText"/>
        <w:spacing w:line="360" w:lineRule="auto"/>
        <w:rPr>
          <w:rFonts w:asciiTheme="majorBidi" w:hAnsiTheme="majorBidi" w:cstheme="majorBidi"/>
          <w:sz w:val="20"/>
          <w:szCs w:val="20"/>
        </w:rPr>
      </w:pPr>
      <w:r w:rsidRPr="00B52F41">
        <w:rPr>
          <w:rFonts w:asciiTheme="majorBidi" w:hAnsiTheme="majorBidi" w:cstheme="majorBidi"/>
          <w:sz w:val="20"/>
          <w:szCs w:val="20"/>
          <w:vertAlign w:val="superscript"/>
        </w:rPr>
        <w:footnoteRef/>
      </w:r>
      <w:r w:rsidRPr="00B52F41">
        <w:rPr>
          <w:rFonts w:asciiTheme="majorBidi" w:hAnsiTheme="majorBidi" w:cstheme="majorBidi"/>
          <w:sz w:val="20"/>
          <w:szCs w:val="20"/>
        </w:rPr>
        <w:t xml:space="preserve"> </w:t>
      </w:r>
      <w:r>
        <w:rPr>
          <w:rFonts w:asciiTheme="majorBidi" w:hAnsiTheme="majorBidi" w:cstheme="majorBidi"/>
          <w:sz w:val="20"/>
          <w:szCs w:val="20"/>
        </w:rPr>
        <w:t>The model is adopted by scholars such as Shaban (</w:t>
      </w:r>
      <w:r w:rsidRPr="00B52F41">
        <w:rPr>
          <w:rFonts w:asciiTheme="majorBidi" w:hAnsiTheme="majorBidi" w:cstheme="majorBidi"/>
          <w:sz w:val="20"/>
          <w:szCs w:val="20"/>
        </w:rPr>
        <w:t>1970, pp. 16-24, 26-9</w:t>
      </w:r>
      <w:r>
        <w:rPr>
          <w:rFonts w:asciiTheme="majorBidi" w:hAnsiTheme="majorBidi" w:cstheme="majorBidi"/>
          <w:sz w:val="20"/>
          <w:szCs w:val="20"/>
        </w:rPr>
        <w:t>)</w:t>
      </w:r>
      <w:r w:rsidRPr="00B52F41">
        <w:rPr>
          <w:rFonts w:asciiTheme="majorBidi" w:hAnsiTheme="majorBidi" w:cstheme="majorBidi"/>
          <w:sz w:val="20"/>
          <w:szCs w:val="20"/>
        </w:rPr>
        <w:t>.</w:t>
      </w:r>
    </w:p>
  </w:footnote>
  <w:footnote w:id="191">
    <w:p w14:paraId="6699B194" w14:textId="166A6334" w:rsidR="00902FCD" w:rsidRPr="000D2A11" w:rsidRDefault="00902FCD" w:rsidP="000D2A11">
      <w:pPr>
        <w:pStyle w:val="FootnoteText"/>
        <w:spacing w:line="360" w:lineRule="auto"/>
        <w:rPr>
          <w:rFonts w:asciiTheme="majorBidi" w:hAnsiTheme="majorBidi" w:cstheme="majorBidi"/>
          <w:sz w:val="20"/>
          <w:szCs w:val="20"/>
        </w:rPr>
      </w:pPr>
      <w:r w:rsidRPr="000D2A11">
        <w:rPr>
          <w:rFonts w:asciiTheme="majorBidi" w:hAnsiTheme="majorBidi" w:cstheme="majorBidi"/>
          <w:sz w:val="20"/>
          <w:szCs w:val="20"/>
          <w:vertAlign w:val="superscript"/>
        </w:rPr>
        <w:footnoteRef/>
      </w:r>
      <w:r w:rsidRPr="000D2A11">
        <w:rPr>
          <w:rFonts w:asciiTheme="majorBidi" w:hAnsiTheme="majorBidi" w:cstheme="majorBidi"/>
          <w:sz w:val="20"/>
          <w:szCs w:val="20"/>
        </w:rPr>
        <w:t xml:space="preserve"> Haug, 2019, pp. 73-4.</w:t>
      </w:r>
    </w:p>
  </w:footnote>
  <w:footnote w:id="192">
    <w:p w14:paraId="19448AF9" w14:textId="77777777" w:rsidR="00902FCD" w:rsidRPr="00F45E29" w:rsidRDefault="00902FCD" w:rsidP="00256637">
      <w:pPr>
        <w:pStyle w:val="FootnoteText"/>
        <w:spacing w:line="360" w:lineRule="auto"/>
        <w:rPr>
          <w:rFonts w:asciiTheme="majorBidi" w:eastAsiaTheme="minorHAnsi" w:hAnsiTheme="majorBidi" w:cstheme="majorBidi"/>
          <w:sz w:val="20"/>
          <w:szCs w:val="20"/>
        </w:rPr>
      </w:pPr>
      <w:r w:rsidRPr="00F45E29">
        <w:rPr>
          <w:rFonts w:asciiTheme="majorBidi" w:eastAsiaTheme="minorHAnsi" w:hAnsiTheme="majorBidi" w:cstheme="majorBidi"/>
          <w:sz w:val="20"/>
          <w:szCs w:val="20"/>
          <w:vertAlign w:val="superscript"/>
        </w:rPr>
        <w:footnoteRef/>
      </w:r>
      <w:r w:rsidRPr="00F45E29">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Barthold, </w:t>
      </w:r>
      <w:r w:rsidRPr="00F45E29">
        <w:rPr>
          <w:rFonts w:asciiTheme="majorBidi" w:eastAsiaTheme="minorHAnsi" w:hAnsiTheme="majorBidi" w:cstheme="majorBidi"/>
          <w:sz w:val="20"/>
          <w:szCs w:val="20"/>
        </w:rPr>
        <w:t>19</w:t>
      </w:r>
      <w:r>
        <w:rPr>
          <w:rFonts w:asciiTheme="majorBidi" w:eastAsiaTheme="minorHAnsi" w:hAnsiTheme="majorBidi" w:cstheme="majorBidi"/>
          <w:sz w:val="20"/>
          <w:szCs w:val="20"/>
        </w:rPr>
        <w:t>2</w:t>
      </w:r>
      <w:r w:rsidRPr="00F45E29">
        <w:rPr>
          <w:rFonts w:asciiTheme="majorBidi" w:eastAsiaTheme="minorHAnsi" w:hAnsiTheme="majorBidi" w:cstheme="majorBidi"/>
          <w:sz w:val="20"/>
          <w:szCs w:val="20"/>
        </w:rPr>
        <w:t>8, pp. 182-3</w:t>
      </w:r>
      <w:r>
        <w:rPr>
          <w:rFonts w:asciiTheme="majorBidi" w:eastAsiaTheme="minorHAnsi" w:hAnsiTheme="majorBidi" w:cstheme="majorBidi"/>
          <w:sz w:val="20"/>
          <w:szCs w:val="20"/>
        </w:rPr>
        <w:t>; Nölle-Karimi, 2008, pp. 9-19; Azad, 2021, pp. 332-45</w:t>
      </w:r>
      <w:r w:rsidRPr="00F45E29">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Of course, even in the frontier regions, the Arabs asked more than booty and tribute from the locals. Levy-Rubin’s study of the surrender treaties shows that various obligations such as military assistance were stipulated for the convenience of further expansions (2021, pp. 205-7).</w:t>
      </w:r>
    </w:p>
  </w:footnote>
  <w:footnote w:id="193">
    <w:p w14:paraId="03FF151D" w14:textId="726404C0" w:rsidR="00902FCD" w:rsidRPr="006A50C8" w:rsidRDefault="00902FCD" w:rsidP="00591270">
      <w:pPr>
        <w:pStyle w:val="FootnoteText"/>
        <w:spacing w:line="360" w:lineRule="auto"/>
        <w:rPr>
          <w:rFonts w:asciiTheme="majorBidi" w:eastAsiaTheme="minorHAnsi" w:hAnsiTheme="majorBidi" w:cstheme="majorBidi"/>
          <w:sz w:val="20"/>
          <w:szCs w:val="20"/>
        </w:rPr>
      </w:pPr>
      <w:r w:rsidRPr="006A50C8">
        <w:rPr>
          <w:rFonts w:asciiTheme="majorBidi" w:eastAsiaTheme="minorHAnsi" w:hAnsiTheme="majorBidi" w:cstheme="majorBidi"/>
          <w:sz w:val="20"/>
          <w:szCs w:val="20"/>
          <w:vertAlign w:val="superscript"/>
        </w:rPr>
        <w:footnoteRef/>
      </w:r>
      <w:r w:rsidRPr="006A50C8">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The bulk of the Arab expeditionary army would return for winter to Iraq in the 650s and the 660s, where their family stayed in the two major garrison towns Kufa and Basra (</w:t>
      </w:r>
      <w:r w:rsidRPr="006A50C8">
        <w:rPr>
          <w:rFonts w:asciiTheme="majorBidi" w:eastAsiaTheme="minorHAnsi" w:hAnsiTheme="majorBidi" w:cstheme="majorBidi"/>
          <w:sz w:val="20"/>
          <w:szCs w:val="20"/>
        </w:rPr>
        <w:t>Shaban, 1970, pp. 23-4</w:t>
      </w:r>
      <w:r>
        <w:rPr>
          <w:rFonts w:asciiTheme="majorBidi" w:eastAsiaTheme="minorHAnsi" w:hAnsiTheme="majorBidi" w:cstheme="majorBidi"/>
          <w:sz w:val="20"/>
          <w:szCs w:val="20"/>
        </w:rPr>
        <w:t>)</w:t>
      </w:r>
      <w:r w:rsidRPr="004B1FA7">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The settling of the Arab families makes Marw a base for further eastward expansion (van Steenbergen, 2021, p. 63). As Shaban expounds, fighting for booty and tribute catered to the appetite of both the central government in Damascus and the Arab tribes in the eastern frontiers (1970, pp. 35-52). See also van Steenbergen, 2021, p. 63.</w:t>
      </w:r>
    </w:p>
  </w:footnote>
  <w:footnote w:id="194">
    <w:p w14:paraId="6BD9A1D8" w14:textId="5B8E1027" w:rsidR="00902FCD" w:rsidRPr="004555BF" w:rsidRDefault="00902FCD" w:rsidP="00591270">
      <w:pPr>
        <w:pStyle w:val="FootnoteText"/>
        <w:spacing w:line="360" w:lineRule="auto"/>
        <w:rPr>
          <w:rFonts w:asciiTheme="majorBidi" w:eastAsiaTheme="minorHAnsi" w:hAnsiTheme="majorBidi" w:cstheme="majorBidi"/>
          <w:sz w:val="20"/>
          <w:szCs w:val="20"/>
        </w:rPr>
      </w:pPr>
      <w:r w:rsidRPr="004555BF">
        <w:rPr>
          <w:rFonts w:asciiTheme="majorBidi" w:eastAsiaTheme="minorHAnsi" w:hAnsiTheme="majorBidi" w:cstheme="majorBidi"/>
          <w:sz w:val="20"/>
          <w:szCs w:val="20"/>
          <w:vertAlign w:val="superscript"/>
        </w:rPr>
        <w:footnoteRef/>
      </w:r>
      <w:r w:rsidRPr="004555BF">
        <w:rPr>
          <w:rFonts w:asciiTheme="majorBidi" w:eastAsiaTheme="minorHAnsi" w:hAnsiTheme="majorBidi" w:cstheme="majorBidi"/>
          <w:sz w:val="20"/>
          <w:szCs w:val="20"/>
          <w:vertAlign w:val="superscript"/>
        </w:rPr>
        <w:t xml:space="preserve"> </w:t>
      </w:r>
      <w:r w:rsidRPr="004555BF">
        <w:rPr>
          <w:rFonts w:asciiTheme="majorBidi" w:eastAsiaTheme="minorHAnsi" w:hAnsiTheme="majorBidi" w:cstheme="majorBidi"/>
          <w:sz w:val="20"/>
          <w:szCs w:val="20"/>
        </w:rPr>
        <w:t>Wellhausen, 1927, pp. 434-5</w:t>
      </w:r>
      <w:r>
        <w:rPr>
          <w:rFonts w:asciiTheme="majorBidi" w:eastAsiaTheme="minorHAnsi" w:hAnsiTheme="majorBidi" w:cstheme="majorBidi"/>
          <w:sz w:val="20"/>
          <w:szCs w:val="20"/>
        </w:rPr>
        <w:t>; van Steenbergen, 2021, p. 65</w:t>
      </w:r>
      <w:r w:rsidRPr="004555BF">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The campaigns that Qutayba and the governors preceding him such as </w:t>
      </w:r>
      <w:r w:rsidRPr="00CD510B">
        <w:rPr>
          <w:rFonts w:asciiTheme="majorBidi" w:eastAsiaTheme="minorHAnsi" w:hAnsiTheme="majorBidi" w:cstheme="majorBidi"/>
          <w:sz w:val="20"/>
          <w:szCs w:val="20"/>
        </w:rPr>
        <w:t>Umayyah (693/4-697/8 CE) and al-Muhallab (697/8-702/3 CE)</w:t>
      </w:r>
      <w:r>
        <w:rPr>
          <w:rFonts w:asciiTheme="majorBidi" w:eastAsiaTheme="minorHAnsi" w:hAnsiTheme="majorBidi" w:cstheme="majorBidi"/>
          <w:sz w:val="20"/>
          <w:szCs w:val="20"/>
        </w:rPr>
        <w:t xml:space="preserve"> carried out mainly targeted at Transoxiana (a</w:t>
      </w:r>
      <w:r w:rsidRPr="00D87241">
        <w:rPr>
          <w:rFonts w:asciiTheme="majorBidi" w:eastAsiaTheme="minorHAnsi" w:hAnsiTheme="majorBidi" w:cstheme="majorBidi"/>
          <w:sz w:val="20"/>
          <w:szCs w:val="20"/>
        </w:rPr>
        <w:t>l-Ṭabarī</w:t>
      </w:r>
      <w:r w:rsidRPr="006C581D">
        <w:rPr>
          <w:rFonts w:asciiTheme="majorBidi" w:hAnsiTheme="majorBidi" w:cstheme="majorBidi"/>
          <w:sz w:val="20"/>
          <w:szCs w:val="20"/>
        </w:rPr>
        <w:t xml:space="preserve">, 2001, vol. 3, pp. </w:t>
      </w:r>
      <w:r>
        <w:rPr>
          <w:rFonts w:asciiTheme="majorBidi" w:hAnsiTheme="majorBidi" w:cstheme="majorBidi"/>
          <w:sz w:val="20"/>
          <w:szCs w:val="20"/>
        </w:rPr>
        <w:t xml:space="preserve">607-8, 610, </w:t>
      </w:r>
      <w:r w:rsidRPr="006C581D">
        <w:rPr>
          <w:rFonts w:asciiTheme="majorBidi" w:hAnsiTheme="majorBidi" w:cstheme="majorBidi"/>
          <w:sz w:val="20"/>
          <w:szCs w:val="20"/>
        </w:rPr>
        <w:t xml:space="preserve">616-7; </w:t>
      </w:r>
      <w:r>
        <w:rPr>
          <w:rFonts w:asciiTheme="majorBidi" w:hAnsiTheme="majorBidi" w:cstheme="majorBidi"/>
          <w:sz w:val="20"/>
          <w:szCs w:val="20"/>
        </w:rPr>
        <w:t>tr.</w:t>
      </w:r>
      <w:r w:rsidRPr="006C581D">
        <w:rPr>
          <w:rFonts w:asciiTheme="majorBidi" w:hAnsiTheme="majorBidi" w:cstheme="majorBidi"/>
          <w:sz w:val="20"/>
          <w:szCs w:val="20"/>
        </w:rPr>
        <w:t>, 1989, vol. XXII, pp</w:t>
      </w:r>
      <w:r>
        <w:rPr>
          <w:rFonts w:asciiTheme="majorBidi" w:hAnsiTheme="majorBidi" w:cstheme="majorBidi"/>
          <w:sz w:val="20"/>
          <w:szCs w:val="20"/>
        </w:rPr>
        <w:t xml:space="preserve">. 166-7, 175, </w:t>
      </w:r>
      <w:r w:rsidRPr="006C581D">
        <w:rPr>
          <w:rFonts w:asciiTheme="majorBidi" w:hAnsiTheme="majorBidi" w:cstheme="majorBidi"/>
          <w:sz w:val="20"/>
          <w:szCs w:val="20"/>
        </w:rPr>
        <w:t>188-90</w:t>
      </w:r>
      <w:r>
        <w:rPr>
          <w:rFonts w:asciiTheme="majorBidi" w:hAnsiTheme="majorBidi" w:cstheme="majorBidi"/>
          <w:sz w:val="20"/>
          <w:szCs w:val="20"/>
        </w:rPr>
        <w:t xml:space="preserve">; </w:t>
      </w:r>
      <w:r>
        <w:rPr>
          <w:rFonts w:asciiTheme="majorBidi" w:eastAsiaTheme="minorHAnsi" w:hAnsiTheme="majorBidi" w:cstheme="majorBidi"/>
          <w:sz w:val="20"/>
          <w:szCs w:val="20"/>
        </w:rPr>
        <w:t>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4, pp. 185-7, 192</w:t>
      </w:r>
      <w:r w:rsidR="00B71996">
        <w:rPr>
          <w:rFonts w:asciiTheme="majorBidi" w:eastAsiaTheme="minorHAnsi" w:hAnsiTheme="majorBidi" w:cstheme="majorBidi"/>
          <w:sz w:val="20"/>
          <w:szCs w:val="20"/>
        </w:rPr>
        <w:t>; Gardīzī, 1984, p. 245; tr., 2011, p. 20</w:t>
      </w:r>
      <w:r>
        <w:rPr>
          <w:rFonts w:asciiTheme="majorBidi" w:eastAsiaTheme="minorHAnsi" w:hAnsiTheme="majorBidi" w:cstheme="majorBidi"/>
          <w:sz w:val="20"/>
          <w:szCs w:val="20"/>
        </w:rPr>
        <w:t xml:space="preserve">), since the region was famous </w:t>
      </w:r>
      <w:r w:rsidRPr="00BB7F6E">
        <w:rPr>
          <w:rFonts w:asciiTheme="majorBidi" w:eastAsiaTheme="minorHAnsi" w:hAnsiTheme="majorBidi" w:cstheme="majorBidi"/>
          <w:sz w:val="20"/>
          <w:szCs w:val="20"/>
        </w:rPr>
        <w:t xml:space="preserve">for </w:t>
      </w:r>
      <w:r w:rsidRPr="00BB7F6E">
        <w:rPr>
          <w:rFonts w:asciiTheme="majorBidi" w:hAnsiTheme="majorBidi" w:cstheme="majorBidi"/>
          <w:sz w:val="20"/>
          <w:szCs w:val="20"/>
        </w:rPr>
        <w:t>its richness and prosperity of trading, while Ṭukhāristān with a relatively weaker economy was a less attractive target</w:t>
      </w:r>
      <w:r>
        <w:rPr>
          <w:rFonts w:asciiTheme="majorBidi" w:eastAsiaTheme="minorHAnsi" w:hAnsiTheme="majorBidi" w:cstheme="majorBidi"/>
          <w:sz w:val="20"/>
          <w:szCs w:val="20"/>
        </w:rPr>
        <w:t xml:space="preserve">. </w:t>
      </w:r>
      <w:r w:rsidRPr="000D2A11">
        <w:rPr>
          <w:rFonts w:asciiTheme="majorBidi" w:hAnsiTheme="majorBidi" w:cstheme="majorBidi"/>
          <w:sz w:val="20"/>
          <w:szCs w:val="20"/>
        </w:rPr>
        <w:t xml:space="preserve">Al-Kūfī </w:t>
      </w:r>
      <w:r>
        <w:rPr>
          <w:rFonts w:asciiTheme="majorBidi" w:hAnsiTheme="majorBidi" w:cstheme="majorBidi"/>
          <w:sz w:val="20"/>
          <w:szCs w:val="20"/>
        </w:rPr>
        <w:t>(</w:t>
      </w:r>
      <w:r>
        <w:rPr>
          <w:rFonts w:asciiTheme="majorBidi" w:eastAsiaTheme="minorHAnsi" w:hAnsiTheme="majorBidi" w:cstheme="majorBidi"/>
          <w:sz w:val="20"/>
          <w:szCs w:val="20"/>
        </w:rPr>
        <w:t>1975, volume 2, pp. 104-7; volume 4, pp. 186-7, 190-6, 200-2; volume 7, pp. 78, 234-5, 237, 247, 250</w:t>
      </w:r>
      <w:r>
        <w:rPr>
          <w:rFonts w:asciiTheme="majorBidi" w:hAnsiTheme="majorBidi" w:cstheme="majorBidi"/>
          <w:sz w:val="20"/>
          <w:szCs w:val="20"/>
        </w:rPr>
        <w:t xml:space="preserve">) </w:t>
      </w:r>
      <w:r w:rsidRPr="000D2A11">
        <w:rPr>
          <w:rFonts w:asciiTheme="majorBidi" w:hAnsiTheme="majorBidi" w:cstheme="majorBidi"/>
          <w:sz w:val="20"/>
          <w:szCs w:val="20"/>
        </w:rPr>
        <w:t xml:space="preserve">understands well the </w:t>
      </w:r>
      <w:r>
        <w:rPr>
          <w:rFonts w:asciiTheme="majorBidi" w:hAnsiTheme="majorBidi" w:cstheme="majorBidi"/>
          <w:sz w:val="20"/>
          <w:szCs w:val="20"/>
        </w:rPr>
        <w:t>objective</w:t>
      </w:r>
      <w:r w:rsidRPr="000D2A11">
        <w:rPr>
          <w:rFonts w:asciiTheme="majorBidi" w:hAnsiTheme="majorBidi" w:cstheme="majorBidi"/>
          <w:sz w:val="20"/>
          <w:szCs w:val="20"/>
        </w:rPr>
        <w:t xml:space="preserve"> of these military campaigns and pays great attention to the tribute laid down for a certain city and a governor’s dealing with the booty: </w:t>
      </w:r>
      <w:r>
        <w:rPr>
          <w:rFonts w:asciiTheme="majorBidi" w:hAnsiTheme="majorBidi" w:cstheme="majorBidi"/>
          <w:sz w:val="20"/>
          <w:szCs w:val="20"/>
        </w:rPr>
        <w:t>to</w:t>
      </w:r>
      <w:r w:rsidRPr="000D2A11">
        <w:rPr>
          <w:rFonts w:asciiTheme="majorBidi" w:hAnsiTheme="majorBidi" w:cstheme="majorBidi"/>
          <w:sz w:val="20"/>
          <w:szCs w:val="20"/>
        </w:rPr>
        <w:t xml:space="preserve"> deliver a fifth to the governor in Iraq and/or to the caliph in Damascus and divide the rest among the Arabs.</w:t>
      </w:r>
    </w:p>
  </w:footnote>
  <w:footnote w:id="195">
    <w:p w14:paraId="0FA0825D" w14:textId="110F74DF" w:rsidR="00902FCD" w:rsidRPr="00E95179" w:rsidRDefault="00902FCD" w:rsidP="00E95179">
      <w:pPr>
        <w:pStyle w:val="FootnoteText"/>
        <w:spacing w:line="360" w:lineRule="auto"/>
        <w:rPr>
          <w:rFonts w:asciiTheme="majorBidi" w:eastAsiaTheme="minorHAnsi" w:hAnsiTheme="majorBidi" w:cstheme="majorBidi"/>
          <w:sz w:val="20"/>
          <w:szCs w:val="20"/>
        </w:rPr>
      </w:pPr>
      <w:r w:rsidRPr="00E95179">
        <w:rPr>
          <w:rFonts w:asciiTheme="majorBidi" w:eastAsiaTheme="minorHAnsi" w:hAnsiTheme="majorBidi" w:cstheme="majorBidi"/>
          <w:sz w:val="20"/>
          <w:szCs w:val="20"/>
          <w:vertAlign w:val="superscript"/>
        </w:rPr>
        <w:footnoteRef/>
      </w:r>
      <w:r w:rsidRPr="00E95179">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For the Arab rule in the eastern frontiers, see Barthold, 1968, p. 186. Al-Aḥnaf b. al-Qays’ treaty with Marw al-Rūd, which included the condition of mutual military obligation (A</w:t>
      </w:r>
      <w:r>
        <w:rPr>
          <w:rFonts w:asciiTheme="majorBidi" w:eastAsiaTheme="minorHAnsi" w:hAnsiTheme="majorBidi" w:cstheme="majorBidi" w:hint="eastAsia"/>
          <w:sz w:val="20"/>
          <w:szCs w:val="20"/>
        </w:rPr>
        <w:t>l-</w:t>
      </w:r>
      <w:r w:rsidRPr="00014C21">
        <w:rPr>
          <w:rFonts w:asciiTheme="majorBidi" w:eastAsiaTheme="minorHAnsi" w:hAnsiTheme="majorBidi" w:cstheme="majorBidi"/>
          <w:sz w:val="20"/>
          <w:szCs w:val="20"/>
        </w:rPr>
        <w:t>Ṭabarī,</w:t>
      </w:r>
      <w:r>
        <w:rPr>
          <w:rFonts w:asciiTheme="majorBidi" w:eastAsiaTheme="minorHAnsi" w:hAnsiTheme="majorBidi" w:cstheme="majorBidi"/>
          <w:sz w:val="20"/>
          <w:szCs w:val="20"/>
        </w:rPr>
        <w:t xml:space="preserve"> </w:t>
      </w:r>
      <w:r w:rsidRPr="00121C9E">
        <w:rPr>
          <w:rFonts w:asciiTheme="majorBidi" w:eastAsiaTheme="minorHAnsi" w:hAnsiTheme="majorBidi" w:cstheme="majorBidi"/>
          <w:sz w:val="20"/>
          <w:szCs w:val="20"/>
        </w:rPr>
        <w:t>2001, vol. 2, p</w:t>
      </w:r>
      <w:r>
        <w:rPr>
          <w:rFonts w:asciiTheme="majorBidi" w:eastAsiaTheme="minorHAnsi" w:hAnsiTheme="majorBidi" w:cstheme="majorBidi"/>
          <w:sz w:val="20"/>
          <w:szCs w:val="20"/>
        </w:rPr>
        <w:t>p</w:t>
      </w:r>
      <w:r w:rsidRPr="00121C9E">
        <w:rPr>
          <w:rFonts w:asciiTheme="majorBidi" w:eastAsiaTheme="minorHAnsi" w:hAnsiTheme="majorBidi" w:cstheme="majorBidi"/>
          <w:sz w:val="20"/>
          <w:szCs w:val="20"/>
        </w:rPr>
        <w:t>. 63</w:t>
      </w:r>
      <w:r>
        <w:rPr>
          <w:rFonts w:asciiTheme="majorBidi" w:eastAsiaTheme="minorHAnsi" w:hAnsiTheme="majorBidi" w:cstheme="majorBidi"/>
          <w:sz w:val="20"/>
          <w:szCs w:val="20"/>
        </w:rPr>
        <w:t>0-1</w:t>
      </w:r>
      <w:r w:rsidRPr="00121C9E">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tr.</w:t>
      </w:r>
      <w:r w:rsidRPr="00121C9E">
        <w:rPr>
          <w:rFonts w:asciiTheme="majorBidi" w:eastAsiaTheme="minorHAnsi" w:hAnsiTheme="majorBidi" w:cstheme="majorBidi"/>
          <w:sz w:val="20"/>
          <w:szCs w:val="20"/>
        </w:rPr>
        <w:t xml:space="preserve">, vol. XV, pp. </w:t>
      </w:r>
      <w:r>
        <w:rPr>
          <w:rFonts w:asciiTheme="majorBidi" w:eastAsiaTheme="minorHAnsi" w:hAnsiTheme="majorBidi" w:cstheme="majorBidi"/>
          <w:sz w:val="20"/>
          <w:szCs w:val="20"/>
        </w:rPr>
        <w:t>102-3), sheds light on the military aspect of the rule of the Muslims. And the Bactrian documents testify that the local principalities delivered taxation to the Arabs (Sims-Williams, 2000, pp. 116-7, 126-9). Another great concern of the Arab rule of the region is their control the trading routes (Nölle-Karimi, 2008, p. 18; Azad, 2021, p. 335).</w:t>
      </w:r>
    </w:p>
  </w:footnote>
  <w:footnote w:id="196">
    <w:p w14:paraId="39F162A1" w14:textId="7E33C1ED" w:rsidR="00902FCD" w:rsidRPr="00E95179" w:rsidRDefault="00902FCD" w:rsidP="00E95179">
      <w:pPr>
        <w:pStyle w:val="FootnoteText"/>
        <w:spacing w:line="360" w:lineRule="auto"/>
        <w:rPr>
          <w:rFonts w:asciiTheme="majorBidi" w:eastAsiaTheme="minorHAnsi" w:hAnsiTheme="majorBidi" w:cstheme="majorBidi"/>
          <w:sz w:val="20"/>
          <w:szCs w:val="20"/>
        </w:rPr>
      </w:pPr>
      <w:r w:rsidRPr="00E95179">
        <w:rPr>
          <w:rFonts w:asciiTheme="majorBidi" w:eastAsiaTheme="minorHAnsi" w:hAnsiTheme="majorBidi" w:cstheme="majorBidi"/>
          <w:sz w:val="20"/>
          <w:szCs w:val="20"/>
          <w:vertAlign w:val="superscript"/>
        </w:rPr>
        <w:footnoteRef/>
      </w:r>
      <w:r w:rsidRPr="00E95179">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Cases found in a</w:t>
      </w:r>
      <w:r>
        <w:rPr>
          <w:rFonts w:asciiTheme="majorBidi" w:eastAsiaTheme="minorHAnsi" w:hAnsiTheme="majorBidi" w:cstheme="majorBidi" w:hint="eastAsia"/>
          <w:sz w:val="20"/>
          <w:szCs w:val="20"/>
        </w:rPr>
        <w:t>l-</w:t>
      </w:r>
      <w:r w:rsidRPr="00014C21">
        <w:rPr>
          <w:rFonts w:asciiTheme="majorBidi" w:eastAsiaTheme="minorHAnsi" w:hAnsiTheme="majorBidi" w:cstheme="majorBidi"/>
          <w:sz w:val="20"/>
          <w:szCs w:val="20"/>
        </w:rPr>
        <w:t>Ṭabarī</w:t>
      </w:r>
      <w:r>
        <w:rPr>
          <w:rFonts w:asciiTheme="majorBidi" w:eastAsiaTheme="minorHAnsi" w:hAnsiTheme="majorBidi" w:cstheme="majorBidi"/>
          <w:sz w:val="20"/>
          <w:szCs w:val="20"/>
        </w:rPr>
        <w:t>’s annals, such as the Hephthalites from as far as Chaghāniyān assisted the cities raided by the Muslims, exemplify the Hephthalites and the Turks’ rule of the local principalities. As for the tribute and taxation that the local principalities paid the Hephthalites and the Turks, it is clarified by the Bactrian documents.</w:t>
      </w:r>
    </w:p>
  </w:footnote>
  <w:footnote w:id="197">
    <w:p w14:paraId="2FE57FCC" w14:textId="76875EE8" w:rsidR="00902FCD" w:rsidRPr="00B213DE" w:rsidRDefault="00902FCD" w:rsidP="00B213DE">
      <w:pPr>
        <w:pStyle w:val="FootnoteText"/>
        <w:spacing w:line="360" w:lineRule="auto"/>
        <w:rPr>
          <w:rFonts w:asciiTheme="majorBidi" w:eastAsiaTheme="minorHAnsi" w:hAnsiTheme="majorBidi" w:cstheme="majorBidi"/>
          <w:sz w:val="20"/>
          <w:szCs w:val="20"/>
        </w:rPr>
      </w:pPr>
      <w:r w:rsidRPr="00B213DE">
        <w:rPr>
          <w:rFonts w:asciiTheme="majorBidi" w:eastAsiaTheme="minorHAnsi" w:hAnsiTheme="majorBidi" w:cstheme="majorBidi"/>
          <w:sz w:val="20"/>
          <w:szCs w:val="20"/>
          <w:vertAlign w:val="superscript"/>
        </w:rPr>
        <w:footnoteRef/>
      </w:r>
      <w:r w:rsidRPr="00B213DE">
        <w:rPr>
          <w:rFonts w:asciiTheme="majorBidi" w:eastAsiaTheme="minorHAnsi" w:hAnsiTheme="majorBidi" w:cstheme="majorBidi"/>
          <w:sz w:val="20"/>
          <w:szCs w:val="20"/>
        </w:rPr>
        <w:t xml:space="preserve"> Haug (</w:t>
      </w:r>
      <w:r w:rsidRPr="00411ACE">
        <w:rPr>
          <w:rFonts w:asciiTheme="majorBidi" w:eastAsiaTheme="minorHAnsi" w:hAnsiTheme="majorBidi" w:cstheme="majorBidi"/>
          <w:sz w:val="20"/>
          <w:szCs w:val="20"/>
        </w:rPr>
        <w:t>2019, pp. 88-9</w:t>
      </w:r>
      <w:r w:rsidRPr="00B213DE">
        <w:rPr>
          <w:rFonts w:asciiTheme="majorBidi" w:eastAsiaTheme="minorHAnsi" w:hAnsiTheme="majorBidi" w:cstheme="majorBidi"/>
          <w:sz w:val="20"/>
          <w:szCs w:val="20"/>
        </w:rPr>
        <w:t>) argues that al-Ṭabarī’s (</w:t>
      </w:r>
      <w:r w:rsidRPr="00121C9E">
        <w:rPr>
          <w:rFonts w:asciiTheme="majorBidi" w:eastAsiaTheme="minorHAnsi" w:hAnsiTheme="majorBidi" w:cstheme="majorBidi"/>
          <w:sz w:val="20"/>
          <w:szCs w:val="20"/>
        </w:rPr>
        <w:t xml:space="preserve">2001, vol. 2, p. 634; </w:t>
      </w:r>
      <w:r w:rsidRPr="00B213DE">
        <w:rPr>
          <w:rFonts w:asciiTheme="majorBidi" w:eastAsiaTheme="minorHAnsi" w:hAnsiTheme="majorBidi" w:cstheme="majorBidi"/>
          <w:sz w:val="20"/>
          <w:szCs w:val="20"/>
        </w:rPr>
        <w:t>tr.</w:t>
      </w:r>
      <w:r w:rsidRPr="00121C9E">
        <w:rPr>
          <w:rFonts w:asciiTheme="majorBidi" w:eastAsiaTheme="minorHAnsi" w:hAnsiTheme="majorBidi" w:cstheme="majorBidi"/>
          <w:sz w:val="20"/>
          <w:szCs w:val="20"/>
        </w:rPr>
        <w:t xml:space="preserve">, vol. XV, pp. 111; see also </w:t>
      </w:r>
      <w:r>
        <w:rPr>
          <w:rFonts w:asciiTheme="majorBidi" w:eastAsiaTheme="minorHAnsi" w:hAnsiTheme="majorBidi" w:cstheme="majorBidi"/>
          <w:sz w:val="20"/>
          <w:szCs w:val="20"/>
        </w:rPr>
        <w:t>Ibn</w:t>
      </w:r>
      <w:r w:rsidRPr="000F3F26">
        <w:rPr>
          <w:rFonts w:asciiTheme="majorBidi" w:eastAsiaTheme="minorHAnsi" w:hAnsiTheme="majorBidi" w:cstheme="majorBidi"/>
          <w:sz w:val="20"/>
          <w:szCs w:val="20"/>
        </w:rPr>
        <w:t>-’Athīr, 1987, volume 3, p. 3</w:t>
      </w:r>
      <w:r w:rsidRPr="00B213DE">
        <w:rPr>
          <w:rFonts w:asciiTheme="majorBidi" w:eastAsiaTheme="minorHAnsi" w:hAnsiTheme="majorBidi" w:cstheme="majorBidi"/>
          <w:sz w:val="20"/>
          <w:szCs w:val="20"/>
        </w:rPr>
        <w:t>) account of the campaigns in western Ṭukhāristān in the 650s exemplifies the competition for the local principalities between the Arabs and the Hephthalite Nīzak dynasty</w:t>
      </w:r>
      <w:r>
        <w:rPr>
          <w:rFonts w:asciiTheme="majorBidi" w:eastAsiaTheme="minorHAnsi" w:hAnsiTheme="majorBidi" w:cstheme="majorBidi"/>
          <w:sz w:val="20"/>
          <w:szCs w:val="20"/>
        </w:rPr>
        <w:t>, which would retreat to the mountainous regions when the Arabs advanced, and appeared in the plains when the Aabs retreated. However, the allied principalities fighting the Arabs who returned to raid in 653/4 CE were at best supported by the Hephthalites (</w:t>
      </w:r>
      <w:r w:rsidRPr="00403315">
        <w:rPr>
          <w:rFonts w:asciiTheme="majorBidi" w:eastAsiaTheme="minorHAnsi" w:hAnsiTheme="majorBidi" w:cstheme="majorBidi"/>
          <w:sz w:val="20"/>
          <w:szCs w:val="20"/>
        </w:rPr>
        <w:t>Shaban</w:t>
      </w:r>
      <w:r>
        <w:rPr>
          <w:rFonts w:asciiTheme="majorBidi" w:eastAsiaTheme="minorHAnsi" w:hAnsiTheme="majorBidi" w:cstheme="majorBidi"/>
          <w:sz w:val="20"/>
          <w:szCs w:val="20"/>
        </w:rPr>
        <w:t xml:space="preserve">, </w:t>
      </w:r>
      <w:r w:rsidRPr="00403315">
        <w:rPr>
          <w:rFonts w:asciiTheme="majorBidi" w:eastAsiaTheme="minorHAnsi" w:hAnsiTheme="majorBidi" w:cstheme="majorBidi"/>
          <w:sz w:val="20"/>
          <w:szCs w:val="20"/>
        </w:rPr>
        <w:t>1970, p. 26</w:t>
      </w:r>
      <w:r>
        <w:rPr>
          <w:rFonts w:asciiTheme="majorBidi" w:eastAsiaTheme="minorHAnsi" w:hAnsiTheme="majorBidi" w:cstheme="majorBidi"/>
          <w:sz w:val="20"/>
          <w:szCs w:val="20"/>
        </w:rPr>
        <w:t xml:space="preserve">) instead of being ruled by them as Haug suggests. As for the Turks, no sources show that they showed up. More probably, both Iranian and Hephthalite principalities joined in the alliance under the leadership </w:t>
      </w:r>
      <w:r w:rsidRPr="00411ACE">
        <w:rPr>
          <w:rFonts w:asciiTheme="majorBidi" w:eastAsiaTheme="minorHAnsi" w:hAnsiTheme="majorBidi" w:cstheme="majorBidi"/>
          <w:sz w:val="20"/>
          <w:szCs w:val="20"/>
        </w:rPr>
        <w:t>the noble Persian Karin family (Hoyland, 2015, p. 122).</w:t>
      </w:r>
    </w:p>
  </w:footnote>
  <w:footnote w:id="198">
    <w:p w14:paraId="1271CB6C" w14:textId="11DE9AF4" w:rsidR="00902FCD" w:rsidRPr="00305601" w:rsidRDefault="00902FCD" w:rsidP="00923F3A">
      <w:pPr>
        <w:pStyle w:val="FootnoteText"/>
        <w:spacing w:line="360" w:lineRule="auto"/>
        <w:rPr>
          <w:rFonts w:asciiTheme="majorBidi" w:hAnsiTheme="majorBidi" w:cstheme="majorBidi"/>
          <w:sz w:val="20"/>
          <w:szCs w:val="20"/>
        </w:rPr>
      </w:pPr>
      <w:r w:rsidRPr="00305601">
        <w:rPr>
          <w:rFonts w:asciiTheme="majorBidi" w:hAnsiTheme="majorBidi" w:cstheme="majorBidi"/>
          <w:sz w:val="20"/>
          <w:szCs w:val="20"/>
          <w:vertAlign w:val="superscript"/>
        </w:rPr>
        <w:footnoteRef/>
      </w:r>
      <w:r w:rsidRPr="00305601">
        <w:rPr>
          <w:rFonts w:asciiTheme="majorBidi" w:hAnsiTheme="majorBidi" w:cstheme="majorBidi"/>
          <w:sz w:val="20"/>
          <w:szCs w:val="20"/>
        </w:rPr>
        <w:t xml:space="preserve"> </w:t>
      </w:r>
      <w:r>
        <w:rPr>
          <w:rFonts w:asciiTheme="majorBidi" w:hAnsiTheme="majorBidi" w:cstheme="majorBidi"/>
          <w:sz w:val="20"/>
          <w:szCs w:val="20"/>
        </w:rPr>
        <w:t>A</w:t>
      </w:r>
      <w:r w:rsidRPr="000C4A32">
        <w:rPr>
          <w:rFonts w:asciiTheme="majorBidi" w:hAnsiTheme="majorBidi" w:cstheme="majorBidi"/>
          <w:sz w:val="20"/>
          <w:szCs w:val="20"/>
        </w:rPr>
        <w:t>l-Ṭabarī,</w:t>
      </w:r>
      <w:r>
        <w:rPr>
          <w:rFonts w:asciiTheme="majorBidi" w:hAnsiTheme="majorBidi" w:cstheme="majorBidi"/>
          <w:sz w:val="20"/>
          <w:szCs w:val="20"/>
        </w:rPr>
        <w:t xml:space="preserve"> </w:t>
      </w:r>
      <w:r w:rsidRPr="00305601">
        <w:rPr>
          <w:rFonts w:asciiTheme="majorBidi" w:hAnsiTheme="majorBidi" w:cstheme="majorBidi"/>
          <w:sz w:val="20"/>
          <w:szCs w:val="20"/>
        </w:rPr>
        <w:t>2001, vol. 3, p. 68</w:t>
      </w:r>
      <w:r>
        <w:rPr>
          <w:rFonts w:asciiTheme="majorBidi" w:hAnsiTheme="majorBidi" w:cstheme="majorBidi"/>
          <w:sz w:val="20"/>
          <w:szCs w:val="20"/>
        </w:rPr>
        <w:t>3</w:t>
      </w:r>
      <w:r w:rsidRPr="00305601">
        <w:rPr>
          <w:rFonts w:asciiTheme="majorBidi" w:hAnsiTheme="majorBidi" w:cstheme="majorBidi"/>
          <w:sz w:val="20"/>
          <w:szCs w:val="20"/>
        </w:rPr>
        <w:t xml:space="preserve">; </w:t>
      </w:r>
      <w:r>
        <w:rPr>
          <w:rFonts w:asciiTheme="majorBidi" w:hAnsiTheme="majorBidi" w:cstheme="majorBidi"/>
          <w:sz w:val="20"/>
          <w:szCs w:val="20"/>
        </w:rPr>
        <w:t>tr.</w:t>
      </w:r>
      <w:r w:rsidRPr="00305601">
        <w:rPr>
          <w:rFonts w:asciiTheme="majorBidi" w:hAnsiTheme="majorBidi" w:cstheme="majorBidi"/>
          <w:sz w:val="20"/>
          <w:szCs w:val="20"/>
        </w:rPr>
        <w:t>, 1990, vol. XXIII, pp. 15</w:t>
      </w:r>
      <w:r>
        <w:rPr>
          <w:rFonts w:asciiTheme="majorBidi" w:hAnsiTheme="majorBidi" w:cstheme="majorBidi"/>
          <w:sz w:val="20"/>
          <w:szCs w:val="20"/>
        </w:rPr>
        <w:t>4</w:t>
      </w:r>
      <w:r w:rsidRPr="00305601">
        <w:rPr>
          <w:rFonts w:asciiTheme="majorBidi" w:hAnsiTheme="majorBidi" w:cstheme="majorBidi"/>
          <w:sz w:val="20"/>
          <w:szCs w:val="20"/>
        </w:rPr>
        <w:t>-</w:t>
      </w:r>
      <w:r>
        <w:rPr>
          <w:rFonts w:asciiTheme="majorBidi" w:hAnsiTheme="majorBidi" w:cstheme="majorBidi"/>
          <w:sz w:val="20"/>
          <w:szCs w:val="20"/>
        </w:rPr>
        <w:t>5.</w:t>
      </w:r>
    </w:p>
  </w:footnote>
  <w:footnote w:id="199">
    <w:p w14:paraId="4F0D2BDB" w14:textId="2F21E4A9" w:rsidR="00902FCD" w:rsidRPr="005469BF" w:rsidRDefault="00902FCD" w:rsidP="005469BF">
      <w:pPr>
        <w:pStyle w:val="FootnoteText"/>
        <w:spacing w:line="360" w:lineRule="auto"/>
        <w:rPr>
          <w:rFonts w:asciiTheme="majorBidi" w:hAnsiTheme="majorBidi" w:cstheme="majorBidi"/>
          <w:sz w:val="20"/>
          <w:szCs w:val="20"/>
        </w:rPr>
      </w:pPr>
      <w:r w:rsidRPr="005469BF">
        <w:rPr>
          <w:rFonts w:asciiTheme="majorBidi" w:hAnsiTheme="majorBidi" w:cstheme="majorBidi"/>
          <w:sz w:val="20"/>
          <w:szCs w:val="20"/>
          <w:vertAlign w:val="superscript"/>
        </w:rPr>
        <w:footnoteRef/>
      </w:r>
      <w:r w:rsidRPr="005469BF">
        <w:rPr>
          <w:rFonts w:asciiTheme="majorBidi" w:hAnsiTheme="majorBidi" w:cstheme="majorBidi"/>
          <w:sz w:val="20"/>
          <w:szCs w:val="20"/>
        </w:rPr>
        <w:t xml:space="preserve"> With the trust from the governor of Iraq al-</w:t>
      </w:r>
      <w:r>
        <w:rPr>
          <w:rFonts w:asciiTheme="majorBidi" w:hAnsiTheme="majorBidi" w:cstheme="majorBidi"/>
          <w:sz w:val="20"/>
          <w:szCs w:val="20"/>
        </w:rPr>
        <w:t>Ḥ</w:t>
      </w:r>
      <w:r w:rsidRPr="005469BF">
        <w:rPr>
          <w:rFonts w:asciiTheme="majorBidi" w:hAnsiTheme="majorBidi" w:cstheme="majorBidi"/>
          <w:sz w:val="20"/>
          <w:szCs w:val="20"/>
        </w:rPr>
        <w:t xml:space="preserve">ajjāj, </w:t>
      </w:r>
      <w:r>
        <w:rPr>
          <w:rFonts w:asciiTheme="majorBidi" w:hAnsiTheme="majorBidi" w:cstheme="majorBidi"/>
          <w:sz w:val="20"/>
          <w:szCs w:val="20"/>
        </w:rPr>
        <w:t>Qutayba</w:t>
      </w:r>
      <w:r w:rsidRPr="005469BF">
        <w:rPr>
          <w:rFonts w:asciiTheme="majorBidi" w:hAnsiTheme="majorBidi" w:cstheme="majorBidi"/>
          <w:sz w:val="20"/>
          <w:szCs w:val="20"/>
        </w:rPr>
        <w:t xml:space="preserve"> was able to unite the Arab tribes and non-Arab tribes under the banner of </w:t>
      </w:r>
      <w:r w:rsidRPr="005469BF">
        <w:rPr>
          <w:rFonts w:asciiTheme="majorBidi" w:hAnsiTheme="majorBidi" w:cstheme="majorBidi"/>
          <w:i/>
          <w:iCs/>
          <w:sz w:val="20"/>
          <w:szCs w:val="20"/>
        </w:rPr>
        <w:t>jihād</w:t>
      </w:r>
      <w:r w:rsidRPr="005469BF">
        <w:rPr>
          <w:rFonts w:asciiTheme="majorBidi" w:hAnsiTheme="majorBidi" w:cstheme="majorBidi"/>
          <w:sz w:val="20"/>
          <w:szCs w:val="20"/>
        </w:rPr>
        <w:t>, and tried to incorporate local troops for military campaigns (Gibb, 1923, pp. 29-30</w:t>
      </w:r>
      <w:r>
        <w:rPr>
          <w:rFonts w:asciiTheme="majorBidi" w:hAnsiTheme="majorBidi" w:cstheme="majorBidi"/>
          <w:sz w:val="20"/>
          <w:szCs w:val="20"/>
        </w:rPr>
        <w:t>; Shaban, 1970, pp. 64-5</w:t>
      </w:r>
      <w:r w:rsidRPr="005469BF">
        <w:rPr>
          <w:rFonts w:asciiTheme="majorBidi" w:hAnsiTheme="majorBidi" w:cstheme="majorBidi"/>
          <w:sz w:val="20"/>
          <w:szCs w:val="20"/>
        </w:rPr>
        <w:t xml:space="preserve">). </w:t>
      </w:r>
    </w:p>
  </w:footnote>
  <w:footnote w:id="200">
    <w:p w14:paraId="04014645" w14:textId="0E5E2BD7" w:rsidR="00902FCD" w:rsidRPr="00E20F0E" w:rsidRDefault="00902FCD" w:rsidP="00E20F0E">
      <w:pPr>
        <w:pStyle w:val="FootnoteText"/>
        <w:spacing w:line="360" w:lineRule="auto"/>
        <w:rPr>
          <w:rFonts w:asciiTheme="majorBidi" w:hAnsiTheme="majorBidi" w:cstheme="majorBidi"/>
          <w:sz w:val="20"/>
          <w:szCs w:val="20"/>
        </w:rPr>
      </w:pPr>
      <w:r w:rsidRPr="00E20F0E">
        <w:rPr>
          <w:rFonts w:asciiTheme="majorBidi" w:hAnsiTheme="majorBidi" w:cstheme="majorBidi"/>
          <w:sz w:val="20"/>
          <w:szCs w:val="20"/>
          <w:vertAlign w:val="superscript"/>
        </w:rPr>
        <w:footnoteRef/>
      </w:r>
      <w:r w:rsidRPr="00E20F0E">
        <w:rPr>
          <w:rFonts w:asciiTheme="majorBidi" w:hAnsiTheme="majorBidi" w:cstheme="majorBidi"/>
          <w:sz w:val="20"/>
          <w:szCs w:val="20"/>
        </w:rPr>
        <w:t xml:space="preserve"> To follow Crone’s theory (1994, p. 458), although the Arabs started as a confederation of tribes, the Umayyad </w:t>
      </w:r>
      <w:r>
        <w:rPr>
          <w:rFonts w:asciiTheme="majorBidi" w:hAnsiTheme="majorBidi" w:cstheme="majorBidi"/>
          <w:sz w:val="20"/>
          <w:szCs w:val="20"/>
        </w:rPr>
        <w:t xml:space="preserve">government makes it possible to overcome the constant liability of fission and to </w:t>
      </w:r>
      <w:r w:rsidRPr="00E20F0E">
        <w:rPr>
          <w:rFonts w:asciiTheme="majorBidi" w:hAnsiTheme="majorBidi" w:cstheme="majorBidi"/>
          <w:sz w:val="20"/>
          <w:szCs w:val="20"/>
        </w:rPr>
        <w:t>coordinat</w:t>
      </w:r>
      <w:r>
        <w:rPr>
          <w:rFonts w:asciiTheme="majorBidi" w:hAnsiTheme="majorBidi" w:cstheme="majorBidi"/>
          <w:sz w:val="20"/>
          <w:szCs w:val="20"/>
        </w:rPr>
        <w:t>e</w:t>
      </w:r>
      <w:r w:rsidRPr="00E20F0E">
        <w:rPr>
          <w:rFonts w:asciiTheme="majorBidi" w:hAnsiTheme="majorBidi" w:cstheme="majorBidi"/>
          <w:sz w:val="20"/>
          <w:szCs w:val="20"/>
        </w:rPr>
        <w:t xml:space="preserve"> the tribes in </w:t>
      </w:r>
      <w:r>
        <w:rPr>
          <w:rFonts w:asciiTheme="majorBidi" w:hAnsiTheme="majorBidi" w:cstheme="majorBidi"/>
          <w:sz w:val="20"/>
          <w:szCs w:val="20"/>
        </w:rPr>
        <w:t>Central Asia</w:t>
      </w:r>
      <w:r w:rsidRPr="00E20F0E">
        <w:rPr>
          <w:rFonts w:asciiTheme="majorBidi" w:hAnsiTheme="majorBidi" w:cstheme="majorBidi"/>
          <w:sz w:val="20"/>
          <w:szCs w:val="20"/>
        </w:rPr>
        <w:t xml:space="preserve"> for expansion.</w:t>
      </w:r>
      <w:r w:rsidR="00BF428B">
        <w:rPr>
          <w:rFonts w:asciiTheme="majorBidi" w:hAnsiTheme="majorBidi" w:cstheme="majorBidi"/>
          <w:sz w:val="20"/>
          <w:szCs w:val="20"/>
        </w:rPr>
        <w:t xml:space="preserve"> </w:t>
      </w:r>
      <w:r w:rsidR="00F26929">
        <w:rPr>
          <w:rFonts w:asciiTheme="majorBidi" w:hAnsiTheme="majorBidi" w:cstheme="majorBidi"/>
          <w:sz w:val="20"/>
          <w:szCs w:val="20"/>
        </w:rPr>
        <w:t xml:space="preserve">For example, </w:t>
      </w:r>
      <w:r w:rsidR="00F26929">
        <w:rPr>
          <w:rFonts w:asciiTheme="majorBidi" w:hAnsiTheme="majorBidi" w:cstheme="majorBidi"/>
          <w:sz w:val="20"/>
          <w:szCs w:val="20"/>
        </w:rPr>
        <w:t xml:space="preserve">the tribal factions of the Arabs in Khurasan </w:t>
      </w:r>
      <w:r w:rsidR="00F26929">
        <w:rPr>
          <w:rFonts w:asciiTheme="majorBidi" w:hAnsiTheme="majorBidi" w:cstheme="majorBidi"/>
          <w:sz w:val="20"/>
          <w:szCs w:val="20"/>
        </w:rPr>
        <w:t xml:space="preserve">continued until </w:t>
      </w:r>
      <w:r w:rsidR="00BF428B">
        <w:rPr>
          <w:rFonts w:asciiTheme="majorBidi" w:hAnsiTheme="majorBidi" w:cstheme="majorBidi"/>
          <w:sz w:val="20"/>
          <w:szCs w:val="20"/>
        </w:rPr>
        <w:t>‘Abd al-Malik</w:t>
      </w:r>
      <w:r w:rsidR="00F26929">
        <w:rPr>
          <w:rFonts w:asciiTheme="majorBidi" w:hAnsiTheme="majorBidi" w:cstheme="majorBidi"/>
          <w:sz w:val="20"/>
          <w:szCs w:val="20"/>
        </w:rPr>
        <w:t xml:space="preserve">'s </w:t>
      </w:r>
      <w:r w:rsidR="00BF428B">
        <w:rPr>
          <w:rFonts w:asciiTheme="majorBidi" w:hAnsiTheme="majorBidi" w:cstheme="majorBidi"/>
          <w:sz w:val="20"/>
          <w:szCs w:val="20"/>
        </w:rPr>
        <w:t xml:space="preserve">appointing </w:t>
      </w:r>
      <w:r w:rsidR="00F26929">
        <w:rPr>
          <w:rFonts w:asciiTheme="majorBidi" w:hAnsiTheme="majorBidi" w:cstheme="majorBidi"/>
          <w:sz w:val="20"/>
          <w:szCs w:val="20"/>
        </w:rPr>
        <w:t xml:space="preserve">a Quraysh </w:t>
      </w:r>
      <w:r w:rsidR="00BF428B">
        <w:rPr>
          <w:rFonts w:asciiTheme="majorBidi" w:hAnsiTheme="majorBidi" w:cstheme="majorBidi"/>
          <w:sz w:val="20"/>
          <w:szCs w:val="20"/>
        </w:rPr>
        <w:t>Umayyah as governor of Khurasan</w:t>
      </w:r>
      <w:r w:rsidR="000A0587">
        <w:rPr>
          <w:rFonts w:asciiTheme="majorBidi" w:hAnsiTheme="majorBidi" w:cstheme="majorBidi"/>
          <w:sz w:val="20"/>
          <w:szCs w:val="20"/>
        </w:rPr>
        <w:t xml:space="preserve"> in 693/4 CE</w:t>
      </w:r>
      <w:r w:rsidR="00BF428B">
        <w:rPr>
          <w:rFonts w:asciiTheme="majorBidi" w:hAnsiTheme="majorBidi" w:cstheme="majorBidi"/>
          <w:sz w:val="20"/>
          <w:szCs w:val="20"/>
        </w:rPr>
        <w:t xml:space="preserve"> (a</w:t>
      </w:r>
      <w:r w:rsidR="00BF428B" w:rsidRPr="00704427">
        <w:rPr>
          <w:rFonts w:asciiTheme="majorBidi" w:hAnsiTheme="majorBidi" w:cstheme="majorBidi"/>
          <w:sz w:val="20"/>
          <w:szCs w:val="20"/>
        </w:rPr>
        <w:t xml:space="preserve">l-Ṭabarī, </w:t>
      </w:r>
      <w:r w:rsidR="00BF428B" w:rsidRPr="00BF428B">
        <w:rPr>
          <w:rFonts w:asciiTheme="majorBidi" w:hAnsiTheme="majorBidi" w:cstheme="majorBidi"/>
          <w:sz w:val="20"/>
          <w:szCs w:val="20"/>
        </w:rPr>
        <w:t>2001, vol. 3, pp. 545-6; tr., 1989, vol. XXII, pp. 7-11</w:t>
      </w:r>
      <w:r w:rsidR="00BF428B">
        <w:rPr>
          <w:rFonts w:asciiTheme="majorBidi" w:hAnsiTheme="majorBidi" w:cstheme="majorBidi"/>
          <w:sz w:val="20"/>
          <w:szCs w:val="20"/>
        </w:rPr>
        <w:t xml:space="preserve">; Gardīzī, 984, p. </w:t>
      </w:r>
      <w:r w:rsidR="00F26929">
        <w:rPr>
          <w:rFonts w:asciiTheme="majorBidi" w:hAnsiTheme="majorBidi" w:cstheme="majorBidi"/>
          <w:sz w:val="20"/>
          <w:szCs w:val="20"/>
        </w:rPr>
        <w:t>243; tr., 2011, p. 19</w:t>
      </w:r>
      <w:r w:rsidR="00BF428B">
        <w:rPr>
          <w:rFonts w:asciiTheme="majorBidi" w:hAnsiTheme="majorBidi" w:cstheme="majorBidi"/>
          <w:sz w:val="20"/>
          <w:szCs w:val="20"/>
        </w:rPr>
        <w:t xml:space="preserve">). </w:t>
      </w:r>
      <w:r w:rsidRPr="00E20F0E">
        <w:rPr>
          <w:rFonts w:asciiTheme="majorBidi" w:hAnsiTheme="majorBidi" w:cstheme="majorBidi"/>
          <w:sz w:val="20"/>
          <w:szCs w:val="20"/>
        </w:rPr>
        <w:t xml:space="preserve"> </w:t>
      </w:r>
    </w:p>
  </w:footnote>
  <w:footnote w:id="201">
    <w:p w14:paraId="52103217" w14:textId="092A23A9" w:rsidR="00902FCD" w:rsidRPr="00B04C56" w:rsidRDefault="00902FCD" w:rsidP="00B04C56">
      <w:pPr>
        <w:pStyle w:val="FootnoteText"/>
        <w:spacing w:line="360" w:lineRule="auto"/>
        <w:rPr>
          <w:rFonts w:asciiTheme="majorBidi" w:hAnsiTheme="majorBidi" w:cstheme="majorBidi"/>
          <w:sz w:val="20"/>
          <w:szCs w:val="20"/>
        </w:rPr>
      </w:pPr>
      <w:r w:rsidRPr="00B04C56">
        <w:rPr>
          <w:rFonts w:asciiTheme="majorBidi" w:hAnsiTheme="majorBidi" w:cstheme="majorBidi"/>
          <w:sz w:val="20"/>
          <w:szCs w:val="20"/>
          <w:vertAlign w:val="superscript"/>
        </w:rPr>
        <w:footnoteRef/>
      </w:r>
      <w:r w:rsidRPr="00B04C56">
        <w:rPr>
          <w:rFonts w:asciiTheme="majorBidi" w:hAnsiTheme="majorBidi" w:cstheme="majorBidi"/>
          <w:sz w:val="20"/>
          <w:szCs w:val="20"/>
        </w:rPr>
        <w:t xml:space="preserve"> </w:t>
      </w:r>
      <w:r>
        <w:rPr>
          <w:rFonts w:asciiTheme="majorBidi" w:hAnsiTheme="majorBidi" w:cstheme="majorBidi"/>
          <w:sz w:val="20"/>
          <w:szCs w:val="20"/>
        </w:rPr>
        <w:t>Shaban, 1970</w:t>
      </w:r>
      <w:r w:rsidRPr="00B04C56">
        <w:rPr>
          <w:rFonts w:asciiTheme="majorBidi" w:hAnsiTheme="majorBidi" w:cstheme="majorBidi"/>
          <w:sz w:val="20"/>
          <w:szCs w:val="20"/>
        </w:rPr>
        <w:t>, pp. 50-2, 54-5, 64, 70.</w:t>
      </w:r>
    </w:p>
  </w:footnote>
  <w:footnote w:id="202">
    <w:p w14:paraId="116B0ADF" w14:textId="51DABD97" w:rsidR="00902FCD" w:rsidRPr="00747579" w:rsidRDefault="00902FCD" w:rsidP="00747579">
      <w:pPr>
        <w:pStyle w:val="FootnoteText"/>
        <w:spacing w:line="360" w:lineRule="auto"/>
        <w:rPr>
          <w:rFonts w:asciiTheme="majorBidi" w:hAnsiTheme="majorBidi" w:cstheme="majorBidi"/>
          <w:sz w:val="20"/>
          <w:szCs w:val="20"/>
        </w:rPr>
      </w:pPr>
      <w:r w:rsidRPr="00747579">
        <w:rPr>
          <w:rFonts w:asciiTheme="majorBidi" w:hAnsiTheme="majorBidi" w:cstheme="majorBidi"/>
          <w:sz w:val="20"/>
          <w:szCs w:val="20"/>
          <w:vertAlign w:val="superscript"/>
        </w:rPr>
        <w:footnoteRef/>
      </w:r>
      <w:r w:rsidRPr="00747579">
        <w:rPr>
          <w:rFonts w:asciiTheme="majorBidi" w:hAnsiTheme="majorBidi" w:cstheme="majorBidi"/>
          <w:sz w:val="20"/>
          <w:szCs w:val="20"/>
          <w:vertAlign w:val="superscript"/>
        </w:rPr>
        <w:t xml:space="preserve"> </w:t>
      </w:r>
      <w:r w:rsidRPr="00747579">
        <w:rPr>
          <w:rFonts w:asciiTheme="majorBidi" w:hAnsiTheme="majorBidi" w:cstheme="majorBidi"/>
          <w:sz w:val="20"/>
          <w:szCs w:val="20"/>
        </w:rPr>
        <w:t>An external power that could challenge the Arabs such as the Türgesh appeared in Ṭukhāristān only in the 720s and the 730s.</w:t>
      </w:r>
    </w:p>
  </w:footnote>
  <w:footnote w:id="203">
    <w:p w14:paraId="3295A2D6" w14:textId="278FBE95" w:rsidR="00902FCD" w:rsidRPr="00704427" w:rsidRDefault="00902FCD" w:rsidP="00923F3A">
      <w:pPr>
        <w:pStyle w:val="FootnoteText"/>
        <w:spacing w:line="360" w:lineRule="auto"/>
        <w:rPr>
          <w:rFonts w:asciiTheme="majorBidi" w:eastAsiaTheme="minorHAnsi" w:hAnsiTheme="majorBidi" w:cstheme="majorBidi"/>
          <w:sz w:val="20"/>
          <w:szCs w:val="20"/>
        </w:rPr>
      </w:pPr>
      <w:r w:rsidRPr="00704427">
        <w:rPr>
          <w:rFonts w:asciiTheme="majorBidi" w:eastAsiaTheme="minorHAnsi" w:hAnsiTheme="majorBidi" w:cstheme="majorBidi"/>
          <w:sz w:val="20"/>
          <w:szCs w:val="20"/>
          <w:vertAlign w:val="superscript"/>
        </w:rPr>
        <w:footnoteRef/>
      </w:r>
      <w:r w:rsidRPr="00704427">
        <w:rPr>
          <w:rFonts w:asciiTheme="majorBidi" w:eastAsiaTheme="minorHAnsi" w:hAnsiTheme="majorBidi" w:cstheme="majorBidi"/>
          <w:sz w:val="20"/>
          <w:szCs w:val="20"/>
          <w:vertAlign w:val="superscript"/>
        </w:rPr>
        <w:t xml:space="preserve"> </w:t>
      </w:r>
      <w:r>
        <w:rPr>
          <w:rFonts w:asciiTheme="majorBidi" w:hAnsiTheme="majorBidi" w:cstheme="majorBidi"/>
          <w:sz w:val="20"/>
          <w:szCs w:val="20"/>
        </w:rPr>
        <w:t>A</w:t>
      </w:r>
      <w:r w:rsidRPr="00704427">
        <w:rPr>
          <w:rFonts w:asciiTheme="majorBidi" w:hAnsiTheme="majorBidi" w:cstheme="majorBidi"/>
          <w:sz w:val="20"/>
          <w:szCs w:val="20"/>
        </w:rPr>
        <w:t xml:space="preserve">l-Ṭabarī, 2001, volume 3, pp. 670; </w:t>
      </w:r>
      <w:r>
        <w:rPr>
          <w:rFonts w:asciiTheme="majorBidi" w:hAnsiTheme="majorBidi" w:cstheme="majorBidi"/>
          <w:sz w:val="20"/>
          <w:szCs w:val="20"/>
        </w:rPr>
        <w:t>tr.</w:t>
      </w:r>
      <w:r w:rsidRPr="00704427">
        <w:rPr>
          <w:rFonts w:asciiTheme="majorBidi" w:hAnsiTheme="majorBidi" w:cstheme="majorBidi"/>
          <w:sz w:val="20"/>
          <w:szCs w:val="20"/>
        </w:rPr>
        <w:t xml:space="preserve">, 1990, vol. XXIII, pp. 127-8; see also </w:t>
      </w:r>
      <w:r>
        <w:rPr>
          <w:rFonts w:asciiTheme="majorBidi" w:eastAsiaTheme="minorHAnsi" w:hAnsiTheme="majorBidi" w:cstheme="majorBidi"/>
          <w:sz w:val="20"/>
          <w:szCs w:val="20"/>
        </w:rPr>
        <w:t>Ibn</w:t>
      </w:r>
      <w:r w:rsidRPr="00704427">
        <w:rPr>
          <w:rFonts w:asciiTheme="majorBidi" w:eastAsiaTheme="minorHAnsi" w:hAnsiTheme="majorBidi" w:cstheme="majorBidi"/>
          <w:sz w:val="20"/>
          <w:szCs w:val="20"/>
        </w:rPr>
        <w:t xml:space="preserve">-’Athīr, 1987, volume 4, p. 241. </w:t>
      </w:r>
    </w:p>
  </w:footnote>
  <w:footnote w:id="204">
    <w:p w14:paraId="3194B2DA" w14:textId="6DAA7297" w:rsidR="00902FCD" w:rsidRPr="009D283D" w:rsidRDefault="00902FCD" w:rsidP="00923F3A">
      <w:pPr>
        <w:pStyle w:val="FootnoteText"/>
        <w:spacing w:line="360" w:lineRule="auto"/>
        <w:rPr>
          <w:rFonts w:asciiTheme="majorBidi" w:hAnsiTheme="majorBidi" w:cstheme="majorBidi"/>
          <w:sz w:val="20"/>
          <w:szCs w:val="20"/>
        </w:rPr>
      </w:pPr>
      <w:r w:rsidRPr="009D283D">
        <w:rPr>
          <w:rStyle w:val="FootnoteReference"/>
          <w:rFonts w:asciiTheme="majorBidi" w:hAnsiTheme="majorBidi" w:cstheme="majorBidi"/>
          <w:sz w:val="20"/>
          <w:szCs w:val="20"/>
        </w:rPr>
        <w:footnoteRef/>
      </w:r>
      <w:r w:rsidRPr="009D283D">
        <w:rPr>
          <w:rFonts w:asciiTheme="majorBidi" w:hAnsiTheme="majorBidi" w:cstheme="majorBidi"/>
          <w:sz w:val="20"/>
          <w:szCs w:val="20"/>
        </w:rPr>
        <w:t xml:space="preserve"> </w:t>
      </w:r>
      <w:r w:rsidRPr="009D283D">
        <w:rPr>
          <w:rFonts w:asciiTheme="majorBidi" w:eastAsiaTheme="minorHAnsi" w:hAnsiTheme="majorBidi" w:cstheme="majorBidi"/>
          <w:sz w:val="20"/>
          <w:szCs w:val="20"/>
        </w:rPr>
        <w:t xml:space="preserve">Al-Ṭabarī, 2001, volume 4, p. 6; </w:t>
      </w:r>
      <w:r>
        <w:rPr>
          <w:rFonts w:asciiTheme="majorBidi" w:hAnsiTheme="majorBidi" w:cstheme="majorBidi"/>
          <w:sz w:val="20"/>
          <w:szCs w:val="20"/>
        </w:rPr>
        <w:t>tr.</w:t>
      </w:r>
      <w:r w:rsidRPr="009D283D">
        <w:rPr>
          <w:rFonts w:asciiTheme="majorBidi" w:eastAsiaTheme="minorHAnsi" w:hAnsiTheme="majorBidi" w:cstheme="majorBidi"/>
          <w:sz w:val="20"/>
          <w:szCs w:val="20"/>
        </w:rPr>
        <w:t>, 1990, volume XXIII, pp. 165-6.</w:t>
      </w:r>
    </w:p>
  </w:footnote>
  <w:footnote w:id="205">
    <w:p w14:paraId="2F585B1B" w14:textId="4B9C903E" w:rsidR="00902FCD" w:rsidRPr="00CB58E7" w:rsidRDefault="00902FCD" w:rsidP="00CB58E7">
      <w:pPr>
        <w:pStyle w:val="FootnoteText"/>
        <w:spacing w:line="360" w:lineRule="auto"/>
        <w:rPr>
          <w:rFonts w:asciiTheme="majorBidi" w:hAnsiTheme="majorBidi" w:cstheme="majorBidi"/>
          <w:sz w:val="20"/>
          <w:szCs w:val="20"/>
        </w:rPr>
      </w:pPr>
      <w:r w:rsidRPr="00CB58E7">
        <w:rPr>
          <w:rStyle w:val="FootnoteReference"/>
          <w:rFonts w:asciiTheme="majorBidi" w:hAnsiTheme="majorBidi" w:cstheme="majorBidi"/>
          <w:sz w:val="20"/>
          <w:szCs w:val="20"/>
        </w:rPr>
        <w:footnoteRef/>
      </w:r>
      <w:r w:rsidRPr="00CB58E7">
        <w:rPr>
          <w:rFonts w:asciiTheme="majorBidi" w:hAnsiTheme="majorBidi" w:cstheme="majorBidi"/>
          <w:sz w:val="20"/>
          <w:szCs w:val="20"/>
        </w:rPr>
        <w:t xml:space="preserve"> When Qutayba was appointed as the Arab governor over Khurasan in 705 CE, Nīzak first tried to maintain independence by talk instead of fight. As for Qutayba, he was interested in the military prowess of the Hephthalites. Consequently, a treaty was concluded by the two, according to which Qutayba would not enter Nīzak’s territories, while the latter was obliged to join Qutayba in his campaigns. Nīzak did fight fiercely along with Qutayba (</w:t>
      </w:r>
      <w:r w:rsidRPr="00CB58E7">
        <w:rPr>
          <w:rFonts w:asciiTheme="majorBidi" w:hAnsiTheme="majorBidi" w:cstheme="majorBidi"/>
          <w:sz w:val="20"/>
          <w:szCs w:val="20"/>
          <w:lang w:bidi="ar-SA"/>
        </w:rPr>
        <w:t xml:space="preserve">al-Ṭabarī, 2001, volume 3, p. 677, 683; </w:t>
      </w:r>
      <w:r w:rsidRPr="00CB58E7">
        <w:rPr>
          <w:rFonts w:asciiTheme="majorBidi" w:hAnsiTheme="majorBidi" w:cstheme="majorBidi"/>
          <w:sz w:val="20"/>
          <w:szCs w:val="20"/>
        </w:rPr>
        <w:t>tr.,</w:t>
      </w:r>
      <w:r w:rsidRPr="00CB58E7">
        <w:rPr>
          <w:rFonts w:asciiTheme="majorBidi" w:hAnsiTheme="majorBidi" w:cstheme="majorBidi"/>
          <w:sz w:val="20"/>
          <w:szCs w:val="20"/>
          <w:lang w:bidi="ar-SA"/>
        </w:rPr>
        <w:t xml:space="preserve"> 1990, volume XXIII, pp. 143, 153. See also Ibn al</w:t>
      </w:r>
      <w:proofErr w:type="gramStart"/>
      <w:r w:rsidRPr="00CB58E7">
        <w:rPr>
          <w:rFonts w:asciiTheme="majorBidi" w:hAnsiTheme="majorBidi" w:cstheme="majorBidi"/>
          <w:sz w:val="20"/>
          <w:szCs w:val="20"/>
          <w:lang w:bidi="ar-SA"/>
        </w:rPr>
        <w:t>-‘</w:t>
      </w:r>
      <w:proofErr w:type="gramEnd"/>
      <w:r w:rsidRPr="00CB58E7">
        <w:rPr>
          <w:rFonts w:asciiTheme="majorBidi" w:hAnsiTheme="majorBidi" w:cstheme="majorBidi"/>
          <w:sz w:val="20"/>
          <w:szCs w:val="20"/>
          <w:lang w:bidi="ar-SA"/>
        </w:rPr>
        <w:t>Athīr, 1987, volume 4, pp. 247</w:t>
      </w:r>
      <w:r w:rsidRPr="00CB58E7">
        <w:rPr>
          <w:rFonts w:asciiTheme="majorBidi" w:hAnsiTheme="majorBidi" w:cstheme="majorBidi"/>
          <w:sz w:val="20"/>
          <w:szCs w:val="20"/>
        </w:rPr>
        <w:t>). However, Nīzak decided to rebel, because the military obligation made him a vassal of the Arabs. Another possibility is that he was simply enraged because of the Arabs taking the lion’s share of the booty (</w:t>
      </w:r>
      <w:r w:rsidRPr="00CB58E7">
        <w:rPr>
          <w:rFonts w:asciiTheme="majorBidi" w:hAnsiTheme="majorBidi" w:cstheme="majorBidi"/>
          <w:sz w:val="20"/>
          <w:szCs w:val="20"/>
          <w:lang w:bidi="ar-SA"/>
        </w:rPr>
        <w:t>Shaban, 1970, pp. 66, 71, 73</w:t>
      </w:r>
      <w:r w:rsidRPr="00CB58E7">
        <w:rPr>
          <w:rFonts w:asciiTheme="majorBidi" w:hAnsiTheme="majorBidi" w:cstheme="majorBidi"/>
          <w:sz w:val="20"/>
          <w:szCs w:val="20"/>
        </w:rPr>
        <w:t>). In 709 CE, Nīzak organized a general insurrection in western Ṭukhāristān against the Arabs (</w:t>
      </w:r>
      <w:r w:rsidRPr="00CB58E7">
        <w:rPr>
          <w:rFonts w:asciiTheme="majorBidi" w:hAnsiTheme="majorBidi" w:cstheme="majorBidi"/>
          <w:sz w:val="20"/>
          <w:szCs w:val="20"/>
          <w:lang w:bidi="ar-SA"/>
        </w:rPr>
        <w:t xml:space="preserve">al-Ṭabarī, 2001, volume 3, pp. 683-4; </w:t>
      </w:r>
      <w:r w:rsidRPr="00CB58E7">
        <w:rPr>
          <w:rFonts w:asciiTheme="majorBidi" w:hAnsiTheme="majorBidi" w:cstheme="majorBidi"/>
          <w:sz w:val="20"/>
          <w:szCs w:val="20"/>
        </w:rPr>
        <w:t>tr.</w:t>
      </w:r>
      <w:r w:rsidRPr="00CB58E7">
        <w:rPr>
          <w:rFonts w:asciiTheme="majorBidi" w:hAnsiTheme="majorBidi" w:cstheme="majorBidi"/>
          <w:sz w:val="20"/>
          <w:szCs w:val="20"/>
          <w:lang w:bidi="ar-SA"/>
        </w:rPr>
        <w:t>, 1990, volume XXIII, pp. 153-6. See also Ibn al</w:t>
      </w:r>
      <w:proofErr w:type="gramStart"/>
      <w:r w:rsidRPr="00CB58E7">
        <w:rPr>
          <w:rFonts w:asciiTheme="majorBidi" w:hAnsiTheme="majorBidi" w:cstheme="majorBidi"/>
          <w:sz w:val="20"/>
          <w:szCs w:val="20"/>
          <w:lang w:bidi="ar-SA"/>
        </w:rPr>
        <w:t>-‘</w:t>
      </w:r>
      <w:proofErr w:type="gramEnd"/>
      <w:r w:rsidRPr="00CB58E7">
        <w:rPr>
          <w:rFonts w:asciiTheme="majorBidi" w:hAnsiTheme="majorBidi" w:cstheme="majorBidi"/>
          <w:sz w:val="20"/>
          <w:szCs w:val="20"/>
          <w:lang w:bidi="ar-SA"/>
        </w:rPr>
        <w:t>Athīr, 1987, volume 4, pp. 254-5, 259-61</w:t>
      </w:r>
      <w:r w:rsidRPr="00CB58E7">
        <w:rPr>
          <w:rFonts w:asciiTheme="majorBidi" w:hAnsiTheme="majorBidi" w:cstheme="majorBidi"/>
          <w:sz w:val="20"/>
          <w:szCs w:val="20"/>
        </w:rPr>
        <w:t>).</w:t>
      </w:r>
    </w:p>
  </w:footnote>
  <w:footnote w:id="206">
    <w:p w14:paraId="3D656114" w14:textId="47B158C8" w:rsidR="00902FCD" w:rsidRPr="007C4B07" w:rsidRDefault="00902FCD" w:rsidP="00B96F57">
      <w:pPr>
        <w:pStyle w:val="FootnoteText"/>
        <w:spacing w:line="360" w:lineRule="auto"/>
        <w:rPr>
          <w:rFonts w:asciiTheme="majorBidi" w:hAnsiTheme="majorBidi" w:cstheme="majorBidi"/>
          <w:sz w:val="20"/>
          <w:szCs w:val="20"/>
        </w:rPr>
      </w:pPr>
      <w:r w:rsidRPr="007C4B07">
        <w:rPr>
          <w:rFonts w:asciiTheme="majorBidi" w:hAnsiTheme="majorBidi" w:cstheme="majorBidi"/>
          <w:sz w:val="20"/>
          <w:szCs w:val="20"/>
          <w:vertAlign w:val="superscript"/>
        </w:rPr>
        <w:footnoteRef/>
      </w:r>
      <w:r w:rsidRPr="007C4B07">
        <w:rPr>
          <w:rFonts w:asciiTheme="majorBidi" w:hAnsiTheme="majorBidi" w:cstheme="majorBidi"/>
          <w:sz w:val="20"/>
          <w:szCs w:val="20"/>
        </w:rPr>
        <w:t xml:space="preserve"> </w:t>
      </w:r>
      <w:r w:rsidRPr="00CB58E7">
        <w:rPr>
          <w:rFonts w:asciiTheme="majorBidi" w:hAnsiTheme="majorBidi" w:cstheme="majorBidi"/>
          <w:sz w:val="20"/>
          <w:szCs w:val="20"/>
        </w:rPr>
        <w:t xml:space="preserve">When Nīzak broke the treaty that he signed with Qutayba earlier and organized a rebellion against the Arabs </w:t>
      </w:r>
      <w:r>
        <w:rPr>
          <w:rFonts w:asciiTheme="majorBidi" w:hAnsiTheme="majorBidi" w:cstheme="majorBidi"/>
          <w:sz w:val="20"/>
          <w:szCs w:val="20"/>
        </w:rPr>
        <w:t xml:space="preserve">in 709 CE </w:t>
      </w:r>
      <w:r w:rsidRPr="00CB58E7">
        <w:rPr>
          <w:rFonts w:asciiTheme="majorBidi" w:hAnsiTheme="majorBidi" w:cstheme="majorBidi"/>
          <w:sz w:val="20"/>
          <w:szCs w:val="20"/>
        </w:rPr>
        <w:t>(al-Ṭabarī, 2001, volume 3, pp. 683-4; tr., 1990, volume XXIII, pp. 153-6. See also Ibn al</w:t>
      </w:r>
      <w:proofErr w:type="gramStart"/>
      <w:r w:rsidRPr="00CB58E7">
        <w:rPr>
          <w:rFonts w:asciiTheme="majorBidi" w:hAnsiTheme="majorBidi" w:cstheme="majorBidi"/>
          <w:sz w:val="20"/>
          <w:szCs w:val="20"/>
        </w:rPr>
        <w:t>-‘</w:t>
      </w:r>
      <w:proofErr w:type="gramEnd"/>
      <w:r w:rsidRPr="00CB58E7">
        <w:rPr>
          <w:rFonts w:asciiTheme="majorBidi" w:hAnsiTheme="majorBidi" w:cstheme="majorBidi"/>
          <w:sz w:val="20"/>
          <w:szCs w:val="20"/>
        </w:rPr>
        <w:t xml:space="preserve">Athīr, 1987, volume 4, pp. 254-5, 259-61), Qutayba called on the local principalities, including Nishapur, Abīward, Sarakhs and Herat for assistance, and started his military actions in the late winter of 709 CE, when Nīzak and his allies were unprepared. He ruthlessly conquered and punished the rebels one by one until his capturing and executing Nīzak (al-Ṭabarī, 2001, volume 4, pp. 3-7; tr., 1990, volume XXIII, pp. 164-74. See also </w:t>
      </w:r>
      <w:r w:rsidRPr="00CB58E7">
        <w:rPr>
          <w:rFonts w:asciiTheme="majorBidi" w:eastAsiaTheme="minorHAnsi" w:hAnsiTheme="majorBidi" w:cstheme="majorBidi"/>
          <w:sz w:val="20"/>
          <w:szCs w:val="20"/>
        </w:rPr>
        <w:t xml:space="preserve">Ibn </w:t>
      </w:r>
      <w:r w:rsidRPr="00CB58E7">
        <w:rPr>
          <w:rFonts w:asciiTheme="majorBidi" w:hAnsiTheme="majorBidi" w:cstheme="majorBidi"/>
          <w:sz w:val="20"/>
          <w:szCs w:val="20"/>
        </w:rPr>
        <w:t>al</w:t>
      </w:r>
      <w:proofErr w:type="gramStart"/>
      <w:r w:rsidRPr="00CB58E7">
        <w:rPr>
          <w:rFonts w:asciiTheme="majorBidi" w:hAnsiTheme="majorBidi" w:cstheme="majorBidi"/>
          <w:sz w:val="20"/>
          <w:szCs w:val="20"/>
        </w:rPr>
        <w:t>-‘</w:t>
      </w:r>
      <w:proofErr w:type="gramEnd"/>
      <w:r w:rsidRPr="00CB58E7">
        <w:rPr>
          <w:rFonts w:asciiTheme="majorBidi" w:hAnsiTheme="majorBidi" w:cstheme="majorBidi"/>
          <w:sz w:val="20"/>
          <w:szCs w:val="20"/>
        </w:rPr>
        <w:t xml:space="preserve">Athīr, 1987, volume 4, pp. 259-61). </w:t>
      </w:r>
      <w:r>
        <w:rPr>
          <w:rFonts w:asciiTheme="majorBidi" w:hAnsiTheme="majorBidi" w:cstheme="majorBidi"/>
          <w:sz w:val="20"/>
          <w:szCs w:val="20"/>
        </w:rPr>
        <w:t>Al-</w:t>
      </w:r>
      <w:r w:rsidRPr="00A45874">
        <w:rPr>
          <w:rFonts w:asciiTheme="majorBidi" w:hAnsiTheme="majorBidi" w:cstheme="majorBidi"/>
          <w:sz w:val="20"/>
          <w:szCs w:val="20"/>
        </w:rPr>
        <w:t>Yaʿqūbī</w:t>
      </w:r>
      <w:r>
        <w:rPr>
          <w:rFonts w:asciiTheme="majorBidi" w:hAnsiTheme="majorBidi" w:cstheme="majorBidi"/>
          <w:sz w:val="20"/>
          <w:szCs w:val="20"/>
        </w:rPr>
        <w:t xml:space="preserve"> keeps a shorter account of Nīzak’s alliance with Qutayba and death after his failed rebellion (2010, volume 2, pp. 208-9; tr., 2018, volume 3, pp. 994-5). As for Qutayba’s allies, al-</w:t>
      </w:r>
      <w:r w:rsidRPr="00DF1B84">
        <w:rPr>
          <w:rFonts w:asciiTheme="majorBidi" w:hAnsiTheme="majorBidi" w:cstheme="majorBidi"/>
          <w:sz w:val="20"/>
          <w:szCs w:val="20"/>
        </w:rPr>
        <w:t>Ṭabarī</w:t>
      </w:r>
      <w:r>
        <w:rPr>
          <w:rFonts w:asciiTheme="majorBidi" w:hAnsiTheme="majorBidi" w:cstheme="majorBidi"/>
          <w:sz w:val="20"/>
          <w:szCs w:val="20"/>
        </w:rPr>
        <w:t xml:space="preserve">’s list seems more sensible than that of al-Kūfī, which includes Bukhara, Marw, Tālaqān, Fāryāb, Balkh and Sarakhs </w:t>
      </w:r>
      <w:r w:rsidRPr="00EF601C">
        <w:rPr>
          <w:rFonts w:asciiTheme="majorBidi" w:hAnsiTheme="majorBidi" w:cstheme="majorBidi"/>
          <w:sz w:val="20"/>
          <w:szCs w:val="20"/>
        </w:rPr>
        <w:t>(1975, volume 7, p. 226).</w:t>
      </w:r>
      <w:r w:rsidRPr="00054582">
        <w:rPr>
          <w:rFonts w:asciiTheme="majorBidi" w:hAnsiTheme="majorBidi" w:cstheme="majorBidi"/>
          <w:sz w:val="20"/>
          <w:szCs w:val="20"/>
        </w:rPr>
        <w:t xml:space="preserve"> </w:t>
      </w:r>
      <w:r>
        <w:rPr>
          <w:rFonts w:asciiTheme="majorBidi" w:hAnsiTheme="majorBidi" w:cstheme="majorBidi"/>
          <w:sz w:val="20"/>
          <w:szCs w:val="20"/>
        </w:rPr>
        <w:t xml:space="preserve">It stands to reason that the dynasty terminated with Nīzak’s death. </w:t>
      </w:r>
      <w:r w:rsidRPr="002566B3">
        <w:rPr>
          <w:rFonts w:asciiTheme="majorBidi" w:hAnsiTheme="majorBidi" w:cstheme="majorBidi"/>
          <w:sz w:val="20"/>
          <w:szCs w:val="20"/>
        </w:rPr>
        <w:t>According to al-Madāʾinī</w:t>
      </w:r>
      <w:r>
        <w:rPr>
          <w:rFonts w:asciiTheme="majorBidi" w:hAnsiTheme="majorBidi" w:cstheme="majorBidi"/>
          <w:sz w:val="20"/>
          <w:szCs w:val="20"/>
        </w:rPr>
        <w:t xml:space="preserve"> (a</w:t>
      </w:r>
      <w:r w:rsidRPr="00DF1B84">
        <w:rPr>
          <w:rFonts w:asciiTheme="majorBidi" w:hAnsiTheme="majorBidi" w:cstheme="majorBidi"/>
          <w:sz w:val="20"/>
          <w:szCs w:val="20"/>
        </w:rPr>
        <w:t xml:space="preserve">l-Ṭabarī, </w:t>
      </w:r>
      <w:r>
        <w:rPr>
          <w:rFonts w:asciiTheme="majorBidi" w:hAnsiTheme="majorBidi" w:cstheme="majorBidi"/>
          <w:sz w:val="20"/>
          <w:szCs w:val="20"/>
        </w:rPr>
        <w:t xml:space="preserve">2001, </w:t>
      </w:r>
      <w:r>
        <w:rPr>
          <w:rFonts w:asciiTheme="majorBidi" w:hAnsiTheme="majorBidi" w:cstheme="majorBidi" w:hint="eastAsia"/>
          <w:sz w:val="20"/>
          <w:szCs w:val="20"/>
        </w:rPr>
        <w:t>volume</w:t>
      </w:r>
      <w:r>
        <w:rPr>
          <w:rFonts w:asciiTheme="majorBidi" w:hAnsiTheme="majorBidi" w:cstheme="majorBidi"/>
          <w:sz w:val="20"/>
          <w:szCs w:val="20"/>
        </w:rPr>
        <w:t xml:space="preserve"> 4, p. 5; tr., </w:t>
      </w:r>
      <w:r w:rsidRPr="00DF1B84">
        <w:rPr>
          <w:rFonts w:asciiTheme="majorBidi" w:hAnsiTheme="majorBidi" w:cstheme="majorBidi"/>
          <w:sz w:val="20"/>
          <w:szCs w:val="20"/>
        </w:rPr>
        <w:t>1990, volume</w:t>
      </w:r>
      <w:r>
        <w:rPr>
          <w:rFonts w:asciiTheme="majorBidi" w:hAnsiTheme="majorBidi" w:cstheme="majorBidi"/>
          <w:sz w:val="20"/>
          <w:szCs w:val="20"/>
        </w:rPr>
        <w:t xml:space="preserve"> XXIII, pp. 169-70)</w:t>
      </w:r>
      <w:r w:rsidRPr="002566B3">
        <w:rPr>
          <w:rFonts w:asciiTheme="majorBidi" w:hAnsiTheme="majorBidi" w:cstheme="majorBidi"/>
          <w:sz w:val="20"/>
          <w:szCs w:val="20"/>
        </w:rPr>
        <w:t>, together with N</w:t>
      </w:r>
      <w:r>
        <w:rPr>
          <w:rFonts w:asciiTheme="majorBidi" w:hAnsiTheme="majorBidi" w:cstheme="majorBidi"/>
          <w:sz w:val="20"/>
          <w:szCs w:val="20"/>
        </w:rPr>
        <w:t>īzak, many others were executed by Qutayba, including the two sons of the Hephthalite ruler’ brother.</w:t>
      </w:r>
    </w:p>
  </w:footnote>
  <w:footnote w:id="207">
    <w:p w14:paraId="754A0518" w14:textId="77777777" w:rsidR="00902FCD" w:rsidRPr="00E91065" w:rsidRDefault="00902FCD" w:rsidP="00B96F57">
      <w:pPr>
        <w:pStyle w:val="FootnoteText"/>
        <w:spacing w:line="360" w:lineRule="auto"/>
        <w:rPr>
          <w:rFonts w:asciiTheme="majorBidi" w:hAnsiTheme="majorBidi" w:cstheme="majorBidi"/>
          <w:sz w:val="20"/>
          <w:szCs w:val="20"/>
        </w:rPr>
      </w:pPr>
      <w:r w:rsidRPr="00E91065">
        <w:rPr>
          <w:rStyle w:val="FootnoteReference"/>
          <w:rFonts w:asciiTheme="majorBidi" w:hAnsiTheme="majorBidi" w:cstheme="majorBidi"/>
          <w:sz w:val="20"/>
          <w:szCs w:val="20"/>
        </w:rPr>
        <w:footnoteRef/>
      </w:r>
      <w:r w:rsidRPr="00E91065">
        <w:rPr>
          <w:rFonts w:asciiTheme="majorBidi" w:hAnsiTheme="majorBidi" w:cstheme="majorBidi"/>
          <w:sz w:val="20"/>
          <w:szCs w:val="20"/>
        </w:rPr>
        <w:t xml:space="preserve"> </w:t>
      </w:r>
      <w:r>
        <w:rPr>
          <w:rFonts w:asciiTheme="majorBidi" w:hAnsiTheme="majorBidi" w:cstheme="majorBidi"/>
          <w:sz w:val="20"/>
          <w:szCs w:val="20"/>
        </w:rPr>
        <w:t>Among the principalities that submitted to the Arabs,</w:t>
      </w:r>
      <w:r>
        <w:rPr>
          <w:rFonts w:asciiTheme="majorBidi" w:hAnsiTheme="majorBidi" w:cstheme="majorBidi"/>
          <w:i/>
          <w:iCs/>
          <w:sz w:val="20"/>
          <w:szCs w:val="20"/>
        </w:rPr>
        <w:t xml:space="preserve"> </w:t>
      </w:r>
      <w:r w:rsidRPr="008F78E9">
        <w:rPr>
          <w:rFonts w:asciiTheme="majorBidi" w:hAnsiTheme="majorBidi" w:cstheme="majorBidi"/>
          <w:sz w:val="20"/>
          <w:szCs w:val="20"/>
        </w:rPr>
        <w:t>Chaghāniyān</w:t>
      </w:r>
      <w:r>
        <w:rPr>
          <w:rFonts w:asciiTheme="majorBidi" w:hAnsiTheme="majorBidi" w:cstheme="majorBidi"/>
          <w:sz w:val="20"/>
          <w:szCs w:val="20"/>
        </w:rPr>
        <w:t xml:space="preserve"> is a good example</w:t>
      </w:r>
      <w:r>
        <w:rPr>
          <w:rFonts w:asciiTheme="majorBidi" w:hAnsiTheme="majorBidi" w:cstheme="majorBidi"/>
          <w:i/>
          <w:iCs/>
          <w:sz w:val="20"/>
          <w:szCs w:val="20"/>
        </w:rPr>
        <w:t xml:space="preserve">. </w:t>
      </w:r>
      <w:r w:rsidRPr="00E91065">
        <w:rPr>
          <w:rFonts w:asciiTheme="majorBidi" w:hAnsiTheme="majorBidi" w:cstheme="majorBidi"/>
          <w:sz w:val="20"/>
          <w:szCs w:val="20"/>
        </w:rPr>
        <w:t xml:space="preserve">The </w:t>
      </w:r>
      <w:r w:rsidRPr="00E91065">
        <w:rPr>
          <w:rFonts w:asciiTheme="majorBidi" w:hAnsiTheme="majorBidi" w:cstheme="majorBidi"/>
          <w:i/>
          <w:iCs/>
          <w:sz w:val="20"/>
          <w:szCs w:val="20"/>
        </w:rPr>
        <w:t>Cefu Yuangui</w:t>
      </w:r>
      <w:r w:rsidRPr="00E91065">
        <w:rPr>
          <w:rFonts w:asciiTheme="majorBidi" w:hAnsiTheme="majorBidi" w:cstheme="majorBidi"/>
          <w:sz w:val="20"/>
          <w:szCs w:val="20"/>
        </w:rPr>
        <w:t xml:space="preserve"> (Wang &amp; Yang, 1994, volume 966, p. 11365; volume </w:t>
      </w:r>
      <w:r>
        <w:rPr>
          <w:rFonts w:asciiTheme="majorBidi" w:hAnsiTheme="majorBidi" w:cstheme="majorBidi"/>
          <w:sz w:val="20"/>
          <w:szCs w:val="20"/>
        </w:rPr>
        <w:t>9</w:t>
      </w:r>
      <w:r w:rsidRPr="00E91065">
        <w:rPr>
          <w:rFonts w:asciiTheme="majorBidi" w:hAnsiTheme="majorBidi" w:cstheme="majorBidi"/>
          <w:sz w:val="20"/>
          <w:szCs w:val="20"/>
        </w:rPr>
        <w:t>71, p. 11406</w:t>
      </w:r>
      <w:r>
        <w:rPr>
          <w:rFonts w:asciiTheme="majorBidi" w:hAnsiTheme="majorBidi" w:cstheme="majorBidi"/>
          <w:sz w:val="20"/>
          <w:szCs w:val="20"/>
        </w:rPr>
        <w:t>; tr., Appendix IV</w:t>
      </w:r>
      <w:r w:rsidRPr="00E91065">
        <w:rPr>
          <w:rFonts w:asciiTheme="majorBidi" w:hAnsiTheme="majorBidi" w:cstheme="majorBidi"/>
          <w:sz w:val="20"/>
          <w:szCs w:val="20"/>
        </w:rPr>
        <w:t>) record</w:t>
      </w:r>
      <w:r>
        <w:rPr>
          <w:rFonts w:asciiTheme="majorBidi" w:hAnsiTheme="majorBidi" w:cstheme="majorBidi"/>
          <w:sz w:val="20"/>
          <w:szCs w:val="20"/>
        </w:rPr>
        <w:t>s</w:t>
      </w:r>
      <w:r w:rsidRPr="00E91065">
        <w:rPr>
          <w:rFonts w:asciiTheme="majorBidi" w:hAnsiTheme="majorBidi" w:cstheme="majorBidi"/>
          <w:sz w:val="20"/>
          <w:szCs w:val="20"/>
        </w:rPr>
        <w:t xml:space="preserve"> that the embassies of Tīsh arrived at the Tang court in 719 CE together with the Arabs, Samarkand and others. The record suggests that </w:t>
      </w:r>
      <w:r w:rsidRPr="008F78E9">
        <w:rPr>
          <w:rFonts w:asciiTheme="majorBidi" w:hAnsiTheme="majorBidi" w:cstheme="majorBidi"/>
          <w:sz w:val="20"/>
          <w:szCs w:val="20"/>
        </w:rPr>
        <w:t>Chaghāniyān</w:t>
      </w:r>
      <w:r w:rsidRPr="00E91065">
        <w:rPr>
          <w:rFonts w:asciiTheme="majorBidi" w:hAnsiTheme="majorBidi" w:cstheme="majorBidi"/>
          <w:sz w:val="20"/>
          <w:szCs w:val="20"/>
        </w:rPr>
        <w:t xml:space="preserve"> remained loyal to the Arabs</w:t>
      </w:r>
      <w:r>
        <w:rPr>
          <w:rFonts w:asciiTheme="majorBidi" w:hAnsiTheme="majorBidi" w:cstheme="majorBidi"/>
          <w:sz w:val="20"/>
          <w:szCs w:val="20"/>
        </w:rPr>
        <w:t xml:space="preserve"> since submitting to Qutayba in 705 CE</w:t>
      </w:r>
      <w:r w:rsidRPr="00E91065">
        <w:rPr>
          <w:rFonts w:asciiTheme="majorBidi" w:hAnsiTheme="majorBidi" w:cstheme="majorBidi"/>
          <w:sz w:val="20"/>
          <w:szCs w:val="20"/>
        </w:rPr>
        <w:t>.</w:t>
      </w:r>
    </w:p>
  </w:footnote>
  <w:footnote w:id="208">
    <w:p w14:paraId="33B258D7" w14:textId="77777777" w:rsidR="00902FCD" w:rsidRPr="00BA78C2" w:rsidRDefault="00902FCD" w:rsidP="00B96F57">
      <w:pPr>
        <w:pStyle w:val="FootnoteText"/>
        <w:spacing w:line="360" w:lineRule="auto"/>
        <w:rPr>
          <w:rFonts w:asciiTheme="majorBidi" w:hAnsiTheme="majorBidi" w:cstheme="majorBidi"/>
          <w:sz w:val="20"/>
          <w:szCs w:val="20"/>
        </w:rPr>
      </w:pPr>
      <w:r w:rsidRPr="00DE6573">
        <w:rPr>
          <w:rFonts w:asciiTheme="majorBidi" w:hAnsiTheme="majorBidi" w:cstheme="majorBidi"/>
          <w:sz w:val="20"/>
          <w:szCs w:val="20"/>
          <w:vertAlign w:val="superscript"/>
        </w:rPr>
        <w:footnoteRef/>
      </w:r>
      <w:r w:rsidRPr="00DE6573">
        <w:rPr>
          <w:rFonts w:asciiTheme="majorBidi" w:hAnsiTheme="majorBidi" w:cstheme="majorBidi"/>
          <w:sz w:val="20"/>
          <w:szCs w:val="20"/>
          <w:vertAlign w:val="superscript"/>
        </w:rPr>
        <w:t xml:space="preserve"> </w:t>
      </w:r>
      <w:r>
        <w:rPr>
          <w:rFonts w:asciiTheme="majorBidi" w:hAnsiTheme="majorBidi" w:cstheme="majorBidi"/>
          <w:sz w:val="20"/>
          <w:szCs w:val="20"/>
        </w:rPr>
        <w:t xml:space="preserve">Unfortunately, </w:t>
      </w:r>
      <w:r w:rsidRPr="00726204">
        <w:rPr>
          <w:rFonts w:asciiTheme="majorBidi" w:hAnsiTheme="majorBidi" w:cstheme="majorBidi"/>
          <w:sz w:val="20"/>
          <w:szCs w:val="20"/>
        </w:rPr>
        <w:t>Huichao (</w:t>
      </w:r>
      <w:r>
        <w:rPr>
          <w:rFonts w:asciiTheme="majorBidi" w:hAnsiTheme="majorBidi" w:cstheme="majorBidi"/>
          <w:sz w:val="20"/>
          <w:szCs w:val="20"/>
        </w:rPr>
        <w:t>2000, p. 96</w:t>
      </w:r>
      <w:r w:rsidRPr="00726204">
        <w:rPr>
          <w:rFonts w:asciiTheme="majorBidi" w:hAnsiTheme="majorBidi" w:cstheme="majorBidi"/>
          <w:sz w:val="20"/>
          <w:szCs w:val="20"/>
        </w:rPr>
        <w:t xml:space="preserve">) did not tell </w:t>
      </w:r>
      <w:r>
        <w:rPr>
          <w:rFonts w:asciiTheme="majorBidi" w:hAnsiTheme="majorBidi" w:cstheme="majorBidi"/>
          <w:sz w:val="20"/>
          <w:szCs w:val="20"/>
        </w:rPr>
        <w:t>when</w:t>
      </w:r>
      <w:r w:rsidRPr="00726204">
        <w:rPr>
          <w:rFonts w:asciiTheme="majorBidi" w:hAnsiTheme="majorBidi" w:cstheme="majorBidi"/>
          <w:sz w:val="20"/>
          <w:szCs w:val="20"/>
        </w:rPr>
        <w:t xml:space="preserve"> the Yabghū mov</w:t>
      </w:r>
      <w:r>
        <w:rPr>
          <w:rFonts w:asciiTheme="majorBidi" w:hAnsiTheme="majorBidi" w:cstheme="majorBidi"/>
          <w:sz w:val="20"/>
          <w:szCs w:val="20"/>
        </w:rPr>
        <w:t xml:space="preserve">ed </w:t>
      </w:r>
      <w:r w:rsidRPr="00726204">
        <w:rPr>
          <w:rFonts w:asciiTheme="majorBidi" w:hAnsiTheme="majorBidi" w:cstheme="majorBidi"/>
          <w:sz w:val="20"/>
          <w:szCs w:val="20"/>
        </w:rPr>
        <w:t>his court</w:t>
      </w:r>
      <w:r>
        <w:rPr>
          <w:rFonts w:asciiTheme="majorBidi" w:hAnsiTheme="majorBidi" w:cstheme="majorBidi"/>
          <w:sz w:val="20"/>
          <w:szCs w:val="20"/>
        </w:rPr>
        <w:t xml:space="preserve"> to Badakhshān</w:t>
      </w:r>
      <w:r w:rsidRPr="00726204">
        <w:rPr>
          <w:rFonts w:asciiTheme="majorBidi" w:hAnsiTheme="majorBidi" w:cstheme="majorBidi"/>
          <w:sz w:val="20"/>
          <w:szCs w:val="20"/>
        </w:rPr>
        <w:t>.</w:t>
      </w:r>
    </w:p>
  </w:footnote>
  <w:footnote w:id="209">
    <w:p w14:paraId="5C06F1F7" w14:textId="193CEEC5" w:rsidR="00902FCD" w:rsidRPr="00DE6573" w:rsidRDefault="00902FCD" w:rsidP="00B96F57">
      <w:pPr>
        <w:pStyle w:val="FootnoteText"/>
        <w:spacing w:line="360" w:lineRule="auto"/>
        <w:rPr>
          <w:rFonts w:asciiTheme="majorBidi" w:hAnsiTheme="majorBidi" w:cstheme="majorBidi"/>
          <w:sz w:val="20"/>
          <w:szCs w:val="20"/>
        </w:rPr>
      </w:pPr>
      <w:r w:rsidRPr="00DE6573">
        <w:rPr>
          <w:rFonts w:asciiTheme="majorBidi" w:hAnsiTheme="majorBidi" w:cstheme="majorBidi"/>
          <w:sz w:val="20"/>
          <w:szCs w:val="20"/>
          <w:vertAlign w:val="superscript"/>
        </w:rPr>
        <w:footnoteRef/>
      </w:r>
      <w:r w:rsidRPr="00DE6573">
        <w:rPr>
          <w:rFonts w:asciiTheme="majorBidi" w:hAnsiTheme="majorBidi" w:cstheme="majorBidi"/>
          <w:sz w:val="20"/>
          <w:szCs w:val="20"/>
        </w:rPr>
        <w:t xml:space="preserve"> </w:t>
      </w:r>
      <w:r>
        <w:rPr>
          <w:rFonts w:asciiTheme="majorBidi" w:hAnsiTheme="majorBidi" w:cstheme="majorBidi"/>
          <w:sz w:val="20"/>
          <w:szCs w:val="20"/>
        </w:rPr>
        <w:t xml:space="preserve">Huichao (2000, p. 96; see also Shaban, 1979, pp. 106-13) attests that the dynasty was under the hegemony of the Arabs. And it had to pay heavy taxation to the Arabs (Huichao, 2000, pp. 96, 99-100; </w:t>
      </w:r>
      <w:r w:rsidRPr="00972017">
        <w:rPr>
          <w:rFonts w:asciiTheme="majorBidi" w:hAnsiTheme="majorBidi" w:cstheme="majorBidi"/>
          <w:sz w:val="20"/>
          <w:szCs w:val="20"/>
        </w:rPr>
        <w:t>Wang &amp; Yang, 1994, volume 999, p. 11723</w:t>
      </w:r>
      <w:r>
        <w:rPr>
          <w:rFonts w:asciiTheme="majorBidi" w:hAnsiTheme="majorBidi" w:cstheme="majorBidi"/>
          <w:sz w:val="20"/>
          <w:szCs w:val="20"/>
        </w:rPr>
        <w:t>; tr., Appendix IV). However, t</w:t>
      </w:r>
      <w:r w:rsidRPr="00DE6573">
        <w:rPr>
          <w:rFonts w:asciiTheme="majorBidi" w:hAnsiTheme="majorBidi" w:cstheme="majorBidi"/>
          <w:sz w:val="20"/>
          <w:szCs w:val="20"/>
        </w:rPr>
        <w:t xml:space="preserve">he rulers were still from the Ashina family instead of being usurped by </w:t>
      </w:r>
      <w:r>
        <w:rPr>
          <w:rFonts w:asciiTheme="majorBidi" w:hAnsiTheme="majorBidi" w:cstheme="majorBidi"/>
          <w:sz w:val="20"/>
          <w:szCs w:val="20"/>
        </w:rPr>
        <w:t xml:space="preserve">pro-Arab </w:t>
      </w:r>
      <w:r w:rsidRPr="00DE6573">
        <w:rPr>
          <w:rFonts w:asciiTheme="majorBidi" w:hAnsiTheme="majorBidi" w:cstheme="majorBidi"/>
          <w:sz w:val="20"/>
          <w:szCs w:val="20"/>
        </w:rPr>
        <w:t>Tīsh of Chaghāniyān as Marquart suggested (1901, p. 70)</w:t>
      </w:r>
      <w:r>
        <w:rPr>
          <w:rFonts w:asciiTheme="majorBidi" w:hAnsiTheme="majorBidi" w:cstheme="majorBidi"/>
          <w:sz w:val="20"/>
          <w:szCs w:val="20"/>
        </w:rPr>
        <w:t>, whose suggestion</w:t>
      </w:r>
      <w:r w:rsidRPr="008F78E9">
        <w:rPr>
          <w:rFonts w:asciiTheme="majorBidi" w:hAnsiTheme="majorBidi" w:cstheme="majorBidi"/>
          <w:sz w:val="20"/>
          <w:szCs w:val="20"/>
        </w:rPr>
        <w:t xml:space="preserve"> solely bases on the record of his title as its Yabghū Tīsh in the </w:t>
      </w:r>
      <w:r w:rsidRPr="00DE6573">
        <w:rPr>
          <w:rFonts w:asciiTheme="majorBidi" w:hAnsiTheme="majorBidi" w:cstheme="majorBidi"/>
          <w:i/>
          <w:iCs/>
          <w:sz w:val="20"/>
          <w:szCs w:val="20"/>
        </w:rPr>
        <w:t>Tang huiyao</w:t>
      </w:r>
      <w:r w:rsidRPr="008F78E9">
        <w:rPr>
          <w:rFonts w:asciiTheme="majorBidi" w:hAnsiTheme="majorBidi" w:cstheme="majorBidi"/>
          <w:sz w:val="20"/>
          <w:szCs w:val="20"/>
        </w:rPr>
        <w:t xml:space="preserve">, </w:t>
      </w:r>
      <w:r>
        <w:rPr>
          <w:rFonts w:asciiTheme="majorBidi" w:hAnsiTheme="majorBidi" w:cstheme="majorBidi"/>
          <w:sz w:val="20"/>
          <w:szCs w:val="20"/>
        </w:rPr>
        <w:t xml:space="preserve">and </w:t>
      </w:r>
      <w:r w:rsidRPr="008F78E9">
        <w:rPr>
          <w:rFonts w:asciiTheme="majorBidi" w:hAnsiTheme="majorBidi" w:cstheme="majorBidi"/>
          <w:sz w:val="20"/>
          <w:szCs w:val="20"/>
        </w:rPr>
        <w:t>is far from convincing</w:t>
      </w:r>
      <w:r>
        <w:rPr>
          <w:rFonts w:asciiTheme="majorBidi" w:hAnsiTheme="majorBidi" w:cstheme="majorBidi"/>
          <w:sz w:val="20"/>
          <w:szCs w:val="20"/>
        </w:rPr>
        <w:t>.</w:t>
      </w:r>
      <w:r w:rsidRPr="008F78E9">
        <w:rPr>
          <w:rFonts w:asciiTheme="majorBidi" w:hAnsiTheme="majorBidi" w:cstheme="majorBidi"/>
          <w:sz w:val="20"/>
          <w:szCs w:val="20"/>
        </w:rPr>
        <w:t xml:space="preserve"> </w:t>
      </w:r>
      <w:r>
        <w:rPr>
          <w:rFonts w:asciiTheme="majorBidi" w:hAnsiTheme="majorBidi" w:cstheme="majorBidi"/>
          <w:sz w:val="20"/>
          <w:szCs w:val="20"/>
        </w:rPr>
        <w:t>T</w:t>
      </w:r>
      <w:r w:rsidRPr="008F78E9">
        <w:rPr>
          <w:rFonts w:asciiTheme="majorBidi" w:hAnsiTheme="majorBidi" w:cstheme="majorBidi"/>
          <w:sz w:val="20"/>
          <w:szCs w:val="20"/>
        </w:rPr>
        <w:t xml:space="preserve">he same piece of report found in the </w:t>
      </w:r>
      <w:r w:rsidRPr="00DE6573">
        <w:rPr>
          <w:rFonts w:asciiTheme="majorBidi" w:hAnsiTheme="majorBidi" w:cstheme="majorBidi"/>
          <w:i/>
          <w:iCs/>
          <w:sz w:val="20"/>
          <w:szCs w:val="20"/>
        </w:rPr>
        <w:t>Cefu yuangui</w:t>
      </w:r>
      <w:r w:rsidRPr="008F78E9">
        <w:rPr>
          <w:rFonts w:asciiTheme="majorBidi" w:hAnsiTheme="majorBidi" w:cstheme="majorBidi"/>
          <w:sz w:val="20"/>
          <w:szCs w:val="20"/>
        </w:rPr>
        <w:t xml:space="preserve"> has Tīsh the ruler of Chaghāniyān of the state of </w:t>
      </w:r>
      <w:r>
        <w:rPr>
          <w:rFonts w:asciiTheme="majorBidi" w:hAnsiTheme="majorBidi" w:cstheme="majorBidi"/>
          <w:sz w:val="20"/>
          <w:szCs w:val="20"/>
        </w:rPr>
        <w:t>Ṭukhāristān (</w:t>
      </w:r>
      <w:r w:rsidRPr="008F78E9">
        <w:rPr>
          <w:rFonts w:asciiTheme="majorBidi" w:hAnsiTheme="majorBidi" w:cstheme="majorBidi"/>
          <w:sz w:val="20"/>
          <w:szCs w:val="20"/>
        </w:rPr>
        <w:t xml:space="preserve">volume 971, </w:t>
      </w:r>
      <w:r w:rsidRPr="008F78E9">
        <w:rPr>
          <w:rFonts w:asciiTheme="majorBidi" w:hAnsiTheme="majorBidi" w:cstheme="majorBidi" w:hint="eastAsia"/>
          <w:sz w:val="20"/>
          <w:szCs w:val="20"/>
        </w:rPr>
        <w:t>p</w:t>
      </w:r>
      <w:r w:rsidRPr="008F78E9">
        <w:rPr>
          <w:rFonts w:asciiTheme="majorBidi" w:hAnsiTheme="majorBidi" w:cstheme="majorBidi"/>
          <w:sz w:val="20"/>
          <w:szCs w:val="20"/>
        </w:rPr>
        <w:t>. 11406</w:t>
      </w:r>
      <w:r>
        <w:rPr>
          <w:rFonts w:asciiTheme="majorBidi" w:hAnsiTheme="majorBidi" w:cstheme="majorBidi"/>
          <w:sz w:val="20"/>
          <w:szCs w:val="20"/>
        </w:rPr>
        <w:t>; tr., Appendix IV). Clearly, Du-ni-li was succeeded by his son, who remained in the throne in 727 CE, when he sent a memoire to the Tang court (Wang &amp; Yang, 1994, volume 999, p. 11723</w:t>
      </w:r>
      <w:r w:rsidRPr="00052234">
        <w:rPr>
          <w:rFonts w:asciiTheme="majorBidi" w:hAnsiTheme="majorBidi" w:cstheme="majorBidi"/>
          <w:sz w:val="20"/>
          <w:szCs w:val="20"/>
        </w:rPr>
        <w:t xml:space="preserve">; </w:t>
      </w:r>
      <w:r>
        <w:rPr>
          <w:rFonts w:asciiTheme="majorBidi" w:hAnsiTheme="majorBidi" w:cstheme="majorBidi"/>
          <w:sz w:val="20"/>
          <w:szCs w:val="20"/>
        </w:rPr>
        <w:t xml:space="preserve">tr., </w:t>
      </w:r>
      <w:r w:rsidRPr="00052234">
        <w:rPr>
          <w:rFonts w:asciiTheme="majorBidi" w:hAnsiTheme="majorBidi" w:cstheme="majorBidi"/>
          <w:sz w:val="20"/>
          <w:szCs w:val="20"/>
        </w:rPr>
        <w:t xml:space="preserve">Appendix </w:t>
      </w:r>
      <w:r>
        <w:rPr>
          <w:rFonts w:asciiTheme="majorBidi" w:hAnsiTheme="majorBidi" w:cstheme="majorBidi"/>
          <w:sz w:val="20"/>
          <w:szCs w:val="20"/>
        </w:rPr>
        <w:t>IV).</w:t>
      </w:r>
      <w:r>
        <w:rPr>
          <w:rFonts w:asciiTheme="majorBidi" w:hAnsiTheme="majorBidi" w:cstheme="majorBidi" w:hint="eastAsia"/>
          <w:sz w:val="20"/>
          <w:szCs w:val="20"/>
        </w:rPr>
        <w:t xml:space="preserve"> </w:t>
      </w:r>
      <w:r>
        <w:rPr>
          <w:rFonts w:asciiTheme="majorBidi" w:hAnsiTheme="majorBidi" w:cstheme="majorBidi"/>
          <w:sz w:val="20"/>
          <w:szCs w:val="20"/>
        </w:rPr>
        <w:t xml:space="preserve">What is more, the dynasty not only survived, but also maintained independent diplomatic relations such as with the Tang. In the memoires presented to the Tang court, it even expressed the aspiration to </w:t>
      </w:r>
      <w:r w:rsidRPr="00627126">
        <w:rPr>
          <w:rFonts w:asciiTheme="majorBidi" w:hAnsiTheme="majorBidi" w:cstheme="majorBidi"/>
          <w:sz w:val="20"/>
          <w:szCs w:val="20"/>
        </w:rPr>
        <w:t>shake off the yoke of the Arabs when the later suffered from the Türgesh in the 720s and the 730s</w:t>
      </w:r>
      <w:r>
        <w:rPr>
          <w:rFonts w:asciiTheme="majorBidi" w:hAnsiTheme="majorBidi" w:cstheme="majorBidi"/>
          <w:sz w:val="20"/>
          <w:szCs w:val="20"/>
        </w:rPr>
        <w:t xml:space="preserve"> (Wang &amp; Yang, 1994, volume 999, pp. 11721-3)</w:t>
      </w:r>
      <w:r w:rsidRPr="00627126">
        <w:rPr>
          <w:rFonts w:asciiTheme="majorBidi" w:hAnsiTheme="majorBidi" w:cstheme="majorBidi"/>
          <w:sz w:val="20"/>
          <w:szCs w:val="20"/>
        </w:rPr>
        <w:t>.</w:t>
      </w:r>
    </w:p>
  </w:footnote>
  <w:footnote w:id="210">
    <w:p w14:paraId="7A3CA5CF" w14:textId="35CD8A76" w:rsidR="00902FCD" w:rsidRPr="00B40E1E" w:rsidRDefault="00902FCD" w:rsidP="009E27C9">
      <w:pPr>
        <w:pStyle w:val="FootnoteText"/>
        <w:spacing w:line="360" w:lineRule="auto"/>
        <w:rPr>
          <w:rFonts w:asciiTheme="majorBidi" w:hAnsiTheme="majorBidi" w:cstheme="majorBidi"/>
          <w:sz w:val="20"/>
          <w:szCs w:val="20"/>
        </w:rPr>
      </w:pPr>
      <w:r w:rsidRPr="00B40E1E">
        <w:rPr>
          <w:rFonts w:asciiTheme="majorBidi" w:hAnsiTheme="majorBidi" w:cstheme="majorBidi"/>
          <w:sz w:val="20"/>
          <w:szCs w:val="20"/>
          <w:vertAlign w:val="superscript"/>
        </w:rPr>
        <w:footnoteRef/>
      </w:r>
      <w:r w:rsidRPr="00B40E1E">
        <w:rPr>
          <w:rFonts w:asciiTheme="majorBidi" w:hAnsiTheme="majorBidi" w:cstheme="majorBidi"/>
          <w:sz w:val="20"/>
          <w:szCs w:val="20"/>
          <w:vertAlign w:val="superscript"/>
        </w:rPr>
        <w:t xml:space="preserve"> </w:t>
      </w:r>
      <w:r>
        <w:rPr>
          <w:rFonts w:asciiTheme="majorBidi" w:hAnsiTheme="majorBidi" w:cstheme="majorBidi"/>
          <w:sz w:val="20"/>
          <w:szCs w:val="20"/>
        </w:rPr>
        <w:t xml:space="preserve">Huichao, 2000, pp. 96, 99-100; </w:t>
      </w:r>
      <w:r w:rsidRPr="00972017">
        <w:rPr>
          <w:rFonts w:asciiTheme="majorBidi" w:hAnsiTheme="majorBidi" w:cstheme="majorBidi"/>
          <w:sz w:val="20"/>
          <w:szCs w:val="20"/>
        </w:rPr>
        <w:t>Wang &amp; Yang, 1994, volume 999, p. 11723</w:t>
      </w:r>
      <w:r>
        <w:rPr>
          <w:rFonts w:asciiTheme="majorBidi" w:hAnsiTheme="majorBidi" w:cstheme="majorBidi"/>
          <w:sz w:val="20"/>
          <w:szCs w:val="20"/>
        </w:rPr>
        <w:t xml:space="preserve">; tr., Appendix IV. The Arab governor of Khurasan </w:t>
      </w:r>
      <w:r w:rsidRPr="009E27C9">
        <w:rPr>
          <w:rFonts w:asciiTheme="majorBidi" w:hAnsiTheme="majorBidi" w:cstheme="majorBidi"/>
          <w:sz w:val="20"/>
          <w:szCs w:val="20"/>
        </w:rPr>
        <w:t>Asad b. ʿAbd Allāh al-Qasrī even moved the headquarter of Khurasan temporarily to Balkh in the 720s.</w:t>
      </w:r>
    </w:p>
  </w:footnote>
  <w:footnote w:id="211">
    <w:p w14:paraId="2D5ED6CB" w14:textId="1142B727" w:rsidR="00902FCD" w:rsidRPr="00CD23D3" w:rsidRDefault="00902FCD" w:rsidP="00503A03">
      <w:pPr>
        <w:pStyle w:val="FootnoteText"/>
        <w:spacing w:line="360" w:lineRule="auto"/>
        <w:rPr>
          <w:rFonts w:asciiTheme="majorBidi" w:hAnsiTheme="majorBidi" w:cstheme="majorBidi"/>
          <w:sz w:val="20"/>
          <w:szCs w:val="20"/>
        </w:rPr>
      </w:pPr>
      <w:r w:rsidRPr="00CD23D3">
        <w:rPr>
          <w:rFonts w:asciiTheme="majorBidi" w:hAnsiTheme="majorBidi" w:cstheme="majorBidi"/>
          <w:sz w:val="20"/>
          <w:szCs w:val="20"/>
          <w:vertAlign w:val="superscript"/>
        </w:rPr>
        <w:footnoteRef/>
      </w:r>
      <w:r w:rsidRPr="00CD23D3">
        <w:rPr>
          <w:rFonts w:asciiTheme="majorBidi" w:hAnsiTheme="majorBidi" w:cstheme="majorBidi"/>
          <w:sz w:val="20"/>
          <w:szCs w:val="20"/>
          <w:vertAlign w:val="superscript"/>
        </w:rPr>
        <w:t xml:space="preserve"> </w:t>
      </w:r>
      <w:r>
        <w:rPr>
          <w:rFonts w:asciiTheme="majorBidi" w:hAnsiTheme="majorBidi" w:cstheme="majorBidi"/>
          <w:sz w:val="20"/>
          <w:szCs w:val="20"/>
        </w:rPr>
        <w:t>Evidence of Arab rule includes coins, taxation, and Arabic texts. Even the Bactrian documents mention the circulation of the Arab dirhams and taxation paid to the Arabs (Sims-Williams, 2000, pp. 116-7, 126-9). T</w:t>
      </w:r>
      <w:r w:rsidRPr="00CD23D3">
        <w:rPr>
          <w:rFonts w:asciiTheme="majorBidi" w:hAnsiTheme="majorBidi" w:cstheme="majorBidi"/>
          <w:sz w:val="20"/>
          <w:szCs w:val="20"/>
        </w:rPr>
        <w:t>he Arabic documents found in Ṭukhāristān around mid-8th century</w:t>
      </w:r>
      <w:r>
        <w:rPr>
          <w:rFonts w:asciiTheme="majorBidi" w:hAnsiTheme="majorBidi" w:cstheme="majorBidi"/>
          <w:sz w:val="20"/>
          <w:szCs w:val="20"/>
        </w:rPr>
        <w:t xml:space="preserve">, which are studied by Khan (2007), </w:t>
      </w:r>
      <w:r w:rsidRPr="00CD23D3">
        <w:rPr>
          <w:rFonts w:asciiTheme="majorBidi" w:hAnsiTheme="majorBidi" w:cstheme="majorBidi"/>
          <w:sz w:val="20"/>
          <w:szCs w:val="20"/>
        </w:rPr>
        <w:t>testify the rule of the Arabs.</w:t>
      </w:r>
      <w:r>
        <w:rPr>
          <w:rFonts w:asciiTheme="majorBidi" w:hAnsiTheme="majorBidi" w:cstheme="majorBidi"/>
          <w:sz w:val="20"/>
          <w:szCs w:val="20"/>
        </w:rPr>
        <w:t xml:space="preserve"> See also Azad, 2017, pp. 50-3; </w:t>
      </w:r>
      <w:r w:rsidRPr="009F475B">
        <w:rPr>
          <w:rFonts w:asciiTheme="majorBidi" w:hAnsiTheme="majorBidi" w:cstheme="majorBidi"/>
          <w:sz w:val="20"/>
          <w:szCs w:val="20"/>
        </w:rPr>
        <w:t>Azad and Kennedy, 2018, pp. 284-305.</w:t>
      </w:r>
      <w:r>
        <w:rPr>
          <w:rFonts w:asciiTheme="majorBidi" w:hAnsiTheme="majorBidi" w:cstheme="majorBidi"/>
          <w:sz w:val="20"/>
          <w:szCs w:val="20"/>
        </w:rPr>
        <w:t xml:space="preserve"> </w:t>
      </w:r>
    </w:p>
  </w:footnote>
  <w:footnote w:id="212">
    <w:p w14:paraId="5453A69E" w14:textId="77777777" w:rsidR="00902FCD" w:rsidRPr="006545FA" w:rsidRDefault="00902FCD" w:rsidP="004E1A83">
      <w:pPr>
        <w:pStyle w:val="FootnoteText"/>
        <w:spacing w:line="360" w:lineRule="auto"/>
        <w:rPr>
          <w:rFonts w:asciiTheme="majorBidi" w:eastAsiaTheme="minorHAnsi" w:hAnsiTheme="majorBidi" w:cstheme="majorBidi"/>
          <w:sz w:val="20"/>
          <w:szCs w:val="20"/>
        </w:rPr>
      </w:pPr>
      <w:r w:rsidRPr="006545FA">
        <w:rPr>
          <w:rFonts w:asciiTheme="majorBidi" w:eastAsiaTheme="minorHAnsi" w:hAnsiTheme="majorBidi" w:cstheme="majorBidi"/>
          <w:sz w:val="20"/>
          <w:szCs w:val="20"/>
          <w:vertAlign w:val="superscript"/>
        </w:rPr>
        <w:footnoteRef/>
      </w:r>
      <w:r w:rsidRPr="006545FA">
        <w:rPr>
          <w:rFonts w:asciiTheme="majorBidi" w:eastAsiaTheme="minorHAnsi" w:hAnsiTheme="majorBidi" w:cstheme="majorBidi"/>
          <w:sz w:val="20"/>
          <w:szCs w:val="20"/>
        </w:rPr>
        <w:t xml:space="preserve"> The </w:t>
      </w:r>
      <w:r>
        <w:rPr>
          <w:rFonts w:asciiTheme="majorBidi" w:eastAsiaTheme="minorHAnsi" w:hAnsiTheme="majorBidi" w:cstheme="majorBidi"/>
          <w:sz w:val="20"/>
          <w:szCs w:val="20"/>
        </w:rPr>
        <w:t xml:space="preserve">Chinese </w:t>
      </w:r>
      <w:r w:rsidRPr="006545FA">
        <w:rPr>
          <w:rFonts w:asciiTheme="majorBidi" w:eastAsiaTheme="minorHAnsi" w:hAnsiTheme="majorBidi" w:cstheme="majorBidi"/>
          <w:sz w:val="20"/>
          <w:szCs w:val="20"/>
        </w:rPr>
        <w:t xml:space="preserve">sources include the </w:t>
      </w:r>
      <w:r w:rsidRPr="008B64EA">
        <w:rPr>
          <w:rFonts w:asciiTheme="majorBidi" w:eastAsiaTheme="minorHAnsi" w:hAnsiTheme="majorBidi" w:cstheme="majorBidi"/>
          <w:i/>
          <w:iCs/>
          <w:sz w:val="20"/>
          <w:szCs w:val="20"/>
        </w:rPr>
        <w:t>Jiu Tangshu</w:t>
      </w:r>
      <w:r w:rsidRPr="006545FA">
        <w:rPr>
          <w:rFonts w:asciiTheme="majorBidi" w:eastAsiaTheme="minorHAnsi" w:hAnsiTheme="majorBidi" w:cstheme="majorBidi"/>
          <w:sz w:val="20"/>
          <w:szCs w:val="20"/>
        </w:rPr>
        <w:t xml:space="preserve"> (</w:t>
      </w:r>
      <w:r w:rsidRPr="003A44CA">
        <w:rPr>
          <w:rFonts w:asciiTheme="majorBidi" w:eastAsiaTheme="minorHAnsi" w:hAnsiTheme="majorBidi" w:cstheme="majorBidi"/>
          <w:sz w:val="20"/>
          <w:szCs w:val="20"/>
        </w:rPr>
        <w:t>Liu, 1995, volume 198, pp. 5312-3</w:t>
      </w:r>
      <w:r>
        <w:rPr>
          <w:rFonts w:asciiTheme="majorBidi" w:eastAsiaTheme="minorHAnsi" w:hAnsiTheme="majorBidi" w:cstheme="majorBidi"/>
          <w:sz w:val="20"/>
          <w:szCs w:val="20"/>
        </w:rPr>
        <w:t xml:space="preserve">; </w:t>
      </w:r>
      <w:r>
        <w:rPr>
          <w:rFonts w:asciiTheme="majorBidi" w:hAnsiTheme="majorBidi" w:cstheme="majorBidi"/>
          <w:sz w:val="20"/>
          <w:szCs w:val="20"/>
        </w:rPr>
        <w:t>tr.</w:t>
      </w:r>
      <w:r>
        <w:rPr>
          <w:rFonts w:asciiTheme="majorBidi" w:eastAsiaTheme="minorHAnsi" w:hAnsiTheme="majorBidi" w:cstheme="majorBidi"/>
          <w:sz w:val="20"/>
          <w:szCs w:val="20"/>
        </w:rPr>
        <w:t>, Appendix II</w:t>
      </w:r>
      <w:r w:rsidRPr="006545FA">
        <w:rPr>
          <w:rFonts w:asciiTheme="majorBidi" w:eastAsiaTheme="minorHAnsi" w:hAnsiTheme="majorBidi" w:cstheme="majorBidi"/>
          <w:sz w:val="20"/>
          <w:szCs w:val="20"/>
        </w:rPr>
        <w:t xml:space="preserve">), the </w:t>
      </w:r>
      <w:r w:rsidRPr="008B64EA">
        <w:rPr>
          <w:rFonts w:asciiTheme="majorBidi" w:eastAsiaTheme="minorHAnsi" w:hAnsiTheme="majorBidi" w:cstheme="majorBidi"/>
          <w:i/>
          <w:iCs/>
          <w:sz w:val="20"/>
          <w:szCs w:val="20"/>
        </w:rPr>
        <w:t>Xin Tangshu</w:t>
      </w:r>
      <w:r w:rsidRPr="006545FA">
        <w:rPr>
          <w:rFonts w:asciiTheme="majorBidi" w:eastAsiaTheme="minorHAnsi" w:hAnsiTheme="majorBidi" w:cstheme="majorBidi"/>
          <w:sz w:val="20"/>
          <w:szCs w:val="20"/>
        </w:rPr>
        <w:t xml:space="preserve"> (</w:t>
      </w:r>
      <w:r w:rsidRPr="007D4514">
        <w:rPr>
          <w:rFonts w:asciiTheme="majorBidi" w:eastAsiaTheme="minorHAnsi" w:hAnsiTheme="majorBidi" w:cstheme="majorBidi"/>
          <w:sz w:val="20"/>
          <w:szCs w:val="20"/>
        </w:rPr>
        <w:t>Ouyang &amp; Song, 1995, volume 221b, p. 6259</w:t>
      </w:r>
      <w:r>
        <w:rPr>
          <w:rFonts w:asciiTheme="majorBidi" w:eastAsiaTheme="minorHAnsi" w:hAnsiTheme="majorBidi" w:cstheme="majorBidi"/>
          <w:sz w:val="20"/>
          <w:szCs w:val="20"/>
        </w:rPr>
        <w:t>; tr., Appendix II</w:t>
      </w:r>
      <w:r w:rsidRPr="006545FA">
        <w:rPr>
          <w:rFonts w:asciiTheme="majorBidi" w:eastAsiaTheme="minorHAnsi" w:hAnsiTheme="majorBidi" w:cstheme="majorBidi"/>
          <w:sz w:val="20"/>
          <w:szCs w:val="20"/>
        </w:rPr>
        <w:t xml:space="preserve">), and the </w:t>
      </w:r>
      <w:r w:rsidRPr="008B64EA">
        <w:rPr>
          <w:rFonts w:asciiTheme="majorBidi" w:eastAsiaTheme="minorHAnsi" w:hAnsiTheme="majorBidi" w:cstheme="majorBidi"/>
          <w:i/>
          <w:iCs/>
          <w:sz w:val="20"/>
          <w:szCs w:val="20"/>
        </w:rPr>
        <w:t>Zizhi tongjian</w:t>
      </w:r>
      <w:r w:rsidRPr="006545FA">
        <w:rPr>
          <w:rFonts w:asciiTheme="majorBidi" w:eastAsiaTheme="minorHAnsi" w:hAnsiTheme="majorBidi" w:cstheme="majorBidi"/>
          <w:sz w:val="20"/>
          <w:szCs w:val="20"/>
        </w:rPr>
        <w:t xml:space="preserve"> (</w:t>
      </w:r>
      <w:r w:rsidRPr="00B95C14">
        <w:rPr>
          <w:rFonts w:asciiTheme="majorBidi" w:eastAsiaTheme="minorHAnsi" w:hAnsiTheme="majorBidi" w:cstheme="majorBidi"/>
          <w:sz w:val="20"/>
          <w:szCs w:val="20"/>
        </w:rPr>
        <w:t>Sima</w:t>
      </w:r>
      <w:r>
        <w:rPr>
          <w:rFonts w:asciiTheme="majorBidi" w:eastAsiaTheme="minorHAnsi" w:hAnsiTheme="majorBidi" w:cstheme="majorBidi"/>
          <w:sz w:val="20"/>
          <w:szCs w:val="20"/>
        </w:rPr>
        <w:t xml:space="preserve">, </w:t>
      </w:r>
      <w:r w:rsidRPr="00B95C14">
        <w:rPr>
          <w:rFonts w:asciiTheme="majorBidi" w:eastAsiaTheme="minorHAnsi" w:hAnsiTheme="majorBidi" w:cstheme="majorBidi"/>
          <w:sz w:val="20"/>
          <w:szCs w:val="20"/>
        </w:rPr>
        <w:t>1964, volume 199, p. 6285</w:t>
      </w:r>
      <w:r w:rsidRPr="006545FA">
        <w:rPr>
          <w:rFonts w:asciiTheme="majorBidi" w:eastAsiaTheme="minorHAnsi" w:hAnsiTheme="majorBidi" w:cstheme="majorBidi"/>
          <w:sz w:val="20"/>
          <w:szCs w:val="20"/>
        </w:rPr>
        <w:t>).</w:t>
      </w:r>
    </w:p>
  </w:footnote>
  <w:footnote w:id="213">
    <w:p w14:paraId="465C4F4A" w14:textId="4C9BFFB6" w:rsidR="00902FCD" w:rsidRPr="000D2A64" w:rsidRDefault="00902FCD" w:rsidP="000D2A64">
      <w:pPr>
        <w:pStyle w:val="FootnoteText"/>
        <w:spacing w:line="360" w:lineRule="auto"/>
        <w:rPr>
          <w:rFonts w:asciiTheme="majorBidi" w:eastAsiaTheme="minorHAnsi" w:hAnsiTheme="majorBidi" w:cstheme="majorBidi"/>
          <w:sz w:val="20"/>
          <w:szCs w:val="20"/>
        </w:rPr>
      </w:pPr>
      <w:r w:rsidRPr="000D2A64">
        <w:rPr>
          <w:rFonts w:asciiTheme="majorBidi" w:eastAsiaTheme="minorHAnsi" w:hAnsiTheme="majorBidi" w:cstheme="majorBidi"/>
          <w:sz w:val="20"/>
          <w:szCs w:val="20"/>
          <w:vertAlign w:val="superscript"/>
        </w:rPr>
        <w:footnoteRef/>
      </w:r>
      <w:r w:rsidRPr="000D2A64">
        <w:rPr>
          <w:rFonts w:asciiTheme="majorBidi" w:eastAsiaTheme="minorHAnsi" w:hAnsiTheme="majorBidi" w:cstheme="majorBidi"/>
          <w:sz w:val="20"/>
          <w:szCs w:val="20"/>
        </w:rPr>
        <w:t xml:space="preserve"> This refers to the Arab retreats from Khurasan during the First Fitna. </w:t>
      </w:r>
      <w:r w:rsidRPr="00DA1AC8">
        <w:rPr>
          <w:rFonts w:asciiTheme="majorBidi" w:eastAsiaTheme="minorHAnsi" w:hAnsiTheme="majorBidi" w:cstheme="majorBidi"/>
          <w:sz w:val="20"/>
          <w:szCs w:val="20"/>
        </w:rPr>
        <w:t xml:space="preserve">Since the assassination of ʿUthmān to that of ʿAlī, there were continuous fighting among the Arabs, which include the Battle of Camel </w:t>
      </w:r>
      <w:r>
        <w:rPr>
          <w:rFonts w:asciiTheme="majorBidi" w:eastAsiaTheme="minorHAnsi" w:hAnsiTheme="majorBidi" w:cstheme="majorBidi"/>
          <w:sz w:val="20"/>
          <w:szCs w:val="20"/>
        </w:rPr>
        <w:t xml:space="preserve">(656 CE) </w:t>
      </w:r>
      <w:r w:rsidRPr="00DA1AC8">
        <w:rPr>
          <w:rFonts w:asciiTheme="majorBidi" w:eastAsiaTheme="minorHAnsi" w:hAnsiTheme="majorBidi" w:cstheme="majorBidi"/>
          <w:sz w:val="20"/>
          <w:szCs w:val="20"/>
        </w:rPr>
        <w:t xml:space="preserve">between ʿAlī and those who challenged him for the position of Caliph, the </w:t>
      </w:r>
      <w:r>
        <w:rPr>
          <w:rFonts w:asciiTheme="majorBidi" w:eastAsiaTheme="minorHAnsi" w:hAnsiTheme="majorBidi" w:cstheme="majorBidi"/>
          <w:sz w:val="20"/>
          <w:szCs w:val="20"/>
        </w:rPr>
        <w:t>Battle of Siffin (657 CE)</w:t>
      </w:r>
      <w:r w:rsidRPr="00DA1AC8">
        <w:rPr>
          <w:rFonts w:asciiTheme="majorBidi" w:eastAsiaTheme="minorHAnsi" w:hAnsiTheme="majorBidi" w:cstheme="majorBidi"/>
          <w:sz w:val="20"/>
          <w:szCs w:val="20"/>
        </w:rPr>
        <w:t xml:space="preserve"> between ʿAlī and Muʿāwiyah, which was concluded by an arbitration, the fighting between ʿAlī and the </w:t>
      </w:r>
      <w:r>
        <w:rPr>
          <w:rFonts w:asciiTheme="majorBidi" w:eastAsiaTheme="minorHAnsi" w:hAnsiTheme="majorBidi" w:cstheme="majorBidi"/>
          <w:sz w:val="20"/>
          <w:szCs w:val="20"/>
        </w:rPr>
        <w:t>K</w:t>
      </w:r>
      <w:r w:rsidRPr="00DA1AC8">
        <w:rPr>
          <w:rFonts w:asciiTheme="majorBidi" w:eastAsiaTheme="minorHAnsi" w:hAnsiTheme="majorBidi" w:cstheme="majorBidi"/>
          <w:sz w:val="20"/>
          <w:szCs w:val="20"/>
        </w:rPr>
        <w:t>hawārij</w:t>
      </w:r>
      <w:r>
        <w:rPr>
          <w:rFonts w:asciiTheme="majorBidi" w:eastAsiaTheme="minorHAnsi" w:hAnsiTheme="majorBidi" w:cstheme="majorBidi"/>
          <w:sz w:val="20"/>
          <w:szCs w:val="20"/>
        </w:rPr>
        <w:t xml:space="preserve"> (658 CE)</w:t>
      </w:r>
      <w:r w:rsidRPr="00DA1AC8">
        <w:rPr>
          <w:rFonts w:asciiTheme="majorBidi" w:eastAsiaTheme="minorHAnsi" w:hAnsiTheme="majorBidi" w:cstheme="majorBidi"/>
          <w:sz w:val="20"/>
          <w:szCs w:val="20"/>
        </w:rPr>
        <w:t xml:space="preserve">, those who broke away from his camp, </w:t>
      </w:r>
      <w:r>
        <w:rPr>
          <w:rFonts w:asciiTheme="majorBidi" w:eastAsiaTheme="minorHAnsi" w:hAnsiTheme="majorBidi" w:cstheme="majorBidi"/>
          <w:sz w:val="20"/>
          <w:szCs w:val="20"/>
        </w:rPr>
        <w:t>and so on</w:t>
      </w:r>
      <w:r w:rsidRPr="00DA1AC8">
        <w:rPr>
          <w:rFonts w:asciiTheme="majorBidi" w:eastAsiaTheme="minorHAnsi" w:hAnsiTheme="majorBidi" w:cstheme="majorBidi"/>
          <w:sz w:val="20"/>
          <w:szCs w:val="20"/>
        </w:rPr>
        <w:t>.</w:t>
      </w:r>
      <w:r w:rsidRPr="00DA1AC8">
        <w:rPr>
          <w:rFonts w:asciiTheme="majorBidi" w:eastAsiaTheme="minorHAnsi" w:hAnsiTheme="majorBidi" w:cstheme="majorBidi" w:hint="cs"/>
          <w:sz w:val="20"/>
          <w:szCs w:val="20"/>
          <w:rtl/>
        </w:rPr>
        <w:t xml:space="preserve"> </w:t>
      </w:r>
      <w:r w:rsidRPr="00DA1AC8">
        <w:rPr>
          <w:rFonts w:asciiTheme="majorBidi" w:eastAsiaTheme="minorHAnsi" w:hAnsiTheme="majorBidi" w:cstheme="majorBidi"/>
          <w:sz w:val="20"/>
          <w:szCs w:val="20"/>
          <w:rtl/>
        </w:rPr>
        <w:t xml:space="preserve"> </w:t>
      </w:r>
    </w:p>
  </w:footnote>
  <w:footnote w:id="214">
    <w:p w14:paraId="17C8B6D9" w14:textId="745164DB" w:rsidR="00902FCD" w:rsidRPr="00D432FF" w:rsidRDefault="00902FCD" w:rsidP="00EF47AB">
      <w:pPr>
        <w:pStyle w:val="FootnoteText"/>
        <w:spacing w:line="360" w:lineRule="auto"/>
        <w:rPr>
          <w:rFonts w:asciiTheme="majorBidi" w:eastAsiaTheme="minorHAnsi" w:hAnsiTheme="majorBidi" w:cstheme="majorBidi"/>
          <w:sz w:val="20"/>
          <w:szCs w:val="20"/>
        </w:rPr>
      </w:pPr>
      <w:r w:rsidRPr="00D432FF">
        <w:rPr>
          <w:rFonts w:asciiTheme="majorBidi" w:eastAsiaTheme="minorHAnsi" w:hAnsiTheme="majorBidi" w:cstheme="majorBidi"/>
          <w:sz w:val="20"/>
          <w:szCs w:val="20"/>
          <w:vertAlign w:val="superscript"/>
        </w:rPr>
        <w:footnoteRef/>
      </w:r>
      <w:r w:rsidRPr="00D432FF">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Pashazanous and Afkande, </w:t>
      </w:r>
      <w:r w:rsidRPr="00D432FF">
        <w:rPr>
          <w:rFonts w:asciiTheme="majorBidi" w:eastAsiaTheme="minorHAnsi" w:hAnsiTheme="majorBidi" w:cstheme="majorBidi"/>
          <w:sz w:val="20"/>
          <w:szCs w:val="20"/>
        </w:rPr>
        <w:t>2014, pp. 144-6</w:t>
      </w:r>
      <w:r>
        <w:rPr>
          <w:rFonts w:asciiTheme="majorBidi" w:eastAsiaTheme="minorHAnsi" w:hAnsiTheme="majorBidi" w:cstheme="majorBidi"/>
          <w:sz w:val="20"/>
          <w:szCs w:val="20"/>
        </w:rPr>
        <w:t>.</w:t>
      </w:r>
    </w:p>
  </w:footnote>
  <w:footnote w:id="215">
    <w:p w14:paraId="5518AE63" w14:textId="08CA9E9F" w:rsidR="00902FCD" w:rsidRPr="003A44CA" w:rsidRDefault="00902FCD" w:rsidP="005C5ACB">
      <w:pPr>
        <w:pStyle w:val="FootnoteText"/>
        <w:spacing w:line="360" w:lineRule="auto"/>
        <w:rPr>
          <w:rFonts w:asciiTheme="majorBidi" w:eastAsiaTheme="minorHAnsi" w:hAnsiTheme="majorBidi" w:cstheme="majorBidi"/>
          <w:sz w:val="20"/>
          <w:szCs w:val="20"/>
        </w:rPr>
      </w:pPr>
      <w:r w:rsidRPr="000D67A0">
        <w:rPr>
          <w:rFonts w:asciiTheme="majorBidi" w:eastAsiaTheme="minorHAnsi" w:hAnsiTheme="majorBidi" w:cstheme="majorBidi"/>
          <w:sz w:val="20"/>
          <w:szCs w:val="20"/>
          <w:vertAlign w:val="superscript"/>
        </w:rPr>
        <w:footnoteRef/>
      </w:r>
      <w:r w:rsidRPr="003A44CA">
        <w:rPr>
          <w:rFonts w:asciiTheme="majorBidi" w:eastAsiaTheme="minorHAnsi" w:hAnsiTheme="majorBidi" w:cstheme="majorBidi"/>
          <w:sz w:val="20"/>
          <w:szCs w:val="20"/>
        </w:rPr>
        <w:t xml:space="preserve"> Liu, 1995, volume 198, pp. 5312-3</w:t>
      </w:r>
      <w:r>
        <w:rPr>
          <w:rFonts w:asciiTheme="majorBidi" w:eastAsiaTheme="minorHAnsi" w:hAnsiTheme="majorBidi" w:cstheme="majorBidi"/>
          <w:sz w:val="20"/>
          <w:szCs w:val="20"/>
        </w:rPr>
        <w:t xml:space="preserve">; </w:t>
      </w:r>
      <w:r>
        <w:rPr>
          <w:rFonts w:asciiTheme="majorBidi" w:hAnsiTheme="majorBidi" w:cstheme="majorBidi"/>
          <w:sz w:val="20"/>
          <w:szCs w:val="20"/>
        </w:rPr>
        <w:t>tr.</w:t>
      </w:r>
      <w:r>
        <w:rPr>
          <w:rFonts w:asciiTheme="majorBidi" w:eastAsiaTheme="minorHAnsi" w:hAnsiTheme="majorBidi" w:cstheme="majorBidi"/>
          <w:sz w:val="20"/>
          <w:szCs w:val="20"/>
        </w:rPr>
        <w:t xml:space="preserve">, Appendix II; Sima, </w:t>
      </w:r>
      <w:r w:rsidRPr="00B95C14">
        <w:rPr>
          <w:rFonts w:asciiTheme="majorBidi" w:eastAsiaTheme="minorHAnsi" w:hAnsiTheme="majorBidi" w:cstheme="majorBidi"/>
          <w:sz w:val="20"/>
          <w:szCs w:val="20"/>
        </w:rPr>
        <w:t>1964, volume 199, p. 6285</w:t>
      </w:r>
      <w:r>
        <w:rPr>
          <w:rFonts w:asciiTheme="majorBidi" w:eastAsiaTheme="minorHAnsi" w:hAnsiTheme="majorBidi" w:cstheme="majorBidi"/>
          <w:sz w:val="20"/>
          <w:szCs w:val="20"/>
        </w:rPr>
        <w:t>.</w:t>
      </w:r>
    </w:p>
  </w:footnote>
  <w:footnote w:id="216">
    <w:p w14:paraId="6EC53692" w14:textId="77777777" w:rsidR="00902FCD" w:rsidRPr="009B0FB8" w:rsidRDefault="00902FCD" w:rsidP="00EF47AB">
      <w:pPr>
        <w:pStyle w:val="FootnoteText"/>
        <w:spacing w:line="360" w:lineRule="auto"/>
        <w:rPr>
          <w:rFonts w:asciiTheme="majorBidi" w:eastAsiaTheme="minorHAnsi" w:hAnsiTheme="majorBidi" w:cstheme="majorBidi"/>
          <w:sz w:val="20"/>
          <w:szCs w:val="20"/>
        </w:rPr>
      </w:pPr>
      <w:r w:rsidRPr="00DA1910">
        <w:rPr>
          <w:rFonts w:asciiTheme="majorBidi" w:eastAsiaTheme="minorHAnsi" w:hAnsiTheme="majorBidi" w:cstheme="majorBidi"/>
          <w:sz w:val="20"/>
          <w:szCs w:val="20"/>
          <w:vertAlign w:val="superscript"/>
        </w:rPr>
        <w:footnoteRef/>
      </w:r>
      <w:r w:rsidRPr="00DA1910">
        <w:rPr>
          <w:rFonts w:asciiTheme="majorBidi" w:eastAsiaTheme="minorHAnsi" w:hAnsiTheme="majorBidi" w:cstheme="majorBidi"/>
          <w:sz w:val="20"/>
          <w:szCs w:val="20"/>
        </w:rPr>
        <w:t xml:space="preserve"> </w:t>
      </w:r>
      <w:r w:rsidRPr="00B95C14">
        <w:rPr>
          <w:rFonts w:asciiTheme="majorBidi" w:eastAsiaTheme="minorHAnsi" w:hAnsiTheme="majorBidi" w:cstheme="majorBidi"/>
          <w:sz w:val="20"/>
          <w:szCs w:val="20"/>
        </w:rPr>
        <w:t>Sima</w:t>
      </w:r>
      <w:r>
        <w:rPr>
          <w:rFonts w:asciiTheme="majorBidi" w:eastAsiaTheme="minorHAnsi" w:hAnsiTheme="majorBidi" w:cstheme="majorBidi"/>
          <w:sz w:val="20"/>
          <w:szCs w:val="20"/>
        </w:rPr>
        <w:t xml:space="preserve">, </w:t>
      </w:r>
      <w:r w:rsidRPr="00B95C14">
        <w:rPr>
          <w:rFonts w:asciiTheme="majorBidi" w:eastAsiaTheme="minorHAnsi" w:hAnsiTheme="majorBidi" w:cstheme="majorBidi"/>
          <w:sz w:val="20"/>
          <w:szCs w:val="20"/>
        </w:rPr>
        <w:t xml:space="preserve">1964, volume 199, p. 6285. </w:t>
      </w:r>
      <w:r>
        <w:rPr>
          <w:rFonts w:asciiTheme="majorBidi" w:eastAsiaTheme="minorHAnsi" w:hAnsiTheme="majorBidi" w:cstheme="majorBidi"/>
          <w:sz w:val="20"/>
          <w:szCs w:val="20"/>
        </w:rPr>
        <w:t>Although Wang (2009, p. 90) argued that the date was acceptable, it</w:t>
      </w:r>
      <w:r w:rsidRPr="00B95C14">
        <w:rPr>
          <w:rFonts w:asciiTheme="majorBidi" w:eastAsiaTheme="minorHAnsi" w:hAnsiTheme="majorBidi" w:cstheme="majorBidi"/>
          <w:sz w:val="20"/>
          <w:szCs w:val="20"/>
        </w:rPr>
        <w:t xml:space="preserve"> is </w:t>
      </w:r>
      <w:r>
        <w:rPr>
          <w:rFonts w:asciiTheme="majorBidi" w:eastAsiaTheme="minorHAnsi" w:hAnsiTheme="majorBidi" w:cstheme="majorBidi"/>
          <w:sz w:val="20"/>
          <w:szCs w:val="20"/>
        </w:rPr>
        <w:t>clearly problematic</w:t>
      </w:r>
      <w:r w:rsidRPr="00B95C14">
        <w:rPr>
          <w:rFonts w:asciiTheme="majorBidi" w:eastAsiaTheme="minorHAnsi" w:hAnsiTheme="majorBidi" w:cstheme="majorBidi"/>
          <w:sz w:val="20"/>
          <w:szCs w:val="20"/>
        </w:rPr>
        <w:t>, since Yazdegerd III</w:t>
      </w:r>
      <w:r>
        <w:rPr>
          <w:rFonts w:asciiTheme="majorBidi" w:eastAsiaTheme="minorHAnsi" w:hAnsiTheme="majorBidi" w:cstheme="majorBidi"/>
          <w:sz w:val="20"/>
          <w:szCs w:val="20"/>
        </w:rPr>
        <w:t>’s death</w:t>
      </w:r>
      <w:r w:rsidRPr="00B95C14">
        <w:rPr>
          <w:rFonts w:asciiTheme="majorBidi" w:eastAsiaTheme="minorHAnsi" w:hAnsiTheme="majorBidi" w:cstheme="majorBidi"/>
          <w:sz w:val="20"/>
          <w:szCs w:val="20"/>
        </w:rPr>
        <w:t xml:space="preserve"> was also put in this year.</w:t>
      </w:r>
    </w:p>
  </w:footnote>
  <w:footnote w:id="217">
    <w:p w14:paraId="1ECB6552" w14:textId="77777777" w:rsidR="00902FCD" w:rsidRPr="001F33ED" w:rsidRDefault="00902FCD" w:rsidP="00EF47AB">
      <w:pPr>
        <w:pStyle w:val="FootnoteText"/>
        <w:spacing w:line="360" w:lineRule="auto"/>
        <w:rPr>
          <w:rFonts w:asciiTheme="majorBidi" w:eastAsiaTheme="minorHAnsi" w:hAnsiTheme="majorBidi" w:cstheme="majorBidi"/>
          <w:sz w:val="20"/>
          <w:szCs w:val="20"/>
        </w:rPr>
      </w:pPr>
      <w:r w:rsidRPr="001F33ED">
        <w:rPr>
          <w:rFonts w:asciiTheme="majorBidi" w:eastAsiaTheme="minorHAnsi" w:hAnsiTheme="majorBidi" w:cstheme="majorBidi"/>
          <w:sz w:val="20"/>
          <w:szCs w:val="20"/>
          <w:vertAlign w:val="superscript"/>
        </w:rPr>
        <w:footnoteRef/>
      </w:r>
      <w:r w:rsidRPr="001F33ED">
        <w:rPr>
          <w:rFonts w:asciiTheme="majorBidi" w:eastAsiaTheme="minorHAnsi" w:hAnsiTheme="majorBidi" w:cstheme="majorBidi"/>
          <w:sz w:val="20"/>
          <w:szCs w:val="20"/>
        </w:rPr>
        <w:t xml:space="preserve"> </w:t>
      </w:r>
      <w:r w:rsidRPr="00522A09">
        <w:rPr>
          <w:rFonts w:asciiTheme="majorBidi" w:eastAsiaTheme="minorHAnsi" w:hAnsiTheme="majorBidi" w:cstheme="majorBidi"/>
          <w:sz w:val="20"/>
          <w:szCs w:val="20"/>
        </w:rPr>
        <w:t>Al-Balādhurī, p. 556</w:t>
      </w:r>
      <w:r>
        <w:rPr>
          <w:rFonts w:asciiTheme="majorBidi" w:eastAsiaTheme="minorHAnsi" w:hAnsiTheme="majorBidi" w:cstheme="majorBidi"/>
          <w:sz w:val="20"/>
          <w:szCs w:val="20"/>
        </w:rPr>
        <w:t xml:space="preserve">; </w:t>
      </w:r>
      <w:r>
        <w:rPr>
          <w:rFonts w:asciiTheme="majorBidi" w:hAnsiTheme="majorBidi" w:cstheme="majorBidi"/>
          <w:sz w:val="20"/>
          <w:szCs w:val="20"/>
        </w:rPr>
        <w:t>tr.</w:t>
      </w:r>
      <w:r>
        <w:rPr>
          <w:rFonts w:asciiTheme="majorBidi" w:eastAsiaTheme="minorHAnsi" w:hAnsiTheme="majorBidi" w:cstheme="majorBidi"/>
          <w:sz w:val="20"/>
          <w:szCs w:val="20"/>
        </w:rPr>
        <w:t xml:space="preserve">, part II, 1924, p. 144. </w:t>
      </w:r>
      <w:r w:rsidRPr="004A0F28">
        <w:rPr>
          <w:rFonts w:asciiTheme="majorBidi" w:hAnsiTheme="majorBidi" w:cstheme="majorBidi"/>
          <w:i/>
          <w:iCs/>
          <w:sz w:val="20"/>
          <w:szCs w:val="20"/>
        </w:rPr>
        <w:t>Tārīkh-e Sīstān</w:t>
      </w:r>
      <w:r>
        <w:rPr>
          <w:rFonts w:asciiTheme="majorBidi" w:hAnsiTheme="majorBidi" w:cstheme="majorBidi"/>
          <w:sz w:val="20"/>
          <w:szCs w:val="20"/>
        </w:rPr>
        <w:t>, 2002, p. 115; tr., 1976, p. 67.</w:t>
      </w:r>
      <w:r w:rsidRPr="004A0F28">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As for the annual tribute of Sīstān, it was a million dirhams and a thousand slave boys, each with a golden cup in his hand, when it submitted to the Arabs in 650/651 CE </w:t>
      </w:r>
      <w:r w:rsidRPr="000954C7">
        <w:rPr>
          <w:rFonts w:asciiTheme="majorBidi" w:eastAsiaTheme="minorHAnsi" w:hAnsiTheme="majorBidi" w:cstheme="majorBidi"/>
          <w:sz w:val="20"/>
          <w:szCs w:val="20"/>
        </w:rPr>
        <w:t xml:space="preserve">(al-Balādhurī, 1987, pp. 554-5; </w:t>
      </w:r>
      <w:r>
        <w:rPr>
          <w:rFonts w:asciiTheme="majorBidi" w:hAnsiTheme="majorBidi" w:cstheme="majorBidi"/>
          <w:sz w:val="20"/>
          <w:szCs w:val="20"/>
        </w:rPr>
        <w:t>tr.</w:t>
      </w:r>
      <w:r w:rsidRPr="000954C7">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part II</w:t>
      </w:r>
      <w:r w:rsidRPr="000954C7">
        <w:rPr>
          <w:rFonts w:asciiTheme="majorBidi" w:eastAsiaTheme="minorHAnsi" w:hAnsiTheme="majorBidi" w:cstheme="majorBidi"/>
          <w:sz w:val="20"/>
          <w:szCs w:val="20"/>
        </w:rPr>
        <w:t xml:space="preserve">, 1924, pp. 143-4: </w:t>
      </w:r>
      <w:r w:rsidRPr="000954C7">
        <w:rPr>
          <w:rFonts w:asciiTheme="majorBidi" w:eastAsiaTheme="minorHAnsi" w:hAnsiTheme="majorBidi" w:cstheme="majorBidi" w:hint="cs"/>
          <w:sz w:val="20"/>
          <w:szCs w:val="20"/>
          <w:rtl/>
          <w:lang w:bidi="ar-JO"/>
        </w:rPr>
        <w:t>فصالحه على الف وصيف مع كل وصيف جام من ذهب</w:t>
      </w:r>
      <w:r w:rsidRPr="000954C7">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w:t>
      </w:r>
      <w:r w:rsidRPr="00807CC0">
        <w:rPr>
          <w:rFonts w:asciiTheme="majorBidi" w:eastAsiaTheme="minorHAnsi" w:hAnsiTheme="majorBidi" w:cstheme="majorBidi"/>
          <w:i/>
          <w:iCs/>
          <w:sz w:val="20"/>
          <w:szCs w:val="20"/>
        </w:rPr>
        <w:t>Tārīkh-</w:t>
      </w:r>
      <w:r>
        <w:rPr>
          <w:rFonts w:asciiTheme="majorBidi" w:eastAsiaTheme="minorHAnsi" w:hAnsiTheme="majorBidi" w:cstheme="majorBidi"/>
          <w:i/>
          <w:iCs/>
          <w:sz w:val="20"/>
          <w:szCs w:val="20"/>
        </w:rPr>
        <w:t>e</w:t>
      </w:r>
      <w:r w:rsidRPr="00807CC0">
        <w:rPr>
          <w:rFonts w:asciiTheme="majorBidi" w:eastAsiaTheme="minorHAnsi" w:hAnsiTheme="majorBidi" w:cstheme="majorBidi"/>
          <w:i/>
          <w:iCs/>
          <w:sz w:val="20"/>
          <w:szCs w:val="20"/>
        </w:rPr>
        <w:t xml:space="preserve"> Sīstān</w:t>
      </w:r>
      <w:r>
        <w:rPr>
          <w:rFonts w:asciiTheme="majorBidi" w:eastAsiaTheme="minorHAnsi" w:hAnsiTheme="majorBidi" w:cstheme="majorBidi"/>
          <w:sz w:val="20"/>
          <w:szCs w:val="20"/>
        </w:rPr>
        <w:t xml:space="preserve"> (2002, p. 113; </w:t>
      </w:r>
      <w:r>
        <w:rPr>
          <w:rFonts w:asciiTheme="majorBidi" w:hAnsiTheme="majorBidi" w:cstheme="majorBidi"/>
          <w:sz w:val="20"/>
          <w:szCs w:val="20"/>
        </w:rPr>
        <w:t>tr.</w:t>
      </w:r>
      <w:r>
        <w:rPr>
          <w:rFonts w:asciiTheme="majorBidi" w:eastAsiaTheme="minorHAnsi" w:hAnsiTheme="majorBidi" w:cstheme="majorBidi"/>
          <w:sz w:val="20"/>
          <w:szCs w:val="20"/>
        </w:rPr>
        <w:t>, 1976, p. 65) agrees with al-</w:t>
      </w:r>
      <w:r w:rsidRPr="000954C7">
        <w:rPr>
          <w:rFonts w:asciiTheme="majorBidi" w:eastAsiaTheme="minorHAnsi" w:hAnsiTheme="majorBidi" w:cstheme="majorBidi"/>
          <w:sz w:val="20"/>
          <w:szCs w:val="20"/>
        </w:rPr>
        <w:t>Balādhurī</w:t>
      </w:r>
      <w:r>
        <w:rPr>
          <w:rFonts w:asciiTheme="majorBidi" w:eastAsiaTheme="minorHAnsi" w:hAnsiTheme="majorBidi" w:cstheme="majorBidi"/>
          <w:sz w:val="20"/>
          <w:szCs w:val="20"/>
        </w:rPr>
        <w:t xml:space="preserve"> except it records a thousand slave girls instead of boys.</w:t>
      </w:r>
    </w:p>
  </w:footnote>
  <w:footnote w:id="218">
    <w:p w14:paraId="7BFAAC03" w14:textId="77777777" w:rsidR="00902FCD" w:rsidRPr="00611170" w:rsidRDefault="00902FCD" w:rsidP="00EF47AB">
      <w:pPr>
        <w:pStyle w:val="FootnoteText"/>
        <w:spacing w:line="360" w:lineRule="auto"/>
        <w:rPr>
          <w:rFonts w:asciiTheme="majorBidi" w:hAnsiTheme="majorBidi" w:cstheme="majorBidi"/>
          <w:sz w:val="20"/>
          <w:szCs w:val="20"/>
        </w:rPr>
      </w:pPr>
      <w:r w:rsidRPr="00611170">
        <w:rPr>
          <w:rStyle w:val="FootnoteReference"/>
          <w:rFonts w:asciiTheme="majorBidi" w:hAnsiTheme="majorBidi" w:cstheme="majorBidi"/>
          <w:sz w:val="20"/>
          <w:szCs w:val="20"/>
        </w:rPr>
        <w:footnoteRef/>
      </w:r>
      <w:r w:rsidRPr="00611170">
        <w:rPr>
          <w:rFonts w:asciiTheme="majorBidi" w:hAnsiTheme="majorBidi" w:cstheme="majorBidi"/>
          <w:sz w:val="20"/>
          <w:szCs w:val="20"/>
        </w:rPr>
        <w:t xml:space="preserve"> </w:t>
      </w:r>
      <w:r w:rsidRPr="00522A09">
        <w:rPr>
          <w:rFonts w:asciiTheme="majorBidi" w:eastAsiaTheme="minorHAnsi" w:hAnsiTheme="majorBidi" w:cstheme="majorBidi"/>
          <w:sz w:val="20"/>
          <w:szCs w:val="20"/>
        </w:rPr>
        <w:t>Al-Balādhurī</w:t>
      </w:r>
      <w:r>
        <w:rPr>
          <w:rFonts w:asciiTheme="majorBidi" w:eastAsiaTheme="minorHAnsi" w:hAnsiTheme="majorBidi" w:cstheme="majorBidi"/>
          <w:sz w:val="20"/>
          <w:szCs w:val="20"/>
        </w:rPr>
        <w:t xml:space="preserve">, 1987, </w:t>
      </w:r>
      <w:r w:rsidRPr="00522A09">
        <w:rPr>
          <w:rFonts w:asciiTheme="majorBidi" w:eastAsiaTheme="minorHAnsi" w:hAnsiTheme="majorBidi" w:cstheme="majorBidi"/>
          <w:sz w:val="20"/>
          <w:szCs w:val="20"/>
        </w:rPr>
        <w:t>pp.</w:t>
      </w:r>
      <w:r w:rsidRPr="00611170">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556-8</w:t>
      </w:r>
      <w:r w:rsidRPr="00611170">
        <w:rPr>
          <w:rFonts w:asciiTheme="majorBidi" w:eastAsiaTheme="minorHAnsi" w:hAnsiTheme="majorBidi" w:cstheme="majorBidi"/>
          <w:sz w:val="20"/>
          <w:szCs w:val="20"/>
        </w:rPr>
        <w:t xml:space="preserve">; </w:t>
      </w:r>
      <w:r>
        <w:rPr>
          <w:rFonts w:asciiTheme="majorBidi" w:hAnsiTheme="majorBidi" w:cstheme="majorBidi"/>
          <w:sz w:val="20"/>
          <w:szCs w:val="20"/>
        </w:rPr>
        <w:t>tr.</w:t>
      </w:r>
      <w:r w:rsidRPr="00611170">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part II, </w:t>
      </w:r>
      <w:r w:rsidRPr="00611170">
        <w:rPr>
          <w:rFonts w:asciiTheme="majorBidi" w:eastAsiaTheme="minorHAnsi" w:hAnsiTheme="majorBidi" w:cstheme="majorBidi"/>
          <w:sz w:val="20"/>
          <w:szCs w:val="20"/>
        </w:rPr>
        <w:t>1924, pp. 144-6) report</w:t>
      </w:r>
      <w:r>
        <w:rPr>
          <w:rFonts w:asciiTheme="majorBidi" w:eastAsiaTheme="minorHAnsi" w:hAnsiTheme="majorBidi" w:cstheme="majorBidi"/>
          <w:sz w:val="20"/>
          <w:szCs w:val="20"/>
        </w:rPr>
        <w:t>s</w:t>
      </w:r>
      <w:r w:rsidRPr="00611170">
        <w:rPr>
          <w:rFonts w:asciiTheme="majorBidi" w:eastAsiaTheme="minorHAnsi" w:hAnsiTheme="majorBidi" w:cstheme="majorBidi"/>
          <w:sz w:val="20"/>
          <w:szCs w:val="20"/>
        </w:rPr>
        <w:t xml:space="preserve"> that ‘Abd al-Raḥmān ibn Samura was away from Sīstān and with </w:t>
      </w:r>
      <w:proofErr w:type="gramStart"/>
      <w:r w:rsidRPr="00611170">
        <w:rPr>
          <w:rFonts w:asciiTheme="majorBidi" w:eastAsiaTheme="minorHAnsi" w:hAnsiTheme="majorBidi" w:cstheme="majorBidi"/>
          <w:sz w:val="20"/>
          <w:szCs w:val="20"/>
        </w:rPr>
        <w:t>Mu‘</w:t>
      </w:r>
      <w:proofErr w:type="gramEnd"/>
      <w:r w:rsidRPr="00611170">
        <w:rPr>
          <w:rFonts w:asciiTheme="majorBidi" w:eastAsiaTheme="minorHAnsi" w:hAnsiTheme="majorBidi" w:cstheme="majorBidi"/>
          <w:sz w:val="20"/>
          <w:szCs w:val="20"/>
        </w:rPr>
        <w:t xml:space="preserve">awiya until his returning after the Fitna in 661 CE, while </w:t>
      </w:r>
      <w:r w:rsidRPr="00611170">
        <w:rPr>
          <w:rFonts w:asciiTheme="majorBidi" w:eastAsiaTheme="minorHAnsi" w:hAnsiTheme="majorBidi" w:cstheme="majorBidi"/>
          <w:i/>
          <w:iCs/>
          <w:sz w:val="20"/>
          <w:szCs w:val="20"/>
        </w:rPr>
        <w:t>Tārīkh-e Sīstān</w:t>
      </w:r>
      <w:r w:rsidRPr="00611170">
        <w:rPr>
          <w:rFonts w:asciiTheme="majorBidi" w:eastAsiaTheme="minorHAnsi" w:hAnsiTheme="majorBidi" w:cstheme="majorBidi"/>
          <w:sz w:val="20"/>
          <w:szCs w:val="20"/>
        </w:rPr>
        <w:t xml:space="preserve"> (2002, pp. 113, 119-20; </w:t>
      </w:r>
      <w:r>
        <w:rPr>
          <w:rFonts w:asciiTheme="majorBidi" w:hAnsiTheme="majorBidi" w:cstheme="majorBidi"/>
          <w:sz w:val="20"/>
          <w:szCs w:val="20"/>
        </w:rPr>
        <w:t>tr.</w:t>
      </w:r>
      <w:r w:rsidRPr="00611170">
        <w:rPr>
          <w:rFonts w:asciiTheme="majorBidi" w:eastAsiaTheme="minorHAnsi" w:hAnsiTheme="majorBidi" w:cstheme="majorBidi"/>
          <w:sz w:val="20"/>
          <w:szCs w:val="20"/>
        </w:rPr>
        <w:t>, 1976, pp. 67-8, 71-3) record</w:t>
      </w:r>
      <w:r>
        <w:rPr>
          <w:rFonts w:asciiTheme="majorBidi" w:eastAsiaTheme="minorHAnsi" w:hAnsiTheme="majorBidi" w:cstheme="majorBidi"/>
          <w:sz w:val="20"/>
          <w:szCs w:val="20"/>
        </w:rPr>
        <w:t>s</w:t>
      </w:r>
      <w:r w:rsidRPr="00611170">
        <w:rPr>
          <w:rFonts w:asciiTheme="majorBidi" w:eastAsiaTheme="minorHAnsi" w:hAnsiTheme="majorBidi" w:cstheme="majorBidi"/>
          <w:sz w:val="20"/>
          <w:szCs w:val="20"/>
        </w:rPr>
        <w:t xml:space="preserve"> that the representative of Mu‘awiya returned to Sīstān in 657 CE and left the region soon for Syria.</w:t>
      </w:r>
    </w:p>
  </w:footnote>
  <w:footnote w:id="219">
    <w:p w14:paraId="5AA5FC41" w14:textId="77777777" w:rsidR="00902FCD" w:rsidRPr="00611170" w:rsidRDefault="00902FCD" w:rsidP="00EF47AB">
      <w:pPr>
        <w:pStyle w:val="FootnoteText"/>
        <w:spacing w:line="360" w:lineRule="auto"/>
        <w:rPr>
          <w:rFonts w:asciiTheme="majorBidi" w:eastAsiaTheme="minorHAnsi" w:hAnsiTheme="majorBidi" w:cstheme="majorBidi"/>
          <w:sz w:val="20"/>
          <w:szCs w:val="20"/>
        </w:rPr>
      </w:pPr>
      <w:r w:rsidRPr="00611170">
        <w:rPr>
          <w:rFonts w:asciiTheme="majorBidi" w:eastAsiaTheme="minorHAnsi" w:hAnsiTheme="majorBidi" w:cstheme="majorBidi"/>
          <w:sz w:val="20"/>
          <w:szCs w:val="20"/>
          <w:vertAlign w:val="superscript"/>
        </w:rPr>
        <w:footnoteRef/>
      </w:r>
      <w:r w:rsidRPr="00611170">
        <w:rPr>
          <w:rFonts w:asciiTheme="majorBidi" w:eastAsiaTheme="minorHAnsi" w:hAnsiTheme="majorBidi" w:cstheme="majorBidi"/>
          <w:sz w:val="20"/>
          <w:szCs w:val="20"/>
        </w:rPr>
        <w:t xml:space="preserve"> Bosworth, 1968, p. 19.</w:t>
      </w:r>
    </w:p>
  </w:footnote>
  <w:footnote w:id="220">
    <w:p w14:paraId="496B5108" w14:textId="206DAB7D" w:rsidR="00902FCD" w:rsidRPr="00A414C2" w:rsidRDefault="00902FCD" w:rsidP="00A414C2">
      <w:pPr>
        <w:pStyle w:val="FootnoteText"/>
        <w:spacing w:line="360" w:lineRule="auto"/>
        <w:rPr>
          <w:rFonts w:asciiTheme="majorBidi" w:eastAsiaTheme="minorHAnsi" w:hAnsiTheme="majorBidi" w:cstheme="majorBidi"/>
          <w:sz w:val="20"/>
          <w:szCs w:val="20"/>
        </w:rPr>
      </w:pPr>
      <w:r w:rsidRPr="00A414C2">
        <w:rPr>
          <w:rFonts w:asciiTheme="majorBidi" w:eastAsiaTheme="minorHAnsi" w:hAnsiTheme="majorBidi" w:cstheme="majorBidi"/>
          <w:sz w:val="20"/>
          <w:szCs w:val="20"/>
          <w:vertAlign w:val="superscript"/>
        </w:rPr>
        <w:footnoteRef/>
      </w:r>
      <w:r w:rsidRPr="00A414C2">
        <w:rPr>
          <w:rFonts w:asciiTheme="majorBidi" w:eastAsiaTheme="minorHAnsi" w:hAnsiTheme="majorBidi" w:cstheme="majorBidi"/>
          <w:sz w:val="20"/>
          <w:szCs w:val="20"/>
          <w:vertAlign w:val="superscript"/>
        </w:rPr>
        <w:t xml:space="preserve"> </w:t>
      </w:r>
      <w:r w:rsidRPr="00A414C2">
        <w:rPr>
          <w:rFonts w:asciiTheme="majorBidi" w:eastAsiaTheme="minorHAnsi" w:hAnsiTheme="majorBidi" w:cstheme="majorBidi"/>
          <w:sz w:val="20"/>
          <w:szCs w:val="20"/>
        </w:rPr>
        <w:t>As Shaban (</w:t>
      </w:r>
      <w:r w:rsidRPr="004A30A7">
        <w:rPr>
          <w:rFonts w:asciiTheme="majorBidi" w:eastAsiaTheme="minorHAnsi" w:hAnsiTheme="majorBidi" w:cstheme="majorBidi"/>
          <w:sz w:val="20"/>
          <w:szCs w:val="20"/>
        </w:rPr>
        <w:t>1970, p. 28</w:t>
      </w:r>
      <w:r w:rsidRPr="00A414C2">
        <w:rPr>
          <w:rFonts w:asciiTheme="majorBidi" w:eastAsiaTheme="minorHAnsi" w:hAnsiTheme="majorBidi" w:cstheme="majorBidi"/>
          <w:sz w:val="20"/>
          <w:szCs w:val="20"/>
        </w:rPr>
        <w:t>) argues, the fact that the Arab army marched to Sīstān instead of Khurasan after the Fitna shows that the center of agitation in the east was Sīstān.</w:t>
      </w:r>
    </w:p>
  </w:footnote>
  <w:footnote w:id="221">
    <w:p w14:paraId="2CCB2B8C" w14:textId="77777777" w:rsidR="00902FCD" w:rsidRPr="00B95C14" w:rsidRDefault="00902FCD" w:rsidP="00EF47AB">
      <w:pPr>
        <w:pStyle w:val="FootnoteText"/>
        <w:spacing w:line="360" w:lineRule="auto"/>
        <w:rPr>
          <w:rFonts w:asciiTheme="majorBidi" w:eastAsiaTheme="minorHAnsi" w:hAnsiTheme="majorBidi" w:cstheme="majorBidi"/>
          <w:sz w:val="20"/>
          <w:szCs w:val="20"/>
        </w:rPr>
      </w:pPr>
      <w:r w:rsidRPr="00B95C14">
        <w:rPr>
          <w:rFonts w:asciiTheme="majorBidi" w:eastAsiaTheme="minorHAnsi" w:hAnsiTheme="majorBidi" w:cstheme="majorBidi"/>
          <w:sz w:val="20"/>
          <w:szCs w:val="20"/>
          <w:vertAlign w:val="superscript"/>
        </w:rPr>
        <w:footnoteRef/>
      </w:r>
      <w:r w:rsidRPr="00B95C14">
        <w:rPr>
          <w:rFonts w:asciiTheme="majorBidi" w:eastAsiaTheme="minorHAnsi" w:hAnsiTheme="majorBidi" w:cstheme="majorBidi"/>
          <w:sz w:val="20"/>
          <w:szCs w:val="20"/>
          <w:vertAlign w:val="superscript"/>
        </w:rPr>
        <w:t xml:space="preserve"> </w:t>
      </w:r>
      <w:r w:rsidRPr="00B95C14">
        <w:rPr>
          <w:rFonts w:asciiTheme="majorBidi" w:eastAsiaTheme="minorHAnsi" w:hAnsiTheme="majorBidi" w:cstheme="majorBidi"/>
          <w:sz w:val="20"/>
          <w:szCs w:val="20"/>
        </w:rPr>
        <w:t>Sima</w:t>
      </w:r>
      <w:r>
        <w:rPr>
          <w:rFonts w:asciiTheme="majorBidi" w:eastAsiaTheme="minorHAnsi" w:hAnsiTheme="majorBidi" w:cstheme="majorBidi"/>
          <w:sz w:val="20"/>
          <w:szCs w:val="20"/>
        </w:rPr>
        <w:t xml:space="preserve">, </w:t>
      </w:r>
      <w:r w:rsidRPr="00B95C14">
        <w:rPr>
          <w:rFonts w:asciiTheme="majorBidi" w:eastAsiaTheme="minorHAnsi" w:hAnsiTheme="majorBidi" w:cstheme="majorBidi"/>
          <w:sz w:val="20"/>
          <w:szCs w:val="20"/>
        </w:rPr>
        <w:t xml:space="preserve">1964, volume 199, p. 6285. </w:t>
      </w:r>
      <w:r>
        <w:rPr>
          <w:rFonts w:asciiTheme="majorBidi" w:eastAsiaTheme="minorHAnsi" w:hAnsiTheme="majorBidi" w:cstheme="majorBidi"/>
          <w:sz w:val="20"/>
          <w:szCs w:val="20"/>
        </w:rPr>
        <w:t>Although Wang (2009, p. 90) argues that the date was acceptable, it</w:t>
      </w:r>
      <w:r w:rsidRPr="00B95C14">
        <w:rPr>
          <w:rFonts w:asciiTheme="majorBidi" w:eastAsiaTheme="minorHAnsi" w:hAnsiTheme="majorBidi" w:cstheme="majorBidi"/>
          <w:sz w:val="20"/>
          <w:szCs w:val="20"/>
        </w:rPr>
        <w:t xml:space="preserve"> is </w:t>
      </w:r>
      <w:r>
        <w:rPr>
          <w:rFonts w:asciiTheme="majorBidi" w:eastAsiaTheme="minorHAnsi" w:hAnsiTheme="majorBidi" w:cstheme="majorBidi"/>
          <w:sz w:val="20"/>
          <w:szCs w:val="20"/>
        </w:rPr>
        <w:t>clearly problematic</w:t>
      </w:r>
      <w:r w:rsidRPr="00B95C14">
        <w:rPr>
          <w:rFonts w:asciiTheme="majorBidi" w:eastAsiaTheme="minorHAnsi" w:hAnsiTheme="majorBidi" w:cstheme="majorBidi"/>
          <w:sz w:val="20"/>
          <w:szCs w:val="20"/>
        </w:rPr>
        <w:t>, since Yazdegerd III</w:t>
      </w:r>
      <w:r>
        <w:rPr>
          <w:rFonts w:asciiTheme="majorBidi" w:eastAsiaTheme="minorHAnsi" w:hAnsiTheme="majorBidi" w:cstheme="majorBidi"/>
          <w:sz w:val="20"/>
          <w:szCs w:val="20"/>
        </w:rPr>
        <w:t>’s death</w:t>
      </w:r>
      <w:r w:rsidRPr="00B95C14">
        <w:rPr>
          <w:rFonts w:asciiTheme="majorBidi" w:eastAsiaTheme="minorHAnsi" w:hAnsiTheme="majorBidi" w:cstheme="majorBidi"/>
          <w:sz w:val="20"/>
          <w:szCs w:val="20"/>
        </w:rPr>
        <w:t xml:space="preserve"> was also put in this year.</w:t>
      </w:r>
    </w:p>
  </w:footnote>
  <w:footnote w:id="222">
    <w:p w14:paraId="09525CD9" w14:textId="39A2E2D6" w:rsidR="00902FCD" w:rsidRPr="00F770B4" w:rsidRDefault="00902FCD" w:rsidP="00EF47AB">
      <w:pPr>
        <w:pStyle w:val="FootnoteText"/>
        <w:spacing w:line="360" w:lineRule="auto"/>
        <w:rPr>
          <w:rFonts w:asciiTheme="majorBidi" w:eastAsiaTheme="minorHAnsi" w:hAnsiTheme="majorBidi" w:cstheme="majorBidi"/>
          <w:sz w:val="20"/>
          <w:szCs w:val="20"/>
          <w:highlight w:val="yellow"/>
        </w:rPr>
      </w:pPr>
      <w:r w:rsidRPr="00966AA3">
        <w:rPr>
          <w:rFonts w:asciiTheme="majorBidi" w:eastAsiaTheme="minorHAnsi" w:hAnsiTheme="majorBidi" w:cstheme="majorBidi"/>
          <w:sz w:val="20"/>
          <w:szCs w:val="20"/>
          <w:vertAlign w:val="superscript"/>
        </w:rPr>
        <w:footnoteRef/>
      </w:r>
      <w:r w:rsidRPr="00966AA3">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Bosworth, </w:t>
      </w:r>
      <w:r>
        <w:rPr>
          <w:rFonts w:asciiTheme="majorBidi" w:eastAsiaTheme="minorHAnsi" w:hAnsiTheme="majorBidi" w:cstheme="majorBidi" w:hint="eastAsia"/>
          <w:sz w:val="20"/>
          <w:szCs w:val="20"/>
        </w:rPr>
        <w:t>2008,</w:t>
      </w:r>
      <w:r>
        <w:rPr>
          <w:rFonts w:asciiTheme="majorBidi" w:eastAsiaTheme="minorHAnsi" w:hAnsiTheme="majorBidi" w:cstheme="majorBidi"/>
          <w:sz w:val="20"/>
          <w:szCs w:val="20"/>
        </w:rPr>
        <w:t xml:space="preserve"> p. 100.</w:t>
      </w:r>
    </w:p>
  </w:footnote>
  <w:footnote w:id="223">
    <w:p w14:paraId="05E3BDD2" w14:textId="77777777" w:rsidR="00902FCD" w:rsidRPr="00753105" w:rsidRDefault="00902FCD" w:rsidP="00DE43E8">
      <w:pPr>
        <w:pStyle w:val="FootnoteText"/>
        <w:spacing w:line="360" w:lineRule="auto"/>
        <w:rPr>
          <w:rFonts w:asciiTheme="majorBidi" w:eastAsiaTheme="minorHAnsi" w:hAnsiTheme="majorBidi" w:cstheme="majorBidi"/>
          <w:sz w:val="20"/>
          <w:szCs w:val="20"/>
        </w:rPr>
      </w:pPr>
      <w:r w:rsidRPr="00753105">
        <w:rPr>
          <w:rFonts w:asciiTheme="majorBidi" w:eastAsiaTheme="minorHAnsi" w:hAnsiTheme="majorBidi" w:cstheme="majorBidi"/>
          <w:sz w:val="20"/>
          <w:szCs w:val="20"/>
          <w:vertAlign w:val="superscript"/>
        </w:rPr>
        <w:footnoteRef/>
      </w:r>
      <w:r w:rsidRPr="00753105">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Al-Balādhurī (1987, </w:t>
      </w:r>
      <w:r w:rsidRPr="00522A09">
        <w:rPr>
          <w:rFonts w:asciiTheme="majorBidi" w:eastAsiaTheme="minorHAnsi" w:hAnsiTheme="majorBidi" w:cstheme="majorBidi"/>
          <w:sz w:val="20"/>
          <w:szCs w:val="20"/>
        </w:rPr>
        <w:t>pp.</w:t>
      </w:r>
      <w:r w:rsidRPr="00611170">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554-5</w:t>
      </w:r>
      <w:r w:rsidRPr="00611170">
        <w:rPr>
          <w:rFonts w:asciiTheme="majorBidi" w:eastAsiaTheme="minorHAnsi" w:hAnsiTheme="majorBidi" w:cstheme="majorBidi"/>
          <w:sz w:val="20"/>
          <w:szCs w:val="20"/>
        </w:rPr>
        <w:t xml:space="preserve">; </w:t>
      </w:r>
      <w:r>
        <w:rPr>
          <w:rFonts w:asciiTheme="majorBidi" w:hAnsiTheme="majorBidi" w:cstheme="majorBidi"/>
          <w:sz w:val="20"/>
          <w:szCs w:val="20"/>
        </w:rPr>
        <w:t>tr.</w:t>
      </w:r>
      <w:r w:rsidRPr="00611170">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part II, </w:t>
      </w:r>
      <w:r w:rsidRPr="00611170">
        <w:rPr>
          <w:rFonts w:asciiTheme="majorBidi" w:eastAsiaTheme="minorHAnsi" w:hAnsiTheme="majorBidi" w:cstheme="majorBidi"/>
          <w:sz w:val="20"/>
          <w:szCs w:val="20"/>
        </w:rPr>
        <w:t>1924, pp. 14</w:t>
      </w:r>
      <w:r>
        <w:rPr>
          <w:rFonts w:asciiTheme="majorBidi" w:eastAsiaTheme="minorHAnsi" w:hAnsiTheme="majorBidi" w:cstheme="majorBidi"/>
          <w:sz w:val="20"/>
          <w:szCs w:val="20"/>
        </w:rPr>
        <w:t xml:space="preserve">2-3) reports that the </w:t>
      </w:r>
      <w:r w:rsidRPr="00DE43E8">
        <w:rPr>
          <w:rFonts w:asciiTheme="majorBidi" w:eastAsiaTheme="minorHAnsi" w:hAnsiTheme="majorBidi" w:cstheme="majorBidi"/>
          <w:i/>
          <w:iCs/>
          <w:sz w:val="20"/>
          <w:szCs w:val="20"/>
        </w:rPr>
        <w:t>marzbān</w:t>
      </w:r>
      <w:r>
        <w:rPr>
          <w:rFonts w:asciiTheme="majorBidi" w:eastAsiaTheme="minorHAnsi" w:hAnsiTheme="majorBidi" w:cstheme="majorBidi"/>
          <w:sz w:val="20"/>
          <w:szCs w:val="20"/>
        </w:rPr>
        <w:t xml:space="preserve"> of Zaranj negotiated the peace treaty with the Arabs. The local rulers probably also include the</w:t>
      </w:r>
      <w:r w:rsidRPr="00753105">
        <w:rPr>
          <w:rFonts w:asciiTheme="majorBidi" w:eastAsiaTheme="minorHAnsi" w:hAnsiTheme="majorBidi" w:cstheme="majorBidi"/>
          <w:sz w:val="20"/>
          <w:szCs w:val="20"/>
        </w:rPr>
        <w:t xml:space="preserve"> religious elite of the region</w:t>
      </w:r>
      <w:r>
        <w:rPr>
          <w:rFonts w:asciiTheme="majorBidi" w:eastAsiaTheme="minorHAnsi" w:hAnsiTheme="majorBidi" w:cstheme="majorBidi"/>
          <w:sz w:val="20"/>
          <w:szCs w:val="20"/>
        </w:rPr>
        <w:t>, although their names are unknown</w:t>
      </w:r>
      <w:r w:rsidRPr="00753105">
        <w:rPr>
          <w:rFonts w:asciiTheme="majorBidi" w:eastAsiaTheme="minorHAnsi" w:hAnsiTheme="majorBidi" w:cstheme="majorBidi"/>
          <w:sz w:val="20"/>
          <w:szCs w:val="20"/>
        </w:rPr>
        <w:t>.</w:t>
      </w:r>
    </w:p>
  </w:footnote>
  <w:footnote w:id="224">
    <w:p w14:paraId="37C0B325" w14:textId="41E3FFC4" w:rsidR="00902FCD" w:rsidRPr="00D432FF" w:rsidRDefault="00902FCD" w:rsidP="00EF47AB">
      <w:pPr>
        <w:pStyle w:val="FootnoteText"/>
        <w:spacing w:line="360" w:lineRule="auto"/>
        <w:rPr>
          <w:rFonts w:asciiTheme="majorBidi" w:eastAsiaTheme="minorHAnsi" w:hAnsiTheme="majorBidi" w:cstheme="majorBidi"/>
          <w:sz w:val="20"/>
          <w:szCs w:val="20"/>
        </w:rPr>
      </w:pPr>
      <w:r w:rsidRPr="00D432FF">
        <w:rPr>
          <w:rFonts w:asciiTheme="majorBidi" w:eastAsiaTheme="minorHAnsi" w:hAnsiTheme="majorBidi" w:cstheme="majorBidi"/>
          <w:sz w:val="20"/>
          <w:szCs w:val="20"/>
          <w:vertAlign w:val="superscript"/>
        </w:rPr>
        <w:footnoteRef/>
      </w:r>
      <w:r w:rsidRPr="00D432FF">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The Yabghū was probably attempting to expand his suzerainty over Sīstān</w:t>
      </w:r>
      <w:r w:rsidRPr="00B525C6">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by imposing Pērōz to the region. </w:t>
      </w:r>
      <w:r w:rsidRPr="00D432FF">
        <w:rPr>
          <w:rFonts w:asciiTheme="majorBidi" w:eastAsiaTheme="minorHAnsi" w:hAnsiTheme="majorBidi" w:cstheme="majorBidi"/>
          <w:sz w:val="20"/>
          <w:szCs w:val="20"/>
        </w:rPr>
        <w:t xml:space="preserve">Unfortunately, there is no numismatic evidence as the coins of the Turkic ruler of Kabul between </w:t>
      </w:r>
      <w:r>
        <w:rPr>
          <w:rFonts w:asciiTheme="majorBidi" w:eastAsiaTheme="minorHAnsi" w:hAnsiTheme="majorBidi" w:cstheme="majorBidi"/>
          <w:sz w:val="20"/>
          <w:szCs w:val="20"/>
        </w:rPr>
        <w:t xml:space="preserve">the </w:t>
      </w:r>
      <w:r w:rsidRPr="00D432FF">
        <w:rPr>
          <w:rFonts w:asciiTheme="majorBidi" w:eastAsiaTheme="minorHAnsi" w:hAnsiTheme="majorBidi" w:cstheme="majorBidi"/>
          <w:sz w:val="20"/>
          <w:szCs w:val="20"/>
        </w:rPr>
        <w:t xml:space="preserve">680s and </w:t>
      </w:r>
      <w:r>
        <w:rPr>
          <w:rFonts w:asciiTheme="majorBidi" w:eastAsiaTheme="minorHAnsi" w:hAnsiTheme="majorBidi" w:cstheme="majorBidi"/>
          <w:sz w:val="20"/>
          <w:szCs w:val="20"/>
        </w:rPr>
        <w:t xml:space="preserve">the </w:t>
      </w:r>
      <w:r w:rsidRPr="00D432FF">
        <w:rPr>
          <w:rFonts w:asciiTheme="majorBidi" w:eastAsiaTheme="minorHAnsi" w:hAnsiTheme="majorBidi" w:cstheme="majorBidi"/>
          <w:sz w:val="20"/>
          <w:szCs w:val="20"/>
        </w:rPr>
        <w:t xml:space="preserve">730s, who minted under the title Khurasan Tegin Shāh (Vondrovec, 2014, volume 2, </w:t>
      </w:r>
      <w:r>
        <w:rPr>
          <w:rFonts w:asciiTheme="majorBidi" w:eastAsiaTheme="minorHAnsi" w:hAnsiTheme="majorBidi" w:cstheme="majorBidi"/>
          <w:sz w:val="20"/>
          <w:szCs w:val="20"/>
        </w:rPr>
        <w:t>Types 240, 208, pp. 537, 541-3</w:t>
      </w:r>
      <w:r w:rsidRPr="00D432FF">
        <w:rPr>
          <w:rFonts w:asciiTheme="majorBidi" w:eastAsiaTheme="minorHAnsi" w:hAnsiTheme="majorBidi" w:cstheme="majorBidi"/>
          <w:sz w:val="20"/>
          <w:szCs w:val="20"/>
        </w:rPr>
        <w:t xml:space="preserve">), to confirm the </w:t>
      </w:r>
      <w:r>
        <w:rPr>
          <w:rFonts w:asciiTheme="majorBidi" w:eastAsiaTheme="minorHAnsi" w:hAnsiTheme="majorBidi" w:cstheme="majorBidi"/>
          <w:sz w:val="20"/>
          <w:szCs w:val="20"/>
        </w:rPr>
        <w:t>suggestion</w:t>
      </w:r>
      <w:r w:rsidRPr="00D432FF">
        <w:rPr>
          <w:rFonts w:asciiTheme="majorBidi" w:eastAsiaTheme="minorHAnsi" w:hAnsiTheme="majorBidi" w:cstheme="majorBidi"/>
          <w:sz w:val="20"/>
          <w:szCs w:val="20"/>
        </w:rPr>
        <w:t>.</w:t>
      </w:r>
    </w:p>
  </w:footnote>
  <w:footnote w:id="225">
    <w:p w14:paraId="76A562C3" w14:textId="7943DDC9" w:rsidR="00902FCD" w:rsidRPr="00754281" w:rsidRDefault="00902FCD" w:rsidP="00EF47AB">
      <w:pPr>
        <w:pStyle w:val="FootnoteText"/>
        <w:spacing w:line="360" w:lineRule="auto"/>
        <w:rPr>
          <w:rFonts w:asciiTheme="majorBidi" w:eastAsiaTheme="minorHAnsi" w:hAnsiTheme="majorBidi" w:cstheme="majorBidi"/>
          <w:sz w:val="20"/>
          <w:szCs w:val="20"/>
        </w:rPr>
      </w:pPr>
      <w:r w:rsidRPr="00754281">
        <w:rPr>
          <w:rFonts w:asciiTheme="majorBidi" w:eastAsiaTheme="minorHAnsi" w:hAnsiTheme="majorBidi" w:cstheme="majorBidi"/>
          <w:sz w:val="20"/>
          <w:szCs w:val="20"/>
          <w:vertAlign w:val="superscript"/>
        </w:rPr>
        <w:footnoteRef/>
      </w:r>
      <w:r w:rsidRPr="00754281">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To mint coins is not only of great significance to the Sasanians, but also to the local rulers in the eastern frontiers. Even the rulers Spur and Pangul from late 7</w:t>
      </w:r>
      <w:r w:rsidRPr="00A414C2">
        <w:rPr>
          <w:rFonts w:asciiTheme="majorBidi" w:eastAsiaTheme="minorHAnsi" w:hAnsiTheme="majorBidi" w:cstheme="majorBidi"/>
          <w:sz w:val="20"/>
          <w:szCs w:val="20"/>
          <w:vertAlign w:val="superscript"/>
        </w:rPr>
        <w:t>th</w:t>
      </w:r>
      <w:r>
        <w:rPr>
          <w:rFonts w:asciiTheme="majorBidi" w:eastAsiaTheme="minorHAnsi" w:hAnsiTheme="majorBidi" w:cstheme="majorBidi"/>
          <w:sz w:val="20"/>
          <w:szCs w:val="20"/>
        </w:rPr>
        <w:t xml:space="preserve"> or early 8</w:t>
      </w:r>
      <w:r w:rsidRPr="00A414C2">
        <w:rPr>
          <w:rFonts w:asciiTheme="majorBidi" w:eastAsiaTheme="minorHAnsi" w:hAnsiTheme="majorBidi" w:cstheme="majorBidi"/>
          <w:sz w:val="20"/>
          <w:szCs w:val="20"/>
          <w:vertAlign w:val="superscript"/>
        </w:rPr>
        <w:t>th</w:t>
      </w:r>
      <w:r>
        <w:rPr>
          <w:rFonts w:asciiTheme="majorBidi" w:eastAsiaTheme="minorHAnsi" w:hAnsiTheme="majorBidi" w:cstheme="majorBidi"/>
          <w:sz w:val="20"/>
          <w:szCs w:val="20"/>
        </w:rPr>
        <w:t xml:space="preserve"> century Zābulistān, who were entirely absent from historical records, minted their coins (Gyselen, 2010, p. 237).</w:t>
      </w:r>
    </w:p>
  </w:footnote>
  <w:footnote w:id="226">
    <w:p w14:paraId="41CAC841" w14:textId="77777777" w:rsidR="00902FCD" w:rsidRPr="008C49B4" w:rsidRDefault="00902FCD" w:rsidP="00EF47AB">
      <w:pPr>
        <w:pStyle w:val="FootnoteText"/>
        <w:spacing w:line="360" w:lineRule="auto"/>
        <w:rPr>
          <w:rFonts w:asciiTheme="majorBidi" w:eastAsiaTheme="minorHAnsi" w:hAnsiTheme="majorBidi" w:cstheme="majorBidi"/>
          <w:sz w:val="20"/>
          <w:szCs w:val="20"/>
        </w:rPr>
      </w:pPr>
      <w:r w:rsidRPr="008C49B4">
        <w:rPr>
          <w:rFonts w:asciiTheme="majorBidi" w:eastAsiaTheme="minorHAnsi" w:hAnsiTheme="majorBidi" w:cstheme="majorBidi"/>
          <w:sz w:val="20"/>
          <w:szCs w:val="20"/>
          <w:vertAlign w:val="superscript"/>
        </w:rPr>
        <w:footnoteRef/>
      </w:r>
      <w:r w:rsidRPr="008C49B4">
        <w:rPr>
          <w:rFonts w:asciiTheme="majorBidi" w:eastAsiaTheme="minorHAnsi" w:hAnsiTheme="majorBidi" w:cstheme="majorBidi"/>
          <w:sz w:val="20"/>
          <w:szCs w:val="20"/>
        </w:rPr>
        <w:t xml:space="preserve"> </w:t>
      </w:r>
      <w:r w:rsidRPr="00956C86">
        <w:rPr>
          <w:rFonts w:asciiTheme="majorBidi" w:eastAsiaTheme="minorHAnsi" w:hAnsiTheme="majorBidi" w:cstheme="majorBidi"/>
          <w:sz w:val="20"/>
          <w:szCs w:val="20"/>
        </w:rPr>
        <w:t>Pashazanous</w:t>
      </w:r>
      <w:r>
        <w:rPr>
          <w:rFonts w:asciiTheme="majorBidi" w:eastAsiaTheme="minorHAnsi" w:hAnsiTheme="majorBidi" w:cstheme="majorBidi"/>
          <w:sz w:val="20"/>
          <w:szCs w:val="20"/>
        </w:rPr>
        <w:t xml:space="preserve"> &amp; Afkande, </w:t>
      </w:r>
      <w:r w:rsidRPr="00956C86">
        <w:rPr>
          <w:rFonts w:asciiTheme="majorBidi" w:eastAsiaTheme="minorHAnsi" w:hAnsiTheme="majorBidi" w:cstheme="majorBidi"/>
          <w:sz w:val="20"/>
          <w:szCs w:val="20"/>
        </w:rPr>
        <w:t>2014, p. 145</w:t>
      </w:r>
      <w:r>
        <w:rPr>
          <w:rFonts w:asciiTheme="majorBidi" w:eastAsiaTheme="minorHAnsi" w:hAnsiTheme="majorBidi" w:cstheme="majorBidi"/>
          <w:sz w:val="20"/>
          <w:szCs w:val="20"/>
        </w:rPr>
        <w:t xml:space="preserve">; </w:t>
      </w:r>
      <w:r w:rsidRPr="008C49B4">
        <w:rPr>
          <w:rFonts w:asciiTheme="majorBidi" w:eastAsiaTheme="minorHAnsi" w:hAnsiTheme="majorBidi" w:cstheme="majorBidi"/>
          <w:sz w:val="20"/>
          <w:szCs w:val="20"/>
        </w:rPr>
        <w:t>Khazaee, 2015, pp. 223-4.</w:t>
      </w:r>
    </w:p>
  </w:footnote>
  <w:footnote w:id="227">
    <w:p w14:paraId="1B71315E" w14:textId="77777777" w:rsidR="00902FCD" w:rsidRDefault="00902FCD" w:rsidP="00EF47AB">
      <w:pPr>
        <w:pStyle w:val="FootnoteText"/>
        <w:spacing w:line="360" w:lineRule="auto"/>
        <w:rPr>
          <w:rFonts w:asciiTheme="majorBidi" w:eastAsiaTheme="minorHAnsi" w:hAnsiTheme="majorBidi" w:cstheme="majorBidi"/>
          <w:sz w:val="20"/>
          <w:szCs w:val="20"/>
        </w:rPr>
      </w:pPr>
      <w:r w:rsidRPr="007D4514">
        <w:rPr>
          <w:rFonts w:asciiTheme="majorBidi" w:eastAsiaTheme="minorHAnsi" w:hAnsiTheme="majorBidi" w:cstheme="majorBidi"/>
          <w:sz w:val="20"/>
          <w:szCs w:val="20"/>
          <w:vertAlign w:val="superscript"/>
        </w:rPr>
        <w:footnoteRef/>
      </w:r>
      <w:r w:rsidRPr="007D4514">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Although the large number of coins bearing the year 20 of Yazdegerd III shows they were still minted after the monarch’s death, their diversity in style suggests that they were minted by various local Persian rulers with or without the permission of the Arabs (Tyler-Smith, 2000, pp. 139-40, 149; Nikitin &amp; Roth, 1995, pp. 131-4).</w:t>
      </w:r>
    </w:p>
    <w:p w14:paraId="607FAF20" w14:textId="77777777" w:rsidR="00902FCD" w:rsidRPr="007D4514" w:rsidRDefault="00902FCD" w:rsidP="00EF47AB">
      <w:pPr>
        <w:pStyle w:val="FootnoteText"/>
        <w:spacing w:line="360" w:lineRule="auto"/>
        <w:rPr>
          <w:rFonts w:asciiTheme="majorBidi" w:eastAsiaTheme="minorHAnsi" w:hAnsiTheme="majorBidi" w:cstheme="majorBidi"/>
          <w:sz w:val="20"/>
          <w:szCs w:val="20"/>
        </w:rPr>
      </w:pPr>
      <w:r>
        <w:rPr>
          <w:rFonts w:asciiTheme="majorBidi" w:eastAsiaTheme="minorHAnsi" w:hAnsiTheme="majorBidi" w:cstheme="majorBidi"/>
          <w:sz w:val="20"/>
          <w:szCs w:val="20"/>
        </w:rPr>
        <w:t xml:space="preserve">As for the brevity of Pērōz’s rule in Zaranj, the </w:t>
      </w:r>
      <w:r w:rsidRPr="007D4514">
        <w:rPr>
          <w:rFonts w:asciiTheme="majorBidi" w:eastAsiaTheme="minorHAnsi" w:hAnsiTheme="majorBidi" w:cstheme="majorBidi" w:hint="eastAsia"/>
          <w:i/>
          <w:iCs/>
          <w:sz w:val="20"/>
          <w:szCs w:val="20"/>
        </w:rPr>
        <w:t>X</w:t>
      </w:r>
      <w:r w:rsidRPr="007D4514">
        <w:rPr>
          <w:rFonts w:asciiTheme="majorBidi" w:eastAsiaTheme="minorHAnsi" w:hAnsiTheme="majorBidi" w:cstheme="majorBidi"/>
          <w:i/>
          <w:iCs/>
          <w:sz w:val="20"/>
          <w:szCs w:val="20"/>
        </w:rPr>
        <w:t>in Tangshu</w:t>
      </w:r>
      <w:r w:rsidRPr="007D4514">
        <w:rPr>
          <w:rFonts w:asciiTheme="majorBidi" w:eastAsiaTheme="minorHAnsi" w:hAnsiTheme="majorBidi" w:cstheme="majorBidi"/>
          <w:sz w:val="20"/>
          <w:szCs w:val="20"/>
        </w:rPr>
        <w:t xml:space="preserve"> records that </w:t>
      </w:r>
      <w:r>
        <w:rPr>
          <w:rFonts w:asciiTheme="majorBidi" w:eastAsiaTheme="minorHAnsi" w:hAnsiTheme="majorBidi" w:cstheme="majorBidi"/>
          <w:sz w:val="20"/>
          <w:szCs w:val="20"/>
        </w:rPr>
        <w:t>it</w:t>
      </w:r>
      <w:r w:rsidRPr="007D4514">
        <w:rPr>
          <w:rFonts w:asciiTheme="majorBidi" w:eastAsiaTheme="minorHAnsi" w:hAnsiTheme="majorBidi" w:cstheme="majorBidi"/>
          <w:sz w:val="20"/>
          <w:szCs w:val="20"/>
        </w:rPr>
        <w:t xml:space="preserve"> was finished soon by the Arabs (Ouyang &amp; Song, 1995, volume 221b, p. 6259</w:t>
      </w:r>
      <w:r>
        <w:rPr>
          <w:rFonts w:asciiTheme="majorBidi" w:eastAsiaTheme="minorHAnsi" w:hAnsiTheme="majorBidi" w:cstheme="majorBidi"/>
          <w:sz w:val="20"/>
          <w:szCs w:val="20"/>
        </w:rPr>
        <w:t>; tr., Appendix II</w:t>
      </w:r>
      <w:r w:rsidRPr="007D4514">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since the local ruler preferred to avoid a military confrontation with the Arabs, although he was unsatisfied with the heavy tribute </w:t>
      </w:r>
      <w:r w:rsidRPr="00406584">
        <w:rPr>
          <w:rFonts w:asciiTheme="majorBidi" w:eastAsiaTheme="minorHAnsi" w:hAnsiTheme="majorBidi" w:cstheme="majorBidi"/>
          <w:sz w:val="20"/>
          <w:szCs w:val="20"/>
        </w:rPr>
        <w:t xml:space="preserve">(al-Balādhurī, 1987, p. 556; </w:t>
      </w:r>
      <w:r>
        <w:rPr>
          <w:rFonts w:asciiTheme="majorBidi" w:eastAsiaTheme="minorHAnsi" w:hAnsiTheme="majorBidi" w:cstheme="majorBidi"/>
          <w:sz w:val="20"/>
          <w:szCs w:val="20"/>
        </w:rPr>
        <w:t>tr., part II</w:t>
      </w:r>
      <w:r w:rsidRPr="00406584">
        <w:rPr>
          <w:rFonts w:asciiTheme="majorBidi" w:eastAsiaTheme="minorHAnsi" w:hAnsiTheme="majorBidi" w:cstheme="majorBidi"/>
          <w:sz w:val="20"/>
          <w:szCs w:val="20"/>
        </w:rPr>
        <w:t xml:space="preserve">, 1924, pp. 145: </w:t>
      </w:r>
      <w:r w:rsidRPr="00406584">
        <w:rPr>
          <w:rFonts w:asciiTheme="majorBidi" w:eastAsiaTheme="minorHAnsi" w:hAnsiTheme="majorBidi" w:cstheme="majorBidi" w:hint="cs"/>
          <w:sz w:val="20"/>
          <w:szCs w:val="20"/>
          <w:rtl/>
          <w:lang w:bidi="ar-JO"/>
        </w:rPr>
        <w:t>ثم أتوا زرنج وقد خافهم مرزبانها فصالحهم ودخلوها</w:t>
      </w:r>
      <w:r>
        <w:rPr>
          <w:rFonts w:asciiTheme="majorBidi" w:eastAsiaTheme="minorHAnsi" w:hAnsiTheme="majorBidi" w:cstheme="majorBidi"/>
          <w:sz w:val="20"/>
          <w:szCs w:val="20"/>
        </w:rPr>
        <w:t>)</w:t>
      </w:r>
      <w:r w:rsidRPr="00406584">
        <w:rPr>
          <w:rFonts w:asciiTheme="majorBidi" w:eastAsiaTheme="minorHAnsi" w:hAnsiTheme="majorBidi" w:cstheme="majorBidi" w:hint="eastAsia"/>
          <w:sz w:val="20"/>
          <w:szCs w:val="20"/>
        </w:rPr>
        <w:t>.</w:t>
      </w:r>
    </w:p>
  </w:footnote>
  <w:footnote w:id="228">
    <w:p w14:paraId="1D6E3F82" w14:textId="77777777" w:rsidR="00902FCD" w:rsidRPr="005B4847" w:rsidRDefault="00902FCD" w:rsidP="00EF47AB">
      <w:pPr>
        <w:pStyle w:val="FootnoteText"/>
        <w:spacing w:line="360" w:lineRule="auto"/>
        <w:rPr>
          <w:rFonts w:asciiTheme="majorBidi" w:eastAsiaTheme="minorHAnsi" w:hAnsiTheme="majorBidi" w:cstheme="majorBidi"/>
          <w:sz w:val="20"/>
          <w:szCs w:val="20"/>
        </w:rPr>
      </w:pPr>
      <w:r w:rsidRPr="005B4847">
        <w:rPr>
          <w:rFonts w:asciiTheme="majorBidi" w:eastAsiaTheme="minorHAnsi" w:hAnsiTheme="majorBidi" w:cstheme="majorBidi"/>
          <w:sz w:val="20"/>
          <w:szCs w:val="20"/>
          <w:vertAlign w:val="superscript"/>
        </w:rPr>
        <w:footnoteRef/>
      </w:r>
      <w:r w:rsidRPr="005B4847">
        <w:rPr>
          <w:rFonts w:asciiTheme="majorBidi" w:eastAsiaTheme="minorHAnsi" w:hAnsiTheme="majorBidi" w:cstheme="majorBidi"/>
          <w:sz w:val="20"/>
          <w:szCs w:val="20"/>
        </w:rPr>
        <w:t xml:space="preserve"> Kavad II ruled for half a year in 628, while Queen </w:t>
      </w:r>
      <w:r>
        <w:rPr>
          <w:rFonts w:asciiTheme="majorBidi" w:eastAsiaTheme="minorHAnsi" w:hAnsiTheme="majorBidi" w:cstheme="majorBidi"/>
          <w:sz w:val="20"/>
          <w:szCs w:val="20"/>
        </w:rPr>
        <w:t>Būrān ruled twice, respectively in 630 CE and from 631 to 632 CE. Kavād II and Queen Būrān not only minted coins but also respectively in 16 and 14 mints (Tyler-Smith, 2000, p. 140).</w:t>
      </w:r>
    </w:p>
  </w:footnote>
  <w:footnote w:id="229">
    <w:p w14:paraId="42B29F08" w14:textId="77777777" w:rsidR="00902FCD" w:rsidRPr="003D71A4" w:rsidRDefault="00902FCD" w:rsidP="00EF47AB">
      <w:pPr>
        <w:pStyle w:val="FootnoteText"/>
        <w:spacing w:line="360" w:lineRule="auto"/>
        <w:rPr>
          <w:rFonts w:asciiTheme="majorBidi" w:eastAsiaTheme="minorHAnsi" w:hAnsiTheme="majorBidi" w:cstheme="majorBidi"/>
          <w:sz w:val="20"/>
          <w:szCs w:val="20"/>
        </w:rPr>
      </w:pPr>
      <w:r w:rsidRPr="003D71A4">
        <w:rPr>
          <w:rFonts w:asciiTheme="majorBidi" w:eastAsiaTheme="minorHAnsi" w:hAnsiTheme="majorBidi" w:cstheme="majorBidi"/>
          <w:sz w:val="20"/>
          <w:szCs w:val="20"/>
          <w:vertAlign w:val="superscript"/>
        </w:rPr>
        <w:footnoteRef/>
      </w:r>
      <w:r w:rsidRPr="003D71A4">
        <w:rPr>
          <w:rFonts w:asciiTheme="majorBidi" w:eastAsiaTheme="minorHAnsi" w:hAnsiTheme="majorBidi" w:cstheme="majorBidi"/>
          <w:sz w:val="20"/>
          <w:szCs w:val="20"/>
        </w:rPr>
        <w:t xml:space="preserve"> Pērōz </w:t>
      </w:r>
      <w:r>
        <w:rPr>
          <w:rFonts w:asciiTheme="majorBidi" w:eastAsiaTheme="minorHAnsi" w:hAnsiTheme="majorBidi" w:cstheme="majorBidi"/>
          <w:sz w:val="20"/>
          <w:szCs w:val="20"/>
        </w:rPr>
        <w:t xml:space="preserve">was in the Yabghū’s court as late as </w:t>
      </w:r>
      <w:r w:rsidRPr="003D71A4">
        <w:rPr>
          <w:rFonts w:asciiTheme="majorBidi" w:eastAsiaTheme="minorHAnsi" w:hAnsiTheme="majorBidi" w:cstheme="majorBidi"/>
          <w:sz w:val="20"/>
          <w:szCs w:val="20"/>
        </w:rPr>
        <w:t>671 CE</w:t>
      </w:r>
      <w:r>
        <w:rPr>
          <w:rFonts w:asciiTheme="majorBidi" w:eastAsiaTheme="minorHAnsi" w:hAnsiTheme="majorBidi" w:cstheme="majorBidi"/>
          <w:sz w:val="20"/>
          <w:szCs w:val="20"/>
        </w:rPr>
        <w:t xml:space="preserve">. This is shown by the fact that </w:t>
      </w:r>
      <w:r w:rsidRPr="003D71A4">
        <w:rPr>
          <w:rFonts w:asciiTheme="majorBidi" w:eastAsiaTheme="minorHAnsi" w:hAnsiTheme="majorBidi" w:cstheme="majorBidi"/>
          <w:sz w:val="20"/>
          <w:szCs w:val="20"/>
        </w:rPr>
        <w:t>the</w:t>
      </w:r>
      <w:r>
        <w:rPr>
          <w:rFonts w:asciiTheme="majorBidi" w:eastAsiaTheme="minorHAnsi" w:hAnsiTheme="majorBidi" w:cstheme="majorBidi"/>
          <w:sz w:val="20"/>
          <w:szCs w:val="20"/>
        </w:rPr>
        <w:t>ir</w:t>
      </w:r>
      <w:r w:rsidRPr="003D71A4">
        <w:rPr>
          <w:rFonts w:asciiTheme="majorBidi" w:eastAsiaTheme="minorHAnsi" w:hAnsiTheme="majorBidi" w:cstheme="majorBidi"/>
          <w:sz w:val="20"/>
          <w:szCs w:val="20"/>
        </w:rPr>
        <w:t xml:space="preserve"> emissaries </w:t>
      </w:r>
      <w:r>
        <w:rPr>
          <w:rFonts w:asciiTheme="majorBidi" w:eastAsiaTheme="minorHAnsi" w:hAnsiTheme="majorBidi" w:cstheme="majorBidi"/>
          <w:sz w:val="20"/>
          <w:szCs w:val="20"/>
        </w:rPr>
        <w:t>arrived</w:t>
      </w:r>
      <w:r w:rsidRPr="003D71A4">
        <w:rPr>
          <w:rFonts w:asciiTheme="majorBidi" w:eastAsiaTheme="minorHAnsi" w:hAnsiTheme="majorBidi" w:cstheme="majorBidi"/>
          <w:sz w:val="20"/>
          <w:szCs w:val="20"/>
        </w:rPr>
        <w:t xml:space="preserve"> at the Tang court together</w:t>
      </w:r>
      <w:r>
        <w:rPr>
          <w:rFonts w:asciiTheme="majorBidi" w:eastAsiaTheme="minorHAnsi" w:hAnsiTheme="majorBidi" w:cstheme="majorBidi"/>
          <w:sz w:val="20"/>
          <w:szCs w:val="20"/>
        </w:rPr>
        <w:t xml:space="preserve"> in this year</w:t>
      </w:r>
      <w:r w:rsidRPr="003D71A4">
        <w:rPr>
          <w:rFonts w:asciiTheme="majorBidi" w:eastAsiaTheme="minorHAnsi" w:hAnsiTheme="majorBidi" w:cstheme="majorBidi"/>
          <w:sz w:val="20"/>
          <w:szCs w:val="20"/>
        </w:rPr>
        <w:t>.</w:t>
      </w:r>
    </w:p>
  </w:footnote>
  <w:footnote w:id="230">
    <w:p w14:paraId="78CD6437" w14:textId="77777777" w:rsidR="00902FCD" w:rsidRPr="00475045" w:rsidRDefault="00902FCD" w:rsidP="00637DED">
      <w:pPr>
        <w:pStyle w:val="FootnoteText"/>
        <w:spacing w:line="360" w:lineRule="auto"/>
        <w:rPr>
          <w:rFonts w:asciiTheme="majorBidi" w:eastAsiaTheme="minorHAnsi" w:hAnsiTheme="majorBidi" w:cstheme="majorBidi"/>
          <w:sz w:val="20"/>
          <w:szCs w:val="20"/>
        </w:rPr>
      </w:pPr>
      <w:r w:rsidRPr="00475045">
        <w:rPr>
          <w:rFonts w:asciiTheme="majorBidi" w:eastAsiaTheme="minorHAnsi" w:hAnsiTheme="majorBidi" w:cstheme="majorBidi"/>
          <w:sz w:val="20"/>
          <w:szCs w:val="20"/>
          <w:vertAlign w:val="superscript"/>
        </w:rPr>
        <w:footnoteRef/>
      </w:r>
      <w:r w:rsidRPr="00475045">
        <w:rPr>
          <w:rFonts w:asciiTheme="majorBidi" w:eastAsiaTheme="minorHAnsi" w:hAnsiTheme="majorBidi" w:cstheme="majorBidi"/>
          <w:sz w:val="20"/>
          <w:szCs w:val="20"/>
        </w:rPr>
        <w:t xml:space="preserve"> The records in</w:t>
      </w:r>
      <w:r>
        <w:rPr>
          <w:rFonts w:asciiTheme="majorBidi" w:eastAsiaTheme="minorHAnsi" w:hAnsiTheme="majorBidi" w:cstheme="majorBidi"/>
          <w:sz w:val="20"/>
          <w:szCs w:val="20"/>
        </w:rPr>
        <w:t xml:space="preserve"> the</w:t>
      </w:r>
      <w:r w:rsidRPr="00475045">
        <w:rPr>
          <w:rFonts w:asciiTheme="majorBidi" w:eastAsiaTheme="minorHAnsi" w:hAnsiTheme="majorBidi" w:cstheme="majorBidi"/>
          <w:i/>
          <w:iCs/>
          <w:sz w:val="20"/>
          <w:szCs w:val="20"/>
        </w:rPr>
        <w:t xml:space="preserve"> Xin Tangshu</w:t>
      </w:r>
      <w:r w:rsidRPr="00475045">
        <w:rPr>
          <w:rFonts w:asciiTheme="majorBidi" w:eastAsiaTheme="minorHAnsi" w:hAnsiTheme="majorBidi" w:cstheme="majorBidi"/>
          <w:sz w:val="20"/>
          <w:szCs w:val="20"/>
        </w:rPr>
        <w:t xml:space="preserve"> seem </w:t>
      </w:r>
      <w:r>
        <w:rPr>
          <w:rFonts w:asciiTheme="majorBidi" w:eastAsiaTheme="minorHAnsi" w:hAnsiTheme="majorBidi" w:cstheme="majorBidi"/>
          <w:sz w:val="20"/>
          <w:szCs w:val="20"/>
        </w:rPr>
        <w:t xml:space="preserve">to </w:t>
      </w:r>
      <w:r w:rsidRPr="00475045">
        <w:rPr>
          <w:rFonts w:asciiTheme="majorBidi" w:eastAsiaTheme="minorHAnsi" w:hAnsiTheme="majorBidi" w:cstheme="majorBidi"/>
          <w:sz w:val="20"/>
          <w:szCs w:val="20"/>
        </w:rPr>
        <w:t xml:space="preserve">show that </w:t>
      </w:r>
      <w:r>
        <w:rPr>
          <w:rFonts w:asciiTheme="majorBidi" w:eastAsiaTheme="minorHAnsi" w:hAnsiTheme="majorBidi" w:cstheme="majorBidi"/>
          <w:sz w:val="20"/>
          <w:szCs w:val="20"/>
        </w:rPr>
        <w:t xml:space="preserve">Pērōz sent an emissary to ask for the Tang assistance immediately after his father’s death. However, the account in the </w:t>
      </w:r>
      <w:r w:rsidRPr="00475045">
        <w:rPr>
          <w:rFonts w:asciiTheme="majorBidi" w:eastAsiaTheme="minorHAnsi" w:hAnsiTheme="majorBidi" w:cstheme="majorBidi"/>
          <w:i/>
          <w:iCs/>
          <w:sz w:val="20"/>
          <w:szCs w:val="20"/>
        </w:rPr>
        <w:t>Cefu yuangui</w:t>
      </w:r>
      <w:r>
        <w:rPr>
          <w:rFonts w:asciiTheme="majorBidi" w:eastAsiaTheme="minorHAnsi" w:hAnsiTheme="majorBidi" w:cstheme="majorBidi"/>
          <w:sz w:val="20"/>
          <w:szCs w:val="20"/>
        </w:rPr>
        <w:t xml:space="preserve"> dated his envoy coming to the Tang court in 654 CE, when the Arabs invaded both the Sasanians and Maymurgh in southern Sogdiana (Wang &amp; Yang, 1994, volume 995, p. 11686). The </w:t>
      </w:r>
      <w:r w:rsidRPr="005E113A">
        <w:rPr>
          <w:rFonts w:asciiTheme="majorBidi" w:eastAsiaTheme="minorHAnsi" w:hAnsiTheme="majorBidi" w:cstheme="majorBidi"/>
          <w:i/>
          <w:iCs/>
          <w:sz w:val="20"/>
          <w:szCs w:val="20"/>
        </w:rPr>
        <w:t>Jiu Tangshu</w:t>
      </w:r>
      <w:r>
        <w:rPr>
          <w:rFonts w:asciiTheme="majorBidi" w:eastAsiaTheme="minorHAnsi" w:hAnsiTheme="majorBidi" w:cstheme="majorBidi"/>
          <w:sz w:val="20"/>
          <w:szCs w:val="20"/>
        </w:rPr>
        <w:t xml:space="preserve"> dated his request of assistance even to 661 CE (Liu, 1995, volume 198, p. 5313).</w:t>
      </w:r>
    </w:p>
  </w:footnote>
  <w:footnote w:id="231">
    <w:p w14:paraId="4B26D083" w14:textId="54D25F0A" w:rsidR="00902FCD" w:rsidRPr="00475045" w:rsidRDefault="00902FCD" w:rsidP="0043741A">
      <w:pPr>
        <w:pStyle w:val="FootnoteText"/>
        <w:spacing w:line="360" w:lineRule="auto"/>
        <w:rPr>
          <w:rFonts w:asciiTheme="majorBidi" w:eastAsiaTheme="minorHAnsi" w:hAnsiTheme="majorBidi" w:cstheme="majorBidi"/>
          <w:sz w:val="20"/>
          <w:szCs w:val="20"/>
        </w:rPr>
      </w:pPr>
      <w:r w:rsidRPr="00061542">
        <w:rPr>
          <w:rFonts w:asciiTheme="majorBidi" w:eastAsiaTheme="minorHAnsi" w:hAnsiTheme="majorBidi" w:cstheme="majorBidi"/>
          <w:sz w:val="20"/>
          <w:szCs w:val="20"/>
          <w:vertAlign w:val="superscript"/>
        </w:rPr>
        <w:footnoteRef/>
      </w:r>
      <w:r w:rsidRPr="00061542">
        <w:rPr>
          <w:rFonts w:asciiTheme="majorBidi" w:eastAsiaTheme="minorHAnsi" w:hAnsiTheme="majorBidi" w:cstheme="majorBidi"/>
          <w:sz w:val="20"/>
          <w:szCs w:val="20"/>
        </w:rPr>
        <w:t xml:space="preserve"> </w:t>
      </w:r>
      <w:r w:rsidRPr="00475045">
        <w:rPr>
          <w:rFonts w:asciiTheme="majorBidi" w:eastAsiaTheme="minorHAnsi" w:hAnsiTheme="majorBidi" w:cstheme="majorBidi"/>
          <w:sz w:val="20"/>
          <w:szCs w:val="20"/>
        </w:rPr>
        <w:t>The records in</w:t>
      </w:r>
      <w:r>
        <w:rPr>
          <w:rFonts w:asciiTheme="majorBidi" w:eastAsiaTheme="minorHAnsi" w:hAnsiTheme="majorBidi" w:cstheme="majorBidi"/>
          <w:sz w:val="20"/>
          <w:szCs w:val="20"/>
        </w:rPr>
        <w:t xml:space="preserve"> the</w:t>
      </w:r>
      <w:r w:rsidRPr="00475045">
        <w:rPr>
          <w:rFonts w:asciiTheme="majorBidi" w:eastAsiaTheme="minorHAnsi" w:hAnsiTheme="majorBidi" w:cstheme="majorBidi"/>
          <w:i/>
          <w:iCs/>
          <w:sz w:val="20"/>
          <w:szCs w:val="20"/>
        </w:rPr>
        <w:t xml:space="preserve"> Xin Tangshu</w:t>
      </w:r>
      <w:r w:rsidRPr="00475045">
        <w:rPr>
          <w:rFonts w:asciiTheme="majorBidi" w:eastAsiaTheme="minorHAnsi" w:hAnsiTheme="majorBidi" w:cstheme="majorBidi"/>
          <w:sz w:val="20"/>
          <w:szCs w:val="20"/>
        </w:rPr>
        <w:t xml:space="preserve"> seem </w:t>
      </w:r>
      <w:r>
        <w:rPr>
          <w:rFonts w:asciiTheme="majorBidi" w:eastAsiaTheme="minorHAnsi" w:hAnsiTheme="majorBidi" w:cstheme="majorBidi"/>
          <w:sz w:val="20"/>
          <w:szCs w:val="20"/>
        </w:rPr>
        <w:t xml:space="preserve">to </w:t>
      </w:r>
      <w:r w:rsidRPr="00475045">
        <w:rPr>
          <w:rFonts w:asciiTheme="majorBidi" w:eastAsiaTheme="minorHAnsi" w:hAnsiTheme="majorBidi" w:cstheme="majorBidi"/>
          <w:sz w:val="20"/>
          <w:szCs w:val="20"/>
        </w:rPr>
        <w:t xml:space="preserve">show that </w:t>
      </w:r>
      <w:r>
        <w:rPr>
          <w:rFonts w:asciiTheme="majorBidi" w:eastAsiaTheme="minorHAnsi" w:hAnsiTheme="majorBidi" w:cstheme="majorBidi"/>
          <w:sz w:val="20"/>
          <w:szCs w:val="20"/>
        </w:rPr>
        <w:t xml:space="preserve">Pērōz sent an emissary to ask for the Tang assistance immediately after his father’s death. However, the account in the </w:t>
      </w:r>
      <w:r w:rsidRPr="00475045">
        <w:rPr>
          <w:rFonts w:asciiTheme="majorBidi" w:eastAsiaTheme="minorHAnsi" w:hAnsiTheme="majorBidi" w:cstheme="majorBidi"/>
          <w:i/>
          <w:iCs/>
          <w:sz w:val="20"/>
          <w:szCs w:val="20"/>
        </w:rPr>
        <w:t>Cefu yuangui</w:t>
      </w:r>
      <w:r>
        <w:rPr>
          <w:rFonts w:asciiTheme="majorBidi" w:eastAsiaTheme="minorHAnsi" w:hAnsiTheme="majorBidi" w:cstheme="majorBidi"/>
          <w:sz w:val="20"/>
          <w:szCs w:val="20"/>
        </w:rPr>
        <w:t xml:space="preserve"> dated his envoy coming to the Tang court in 654 CE, when the Arabs invaded both the Sasanians and Maymurgh in southern Sogdiana (Wang &amp; Yang, 1994, volume 995, p. 11686). The </w:t>
      </w:r>
      <w:r w:rsidRPr="005E113A">
        <w:rPr>
          <w:rFonts w:asciiTheme="majorBidi" w:eastAsiaTheme="minorHAnsi" w:hAnsiTheme="majorBidi" w:cstheme="majorBidi"/>
          <w:i/>
          <w:iCs/>
          <w:sz w:val="20"/>
          <w:szCs w:val="20"/>
        </w:rPr>
        <w:t>Jiu Tangshu</w:t>
      </w:r>
      <w:r>
        <w:rPr>
          <w:rFonts w:asciiTheme="majorBidi" w:eastAsiaTheme="minorHAnsi" w:hAnsiTheme="majorBidi" w:cstheme="majorBidi"/>
          <w:sz w:val="20"/>
          <w:szCs w:val="20"/>
        </w:rPr>
        <w:t xml:space="preserve"> dated his request of assistance even to 661 CE (Liu, 1995, volume 198, p. 5313). Although the chronology is disputed, there is no problem to accept that Pērōz sent emissaries to the Tang court before the Tang army’s defeating the Western Turks in 657 CE, since Yazdegerd clearly had sent emissaries to the Tang court in the 640s.</w:t>
      </w:r>
    </w:p>
    <w:p w14:paraId="090B1166" w14:textId="5CCB0B64" w:rsidR="00902FCD" w:rsidRPr="00061542" w:rsidRDefault="00902FCD" w:rsidP="0043741A">
      <w:pPr>
        <w:pStyle w:val="FootnoteText"/>
        <w:spacing w:line="360" w:lineRule="auto"/>
        <w:rPr>
          <w:rFonts w:asciiTheme="majorBidi" w:eastAsiaTheme="minorHAnsi" w:hAnsiTheme="majorBidi" w:cstheme="majorBidi"/>
          <w:sz w:val="20"/>
          <w:szCs w:val="20"/>
        </w:rPr>
      </w:pPr>
      <w:r w:rsidRPr="00061542">
        <w:rPr>
          <w:rFonts w:asciiTheme="majorBidi" w:eastAsiaTheme="minorHAnsi" w:hAnsiTheme="majorBidi" w:cstheme="majorBidi"/>
          <w:sz w:val="20"/>
          <w:szCs w:val="20"/>
        </w:rPr>
        <w:t xml:space="preserve">As Agostini and Stark comment, the exact embassy sent by Pērōz was </w:t>
      </w:r>
      <w:r>
        <w:rPr>
          <w:rFonts w:asciiTheme="majorBidi" w:eastAsiaTheme="minorHAnsi" w:hAnsiTheme="majorBidi" w:cstheme="majorBidi"/>
          <w:sz w:val="20"/>
          <w:szCs w:val="20"/>
        </w:rPr>
        <w:t>found in the Chinese sources</w:t>
      </w:r>
      <w:r w:rsidRPr="00061542">
        <w:rPr>
          <w:rFonts w:asciiTheme="majorBidi" w:eastAsiaTheme="minorHAnsi" w:hAnsiTheme="majorBidi" w:cstheme="majorBidi"/>
          <w:sz w:val="20"/>
          <w:szCs w:val="20"/>
        </w:rPr>
        <w:t xml:space="preserve"> (2016, p. 18). However, it </w:t>
      </w:r>
      <w:r>
        <w:rPr>
          <w:rFonts w:asciiTheme="majorBidi" w:eastAsiaTheme="minorHAnsi" w:hAnsiTheme="majorBidi" w:cstheme="majorBidi" w:hint="eastAsia"/>
          <w:sz w:val="20"/>
          <w:szCs w:val="20"/>
        </w:rPr>
        <w:t>is</w:t>
      </w:r>
      <w:r>
        <w:rPr>
          <w:rFonts w:asciiTheme="majorBidi" w:eastAsiaTheme="minorHAnsi" w:hAnsiTheme="majorBidi" w:cstheme="majorBidi"/>
          <w:sz w:val="20"/>
          <w:szCs w:val="20"/>
        </w:rPr>
        <w:t xml:space="preserve"> clear that the first embassy arrived after </w:t>
      </w:r>
      <w:r w:rsidRPr="00061542">
        <w:rPr>
          <w:rFonts w:asciiTheme="majorBidi" w:eastAsiaTheme="minorHAnsi" w:hAnsiTheme="majorBidi" w:cstheme="majorBidi"/>
          <w:sz w:val="20"/>
          <w:szCs w:val="20"/>
        </w:rPr>
        <w:t>the Tang army</w:t>
      </w:r>
      <w:r>
        <w:rPr>
          <w:rFonts w:asciiTheme="majorBidi" w:eastAsiaTheme="minorHAnsi" w:hAnsiTheme="majorBidi" w:cstheme="majorBidi"/>
          <w:sz w:val="20"/>
          <w:szCs w:val="20"/>
        </w:rPr>
        <w:t>’s</w:t>
      </w:r>
      <w:r w:rsidRPr="00061542">
        <w:rPr>
          <w:rFonts w:asciiTheme="majorBidi" w:eastAsiaTheme="minorHAnsi" w:hAnsiTheme="majorBidi" w:cstheme="majorBidi"/>
          <w:sz w:val="20"/>
          <w:szCs w:val="20"/>
        </w:rPr>
        <w:t xml:space="preserve"> defeat</w:t>
      </w:r>
      <w:r>
        <w:rPr>
          <w:rFonts w:asciiTheme="majorBidi" w:eastAsiaTheme="minorHAnsi" w:hAnsiTheme="majorBidi" w:cstheme="majorBidi"/>
          <w:sz w:val="20"/>
          <w:szCs w:val="20"/>
        </w:rPr>
        <w:t>ing</w:t>
      </w:r>
      <w:r w:rsidRPr="00061542">
        <w:rPr>
          <w:rFonts w:asciiTheme="majorBidi" w:eastAsiaTheme="minorHAnsi" w:hAnsiTheme="majorBidi" w:cstheme="majorBidi"/>
          <w:sz w:val="20"/>
          <w:szCs w:val="20"/>
        </w:rPr>
        <w:t xml:space="preserve"> the Western Turks.</w:t>
      </w:r>
    </w:p>
  </w:footnote>
  <w:footnote w:id="232">
    <w:p w14:paraId="08A71E25" w14:textId="77777777" w:rsidR="00902FCD" w:rsidRPr="0040392D" w:rsidRDefault="00902FCD" w:rsidP="0043741A">
      <w:pPr>
        <w:pStyle w:val="FootnoteText"/>
        <w:spacing w:line="360" w:lineRule="auto"/>
        <w:rPr>
          <w:rFonts w:asciiTheme="majorBidi" w:eastAsiaTheme="minorHAnsi" w:hAnsiTheme="majorBidi" w:cstheme="majorBidi"/>
          <w:sz w:val="20"/>
          <w:szCs w:val="20"/>
        </w:rPr>
      </w:pPr>
      <w:r w:rsidRPr="0040392D">
        <w:rPr>
          <w:rFonts w:asciiTheme="majorBidi" w:eastAsiaTheme="minorHAnsi" w:hAnsiTheme="majorBidi" w:cstheme="majorBidi"/>
          <w:sz w:val="20"/>
          <w:szCs w:val="20"/>
          <w:vertAlign w:val="superscript"/>
        </w:rPr>
        <w:footnoteRef/>
      </w:r>
      <w:r w:rsidRPr="0040392D">
        <w:rPr>
          <w:rFonts w:asciiTheme="majorBidi" w:eastAsiaTheme="minorHAnsi" w:hAnsiTheme="majorBidi" w:cstheme="majorBidi"/>
          <w:sz w:val="20"/>
          <w:szCs w:val="20"/>
          <w:vertAlign w:val="superscript"/>
        </w:rPr>
        <w:t xml:space="preserve"> </w:t>
      </w:r>
      <w:r w:rsidRPr="0040392D">
        <w:rPr>
          <w:rFonts w:asciiTheme="majorBidi" w:eastAsiaTheme="minorHAnsi" w:hAnsiTheme="majorBidi" w:cstheme="majorBidi"/>
          <w:sz w:val="20"/>
          <w:szCs w:val="20"/>
        </w:rPr>
        <w:t>Haug, 2019, pp. 95-7.</w:t>
      </w:r>
    </w:p>
  </w:footnote>
  <w:footnote w:id="233">
    <w:p w14:paraId="0E3C2BBD" w14:textId="77777777" w:rsidR="00902FCD" w:rsidRPr="00AB42C9" w:rsidRDefault="00902FCD" w:rsidP="0043741A">
      <w:pPr>
        <w:pStyle w:val="FootnoteText"/>
        <w:spacing w:line="360" w:lineRule="auto"/>
        <w:rPr>
          <w:rFonts w:asciiTheme="majorBidi" w:eastAsiaTheme="minorHAnsi" w:hAnsiTheme="majorBidi" w:cstheme="majorBidi"/>
          <w:sz w:val="20"/>
          <w:szCs w:val="20"/>
        </w:rPr>
      </w:pPr>
      <w:r w:rsidRPr="00AB42C9">
        <w:rPr>
          <w:rFonts w:asciiTheme="majorBidi" w:eastAsiaTheme="minorHAnsi" w:hAnsiTheme="majorBidi" w:cstheme="majorBidi"/>
          <w:sz w:val="20"/>
          <w:szCs w:val="20"/>
          <w:vertAlign w:val="superscript"/>
        </w:rPr>
        <w:footnoteRef/>
      </w:r>
      <w:r w:rsidRPr="00AB42C9">
        <w:rPr>
          <w:rFonts w:asciiTheme="majorBidi" w:eastAsiaTheme="minorHAnsi" w:hAnsiTheme="majorBidi" w:cstheme="majorBidi"/>
          <w:sz w:val="20"/>
          <w:szCs w:val="20"/>
        </w:rPr>
        <w:t xml:space="preserve"> </w:t>
      </w:r>
      <w:r w:rsidRPr="003F3DCE">
        <w:rPr>
          <w:rFonts w:asciiTheme="majorBidi" w:eastAsiaTheme="minorHAnsi" w:hAnsiTheme="majorBidi" w:cstheme="majorBidi"/>
          <w:sz w:val="20"/>
          <w:szCs w:val="20"/>
        </w:rPr>
        <w:t>Liu, 1995, volume 198, p. 531</w:t>
      </w:r>
      <w:r>
        <w:rPr>
          <w:rFonts w:asciiTheme="majorBidi" w:eastAsiaTheme="minorHAnsi" w:hAnsiTheme="majorBidi" w:cstheme="majorBidi"/>
          <w:sz w:val="20"/>
          <w:szCs w:val="20"/>
        </w:rPr>
        <w:t>3</w:t>
      </w:r>
      <w:r w:rsidRPr="003F3DCE">
        <w:rPr>
          <w:rFonts w:asciiTheme="majorBidi" w:eastAsiaTheme="minorHAnsi" w:hAnsiTheme="majorBidi" w:cstheme="majorBidi"/>
          <w:sz w:val="20"/>
          <w:szCs w:val="20"/>
        </w:rPr>
        <w:t>; Ouyang &amp; Song, 1995, volume 221b,</w:t>
      </w:r>
      <w:r>
        <w:rPr>
          <w:rFonts w:asciiTheme="majorBidi" w:eastAsiaTheme="minorHAnsi" w:hAnsiTheme="majorBidi" w:cstheme="majorBidi"/>
          <w:sz w:val="20"/>
          <w:szCs w:val="20"/>
        </w:rPr>
        <w:t xml:space="preserve"> p. 6259; </w:t>
      </w:r>
      <w:r w:rsidRPr="00AB42C9">
        <w:rPr>
          <w:rFonts w:asciiTheme="majorBidi" w:eastAsiaTheme="minorHAnsi" w:hAnsiTheme="majorBidi" w:cstheme="majorBidi"/>
          <w:sz w:val="20"/>
          <w:szCs w:val="20"/>
        </w:rPr>
        <w:t>Wang &amp; Yang, 1994, volume 964, p. 11341</w:t>
      </w:r>
      <w:r>
        <w:rPr>
          <w:rFonts w:asciiTheme="majorBidi" w:eastAsiaTheme="minorHAnsi" w:hAnsiTheme="majorBidi" w:cstheme="majorBidi"/>
          <w:sz w:val="20"/>
          <w:szCs w:val="20"/>
        </w:rPr>
        <w:t>. Pērōz was first appointed as the military governor of Persia in 661 CE, and then as the king of Persia in 662 CE.</w:t>
      </w:r>
    </w:p>
  </w:footnote>
  <w:footnote w:id="234">
    <w:p w14:paraId="0DFC9B59" w14:textId="73A2417B" w:rsidR="00902FCD" w:rsidRPr="00637DED" w:rsidRDefault="00902FCD" w:rsidP="00637DED">
      <w:pPr>
        <w:pStyle w:val="FootnoteText"/>
        <w:spacing w:line="360" w:lineRule="auto"/>
        <w:rPr>
          <w:rFonts w:asciiTheme="majorBidi" w:eastAsiaTheme="minorHAnsi" w:hAnsiTheme="majorBidi" w:cstheme="majorBidi"/>
          <w:sz w:val="20"/>
          <w:szCs w:val="20"/>
        </w:rPr>
      </w:pPr>
      <w:r w:rsidRPr="00637DED">
        <w:rPr>
          <w:rFonts w:asciiTheme="majorBidi" w:eastAsiaTheme="minorHAnsi" w:hAnsiTheme="majorBidi" w:cstheme="majorBidi"/>
          <w:sz w:val="20"/>
          <w:szCs w:val="20"/>
          <w:vertAlign w:val="superscript"/>
        </w:rPr>
        <w:footnoteRef/>
      </w:r>
      <w:r w:rsidRPr="00637DED">
        <w:rPr>
          <w:rFonts w:asciiTheme="majorBidi" w:eastAsiaTheme="minorHAnsi" w:hAnsiTheme="majorBidi" w:cstheme="majorBidi"/>
          <w:sz w:val="20"/>
          <w:szCs w:val="20"/>
        </w:rPr>
        <w:t xml:space="preserve"> Actually, the Tang army would not appear in Ṭukhāristān in the entire 7</w:t>
      </w:r>
      <w:r w:rsidRPr="008443BB">
        <w:rPr>
          <w:rFonts w:asciiTheme="majorBidi" w:eastAsiaTheme="minorHAnsi" w:hAnsiTheme="majorBidi" w:cstheme="majorBidi"/>
          <w:sz w:val="20"/>
          <w:szCs w:val="20"/>
          <w:vertAlign w:val="superscript"/>
        </w:rPr>
        <w:t>th</w:t>
      </w:r>
      <w:r>
        <w:rPr>
          <w:rFonts w:asciiTheme="majorBidi" w:eastAsiaTheme="minorHAnsi" w:hAnsiTheme="majorBidi" w:cstheme="majorBidi"/>
          <w:sz w:val="20"/>
          <w:szCs w:val="20"/>
        </w:rPr>
        <w:t xml:space="preserve"> </w:t>
      </w:r>
      <w:r w:rsidRPr="00637DED">
        <w:rPr>
          <w:rFonts w:asciiTheme="majorBidi" w:eastAsiaTheme="minorHAnsi" w:hAnsiTheme="majorBidi" w:cstheme="majorBidi"/>
          <w:sz w:val="20"/>
          <w:szCs w:val="20"/>
        </w:rPr>
        <w:t>century.</w:t>
      </w:r>
    </w:p>
  </w:footnote>
  <w:footnote w:id="235">
    <w:p w14:paraId="61775D89" w14:textId="77777777" w:rsidR="00902FCD" w:rsidRPr="00807CC0" w:rsidRDefault="00902FCD" w:rsidP="00EF47AB">
      <w:pPr>
        <w:pStyle w:val="FootnoteText"/>
        <w:spacing w:line="360" w:lineRule="auto"/>
        <w:rPr>
          <w:rFonts w:asciiTheme="majorBidi" w:eastAsiaTheme="minorHAnsi" w:hAnsiTheme="majorBidi" w:cstheme="majorBidi"/>
          <w:sz w:val="20"/>
          <w:szCs w:val="20"/>
        </w:rPr>
      </w:pPr>
      <w:r w:rsidRPr="00807CC0">
        <w:rPr>
          <w:rFonts w:asciiTheme="majorBidi" w:eastAsiaTheme="minorHAnsi" w:hAnsiTheme="majorBidi" w:cstheme="majorBidi"/>
          <w:sz w:val="20"/>
          <w:szCs w:val="20"/>
          <w:vertAlign w:val="superscript"/>
        </w:rPr>
        <w:footnoteRef/>
      </w:r>
      <w:r w:rsidRPr="00807CC0">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A</w:t>
      </w:r>
      <w:r>
        <w:rPr>
          <w:rFonts w:asciiTheme="majorBidi" w:eastAsiaTheme="minorHAnsi" w:hAnsiTheme="majorBidi" w:cstheme="majorBidi" w:hint="eastAsia"/>
          <w:sz w:val="20"/>
          <w:szCs w:val="20"/>
        </w:rPr>
        <w:t>l-</w:t>
      </w:r>
      <w:r w:rsidRPr="00014C21">
        <w:rPr>
          <w:rFonts w:asciiTheme="majorBidi" w:eastAsiaTheme="minorHAnsi" w:hAnsiTheme="majorBidi" w:cstheme="majorBidi"/>
          <w:sz w:val="20"/>
          <w:szCs w:val="20"/>
        </w:rPr>
        <w:t>Ṭabarī</w:t>
      </w:r>
      <w:r>
        <w:rPr>
          <w:rFonts w:asciiTheme="majorBidi" w:eastAsiaTheme="minorHAnsi" w:hAnsiTheme="majorBidi" w:cstheme="majorBidi" w:hint="eastAsia"/>
          <w:sz w:val="20"/>
          <w:szCs w:val="20"/>
        </w:rPr>
        <w:t>,</w:t>
      </w:r>
      <w:r>
        <w:rPr>
          <w:rFonts w:asciiTheme="majorBidi" w:eastAsiaTheme="minorHAnsi" w:hAnsiTheme="majorBidi" w:cstheme="majorBidi"/>
          <w:sz w:val="20"/>
          <w:szCs w:val="20"/>
        </w:rPr>
        <w:t xml:space="preserve"> </w:t>
      </w:r>
      <w:r w:rsidRPr="00807CC0">
        <w:rPr>
          <w:rFonts w:asciiTheme="majorBidi" w:eastAsiaTheme="minorHAnsi" w:hAnsiTheme="majorBidi" w:cstheme="majorBidi"/>
          <w:sz w:val="20"/>
          <w:szCs w:val="20"/>
        </w:rPr>
        <w:t xml:space="preserve">2001, vol. 3, pp. 235-6; </w:t>
      </w:r>
      <w:r>
        <w:rPr>
          <w:rFonts w:asciiTheme="majorBidi" w:hAnsiTheme="majorBidi" w:cstheme="majorBidi"/>
          <w:sz w:val="20"/>
          <w:szCs w:val="20"/>
        </w:rPr>
        <w:t>tr.</w:t>
      </w:r>
      <w:r w:rsidRPr="00807CC0">
        <w:rPr>
          <w:rFonts w:asciiTheme="majorBidi" w:eastAsiaTheme="minorHAnsi" w:hAnsiTheme="majorBidi" w:cstheme="majorBidi"/>
          <w:sz w:val="20"/>
          <w:szCs w:val="20"/>
        </w:rPr>
        <w:t xml:space="preserve">, vol. XVIII, pp. 163-164; see also </w:t>
      </w:r>
      <w:r>
        <w:rPr>
          <w:rFonts w:asciiTheme="majorBidi" w:eastAsiaTheme="minorHAnsi" w:hAnsiTheme="majorBidi" w:cstheme="majorBidi"/>
          <w:sz w:val="20"/>
          <w:szCs w:val="20"/>
        </w:rPr>
        <w:t>Ibn</w:t>
      </w:r>
      <w:r w:rsidRPr="000F3F26">
        <w:rPr>
          <w:rFonts w:asciiTheme="majorBidi" w:eastAsiaTheme="minorHAnsi" w:hAnsiTheme="majorBidi" w:cstheme="majorBidi"/>
          <w:sz w:val="20"/>
          <w:szCs w:val="20"/>
        </w:rPr>
        <w:t>-’Athīr</w:t>
      </w:r>
      <w:r w:rsidRPr="00807CC0">
        <w:rPr>
          <w:rFonts w:asciiTheme="majorBidi" w:eastAsiaTheme="minorHAnsi" w:hAnsiTheme="majorBidi" w:cstheme="majorBidi"/>
          <w:sz w:val="20"/>
          <w:szCs w:val="20"/>
        </w:rPr>
        <w:t>, 1987, volume 3, p. 338.</w:t>
      </w:r>
    </w:p>
  </w:footnote>
  <w:footnote w:id="236">
    <w:p w14:paraId="3B4C3061" w14:textId="081328A4" w:rsidR="00902FCD" w:rsidRPr="00D841F8" w:rsidRDefault="00902FCD" w:rsidP="00EF47AB">
      <w:pPr>
        <w:pStyle w:val="FootnoteText"/>
        <w:spacing w:line="360" w:lineRule="auto"/>
        <w:rPr>
          <w:rFonts w:asciiTheme="majorBidi" w:eastAsiaTheme="minorHAnsi" w:hAnsiTheme="majorBidi" w:cstheme="majorBidi"/>
          <w:sz w:val="20"/>
          <w:szCs w:val="20"/>
        </w:rPr>
      </w:pPr>
      <w:r w:rsidRPr="00D841F8">
        <w:rPr>
          <w:rFonts w:asciiTheme="majorBidi" w:eastAsiaTheme="minorHAnsi" w:hAnsiTheme="majorBidi" w:cstheme="majorBidi"/>
          <w:sz w:val="20"/>
          <w:szCs w:val="20"/>
          <w:vertAlign w:val="superscript"/>
        </w:rPr>
        <w:footnoteRef/>
      </w:r>
      <w:r>
        <w:rPr>
          <w:rFonts w:asciiTheme="majorBidi" w:eastAsiaTheme="minorHAnsi" w:hAnsiTheme="majorBidi" w:cstheme="majorBidi"/>
          <w:sz w:val="20"/>
          <w:szCs w:val="20"/>
        </w:rPr>
        <w:t xml:space="preserve"> S</w:t>
      </w:r>
      <w:r w:rsidRPr="00D841F8">
        <w:rPr>
          <w:rFonts w:asciiTheme="majorBidi" w:eastAsiaTheme="minorHAnsi" w:hAnsiTheme="majorBidi" w:cstheme="majorBidi"/>
          <w:sz w:val="20"/>
          <w:szCs w:val="20"/>
        </w:rPr>
        <w:t xml:space="preserve">ee </w:t>
      </w:r>
      <w:r>
        <w:rPr>
          <w:rFonts w:asciiTheme="majorBidi" w:eastAsiaTheme="minorHAnsi" w:hAnsiTheme="majorBidi" w:cstheme="majorBidi"/>
          <w:sz w:val="20"/>
          <w:szCs w:val="20"/>
        </w:rPr>
        <w:t xml:space="preserve">the </w:t>
      </w:r>
      <w:r w:rsidRPr="00D841F8">
        <w:rPr>
          <w:rFonts w:asciiTheme="majorBidi" w:eastAsiaTheme="minorHAnsi" w:hAnsiTheme="majorBidi" w:cstheme="majorBidi"/>
          <w:sz w:val="20"/>
          <w:szCs w:val="20"/>
        </w:rPr>
        <w:t xml:space="preserve">table of Appendix </w:t>
      </w:r>
      <w:r>
        <w:rPr>
          <w:rFonts w:asciiTheme="majorBidi" w:eastAsiaTheme="minorHAnsi" w:hAnsiTheme="majorBidi" w:cstheme="majorBidi"/>
          <w:sz w:val="20"/>
          <w:szCs w:val="20"/>
        </w:rPr>
        <w:t>V</w:t>
      </w:r>
      <w:r w:rsidRPr="00BB409D">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f</w:t>
      </w:r>
      <w:r w:rsidRPr="00D841F8">
        <w:rPr>
          <w:rFonts w:asciiTheme="majorBidi" w:eastAsiaTheme="minorHAnsi" w:hAnsiTheme="majorBidi" w:cstheme="majorBidi"/>
          <w:sz w:val="20"/>
          <w:szCs w:val="20"/>
        </w:rPr>
        <w:t>or a list of the military campaigns of the Muslims.</w:t>
      </w:r>
      <w:r>
        <w:rPr>
          <w:rFonts w:asciiTheme="majorBidi" w:eastAsiaTheme="minorHAnsi" w:hAnsiTheme="majorBidi" w:cstheme="majorBidi"/>
          <w:sz w:val="20"/>
          <w:szCs w:val="20"/>
        </w:rPr>
        <w:t xml:space="preserve"> A</w:t>
      </w:r>
      <w:r w:rsidRPr="0061021E">
        <w:rPr>
          <w:rFonts w:asciiTheme="majorBidi" w:hAnsiTheme="majorBidi" w:cstheme="majorBidi"/>
          <w:sz w:val="20"/>
          <w:szCs w:val="20"/>
        </w:rPr>
        <w:t>l-Kalb</w:t>
      </w:r>
      <w:r w:rsidRPr="0061021E">
        <w:rPr>
          <w:rFonts w:asciiTheme="majorBidi" w:eastAsiaTheme="minorHAnsi" w:hAnsiTheme="majorBidi" w:cstheme="majorBidi"/>
          <w:sz w:val="20"/>
          <w:szCs w:val="20"/>
        </w:rPr>
        <w:t>ī</w:t>
      </w:r>
      <w:r w:rsidRPr="0061021E">
        <w:rPr>
          <w:rFonts w:asciiTheme="majorBidi" w:hAnsiTheme="majorBidi" w:cstheme="majorBidi"/>
          <w:sz w:val="20"/>
          <w:szCs w:val="20"/>
        </w:rPr>
        <w:t xml:space="preserve">’s anecdote found in </w:t>
      </w:r>
      <w:r>
        <w:rPr>
          <w:rFonts w:asciiTheme="majorBidi" w:hAnsiTheme="majorBidi" w:cstheme="majorBidi"/>
          <w:sz w:val="20"/>
          <w:szCs w:val="20"/>
        </w:rPr>
        <w:t>Ibn</w:t>
      </w:r>
      <w:r w:rsidRPr="0061021E">
        <w:rPr>
          <w:rFonts w:asciiTheme="majorBidi" w:hAnsiTheme="majorBidi" w:cstheme="majorBidi"/>
          <w:sz w:val="20"/>
          <w:szCs w:val="20"/>
        </w:rPr>
        <w:t xml:space="preserve"> al-Faq</w:t>
      </w:r>
      <w:r w:rsidRPr="0061021E">
        <w:rPr>
          <w:rFonts w:asciiTheme="majorBidi" w:eastAsiaTheme="minorHAnsi" w:hAnsiTheme="majorBidi" w:cstheme="majorBidi"/>
          <w:sz w:val="20"/>
          <w:szCs w:val="20"/>
        </w:rPr>
        <w:t>ī</w:t>
      </w:r>
      <w:r w:rsidRPr="0061021E">
        <w:rPr>
          <w:rFonts w:asciiTheme="majorBidi" w:hAnsiTheme="majorBidi" w:cstheme="majorBidi"/>
          <w:sz w:val="20"/>
          <w:szCs w:val="20"/>
        </w:rPr>
        <w:t xml:space="preserve">h’s </w:t>
      </w:r>
      <w:r w:rsidRPr="008E6E10">
        <w:rPr>
          <w:rFonts w:asciiTheme="majorBidi" w:hAnsiTheme="majorBidi" w:cstheme="majorBidi"/>
          <w:i/>
          <w:iCs/>
          <w:sz w:val="20"/>
          <w:szCs w:val="20"/>
        </w:rPr>
        <w:t>Kit</w:t>
      </w:r>
      <w:r w:rsidRPr="008E6E10">
        <w:rPr>
          <w:rFonts w:asciiTheme="majorBidi" w:eastAsiaTheme="minorHAnsi" w:hAnsiTheme="majorBidi" w:cstheme="majorBidi"/>
          <w:i/>
          <w:iCs/>
          <w:sz w:val="20"/>
          <w:szCs w:val="20"/>
        </w:rPr>
        <w:t>āb al-Buldān</w:t>
      </w:r>
      <w:r w:rsidRPr="0061021E">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1996, p. 417</w:t>
      </w:r>
      <w:r w:rsidRPr="0061021E">
        <w:rPr>
          <w:rFonts w:asciiTheme="majorBidi" w:eastAsiaTheme="minorHAnsi" w:hAnsiTheme="majorBidi" w:cstheme="majorBidi"/>
          <w:sz w:val="20"/>
          <w:szCs w:val="20"/>
        </w:rPr>
        <w:t>)</w:t>
      </w:r>
      <w:r>
        <w:rPr>
          <w:rFonts w:asciiTheme="majorBidi" w:eastAsiaTheme="minorHAnsi" w:hAnsiTheme="majorBidi" w:cstheme="majorBidi"/>
          <w:sz w:val="20"/>
          <w:szCs w:val="20"/>
        </w:rPr>
        <w:t>, which reports that Pērōz fought Qutayba, is impossible</w:t>
      </w:r>
      <w:r w:rsidRPr="0061021E">
        <w:rPr>
          <w:rFonts w:asciiTheme="majorBidi" w:eastAsiaTheme="minorHAnsi" w:hAnsiTheme="majorBidi" w:cstheme="majorBidi"/>
          <w:sz w:val="20"/>
          <w:szCs w:val="20"/>
        </w:rPr>
        <w:t>.</w:t>
      </w:r>
    </w:p>
  </w:footnote>
  <w:footnote w:id="237">
    <w:p w14:paraId="79FF244B" w14:textId="512017CC" w:rsidR="00902FCD" w:rsidRPr="00BB409D" w:rsidRDefault="00902FCD" w:rsidP="00BB409D">
      <w:pPr>
        <w:pStyle w:val="FootnoteText"/>
        <w:spacing w:line="360" w:lineRule="auto"/>
        <w:rPr>
          <w:rFonts w:asciiTheme="majorBidi" w:eastAsiaTheme="minorHAnsi" w:hAnsiTheme="majorBidi" w:cstheme="majorBidi"/>
          <w:sz w:val="20"/>
          <w:szCs w:val="20"/>
        </w:rPr>
      </w:pPr>
      <w:r w:rsidRPr="00BB409D">
        <w:rPr>
          <w:rFonts w:asciiTheme="majorBidi" w:eastAsiaTheme="minorHAnsi" w:hAnsiTheme="majorBidi" w:cstheme="majorBidi"/>
          <w:sz w:val="20"/>
          <w:szCs w:val="20"/>
          <w:vertAlign w:val="superscript"/>
        </w:rPr>
        <w:footnoteRef/>
      </w:r>
      <w:r w:rsidRPr="00BB409D">
        <w:rPr>
          <w:rFonts w:asciiTheme="majorBidi" w:eastAsiaTheme="minorHAnsi" w:hAnsiTheme="majorBidi" w:cstheme="majorBidi"/>
          <w:sz w:val="20"/>
          <w:szCs w:val="20"/>
        </w:rPr>
        <w:t xml:space="preserve"> Xue, 1988, pp. 65-70.</w:t>
      </w:r>
    </w:p>
  </w:footnote>
  <w:footnote w:id="238">
    <w:p w14:paraId="176E5960" w14:textId="349DE929" w:rsidR="00902FCD" w:rsidRPr="00D05336" w:rsidRDefault="00902FCD" w:rsidP="00D05336">
      <w:pPr>
        <w:pStyle w:val="FootnoteText"/>
        <w:spacing w:line="360" w:lineRule="auto"/>
        <w:rPr>
          <w:rFonts w:asciiTheme="majorBidi" w:eastAsiaTheme="minorHAnsi" w:hAnsiTheme="majorBidi" w:cstheme="majorBidi"/>
          <w:sz w:val="20"/>
          <w:szCs w:val="20"/>
        </w:rPr>
      </w:pPr>
      <w:r w:rsidRPr="00D05336">
        <w:rPr>
          <w:rFonts w:asciiTheme="majorBidi" w:eastAsiaTheme="minorHAnsi" w:hAnsiTheme="majorBidi" w:cstheme="majorBidi"/>
          <w:sz w:val="20"/>
          <w:szCs w:val="20"/>
          <w:vertAlign w:val="superscript"/>
        </w:rPr>
        <w:footnoteRef/>
      </w:r>
      <w:r w:rsidRPr="00D05336">
        <w:rPr>
          <w:rFonts w:asciiTheme="majorBidi" w:eastAsiaTheme="minorHAnsi" w:hAnsiTheme="majorBidi" w:cstheme="majorBidi"/>
          <w:sz w:val="20"/>
          <w:szCs w:val="20"/>
          <w:vertAlign w:val="superscript"/>
        </w:rPr>
        <w:t xml:space="preserve"> </w:t>
      </w:r>
      <w:r w:rsidRPr="00D05336">
        <w:rPr>
          <w:rFonts w:asciiTheme="majorBidi" w:eastAsiaTheme="minorHAnsi" w:hAnsiTheme="majorBidi" w:cstheme="majorBidi"/>
          <w:sz w:val="20"/>
          <w:szCs w:val="20"/>
        </w:rPr>
        <w:t xml:space="preserve">When Yazdegerd fled from the Arabs and arrived at Khurasan, the Persian nobles asked </w:t>
      </w:r>
      <w:r>
        <w:rPr>
          <w:rFonts w:asciiTheme="majorBidi" w:eastAsiaTheme="minorHAnsi" w:hAnsiTheme="majorBidi" w:cstheme="majorBidi"/>
          <w:sz w:val="20"/>
          <w:szCs w:val="20"/>
        </w:rPr>
        <w:t>him</w:t>
      </w:r>
      <w:r w:rsidRPr="00D05336">
        <w:rPr>
          <w:rFonts w:asciiTheme="majorBidi" w:eastAsiaTheme="minorHAnsi" w:hAnsiTheme="majorBidi" w:cstheme="majorBidi"/>
          <w:sz w:val="20"/>
          <w:szCs w:val="20"/>
        </w:rPr>
        <w:t xml:space="preserve"> about his plan. They deserted </w:t>
      </w:r>
      <w:r>
        <w:rPr>
          <w:rFonts w:asciiTheme="majorBidi" w:eastAsiaTheme="minorHAnsi" w:hAnsiTheme="majorBidi" w:cstheme="majorBidi"/>
          <w:sz w:val="20"/>
          <w:szCs w:val="20"/>
        </w:rPr>
        <w:t xml:space="preserve">and even fought him </w:t>
      </w:r>
      <w:r w:rsidRPr="00D05336">
        <w:rPr>
          <w:rFonts w:asciiTheme="majorBidi" w:eastAsiaTheme="minorHAnsi" w:hAnsiTheme="majorBidi" w:cstheme="majorBidi"/>
          <w:sz w:val="20"/>
          <w:szCs w:val="20"/>
        </w:rPr>
        <w:t>on hearing that he was going to join the Turks or the Chinese instead of staying in the Sasanian territories</w:t>
      </w:r>
      <w:r>
        <w:rPr>
          <w:rFonts w:asciiTheme="majorBidi" w:eastAsiaTheme="minorHAnsi" w:hAnsiTheme="majorBidi" w:cstheme="majorBidi"/>
          <w:sz w:val="20"/>
          <w:szCs w:val="20"/>
        </w:rPr>
        <w:t xml:space="preserve"> (al-</w:t>
      </w:r>
      <w:r w:rsidRPr="00014C21">
        <w:rPr>
          <w:rFonts w:asciiTheme="majorBidi" w:eastAsiaTheme="minorHAnsi" w:hAnsiTheme="majorBidi" w:cstheme="majorBidi"/>
          <w:sz w:val="20"/>
          <w:szCs w:val="20"/>
        </w:rPr>
        <w:t>Ṭabarī</w:t>
      </w:r>
      <w:r>
        <w:rPr>
          <w:rFonts w:asciiTheme="majorBidi" w:eastAsiaTheme="minorHAnsi" w:hAnsiTheme="majorBidi" w:cstheme="majorBidi" w:hint="eastAsia"/>
          <w:sz w:val="20"/>
          <w:szCs w:val="20"/>
        </w:rPr>
        <w:t>,</w:t>
      </w:r>
      <w:r>
        <w:rPr>
          <w:rFonts w:asciiTheme="majorBidi" w:eastAsiaTheme="minorHAnsi" w:hAnsiTheme="majorBidi" w:cstheme="majorBidi"/>
          <w:sz w:val="20"/>
          <w:szCs w:val="20"/>
        </w:rPr>
        <w:t xml:space="preserve"> </w:t>
      </w:r>
      <w:r w:rsidRPr="00807CC0">
        <w:rPr>
          <w:rFonts w:asciiTheme="majorBidi" w:eastAsiaTheme="minorHAnsi" w:hAnsiTheme="majorBidi" w:cstheme="majorBidi"/>
          <w:sz w:val="20"/>
          <w:szCs w:val="20"/>
        </w:rPr>
        <w:t>2001,</w:t>
      </w:r>
      <w:r>
        <w:rPr>
          <w:rFonts w:asciiTheme="majorBidi" w:eastAsiaTheme="minorHAnsi" w:hAnsiTheme="majorBidi" w:cstheme="majorBidi"/>
          <w:sz w:val="20"/>
          <w:szCs w:val="20"/>
        </w:rPr>
        <w:t xml:space="preserve"> volume 2, p. 548; tr., volume XIV, pp. 58-60)</w:t>
      </w:r>
      <w:r w:rsidRPr="00D05336">
        <w:rPr>
          <w:rFonts w:asciiTheme="majorBidi" w:eastAsiaTheme="minorHAnsi" w:hAnsiTheme="majorBidi" w:cstheme="majorBidi"/>
          <w:sz w:val="20"/>
          <w:szCs w:val="20"/>
        </w:rPr>
        <w:t xml:space="preserve">. This episode shows that the majority of the Persian nobles were reluctant to leave their own lands. Therefore, it is </w:t>
      </w:r>
      <w:r>
        <w:rPr>
          <w:rFonts w:asciiTheme="majorBidi" w:eastAsiaTheme="minorHAnsi" w:hAnsiTheme="majorBidi" w:cstheme="majorBidi"/>
          <w:sz w:val="20"/>
          <w:szCs w:val="20"/>
        </w:rPr>
        <w:t>expected</w:t>
      </w:r>
      <w:r w:rsidRPr="00D05336">
        <w:rPr>
          <w:rFonts w:asciiTheme="majorBidi" w:eastAsiaTheme="minorHAnsi" w:hAnsiTheme="majorBidi" w:cstheme="majorBidi"/>
          <w:sz w:val="20"/>
          <w:szCs w:val="20"/>
        </w:rPr>
        <w:t xml:space="preserve"> that </w:t>
      </w:r>
      <w:r>
        <w:rPr>
          <w:rFonts w:asciiTheme="majorBidi" w:eastAsiaTheme="minorHAnsi" w:hAnsiTheme="majorBidi" w:cstheme="majorBidi"/>
          <w:sz w:val="20"/>
          <w:szCs w:val="20"/>
        </w:rPr>
        <w:t xml:space="preserve">the number of </w:t>
      </w:r>
      <w:r w:rsidRPr="00D05336">
        <w:rPr>
          <w:rFonts w:asciiTheme="majorBidi" w:eastAsiaTheme="minorHAnsi" w:hAnsiTheme="majorBidi" w:cstheme="majorBidi"/>
          <w:sz w:val="20"/>
          <w:szCs w:val="20"/>
        </w:rPr>
        <w:t>Pērōz</w:t>
      </w:r>
      <w:r>
        <w:rPr>
          <w:rFonts w:asciiTheme="majorBidi" w:eastAsiaTheme="minorHAnsi" w:hAnsiTheme="majorBidi" w:cstheme="majorBidi"/>
          <w:sz w:val="20"/>
          <w:szCs w:val="20"/>
        </w:rPr>
        <w:t>’s dependents was diminishing</w:t>
      </w:r>
      <w:r w:rsidRPr="00D05336">
        <w:rPr>
          <w:rFonts w:asciiTheme="majorBidi" w:eastAsiaTheme="minorHAnsi" w:hAnsiTheme="majorBidi" w:cstheme="majorBidi"/>
          <w:sz w:val="20"/>
          <w:szCs w:val="20"/>
        </w:rPr>
        <w:t>.</w:t>
      </w:r>
    </w:p>
  </w:footnote>
  <w:footnote w:id="239">
    <w:p w14:paraId="74E8CA62" w14:textId="77777777" w:rsidR="00902FCD" w:rsidRPr="00FA5438" w:rsidRDefault="00902FCD" w:rsidP="00EF47AB">
      <w:pPr>
        <w:pStyle w:val="FootnoteText"/>
        <w:spacing w:line="360" w:lineRule="auto"/>
        <w:rPr>
          <w:rFonts w:asciiTheme="majorBidi" w:eastAsiaTheme="minorHAnsi" w:hAnsiTheme="majorBidi" w:cstheme="majorBidi"/>
          <w:sz w:val="20"/>
          <w:szCs w:val="20"/>
        </w:rPr>
      </w:pPr>
      <w:r w:rsidRPr="00FA5438">
        <w:rPr>
          <w:rFonts w:asciiTheme="majorBidi" w:eastAsiaTheme="minorHAnsi" w:hAnsiTheme="majorBidi" w:cstheme="majorBidi"/>
          <w:sz w:val="20"/>
          <w:szCs w:val="20"/>
          <w:vertAlign w:val="superscript"/>
        </w:rPr>
        <w:footnoteRef/>
      </w:r>
      <w:r w:rsidRPr="00FA5438">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Although miscellaneous reports are found in the Muslim sources about the Sasanian members. However, it is impossible to construct a clear chronology of their scattering.</w:t>
      </w:r>
    </w:p>
  </w:footnote>
  <w:footnote w:id="240">
    <w:p w14:paraId="21A906F1" w14:textId="77777777" w:rsidR="00902FCD" w:rsidRPr="006B4BC9" w:rsidRDefault="00902FCD" w:rsidP="00EF47AB">
      <w:pPr>
        <w:pStyle w:val="FootnoteText"/>
        <w:spacing w:line="360" w:lineRule="auto"/>
        <w:rPr>
          <w:rFonts w:asciiTheme="majorBidi" w:hAnsiTheme="majorBidi" w:cstheme="majorBidi"/>
          <w:sz w:val="20"/>
          <w:szCs w:val="20"/>
        </w:rPr>
      </w:pPr>
      <w:r w:rsidRPr="006B4BC9">
        <w:rPr>
          <w:rStyle w:val="FootnoteReference"/>
          <w:rFonts w:asciiTheme="majorBidi" w:hAnsiTheme="majorBidi" w:cstheme="majorBidi"/>
          <w:sz w:val="20"/>
          <w:szCs w:val="20"/>
        </w:rPr>
        <w:footnoteRef/>
      </w:r>
      <w:r w:rsidRPr="006B4BC9">
        <w:rPr>
          <w:rFonts w:asciiTheme="majorBidi" w:hAnsiTheme="majorBidi" w:cstheme="majorBidi"/>
          <w:sz w:val="20"/>
          <w:szCs w:val="20"/>
        </w:rPr>
        <w:t xml:space="preserve"> </w:t>
      </w:r>
      <w:r>
        <w:rPr>
          <w:rFonts w:asciiTheme="majorBidi" w:eastAsiaTheme="minorHAnsi" w:hAnsiTheme="majorBidi" w:cstheme="majorBidi"/>
          <w:sz w:val="20"/>
          <w:szCs w:val="20"/>
        </w:rPr>
        <w:t>Pashazanous and Afkande, 2014, p. 146; Haug, 2019, p. 93.</w:t>
      </w:r>
    </w:p>
  </w:footnote>
  <w:footnote w:id="241">
    <w:p w14:paraId="6C7C1068" w14:textId="77777777" w:rsidR="00902FCD" w:rsidRPr="00353969" w:rsidRDefault="00902FCD" w:rsidP="00EF47AB">
      <w:pPr>
        <w:pStyle w:val="FootnoteText"/>
        <w:spacing w:line="360" w:lineRule="auto"/>
        <w:rPr>
          <w:rFonts w:asciiTheme="majorBidi" w:eastAsiaTheme="minorHAnsi" w:hAnsiTheme="majorBidi" w:cstheme="majorBidi"/>
          <w:sz w:val="20"/>
          <w:szCs w:val="20"/>
        </w:rPr>
      </w:pPr>
      <w:r w:rsidRPr="00353969">
        <w:rPr>
          <w:rFonts w:asciiTheme="majorBidi" w:eastAsiaTheme="minorHAnsi" w:hAnsiTheme="majorBidi" w:cstheme="majorBidi"/>
          <w:sz w:val="20"/>
          <w:szCs w:val="20"/>
          <w:vertAlign w:val="superscript"/>
        </w:rPr>
        <w:footnoteRef/>
      </w:r>
      <w:r>
        <w:rPr>
          <w:rFonts w:asciiTheme="majorBidi" w:eastAsiaTheme="minorHAnsi" w:hAnsiTheme="majorBidi" w:cstheme="majorBidi"/>
          <w:sz w:val="20"/>
          <w:szCs w:val="20"/>
        </w:rPr>
        <w:t xml:space="preserve"> </w:t>
      </w:r>
      <w:r w:rsidRPr="006B4BC9">
        <w:rPr>
          <w:rFonts w:asciiTheme="majorBidi" w:eastAsiaTheme="minorHAnsi" w:hAnsiTheme="majorBidi" w:cstheme="majorBidi"/>
          <w:sz w:val="20"/>
          <w:szCs w:val="20"/>
        </w:rPr>
        <w:t xml:space="preserve">Liu, 1995, volume 198, p. 5313; volume 5, p. 99; Ouyang &amp; Song, 1995, volume 221b, p. 6259. See Agostini and Stark, 2016, </w:t>
      </w:r>
      <w:r>
        <w:rPr>
          <w:rFonts w:asciiTheme="majorBidi" w:eastAsiaTheme="minorHAnsi" w:hAnsiTheme="majorBidi" w:cstheme="majorBidi"/>
          <w:sz w:val="20"/>
          <w:szCs w:val="20"/>
        </w:rPr>
        <w:t>p</w:t>
      </w:r>
      <w:r w:rsidRPr="006B4BC9">
        <w:rPr>
          <w:rFonts w:asciiTheme="majorBidi" w:eastAsiaTheme="minorHAnsi" w:hAnsiTheme="majorBidi" w:cstheme="majorBidi"/>
          <w:sz w:val="20"/>
          <w:szCs w:val="20"/>
        </w:rPr>
        <w:t>p. 1</w:t>
      </w:r>
      <w:r>
        <w:rPr>
          <w:rFonts w:asciiTheme="majorBidi" w:eastAsiaTheme="minorHAnsi" w:hAnsiTheme="majorBidi" w:cstheme="majorBidi"/>
          <w:sz w:val="20"/>
          <w:szCs w:val="20"/>
        </w:rPr>
        <w:t>8-</w:t>
      </w:r>
      <w:r w:rsidRPr="006B4BC9">
        <w:rPr>
          <w:rFonts w:asciiTheme="majorBidi" w:eastAsiaTheme="minorHAnsi" w:hAnsiTheme="majorBidi" w:cstheme="majorBidi"/>
          <w:sz w:val="20"/>
          <w:szCs w:val="20"/>
        </w:rPr>
        <w:t>9.</w:t>
      </w:r>
    </w:p>
  </w:footnote>
  <w:footnote w:id="242">
    <w:p w14:paraId="6E8E6335" w14:textId="6B5FD7E8" w:rsidR="00902FCD" w:rsidRPr="005937A4" w:rsidRDefault="00902FCD" w:rsidP="00EF47AB">
      <w:pPr>
        <w:pStyle w:val="FootnoteText"/>
        <w:spacing w:line="360" w:lineRule="auto"/>
        <w:rPr>
          <w:rFonts w:asciiTheme="majorBidi" w:eastAsiaTheme="minorHAnsi" w:hAnsiTheme="majorBidi" w:cstheme="majorBidi"/>
          <w:sz w:val="20"/>
          <w:szCs w:val="20"/>
        </w:rPr>
      </w:pPr>
      <w:r w:rsidRPr="005937A4">
        <w:rPr>
          <w:rFonts w:asciiTheme="majorBidi" w:eastAsiaTheme="minorHAnsi" w:hAnsiTheme="majorBidi" w:cstheme="majorBidi"/>
          <w:sz w:val="20"/>
          <w:szCs w:val="20"/>
          <w:vertAlign w:val="superscript"/>
        </w:rPr>
        <w:footnoteRef/>
      </w:r>
      <w:r w:rsidRPr="005937A4">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Ouyang &amp; Song, </w:t>
      </w:r>
      <w:r w:rsidRPr="005937A4">
        <w:rPr>
          <w:rFonts w:asciiTheme="majorBidi" w:eastAsiaTheme="minorHAnsi" w:hAnsiTheme="majorBidi" w:cstheme="majorBidi"/>
          <w:sz w:val="20"/>
          <w:szCs w:val="20"/>
        </w:rPr>
        <w:t>1995, volume 221b, p. 6259</w:t>
      </w:r>
      <w:r>
        <w:rPr>
          <w:rFonts w:asciiTheme="majorBidi" w:eastAsiaTheme="minorHAnsi" w:hAnsiTheme="majorBidi" w:cstheme="majorBidi"/>
          <w:sz w:val="20"/>
          <w:szCs w:val="20"/>
        </w:rPr>
        <w:t xml:space="preserve">; Compareti, 2003, p. 211. </w:t>
      </w:r>
      <w:r w:rsidRPr="005937A4">
        <w:rPr>
          <w:rFonts w:asciiTheme="majorBidi" w:hAnsiTheme="majorBidi" w:cstheme="majorBidi"/>
          <w:sz w:val="20"/>
          <w:szCs w:val="20"/>
        </w:rPr>
        <w:t xml:space="preserve">Pērōz </w:t>
      </w:r>
      <w:r>
        <w:rPr>
          <w:rFonts w:asciiTheme="majorBidi" w:hAnsiTheme="majorBidi" w:cstheme="majorBidi"/>
          <w:sz w:val="20"/>
          <w:szCs w:val="20"/>
        </w:rPr>
        <w:t>was</w:t>
      </w:r>
      <w:r w:rsidRPr="005937A4">
        <w:rPr>
          <w:rFonts w:asciiTheme="majorBidi" w:hAnsiTheme="majorBidi" w:cstheme="majorBidi"/>
          <w:sz w:val="20"/>
          <w:szCs w:val="20"/>
        </w:rPr>
        <w:t xml:space="preserve"> </w:t>
      </w:r>
      <w:r>
        <w:rPr>
          <w:rFonts w:asciiTheme="majorBidi" w:hAnsiTheme="majorBidi" w:cstheme="majorBidi"/>
          <w:sz w:val="20"/>
          <w:szCs w:val="20"/>
        </w:rPr>
        <w:t>granted the title</w:t>
      </w:r>
      <w:r w:rsidRPr="005937A4">
        <w:rPr>
          <w:rFonts w:asciiTheme="majorBidi" w:hAnsiTheme="majorBidi" w:cstheme="majorBidi"/>
          <w:sz w:val="20"/>
          <w:szCs w:val="20"/>
        </w:rPr>
        <w:t xml:space="preserve"> general of the Right Courageous Guard </w:t>
      </w:r>
      <w:r>
        <w:rPr>
          <w:rFonts w:asciiTheme="majorBidi" w:hAnsiTheme="majorBidi" w:cstheme="majorBidi"/>
          <w:sz w:val="20"/>
          <w:szCs w:val="20"/>
        </w:rPr>
        <w:t>(</w:t>
      </w:r>
      <w:r>
        <w:rPr>
          <w:rFonts w:asciiTheme="majorBidi" w:hAnsiTheme="majorBidi" w:cstheme="majorBidi" w:hint="eastAsia"/>
          <w:sz w:val="20"/>
          <w:szCs w:val="20"/>
        </w:rPr>
        <w:t>右武卫将军</w:t>
      </w:r>
      <w:r>
        <w:rPr>
          <w:rFonts w:asciiTheme="majorBidi" w:hAnsiTheme="majorBidi" w:cstheme="majorBidi"/>
          <w:sz w:val="20"/>
          <w:szCs w:val="20"/>
        </w:rPr>
        <w:t>) upon his arrival</w:t>
      </w:r>
      <w:r w:rsidRPr="005937A4">
        <w:rPr>
          <w:rFonts w:asciiTheme="majorBidi" w:hAnsiTheme="majorBidi" w:cstheme="majorBidi"/>
          <w:sz w:val="20"/>
          <w:szCs w:val="20"/>
        </w:rPr>
        <w:t>.</w:t>
      </w:r>
      <w:r>
        <w:rPr>
          <w:rFonts w:asciiTheme="majorBidi" w:hAnsiTheme="majorBidi" w:cstheme="majorBidi"/>
          <w:sz w:val="20"/>
          <w:szCs w:val="20"/>
        </w:rPr>
        <w:t xml:space="preserve"> The title is confirmed by the inscription of his statute in the mausoleum.</w:t>
      </w:r>
    </w:p>
  </w:footnote>
  <w:footnote w:id="243">
    <w:p w14:paraId="6780EB27" w14:textId="77777777" w:rsidR="00902FCD" w:rsidRPr="000D669D" w:rsidRDefault="00902FCD" w:rsidP="00EF47AB">
      <w:pPr>
        <w:pStyle w:val="FootnoteText"/>
        <w:spacing w:line="360" w:lineRule="auto"/>
        <w:rPr>
          <w:rFonts w:asciiTheme="majorBidi" w:eastAsiaTheme="minorHAnsi" w:hAnsiTheme="majorBidi" w:cstheme="majorBidi"/>
          <w:sz w:val="20"/>
          <w:szCs w:val="20"/>
        </w:rPr>
      </w:pPr>
      <w:r w:rsidRPr="000D669D">
        <w:rPr>
          <w:rFonts w:asciiTheme="majorBidi" w:eastAsiaTheme="minorHAnsi" w:hAnsiTheme="majorBidi" w:cstheme="majorBidi"/>
          <w:sz w:val="20"/>
          <w:szCs w:val="20"/>
          <w:vertAlign w:val="superscript"/>
        </w:rPr>
        <w:footnoteRef/>
      </w:r>
      <w:r w:rsidRPr="000D669D">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 xml:space="preserve">Wei, 2006, p. 46. </w:t>
      </w:r>
      <w:r w:rsidRPr="000D669D">
        <w:rPr>
          <w:rFonts w:asciiTheme="majorBidi" w:eastAsiaTheme="minorHAnsi" w:hAnsiTheme="majorBidi" w:cstheme="majorBidi"/>
          <w:sz w:val="20"/>
          <w:szCs w:val="20"/>
        </w:rPr>
        <w:t>Leslie, 1981-3, pp. 282-3.</w:t>
      </w:r>
      <w:r>
        <w:rPr>
          <w:rFonts w:asciiTheme="majorBidi" w:eastAsiaTheme="minorHAnsi" w:hAnsiTheme="majorBidi" w:cstheme="majorBidi"/>
          <w:sz w:val="20"/>
          <w:szCs w:val="20"/>
        </w:rPr>
        <w:t xml:space="preserve"> Compareti (2003, pp. 207-8), Rong (2015, pp. 76-7), Khazaee (2015, p. 225) and Pashazanou and Sangari (2018, p. 500) favor the identification of the temple as a Nestorian one.</w:t>
      </w:r>
    </w:p>
  </w:footnote>
  <w:footnote w:id="244">
    <w:p w14:paraId="57CA1D98" w14:textId="66A66C82" w:rsidR="00902FCD" w:rsidRPr="005937A4" w:rsidRDefault="00902FCD" w:rsidP="00EF47AB">
      <w:pPr>
        <w:pStyle w:val="FootnoteText"/>
        <w:spacing w:line="360" w:lineRule="auto"/>
        <w:rPr>
          <w:rFonts w:asciiTheme="majorBidi" w:hAnsiTheme="majorBidi" w:cstheme="majorBidi"/>
          <w:sz w:val="20"/>
          <w:szCs w:val="20"/>
        </w:rPr>
      </w:pPr>
      <w:r w:rsidRPr="005937A4">
        <w:rPr>
          <w:rStyle w:val="FootnoteReference"/>
          <w:rFonts w:asciiTheme="majorBidi" w:hAnsiTheme="majorBidi" w:cstheme="majorBidi"/>
          <w:sz w:val="20"/>
          <w:szCs w:val="20"/>
        </w:rPr>
        <w:footnoteRef/>
      </w:r>
      <w:r w:rsidRPr="005937A4">
        <w:rPr>
          <w:rFonts w:asciiTheme="majorBidi" w:hAnsiTheme="majorBidi" w:cstheme="majorBidi"/>
          <w:sz w:val="20"/>
          <w:szCs w:val="20"/>
          <w:rtl/>
        </w:rPr>
        <w:t xml:space="preserve"> </w:t>
      </w:r>
      <w:r w:rsidRPr="005937A4">
        <w:rPr>
          <w:rFonts w:asciiTheme="majorBidi" w:hAnsiTheme="majorBidi" w:cstheme="majorBidi"/>
          <w:sz w:val="20"/>
          <w:szCs w:val="20"/>
        </w:rPr>
        <w:t>Liang &amp; Wen (2003, pp. 44-51)</w:t>
      </w:r>
      <w:r>
        <w:rPr>
          <w:rFonts w:asciiTheme="majorBidi" w:hAnsiTheme="majorBidi" w:cstheme="majorBidi"/>
          <w:sz w:val="20"/>
          <w:szCs w:val="20"/>
        </w:rPr>
        <w:t>;</w:t>
      </w:r>
      <w:r w:rsidRPr="005937A4">
        <w:rPr>
          <w:rFonts w:asciiTheme="majorBidi" w:hAnsiTheme="majorBidi" w:cstheme="majorBidi"/>
          <w:sz w:val="20"/>
          <w:szCs w:val="20"/>
        </w:rPr>
        <w:t xml:space="preserve"> Zhang (2003, pp. 8-11)</w:t>
      </w:r>
      <w:r>
        <w:rPr>
          <w:rFonts w:asciiTheme="majorBidi" w:hAnsiTheme="majorBidi" w:cstheme="majorBidi"/>
          <w:sz w:val="20"/>
          <w:szCs w:val="20"/>
        </w:rPr>
        <w:t>; Pashazanous &amp; Sangari (2018, pp. 1-17)</w:t>
      </w:r>
      <w:r w:rsidRPr="005937A4">
        <w:rPr>
          <w:rFonts w:asciiTheme="majorBidi" w:hAnsiTheme="majorBidi" w:cstheme="majorBidi"/>
          <w:sz w:val="20"/>
          <w:szCs w:val="20"/>
        </w:rPr>
        <w:t>.</w:t>
      </w:r>
    </w:p>
  </w:footnote>
  <w:footnote w:id="245">
    <w:p w14:paraId="51421D08" w14:textId="17B35CF6" w:rsidR="00902FCD" w:rsidRPr="00697741" w:rsidRDefault="00902FCD" w:rsidP="002100F2">
      <w:pPr>
        <w:pStyle w:val="FootnoteText"/>
        <w:spacing w:line="360" w:lineRule="auto"/>
        <w:rPr>
          <w:rFonts w:asciiTheme="majorBidi" w:eastAsiaTheme="minorHAnsi" w:hAnsiTheme="majorBidi" w:cstheme="majorBidi"/>
          <w:sz w:val="20"/>
          <w:szCs w:val="20"/>
        </w:rPr>
      </w:pPr>
      <w:r w:rsidRPr="00697741">
        <w:rPr>
          <w:rFonts w:asciiTheme="majorBidi" w:eastAsiaTheme="minorHAnsi" w:hAnsiTheme="majorBidi" w:cstheme="majorBidi"/>
          <w:sz w:val="20"/>
          <w:szCs w:val="20"/>
          <w:vertAlign w:val="superscript"/>
        </w:rPr>
        <w:footnoteRef/>
      </w:r>
      <w:r w:rsidRPr="00697741">
        <w:rPr>
          <w:rFonts w:asciiTheme="majorBidi" w:eastAsiaTheme="minorHAnsi" w:hAnsiTheme="majorBidi" w:cstheme="majorBidi"/>
          <w:sz w:val="20"/>
          <w:szCs w:val="20"/>
        </w:rPr>
        <w:t xml:space="preserve"> Liu, 1995, volume 198, p. 5313; </w:t>
      </w:r>
      <w:r>
        <w:rPr>
          <w:rFonts w:asciiTheme="majorBidi" w:eastAsiaTheme="minorHAnsi" w:hAnsiTheme="majorBidi" w:cstheme="majorBidi"/>
          <w:sz w:val="20"/>
          <w:szCs w:val="20"/>
        </w:rPr>
        <w:t xml:space="preserve">tr., Appendix II. </w:t>
      </w:r>
      <w:r w:rsidRPr="00697741">
        <w:rPr>
          <w:rFonts w:asciiTheme="majorBidi" w:eastAsiaTheme="minorHAnsi" w:hAnsiTheme="majorBidi" w:cstheme="majorBidi"/>
          <w:sz w:val="20"/>
          <w:szCs w:val="20"/>
        </w:rPr>
        <w:t xml:space="preserve">Ouyang &amp; Song, 1995, </w:t>
      </w:r>
      <w:r>
        <w:rPr>
          <w:rFonts w:asciiTheme="majorBidi" w:eastAsiaTheme="minorHAnsi" w:hAnsiTheme="majorBidi" w:cstheme="majorBidi"/>
          <w:sz w:val="20"/>
          <w:szCs w:val="20"/>
        </w:rPr>
        <w:t xml:space="preserve">volume </w:t>
      </w:r>
      <w:r w:rsidRPr="00697741">
        <w:rPr>
          <w:rFonts w:asciiTheme="majorBidi" w:eastAsiaTheme="minorHAnsi" w:hAnsiTheme="majorBidi" w:cstheme="majorBidi"/>
          <w:sz w:val="20"/>
          <w:szCs w:val="20"/>
        </w:rPr>
        <w:t>221b, p. 6259</w:t>
      </w:r>
      <w:r>
        <w:rPr>
          <w:rFonts w:asciiTheme="majorBidi" w:eastAsiaTheme="minorHAnsi" w:hAnsiTheme="majorBidi" w:cstheme="majorBidi"/>
          <w:sz w:val="20"/>
          <w:szCs w:val="20"/>
        </w:rPr>
        <w:t>; tr., Appendix II</w:t>
      </w:r>
      <w:r w:rsidRPr="00697741">
        <w:rPr>
          <w:rFonts w:asciiTheme="majorBidi" w:eastAsiaTheme="minorHAnsi" w:hAnsiTheme="majorBidi" w:cstheme="majorBidi"/>
          <w:sz w:val="20"/>
          <w:szCs w:val="20"/>
        </w:rPr>
        <w:t>.</w:t>
      </w:r>
    </w:p>
  </w:footnote>
  <w:footnote w:id="246">
    <w:p w14:paraId="34467D46" w14:textId="77777777" w:rsidR="00902FCD" w:rsidRPr="00843A39" w:rsidRDefault="00902FCD" w:rsidP="002100F2">
      <w:pPr>
        <w:pStyle w:val="FootnoteText"/>
        <w:spacing w:line="360" w:lineRule="auto"/>
        <w:rPr>
          <w:rFonts w:asciiTheme="majorBidi" w:eastAsiaTheme="minorHAnsi" w:hAnsiTheme="majorBidi" w:cstheme="majorBidi"/>
          <w:sz w:val="20"/>
          <w:szCs w:val="20"/>
        </w:rPr>
      </w:pPr>
      <w:r w:rsidRPr="00843A39">
        <w:rPr>
          <w:rFonts w:asciiTheme="majorBidi" w:eastAsiaTheme="minorHAnsi" w:hAnsiTheme="majorBidi" w:cstheme="majorBidi"/>
          <w:sz w:val="20"/>
          <w:szCs w:val="20"/>
          <w:vertAlign w:val="superscript"/>
        </w:rPr>
        <w:footnoteRef/>
      </w:r>
      <w:r w:rsidRPr="00843A39">
        <w:rPr>
          <w:rFonts w:asciiTheme="majorBidi" w:eastAsiaTheme="minorHAnsi" w:hAnsiTheme="majorBidi" w:cstheme="majorBidi"/>
          <w:sz w:val="20"/>
          <w:szCs w:val="20"/>
        </w:rPr>
        <w:t xml:space="preserve"> </w:t>
      </w:r>
      <w:r w:rsidRPr="006B4BC9">
        <w:rPr>
          <w:rFonts w:asciiTheme="majorBidi" w:eastAsiaTheme="minorHAnsi" w:hAnsiTheme="majorBidi" w:cstheme="majorBidi"/>
          <w:sz w:val="20"/>
          <w:szCs w:val="20"/>
        </w:rPr>
        <w:t>Liu, 1995, volume 198, p. 5313</w:t>
      </w:r>
      <w:r>
        <w:rPr>
          <w:rFonts w:asciiTheme="majorBidi" w:eastAsiaTheme="minorHAnsi" w:hAnsiTheme="majorBidi" w:cstheme="majorBidi"/>
          <w:sz w:val="20"/>
          <w:szCs w:val="20"/>
        </w:rPr>
        <w:t>; tr., Appendix II.</w:t>
      </w:r>
      <w:r w:rsidRPr="006B4BC9">
        <w:rPr>
          <w:rFonts w:asciiTheme="majorBidi" w:eastAsiaTheme="minorHAnsi" w:hAnsiTheme="majorBidi" w:cstheme="majorBidi"/>
          <w:sz w:val="20"/>
          <w:szCs w:val="20"/>
        </w:rPr>
        <w:t xml:space="preserve"> Ouyang &amp; Song, 1995, volume 221b, p. 6259</w:t>
      </w:r>
      <w:r>
        <w:rPr>
          <w:rFonts w:asciiTheme="majorBidi" w:eastAsiaTheme="minorHAnsi" w:hAnsiTheme="majorBidi" w:cstheme="majorBidi"/>
          <w:sz w:val="20"/>
          <w:szCs w:val="20"/>
        </w:rPr>
        <w:t>; tr., Appendix II</w:t>
      </w:r>
      <w:r w:rsidRPr="006B4BC9">
        <w:rPr>
          <w:rFonts w:asciiTheme="majorBidi" w:eastAsiaTheme="minorHAnsi" w:hAnsiTheme="majorBidi" w:cstheme="majorBidi"/>
          <w:sz w:val="20"/>
          <w:szCs w:val="20"/>
        </w:rPr>
        <w:t>.</w:t>
      </w:r>
    </w:p>
  </w:footnote>
  <w:footnote w:id="247">
    <w:p w14:paraId="41FABF76" w14:textId="760CA224" w:rsidR="00902FCD" w:rsidRPr="00BF1954" w:rsidRDefault="00902FCD" w:rsidP="00BF1954">
      <w:pPr>
        <w:pStyle w:val="FootnoteText"/>
        <w:spacing w:line="360" w:lineRule="auto"/>
        <w:rPr>
          <w:rFonts w:asciiTheme="majorBidi" w:hAnsiTheme="majorBidi" w:cstheme="majorBidi"/>
          <w:sz w:val="20"/>
          <w:szCs w:val="20"/>
        </w:rPr>
      </w:pPr>
      <w:r w:rsidRPr="00BF1954">
        <w:rPr>
          <w:rFonts w:asciiTheme="majorBidi" w:hAnsiTheme="majorBidi" w:cstheme="majorBidi"/>
          <w:sz w:val="20"/>
          <w:szCs w:val="20"/>
          <w:vertAlign w:val="superscript"/>
        </w:rPr>
        <w:footnoteRef/>
      </w:r>
      <w:r w:rsidRPr="00BF1954">
        <w:rPr>
          <w:rFonts w:asciiTheme="majorBidi" w:hAnsiTheme="majorBidi" w:cstheme="majorBidi"/>
          <w:sz w:val="20"/>
          <w:szCs w:val="20"/>
          <w:vertAlign w:val="superscript"/>
        </w:rPr>
        <w:t xml:space="preserve"> </w:t>
      </w:r>
      <w:r w:rsidRPr="00BF1954">
        <w:rPr>
          <w:rFonts w:asciiTheme="majorBidi" w:hAnsiTheme="majorBidi" w:cstheme="majorBidi"/>
          <w:sz w:val="20"/>
          <w:szCs w:val="20"/>
        </w:rPr>
        <w:t xml:space="preserve">When Umayyah came, the former governor Bukayr (691/2-693/4) chose Ṭukhāristān </w:t>
      </w:r>
      <w:r>
        <w:rPr>
          <w:rFonts w:asciiTheme="majorBidi" w:hAnsiTheme="majorBidi" w:cstheme="majorBidi"/>
          <w:sz w:val="20"/>
          <w:szCs w:val="20"/>
        </w:rPr>
        <w:t xml:space="preserve">as his target for expansion </w:t>
      </w:r>
      <w:r w:rsidRPr="00BF1954">
        <w:rPr>
          <w:rFonts w:asciiTheme="majorBidi" w:hAnsiTheme="majorBidi" w:cstheme="majorBidi"/>
          <w:sz w:val="20"/>
          <w:szCs w:val="20"/>
        </w:rPr>
        <w:t>and spent a lot of money on horses and weapons to prepare for a campaign (</w:t>
      </w:r>
      <w:r>
        <w:rPr>
          <w:rFonts w:asciiTheme="majorBidi" w:hAnsiTheme="majorBidi" w:cstheme="majorBidi"/>
          <w:sz w:val="20"/>
          <w:szCs w:val="20"/>
        </w:rPr>
        <w:t>al-</w:t>
      </w:r>
      <w:r w:rsidRPr="00BF1954">
        <w:rPr>
          <w:rFonts w:asciiTheme="majorBidi" w:hAnsiTheme="majorBidi" w:cstheme="majorBidi"/>
          <w:sz w:val="20"/>
          <w:szCs w:val="20"/>
        </w:rPr>
        <w:t>Ṭabarī</w:t>
      </w:r>
      <w:r>
        <w:rPr>
          <w:rFonts w:asciiTheme="majorBidi" w:hAnsiTheme="majorBidi" w:cstheme="majorBidi"/>
          <w:sz w:val="20"/>
          <w:szCs w:val="20"/>
        </w:rPr>
        <w:t xml:space="preserve">, </w:t>
      </w:r>
      <w:r w:rsidRPr="0030071C">
        <w:rPr>
          <w:rFonts w:asciiTheme="majorBidi" w:hAnsiTheme="majorBidi" w:cstheme="majorBidi"/>
          <w:sz w:val="20"/>
          <w:szCs w:val="20"/>
        </w:rPr>
        <w:t>2001, vol. 3, p</w:t>
      </w:r>
      <w:r>
        <w:rPr>
          <w:rFonts w:asciiTheme="majorBidi" w:hAnsiTheme="majorBidi" w:cstheme="majorBidi"/>
          <w:sz w:val="20"/>
          <w:szCs w:val="20"/>
        </w:rPr>
        <w:t>p</w:t>
      </w:r>
      <w:r w:rsidRPr="0030071C">
        <w:rPr>
          <w:rFonts w:asciiTheme="majorBidi" w:hAnsiTheme="majorBidi" w:cstheme="majorBidi"/>
          <w:sz w:val="20"/>
          <w:szCs w:val="20"/>
        </w:rPr>
        <w:t>. 546</w:t>
      </w:r>
      <w:r>
        <w:rPr>
          <w:rFonts w:asciiTheme="majorBidi" w:hAnsiTheme="majorBidi" w:cstheme="majorBidi"/>
          <w:sz w:val="20"/>
          <w:szCs w:val="20"/>
        </w:rPr>
        <w:t>, 607</w:t>
      </w:r>
      <w:r w:rsidRPr="0030071C">
        <w:rPr>
          <w:rFonts w:asciiTheme="majorBidi" w:hAnsiTheme="majorBidi" w:cstheme="majorBidi"/>
          <w:sz w:val="20"/>
          <w:szCs w:val="20"/>
        </w:rPr>
        <w:t xml:space="preserve">; </w:t>
      </w:r>
      <w:r>
        <w:rPr>
          <w:rFonts w:asciiTheme="majorBidi" w:hAnsiTheme="majorBidi" w:cstheme="majorBidi"/>
          <w:sz w:val="20"/>
          <w:szCs w:val="20"/>
        </w:rPr>
        <w:t>tr.</w:t>
      </w:r>
      <w:r w:rsidRPr="0030071C">
        <w:rPr>
          <w:rFonts w:asciiTheme="majorBidi" w:hAnsiTheme="majorBidi" w:cstheme="majorBidi"/>
          <w:sz w:val="20"/>
          <w:szCs w:val="20"/>
        </w:rPr>
        <w:t xml:space="preserve">, 1989, vol. XXII, </w:t>
      </w:r>
      <w:r w:rsidRPr="00BF1954">
        <w:rPr>
          <w:rFonts w:asciiTheme="majorBidi" w:hAnsiTheme="majorBidi" w:cstheme="majorBidi"/>
          <w:sz w:val="20"/>
          <w:szCs w:val="20"/>
        </w:rPr>
        <w:t xml:space="preserve">pp. 11, 165). This piece of information shows that Ṭukhāristān, more precisely eastern Ṭukhāristān, was </w:t>
      </w:r>
      <w:r>
        <w:rPr>
          <w:rFonts w:asciiTheme="majorBidi" w:hAnsiTheme="majorBidi" w:cstheme="majorBidi"/>
          <w:sz w:val="20"/>
          <w:szCs w:val="20"/>
        </w:rPr>
        <w:t xml:space="preserve">clearly </w:t>
      </w:r>
      <w:r w:rsidRPr="00BF1954">
        <w:rPr>
          <w:rFonts w:asciiTheme="majorBidi" w:hAnsiTheme="majorBidi" w:cstheme="majorBidi"/>
          <w:sz w:val="20"/>
          <w:szCs w:val="20"/>
        </w:rPr>
        <w:t xml:space="preserve">not under the control of the Muslims in 693/4 CE. What is more, Umayyah and his successor al-Muhallab campaigned mainly in Transoxiana for booty. </w:t>
      </w:r>
      <w:r>
        <w:rPr>
          <w:rFonts w:asciiTheme="majorBidi" w:hAnsiTheme="majorBidi" w:cstheme="majorBidi"/>
          <w:sz w:val="20"/>
          <w:szCs w:val="20"/>
        </w:rPr>
        <w:t>As for the list of targets of al-Muhallab’s campaigns given by al-Kūfī (</w:t>
      </w:r>
      <w:r>
        <w:rPr>
          <w:rFonts w:asciiTheme="majorBidi" w:hAnsiTheme="majorBidi" w:cstheme="majorBidi" w:hint="cs"/>
          <w:sz w:val="20"/>
          <w:szCs w:val="20"/>
          <w:rtl/>
          <w:lang w:bidi="ar-JO"/>
        </w:rPr>
        <w:t>1975</w:t>
      </w:r>
      <w:r>
        <w:rPr>
          <w:rFonts w:asciiTheme="majorBidi" w:hAnsiTheme="majorBidi" w:cstheme="majorBidi"/>
          <w:sz w:val="20"/>
          <w:szCs w:val="20"/>
          <w:lang w:bidi="ar-JO"/>
        </w:rPr>
        <w:t xml:space="preserve">, </w:t>
      </w:r>
      <w:r>
        <w:rPr>
          <w:rFonts w:asciiTheme="majorBidi" w:hAnsiTheme="majorBidi" w:cstheme="majorBidi"/>
          <w:sz w:val="20"/>
          <w:szCs w:val="20"/>
        </w:rPr>
        <w:t>volume 7, p. 78), which including Samarkand, Bukhara, Balkh</w:t>
      </w:r>
      <w:r w:rsidRPr="00A509F1">
        <w:rPr>
          <w:rFonts w:asciiTheme="majorBidi" w:hAnsiTheme="majorBidi" w:cstheme="majorBidi"/>
          <w:sz w:val="20"/>
          <w:szCs w:val="20"/>
        </w:rPr>
        <w:t>, Ṭukhāristān and Bost,</w:t>
      </w:r>
      <w:r>
        <w:rPr>
          <w:rFonts w:asciiTheme="majorBidi" w:hAnsiTheme="majorBidi" w:cstheme="majorBidi"/>
          <w:sz w:val="20"/>
          <w:szCs w:val="20"/>
        </w:rPr>
        <w:t xml:space="preserve"> it is exaggerated. However, this Arab historian from the first half of the 9</w:t>
      </w:r>
      <w:r w:rsidRPr="00474F27">
        <w:rPr>
          <w:rFonts w:asciiTheme="majorBidi" w:hAnsiTheme="majorBidi" w:cstheme="majorBidi"/>
          <w:sz w:val="20"/>
          <w:szCs w:val="20"/>
          <w:vertAlign w:val="superscript"/>
        </w:rPr>
        <w:t>th</w:t>
      </w:r>
      <w:r>
        <w:rPr>
          <w:rFonts w:asciiTheme="majorBidi" w:hAnsiTheme="majorBidi" w:cstheme="majorBidi"/>
          <w:sz w:val="20"/>
          <w:szCs w:val="20"/>
        </w:rPr>
        <w:t xml:space="preserve"> century preserved reports of tribal origin, which stated that these campaigns were raids for booty and explained that the fruitful raids won popularity for him among the Muslims. Anyhow, </w:t>
      </w:r>
      <w:r w:rsidRPr="00BF1954">
        <w:rPr>
          <w:rFonts w:asciiTheme="majorBidi" w:hAnsiTheme="majorBidi" w:cstheme="majorBidi"/>
          <w:sz w:val="20"/>
          <w:szCs w:val="20"/>
        </w:rPr>
        <w:t xml:space="preserve">eastern Ṭukhāristān was not under </w:t>
      </w:r>
      <w:r>
        <w:rPr>
          <w:rFonts w:asciiTheme="majorBidi" w:hAnsiTheme="majorBidi" w:cstheme="majorBidi"/>
          <w:sz w:val="20"/>
          <w:szCs w:val="20"/>
        </w:rPr>
        <w:t xml:space="preserve">the </w:t>
      </w:r>
      <w:r w:rsidRPr="00BF1954">
        <w:rPr>
          <w:rFonts w:asciiTheme="majorBidi" w:hAnsiTheme="majorBidi" w:cstheme="majorBidi"/>
          <w:sz w:val="20"/>
          <w:szCs w:val="20"/>
        </w:rPr>
        <w:t>military pressure of the Arabs, although Balkh was controlled by them in 701/2 CE (al-Ṭabarī</w:t>
      </w:r>
      <w:r w:rsidRPr="006C581D">
        <w:rPr>
          <w:rFonts w:asciiTheme="majorBidi" w:hAnsiTheme="majorBidi" w:cstheme="majorBidi"/>
          <w:sz w:val="20"/>
          <w:szCs w:val="20"/>
        </w:rPr>
        <w:t xml:space="preserve">, 2001, vol. 3, pp. </w:t>
      </w:r>
      <w:r>
        <w:rPr>
          <w:rFonts w:asciiTheme="majorBidi" w:hAnsiTheme="majorBidi" w:cstheme="majorBidi"/>
          <w:sz w:val="20"/>
          <w:szCs w:val="20"/>
        </w:rPr>
        <w:t xml:space="preserve">607-8, 610, </w:t>
      </w:r>
      <w:r w:rsidRPr="006C581D">
        <w:rPr>
          <w:rFonts w:asciiTheme="majorBidi" w:hAnsiTheme="majorBidi" w:cstheme="majorBidi"/>
          <w:sz w:val="20"/>
          <w:szCs w:val="20"/>
        </w:rPr>
        <w:t xml:space="preserve">616-7; </w:t>
      </w:r>
      <w:r>
        <w:rPr>
          <w:rFonts w:asciiTheme="majorBidi" w:hAnsiTheme="majorBidi" w:cstheme="majorBidi"/>
          <w:sz w:val="20"/>
          <w:szCs w:val="20"/>
        </w:rPr>
        <w:t>tr.</w:t>
      </w:r>
      <w:r w:rsidRPr="006C581D">
        <w:rPr>
          <w:rFonts w:asciiTheme="majorBidi" w:hAnsiTheme="majorBidi" w:cstheme="majorBidi"/>
          <w:sz w:val="20"/>
          <w:szCs w:val="20"/>
        </w:rPr>
        <w:t>, 1989, vol. XXII, pp</w:t>
      </w:r>
      <w:r>
        <w:rPr>
          <w:rFonts w:asciiTheme="majorBidi" w:hAnsiTheme="majorBidi" w:cstheme="majorBidi"/>
          <w:sz w:val="20"/>
          <w:szCs w:val="20"/>
        </w:rPr>
        <w:t xml:space="preserve">. 166-7, 175, </w:t>
      </w:r>
      <w:r w:rsidRPr="006C581D">
        <w:rPr>
          <w:rFonts w:asciiTheme="majorBidi" w:hAnsiTheme="majorBidi" w:cstheme="majorBidi"/>
          <w:sz w:val="20"/>
          <w:szCs w:val="20"/>
        </w:rPr>
        <w:t>188-90</w:t>
      </w:r>
      <w:r>
        <w:rPr>
          <w:rFonts w:asciiTheme="majorBidi" w:hAnsiTheme="majorBidi" w:cstheme="majorBidi"/>
          <w:sz w:val="20"/>
          <w:szCs w:val="20"/>
        </w:rPr>
        <w:t xml:space="preserve">; </w:t>
      </w:r>
      <w:r w:rsidRPr="00BF1954">
        <w:rPr>
          <w:rFonts w:asciiTheme="majorBidi" w:hAnsiTheme="majorBidi" w:cstheme="majorBidi"/>
          <w:sz w:val="20"/>
          <w:szCs w:val="20"/>
        </w:rPr>
        <w:t>Ibn-’Athīr, 1987, volume 4, pp. 185-7, 192).</w:t>
      </w:r>
    </w:p>
  </w:footnote>
  <w:footnote w:id="248">
    <w:p w14:paraId="7B551B15" w14:textId="2C38B24B" w:rsidR="00902FCD" w:rsidRPr="00BF1954" w:rsidRDefault="00902FCD" w:rsidP="006D2D69">
      <w:pPr>
        <w:pStyle w:val="FootnoteText"/>
        <w:spacing w:line="360" w:lineRule="auto"/>
        <w:rPr>
          <w:rFonts w:asciiTheme="majorBidi" w:hAnsiTheme="majorBidi" w:cstheme="majorBidi"/>
          <w:sz w:val="20"/>
          <w:szCs w:val="20"/>
        </w:rPr>
      </w:pPr>
      <w:r w:rsidRPr="00BF1954">
        <w:rPr>
          <w:rFonts w:asciiTheme="majorBidi" w:hAnsiTheme="majorBidi" w:cstheme="majorBidi"/>
          <w:sz w:val="20"/>
          <w:szCs w:val="20"/>
        </w:rPr>
        <w:footnoteRef/>
      </w:r>
      <w:r w:rsidRPr="00BF1954">
        <w:rPr>
          <w:rFonts w:asciiTheme="majorBidi" w:hAnsiTheme="majorBidi" w:cstheme="majorBidi"/>
          <w:sz w:val="20"/>
          <w:szCs w:val="20"/>
        </w:rPr>
        <w:t xml:space="preserve"> </w:t>
      </w:r>
      <w:r>
        <w:rPr>
          <w:rFonts w:asciiTheme="majorBidi" w:hAnsiTheme="majorBidi" w:cstheme="majorBidi"/>
          <w:sz w:val="20"/>
          <w:szCs w:val="20"/>
        </w:rPr>
        <w:t xml:space="preserve">Gibb (1923, p. 26) even suggests that Narseh was involved in the plot organized </w:t>
      </w:r>
      <w:r w:rsidRPr="00BD7E7D">
        <w:rPr>
          <w:rFonts w:asciiTheme="majorBidi" w:hAnsiTheme="majorBidi" w:cstheme="majorBidi"/>
          <w:sz w:val="20"/>
          <w:szCs w:val="20"/>
        </w:rPr>
        <w:t>by Thābit, a Persian client of the Arabs who was mistreated by al-Muhallab,</w:t>
      </w:r>
      <w:r>
        <w:rPr>
          <w:rFonts w:asciiTheme="majorBidi" w:hAnsiTheme="majorBidi" w:cstheme="majorBidi"/>
          <w:sz w:val="20"/>
          <w:szCs w:val="20"/>
        </w:rPr>
        <w:t xml:space="preserve"> to depose al-Muhallad’s son and successor Yazīd (702/3-704/5 CE) from the position as the governor of Khurasan and to replace him with </w:t>
      </w:r>
      <w:r w:rsidRPr="00BD7E7D">
        <w:rPr>
          <w:rFonts w:asciiTheme="majorBidi" w:hAnsiTheme="majorBidi" w:cstheme="majorBidi"/>
          <w:sz w:val="20"/>
          <w:szCs w:val="20"/>
        </w:rPr>
        <w:t>Mūsā of Tirmidh in 702 CE.</w:t>
      </w:r>
    </w:p>
  </w:footnote>
  <w:footnote w:id="249">
    <w:p w14:paraId="7A63C21E" w14:textId="222A3F4D" w:rsidR="00902FCD" w:rsidRPr="00AF3C5C" w:rsidRDefault="00902FCD" w:rsidP="005F6C49">
      <w:pPr>
        <w:pStyle w:val="FootnoteText"/>
        <w:spacing w:line="360" w:lineRule="auto"/>
        <w:rPr>
          <w:rFonts w:asciiTheme="majorBidi" w:eastAsiaTheme="minorHAnsi" w:hAnsiTheme="majorBidi" w:cstheme="majorBidi"/>
          <w:sz w:val="20"/>
          <w:szCs w:val="20"/>
        </w:rPr>
      </w:pPr>
      <w:r w:rsidRPr="00AF3C5C">
        <w:rPr>
          <w:rFonts w:asciiTheme="majorBidi" w:eastAsiaTheme="minorHAnsi" w:hAnsiTheme="majorBidi" w:cstheme="majorBidi"/>
          <w:sz w:val="20"/>
          <w:szCs w:val="20"/>
          <w:vertAlign w:val="superscript"/>
        </w:rPr>
        <w:footnoteRef/>
      </w:r>
      <w:r w:rsidRPr="00AF3C5C">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L</w:t>
      </w:r>
      <w:r>
        <w:rPr>
          <w:rFonts w:asciiTheme="majorBidi" w:eastAsiaTheme="minorHAnsi" w:hAnsiTheme="majorBidi" w:cstheme="majorBidi" w:hint="eastAsia"/>
          <w:sz w:val="20"/>
          <w:szCs w:val="20"/>
        </w:rPr>
        <w:t>iu</w:t>
      </w:r>
      <w:r>
        <w:rPr>
          <w:rFonts w:asciiTheme="majorBidi" w:eastAsiaTheme="minorHAnsi" w:hAnsiTheme="majorBidi" w:cstheme="majorBidi"/>
          <w:sz w:val="20"/>
          <w:szCs w:val="20"/>
        </w:rPr>
        <w:t xml:space="preserve">, 1995, volume 198, p. 5313; </w:t>
      </w:r>
      <w:r w:rsidRPr="00AF3C5C">
        <w:rPr>
          <w:rFonts w:asciiTheme="majorBidi" w:eastAsiaTheme="minorHAnsi" w:hAnsiTheme="majorBidi" w:cstheme="majorBidi"/>
          <w:sz w:val="20"/>
          <w:szCs w:val="20"/>
        </w:rPr>
        <w:t xml:space="preserve">Ouyang &amp; Song, </w:t>
      </w:r>
      <w:r>
        <w:rPr>
          <w:rFonts w:asciiTheme="majorBidi" w:eastAsiaTheme="minorHAnsi" w:hAnsiTheme="majorBidi" w:cstheme="majorBidi"/>
          <w:sz w:val="20"/>
          <w:szCs w:val="20"/>
        </w:rPr>
        <w:t xml:space="preserve">1995, </w:t>
      </w:r>
      <w:r w:rsidRPr="00AF3C5C">
        <w:rPr>
          <w:rFonts w:asciiTheme="majorBidi" w:eastAsiaTheme="minorHAnsi" w:hAnsiTheme="majorBidi" w:cstheme="majorBidi"/>
          <w:sz w:val="20"/>
          <w:szCs w:val="20"/>
        </w:rPr>
        <w:t>volume 221b, p.</w:t>
      </w:r>
      <w:r>
        <w:rPr>
          <w:rFonts w:asciiTheme="majorBidi" w:eastAsiaTheme="minorHAnsi" w:hAnsiTheme="majorBidi" w:cstheme="majorBidi"/>
          <w:sz w:val="20"/>
          <w:szCs w:val="20"/>
        </w:rPr>
        <w:t xml:space="preserve"> 6259.</w:t>
      </w:r>
    </w:p>
  </w:footnote>
  <w:footnote w:id="250">
    <w:p w14:paraId="11309D56" w14:textId="4A45E1CF" w:rsidR="00902FCD" w:rsidRPr="00C40462" w:rsidRDefault="00902FCD" w:rsidP="00C40462">
      <w:pPr>
        <w:pStyle w:val="FootnoteText"/>
        <w:spacing w:line="360" w:lineRule="auto"/>
        <w:rPr>
          <w:rFonts w:asciiTheme="majorBidi" w:eastAsiaTheme="minorHAnsi" w:hAnsiTheme="majorBidi" w:cstheme="majorBidi"/>
          <w:sz w:val="20"/>
          <w:szCs w:val="20"/>
        </w:rPr>
      </w:pPr>
      <w:r w:rsidRPr="00C40462">
        <w:rPr>
          <w:rFonts w:asciiTheme="majorBidi" w:eastAsiaTheme="minorHAnsi" w:hAnsiTheme="majorBidi" w:cstheme="majorBidi"/>
          <w:sz w:val="20"/>
          <w:szCs w:val="20"/>
          <w:vertAlign w:val="superscript"/>
        </w:rPr>
        <w:footnoteRef/>
      </w:r>
      <w:r w:rsidRPr="00C40462">
        <w:rPr>
          <w:rFonts w:asciiTheme="majorBidi" w:eastAsiaTheme="minorHAnsi" w:hAnsiTheme="majorBidi" w:cstheme="majorBidi"/>
          <w:sz w:val="20"/>
          <w:szCs w:val="20"/>
          <w:vertAlign w:val="superscript"/>
        </w:rPr>
        <w:t xml:space="preserve"> </w:t>
      </w:r>
      <w:r w:rsidRPr="00C40462">
        <w:rPr>
          <w:rFonts w:asciiTheme="majorBidi" w:eastAsiaTheme="minorHAnsi" w:hAnsiTheme="majorBidi" w:cstheme="majorBidi"/>
          <w:sz w:val="20"/>
          <w:szCs w:val="20"/>
        </w:rPr>
        <w:t>Xue, 1988, pp. 70-2.</w:t>
      </w:r>
    </w:p>
  </w:footnote>
  <w:footnote w:id="251">
    <w:p w14:paraId="6C034470" w14:textId="1F04AF4B" w:rsidR="00902FCD" w:rsidRPr="007B2A25" w:rsidRDefault="00902FCD" w:rsidP="007B2A25">
      <w:pPr>
        <w:pStyle w:val="FootnoteText"/>
        <w:spacing w:line="360" w:lineRule="auto"/>
        <w:rPr>
          <w:rFonts w:asciiTheme="majorBidi" w:eastAsiaTheme="minorHAnsi" w:hAnsiTheme="majorBidi" w:cstheme="majorBidi"/>
          <w:sz w:val="20"/>
          <w:szCs w:val="20"/>
        </w:rPr>
      </w:pPr>
      <w:r w:rsidRPr="007B2A25">
        <w:rPr>
          <w:rFonts w:asciiTheme="majorBidi" w:eastAsiaTheme="minorHAnsi" w:hAnsiTheme="majorBidi" w:cstheme="majorBidi"/>
          <w:sz w:val="20"/>
          <w:szCs w:val="20"/>
          <w:vertAlign w:val="superscript"/>
        </w:rPr>
        <w:footnoteRef/>
      </w:r>
      <w:r w:rsidRPr="007B2A25">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Ibn al-Faqīh (1996, p. 417) reports that Pērōz fought Qutayba in the early 8</w:t>
      </w:r>
      <w:r w:rsidRPr="00593C06">
        <w:rPr>
          <w:rFonts w:asciiTheme="majorBidi" w:eastAsiaTheme="minorHAnsi" w:hAnsiTheme="majorBidi" w:cstheme="majorBidi"/>
          <w:sz w:val="20"/>
          <w:szCs w:val="20"/>
        </w:rPr>
        <w:t>th</w:t>
      </w:r>
      <w:r>
        <w:rPr>
          <w:rFonts w:asciiTheme="majorBidi" w:eastAsiaTheme="minorHAnsi" w:hAnsiTheme="majorBidi" w:cstheme="majorBidi"/>
          <w:sz w:val="20"/>
          <w:szCs w:val="20"/>
        </w:rPr>
        <w:t xml:space="preserve"> century. It is possible that it was Narseh instead of Pērōz fought Qutayba. However, this suggestion is purely hypothetical and finds no further textual evidence to confirm it.</w:t>
      </w:r>
    </w:p>
  </w:footnote>
  <w:footnote w:id="252">
    <w:p w14:paraId="141AE178" w14:textId="695ACAC1" w:rsidR="00902FCD" w:rsidRPr="00065E2A" w:rsidRDefault="00902FCD" w:rsidP="00065E2A">
      <w:pPr>
        <w:pStyle w:val="FootnoteText"/>
        <w:spacing w:line="360" w:lineRule="auto"/>
        <w:rPr>
          <w:rFonts w:asciiTheme="majorBidi" w:eastAsiaTheme="minorHAnsi" w:hAnsiTheme="majorBidi" w:cstheme="majorBidi"/>
          <w:sz w:val="20"/>
          <w:szCs w:val="20"/>
        </w:rPr>
      </w:pPr>
      <w:r w:rsidRPr="00065E2A">
        <w:rPr>
          <w:rFonts w:asciiTheme="majorBidi" w:eastAsiaTheme="minorHAnsi" w:hAnsiTheme="majorBidi" w:cstheme="majorBidi"/>
          <w:sz w:val="20"/>
          <w:szCs w:val="20"/>
          <w:vertAlign w:val="superscript"/>
        </w:rPr>
        <w:footnoteRef/>
      </w:r>
      <w:r w:rsidRPr="00065E2A">
        <w:rPr>
          <w:rFonts w:asciiTheme="majorBidi" w:eastAsiaTheme="minorHAnsi" w:hAnsiTheme="majorBidi" w:cstheme="majorBidi"/>
          <w:sz w:val="20"/>
          <w:szCs w:val="20"/>
        </w:rPr>
        <w:t xml:space="preserve"> </w:t>
      </w:r>
      <w:r w:rsidRPr="006B4BC9">
        <w:rPr>
          <w:rFonts w:asciiTheme="majorBidi" w:eastAsiaTheme="minorHAnsi" w:hAnsiTheme="majorBidi" w:cstheme="majorBidi"/>
          <w:sz w:val="20"/>
          <w:szCs w:val="20"/>
        </w:rPr>
        <w:t>Liu, 1995, volume 198, p. 5313</w:t>
      </w:r>
      <w:r>
        <w:rPr>
          <w:rFonts w:asciiTheme="majorBidi" w:eastAsiaTheme="minorHAnsi" w:hAnsiTheme="majorBidi" w:cstheme="majorBidi"/>
          <w:sz w:val="20"/>
          <w:szCs w:val="20"/>
        </w:rPr>
        <w:t xml:space="preserve">; tr., Appendix II. </w:t>
      </w:r>
      <w:r w:rsidRPr="006B4BC9">
        <w:rPr>
          <w:rFonts w:asciiTheme="majorBidi" w:eastAsiaTheme="minorHAnsi" w:hAnsiTheme="majorBidi" w:cstheme="majorBidi"/>
          <w:sz w:val="20"/>
          <w:szCs w:val="20"/>
        </w:rPr>
        <w:t>Ouyang &amp; Song, 1995, volume 221b, p. 6259</w:t>
      </w:r>
      <w:r>
        <w:rPr>
          <w:rFonts w:asciiTheme="majorBidi" w:eastAsiaTheme="minorHAnsi" w:hAnsiTheme="majorBidi" w:cstheme="majorBidi"/>
          <w:sz w:val="20"/>
          <w:szCs w:val="20"/>
        </w:rPr>
        <w:t>; tr., Appendix II. However, no sources shed light on the process of the dispersion of Narseh’s dependents.</w:t>
      </w:r>
    </w:p>
  </w:footnote>
  <w:footnote w:id="253">
    <w:p w14:paraId="3DB50444" w14:textId="0C2DC3D5" w:rsidR="00902FCD" w:rsidRPr="00C84A38" w:rsidRDefault="00902FCD" w:rsidP="0013605D">
      <w:pPr>
        <w:pStyle w:val="FootnoteText"/>
        <w:spacing w:line="360" w:lineRule="auto"/>
        <w:rPr>
          <w:rFonts w:asciiTheme="majorBidi" w:eastAsiaTheme="minorHAnsi" w:hAnsiTheme="majorBidi" w:cstheme="majorBidi"/>
          <w:sz w:val="20"/>
          <w:szCs w:val="20"/>
        </w:rPr>
      </w:pPr>
      <w:r w:rsidRPr="00C84A38">
        <w:rPr>
          <w:rFonts w:asciiTheme="majorBidi" w:eastAsiaTheme="minorHAnsi" w:hAnsiTheme="majorBidi" w:cstheme="majorBidi"/>
          <w:sz w:val="20"/>
          <w:szCs w:val="20"/>
          <w:vertAlign w:val="superscript"/>
        </w:rPr>
        <w:footnoteRef/>
      </w:r>
      <w:r w:rsidRPr="00C84A38">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According to al-</w:t>
      </w:r>
      <w:r w:rsidRPr="00C84A38">
        <w:rPr>
          <w:rFonts w:asciiTheme="majorBidi" w:eastAsiaTheme="minorHAnsi" w:hAnsiTheme="majorBidi" w:cstheme="majorBidi"/>
          <w:sz w:val="20"/>
          <w:szCs w:val="20"/>
        </w:rPr>
        <w:t xml:space="preserve">Dīnawarī </w:t>
      </w:r>
      <w:r>
        <w:rPr>
          <w:rFonts w:asciiTheme="majorBidi" w:eastAsiaTheme="minorHAnsi" w:hAnsiTheme="majorBidi" w:cstheme="majorBidi"/>
          <w:sz w:val="20"/>
          <w:szCs w:val="20"/>
        </w:rPr>
        <w:t xml:space="preserve">(1888, p. 163), </w:t>
      </w:r>
      <w:r w:rsidRPr="00C84A38">
        <w:rPr>
          <w:rFonts w:asciiTheme="majorBidi" w:eastAsiaTheme="minorHAnsi" w:hAnsiTheme="majorBidi" w:cstheme="majorBidi"/>
          <w:sz w:val="20"/>
          <w:szCs w:val="20"/>
        </w:rPr>
        <w:t xml:space="preserve">a daughter of the Sasanian monarch Būmān </w:t>
      </w:r>
      <w:r>
        <w:rPr>
          <w:rFonts w:asciiTheme="majorBidi" w:eastAsiaTheme="minorHAnsi" w:hAnsiTheme="majorBidi" w:cstheme="majorBidi"/>
          <w:sz w:val="20"/>
          <w:szCs w:val="20"/>
        </w:rPr>
        <w:t xml:space="preserve">fled to Kabul, whence she </w:t>
      </w:r>
      <w:r w:rsidRPr="00C84A38">
        <w:rPr>
          <w:rFonts w:asciiTheme="majorBidi" w:eastAsiaTheme="minorHAnsi" w:hAnsiTheme="majorBidi" w:cstheme="majorBidi"/>
          <w:sz w:val="20"/>
          <w:szCs w:val="20"/>
        </w:rPr>
        <w:t>came to Nīshāpūr to</w:t>
      </w:r>
      <w:r>
        <w:rPr>
          <w:rFonts w:asciiTheme="majorBidi" w:eastAsiaTheme="minorHAnsi" w:hAnsiTheme="majorBidi" w:cstheme="majorBidi"/>
          <w:sz w:val="20"/>
          <w:szCs w:val="20"/>
        </w:rPr>
        <w:t xml:space="preserve"> </w:t>
      </w:r>
      <w:r w:rsidRPr="00C84A38">
        <w:rPr>
          <w:rFonts w:asciiTheme="majorBidi" w:eastAsiaTheme="minorHAnsi" w:hAnsiTheme="majorBidi" w:cstheme="majorBidi"/>
          <w:sz w:val="20"/>
          <w:szCs w:val="20"/>
        </w:rPr>
        <w:t>participate an insurrection against the Arabs during Ali’s caliphate.</w:t>
      </w:r>
    </w:p>
  </w:footnote>
  <w:footnote w:id="254">
    <w:p w14:paraId="0F1EDBBA" w14:textId="7365F2CA" w:rsidR="00902FCD" w:rsidRPr="0013605D" w:rsidRDefault="00902FCD" w:rsidP="0013605D">
      <w:pPr>
        <w:pStyle w:val="FootnoteText"/>
        <w:spacing w:line="360" w:lineRule="auto"/>
        <w:rPr>
          <w:rFonts w:asciiTheme="majorBidi" w:eastAsiaTheme="minorHAnsi" w:hAnsiTheme="majorBidi" w:cstheme="majorBidi"/>
          <w:sz w:val="20"/>
          <w:szCs w:val="20"/>
        </w:rPr>
      </w:pPr>
      <w:r w:rsidRPr="006421F5">
        <w:rPr>
          <w:rFonts w:asciiTheme="majorBidi" w:eastAsiaTheme="minorHAnsi" w:hAnsiTheme="majorBidi" w:cstheme="majorBidi"/>
          <w:sz w:val="20"/>
          <w:szCs w:val="20"/>
          <w:vertAlign w:val="superscript"/>
        </w:rPr>
        <w:footnoteRef/>
      </w:r>
      <w:r w:rsidRPr="0013605D">
        <w:rPr>
          <w:rFonts w:asciiTheme="majorBidi" w:eastAsiaTheme="minorHAnsi" w:hAnsiTheme="majorBidi" w:cstheme="majorBidi"/>
          <w:sz w:val="20"/>
          <w:szCs w:val="20"/>
        </w:rPr>
        <w:t xml:space="preserve"> Both the </w:t>
      </w:r>
      <w:r w:rsidRPr="0013605D">
        <w:rPr>
          <w:rFonts w:asciiTheme="majorBidi" w:eastAsiaTheme="minorHAnsi" w:hAnsiTheme="majorBidi" w:cstheme="majorBidi"/>
          <w:i/>
          <w:iCs/>
          <w:sz w:val="20"/>
          <w:szCs w:val="20"/>
        </w:rPr>
        <w:t>Jiu Tangshu</w:t>
      </w:r>
      <w:r w:rsidRPr="0013605D">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w:t>
      </w:r>
      <w:r w:rsidRPr="006B4BC9">
        <w:rPr>
          <w:rFonts w:asciiTheme="majorBidi" w:eastAsiaTheme="minorHAnsi" w:hAnsiTheme="majorBidi" w:cstheme="majorBidi"/>
          <w:sz w:val="20"/>
          <w:szCs w:val="20"/>
        </w:rPr>
        <w:t>Liu, 1995, volume 198, p. 5313</w:t>
      </w:r>
      <w:r>
        <w:rPr>
          <w:rFonts w:asciiTheme="majorBidi" w:eastAsiaTheme="minorHAnsi" w:hAnsiTheme="majorBidi" w:cstheme="majorBidi"/>
          <w:sz w:val="20"/>
          <w:szCs w:val="20"/>
        </w:rPr>
        <w:t xml:space="preserve">; tr., Appendix II) </w:t>
      </w:r>
      <w:r w:rsidRPr="0013605D">
        <w:rPr>
          <w:rFonts w:asciiTheme="majorBidi" w:eastAsiaTheme="minorHAnsi" w:hAnsiTheme="majorBidi" w:cstheme="majorBidi"/>
          <w:sz w:val="20"/>
          <w:szCs w:val="20"/>
        </w:rPr>
        <w:t xml:space="preserve">and the </w:t>
      </w:r>
      <w:r w:rsidRPr="0013605D">
        <w:rPr>
          <w:rFonts w:asciiTheme="majorBidi" w:eastAsiaTheme="minorHAnsi" w:hAnsiTheme="majorBidi" w:cstheme="majorBidi"/>
          <w:i/>
          <w:iCs/>
          <w:sz w:val="20"/>
          <w:szCs w:val="20"/>
        </w:rPr>
        <w:t>Xin Tangshu</w:t>
      </w:r>
      <w:r w:rsidRPr="0013605D">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w:t>
      </w:r>
      <w:r w:rsidRPr="006B4BC9">
        <w:rPr>
          <w:rFonts w:asciiTheme="majorBidi" w:eastAsiaTheme="minorHAnsi" w:hAnsiTheme="majorBidi" w:cstheme="majorBidi"/>
          <w:sz w:val="20"/>
          <w:szCs w:val="20"/>
        </w:rPr>
        <w:t>Ouyang &amp; Song, 1995, volume 221b, p. 6259</w:t>
      </w:r>
      <w:r>
        <w:rPr>
          <w:rFonts w:asciiTheme="majorBidi" w:eastAsiaTheme="minorHAnsi" w:hAnsiTheme="majorBidi" w:cstheme="majorBidi"/>
          <w:sz w:val="20"/>
          <w:szCs w:val="20"/>
        </w:rPr>
        <w:t xml:space="preserve">; tr., Appendix II) </w:t>
      </w:r>
      <w:r w:rsidRPr="0013605D">
        <w:rPr>
          <w:rFonts w:asciiTheme="majorBidi" w:eastAsiaTheme="minorHAnsi" w:hAnsiTheme="majorBidi" w:cstheme="majorBidi"/>
          <w:sz w:val="20"/>
          <w:szCs w:val="20"/>
        </w:rPr>
        <w:t xml:space="preserve">report that Narseh’s adherents, which was numbered several thousand, dispersed when he was in </w:t>
      </w:r>
      <w:r w:rsidRPr="0030071C">
        <w:rPr>
          <w:rFonts w:asciiTheme="majorBidi" w:eastAsiaTheme="minorHAnsi" w:hAnsiTheme="majorBidi" w:cstheme="majorBidi"/>
          <w:sz w:val="20"/>
          <w:szCs w:val="20"/>
        </w:rPr>
        <w:t>Ṭukhāristān</w:t>
      </w:r>
      <w:r>
        <w:rPr>
          <w:rFonts w:asciiTheme="majorBidi" w:eastAsiaTheme="minorHAnsi" w:hAnsiTheme="majorBidi" w:cstheme="majorBidi"/>
          <w:sz w:val="20"/>
          <w:szCs w:val="20"/>
        </w:rPr>
        <w:t>.</w:t>
      </w:r>
    </w:p>
  </w:footnote>
  <w:footnote w:id="255">
    <w:p w14:paraId="2A6FC75C" w14:textId="7580EBE7" w:rsidR="00902FCD" w:rsidRPr="00AF620F" w:rsidRDefault="00902FCD" w:rsidP="00931C9F">
      <w:pPr>
        <w:pStyle w:val="FootnoteText"/>
        <w:spacing w:line="360" w:lineRule="auto"/>
        <w:rPr>
          <w:rFonts w:asciiTheme="majorBidi" w:eastAsiaTheme="minorHAnsi" w:hAnsiTheme="majorBidi" w:cstheme="majorBidi"/>
          <w:sz w:val="20"/>
          <w:szCs w:val="20"/>
        </w:rPr>
      </w:pPr>
      <w:r w:rsidRPr="00AF620F">
        <w:rPr>
          <w:rFonts w:asciiTheme="majorBidi" w:eastAsiaTheme="minorHAnsi" w:hAnsiTheme="majorBidi" w:cstheme="majorBidi"/>
          <w:sz w:val="20"/>
          <w:szCs w:val="20"/>
          <w:vertAlign w:val="superscript"/>
        </w:rPr>
        <w:footnoteRef/>
      </w:r>
      <w:r w:rsidRPr="00AF620F">
        <w:rPr>
          <w:rFonts w:asciiTheme="majorBidi" w:eastAsiaTheme="minorHAnsi" w:hAnsiTheme="majorBidi" w:cstheme="majorBidi"/>
          <w:sz w:val="20"/>
          <w:szCs w:val="20"/>
        </w:rPr>
        <w:t xml:space="preserve"> Al-</w:t>
      </w:r>
      <w:r w:rsidRPr="00EB45C9">
        <w:rPr>
          <w:rFonts w:asciiTheme="majorBidi" w:eastAsiaTheme="minorHAnsi" w:hAnsiTheme="majorBidi" w:cstheme="majorBidi"/>
          <w:sz w:val="20"/>
          <w:szCs w:val="20"/>
        </w:rPr>
        <w:t>Ṭabarī</w:t>
      </w:r>
      <w:r w:rsidRPr="00AF620F">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2001, volume 4, p. 133;</w:t>
      </w:r>
      <w:r w:rsidRPr="00AF620F">
        <w:rPr>
          <w:rFonts w:asciiTheme="majorBidi" w:eastAsiaTheme="minorHAnsi" w:hAnsiTheme="majorBidi" w:cstheme="majorBidi"/>
          <w:sz w:val="20"/>
          <w:szCs w:val="20"/>
        </w:rPr>
        <w:t xml:space="preserve"> </w:t>
      </w:r>
      <w:r>
        <w:rPr>
          <w:rFonts w:asciiTheme="majorBidi" w:hAnsiTheme="majorBidi" w:cstheme="majorBidi"/>
          <w:sz w:val="20"/>
          <w:szCs w:val="20"/>
        </w:rPr>
        <w:t xml:space="preserve">tr., </w:t>
      </w:r>
      <w:r>
        <w:rPr>
          <w:rFonts w:asciiTheme="majorBidi" w:eastAsiaTheme="minorHAnsi" w:hAnsiTheme="majorBidi" w:cstheme="majorBidi"/>
          <w:sz w:val="20"/>
          <w:szCs w:val="20"/>
        </w:rPr>
        <w:t xml:space="preserve">1989, </w:t>
      </w:r>
      <w:r w:rsidRPr="00AF620F">
        <w:rPr>
          <w:rFonts w:asciiTheme="majorBidi" w:eastAsiaTheme="minorHAnsi" w:hAnsiTheme="majorBidi" w:cstheme="majorBidi"/>
          <w:sz w:val="20"/>
          <w:szCs w:val="20"/>
        </w:rPr>
        <w:t>volume XXV, pp. 55-6. In 728/9 CE, Kh</w:t>
      </w:r>
      <w:r>
        <w:rPr>
          <w:rFonts w:asciiTheme="majorBidi" w:eastAsiaTheme="minorHAnsi" w:hAnsiTheme="majorBidi" w:cstheme="majorBidi"/>
          <w:sz w:val="20"/>
          <w:szCs w:val="20"/>
        </w:rPr>
        <w:t>o</w:t>
      </w:r>
      <w:r w:rsidRPr="00AF620F">
        <w:rPr>
          <w:rFonts w:asciiTheme="majorBidi" w:eastAsiaTheme="minorHAnsi" w:hAnsiTheme="majorBidi" w:cstheme="majorBidi"/>
          <w:sz w:val="20"/>
          <w:szCs w:val="20"/>
        </w:rPr>
        <w:t xml:space="preserve">srow, a Sasanian prince, together with 30 of his men, failed to persuade the besieged </w:t>
      </w:r>
      <w:r>
        <w:rPr>
          <w:rFonts w:asciiTheme="majorBidi" w:eastAsiaTheme="minorHAnsi" w:hAnsiTheme="majorBidi" w:cstheme="majorBidi"/>
          <w:sz w:val="20"/>
          <w:szCs w:val="20"/>
        </w:rPr>
        <w:t>Arab</w:t>
      </w:r>
      <w:r w:rsidRPr="00AF620F">
        <w:rPr>
          <w:rFonts w:asciiTheme="majorBidi" w:eastAsiaTheme="minorHAnsi" w:hAnsiTheme="majorBidi" w:cstheme="majorBidi"/>
          <w:sz w:val="20"/>
          <w:szCs w:val="20"/>
        </w:rPr>
        <w:t xml:space="preserve"> troops to surrender the fortress to the Türgesh Khāqān Suluk.</w:t>
      </w:r>
      <w:r>
        <w:rPr>
          <w:rFonts w:asciiTheme="majorBidi" w:eastAsiaTheme="minorHAnsi" w:hAnsiTheme="majorBidi" w:cstheme="majorBidi"/>
          <w:sz w:val="20"/>
          <w:szCs w:val="20"/>
        </w:rPr>
        <w:t xml:space="preserve"> Gibb (1923, p. 71) suggests that this Khosrow was Pērōz’s son although he has no textual evidence, while scholars such as Pashazanous (2014, p. 149; also see the article that he coauthors with Sangari, 2018, p. 501) identifies this Khosrow as Aluohan's son Juluo. The second identification is not compelling as well, since Khosrow was a Sasanian prince while Juluo's father being a Persian chief and not of a royal member. Besides this unidentifiable Sasanian prince, the Mount Mugh documents testify a Persian general in the vicinity of Panjikent in 722 CE (Rezakhani, 2017, p. 184).</w:t>
      </w:r>
    </w:p>
  </w:footnote>
  <w:footnote w:id="256">
    <w:p w14:paraId="1D3FD636" w14:textId="06ABAE80" w:rsidR="00902FCD" w:rsidRPr="00B6669D" w:rsidRDefault="00902FCD" w:rsidP="00931C9F">
      <w:pPr>
        <w:pStyle w:val="FootnoteText"/>
        <w:spacing w:line="360" w:lineRule="auto"/>
        <w:rPr>
          <w:rFonts w:asciiTheme="majorBidi" w:eastAsiaTheme="minorHAnsi" w:hAnsiTheme="majorBidi" w:cstheme="majorBidi"/>
          <w:sz w:val="20"/>
          <w:szCs w:val="20"/>
        </w:rPr>
      </w:pPr>
      <w:r w:rsidRPr="00B6669D">
        <w:rPr>
          <w:rFonts w:asciiTheme="majorBidi" w:eastAsiaTheme="minorHAnsi" w:hAnsiTheme="majorBidi" w:cstheme="majorBidi"/>
          <w:sz w:val="20"/>
          <w:szCs w:val="20"/>
          <w:vertAlign w:val="superscript"/>
        </w:rPr>
        <w:footnoteRef/>
      </w:r>
      <w:r w:rsidRPr="00B6669D">
        <w:rPr>
          <w:rFonts w:asciiTheme="majorBidi" w:eastAsiaTheme="minorHAnsi" w:hAnsiTheme="majorBidi" w:cstheme="majorBidi"/>
          <w:sz w:val="20"/>
          <w:szCs w:val="20"/>
        </w:rPr>
        <w:t xml:space="preserve"> Li Su and Su Liang were two examples</w:t>
      </w:r>
      <w:r>
        <w:rPr>
          <w:rFonts w:asciiTheme="majorBidi" w:eastAsiaTheme="minorHAnsi" w:hAnsiTheme="majorBidi" w:cstheme="majorBidi"/>
          <w:sz w:val="20"/>
          <w:szCs w:val="20"/>
        </w:rPr>
        <w:t xml:space="preserve"> respectively from the 1</w:t>
      </w:r>
      <w:r w:rsidRPr="00711CDD">
        <w:rPr>
          <w:rFonts w:asciiTheme="majorBidi" w:eastAsiaTheme="minorHAnsi" w:hAnsiTheme="majorBidi" w:cstheme="majorBidi"/>
          <w:sz w:val="20"/>
          <w:szCs w:val="20"/>
          <w:vertAlign w:val="superscript"/>
        </w:rPr>
        <w:t>st</w:t>
      </w:r>
      <w:r>
        <w:rPr>
          <w:rFonts w:asciiTheme="majorBidi" w:eastAsiaTheme="minorHAnsi" w:hAnsiTheme="majorBidi" w:cstheme="majorBidi"/>
          <w:sz w:val="20"/>
          <w:szCs w:val="20"/>
        </w:rPr>
        <w:t xml:space="preserve"> and 2</w:t>
      </w:r>
      <w:r w:rsidRPr="00711CDD">
        <w:rPr>
          <w:rFonts w:asciiTheme="majorBidi" w:eastAsiaTheme="minorHAnsi" w:hAnsiTheme="majorBidi" w:cstheme="majorBidi"/>
          <w:sz w:val="20"/>
          <w:szCs w:val="20"/>
          <w:vertAlign w:val="superscript"/>
        </w:rPr>
        <w:t>nd</w:t>
      </w:r>
      <w:r>
        <w:rPr>
          <w:rFonts w:asciiTheme="majorBidi" w:eastAsiaTheme="minorHAnsi" w:hAnsiTheme="majorBidi" w:cstheme="majorBidi"/>
          <w:sz w:val="20"/>
          <w:szCs w:val="20"/>
        </w:rPr>
        <w:t xml:space="preserve"> half of the 9</w:t>
      </w:r>
      <w:r w:rsidRPr="00B6669D">
        <w:rPr>
          <w:rFonts w:asciiTheme="majorBidi" w:eastAsiaTheme="minorHAnsi" w:hAnsiTheme="majorBidi" w:cstheme="majorBidi"/>
          <w:sz w:val="20"/>
          <w:szCs w:val="20"/>
          <w:vertAlign w:val="superscript"/>
        </w:rPr>
        <w:t>th</w:t>
      </w:r>
      <w:r>
        <w:rPr>
          <w:rFonts w:asciiTheme="majorBidi" w:eastAsiaTheme="minorHAnsi" w:hAnsiTheme="majorBidi" w:cstheme="majorBidi"/>
          <w:sz w:val="20"/>
          <w:szCs w:val="20"/>
        </w:rPr>
        <w:t xml:space="preserve"> century</w:t>
      </w:r>
      <w:r w:rsidRPr="00B6669D">
        <w:rPr>
          <w:rFonts w:asciiTheme="majorBidi" w:eastAsiaTheme="minorHAnsi" w:hAnsiTheme="majorBidi" w:cstheme="majorBidi"/>
          <w:sz w:val="20"/>
          <w:szCs w:val="20"/>
        </w:rPr>
        <w:t>. See Rong, 2001, pp. 238-57; Liu, 1990, pp. 295-305.</w:t>
      </w:r>
    </w:p>
  </w:footnote>
  <w:footnote w:id="257">
    <w:p w14:paraId="35099B87" w14:textId="45C561DB" w:rsidR="00902FCD" w:rsidRPr="007D7B27" w:rsidRDefault="00902FCD" w:rsidP="00931C9F">
      <w:pPr>
        <w:pStyle w:val="FootnoteText"/>
        <w:spacing w:line="360" w:lineRule="auto"/>
        <w:rPr>
          <w:rFonts w:asciiTheme="majorBidi" w:hAnsiTheme="majorBidi" w:cstheme="majorBidi"/>
          <w:sz w:val="20"/>
          <w:szCs w:val="20"/>
        </w:rPr>
      </w:pPr>
      <w:r w:rsidRPr="007D7B27">
        <w:rPr>
          <w:rFonts w:asciiTheme="majorBidi" w:hAnsiTheme="majorBidi" w:cstheme="majorBidi"/>
          <w:sz w:val="20"/>
          <w:szCs w:val="20"/>
          <w:vertAlign w:val="superscript"/>
        </w:rPr>
        <w:footnoteRef/>
      </w:r>
      <w:r w:rsidRPr="007D7B27">
        <w:rPr>
          <w:rFonts w:asciiTheme="majorBidi" w:hAnsiTheme="majorBidi" w:cstheme="majorBidi"/>
          <w:sz w:val="20"/>
          <w:szCs w:val="20"/>
        </w:rPr>
        <w:t xml:space="preserve"> </w:t>
      </w:r>
      <w:r>
        <w:rPr>
          <w:rFonts w:asciiTheme="majorBidi" w:hAnsiTheme="majorBidi" w:cstheme="majorBidi"/>
          <w:sz w:val="20"/>
          <w:szCs w:val="20"/>
        </w:rPr>
        <w:t xml:space="preserve">Pashazanous and Afkande (2014, pp. 149-50) study the </w:t>
      </w:r>
      <w:r w:rsidRPr="007D7B27">
        <w:rPr>
          <w:rFonts w:asciiTheme="majorBidi" w:hAnsiTheme="majorBidi" w:cstheme="majorBidi"/>
          <w:sz w:val="20"/>
          <w:szCs w:val="20"/>
        </w:rPr>
        <w:t>relevant records found in</w:t>
      </w:r>
      <w:r>
        <w:rPr>
          <w:rFonts w:asciiTheme="majorBidi" w:hAnsiTheme="majorBidi" w:cstheme="majorBidi"/>
          <w:sz w:val="20"/>
          <w:szCs w:val="20"/>
        </w:rPr>
        <w:t xml:space="preserve"> the</w:t>
      </w:r>
      <w:r w:rsidRPr="007D7B27">
        <w:rPr>
          <w:rFonts w:asciiTheme="majorBidi" w:hAnsiTheme="majorBidi" w:cstheme="majorBidi"/>
          <w:sz w:val="20"/>
          <w:szCs w:val="20"/>
        </w:rPr>
        <w:t xml:space="preserve"> </w:t>
      </w:r>
      <w:r w:rsidRPr="002851B7">
        <w:rPr>
          <w:rFonts w:asciiTheme="majorBidi" w:hAnsiTheme="majorBidi" w:cstheme="majorBidi"/>
          <w:i/>
          <w:iCs/>
          <w:sz w:val="20"/>
          <w:szCs w:val="20"/>
        </w:rPr>
        <w:t>Cefu yuangui</w:t>
      </w:r>
      <w:r w:rsidRPr="007D7B27">
        <w:rPr>
          <w:rFonts w:asciiTheme="majorBidi" w:hAnsiTheme="majorBidi" w:cstheme="majorBidi"/>
          <w:sz w:val="20"/>
          <w:szCs w:val="20"/>
        </w:rPr>
        <w:t xml:space="preserve"> </w:t>
      </w:r>
      <w:r>
        <w:rPr>
          <w:rFonts w:asciiTheme="majorBidi" w:hAnsiTheme="majorBidi" w:cstheme="majorBidi"/>
          <w:sz w:val="20"/>
          <w:szCs w:val="20"/>
        </w:rPr>
        <w:t xml:space="preserve">and suggest that the Sasanian claimants stayed </w:t>
      </w:r>
      <w:r w:rsidRPr="00627198">
        <w:rPr>
          <w:rFonts w:asciiTheme="majorBidi" w:hAnsiTheme="majorBidi" w:cstheme="majorBidi"/>
          <w:sz w:val="20"/>
          <w:szCs w:val="20"/>
        </w:rPr>
        <w:t>in Ṭukhāristān</w:t>
      </w:r>
      <w:r>
        <w:rPr>
          <w:rFonts w:asciiTheme="majorBidi" w:hAnsiTheme="majorBidi" w:cstheme="majorBidi"/>
          <w:sz w:val="20"/>
          <w:szCs w:val="20"/>
        </w:rPr>
        <w:t xml:space="preserve"> after Narseh as late as early 730s. However, </w:t>
      </w:r>
      <w:r w:rsidRPr="007D7B27">
        <w:rPr>
          <w:rFonts w:asciiTheme="majorBidi" w:hAnsiTheme="majorBidi" w:cstheme="majorBidi"/>
          <w:sz w:val="20"/>
          <w:szCs w:val="20"/>
        </w:rPr>
        <w:t xml:space="preserve">Agostini and Stark (2016, pp. 17-38) </w:t>
      </w:r>
      <w:r>
        <w:rPr>
          <w:rFonts w:asciiTheme="majorBidi" w:hAnsiTheme="majorBidi" w:cstheme="majorBidi"/>
          <w:sz w:val="20"/>
          <w:szCs w:val="20"/>
        </w:rPr>
        <w:t>more carefully analyze</w:t>
      </w:r>
      <w:r w:rsidRPr="007D7B27">
        <w:rPr>
          <w:rFonts w:asciiTheme="majorBidi" w:hAnsiTheme="majorBidi" w:cstheme="majorBidi"/>
          <w:sz w:val="20"/>
          <w:szCs w:val="20"/>
        </w:rPr>
        <w:t xml:space="preserve"> the records</w:t>
      </w:r>
      <w:r>
        <w:rPr>
          <w:rFonts w:asciiTheme="majorBidi" w:hAnsiTheme="majorBidi" w:cstheme="majorBidi"/>
          <w:sz w:val="20"/>
          <w:szCs w:val="20"/>
        </w:rPr>
        <w:t xml:space="preserve"> and propose that</w:t>
      </w:r>
      <w:r w:rsidRPr="007D7B27">
        <w:rPr>
          <w:rFonts w:asciiTheme="majorBidi" w:hAnsiTheme="majorBidi" w:cstheme="majorBidi"/>
          <w:sz w:val="20"/>
          <w:szCs w:val="20"/>
        </w:rPr>
        <w:t xml:space="preserve"> the Persian embassies </w:t>
      </w:r>
      <w:r>
        <w:rPr>
          <w:rFonts w:asciiTheme="majorBidi" w:hAnsiTheme="majorBidi" w:cstheme="majorBidi"/>
          <w:sz w:val="20"/>
          <w:szCs w:val="20"/>
        </w:rPr>
        <w:t xml:space="preserve">who </w:t>
      </w:r>
      <w:r w:rsidRPr="007D7B27">
        <w:rPr>
          <w:rFonts w:asciiTheme="majorBidi" w:hAnsiTheme="majorBidi" w:cstheme="majorBidi"/>
          <w:sz w:val="20"/>
          <w:szCs w:val="20"/>
        </w:rPr>
        <w:t>presented</w:t>
      </w:r>
      <w:r>
        <w:rPr>
          <w:rFonts w:asciiTheme="majorBidi" w:hAnsiTheme="majorBidi" w:cstheme="majorBidi"/>
          <w:sz w:val="20"/>
          <w:szCs w:val="20"/>
        </w:rPr>
        <w:t xml:space="preserve"> themselves</w:t>
      </w:r>
      <w:r w:rsidRPr="007D7B27">
        <w:rPr>
          <w:rFonts w:asciiTheme="majorBidi" w:hAnsiTheme="majorBidi" w:cstheme="majorBidi"/>
          <w:sz w:val="20"/>
          <w:szCs w:val="20"/>
        </w:rPr>
        <w:t xml:space="preserve"> in the Tang court </w:t>
      </w:r>
      <w:r>
        <w:rPr>
          <w:rFonts w:asciiTheme="majorBidi" w:hAnsiTheme="majorBidi" w:cstheme="majorBidi"/>
          <w:sz w:val="20"/>
          <w:szCs w:val="20"/>
        </w:rPr>
        <w:t xml:space="preserve">were dispatched by </w:t>
      </w:r>
      <w:r w:rsidRPr="007D7B27">
        <w:rPr>
          <w:rFonts w:asciiTheme="majorBidi" w:hAnsiTheme="majorBidi" w:cstheme="majorBidi"/>
          <w:sz w:val="20"/>
          <w:szCs w:val="20"/>
        </w:rPr>
        <w:t xml:space="preserve">a Sasanian court-in-exile in regions to the south of the </w:t>
      </w:r>
      <w:r>
        <w:rPr>
          <w:rFonts w:asciiTheme="majorBidi" w:hAnsiTheme="majorBidi" w:cstheme="majorBidi"/>
          <w:sz w:val="20"/>
          <w:szCs w:val="20"/>
        </w:rPr>
        <w:t>Hindukush</w:t>
      </w:r>
      <w:r w:rsidRPr="007D7B27">
        <w:rPr>
          <w:rFonts w:asciiTheme="majorBidi" w:hAnsiTheme="majorBidi" w:cstheme="majorBidi"/>
          <w:sz w:val="20"/>
          <w:szCs w:val="20"/>
        </w:rPr>
        <w:t>.</w:t>
      </w:r>
      <w:r>
        <w:rPr>
          <w:rFonts w:asciiTheme="majorBidi" w:hAnsiTheme="majorBidi" w:cstheme="majorBidi"/>
          <w:sz w:val="20"/>
          <w:szCs w:val="20"/>
        </w:rPr>
        <w:t xml:space="preserve"> What is clear is that the Sasanian princes and nobles were scattered and found in various locations.</w:t>
      </w:r>
    </w:p>
  </w:footnote>
  <w:footnote w:id="258">
    <w:p w14:paraId="466090FA" w14:textId="4C10659B" w:rsidR="00902FCD" w:rsidRPr="00D70CC0" w:rsidRDefault="00902FCD" w:rsidP="00D70CC0">
      <w:pPr>
        <w:pStyle w:val="FootnoteText"/>
        <w:spacing w:line="360" w:lineRule="auto"/>
        <w:rPr>
          <w:rFonts w:asciiTheme="majorBidi" w:hAnsiTheme="majorBidi" w:cstheme="majorBidi"/>
          <w:sz w:val="20"/>
          <w:szCs w:val="20"/>
        </w:rPr>
      </w:pPr>
      <w:r w:rsidRPr="00D70CC0">
        <w:rPr>
          <w:rFonts w:asciiTheme="majorBidi" w:hAnsiTheme="majorBidi" w:cstheme="majorBidi"/>
          <w:sz w:val="20"/>
          <w:szCs w:val="20"/>
          <w:vertAlign w:val="superscript"/>
        </w:rPr>
        <w:footnoteRef/>
      </w:r>
      <w:r w:rsidRPr="00D70CC0">
        <w:rPr>
          <w:rFonts w:asciiTheme="majorBidi" w:hAnsiTheme="majorBidi" w:cstheme="majorBidi"/>
          <w:sz w:val="20"/>
          <w:szCs w:val="20"/>
        </w:rPr>
        <w:t xml:space="preserve"> Al-Ṭabarī</w:t>
      </w:r>
      <w:r w:rsidRPr="00D70CC0">
        <w:rPr>
          <w:rFonts w:asciiTheme="majorBidi" w:hAnsiTheme="majorBidi" w:cstheme="majorBidi" w:hint="eastAsia"/>
          <w:sz w:val="20"/>
          <w:szCs w:val="20"/>
        </w:rPr>
        <w:t>,</w:t>
      </w:r>
      <w:r w:rsidRPr="00D70CC0">
        <w:rPr>
          <w:rFonts w:asciiTheme="majorBidi" w:hAnsiTheme="majorBidi" w:cstheme="majorBidi"/>
          <w:sz w:val="20"/>
          <w:szCs w:val="20"/>
        </w:rPr>
        <w:t xml:space="preserve"> 2001, volume 2, p. 621; </w:t>
      </w:r>
      <w:r>
        <w:rPr>
          <w:rFonts w:asciiTheme="majorBidi" w:hAnsiTheme="majorBidi" w:cstheme="majorBidi"/>
          <w:sz w:val="20"/>
          <w:szCs w:val="20"/>
        </w:rPr>
        <w:t>tr.</w:t>
      </w:r>
      <w:r w:rsidRPr="00321B2E">
        <w:rPr>
          <w:rFonts w:asciiTheme="majorBidi" w:hAnsiTheme="majorBidi" w:cstheme="majorBidi"/>
          <w:sz w:val="20"/>
          <w:szCs w:val="20"/>
        </w:rPr>
        <w:t xml:space="preserve">, 1990, </w:t>
      </w:r>
      <w:r w:rsidRPr="001D5A89">
        <w:rPr>
          <w:rFonts w:asciiTheme="majorBidi" w:hAnsiTheme="majorBidi" w:cstheme="majorBidi"/>
          <w:sz w:val="20"/>
          <w:szCs w:val="20"/>
        </w:rPr>
        <w:t>volume XV, p. 79</w:t>
      </w:r>
      <w:r>
        <w:rPr>
          <w:rFonts w:asciiTheme="majorBidi" w:hAnsiTheme="majorBidi" w:cstheme="majorBidi"/>
          <w:sz w:val="20"/>
          <w:szCs w:val="20"/>
        </w:rPr>
        <w:t xml:space="preserve">. As discussed above, </w:t>
      </w:r>
      <w:r w:rsidRPr="00321B2E">
        <w:rPr>
          <w:rFonts w:asciiTheme="majorBidi" w:hAnsiTheme="majorBidi" w:cstheme="majorBidi"/>
          <w:sz w:val="20"/>
          <w:szCs w:val="20"/>
        </w:rPr>
        <w:t xml:space="preserve">al-Madāʾinī </w:t>
      </w:r>
      <w:r>
        <w:rPr>
          <w:rFonts w:asciiTheme="majorBidi" w:hAnsiTheme="majorBidi" w:cstheme="majorBidi"/>
          <w:sz w:val="20"/>
          <w:szCs w:val="20"/>
        </w:rPr>
        <w:t>i</w:t>
      </w:r>
      <w:r w:rsidRPr="00321B2E">
        <w:rPr>
          <w:rFonts w:asciiTheme="majorBidi" w:hAnsiTheme="majorBidi" w:cstheme="majorBidi"/>
          <w:sz w:val="20"/>
          <w:szCs w:val="20"/>
        </w:rPr>
        <w:t>s more trustworthy</w:t>
      </w:r>
      <w:r>
        <w:rPr>
          <w:rFonts w:asciiTheme="majorBidi" w:hAnsiTheme="majorBidi" w:cstheme="majorBidi"/>
          <w:sz w:val="20"/>
          <w:szCs w:val="20"/>
        </w:rPr>
        <w:t xml:space="preserve"> than</w:t>
      </w:r>
      <w:r w:rsidRPr="00321B2E">
        <w:rPr>
          <w:rFonts w:asciiTheme="majorBidi" w:hAnsiTheme="majorBidi" w:cstheme="majorBidi"/>
          <w:sz w:val="20"/>
          <w:szCs w:val="20"/>
        </w:rPr>
        <w:t xml:space="preserve"> al-Kalbī</w:t>
      </w:r>
      <w:r>
        <w:rPr>
          <w:rFonts w:asciiTheme="majorBidi" w:hAnsiTheme="majorBidi" w:cstheme="majorBidi"/>
          <w:sz w:val="20"/>
          <w:szCs w:val="20"/>
        </w:rPr>
        <w:t xml:space="preserve">, the princess was a granddaughter of Yazdegerd, but not from Pērōz. </w:t>
      </w:r>
      <w:r w:rsidRPr="00D70CC0">
        <w:rPr>
          <w:rFonts w:asciiTheme="majorBidi" w:hAnsiTheme="majorBidi" w:cstheme="majorBidi"/>
          <w:sz w:val="20"/>
          <w:szCs w:val="20"/>
        </w:rPr>
        <w:t>Fowden suggests that the bathing beauty found in Quṣayr ‘Amra is possibly the captured Sasanian princess (2004, pp. 240-7).</w:t>
      </w:r>
    </w:p>
  </w:footnote>
  <w:footnote w:id="259">
    <w:p w14:paraId="108E6863" w14:textId="1F8BAEE5" w:rsidR="00902FCD" w:rsidRPr="00321B2E" w:rsidRDefault="00902FCD" w:rsidP="00682696">
      <w:pPr>
        <w:pStyle w:val="FootnoteText"/>
        <w:spacing w:line="360" w:lineRule="auto"/>
        <w:rPr>
          <w:rFonts w:asciiTheme="majorBidi" w:hAnsiTheme="majorBidi" w:cstheme="majorBidi"/>
          <w:sz w:val="20"/>
          <w:szCs w:val="20"/>
        </w:rPr>
      </w:pPr>
      <w:r w:rsidRPr="009366CC">
        <w:rPr>
          <w:rFonts w:asciiTheme="majorBidi" w:eastAsiaTheme="minorHAnsi" w:hAnsiTheme="majorBidi" w:cstheme="majorBidi"/>
          <w:sz w:val="20"/>
          <w:szCs w:val="20"/>
          <w:vertAlign w:val="superscript"/>
        </w:rPr>
        <w:footnoteRef/>
      </w:r>
      <w:r w:rsidRPr="009366CC">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Al-</w:t>
      </w:r>
      <w:r w:rsidRPr="00EB45C9">
        <w:rPr>
          <w:rFonts w:asciiTheme="majorBidi" w:eastAsiaTheme="minorHAnsi" w:hAnsiTheme="majorBidi" w:cstheme="majorBidi"/>
          <w:sz w:val="20"/>
          <w:szCs w:val="20"/>
        </w:rPr>
        <w:t>Ṭabarī</w:t>
      </w:r>
      <w:r>
        <w:rPr>
          <w:rFonts w:asciiTheme="majorBidi" w:eastAsiaTheme="minorHAnsi" w:hAnsiTheme="majorBidi" w:cstheme="majorBidi" w:hint="eastAsia"/>
          <w:sz w:val="20"/>
          <w:szCs w:val="20"/>
        </w:rPr>
        <w:t>,</w:t>
      </w:r>
      <w:r>
        <w:rPr>
          <w:rFonts w:asciiTheme="majorBidi" w:eastAsiaTheme="minorHAnsi" w:hAnsiTheme="majorBidi" w:cstheme="majorBidi"/>
          <w:sz w:val="20"/>
          <w:szCs w:val="20"/>
        </w:rPr>
        <w:t xml:space="preserve"> </w:t>
      </w:r>
      <w:r w:rsidRPr="00FF6CC5">
        <w:rPr>
          <w:rFonts w:asciiTheme="majorBidi" w:hAnsiTheme="majorBidi" w:cstheme="majorBidi"/>
          <w:sz w:val="20"/>
          <w:szCs w:val="20"/>
        </w:rPr>
        <w:t>2001, volume 4, p.</w:t>
      </w:r>
      <w:r>
        <w:rPr>
          <w:rFonts w:asciiTheme="majorBidi" w:hAnsiTheme="majorBidi" w:cstheme="majorBidi"/>
          <w:sz w:val="20"/>
          <w:szCs w:val="20"/>
        </w:rPr>
        <w:t xml:space="preserve"> 272; tr., </w:t>
      </w:r>
      <w:r w:rsidRPr="00E47BDC">
        <w:rPr>
          <w:rFonts w:asciiTheme="majorBidi" w:hAnsiTheme="majorBidi" w:cstheme="majorBidi"/>
          <w:sz w:val="20"/>
          <w:szCs w:val="20"/>
        </w:rPr>
        <w:t>1989, volume XXVI, p. 243</w:t>
      </w:r>
      <w:r>
        <w:rPr>
          <w:rFonts w:asciiTheme="majorBidi" w:hAnsiTheme="majorBidi" w:cstheme="majorBidi"/>
          <w:sz w:val="20"/>
          <w:szCs w:val="20"/>
        </w:rPr>
        <w:t xml:space="preserve">; </w:t>
      </w:r>
      <w:r>
        <w:rPr>
          <w:rFonts w:asciiTheme="majorBidi" w:eastAsiaTheme="minorHAnsi" w:hAnsiTheme="majorBidi" w:cstheme="majorBidi"/>
          <w:sz w:val="20"/>
          <w:szCs w:val="20"/>
        </w:rPr>
        <w:t xml:space="preserve">2001, volume 2, p. 621; </w:t>
      </w:r>
      <w:r>
        <w:rPr>
          <w:rFonts w:asciiTheme="majorBidi" w:hAnsiTheme="majorBidi" w:cstheme="majorBidi"/>
          <w:sz w:val="20"/>
          <w:szCs w:val="20"/>
        </w:rPr>
        <w:t>tr.</w:t>
      </w:r>
      <w:r w:rsidRPr="00321B2E">
        <w:rPr>
          <w:rFonts w:asciiTheme="majorBidi" w:hAnsiTheme="majorBidi" w:cstheme="majorBidi"/>
          <w:sz w:val="20"/>
          <w:szCs w:val="20"/>
        </w:rPr>
        <w:t xml:space="preserve">, 1990, </w:t>
      </w:r>
      <w:r w:rsidRPr="001D5A89">
        <w:rPr>
          <w:rFonts w:asciiTheme="majorBidi" w:hAnsiTheme="majorBidi" w:cstheme="majorBidi"/>
          <w:sz w:val="20"/>
          <w:szCs w:val="20"/>
        </w:rPr>
        <w:t>volume XV, p. 79</w:t>
      </w:r>
      <w:r>
        <w:rPr>
          <w:rFonts w:asciiTheme="majorBidi" w:hAnsiTheme="majorBidi" w:cstheme="majorBidi"/>
          <w:sz w:val="20"/>
          <w:szCs w:val="20"/>
        </w:rPr>
        <w:t>. See note 216 for the discussion of the identity of the Sasanian princess.</w:t>
      </w:r>
    </w:p>
  </w:footnote>
  <w:footnote w:id="260">
    <w:p w14:paraId="1514AF66" w14:textId="1B46A5BD" w:rsidR="00902FCD" w:rsidRDefault="00902FCD" w:rsidP="00931C9F">
      <w:pPr>
        <w:pStyle w:val="FootnoteText"/>
        <w:spacing w:line="360" w:lineRule="auto"/>
        <w:rPr>
          <w:rFonts w:asciiTheme="majorBidi" w:hAnsiTheme="majorBidi" w:cstheme="majorBidi"/>
          <w:sz w:val="20"/>
          <w:szCs w:val="20"/>
        </w:rPr>
      </w:pPr>
      <w:r w:rsidRPr="00321B2E">
        <w:rPr>
          <w:rFonts w:asciiTheme="majorBidi" w:hAnsiTheme="majorBidi" w:cstheme="majorBidi"/>
          <w:sz w:val="20"/>
          <w:szCs w:val="20"/>
          <w:vertAlign w:val="superscript"/>
        </w:rPr>
        <w:footnoteRef/>
      </w:r>
      <w:r w:rsidRPr="00321B2E">
        <w:rPr>
          <w:rFonts w:asciiTheme="majorBidi" w:hAnsiTheme="majorBidi" w:cstheme="majorBidi"/>
          <w:sz w:val="20"/>
          <w:szCs w:val="20"/>
          <w:vertAlign w:val="superscript"/>
        </w:rPr>
        <w:t xml:space="preserve"> </w:t>
      </w:r>
      <w:r w:rsidRPr="00AF3CAB">
        <w:rPr>
          <w:rFonts w:asciiTheme="majorBidi" w:hAnsiTheme="majorBidi" w:cstheme="majorBidi"/>
          <w:sz w:val="20"/>
          <w:szCs w:val="20"/>
        </w:rPr>
        <w:t xml:space="preserve">The Samanids (819-999 CE) in Khurasasan claimed to be descendants of Bahrām Chūbīn, who revolted and ruled Persia for a brief duration </w:t>
      </w:r>
      <w:r>
        <w:rPr>
          <w:rFonts w:asciiTheme="majorBidi" w:hAnsiTheme="majorBidi" w:cstheme="majorBidi"/>
          <w:sz w:val="20"/>
          <w:szCs w:val="20"/>
        </w:rPr>
        <w:t>at the end of the 6</w:t>
      </w:r>
      <w:r w:rsidRPr="00711CDD">
        <w:rPr>
          <w:rFonts w:asciiTheme="majorBidi" w:hAnsiTheme="majorBidi" w:cstheme="majorBidi"/>
          <w:sz w:val="20"/>
          <w:szCs w:val="20"/>
          <w:vertAlign w:val="superscript"/>
        </w:rPr>
        <w:t>th</w:t>
      </w:r>
      <w:r>
        <w:rPr>
          <w:rFonts w:asciiTheme="majorBidi" w:hAnsiTheme="majorBidi" w:cstheme="majorBidi"/>
          <w:sz w:val="20"/>
          <w:szCs w:val="20"/>
        </w:rPr>
        <w:t xml:space="preserve"> century </w:t>
      </w:r>
      <w:r w:rsidRPr="00AF3CAB">
        <w:rPr>
          <w:rFonts w:asciiTheme="majorBidi" w:hAnsiTheme="majorBidi" w:cstheme="majorBidi"/>
          <w:sz w:val="20"/>
          <w:szCs w:val="20"/>
        </w:rPr>
        <w:t>(Bosworth, 1973, pp. 58-9).</w:t>
      </w:r>
      <w:r>
        <w:rPr>
          <w:rFonts w:asciiTheme="majorBidi" w:hAnsiTheme="majorBidi" w:cstheme="majorBidi"/>
          <w:sz w:val="20"/>
          <w:szCs w:val="20"/>
        </w:rPr>
        <w:t xml:space="preserve"> This is reflected in the </w:t>
      </w:r>
      <w:proofErr w:type="gramStart"/>
      <w:r>
        <w:rPr>
          <w:rFonts w:asciiTheme="majorBidi" w:hAnsiTheme="majorBidi" w:cstheme="majorBidi"/>
          <w:sz w:val="20"/>
          <w:szCs w:val="20"/>
        </w:rPr>
        <w:t>Bal‘</w:t>
      </w:r>
      <w:proofErr w:type="gramEnd"/>
      <w:r>
        <w:rPr>
          <w:rFonts w:asciiTheme="majorBidi" w:hAnsiTheme="majorBidi" w:cstheme="majorBidi"/>
          <w:sz w:val="20"/>
          <w:szCs w:val="20"/>
        </w:rPr>
        <w:t xml:space="preserve">amī’s Persian </w:t>
      </w:r>
      <w:r w:rsidRPr="00403313">
        <w:rPr>
          <w:rFonts w:asciiTheme="majorBidi" w:hAnsiTheme="majorBidi" w:cstheme="majorBidi"/>
          <w:i/>
          <w:iCs/>
          <w:sz w:val="20"/>
          <w:szCs w:val="20"/>
        </w:rPr>
        <w:t>Tārīkhnāma</w:t>
      </w:r>
      <w:r>
        <w:rPr>
          <w:rFonts w:asciiTheme="majorBidi" w:hAnsiTheme="majorBidi" w:cstheme="majorBidi"/>
          <w:sz w:val="20"/>
          <w:szCs w:val="20"/>
        </w:rPr>
        <w:t>, which includes an elaborated account of Bahrām in comparison to al-</w:t>
      </w:r>
      <w:r w:rsidRPr="00EB45C9">
        <w:rPr>
          <w:rFonts w:asciiTheme="majorBidi" w:eastAsiaTheme="minorHAnsi" w:hAnsiTheme="majorBidi" w:cstheme="majorBidi"/>
          <w:sz w:val="20"/>
          <w:szCs w:val="20"/>
        </w:rPr>
        <w:t>Ṭabarī</w:t>
      </w:r>
      <w:r>
        <w:rPr>
          <w:rFonts w:asciiTheme="majorBidi" w:eastAsiaTheme="minorHAnsi" w:hAnsiTheme="majorBidi" w:cstheme="majorBidi"/>
          <w:sz w:val="20"/>
          <w:szCs w:val="20"/>
        </w:rPr>
        <w:t xml:space="preserve">, although it is claimed as an abridged translation of </w:t>
      </w:r>
      <w:r>
        <w:rPr>
          <w:rFonts w:asciiTheme="majorBidi" w:hAnsiTheme="majorBidi" w:cstheme="majorBidi"/>
          <w:sz w:val="20"/>
          <w:szCs w:val="20"/>
        </w:rPr>
        <w:t>al-</w:t>
      </w:r>
      <w:r w:rsidRPr="00EB45C9">
        <w:rPr>
          <w:rFonts w:asciiTheme="majorBidi" w:eastAsiaTheme="minorHAnsi" w:hAnsiTheme="majorBidi" w:cstheme="majorBidi"/>
          <w:sz w:val="20"/>
          <w:szCs w:val="20"/>
        </w:rPr>
        <w:t>Ṭabarī</w:t>
      </w:r>
      <w:r>
        <w:rPr>
          <w:rFonts w:asciiTheme="majorBidi" w:eastAsiaTheme="minorHAnsi" w:hAnsiTheme="majorBidi" w:cstheme="majorBidi"/>
          <w:sz w:val="20"/>
          <w:szCs w:val="20"/>
        </w:rPr>
        <w:t>’s history (Peacock, 2007, pp. 4-6, 90-1). It is interesting to notice that the last Sasanians were not welcomed by the local rulers of the eastern frontiers of the Empire, but later Persian dynasties in Central Asia claimed themselves as the Sasanian descendents. This reflects that their prestige and the legitimacy to rule among the Persians were useful to later dynasties. This is of course true for the local rulers in the eastern frontiers of the Sasanian Empire in the 7</w:t>
      </w:r>
      <w:r w:rsidRPr="00DB4CF8">
        <w:rPr>
          <w:rFonts w:asciiTheme="majorBidi" w:eastAsiaTheme="minorHAnsi" w:hAnsiTheme="majorBidi" w:cstheme="majorBidi"/>
          <w:sz w:val="20"/>
          <w:szCs w:val="20"/>
          <w:vertAlign w:val="superscript"/>
        </w:rPr>
        <w:t>th</w:t>
      </w:r>
      <w:r>
        <w:rPr>
          <w:rFonts w:asciiTheme="majorBidi" w:eastAsiaTheme="minorHAnsi" w:hAnsiTheme="majorBidi" w:cstheme="majorBidi"/>
          <w:sz w:val="20"/>
          <w:szCs w:val="20"/>
        </w:rPr>
        <w:t xml:space="preserve"> century. However, the threat of the Sasanians to establish a central administration at the expenses of their independence makes the Sasanian monarch Yazdegerd and princes Pērōz and Narseh unwelcome.</w:t>
      </w:r>
    </w:p>
    <w:p w14:paraId="4CA04F93" w14:textId="0BD2124C" w:rsidR="00902FCD" w:rsidRPr="00AF3CAB" w:rsidRDefault="00902FCD" w:rsidP="00931C9F">
      <w:pPr>
        <w:pStyle w:val="FootnoteText"/>
        <w:spacing w:line="360" w:lineRule="auto"/>
        <w:rPr>
          <w:rFonts w:asciiTheme="majorBidi" w:hAnsiTheme="majorBidi" w:cstheme="majorBidi"/>
          <w:sz w:val="20"/>
          <w:szCs w:val="20"/>
        </w:rPr>
      </w:pPr>
      <w:r>
        <w:rPr>
          <w:rFonts w:asciiTheme="majorBidi" w:hAnsiTheme="majorBidi" w:cstheme="majorBidi"/>
          <w:sz w:val="20"/>
          <w:szCs w:val="20"/>
        </w:rPr>
        <w:t>Another legacy of the Sasanians is the era of Yazdegerd, which was circulated among the Zoroastrians (al-Bīrūnī, 1923, p. 31; tr., 1879, p. 35-6), as attested by the epitaph of Suren’s wife (Liu, 1990, pp. 298-9, 301; Baghbidi, 2011, pp. 107, 109, 112-3).</w:t>
      </w:r>
    </w:p>
  </w:footnote>
  <w:footnote w:id="261">
    <w:p w14:paraId="08BAF427" w14:textId="1276D230" w:rsidR="00902FCD" w:rsidRPr="006B0C51" w:rsidRDefault="00902FCD" w:rsidP="006B0C51">
      <w:pPr>
        <w:pStyle w:val="FootnoteText"/>
        <w:spacing w:line="360" w:lineRule="auto"/>
        <w:rPr>
          <w:rFonts w:asciiTheme="majorBidi" w:hAnsiTheme="majorBidi" w:cstheme="majorBidi"/>
          <w:sz w:val="20"/>
          <w:szCs w:val="20"/>
        </w:rPr>
      </w:pPr>
      <w:r w:rsidRPr="006B0C51">
        <w:rPr>
          <w:rFonts w:asciiTheme="majorBidi" w:hAnsiTheme="majorBidi" w:cstheme="majorBidi"/>
          <w:sz w:val="20"/>
          <w:szCs w:val="20"/>
          <w:vertAlign w:val="superscript"/>
        </w:rPr>
        <w:footnoteRef/>
      </w:r>
      <w:r w:rsidRPr="006B0C51">
        <w:rPr>
          <w:rFonts w:asciiTheme="majorBidi" w:hAnsiTheme="majorBidi" w:cstheme="majorBidi"/>
          <w:sz w:val="20"/>
          <w:szCs w:val="20"/>
        </w:rPr>
        <w:t xml:space="preserve"> The Indian world is found to the south of the Hindukush and different from modern India </w:t>
      </w:r>
      <w:r>
        <w:rPr>
          <w:rFonts w:asciiTheme="majorBidi" w:hAnsiTheme="majorBidi" w:cstheme="majorBidi"/>
          <w:sz w:val="20"/>
          <w:szCs w:val="20"/>
        </w:rPr>
        <w:t>(Agostini and Stark, 2016, p. 30).</w:t>
      </w:r>
    </w:p>
  </w:footnote>
  <w:footnote w:id="262">
    <w:p w14:paraId="55E0647D" w14:textId="11E3273D" w:rsidR="00902FCD" w:rsidRPr="00830751" w:rsidRDefault="00902FCD" w:rsidP="0042752C">
      <w:pPr>
        <w:pStyle w:val="FootnoteText"/>
        <w:spacing w:line="360" w:lineRule="auto"/>
        <w:rPr>
          <w:rFonts w:asciiTheme="majorBidi" w:hAnsiTheme="majorBidi" w:cstheme="majorBidi"/>
          <w:sz w:val="20"/>
          <w:szCs w:val="20"/>
        </w:rPr>
      </w:pPr>
      <w:r w:rsidRPr="00830751">
        <w:rPr>
          <w:rFonts w:asciiTheme="majorBidi" w:hAnsiTheme="majorBidi" w:cstheme="majorBidi"/>
          <w:sz w:val="20"/>
          <w:szCs w:val="20"/>
          <w:vertAlign w:val="superscript"/>
        </w:rPr>
        <w:footnoteRef/>
      </w:r>
      <w:r w:rsidRPr="00830751">
        <w:rPr>
          <w:rFonts w:asciiTheme="majorBidi" w:hAnsiTheme="majorBidi" w:cstheme="majorBidi"/>
          <w:sz w:val="20"/>
          <w:szCs w:val="20"/>
        </w:rPr>
        <w:t xml:space="preserve"> </w:t>
      </w:r>
      <w:r>
        <w:rPr>
          <w:rFonts w:asciiTheme="majorBidi" w:hAnsiTheme="majorBidi" w:cstheme="majorBidi"/>
          <w:sz w:val="20"/>
          <w:szCs w:val="20"/>
        </w:rPr>
        <w:t xml:space="preserve">Daryaee, 2012, pp. 5-11; </w:t>
      </w:r>
      <w:r w:rsidRPr="00830751">
        <w:rPr>
          <w:rFonts w:asciiTheme="majorBidi" w:hAnsiTheme="majorBidi" w:cstheme="majorBidi"/>
          <w:sz w:val="20"/>
          <w:szCs w:val="20"/>
        </w:rPr>
        <w:t>Compareti, 2003, pp. 205-6.</w:t>
      </w:r>
      <w:r>
        <w:rPr>
          <w:rFonts w:asciiTheme="majorBidi" w:hAnsiTheme="majorBidi" w:cstheme="majorBidi"/>
          <w:sz w:val="20"/>
          <w:szCs w:val="20"/>
        </w:rPr>
        <w:t xml:space="preserve"> </w:t>
      </w:r>
    </w:p>
  </w:footnote>
  <w:footnote w:id="263">
    <w:p w14:paraId="15C673CB" w14:textId="77777777" w:rsidR="00902FCD" w:rsidRPr="004C31D5" w:rsidRDefault="00902FCD" w:rsidP="008B6236">
      <w:pPr>
        <w:pStyle w:val="FootnoteText"/>
        <w:spacing w:line="360" w:lineRule="auto"/>
        <w:rPr>
          <w:rFonts w:asciiTheme="majorBidi" w:eastAsiaTheme="minorHAnsi" w:hAnsiTheme="majorBidi" w:cstheme="majorBidi"/>
          <w:sz w:val="20"/>
          <w:szCs w:val="20"/>
        </w:rPr>
      </w:pPr>
      <w:r w:rsidRPr="004C31D5">
        <w:rPr>
          <w:rFonts w:asciiTheme="majorBidi" w:eastAsiaTheme="minorHAnsi" w:hAnsiTheme="majorBidi" w:cstheme="majorBidi"/>
          <w:sz w:val="20"/>
          <w:szCs w:val="20"/>
          <w:vertAlign w:val="superscript"/>
        </w:rPr>
        <w:footnoteRef/>
      </w:r>
      <w:r w:rsidRPr="004C31D5">
        <w:rPr>
          <w:rFonts w:asciiTheme="majorBidi" w:eastAsiaTheme="minorHAnsi" w:hAnsiTheme="majorBidi" w:cstheme="majorBidi"/>
          <w:sz w:val="20"/>
          <w:szCs w:val="20"/>
          <w:vertAlign w:val="superscript"/>
        </w:rPr>
        <w:t xml:space="preserve"> </w:t>
      </w:r>
      <w:r w:rsidRPr="004C31D5">
        <w:rPr>
          <w:rFonts w:asciiTheme="majorBidi" w:eastAsiaTheme="minorHAnsi" w:hAnsiTheme="majorBidi" w:cstheme="majorBidi"/>
          <w:sz w:val="20"/>
          <w:szCs w:val="20"/>
        </w:rPr>
        <w:t>Pashazanous and Afkande, 2014, p. 143.</w:t>
      </w:r>
    </w:p>
  </w:footnote>
  <w:footnote w:id="264">
    <w:p w14:paraId="7954FD39" w14:textId="77777777" w:rsidR="00902FCD" w:rsidRPr="00016698" w:rsidRDefault="00902FCD" w:rsidP="008B6236">
      <w:pPr>
        <w:pStyle w:val="FootnoteText"/>
        <w:spacing w:line="360" w:lineRule="auto"/>
        <w:rPr>
          <w:rFonts w:asciiTheme="majorBidi" w:eastAsiaTheme="minorHAnsi" w:hAnsiTheme="majorBidi" w:cstheme="majorBidi"/>
          <w:sz w:val="20"/>
          <w:szCs w:val="20"/>
        </w:rPr>
      </w:pPr>
      <w:r w:rsidRPr="00016698">
        <w:rPr>
          <w:rFonts w:asciiTheme="majorBidi" w:eastAsiaTheme="minorHAnsi" w:hAnsiTheme="majorBidi" w:cstheme="majorBidi"/>
          <w:sz w:val="20"/>
          <w:szCs w:val="20"/>
          <w:vertAlign w:val="superscript"/>
        </w:rPr>
        <w:footnoteRef/>
      </w:r>
      <w:r w:rsidRPr="00016698">
        <w:rPr>
          <w:rFonts w:asciiTheme="majorBidi" w:eastAsiaTheme="minorHAnsi" w:hAnsiTheme="majorBidi" w:cstheme="majorBidi"/>
          <w:sz w:val="20"/>
          <w:szCs w:val="20"/>
        </w:rPr>
        <w:t xml:space="preserve"> </w:t>
      </w:r>
      <w:r w:rsidRPr="00016698">
        <w:rPr>
          <w:rFonts w:asciiTheme="majorBidi" w:eastAsiaTheme="minorHAnsi" w:hAnsiTheme="majorBidi" w:cstheme="majorBidi" w:hint="eastAsia"/>
          <w:sz w:val="20"/>
          <w:szCs w:val="20"/>
        </w:rPr>
        <w:t>R</w:t>
      </w:r>
      <w:r w:rsidRPr="00016698">
        <w:rPr>
          <w:rFonts w:asciiTheme="majorBidi" w:eastAsiaTheme="minorHAnsi" w:hAnsiTheme="majorBidi" w:cstheme="majorBidi"/>
          <w:sz w:val="20"/>
          <w:szCs w:val="20"/>
        </w:rPr>
        <w:t>ong, 2015, p. 65.</w:t>
      </w:r>
    </w:p>
  </w:footnote>
  <w:footnote w:id="265">
    <w:p w14:paraId="4C8362AD" w14:textId="10E6619F" w:rsidR="00902FCD" w:rsidRPr="009548E1" w:rsidRDefault="00902FCD" w:rsidP="008B6236">
      <w:pPr>
        <w:pStyle w:val="FootnoteText"/>
        <w:spacing w:line="360" w:lineRule="auto"/>
        <w:rPr>
          <w:rFonts w:asciiTheme="majorBidi" w:eastAsiaTheme="minorHAnsi" w:hAnsiTheme="majorBidi" w:cstheme="majorBidi"/>
          <w:sz w:val="20"/>
          <w:szCs w:val="20"/>
        </w:rPr>
      </w:pPr>
      <w:r w:rsidRPr="00836512">
        <w:rPr>
          <w:rFonts w:asciiTheme="majorBidi" w:eastAsiaTheme="minorHAnsi" w:hAnsiTheme="majorBidi" w:cstheme="majorBidi"/>
          <w:sz w:val="20"/>
          <w:szCs w:val="20"/>
          <w:vertAlign w:val="superscript"/>
        </w:rPr>
        <w:footnoteRef/>
      </w:r>
      <w:r w:rsidRPr="00836512">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The account found in al</w:t>
      </w:r>
      <w:r w:rsidRPr="00AF620F">
        <w:rPr>
          <w:rFonts w:asciiTheme="majorBidi" w:eastAsiaTheme="minorHAnsi" w:hAnsiTheme="majorBidi" w:cstheme="majorBidi"/>
          <w:sz w:val="20"/>
          <w:szCs w:val="20"/>
        </w:rPr>
        <w:t>-</w:t>
      </w:r>
      <w:r w:rsidRPr="00EB45C9">
        <w:rPr>
          <w:rFonts w:asciiTheme="majorBidi" w:eastAsiaTheme="minorHAnsi" w:hAnsiTheme="majorBidi" w:cstheme="majorBidi"/>
          <w:sz w:val="20"/>
          <w:szCs w:val="20"/>
        </w:rPr>
        <w:t>Ṭabarī</w:t>
      </w:r>
      <w:r>
        <w:rPr>
          <w:rFonts w:asciiTheme="majorBidi" w:eastAsiaTheme="minorHAnsi" w:hAnsiTheme="majorBidi" w:cstheme="majorBidi"/>
          <w:sz w:val="20"/>
          <w:szCs w:val="20"/>
        </w:rPr>
        <w:t xml:space="preserve"> (2001, volume 2, p. 549; </w:t>
      </w:r>
      <w:r>
        <w:rPr>
          <w:rFonts w:asciiTheme="majorBidi" w:hAnsiTheme="majorBidi" w:cstheme="majorBidi"/>
          <w:sz w:val="20"/>
          <w:szCs w:val="20"/>
        </w:rPr>
        <w:t>tr.</w:t>
      </w:r>
      <w:r w:rsidRPr="00836512">
        <w:rPr>
          <w:rFonts w:asciiTheme="majorBidi" w:eastAsiaTheme="minorHAnsi" w:hAnsiTheme="majorBidi" w:cstheme="majorBidi"/>
          <w:sz w:val="20"/>
          <w:szCs w:val="20"/>
        </w:rPr>
        <w:t>, 1994, volume XIV, p</w:t>
      </w:r>
      <w:r>
        <w:rPr>
          <w:rFonts w:asciiTheme="majorBidi" w:eastAsiaTheme="minorHAnsi" w:hAnsiTheme="majorBidi" w:cstheme="majorBidi"/>
          <w:sz w:val="20"/>
          <w:szCs w:val="20"/>
        </w:rPr>
        <w:t>p</w:t>
      </w:r>
      <w:r w:rsidRPr="00836512">
        <w:rPr>
          <w:rFonts w:asciiTheme="majorBidi" w:eastAsiaTheme="minorHAnsi" w:hAnsiTheme="majorBidi" w:cstheme="majorBidi"/>
          <w:sz w:val="20"/>
          <w:szCs w:val="20"/>
        </w:rPr>
        <w:t>. 60-2</w:t>
      </w:r>
      <w:r>
        <w:rPr>
          <w:rFonts w:asciiTheme="majorBidi" w:eastAsiaTheme="minorHAnsi" w:hAnsiTheme="majorBidi" w:cstheme="majorBidi"/>
          <w:sz w:val="20"/>
          <w:szCs w:val="20"/>
        </w:rPr>
        <w:t>) is problematic chronologically</w:t>
      </w:r>
      <w:r w:rsidRPr="00836512">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Request for military assistance was declined by the Taizong Emperor </w:t>
      </w:r>
      <w:r w:rsidRPr="009548E1">
        <w:rPr>
          <w:rFonts w:asciiTheme="majorBidi" w:eastAsiaTheme="minorHAnsi" w:hAnsiTheme="majorBidi" w:cstheme="majorBidi"/>
          <w:sz w:val="20"/>
          <w:szCs w:val="20"/>
        </w:rPr>
        <w:t>(626-49 CE).</w:t>
      </w:r>
    </w:p>
  </w:footnote>
  <w:footnote w:id="266">
    <w:p w14:paraId="26E1A8A2" w14:textId="0FFA1798" w:rsidR="00902FCD" w:rsidRPr="00090F35" w:rsidRDefault="00902FCD" w:rsidP="00090F35">
      <w:pPr>
        <w:pStyle w:val="FootnoteText"/>
        <w:spacing w:line="360" w:lineRule="auto"/>
        <w:rPr>
          <w:rFonts w:asciiTheme="majorBidi" w:eastAsiaTheme="minorHAnsi" w:hAnsiTheme="majorBidi" w:cstheme="majorBidi"/>
          <w:sz w:val="20"/>
          <w:szCs w:val="20"/>
        </w:rPr>
      </w:pPr>
      <w:r w:rsidRPr="00090F35">
        <w:rPr>
          <w:rFonts w:asciiTheme="majorBidi" w:eastAsiaTheme="minorHAnsi" w:hAnsiTheme="majorBidi" w:cstheme="majorBidi"/>
          <w:sz w:val="20"/>
          <w:szCs w:val="20"/>
          <w:vertAlign w:val="superscript"/>
        </w:rPr>
        <w:footnoteRef/>
      </w:r>
      <w:r w:rsidRPr="00090F35">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A</w:t>
      </w:r>
      <w:r w:rsidRPr="008D5660">
        <w:rPr>
          <w:rFonts w:asciiTheme="majorBidi" w:eastAsiaTheme="minorHAnsi" w:hAnsiTheme="majorBidi" w:cstheme="majorBidi"/>
          <w:sz w:val="20"/>
          <w:szCs w:val="20"/>
        </w:rPr>
        <w:t>l-Ṭabarī</w:t>
      </w:r>
      <w:r>
        <w:rPr>
          <w:rFonts w:asciiTheme="majorBidi" w:eastAsiaTheme="minorHAnsi" w:hAnsiTheme="majorBidi" w:cstheme="majorBidi"/>
          <w:sz w:val="20"/>
          <w:szCs w:val="20"/>
        </w:rPr>
        <w:t>, 2001, volume 2, p. 548; tr., 1994, volume XIV, p. 59. Of course, the first option is the Turks. But it is noteworthy that China was a candidate for Yazdegerd even at this stage.</w:t>
      </w:r>
    </w:p>
  </w:footnote>
  <w:footnote w:id="267">
    <w:p w14:paraId="30F6AC0F" w14:textId="77777777" w:rsidR="00902FCD" w:rsidRPr="009548E1" w:rsidRDefault="00902FCD" w:rsidP="00480BDD">
      <w:pPr>
        <w:pStyle w:val="FootnoteText"/>
        <w:spacing w:line="360" w:lineRule="auto"/>
        <w:rPr>
          <w:rFonts w:asciiTheme="majorBidi" w:hAnsiTheme="majorBidi" w:cstheme="majorBidi"/>
          <w:sz w:val="20"/>
          <w:szCs w:val="20"/>
        </w:rPr>
      </w:pPr>
      <w:r w:rsidRPr="009548E1">
        <w:rPr>
          <w:rStyle w:val="FootnoteReference"/>
          <w:rFonts w:asciiTheme="majorBidi" w:hAnsiTheme="majorBidi" w:cstheme="majorBidi"/>
          <w:sz w:val="20"/>
          <w:szCs w:val="20"/>
        </w:rPr>
        <w:footnoteRef/>
      </w:r>
      <w:r w:rsidRPr="009548E1">
        <w:rPr>
          <w:rFonts w:asciiTheme="majorBidi" w:hAnsiTheme="majorBidi" w:cstheme="majorBidi"/>
          <w:sz w:val="20"/>
          <w:szCs w:val="20"/>
        </w:rPr>
        <w:t xml:space="preserve"> Pashazanous and Afkande, 2014, p. 144; Rong, 2015, p. 65; Agostini and Stark, 2016, p. 18.</w:t>
      </w:r>
    </w:p>
  </w:footnote>
  <w:footnote w:id="268">
    <w:p w14:paraId="5FED83DE" w14:textId="7DDC4984" w:rsidR="00902FCD" w:rsidRPr="009548E1" w:rsidRDefault="00902FCD" w:rsidP="007F0D09">
      <w:pPr>
        <w:pStyle w:val="FootnoteText"/>
        <w:spacing w:line="360" w:lineRule="auto"/>
        <w:rPr>
          <w:rFonts w:asciiTheme="majorBidi" w:hAnsiTheme="majorBidi" w:cstheme="majorBidi"/>
          <w:sz w:val="20"/>
          <w:szCs w:val="20"/>
        </w:rPr>
      </w:pPr>
      <w:r w:rsidRPr="009548E1">
        <w:rPr>
          <w:rFonts w:asciiTheme="majorBidi" w:hAnsiTheme="majorBidi" w:cstheme="majorBidi"/>
          <w:sz w:val="20"/>
          <w:szCs w:val="20"/>
          <w:vertAlign w:val="superscript"/>
        </w:rPr>
        <w:footnoteRef/>
      </w:r>
      <w:r w:rsidRPr="009548E1">
        <w:rPr>
          <w:rFonts w:asciiTheme="majorBidi" w:hAnsiTheme="majorBidi" w:cstheme="majorBidi"/>
          <w:sz w:val="20"/>
          <w:szCs w:val="20"/>
        </w:rPr>
        <w:t xml:space="preserve"> Although it is hard to know the number of Persian merchants in late 7</w:t>
      </w:r>
      <w:r w:rsidRPr="009548E1">
        <w:rPr>
          <w:rFonts w:asciiTheme="majorBidi" w:hAnsiTheme="majorBidi" w:cstheme="majorBidi"/>
          <w:sz w:val="20"/>
          <w:szCs w:val="20"/>
          <w:vertAlign w:val="superscript"/>
        </w:rPr>
        <w:t>th</w:t>
      </w:r>
      <w:r w:rsidRPr="009548E1">
        <w:rPr>
          <w:rFonts w:asciiTheme="majorBidi" w:hAnsiTheme="majorBidi" w:cstheme="majorBidi"/>
          <w:sz w:val="20"/>
          <w:szCs w:val="20"/>
        </w:rPr>
        <w:t xml:space="preserve"> and early 8</w:t>
      </w:r>
      <w:r w:rsidRPr="009548E1">
        <w:rPr>
          <w:rFonts w:asciiTheme="majorBidi" w:hAnsiTheme="majorBidi" w:cstheme="majorBidi"/>
          <w:sz w:val="20"/>
          <w:szCs w:val="20"/>
          <w:vertAlign w:val="superscript"/>
        </w:rPr>
        <w:t>th</w:t>
      </w:r>
      <w:r w:rsidRPr="009548E1">
        <w:rPr>
          <w:rFonts w:asciiTheme="majorBidi" w:hAnsiTheme="majorBidi" w:cstheme="majorBidi"/>
          <w:sz w:val="20"/>
          <w:szCs w:val="20"/>
        </w:rPr>
        <w:t xml:space="preserve"> century, Chinese sources testify that both Guangzhou and Yangzhou had several thousands of Persian merchants in the middle of the 8</w:t>
      </w:r>
      <w:r w:rsidRPr="009548E1">
        <w:rPr>
          <w:rFonts w:asciiTheme="majorBidi" w:hAnsiTheme="majorBidi" w:cstheme="majorBidi"/>
          <w:sz w:val="20"/>
          <w:szCs w:val="20"/>
          <w:vertAlign w:val="superscript"/>
        </w:rPr>
        <w:t>th</w:t>
      </w:r>
      <w:r w:rsidRPr="009548E1">
        <w:rPr>
          <w:rFonts w:asciiTheme="majorBidi" w:hAnsiTheme="majorBidi" w:cstheme="majorBidi"/>
          <w:sz w:val="20"/>
          <w:szCs w:val="20"/>
        </w:rPr>
        <w:t xml:space="preserve"> century (Rong, 2015, pp. 69, 72-5). Abū Zayd al-Sīrāfī from the 10</w:t>
      </w:r>
      <w:r w:rsidRPr="009548E1">
        <w:rPr>
          <w:rFonts w:asciiTheme="majorBidi" w:hAnsiTheme="majorBidi" w:cstheme="majorBidi"/>
          <w:sz w:val="20"/>
          <w:szCs w:val="20"/>
          <w:vertAlign w:val="superscript"/>
        </w:rPr>
        <w:t>th</w:t>
      </w:r>
      <w:r w:rsidRPr="009548E1">
        <w:rPr>
          <w:rFonts w:asciiTheme="majorBidi" w:hAnsiTheme="majorBidi" w:cstheme="majorBidi"/>
          <w:sz w:val="20"/>
          <w:szCs w:val="20"/>
        </w:rPr>
        <w:t xml:space="preserve"> century report</w:t>
      </w:r>
      <w:r>
        <w:rPr>
          <w:rFonts w:asciiTheme="majorBidi" w:hAnsiTheme="majorBidi" w:cstheme="majorBidi"/>
          <w:sz w:val="20"/>
          <w:szCs w:val="20"/>
        </w:rPr>
        <w:t>s</w:t>
      </w:r>
      <w:r w:rsidRPr="009548E1">
        <w:rPr>
          <w:rFonts w:asciiTheme="majorBidi" w:hAnsiTheme="majorBidi" w:cstheme="majorBidi"/>
          <w:sz w:val="20"/>
          <w:szCs w:val="20"/>
        </w:rPr>
        <w:t xml:space="preserve"> that Huangchao massacred 120,000 Jews, Christians and Zoroastrians when he captured Guangzhou (2014, pp. 66-9). Although the number is </w:t>
      </w:r>
      <w:r>
        <w:rPr>
          <w:rFonts w:asciiTheme="majorBidi" w:hAnsiTheme="majorBidi" w:cstheme="majorBidi"/>
          <w:sz w:val="20"/>
          <w:szCs w:val="20"/>
        </w:rPr>
        <w:t>most probably</w:t>
      </w:r>
      <w:r w:rsidRPr="009548E1">
        <w:rPr>
          <w:rFonts w:asciiTheme="majorBidi" w:hAnsiTheme="majorBidi" w:cstheme="majorBidi"/>
          <w:sz w:val="20"/>
          <w:szCs w:val="20"/>
        </w:rPr>
        <w:t xml:space="preserve"> exaggerated, it reflects the prosperity of foreign trade and the great number of foreign traders including a large portion of Persians.</w:t>
      </w:r>
    </w:p>
  </w:footnote>
  <w:footnote w:id="269">
    <w:p w14:paraId="6CED77C7" w14:textId="5AEFF5E7" w:rsidR="00902FCD" w:rsidRPr="009548E1" w:rsidRDefault="00902FCD" w:rsidP="00090F35">
      <w:pPr>
        <w:pStyle w:val="FootnoteText"/>
        <w:spacing w:line="360" w:lineRule="auto"/>
        <w:rPr>
          <w:rFonts w:asciiTheme="majorBidi" w:hAnsiTheme="majorBidi" w:cstheme="majorBidi"/>
          <w:sz w:val="20"/>
          <w:szCs w:val="20"/>
        </w:rPr>
      </w:pPr>
      <w:r w:rsidRPr="009548E1">
        <w:rPr>
          <w:rFonts w:asciiTheme="majorBidi" w:hAnsiTheme="majorBidi" w:cstheme="majorBidi"/>
          <w:sz w:val="20"/>
          <w:szCs w:val="20"/>
          <w:vertAlign w:val="superscript"/>
        </w:rPr>
        <w:footnoteRef/>
      </w:r>
      <w:r w:rsidRPr="009548E1">
        <w:rPr>
          <w:rFonts w:asciiTheme="majorBidi" w:hAnsiTheme="majorBidi" w:cstheme="majorBidi"/>
          <w:sz w:val="20"/>
          <w:szCs w:val="20"/>
        </w:rPr>
        <w:t xml:space="preserve"> Nanmei, a Persian chief, whose statue was found along with that of Pērōz in the mausoleum of the Gaozong Emperor and the Empress Wu Zetian, probably came to China as a companion of Pērōz (Zhang, 2003, p. 9; Liang and Wen, 2003, p. 44; Compareti, 2003, p. 203; Rong, 2015, p. 70; Pashazanous and Sangari, 2018, p. 502).</w:t>
      </w:r>
    </w:p>
  </w:footnote>
  <w:footnote w:id="270">
    <w:p w14:paraId="11AF6A2C" w14:textId="3E8E213B" w:rsidR="00902FCD" w:rsidRPr="00090F35" w:rsidRDefault="00902FCD" w:rsidP="00090F35">
      <w:pPr>
        <w:pStyle w:val="FootnoteText"/>
        <w:spacing w:line="360" w:lineRule="auto"/>
        <w:rPr>
          <w:rFonts w:asciiTheme="majorBidi" w:hAnsiTheme="majorBidi" w:cstheme="majorBidi"/>
          <w:sz w:val="20"/>
          <w:szCs w:val="20"/>
        </w:rPr>
      </w:pPr>
      <w:r w:rsidRPr="00090F35">
        <w:rPr>
          <w:rFonts w:asciiTheme="majorBidi" w:hAnsiTheme="majorBidi" w:cstheme="majorBidi"/>
          <w:sz w:val="20"/>
          <w:szCs w:val="20"/>
          <w:vertAlign w:val="superscript"/>
        </w:rPr>
        <w:footnoteRef/>
      </w:r>
      <w:r w:rsidRPr="00090F35">
        <w:rPr>
          <w:rFonts w:asciiTheme="majorBidi" w:hAnsiTheme="majorBidi" w:cstheme="majorBidi"/>
          <w:sz w:val="20"/>
          <w:szCs w:val="20"/>
          <w:vertAlign w:val="superscript"/>
        </w:rPr>
        <w:t xml:space="preserve"> </w:t>
      </w:r>
      <w:r w:rsidRPr="009548E1">
        <w:rPr>
          <w:rFonts w:asciiTheme="majorBidi" w:hAnsiTheme="majorBidi" w:cstheme="majorBidi"/>
          <w:sz w:val="20"/>
          <w:szCs w:val="20"/>
        </w:rPr>
        <w:t>A-luo-han was probably from a Parthian noble clan and a Nestorian monk</w:t>
      </w:r>
      <w:r>
        <w:rPr>
          <w:rFonts w:asciiTheme="majorBidi" w:hAnsiTheme="majorBidi" w:cstheme="majorBidi"/>
          <w:sz w:val="20"/>
          <w:szCs w:val="20"/>
        </w:rPr>
        <w:t xml:space="preserve"> instead of a Sasanian prince. Since Forte’s identifying A-luo-han</w:t>
      </w:r>
      <w:r w:rsidRPr="00586B3C">
        <w:rPr>
          <w:rFonts w:asciiTheme="majorBidi" w:hAnsiTheme="majorBidi" w:cstheme="majorBidi"/>
          <w:sz w:val="20"/>
          <w:szCs w:val="20"/>
        </w:rPr>
        <w:t xml:space="preserve"> </w:t>
      </w:r>
      <w:r>
        <w:rPr>
          <w:rFonts w:asciiTheme="majorBidi" w:hAnsiTheme="majorBidi" w:cstheme="majorBidi"/>
          <w:sz w:val="20"/>
          <w:szCs w:val="20"/>
        </w:rPr>
        <w:t xml:space="preserve">as Wahrām, </w:t>
      </w:r>
      <w:r w:rsidRPr="004C64A0">
        <w:rPr>
          <w:rFonts w:asciiTheme="majorBidi" w:hAnsiTheme="majorBidi" w:cstheme="majorBidi"/>
          <w:sz w:val="20"/>
          <w:szCs w:val="20"/>
        </w:rPr>
        <w:t xml:space="preserve">scholars </w:t>
      </w:r>
      <w:r>
        <w:rPr>
          <w:rFonts w:asciiTheme="majorBidi" w:hAnsiTheme="majorBidi" w:cstheme="majorBidi"/>
          <w:sz w:val="20"/>
          <w:szCs w:val="20"/>
        </w:rPr>
        <w:t>such as Daryaee (2009, p. 38), Pashazanous (2014, pp. 148-9), and Rezakhani (2017, p. 184) follow the identification, which</w:t>
      </w:r>
      <w:r w:rsidRPr="004C64A0">
        <w:rPr>
          <w:rFonts w:asciiTheme="majorBidi" w:hAnsiTheme="majorBidi" w:cstheme="majorBidi"/>
          <w:sz w:val="20"/>
          <w:szCs w:val="20"/>
        </w:rPr>
        <w:t xml:space="preserve"> </w:t>
      </w:r>
      <w:r>
        <w:rPr>
          <w:rFonts w:asciiTheme="majorBidi" w:hAnsiTheme="majorBidi" w:cstheme="majorBidi"/>
          <w:sz w:val="20"/>
          <w:szCs w:val="20"/>
        </w:rPr>
        <w:t>Rong suspects (2015, pp. 69-70). T</w:t>
      </w:r>
      <w:r w:rsidRPr="004C64A0">
        <w:rPr>
          <w:rFonts w:asciiTheme="majorBidi" w:hAnsiTheme="majorBidi" w:cstheme="majorBidi"/>
          <w:sz w:val="20"/>
          <w:szCs w:val="20"/>
        </w:rPr>
        <w:t xml:space="preserve">he identification </w:t>
      </w:r>
      <w:r>
        <w:rPr>
          <w:rFonts w:asciiTheme="majorBidi" w:hAnsiTheme="majorBidi" w:cstheme="majorBidi"/>
          <w:sz w:val="20"/>
          <w:szCs w:val="20"/>
        </w:rPr>
        <w:t xml:space="preserve">seems </w:t>
      </w:r>
      <w:r w:rsidRPr="004C64A0">
        <w:rPr>
          <w:rFonts w:asciiTheme="majorBidi" w:hAnsiTheme="majorBidi" w:cstheme="majorBidi"/>
          <w:sz w:val="20"/>
          <w:szCs w:val="20"/>
        </w:rPr>
        <w:t>out of the question</w:t>
      </w:r>
      <w:r>
        <w:rPr>
          <w:rFonts w:asciiTheme="majorBidi" w:hAnsiTheme="majorBidi" w:cstheme="majorBidi"/>
          <w:sz w:val="20"/>
          <w:szCs w:val="20"/>
        </w:rPr>
        <w:t xml:space="preserve"> in light of A-luo-han's age. He was born at about the same time with </w:t>
      </w:r>
      <w:r w:rsidRPr="004C64A0">
        <w:rPr>
          <w:rFonts w:asciiTheme="majorBidi" w:hAnsiTheme="majorBidi" w:cstheme="majorBidi"/>
          <w:sz w:val="20"/>
          <w:szCs w:val="20"/>
        </w:rPr>
        <w:t>Yazdegerd III</w:t>
      </w:r>
      <w:r>
        <w:rPr>
          <w:rFonts w:asciiTheme="majorBidi" w:hAnsiTheme="majorBidi" w:cstheme="majorBidi"/>
          <w:sz w:val="20"/>
          <w:szCs w:val="20"/>
        </w:rPr>
        <w:t xml:space="preserve"> instead of being the latter’s son, since they were both born around 616 CE </w:t>
      </w:r>
      <w:r>
        <w:rPr>
          <w:rFonts w:asciiTheme="majorBidi" w:hAnsiTheme="majorBidi" w:cstheme="majorBidi" w:hint="eastAsia"/>
          <w:sz w:val="20"/>
          <w:szCs w:val="20"/>
        </w:rPr>
        <w:t>(</w:t>
      </w:r>
      <w:r>
        <w:rPr>
          <w:rFonts w:asciiTheme="majorBidi" w:hAnsiTheme="majorBidi" w:cstheme="majorBidi"/>
          <w:sz w:val="20"/>
          <w:szCs w:val="20"/>
        </w:rPr>
        <w:t>al-</w:t>
      </w:r>
      <w:r w:rsidRPr="007B3251">
        <w:rPr>
          <w:rFonts w:asciiTheme="majorBidi" w:hAnsiTheme="majorBidi" w:cstheme="majorBidi"/>
          <w:sz w:val="20"/>
          <w:szCs w:val="20"/>
        </w:rPr>
        <w:t xml:space="preserve">Dīnawarī, 1888, p. 125; </w:t>
      </w:r>
      <w:r>
        <w:rPr>
          <w:rFonts w:asciiTheme="majorBidi" w:hAnsiTheme="majorBidi" w:cstheme="majorBidi"/>
          <w:sz w:val="20"/>
          <w:szCs w:val="20"/>
        </w:rPr>
        <w:t>tr.</w:t>
      </w:r>
      <w:r w:rsidRPr="007B3251">
        <w:rPr>
          <w:rFonts w:asciiTheme="majorBidi" w:hAnsiTheme="majorBidi" w:cstheme="majorBidi"/>
          <w:sz w:val="20"/>
          <w:szCs w:val="20"/>
        </w:rPr>
        <w:t>, 2010, p. 264</w:t>
      </w:r>
      <w:r>
        <w:rPr>
          <w:rFonts w:asciiTheme="majorBidi" w:hAnsiTheme="majorBidi" w:cstheme="majorBidi"/>
          <w:sz w:val="20"/>
          <w:szCs w:val="20"/>
        </w:rPr>
        <w:t>; al-</w:t>
      </w:r>
      <w:r w:rsidRPr="001238C7">
        <w:rPr>
          <w:rFonts w:asciiTheme="majorBidi" w:hAnsiTheme="majorBidi" w:cstheme="majorBidi"/>
          <w:sz w:val="20"/>
          <w:szCs w:val="20"/>
        </w:rPr>
        <w:t xml:space="preserve"> Masʿūdī</w:t>
      </w:r>
      <w:r>
        <w:rPr>
          <w:rFonts w:asciiTheme="majorBidi" w:hAnsiTheme="majorBidi" w:cstheme="majorBidi"/>
          <w:sz w:val="20"/>
          <w:szCs w:val="20"/>
        </w:rPr>
        <w:t>, 1863, volume II, p. 241; Gardīzī, 1984, p. 103).</w:t>
      </w:r>
    </w:p>
  </w:footnote>
  <w:footnote w:id="271">
    <w:p w14:paraId="5FCAC29D" w14:textId="35375ED4" w:rsidR="00902FCD" w:rsidRPr="00090F35" w:rsidRDefault="00902FCD" w:rsidP="00090F35">
      <w:pPr>
        <w:pStyle w:val="FootnoteText"/>
        <w:spacing w:line="360" w:lineRule="auto"/>
        <w:rPr>
          <w:rFonts w:asciiTheme="majorBidi" w:hAnsiTheme="majorBidi" w:cstheme="majorBidi"/>
          <w:sz w:val="20"/>
          <w:szCs w:val="20"/>
        </w:rPr>
      </w:pPr>
      <w:r w:rsidRPr="00090F35">
        <w:rPr>
          <w:rFonts w:asciiTheme="majorBidi" w:hAnsiTheme="majorBidi" w:cstheme="majorBidi"/>
          <w:sz w:val="20"/>
          <w:szCs w:val="20"/>
          <w:vertAlign w:val="superscript"/>
        </w:rPr>
        <w:footnoteRef/>
      </w:r>
      <w:r w:rsidRPr="00090F35">
        <w:rPr>
          <w:rFonts w:asciiTheme="majorBidi" w:hAnsiTheme="majorBidi" w:cstheme="majorBidi"/>
          <w:sz w:val="20"/>
          <w:szCs w:val="20"/>
        </w:rPr>
        <w:t xml:space="preserve"> </w:t>
      </w:r>
      <w:r w:rsidRPr="009548E1">
        <w:rPr>
          <w:rFonts w:asciiTheme="majorBidi" w:hAnsiTheme="majorBidi" w:cstheme="majorBidi"/>
          <w:sz w:val="20"/>
          <w:szCs w:val="20"/>
        </w:rPr>
        <w:t xml:space="preserve">An unearthed epitaph from Xi’an testifies that a branch of the Suren family, one of the seven most influential Parthian houses, migrated to China as well, although the epitaph from the late </w:t>
      </w:r>
      <w:r>
        <w:rPr>
          <w:rFonts w:asciiTheme="majorBidi" w:hAnsiTheme="majorBidi" w:cstheme="majorBidi"/>
          <w:sz w:val="20"/>
          <w:szCs w:val="20"/>
        </w:rPr>
        <w:t>8</w:t>
      </w:r>
      <w:r w:rsidRPr="000B2880">
        <w:rPr>
          <w:rFonts w:asciiTheme="majorBidi" w:hAnsiTheme="majorBidi" w:cstheme="majorBidi"/>
          <w:sz w:val="20"/>
          <w:szCs w:val="20"/>
          <w:vertAlign w:val="superscript"/>
        </w:rPr>
        <w:t>th</w:t>
      </w:r>
      <w:r>
        <w:rPr>
          <w:rFonts w:asciiTheme="majorBidi" w:hAnsiTheme="majorBidi" w:cstheme="majorBidi"/>
          <w:sz w:val="20"/>
          <w:szCs w:val="20"/>
        </w:rPr>
        <w:t xml:space="preserve"> </w:t>
      </w:r>
      <w:r w:rsidRPr="009548E1">
        <w:rPr>
          <w:rFonts w:asciiTheme="majorBidi" w:hAnsiTheme="majorBidi" w:cstheme="majorBidi"/>
          <w:sz w:val="20"/>
          <w:szCs w:val="20"/>
        </w:rPr>
        <w:t xml:space="preserve">century does not tell </w:t>
      </w:r>
      <w:r>
        <w:rPr>
          <w:rFonts w:asciiTheme="majorBidi" w:hAnsiTheme="majorBidi" w:cstheme="majorBidi"/>
          <w:sz w:val="20"/>
          <w:szCs w:val="20"/>
        </w:rPr>
        <w:t>when they migrated</w:t>
      </w:r>
      <w:r w:rsidRPr="009548E1">
        <w:rPr>
          <w:rFonts w:asciiTheme="majorBidi" w:hAnsiTheme="majorBidi" w:cstheme="majorBidi"/>
          <w:sz w:val="20"/>
          <w:szCs w:val="20"/>
        </w:rPr>
        <w:t xml:space="preserve"> to China (Liu, 1990, pp. 295-304; Baghbidi, 2011, pp. 105-13; Rong, 2015, p. 71).</w:t>
      </w:r>
    </w:p>
  </w:footnote>
  <w:footnote w:id="272">
    <w:p w14:paraId="578ED494" w14:textId="172125B2" w:rsidR="00902FCD" w:rsidRPr="00830751" w:rsidRDefault="00902FCD" w:rsidP="008B6236">
      <w:pPr>
        <w:pStyle w:val="FootnoteText"/>
        <w:spacing w:line="360" w:lineRule="auto"/>
        <w:rPr>
          <w:rFonts w:asciiTheme="majorBidi" w:hAnsiTheme="majorBidi" w:cstheme="majorBidi"/>
          <w:sz w:val="20"/>
          <w:szCs w:val="20"/>
        </w:rPr>
      </w:pPr>
      <w:r w:rsidRPr="00C61DCC">
        <w:rPr>
          <w:rFonts w:asciiTheme="majorBidi" w:hAnsiTheme="majorBidi" w:cstheme="majorBidi"/>
          <w:sz w:val="20"/>
          <w:szCs w:val="20"/>
          <w:vertAlign w:val="superscript"/>
        </w:rPr>
        <w:footnoteRef/>
      </w:r>
      <w:r w:rsidRPr="00C61DCC">
        <w:rPr>
          <w:rFonts w:asciiTheme="majorBidi" w:hAnsiTheme="majorBidi" w:cstheme="majorBidi"/>
          <w:sz w:val="20"/>
          <w:szCs w:val="20"/>
        </w:rPr>
        <w:t xml:space="preserve"> </w:t>
      </w:r>
      <w:r>
        <w:rPr>
          <w:rFonts w:asciiTheme="majorBidi" w:hAnsiTheme="majorBidi" w:cstheme="majorBidi"/>
          <w:sz w:val="20"/>
          <w:szCs w:val="20"/>
        </w:rPr>
        <w:t xml:space="preserve">Leslie, </w:t>
      </w:r>
      <w:r w:rsidRPr="00830751">
        <w:rPr>
          <w:rFonts w:asciiTheme="majorBidi" w:hAnsiTheme="majorBidi" w:cstheme="majorBidi" w:hint="eastAsia"/>
          <w:sz w:val="20"/>
          <w:szCs w:val="20"/>
        </w:rPr>
        <w:t>1</w:t>
      </w:r>
      <w:r w:rsidRPr="00830751">
        <w:rPr>
          <w:rFonts w:asciiTheme="majorBidi" w:hAnsiTheme="majorBidi" w:cstheme="majorBidi"/>
          <w:sz w:val="20"/>
          <w:szCs w:val="20"/>
        </w:rPr>
        <w:t>981-3, pp. 295-6.</w:t>
      </w:r>
    </w:p>
  </w:footnote>
  <w:footnote w:id="273">
    <w:p w14:paraId="1D7E1712" w14:textId="77777777" w:rsidR="00902FCD" w:rsidRPr="00274A84" w:rsidRDefault="00902FCD" w:rsidP="008B6236">
      <w:pPr>
        <w:pStyle w:val="FootnoteText"/>
        <w:spacing w:line="360" w:lineRule="auto"/>
        <w:rPr>
          <w:rFonts w:asciiTheme="majorBidi" w:hAnsiTheme="majorBidi" w:cstheme="majorBidi"/>
          <w:sz w:val="20"/>
          <w:szCs w:val="20"/>
        </w:rPr>
      </w:pPr>
      <w:r w:rsidRPr="00830751">
        <w:rPr>
          <w:rFonts w:asciiTheme="majorBidi" w:hAnsiTheme="majorBidi" w:cstheme="majorBidi"/>
          <w:sz w:val="20"/>
          <w:szCs w:val="20"/>
          <w:vertAlign w:val="superscript"/>
        </w:rPr>
        <w:footnoteRef/>
      </w:r>
      <w:r w:rsidRPr="00274A84">
        <w:rPr>
          <w:rFonts w:asciiTheme="majorBidi" w:hAnsiTheme="majorBidi" w:cstheme="majorBidi"/>
          <w:sz w:val="20"/>
          <w:szCs w:val="20"/>
        </w:rPr>
        <w:t xml:space="preserve"> Leslie, 1981-3, pp. 275-84, 286-93</w:t>
      </w:r>
      <w:r>
        <w:rPr>
          <w:rFonts w:asciiTheme="majorBidi" w:hAnsiTheme="majorBidi" w:cstheme="majorBidi"/>
          <w:sz w:val="20"/>
          <w:szCs w:val="20"/>
        </w:rPr>
        <w:t>; Rong, 2015, pp. 76-9.</w:t>
      </w:r>
    </w:p>
  </w:footnote>
  <w:footnote w:id="274">
    <w:p w14:paraId="2561C777" w14:textId="7F0AE5D6" w:rsidR="00902FCD" w:rsidRPr="00B80557" w:rsidRDefault="00902FCD" w:rsidP="00B80557">
      <w:pPr>
        <w:pStyle w:val="FootnoteText"/>
        <w:spacing w:line="360" w:lineRule="auto"/>
        <w:rPr>
          <w:rFonts w:asciiTheme="majorBidi" w:hAnsiTheme="majorBidi" w:cstheme="majorBidi"/>
          <w:sz w:val="20"/>
          <w:szCs w:val="20"/>
        </w:rPr>
      </w:pPr>
      <w:r w:rsidRPr="00B80557">
        <w:rPr>
          <w:rFonts w:asciiTheme="majorBidi" w:hAnsiTheme="majorBidi" w:cstheme="majorBidi"/>
          <w:sz w:val="20"/>
          <w:szCs w:val="20"/>
          <w:vertAlign w:val="superscript"/>
        </w:rPr>
        <w:footnoteRef/>
      </w:r>
      <w:r w:rsidRPr="00B80557">
        <w:rPr>
          <w:rFonts w:asciiTheme="majorBidi" w:hAnsiTheme="majorBidi" w:cstheme="majorBidi"/>
          <w:sz w:val="20"/>
          <w:szCs w:val="20"/>
        </w:rPr>
        <w:t xml:space="preserve"> Malekandathil, 20</w:t>
      </w:r>
      <w:r>
        <w:rPr>
          <w:rFonts w:asciiTheme="majorBidi" w:hAnsiTheme="majorBidi" w:cstheme="majorBidi"/>
          <w:sz w:val="20"/>
          <w:szCs w:val="20"/>
        </w:rPr>
        <w:t>02</w:t>
      </w:r>
      <w:r w:rsidRPr="00B80557">
        <w:rPr>
          <w:rFonts w:asciiTheme="majorBidi" w:hAnsiTheme="majorBidi" w:cstheme="majorBidi"/>
          <w:sz w:val="20"/>
          <w:szCs w:val="20"/>
        </w:rPr>
        <w:t>, pp. 1</w:t>
      </w:r>
      <w:r>
        <w:rPr>
          <w:rFonts w:asciiTheme="majorBidi" w:hAnsiTheme="majorBidi" w:cstheme="majorBidi"/>
          <w:sz w:val="20"/>
          <w:szCs w:val="20"/>
        </w:rPr>
        <w:t>56-73</w:t>
      </w:r>
      <w:r w:rsidRPr="00B80557">
        <w:rPr>
          <w:rFonts w:asciiTheme="majorBidi" w:hAnsiTheme="majorBidi" w:cstheme="majorBidi"/>
          <w:sz w:val="20"/>
          <w:szCs w:val="20"/>
        </w:rPr>
        <w:t>.</w:t>
      </w:r>
    </w:p>
  </w:footnote>
  <w:footnote w:id="275">
    <w:p w14:paraId="5EBCAF6D" w14:textId="6761DD3D" w:rsidR="00902FCD" w:rsidRPr="006A3646" w:rsidRDefault="00902FCD" w:rsidP="006A3646">
      <w:pPr>
        <w:pStyle w:val="FootnoteText"/>
        <w:spacing w:line="360" w:lineRule="auto"/>
        <w:rPr>
          <w:rFonts w:asciiTheme="majorBidi" w:hAnsiTheme="majorBidi" w:cstheme="majorBidi"/>
          <w:sz w:val="20"/>
          <w:szCs w:val="20"/>
        </w:rPr>
      </w:pPr>
      <w:r w:rsidRPr="006A3646">
        <w:rPr>
          <w:rFonts w:asciiTheme="majorBidi" w:hAnsiTheme="majorBidi" w:cstheme="majorBidi"/>
          <w:sz w:val="20"/>
          <w:szCs w:val="20"/>
          <w:vertAlign w:val="superscript"/>
        </w:rPr>
        <w:footnoteRef/>
      </w:r>
      <w:r w:rsidRPr="006A3646">
        <w:rPr>
          <w:rFonts w:asciiTheme="majorBidi" w:hAnsiTheme="majorBidi" w:cstheme="majorBidi"/>
          <w:sz w:val="20"/>
          <w:szCs w:val="20"/>
        </w:rPr>
        <w:t xml:space="preserve"> The allowances were granted to foreign princes and emissaries, although some of them lingered in Chang’an more than four decades and did not return to their own countries (Sima, 1964, volume 232, p. 7493).</w:t>
      </w:r>
    </w:p>
  </w:footnote>
  <w:footnote w:id="276">
    <w:p w14:paraId="57160C75" w14:textId="77777777" w:rsidR="00902FCD" w:rsidRPr="00F37D2A" w:rsidRDefault="00902FCD" w:rsidP="003553AE">
      <w:pPr>
        <w:pStyle w:val="FootnoteText"/>
        <w:spacing w:line="360" w:lineRule="auto"/>
        <w:rPr>
          <w:rFonts w:asciiTheme="majorBidi" w:eastAsiaTheme="minorHAnsi" w:hAnsiTheme="majorBidi" w:cstheme="majorBidi"/>
          <w:sz w:val="20"/>
          <w:szCs w:val="20"/>
        </w:rPr>
      </w:pPr>
      <w:r w:rsidRPr="00F37D2A">
        <w:rPr>
          <w:rFonts w:asciiTheme="majorBidi" w:eastAsiaTheme="minorHAnsi" w:hAnsiTheme="majorBidi" w:cstheme="majorBidi"/>
          <w:sz w:val="20"/>
          <w:szCs w:val="20"/>
          <w:vertAlign w:val="superscript"/>
        </w:rPr>
        <w:footnoteRef/>
      </w:r>
      <w:r w:rsidRPr="00F37D2A">
        <w:rPr>
          <w:rFonts w:asciiTheme="majorBidi" w:eastAsiaTheme="minorHAnsi" w:hAnsiTheme="majorBidi" w:cstheme="majorBidi"/>
          <w:sz w:val="20"/>
          <w:szCs w:val="20"/>
        </w:rPr>
        <w:t xml:space="preserve"> </w:t>
      </w:r>
      <w:r w:rsidRPr="00F37D2A">
        <w:rPr>
          <w:rFonts w:asciiTheme="majorBidi" w:eastAsiaTheme="minorHAnsi" w:hAnsiTheme="majorBidi" w:cstheme="majorBidi" w:hint="eastAsia"/>
          <w:sz w:val="20"/>
          <w:szCs w:val="20"/>
        </w:rPr>
        <w:t>C</w:t>
      </w:r>
      <w:r w:rsidRPr="00F37D2A">
        <w:rPr>
          <w:rFonts w:asciiTheme="majorBidi" w:eastAsiaTheme="minorHAnsi" w:hAnsiTheme="majorBidi" w:cstheme="majorBidi"/>
          <w:sz w:val="20"/>
          <w:szCs w:val="20"/>
        </w:rPr>
        <w:t>ompareti, 2003, p. 211.</w:t>
      </w:r>
    </w:p>
  </w:footnote>
  <w:footnote w:id="277">
    <w:p w14:paraId="00AC0D0C" w14:textId="4C133828" w:rsidR="00902FCD" w:rsidRPr="00E95481" w:rsidRDefault="00902FCD" w:rsidP="00E95481">
      <w:pPr>
        <w:pStyle w:val="FootnoteText"/>
        <w:spacing w:line="360" w:lineRule="auto"/>
        <w:rPr>
          <w:rFonts w:asciiTheme="majorBidi" w:eastAsiaTheme="minorHAnsi" w:hAnsiTheme="majorBidi" w:cstheme="majorBidi"/>
          <w:sz w:val="20"/>
          <w:szCs w:val="20"/>
        </w:rPr>
      </w:pPr>
      <w:r w:rsidRPr="00E95481">
        <w:rPr>
          <w:rFonts w:asciiTheme="majorBidi" w:eastAsiaTheme="minorHAnsi" w:hAnsiTheme="majorBidi" w:cstheme="majorBidi"/>
          <w:sz w:val="20"/>
          <w:szCs w:val="20"/>
          <w:vertAlign w:val="superscript"/>
        </w:rPr>
        <w:footnoteRef/>
      </w:r>
      <w:r w:rsidRPr="00E95481">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Beckwith, </w:t>
      </w:r>
      <w:r w:rsidRPr="00E95481">
        <w:rPr>
          <w:rFonts w:asciiTheme="majorBidi" w:eastAsiaTheme="minorHAnsi" w:hAnsiTheme="majorBidi" w:cstheme="majorBidi"/>
          <w:sz w:val="20"/>
          <w:szCs w:val="20"/>
        </w:rPr>
        <w:t>1987, pp. 34-54</w:t>
      </w:r>
      <w:r>
        <w:rPr>
          <w:rFonts w:asciiTheme="majorBidi" w:eastAsiaTheme="minorHAnsi" w:hAnsiTheme="majorBidi" w:cstheme="majorBidi"/>
          <w:sz w:val="20"/>
          <w:szCs w:val="20"/>
        </w:rPr>
        <w:t xml:space="preserve">; </w:t>
      </w:r>
      <w:r w:rsidRPr="00E95481">
        <w:rPr>
          <w:rFonts w:asciiTheme="majorBidi" w:eastAsiaTheme="minorHAnsi" w:hAnsiTheme="majorBidi" w:cstheme="majorBidi"/>
          <w:sz w:val="20"/>
          <w:szCs w:val="20"/>
        </w:rPr>
        <w:t>Wang</w:t>
      </w:r>
      <w:r>
        <w:rPr>
          <w:rFonts w:asciiTheme="majorBidi" w:eastAsiaTheme="minorHAnsi" w:hAnsiTheme="majorBidi" w:cstheme="majorBidi"/>
          <w:sz w:val="20"/>
          <w:szCs w:val="20"/>
        </w:rPr>
        <w:t xml:space="preserve">, </w:t>
      </w:r>
      <w:r w:rsidRPr="00E95481">
        <w:rPr>
          <w:rFonts w:asciiTheme="majorBidi" w:eastAsiaTheme="minorHAnsi" w:hAnsiTheme="majorBidi" w:cstheme="majorBidi"/>
          <w:sz w:val="20"/>
          <w:szCs w:val="20"/>
        </w:rPr>
        <w:t>2009, pp. 63-4, 70</w:t>
      </w:r>
      <w:r>
        <w:rPr>
          <w:rFonts w:asciiTheme="majorBidi" w:eastAsiaTheme="minorHAnsi" w:hAnsiTheme="majorBidi" w:cstheme="majorBidi"/>
          <w:sz w:val="20"/>
          <w:szCs w:val="20"/>
        </w:rPr>
        <w:t xml:space="preserve">. </w:t>
      </w:r>
    </w:p>
  </w:footnote>
  <w:footnote w:id="278">
    <w:p w14:paraId="520A8775" w14:textId="185E3CF6" w:rsidR="00902FCD" w:rsidRPr="00E95481" w:rsidRDefault="00902FCD" w:rsidP="00E95481">
      <w:pPr>
        <w:pStyle w:val="FootnoteText"/>
        <w:spacing w:line="360" w:lineRule="auto"/>
        <w:rPr>
          <w:rFonts w:asciiTheme="majorBidi" w:eastAsiaTheme="minorHAnsi" w:hAnsiTheme="majorBidi" w:cstheme="majorBidi"/>
          <w:sz w:val="20"/>
          <w:szCs w:val="20"/>
        </w:rPr>
      </w:pPr>
      <w:r w:rsidRPr="00E95481">
        <w:rPr>
          <w:rFonts w:asciiTheme="majorBidi" w:eastAsiaTheme="minorHAnsi" w:hAnsiTheme="majorBidi" w:cstheme="majorBidi"/>
          <w:sz w:val="20"/>
          <w:szCs w:val="20"/>
          <w:vertAlign w:val="superscript"/>
        </w:rPr>
        <w:footnoteRef/>
      </w:r>
      <w:r w:rsidRPr="00E95481">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For the Tibetan-Western Turkic alliance in 677-8 CE, see</w:t>
      </w:r>
      <w:r w:rsidRPr="00076C72">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the </w:t>
      </w:r>
      <w:r w:rsidRPr="00993B81">
        <w:rPr>
          <w:rFonts w:asciiTheme="majorBidi" w:eastAsiaTheme="minorHAnsi" w:hAnsiTheme="majorBidi" w:cstheme="majorBidi"/>
          <w:i/>
          <w:iCs/>
          <w:sz w:val="20"/>
          <w:szCs w:val="20"/>
        </w:rPr>
        <w:t>Xin Tangshu</w:t>
      </w:r>
      <w:r>
        <w:rPr>
          <w:rFonts w:asciiTheme="majorBidi" w:eastAsiaTheme="minorHAnsi" w:hAnsiTheme="majorBidi" w:cstheme="majorBidi"/>
          <w:sz w:val="20"/>
          <w:szCs w:val="20"/>
        </w:rPr>
        <w:t xml:space="preserve">, </w:t>
      </w:r>
      <w:r w:rsidRPr="00076C72">
        <w:rPr>
          <w:rFonts w:asciiTheme="majorBidi" w:eastAsiaTheme="minorHAnsi" w:hAnsiTheme="majorBidi" w:cstheme="majorBidi"/>
          <w:sz w:val="20"/>
          <w:szCs w:val="20"/>
        </w:rPr>
        <w:t>1995, volume 215b, p. 6064</w:t>
      </w:r>
      <w:r>
        <w:rPr>
          <w:rFonts w:asciiTheme="majorBidi" w:eastAsiaTheme="minorHAnsi" w:hAnsiTheme="majorBidi" w:cstheme="majorBidi"/>
          <w:sz w:val="20"/>
          <w:szCs w:val="20"/>
        </w:rPr>
        <w:t>. It is this Tibetan-Western Turkic alliance that Pei successfully frustrated.</w:t>
      </w:r>
    </w:p>
  </w:footnote>
  <w:footnote w:id="279">
    <w:p w14:paraId="376DB473" w14:textId="2D781828" w:rsidR="00902FCD" w:rsidRPr="00AE1D10" w:rsidRDefault="00902FCD" w:rsidP="00AE1D10">
      <w:pPr>
        <w:pStyle w:val="FootnoteText"/>
        <w:spacing w:line="360" w:lineRule="auto"/>
        <w:rPr>
          <w:rFonts w:asciiTheme="majorBidi" w:hAnsiTheme="majorBidi" w:cstheme="majorBidi"/>
          <w:sz w:val="20"/>
          <w:szCs w:val="20"/>
        </w:rPr>
      </w:pPr>
      <w:r w:rsidRPr="00AE1D10">
        <w:rPr>
          <w:rFonts w:asciiTheme="majorBidi" w:hAnsiTheme="majorBidi" w:cstheme="majorBidi"/>
          <w:sz w:val="20"/>
          <w:szCs w:val="20"/>
          <w:vertAlign w:val="superscript"/>
        </w:rPr>
        <w:footnoteRef/>
      </w:r>
      <w:r w:rsidRPr="00AE1D10">
        <w:rPr>
          <w:rFonts w:asciiTheme="majorBidi" w:hAnsiTheme="majorBidi" w:cstheme="majorBidi"/>
          <w:sz w:val="20"/>
          <w:szCs w:val="20"/>
        </w:rPr>
        <w:t xml:space="preserve"> Agostini and Stark, 2016, p. 19.</w:t>
      </w:r>
    </w:p>
  </w:footnote>
  <w:footnote w:id="280">
    <w:p w14:paraId="1DBEEE08" w14:textId="2C7A4F13" w:rsidR="00902FCD" w:rsidRPr="00D339EE" w:rsidRDefault="00902FCD" w:rsidP="00634D37">
      <w:pPr>
        <w:pStyle w:val="FootnoteText"/>
        <w:spacing w:line="360" w:lineRule="auto"/>
        <w:rPr>
          <w:rFonts w:asciiTheme="majorBidi" w:hAnsiTheme="majorBidi" w:cstheme="majorBidi"/>
          <w:sz w:val="20"/>
          <w:szCs w:val="20"/>
        </w:rPr>
      </w:pPr>
      <w:r w:rsidRPr="00D03D48">
        <w:rPr>
          <w:rFonts w:asciiTheme="majorBidi" w:hAnsiTheme="majorBidi" w:cstheme="majorBidi"/>
          <w:sz w:val="20"/>
          <w:szCs w:val="20"/>
          <w:vertAlign w:val="superscript"/>
        </w:rPr>
        <w:footnoteRef/>
      </w:r>
      <w:r w:rsidRPr="00D03D48">
        <w:rPr>
          <w:rFonts w:asciiTheme="majorBidi" w:hAnsiTheme="majorBidi" w:cstheme="majorBidi"/>
          <w:sz w:val="20"/>
          <w:szCs w:val="20"/>
        </w:rPr>
        <w:t xml:space="preserve"> Al-Ṭabarī, 2001, volume 3, p. 660; </w:t>
      </w:r>
      <w:r>
        <w:rPr>
          <w:rFonts w:asciiTheme="majorBidi" w:hAnsiTheme="majorBidi" w:cstheme="majorBidi"/>
          <w:sz w:val="20"/>
          <w:szCs w:val="20"/>
        </w:rPr>
        <w:t>tr.</w:t>
      </w:r>
      <w:r w:rsidRPr="00D03D48">
        <w:rPr>
          <w:rFonts w:asciiTheme="majorBidi" w:hAnsiTheme="majorBidi" w:cstheme="majorBidi"/>
          <w:sz w:val="20"/>
          <w:szCs w:val="20"/>
        </w:rPr>
        <w:t>, 1990, volume XXIII, pp. 97-8</w:t>
      </w:r>
      <w:r w:rsidRPr="00F547DB">
        <w:rPr>
          <w:rFonts w:asciiTheme="majorBidi" w:hAnsiTheme="majorBidi" w:cstheme="majorBidi"/>
          <w:sz w:val="20"/>
          <w:szCs w:val="20"/>
        </w:rPr>
        <w:t>.</w:t>
      </w:r>
    </w:p>
  </w:footnote>
  <w:footnote w:id="281">
    <w:p w14:paraId="432400B4" w14:textId="3E3D85CE" w:rsidR="00902FCD" w:rsidRPr="00BC34E6" w:rsidRDefault="00902FCD" w:rsidP="00BC34E6">
      <w:pPr>
        <w:pStyle w:val="FootnoteText"/>
        <w:spacing w:line="360" w:lineRule="auto"/>
        <w:rPr>
          <w:rFonts w:asciiTheme="majorBidi" w:hAnsiTheme="majorBidi" w:cstheme="majorBidi"/>
          <w:sz w:val="20"/>
          <w:szCs w:val="20"/>
        </w:rPr>
      </w:pPr>
      <w:r w:rsidRPr="00BC34E6">
        <w:rPr>
          <w:rFonts w:asciiTheme="majorBidi" w:hAnsiTheme="majorBidi" w:cstheme="majorBidi"/>
          <w:sz w:val="20"/>
          <w:szCs w:val="20"/>
          <w:vertAlign w:val="superscript"/>
        </w:rPr>
        <w:footnoteRef/>
      </w:r>
      <w:r w:rsidRPr="00BC34E6">
        <w:rPr>
          <w:rFonts w:asciiTheme="majorBidi" w:hAnsiTheme="majorBidi" w:cstheme="majorBidi"/>
          <w:sz w:val="20"/>
          <w:szCs w:val="20"/>
        </w:rPr>
        <w:t xml:space="preserve"> Wang &amp; Yang,</w:t>
      </w:r>
      <w:r>
        <w:rPr>
          <w:rFonts w:asciiTheme="majorBidi" w:hAnsiTheme="majorBidi" w:cstheme="majorBidi"/>
          <w:sz w:val="20"/>
          <w:szCs w:val="20"/>
        </w:rPr>
        <w:t xml:space="preserve"> </w:t>
      </w:r>
      <w:r w:rsidRPr="00BC34E6">
        <w:rPr>
          <w:rFonts w:asciiTheme="majorBidi" w:hAnsiTheme="majorBidi" w:cstheme="majorBidi"/>
          <w:sz w:val="20"/>
          <w:szCs w:val="20"/>
        </w:rPr>
        <w:t>1994, volume 999,</w:t>
      </w:r>
      <w:r>
        <w:rPr>
          <w:rFonts w:asciiTheme="majorBidi" w:hAnsiTheme="majorBidi" w:cstheme="majorBidi"/>
          <w:sz w:val="20"/>
          <w:szCs w:val="20"/>
        </w:rPr>
        <w:t xml:space="preserve"> </w:t>
      </w:r>
      <w:r w:rsidRPr="00BC34E6">
        <w:rPr>
          <w:rFonts w:asciiTheme="majorBidi" w:hAnsiTheme="majorBidi" w:cstheme="majorBidi"/>
          <w:sz w:val="20"/>
          <w:szCs w:val="20"/>
        </w:rPr>
        <w:t xml:space="preserve">p. 11722; </w:t>
      </w:r>
      <w:r>
        <w:rPr>
          <w:rFonts w:asciiTheme="majorBidi" w:hAnsiTheme="majorBidi" w:cstheme="majorBidi"/>
          <w:sz w:val="20"/>
          <w:szCs w:val="20"/>
        </w:rPr>
        <w:t>tr.</w:t>
      </w:r>
      <w:r w:rsidRPr="00BC34E6">
        <w:rPr>
          <w:rFonts w:asciiTheme="majorBidi" w:hAnsiTheme="majorBidi" w:cstheme="majorBidi"/>
          <w:sz w:val="20"/>
          <w:szCs w:val="20"/>
        </w:rPr>
        <w:t xml:space="preserve">, see Appendix </w:t>
      </w:r>
      <w:r>
        <w:rPr>
          <w:rFonts w:asciiTheme="majorBidi" w:hAnsiTheme="majorBidi" w:cstheme="majorBidi"/>
          <w:sz w:val="20"/>
          <w:szCs w:val="20"/>
        </w:rPr>
        <w:t>IV</w:t>
      </w:r>
      <w:r w:rsidRPr="00BC34E6">
        <w:rPr>
          <w:rFonts w:asciiTheme="majorBidi" w:hAnsiTheme="majorBidi" w:cstheme="majorBidi"/>
          <w:sz w:val="20"/>
          <w:szCs w:val="20"/>
        </w:rPr>
        <w:t>.</w:t>
      </w:r>
      <w:r>
        <w:rPr>
          <w:rFonts w:asciiTheme="majorBidi" w:hAnsiTheme="majorBidi" w:cstheme="majorBidi"/>
          <w:sz w:val="20"/>
          <w:szCs w:val="20"/>
        </w:rPr>
        <w:t xml:space="preserve"> Both Beckwith (1987, pp. 66-9) and Wang (2009, pp. 129-30) argue for the Tibetan presence in </w:t>
      </w:r>
      <w:r w:rsidRPr="00BC34E6">
        <w:rPr>
          <w:rFonts w:asciiTheme="majorBidi" w:hAnsiTheme="majorBidi" w:cstheme="majorBidi"/>
          <w:sz w:val="20"/>
          <w:szCs w:val="20"/>
        </w:rPr>
        <w:t>Ṭukhāristān in 704 CE.</w:t>
      </w:r>
    </w:p>
  </w:footnote>
  <w:footnote w:id="282">
    <w:p w14:paraId="47551AC8" w14:textId="644A056B" w:rsidR="00902FCD" w:rsidRPr="00D339EE" w:rsidRDefault="00902FCD" w:rsidP="00D339EE">
      <w:pPr>
        <w:pStyle w:val="FootnoteText"/>
        <w:spacing w:line="360" w:lineRule="auto"/>
        <w:rPr>
          <w:rFonts w:asciiTheme="majorBidi" w:hAnsiTheme="majorBidi" w:cstheme="majorBidi"/>
          <w:sz w:val="20"/>
          <w:szCs w:val="20"/>
        </w:rPr>
      </w:pPr>
      <w:r w:rsidRPr="00D339EE">
        <w:rPr>
          <w:rFonts w:asciiTheme="majorBidi" w:hAnsiTheme="majorBidi" w:cstheme="majorBidi"/>
          <w:sz w:val="20"/>
          <w:szCs w:val="20"/>
          <w:vertAlign w:val="superscript"/>
        </w:rPr>
        <w:footnoteRef/>
      </w:r>
      <w:r w:rsidRPr="00D339EE">
        <w:rPr>
          <w:rFonts w:asciiTheme="majorBidi" w:hAnsiTheme="majorBidi" w:cstheme="majorBidi"/>
          <w:sz w:val="20"/>
          <w:szCs w:val="20"/>
        </w:rPr>
        <w:t xml:space="preserve"> </w:t>
      </w:r>
      <w:r>
        <w:rPr>
          <w:rFonts w:asciiTheme="majorBidi" w:hAnsiTheme="majorBidi" w:cstheme="majorBidi"/>
          <w:sz w:val="20"/>
          <w:szCs w:val="20"/>
        </w:rPr>
        <w:t>Beckwith, 1987, pp. 69-70; Wang, 2009, pp. 130-1.</w:t>
      </w:r>
    </w:p>
  </w:footnote>
  <w:footnote w:id="283">
    <w:p w14:paraId="0804A77C" w14:textId="77777777" w:rsidR="00902FCD" w:rsidRPr="00120390" w:rsidRDefault="00902FCD" w:rsidP="009548E1">
      <w:pPr>
        <w:pStyle w:val="FootnoteText"/>
        <w:spacing w:line="360" w:lineRule="auto"/>
        <w:rPr>
          <w:rFonts w:asciiTheme="majorBidi" w:hAnsiTheme="majorBidi" w:cstheme="majorBidi"/>
          <w:sz w:val="20"/>
          <w:szCs w:val="20"/>
        </w:rPr>
      </w:pPr>
      <w:r w:rsidRPr="00120390">
        <w:rPr>
          <w:rFonts w:asciiTheme="majorBidi" w:hAnsiTheme="majorBidi" w:cstheme="majorBidi"/>
          <w:sz w:val="20"/>
          <w:szCs w:val="20"/>
          <w:vertAlign w:val="superscript"/>
        </w:rPr>
        <w:footnoteRef/>
      </w:r>
      <w:r w:rsidRPr="00120390">
        <w:rPr>
          <w:rFonts w:asciiTheme="majorBidi" w:hAnsiTheme="majorBidi" w:cstheme="majorBidi"/>
          <w:sz w:val="20"/>
          <w:szCs w:val="20"/>
        </w:rPr>
        <w:t xml:space="preserve"> Hoyland, 2015, pp. 119-20.</w:t>
      </w:r>
    </w:p>
  </w:footnote>
  <w:footnote w:id="284">
    <w:p w14:paraId="4F06DB8F" w14:textId="77777777" w:rsidR="00902FCD" w:rsidRPr="00B705D5" w:rsidRDefault="00902FCD" w:rsidP="00DA5230">
      <w:pPr>
        <w:pStyle w:val="FootnoteText"/>
        <w:spacing w:line="360" w:lineRule="auto"/>
        <w:rPr>
          <w:rFonts w:asciiTheme="majorBidi" w:hAnsiTheme="majorBidi" w:cstheme="majorBidi"/>
          <w:sz w:val="20"/>
          <w:szCs w:val="20"/>
        </w:rPr>
      </w:pPr>
      <w:r w:rsidRPr="00B705D5">
        <w:rPr>
          <w:rFonts w:asciiTheme="majorBidi" w:hAnsiTheme="majorBidi" w:cstheme="majorBidi"/>
          <w:sz w:val="20"/>
          <w:szCs w:val="20"/>
          <w:vertAlign w:val="superscript"/>
        </w:rPr>
        <w:footnoteRef/>
      </w:r>
      <w:r w:rsidRPr="00B705D5">
        <w:rPr>
          <w:rFonts w:asciiTheme="majorBidi" w:hAnsiTheme="majorBidi" w:cstheme="majorBidi"/>
          <w:sz w:val="20"/>
          <w:szCs w:val="20"/>
        </w:rPr>
        <w:t xml:space="preserve"> Bosworth, 2008, p. 237.</w:t>
      </w:r>
      <w:r>
        <w:rPr>
          <w:rFonts w:asciiTheme="majorBidi" w:hAnsiTheme="majorBidi" w:cstheme="majorBidi"/>
          <w:sz w:val="20"/>
          <w:szCs w:val="20"/>
        </w:rPr>
        <w:t xml:space="preserve"> Although Narseh had several thousands of adherents and his father Pērōz perhaps with a larger of companions, there was a large proportion of royal members and nobles instead of fighting forces.</w:t>
      </w:r>
    </w:p>
  </w:footnote>
  <w:footnote w:id="285">
    <w:p w14:paraId="1D32CCE5" w14:textId="150BEA6E" w:rsidR="00902FCD" w:rsidRPr="001C5691" w:rsidRDefault="00902FCD" w:rsidP="001C5691">
      <w:pPr>
        <w:pStyle w:val="FootnoteText"/>
        <w:spacing w:line="360" w:lineRule="auto"/>
        <w:rPr>
          <w:rFonts w:asciiTheme="majorBidi" w:hAnsiTheme="majorBidi" w:cstheme="majorBidi"/>
          <w:sz w:val="20"/>
          <w:szCs w:val="20"/>
        </w:rPr>
      </w:pPr>
      <w:r w:rsidRPr="001C5691">
        <w:rPr>
          <w:rFonts w:asciiTheme="majorBidi" w:hAnsiTheme="majorBidi" w:cstheme="majorBidi"/>
          <w:sz w:val="20"/>
          <w:szCs w:val="20"/>
          <w:vertAlign w:val="superscript"/>
        </w:rPr>
        <w:footnoteRef/>
      </w:r>
      <w:r w:rsidRPr="001C5691">
        <w:rPr>
          <w:rFonts w:asciiTheme="majorBidi" w:hAnsiTheme="majorBidi" w:cstheme="majorBidi"/>
          <w:sz w:val="20"/>
          <w:szCs w:val="20"/>
        </w:rPr>
        <w:t xml:space="preserve"> For Puluo's position and its grade, see</w:t>
      </w:r>
      <w:r>
        <w:rPr>
          <w:rFonts w:asciiTheme="majorBidi" w:hAnsiTheme="majorBidi" w:cstheme="majorBidi"/>
          <w:sz w:val="20"/>
          <w:szCs w:val="20"/>
        </w:rPr>
        <w:t xml:space="preserve"> the</w:t>
      </w:r>
      <w:r w:rsidRPr="001C5691">
        <w:rPr>
          <w:rFonts w:asciiTheme="majorBidi" w:hAnsiTheme="majorBidi" w:cstheme="majorBidi"/>
          <w:sz w:val="20"/>
          <w:szCs w:val="20"/>
        </w:rPr>
        <w:t xml:space="preserve"> </w:t>
      </w:r>
      <w:r w:rsidRPr="001C5691">
        <w:rPr>
          <w:rFonts w:asciiTheme="majorBidi" w:hAnsiTheme="majorBidi" w:cstheme="majorBidi"/>
          <w:i/>
          <w:iCs/>
          <w:sz w:val="20"/>
          <w:szCs w:val="20"/>
        </w:rPr>
        <w:t>Tang Liudian</w:t>
      </w:r>
      <w:r w:rsidRPr="001C5691">
        <w:rPr>
          <w:rFonts w:asciiTheme="majorBidi" w:hAnsiTheme="majorBidi" w:cstheme="majorBidi"/>
          <w:sz w:val="20"/>
          <w:szCs w:val="20"/>
        </w:rPr>
        <w:t>, Li, 2008, volume 24, pp. 622-4. See volumes 24-5</w:t>
      </w:r>
      <w:r>
        <w:rPr>
          <w:rFonts w:asciiTheme="majorBidi" w:hAnsiTheme="majorBidi" w:cstheme="majorBidi"/>
          <w:sz w:val="20"/>
          <w:szCs w:val="20"/>
        </w:rPr>
        <w:t xml:space="preserve"> (pp. 610-53)</w:t>
      </w:r>
      <w:r w:rsidRPr="001C5691">
        <w:rPr>
          <w:rFonts w:asciiTheme="majorBidi" w:hAnsiTheme="majorBidi" w:cstheme="majorBidi"/>
          <w:sz w:val="20"/>
          <w:szCs w:val="20"/>
        </w:rPr>
        <w:t xml:space="preserve"> for various guard generals of the imperial corps</w:t>
      </w:r>
      <w:r>
        <w:rPr>
          <w:rFonts w:asciiTheme="majorBidi" w:hAnsiTheme="majorBidi" w:cstheme="majorBidi"/>
          <w:sz w:val="20"/>
          <w:szCs w:val="20"/>
        </w:rPr>
        <w:t>.</w:t>
      </w:r>
      <w:r w:rsidRPr="001C5691">
        <w:rPr>
          <w:rFonts w:asciiTheme="majorBidi" w:hAnsiTheme="majorBidi" w:cstheme="majorBidi"/>
          <w:sz w:val="20"/>
          <w:szCs w:val="20"/>
        </w:rPr>
        <w:t xml:space="preserve"> </w:t>
      </w:r>
    </w:p>
  </w:footnote>
  <w:footnote w:id="286">
    <w:p w14:paraId="7E54EE63" w14:textId="77777777" w:rsidR="00902FCD" w:rsidRPr="00B37D61" w:rsidRDefault="00902FCD" w:rsidP="001E02F1">
      <w:pPr>
        <w:pStyle w:val="FootnoteText"/>
        <w:spacing w:line="360" w:lineRule="auto"/>
        <w:rPr>
          <w:rFonts w:asciiTheme="majorBidi" w:eastAsiaTheme="minorHAnsi" w:hAnsiTheme="majorBidi" w:cstheme="majorBidi"/>
          <w:sz w:val="20"/>
          <w:szCs w:val="20"/>
        </w:rPr>
      </w:pPr>
      <w:r w:rsidRPr="00B37D61">
        <w:rPr>
          <w:rFonts w:asciiTheme="majorBidi" w:eastAsiaTheme="minorHAnsi" w:hAnsiTheme="majorBidi" w:cstheme="majorBidi"/>
          <w:sz w:val="20"/>
          <w:szCs w:val="20"/>
          <w:vertAlign w:val="superscript"/>
        </w:rPr>
        <w:footnoteRef/>
      </w:r>
      <w:r w:rsidRPr="00B37D61">
        <w:rPr>
          <w:rFonts w:asciiTheme="majorBidi" w:eastAsiaTheme="minorHAnsi" w:hAnsiTheme="majorBidi" w:cstheme="majorBidi"/>
          <w:sz w:val="20"/>
          <w:szCs w:val="20"/>
          <w:vertAlign w:val="superscript"/>
        </w:rPr>
        <w:t xml:space="preserve"> </w:t>
      </w:r>
      <w:r w:rsidRPr="00B37D61">
        <w:rPr>
          <w:rFonts w:asciiTheme="majorBidi" w:eastAsiaTheme="minorHAnsi" w:hAnsiTheme="majorBidi" w:cstheme="majorBidi"/>
          <w:sz w:val="20"/>
          <w:szCs w:val="20"/>
        </w:rPr>
        <w:t xml:space="preserve">See also </w:t>
      </w:r>
      <w:r>
        <w:rPr>
          <w:rFonts w:asciiTheme="majorBidi" w:eastAsiaTheme="minorHAnsi" w:hAnsiTheme="majorBidi" w:cstheme="majorBidi"/>
          <w:sz w:val="20"/>
          <w:szCs w:val="20"/>
        </w:rPr>
        <w:t>Ibn</w:t>
      </w:r>
      <w:r w:rsidRPr="00B37D61">
        <w:rPr>
          <w:rFonts w:asciiTheme="majorBidi" w:eastAsiaTheme="minorHAnsi" w:hAnsiTheme="majorBidi" w:cstheme="majorBidi"/>
          <w:sz w:val="20"/>
          <w:szCs w:val="20"/>
        </w:rPr>
        <w:t xml:space="preserve">-’Athīr, 1987, volume 3, pp. 14-8. </w:t>
      </w:r>
    </w:p>
  </w:footnote>
  <w:footnote w:id="287">
    <w:p w14:paraId="53B9EA39" w14:textId="77777777" w:rsidR="00902FCD" w:rsidRPr="004D7C4E" w:rsidRDefault="00902FCD" w:rsidP="001E02F1">
      <w:pPr>
        <w:pStyle w:val="FootnoteText"/>
        <w:spacing w:line="360" w:lineRule="auto"/>
        <w:rPr>
          <w:rFonts w:asciiTheme="majorBidi" w:eastAsiaTheme="minorHAnsi" w:hAnsiTheme="majorBidi" w:cstheme="majorBidi"/>
          <w:sz w:val="20"/>
          <w:szCs w:val="20"/>
        </w:rPr>
      </w:pPr>
      <w:r w:rsidRPr="004D7C4E">
        <w:rPr>
          <w:rFonts w:asciiTheme="majorBidi" w:eastAsiaTheme="minorHAnsi" w:hAnsiTheme="majorBidi" w:cstheme="majorBidi"/>
          <w:sz w:val="20"/>
          <w:szCs w:val="20"/>
          <w:vertAlign w:val="superscript"/>
        </w:rPr>
        <w:footnoteRef/>
      </w:r>
      <w:r w:rsidRPr="004D7C4E">
        <w:rPr>
          <w:rFonts w:asciiTheme="majorBidi" w:eastAsiaTheme="minorHAnsi" w:hAnsiTheme="majorBidi" w:cstheme="majorBidi"/>
          <w:sz w:val="20"/>
          <w:szCs w:val="20"/>
        </w:rPr>
        <w:t xml:space="preserve"> Before al-Ḥakam b. ʿAmr, the governor of Basra was also in charge of Khurasan.</w:t>
      </w:r>
      <w:r>
        <w:rPr>
          <w:rFonts w:asciiTheme="majorBidi" w:eastAsiaTheme="minorHAnsi" w:hAnsiTheme="majorBidi" w:cstheme="majorBidi"/>
          <w:sz w:val="20"/>
          <w:szCs w:val="20"/>
        </w:rPr>
        <w:t xml:space="preserve"> Al-Balādhurī added that Chaghāniyān came to assist these allied principalities (1987, p. 572; tr.</w:t>
      </w:r>
      <w:r w:rsidRPr="00FC1237">
        <w:rPr>
          <w:rFonts w:asciiTheme="majorBidi" w:eastAsiaTheme="minorHAnsi" w:hAnsiTheme="majorBidi" w:cstheme="majorBidi"/>
          <w:sz w:val="20"/>
          <w:szCs w:val="20"/>
        </w:rPr>
        <w:t>, part II, 1924, p. 165)</w:t>
      </w:r>
      <w:r>
        <w:rPr>
          <w:rFonts w:asciiTheme="majorBidi" w:eastAsiaTheme="minorHAnsi" w:hAnsiTheme="majorBidi" w:cstheme="majorBidi"/>
          <w:sz w:val="20"/>
          <w:szCs w:val="20"/>
        </w:rPr>
        <w:t xml:space="preserve">. </w:t>
      </w:r>
    </w:p>
  </w:footnote>
  <w:footnote w:id="288">
    <w:p w14:paraId="1BE00B0B" w14:textId="77777777" w:rsidR="00902FCD" w:rsidRPr="000F3F26" w:rsidRDefault="00902FCD" w:rsidP="001E02F1">
      <w:pPr>
        <w:pStyle w:val="FootnoteText"/>
        <w:spacing w:line="360" w:lineRule="auto"/>
        <w:rPr>
          <w:rFonts w:asciiTheme="majorBidi" w:hAnsiTheme="majorBidi" w:cstheme="majorBidi"/>
          <w:sz w:val="20"/>
          <w:szCs w:val="20"/>
        </w:rPr>
      </w:pPr>
      <w:r w:rsidRPr="000F3F26">
        <w:rPr>
          <w:rStyle w:val="FootnoteReference"/>
          <w:rFonts w:asciiTheme="majorBidi" w:hAnsiTheme="majorBidi" w:cstheme="majorBidi"/>
          <w:sz w:val="20"/>
          <w:szCs w:val="20"/>
        </w:rPr>
        <w:footnoteRef/>
      </w:r>
      <w:r w:rsidRPr="000F3F26">
        <w:rPr>
          <w:rFonts w:asciiTheme="majorBidi" w:hAnsiTheme="majorBidi" w:cstheme="majorBidi"/>
          <w:sz w:val="20"/>
          <w:szCs w:val="20"/>
        </w:rPr>
        <w:t xml:space="preserve"> See also </w:t>
      </w:r>
      <w:r>
        <w:rPr>
          <w:rFonts w:asciiTheme="majorBidi" w:eastAsiaTheme="minorHAnsi" w:hAnsiTheme="majorBidi" w:cstheme="majorBidi"/>
          <w:sz w:val="20"/>
          <w:szCs w:val="20"/>
        </w:rPr>
        <w:t>Ibn</w:t>
      </w:r>
      <w:r w:rsidRPr="000F3F26">
        <w:rPr>
          <w:rFonts w:asciiTheme="majorBidi" w:eastAsiaTheme="minorHAnsi" w:hAnsiTheme="majorBidi" w:cstheme="majorBidi"/>
          <w:sz w:val="20"/>
          <w:szCs w:val="20"/>
        </w:rPr>
        <w:t>-’Athīr, 1987, volume 3, p. 30.</w:t>
      </w:r>
    </w:p>
  </w:footnote>
  <w:footnote w:id="289">
    <w:p w14:paraId="51E4B29B" w14:textId="561A80E2" w:rsidR="00902FCD" w:rsidRPr="00C40A1A" w:rsidRDefault="00902FCD" w:rsidP="001E02F1">
      <w:pPr>
        <w:pStyle w:val="FootnoteText"/>
        <w:spacing w:line="360" w:lineRule="auto"/>
        <w:rPr>
          <w:rFonts w:asciiTheme="majorBidi" w:hAnsiTheme="majorBidi" w:cstheme="majorBidi"/>
          <w:sz w:val="20"/>
          <w:szCs w:val="20"/>
        </w:rPr>
      </w:pPr>
      <w:r w:rsidRPr="00C40A1A">
        <w:rPr>
          <w:rFonts w:asciiTheme="majorBidi" w:hAnsiTheme="majorBidi" w:cstheme="majorBidi"/>
          <w:sz w:val="20"/>
          <w:szCs w:val="20"/>
          <w:vertAlign w:val="superscript"/>
        </w:rPr>
        <w:footnoteRef/>
      </w:r>
      <w:r w:rsidRPr="00C40A1A">
        <w:rPr>
          <w:rFonts w:asciiTheme="majorBidi" w:hAnsiTheme="majorBidi" w:cstheme="majorBidi"/>
          <w:sz w:val="20"/>
          <w:szCs w:val="20"/>
        </w:rPr>
        <w:t xml:space="preserve"> </w:t>
      </w:r>
      <w:r>
        <w:rPr>
          <w:rFonts w:asciiTheme="majorBidi" w:hAnsiTheme="majorBidi" w:cstheme="majorBidi"/>
          <w:sz w:val="20"/>
          <w:szCs w:val="20"/>
        </w:rPr>
        <w:t>Ibid.,</w:t>
      </w:r>
      <w:r w:rsidRPr="00C40A1A">
        <w:rPr>
          <w:rFonts w:asciiTheme="majorBidi" w:hAnsiTheme="majorBidi" w:cstheme="majorBidi"/>
          <w:sz w:val="20"/>
          <w:szCs w:val="20"/>
        </w:rPr>
        <w:t xml:space="preserve"> volume 3, p. 201.</w:t>
      </w:r>
      <w:r>
        <w:rPr>
          <w:rFonts w:asciiTheme="majorBidi" w:hAnsiTheme="majorBidi" w:cstheme="majorBidi"/>
          <w:sz w:val="20"/>
          <w:szCs w:val="20"/>
        </w:rPr>
        <w:t xml:space="preserve"> Al-</w:t>
      </w:r>
      <w:r w:rsidRPr="00745428">
        <w:rPr>
          <w:rFonts w:asciiTheme="majorBidi" w:hAnsiTheme="majorBidi" w:cstheme="majorBidi"/>
          <w:sz w:val="20"/>
          <w:szCs w:val="20"/>
        </w:rPr>
        <w:t>Dīnawarī record</w:t>
      </w:r>
      <w:r>
        <w:rPr>
          <w:rFonts w:asciiTheme="majorBidi" w:hAnsiTheme="majorBidi" w:cstheme="majorBidi"/>
          <w:sz w:val="20"/>
          <w:szCs w:val="20"/>
        </w:rPr>
        <w:t>s</w:t>
      </w:r>
      <w:r w:rsidRPr="00745428">
        <w:rPr>
          <w:rFonts w:asciiTheme="majorBidi" w:hAnsiTheme="majorBidi" w:cstheme="majorBidi"/>
          <w:sz w:val="20"/>
          <w:szCs w:val="20"/>
        </w:rPr>
        <w:t xml:space="preserve"> that Būmān, </w:t>
      </w:r>
      <w:r>
        <w:rPr>
          <w:rFonts w:asciiTheme="majorBidi" w:hAnsiTheme="majorBidi" w:cstheme="majorBidi"/>
          <w:sz w:val="20"/>
          <w:szCs w:val="20"/>
        </w:rPr>
        <w:t>a daughter of the</w:t>
      </w:r>
      <w:r w:rsidRPr="00745428">
        <w:rPr>
          <w:rFonts w:asciiTheme="majorBidi" w:hAnsiTheme="majorBidi" w:cstheme="majorBidi"/>
          <w:sz w:val="20"/>
          <w:szCs w:val="20"/>
        </w:rPr>
        <w:t xml:space="preserve"> </w:t>
      </w:r>
      <w:r>
        <w:rPr>
          <w:rFonts w:asciiTheme="majorBidi" w:hAnsiTheme="majorBidi" w:cstheme="majorBidi"/>
          <w:sz w:val="20"/>
          <w:szCs w:val="20"/>
        </w:rPr>
        <w:t>Sasanian monarch,</w:t>
      </w:r>
      <w:r w:rsidRPr="00745428">
        <w:rPr>
          <w:rFonts w:asciiTheme="majorBidi" w:hAnsiTheme="majorBidi" w:cstheme="majorBidi"/>
          <w:sz w:val="20"/>
          <w:szCs w:val="20"/>
        </w:rPr>
        <w:t xml:space="preserve"> came to Nīshāpūr from Kabul to participate </w:t>
      </w:r>
      <w:r>
        <w:rPr>
          <w:rFonts w:asciiTheme="majorBidi" w:hAnsiTheme="majorBidi" w:cstheme="majorBidi"/>
          <w:sz w:val="20"/>
          <w:szCs w:val="20"/>
        </w:rPr>
        <w:t>this</w:t>
      </w:r>
      <w:r w:rsidRPr="00745428">
        <w:rPr>
          <w:rFonts w:asciiTheme="majorBidi" w:hAnsiTheme="majorBidi" w:cstheme="majorBidi"/>
          <w:sz w:val="20"/>
          <w:szCs w:val="20"/>
        </w:rPr>
        <w:t xml:space="preserve"> insurrection against the Arabs (1888, p. 163).</w:t>
      </w:r>
      <w:r>
        <w:rPr>
          <w:rFonts w:asciiTheme="majorBidi" w:hAnsiTheme="majorBidi" w:cstheme="majorBidi"/>
          <w:sz w:val="20"/>
          <w:szCs w:val="20"/>
        </w:rPr>
        <w:t xml:space="preserve"> </w:t>
      </w:r>
    </w:p>
  </w:footnote>
  <w:footnote w:id="290">
    <w:p w14:paraId="09CEF9E4" w14:textId="6F5373E0" w:rsidR="00902FCD" w:rsidRPr="00D17C87" w:rsidRDefault="00902FCD" w:rsidP="00C17C0F">
      <w:pPr>
        <w:pStyle w:val="FootnoteText"/>
        <w:spacing w:line="360" w:lineRule="auto"/>
        <w:rPr>
          <w:rFonts w:asciiTheme="majorBidi" w:hAnsiTheme="majorBidi" w:cstheme="majorBidi"/>
          <w:sz w:val="20"/>
          <w:szCs w:val="20"/>
        </w:rPr>
      </w:pPr>
      <w:r w:rsidRPr="00D17C87">
        <w:rPr>
          <w:rFonts w:asciiTheme="majorBidi" w:hAnsiTheme="majorBidi" w:cstheme="majorBidi"/>
          <w:sz w:val="20"/>
          <w:szCs w:val="20"/>
          <w:vertAlign w:val="superscript"/>
        </w:rPr>
        <w:footnoteRef/>
      </w:r>
      <w:r w:rsidRPr="00D17C87">
        <w:rPr>
          <w:rFonts w:asciiTheme="majorBidi" w:hAnsiTheme="majorBidi" w:cstheme="majorBidi"/>
          <w:sz w:val="20"/>
          <w:szCs w:val="20"/>
        </w:rPr>
        <w:t xml:space="preserve"> </w:t>
      </w:r>
      <w:r>
        <w:rPr>
          <w:rFonts w:asciiTheme="majorBidi" w:hAnsiTheme="majorBidi" w:cstheme="majorBidi"/>
          <w:sz w:val="20"/>
          <w:szCs w:val="20"/>
        </w:rPr>
        <w:t xml:space="preserve">See also </w:t>
      </w:r>
      <w:r>
        <w:rPr>
          <w:rFonts w:asciiTheme="majorBidi" w:eastAsiaTheme="minorHAnsi" w:hAnsiTheme="majorBidi" w:cstheme="majorBidi"/>
          <w:sz w:val="20"/>
          <w:szCs w:val="20"/>
        </w:rPr>
        <w:t>Ibn</w:t>
      </w:r>
      <w:r w:rsidRPr="000F3F26">
        <w:rPr>
          <w:rFonts w:asciiTheme="majorBidi" w:eastAsiaTheme="minorHAnsi" w:hAnsiTheme="majorBidi" w:cstheme="majorBidi"/>
          <w:sz w:val="20"/>
          <w:szCs w:val="20"/>
        </w:rPr>
        <w:t>-’Athīr</w:t>
      </w:r>
      <w:r>
        <w:rPr>
          <w:rFonts w:asciiTheme="majorBidi" w:hAnsiTheme="majorBidi" w:cstheme="majorBidi"/>
          <w:sz w:val="20"/>
          <w:szCs w:val="20"/>
        </w:rPr>
        <w:t xml:space="preserve">, 1987, </w:t>
      </w:r>
      <w:r w:rsidRPr="00C40A1A">
        <w:rPr>
          <w:rFonts w:asciiTheme="majorBidi" w:hAnsiTheme="majorBidi" w:cstheme="majorBidi"/>
          <w:sz w:val="20"/>
          <w:szCs w:val="20"/>
        </w:rPr>
        <w:t>volume 3, p.</w:t>
      </w:r>
      <w:r>
        <w:rPr>
          <w:rFonts w:asciiTheme="majorBidi" w:hAnsiTheme="majorBidi" w:cstheme="majorBidi"/>
          <w:sz w:val="20"/>
          <w:szCs w:val="20"/>
        </w:rPr>
        <w:t xml:space="preserve"> 249.</w:t>
      </w:r>
    </w:p>
  </w:footnote>
  <w:footnote w:id="291">
    <w:p w14:paraId="2C5DC6E5" w14:textId="77777777" w:rsidR="00902FCD" w:rsidRPr="005C65D6" w:rsidRDefault="00902FCD" w:rsidP="001E02F1">
      <w:pPr>
        <w:pStyle w:val="FootnoteText"/>
        <w:spacing w:line="360" w:lineRule="auto"/>
        <w:rPr>
          <w:rFonts w:asciiTheme="majorBidi" w:hAnsiTheme="majorBidi" w:cstheme="majorBidi"/>
          <w:sz w:val="20"/>
          <w:szCs w:val="20"/>
        </w:rPr>
      </w:pPr>
      <w:r w:rsidRPr="005C65D6">
        <w:rPr>
          <w:rFonts w:asciiTheme="majorBidi" w:hAnsiTheme="majorBidi" w:cstheme="majorBidi"/>
          <w:sz w:val="20"/>
          <w:szCs w:val="20"/>
          <w:vertAlign w:val="superscript"/>
        </w:rPr>
        <w:footnoteRef/>
      </w:r>
      <w:r w:rsidRPr="005C65D6">
        <w:rPr>
          <w:rFonts w:asciiTheme="majorBidi" w:hAnsiTheme="majorBidi" w:cstheme="majorBidi"/>
          <w:sz w:val="20"/>
          <w:szCs w:val="20"/>
        </w:rPr>
        <w:t xml:space="preserve"> </w:t>
      </w:r>
      <w:r>
        <w:rPr>
          <w:rFonts w:asciiTheme="majorBidi" w:hAnsiTheme="majorBidi" w:cstheme="majorBidi"/>
          <w:sz w:val="20"/>
          <w:szCs w:val="20"/>
        </w:rPr>
        <w:t>Ibid.,</w:t>
      </w:r>
      <w:r w:rsidRPr="00C40A1A">
        <w:rPr>
          <w:rFonts w:asciiTheme="majorBidi" w:hAnsiTheme="majorBidi" w:cstheme="majorBidi"/>
          <w:sz w:val="20"/>
          <w:szCs w:val="20"/>
        </w:rPr>
        <w:t xml:space="preserve"> volume 3, p</w:t>
      </w:r>
      <w:r>
        <w:rPr>
          <w:rFonts w:asciiTheme="majorBidi" w:hAnsiTheme="majorBidi" w:cstheme="majorBidi"/>
          <w:sz w:val="20"/>
          <w:szCs w:val="20"/>
        </w:rPr>
        <w:t>p. 296-7.</w:t>
      </w:r>
    </w:p>
  </w:footnote>
  <w:footnote w:id="292">
    <w:p w14:paraId="18932F11" w14:textId="77777777" w:rsidR="00902FCD" w:rsidRPr="00E87CD2" w:rsidRDefault="00902FCD" w:rsidP="001E02F1">
      <w:pPr>
        <w:pStyle w:val="FootnoteText"/>
        <w:spacing w:line="360" w:lineRule="auto"/>
        <w:rPr>
          <w:rFonts w:asciiTheme="majorBidi" w:hAnsiTheme="majorBidi" w:cstheme="majorBidi"/>
          <w:sz w:val="20"/>
          <w:szCs w:val="20"/>
        </w:rPr>
      </w:pPr>
      <w:r w:rsidRPr="00E87CD2">
        <w:rPr>
          <w:rFonts w:asciiTheme="majorBidi" w:hAnsiTheme="majorBidi" w:cstheme="majorBidi"/>
          <w:sz w:val="20"/>
          <w:szCs w:val="20"/>
          <w:vertAlign w:val="superscript"/>
        </w:rPr>
        <w:footnoteRef/>
      </w:r>
      <w:r w:rsidRPr="00E87CD2">
        <w:rPr>
          <w:rFonts w:asciiTheme="majorBidi" w:hAnsiTheme="majorBidi" w:cstheme="majorBidi"/>
          <w:sz w:val="20"/>
          <w:szCs w:val="20"/>
          <w:vertAlign w:val="superscript"/>
        </w:rPr>
        <w:t xml:space="preserve"> </w:t>
      </w:r>
      <w:r>
        <w:rPr>
          <w:rFonts w:asciiTheme="majorBidi" w:hAnsiTheme="majorBidi" w:cstheme="majorBidi"/>
          <w:sz w:val="20"/>
          <w:szCs w:val="20"/>
        </w:rPr>
        <w:t>Ibid.,</w:t>
      </w:r>
      <w:r w:rsidRPr="00C40A1A">
        <w:rPr>
          <w:rFonts w:asciiTheme="majorBidi" w:hAnsiTheme="majorBidi" w:cstheme="majorBidi"/>
          <w:sz w:val="20"/>
          <w:szCs w:val="20"/>
        </w:rPr>
        <w:t xml:space="preserve"> volume 3, p</w:t>
      </w:r>
      <w:r>
        <w:rPr>
          <w:rFonts w:asciiTheme="majorBidi" w:hAnsiTheme="majorBidi" w:cstheme="majorBidi"/>
          <w:sz w:val="20"/>
          <w:szCs w:val="20"/>
        </w:rPr>
        <w:t>p. 307-8.</w:t>
      </w:r>
    </w:p>
  </w:footnote>
  <w:footnote w:id="293">
    <w:p w14:paraId="2C6E1EEE" w14:textId="77777777" w:rsidR="00902FCD" w:rsidRPr="00114C93" w:rsidRDefault="00902FCD" w:rsidP="001E02F1">
      <w:pPr>
        <w:pStyle w:val="FootnoteText"/>
        <w:spacing w:line="360" w:lineRule="auto"/>
        <w:rPr>
          <w:rFonts w:asciiTheme="majorBidi" w:eastAsiaTheme="minorHAnsi" w:hAnsiTheme="majorBidi" w:cstheme="majorBidi"/>
          <w:sz w:val="20"/>
          <w:szCs w:val="20"/>
        </w:rPr>
      </w:pPr>
      <w:r w:rsidRPr="00114C93">
        <w:rPr>
          <w:rFonts w:asciiTheme="majorBidi" w:eastAsiaTheme="minorHAnsi" w:hAnsiTheme="majorBidi" w:cstheme="majorBidi"/>
          <w:sz w:val="20"/>
          <w:szCs w:val="20"/>
          <w:vertAlign w:val="superscript"/>
        </w:rPr>
        <w:footnoteRef/>
      </w:r>
      <w:r w:rsidRPr="00114C93">
        <w:rPr>
          <w:rFonts w:asciiTheme="majorBidi" w:eastAsiaTheme="minorHAnsi" w:hAnsiTheme="majorBidi" w:cstheme="majorBidi"/>
          <w:sz w:val="20"/>
          <w:szCs w:val="20"/>
        </w:rPr>
        <w:t xml:space="preserve"> </w:t>
      </w:r>
      <w:r>
        <w:rPr>
          <w:rFonts w:asciiTheme="majorBidi" w:hAnsiTheme="majorBidi" w:cstheme="majorBidi"/>
          <w:sz w:val="20"/>
          <w:szCs w:val="20"/>
        </w:rPr>
        <w:t>Ibid.,</w:t>
      </w:r>
      <w:r w:rsidRPr="00C40A1A">
        <w:rPr>
          <w:rFonts w:asciiTheme="majorBidi" w:hAnsiTheme="majorBidi" w:cstheme="majorBidi"/>
          <w:sz w:val="20"/>
          <w:szCs w:val="20"/>
        </w:rPr>
        <w:t xml:space="preserve"> </w:t>
      </w:r>
      <w:r w:rsidRPr="00114C93">
        <w:rPr>
          <w:rFonts w:asciiTheme="majorBidi" w:eastAsiaTheme="minorHAnsi" w:hAnsiTheme="majorBidi" w:cstheme="majorBidi"/>
          <w:sz w:val="20"/>
          <w:szCs w:val="20"/>
        </w:rPr>
        <w:t>volume 3, p. 338.</w:t>
      </w:r>
    </w:p>
  </w:footnote>
  <w:footnote w:id="294">
    <w:p w14:paraId="148B9E07" w14:textId="309F56C9" w:rsidR="00902FCD" w:rsidRPr="00C17C0F" w:rsidRDefault="00902FCD" w:rsidP="00C17C0F">
      <w:pPr>
        <w:pStyle w:val="FootnoteText"/>
        <w:spacing w:line="360" w:lineRule="auto"/>
        <w:rPr>
          <w:rFonts w:asciiTheme="majorBidi" w:eastAsiaTheme="minorHAnsi" w:hAnsiTheme="majorBidi" w:cstheme="majorBidi"/>
          <w:sz w:val="20"/>
          <w:szCs w:val="20"/>
        </w:rPr>
      </w:pPr>
      <w:r w:rsidRPr="008952AB">
        <w:rPr>
          <w:rStyle w:val="FootnoteReference"/>
          <w:rFonts w:asciiTheme="majorBidi" w:hAnsiTheme="majorBidi" w:cstheme="majorBidi"/>
          <w:sz w:val="20"/>
          <w:szCs w:val="20"/>
        </w:rPr>
        <w:footnoteRef/>
      </w:r>
      <w:r w:rsidRPr="008952AB">
        <w:rPr>
          <w:rFonts w:asciiTheme="majorBidi" w:hAnsiTheme="majorBidi" w:cstheme="majorBidi"/>
          <w:sz w:val="20"/>
          <w:szCs w:val="20"/>
        </w:rPr>
        <w:t xml:space="preserve"> </w:t>
      </w:r>
      <w:r w:rsidRPr="008952AB">
        <w:rPr>
          <w:rFonts w:asciiTheme="majorBidi" w:eastAsiaTheme="minorHAnsi" w:hAnsiTheme="majorBidi" w:cstheme="majorBidi"/>
          <w:sz w:val="20"/>
          <w:szCs w:val="20"/>
        </w:rPr>
        <w:t xml:space="preserve">See also </w:t>
      </w:r>
      <w:r>
        <w:rPr>
          <w:rFonts w:asciiTheme="majorBidi" w:eastAsiaTheme="minorHAnsi" w:hAnsiTheme="majorBidi" w:cstheme="majorBidi"/>
          <w:sz w:val="20"/>
          <w:szCs w:val="20"/>
        </w:rPr>
        <w:t>Ibn</w:t>
      </w:r>
      <w:r w:rsidRPr="008952AB">
        <w:rPr>
          <w:rFonts w:asciiTheme="majorBidi" w:eastAsiaTheme="minorHAnsi" w:hAnsiTheme="majorBidi" w:cstheme="majorBidi"/>
          <w:sz w:val="20"/>
          <w:szCs w:val="20"/>
        </w:rPr>
        <w:t>-’Athīr, 1987, volume 3, p. 345.</w:t>
      </w:r>
    </w:p>
  </w:footnote>
  <w:footnote w:id="295">
    <w:p w14:paraId="316E6E00" w14:textId="77777777" w:rsidR="00902FCD" w:rsidRPr="002732F7" w:rsidRDefault="00902FCD" w:rsidP="001E02F1">
      <w:pPr>
        <w:pStyle w:val="FootnoteText"/>
        <w:spacing w:line="360" w:lineRule="auto"/>
        <w:rPr>
          <w:rFonts w:asciiTheme="majorBidi" w:eastAsiaTheme="minorHAnsi" w:hAnsiTheme="majorBidi" w:cstheme="majorBidi"/>
          <w:sz w:val="20"/>
          <w:szCs w:val="20"/>
        </w:rPr>
      </w:pPr>
      <w:r w:rsidRPr="002732F7">
        <w:rPr>
          <w:rFonts w:asciiTheme="majorBidi" w:eastAsiaTheme="minorHAnsi" w:hAnsiTheme="majorBidi" w:cstheme="majorBidi"/>
          <w:sz w:val="20"/>
          <w:szCs w:val="20"/>
          <w:vertAlign w:val="superscript"/>
        </w:rPr>
        <w:footnoteRef/>
      </w:r>
      <w:r w:rsidRPr="002732F7">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8952AB">
        <w:rPr>
          <w:rFonts w:asciiTheme="majorBidi" w:eastAsiaTheme="minorHAnsi" w:hAnsiTheme="majorBidi" w:cstheme="majorBidi"/>
          <w:sz w:val="20"/>
          <w:szCs w:val="20"/>
        </w:rPr>
        <w:t>volume 3, p</w:t>
      </w:r>
      <w:r>
        <w:rPr>
          <w:rFonts w:asciiTheme="majorBidi" w:eastAsiaTheme="minorHAnsi" w:hAnsiTheme="majorBidi" w:cstheme="majorBidi"/>
          <w:sz w:val="20"/>
          <w:szCs w:val="20"/>
        </w:rPr>
        <w:t>p. 355-6.</w:t>
      </w:r>
    </w:p>
  </w:footnote>
  <w:footnote w:id="296">
    <w:p w14:paraId="747EB516" w14:textId="77777777" w:rsidR="00902FCD" w:rsidRPr="002732F7" w:rsidRDefault="00902FCD" w:rsidP="001E02F1">
      <w:pPr>
        <w:pStyle w:val="FootnoteText"/>
        <w:spacing w:line="360" w:lineRule="auto"/>
        <w:rPr>
          <w:rFonts w:asciiTheme="majorBidi" w:eastAsiaTheme="minorHAnsi" w:hAnsiTheme="majorBidi" w:cstheme="majorBidi"/>
          <w:sz w:val="20"/>
          <w:szCs w:val="20"/>
        </w:rPr>
      </w:pPr>
      <w:r w:rsidRPr="002732F7">
        <w:rPr>
          <w:rFonts w:asciiTheme="majorBidi" w:eastAsiaTheme="minorHAnsi" w:hAnsiTheme="majorBidi" w:cstheme="majorBidi"/>
          <w:sz w:val="20"/>
          <w:szCs w:val="20"/>
          <w:vertAlign w:val="superscript"/>
        </w:rPr>
        <w:footnoteRef/>
      </w:r>
      <w:r w:rsidRPr="002732F7">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8952AB">
        <w:rPr>
          <w:rFonts w:asciiTheme="majorBidi" w:eastAsiaTheme="minorHAnsi" w:hAnsiTheme="majorBidi" w:cstheme="majorBidi"/>
          <w:sz w:val="20"/>
          <w:szCs w:val="20"/>
        </w:rPr>
        <w:t>volume 3, p</w:t>
      </w:r>
      <w:r>
        <w:rPr>
          <w:rFonts w:asciiTheme="majorBidi" w:eastAsiaTheme="minorHAnsi" w:hAnsiTheme="majorBidi" w:cstheme="majorBidi"/>
          <w:sz w:val="20"/>
          <w:szCs w:val="20"/>
        </w:rPr>
        <w:t>. 363.</w:t>
      </w:r>
    </w:p>
  </w:footnote>
  <w:footnote w:id="297">
    <w:p w14:paraId="3BF60AF2" w14:textId="77777777" w:rsidR="00902FCD" w:rsidRPr="002732F7" w:rsidRDefault="00902FCD" w:rsidP="001E02F1">
      <w:pPr>
        <w:pStyle w:val="FootnoteText"/>
        <w:spacing w:line="360" w:lineRule="auto"/>
        <w:rPr>
          <w:rFonts w:asciiTheme="majorBidi" w:eastAsiaTheme="minorHAnsi" w:hAnsiTheme="majorBidi" w:cstheme="majorBidi"/>
          <w:sz w:val="20"/>
          <w:szCs w:val="20"/>
        </w:rPr>
      </w:pPr>
      <w:r w:rsidRPr="002732F7">
        <w:rPr>
          <w:rFonts w:asciiTheme="majorBidi" w:eastAsiaTheme="minorHAnsi" w:hAnsiTheme="majorBidi" w:cstheme="majorBidi"/>
          <w:sz w:val="20"/>
          <w:szCs w:val="20"/>
          <w:vertAlign w:val="superscript"/>
        </w:rPr>
        <w:footnoteRef/>
      </w:r>
      <w:r w:rsidRPr="002732F7">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8952AB">
        <w:rPr>
          <w:rFonts w:asciiTheme="majorBidi" w:eastAsiaTheme="minorHAnsi" w:hAnsiTheme="majorBidi" w:cstheme="majorBidi"/>
          <w:sz w:val="20"/>
          <w:szCs w:val="20"/>
        </w:rPr>
        <w:t>volume 3, p</w:t>
      </w:r>
      <w:r>
        <w:rPr>
          <w:rFonts w:asciiTheme="majorBidi" w:eastAsiaTheme="minorHAnsi" w:hAnsiTheme="majorBidi" w:cstheme="majorBidi"/>
          <w:sz w:val="20"/>
          <w:szCs w:val="20"/>
        </w:rPr>
        <w:t>p. 445-6.</w:t>
      </w:r>
    </w:p>
  </w:footnote>
  <w:footnote w:id="298">
    <w:p w14:paraId="690ECCCA" w14:textId="6185C10F" w:rsidR="00902FCD" w:rsidRPr="002732F7" w:rsidRDefault="00902FCD" w:rsidP="001E02F1">
      <w:pPr>
        <w:pStyle w:val="FootnoteText"/>
        <w:spacing w:line="360" w:lineRule="auto"/>
        <w:rPr>
          <w:rFonts w:asciiTheme="majorBidi" w:eastAsiaTheme="minorHAnsi" w:hAnsiTheme="majorBidi" w:cstheme="majorBidi"/>
          <w:sz w:val="20"/>
          <w:szCs w:val="20"/>
        </w:rPr>
      </w:pPr>
      <w:r w:rsidRPr="002732F7">
        <w:rPr>
          <w:rFonts w:asciiTheme="majorBidi" w:eastAsiaTheme="minorHAnsi" w:hAnsiTheme="majorBidi" w:cstheme="majorBidi"/>
          <w:sz w:val="20"/>
          <w:szCs w:val="20"/>
          <w:vertAlign w:val="superscript"/>
        </w:rPr>
        <w:footnoteRef/>
      </w:r>
      <w:r w:rsidRPr="002732F7">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8952AB">
        <w:rPr>
          <w:rFonts w:asciiTheme="majorBidi" w:eastAsiaTheme="minorHAnsi" w:hAnsiTheme="majorBidi" w:cstheme="majorBidi"/>
          <w:sz w:val="20"/>
          <w:szCs w:val="20"/>
        </w:rPr>
        <w:t>volume 3,</w:t>
      </w:r>
      <w:r>
        <w:rPr>
          <w:rFonts w:asciiTheme="majorBidi" w:eastAsiaTheme="minorHAnsi" w:hAnsiTheme="majorBidi" w:cstheme="majorBidi"/>
          <w:sz w:val="20"/>
          <w:szCs w:val="20"/>
        </w:rPr>
        <w:t xml:space="preserve"> pp. 483-6. Haug (2019, pp. 105-6) argues that the Turks were more probably the Hephthalites.</w:t>
      </w:r>
    </w:p>
  </w:footnote>
  <w:footnote w:id="299">
    <w:p w14:paraId="77D34A48" w14:textId="3F126CA4" w:rsidR="00902FCD" w:rsidRPr="008635EC" w:rsidRDefault="00902FCD" w:rsidP="001E02F1">
      <w:pPr>
        <w:pStyle w:val="FootnoteText"/>
        <w:spacing w:line="360" w:lineRule="auto"/>
        <w:rPr>
          <w:rFonts w:asciiTheme="majorBidi" w:eastAsiaTheme="minorHAnsi" w:hAnsiTheme="majorBidi" w:cstheme="majorBidi"/>
          <w:sz w:val="20"/>
          <w:szCs w:val="20"/>
        </w:rPr>
      </w:pPr>
      <w:r w:rsidRPr="008635EC">
        <w:rPr>
          <w:rFonts w:asciiTheme="majorBidi" w:eastAsiaTheme="minorHAnsi" w:hAnsiTheme="majorBidi" w:cstheme="majorBidi"/>
          <w:sz w:val="20"/>
          <w:szCs w:val="20"/>
          <w:vertAlign w:val="superscript"/>
        </w:rPr>
        <w:footnoteRef/>
      </w:r>
      <w:r w:rsidRPr="008635EC">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See also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4, pp. 24-6.</w:t>
      </w:r>
      <w:r w:rsidR="00BD0FC3">
        <w:rPr>
          <w:rFonts w:asciiTheme="majorBidi" w:eastAsiaTheme="minorHAnsi" w:hAnsiTheme="majorBidi" w:cstheme="majorBidi"/>
          <w:sz w:val="20"/>
          <w:szCs w:val="20"/>
        </w:rPr>
        <w:t xml:space="preserve"> Gardīzī (1984, pp. 241-2; tr., 2011, p. 19) presents a briefer account of the tribal factions of the Arabs in Khurasan during</w:t>
      </w:r>
      <w:r w:rsidR="00BD0FC3" w:rsidRPr="00BD0FC3">
        <w:rPr>
          <w:rFonts w:asciiTheme="majorBidi" w:eastAsiaTheme="minorHAnsi" w:hAnsiTheme="majorBidi" w:cstheme="majorBidi"/>
          <w:sz w:val="20"/>
          <w:szCs w:val="20"/>
        </w:rPr>
        <w:t xml:space="preserve"> </w:t>
      </w:r>
      <w:r w:rsidR="00BD0FC3" w:rsidRPr="00BD0FC3">
        <w:rPr>
          <w:rFonts w:asciiTheme="majorBidi" w:hAnsiTheme="majorBidi" w:cstheme="majorBidi"/>
          <w:sz w:val="20"/>
          <w:szCs w:val="20"/>
        </w:rPr>
        <w:t>‘Abdallāh b. Khāzi</w:t>
      </w:r>
      <w:r w:rsidR="00BD0FC3">
        <w:rPr>
          <w:rFonts w:asciiTheme="majorBidi" w:hAnsiTheme="majorBidi" w:cstheme="majorBidi"/>
          <w:sz w:val="20"/>
          <w:szCs w:val="20"/>
        </w:rPr>
        <w:t>m's governate</w:t>
      </w:r>
      <w:r w:rsidR="00BD0FC3">
        <w:rPr>
          <w:rFonts w:asciiTheme="majorBidi" w:eastAsiaTheme="minorHAnsi" w:hAnsiTheme="majorBidi" w:cstheme="majorBidi"/>
          <w:sz w:val="20"/>
          <w:szCs w:val="20"/>
        </w:rPr>
        <w:t>.</w:t>
      </w:r>
    </w:p>
  </w:footnote>
  <w:footnote w:id="300">
    <w:p w14:paraId="7FD59161" w14:textId="41F193E2" w:rsidR="00902FCD" w:rsidRPr="008635EC" w:rsidRDefault="00902FCD" w:rsidP="001E02F1">
      <w:pPr>
        <w:pStyle w:val="FootnoteText"/>
        <w:spacing w:line="360" w:lineRule="auto"/>
        <w:rPr>
          <w:rFonts w:asciiTheme="majorBidi" w:eastAsiaTheme="minorHAnsi" w:hAnsiTheme="majorBidi" w:cstheme="majorBidi"/>
          <w:sz w:val="20"/>
          <w:szCs w:val="20"/>
        </w:rPr>
      </w:pPr>
      <w:r w:rsidRPr="008635EC">
        <w:rPr>
          <w:rFonts w:asciiTheme="majorBidi" w:eastAsiaTheme="minorHAnsi" w:hAnsiTheme="majorBidi" w:cstheme="majorBidi"/>
          <w:sz w:val="20"/>
          <w:szCs w:val="20"/>
          <w:vertAlign w:val="superscript"/>
        </w:rPr>
        <w:footnoteRef/>
      </w:r>
      <w:r w:rsidRPr="008635EC">
        <w:rPr>
          <w:rFonts w:asciiTheme="majorBidi" w:eastAsiaTheme="minorHAnsi" w:hAnsiTheme="majorBidi" w:cstheme="majorBidi"/>
          <w:sz w:val="20"/>
          <w:szCs w:val="20"/>
        </w:rPr>
        <w:t xml:space="preserve"> </w:t>
      </w:r>
      <w:r w:rsidR="00D32B21">
        <w:rPr>
          <w:rFonts w:asciiTheme="majorBidi" w:eastAsiaTheme="minorHAnsi" w:hAnsiTheme="majorBidi" w:cstheme="majorBidi"/>
          <w:sz w:val="20"/>
          <w:szCs w:val="20"/>
        </w:rPr>
        <w:t>See also Ibn</w:t>
      </w:r>
      <w:r w:rsidR="00D32B21" w:rsidRPr="008952AB">
        <w:rPr>
          <w:rFonts w:asciiTheme="majorBidi" w:eastAsiaTheme="minorHAnsi" w:hAnsiTheme="majorBidi" w:cstheme="majorBidi"/>
          <w:sz w:val="20"/>
          <w:szCs w:val="20"/>
        </w:rPr>
        <w:t>-’Athīr, 1987,</w:t>
      </w:r>
      <w:r w:rsidR="00D32B21">
        <w:rPr>
          <w:rFonts w:asciiTheme="majorBidi" w:eastAsiaTheme="minorHAnsi" w:hAnsiTheme="majorBidi" w:cstheme="majorBidi"/>
          <w:sz w:val="20"/>
          <w:szCs w:val="20"/>
        </w:rPr>
        <w:t xml:space="preserve">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4, pp. 55-7.</w:t>
      </w:r>
    </w:p>
  </w:footnote>
  <w:footnote w:id="301">
    <w:p w14:paraId="3F3745BA" w14:textId="77777777" w:rsidR="00902FCD" w:rsidRPr="00BA605F" w:rsidRDefault="00902FCD" w:rsidP="001E02F1">
      <w:pPr>
        <w:pStyle w:val="FootnoteText"/>
        <w:spacing w:line="360" w:lineRule="auto"/>
        <w:rPr>
          <w:rFonts w:asciiTheme="majorBidi" w:eastAsiaTheme="minorHAnsi" w:hAnsiTheme="majorBidi" w:cstheme="majorBidi"/>
          <w:sz w:val="20"/>
          <w:szCs w:val="20"/>
        </w:rPr>
      </w:pPr>
      <w:r w:rsidRPr="00BA605F">
        <w:rPr>
          <w:rFonts w:asciiTheme="majorBidi" w:eastAsiaTheme="minorHAnsi" w:hAnsiTheme="majorBidi" w:cstheme="majorBidi"/>
          <w:sz w:val="20"/>
          <w:szCs w:val="20"/>
          <w:vertAlign w:val="superscript"/>
        </w:rPr>
        <w:footnoteRef/>
      </w:r>
      <w:r w:rsidRPr="00BA605F">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4, pp. 119-20.</w:t>
      </w:r>
    </w:p>
  </w:footnote>
  <w:footnote w:id="302">
    <w:p w14:paraId="467AC46A" w14:textId="77777777" w:rsidR="00902FCD" w:rsidRPr="008277BB" w:rsidRDefault="00902FCD" w:rsidP="001E02F1">
      <w:pPr>
        <w:pStyle w:val="FootnoteText"/>
        <w:spacing w:line="360" w:lineRule="auto"/>
        <w:rPr>
          <w:rFonts w:asciiTheme="majorBidi" w:eastAsiaTheme="minorHAnsi" w:hAnsiTheme="majorBidi" w:cstheme="majorBidi"/>
          <w:sz w:val="20"/>
          <w:szCs w:val="20"/>
        </w:rPr>
      </w:pPr>
      <w:r w:rsidRPr="008277BB">
        <w:rPr>
          <w:rFonts w:asciiTheme="majorBidi" w:eastAsiaTheme="minorHAnsi" w:hAnsiTheme="majorBidi" w:cstheme="majorBidi"/>
          <w:sz w:val="20"/>
          <w:szCs w:val="20"/>
          <w:vertAlign w:val="superscript"/>
        </w:rPr>
        <w:footnoteRef/>
      </w:r>
      <w:r w:rsidRPr="008277BB">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4, pp.</w:t>
      </w:r>
      <w:r w:rsidRPr="008277BB">
        <w:rPr>
          <w:rFonts w:asciiTheme="majorBidi" w:eastAsiaTheme="minorHAnsi" w:hAnsiTheme="majorBidi" w:cstheme="majorBidi"/>
          <w:sz w:val="20"/>
          <w:szCs w:val="20"/>
        </w:rPr>
        <w:t xml:space="preserve"> 133-4.</w:t>
      </w:r>
      <w:r>
        <w:rPr>
          <w:rFonts w:asciiTheme="majorBidi" w:eastAsiaTheme="minorHAnsi" w:hAnsiTheme="majorBidi" w:cstheme="majorBidi"/>
          <w:sz w:val="20"/>
          <w:szCs w:val="20"/>
        </w:rPr>
        <w:t xml:space="preserve"> According to Haug (2019, p. 107), Bukayr's preparation of a military campaign into </w:t>
      </w:r>
      <w:r w:rsidRPr="00834A21">
        <w:rPr>
          <w:rFonts w:asciiTheme="majorBidi" w:eastAsiaTheme="minorHAnsi" w:hAnsiTheme="majorBidi" w:cstheme="majorBidi"/>
          <w:sz w:val="20"/>
          <w:szCs w:val="20"/>
        </w:rPr>
        <w:t>Ṭukhāristān shows that the region was lost by the Arabs during the Second Fitna.</w:t>
      </w:r>
    </w:p>
  </w:footnote>
  <w:footnote w:id="303">
    <w:p w14:paraId="6ECDFA29" w14:textId="77777777" w:rsidR="00902FCD" w:rsidRPr="00E773F4" w:rsidRDefault="00902FCD" w:rsidP="001E02F1">
      <w:pPr>
        <w:pStyle w:val="FootnoteText"/>
        <w:spacing w:line="360" w:lineRule="auto"/>
        <w:rPr>
          <w:rFonts w:asciiTheme="majorBidi" w:eastAsiaTheme="minorHAnsi" w:hAnsiTheme="majorBidi" w:cstheme="majorBidi"/>
          <w:sz w:val="20"/>
          <w:szCs w:val="20"/>
        </w:rPr>
      </w:pPr>
      <w:r w:rsidRPr="00E773F4">
        <w:rPr>
          <w:rFonts w:asciiTheme="majorBidi" w:eastAsiaTheme="minorHAnsi" w:hAnsiTheme="majorBidi" w:cstheme="majorBidi"/>
          <w:sz w:val="20"/>
          <w:szCs w:val="20"/>
          <w:vertAlign w:val="superscript"/>
        </w:rPr>
        <w:footnoteRef/>
      </w:r>
      <w:r w:rsidRPr="00E773F4">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See also Ibn</w:t>
      </w:r>
      <w:r w:rsidRPr="008952AB">
        <w:rPr>
          <w:rFonts w:asciiTheme="majorBidi" w:eastAsiaTheme="minorHAnsi" w:hAnsiTheme="majorBidi" w:cstheme="majorBidi"/>
          <w:sz w:val="20"/>
          <w:szCs w:val="20"/>
        </w:rPr>
        <w:t>-’Athīr, 1987, volume</w:t>
      </w:r>
      <w:r>
        <w:rPr>
          <w:rFonts w:asciiTheme="majorBidi" w:eastAsiaTheme="minorHAnsi" w:hAnsiTheme="majorBidi" w:cstheme="majorBidi"/>
          <w:sz w:val="20"/>
          <w:szCs w:val="20"/>
        </w:rPr>
        <w:t xml:space="preserve"> 4, pp.</w:t>
      </w:r>
      <w:r w:rsidRPr="008277BB">
        <w:rPr>
          <w:rFonts w:asciiTheme="majorBidi" w:eastAsiaTheme="minorHAnsi" w:hAnsiTheme="majorBidi" w:cstheme="majorBidi"/>
          <w:sz w:val="20"/>
          <w:szCs w:val="20"/>
        </w:rPr>
        <w:t xml:space="preserve"> 1</w:t>
      </w:r>
      <w:r w:rsidRPr="00E773F4">
        <w:rPr>
          <w:rFonts w:asciiTheme="majorBidi" w:eastAsiaTheme="minorHAnsi" w:hAnsiTheme="majorBidi" w:cstheme="majorBidi"/>
          <w:sz w:val="20"/>
          <w:szCs w:val="20"/>
        </w:rPr>
        <w:t>85-7.</w:t>
      </w:r>
    </w:p>
  </w:footnote>
  <w:footnote w:id="304">
    <w:p w14:paraId="6F02E70F" w14:textId="77777777" w:rsidR="00902FCD" w:rsidRPr="001B6E05" w:rsidRDefault="00902FCD" w:rsidP="001E02F1">
      <w:pPr>
        <w:pStyle w:val="FootnoteText"/>
        <w:spacing w:line="360" w:lineRule="auto"/>
        <w:rPr>
          <w:rFonts w:asciiTheme="majorBidi" w:eastAsiaTheme="minorHAnsi" w:hAnsiTheme="majorBidi" w:cstheme="majorBidi"/>
          <w:sz w:val="20"/>
          <w:szCs w:val="20"/>
        </w:rPr>
      </w:pPr>
      <w:r w:rsidRPr="001B6E05">
        <w:rPr>
          <w:rFonts w:asciiTheme="majorBidi" w:eastAsiaTheme="minorHAnsi" w:hAnsiTheme="majorBidi" w:cstheme="majorBidi"/>
          <w:sz w:val="20"/>
          <w:szCs w:val="20"/>
          <w:vertAlign w:val="superscript"/>
        </w:rPr>
        <w:footnoteRef/>
      </w:r>
      <w:r w:rsidRPr="001B6E05">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4, p. 188.</w:t>
      </w:r>
    </w:p>
  </w:footnote>
  <w:footnote w:id="305">
    <w:p w14:paraId="5D672781" w14:textId="3428AC20" w:rsidR="00902FCD" w:rsidRPr="00AD1DA2" w:rsidRDefault="00902FCD" w:rsidP="001E02F1">
      <w:pPr>
        <w:pStyle w:val="FootnoteText"/>
        <w:spacing w:line="360" w:lineRule="auto"/>
        <w:rPr>
          <w:rFonts w:asciiTheme="majorBidi" w:eastAsiaTheme="minorHAnsi" w:hAnsiTheme="majorBidi" w:cstheme="majorBidi"/>
          <w:sz w:val="20"/>
          <w:szCs w:val="20"/>
        </w:rPr>
      </w:pPr>
      <w:r w:rsidRPr="00AD1DA2">
        <w:rPr>
          <w:rFonts w:asciiTheme="majorBidi" w:eastAsiaTheme="minorHAnsi" w:hAnsiTheme="majorBidi" w:cstheme="majorBidi"/>
          <w:sz w:val="20"/>
          <w:szCs w:val="20"/>
          <w:vertAlign w:val="superscript"/>
        </w:rPr>
        <w:footnoteRef/>
      </w:r>
      <w:r w:rsidRPr="00AD1DA2">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4, p.</w:t>
      </w:r>
      <w:r w:rsidRPr="00AD1DA2">
        <w:rPr>
          <w:rFonts w:asciiTheme="majorBidi" w:eastAsiaTheme="minorHAnsi" w:hAnsiTheme="majorBidi" w:cstheme="majorBidi"/>
          <w:sz w:val="20"/>
          <w:szCs w:val="20"/>
        </w:rPr>
        <w:t xml:space="preserve"> 192</w:t>
      </w:r>
      <w:r>
        <w:rPr>
          <w:rFonts w:asciiTheme="majorBidi" w:eastAsiaTheme="minorHAnsi" w:hAnsiTheme="majorBidi" w:cstheme="majorBidi"/>
          <w:sz w:val="20"/>
          <w:szCs w:val="20"/>
        </w:rPr>
        <w:t xml:space="preserve">; see also al-Kūfī, </w:t>
      </w:r>
      <w:r>
        <w:rPr>
          <w:rFonts w:asciiTheme="majorBidi" w:hAnsiTheme="majorBidi" w:cstheme="majorBidi" w:hint="cs"/>
          <w:sz w:val="20"/>
          <w:szCs w:val="20"/>
          <w:rtl/>
          <w:lang w:bidi="ar-JO"/>
        </w:rPr>
        <w:t>1975</w:t>
      </w:r>
      <w:r>
        <w:rPr>
          <w:rFonts w:asciiTheme="majorBidi" w:hAnsiTheme="majorBidi" w:cstheme="majorBidi"/>
          <w:sz w:val="20"/>
          <w:szCs w:val="20"/>
          <w:lang w:bidi="ar-JO"/>
        </w:rPr>
        <w:t xml:space="preserve">, </w:t>
      </w:r>
      <w:r>
        <w:rPr>
          <w:rFonts w:asciiTheme="majorBidi" w:hAnsiTheme="majorBidi" w:cstheme="majorBidi"/>
          <w:sz w:val="20"/>
          <w:szCs w:val="20"/>
        </w:rPr>
        <w:t xml:space="preserve">volume 7, p. 78; Khalifa ibn Khayyat, 1985, p. 279, </w:t>
      </w:r>
      <w:r>
        <w:rPr>
          <w:rFonts w:asciiTheme="majorBidi" w:hAnsiTheme="majorBidi" w:cstheme="majorBidi" w:hint="eastAsia"/>
          <w:sz w:val="20"/>
          <w:szCs w:val="20"/>
        </w:rPr>
        <w:t>tr</w:t>
      </w:r>
      <w:r>
        <w:rPr>
          <w:rFonts w:asciiTheme="majorBidi" w:hAnsiTheme="majorBidi" w:cstheme="majorBidi"/>
          <w:sz w:val="20"/>
          <w:szCs w:val="20"/>
        </w:rPr>
        <w:t>., 2015, p. 142.</w:t>
      </w:r>
      <w:r>
        <w:rPr>
          <w:rFonts w:asciiTheme="majorBidi" w:eastAsiaTheme="minorHAnsi" w:hAnsiTheme="majorBidi" w:cstheme="majorBidi"/>
          <w:sz w:val="20"/>
          <w:szCs w:val="20"/>
        </w:rPr>
        <w:t xml:space="preserve"> </w:t>
      </w:r>
    </w:p>
  </w:footnote>
  <w:footnote w:id="306">
    <w:p w14:paraId="59635FD8" w14:textId="5AD13117" w:rsidR="00902FCD" w:rsidRPr="007000E7" w:rsidRDefault="00902FCD" w:rsidP="001E02F1">
      <w:pPr>
        <w:pStyle w:val="FootnoteText"/>
        <w:spacing w:line="360" w:lineRule="auto"/>
        <w:rPr>
          <w:rFonts w:asciiTheme="majorBidi" w:eastAsiaTheme="minorHAnsi" w:hAnsiTheme="majorBidi" w:cstheme="majorBidi"/>
          <w:sz w:val="20"/>
          <w:szCs w:val="20"/>
        </w:rPr>
      </w:pPr>
      <w:r w:rsidRPr="007000E7">
        <w:rPr>
          <w:rFonts w:asciiTheme="majorBidi" w:eastAsiaTheme="minorHAnsi" w:hAnsiTheme="majorBidi" w:cstheme="majorBidi"/>
          <w:sz w:val="20"/>
          <w:szCs w:val="20"/>
          <w:vertAlign w:val="superscript"/>
        </w:rPr>
        <w:footnoteRef/>
      </w:r>
      <w:r w:rsidRPr="007000E7">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See also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4, p</w:t>
      </w:r>
      <w:r w:rsidRPr="007000E7">
        <w:rPr>
          <w:rFonts w:asciiTheme="majorBidi" w:eastAsiaTheme="minorHAnsi" w:hAnsiTheme="majorBidi" w:cstheme="majorBidi"/>
          <w:sz w:val="20"/>
          <w:szCs w:val="20"/>
        </w:rPr>
        <w:t>p. 206-8.</w:t>
      </w:r>
      <w:r>
        <w:rPr>
          <w:rFonts w:asciiTheme="majorBidi" w:eastAsiaTheme="minorHAnsi" w:hAnsiTheme="majorBidi" w:cstheme="majorBidi"/>
          <w:sz w:val="20"/>
          <w:szCs w:val="20"/>
        </w:rPr>
        <w:t xml:space="preserve"> A</w:t>
      </w:r>
      <w:r>
        <w:rPr>
          <w:rFonts w:asciiTheme="majorBidi" w:eastAsiaTheme="minorHAnsi" w:hAnsiTheme="majorBidi" w:cstheme="majorBidi" w:hint="eastAsia"/>
          <w:sz w:val="20"/>
          <w:szCs w:val="20"/>
        </w:rPr>
        <w:t>ccor</w:t>
      </w:r>
      <w:r>
        <w:rPr>
          <w:rFonts w:asciiTheme="majorBidi" w:eastAsiaTheme="minorHAnsi" w:hAnsiTheme="majorBidi" w:cstheme="majorBidi"/>
          <w:sz w:val="20"/>
          <w:szCs w:val="20"/>
        </w:rPr>
        <w:t>ding to Stark (2007, p. 313), this band of Turks were highly probably irrelevant to the Yabghū of Ṭukhāristān and the Khāqān and operating beyond tribal and state structures.</w:t>
      </w:r>
    </w:p>
  </w:footnote>
  <w:footnote w:id="307">
    <w:p w14:paraId="5460D575" w14:textId="03453C83" w:rsidR="00902FCD" w:rsidRPr="009E3321" w:rsidRDefault="00902FCD" w:rsidP="001E02F1">
      <w:pPr>
        <w:pStyle w:val="FootnoteText"/>
        <w:spacing w:line="360" w:lineRule="auto"/>
        <w:rPr>
          <w:rFonts w:asciiTheme="majorBidi" w:eastAsiaTheme="minorHAnsi" w:hAnsiTheme="majorBidi" w:cstheme="majorBidi"/>
          <w:sz w:val="20"/>
          <w:szCs w:val="20"/>
        </w:rPr>
      </w:pPr>
      <w:r w:rsidRPr="009E3321">
        <w:rPr>
          <w:rFonts w:asciiTheme="majorBidi" w:eastAsiaTheme="minorHAnsi" w:hAnsiTheme="majorBidi" w:cstheme="majorBidi"/>
          <w:sz w:val="20"/>
          <w:szCs w:val="20"/>
          <w:vertAlign w:val="superscript"/>
        </w:rPr>
        <w:footnoteRef/>
      </w:r>
      <w:r w:rsidRPr="009E3321">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See also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9E3321">
        <w:rPr>
          <w:rFonts w:asciiTheme="majorBidi" w:eastAsiaTheme="minorHAnsi" w:hAnsiTheme="majorBidi" w:cstheme="majorBidi"/>
          <w:sz w:val="20"/>
          <w:szCs w:val="20"/>
        </w:rPr>
        <w:t>volume 4, pp. 215-7.</w:t>
      </w:r>
    </w:p>
  </w:footnote>
  <w:footnote w:id="308">
    <w:p w14:paraId="21E9CA3D" w14:textId="77777777" w:rsidR="00902FCD" w:rsidRPr="009E3321" w:rsidRDefault="00902FCD" w:rsidP="001E02F1">
      <w:pPr>
        <w:pStyle w:val="FootnoteText"/>
        <w:spacing w:line="360" w:lineRule="auto"/>
        <w:rPr>
          <w:rFonts w:asciiTheme="majorBidi" w:eastAsiaTheme="minorHAnsi" w:hAnsiTheme="majorBidi" w:cstheme="majorBidi"/>
          <w:sz w:val="20"/>
          <w:szCs w:val="20"/>
        </w:rPr>
      </w:pPr>
      <w:r w:rsidRPr="009E3321">
        <w:rPr>
          <w:rFonts w:asciiTheme="majorBidi" w:eastAsiaTheme="minorHAnsi" w:hAnsiTheme="majorBidi" w:cstheme="majorBidi"/>
          <w:sz w:val="20"/>
          <w:szCs w:val="20"/>
          <w:vertAlign w:val="superscript"/>
        </w:rPr>
        <w:footnoteRef/>
      </w:r>
      <w:r w:rsidRPr="009E3321">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9E3321">
        <w:rPr>
          <w:rFonts w:asciiTheme="majorBidi" w:eastAsiaTheme="minorHAnsi" w:hAnsiTheme="majorBidi" w:cstheme="majorBidi"/>
          <w:sz w:val="20"/>
          <w:szCs w:val="20"/>
        </w:rPr>
        <w:t>volume 4, pp. 224-5.</w:t>
      </w:r>
    </w:p>
  </w:footnote>
  <w:footnote w:id="309">
    <w:p w14:paraId="21004CBF" w14:textId="5B908654" w:rsidR="00902FCD" w:rsidRPr="009E3321" w:rsidRDefault="00902FCD" w:rsidP="001E02F1">
      <w:pPr>
        <w:pStyle w:val="FootnoteText"/>
        <w:spacing w:line="360" w:lineRule="auto"/>
        <w:rPr>
          <w:rFonts w:asciiTheme="majorBidi" w:eastAsiaTheme="minorHAnsi" w:hAnsiTheme="majorBidi" w:cstheme="majorBidi"/>
          <w:sz w:val="20"/>
          <w:szCs w:val="20"/>
        </w:rPr>
      </w:pPr>
      <w:r w:rsidRPr="009E3321">
        <w:rPr>
          <w:rFonts w:asciiTheme="majorBidi" w:eastAsiaTheme="minorHAnsi" w:hAnsiTheme="majorBidi" w:cstheme="majorBidi"/>
          <w:sz w:val="20"/>
          <w:szCs w:val="20"/>
          <w:vertAlign w:val="superscript"/>
        </w:rPr>
        <w:footnoteRef/>
      </w:r>
      <w:r w:rsidRPr="009E3321">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 xml:space="preserve">Ibid., </w:t>
      </w:r>
      <w:r w:rsidRPr="009E3321">
        <w:rPr>
          <w:rFonts w:asciiTheme="majorBidi" w:eastAsiaTheme="minorHAnsi" w:hAnsiTheme="majorBidi" w:cstheme="majorBidi"/>
          <w:sz w:val="20"/>
          <w:szCs w:val="20"/>
        </w:rPr>
        <w:t>volume 4, pp. 227-34.</w:t>
      </w:r>
      <w:r>
        <w:rPr>
          <w:rFonts w:asciiTheme="majorBidi" w:eastAsiaTheme="minorHAnsi" w:hAnsiTheme="majorBidi" w:cstheme="majorBidi"/>
          <w:sz w:val="20"/>
          <w:szCs w:val="20"/>
        </w:rPr>
        <w:t xml:space="preserve"> For Mūsā’s adventure, see </w:t>
      </w:r>
      <w:r w:rsidRPr="00F44164">
        <w:rPr>
          <w:rFonts w:asciiTheme="majorBidi" w:eastAsiaTheme="minorHAnsi" w:hAnsiTheme="majorBidi" w:cstheme="majorBidi"/>
          <w:sz w:val="20"/>
          <w:szCs w:val="20"/>
        </w:rPr>
        <w:t>also al-Balādhurī, 1987, pp. 587-90</w:t>
      </w:r>
      <w:r>
        <w:rPr>
          <w:rFonts w:asciiTheme="majorBidi" w:eastAsiaTheme="minorHAnsi" w:hAnsiTheme="majorBidi" w:cstheme="majorBidi"/>
          <w:sz w:val="20"/>
          <w:szCs w:val="20"/>
        </w:rPr>
        <w:t>; tr., part II, 1924, pp. 183-5.</w:t>
      </w:r>
    </w:p>
  </w:footnote>
  <w:footnote w:id="310">
    <w:p w14:paraId="238CF2E9" w14:textId="5452EA88" w:rsidR="00902FCD" w:rsidRPr="00CA3746" w:rsidRDefault="00902FCD" w:rsidP="001E02F1">
      <w:pPr>
        <w:pStyle w:val="FootnoteText"/>
        <w:spacing w:line="360" w:lineRule="auto"/>
        <w:rPr>
          <w:rFonts w:asciiTheme="majorBidi" w:eastAsiaTheme="minorHAnsi" w:hAnsiTheme="majorBidi" w:cstheme="majorBidi"/>
          <w:sz w:val="20"/>
          <w:szCs w:val="20"/>
        </w:rPr>
      </w:pPr>
      <w:r w:rsidRPr="00CA3746">
        <w:rPr>
          <w:rFonts w:asciiTheme="majorBidi" w:eastAsiaTheme="minorHAnsi" w:hAnsiTheme="majorBidi" w:cstheme="majorBidi"/>
          <w:sz w:val="20"/>
          <w:szCs w:val="20"/>
          <w:vertAlign w:val="superscript"/>
        </w:rPr>
        <w:footnoteRef/>
      </w:r>
      <w:r w:rsidRPr="00CA3746">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 xml:space="preserve">See also </w:t>
      </w:r>
      <w:r w:rsidRPr="00814842">
        <w:rPr>
          <w:rFonts w:asciiTheme="majorBidi" w:eastAsiaTheme="minorHAnsi" w:hAnsiTheme="majorBidi" w:cstheme="majorBidi"/>
          <w:sz w:val="20"/>
          <w:szCs w:val="20"/>
        </w:rPr>
        <w:t>al-Balādhurī, 1987, p. 590</w:t>
      </w:r>
      <w:r>
        <w:rPr>
          <w:rFonts w:asciiTheme="majorBidi" w:eastAsiaTheme="minorHAnsi" w:hAnsiTheme="majorBidi" w:cstheme="majorBidi"/>
          <w:sz w:val="20"/>
          <w:szCs w:val="20"/>
        </w:rPr>
        <w:t>; tr., part II, 1924, pp. 186-7;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w:t>
      </w:r>
      <w:r w:rsidRPr="00CA3746">
        <w:rPr>
          <w:rFonts w:asciiTheme="majorBidi" w:eastAsiaTheme="minorHAnsi" w:hAnsiTheme="majorBidi" w:cstheme="majorBidi"/>
          <w:sz w:val="20"/>
          <w:szCs w:val="20"/>
        </w:rPr>
        <w:t xml:space="preserve"> volume 4, p. 241.</w:t>
      </w:r>
      <w:r>
        <w:rPr>
          <w:rFonts w:asciiTheme="majorBidi" w:eastAsiaTheme="minorHAnsi" w:hAnsiTheme="majorBidi" w:cstheme="majorBidi"/>
          <w:sz w:val="20"/>
          <w:szCs w:val="20"/>
        </w:rPr>
        <w:t xml:space="preserve"> See also Khalifa ibn Khayyat for the surrender of Chaghāniyān and Balkh to Qutayba (1985, p. 291; tr., 2015, p. 159).</w:t>
      </w:r>
    </w:p>
  </w:footnote>
  <w:footnote w:id="311">
    <w:p w14:paraId="714F9EF9" w14:textId="3684C5E9" w:rsidR="00902FCD" w:rsidRPr="00CA3746" w:rsidRDefault="00902FCD" w:rsidP="001E02F1">
      <w:pPr>
        <w:pStyle w:val="FootnoteText"/>
        <w:spacing w:line="360" w:lineRule="auto"/>
        <w:rPr>
          <w:rFonts w:asciiTheme="majorBidi" w:hAnsiTheme="majorBidi" w:cstheme="majorBidi"/>
          <w:sz w:val="20"/>
          <w:szCs w:val="20"/>
        </w:rPr>
      </w:pPr>
      <w:r w:rsidRPr="00CA3746">
        <w:rPr>
          <w:rStyle w:val="FootnoteReference"/>
          <w:rFonts w:asciiTheme="majorBidi" w:hAnsiTheme="majorBidi" w:cstheme="majorBidi"/>
          <w:sz w:val="20"/>
          <w:szCs w:val="20"/>
        </w:rPr>
        <w:footnoteRef/>
      </w:r>
      <w:r w:rsidRPr="00CA3746">
        <w:rPr>
          <w:rFonts w:asciiTheme="majorBidi" w:hAnsiTheme="majorBidi" w:cstheme="majorBidi"/>
          <w:sz w:val="20"/>
          <w:szCs w:val="20"/>
        </w:rPr>
        <w:t xml:space="preserve"> </w:t>
      </w:r>
      <w:r>
        <w:rPr>
          <w:rFonts w:asciiTheme="majorBidi" w:eastAsiaTheme="minorHAnsi" w:hAnsiTheme="majorBidi" w:cstheme="majorBidi"/>
          <w:sz w:val="20"/>
          <w:szCs w:val="20"/>
        </w:rPr>
        <w:t xml:space="preserve">See also </w:t>
      </w:r>
      <w:r w:rsidRPr="00814842">
        <w:rPr>
          <w:rFonts w:asciiTheme="majorBidi" w:eastAsiaTheme="minorHAnsi" w:hAnsiTheme="majorBidi" w:cstheme="majorBidi"/>
          <w:sz w:val="20"/>
          <w:szCs w:val="20"/>
        </w:rPr>
        <w:t>al-Balādhurī, 1987, p. 591</w:t>
      </w:r>
      <w:r>
        <w:rPr>
          <w:rFonts w:asciiTheme="majorBidi" w:eastAsiaTheme="minorHAnsi" w:hAnsiTheme="majorBidi" w:cstheme="majorBidi"/>
          <w:sz w:val="20"/>
          <w:szCs w:val="20"/>
        </w:rPr>
        <w:t>; tr., part II, 1924, p. 187;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CA3746">
        <w:rPr>
          <w:rFonts w:asciiTheme="majorBidi" w:eastAsiaTheme="minorHAnsi" w:hAnsiTheme="majorBidi" w:cstheme="majorBidi"/>
          <w:sz w:val="20"/>
          <w:szCs w:val="20"/>
        </w:rPr>
        <w:t>volume 4, pp. 243-5</w:t>
      </w:r>
      <w:r>
        <w:rPr>
          <w:rFonts w:asciiTheme="majorBidi" w:eastAsiaTheme="minorHAnsi" w:hAnsiTheme="majorBidi" w:cstheme="majorBidi"/>
          <w:sz w:val="20"/>
          <w:szCs w:val="20"/>
        </w:rPr>
        <w:t>; al-Kūfī (1975, volume 7, p. 215) reports briefly about Qutayba’s treaty with Nīzak on his country, and the later’s campaigning with him; Khalifa ibn Khayyat’s report is limited to Nīzak’s entering treaty with Qutayba (Arabic, 1985, p. 300; English, 2015, p. 171).</w:t>
      </w:r>
    </w:p>
  </w:footnote>
  <w:footnote w:id="312">
    <w:p w14:paraId="1692977E" w14:textId="7D0A3C8B" w:rsidR="00902FCD" w:rsidRPr="00CA3746" w:rsidRDefault="00902FCD" w:rsidP="001E02F1">
      <w:pPr>
        <w:pStyle w:val="FootnoteText"/>
        <w:spacing w:line="360" w:lineRule="auto"/>
        <w:rPr>
          <w:rFonts w:asciiTheme="majorBidi" w:hAnsiTheme="majorBidi" w:cstheme="majorBidi"/>
          <w:sz w:val="20"/>
          <w:szCs w:val="20"/>
        </w:rPr>
      </w:pPr>
      <w:r w:rsidRPr="00CA3746">
        <w:rPr>
          <w:rStyle w:val="FootnoteReference"/>
          <w:rFonts w:asciiTheme="majorBidi" w:hAnsiTheme="majorBidi" w:cstheme="majorBidi"/>
          <w:sz w:val="20"/>
          <w:szCs w:val="20"/>
        </w:rPr>
        <w:footnoteRef/>
      </w:r>
      <w:r w:rsidRPr="00CA3746">
        <w:rPr>
          <w:rFonts w:asciiTheme="majorBidi" w:hAnsiTheme="majorBidi" w:cstheme="majorBidi"/>
          <w:sz w:val="20"/>
          <w:szCs w:val="20"/>
        </w:rPr>
        <w:t xml:space="preserve"> </w:t>
      </w:r>
      <w:r>
        <w:rPr>
          <w:rFonts w:asciiTheme="majorBidi" w:eastAsiaTheme="minorHAnsi" w:hAnsiTheme="majorBidi" w:cstheme="majorBidi"/>
          <w:sz w:val="20"/>
          <w:szCs w:val="20"/>
        </w:rPr>
        <w:t xml:space="preserve">See also </w:t>
      </w:r>
      <w:r w:rsidRPr="00814842">
        <w:rPr>
          <w:rFonts w:asciiTheme="majorBidi" w:eastAsiaTheme="minorHAnsi" w:hAnsiTheme="majorBidi" w:cstheme="majorBidi"/>
          <w:sz w:val="20"/>
          <w:szCs w:val="20"/>
        </w:rPr>
        <w:t>al-Balādhurī, 1987, p. 591</w:t>
      </w:r>
      <w:r>
        <w:rPr>
          <w:rFonts w:asciiTheme="majorBidi" w:eastAsiaTheme="minorHAnsi" w:hAnsiTheme="majorBidi" w:cstheme="majorBidi"/>
          <w:sz w:val="20"/>
          <w:szCs w:val="20"/>
        </w:rPr>
        <w:t>; tr., part II, 1924, p. 187;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CA3746">
        <w:rPr>
          <w:rFonts w:asciiTheme="majorBidi" w:eastAsiaTheme="minorHAnsi" w:hAnsiTheme="majorBidi" w:cstheme="majorBidi"/>
          <w:sz w:val="20"/>
          <w:szCs w:val="20"/>
        </w:rPr>
        <w:t>volume 4, p</w:t>
      </w:r>
      <w:r w:rsidRPr="00CA3746">
        <w:rPr>
          <w:rFonts w:asciiTheme="majorBidi" w:hAnsiTheme="majorBidi" w:cstheme="majorBidi"/>
          <w:sz w:val="20"/>
          <w:szCs w:val="20"/>
        </w:rPr>
        <w:t>. 247</w:t>
      </w:r>
      <w:r>
        <w:rPr>
          <w:rFonts w:asciiTheme="majorBidi" w:hAnsiTheme="majorBidi" w:cstheme="majorBidi"/>
          <w:sz w:val="20"/>
          <w:szCs w:val="20"/>
        </w:rPr>
        <w:t>. For a briefer account of the campaign, see Khalifa ibn Khayyat, 1985, p. 301, tr., 2015, p. 172.</w:t>
      </w:r>
    </w:p>
  </w:footnote>
  <w:footnote w:id="313">
    <w:p w14:paraId="10CA78F2" w14:textId="239C211F" w:rsidR="00902FCD" w:rsidRPr="00FB523F" w:rsidRDefault="00902FCD" w:rsidP="001E02F1">
      <w:pPr>
        <w:pStyle w:val="FootnoteText"/>
        <w:spacing w:line="360" w:lineRule="auto"/>
        <w:rPr>
          <w:rFonts w:asciiTheme="majorBidi" w:eastAsiaTheme="minorHAnsi" w:hAnsiTheme="majorBidi" w:cstheme="majorBidi"/>
          <w:sz w:val="20"/>
          <w:szCs w:val="20"/>
        </w:rPr>
      </w:pPr>
      <w:r w:rsidRPr="00FB523F">
        <w:rPr>
          <w:rFonts w:asciiTheme="majorBidi" w:eastAsiaTheme="minorHAnsi" w:hAnsiTheme="majorBidi" w:cstheme="majorBidi"/>
          <w:sz w:val="20"/>
          <w:szCs w:val="20"/>
          <w:vertAlign w:val="superscript"/>
        </w:rPr>
        <w:footnoteRef/>
      </w:r>
      <w:r w:rsidRPr="00FB523F">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See also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CA3746">
        <w:rPr>
          <w:rFonts w:asciiTheme="majorBidi" w:eastAsiaTheme="minorHAnsi" w:hAnsiTheme="majorBidi" w:cstheme="majorBidi"/>
          <w:sz w:val="20"/>
          <w:szCs w:val="20"/>
        </w:rPr>
        <w:t>volume 4, p</w:t>
      </w:r>
      <w:r w:rsidRPr="00FB523F">
        <w:rPr>
          <w:rFonts w:asciiTheme="majorBidi" w:eastAsiaTheme="minorHAnsi" w:hAnsiTheme="majorBidi" w:cstheme="majorBidi"/>
          <w:sz w:val="20"/>
          <w:szCs w:val="20"/>
        </w:rPr>
        <w:t>. 249</w:t>
      </w:r>
      <w:r>
        <w:rPr>
          <w:rFonts w:asciiTheme="majorBidi" w:eastAsiaTheme="minorHAnsi" w:hAnsiTheme="majorBidi" w:cstheme="majorBidi"/>
          <w:sz w:val="20"/>
          <w:szCs w:val="20"/>
        </w:rPr>
        <w:t>. Khalifa ibn Khayyat (1985, p. 302, tr., 2015, p. 173) mentioned the campaign as well.</w:t>
      </w:r>
    </w:p>
  </w:footnote>
  <w:footnote w:id="314">
    <w:p w14:paraId="428E89EC" w14:textId="7B0749C7" w:rsidR="00902FCD" w:rsidRPr="00ED21B9" w:rsidRDefault="00902FCD" w:rsidP="001E02F1">
      <w:pPr>
        <w:pStyle w:val="FootnoteText"/>
        <w:spacing w:line="360" w:lineRule="auto"/>
        <w:rPr>
          <w:rFonts w:asciiTheme="majorBidi" w:eastAsiaTheme="minorHAnsi" w:hAnsiTheme="majorBidi" w:cstheme="majorBidi"/>
          <w:sz w:val="20"/>
          <w:szCs w:val="20"/>
        </w:rPr>
      </w:pPr>
      <w:r w:rsidRPr="00ED21B9">
        <w:rPr>
          <w:rFonts w:asciiTheme="majorBidi" w:eastAsiaTheme="minorHAnsi" w:hAnsiTheme="majorBidi" w:cstheme="majorBidi"/>
          <w:sz w:val="20"/>
          <w:szCs w:val="20"/>
          <w:vertAlign w:val="superscript"/>
        </w:rPr>
        <w:footnoteRef/>
      </w:r>
      <w:r w:rsidRPr="00ED21B9">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See also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w:t>
      </w:r>
      <w:r w:rsidRPr="00CA3746">
        <w:rPr>
          <w:rFonts w:asciiTheme="majorBidi" w:eastAsiaTheme="minorHAnsi" w:hAnsiTheme="majorBidi" w:cstheme="majorBidi"/>
          <w:sz w:val="20"/>
          <w:szCs w:val="20"/>
        </w:rPr>
        <w:t xml:space="preserve"> volume 4,</w:t>
      </w:r>
      <w:r>
        <w:rPr>
          <w:rFonts w:asciiTheme="majorBidi" w:eastAsiaTheme="minorHAnsi" w:hAnsiTheme="majorBidi" w:cstheme="majorBidi"/>
          <w:sz w:val="20"/>
          <w:szCs w:val="20"/>
        </w:rPr>
        <w:t xml:space="preserve"> pp. 254-6; see also al-Kūfī for Nīzak’s rebellion and coalition against Qutayba (1975, volume 7, pp. 225-6). Khalifa ibn Khayyat clarified that this campaign was to subjugate the Wardān Khudhāh (1985, p. 303; tr., 2015, p. 174). Balkhī (1971, p. 18) reorts that Qutayba came to Balkh in the hijri year 89.</w:t>
      </w:r>
    </w:p>
  </w:footnote>
  <w:footnote w:id="315">
    <w:p w14:paraId="714DEA70" w14:textId="24F7DF66" w:rsidR="00902FCD" w:rsidRPr="004A50BB" w:rsidRDefault="00902FCD" w:rsidP="001E02F1">
      <w:pPr>
        <w:pStyle w:val="FootnoteText"/>
        <w:spacing w:line="360" w:lineRule="auto"/>
        <w:rPr>
          <w:rFonts w:asciiTheme="majorBidi" w:eastAsiaTheme="minorHAnsi" w:hAnsiTheme="majorBidi" w:cstheme="majorBidi"/>
          <w:sz w:val="20"/>
          <w:szCs w:val="20"/>
        </w:rPr>
      </w:pPr>
      <w:r w:rsidRPr="004A50BB">
        <w:rPr>
          <w:rFonts w:asciiTheme="majorBidi" w:eastAsiaTheme="minorHAnsi" w:hAnsiTheme="majorBidi" w:cstheme="majorBidi"/>
          <w:sz w:val="20"/>
          <w:szCs w:val="20"/>
          <w:vertAlign w:val="superscript"/>
        </w:rPr>
        <w:footnoteRef/>
      </w:r>
      <w:r w:rsidRPr="004A50BB">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See also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CA3746">
        <w:rPr>
          <w:rFonts w:asciiTheme="majorBidi" w:eastAsiaTheme="minorHAnsi" w:hAnsiTheme="majorBidi" w:cstheme="majorBidi"/>
          <w:sz w:val="20"/>
          <w:szCs w:val="20"/>
        </w:rPr>
        <w:t>volume 4,</w:t>
      </w:r>
      <w:r>
        <w:rPr>
          <w:rFonts w:asciiTheme="majorBidi" w:eastAsiaTheme="minorHAnsi" w:hAnsiTheme="majorBidi" w:cstheme="majorBidi"/>
          <w:sz w:val="20"/>
          <w:szCs w:val="20"/>
        </w:rPr>
        <w:t xml:space="preserve"> pp. 259-62; for Qutayba’s capture and execution of Nīzak, see also al-Kūfī (1975, volume 7, pp. 226-7). Al-Balādhurī (</w:t>
      </w:r>
      <w:r w:rsidRPr="00814842">
        <w:rPr>
          <w:rFonts w:asciiTheme="majorBidi" w:eastAsiaTheme="minorHAnsi" w:hAnsiTheme="majorBidi" w:cstheme="majorBidi"/>
          <w:sz w:val="20"/>
          <w:szCs w:val="20"/>
        </w:rPr>
        <w:t xml:space="preserve">1987, p. 591; tr., </w:t>
      </w:r>
      <w:r>
        <w:rPr>
          <w:rFonts w:asciiTheme="majorBidi" w:eastAsiaTheme="minorHAnsi" w:hAnsiTheme="majorBidi" w:cstheme="majorBidi"/>
          <w:sz w:val="20"/>
          <w:szCs w:val="20"/>
        </w:rPr>
        <w:t xml:space="preserve">part II, 1924, p. 187: </w:t>
      </w:r>
      <w:r>
        <w:rPr>
          <w:rFonts w:asciiTheme="majorBidi" w:eastAsiaTheme="minorHAnsi" w:hAnsiTheme="majorBidi" w:cstheme="majorBidi" w:hint="cs"/>
          <w:sz w:val="20"/>
          <w:szCs w:val="20"/>
          <w:rtl/>
          <w:lang w:bidi="ar-JO"/>
        </w:rPr>
        <w:t>وقتل نيزك بطخارستان وصلبه</w:t>
      </w:r>
      <w:r>
        <w:rPr>
          <w:rFonts w:asciiTheme="majorBidi" w:eastAsiaTheme="minorHAnsi" w:hAnsiTheme="majorBidi" w:cstheme="majorBidi"/>
          <w:sz w:val="20"/>
          <w:szCs w:val="20"/>
        </w:rPr>
        <w:t>) simply reports Nīzak’s execution without mentioning his rebellion.</w:t>
      </w:r>
      <w:r w:rsidR="00CD48A9">
        <w:rPr>
          <w:rFonts w:asciiTheme="majorBidi" w:eastAsiaTheme="minorHAnsi" w:hAnsiTheme="majorBidi" w:cstheme="majorBidi"/>
          <w:sz w:val="20"/>
          <w:szCs w:val="20"/>
        </w:rPr>
        <w:t xml:space="preserve"> </w:t>
      </w:r>
      <w:r w:rsidR="00037BF5">
        <w:rPr>
          <w:rFonts w:asciiTheme="majorBidi" w:eastAsiaTheme="minorHAnsi" w:hAnsiTheme="majorBidi" w:cstheme="majorBidi"/>
          <w:sz w:val="20"/>
          <w:szCs w:val="20"/>
        </w:rPr>
        <w:t xml:space="preserve">Interestingly, Gardīzī </w:t>
      </w:r>
      <w:r w:rsidR="007B28F1">
        <w:rPr>
          <w:rFonts w:asciiTheme="majorBidi" w:eastAsiaTheme="minorHAnsi" w:hAnsiTheme="majorBidi" w:cstheme="majorBidi"/>
          <w:sz w:val="20"/>
          <w:szCs w:val="20"/>
        </w:rPr>
        <w:t xml:space="preserve">(1984, p. 248; tr., 2011, p. 21) </w:t>
      </w:r>
      <w:r w:rsidR="00037BF5">
        <w:rPr>
          <w:rFonts w:asciiTheme="majorBidi" w:eastAsiaTheme="minorHAnsi" w:hAnsiTheme="majorBidi" w:cstheme="majorBidi"/>
          <w:sz w:val="20"/>
          <w:szCs w:val="20"/>
        </w:rPr>
        <w:t>does not mention Nīzak.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5243D"/>
    <w:multiLevelType w:val="multilevel"/>
    <w:tmpl w:val="E30E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680E35"/>
    <w:multiLevelType w:val="hybridMultilevel"/>
    <w:tmpl w:val="D6401102"/>
    <w:lvl w:ilvl="0" w:tplc="D8C6D1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4096" w:nlCheck="1" w:checkStyle="0"/>
  <w:activeWritingStyle w:appName="MSWord" w:lang="en-US" w:vendorID="64" w:dllVersion="0" w:nlCheck="1" w:checkStyle="0"/>
  <w:activeWritingStyle w:appName="MSWord" w:lang="zh-CN" w:vendorID="64" w:dllVersion="0" w:nlCheck="1" w:checkStyle="1"/>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4540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FB0"/>
    <w:rsid w:val="0000048E"/>
    <w:rsid w:val="0000057E"/>
    <w:rsid w:val="0000065F"/>
    <w:rsid w:val="00000799"/>
    <w:rsid w:val="0000079A"/>
    <w:rsid w:val="00000866"/>
    <w:rsid w:val="000009D0"/>
    <w:rsid w:val="0000106F"/>
    <w:rsid w:val="00001DF4"/>
    <w:rsid w:val="0000205C"/>
    <w:rsid w:val="000023CD"/>
    <w:rsid w:val="00002721"/>
    <w:rsid w:val="00004B66"/>
    <w:rsid w:val="000058F3"/>
    <w:rsid w:val="00006544"/>
    <w:rsid w:val="00006893"/>
    <w:rsid w:val="000070C9"/>
    <w:rsid w:val="0000712F"/>
    <w:rsid w:val="000074EF"/>
    <w:rsid w:val="00007730"/>
    <w:rsid w:val="00010520"/>
    <w:rsid w:val="0001059E"/>
    <w:rsid w:val="00010655"/>
    <w:rsid w:val="00010ECC"/>
    <w:rsid w:val="00011012"/>
    <w:rsid w:val="0001178C"/>
    <w:rsid w:val="000117B2"/>
    <w:rsid w:val="00011D75"/>
    <w:rsid w:val="0001215A"/>
    <w:rsid w:val="00012CF9"/>
    <w:rsid w:val="00013BFB"/>
    <w:rsid w:val="00014F18"/>
    <w:rsid w:val="00014FE4"/>
    <w:rsid w:val="00015578"/>
    <w:rsid w:val="00016698"/>
    <w:rsid w:val="00016B97"/>
    <w:rsid w:val="00017808"/>
    <w:rsid w:val="00017AE5"/>
    <w:rsid w:val="00017D3F"/>
    <w:rsid w:val="00020182"/>
    <w:rsid w:val="00020A39"/>
    <w:rsid w:val="00021FFB"/>
    <w:rsid w:val="0002290D"/>
    <w:rsid w:val="000229E6"/>
    <w:rsid w:val="000230B4"/>
    <w:rsid w:val="0002340C"/>
    <w:rsid w:val="000244D8"/>
    <w:rsid w:val="000253AB"/>
    <w:rsid w:val="0002554E"/>
    <w:rsid w:val="00025BB3"/>
    <w:rsid w:val="0002614F"/>
    <w:rsid w:val="000261D3"/>
    <w:rsid w:val="00026668"/>
    <w:rsid w:val="00026C0D"/>
    <w:rsid w:val="00026DD7"/>
    <w:rsid w:val="00031393"/>
    <w:rsid w:val="00031F4D"/>
    <w:rsid w:val="00032368"/>
    <w:rsid w:val="0003256C"/>
    <w:rsid w:val="000326E3"/>
    <w:rsid w:val="0003278C"/>
    <w:rsid w:val="00032908"/>
    <w:rsid w:val="00033673"/>
    <w:rsid w:val="00033CC0"/>
    <w:rsid w:val="00033FFB"/>
    <w:rsid w:val="000344E8"/>
    <w:rsid w:val="00034699"/>
    <w:rsid w:val="00034AB1"/>
    <w:rsid w:val="00035067"/>
    <w:rsid w:val="000356AB"/>
    <w:rsid w:val="000370A1"/>
    <w:rsid w:val="000375CD"/>
    <w:rsid w:val="00037A13"/>
    <w:rsid w:val="00037BF5"/>
    <w:rsid w:val="000406BB"/>
    <w:rsid w:val="00042D9C"/>
    <w:rsid w:val="00043290"/>
    <w:rsid w:val="000436FF"/>
    <w:rsid w:val="00043C1C"/>
    <w:rsid w:val="00044429"/>
    <w:rsid w:val="00046C49"/>
    <w:rsid w:val="0005016E"/>
    <w:rsid w:val="00050221"/>
    <w:rsid w:val="00051906"/>
    <w:rsid w:val="00052162"/>
    <w:rsid w:val="00052234"/>
    <w:rsid w:val="000525BB"/>
    <w:rsid w:val="00052C73"/>
    <w:rsid w:val="00053B81"/>
    <w:rsid w:val="00053E68"/>
    <w:rsid w:val="00054582"/>
    <w:rsid w:val="000546E7"/>
    <w:rsid w:val="00055415"/>
    <w:rsid w:val="00056768"/>
    <w:rsid w:val="00056788"/>
    <w:rsid w:val="00057F99"/>
    <w:rsid w:val="00061D67"/>
    <w:rsid w:val="00063034"/>
    <w:rsid w:val="00064080"/>
    <w:rsid w:val="00064DE1"/>
    <w:rsid w:val="00065E2A"/>
    <w:rsid w:val="000663D5"/>
    <w:rsid w:val="0006660C"/>
    <w:rsid w:val="00066EC5"/>
    <w:rsid w:val="00066FCC"/>
    <w:rsid w:val="0006790A"/>
    <w:rsid w:val="00067C6D"/>
    <w:rsid w:val="00067E11"/>
    <w:rsid w:val="00070E9E"/>
    <w:rsid w:val="00071455"/>
    <w:rsid w:val="00071F3A"/>
    <w:rsid w:val="00071F9E"/>
    <w:rsid w:val="000725CB"/>
    <w:rsid w:val="0007282C"/>
    <w:rsid w:val="0007351D"/>
    <w:rsid w:val="0007484C"/>
    <w:rsid w:val="000752D9"/>
    <w:rsid w:val="000758BA"/>
    <w:rsid w:val="000761E7"/>
    <w:rsid w:val="00076C72"/>
    <w:rsid w:val="00076C7B"/>
    <w:rsid w:val="00077DB0"/>
    <w:rsid w:val="0008004F"/>
    <w:rsid w:val="00080736"/>
    <w:rsid w:val="00080EBC"/>
    <w:rsid w:val="000816F3"/>
    <w:rsid w:val="000823B7"/>
    <w:rsid w:val="00082B9F"/>
    <w:rsid w:val="00082F21"/>
    <w:rsid w:val="000831A1"/>
    <w:rsid w:val="00083541"/>
    <w:rsid w:val="00083974"/>
    <w:rsid w:val="00083CA1"/>
    <w:rsid w:val="00086419"/>
    <w:rsid w:val="00086B09"/>
    <w:rsid w:val="00086BEB"/>
    <w:rsid w:val="000901FD"/>
    <w:rsid w:val="0009025B"/>
    <w:rsid w:val="000907DC"/>
    <w:rsid w:val="00090F35"/>
    <w:rsid w:val="0009124E"/>
    <w:rsid w:val="000916CD"/>
    <w:rsid w:val="00091A08"/>
    <w:rsid w:val="00092456"/>
    <w:rsid w:val="0009299D"/>
    <w:rsid w:val="00092F17"/>
    <w:rsid w:val="00093226"/>
    <w:rsid w:val="00093D40"/>
    <w:rsid w:val="00093E3F"/>
    <w:rsid w:val="00093F02"/>
    <w:rsid w:val="000940F9"/>
    <w:rsid w:val="00094713"/>
    <w:rsid w:val="00094B9F"/>
    <w:rsid w:val="00095055"/>
    <w:rsid w:val="0009642D"/>
    <w:rsid w:val="00096699"/>
    <w:rsid w:val="000967D0"/>
    <w:rsid w:val="00096BBC"/>
    <w:rsid w:val="00096BE1"/>
    <w:rsid w:val="00097BB3"/>
    <w:rsid w:val="000A0587"/>
    <w:rsid w:val="000A0B25"/>
    <w:rsid w:val="000A1142"/>
    <w:rsid w:val="000A1829"/>
    <w:rsid w:val="000A1B7C"/>
    <w:rsid w:val="000A2A5E"/>
    <w:rsid w:val="000A2D1C"/>
    <w:rsid w:val="000A2DF8"/>
    <w:rsid w:val="000A37D0"/>
    <w:rsid w:val="000A4BAC"/>
    <w:rsid w:val="000A565F"/>
    <w:rsid w:val="000A592B"/>
    <w:rsid w:val="000A59C5"/>
    <w:rsid w:val="000A5EC0"/>
    <w:rsid w:val="000A65DD"/>
    <w:rsid w:val="000A6DE8"/>
    <w:rsid w:val="000A726F"/>
    <w:rsid w:val="000A7819"/>
    <w:rsid w:val="000B0A37"/>
    <w:rsid w:val="000B0B1D"/>
    <w:rsid w:val="000B12A0"/>
    <w:rsid w:val="000B12F6"/>
    <w:rsid w:val="000B1666"/>
    <w:rsid w:val="000B24AD"/>
    <w:rsid w:val="000B2880"/>
    <w:rsid w:val="000B29AF"/>
    <w:rsid w:val="000B3C91"/>
    <w:rsid w:val="000B412E"/>
    <w:rsid w:val="000B4F32"/>
    <w:rsid w:val="000B5212"/>
    <w:rsid w:val="000B598F"/>
    <w:rsid w:val="000B79B9"/>
    <w:rsid w:val="000C082F"/>
    <w:rsid w:val="000C2A49"/>
    <w:rsid w:val="000C3175"/>
    <w:rsid w:val="000C37B4"/>
    <w:rsid w:val="000C3990"/>
    <w:rsid w:val="000C46E3"/>
    <w:rsid w:val="000C738A"/>
    <w:rsid w:val="000C77BC"/>
    <w:rsid w:val="000D0984"/>
    <w:rsid w:val="000D1333"/>
    <w:rsid w:val="000D144C"/>
    <w:rsid w:val="000D1C50"/>
    <w:rsid w:val="000D27A5"/>
    <w:rsid w:val="000D2A11"/>
    <w:rsid w:val="000D2A64"/>
    <w:rsid w:val="000D2EF7"/>
    <w:rsid w:val="000D3A68"/>
    <w:rsid w:val="000D4CAB"/>
    <w:rsid w:val="000D4D5B"/>
    <w:rsid w:val="000D513C"/>
    <w:rsid w:val="000D52C9"/>
    <w:rsid w:val="000D56C9"/>
    <w:rsid w:val="000D5B5D"/>
    <w:rsid w:val="000D5DA9"/>
    <w:rsid w:val="000D669D"/>
    <w:rsid w:val="000D67A0"/>
    <w:rsid w:val="000D6934"/>
    <w:rsid w:val="000D6D34"/>
    <w:rsid w:val="000D6E2F"/>
    <w:rsid w:val="000D6ED0"/>
    <w:rsid w:val="000D7565"/>
    <w:rsid w:val="000E1B01"/>
    <w:rsid w:val="000E28EB"/>
    <w:rsid w:val="000E3853"/>
    <w:rsid w:val="000E56F6"/>
    <w:rsid w:val="000E652C"/>
    <w:rsid w:val="000E7A70"/>
    <w:rsid w:val="000F015A"/>
    <w:rsid w:val="000F17E1"/>
    <w:rsid w:val="000F1BB6"/>
    <w:rsid w:val="000F1D94"/>
    <w:rsid w:val="000F2C4F"/>
    <w:rsid w:val="000F344A"/>
    <w:rsid w:val="000F375A"/>
    <w:rsid w:val="000F3BE5"/>
    <w:rsid w:val="000F41F5"/>
    <w:rsid w:val="000F583B"/>
    <w:rsid w:val="000F58EE"/>
    <w:rsid w:val="000F610C"/>
    <w:rsid w:val="000F6535"/>
    <w:rsid w:val="000F6798"/>
    <w:rsid w:val="000F683C"/>
    <w:rsid w:val="000F7269"/>
    <w:rsid w:val="000F77DB"/>
    <w:rsid w:val="000F79A1"/>
    <w:rsid w:val="000F79CC"/>
    <w:rsid w:val="00100450"/>
    <w:rsid w:val="00100E9E"/>
    <w:rsid w:val="00100F33"/>
    <w:rsid w:val="001014A5"/>
    <w:rsid w:val="00101600"/>
    <w:rsid w:val="001017DA"/>
    <w:rsid w:val="001018A5"/>
    <w:rsid w:val="00102083"/>
    <w:rsid w:val="001020D8"/>
    <w:rsid w:val="0010221E"/>
    <w:rsid w:val="001034C2"/>
    <w:rsid w:val="0010363C"/>
    <w:rsid w:val="001036C8"/>
    <w:rsid w:val="00103A33"/>
    <w:rsid w:val="00103C13"/>
    <w:rsid w:val="00104C0B"/>
    <w:rsid w:val="00105402"/>
    <w:rsid w:val="001055B7"/>
    <w:rsid w:val="00106D62"/>
    <w:rsid w:val="00107CBF"/>
    <w:rsid w:val="00111834"/>
    <w:rsid w:val="00112117"/>
    <w:rsid w:val="0011294C"/>
    <w:rsid w:val="001137EE"/>
    <w:rsid w:val="0011385F"/>
    <w:rsid w:val="00113F53"/>
    <w:rsid w:val="00114554"/>
    <w:rsid w:val="0011485A"/>
    <w:rsid w:val="00114C6C"/>
    <w:rsid w:val="00115156"/>
    <w:rsid w:val="001151E7"/>
    <w:rsid w:val="0011642C"/>
    <w:rsid w:val="00116816"/>
    <w:rsid w:val="00116863"/>
    <w:rsid w:val="00116E8A"/>
    <w:rsid w:val="00117294"/>
    <w:rsid w:val="00120390"/>
    <w:rsid w:val="00120A4E"/>
    <w:rsid w:val="00120CF2"/>
    <w:rsid w:val="00120FB9"/>
    <w:rsid w:val="00121921"/>
    <w:rsid w:val="00121C9E"/>
    <w:rsid w:val="0012205B"/>
    <w:rsid w:val="0012215C"/>
    <w:rsid w:val="001227FA"/>
    <w:rsid w:val="00122823"/>
    <w:rsid w:val="00122894"/>
    <w:rsid w:val="001238C7"/>
    <w:rsid w:val="00124FED"/>
    <w:rsid w:val="00125311"/>
    <w:rsid w:val="001255B5"/>
    <w:rsid w:val="00126E5B"/>
    <w:rsid w:val="00127364"/>
    <w:rsid w:val="001276AC"/>
    <w:rsid w:val="0013019C"/>
    <w:rsid w:val="001308EF"/>
    <w:rsid w:val="00131763"/>
    <w:rsid w:val="00131BA4"/>
    <w:rsid w:val="0013472D"/>
    <w:rsid w:val="0013504D"/>
    <w:rsid w:val="00135275"/>
    <w:rsid w:val="0013605D"/>
    <w:rsid w:val="00136736"/>
    <w:rsid w:val="00136FE5"/>
    <w:rsid w:val="00137019"/>
    <w:rsid w:val="0013784C"/>
    <w:rsid w:val="001409C2"/>
    <w:rsid w:val="00140CB9"/>
    <w:rsid w:val="00141A79"/>
    <w:rsid w:val="00141D8F"/>
    <w:rsid w:val="00142EA9"/>
    <w:rsid w:val="00142FEB"/>
    <w:rsid w:val="0014317E"/>
    <w:rsid w:val="00143A33"/>
    <w:rsid w:val="00143B82"/>
    <w:rsid w:val="00143BF7"/>
    <w:rsid w:val="00143DB5"/>
    <w:rsid w:val="00145434"/>
    <w:rsid w:val="001457B6"/>
    <w:rsid w:val="00145B23"/>
    <w:rsid w:val="00145E60"/>
    <w:rsid w:val="00146AA9"/>
    <w:rsid w:val="00146D0D"/>
    <w:rsid w:val="00146EA8"/>
    <w:rsid w:val="001470A3"/>
    <w:rsid w:val="001479A0"/>
    <w:rsid w:val="0015017D"/>
    <w:rsid w:val="0015200D"/>
    <w:rsid w:val="001520AE"/>
    <w:rsid w:val="001534BC"/>
    <w:rsid w:val="001535DC"/>
    <w:rsid w:val="00154552"/>
    <w:rsid w:val="00155456"/>
    <w:rsid w:val="0016014D"/>
    <w:rsid w:val="00160607"/>
    <w:rsid w:val="00160810"/>
    <w:rsid w:val="00160919"/>
    <w:rsid w:val="00160FCF"/>
    <w:rsid w:val="001615C6"/>
    <w:rsid w:val="00161E4B"/>
    <w:rsid w:val="001623A5"/>
    <w:rsid w:val="00162E00"/>
    <w:rsid w:val="001632AF"/>
    <w:rsid w:val="00163AA3"/>
    <w:rsid w:val="00163C3E"/>
    <w:rsid w:val="00164000"/>
    <w:rsid w:val="0016407D"/>
    <w:rsid w:val="001640A7"/>
    <w:rsid w:val="0016560B"/>
    <w:rsid w:val="0016575B"/>
    <w:rsid w:val="00165F83"/>
    <w:rsid w:val="00166BF6"/>
    <w:rsid w:val="0016773B"/>
    <w:rsid w:val="00167F94"/>
    <w:rsid w:val="001700F3"/>
    <w:rsid w:val="0017060C"/>
    <w:rsid w:val="00171A1B"/>
    <w:rsid w:val="0017219D"/>
    <w:rsid w:val="00172250"/>
    <w:rsid w:val="00172954"/>
    <w:rsid w:val="00172C56"/>
    <w:rsid w:val="001734F1"/>
    <w:rsid w:val="001735E7"/>
    <w:rsid w:val="00174F08"/>
    <w:rsid w:val="0017504C"/>
    <w:rsid w:val="00175499"/>
    <w:rsid w:val="00176088"/>
    <w:rsid w:val="0017614A"/>
    <w:rsid w:val="001775B7"/>
    <w:rsid w:val="0017781E"/>
    <w:rsid w:val="00180330"/>
    <w:rsid w:val="00180F8D"/>
    <w:rsid w:val="00181F87"/>
    <w:rsid w:val="00182371"/>
    <w:rsid w:val="00183709"/>
    <w:rsid w:val="00184834"/>
    <w:rsid w:val="00184949"/>
    <w:rsid w:val="00184B61"/>
    <w:rsid w:val="00184BE4"/>
    <w:rsid w:val="00185137"/>
    <w:rsid w:val="001863FD"/>
    <w:rsid w:val="001873B1"/>
    <w:rsid w:val="00190E96"/>
    <w:rsid w:val="00191069"/>
    <w:rsid w:val="001911CB"/>
    <w:rsid w:val="00192135"/>
    <w:rsid w:val="001923F5"/>
    <w:rsid w:val="001929BC"/>
    <w:rsid w:val="00192CA0"/>
    <w:rsid w:val="00192F94"/>
    <w:rsid w:val="00193E1D"/>
    <w:rsid w:val="001943CC"/>
    <w:rsid w:val="00195151"/>
    <w:rsid w:val="001952A4"/>
    <w:rsid w:val="00195F8C"/>
    <w:rsid w:val="00197455"/>
    <w:rsid w:val="0019768E"/>
    <w:rsid w:val="001A0967"/>
    <w:rsid w:val="001A10F5"/>
    <w:rsid w:val="001A1C53"/>
    <w:rsid w:val="001A3A57"/>
    <w:rsid w:val="001A3DD4"/>
    <w:rsid w:val="001A4A89"/>
    <w:rsid w:val="001A518D"/>
    <w:rsid w:val="001A5346"/>
    <w:rsid w:val="001A7026"/>
    <w:rsid w:val="001A746A"/>
    <w:rsid w:val="001A78A7"/>
    <w:rsid w:val="001B0100"/>
    <w:rsid w:val="001B0FE5"/>
    <w:rsid w:val="001B108F"/>
    <w:rsid w:val="001B1DB5"/>
    <w:rsid w:val="001B1E13"/>
    <w:rsid w:val="001B1F98"/>
    <w:rsid w:val="001B2D2F"/>
    <w:rsid w:val="001B2D95"/>
    <w:rsid w:val="001B32A9"/>
    <w:rsid w:val="001B37C3"/>
    <w:rsid w:val="001B4101"/>
    <w:rsid w:val="001B410E"/>
    <w:rsid w:val="001B4767"/>
    <w:rsid w:val="001B4CAE"/>
    <w:rsid w:val="001B7F75"/>
    <w:rsid w:val="001C006D"/>
    <w:rsid w:val="001C009E"/>
    <w:rsid w:val="001C249F"/>
    <w:rsid w:val="001C27ED"/>
    <w:rsid w:val="001C3C69"/>
    <w:rsid w:val="001C3F7C"/>
    <w:rsid w:val="001C4D56"/>
    <w:rsid w:val="001C4D92"/>
    <w:rsid w:val="001C5691"/>
    <w:rsid w:val="001C6819"/>
    <w:rsid w:val="001C6C27"/>
    <w:rsid w:val="001C78F7"/>
    <w:rsid w:val="001D02F8"/>
    <w:rsid w:val="001D1194"/>
    <w:rsid w:val="001D12A8"/>
    <w:rsid w:val="001D278A"/>
    <w:rsid w:val="001D3B25"/>
    <w:rsid w:val="001D4978"/>
    <w:rsid w:val="001D4FEF"/>
    <w:rsid w:val="001D5A89"/>
    <w:rsid w:val="001D6270"/>
    <w:rsid w:val="001D65EE"/>
    <w:rsid w:val="001D6607"/>
    <w:rsid w:val="001D6F5A"/>
    <w:rsid w:val="001D77ED"/>
    <w:rsid w:val="001D7B67"/>
    <w:rsid w:val="001E02E2"/>
    <w:rsid w:val="001E02F1"/>
    <w:rsid w:val="001E1325"/>
    <w:rsid w:val="001E2D6E"/>
    <w:rsid w:val="001E3303"/>
    <w:rsid w:val="001E3689"/>
    <w:rsid w:val="001E48B8"/>
    <w:rsid w:val="001E53AD"/>
    <w:rsid w:val="001E56BB"/>
    <w:rsid w:val="001E585E"/>
    <w:rsid w:val="001E6C70"/>
    <w:rsid w:val="001E766D"/>
    <w:rsid w:val="001E7CAF"/>
    <w:rsid w:val="001F0B20"/>
    <w:rsid w:val="001F0C00"/>
    <w:rsid w:val="001F2820"/>
    <w:rsid w:val="001F2B5A"/>
    <w:rsid w:val="001F2D03"/>
    <w:rsid w:val="001F32F6"/>
    <w:rsid w:val="001F34C5"/>
    <w:rsid w:val="001F3607"/>
    <w:rsid w:val="001F4C44"/>
    <w:rsid w:val="001F4FD6"/>
    <w:rsid w:val="001F512E"/>
    <w:rsid w:val="001F7005"/>
    <w:rsid w:val="001F70D0"/>
    <w:rsid w:val="00200084"/>
    <w:rsid w:val="00200B7F"/>
    <w:rsid w:val="00200CA6"/>
    <w:rsid w:val="002013ED"/>
    <w:rsid w:val="00201E08"/>
    <w:rsid w:val="002029E0"/>
    <w:rsid w:val="00202ACC"/>
    <w:rsid w:val="0020330F"/>
    <w:rsid w:val="00203F34"/>
    <w:rsid w:val="0020424F"/>
    <w:rsid w:val="002050C4"/>
    <w:rsid w:val="00205179"/>
    <w:rsid w:val="00205F14"/>
    <w:rsid w:val="002076D2"/>
    <w:rsid w:val="002100F2"/>
    <w:rsid w:val="00211659"/>
    <w:rsid w:val="0021193E"/>
    <w:rsid w:val="0021317F"/>
    <w:rsid w:val="00213AEF"/>
    <w:rsid w:val="00214B12"/>
    <w:rsid w:val="0021588B"/>
    <w:rsid w:val="00215FFC"/>
    <w:rsid w:val="002160AB"/>
    <w:rsid w:val="00216A78"/>
    <w:rsid w:val="00217AFD"/>
    <w:rsid w:val="00217BBD"/>
    <w:rsid w:val="00217F59"/>
    <w:rsid w:val="002201A6"/>
    <w:rsid w:val="00221D7A"/>
    <w:rsid w:val="00221E2E"/>
    <w:rsid w:val="00222300"/>
    <w:rsid w:val="00222C66"/>
    <w:rsid w:val="002233D4"/>
    <w:rsid w:val="00223855"/>
    <w:rsid w:val="0022389E"/>
    <w:rsid w:val="002238CA"/>
    <w:rsid w:val="002238ED"/>
    <w:rsid w:val="00223A2B"/>
    <w:rsid w:val="00223BAD"/>
    <w:rsid w:val="00223EC1"/>
    <w:rsid w:val="002244C9"/>
    <w:rsid w:val="002255AC"/>
    <w:rsid w:val="0022624B"/>
    <w:rsid w:val="002331E7"/>
    <w:rsid w:val="00233FF7"/>
    <w:rsid w:val="00234CB5"/>
    <w:rsid w:val="00234DBA"/>
    <w:rsid w:val="00234DD4"/>
    <w:rsid w:val="002353C7"/>
    <w:rsid w:val="00235A14"/>
    <w:rsid w:val="00235BBB"/>
    <w:rsid w:val="002365FC"/>
    <w:rsid w:val="00236B03"/>
    <w:rsid w:val="0023782E"/>
    <w:rsid w:val="00240E34"/>
    <w:rsid w:val="00241111"/>
    <w:rsid w:val="00241C45"/>
    <w:rsid w:val="00244B0C"/>
    <w:rsid w:val="00244F08"/>
    <w:rsid w:val="0024564B"/>
    <w:rsid w:val="00245CC1"/>
    <w:rsid w:val="00246069"/>
    <w:rsid w:val="002464C3"/>
    <w:rsid w:val="00246912"/>
    <w:rsid w:val="00246F2D"/>
    <w:rsid w:val="002470A0"/>
    <w:rsid w:val="002470AB"/>
    <w:rsid w:val="002472B2"/>
    <w:rsid w:val="00250EE9"/>
    <w:rsid w:val="00252298"/>
    <w:rsid w:val="002523C5"/>
    <w:rsid w:val="00252D20"/>
    <w:rsid w:val="00253055"/>
    <w:rsid w:val="00253A59"/>
    <w:rsid w:val="00253B5E"/>
    <w:rsid w:val="00253DCB"/>
    <w:rsid w:val="00254E74"/>
    <w:rsid w:val="0025535B"/>
    <w:rsid w:val="00256637"/>
    <w:rsid w:val="002566B3"/>
    <w:rsid w:val="00256EC4"/>
    <w:rsid w:val="002570BC"/>
    <w:rsid w:val="00257C87"/>
    <w:rsid w:val="00260159"/>
    <w:rsid w:val="00260525"/>
    <w:rsid w:val="002617FB"/>
    <w:rsid w:val="00261DCD"/>
    <w:rsid w:val="002620ED"/>
    <w:rsid w:val="002631BE"/>
    <w:rsid w:val="00264905"/>
    <w:rsid w:val="002651DE"/>
    <w:rsid w:val="002656ED"/>
    <w:rsid w:val="002657C9"/>
    <w:rsid w:val="00266AB5"/>
    <w:rsid w:val="00266B4D"/>
    <w:rsid w:val="00267739"/>
    <w:rsid w:val="00270604"/>
    <w:rsid w:val="002706BC"/>
    <w:rsid w:val="00270EF9"/>
    <w:rsid w:val="002710E5"/>
    <w:rsid w:val="00271A71"/>
    <w:rsid w:val="00271FAD"/>
    <w:rsid w:val="00272F41"/>
    <w:rsid w:val="002748CD"/>
    <w:rsid w:val="00274A84"/>
    <w:rsid w:val="00274C0A"/>
    <w:rsid w:val="00276B8C"/>
    <w:rsid w:val="0027761F"/>
    <w:rsid w:val="002779BC"/>
    <w:rsid w:val="0028008A"/>
    <w:rsid w:val="00280318"/>
    <w:rsid w:val="00280619"/>
    <w:rsid w:val="0028083A"/>
    <w:rsid w:val="0028137C"/>
    <w:rsid w:val="00281AF6"/>
    <w:rsid w:val="00281B2D"/>
    <w:rsid w:val="00284E07"/>
    <w:rsid w:val="00284E4D"/>
    <w:rsid w:val="002858EA"/>
    <w:rsid w:val="00285C2A"/>
    <w:rsid w:val="00286A90"/>
    <w:rsid w:val="00287EA8"/>
    <w:rsid w:val="002917DB"/>
    <w:rsid w:val="00291879"/>
    <w:rsid w:val="00291B2F"/>
    <w:rsid w:val="00292638"/>
    <w:rsid w:val="00293DD5"/>
    <w:rsid w:val="00293FFC"/>
    <w:rsid w:val="00294E45"/>
    <w:rsid w:val="00295846"/>
    <w:rsid w:val="00295994"/>
    <w:rsid w:val="00296280"/>
    <w:rsid w:val="00296D3F"/>
    <w:rsid w:val="00296D9E"/>
    <w:rsid w:val="002A05BE"/>
    <w:rsid w:val="002A05F3"/>
    <w:rsid w:val="002A0ABF"/>
    <w:rsid w:val="002A18B0"/>
    <w:rsid w:val="002A1BF9"/>
    <w:rsid w:val="002A21F8"/>
    <w:rsid w:val="002A2345"/>
    <w:rsid w:val="002A2FD0"/>
    <w:rsid w:val="002A322B"/>
    <w:rsid w:val="002A36FD"/>
    <w:rsid w:val="002A3D3E"/>
    <w:rsid w:val="002A3DAB"/>
    <w:rsid w:val="002A4D4F"/>
    <w:rsid w:val="002A5026"/>
    <w:rsid w:val="002A5453"/>
    <w:rsid w:val="002A5F12"/>
    <w:rsid w:val="002A627E"/>
    <w:rsid w:val="002A674B"/>
    <w:rsid w:val="002A6BC5"/>
    <w:rsid w:val="002A6CF5"/>
    <w:rsid w:val="002A7388"/>
    <w:rsid w:val="002A7909"/>
    <w:rsid w:val="002A7DBD"/>
    <w:rsid w:val="002A7FF8"/>
    <w:rsid w:val="002B0492"/>
    <w:rsid w:val="002B0F1C"/>
    <w:rsid w:val="002B1CB5"/>
    <w:rsid w:val="002B227B"/>
    <w:rsid w:val="002B418B"/>
    <w:rsid w:val="002B4A01"/>
    <w:rsid w:val="002B55DB"/>
    <w:rsid w:val="002B5ABE"/>
    <w:rsid w:val="002B70A5"/>
    <w:rsid w:val="002B7135"/>
    <w:rsid w:val="002C15D6"/>
    <w:rsid w:val="002C339D"/>
    <w:rsid w:val="002C4193"/>
    <w:rsid w:val="002C41E3"/>
    <w:rsid w:val="002C6525"/>
    <w:rsid w:val="002C6D1B"/>
    <w:rsid w:val="002C7C36"/>
    <w:rsid w:val="002C7D3A"/>
    <w:rsid w:val="002D0DCE"/>
    <w:rsid w:val="002D167F"/>
    <w:rsid w:val="002D21DF"/>
    <w:rsid w:val="002D32DD"/>
    <w:rsid w:val="002D3341"/>
    <w:rsid w:val="002D3632"/>
    <w:rsid w:val="002D37A5"/>
    <w:rsid w:val="002D38F4"/>
    <w:rsid w:val="002D4A7C"/>
    <w:rsid w:val="002D5410"/>
    <w:rsid w:val="002D58E3"/>
    <w:rsid w:val="002D66BB"/>
    <w:rsid w:val="002D7EAD"/>
    <w:rsid w:val="002D7EC4"/>
    <w:rsid w:val="002E07B6"/>
    <w:rsid w:val="002E0AD3"/>
    <w:rsid w:val="002E0AE7"/>
    <w:rsid w:val="002E1017"/>
    <w:rsid w:val="002E197C"/>
    <w:rsid w:val="002E4513"/>
    <w:rsid w:val="002E5E93"/>
    <w:rsid w:val="002E60CA"/>
    <w:rsid w:val="002E67E0"/>
    <w:rsid w:val="002F0C8E"/>
    <w:rsid w:val="002F1BB9"/>
    <w:rsid w:val="002F29FA"/>
    <w:rsid w:val="002F2FA2"/>
    <w:rsid w:val="002F348F"/>
    <w:rsid w:val="002F3C88"/>
    <w:rsid w:val="002F3CD9"/>
    <w:rsid w:val="002F4FDA"/>
    <w:rsid w:val="002F5A8A"/>
    <w:rsid w:val="002F5CF4"/>
    <w:rsid w:val="002F60CF"/>
    <w:rsid w:val="002F7052"/>
    <w:rsid w:val="002F735C"/>
    <w:rsid w:val="002F7587"/>
    <w:rsid w:val="002F7DBF"/>
    <w:rsid w:val="00300168"/>
    <w:rsid w:val="0030071C"/>
    <w:rsid w:val="00301421"/>
    <w:rsid w:val="003015BB"/>
    <w:rsid w:val="003016F0"/>
    <w:rsid w:val="00303291"/>
    <w:rsid w:val="003033CB"/>
    <w:rsid w:val="003039A8"/>
    <w:rsid w:val="003039BE"/>
    <w:rsid w:val="00304D15"/>
    <w:rsid w:val="00305601"/>
    <w:rsid w:val="0030608E"/>
    <w:rsid w:val="003073D5"/>
    <w:rsid w:val="00307E6E"/>
    <w:rsid w:val="00311F26"/>
    <w:rsid w:val="00312E73"/>
    <w:rsid w:val="00313442"/>
    <w:rsid w:val="00313C81"/>
    <w:rsid w:val="00315045"/>
    <w:rsid w:val="00315C14"/>
    <w:rsid w:val="0031656A"/>
    <w:rsid w:val="003171E8"/>
    <w:rsid w:val="00317430"/>
    <w:rsid w:val="003176BD"/>
    <w:rsid w:val="00317F99"/>
    <w:rsid w:val="00317FB5"/>
    <w:rsid w:val="0032141F"/>
    <w:rsid w:val="00321715"/>
    <w:rsid w:val="003217FB"/>
    <w:rsid w:val="003219F8"/>
    <w:rsid w:val="00321B2E"/>
    <w:rsid w:val="00321C3D"/>
    <w:rsid w:val="00323258"/>
    <w:rsid w:val="00323396"/>
    <w:rsid w:val="00323458"/>
    <w:rsid w:val="00324AFC"/>
    <w:rsid w:val="00324B87"/>
    <w:rsid w:val="00324D48"/>
    <w:rsid w:val="003251DC"/>
    <w:rsid w:val="00325A35"/>
    <w:rsid w:val="0032754B"/>
    <w:rsid w:val="00327A3F"/>
    <w:rsid w:val="00330641"/>
    <w:rsid w:val="003307DD"/>
    <w:rsid w:val="0033092F"/>
    <w:rsid w:val="00330F0A"/>
    <w:rsid w:val="00331BF5"/>
    <w:rsid w:val="00331EF0"/>
    <w:rsid w:val="00332081"/>
    <w:rsid w:val="0033226E"/>
    <w:rsid w:val="00332878"/>
    <w:rsid w:val="0033341A"/>
    <w:rsid w:val="00333879"/>
    <w:rsid w:val="00334AF4"/>
    <w:rsid w:val="00334E00"/>
    <w:rsid w:val="00335D00"/>
    <w:rsid w:val="0033635F"/>
    <w:rsid w:val="0033670B"/>
    <w:rsid w:val="00336A0E"/>
    <w:rsid w:val="00340401"/>
    <w:rsid w:val="003407FD"/>
    <w:rsid w:val="003418A9"/>
    <w:rsid w:val="003420C7"/>
    <w:rsid w:val="00344592"/>
    <w:rsid w:val="00344D59"/>
    <w:rsid w:val="00345448"/>
    <w:rsid w:val="0034577D"/>
    <w:rsid w:val="0034769C"/>
    <w:rsid w:val="00347BA6"/>
    <w:rsid w:val="00347C4D"/>
    <w:rsid w:val="00351521"/>
    <w:rsid w:val="003518C1"/>
    <w:rsid w:val="00351938"/>
    <w:rsid w:val="00351F2F"/>
    <w:rsid w:val="003541DC"/>
    <w:rsid w:val="003553AE"/>
    <w:rsid w:val="003554ED"/>
    <w:rsid w:val="00355670"/>
    <w:rsid w:val="0035644D"/>
    <w:rsid w:val="0035667A"/>
    <w:rsid w:val="0035790C"/>
    <w:rsid w:val="00357BEF"/>
    <w:rsid w:val="0036029A"/>
    <w:rsid w:val="0036381C"/>
    <w:rsid w:val="00363C3A"/>
    <w:rsid w:val="003648E6"/>
    <w:rsid w:val="00364E30"/>
    <w:rsid w:val="00364FEE"/>
    <w:rsid w:val="00365A38"/>
    <w:rsid w:val="00365F8C"/>
    <w:rsid w:val="00367890"/>
    <w:rsid w:val="003679BB"/>
    <w:rsid w:val="003700AB"/>
    <w:rsid w:val="0037053F"/>
    <w:rsid w:val="00370792"/>
    <w:rsid w:val="00372413"/>
    <w:rsid w:val="003732C7"/>
    <w:rsid w:val="00373360"/>
    <w:rsid w:val="00373C4A"/>
    <w:rsid w:val="00373FEF"/>
    <w:rsid w:val="00375584"/>
    <w:rsid w:val="003757F0"/>
    <w:rsid w:val="00375A9A"/>
    <w:rsid w:val="00376504"/>
    <w:rsid w:val="00376858"/>
    <w:rsid w:val="00376953"/>
    <w:rsid w:val="00376AF9"/>
    <w:rsid w:val="00377989"/>
    <w:rsid w:val="00377DF4"/>
    <w:rsid w:val="0038085F"/>
    <w:rsid w:val="00380C2B"/>
    <w:rsid w:val="00380D7C"/>
    <w:rsid w:val="00381E84"/>
    <w:rsid w:val="00382099"/>
    <w:rsid w:val="00383C3F"/>
    <w:rsid w:val="00384C7E"/>
    <w:rsid w:val="00387118"/>
    <w:rsid w:val="00387E1A"/>
    <w:rsid w:val="003907B1"/>
    <w:rsid w:val="0039084E"/>
    <w:rsid w:val="00390E87"/>
    <w:rsid w:val="00390EE7"/>
    <w:rsid w:val="003914C2"/>
    <w:rsid w:val="00393484"/>
    <w:rsid w:val="00393A9A"/>
    <w:rsid w:val="003946C0"/>
    <w:rsid w:val="00397DDE"/>
    <w:rsid w:val="003A015D"/>
    <w:rsid w:val="003A0D56"/>
    <w:rsid w:val="003A1A4E"/>
    <w:rsid w:val="003A240A"/>
    <w:rsid w:val="003A26CF"/>
    <w:rsid w:val="003A361A"/>
    <w:rsid w:val="003A44CA"/>
    <w:rsid w:val="003A4596"/>
    <w:rsid w:val="003A4A56"/>
    <w:rsid w:val="003A503F"/>
    <w:rsid w:val="003A57F9"/>
    <w:rsid w:val="003A59E8"/>
    <w:rsid w:val="003A5D89"/>
    <w:rsid w:val="003A607D"/>
    <w:rsid w:val="003A6B15"/>
    <w:rsid w:val="003A6B37"/>
    <w:rsid w:val="003A750B"/>
    <w:rsid w:val="003B077A"/>
    <w:rsid w:val="003B1682"/>
    <w:rsid w:val="003B1C06"/>
    <w:rsid w:val="003B1DD1"/>
    <w:rsid w:val="003B20F9"/>
    <w:rsid w:val="003B2DC2"/>
    <w:rsid w:val="003B2EDD"/>
    <w:rsid w:val="003B3200"/>
    <w:rsid w:val="003B3FAB"/>
    <w:rsid w:val="003B492E"/>
    <w:rsid w:val="003B59C2"/>
    <w:rsid w:val="003B6449"/>
    <w:rsid w:val="003B7815"/>
    <w:rsid w:val="003C177A"/>
    <w:rsid w:val="003C1D5B"/>
    <w:rsid w:val="003C1E83"/>
    <w:rsid w:val="003C3393"/>
    <w:rsid w:val="003C4D4B"/>
    <w:rsid w:val="003C50A6"/>
    <w:rsid w:val="003C5128"/>
    <w:rsid w:val="003C546F"/>
    <w:rsid w:val="003C5629"/>
    <w:rsid w:val="003C5EDB"/>
    <w:rsid w:val="003C70BA"/>
    <w:rsid w:val="003C7F0E"/>
    <w:rsid w:val="003D1363"/>
    <w:rsid w:val="003D1FF4"/>
    <w:rsid w:val="003D2636"/>
    <w:rsid w:val="003D5012"/>
    <w:rsid w:val="003D5344"/>
    <w:rsid w:val="003D596A"/>
    <w:rsid w:val="003D71A4"/>
    <w:rsid w:val="003D78C9"/>
    <w:rsid w:val="003E021E"/>
    <w:rsid w:val="003E1388"/>
    <w:rsid w:val="003E1BDF"/>
    <w:rsid w:val="003E24DA"/>
    <w:rsid w:val="003E2567"/>
    <w:rsid w:val="003E2AD3"/>
    <w:rsid w:val="003E3155"/>
    <w:rsid w:val="003E46BD"/>
    <w:rsid w:val="003E5C1D"/>
    <w:rsid w:val="003E5C8F"/>
    <w:rsid w:val="003E5FB3"/>
    <w:rsid w:val="003E6923"/>
    <w:rsid w:val="003E6D78"/>
    <w:rsid w:val="003E75FF"/>
    <w:rsid w:val="003E7991"/>
    <w:rsid w:val="003F0A73"/>
    <w:rsid w:val="003F0FA3"/>
    <w:rsid w:val="003F0FC8"/>
    <w:rsid w:val="003F1434"/>
    <w:rsid w:val="003F17D8"/>
    <w:rsid w:val="003F2C65"/>
    <w:rsid w:val="003F3D44"/>
    <w:rsid w:val="003F4A0D"/>
    <w:rsid w:val="003F6F29"/>
    <w:rsid w:val="003F72C9"/>
    <w:rsid w:val="003F77CE"/>
    <w:rsid w:val="003F7818"/>
    <w:rsid w:val="00400999"/>
    <w:rsid w:val="00401402"/>
    <w:rsid w:val="00401DB6"/>
    <w:rsid w:val="00402373"/>
    <w:rsid w:val="00403313"/>
    <w:rsid w:val="00403315"/>
    <w:rsid w:val="0040392D"/>
    <w:rsid w:val="00404414"/>
    <w:rsid w:val="00405819"/>
    <w:rsid w:val="00405E0B"/>
    <w:rsid w:val="00406109"/>
    <w:rsid w:val="004075A8"/>
    <w:rsid w:val="00407603"/>
    <w:rsid w:val="00407614"/>
    <w:rsid w:val="00410E50"/>
    <w:rsid w:val="00410EC1"/>
    <w:rsid w:val="0041181D"/>
    <w:rsid w:val="00411ACE"/>
    <w:rsid w:val="00412D55"/>
    <w:rsid w:val="00413206"/>
    <w:rsid w:val="00413D85"/>
    <w:rsid w:val="00413FCA"/>
    <w:rsid w:val="0041426C"/>
    <w:rsid w:val="00416085"/>
    <w:rsid w:val="00417E35"/>
    <w:rsid w:val="00420227"/>
    <w:rsid w:val="00420E41"/>
    <w:rsid w:val="00421461"/>
    <w:rsid w:val="00423603"/>
    <w:rsid w:val="00423A1D"/>
    <w:rsid w:val="00423F07"/>
    <w:rsid w:val="00424006"/>
    <w:rsid w:val="0042443B"/>
    <w:rsid w:val="00424D7E"/>
    <w:rsid w:val="00425962"/>
    <w:rsid w:val="00426092"/>
    <w:rsid w:val="004261ED"/>
    <w:rsid w:val="00426CA3"/>
    <w:rsid w:val="0042752C"/>
    <w:rsid w:val="00427D62"/>
    <w:rsid w:val="00427FF6"/>
    <w:rsid w:val="0043029B"/>
    <w:rsid w:val="00430551"/>
    <w:rsid w:val="004316A4"/>
    <w:rsid w:val="00432B30"/>
    <w:rsid w:val="004337BC"/>
    <w:rsid w:val="00433B24"/>
    <w:rsid w:val="00433EB1"/>
    <w:rsid w:val="004343D3"/>
    <w:rsid w:val="00435FBA"/>
    <w:rsid w:val="00436140"/>
    <w:rsid w:val="0043626C"/>
    <w:rsid w:val="00436CDA"/>
    <w:rsid w:val="00437269"/>
    <w:rsid w:val="0043741A"/>
    <w:rsid w:val="004377C0"/>
    <w:rsid w:val="004379D8"/>
    <w:rsid w:val="00440509"/>
    <w:rsid w:val="00440B02"/>
    <w:rsid w:val="00440E62"/>
    <w:rsid w:val="00441220"/>
    <w:rsid w:val="00441591"/>
    <w:rsid w:val="00441869"/>
    <w:rsid w:val="004421E2"/>
    <w:rsid w:val="00443218"/>
    <w:rsid w:val="00443B8F"/>
    <w:rsid w:val="004450EB"/>
    <w:rsid w:val="00445CB0"/>
    <w:rsid w:val="00445DA8"/>
    <w:rsid w:val="0044602B"/>
    <w:rsid w:val="004468E7"/>
    <w:rsid w:val="00446A3B"/>
    <w:rsid w:val="00446CE2"/>
    <w:rsid w:val="00447151"/>
    <w:rsid w:val="004476E0"/>
    <w:rsid w:val="00450417"/>
    <w:rsid w:val="004504D6"/>
    <w:rsid w:val="00450AC7"/>
    <w:rsid w:val="00450E98"/>
    <w:rsid w:val="00451B08"/>
    <w:rsid w:val="00451B13"/>
    <w:rsid w:val="00452367"/>
    <w:rsid w:val="00453FC3"/>
    <w:rsid w:val="0045417F"/>
    <w:rsid w:val="0045421E"/>
    <w:rsid w:val="00454DEF"/>
    <w:rsid w:val="00454F39"/>
    <w:rsid w:val="00455117"/>
    <w:rsid w:val="004554FB"/>
    <w:rsid w:val="00455571"/>
    <w:rsid w:val="004555BF"/>
    <w:rsid w:val="004558D7"/>
    <w:rsid w:val="00455F2B"/>
    <w:rsid w:val="00456A31"/>
    <w:rsid w:val="00456B45"/>
    <w:rsid w:val="0045712A"/>
    <w:rsid w:val="00457EB5"/>
    <w:rsid w:val="004603EC"/>
    <w:rsid w:val="00461278"/>
    <w:rsid w:val="0046168A"/>
    <w:rsid w:val="004617BE"/>
    <w:rsid w:val="00461FE9"/>
    <w:rsid w:val="00462193"/>
    <w:rsid w:val="0046264E"/>
    <w:rsid w:val="00463139"/>
    <w:rsid w:val="00463A45"/>
    <w:rsid w:val="00464075"/>
    <w:rsid w:val="00464259"/>
    <w:rsid w:val="00464CBA"/>
    <w:rsid w:val="00464E04"/>
    <w:rsid w:val="00466B66"/>
    <w:rsid w:val="00467035"/>
    <w:rsid w:val="004674B4"/>
    <w:rsid w:val="004709EE"/>
    <w:rsid w:val="004715F3"/>
    <w:rsid w:val="0047196F"/>
    <w:rsid w:val="00472030"/>
    <w:rsid w:val="004726A2"/>
    <w:rsid w:val="00472AE9"/>
    <w:rsid w:val="00473563"/>
    <w:rsid w:val="00473627"/>
    <w:rsid w:val="004739D9"/>
    <w:rsid w:val="00473C3B"/>
    <w:rsid w:val="004742F8"/>
    <w:rsid w:val="00474F27"/>
    <w:rsid w:val="00475F21"/>
    <w:rsid w:val="004770F1"/>
    <w:rsid w:val="00477281"/>
    <w:rsid w:val="00477646"/>
    <w:rsid w:val="00477A28"/>
    <w:rsid w:val="004806D9"/>
    <w:rsid w:val="00480BDD"/>
    <w:rsid w:val="00481619"/>
    <w:rsid w:val="004816AE"/>
    <w:rsid w:val="00481ADB"/>
    <w:rsid w:val="00482D57"/>
    <w:rsid w:val="00482DE2"/>
    <w:rsid w:val="00482ED2"/>
    <w:rsid w:val="00482EF6"/>
    <w:rsid w:val="00483225"/>
    <w:rsid w:val="00484FE4"/>
    <w:rsid w:val="0048562A"/>
    <w:rsid w:val="004859D2"/>
    <w:rsid w:val="00485A57"/>
    <w:rsid w:val="00485B04"/>
    <w:rsid w:val="004865FB"/>
    <w:rsid w:val="00486A40"/>
    <w:rsid w:val="004906C4"/>
    <w:rsid w:val="00490EFB"/>
    <w:rsid w:val="00491083"/>
    <w:rsid w:val="00491317"/>
    <w:rsid w:val="00491AB2"/>
    <w:rsid w:val="00491F39"/>
    <w:rsid w:val="004926FF"/>
    <w:rsid w:val="00492E25"/>
    <w:rsid w:val="004930DB"/>
    <w:rsid w:val="0049386F"/>
    <w:rsid w:val="004938C3"/>
    <w:rsid w:val="0049425A"/>
    <w:rsid w:val="00494790"/>
    <w:rsid w:val="004948FC"/>
    <w:rsid w:val="00494F10"/>
    <w:rsid w:val="004953DD"/>
    <w:rsid w:val="00496413"/>
    <w:rsid w:val="00496F0E"/>
    <w:rsid w:val="00497B9B"/>
    <w:rsid w:val="004A068A"/>
    <w:rsid w:val="004A0949"/>
    <w:rsid w:val="004A0DE6"/>
    <w:rsid w:val="004A0F28"/>
    <w:rsid w:val="004A0FBB"/>
    <w:rsid w:val="004A2271"/>
    <w:rsid w:val="004A2C55"/>
    <w:rsid w:val="004A2D08"/>
    <w:rsid w:val="004A2D09"/>
    <w:rsid w:val="004A2DC9"/>
    <w:rsid w:val="004A30A7"/>
    <w:rsid w:val="004A315C"/>
    <w:rsid w:val="004A3284"/>
    <w:rsid w:val="004A35E7"/>
    <w:rsid w:val="004A381D"/>
    <w:rsid w:val="004A3F2A"/>
    <w:rsid w:val="004A46D4"/>
    <w:rsid w:val="004A51A3"/>
    <w:rsid w:val="004A5284"/>
    <w:rsid w:val="004A57D9"/>
    <w:rsid w:val="004A60DC"/>
    <w:rsid w:val="004A622F"/>
    <w:rsid w:val="004A637D"/>
    <w:rsid w:val="004A683D"/>
    <w:rsid w:val="004A715B"/>
    <w:rsid w:val="004B07A4"/>
    <w:rsid w:val="004B0ED0"/>
    <w:rsid w:val="004B11A3"/>
    <w:rsid w:val="004B1B7B"/>
    <w:rsid w:val="004B26C7"/>
    <w:rsid w:val="004B37AF"/>
    <w:rsid w:val="004B4CA2"/>
    <w:rsid w:val="004B5173"/>
    <w:rsid w:val="004B606C"/>
    <w:rsid w:val="004B609E"/>
    <w:rsid w:val="004B6F19"/>
    <w:rsid w:val="004B72FA"/>
    <w:rsid w:val="004B7377"/>
    <w:rsid w:val="004B7843"/>
    <w:rsid w:val="004B7B23"/>
    <w:rsid w:val="004B7B90"/>
    <w:rsid w:val="004C0A0C"/>
    <w:rsid w:val="004C1111"/>
    <w:rsid w:val="004C13F0"/>
    <w:rsid w:val="004C1A4F"/>
    <w:rsid w:val="004C1C06"/>
    <w:rsid w:val="004C25A1"/>
    <w:rsid w:val="004C31D5"/>
    <w:rsid w:val="004C3A30"/>
    <w:rsid w:val="004C3DE1"/>
    <w:rsid w:val="004C3ED3"/>
    <w:rsid w:val="004C4390"/>
    <w:rsid w:val="004C4B91"/>
    <w:rsid w:val="004C528A"/>
    <w:rsid w:val="004C5AE1"/>
    <w:rsid w:val="004C61C4"/>
    <w:rsid w:val="004C64A0"/>
    <w:rsid w:val="004C65FA"/>
    <w:rsid w:val="004C6BF1"/>
    <w:rsid w:val="004D02ED"/>
    <w:rsid w:val="004D0510"/>
    <w:rsid w:val="004D0FDB"/>
    <w:rsid w:val="004D1335"/>
    <w:rsid w:val="004D15EC"/>
    <w:rsid w:val="004D1CFA"/>
    <w:rsid w:val="004D29CF"/>
    <w:rsid w:val="004D3F1E"/>
    <w:rsid w:val="004D48AF"/>
    <w:rsid w:val="004D5708"/>
    <w:rsid w:val="004D6193"/>
    <w:rsid w:val="004D670E"/>
    <w:rsid w:val="004D6F82"/>
    <w:rsid w:val="004E049B"/>
    <w:rsid w:val="004E0E4B"/>
    <w:rsid w:val="004E12DF"/>
    <w:rsid w:val="004E15AC"/>
    <w:rsid w:val="004E193D"/>
    <w:rsid w:val="004E1A83"/>
    <w:rsid w:val="004E1B08"/>
    <w:rsid w:val="004E2C3C"/>
    <w:rsid w:val="004E336A"/>
    <w:rsid w:val="004E35A2"/>
    <w:rsid w:val="004E3693"/>
    <w:rsid w:val="004E39D8"/>
    <w:rsid w:val="004E3BB8"/>
    <w:rsid w:val="004E477F"/>
    <w:rsid w:val="004E52FD"/>
    <w:rsid w:val="004E5A90"/>
    <w:rsid w:val="004E6CA7"/>
    <w:rsid w:val="004E72F4"/>
    <w:rsid w:val="004E73EB"/>
    <w:rsid w:val="004E73F8"/>
    <w:rsid w:val="004E7BA5"/>
    <w:rsid w:val="004F1104"/>
    <w:rsid w:val="004F18B1"/>
    <w:rsid w:val="004F18C9"/>
    <w:rsid w:val="004F1BDE"/>
    <w:rsid w:val="004F1F5D"/>
    <w:rsid w:val="004F2560"/>
    <w:rsid w:val="004F2717"/>
    <w:rsid w:val="004F296B"/>
    <w:rsid w:val="004F33D0"/>
    <w:rsid w:val="004F410A"/>
    <w:rsid w:val="004F5CF3"/>
    <w:rsid w:val="004F6224"/>
    <w:rsid w:val="004F6EC7"/>
    <w:rsid w:val="004F7526"/>
    <w:rsid w:val="004F7A2F"/>
    <w:rsid w:val="0050041A"/>
    <w:rsid w:val="0050269C"/>
    <w:rsid w:val="00502934"/>
    <w:rsid w:val="00502A0D"/>
    <w:rsid w:val="00502CCD"/>
    <w:rsid w:val="00502F9C"/>
    <w:rsid w:val="00503A03"/>
    <w:rsid w:val="00503C61"/>
    <w:rsid w:val="005042FE"/>
    <w:rsid w:val="00504815"/>
    <w:rsid w:val="0050481F"/>
    <w:rsid w:val="00505177"/>
    <w:rsid w:val="005105FB"/>
    <w:rsid w:val="00510C4A"/>
    <w:rsid w:val="00510DAA"/>
    <w:rsid w:val="00510E11"/>
    <w:rsid w:val="0051258D"/>
    <w:rsid w:val="005128ED"/>
    <w:rsid w:val="00513F8F"/>
    <w:rsid w:val="00513FFB"/>
    <w:rsid w:val="00514D8F"/>
    <w:rsid w:val="005152BA"/>
    <w:rsid w:val="00515ADB"/>
    <w:rsid w:val="0051661B"/>
    <w:rsid w:val="00517682"/>
    <w:rsid w:val="0052041C"/>
    <w:rsid w:val="00520A82"/>
    <w:rsid w:val="00521AFD"/>
    <w:rsid w:val="005223F3"/>
    <w:rsid w:val="005229A1"/>
    <w:rsid w:val="005229C8"/>
    <w:rsid w:val="00522A09"/>
    <w:rsid w:val="00522B1C"/>
    <w:rsid w:val="00523BED"/>
    <w:rsid w:val="005246E9"/>
    <w:rsid w:val="0052478F"/>
    <w:rsid w:val="00524930"/>
    <w:rsid w:val="0052566A"/>
    <w:rsid w:val="005256FA"/>
    <w:rsid w:val="00525B73"/>
    <w:rsid w:val="00526976"/>
    <w:rsid w:val="00526CDE"/>
    <w:rsid w:val="0052714E"/>
    <w:rsid w:val="00527E5C"/>
    <w:rsid w:val="00530ECB"/>
    <w:rsid w:val="00531415"/>
    <w:rsid w:val="0053195B"/>
    <w:rsid w:val="00531AEB"/>
    <w:rsid w:val="00531E59"/>
    <w:rsid w:val="00532006"/>
    <w:rsid w:val="005326E4"/>
    <w:rsid w:val="005327A6"/>
    <w:rsid w:val="0053291A"/>
    <w:rsid w:val="00532942"/>
    <w:rsid w:val="00532A8C"/>
    <w:rsid w:val="00532FE5"/>
    <w:rsid w:val="005348FD"/>
    <w:rsid w:val="00536083"/>
    <w:rsid w:val="00536307"/>
    <w:rsid w:val="005364B0"/>
    <w:rsid w:val="005368B2"/>
    <w:rsid w:val="00536D98"/>
    <w:rsid w:val="005377B4"/>
    <w:rsid w:val="00537F1B"/>
    <w:rsid w:val="00540465"/>
    <w:rsid w:val="00540C20"/>
    <w:rsid w:val="00540EB5"/>
    <w:rsid w:val="00543959"/>
    <w:rsid w:val="00543ECB"/>
    <w:rsid w:val="005449B8"/>
    <w:rsid w:val="00544F4F"/>
    <w:rsid w:val="00545076"/>
    <w:rsid w:val="005450C2"/>
    <w:rsid w:val="005457D9"/>
    <w:rsid w:val="005469BF"/>
    <w:rsid w:val="00546CF4"/>
    <w:rsid w:val="005477D2"/>
    <w:rsid w:val="00551810"/>
    <w:rsid w:val="00551999"/>
    <w:rsid w:val="00551B6F"/>
    <w:rsid w:val="0055384C"/>
    <w:rsid w:val="00553B5F"/>
    <w:rsid w:val="00553CDD"/>
    <w:rsid w:val="00554711"/>
    <w:rsid w:val="0055660D"/>
    <w:rsid w:val="00557266"/>
    <w:rsid w:val="00557390"/>
    <w:rsid w:val="0055753B"/>
    <w:rsid w:val="00557938"/>
    <w:rsid w:val="0056015D"/>
    <w:rsid w:val="00560192"/>
    <w:rsid w:val="00560718"/>
    <w:rsid w:val="005616EB"/>
    <w:rsid w:val="00561D4D"/>
    <w:rsid w:val="0056201A"/>
    <w:rsid w:val="00563A8B"/>
    <w:rsid w:val="00563BAB"/>
    <w:rsid w:val="00564BC8"/>
    <w:rsid w:val="00564D70"/>
    <w:rsid w:val="005653BF"/>
    <w:rsid w:val="00566670"/>
    <w:rsid w:val="00567842"/>
    <w:rsid w:val="005701C7"/>
    <w:rsid w:val="00570A8F"/>
    <w:rsid w:val="00573400"/>
    <w:rsid w:val="00573CE8"/>
    <w:rsid w:val="00573F88"/>
    <w:rsid w:val="00575919"/>
    <w:rsid w:val="00577537"/>
    <w:rsid w:val="0057787E"/>
    <w:rsid w:val="0058061F"/>
    <w:rsid w:val="005811DD"/>
    <w:rsid w:val="00581C84"/>
    <w:rsid w:val="00581E86"/>
    <w:rsid w:val="005831E3"/>
    <w:rsid w:val="005846CF"/>
    <w:rsid w:val="005849C2"/>
    <w:rsid w:val="00584F71"/>
    <w:rsid w:val="005857DB"/>
    <w:rsid w:val="00585B04"/>
    <w:rsid w:val="00585B67"/>
    <w:rsid w:val="005860A5"/>
    <w:rsid w:val="00586B3C"/>
    <w:rsid w:val="00587086"/>
    <w:rsid w:val="00587A62"/>
    <w:rsid w:val="00591270"/>
    <w:rsid w:val="00591A6E"/>
    <w:rsid w:val="00591B1A"/>
    <w:rsid w:val="00591C1E"/>
    <w:rsid w:val="00592966"/>
    <w:rsid w:val="0059308E"/>
    <w:rsid w:val="00593170"/>
    <w:rsid w:val="0059330B"/>
    <w:rsid w:val="005936B3"/>
    <w:rsid w:val="005936BE"/>
    <w:rsid w:val="00593C06"/>
    <w:rsid w:val="0059498F"/>
    <w:rsid w:val="00594CB8"/>
    <w:rsid w:val="0059541C"/>
    <w:rsid w:val="00596CC6"/>
    <w:rsid w:val="00596D3C"/>
    <w:rsid w:val="00597323"/>
    <w:rsid w:val="005974EE"/>
    <w:rsid w:val="00597B38"/>
    <w:rsid w:val="005A13BC"/>
    <w:rsid w:val="005A1B49"/>
    <w:rsid w:val="005A2AA4"/>
    <w:rsid w:val="005A2B16"/>
    <w:rsid w:val="005A33A3"/>
    <w:rsid w:val="005A33CD"/>
    <w:rsid w:val="005A4ED1"/>
    <w:rsid w:val="005A72A4"/>
    <w:rsid w:val="005A7AD6"/>
    <w:rsid w:val="005A7C68"/>
    <w:rsid w:val="005B028F"/>
    <w:rsid w:val="005B046B"/>
    <w:rsid w:val="005B07DB"/>
    <w:rsid w:val="005B0A50"/>
    <w:rsid w:val="005B0D45"/>
    <w:rsid w:val="005B0E59"/>
    <w:rsid w:val="005B18B5"/>
    <w:rsid w:val="005B1CB5"/>
    <w:rsid w:val="005B1FC5"/>
    <w:rsid w:val="005B3769"/>
    <w:rsid w:val="005B382E"/>
    <w:rsid w:val="005B3B18"/>
    <w:rsid w:val="005B3E9B"/>
    <w:rsid w:val="005B4847"/>
    <w:rsid w:val="005B5555"/>
    <w:rsid w:val="005B7312"/>
    <w:rsid w:val="005B76D7"/>
    <w:rsid w:val="005B7AB7"/>
    <w:rsid w:val="005C1262"/>
    <w:rsid w:val="005C1F75"/>
    <w:rsid w:val="005C2019"/>
    <w:rsid w:val="005C2878"/>
    <w:rsid w:val="005C2D5E"/>
    <w:rsid w:val="005C2EE1"/>
    <w:rsid w:val="005C3378"/>
    <w:rsid w:val="005C3584"/>
    <w:rsid w:val="005C3AED"/>
    <w:rsid w:val="005C424F"/>
    <w:rsid w:val="005C4667"/>
    <w:rsid w:val="005C4926"/>
    <w:rsid w:val="005C4B3F"/>
    <w:rsid w:val="005C5123"/>
    <w:rsid w:val="005C535E"/>
    <w:rsid w:val="005C5ACB"/>
    <w:rsid w:val="005C5B10"/>
    <w:rsid w:val="005C5F62"/>
    <w:rsid w:val="005C67D1"/>
    <w:rsid w:val="005C6F2A"/>
    <w:rsid w:val="005C7229"/>
    <w:rsid w:val="005C74B7"/>
    <w:rsid w:val="005C783F"/>
    <w:rsid w:val="005D037C"/>
    <w:rsid w:val="005D0CCC"/>
    <w:rsid w:val="005D2168"/>
    <w:rsid w:val="005D2725"/>
    <w:rsid w:val="005D33E8"/>
    <w:rsid w:val="005D40DF"/>
    <w:rsid w:val="005D42AB"/>
    <w:rsid w:val="005D4B25"/>
    <w:rsid w:val="005D56C7"/>
    <w:rsid w:val="005D58DB"/>
    <w:rsid w:val="005D66C5"/>
    <w:rsid w:val="005D6713"/>
    <w:rsid w:val="005D7004"/>
    <w:rsid w:val="005D7277"/>
    <w:rsid w:val="005D7FD4"/>
    <w:rsid w:val="005E099D"/>
    <w:rsid w:val="005E113A"/>
    <w:rsid w:val="005E31D8"/>
    <w:rsid w:val="005E4032"/>
    <w:rsid w:val="005E51D9"/>
    <w:rsid w:val="005E5712"/>
    <w:rsid w:val="005E586B"/>
    <w:rsid w:val="005F0015"/>
    <w:rsid w:val="005F0412"/>
    <w:rsid w:val="005F0505"/>
    <w:rsid w:val="005F0F13"/>
    <w:rsid w:val="005F1F5A"/>
    <w:rsid w:val="005F30C1"/>
    <w:rsid w:val="005F32C3"/>
    <w:rsid w:val="005F3A7D"/>
    <w:rsid w:val="005F3F4A"/>
    <w:rsid w:val="005F43E8"/>
    <w:rsid w:val="005F4591"/>
    <w:rsid w:val="005F4885"/>
    <w:rsid w:val="005F491A"/>
    <w:rsid w:val="005F5AF2"/>
    <w:rsid w:val="005F6075"/>
    <w:rsid w:val="005F6470"/>
    <w:rsid w:val="005F6C49"/>
    <w:rsid w:val="005F7183"/>
    <w:rsid w:val="006005BD"/>
    <w:rsid w:val="0060079E"/>
    <w:rsid w:val="0060112F"/>
    <w:rsid w:val="006015CD"/>
    <w:rsid w:val="0060447F"/>
    <w:rsid w:val="00604498"/>
    <w:rsid w:val="0060498F"/>
    <w:rsid w:val="006054C5"/>
    <w:rsid w:val="0060580F"/>
    <w:rsid w:val="006066A7"/>
    <w:rsid w:val="006076BD"/>
    <w:rsid w:val="00607CE9"/>
    <w:rsid w:val="00607E8D"/>
    <w:rsid w:val="0061021E"/>
    <w:rsid w:val="00610C45"/>
    <w:rsid w:val="00611170"/>
    <w:rsid w:val="00611CF2"/>
    <w:rsid w:val="0061249C"/>
    <w:rsid w:val="006133EC"/>
    <w:rsid w:val="00613BFC"/>
    <w:rsid w:val="00614EB8"/>
    <w:rsid w:val="0061570F"/>
    <w:rsid w:val="00615738"/>
    <w:rsid w:val="00615F80"/>
    <w:rsid w:val="00616907"/>
    <w:rsid w:val="0062043C"/>
    <w:rsid w:val="00620562"/>
    <w:rsid w:val="006214FA"/>
    <w:rsid w:val="00621A02"/>
    <w:rsid w:val="00622BF7"/>
    <w:rsid w:val="0062351B"/>
    <w:rsid w:val="00624029"/>
    <w:rsid w:val="006254EE"/>
    <w:rsid w:val="006258B5"/>
    <w:rsid w:val="00625AC6"/>
    <w:rsid w:val="00626337"/>
    <w:rsid w:val="0062637C"/>
    <w:rsid w:val="00627126"/>
    <w:rsid w:val="00627198"/>
    <w:rsid w:val="00631D8B"/>
    <w:rsid w:val="00631F7F"/>
    <w:rsid w:val="00633165"/>
    <w:rsid w:val="00633D9F"/>
    <w:rsid w:val="00634A01"/>
    <w:rsid w:val="00634D37"/>
    <w:rsid w:val="00634DC5"/>
    <w:rsid w:val="00634DF5"/>
    <w:rsid w:val="0063525E"/>
    <w:rsid w:val="00635621"/>
    <w:rsid w:val="00635E84"/>
    <w:rsid w:val="006362E8"/>
    <w:rsid w:val="00637A13"/>
    <w:rsid w:val="00637DED"/>
    <w:rsid w:val="00637E84"/>
    <w:rsid w:val="006421F5"/>
    <w:rsid w:val="00643ADE"/>
    <w:rsid w:val="00643D91"/>
    <w:rsid w:val="0064593E"/>
    <w:rsid w:val="00645ECF"/>
    <w:rsid w:val="00647210"/>
    <w:rsid w:val="006477FA"/>
    <w:rsid w:val="00650AB0"/>
    <w:rsid w:val="00650E44"/>
    <w:rsid w:val="00653445"/>
    <w:rsid w:val="0065436A"/>
    <w:rsid w:val="006545FA"/>
    <w:rsid w:val="006546A2"/>
    <w:rsid w:val="00655555"/>
    <w:rsid w:val="00657FFB"/>
    <w:rsid w:val="00660101"/>
    <w:rsid w:val="006605C9"/>
    <w:rsid w:val="00660C56"/>
    <w:rsid w:val="006615D2"/>
    <w:rsid w:val="006619D1"/>
    <w:rsid w:val="00662B1C"/>
    <w:rsid w:val="0066346F"/>
    <w:rsid w:val="00663ECA"/>
    <w:rsid w:val="0066505F"/>
    <w:rsid w:val="00665621"/>
    <w:rsid w:val="00665EA7"/>
    <w:rsid w:val="006661BE"/>
    <w:rsid w:val="006663BF"/>
    <w:rsid w:val="0066640F"/>
    <w:rsid w:val="00666D18"/>
    <w:rsid w:val="00667173"/>
    <w:rsid w:val="0066751E"/>
    <w:rsid w:val="00667BDC"/>
    <w:rsid w:val="00667EC4"/>
    <w:rsid w:val="00671042"/>
    <w:rsid w:val="006719C2"/>
    <w:rsid w:val="00672049"/>
    <w:rsid w:val="006722A2"/>
    <w:rsid w:val="0067340F"/>
    <w:rsid w:val="00674F7C"/>
    <w:rsid w:val="00675AC0"/>
    <w:rsid w:val="00675CA9"/>
    <w:rsid w:val="00675FCE"/>
    <w:rsid w:val="006769C7"/>
    <w:rsid w:val="00676A2E"/>
    <w:rsid w:val="00677D06"/>
    <w:rsid w:val="006805D6"/>
    <w:rsid w:val="00680C62"/>
    <w:rsid w:val="006819B3"/>
    <w:rsid w:val="00682450"/>
    <w:rsid w:val="00682550"/>
    <w:rsid w:val="00682696"/>
    <w:rsid w:val="00682B00"/>
    <w:rsid w:val="00683084"/>
    <w:rsid w:val="00683089"/>
    <w:rsid w:val="006834E6"/>
    <w:rsid w:val="00684088"/>
    <w:rsid w:val="00684A13"/>
    <w:rsid w:val="00685180"/>
    <w:rsid w:val="00685228"/>
    <w:rsid w:val="00685FC9"/>
    <w:rsid w:val="00686466"/>
    <w:rsid w:val="006866BC"/>
    <w:rsid w:val="006867BB"/>
    <w:rsid w:val="00686C57"/>
    <w:rsid w:val="006875F2"/>
    <w:rsid w:val="0069020D"/>
    <w:rsid w:val="00690B2A"/>
    <w:rsid w:val="00691A00"/>
    <w:rsid w:val="00693021"/>
    <w:rsid w:val="00693D95"/>
    <w:rsid w:val="00695DA5"/>
    <w:rsid w:val="006966EC"/>
    <w:rsid w:val="00696D5C"/>
    <w:rsid w:val="006A0731"/>
    <w:rsid w:val="006A0AB7"/>
    <w:rsid w:val="006A0BAC"/>
    <w:rsid w:val="006A1990"/>
    <w:rsid w:val="006A1D92"/>
    <w:rsid w:val="006A2751"/>
    <w:rsid w:val="006A2D1A"/>
    <w:rsid w:val="006A3646"/>
    <w:rsid w:val="006A3916"/>
    <w:rsid w:val="006A3AA9"/>
    <w:rsid w:val="006A3FD5"/>
    <w:rsid w:val="006A444A"/>
    <w:rsid w:val="006A4A02"/>
    <w:rsid w:val="006A502D"/>
    <w:rsid w:val="006A50C8"/>
    <w:rsid w:val="006A5293"/>
    <w:rsid w:val="006A5424"/>
    <w:rsid w:val="006A6869"/>
    <w:rsid w:val="006A68B2"/>
    <w:rsid w:val="006A6BC5"/>
    <w:rsid w:val="006A6F97"/>
    <w:rsid w:val="006A756E"/>
    <w:rsid w:val="006A7CB1"/>
    <w:rsid w:val="006A7CF7"/>
    <w:rsid w:val="006B0C51"/>
    <w:rsid w:val="006B12CA"/>
    <w:rsid w:val="006B1D32"/>
    <w:rsid w:val="006B226F"/>
    <w:rsid w:val="006B23E6"/>
    <w:rsid w:val="006B2A9E"/>
    <w:rsid w:val="006B316D"/>
    <w:rsid w:val="006B3BF1"/>
    <w:rsid w:val="006B4BC9"/>
    <w:rsid w:val="006B573E"/>
    <w:rsid w:val="006B58C3"/>
    <w:rsid w:val="006B5C2D"/>
    <w:rsid w:val="006B5FE9"/>
    <w:rsid w:val="006B6088"/>
    <w:rsid w:val="006B7EAB"/>
    <w:rsid w:val="006C0AFB"/>
    <w:rsid w:val="006C173F"/>
    <w:rsid w:val="006C2906"/>
    <w:rsid w:val="006C2AB2"/>
    <w:rsid w:val="006C2B0B"/>
    <w:rsid w:val="006C2F09"/>
    <w:rsid w:val="006C3CC7"/>
    <w:rsid w:val="006C4053"/>
    <w:rsid w:val="006C466C"/>
    <w:rsid w:val="006C472D"/>
    <w:rsid w:val="006C4861"/>
    <w:rsid w:val="006C581D"/>
    <w:rsid w:val="006C5F47"/>
    <w:rsid w:val="006C7EB2"/>
    <w:rsid w:val="006D130A"/>
    <w:rsid w:val="006D19B8"/>
    <w:rsid w:val="006D2003"/>
    <w:rsid w:val="006D2A0A"/>
    <w:rsid w:val="006D2D69"/>
    <w:rsid w:val="006D2F70"/>
    <w:rsid w:val="006D3203"/>
    <w:rsid w:val="006D35B9"/>
    <w:rsid w:val="006D3779"/>
    <w:rsid w:val="006D40D1"/>
    <w:rsid w:val="006D42B2"/>
    <w:rsid w:val="006D49E8"/>
    <w:rsid w:val="006D4AAB"/>
    <w:rsid w:val="006D4B36"/>
    <w:rsid w:val="006D54C3"/>
    <w:rsid w:val="006D5911"/>
    <w:rsid w:val="006D59FA"/>
    <w:rsid w:val="006D75B1"/>
    <w:rsid w:val="006D7DB3"/>
    <w:rsid w:val="006E072C"/>
    <w:rsid w:val="006E134A"/>
    <w:rsid w:val="006E152C"/>
    <w:rsid w:val="006E1705"/>
    <w:rsid w:val="006E1B1A"/>
    <w:rsid w:val="006E1C99"/>
    <w:rsid w:val="006E2AF9"/>
    <w:rsid w:val="006E30A4"/>
    <w:rsid w:val="006E320C"/>
    <w:rsid w:val="006E34E7"/>
    <w:rsid w:val="006E36FA"/>
    <w:rsid w:val="006E430C"/>
    <w:rsid w:val="006E5BC6"/>
    <w:rsid w:val="006E6653"/>
    <w:rsid w:val="006E6F04"/>
    <w:rsid w:val="006E7017"/>
    <w:rsid w:val="006E71D9"/>
    <w:rsid w:val="006E733E"/>
    <w:rsid w:val="006E7434"/>
    <w:rsid w:val="006E74F2"/>
    <w:rsid w:val="006E7EB3"/>
    <w:rsid w:val="006F1D77"/>
    <w:rsid w:val="006F233E"/>
    <w:rsid w:val="006F243A"/>
    <w:rsid w:val="006F3061"/>
    <w:rsid w:val="006F4BEC"/>
    <w:rsid w:val="006F58EC"/>
    <w:rsid w:val="006F6566"/>
    <w:rsid w:val="006F6ABF"/>
    <w:rsid w:val="006F7AB3"/>
    <w:rsid w:val="0070005A"/>
    <w:rsid w:val="007000FD"/>
    <w:rsid w:val="0070057A"/>
    <w:rsid w:val="00700971"/>
    <w:rsid w:val="00700C76"/>
    <w:rsid w:val="00700D05"/>
    <w:rsid w:val="00701258"/>
    <w:rsid w:val="00701604"/>
    <w:rsid w:val="00701782"/>
    <w:rsid w:val="00702D20"/>
    <w:rsid w:val="00702ECC"/>
    <w:rsid w:val="0070386B"/>
    <w:rsid w:val="00704028"/>
    <w:rsid w:val="00704903"/>
    <w:rsid w:val="0070520B"/>
    <w:rsid w:val="007059FA"/>
    <w:rsid w:val="00710E68"/>
    <w:rsid w:val="00711A59"/>
    <w:rsid w:val="00711CDD"/>
    <w:rsid w:val="007128AB"/>
    <w:rsid w:val="007128BB"/>
    <w:rsid w:val="00712DC4"/>
    <w:rsid w:val="007133E8"/>
    <w:rsid w:val="007140B9"/>
    <w:rsid w:val="007149B6"/>
    <w:rsid w:val="00714D24"/>
    <w:rsid w:val="00715301"/>
    <w:rsid w:val="007155D7"/>
    <w:rsid w:val="007161FF"/>
    <w:rsid w:val="00716FB5"/>
    <w:rsid w:val="00717025"/>
    <w:rsid w:val="007175F9"/>
    <w:rsid w:val="00717BAC"/>
    <w:rsid w:val="00717E01"/>
    <w:rsid w:val="007202FD"/>
    <w:rsid w:val="0072093C"/>
    <w:rsid w:val="00720DAA"/>
    <w:rsid w:val="007213FC"/>
    <w:rsid w:val="00721924"/>
    <w:rsid w:val="00722852"/>
    <w:rsid w:val="00722AB9"/>
    <w:rsid w:val="00724B6C"/>
    <w:rsid w:val="00725335"/>
    <w:rsid w:val="00726204"/>
    <w:rsid w:val="00726C6E"/>
    <w:rsid w:val="007276EC"/>
    <w:rsid w:val="00730B47"/>
    <w:rsid w:val="00730E4C"/>
    <w:rsid w:val="007317DB"/>
    <w:rsid w:val="00731A09"/>
    <w:rsid w:val="0073250A"/>
    <w:rsid w:val="00732C16"/>
    <w:rsid w:val="007332FD"/>
    <w:rsid w:val="0073424D"/>
    <w:rsid w:val="007342F0"/>
    <w:rsid w:val="00734621"/>
    <w:rsid w:val="00734899"/>
    <w:rsid w:val="00735244"/>
    <w:rsid w:val="00735B30"/>
    <w:rsid w:val="00735BA7"/>
    <w:rsid w:val="00737915"/>
    <w:rsid w:val="007400B8"/>
    <w:rsid w:val="00741E22"/>
    <w:rsid w:val="00742EDA"/>
    <w:rsid w:val="00743735"/>
    <w:rsid w:val="00743C05"/>
    <w:rsid w:val="00743E7E"/>
    <w:rsid w:val="0074449C"/>
    <w:rsid w:val="00745154"/>
    <w:rsid w:val="00745428"/>
    <w:rsid w:val="00745734"/>
    <w:rsid w:val="00745BA6"/>
    <w:rsid w:val="00746B02"/>
    <w:rsid w:val="00747579"/>
    <w:rsid w:val="00747D67"/>
    <w:rsid w:val="00747E81"/>
    <w:rsid w:val="0075074C"/>
    <w:rsid w:val="007509D7"/>
    <w:rsid w:val="00751578"/>
    <w:rsid w:val="00751CE4"/>
    <w:rsid w:val="00751E7C"/>
    <w:rsid w:val="00751FF7"/>
    <w:rsid w:val="00752025"/>
    <w:rsid w:val="0075230D"/>
    <w:rsid w:val="00752E4F"/>
    <w:rsid w:val="00753105"/>
    <w:rsid w:val="00753553"/>
    <w:rsid w:val="00753B71"/>
    <w:rsid w:val="00754281"/>
    <w:rsid w:val="00754CAC"/>
    <w:rsid w:val="00755252"/>
    <w:rsid w:val="007555BE"/>
    <w:rsid w:val="0075565F"/>
    <w:rsid w:val="007556D0"/>
    <w:rsid w:val="00755F2B"/>
    <w:rsid w:val="00756018"/>
    <w:rsid w:val="00756598"/>
    <w:rsid w:val="00757957"/>
    <w:rsid w:val="0076033E"/>
    <w:rsid w:val="007604B9"/>
    <w:rsid w:val="0076078F"/>
    <w:rsid w:val="00760AF6"/>
    <w:rsid w:val="00760D19"/>
    <w:rsid w:val="00761420"/>
    <w:rsid w:val="00761F70"/>
    <w:rsid w:val="00762204"/>
    <w:rsid w:val="007625D9"/>
    <w:rsid w:val="00762FFB"/>
    <w:rsid w:val="007634F8"/>
    <w:rsid w:val="00764349"/>
    <w:rsid w:val="00764370"/>
    <w:rsid w:val="00764F6A"/>
    <w:rsid w:val="0076550A"/>
    <w:rsid w:val="00765BA9"/>
    <w:rsid w:val="00765BB2"/>
    <w:rsid w:val="00765BB9"/>
    <w:rsid w:val="00767FE9"/>
    <w:rsid w:val="00773DAA"/>
    <w:rsid w:val="007740ED"/>
    <w:rsid w:val="007745B6"/>
    <w:rsid w:val="0077501B"/>
    <w:rsid w:val="00775372"/>
    <w:rsid w:val="0077565D"/>
    <w:rsid w:val="00775F87"/>
    <w:rsid w:val="00776424"/>
    <w:rsid w:val="007774B5"/>
    <w:rsid w:val="00777A41"/>
    <w:rsid w:val="00780070"/>
    <w:rsid w:val="00780168"/>
    <w:rsid w:val="00780517"/>
    <w:rsid w:val="0078054E"/>
    <w:rsid w:val="007807F0"/>
    <w:rsid w:val="007814DA"/>
    <w:rsid w:val="00781F90"/>
    <w:rsid w:val="007824DB"/>
    <w:rsid w:val="00783246"/>
    <w:rsid w:val="007832A6"/>
    <w:rsid w:val="00783604"/>
    <w:rsid w:val="0078463B"/>
    <w:rsid w:val="0078471D"/>
    <w:rsid w:val="00784A81"/>
    <w:rsid w:val="007856D1"/>
    <w:rsid w:val="00785CD3"/>
    <w:rsid w:val="007862CD"/>
    <w:rsid w:val="0078708C"/>
    <w:rsid w:val="007870A2"/>
    <w:rsid w:val="007875F0"/>
    <w:rsid w:val="0079048D"/>
    <w:rsid w:val="00790AF6"/>
    <w:rsid w:val="00790BAC"/>
    <w:rsid w:val="00790BFE"/>
    <w:rsid w:val="00791391"/>
    <w:rsid w:val="007923AB"/>
    <w:rsid w:val="00792423"/>
    <w:rsid w:val="00793EE0"/>
    <w:rsid w:val="007959EE"/>
    <w:rsid w:val="00796105"/>
    <w:rsid w:val="007966A3"/>
    <w:rsid w:val="00796B21"/>
    <w:rsid w:val="007A0580"/>
    <w:rsid w:val="007A097D"/>
    <w:rsid w:val="007A1681"/>
    <w:rsid w:val="007A3D11"/>
    <w:rsid w:val="007A5D41"/>
    <w:rsid w:val="007A662F"/>
    <w:rsid w:val="007A6893"/>
    <w:rsid w:val="007A6A87"/>
    <w:rsid w:val="007A6B86"/>
    <w:rsid w:val="007A6DF9"/>
    <w:rsid w:val="007A7DD3"/>
    <w:rsid w:val="007B09B6"/>
    <w:rsid w:val="007B1A2D"/>
    <w:rsid w:val="007B1F80"/>
    <w:rsid w:val="007B26B3"/>
    <w:rsid w:val="007B28F1"/>
    <w:rsid w:val="007B2A25"/>
    <w:rsid w:val="007B2C12"/>
    <w:rsid w:val="007B2C44"/>
    <w:rsid w:val="007B2D6F"/>
    <w:rsid w:val="007B304D"/>
    <w:rsid w:val="007B3251"/>
    <w:rsid w:val="007B4365"/>
    <w:rsid w:val="007B46E4"/>
    <w:rsid w:val="007B4C7C"/>
    <w:rsid w:val="007B5BAB"/>
    <w:rsid w:val="007B5D70"/>
    <w:rsid w:val="007B6058"/>
    <w:rsid w:val="007B6730"/>
    <w:rsid w:val="007B6B0F"/>
    <w:rsid w:val="007B6B7C"/>
    <w:rsid w:val="007B6C38"/>
    <w:rsid w:val="007B7100"/>
    <w:rsid w:val="007B76D4"/>
    <w:rsid w:val="007B7CE1"/>
    <w:rsid w:val="007C058D"/>
    <w:rsid w:val="007C2089"/>
    <w:rsid w:val="007C29B2"/>
    <w:rsid w:val="007C34C8"/>
    <w:rsid w:val="007C4B07"/>
    <w:rsid w:val="007C5016"/>
    <w:rsid w:val="007C5E15"/>
    <w:rsid w:val="007C6152"/>
    <w:rsid w:val="007C66FE"/>
    <w:rsid w:val="007C6AAF"/>
    <w:rsid w:val="007D036D"/>
    <w:rsid w:val="007D08E0"/>
    <w:rsid w:val="007D131A"/>
    <w:rsid w:val="007D243F"/>
    <w:rsid w:val="007D376B"/>
    <w:rsid w:val="007D383D"/>
    <w:rsid w:val="007D3AFD"/>
    <w:rsid w:val="007D40AB"/>
    <w:rsid w:val="007D45A8"/>
    <w:rsid w:val="007D58E8"/>
    <w:rsid w:val="007D60C1"/>
    <w:rsid w:val="007D680A"/>
    <w:rsid w:val="007D6C7F"/>
    <w:rsid w:val="007D73EC"/>
    <w:rsid w:val="007E013B"/>
    <w:rsid w:val="007E0EE0"/>
    <w:rsid w:val="007E2F0F"/>
    <w:rsid w:val="007E3B41"/>
    <w:rsid w:val="007E3FD8"/>
    <w:rsid w:val="007E4E9B"/>
    <w:rsid w:val="007E556F"/>
    <w:rsid w:val="007E5DA6"/>
    <w:rsid w:val="007E689C"/>
    <w:rsid w:val="007E6E4D"/>
    <w:rsid w:val="007E6E53"/>
    <w:rsid w:val="007E6E7C"/>
    <w:rsid w:val="007E7A12"/>
    <w:rsid w:val="007F00B2"/>
    <w:rsid w:val="007F0108"/>
    <w:rsid w:val="007F01B4"/>
    <w:rsid w:val="007F0D09"/>
    <w:rsid w:val="007F119B"/>
    <w:rsid w:val="007F14F1"/>
    <w:rsid w:val="007F1B1B"/>
    <w:rsid w:val="007F24F4"/>
    <w:rsid w:val="007F2A53"/>
    <w:rsid w:val="007F2B44"/>
    <w:rsid w:val="007F3ACE"/>
    <w:rsid w:val="007F409A"/>
    <w:rsid w:val="007F477E"/>
    <w:rsid w:val="007F4919"/>
    <w:rsid w:val="007F4F65"/>
    <w:rsid w:val="007F6176"/>
    <w:rsid w:val="007F6AD3"/>
    <w:rsid w:val="007F6E5E"/>
    <w:rsid w:val="007F775A"/>
    <w:rsid w:val="007F78E6"/>
    <w:rsid w:val="0080011E"/>
    <w:rsid w:val="0080046A"/>
    <w:rsid w:val="0080085C"/>
    <w:rsid w:val="008024C5"/>
    <w:rsid w:val="00802619"/>
    <w:rsid w:val="008028D8"/>
    <w:rsid w:val="00802AFC"/>
    <w:rsid w:val="00802E96"/>
    <w:rsid w:val="00803212"/>
    <w:rsid w:val="0080412C"/>
    <w:rsid w:val="00804603"/>
    <w:rsid w:val="008047A0"/>
    <w:rsid w:val="00804B1B"/>
    <w:rsid w:val="00804EFB"/>
    <w:rsid w:val="008052B0"/>
    <w:rsid w:val="00805756"/>
    <w:rsid w:val="00805DCD"/>
    <w:rsid w:val="00805DFA"/>
    <w:rsid w:val="00805FBE"/>
    <w:rsid w:val="008060C5"/>
    <w:rsid w:val="008067B9"/>
    <w:rsid w:val="0080707E"/>
    <w:rsid w:val="0080720E"/>
    <w:rsid w:val="00807CC0"/>
    <w:rsid w:val="0081043D"/>
    <w:rsid w:val="00810C73"/>
    <w:rsid w:val="0081106E"/>
    <w:rsid w:val="00811219"/>
    <w:rsid w:val="008113B7"/>
    <w:rsid w:val="00811F97"/>
    <w:rsid w:val="008128A3"/>
    <w:rsid w:val="0081290C"/>
    <w:rsid w:val="00812D71"/>
    <w:rsid w:val="008137C6"/>
    <w:rsid w:val="008143BF"/>
    <w:rsid w:val="00814842"/>
    <w:rsid w:val="00814A86"/>
    <w:rsid w:val="008150F9"/>
    <w:rsid w:val="00815143"/>
    <w:rsid w:val="00815CFC"/>
    <w:rsid w:val="00816797"/>
    <w:rsid w:val="0081726F"/>
    <w:rsid w:val="0081794B"/>
    <w:rsid w:val="00817AA0"/>
    <w:rsid w:val="00817C22"/>
    <w:rsid w:val="00820D51"/>
    <w:rsid w:val="00821513"/>
    <w:rsid w:val="00821662"/>
    <w:rsid w:val="00821ACF"/>
    <w:rsid w:val="00822133"/>
    <w:rsid w:val="008226A5"/>
    <w:rsid w:val="008239D2"/>
    <w:rsid w:val="00823EE8"/>
    <w:rsid w:val="00824D9C"/>
    <w:rsid w:val="0082541E"/>
    <w:rsid w:val="008254E0"/>
    <w:rsid w:val="00825619"/>
    <w:rsid w:val="00825665"/>
    <w:rsid w:val="008256A5"/>
    <w:rsid w:val="00825BBF"/>
    <w:rsid w:val="00826881"/>
    <w:rsid w:val="00826A8A"/>
    <w:rsid w:val="00827487"/>
    <w:rsid w:val="00827AED"/>
    <w:rsid w:val="00827E4D"/>
    <w:rsid w:val="00830751"/>
    <w:rsid w:val="008330FE"/>
    <w:rsid w:val="008332D7"/>
    <w:rsid w:val="00834A21"/>
    <w:rsid w:val="0083537E"/>
    <w:rsid w:val="008355EB"/>
    <w:rsid w:val="008359D2"/>
    <w:rsid w:val="008361DC"/>
    <w:rsid w:val="00836512"/>
    <w:rsid w:val="00836532"/>
    <w:rsid w:val="00836CA6"/>
    <w:rsid w:val="00836E44"/>
    <w:rsid w:val="00837966"/>
    <w:rsid w:val="008379CA"/>
    <w:rsid w:val="00837F4A"/>
    <w:rsid w:val="008405F5"/>
    <w:rsid w:val="00840B61"/>
    <w:rsid w:val="00841048"/>
    <w:rsid w:val="008418D1"/>
    <w:rsid w:val="00841CC6"/>
    <w:rsid w:val="00841EB8"/>
    <w:rsid w:val="008422BF"/>
    <w:rsid w:val="00843A39"/>
    <w:rsid w:val="00843B01"/>
    <w:rsid w:val="0084414C"/>
    <w:rsid w:val="008443B5"/>
    <w:rsid w:val="008443BB"/>
    <w:rsid w:val="00845F8E"/>
    <w:rsid w:val="0084712A"/>
    <w:rsid w:val="00847B2D"/>
    <w:rsid w:val="00847BE2"/>
    <w:rsid w:val="00847F7B"/>
    <w:rsid w:val="00850BB1"/>
    <w:rsid w:val="00850FDC"/>
    <w:rsid w:val="008536EA"/>
    <w:rsid w:val="00854275"/>
    <w:rsid w:val="00854769"/>
    <w:rsid w:val="00857545"/>
    <w:rsid w:val="00857877"/>
    <w:rsid w:val="00860889"/>
    <w:rsid w:val="00860D80"/>
    <w:rsid w:val="0086141D"/>
    <w:rsid w:val="00861491"/>
    <w:rsid w:val="00862354"/>
    <w:rsid w:val="00862ABE"/>
    <w:rsid w:val="0086336F"/>
    <w:rsid w:val="00863796"/>
    <w:rsid w:val="008638C2"/>
    <w:rsid w:val="00864D39"/>
    <w:rsid w:val="00864FA3"/>
    <w:rsid w:val="008672AE"/>
    <w:rsid w:val="00867524"/>
    <w:rsid w:val="008677CA"/>
    <w:rsid w:val="008679D0"/>
    <w:rsid w:val="00867CED"/>
    <w:rsid w:val="00870603"/>
    <w:rsid w:val="00870621"/>
    <w:rsid w:val="00871E06"/>
    <w:rsid w:val="0087240D"/>
    <w:rsid w:val="00872C94"/>
    <w:rsid w:val="00873D2F"/>
    <w:rsid w:val="00874215"/>
    <w:rsid w:val="0087456D"/>
    <w:rsid w:val="00874CDE"/>
    <w:rsid w:val="00875C32"/>
    <w:rsid w:val="00875C6A"/>
    <w:rsid w:val="00875CD8"/>
    <w:rsid w:val="00875EDE"/>
    <w:rsid w:val="00876421"/>
    <w:rsid w:val="0087642D"/>
    <w:rsid w:val="00876A53"/>
    <w:rsid w:val="00876B30"/>
    <w:rsid w:val="00877BC3"/>
    <w:rsid w:val="00880D65"/>
    <w:rsid w:val="00880EE2"/>
    <w:rsid w:val="008813EB"/>
    <w:rsid w:val="00881F9F"/>
    <w:rsid w:val="00881FB0"/>
    <w:rsid w:val="008820E5"/>
    <w:rsid w:val="00883102"/>
    <w:rsid w:val="00883318"/>
    <w:rsid w:val="00883B7A"/>
    <w:rsid w:val="008842F1"/>
    <w:rsid w:val="00884488"/>
    <w:rsid w:val="00884494"/>
    <w:rsid w:val="00884A5F"/>
    <w:rsid w:val="00885D24"/>
    <w:rsid w:val="0088611D"/>
    <w:rsid w:val="00886BEC"/>
    <w:rsid w:val="00886D76"/>
    <w:rsid w:val="0088704E"/>
    <w:rsid w:val="00887522"/>
    <w:rsid w:val="00890923"/>
    <w:rsid w:val="0089150A"/>
    <w:rsid w:val="00891BC3"/>
    <w:rsid w:val="00892ADC"/>
    <w:rsid w:val="0089497F"/>
    <w:rsid w:val="00895BFC"/>
    <w:rsid w:val="008960A0"/>
    <w:rsid w:val="00896C08"/>
    <w:rsid w:val="008A004C"/>
    <w:rsid w:val="008A066D"/>
    <w:rsid w:val="008A08E5"/>
    <w:rsid w:val="008A1837"/>
    <w:rsid w:val="008A1B30"/>
    <w:rsid w:val="008A2512"/>
    <w:rsid w:val="008A3293"/>
    <w:rsid w:val="008A3643"/>
    <w:rsid w:val="008A38BC"/>
    <w:rsid w:val="008A3F83"/>
    <w:rsid w:val="008A4C0A"/>
    <w:rsid w:val="008A51E9"/>
    <w:rsid w:val="008A53DC"/>
    <w:rsid w:val="008A5772"/>
    <w:rsid w:val="008A5B79"/>
    <w:rsid w:val="008A5DA5"/>
    <w:rsid w:val="008A6BC9"/>
    <w:rsid w:val="008A72DB"/>
    <w:rsid w:val="008A7677"/>
    <w:rsid w:val="008A7868"/>
    <w:rsid w:val="008A7AC8"/>
    <w:rsid w:val="008A7D06"/>
    <w:rsid w:val="008A7DF6"/>
    <w:rsid w:val="008B0AE4"/>
    <w:rsid w:val="008B1032"/>
    <w:rsid w:val="008B11F4"/>
    <w:rsid w:val="008B179E"/>
    <w:rsid w:val="008B1AF2"/>
    <w:rsid w:val="008B2350"/>
    <w:rsid w:val="008B23D2"/>
    <w:rsid w:val="008B2DAD"/>
    <w:rsid w:val="008B3140"/>
    <w:rsid w:val="008B38E8"/>
    <w:rsid w:val="008B3914"/>
    <w:rsid w:val="008B3A34"/>
    <w:rsid w:val="008B4750"/>
    <w:rsid w:val="008B481D"/>
    <w:rsid w:val="008B5CFD"/>
    <w:rsid w:val="008B6236"/>
    <w:rsid w:val="008B64EA"/>
    <w:rsid w:val="008B6FB8"/>
    <w:rsid w:val="008B7BB1"/>
    <w:rsid w:val="008B7CF0"/>
    <w:rsid w:val="008C1663"/>
    <w:rsid w:val="008C1810"/>
    <w:rsid w:val="008C1F4F"/>
    <w:rsid w:val="008C1FA9"/>
    <w:rsid w:val="008C20F4"/>
    <w:rsid w:val="008C27D9"/>
    <w:rsid w:val="008C29B7"/>
    <w:rsid w:val="008C4742"/>
    <w:rsid w:val="008C49B4"/>
    <w:rsid w:val="008C5724"/>
    <w:rsid w:val="008C5A21"/>
    <w:rsid w:val="008C7020"/>
    <w:rsid w:val="008C7030"/>
    <w:rsid w:val="008C7AC4"/>
    <w:rsid w:val="008D0715"/>
    <w:rsid w:val="008D09D5"/>
    <w:rsid w:val="008D0C9C"/>
    <w:rsid w:val="008D0CED"/>
    <w:rsid w:val="008D0DAE"/>
    <w:rsid w:val="008D0F5E"/>
    <w:rsid w:val="008D2242"/>
    <w:rsid w:val="008D2AB3"/>
    <w:rsid w:val="008D2FBF"/>
    <w:rsid w:val="008D31C5"/>
    <w:rsid w:val="008D389B"/>
    <w:rsid w:val="008D3D4F"/>
    <w:rsid w:val="008D4AE6"/>
    <w:rsid w:val="008D5660"/>
    <w:rsid w:val="008D5D24"/>
    <w:rsid w:val="008D5ED9"/>
    <w:rsid w:val="008D669B"/>
    <w:rsid w:val="008D6A0B"/>
    <w:rsid w:val="008D7524"/>
    <w:rsid w:val="008D75CD"/>
    <w:rsid w:val="008D7624"/>
    <w:rsid w:val="008D7BE1"/>
    <w:rsid w:val="008E0119"/>
    <w:rsid w:val="008E03CC"/>
    <w:rsid w:val="008E22F7"/>
    <w:rsid w:val="008E404F"/>
    <w:rsid w:val="008E4611"/>
    <w:rsid w:val="008E4752"/>
    <w:rsid w:val="008E67FF"/>
    <w:rsid w:val="008E6E10"/>
    <w:rsid w:val="008E6E5A"/>
    <w:rsid w:val="008E6E8C"/>
    <w:rsid w:val="008E7A00"/>
    <w:rsid w:val="008F02DD"/>
    <w:rsid w:val="008F0D2C"/>
    <w:rsid w:val="008F3979"/>
    <w:rsid w:val="008F4372"/>
    <w:rsid w:val="008F49D7"/>
    <w:rsid w:val="008F4E84"/>
    <w:rsid w:val="008F505F"/>
    <w:rsid w:val="008F557F"/>
    <w:rsid w:val="008F55F8"/>
    <w:rsid w:val="008F5B28"/>
    <w:rsid w:val="008F6460"/>
    <w:rsid w:val="008F652F"/>
    <w:rsid w:val="008F6C62"/>
    <w:rsid w:val="008F72CA"/>
    <w:rsid w:val="008F78E9"/>
    <w:rsid w:val="008F7C3C"/>
    <w:rsid w:val="008F7DF7"/>
    <w:rsid w:val="008F7FF6"/>
    <w:rsid w:val="0090050C"/>
    <w:rsid w:val="00902347"/>
    <w:rsid w:val="00902FCD"/>
    <w:rsid w:val="009031DA"/>
    <w:rsid w:val="0090325F"/>
    <w:rsid w:val="0090406E"/>
    <w:rsid w:val="00904958"/>
    <w:rsid w:val="00905097"/>
    <w:rsid w:val="00905EF4"/>
    <w:rsid w:val="0090632A"/>
    <w:rsid w:val="00907BEF"/>
    <w:rsid w:val="00910264"/>
    <w:rsid w:val="00910D12"/>
    <w:rsid w:val="00910FE7"/>
    <w:rsid w:val="00912499"/>
    <w:rsid w:val="00913A8A"/>
    <w:rsid w:val="00913C21"/>
    <w:rsid w:val="0091441D"/>
    <w:rsid w:val="00914A9F"/>
    <w:rsid w:val="00914F7C"/>
    <w:rsid w:val="0091505C"/>
    <w:rsid w:val="0091513D"/>
    <w:rsid w:val="00915822"/>
    <w:rsid w:val="00915D63"/>
    <w:rsid w:val="009168AB"/>
    <w:rsid w:val="0091712C"/>
    <w:rsid w:val="009171CE"/>
    <w:rsid w:val="00917DEF"/>
    <w:rsid w:val="00920F91"/>
    <w:rsid w:val="0092139E"/>
    <w:rsid w:val="0092189B"/>
    <w:rsid w:val="00922115"/>
    <w:rsid w:val="009222EA"/>
    <w:rsid w:val="00922457"/>
    <w:rsid w:val="00922A3E"/>
    <w:rsid w:val="00922A40"/>
    <w:rsid w:val="00923F3A"/>
    <w:rsid w:val="00924DA3"/>
    <w:rsid w:val="00925140"/>
    <w:rsid w:val="00925635"/>
    <w:rsid w:val="0092603F"/>
    <w:rsid w:val="0092605F"/>
    <w:rsid w:val="00926972"/>
    <w:rsid w:val="009275E2"/>
    <w:rsid w:val="00927AFE"/>
    <w:rsid w:val="00927BD9"/>
    <w:rsid w:val="00930707"/>
    <w:rsid w:val="00930FA8"/>
    <w:rsid w:val="00931C9F"/>
    <w:rsid w:val="009323C9"/>
    <w:rsid w:val="00932469"/>
    <w:rsid w:val="009334D3"/>
    <w:rsid w:val="00933BCB"/>
    <w:rsid w:val="00934BAB"/>
    <w:rsid w:val="00935A9A"/>
    <w:rsid w:val="00936212"/>
    <w:rsid w:val="00936614"/>
    <w:rsid w:val="009366CC"/>
    <w:rsid w:val="0093700F"/>
    <w:rsid w:val="00940E60"/>
    <w:rsid w:val="00941844"/>
    <w:rsid w:val="0094283D"/>
    <w:rsid w:val="00942A71"/>
    <w:rsid w:val="00942C8F"/>
    <w:rsid w:val="0094332C"/>
    <w:rsid w:val="00943C52"/>
    <w:rsid w:val="00943DAA"/>
    <w:rsid w:val="0094405F"/>
    <w:rsid w:val="00944547"/>
    <w:rsid w:val="009445B7"/>
    <w:rsid w:val="00944867"/>
    <w:rsid w:val="00944AE0"/>
    <w:rsid w:val="00944B64"/>
    <w:rsid w:val="00945197"/>
    <w:rsid w:val="009453E9"/>
    <w:rsid w:val="009455CB"/>
    <w:rsid w:val="00945A21"/>
    <w:rsid w:val="00945CDC"/>
    <w:rsid w:val="00945EF6"/>
    <w:rsid w:val="00946250"/>
    <w:rsid w:val="00946294"/>
    <w:rsid w:val="00946E54"/>
    <w:rsid w:val="00946F12"/>
    <w:rsid w:val="00946FE7"/>
    <w:rsid w:val="009473B4"/>
    <w:rsid w:val="009475FC"/>
    <w:rsid w:val="009478BE"/>
    <w:rsid w:val="00947AA4"/>
    <w:rsid w:val="00947CC1"/>
    <w:rsid w:val="0095190F"/>
    <w:rsid w:val="00951CE1"/>
    <w:rsid w:val="00952066"/>
    <w:rsid w:val="0095208B"/>
    <w:rsid w:val="009529F2"/>
    <w:rsid w:val="009532E0"/>
    <w:rsid w:val="009534AA"/>
    <w:rsid w:val="00953AE2"/>
    <w:rsid w:val="009548E1"/>
    <w:rsid w:val="00955C9B"/>
    <w:rsid w:val="00955E5C"/>
    <w:rsid w:val="00956A25"/>
    <w:rsid w:val="00956C86"/>
    <w:rsid w:val="00956CB5"/>
    <w:rsid w:val="0095718D"/>
    <w:rsid w:val="009607ED"/>
    <w:rsid w:val="00960D1E"/>
    <w:rsid w:val="00961231"/>
    <w:rsid w:val="0096204A"/>
    <w:rsid w:val="009627DB"/>
    <w:rsid w:val="009629AF"/>
    <w:rsid w:val="00962D65"/>
    <w:rsid w:val="00962DFE"/>
    <w:rsid w:val="00964271"/>
    <w:rsid w:val="0096435E"/>
    <w:rsid w:val="00965F31"/>
    <w:rsid w:val="00966301"/>
    <w:rsid w:val="00966437"/>
    <w:rsid w:val="00966AA3"/>
    <w:rsid w:val="009672FB"/>
    <w:rsid w:val="00967A9D"/>
    <w:rsid w:val="00970AE3"/>
    <w:rsid w:val="00970F26"/>
    <w:rsid w:val="00971141"/>
    <w:rsid w:val="00971151"/>
    <w:rsid w:val="00971891"/>
    <w:rsid w:val="00972017"/>
    <w:rsid w:val="00972315"/>
    <w:rsid w:val="00972565"/>
    <w:rsid w:val="009725D1"/>
    <w:rsid w:val="00973672"/>
    <w:rsid w:val="009737D3"/>
    <w:rsid w:val="00973951"/>
    <w:rsid w:val="00973E79"/>
    <w:rsid w:val="0097518C"/>
    <w:rsid w:val="00975529"/>
    <w:rsid w:val="009756B4"/>
    <w:rsid w:val="00976902"/>
    <w:rsid w:val="00976A27"/>
    <w:rsid w:val="00976ED2"/>
    <w:rsid w:val="009770F8"/>
    <w:rsid w:val="00977781"/>
    <w:rsid w:val="00977A87"/>
    <w:rsid w:val="00977B5F"/>
    <w:rsid w:val="00977CE4"/>
    <w:rsid w:val="00977FA6"/>
    <w:rsid w:val="009802E0"/>
    <w:rsid w:val="00980346"/>
    <w:rsid w:val="009805A0"/>
    <w:rsid w:val="00980872"/>
    <w:rsid w:val="009817D0"/>
    <w:rsid w:val="009829CE"/>
    <w:rsid w:val="00984494"/>
    <w:rsid w:val="00984F80"/>
    <w:rsid w:val="00984F87"/>
    <w:rsid w:val="0098508A"/>
    <w:rsid w:val="00985CFB"/>
    <w:rsid w:val="00986068"/>
    <w:rsid w:val="00987AF9"/>
    <w:rsid w:val="00990350"/>
    <w:rsid w:val="0099070A"/>
    <w:rsid w:val="00990C46"/>
    <w:rsid w:val="0099113D"/>
    <w:rsid w:val="00991B60"/>
    <w:rsid w:val="00991EA1"/>
    <w:rsid w:val="00993B81"/>
    <w:rsid w:val="0099416A"/>
    <w:rsid w:val="00994453"/>
    <w:rsid w:val="00994A18"/>
    <w:rsid w:val="00994B98"/>
    <w:rsid w:val="00996362"/>
    <w:rsid w:val="0099651C"/>
    <w:rsid w:val="0099662D"/>
    <w:rsid w:val="00996AD1"/>
    <w:rsid w:val="009972B3"/>
    <w:rsid w:val="0099734F"/>
    <w:rsid w:val="009977D7"/>
    <w:rsid w:val="00997EDA"/>
    <w:rsid w:val="009A070E"/>
    <w:rsid w:val="009A087F"/>
    <w:rsid w:val="009A16F2"/>
    <w:rsid w:val="009A2020"/>
    <w:rsid w:val="009A22A4"/>
    <w:rsid w:val="009A290E"/>
    <w:rsid w:val="009A34D0"/>
    <w:rsid w:val="009A386F"/>
    <w:rsid w:val="009A4664"/>
    <w:rsid w:val="009A553F"/>
    <w:rsid w:val="009A622F"/>
    <w:rsid w:val="009A6428"/>
    <w:rsid w:val="009A6469"/>
    <w:rsid w:val="009A6E95"/>
    <w:rsid w:val="009A6F16"/>
    <w:rsid w:val="009A6F7F"/>
    <w:rsid w:val="009A7049"/>
    <w:rsid w:val="009A7A6A"/>
    <w:rsid w:val="009A7D6F"/>
    <w:rsid w:val="009A7DD4"/>
    <w:rsid w:val="009B0FB8"/>
    <w:rsid w:val="009B1607"/>
    <w:rsid w:val="009B17BC"/>
    <w:rsid w:val="009B1C49"/>
    <w:rsid w:val="009B1FDB"/>
    <w:rsid w:val="009B21EC"/>
    <w:rsid w:val="009B2281"/>
    <w:rsid w:val="009B27F2"/>
    <w:rsid w:val="009B28E2"/>
    <w:rsid w:val="009B2D8A"/>
    <w:rsid w:val="009B4039"/>
    <w:rsid w:val="009B4190"/>
    <w:rsid w:val="009B45C0"/>
    <w:rsid w:val="009B4AB1"/>
    <w:rsid w:val="009B53E0"/>
    <w:rsid w:val="009B5446"/>
    <w:rsid w:val="009B57A2"/>
    <w:rsid w:val="009B591D"/>
    <w:rsid w:val="009B6E38"/>
    <w:rsid w:val="009B7EC6"/>
    <w:rsid w:val="009C07ED"/>
    <w:rsid w:val="009C1130"/>
    <w:rsid w:val="009C14FA"/>
    <w:rsid w:val="009C1999"/>
    <w:rsid w:val="009C302C"/>
    <w:rsid w:val="009C39BC"/>
    <w:rsid w:val="009C4778"/>
    <w:rsid w:val="009C47AD"/>
    <w:rsid w:val="009C5208"/>
    <w:rsid w:val="009C5980"/>
    <w:rsid w:val="009C5B91"/>
    <w:rsid w:val="009C66B1"/>
    <w:rsid w:val="009C6EE2"/>
    <w:rsid w:val="009C7960"/>
    <w:rsid w:val="009D0C3A"/>
    <w:rsid w:val="009D0F09"/>
    <w:rsid w:val="009D1AB2"/>
    <w:rsid w:val="009D272E"/>
    <w:rsid w:val="009D27B6"/>
    <w:rsid w:val="009D283D"/>
    <w:rsid w:val="009D2E41"/>
    <w:rsid w:val="009D2E78"/>
    <w:rsid w:val="009D3954"/>
    <w:rsid w:val="009D3EE5"/>
    <w:rsid w:val="009D4436"/>
    <w:rsid w:val="009D4FCF"/>
    <w:rsid w:val="009D6354"/>
    <w:rsid w:val="009D67A3"/>
    <w:rsid w:val="009D7724"/>
    <w:rsid w:val="009E0A56"/>
    <w:rsid w:val="009E0B3C"/>
    <w:rsid w:val="009E11BA"/>
    <w:rsid w:val="009E1A92"/>
    <w:rsid w:val="009E27C9"/>
    <w:rsid w:val="009E38A6"/>
    <w:rsid w:val="009E3B80"/>
    <w:rsid w:val="009E4AA6"/>
    <w:rsid w:val="009E519D"/>
    <w:rsid w:val="009E539F"/>
    <w:rsid w:val="009E5C05"/>
    <w:rsid w:val="009E6C12"/>
    <w:rsid w:val="009E6DC1"/>
    <w:rsid w:val="009E7473"/>
    <w:rsid w:val="009E792C"/>
    <w:rsid w:val="009E7D7E"/>
    <w:rsid w:val="009E7E43"/>
    <w:rsid w:val="009F0B29"/>
    <w:rsid w:val="009F149F"/>
    <w:rsid w:val="009F214B"/>
    <w:rsid w:val="009F243C"/>
    <w:rsid w:val="009F2582"/>
    <w:rsid w:val="009F258B"/>
    <w:rsid w:val="009F273D"/>
    <w:rsid w:val="009F2EE1"/>
    <w:rsid w:val="009F3542"/>
    <w:rsid w:val="009F475B"/>
    <w:rsid w:val="009F4D01"/>
    <w:rsid w:val="009F4D8F"/>
    <w:rsid w:val="009F5F14"/>
    <w:rsid w:val="009F65CA"/>
    <w:rsid w:val="009F6AF6"/>
    <w:rsid w:val="009F7E98"/>
    <w:rsid w:val="00A00244"/>
    <w:rsid w:val="00A0039D"/>
    <w:rsid w:val="00A01490"/>
    <w:rsid w:val="00A02016"/>
    <w:rsid w:val="00A0272A"/>
    <w:rsid w:val="00A02B63"/>
    <w:rsid w:val="00A02DBB"/>
    <w:rsid w:val="00A05321"/>
    <w:rsid w:val="00A05CC5"/>
    <w:rsid w:val="00A0622D"/>
    <w:rsid w:val="00A06646"/>
    <w:rsid w:val="00A0691C"/>
    <w:rsid w:val="00A07300"/>
    <w:rsid w:val="00A07869"/>
    <w:rsid w:val="00A07C66"/>
    <w:rsid w:val="00A10979"/>
    <w:rsid w:val="00A109AD"/>
    <w:rsid w:val="00A111DB"/>
    <w:rsid w:val="00A11251"/>
    <w:rsid w:val="00A11913"/>
    <w:rsid w:val="00A122FE"/>
    <w:rsid w:val="00A130A4"/>
    <w:rsid w:val="00A13279"/>
    <w:rsid w:val="00A13B53"/>
    <w:rsid w:val="00A13CF7"/>
    <w:rsid w:val="00A13D2E"/>
    <w:rsid w:val="00A13DCD"/>
    <w:rsid w:val="00A15186"/>
    <w:rsid w:val="00A15653"/>
    <w:rsid w:val="00A158C4"/>
    <w:rsid w:val="00A159A3"/>
    <w:rsid w:val="00A1677A"/>
    <w:rsid w:val="00A167A5"/>
    <w:rsid w:val="00A16CB7"/>
    <w:rsid w:val="00A215C7"/>
    <w:rsid w:val="00A225F2"/>
    <w:rsid w:val="00A22746"/>
    <w:rsid w:val="00A22941"/>
    <w:rsid w:val="00A23A19"/>
    <w:rsid w:val="00A24ECA"/>
    <w:rsid w:val="00A25681"/>
    <w:rsid w:val="00A30513"/>
    <w:rsid w:val="00A30BFB"/>
    <w:rsid w:val="00A30CD4"/>
    <w:rsid w:val="00A30E67"/>
    <w:rsid w:val="00A3104E"/>
    <w:rsid w:val="00A311A1"/>
    <w:rsid w:val="00A31C83"/>
    <w:rsid w:val="00A31E0F"/>
    <w:rsid w:val="00A3210A"/>
    <w:rsid w:val="00A327F5"/>
    <w:rsid w:val="00A3280D"/>
    <w:rsid w:val="00A32FC0"/>
    <w:rsid w:val="00A33ADA"/>
    <w:rsid w:val="00A35552"/>
    <w:rsid w:val="00A357D5"/>
    <w:rsid w:val="00A35BCB"/>
    <w:rsid w:val="00A35D7E"/>
    <w:rsid w:val="00A360C6"/>
    <w:rsid w:val="00A36BA5"/>
    <w:rsid w:val="00A37CF5"/>
    <w:rsid w:val="00A401CB"/>
    <w:rsid w:val="00A40669"/>
    <w:rsid w:val="00A41476"/>
    <w:rsid w:val="00A414C2"/>
    <w:rsid w:val="00A42999"/>
    <w:rsid w:val="00A429E4"/>
    <w:rsid w:val="00A42DE6"/>
    <w:rsid w:val="00A43A32"/>
    <w:rsid w:val="00A45874"/>
    <w:rsid w:val="00A458A9"/>
    <w:rsid w:val="00A45900"/>
    <w:rsid w:val="00A45F52"/>
    <w:rsid w:val="00A46BC7"/>
    <w:rsid w:val="00A4743B"/>
    <w:rsid w:val="00A50751"/>
    <w:rsid w:val="00A509F1"/>
    <w:rsid w:val="00A50AFA"/>
    <w:rsid w:val="00A50C59"/>
    <w:rsid w:val="00A50F6F"/>
    <w:rsid w:val="00A514AA"/>
    <w:rsid w:val="00A5173F"/>
    <w:rsid w:val="00A51B40"/>
    <w:rsid w:val="00A51E77"/>
    <w:rsid w:val="00A52A8E"/>
    <w:rsid w:val="00A52BDB"/>
    <w:rsid w:val="00A5340C"/>
    <w:rsid w:val="00A537DF"/>
    <w:rsid w:val="00A54903"/>
    <w:rsid w:val="00A5696F"/>
    <w:rsid w:val="00A569C9"/>
    <w:rsid w:val="00A57241"/>
    <w:rsid w:val="00A578E6"/>
    <w:rsid w:val="00A60BCB"/>
    <w:rsid w:val="00A61B51"/>
    <w:rsid w:val="00A61B55"/>
    <w:rsid w:val="00A61EC5"/>
    <w:rsid w:val="00A624CA"/>
    <w:rsid w:val="00A6273D"/>
    <w:rsid w:val="00A62A3C"/>
    <w:rsid w:val="00A62E4E"/>
    <w:rsid w:val="00A6354E"/>
    <w:rsid w:val="00A63970"/>
    <w:rsid w:val="00A64056"/>
    <w:rsid w:val="00A64869"/>
    <w:rsid w:val="00A64A0D"/>
    <w:rsid w:val="00A64C7E"/>
    <w:rsid w:val="00A654BD"/>
    <w:rsid w:val="00A65E91"/>
    <w:rsid w:val="00A6681F"/>
    <w:rsid w:val="00A66C45"/>
    <w:rsid w:val="00A70151"/>
    <w:rsid w:val="00A704D4"/>
    <w:rsid w:val="00A70576"/>
    <w:rsid w:val="00A71331"/>
    <w:rsid w:val="00A726F0"/>
    <w:rsid w:val="00A727A1"/>
    <w:rsid w:val="00A72AE7"/>
    <w:rsid w:val="00A7312B"/>
    <w:rsid w:val="00A73225"/>
    <w:rsid w:val="00A73CB7"/>
    <w:rsid w:val="00A748BE"/>
    <w:rsid w:val="00A74D04"/>
    <w:rsid w:val="00A74EF4"/>
    <w:rsid w:val="00A77BD6"/>
    <w:rsid w:val="00A81339"/>
    <w:rsid w:val="00A82563"/>
    <w:rsid w:val="00A830D2"/>
    <w:rsid w:val="00A832E4"/>
    <w:rsid w:val="00A8421F"/>
    <w:rsid w:val="00A84AFE"/>
    <w:rsid w:val="00A8503B"/>
    <w:rsid w:val="00A855C4"/>
    <w:rsid w:val="00A86F35"/>
    <w:rsid w:val="00A87A79"/>
    <w:rsid w:val="00A90078"/>
    <w:rsid w:val="00A900E7"/>
    <w:rsid w:val="00A90306"/>
    <w:rsid w:val="00A917A2"/>
    <w:rsid w:val="00A9194C"/>
    <w:rsid w:val="00A91FBE"/>
    <w:rsid w:val="00A92B42"/>
    <w:rsid w:val="00A948EC"/>
    <w:rsid w:val="00A95430"/>
    <w:rsid w:val="00A95B42"/>
    <w:rsid w:val="00A9601E"/>
    <w:rsid w:val="00A9679F"/>
    <w:rsid w:val="00A96DEA"/>
    <w:rsid w:val="00A97676"/>
    <w:rsid w:val="00AA0647"/>
    <w:rsid w:val="00AA079E"/>
    <w:rsid w:val="00AA13BD"/>
    <w:rsid w:val="00AA2055"/>
    <w:rsid w:val="00AA311D"/>
    <w:rsid w:val="00AA4353"/>
    <w:rsid w:val="00AA483B"/>
    <w:rsid w:val="00AA4892"/>
    <w:rsid w:val="00AA54AF"/>
    <w:rsid w:val="00AA64FF"/>
    <w:rsid w:val="00AA7250"/>
    <w:rsid w:val="00AA7683"/>
    <w:rsid w:val="00AA7873"/>
    <w:rsid w:val="00AA796F"/>
    <w:rsid w:val="00AA79F0"/>
    <w:rsid w:val="00AA7B2F"/>
    <w:rsid w:val="00AA7DF1"/>
    <w:rsid w:val="00AB0309"/>
    <w:rsid w:val="00AB1C30"/>
    <w:rsid w:val="00AB2BEF"/>
    <w:rsid w:val="00AB3858"/>
    <w:rsid w:val="00AB3C01"/>
    <w:rsid w:val="00AB3D57"/>
    <w:rsid w:val="00AB47F3"/>
    <w:rsid w:val="00AB4C2E"/>
    <w:rsid w:val="00AB53E0"/>
    <w:rsid w:val="00AB558A"/>
    <w:rsid w:val="00AB55D9"/>
    <w:rsid w:val="00AB5A0C"/>
    <w:rsid w:val="00AB5E14"/>
    <w:rsid w:val="00AB66F0"/>
    <w:rsid w:val="00AB6741"/>
    <w:rsid w:val="00AB76EB"/>
    <w:rsid w:val="00AB7CEF"/>
    <w:rsid w:val="00AC1D41"/>
    <w:rsid w:val="00AC1FD1"/>
    <w:rsid w:val="00AC2593"/>
    <w:rsid w:val="00AC2EF1"/>
    <w:rsid w:val="00AC30C6"/>
    <w:rsid w:val="00AC31C1"/>
    <w:rsid w:val="00AC33AF"/>
    <w:rsid w:val="00AC4B35"/>
    <w:rsid w:val="00AC4BE4"/>
    <w:rsid w:val="00AC61A4"/>
    <w:rsid w:val="00AC77DC"/>
    <w:rsid w:val="00AD2206"/>
    <w:rsid w:val="00AD298E"/>
    <w:rsid w:val="00AD2EAD"/>
    <w:rsid w:val="00AD2F28"/>
    <w:rsid w:val="00AD32CC"/>
    <w:rsid w:val="00AD3C06"/>
    <w:rsid w:val="00AD3CA9"/>
    <w:rsid w:val="00AD6756"/>
    <w:rsid w:val="00AD681E"/>
    <w:rsid w:val="00AD6885"/>
    <w:rsid w:val="00AE0A0B"/>
    <w:rsid w:val="00AE0B29"/>
    <w:rsid w:val="00AE1C2F"/>
    <w:rsid w:val="00AE1D10"/>
    <w:rsid w:val="00AE1EFD"/>
    <w:rsid w:val="00AE2578"/>
    <w:rsid w:val="00AE323E"/>
    <w:rsid w:val="00AE32C9"/>
    <w:rsid w:val="00AE4E74"/>
    <w:rsid w:val="00AE52D0"/>
    <w:rsid w:val="00AE54C9"/>
    <w:rsid w:val="00AE5846"/>
    <w:rsid w:val="00AE597E"/>
    <w:rsid w:val="00AE61C6"/>
    <w:rsid w:val="00AE674C"/>
    <w:rsid w:val="00AE7021"/>
    <w:rsid w:val="00AE7102"/>
    <w:rsid w:val="00AE743C"/>
    <w:rsid w:val="00AE7FED"/>
    <w:rsid w:val="00AF028B"/>
    <w:rsid w:val="00AF079C"/>
    <w:rsid w:val="00AF0F06"/>
    <w:rsid w:val="00AF140B"/>
    <w:rsid w:val="00AF160C"/>
    <w:rsid w:val="00AF1B2B"/>
    <w:rsid w:val="00AF2043"/>
    <w:rsid w:val="00AF21B3"/>
    <w:rsid w:val="00AF22AC"/>
    <w:rsid w:val="00AF247F"/>
    <w:rsid w:val="00AF3400"/>
    <w:rsid w:val="00AF346D"/>
    <w:rsid w:val="00AF41BB"/>
    <w:rsid w:val="00AF48DD"/>
    <w:rsid w:val="00AF4A4F"/>
    <w:rsid w:val="00AF542D"/>
    <w:rsid w:val="00AF5497"/>
    <w:rsid w:val="00AF594E"/>
    <w:rsid w:val="00AF5FA1"/>
    <w:rsid w:val="00AF687F"/>
    <w:rsid w:val="00AF6CD9"/>
    <w:rsid w:val="00AF7923"/>
    <w:rsid w:val="00AF7A14"/>
    <w:rsid w:val="00B00397"/>
    <w:rsid w:val="00B006B7"/>
    <w:rsid w:val="00B01425"/>
    <w:rsid w:val="00B02502"/>
    <w:rsid w:val="00B026FF"/>
    <w:rsid w:val="00B0292F"/>
    <w:rsid w:val="00B031E5"/>
    <w:rsid w:val="00B04081"/>
    <w:rsid w:val="00B04C56"/>
    <w:rsid w:val="00B04CD4"/>
    <w:rsid w:val="00B0615C"/>
    <w:rsid w:val="00B11183"/>
    <w:rsid w:val="00B113E9"/>
    <w:rsid w:val="00B11583"/>
    <w:rsid w:val="00B11741"/>
    <w:rsid w:val="00B1192B"/>
    <w:rsid w:val="00B12561"/>
    <w:rsid w:val="00B12935"/>
    <w:rsid w:val="00B1357F"/>
    <w:rsid w:val="00B137C6"/>
    <w:rsid w:val="00B14035"/>
    <w:rsid w:val="00B161DD"/>
    <w:rsid w:val="00B164B8"/>
    <w:rsid w:val="00B16D76"/>
    <w:rsid w:val="00B175E9"/>
    <w:rsid w:val="00B205FC"/>
    <w:rsid w:val="00B207EC"/>
    <w:rsid w:val="00B213DE"/>
    <w:rsid w:val="00B2248F"/>
    <w:rsid w:val="00B229F7"/>
    <w:rsid w:val="00B2304D"/>
    <w:rsid w:val="00B24038"/>
    <w:rsid w:val="00B24A06"/>
    <w:rsid w:val="00B256D3"/>
    <w:rsid w:val="00B265B5"/>
    <w:rsid w:val="00B268F3"/>
    <w:rsid w:val="00B26B80"/>
    <w:rsid w:val="00B26D66"/>
    <w:rsid w:val="00B27A31"/>
    <w:rsid w:val="00B27B3C"/>
    <w:rsid w:val="00B307F9"/>
    <w:rsid w:val="00B30B73"/>
    <w:rsid w:val="00B31CA6"/>
    <w:rsid w:val="00B328E1"/>
    <w:rsid w:val="00B32E99"/>
    <w:rsid w:val="00B3379D"/>
    <w:rsid w:val="00B347A4"/>
    <w:rsid w:val="00B354D8"/>
    <w:rsid w:val="00B35975"/>
    <w:rsid w:val="00B35C9C"/>
    <w:rsid w:val="00B3628D"/>
    <w:rsid w:val="00B363BC"/>
    <w:rsid w:val="00B37567"/>
    <w:rsid w:val="00B37A19"/>
    <w:rsid w:val="00B37DD6"/>
    <w:rsid w:val="00B40253"/>
    <w:rsid w:val="00B4075C"/>
    <w:rsid w:val="00B4078C"/>
    <w:rsid w:val="00B40A78"/>
    <w:rsid w:val="00B40E1E"/>
    <w:rsid w:val="00B41E9F"/>
    <w:rsid w:val="00B421FD"/>
    <w:rsid w:val="00B42295"/>
    <w:rsid w:val="00B425D5"/>
    <w:rsid w:val="00B426CD"/>
    <w:rsid w:val="00B43237"/>
    <w:rsid w:val="00B43D7A"/>
    <w:rsid w:val="00B44486"/>
    <w:rsid w:val="00B4457E"/>
    <w:rsid w:val="00B44DD4"/>
    <w:rsid w:val="00B4644F"/>
    <w:rsid w:val="00B4687D"/>
    <w:rsid w:val="00B47485"/>
    <w:rsid w:val="00B47D78"/>
    <w:rsid w:val="00B508C5"/>
    <w:rsid w:val="00B50B61"/>
    <w:rsid w:val="00B50E21"/>
    <w:rsid w:val="00B50EDE"/>
    <w:rsid w:val="00B51D22"/>
    <w:rsid w:val="00B525C6"/>
    <w:rsid w:val="00B5266F"/>
    <w:rsid w:val="00B52F41"/>
    <w:rsid w:val="00B5301C"/>
    <w:rsid w:val="00B53460"/>
    <w:rsid w:val="00B53E99"/>
    <w:rsid w:val="00B547AD"/>
    <w:rsid w:val="00B548EC"/>
    <w:rsid w:val="00B54945"/>
    <w:rsid w:val="00B549C1"/>
    <w:rsid w:val="00B5554F"/>
    <w:rsid w:val="00B55A89"/>
    <w:rsid w:val="00B560BB"/>
    <w:rsid w:val="00B566C0"/>
    <w:rsid w:val="00B577E4"/>
    <w:rsid w:val="00B57A7B"/>
    <w:rsid w:val="00B57AC7"/>
    <w:rsid w:val="00B608FC"/>
    <w:rsid w:val="00B61225"/>
    <w:rsid w:val="00B61273"/>
    <w:rsid w:val="00B619FA"/>
    <w:rsid w:val="00B62754"/>
    <w:rsid w:val="00B62D60"/>
    <w:rsid w:val="00B63ACB"/>
    <w:rsid w:val="00B650A8"/>
    <w:rsid w:val="00B65470"/>
    <w:rsid w:val="00B66296"/>
    <w:rsid w:val="00B66A87"/>
    <w:rsid w:val="00B67507"/>
    <w:rsid w:val="00B705D5"/>
    <w:rsid w:val="00B70AFE"/>
    <w:rsid w:val="00B70BD6"/>
    <w:rsid w:val="00B70C46"/>
    <w:rsid w:val="00B70E6B"/>
    <w:rsid w:val="00B71365"/>
    <w:rsid w:val="00B71996"/>
    <w:rsid w:val="00B71ACA"/>
    <w:rsid w:val="00B72390"/>
    <w:rsid w:val="00B72FF5"/>
    <w:rsid w:val="00B74D0D"/>
    <w:rsid w:val="00B75981"/>
    <w:rsid w:val="00B75B49"/>
    <w:rsid w:val="00B76259"/>
    <w:rsid w:val="00B76591"/>
    <w:rsid w:val="00B765A4"/>
    <w:rsid w:val="00B765F7"/>
    <w:rsid w:val="00B77430"/>
    <w:rsid w:val="00B77455"/>
    <w:rsid w:val="00B77BB9"/>
    <w:rsid w:val="00B77ED2"/>
    <w:rsid w:val="00B8002F"/>
    <w:rsid w:val="00B800FC"/>
    <w:rsid w:val="00B8052B"/>
    <w:rsid w:val="00B80557"/>
    <w:rsid w:val="00B80AC5"/>
    <w:rsid w:val="00B80F01"/>
    <w:rsid w:val="00B81484"/>
    <w:rsid w:val="00B831DF"/>
    <w:rsid w:val="00B83230"/>
    <w:rsid w:val="00B846B9"/>
    <w:rsid w:val="00B84DAC"/>
    <w:rsid w:val="00B85F35"/>
    <w:rsid w:val="00B863E3"/>
    <w:rsid w:val="00B86A6E"/>
    <w:rsid w:val="00B86B1D"/>
    <w:rsid w:val="00B87275"/>
    <w:rsid w:val="00B87D5C"/>
    <w:rsid w:val="00B87F41"/>
    <w:rsid w:val="00B90CC9"/>
    <w:rsid w:val="00B917BA"/>
    <w:rsid w:val="00B92A9C"/>
    <w:rsid w:val="00B92DEC"/>
    <w:rsid w:val="00B94619"/>
    <w:rsid w:val="00B9634B"/>
    <w:rsid w:val="00B96A6E"/>
    <w:rsid w:val="00B96F57"/>
    <w:rsid w:val="00B97EF3"/>
    <w:rsid w:val="00BA0D5D"/>
    <w:rsid w:val="00BA15AA"/>
    <w:rsid w:val="00BA2D77"/>
    <w:rsid w:val="00BA3481"/>
    <w:rsid w:val="00BA34EC"/>
    <w:rsid w:val="00BA3E94"/>
    <w:rsid w:val="00BA3F81"/>
    <w:rsid w:val="00BA44B5"/>
    <w:rsid w:val="00BA4E43"/>
    <w:rsid w:val="00BA4F10"/>
    <w:rsid w:val="00BA50E3"/>
    <w:rsid w:val="00BA56F0"/>
    <w:rsid w:val="00BA5A80"/>
    <w:rsid w:val="00BA5C5B"/>
    <w:rsid w:val="00BA6D53"/>
    <w:rsid w:val="00BA6D80"/>
    <w:rsid w:val="00BA71CB"/>
    <w:rsid w:val="00BA78C2"/>
    <w:rsid w:val="00BB188E"/>
    <w:rsid w:val="00BB1B3F"/>
    <w:rsid w:val="00BB32A3"/>
    <w:rsid w:val="00BB3C99"/>
    <w:rsid w:val="00BB409D"/>
    <w:rsid w:val="00BB42A6"/>
    <w:rsid w:val="00BB43F5"/>
    <w:rsid w:val="00BB44F1"/>
    <w:rsid w:val="00BB4AFE"/>
    <w:rsid w:val="00BB4B8F"/>
    <w:rsid w:val="00BB6264"/>
    <w:rsid w:val="00BB6869"/>
    <w:rsid w:val="00BB6F20"/>
    <w:rsid w:val="00BB72C5"/>
    <w:rsid w:val="00BB768E"/>
    <w:rsid w:val="00BB76A1"/>
    <w:rsid w:val="00BB7E43"/>
    <w:rsid w:val="00BB7E7B"/>
    <w:rsid w:val="00BB7F6E"/>
    <w:rsid w:val="00BC0007"/>
    <w:rsid w:val="00BC06DD"/>
    <w:rsid w:val="00BC097A"/>
    <w:rsid w:val="00BC1281"/>
    <w:rsid w:val="00BC1FAA"/>
    <w:rsid w:val="00BC201D"/>
    <w:rsid w:val="00BC2189"/>
    <w:rsid w:val="00BC2327"/>
    <w:rsid w:val="00BC26CF"/>
    <w:rsid w:val="00BC28B2"/>
    <w:rsid w:val="00BC2999"/>
    <w:rsid w:val="00BC34E6"/>
    <w:rsid w:val="00BC4686"/>
    <w:rsid w:val="00BC4A9F"/>
    <w:rsid w:val="00BC4CD0"/>
    <w:rsid w:val="00BC4F6B"/>
    <w:rsid w:val="00BC5A8D"/>
    <w:rsid w:val="00BC5FF4"/>
    <w:rsid w:val="00BC6844"/>
    <w:rsid w:val="00BC7107"/>
    <w:rsid w:val="00BD076B"/>
    <w:rsid w:val="00BD0FC3"/>
    <w:rsid w:val="00BD1750"/>
    <w:rsid w:val="00BD2434"/>
    <w:rsid w:val="00BD318B"/>
    <w:rsid w:val="00BD3396"/>
    <w:rsid w:val="00BD3B43"/>
    <w:rsid w:val="00BD3B92"/>
    <w:rsid w:val="00BD442E"/>
    <w:rsid w:val="00BD44C1"/>
    <w:rsid w:val="00BD6040"/>
    <w:rsid w:val="00BD630B"/>
    <w:rsid w:val="00BD65F1"/>
    <w:rsid w:val="00BD700C"/>
    <w:rsid w:val="00BD7018"/>
    <w:rsid w:val="00BD7110"/>
    <w:rsid w:val="00BD747D"/>
    <w:rsid w:val="00BD74AA"/>
    <w:rsid w:val="00BD76A1"/>
    <w:rsid w:val="00BD7E7D"/>
    <w:rsid w:val="00BE12D4"/>
    <w:rsid w:val="00BE2282"/>
    <w:rsid w:val="00BE27C8"/>
    <w:rsid w:val="00BE572B"/>
    <w:rsid w:val="00BF0F0C"/>
    <w:rsid w:val="00BF1247"/>
    <w:rsid w:val="00BF184A"/>
    <w:rsid w:val="00BF1954"/>
    <w:rsid w:val="00BF1D34"/>
    <w:rsid w:val="00BF2663"/>
    <w:rsid w:val="00BF27E0"/>
    <w:rsid w:val="00BF3C30"/>
    <w:rsid w:val="00BF3E53"/>
    <w:rsid w:val="00BF428B"/>
    <w:rsid w:val="00BF4D92"/>
    <w:rsid w:val="00BF52DA"/>
    <w:rsid w:val="00BF5A09"/>
    <w:rsid w:val="00BF60B4"/>
    <w:rsid w:val="00BF6B86"/>
    <w:rsid w:val="00BF74E8"/>
    <w:rsid w:val="00BF764C"/>
    <w:rsid w:val="00BF77AA"/>
    <w:rsid w:val="00BF7BB1"/>
    <w:rsid w:val="00C00570"/>
    <w:rsid w:val="00C016E1"/>
    <w:rsid w:val="00C018BD"/>
    <w:rsid w:val="00C0197B"/>
    <w:rsid w:val="00C01AB6"/>
    <w:rsid w:val="00C0351B"/>
    <w:rsid w:val="00C03712"/>
    <w:rsid w:val="00C039D7"/>
    <w:rsid w:val="00C041D9"/>
    <w:rsid w:val="00C053A5"/>
    <w:rsid w:val="00C067DD"/>
    <w:rsid w:val="00C07535"/>
    <w:rsid w:val="00C10B7E"/>
    <w:rsid w:val="00C11676"/>
    <w:rsid w:val="00C1184C"/>
    <w:rsid w:val="00C1201F"/>
    <w:rsid w:val="00C12A5E"/>
    <w:rsid w:val="00C12FF6"/>
    <w:rsid w:val="00C13AA1"/>
    <w:rsid w:val="00C14ECF"/>
    <w:rsid w:val="00C14FC7"/>
    <w:rsid w:val="00C17B4A"/>
    <w:rsid w:val="00C17C0F"/>
    <w:rsid w:val="00C17DEA"/>
    <w:rsid w:val="00C2029E"/>
    <w:rsid w:val="00C20932"/>
    <w:rsid w:val="00C20C88"/>
    <w:rsid w:val="00C216D4"/>
    <w:rsid w:val="00C21F82"/>
    <w:rsid w:val="00C22289"/>
    <w:rsid w:val="00C23CAF"/>
    <w:rsid w:val="00C243BE"/>
    <w:rsid w:val="00C24A9F"/>
    <w:rsid w:val="00C24F5E"/>
    <w:rsid w:val="00C25154"/>
    <w:rsid w:val="00C2581D"/>
    <w:rsid w:val="00C27811"/>
    <w:rsid w:val="00C30496"/>
    <w:rsid w:val="00C3133E"/>
    <w:rsid w:val="00C323C0"/>
    <w:rsid w:val="00C32CB2"/>
    <w:rsid w:val="00C3355C"/>
    <w:rsid w:val="00C33D62"/>
    <w:rsid w:val="00C3407B"/>
    <w:rsid w:val="00C34874"/>
    <w:rsid w:val="00C34FAF"/>
    <w:rsid w:val="00C35747"/>
    <w:rsid w:val="00C35C6B"/>
    <w:rsid w:val="00C3755B"/>
    <w:rsid w:val="00C378D5"/>
    <w:rsid w:val="00C40462"/>
    <w:rsid w:val="00C40D28"/>
    <w:rsid w:val="00C410CE"/>
    <w:rsid w:val="00C42911"/>
    <w:rsid w:val="00C429FD"/>
    <w:rsid w:val="00C42B1F"/>
    <w:rsid w:val="00C43804"/>
    <w:rsid w:val="00C43B5F"/>
    <w:rsid w:val="00C444E6"/>
    <w:rsid w:val="00C4487F"/>
    <w:rsid w:val="00C44907"/>
    <w:rsid w:val="00C449F5"/>
    <w:rsid w:val="00C44E91"/>
    <w:rsid w:val="00C45A2E"/>
    <w:rsid w:val="00C46A0D"/>
    <w:rsid w:val="00C477B9"/>
    <w:rsid w:val="00C47895"/>
    <w:rsid w:val="00C47D81"/>
    <w:rsid w:val="00C47DCE"/>
    <w:rsid w:val="00C500E1"/>
    <w:rsid w:val="00C504D0"/>
    <w:rsid w:val="00C50C9C"/>
    <w:rsid w:val="00C51B6C"/>
    <w:rsid w:val="00C51CB0"/>
    <w:rsid w:val="00C52A05"/>
    <w:rsid w:val="00C52B25"/>
    <w:rsid w:val="00C52E73"/>
    <w:rsid w:val="00C53191"/>
    <w:rsid w:val="00C53409"/>
    <w:rsid w:val="00C5360C"/>
    <w:rsid w:val="00C54099"/>
    <w:rsid w:val="00C5425C"/>
    <w:rsid w:val="00C54477"/>
    <w:rsid w:val="00C544C7"/>
    <w:rsid w:val="00C54A97"/>
    <w:rsid w:val="00C54CBB"/>
    <w:rsid w:val="00C54FAF"/>
    <w:rsid w:val="00C5541B"/>
    <w:rsid w:val="00C55E8B"/>
    <w:rsid w:val="00C574CC"/>
    <w:rsid w:val="00C578D6"/>
    <w:rsid w:val="00C606ED"/>
    <w:rsid w:val="00C60AEC"/>
    <w:rsid w:val="00C61054"/>
    <w:rsid w:val="00C612EC"/>
    <w:rsid w:val="00C619FB"/>
    <w:rsid w:val="00C61CF3"/>
    <w:rsid w:val="00C61DCC"/>
    <w:rsid w:val="00C62480"/>
    <w:rsid w:val="00C62647"/>
    <w:rsid w:val="00C644D5"/>
    <w:rsid w:val="00C644FD"/>
    <w:rsid w:val="00C66A7B"/>
    <w:rsid w:val="00C67B7B"/>
    <w:rsid w:val="00C67E5C"/>
    <w:rsid w:val="00C70AFF"/>
    <w:rsid w:val="00C70C6D"/>
    <w:rsid w:val="00C71C7E"/>
    <w:rsid w:val="00C71D7C"/>
    <w:rsid w:val="00C71E09"/>
    <w:rsid w:val="00C72000"/>
    <w:rsid w:val="00C72064"/>
    <w:rsid w:val="00C72C28"/>
    <w:rsid w:val="00C72D9C"/>
    <w:rsid w:val="00C73FEF"/>
    <w:rsid w:val="00C74046"/>
    <w:rsid w:val="00C7479D"/>
    <w:rsid w:val="00C75EB9"/>
    <w:rsid w:val="00C7616C"/>
    <w:rsid w:val="00C76C7E"/>
    <w:rsid w:val="00C776F9"/>
    <w:rsid w:val="00C8189D"/>
    <w:rsid w:val="00C82407"/>
    <w:rsid w:val="00C836E5"/>
    <w:rsid w:val="00C83CC2"/>
    <w:rsid w:val="00C8471C"/>
    <w:rsid w:val="00C84A38"/>
    <w:rsid w:val="00C84AED"/>
    <w:rsid w:val="00C84B6E"/>
    <w:rsid w:val="00C85572"/>
    <w:rsid w:val="00C874BE"/>
    <w:rsid w:val="00C87637"/>
    <w:rsid w:val="00C8793C"/>
    <w:rsid w:val="00C901F8"/>
    <w:rsid w:val="00C9028D"/>
    <w:rsid w:val="00C90A73"/>
    <w:rsid w:val="00C9106B"/>
    <w:rsid w:val="00C910C3"/>
    <w:rsid w:val="00C917DB"/>
    <w:rsid w:val="00C92D13"/>
    <w:rsid w:val="00C92D4C"/>
    <w:rsid w:val="00C93923"/>
    <w:rsid w:val="00C9443D"/>
    <w:rsid w:val="00C95A3C"/>
    <w:rsid w:val="00C96017"/>
    <w:rsid w:val="00C96A9F"/>
    <w:rsid w:val="00C96B9A"/>
    <w:rsid w:val="00CA00DC"/>
    <w:rsid w:val="00CA05D8"/>
    <w:rsid w:val="00CA1063"/>
    <w:rsid w:val="00CA1745"/>
    <w:rsid w:val="00CA1C96"/>
    <w:rsid w:val="00CA2634"/>
    <w:rsid w:val="00CA2BF5"/>
    <w:rsid w:val="00CA304B"/>
    <w:rsid w:val="00CA39E3"/>
    <w:rsid w:val="00CA3B4C"/>
    <w:rsid w:val="00CA47E6"/>
    <w:rsid w:val="00CA5350"/>
    <w:rsid w:val="00CA61B6"/>
    <w:rsid w:val="00CA7379"/>
    <w:rsid w:val="00CA798C"/>
    <w:rsid w:val="00CA7FCB"/>
    <w:rsid w:val="00CB0BF3"/>
    <w:rsid w:val="00CB1960"/>
    <w:rsid w:val="00CB2FB2"/>
    <w:rsid w:val="00CB3144"/>
    <w:rsid w:val="00CB32B3"/>
    <w:rsid w:val="00CB3718"/>
    <w:rsid w:val="00CB440C"/>
    <w:rsid w:val="00CB4CA4"/>
    <w:rsid w:val="00CB4DB0"/>
    <w:rsid w:val="00CB5319"/>
    <w:rsid w:val="00CB561C"/>
    <w:rsid w:val="00CB58E7"/>
    <w:rsid w:val="00CB599A"/>
    <w:rsid w:val="00CB6011"/>
    <w:rsid w:val="00CB6668"/>
    <w:rsid w:val="00CB67BA"/>
    <w:rsid w:val="00CB7A3E"/>
    <w:rsid w:val="00CC0213"/>
    <w:rsid w:val="00CC02EA"/>
    <w:rsid w:val="00CC07D1"/>
    <w:rsid w:val="00CC0BD0"/>
    <w:rsid w:val="00CC1A05"/>
    <w:rsid w:val="00CC1BC6"/>
    <w:rsid w:val="00CC1CC4"/>
    <w:rsid w:val="00CC28CB"/>
    <w:rsid w:val="00CC29C5"/>
    <w:rsid w:val="00CC3E04"/>
    <w:rsid w:val="00CC3F7A"/>
    <w:rsid w:val="00CC45E9"/>
    <w:rsid w:val="00CC499C"/>
    <w:rsid w:val="00CC5BAC"/>
    <w:rsid w:val="00CC6D84"/>
    <w:rsid w:val="00CC7A2A"/>
    <w:rsid w:val="00CC7CF5"/>
    <w:rsid w:val="00CD1232"/>
    <w:rsid w:val="00CD1258"/>
    <w:rsid w:val="00CD16D7"/>
    <w:rsid w:val="00CD1F77"/>
    <w:rsid w:val="00CD22DD"/>
    <w:rsid w:val="00CD23AA"/>
    <w:rsid w:val="00CD23D3"/>
    <w:rsid w:val="00CD2747"/>
    <w:rsid w:val="00CD28E9"/>
    <w:rsid w:val="00CD3724"/>
    <w:rsid w:val="00CD377B"/>
    <w:rsid w:val="00CD37B9"/>
    <w:rsid w:val="00CD48A9"/>
    <w:rsid w:val="00CD4F67"/>
    <w:rsid w:val="00CD510B"/>
    <w:rsid w:val="00CD5787"/>
    <w:rsid w:val="00CD6896"/>
    <w:rsid w:val="00CD749B"/>
    <w:rsid w:val="00CD7C23"/>
    <w:rsid w:val="00CD7E91"/>
    <w:rsid w:val="00CE049B"/>
    <w:rsid w:val="00CE067F"/>
    <w:rsid w:val="00CE0A94"/>
    <w:rsid w:val="00CE0B9E"/>
    <w:rsid w:val="00CE0F02"/>
    <w:rsid w:val="00CE20C0"/>
    <w:rsid w:val="00CE2AE3"/>
    <w:rsid w:val="00CE2D48"/>
    <w:rsid w:val="00CE3496"/>
    <w:rsid w:val="00CE375B"/>
    <w:rsid w:val="00CE4184"/>
    <w:rsid w:val="00CE434B"/>
    <w:rsid w:val="00CE603C"/>
    <w:rsid w:val="00CE6AC1"/>
    <w:rsid w:val="00CE7B2D"/>
    <w:rsid w:val="00CE7BC5"/>
    <w:rsid w:val="00CE7F6E"/>
    <w:rsid w:val="00CF0BCB"/>
    <w:rsid w:val="00CF2563"/>
    <w:rsid w:val="00CF33BB"/>
    <w:rsid w:val="00CF36E3"/>
    <w:rsid w:val="00CF36FD"/>
    <w:rsid w:val="00CF3C79"/>
    <w:rsid w:val="00CF434B"/>
    <w:rsid w:val="00CF4377"/>
    <w:rsid w:val="00CF474B"/>
    <w:rsid w:val="00CF4BD6"/>
    <w:rsid w:val="00CF4C64"/>
    <w:rsid w:val="00CF52A7"/>
    <w:rsid w:val="00CF583E"/>
    <w:rsid w:val="00CF66E6"/>
    <w:rsid w:val="00CF75ED"/>
    <w:rsid w:val="00D00CBC"/>
    <w:rsid w:val="00D0127A"/>
    <w:rsid w:val="00D0142D"/>
    <w:rsid w:val="00D01589"/>
    <w:rsid w:val="00D0215D"/>
    <w:rsid w:val="00D03470"/>
    <w:rsid w:val="00D03D48"/>
    <w:rsid w:val="00D04932"/>
    <w:rsid w:val="00D04C98"/>
    <w:rsid w:val="00D05336"/>
    <w:rsid w:val="00D05554"/>
    <w:rsid w:val="00D05C5E"/>
    <w:rsid w:val="00D05C99"/>
    <w:rsid w:val="00D05F87"/>
    <w:rsid w:val="00D067A4"/>
    <w:rsid w:val="00D06FA7"/>
    <w:rsid w:val="00D071DF"/>
    <w:rsid w:val="00D07549"/>
    <w:rsid w:val="00D1123F"/>
    <w:rsid w:val="00D11674"/>
    <w:rsid w:val="00D12343"/>
    <w:rsid w:val="00D127E2"/>
    <w:rsid w:val="00D13938"/>
    <w:rsid w:val="00D13BEE"/>
    <w:rsid w:val="00D14251"/>
    <w:rsid w:val="00D1425B"/>
    <w:rsid w:val="00D149F3"/>
    <w:rsid w:val="00D163DC"/>
    <w:rsid w:val="00D16B7A"/>
    <w:rsid w:val="00D16E34"/>
    <w:rsid w:val="00D17001"/>
    <w:rsid w:val="00D20754"/>
    <w:rsid w:val="00D20CDD"/>
    <w:rsid w:val="00D213B3"/>
    <w:rsid w:val="00D21BC8"/>
    <w:rsid w:val="00D22206"/>
    <w:rsid w:val="00D22529"/>
    <w:rsid w:val="00D22C69"/>
    <w:rsid w:val="00D2331E"/>
    <w:rsid w:val="00D24B11"/>
    <w:rsid w:val="00D25055"/>
    <w:rsid w:val="00D2574B"/>
    <w:rsid w:val="00D26519"/>
    <w:rsid w:val="00D271BC"/>
    <w:rsid w:val="00D27B70"/>
    <w:rsid w:val="00D3079B"/>
    <w:rsid w:val="00D30B4B"/>
    <w:rsid w:val="00D31180"/>
    <w:rsid w:val="00D31235"/>
    <w:rsid w:val="00D312E8"/>
    <w:rsid w:val="00D31887"/>
    <w:rsid w:val="00D3285A"/>
    <w:rsid w:val="00D32B21"/>
    <w:rsid w:val="00D32EB9"/>
    <w:rsid w:val="00D3322A"/>
    <w:rsid w:val="00D339EE"/>
    <w:rsid w:val="00D33EAB"/>
    <w:rsid w:val="00D33FBB"/>
    <w:rsid w:val="00D341D7"/>
    <w:rsid w:val="00D34294"/>
    <w:rsid w:val="00D34B0A"/>
    <w:rsid w:val="00D34CAB"/>
    <w:rsid w:val="00D363E8"/>
    <w:rsid w:val="00D36F3C"/>
    <w:rsid w:val="00D374C2"/>
    <w:rsid w:val="00D37605"/>
    <w:rsid w:val="00D404B7"/>
    <w:rsid w:val="00D41317"/>
    <w:rsid w:val="00D4144C"/>
    <w:rsid w:val="00D414B0"/>
    <w:rsid w:val="00D41BDA"/>
    <w:rsid w:val="00D4302D"/>
    <w:rsid w:val="00D432FF"/>
    <w:rsid w:val="00D43C02"/>
    <w:rsid w:val="00D43D7B"/>
    <w:rsid w:val="00D43DFA"/>
    <w:rsid w:val="00D43E49"/>
    <w:rsid w:val="00D44BB8"/>
    <w:rsid w:val="00D452C1"/>
    <w:rsid w:val="00D4542A"/>
    <w:rsid w:val="00D461C2"/>
    <w:rsid w:val="00D4690A"/>
    <w:rsid w:val="00D46994"/>
    <w:rsid w:val="00D47084"/>
    <w:rsid w:val="00D47BFC"/>
    <w:rsid w:val="00D47F2A"/>
    <w:rsid w:val="00D50574"/>
    <w:rsid w:val="00D51BD9"/>
    <w:rsid w:val="00D51C19"/>
    <w:rsid w:val="00D5246D"/>
    <w:rsid w:val="00D52D0B"/>
    <w:rsid w:val="00D539E1"/>
    <w:rsid w:val="00D53B89"/>
    <w:rsid w:val="00D53D26"/>
    <w:rsid w:val="00D5453C"/>
    <w:rsid w:val="00D54AD2"/>
    <w:rsid w:val="00D54DB7"/>
    <w:rsid w:val="00D54E2D"/>
    <w:rsid w:val="00D552DF"/>
    <w:rsid w:val="00D55C11"/>
    <w:rsid w:val="00D56013"/>
    <w:rsid w:val="00D56598"/>
    <w:rsid w:val="00D566F1"/>
    <w:rsid w:val="00D56741"/>
    <w:rsid w:val="00D567D0"/>
    <w:rsid w:val="00D572D7"/>
    <w:rsid w:val="00D57853"/>
    <w:rsid w:val="00D578BA"/>
    <w:rsid w:val="00D609F0"/>
    <w:rsid w:val="00D60C3A"/>
    <w:rsid w:val="00D60FD7"/>
    <w:rsid w:val="00D618BD"/>
    <w:rsid w:val="00D61949"/>
    <w:rsid w:val="00D61DB4"/>
    <w:rsid w:val="00D62CF1"/>
    <w:rsid w:val="00D631F1"/>
    <w:rsid w:val="00D632D3"/>
    <w:rsid w:val="00D63640"/>
    <w:rsid w:val="00D6392A"/>
    <w:rsid w:val="00D641C7"/>
    <w:rsid w:val="00D64323"/>
    <w:rsid w:val="00D64530"/>
    <w:rsid w:val="00D65492"/>
    <w:rsid w:val="00D6588F"/>
    <w:rsid w:val="00D6600A"/>
    <w:rsid w:val="00D661B7"/>
    <w:rsid w:val="00D661ED"/>
    <w:rsid w:val="00D66F0D"/>
    <w:rsid w:val="00D6728B"/>
    <w:rsid w:val="00D67D60"/>
    <w:rsid w:val="00D702DF"/>
    <w:rsid w:val="00D70A2C"/>
    <w:rsid w:val="00D70CC0"/>
    <w:rsid w:val="00D71A39"/>
    <w:rsid w:val="00D71BFC"/>
    <w:rsid w:val="00D72BD3"/>
    <w:rsid w:val="00D73D95"/>
    <w:rsid w:val="00D74297"/>
    <w:rsid w:val="00D747BC"/>
    <w:rsid w:val="00D75EC1"/>
    <w:rsid w:val="00D767E2"/>
    <w:rsid w:val="00D769C0"/>
    <w:rsid w:val="00D76C5C"/>
    <w:rsid w:val="00D774A1"/>
    <w:rsid w:val="00D77627"/>
    <w:rsid w:val="00D81016"/>
    <w:rsid w:val="00D81242"/>
    <w:rsid w:val="00D8158E"/>
    <w:rsid w:val="00D81613"/>
    <w:rsid w:val="00D826D2"/>
    <w:rsid w:val="00D8329D"/>
    <w:rsid w:val="00D83BA4"/>
    <w:rsid w:val="00D83BE6"/>
    <w:rsid w:val="00D840D7"/>
    <w:rsid w:val="00D841F8"/>
    <w:rsid w:val="00D8439E"/>
    <w:rsid w:val="00D844D5"/>
    <w:rsid w:val="00D8644C"/>
    <w:rsid w:val="00D86F6E"/>
    <w:rsid w:val="00D875EB"/>
    <w:rsid w:val="00D87B15"/>
    <w:rsid w:val="00D87B6C"/>
    <w:rsid w:val="00D92A07"/>
    <w:rsid w:val="00D92B6A"/>
    <w:rsid w:val="00D93F87"/>
    <w:rsid w:val="00D94B4C"/>
    <w:rsid w:val="00D96CC8"/>
    <w:rsid w:val="00DA0052"/>
    <w:rsid w:val="00DA0984"/>
    <w:rsid w:val="00DA1910"/>
    <w:rsid w:val="00DA222E"/>
    <w:rsid w:val="00DA244F"/>
    <w:rsid w:val="00DA2B56"/>
    <w:rsid w:val="00DA3511"/>
    <w:rsid w:val="00DA3552"/>
    <w:rsid w:val="00DA4554"/>
    <w:rsid w:val="00DA4FB1"/>
    <w:rsid w:val="00DA5155"/>
    <w:rsid w:val="00DA5230"/>
    <w:rsid w:val="00DA537F"/>
    <w:rsid w:val="00DA5671"/>
    <w:rsid w:val="00DA59B8"/>
    <w:rsid w:val="00DA5AEC"/>
    <w:rsid w:val="00DA6BF4"/>
    <w:rsid w:val="00DA7456"/>
    <w:rsid w:val="00DB139F"/>
    <w:rsid w:val="00DB2C4B"/>
    <w:rsid w:val="00DB3101"/>
    <w:rsid w:val="00DB380B"/>
    <w:rsid w:val="00DB3BE3"/>
    <w:rsid w:val="00DB3CA9"/>
    <w:rsid w:val="00DB44B3"/>
    <w:rsid w:val="00DB49F0"/>
    <w:rsid w:val="00DB4CF8"/>
    <w:rsid w:val="00DB4D4D"/>
    <w:rsid w:val="00DB5F98"/>
    <w:rsid w:val="00DB60BE"/>
    <w:rsid w:val="00DB6D3C"/>
    <w:rsid w:val="00DB6F72"/>
    <w:rsid w:val="00DB7036"/>
    <w:rsid w:val="00DB7131"/>
    <w:rsid w:val="00DC02DB"/>
    <w:rsid w:val="00DC2282"/>
    <w:rsid w:val="00DC272E"/>
    <w:rsid w:val="00DC2C06"/>
    <w:rsid w:val="00DC3BFA"/>
    <w:rsid w:val="00DC41C8"/>
    <w:rsid w:val="00DC47C7"/>
    <w:rsid w:val="00DC4910"/>
    <w:rsid w:val="00DC5B34"/>
    <w:rsid w:val="00DC6EE1"/>
    <w:rsid w:val="00DC76E4"/>
    <w:rsid w:val="00DC776E"/>
    <w:rsid w:val="00DC7FCE"/>
    <w:rsid w:val="00DD1095"/>
    <w:rsid w:val="00DD15AF"/>
    <w:rsid w:val="00DD208C"/>
    <w:rsid w:val="00DD2BCE"/>
    <w:rsid w:val="00DD352D"/>
    <w:rsid w:val="00DD3BAB"/>
    <w:rsid w:val="00DD3FF4"/>
    <w:rsid w:val="00DD5A58"/>
    <w:rsid w:val="00DD5DFB"/>
    <w:rsid w:val="00DE09AB"/>
    <w:rsid w:val="00DE12C8"/>
    <w:rsid w:val="00DE145D"/>
    <w:rsid w:val="00DE1D4F"/>
    <w:rsid w:val="00DE2AA8"/>
    <w:rsid w:val="00DE3C96"/>
    <w:rsid w:val="00DE40A2"/>
    <w:rsid w:val="00DE43E8"/>
    <w:rsid w:val="00DE535F"/>
    <w:rsid w:val="00DE545D"/>
    <w:rsid w:val="00DE640E"/>
    <w:rsid w:val="00DE64D3"/>
    <w:rsid w:val="00DE6573"/>
    <w:rsid w:val="00DE69D2"/>
    <w:rsid w:val="00DE75E0"/>
    <w:rsid w:val="00DF0CE5"/>
    <w:rsid w:val="00DF157C"/>
    <w:rsid w:val="00DF1B84"/>
    <w:rsid w:val="00DF1C63"/>
    <w:rsid w:val="00DF2CA1"/>
    <w:rsid w:val="00DF32C5"/>
    <w:rsid w:val="00DF42E9"/>
    <w:rsid w:val="00DF439B"/>
    <w:rsid w:val="00DF44A4"/>
    <w:rsid w:val="00DF6B08"/>
    <w:rsid w:val="00DF79A7"/>
    <w:rsid w:val="00DF7F3F"/>
    <w:rsid w:val="00E00217"/>
    <w:rsid w:val="00E018C5"/>
    <w:rsid w:val="00E02670"/>
    <w:rsid w:val="00E026C4"/>
    <w:rsid w:val="00E037B9"/>
    <w:rsid w:val="00E03FCE"/>
    <w:rsid w:val="00E042A9"/>
    <w:rsid w:val="00E04CD5"/>
    <w:rsid w:val="00E06AFC"/>
    <w:rsid w:val="00E06CB4"/>
    <w:rsid w:val="00E070A9"/>
    <w:rsid w:val="00E0723D"/>
    <w:rsid w:val="00E07C7F"/>
    <w:rsid w:val="00E07F4A"/>
    <w:rsid w:val="00E102AE"/>
    <w:rsid w:val="00E107D4"/>
    <w:rsid w:val="00E10B1F"/>
    <w:rsid w:val="00E10DDF"/>
    <w:rsid w:val="00E10F8F"/>
    <w:rsid w:val="00E112A2"/>
    <w:rsid w:val="00E114CB"/>
    <w:rsid w:val="00E11C4F"/>
    <w:rsid w:val="00E11E5F"/>
    <w:rsid w:val="00E12FEE"/>
    <w:rsid w:val="00E13944"/>
    <w:rsid w:val="00E13B86"/>
    <w:rsid w:val="00E15E4C"/>
    <w:rsid w:val="00E16808"/>
    <w:rsid w:val="00E174EA"/>
    <w:rsid w:val="00E17D9C"/>
    <w:rsid w:val="00E200C8"/>
    <w:rsid w:val="00E20F0D"/>
    <w:rsid w:val="00E20F0E"/>
    <w:rsid w:val="00E2274A"/>
    <w:rsid w:val="00E23415"/>
    <w:rsid w:val="00E23B77"/>
    <w:rsid w:val="00E241AD"/>
    <w:rsid w:val="00E24CA9"/>
    <w:rsid w:val="00E25024"/>
    <w:rsid w:val="00E25380"/>
    <w:rsid w:val="00E257BD"/>
    <w:rsid w:val="00E25A1C"/>
    <w:rsid w:val="00E25B0A"/>
    <w:rsid w:val="00E25E7C"/>
    <w:rsid w:val="00E26568"/>
    <w:rsid w:val="00E27BE1"/>
    <w:rsid w:val="00E30008"/>
    <w:rsid w:val="00E3043C"/>
    <w:rsid w:val="00E31B6C"/>
    <w:rsid w:val="00E32B3A"/>
    <w:rsid w:val="00E339CA"/>
    <w:rsid w:val="00E34B12"/>
    <w:rsid w:val="00E34BAF"/>
    <w:rsid w:val="00E34E25"/>
    <w:rsid w:val="00E34ECF"/>
    <w:rsid w:val="00E35310"/>
    <w:rsid w:val="00E35D46"/>
    <w:rsid w:val="00E35F19"/>
    <w:rsid w:val="00E3676C"/>
    <w:rsid w:val="00E36D6C"/>
    <w:rsid w:val="00E400EE"/>
    <w:rsid w:val="00E401BA"/>
    <w:rsid w:val="00E40725"/>
    <w:rsid w:val="00E40784"/>
    <w:rsid w:val="00E408E6"/>
    <w:rsid w:val="00E41615"/>
    <w:rsid w:val="00E41748"/>
    <w:rsid w:val="00E418F7"/>
    <w:rsid w:val="00E4192E"/>
    <w:rsid w:val="00E41C4A"/>
    <w:rsid w:val="00E41C96"/>
    <w:rsid w:val="00E42A34"/>
    <w:rsid w:val="00E434EA"/>
    <w:rsid w:val="00E44D0E"/>
    <w:rsid w:val="00E452DD"/>
    <w:rsid w:val="00E45569"/>
    <w:rsid w:val="00E4557A"/>
    <w:rsid w:val="00E4692A"/>
    <w:rsid w:val="00E469D7"/>
    <w:rsid w:val="00E46CDA"/>
    <w:rsid w:val="00E47024"/>
    <w:rsid w:val="00E470A2"/>
    <w:rsid w:val="00E472A9"/>
    <w:rsid w:val="00E47BDC"/>
    <w:rsid w:val="00E500E7"/>
    <w:rsid w:val="00E50B7E"/>
    <w:rsid w:val="00E50DD1"/>
    <w:rsid w:val="00E50FA4"/>
    <w:rsid w:val="00E52B64"/>
    <w:rsid w:val="00E534E4"/>
    <w:rsid w:val="00E53A06"/>
    <w:rsid w:val="00E53B12"/>
    <w:rsid w:val="00E53C91"/>
    <w:rsid w:val="00E5541B"/>
    <w:rsid w:val="00E557AC"/>
    <w:rsid w:val="00E5603F"/>
    <w:rsid w:val="00E568B0"/>
    <w:rsid w:val="00E56F04"/>
    <w:rsid w:val="00E57F86"/>
    <w:rsid w:val="00E60380"/>
    <w:rsid w:val="00E61014"/>
    <w:rsid w:val="00E61118"/>
    <w:rsid w:val="00E617D4"/>
    <w:rsid w:val="00E625F4"/>
    <w:rsid w:val="00E62B53"/>
    <w:rsid w:val="00E62D28"/>
    <w:rsid w:val="00E63365"/>
    <w:rsid w:val="00E63A86"/>
    <w:rsid w:val="00E63C98"/>
    <w:rsid w:val="00E649FE"/>
    <w:rsid w:val="00E654DB"/>
    <w:rsid w:val="00E65B64"/>
    <w:rsid w:val="00E65FDB"/>
    <w:rsid w:val="00E67E2C"/>
    <w:rsid w:val="00E67EC0"/>
    <w:rsid w:val="00E70455"/>
    <w:rsid w:val="00E709D1"/>
    <w:rsid w:val="00E71969"/>
    <w:rsid w:val="00E72141"/>
    <w:rsid w:val="00E73D86"/>
    <w:rsid w:val="00E770DA"/>
    <w:rsid w:val="00E77D08"/>
    <w:rsid w:val="00E800AC"/>
    <w:rsid w:val="00E804DD"/>
    <w:rsid w:val="00E80FEA"/>
    <w:rsid w:val="00E81A5C"/>
    <w:rsid w:val="00E83853"/>
    <w:rsid w:val="00E83993"/>
    <w:rsid w:val="00E83D93"/>
    <w:rsid w:val="00E848F0"/>
    <w:rsid w:val="00E84E79"/>
    <w:rsid w:val="00E851BD"/>
    <w:rsid w:val="00E863A8"/>
    <w:rsid w:val="00E86733"/>
    <w:rsid w:val="00E869E9"/>
    <w:rsid w:val="00E86EB4"/>
    <w:rsid w:val="00E874A7"/>
    <w:rsid w:val="00E87562"/>
    <w:rsid w:val="00E87598"/>
    <w:rsid w:val="00E876E9"/>
    <w:rsid w:val="00E87BC5"/>
    <w:rsid w:val="00E907E2"/>
    <w:rsid w:val="00E91065"/>
    <w:rsid w:val="00E913DA"/>
    <w:rsid w:val="00E91472"/>
    <w:rsid w:val="00E914E4"/>
    <w:rsid w:val="00E91735"/>
    <w:rsid w:val="00E919E4"/>
    <w:rsid w:val="00E91CBD"/>
    <w:rsid w:val="00E926B2"/>
    <w:rsid w:val="00E942D3"/>
    <w:rsid w:val="00E9433A"/>
    <w:rsid w:val="00E95179"/>
    <w:rsid w:val="00E95349"/>
    <w:rsid w:val="00E9538B"/>
    <w:rsid w:val="00E95481"/>
    <w:rsid w:val="00E95DA8"/>
    <w:rsid w:val="00E964E0"/>
    <w:rsid w:val="00E97658"/>
    <w:rsid w:val="00EA01C4"/>
    <w:rsid w:val="00EA05CB"/>
    <w:rsid w:val="00EA1587"/>
    <w:rsid w:val="00EA1D4B"/>
    <w:rsid w:val="00EA2F88"/>
    <w:rsid w:val="00EA375C"/>
    <w:rsid w:val="00EA4531"/>
    <w:rsid w:val="00EA4BBF"/>
    <w:rsid w:val="00EA5005"/>
    <w:rsid w:val="00EA51F5"/>
    <w:rsid w:val="00EA6D21"/>
    <w:rsid w:val="00EA7A77"/>
    <w:rsid w:val="00EB0390"/>
    <w:rsid w:val="00EB077A"/>
    <w:rsid w:val="00EB0BDA"/>
    <w:rsid w:val="00EB1132"/>
    <w:rsid w:val="00EB14D2"/>
    <w:rsid w:val="00EB1B8A"/>
    <w:rsid w:val="00EB1EA7"/>
    <w:rsid w:val="00EB2FA4"/>
    <w:rsid w:val="00EB3389"/>
    <w:rsid w:val="00EB3406"/>
    <w:rsid w:val="00EB376D"/>
    <w:rsid w:val="00EB3DF7"/>
    <w:rsid w:val="00EB4409"/>
    <w:rsid w:val="00EB44E4"/>
    <w:rsid w:val="00EB45C9"/>
    <w:rsid w:val="00EB474C"/>
    <w:rsid w:val="00EB4B1F"/>
    <w:rsid w:val="00EB4E7A"/>
    <w:rsid w:val="00EB5404"/>
    <w:rsid w:val="00EB5E99"/>
    <w:rsid w:val="00EB687B"/>
    <w:rsid w:val="00EB6935"/>
    <w:rsid w:val="00EB6E69"/>
    <w:rsid w:val="00EC0248"/>
    <w:rsid w:val="00EC26FC"/>
    <w:rsid w:val="00EC2F0E"/>
    <w:rsid w:val="00EC3E3F"/>
    <w:rsid w:val="00EC3FC6"/>
    <w:rsid w:val="00EC4449"/>
    <w:rsid w:val="00EC4EB7"/>
    <w:rsid w:val="00EC51FF"/>
    <w:rsid w:val="00EC5490"/>
    <w:rsid w:val="00EC54E7"/>
    <w:rsid w:val="00EC56EB"/>
    <w:rsid w:val="00EC6299"/>
    <w:rsid w:val="00EC64CD"/>
    <w:rsid w:val="00EC69BE"/>
    <w:rsid w:val="00ED1AB0"/>
    <w:rsid w:val="00ED1E50"/>
    <w:rsid w:val="00ED2857"/>
    <w:rsid w:val="00ED2A7D"/>
    <w:rsid w:val="00ED351E"/>
    <w:rsid w:val="00ED3536"/>
    <w:rsid w:val="00ED3EB1"/>
    <w:rsid w:val="00ED3FEA"/>
    <w:rsid w:val="00ED4424"/>
    <w:rsid w:val="00ED46B6"/>
    <w:rsid w:val="00ED57D5"/>
    <w:rsid w:val="00ED66E0"/>
    <w:rsid w:val="00ED7354"/>
    <w:rsid w:val="00ED7547"/>
    <w:rsid w:val="00ED790F"/>
    <w:rsid w:val="00ED7DD2"/>
    <w:rsid w:val="00EE025D"/>
    <w:rsid w:val="00EE0429"/>
    <w:rsid w:val="00EE1658"/>
    <w:rsid w:val="00EE1FB0"/>
    <w:rsid w:val="00EE24F2"/>
    <w:rsid w:val="00EE2631"/>
    <w:rsid w:val="00EE3951"/>
    <w:rsid w:val="00EE3B65"/>
    <w:rsid w:val="00EE3FCC"/>
    <w:rsid w:val="00EE41E8"/>
    <w:rsid w:val="00EE4835"/>
    <w:rsid w:val="00EE4BF7"/>
    <w:rsid w:val="00EE5E7B"/>
    <w:rsid w:val="00EE5F90"/>
    <w:rsid w:val="00EE6E1F"/>
    <w:rsid w:val="00EE7C19"/>
    <w:rsid w:val="00EE7D00"/>
    <w:rsid w:val="00EF0150"/>
    <w:rsid w:val="00EF0AEF"/>
    <w:rsid w:val="00EF131C"/>
    <w:rsid w:val="00EF2D4C"/>
    <w:rsid w:val="00EF47AB"/>
    <w:rsid w:val="00EF47F0"/>
    <w:rsid w:val="00EF47FF"/>
    <w:rsid w:val="00EF4B50"/>
    <w:rsid w:val="00EF5712"/>
    <w:rsid w:val="00EF5D6E"/>
    <w:rsid w:val="00EF5E48"/>
    <w:rsid w:val="00EF601C"/>
    <w:rsid w:val="00EF62C1"/>
    <w:rsid w:val="00EF782C"/>
    <w:rsid w:val="00EF7A10"/>
    <w:rsid w:val="00EF7AF4"/>
    <w:rsid w:val="00F000A3"/>
    <w:rsid w:val="00F005C7"/>
    <w:rsid w:val="00F006E6"/>
    <w:rsid w:val="00F01D6C"/>
    <w:rsid w:val="00F02157"/>
    <w:rsid w:val="00F02A60"/>
    <w:rsid w:val="00F02CD1"/>
    <w:rsid w:val="00F030A9"/>
    <w:rsid w:val="00F045AB"/>
    <w:rsid w:val="00F04E02"/>
    <w:rsid w:val="00F06551"/>
    <w:rsid w:val="00F06F42"/>
    <w:rsid w:val="00F07306"/>
    <w:rsid w:val="00F076E2"/>
    <w:rsid w:val="00F104F3"/>
    <w:rsid w:val="00F1054F"/>
    <w:rsid w:val="00F105FA"/>
    <w:rsid w:val="00F1176F"/>
    <w:rsid w:val="00F1206A"/>
    <w:rsid w:val="00F12564"/>
    <w:rsid w:val="00F12A8A"/>
    <w:rsid w:val="00F132A9"/>
    <w:rsid w:val="00F13476"/>
    <w:rsid w:val="00F1425F"/>
    <w:rsid w:val="00F14286"/>
    <w:rsid w:val="00F1430E"/>
    <w:rsid w:val="00F1497B"/>
    <w:rsid w:val="00F1578C"/>
    <w:rsid w:val="00F175F8"/>
    <w:rsid w:val="00F20D55"/>
    <w:rsid w:val="00F221FB"/>
    <w:rsid w:val="00F22F52"/>
    <w:rsid w:val="00F23629"/>
    <w:rsid w:val="00F236F2"/>
    <w:rsid w:val="00F23D44"/>
    <w:rsid w:val="00F24E60"/>
    <w:rsid w:val="00F253F3"/>
    <w:rsid w:val="00F25AB0"/>
    <w:rsid w:val="00F26929"/>
    <w:rsid w:val="00F26FC0"/>
    <w:rsid w:val="00F2703F"/>
    <w:rsid w:val="00F27AE4"/>
    <w:rsid w:val="00F27D86"/>
    <w:rsid w:val="00F27F37"/>
    <w:rsid w:val="00F317E9"/>
    <w:rsid w:val="00F31E7C"/>
    <w:rsid w:val="00F3250E"/>
    <w:rsid w:val="00F32E2C"/>
    <w:rsid w:val="00F341DC"/>
    <w:rsid w:val="00F34937"/>
    <w:rsid w:val="00F34F09"/>
    <w:rsid w:val="00F34F64"/>
    <w:rsid w:val="00F3527E"/>
    <w:rsid w:val="00F35863"/>
    <w:rsid w:val="00F358F8"/>
    <w:rsid w:val="00F366AE"/>
    <w:rsid w:val="00F36D61"/>
    <w:rsid w:val="00F36DD9"/>
    <w:rsid w:val="00F36E89"/>
    <w:rsid w:val="00F37D2A"/>
    <w:rsid w:val="00F37D5E"/>
    <w:rsid w:val="00F37EB9"/>
    <w:rsid w:val="00F405DF"/>
    <w:rsid w:val="00F419B9"/>
    <w:rsid w:val="00F42171"/>
    <w:rsid w:val="00F42C1F"/>
    <w:rsid w:val="00F43550"/>
    <w:rsid w:val="00F44164"/>
    <w:rsid w:val="00F4462F"/>
    <w:rsid w:val="00F45085"/>
    <w:rsid w:val="00F45E29"/>
    <w:rsid w:val="00F45F83"/>
    <w:rsid w:val="00F4704A"/>
    <w:rsid w:val="00F47E2D"/>
    <w:rsid w:val="00F50181"/>
    <w:rsid w:val="00F503B4"/>
    <w:rsid w:val="00F50B6C"/>
    <w:rsid w:val="00F50C4A"/>
    <w:rsid w:val="00F50D1A"/>
    <w:rsid w:val="00F5121D"/>
    <w:rsid w:val="00F52746"/>
    <w:rsid w:val="00F52A75"/>
    <w:rsid w:val="00F52E65"/>
    <w:rsid w:val="00F53240"/>
    <w:rsid w:val="00F54546"/>
    <w:rsid w:val="00F547DB"/>
    <w:rsid w:val="00F55093"/>
    <w:rsid w:val="00F555CA"/>
    <w:rsid w:val="00F55752"/>
    <w:rsid w:val="00F55767"/>
    <w:rsid w:val="00F5607B"/>
    <w:rsid w:val="00F57326"/>
    <w:rsid w:val="00F5767C"/>
    <w:rsid w:val="00F62F2D"/>
    <w:rsid w:val="00F64BFA"/>
    <w:rsid w:val="00F65F87"/>
    <w:rsid w:val="00F66BE4"/>
    <w:rsid w:val="00F66F98"/>
    <w:rsid w:val="00F67543"/>
    <w:rsid w:val="00F679E1"/>
    <w:rsid w:val="00F67FF5"/>
    <w:rsid w:val="00F72221"/>
    <w:rsid w:val="00F722A2"/>
    <w:rsid w:val="00F724A9"/>
    <w:rsid w:val="00F74A14"/>
    <w:rsid w:val="00F74DC0"/>
    <w:rsid w:val="00F74E89"/>
    <w:rsid w:val="00F75155"/>
    <w:rsid w:val="00F75C45"/>
    <w:rsid w:val="00F76403"/>
    <w:rsid w:val="00F770B4"/>
    <w:rsid w:val="00F771AD"/>
    <w:rsid w:val="00F776B2"/>
    <w:rsid w:val="00F77F15"/>
    <w:rsid w:val="00F838B9"/>
    <w:rsid w:val="00F83B38"/>
    <w:rsid w:val="00F84043"/>
    <w:rsid w:val="00F8407D"/>
    <w:rsid w:val="00F84B70"/>
    <w:rsid w:val="00F868E2"/>
    <w:rsid w:val="00F86C9E"/>
    <w:rsid w:val="00F86EAC"/>
    <w:rsid w:val="00F87587"/>
    <w:rsid w:val="00F876A0"/>
    <w:rsid w:val="00F87E31"/>
    <w:rsid w:val="00F90E2B"/>
    <w:rsid w:val="00F9127B"/>
    <w:rsid w:val="00F9143C"/>
    <w:rsid w:val="00F91494"/>
    <w:rsid w:val="00F9200C"/>
    <w:rsid w:val="00F921F4"/>
    <w:rsid w:val="00F9260F"/>
    <w:rsid w:val="00F92F06"/>
    <w:rsid w:val="00F93936"/>
    <w:rsid w:val="00F955DB"/>
    <w:rsid w:val="00F95836"/>
    <w:rsid w:val="00F9621D"/>
    <w:rsid w:val="00F963D7"/>
    <w:rsid w:val="00F967A4"/>
    <w:rsid w:val="00F97906"/>
    <w:rsid w:val="00F97996"/>
    <w:rsid w:val="00FA0199"/>
    <w:rsid w:val="00FA0866"/>
    <w:rsid w:val="00FA13BC"/>
    <w:rsid w:val="00FA149A"/>
    <w:rsid w:val="00FA1628"/>
    <w:rsid w:val="00FA2020"/>
    <w:rsid w:val="00FA2029"/>
    <w:rsid w:val="00FA2064"/>
    <w:rsid w:val="00FA2DF1"/>
    <w:rsid w:val="00FA30B3"/>
    <w:rsid w:val="00FA39D7"/>
    <w:rsid w:val="00FA4207"/>
    <w:rsid w:val="00FA4C35"/>
    <w:rsid w:val="00FA5741"/>
    <w:rsid w:val="00FA5BBD"/>
    <w:rsid w:val="00FA5CAD"/>
    <w:rsid w:val="00FA6421"/>
    <w:rsid w:val="00FA6947"/>
    <w:rsid w:val="00FA6DD1"/>
    <w:rsid w:val="00FA7009"/>
    <w:rsid w:val="00FA718B"/>
    <w:rsid w:val="00FA7573"/>
    <w:rsid w:val="00FA7989"/>
    <w:rsid w:val="00FB0289"/>
    <w:rsid w:val="00FB03D6"/>
    <w:rsid w:val="00FB1ADF"/>
    <w:rsid w:val="00FB1D24"/>
    <w:rsid w:val="00FB2340"/>
    <w:rsid w:val="00FB2FDC"/>
    <w:rsid w:val="00FB3FED"/>
    <w:rsid w:val="00FB4931"/>
    <w:rsid w:val="00FB5867"/>
    <w:rsid w:val="00FB63C4"/>
    <w:rsid w:val="00FB6B9D"/>
    <w:rsid w:val="00FB6CB3"/>
    <w:rsid w:val="00FB7369"/>
    <w:rsid w:val="00FB75BC"/>
    <w:rsid w:val="00FB78DD"/>
    <w:rsid w:val="00FB7D03"/>
    <w:rsid w:val="00FC0139"/>
    <w:rsid w:val="00FC1F59"/>
    <w:rsid w:val="00FC24C6"/>
    <w:rsid w:val="00FC2BEE"/>
    <w:rsid w:val="00FC3112"/>
    <w:rsid w:val="00FC34AD"/>
    <w:rsid w:val="00FC4969"/>
    <w:rsid w:val="00FC4DA0"/>
    <w:rsid w:val="00FC53B8"/>
    <w:rsid w:val="00FC5D6E"/>
    <w:rsid w:val="00FC62D1"/>
    <w:rsid w:val="00FC6F13"/>
    <w:rsid w:val="00FC7657"/>
    <w:rsid w:val="00FC7BFA"/>
    <w:rsid w:val="00FD05BC"/>
    <w:rsid w:val="00FD0AB4"/>
    <w:rsid w:val="00FD0B24"/>
    <w:rsid w:val="00FD690F"/>
    <w:rsid w:val="00FD6BFE"/>
    <w:rsid w:val="00FD6D02"/>
    <w:rsid w:val="00FD6F3D"/>
    <w:rsid w:val="00FD757C"/>
    <w:rsid w:val="00FD788C"/>
    <w:rsid w:val="00FD78F0"/>
    <w:rsid w:val="00FE0689"/>
    <w:rsid w:val="00FE0914"/>
    <w:rsid w:val="00FE11C0"/>
    <w:rsid w:val="00FE2B85"/>
    <w:rsid w:val="00FE3E46"/>
    <w:rsid w:val="00FE4E8E"/>
    <w:rsid w:val="00FE579C"/>
    <w:rsid w:val="00FE57C6"/>
    <w:rsid w:val="00FE5B7D"/>
    <w:rsid w:val="00FE5DC0"/>
    <w:rsid w:val="00FE61DD"/>
    <w:rsid w:val="00FE695D"/>
    <w:rsid w:val="00FE6AEB"/>
    <w:rsid w:val="00FE6C35"/>
    <w:rsid w:val="00FE6CFC"/>
    <w:rsid w:val="00FE7CB0"/>
    <w:rsid w:val="00FF28BE"/>
    <w:rsid w:val="00FF2984"/>
    <w:rsid w:val="00FF30B7"/>
    <w:rsid w:val="00FF3639"/>
    <w:rsid w:val="00FF3E4E"/>
    <w:rsid w:val="00FF4531"/>
    <w:rsid w:val="00FF45EF"/>
    <w:rsid w:val="00FF4793"/>
    <w:rsid w:val="00FF57A6"/>
    <w:rsid w:val="00FF6078"/>
    <w:rsid w:val="00FF6CC5"/>
    <w:rsid w:val="00FF71CF"/>
    <w:rsid w:val="00FF7B5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2668E143"/>
  <w15:chartTrackingRefBased/>
  <w15:docId w15:val="{1C261D30-9599-40B3-A2D0-3B3C1C46D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145434"/>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14543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6C7EB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09B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B09B6"/>
    <w:rPr>
      <w:sz w:val="18"/>
      <w:szCs w:val="18"/>
    </w:rPr>
  </w:style>
  <w:style w:type="paragraph" w:styleId="Footer">
    <w:name w:val="footer"/>
    <w:basedOn w:val="Normal"/>
    <w:link w:val="FooterChar"/>
    <w:uiPriority w:val="99"/>
    <w:unhideWhenUsed/>
    <w:rsid w:val="007B09B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B09B6"/>
    <w:rPr>
      <w:sz w:val="18"/>
      <w:szCs w:val="18"/>
    </w:rPr>
  </w:style>
  <w:style w:type="character" w:customStyle="1" w:styleId="Heading1Char">
    <w:name w:val="Heading 1 Char"/>
    <w:basedOn w:val="DefaultParagraphFont"/>
    <w:link w:val="Heading1"/>
    <w:uiPriority w:val="9"/>
    <w:rsid w:val="00145434"/>
    <w:rPr>
      <w:b/>
      <w:bCs/>
      <w:kern w:val="44"/>
      <w:sz w:val="44"/>
      <w:szCs w:val="44"/>
    </w:rPr>
  </w:style>
  <w:style w:type="character" w:customStyle="1" w:styleId="Heading2Char">
    <w:name w:val="Heading 2 Char"/>
    <w:basedOn w:val="DefaultParagraphFont"/>
    <w:link w:val="Heading2"/>
    <w:uiPriority w:val="9"/>
    <w:rsid w:val="00145434"/>
    <w:rPr>
      <w:rFonts w:asciiTheme="majorHAnsi" w:eastAsiaTheme="majorEastAsia" w:hAnsiTheme="majorHAnsi" w:cstheme="majorBidi"/>
      <w:b/>
      <w:bCs/>
      <w:sz w:val="32"/>
      <w:szCs w:val="32"/>
    </w:rPr>
  </w:style>
  <w:style w:type="paragraph" w:styleId="FootnoteText">
    <w:name w:val="footnote text"/>
    <w:basedOn w:val="Normal"/>
    <w:link w:val="FootnoteTextChar"/>
    <w:uiPriority w:val="99"/>
    <w:unhideWhenUsed/>
    <w:rsid w:val="00145434"/>
    <w:pPr>
      <w:snapToGrid w:val="0"/>
      <w:jc w:val="left"/>
    </w:pPr>
    <w:rPr>
      <w:sz w:val="18"/>
      <w:szCs w:val="18"/>
    </w:rPr>
  </w:style>
  <w:style w:type="character" w:customStyle="1" w:styleId="FootnoteTextChar">
    <w:name w:val="Footnote Text Char"/>
    <w:basedOn w:val="DefaultParagraphFont"/>
    <w:link w:val="FootnoteText"/>
    <w:uiPriority w:val="99"/>
    <w:rsid w:val="00145434"/>
    <w:rPr>
      <w:sz w:val="18"/>
      <w:szCs w:val="18"/>
    </w:rPr>
  </w:style>
  <w:style w:type="character" w:styleId="FootnoteReference">
    <w:name w:val="footnote reference"/>
    <w:basedOn w:val="DefaultParagraphFont"/>
    <w:uiPriority w:val="99"/>
    <w:semiHidden/>
    <w:unhideWhenUsed/>
    <w:rsid w:val="00145434"/>
    <w:rPr>
      <w:vertAlign w:val="superscript"/>
    </w:rPr>
  </w:style>
  <w:style w:type="character" w:styleId="PlaceholderText">
    <w:name w:val="Placeholder Text"/>
    <w:basedOn w:val="DefaultParagraphFont"/>
    <w:uiPriority w:val="99"/>
    <w:semiHidden/>
    <w:rsid w:val="00D071DF"/>
    <w:rPr>
      <w:color w:val="808080"/>
    </w:rPr>
  </w:style>
  <w:style w:type="character" w:styleId="Hyperlink">
    <w:name w:val="Hyperlink"/>
    <w:basedOn w:val="DefaultParagraphFont"/>
    <w:uiPriority w:val="99"/>
    <w:unhideWhenUsed/>
    <w:rsid w:val="00D11674"/>
    <w:rPr>
      <w:color w:val="0563C1" w:themeColor="hyperlink"/>
      <w:u w:val="single"/>
    </w:rPr>
  </w:style>
  <w:style w:type="character" w:styleId="UnresolvedMention">
    <w:name w:val="Unresolved Mention"/>
    <w:basedOn w:val="DefaultParagraphFont"/>
    <w:uiPriority w:val="99"/>
    <w:semiHidden/>
    <w:unhideWhenUsed/>
    <w:rsid w:val="00D11674"/>
    <w:rPr>
      <w:color w:val="605E5C"/>
      <w:shd w:val="clear" w:color="auto" w:fill="E1DFDD"/>
    </w:rPr>
  </w:style>
  <w:style w:type="character" w:styleId="FollowedHyperlink">
    <w:name w:val="FollowedHyperlink"/>
    <w:basedOn w:val="DefaultParagraphFont"/>
    <w:uiPriority w:val="99"/>
    <w:semiHidden/>
    <w:unhideWhenUsed/>
    <w:rsid w:val="00426CA3"/>
    <w:rPr>
      <w:color w:val="954F72" w:themeColor="followedHyperlink"/>
      <w:u w:val="single"/>
    </w:rPr>
  </w:style>
  <w:style w:type="character" w:styleId="Strong">
    <w:name w:val="Strong"/>
    <w:basedOn w:val="DefaultParagraphFont"/>
    <w:uiPriority w:val="22"/>
    <w:qFormat/>
    <w:rsid w:val="00CA2634"/>
    <w:rPr>
      <w:b/>
      <w:bCs/>
    </w:rPr>
  </w:style>
  <w:style w:type="character" w:customStyle="1" w:styleId="Heading3Char">
    <w:name w:val="Heading 3 Char"/>
    <w:basedOn w:val="DefaultParagraphFont"/>
    <w:link w:val="Heading3"/>
    <w:uiPriority w:val="9"/>
    <w:rsid w:val="006C7EB2"/>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CF52A7"/>
    <w:rPr>
      <w:sz w:val="16"/>
      <w:szCs w:val="16"/>
    </w:rPr>
  </w:style>
  <w:style w:type="paragraph" w:styleId="CommentText">
    <w:name w:val="annotation text"/>
    <w:basedOn w:val="Normal"/>
    <w:link w:val="CommentTextChar"/>
    <w:uiPriority w:val="99"/>
    <w:semiHidden/>
    <w:unhideWhenUsed/>
    <w:rsid w:val="00CF52A7"/>
    <w:pPr>
      <w:widowControl/>
      <w:spacing w:after="160"/>
      <w:jc w:val="left"/>
    </w:pPr>
    <w:rPr>
      <w:rFonts w:eastAsia="SimSun"/>
      <w:kern w:val="0"/>
      <w:sz w:val="20"/>
      <w:szCs w:val="20"/>
      <w:lang w:eastAsia="en-US"/>
    </w:rPr>
  </w:style>
  <w:style w:type="character" w:customStyle="1" w:styleId="CommentTextChar">
    <w:name w:val="Comment Text Char"/>
    <w:basedOn w:val="DefaultParagraphFont"/>
    <w:link w:val="CommentText"/>
    <w:uiPriority w:val="99"/>
    <w:semiHidden/>
    <w:rsid w:val="00CF52A7"/>
    <w:rPr>
      <w:rFonts w:eastAsia="SimSun"/>
      <w:kern w:val="0"/>
      <w:sz w:val="20"/>
      <w:szCs w:val="20"/>
      <w:lang w:eastAsia="en-US"/>
    </w:rPr>
  </w:style>
  <w:style w:type="paragraph" w:styleId="BalloonText">
    <w:name w:val="Balloon Text"/>
    <w:basedOn w:val="Normal"/>
    <w:link w:val="BalloonTextChar"/>
    <w:uiPriority w:val="99"/>
    <w:semiHidden/>
    <w:unhideWhenUsed/>
    <w:rsid w:val="00CF5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2A7"/>
    <w:rPr>
      <w:rFonts w:ascii="Segoe UI" w:hAnsi="Segoe UI" w:cs="Segoe UI"/>
      <w:sz w:val="18"/>
      <w:szCs w:val="18"/>
    </w:rPr>
  </w:style>
  <w:style w:type="table" w:styleId="TableGrid">
    <w:name w:val="Table Grid"/>
    <w:basedOn w:val="TableNormal"/>
    <w:uiPriority w:val="39"/>
    <w:rsid w:val="00931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5177"/>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lang w:eastAsia="en-US" w:bidi="ar-SA"/>
    </w:rPr>
  </w:style>
  <w:style w:type="paragraph" w:styleId="TOC1">
    <w:name w:val="toc 1"/>
    <w:basedOn w:val="Normal"/>
    <w:next w:val="Normal"/>
    <w:autoRedefine/>
    <w:uiPriority w:val="39"/>
    <w:unhideWhenUsed/>
    <w:rsid w:val="00505177"/>
    <w:pPr>
      <w:spacing w:after="100"/>
    </w:pPr>
  </w:style>
  <w:style w:type="paragraph" w:styleId="TOC2">
    <w:name w:val="toc 2"/>
    <w:basedOn w:val="Normal"/>
    <w:next w:val="Normal"/>
    <w:autoRedefine/>
    <w:uiPriority w:val="39"/>
    <w:unhideWhenUsed/>
    <w:rsid w:val="00505177"/>
    <w:pPr>
      <w:spacing w:after="100"/>
      <w:ind w:left="210"/>
    </w:pPr>
  </w:style>
  <w:style w:type="paragraph" w:styleId="TOC3">
    <w:name w:val="toc 3"/>
    <w:basedOn w:val="Normal"/>
    <w:next w:val="Normal"/>
    <w:autoRedefine/>
    <w:uiPriority w:val="39"/>
    <w:unhideWhenUsed/>
    <w:rsid w:val="00505177"/>
    <w:pPr>
      <w:spacing w:after="100"/>
      <w:ind w:left="420"/>
    </w:pPr>
  </w:style>
  <w:style w:type="paragraph" w:customStyle="1" w:styleId="width60">
    <w:name w:val="width60"/>
    <w:basedOn w:val="Normal"/>
    <w:rsid w:val="00D17001"/>
    <w:pPr>
      <w:widowControl/>
      <w:spacing w:before="100" w:beforeAutospacing="1" w:after="100" w:afterAutospacing="1"/>
      <w:jc w:val="left"/>
    </w:pPr>
    <w:rPr>
      <w:rFonts w:ascii="Times New Roman" w:eastAsia="Times New Roman" w:hAnsi="Times New Roman" w:cs="Times New Roman"/>
      <w:kern w:val="0"/>
      <w:sz w:val="24"/>
      <w:szCs w:val="24"/>
    </w:rPr>
  </w:style>
  <w:style w:type="character" w:customStyle="1" w:styleId="itemaccessionnumber">
    <w:name w:val="itemaccessionnumber"/>
    <w:basedOn w:val="DefaultParagraphFont"/>
    <w:rsid w:val="00D17001"/>
  </w:style>
  <w:style w:type="character" w:customStyle="1" w:styleId="A8">
    <w:name w:val="A8"/>
    <w:uiPriority w:val="99"/>
    <w:rsid w:val="00267739"/>
    <w:rPr>
      <w:rFonts w:ascii="Minion Pro" w:hAnsi="Minion Pro" w:cs="Minion Pro"/>
      <w:color w:val="000000"/>
      <w:sz w:val="11"/>
      <w:szCs w:val="11"/>
    </w:rPr>
  </w:style>
  <w:style w:type="paragraph" w:styleId="HTMLPreformatted">
    <w:name w:val="HTML Preformatted"/>
    <w:basedOn w:val="Normal"/>
    <w:link w:val="HTMLPreformattedChar"/>
    <w:uiPriority w:val="99"/>
    <w:semiHidden/>
    <w:unhideWhenUsed/>
    <w:rsid w:val="00E633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semiHidden/>
    <w:rsid w:val="00E63365"/>
    <w:rPr>
      <w:rFonts w:ascii="Courier New" w:eastAsia="Times New Roman" w:hAnsi="Courier New" w:cs="Courier New"/>
      <w:kern w:val="0"/>
      <w:sz w:val="20"/>
      <w:szCs w:val="20"/>
    </w:rPr>
  </w:style>
  <w:style w:type="character" w:customStyle="1" w:styleId="y2iqfc">
    <w:name w:val="y2iqfc"/>
    <w:basedOn w:val="DefaultParagraphFont"/>
    <w:rsid w:val="00E63365"/>
  </w:style>
  <w:style w:type="character" w:styleId="Emphasis">
    <w:name w:val="Emphasis"/>
    <w:basedOn w:val="DefaultParagraphFont"/>
    <w:uiPriority w:val="20"/>
    <w:qFormat/>
    <w:rsid w:val="00160607"/>
    <w:rPr>
      <w:i/>
      <w:iCs/>
    </w:rPr>
  </w:style>
  <w:style w:type="paragraph" w:styleId="NormalWeb">
    <w:name w:val="Normal (Web)"/>
    <w:basedOn w:val="Normal"/>
    <w:uiPriority w:val="99"/>
    <w:semiHidden/>
    <w:unhideWhenUsed/>
    <w:rsid w:val="004B609E"/>
    <w:pPr>
      <w:widowControl/>
      <w:spacing w:before="100" w:beforeAutospacing="1" w:after="100" w:afterAutospacing="1"/>
      <w:jc w:val="left"/>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300229">
      <w:bodyDiv w:val="1"/>
      <w:marLeft w:val="0"/>
      <w:marRight w:val="0"/>
      <w:marTop w:val="0"/>
      <w:marBottom w:val="0"/>
      <w:divBdr>
        <w:top w:val="none" w:sz="0" w:space="0" w:color="auto"/>
        <w:left w:val="none" w:sz="0" w:space="0" w:color="auto"/>
        <w:bottom w:val="none" w:sz="0" w:space="0" w:color="auto"/>
        <w:right w:val="none" w:sz="0" w:space="0" w:color="auto"/>
      </w:divBdr>
    </w:div>
    <w:div w:id="182326626">
      <w:bodyDiv w:val="1"/>
      <w:marLeft w:val="0"/>
      <w:marRight w:val="0"/>
      <w:marTop w:val="0"/>
      <w:marBottom w:val="0"/>
      <w:divBdr>
        <w:top w:val="none" w:sz="0" w:space="0" w:color="auto"/>
        <w:left w:val="none" w:sz="0" w:space="0" w:color="auto"/>
        <w:bottom w:val="none" w:sz="0" w:space="0" w:color="auto"/>
        <w:right w:val="none" w:sz="0" w:space="0" w:color="auto"/>
      </w:divBdr>
    </w:div>
    <w:div w:id="207422263">
      <w:bodyDiv w:val="1"/>
      <w:marLeft w:val="0"/>
      <w:marRight w:val="0"/>
      <w:marTop w:val="0"/>
      <w:marBottom w:val="0"/>
      <w:divBdr>
        <w:top w:val="none" w:sz="0" w:space="0" w:color="auto"/>
        <w:left w:val="none" w:sz="0" w:space="0" w:color="auto"/>
        <w:bottom w:val="none" w:sz="0" w:space="0" w:color="auto"/>
        <w:right w:val="none" w:sz="0" w:space="0" w:color="auto"/>
      </w:divBdr>
    </w:div>
    <w:div w:id="214196429">
      <w:bodyDiv w:val="1"/>
      <w:marLeft w:val="0"/>
      <w:marRight w:val="0"/>
      <w:marTop w:val="0"/>
      <w:marBottom w:val="0"/>
      <w:divBdr>
        <w:top w:val="none" w:sz="0" w:space="0" w:color="auto"/>
        <w:left w:val="none" w:sz="0" w:space="0" w:color="auto"/>
        <w:bottom w:val="none" w:sz="0" w:space="0" w:color="auto"/>
        <w:right w:val="none" w:sz="0" w:space="0" w:color="auto"/>
      </w:divBdr>
    </w:div>
    <w:div w:id="321785487">
      <w:bodyDiv w:val="1"/>
      <w:marLeft w:val="0"/>
      <w:marRight w:val="0"/>
      <w:marTop w:val="0"/>
      <w:marBottom w:val="0"/>
      <w:divBdr>
        <w:top w:val="none" w:sz="0" w:space="0" w:color="auto"/>
        <w:left w:val="none" w:sz="0" w:space="0" w:color="auto"/>
        <w:bottom w:val="none" w:sz="0" w:space="0" w:color="auto"/>
        <w:right w:val="none" w:sz="0" w:space="0" w:color="auto"/>
      </w:divBdr>
    </w:div>
    <w:div w:id="505020998">
      <w:bodyDiv w:val="1"/>
      <w:marLeft w:val="0"/>
      <w:marRight w:val="0"/>
      <w:marTop w:val="0"/>
      <w:marBottom w:val="0"/>
      <w:divBdr>
        <w:top w:val="none" w:sz="0" w:space="0" w:color="auto"/>
        <w:left w:val="none" w:sz="0" w:space="0" w:color="auto"/>
        <w:bottom w:val="none" w:sz="0" w:space="0" w:color="auto"/>
        <w:right w:val="none" w:sz="0" w:space="0" w:color="auto"/>
      </w:divBdr>
    </w:div>
    <w:div w:id="570970068">
      <w:bodyDiv w:val="1"/>
      <w:marLeft w:val="0"/>
      <w:marRight w:val="0"/>
      <w:marTop w:val="0"/>
      <w:marBottom w:val="0"/>
      <w:divBdr>
        <w:top w:val="none" w:sz="0" w:space="0" w:color="auto"/>
        <w:left w:val="none" w:sz="0" w:space="0" w:color="auto"/>
        <w:bottom w:val="none" w:sz="0" w:space="0" w:color="auto"/>
        <w:right w:val="none" w:sz="0" w:space="0" w:color="auto"/>
      </w:divBdr>
    </w:div>
    <w:div w:id="670185085">
      <w:bodyDiv w:val="1"/>
      <w:marLeft w:val="0"/>
      <w:marRight w:val="0"/>
      <w:marTop w:val="0"/>
      <w:marBottom w:val="0"/>
      <w:divBdr>
        <w:top w:val="none" w:sz="0" w:space="0" w:color="auto"/>
        <w:left w:val="none" w:sz="0" w:space="0" w:color="auto"/>
        <w:bottom w:val="none" w:sz="0" w:space="0" w:color="auto"/>
        <w:right w:val="none" w:sz="0" w:space="0" w:color="auto"/>
      </w:divBdr>
    </w:div>
    <w:div w:id="740562959">
      <w:bodyDiv w:val="1"/>
      <w:marLeft w:val="0"/>
      <w:marRight w:val="0"/>
      <w:marTop w:val="0"/>
      <w:marBottom w:val="0"/>
      <w:divBdr>
        <w:top w:val="none" w:sz="0" w:space="0" w:color="auto"/>
        <w:left w:val="none" w:sz="0" w:space="0" w:color="auto"/>
        <w:bottom w:val="none" w:sz="0" w:space="0" w:color="auto"/>
        <w:right w:val="none" w:sz="0" w:space="0" w:color="auto"/>
      </w:divBdr>
    </w:div>
    <w:div w:id="813525524">
      <w:bodyDiv w:val="1"/>
      <w:marLeft w:val="0"/>
      <w:marRight w:val="0"/>
      <w:marTop w:val="0"/>
      <w:marBottom w:val="0"/>
      <w:divBdr>
        <w:top w:val="none" w:sz="0" w:space="0" w:color="auto"/>
        <w:left w:val="none" w:sz="0" w:space="0" w:color="auto"/>
        <w:bottom w:val="none" w:sz="0" w:space="0" w:color="auto"/>
        <w:right w:val="none" w:sz="0" w:space="0" w:color="auto"/>
      </w:divBdr>
    </w:div>
    <w:div w:id="941372981">
      <w:bodyDiv w:val="1"/>
      <w:marLeft w:val="0"/>
      <w:marRight w:val="0"/>
      <w:marTop w:val="0"/>
      <w:marBottom w:val="0"/>
      <w:divBdr>
        <w:top w:val="none" w:sz="0" w:space="0" w:color="auto"/>
        <w:left w:val="none" w:sz="0" w:space="0" w:color="auto"/>
        <w:bottom w:val="none" w:sz="0" w:space="0" w:color="auto"/>
        <w:right w:val="none" w:sz="0" w:space="0" w:color="auto"/>
      </w:divBdr>
    </w:div>
    <w:div w:id="979309750">
      <w:bodyDiv w:val="1"/>
      <w:marLeft w:val="0"/>
      <w:marRight w:val="0"/>
      <w:marTop w:val="0"/>
      <w:marBottom w:val="0"/>
      <w:divBdr>
        <w:top w:val="none" w:sz="0" w:space="0" w:color="auto"/>
        <w:left w:val="none" w:sz="0" w:space="0" w:color="auto"/>
        <w:bottom w:val="none" w:sz="0" w:space="0" w:color="auto"/>
        <w:right w:val="none" w:sz="0" w:space="0" w:color="auto"/>
      </w:divBdr>
    </w:div>
    <w:div w:id="983508602">
      <w:bodyDiv w:val="1"/>
      <w:marLeft w:val="0"/>
      <w:marRight w:val="0"/>
      <w:marTop w:val="0"/>
      <w:marBottom w:val="0"/>
      <w:divBdr>
        <w:top w:val="none" w:sz="0" w:space="0" w:color="auto"/>
        <w:left w:val="none" w:sz="0" w:space="0" w:color="auto"/>
        <w:bottom w:val="none" w:sz="0" w:space="0" w:color="auto"/>
        <w:right w:val="none" w:sz="0" w:space="0" w:color="auto"/>
      </w:divBdr>
    </w:div>
    <w:div w:id="1014306454">
      <w:bodyDiv w:val="1"/>
      <w:marLeft w:val="0"/>
      <w:marRight w:val="0"/>
      <w:marTop w:val="0"/>
      <w:marBottom w:val="0"/>
      <w:divBdr>
        <w:top w:val="none" w:sz="0" w:space="0" w:color="auto"/>
        <w:left w:val="none" w:sz="0" w:space="0" w:color="auto"/>
        <w:bottom w:val="none" w:sz="0" w:space="0" w:color="auto"/>
        <w:right w:val="none" w:sz="0" w:space="0" w:color="auto"/>
      </w:divBdr>
    </w:div>
    <w:div w:id="1023241398">
      <w:bodyDiv w:val="1"/>
      <w:marLeft w:val="0"/>
      <w:marRight w:val="0"/>
      <w:marTop w:val="0"/>
      <w:marBottom w:val="0"/>
      <w:divBdr>
        <w:top w:val="none" w:sz="0" w:space="0" w:color="auto"/>
        <w:left w:val="none" w:sz="0" w:space="0" w:color="auto"/>
        <w:bottom w:val="none" w:sz="0" w:space="0" w:color="auto"/>
        <w:right w:val="none" w:sz="0" w:space="0" w:color="auto"/>
      </w:divBdr>
    </w:div>
    <w:div w:id="1098016025">
      <w:bodyDiv w:val="1"/>
      <w:marLeft w:val="0"/>
      <w:marRight w:val="0"/>
      <w:marTop w:val="0"/>
      <w:marBottom w:val="0"/>
      <w:divBdr>
        <w:top w:val="none" w:sz="0" w:space="0" w:color="auto"/>
        <w:left w:val="none" w:sz="0" w:space="0" w:color="auto"/>
        <w:bottom w:val="none" w:sz="0" w:space="0" w:color="auto"/>
        <w:right w:val="none" w:sz="0" w:space="0" w:color="auto"/>
      </w:divBdr>
    </w:div>
    <w:div w:id="1107234148">
      <w:bodyDiv w:val="1"/>
      <w:marLeft w:val="0"/>
      <w:marRight w:val="0"/>
      <w:marTop w:val="0"/>
      <w:marBottom w:val="0"/>
      <w:divBdr>
        <w:top w:val="none" w:sz="0" w:space="0" w:color="auto"/>
        <w:left w:val="none" w:sz="0" w:space="0" w:color="auto"/>
        <w:bottom w:val="none" w:sz="0" w:space="0" w:color="auto"/>
        <w:right w:val="none" w:sz="0" w:space="0" w:color="auto"/>
      </w:divBdr>
    </w:div>
    <w:div w:id="1258058106">
      <w:bodyDiv w:val="1"/>
      <w:marLeft w:val="0"/>
      <w:marRight w:val="0"/>
      <w:marTop w:val="0"/>
      <w:marBottom w:val="0"/>
      <w:divBdr>
        <w:top w:val="none" w:sz="0" w:space="0" w:color="auto"/>
        <w:left w:val="none" w:sz="0" w:space="0" w:color="auto"/>
        <w:bottom w:val="none" w:sz="0" w:space="0" w:color="auto"/>
        <w:right w:val="none" w:sz="0" w:space="0" w:color="auto"/>
      </w:divBdr>
    </w:div>
    <w:div w:id="1296568085">
      <w:bodyDiv w:val="1"/>
      <w:marLeft w:val="0"/>
      <w:marRight w:val="0"/>
      <w:marTop w:val="0"/>
      <w:marBottom w:val="0"/>
      <w:divBdr>
        <w:top w:val="none" w:sz="0" w:space="0" w:color="auto"/>
        <w:left w:val="none" w:sz="0" w:space="0" w:color="auto"/>
        <w:bottom w:val="none" w:sz="0" w:space="0" w:color="auto"/>
        <w:right w:val="none" w:sz="0" w:space="0" w:color="auto"/>
      </w:divBdr>
    </w:div>
    <w:div w:id="1350378392">
      <w:bodyDiv w:val="1"/>
      <w:marLeft w:val="0"/>
      <w:marRight w:val="0"/>
      <w:marTop w:val="0"/>
      <w:marBottom w:val="0"/>
      <w:divBdr>
        <w:top w:val="none" w:sz="0" w:space="0" w:color="auto"/>
        <w:left w:val="none" w:sz="0" w:space="0" w:color="auto"/>
        <w:bottom w:val="none" w:sz="0" w:space="0" w:color="auto"/>
        <w:right w:val="none" w:sz="0" w:space="0" w:color="auto"/>
      </w:divBdr>
    </w:div>
    <w:div w:id="1415663317">
      <w:bodyDiv w:val="1"/>
      <w:marLeft w:val="0"/>
      <w:marRight w:val="0"/>
      <w:marTop w:val="0"/>
      <w:marBottom w:val="0"/>
      <w:divBdr>
        <w:top w:val="none" w:sz="0" w:space="0" w:color="auto"/>
        <w:left w:val="none" w:sz="0" w:space="0" w:color="auto"/>
        <w:bottom w:val="none" w:sz="0" w:space="0" w:color="auto"/>
        <w:right w:val="none" w:sz="0" w:space="0" w:color="auto"/>
      </w:divBdr>
    </w:div>
    <w:div w:id="1598556451">
      <w:bodyDiv w:val="1"/>
      <w:marLeft w:val="0"/>
      <w:marRight w:val="0"/>
      <w:marTop w:val="0"/>
      <w:marBottom w:val="0"/>
      <w:divBdr>
        <w:top w:val="none" w:sz="0" w:space="0" w:color="auto"/>
        <w:left w:val="none" w:sz="0" w:space="0" w:color="auto"/>
        <w:bottom w:val="none" w:sz="0" w:space="0" w:color="auto"/>
        <w:right w:val="none" w:sz="0" w:space="0" w:color="auto"/>
      </w:divBdr>
    </w:div>
    <w:div w:id="1601067756">
      <w:bodyDiv w:val="1"/>
      <w:marLeft w:val="0"/>
      <w:marRight w:val="0"/>
      <w:marTop w:val="0"/>
      <w:marBottom w:val="0"/>
      <w:divBdr>
        <w:top w:val="none" w:sz="0" w:space="0" w:color="auto"/>
        <w:left w:val="none" w:sz="0" w:space="0" w:color="auto"/>
        <w:bottom w:val="none" w:sz="0" w:space="0" w:color="auto"/>
        <w:right w:val="none" w:sz="0" w:space="0" w:color="auto"/>
      </w:divBdr>
    </w:div>
    <w:div w:id="1629973102">
      <w:bodyDiv w:val="1"/>
      <w:marLeft w:val="0"/>
      <w:marRight w:val="0"/>
      <w:marTop w:val="0"/>
      <w:marBottom w:val="0"/>
      <w:divBdr>
        <w:top w:val="none" w:sz="0" w:space="0" w:color="auto"/>
        <w:left w:val="none" w:sz="0" w:space="0" w:color="auto"/>
        <w:bottom w:val="none" w:sz="0" w:space="0" w:color="auto"/>
        <w:right w:val="none" w:sz="0" w:space="0" w:color="auto"/>
      </w:divBdr>
    </w:div>
    <w:div w:id="1808932279">
      <w:bodyDiv w:val="1"/>
      <w:marLeft w:val="0"/>
      <w:marRight w:val="0"/>
      <w:marTop w:val="0"/>
      <w:marBottom w:val="0"/>
      <w:divBdr>
        <w:top w:val="none" w:sz="0" w:space="0" w:color="auto"/>
        <w:left w:val="none" w:sz="0" w:space="0" w:color="auto"/>
        <w:bottom w:val="none" w:sz="0" w:space="0" w:color="auto"/>
        <w:right w:val="none" w:sz="0" w:space="0" w:color="auto"/>
      </w:divBdr>
    </w:div>
    <w:div w:id="1812555404">
      <w:bodyDiv w:val="1"/>
      <w:marLeft w:val="0"/>
      <w:marRight w:val="0"/>
      <w:marTop w:val="0"/>
      <w:marBottom w:val="0"/>
      <w:divBdr>
        <w:top w:val="none" w:sz="0" w:space="0" w:color="auto"/>
        <w:left w:val="none" w:sz="0" w:space="0" w:color="auto"/>
        <w:bottom w:val="none" w:sz="0" w:space="0" w:color="auto"/>
        <w:right w:val="none" w:sz="0" w:space="0" w:color="auto"/>
      </w:divBdr>
    </w:div>
    <w:div w:id="1864859135">
      <w:bodyDiv w:val="1"/>
      <w:marLeft w:val="0"/>
      <w:marRight w:val="0"/>
      <w:marTop w:val="0"/>
      <w:marBottom w:val="0"/>
      <w:divBdr>
        <w:top w:val="none" w:sz="0" w:space="0" w:color="auto"/>
        <w:left w:val="none" w:sz="0" w:space="0" w:color="auto"/>
        <w:bottom w:val="none" w:sz="0" w:space="0" w:color="auto"/>
        <w:right w:val="none" w:sz="0" w:space="0" w:color="auto"/>
      </w:divBdr>
    </w:div>
    <w:div w:id="1956666870">
      <w:bodyDiv w:val="1"/>
      <w:marLeft w:val="0"/>
      <w:marRight w:val="0"/>
      <w:marTop w:val="0"/>
      <w:marBottom w:val="0"/>
      <w:divBdr>
        <w:top w:val="none" w:sz="0" w:space="0" w:color="auto"/>
        <w:left w:val="none" w:sz="0" w:space="0" w:color="auto"/>
        <w:bottom w:val="none" w:sz="0" w:space="0" w:color="auto"/>
        <w:right w:val="none" w:sz="0" w:space="0" w:color="auto"/>
      </w:divBdr>
    </w:div>
    <w:div w:id="1970745225">
      <w:bodyDiv w:val="1"/>
      <w:marLeft w:val="0"/>
      <w:marRight w:val="0"/>
      <w:marTop w:val="0"/>
      <w:marBottom w:val="0"/>
      <w:divBdr>
        <w:top w:val="none" w:sz="0" w:space="0" w:color="auto"/>
        <w:left w:val="none" w:sz="0" w:space="0" w:color="auto"/>
        <w:bottom w:val="none" w:sz="0" w:space="0" w:color="auto"/>
        <w:right w:val="none" w:sz="0" w:space="0" w:color="auto"/>
      </w:divBdr>
    </w:div>
    <w:div w:id="200372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zh.m.wikisource.org/wiki/%E5%85%A8%E5%94%90%E6%96%87/%E5%8D%B7022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ook.douban.com/search/%E5%AD%99%E6%AF%93%E6%A3%A0%E3%80%81%E8%B0%A2%E6%96%B9%20%E7%82%B9%E6%A0%A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cademia.edu/757717/The_Akhb%C4%81r_al_%E1%B9%ACiw%C4%81l_of_Ab%C5%AB_%E1%B8%A4an%C4%ABfa_D%C4%ABnawar%C4%AB_A_Shu%CA%BB%C5%ABb%C4%AB_Treatise_on_Late_Antique_Ir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h.wikipedia.org/wiki/%E7%BD%BD%E8%B3%93" TargetMode="External"/><Relationship Id="rId5" Type="http://schemas.openxmlformats.org/officeDocument/2006/relationships/webSettings" Target="webSettings.xml"/><Relationship Id="rId15" Type="http://schemas.openxmlformats.org/officeDocument/2006/relationships/hyperlink" Target="https://books.google.com/books?id=883OZBe2sMYC&amp;pg=PA449" TargetMode="External"/><Relationship Id="rId10" Type="http://schemas.openxmlformats.org/officeDocument/2006/relationships/hyperlink" Target="https://zh.wikipedia.org/wiki/%E8%A8%B6%E9%81%94%E7%BE%85%E6%94%A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ranicaonline.org/articles/bactria"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540D7-53B2-4FBA-9C92-C2E0B47C8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21976</TotalTime>
  <Pages>106</Pages>
  <Words>23093</Words>
  <Characters>115465</Characters>
  <Application>Microsoft Office Word</Application>
  <DocSecurity>0</DocSecurity>
  <Lines>962</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HUJI</dc:creator>
  <cp:keywords/>
  <dc:description/>
  <cp:lastModifiedBy>Zhidong Zhang</cp:lastModifiedBy>
  <cp:revision>2477</cp:revision>
  <cp:lastPrinted>2021-12-18T07:03:00Z</cp:lastPrinted>
  <dcterms:created xsi:type="dcterms:W3CDTF">2021-08-09T10:33:00Z</dcterms:created>
  <dcterms:modified xsi:type="dcterms:W3CDTF">2021-12-28T20:44:00Z</dcterms:modified>
</cp:coreProperties>
</file>