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34C0" w14:textId="77777777" w:rsidR="00CB408D" w:rsidRDefault="00CB408D" w:rsidP="00CB408D">
      <w:pPr>
        <w:pStyle w:val="a5"/>
        <w:rPr>
          <w:noProof w:val="0"/>
        </w:rPr>
      </w:pPr>
      <w:bookmarkStart w:id="0" w:name="LastPosition"/>
      <w:bookmarkEnd w:id="0"/>
      <w:r>
        <w:rPr>
          <w:noProof w:val="0"/>
          <w:rtl/>
        </w:rPr>
        <w:t>הסדרי הלכה כשומרי סף לאומיים בתורת אחד העם –</w:t>
      </w:r>
    </w:p>
    <w:p w14:paraId="3B2B7667" w14:textId="77777777" w:rsidR="00CB408D" w:rsidRDefault="00CB408D" w:rsidP="00CB408D">
      <w:pPr>
        <w:pStyle w:val="a5"/>
        <w:rPr>
          <w:noProof w:val="0"/>
          <w:rtl/>
        </w:rPr>
      </w:pPr>
      <w:r>
        <w:rPr>
          <w:noProof w:val="0"/>
          <w:sz w:val="26"/>
          <w:szCs w:val="28"/>
          <w:rtl/>
        </w:rPr>
        <w:t xml:space="preserve">הערה למאמרה של גילה </w:t>
      </w:r>
      <w:proofErr w:type="spellStart"/>
      <w:r>
        <w:rPr>
          <w:noProof w:val="0"/>
          <w:sz w:val="26"/>
          <w:szCs w:val="28"/>
          <w:rtl/>
        </w:rPr>
        <w:t>שטופלר</w:t>
      </w:r>
      <w:proofErr w:type="spellEnd"/>
      <w:r>
        <w:rPr>
          <w:noProof w:val="0"/>
          <w:sz w:val="26"/>
          <w:szCs w:val="28"/>
          <w:rtl/>
        </w:rPr>
        <w:t xml:space="preserve"> על "יחסי דת ומדינה והשפעתם על הזהות הלאומית בישראל</w:t>
      </w:r>
      <w:bookmarkStart w:id="1" w:name="_Ref69235065"/>
      <w:r>
        <w:rPr>
          <w:noProof w:val="0"/>
          <w:sz w:val="26"/>
          <w:szCs w:val="28"/>
          <w:rtl/>
        </w:rPr>
        <w:t>"</w:t>
      </w:r>
      <w:bookmarkEnd w:id="1"/>
    </w:p>
    <w:p w14:paraId="0D6A204B" w14:textId="77777777" w:rsidR="00CB408D" w:rsidRDefault="00CB408D" w:rsidP="00CB408D">
      <w:pPr>
        <w:pStyle w:val="a6"/>
        <w:rPr>
          <w:noProof w:val="0"/>
          <w:rtl/>
        </w:rPr>
      </w:pPr>
      <w:r>
        <w:rPr>
          <w:noProof w:val="0"/>
          <w:rtl/>
        </w:rPr>
        <w:t>רונן קריטנשטיין</w:t>
      </w:r>
      <w:r>
        <w:rPr>
          <w:rStyle w:val="a7"/>
          <w:rFonts w:ascii="Times New Roman Bold" w:hAnsi="Times New Roman Bold"/>
          <w:noProof w:val="0"/>
          <w:rtl/>
        </w:rPr>
        <w:footnoteReference w:customMarkFollows="1" w:id="1"/>
        <w:t>*</w:t>
      </w:r>
    </w:p>
    <w:p w14:paraId="511A989E" w14:textId="41258198" w:rsidR="00CB408D" w:rsidRPr="00CB408D" w:rsidRDefault="00CB408D" w:rsidP="00CB408D">
      <w:pPr>
        <w:pStyle w:val="-0"/>
        <w:rPr>
          <w:b/>
          <w:bCs/>
          <w:u w:val="single"/>
          <w:rtl/>
        </w:rPr>
      </w:pPr>
      <w:r w:rsidRPr="00CB408D">
        <w:rPr>
          <w:rFonts w:hint="cs"/>
          <w:b/>
          <w:bCs/>
          <w:u w:val="single"/>
          <w:rtl/>
        </w:rPr>
        <w:t>תקציר</w:t>
      </w:r>
    </w:p>
    <w:p w14:paraId="3B658CAD" w14:textId="4A62F33F" w:rsidR="00CB408D" w:rsidRDefault="00CB408D" w:rsidP="00CB408D">
      <w:pPr>
        <w:pStyle w:val="-0"/>
        <w:rPr>
          <w:rtl/>
        </w:rPr>
      </w:pPr>
      <w:r>
        <w:rPr>
          <w:rtl/>
        </w:rPr>
        <w:t xml:space="preserve">גילה </w:t>
      </w:r>
      <w:proofErr w:type="spellStart"/>
      <w:r>
        <w:rPr>
          <w:rtl/>
        </w:rPr>
        <w:t>שטופלר</w:t>
      </w:r>
      <w:proofErr w:type="spellEnd"/>
      <w:r>
        <w:rPr>
          <w:rtl/>
        </w:rPr>
        <w:t xml:space="preserve"> טוענת במאמרה כי המודל שנבחר במדינת ישראל ליחסי דת ומדינה לשם חיזוק הזהות הלאומית היהודית אינו מקיים את תכליתו, ולעיתים אף חותר תחת ייעודו. עוד טוענת </w:t>
      </w:r>
      <w:proofErr w:type="spellStart"/>
      <w:r>
        <w:rPr>
          <w:rtl/>
        </w:rPr>
        <w:t>שטופלר</w:t>
      </w:r>
      <w:proofErr w:type="spellEnd"/>
      <w:r>
        <w:rPr>
          <w:rtl/>
        </w:rPr>
        <w:t xml:space="preserve"> כי מנהיגים לאומיים חילונים שונים, ובמיוחד בן</w:t>
      </w:r>
      <w:r>
        <w:rPr>
          <w:position w:val="4"/>
          <w:rtl/>
        </w:rPr>
        <w:t>-</w:t>
      </w:r>
      <w:r>
        <w:rPr>
          <w:rtl/>
        </w:rPr>
        <w:t xml:space="preserve">גוריון, "האמינו כי בבוא העת, לאחר קום המדינה, ייעלם בהדרגה היסוד הדתי של היהדות, ששימש בתחילה בסיס ליצירתו של היסוד הלאומי של היהדות, ולאומיות יהודית מובהקת תתפוס את מקומו". </w:t>
      </w:r>
      <w:proofErr w:type="spellStart"/>
      <w:r>
        <w:rPr>
          <w:rtl/>
        </w:rPr>
        <w:t>שטופלר</w:t>
      </w:r>
      <w:proofErr w:type="spellEnd"/>
      <w:r>
        <w:rPr>
          <w:rtl/>
        </w:rPr>
        <w:t xml:space="preserve"> גורסת, ובצדק לטעמי, כי בן</w:t>
      </w:r>
      <w:r>
        <w:rPr>
          <w:position w:val="4"/>
          <w:rtl/>
        </w:rPr>
        <w:t>-</w:t>
      </w:r>
      <w:r>
        <w:rPr>
          <w:rtl/>
        </w:rPr>
        <w:t xml:space="preserve">גוריון ומנהיגים לאומיים חילונים אחרים הניחו כי </w:t>
      </w:r>
      <w:r>
        <w:rPr>
          <w:b/>
          <w:bCs/>
          <w:rtl/>
        </w:rPr>
        <w:t>יש צורך בדת רק עד אשר תעלה תורה חדשה שתהיה היא הלאומיות</w:t>
      </w:r>
      <w:r>
        <w:rPr>
          <w:rtl/>
        </w:rPr>
        <w:t>.</w:t>
      </w:r>
    </w:p>
    <w:p w14:paraId="41D2A1DD" w14:textId="77777777" w:rsidR="00CB408D" w:rsidRDefault="00CB408D" w:rsidP="00CB408D">
      <w:pPr>
        <w:pStyle w:val="-"/>
        <w:rPr>
          <w:rtl/>
        </w:rPr>
      </w:pPr>
      <w:r>
        <w:rPr>
          <w:rtl/>
        </w:rPr>
        <w:t xml:space="preserve">אחד העם מחזיק בתפיסה לאומית המכילה את הדת בתוכה בכל מקרה, ולאו דווקא בימים ראשונים של מעבר או בתקופה כזו או אחרת או באופן שתלוי במיקום ובתפוצה. אומנם הדת – ההלכה </w:t>
      </w:r>
      <w:proofErr w:type="spellStart"/>
      <w:r>
        <w:rPr>
          <w:rtl/>
        </w:rPr>
        <w:t>ונגזרותיה</w:t>
      </w:r>
      <w:proofErr w:type="spellEnd"/>
      <w:r>
        <w:rPr>
          <w:rtl/>
        </w:rPr>
        <w:t xml:space="preserve"> – אינה המשתנה המסביר היחיד של העם היהודי אליבא </w:t>
      </w:r>
      <w:proofErr w:type="spellStart"/>
      <w:r>
        <w:rPr>
          <w:rtl/>
        </w:rPr>
        <w:t>דאחד</w:t>
      </w:r>
      <w:proofErr w:type="spellEnd"/>
      <w:r>
        <w:rPr>
          <w:rtl/>
        </w:rPr>
        <w:t xml:space="preserve"> העם, אלא משתנה מסביר לצד משתנים מסבירים אחרים, אולם היא בלי ספק משתנה מסביר עם מקדם משמעותי. גישתו של אחד העם היא שהדת הייתה מתחילת הדרך </w:t>
      </w:r>
      <w:r>
        <w:rPr>
          <w:b/>
          <w:bCs/>
          <w:rtl/>
        </w:rPr>
        <w:t>ותהיה לתמיד</w:t>
      </w:r>
      <w:r>
        <w:rPr>
          <w:rtl/>
        </w:rPr>
        <w:t xml:space="preserve"> רכיב בלאומיות היהודית. גישתו של אחד העם הינה גישה לאומית חילונית המייחסת משקל נכבד לדת ולביטוייה הנורמטיביים, אשר אמורים לפעול כשומרי סף במסגרת הבניית הזהות הלאומית. ייתכן שיהיו לכך תוצאות שייתפסו כ"דתיות", אולם בעיני אחד העם הן "לאומיות". אין זו גישה צרה המייחסת משקל נמוך לדת בפונקציית הלאומיות או גישה צרה המבקשת להשתמש בדת כפרמטר בלאומיות היהודית עד צמיחתה של לאומיות יהודית חדשה. </w:t>
      </w:r>
      <w:r>
        <w:rPr>
          <w:b/>
          <w:bCs/>
          <w:rtl/>
        </w:rPr>
        <w:t>אחד העם האמין כי שומרי הסף הלאומיים, בחלקם לפחות, יסודם בהלכה</w:t>
      </w:r>
      <w:r>
        <w:rPr>
          <w:rtl/>
        </w:rPr>
        <w:t>.</w:t>
      </w:r>
    </w:p>
    <w:p w14:paraId="48986D08" w14:textId="77777777" w:rsidR="00CB408D" w:rsidRDefault="00CB408D" w:rsidP="00CB408D">
      <w:pPr>
        <w:pStyle w:val="-"/>
        <w:rPr>
          <w:rtl/>
        </w:rPr>
      </w:pPr>
      <w:r>
        <w:rPr>
          <w:rtl/>
        </w:rPr>
        <w:t xml:space="preserve">ייתכן בהחלט שגישת אחד העם תצטרף לביקורתה של </w:t>
      </w:r>
      <w:proofErr w:type="spellStart"/>
      <w:r>
        <w:rPr>
          <w:rtl/>
        </w:rPr>
        <w:t>שטופלר</w:t>
      </w:r>
      <w:proofErr w:type="spellEnd"/>
      <w:r>
        <w:rPr>
          <w:rtl/>
        </w:rPr>
        <w:t xml:space="preserve"> על תוצאות המיסוד הדתי, אשר אינן מביאות לידי חיזוק הלאומיות. יתר על כן, ניתן להניח כי הסדר הלכתי אשר פועל מכוח המיסוד הדתי באופן הופכי לשמירת הסף או אפילו רק אינו תורם לשמירת הסף אינו הסדר ראוי לטעמו של אחד העם. </w:t>
      </w:r>
      <w:r>
        <w:rPr>
          <w:b/>
          <w:bCs/>
          <w:rtl/>
        </w:rPr>
        <w:t>אולם ייתכן שחלק מהתוצאה הלא</w:t>
      </w:r>
      <w:r>
        <w:rPr>
          <w:b/>
          <w:bCs/>
          <w:position w:val="4"/>
          <w:rtl/>
        </w:rPr>
        <w:t>-</w:t>
      </w:r>
      <w:r>
        <w:rPr>
          <w:b/>
          <w:bCs/>
          <w:rtl/>
        </w:rPr>
        <w:t xml:space="preserve">רצויה </w:t>
      </w:r>
      <w:proofErr w:type="spellStart"/>
      <w:r>
        <w:rPr>
          <w:b/>
          <w:bCs/>
          <w:rtl/>
        </w:rPr>
        <w:t>ששטופלר</w:t>
      </w:r>
      <w:proofErr w:type="spellEnd"/>
      <w:r>
        <w:rPr>
          <w:b/>
          <w:bCs/>
          <w:rtl/>
        </w:rPr>
        <w:t xml:space="preserve"> מצביעה עליה נובעת ממחלוקת נורמטיבית ביחס למקומה של הדת (הסדרי ההלכה ומחשבתם) בלאומיות (החילונית) של העם היהודי</w:t>
      </w:r>
      <w:r>
        <w:rPr>
          <w:rtl/>
        </w:rPr>
        <w:t xml:space="preserve">, ואז ייתכן שגישת אחד העם לא תצטרף לביקורתה של </w:t>
      </w:r>
      <w:proofErr w:type="spellStart"/>
      <w:r>
        <w:rPr>
          <w:rtl/>
        </w:rPr>
        <w:t>שטופלר</w:t>
      </w:r>
      <w:proofErr w:type="spellEnd"/>
      <w:r>
        <w:rPr>
          <w:rtl/>
        </w:rPr>
        <w:t>.</w:t>
      </w:r>
    </w:p>
    <w:p w14:paraId="1A9BAC44" w14:textId="77777777" w:rsidR="00CB408D" w:rsidRDefault="00CB408D" w:rsidP="00CB408D">
      <w:pPr>
        <w:pStyle w:val="-"/>
        <w:rPr>
          <w:rtl/>
        </w:rPr>
      </w:pPr>
      <w:r>
        <w:rPr>
          <w:rtl/>
        </w:rPr>
        <w:t>אני סבור כי הגישה האחד</w:t>
      </w:r>
      <w:r>
        <w:rPr>
          <w:position w:val="4"/>
          <w:rtl/>
        </w:rPr>
        <w:t>-</w:t>
      </w:r>
      <w:r>
        <w:rPr>
          <w:rtl/>
        </w:rPr>
        <w:t>עמית, אף שהיא כופרת מבחינת שומרי המצוות, ואולי דווקא משום שהיא כופרת ומייצגת פן שאינו הלכתי, הינה גישה מעשית יותר לפשרה במסגרת הפוליטית בישראל, ויכולה לסייע בגיבוש פתרון מעשי. תפיסת הדת של אחד העם – כהוגה חילוני, כהוגה ציוני לאומי, כמי ששמירת המצוות אינה נר לרגליו – שונה מהתפיסה הגורסת כי הדת היא הכרח התחלתי וכי סופה להיעלם, או אף מתפיסה המייחסת לדת משקל נמוך ונעדר ביטויים נורמטיביים, וגם בשל כך היא גישה מעשית יותר לפשרה במסגרת הפוליטית בישראל.</w:t>
      </w:r>
    </w:p>
    <w:p w14:paraId="23D50CDF" w14:textId="77777777" w:rsidR="008E5A6A" w:rsidRPr="00CB408D" w:rsidRDefault="008E5A6A" w:rsidP="00CB408D"/>
    <w:sectPr w:rsidR="008E5A6A" w:rsidRPr="00CB408D" w:rsidSect="008C265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4591F" w14:textId="77777777" w:rsidR="00AF4A24" w:rsidRDefault="00AF4A24" w:rsidP="00CB408D">
      <w:pPr>
        <w:spacing w:after="0" w:line="240" w:lineRule="auto"/>
      </w:pPr>
      <w:r>
        <w:separator/>
      </w:r>
    </w:p>
  </w:endnote>
  <w:endnote w:type="continuationSeparator" w:id="0">
    <w:p w14:paraId="35A48F9C" w14:textId="77777777" w:rsidR="00AF4A24" w:rsidRDefault="00AF4A24" w:rsidP="00CB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F11E" w14:textId="77777777" w:rsidR="00AF4A24" w:rsidRDefault="00AF4A24" w:rsidP="00CB408D">
      <w:pPr>
        <w:spacing w:after="0" w:line="240" w:lineRule="auto"/>
      </w:pPr>
      <w:r>
        <w:separator/>
      </w:r>
    </w:p>
  </w:footnote>
  <w:footnote w:type="continuationSeparator" w:id="0">
    <w:p w14:paraId="5E6A7278" w14:textId="77777777" w:rsidR="00AF4A24" w:rsidRDefault="00AF4A24" w:rsidP="00CB408D">
      <w:pPr>
        <w:spacing w:after="0" w:line="240" w:lineRule="auto"/>
      </w:pPr>
      <w:r>
        <w:continuationSeparator/>
      </w:r>
    </w:p>
  </w:footnote>
  <w:footnote w:id="1">
    <w:p w14:paraId="612C76CE" w14:textId="74E7F676" w:rsidR="00CB408D" w:rsidRDefault="00CB408D" w:rsidP="00CB408D">
      <w:pPr>
        <w:pStyle w:val="a3"/>
        <w:rPr>
          <w:noProof w:val="0"/>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8D"/>
    <w:rsid w:val="000167C7"/>
    <w:rsid w:val="008C2652"/>
    <w:rsid w:val="008E5A6A"/>
    <w:rsid w:val="00906EB7"/>
    <w:rsid w:val="00AF4A24"/>
    <w:rsid w:val="00CB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078C"/>
  <w15:chartTrackingRefBased/>
  <w15:docId w15:val="{41947406-10D3-49C5-BB4E-B96CBFD5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B408D"/>
    <w:pPr>
      <w:tabs>
        <w:tab w:val="left" w:pos="397"/>
      </w:tabs>
      <w:spacing w:after="60" w:line="240" w:lineRule="auto"/>
      <w:ind w:left="397" w:hanging="397"/>
      <w:jc w:val="both"/>
    </w:pPr>
    <w:rPr>
      <w:rFonts w:ascii="Times New Roman" w:eastAsia="Times New Roman" w:hAnsi="Times New Roman" w:cs="FrankRuehl"/>
      <w:noProof/>
      <w:sz w:val="17"/>
    </w:rPr>
  </w:style>
  <w:style w:type="character" w:customStyle="1" w:styleId="a4">
    <w:name w:val="טקסט הערת שוליים תו"/>
    <w:basedOn w:val="a0"/>
    <w:link w:val="a3"/>
    <w:semiHidden/>
    <w:rsid w:val="00CB408D"/>
    <w:rPr>
      <w:rFonts w:ascii="Times New Roman" w:eastAsia="Times New Roman" w:hAnsi="Times New Roman" w:cs="FrankRuehl"/>
      <w:noProof/>
      <w:sz w:val="17"/>
    </w:rPr>
  </w:style>
  <w:style w:type="paragraph" w:customStyle="1" w:styleId="a5">
    <w:name w:val="שם המאמר"/>
    <w:basedOn w:val="a"/>
    <w:rsid w:val="00CB408D"/>
    <w:pPr>
      <w:spacing w:before="600" w:after="480" w:line="240" w:lineRule="auto"/>
      <w:contextualSpacing/>
      <w:jc w:val="center"/>
    </w:pPr>
    <w:rPr>
      <w:rFonts w:ascii="Times New Roman" w:eastAsia="Times New Roman" w:hAnsi="Times New Roman" w:cs="David"/>
      <w:b/>
      <w:bCs/>
      <w:noProof/>
      <w:sz w:val="30"/>
      <w:szCs w:val="32"/>
    </w:rPr>
  </w:style>
  <w:style w:type="paragraph" w:customStyle="1" w:styleId="a6">
    <w:name w:val="שם המחבר"/>
    <w:basedOn w:val="a"/>
    <w:next w:val="a"/>
    <w:rsid w:val="00CB408D"/>
    <w:pPr>
      <w:widowControl w:val="0"/>
      <w:spacing w:before="480" w:after="360" w:line="240" w:lineRule="auto"/>
      <w:jc w:val="center"/>
    </w:pPr>
    <w:rPr>
      <w:rFonts w:ascii="Times New Roman" w:eastAsia="Times New Roman" w:hAnsi="Times New Roman" w:cs="David"/>
      <w:b/>
      <w:bCs/>
      <w:noProof/>
      <w:szCs w:val="24"/>
    </w:rPr>
  </w:style>
  <w:style w:type="paragraph" w:customStyle="1" w:styleId="-">
    <w:name w:val="תקציר - פסקה רגילה"/>
    <w:basedOn w:val="a"/>
    <w:rsid w:val="00CB408D"/>
    <w:pPr>
      <w:widowControl w:val="0"/>
      <w:spacing w:after="0" w:line="260" w:lineRule="exact"/>
      <w:ind w:left="567" w:right="567" w:firstLine="284"/>
      <w:contextualSpacing/>
      <w:jc w:val="both"/>
    </w:pPr>
    <w:rPr>
      <w:rFonts w:ascii="Times New Roman" w:eastAsia="Times New Roman" w:hAnsi="Times New Roman" w:cs="FrankRuehl"/>
      <w:sz w:val="19"/>
      <w:szCs w:val="24"/>
    </w:rPr>
  </w:style>
  <w:style w:type="paragraph" w:customStyle="1" w:styleId="-0">
    <w:name w:val="תקציר - פסקה ראשונה"/>
    <w:basedOn w:val="a"/>
    <w:next w:val="-"/>
    <w:rsid w:val="00CB408D"/>
    <w:pPr>
      <w:widowControl w:val="0"/>
      <w:spacing w:after="0" w:line="260" w:lineRule="exact"/>
      <w:ind w:left="567" w:right="567"/>
      <w:contextualSpacing/>
      <w:jc w:val="both"/>
    </w:pPr>
    <w:rPr>
      <w:rFonts w:ascii="Times New Roman" w:eastAsia="Times New Roman" w:hAnsi="Times New Roman" w:cs="FrankRuehl"/>
      <w:sz w:val="19"/>
      <w:szCs w:val="24"/>
    </w:rPr>
  </w:style>
  <w:style w:type="character" w:styleId="a7">
    <w:name w:val="footnote reference"/>
    <w:basedOn w:val="a0"/>
    <w:semiHidden/>
    <w:unhideWhenUsed/>
    <w:rsid w:val="00CB408D"/>
    <w:rPr>
      <w:rFonts w:ascii="Times New Roman" w:hAnsi="Times New Roman" w:cs="FrankRuehl" w:hint="default"/>
      <w:sz w:val="19"/>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6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2029</Characters>
  <Application>Microsoft Office Word</Application>
  <DocSecurity>0</DocSecurity>
  <Lines>16</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Kritenshtein Ronen</dc:creator>
  <cp:keywords/>
  <dc:description/>
  <cp:lastModifiedBy>Kritenshtein Ronen</cp:lastModifiedBy>
  <cp:revision>2</cp:revision>
  <dcterms:created xsi:type="dcterms:W3CDTF">2021-12-24T08:21:00Z</dcterms:created>
  <dcterms:modified xsi:type="dcterms:W3CDTF">2021-12-24T08:22:00Z</dcterms:modified>
</cp:coreProperties>
</file>