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77CC5" w14:textId="77777777" w:rsidR="00E20841" w:rsidRDefault="004C41FF">
      <w:pPr>
        <w:pStyle w:val="IATED-PaperTitle"/>
        <w:spacing w:before="0"/>
      </w:pPr>
      <w:r>
        <w:t>RISC-V AND MACHINE LEARNING ACCELERATOR HACKATHON – ENHANCING UNDERGRADUATE STUDENTS’ PERCEPTIONS OF ESSENTIAL CHIP DESIGN SKILLS</w:t>
      </w:r>
    </w:p>
    <w:p w14:paraId="207A7573" w14:textId="77777777" w:rsidR="00E20841" w:rsidRDefault="004C41FF">
      <w:pPr>
        <w:pStyle w:val="IATED-Authors"/>
      </w:pPr>
      <w:r>
        <w:t>F. Gabbay, B. Salomon, R. Cohen, Y. Stav</w:t>
      </w:r>
    </w:p>
    <w:p w14:paraId="14F87520" w14:textId="77777777" w:rsidR="00E20841" w:rsidRDefault="004C41FF">
      <w:pPr>
        <w:pStyle w:val="IATED-Affiliation"/>
      </w:pPr>
      <w:r>
        <w:t>Ruppin Academic Center (ISRAEL)</w:t>
      </w:r>
    </w:p>
    <w:p w14:paraId="1AB216E2" w14:textId="77777777" w:rsidR="00E20841" w:rsidRDefault="004C41FF">
      <w:pPr>
        <w:pStyle w:val="Title"/>
        <w:rPr>
          <w:lang w:val="en-GB"/>
        </w:rPr>
      </w:pPr>
      <w:r>
        <w:rPr>
          <w:lang w:val="en-GB"/>
        </w:rPr>
        <w:t>Abstract</w:t>
      </w:r>
    </w:p>
    <w:p w14:paraId="3D248FCD" w14:textId="77777777" w:rsidR="00E20841" w:rsidRDefault="004C41FF">
      <w:pPr>
        <w:rPr>
          <w:lang w:val="en-GB"/>
        </w:rPr>
      </w:pPr>
      <w:r>
        <w:rPr>
          <w:lang w:val="en-GB"/>
        </w:rPr>
        <w:t xml:space="preserve">The demand for chip design skills has </w:t>
      </w:r>
      <w:r>
        <w:rPr>
          <w:lang w:val="en-GB"/>
        </w:rPr>
        <w:t>never been as high as it is today. While semiconductor companies struggle to hire skilled students and engineers, the design complexity of VLSI (very large-scale integration) systems is continuously growing. Such technological challenges potentially introd</w:t>
      </w:r>
      <w:r>
        <w:rPr>
          <w:lang w:val="en-GB"/>
        </w:rPr>
        <w:t>uce an entry barrier that prevents many students from expanding their VLSI knowledge and design skills. Furthermore, it has become even more challenging to attract students to this field because of competition from new emerging domains such as data science</w:t>
      </w:r>
      <w:r>
        <w:rPr>
          <w:lang w:val="en-GB"/>
        </w:rPr>
        <w:t>s and cyber and mobile applications.</w:t>
      </w:r>
    </w:p>
    <w:p w14:paraId="3EAD920D" w14:textId="77777777" w:rsidR="00E20841" w:rsidRDefault="004C41FF">
      <w:pPr>
        <w:rPr>
          <w:lang w:val="en-GB"/>
        </w:rPr>
      </w:pPr>
      <w:r>
        <w:rPr>
          <w:lang w:val="en-GB"/>
        </w:rPr>
        <w:t>In this paper we present a novel hackathon that aims to deepen undergraduate students’ insight of digital hardware design skills while demonstrating its broader contexts in machine learning computational acceleration. T</w:t>
      </w:r>
      <w:r>
        <w:rPr>
          <w:lang w:val="en-GB"/>
        </w:rPr>
        <w:t>he hackathon theme introduced a design challenge of a machine learning accelerator in conjunction with a RISC-V microprocessor on an FPGA (field-programmable gate array) platform. The hackathon offered the participants a learning environment where they cou</w:t>
      </w:r>
      <w:r>
        <w:rPr>
          <w:lang w:val="en-GB"/>
        </w:rPr>
        <w:t>ld practice, collaborate with teammates, share innovative ideas, and enhance their soft skills without any formal educational supervision.</w:t>
      </w:r>
    </w:p>
    <w:p w14:paraId="23C8C9C0" w14:textId="77777777" w:rsidR="00E20841" w:rsidRDefault="004C41FF">
      <w:pPr>
        <w:rPr>
          <w:lang w:val="en-GB"/>
        </w:rPr>
      </w:pPr>
      <w:r>
        <w:rPr>
          <w:lang w:val="en-GB"/>
        </w:rPr>
        <w:t>As part of the hackathon, an FPGA board was provided to each participant with a reference design as a baseline for th</w:t>
      </w:r>
      <w:r>
        <w:rPr>
          <w:lang w:val="en-GB"/>
        </w:rPr>
        <w:t>e challenge. In addition, a training workshop was conducted which included basic training in operating the FPGA board, designing in Verilog, running the software toolchain, and machine learning basics. All the necessary tools, training workshop recordings,</w:t>
      </w:r>
      <w:r>
        <w:rPr>
          <w:lang w:val="en-GB"/>
        </w:rPr>
        <w:t xml:space="preserve"> and reference materials were provided online to all hackathon participants.</w:t>
      </w:r>
    </w:p>
    <w:p w14:paraId="68F09A19" w14:textId="77777777" w:rsidR="00E20841" w:rsidRDefault="004C41FF">
      <w:pPr>
        <w:rPr>
          <w:rtl/>
          <w:lang w:bidi="he-IL"/>
        </w:rPr>
      </w:pPr>
      <w:r>
        <w:rPr>
          <w:lang w:val="en-GB"/>
        </w:rPr>
        <w:t xml:space="preserve">Through the analysis of the hackathon data, which was performed as a part of this study, we examined students’ perceptions of the required skills prior to the hackathon challenge </w:t>
      </w:r>
      <w:r>
        <w:rPr>
          <w:lang w:val="en-GB"/>
        </w:rPr>
        <w:t>as well as the day after its completion. A total of 30 students, representing a range of seniority levels at the electrical and computer engineering departments, answered open questionnaires before and after the event. In addition, students were asked to h</w:t>
      </w:r>
      <w:r>
        <w:rPr>
          <w:lang w:val="en-GB"/>
        </w:rPr>
        <w:t>ighlight any significant changes in their perceptions following participation in the hackathon. Quantitative and qualitative data extracted from the questionnaires were validated, processed, analysed, and categorized by engineering education experts. Accor</w:t>
      </w:r>
      <w:r>
        <w:rPr>
          <w:lang w:val="en-GB"/>
        </w:rPr>
        <w:t xml:space="preserve">ding to our findings, while technical know-how and persistence were considered as essential before and after the event, students testified that the event emphasized the importance of additional skills such as team collaboration, system-level thinking, and </w:t>
      </w:r>
      <w:r>
        <w:rPr>
          <w:lang w:val="en-GB"/>
        </w:rPr>
        <w:t>hardware-software integration</w:t>
      </w:r>
    </w:p>
    <w:p w14:paraId="715498A1" w14:textId="77777777" w:rsidR="00E20841" w:rsidRDefault="004C41FF">
      <w:pPr>
        <w:rPr>
          <w:sz w:val="24"/>
          <w:lang w:val="en-GB"/>
        </w:rPr>
      </w:pPr>
      <w:r>
        <w:rPr>
          <w:lang w:val="en-GB"/>
        </w:rPr>
        <w:t>Keywords: hackathon, RISC-V, machine learning, students’ perceptions, electrical engineering, computer engineering</w:t>
      </w:r>
    </w:p>
    <w:p w14:paraId="557059BD" w14:textId="77777777" w:rsidR="00E20841" w:rsidRDefault="004C41FF">
      <w:pPr>
        <w:pStyle w:val="Heading1"/>
        <w:rPr>
          <w:lang w:val="en-GB"/>
        </w:rPr>
      </w:pPr>
      <w:r>
        <w:rPr>
          <w:lang w:val="en-GB"/>
        </w:rPr>
        <w:t>INTRODUCTION</w:t>
      </w:r>
    </w:p>
    <w:p w14:paraId="522F8E3C" w14:textId="77777777" w:rsidR="00E20841" w:rsidRDefault="004C41FF">
      <w:pPr>
        <w:rPr>
          <w:lang w:val="en-GB"/>
        </w:rPr>
      </w:pPr>
      <w:r>
        <w:rPr>
          <w:lang w:val="en-GB"/>
        </w:rPr>
        <w:t>The modern computing era has fuelled the growing demand for semiconductor integrated circuits (ICs</w:t>
      </w:r>
      <w:r>
        <w:rPr>
          <w:lang w:val="en-GB"/>
        </w:rPr>
        <w:t>). Today IC chips are the fundamental building elements in many computational systems such as mobile, IoT, desktops, and cloud computing. In the recent year</w:t>
      </w:r>
      <w:r>
        <w:rPr>
          <w:lang w:bidi="he-IL"/>
        </w:rPr>
        <w:t>s</w:t>
      </w:r>
      <w:r>
        <w:rPr>
          <w:lang w:val="en-GB"/>
        </w:rPr>
        <w:t>, the semiconductor industry has been struggling to recruit qualified chip design engineers with di</w:t>
      </w:r>
      <w:r>
        <w:rPr>
          <w:lang w:val="en-GB"/>
        </w:rPr>
        <w:t>verse skills such as logical design, verification, physical design etc. The impact of the shortage of engineers on the semiconductor industry is highly significant as it induces schedule delays and revenue losses. With the advancement of VLSI (very large-s</w:t>
      </w:r>
      <w:r>
        <w:rPr>
          <w:lang w:val="en-GB"/>
        </w:rPr>
        <w:t>cale integration) technology, the design complexity continuously grows, and as a result it may discourage students from intensifying their chip design knowledge and skills. In particular, emerging fields such an artificial intelligence, mobile applications</w:t>
      </w:r>
      <w:r>
        <w:rPr>
          <w:lang w:val="en-GB"/>
        </w:rPr>
        <w:t xml:space="preserve"> and data science escalate the situation due to their intense competition and attraction. </w:t>
      </w:r>
    </w:p>
    <w:p w14:paraId="05708731" w14:textId="77777777" w:rsidR="00E20841" w:rsidRPr="009449CC" w:rsidRDefault="004C41FF">
      <w:pPr>
        <w:rPr>
          <w:lang w:val="en-GB"/>
        </w:rPr>
      </w:pPr>
      <w:r w:rsidRPr="009449CC">
        <w:rPr>
          <w:lang w:val="en-GB"/>
        </w:rPr>
        <w:t>This paper presents a novel hackathon that intends to intensify undergraduate students’ understanding of digital hardware design skills while demonstrating its large</w:t>
      </w:r>
      <w:r w:rsidRPr="009449CC">
        <w:rPr>
          <w:lang w:val="en-GB"/>
        </w:rPr>
        <w:t xml:space="preserve">r applications in machine learning computational acceleration. The hackathon challenge called for designing the fastest machine learning accelerator in conjunction with a RISC-V microprocessor </w:t>
      </w:r>
      <w:r w:rsidRPr="009449CC">
        <w:rPr>
          <w:lang w:val="en-GB"/>
        </w:rPr>
        <w:t xml:space="preserve">[1] </w:t>
      </w:r>
      <w:r w:rsidRPr="009449CC">
        <w:rPr>
          <w:lang w:val="en-GB"/>
        </w:rPr>
        <w:t>on an FPGA (field-programmable gate array) platform. The de</w:t>
      </w:r>
      <w:r w:rsidRPr="009449CC">
        <w:rPr>
          <w:lang w:val="en-GB"/>
        </w:rPr>
        <w:t>velopment environment which was provided to the hackathon participants before the event included the FPGA board, simple RISC-V microprocessor, which was written in Verilog and compiled into the FPGA, a C compiler and a simple C program which ran on the FPG</w:t>
      </w:r>
      <w:r w:rsidRPr="009449CC">
        <w:rPr>
          <w:lang w:val="en-GB"/>
        </w:rPr>
        <w:t>A. All development material was provided with recorded videos and demos in order to facilitate the ramp-up of participants prior to the hackathon event. Without any formal educational supervision, the hackathon provided participants with a learning environ</w:t>
      </w:r>
      <w:r w:rsidRPr="009449CC">
        <w:rPr>
          <w:lang w:val="en-GB"/>
        </w:rPr>
        <w:t>ment in which they could practice, cooperate with peers, discuss innovative ideas, and improve their soft skills.</w:t>
      </w:r>
    </w:p>
    <w:p w14:paraId="48FF0BC9" w14:textId="43CB3C23" w:rsidR="00E20841" w:rsidRPr="009502E8" w:rsidRDefault="004C41FF">
      <w:pPr>
        <w:rPr>
          <w:lang w:val="en-GB"/>
        </w:rPr>
      </w:pPr>
      <w:r w:rsidRPr="009502E8">
        <w:rPr>
          <w:lang w:val="en-GB"/>
        </w:rPr>
        <w:t xml:space="preserve">Extensive </w:t>
      </w:r>
      <w:r w:rsidR="009502E8" w:rsidRPr="009502E8">
        <w:rPr>
          <w:lang w:bidi="he-IL"/>
        </w:rPr>
        <w:t xml:space="preserve">past </w:t>
      </w:r>
      <w:r w:rsidRPr="009502E8">
        <w:rPr>
          <w:lang w:val="en-GB"/>
        </w:rPr>
        <w:t xml:space="preserve">literature reviews </w:t>
      </w:r>
      <w:r w:rsidR="009502E8" w:rsidRPr="009502E8">
        <w:rPr>
          <w:lang w:val="en-GB"/>
        </w:rPr>
        <w:t xml:space="preserve">have </w:t>
      </w:r>
      <w:r w:rsidRPr="009502E8">
        <w:rPr>
          <w:lang w:val="en-GB"/>
        </w:rPr>
        <w:t xml:space="preserve">described hackathons diverse practices and associated vast learning outcomes [2] </w:t>
      </w:r>
      <w:r w:rsidRPr="009502E8">
        <w:t xml:space="preserve">[3].  </w:t>
      </w:r>
      <w:r w:rsidRPr="009502E8">
        <w:rPr>
          <w:lang w:val="en-GB"/>
        </w:rPr>
        <w:t xml:space="preserve">The aim of this study </w:t>
      </w:r>
      <w:r w:rsidR="009502E8" w:rsidRPr="009502E8">
        <w:rPr>
          <w:lang w:val="en-GB"/>
        </w:rPr>
        <w:t>is</w:t>
      </w:r>
      <w:r w:rsidRPr="009502E8">
        <w:rPr>
          <w:lang w:val="en-GB"/>
        </w:rPr>
        <w:t xml:space="preserve"> </w:t>
      </w:r>
      <w:r w:rsidRPr="009502E8">
        <w:rPr>
          <w:lang w:val="en-GB"/>
        </w:rPr>
        <w:t xml:space="preserve">to examine also the change at students’ perception of essential (also referred as ‘soft’) skills required for a successful engagement along the technological challenge both prior and following the hackathon event. Such a change </w:t>
      </w:r>
      <w:r w:rsidR="009502E8" w:rsidRPr="009502E8">
        <w:rPr>
          <w:lang w:val="en-GB"/>
        </w:rPr>
        <w:t>can</w:t>
      </w:r>
      <w:r w:rsidRPr="009502E8">
        <w:rPr>
          <w:lang w:val="en-GB"/>
        </w:rPr>
        <w:t xml:space="preserve"> </w:t>
      </w:r>
      <w:r w:rsidR="009502E8" w:rsidRPr="009502E8">
        <w:rPr>
          <w:lang w:val="en-GB"/>
        </w:rPr>
        <w:t>provide an indication with respect to</w:t>
      </w:r>
      <w:r w:rsidRPr="009502E8">
        <w:rPr>
          <w:lang w:val="en-GB"/>
        </w:rPr>
        <w:t xml:space="preserve"> achieving an </w:t>
      </w:r>
      <w:r w:rsidRPr="009502E8">
        <w:rPr>
          <w:lang w:val="en-GB"/>
        </w:rPr>
        <w:t xml:space="preserve">ancillary outcome of assimilating those essential skills practice along the challenge. </w:t>
      </w:r>
    </w:p>
    <w:p w14:paraId="7B740591" w14:textId="77777777" w:rsidR="00E20841" w:rsidRDefault="004C41FF">
      <w:pPr>
        <w:rPr>
          <w:rtl/>
          <w:lang w:bidi="he-IL"/>
        </w:rPr>
      </w:pPr>
      <w:r>
        <w:rPr>
          <w:lang w:val="en-GB"/>
        </w:rPr>
        <w:t>The rest of the paper is organized as follow</w:t>
      </w:r>
      <w:r>
        <w:t>s: Section 2 describes the hackathon event and the methodology for analyzing the hackathon data. Section 3 present the resul</w:t>
      </w:r>
      <w:r>
        <w:t xml:space="preserve">t of our study and Section 4 summarizes our conclusions. </w:t>
      </w:r>
    </w:p>
    <w:p w14:paraId="2D068CEE" w14:textId="77777777" w:rsidR="00E20841" w:rsidRDefault="004C41FF">
      <w:pPr>
        <w:pStyle w:val="Heading1"/>
        <w:rPr>
          <w:lang w:val="en-GB"/>
        </w:rPr>
      </w:pPr>
      <w:r>
        <w:rPr>
          <w:lang w:val="en-GB"/>
        </w:rPr>
        <w:t>METHODOLOGY</w:t>
      </w:r>
    </w:p>
    <w:p w14:paraId="6F5946AC" w14:textId="77777777" w:rsidR="00E20841" w:rsidRPr="009502E8" w:rsidRDefault="004C41FF">
      <w:pPr>
        <w:pStyle w:val="Heading2"/>
        <w:rPr>
          <w:lang w:val="en-GB"/>
        </w:rPr>
      </w:pPr>
      <w:r w:rsidRPr="009502E8">
        <w:rPr>
          <w:lang w:val="en-GB"/>
        </w:rPr>
        <w:t>Technical Challenge</w:t>
      </w:r>
    </w:p>
    <w:p w14:paraId="4EF927E0" w14:textId="77777777" w:rsidR="00E20841" w:rsidRDefault="004C41FF">
      <w:pPr>
        <w:rPr>
          <w:lang w:bidi="he-IL"/>
        </w:rPr>
      </w:pPr>
      <w:r>
        <w:t xml:space="preserve">The hackathon </w:t>
      </w:r>
      <w:r>
        <w:rPr>
          <w:lang w:bidi="he-IL"/>
        </w:rPr>
        <w:t>challenge incorporated multidisciplinary system-level technical skills which combines micro-architecture, chip design, software and machine learning alg</w:t>
      </w:r>
      <w:r>
        <w:rPr>
          <w:lang w:bidi="he-IL"/>
        </w:rPr>
        <w:t xml:space="preserve">orithm. The FPGA platform that was used in the hackathon is the </w:t>
      </w:r>
      <w:proofErr w:type="spellStart"/>
      <w:r>
        <w:rPr>
          <w:lang w:bidi="he-IL"/>
        </w:rPr>
        <w:t>Terasic</w:t>
      </w:r>
      <w:proofErr w:type="spellEnd"/>
      <w:r>
        <w:rPr>
          <w:lang w:bidi="he-IL"/>
        </w:rPr>
        <w:t xml:space="preserve"> DE0-CV [4] which is illustrated in Figure 1. The platform uses the Altera Cyclone V FPGA device [5] with various peripheral devices such as 7-segment display, LEDs, switch buttons and </w:t>
      </w:r>
      <w:r>
        <w:rPr>
          <w:lang w:bidi="he-IL"/>
        </w:rPr>
        <w:t xml:space="preserve">push buttons. The FPGA platform was provided to every participant in the hackathon. </w:t>
      </w:r>
    </w:p>
    <w:p w14:paraId="477B8BB9" w14:textId="77777777" w:rsidR="00E20841" w:rsidRDefault="00E20841">
      <w:pPr>
        <w:rPr>
          <w:lang w:bidi="he-IL"/>
        </w:rPr>
      </w:pPr>
    </w:p>
    <w:p w14:paraId="69AC1FC1" w14:textId="77777777" w:rsidR="00E20841" w:rsidRDefault="004C41FF">
      <w:pPr>
        <w:jc w:val="center"/>
        <w:rPr>
          <w:lang w:bidi="he-IL"/>
        </w:rPr>
      </w:pPr>
      <w:r>
        <w:rPr>
          <w:noProof/>
          <w:lang w:eastAsia="en-US" w:bidi="he-IL"/>
        </w:rPr>
        <w:drawing>
          <wp:inline distT="0" distB="0" distL="0" distR="0" wp14:anchorId="2B0BA734" wp14:editId="791A3ECB">
            <wp:extent cx="2184400" cy="1951840"/>
            <wp:effectExtent l="0" t="0" r="0" b="4445"/>
            <wp:docPr id="2" name="Picture 2" descr="A close-up of a computer chi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computer chip&#10;&#10;Description automatically generated with low confidence"/>
                    <pic:cNvPicPr/>
                  </pic:nvPicPr>
                  <pic:blipFill>
                    <a:blip r:embed="rId8"/>
                    <a:stretch>
                      <a:fillRect/>
                    </a:stretch>
                  </pic:blipFill>
                  <pic:spPr>
                    <a:xfrm>
                      <a:off x="0" y="0"/>
                      <a:ext cx="2195534" cy="1961788"/>
                    </a:xfrm>
                    <a:prstGeom prst="rect">
                      <a:avLst/>
                    </a:prstGeom>
                  </pic:spPr>
                </pic:pic>
              </a:graphicData>
            </a:graphic>
          </wp:inline>
        </w:drawing>
      </w:r>
    </w:p>
    <w:p w14:paraId="0B4B305E" w14:textId="77777777" w:rsidR="00E20841" w:rsidRDefault="004C41FF">
      <w:pPr>
        <w:pStyle w:val="IATED-CaptionFigures"/>
        <w:rPr>
          <w:lang w:val="en-US" w:bidi="he-IL"/>
        </w:rPr>
      </w:pPr>
      <w:r>
        <w:t xml:space="preserve">Figure 1. </w:t>
      </w:r>
      <w:proofErr w:type="spellStart"/>
      <w:r>
        <w:t>Terasic</w:t>
      </w:r>
      <w:proofErr w:type="spellEnd"/>
      <w:r>
        <w:t xml:space="preserve"> DE0-CV FPGA platform (photo credit </w:t>
      </w:r>
      <w:proofErr w:type="spellStart"/>
      <w:r>
        <w:t>Terasic</w:t>
      </w:r>
      <w:proofErr w:type="spellEnd"/>
      <w:r>
        <w:t xml:space="preserve"> Inc.</w:t>
      </w:r>
      <w:r>
        <w:rPr>
          <w:rStyle w:val="FootnoteReference"/>
        </w:rPr>
        <w:footnoteReference w:customMarkFollows="1" w:id="2"/>
        <w:t>*</w:t>
      </w:r>
      <w:r>
        <w:t>)</w:t>
      </w:r>
    </w:p>
    <w:p w14:paraId="5E8B4649" w14:textId="77777777" w:rsidR="00E20841" w:rsidRDefault="004C41FF">
      <w:pPr>
        <w:rPr>
          <w:b/>
          <w:bCs/>
        </w:rPr>
      </w:pPr>
      <w:r>
        <w:t>As part of the FPGA platform a Verilog model of a simple 32-bit integer RISC-V processor was provid</w:t>
      </w:r>
      <w:r>
        <w:t>ed. The RISC-V used code memory which stored the binary machine code and a data memory which host the program data. The hackathon participants were required to design the fastest machine learning accelerator which offloaded the RISC-V processor from the ma</w:t>
      </w:r>
      <w:r>
        <w:t>trix multiplication operations. The matrix multiplication accelerator was designed such that was mapped to the memory address space of the processors. The matrices data for the matrix multiplication were store in the processor data memory. This approach al</w:t>
      </w:r>
      <w:r>
        <w:t>lowed the hackathon participants to combine both hardware and software as part of their overall system solution. The Verilog model of both RISC-V processor and the matrix multiplication accelerator were designed using Intel</w:t>
      </w:r>
      <w:r>
        <w:rPr>
          <w:vertAlign w:val="superscript"/>
        </w:rPr>
        <w:t>®</w:t>
      </w:r>
      <w:r>
        <w:t xml:space="preserve"> Quartus</w:t>
      </w:r>
      <w:r>
        <w:rPr>
          <w:vertAlign w:val="superscript"/>
        </w:rPr>
        <w:t>®</w:t>
      </w:r>
      <w:r>
        <w:t xml:space="preserve"> FPGA Design Platform [</w:t>
      </w:r>
      <w:r>
        <w:t>6] software which was used to simulate and synthesize the design into the FPGA. As part of the development platform, a C compiler was provided for the RISC-V processor. The compiler produced a binary image which was loaded into the processor code memory. A</w:t>
      </w:r>
      <w:r>
        <w:t xml:space="preserve"> simple “hello world” C code example which toggled the display LEDs, which was provided as part of the development platform, was used to assure that the system was set up and installed correctly. The FPGA block diagram and development environment are illus</w:t>
      </w:r>
      <w:r>
        <w:t>trated in Figure 2.</w:t>
      </w:r>
    </w:p>
    <w:p w14:paraId="20144AF1" w14:textId="77777777" w:rsidR="00E20841" w:rsidRDefault="00E20841">
      <w:pPr>
        <w:rPr>
          <w:b/>
          <w:bCs/>
          <w:color w:val="FF0000"/>
        </w:rPr>
      </w:pPr>
    </w:p>
    <w:p w14:paraId="458BD305" w14:textId="77777777" w:rsidR="00E20841" w:rsidRDefault="004C41FF">
      <w:pPr>
        <w:jc w:val="center"/>
        <w:rPr>
          <w:color w:val="FF0000"/>
        </w:rPr>
      </w:pPr>
      <w:r>
        <w:rPr>
          <w:noProof/>
          <w:color w:val="FF0000"/>
          <w:lang w:eastAsia="en-US" w:bidi="he-IL"/>
        </w:rPr>
        <w:drawing>
          <wp:inline distT="0" distB="0" distL="0" distR="0" wp14:anchorId="7EE7E7D4" wp14:editId="21B5BA69">
            <wp:extent cx="4154377" cy="28173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72107" cy="2829397"/>
                    </a:xfrm>
                    <a:prstGeom prst="rect">
                      <a:avLst/>
                    </a:prstGeom>
                  </pic:spPr>
                </pic:pic>
              </a:graphicData>
            </a:graphic>
          </wp:inline>
        </w:drawing>
      </w:r>
    </w:p>
    <w:p w14:paraId="202B4DFF" w14:textId="77777777" w:rsidR="00E20841" w:rsidRDefault="004C41FF">
      <w:pPr>
        <w:pStyle w:val="IATED-CaptionFigures"/>
        <w:rPr>
          <w:rtl/>
          <w:lang w:val="en-US" w:bidi="he-IL"/>
        </w:rPr>
      </w:pPr>
      <w:r>
        <w:t>Figure 2. FPGA Block Diagram and Development Environment</w:t>
      </w:r>
    </w:p>
    <w:p w14:paraId="385BE7AF" w14:textId="65C6C5BE" w:rsidR="00E20841" w:rsidRDefault="004C41FF">
      <w:pPr>
        <w:rPr>
          <w:lang w:val="en-GB"/>
        </w:rPr>
      </w:pPr>
      <w:r>
        <w:rPr>
          <w:lang w:val="en-GB"/>
        </w:rPr>
        <w:t>With respect to the logistical aspect</w:t>
      </w:r>
      <w:r w:rsidR="00E63291">
        <w:rPr>
          <w:lang w:bidi="he-IL"/>
        </w:rPr>
        <w:t>s</w:t>
      </w:r>
      <w:r>
        <w:rPr>
          <w:lang w:val="en-GB"/>
        </w:rPr>
        <w:t xml:space="preserve"> of the hackathon event, the organizing staff created an online registration </w:t>
      </w:r>
      <w:r w:rsidR="0040751E">
        <w:rPr>
          <w:lang w:val="en-GB"/>
        </w:rPr>
        <w:t xml:space="preserve">web </w:t>
      </w:r>
      <w:r>
        <w:rPr>
          <w:lang w:val="en-GB"/>
        </w:rPr>
        <w:t xml:space="preserve">site where students could enrol to the hackathon download all the development platform. </w:t>
      </w:r>
      <w:r w:rsidR="00E63291">
        <w:rPr>
          <w:lang w:val="en-GB"/>
        </w:rPr>
        <w:t xml:space="preserve">Every registered team could include up to three students. </w:t>
      </w:r>
      <w:r>
        <w:rPr>
          <w:lang w:val="en-GB"/>
        </w:rPr>
        <w:t xml:space="preserve">The </w:t>
      </w:r>
      <w:r w:rsidR="008657AC">
        <w:rPr>
          <w:lang w:val="en-GB"/>
        </w:rPr>
        <w:t>web</w:t>
      </w:r>
      <w:r>
        <w:rPr>
          <w:lang w:val="en-GB"/>
        </w:rPr>
        <w:t xml:space="preserve"> site also included online training video</w:t>
      </w:r>
      <w:r>
        <w:rPr>
          <w:lang w:val="en-GB"/>
        </w:rPr>
        <w:t xml:space="preserve">s and the needed material in order to ramp up the participants knowledge to the needed level before the hackathon. </w:t>
      </w:r>
      <w:r w:rsidR="00E63291">
        <w:rPr>
          <w:lang w:val="en-GB"/>
        </w:rPr>
        <w:t xml:space="preserve">In addition, as part of the event preparations, the technical mentors conducted several online zoom meetings </w:t>
      </w:r>
      <w:r w:rsidR="0040751E">
        <w:rPr>
          <w:lang w:val="en-GB"/>
        </w:rPr>
        <w:t>where all</w:t>
      </w:r>
      <w:r w:rsidR="00E63291">
        <w:rPr>
          <w:lang w:val="en-GB"/>
        </w:rPr>
        <w:t xml:space="preserve"> participants</w:t>
      </w:r>
      <w:r w:rsidR="0040751E">
        <w:rPr>
          <w:lang w:val="en-GB"/>
        </w:rPr>
        <w:t xml:space="preserve"> were guided through the installation of the</w:t>
      </w:r>
      <w:r w:rsidR="00E63291">
        <w:rPr>
          <w:lang w:val="en-GB"/>
        </w:rPr>
        <w:t xml:space="preserve"> FPGA design environment</w:t>
      </w:r>
      <w:r w:rsidR="0040751E">
        <w:rPr>
          <w:lang w:val="en-GB"/>
        </w:rPr>
        <w:t xml:space="preserve">. All teams were </w:t>
      </w:r>
      <w:r w:rsidR="0040751E" w:rsidRPr="0040751E">
        <w:rPr>
          <w:lang w:val="en-GB"/>
        </w:rPr>
        <w:t>required to</w:t>
      </w:r>
      <w:r w:rsidR="00E63291">
        <w:rPr>
          <w:lang w:val="en-GB"/>
        </w:rPr>
        <w:t xml:space="preserve"> r</w:t>
      </w:r>
      <w:r w:rsidR="0040751E">
        <w:rPr>
          <w:lang w:val="en-GB"/>
        </w:rPr>
        <w:t>u</w:t>
      </w:r>
      <w:r w:rsidR="00E63291">
        <w:rPr>
          <w:lang w:val="en-GB"/>
        </w:rPr>
        <w:t xml:space="preserve">n a simple C program to assure that all components were properly operational. </w:t>
      </w:r>
      <w:r w:rsidR="0040751E">
        <w:rPr>
          <w:lang w:val="en-GB"/>
        </w:rPr>
        <w:t xml:space="preserve">Through the hackathon event, mentors from both industry and academia provided an on-going mentoring process. Last, all teams presented their final outcome in front of </w:t>
      </w:r>
      <w:r w:rsidR="003D11EB">
        <w:rPr>
          <w:lang w:val="en-GB"/>
        </w:rPr>
        <w:t xml:space="preserve">the hackathon judging committed which chose the top 3 winning teams. </w:t>
      </w:r>
    </w:p>
    <w:p w14:paraId="371082FA" w14:textId="77777777" w:rsidR="00E20841" w:rsidRPr="00FE3600" w:rsidRDefault="004C41FF">
      <w:pPr>
        <w:pStyle w:val="Heading2"/>
        <w:rPr>
          <w:lang w:val="en-GB"/>
        </w:rPr>
      </w:pPr>
      <w:r w:rsidRPr="00FE3600">
        <w:rPr>
          <w:lang w:bidi="he-IL"/>
        </w:rPr>
        <w:t xml:space="preserve">Assessment of students’ undertaking </w:t>
      </w:r>
    </w:p>
    <w:p w14:paraId="5A2CB5E2" w14:textId="0CD51119" w:rsidR="00E20841" w:rsidRPr="00BD0891" w:rsidRDefault="003607D4" w:rsidP="00BD0891">
      <w:pPr>
        <w:rPr>
          <w:lang w:val="en-GB"/>
        </w:rPr>
      </w:pPr>
      <w:r w:rsidRPr="00BD0891">
        <w:rPr>
          <w:lang w:val="en-GB"/>
        </w:rPr>
        <w:t>Twenty-five</w:t>
      </w:r>
      <w:r w:rsidR="004C41FF" w:rsidRPr="00BD0891">
        <w:rPr>
          <w:lang w:val="en-GB"/>
        </w:rPr>
        <w:t xml:space="preserve"> students of electrical and computer engineering ranging from junior year up</w:t>
      </w:r>
      <w:r w:rsidRPr="00BD0891">
        <w:rPr>
          <w:rFonts w:hint="cs"/>
          <w:rtl/>
          <w:lang w:val="en-GB" w:bidi="he-IL"/>
        </w:rPr>
        <w:t xml:space="preserve"> </w:t>
      </w:r>
      <w:r w:rsidR="004C41FF" w:rsidRPr="00BD0891">
        <w:rPr>
          <w:lang w:val="en-GB"/>
        </w:rPr>
        <w:t>to 4</w:t>
      </w:r>
      <w:r w:rsidR="004C41FF" w:rsidRPr="00BD0891">
        <w:rPr>
          <w:vertAlign w:val="superscript"/>
          <w:lang w:val="en-GB"/>
        </w:rPr>
        <w:t>th</w:t>
      </w:r>
      <w:r w:rsidR="004C41FF" w:rsidRPr="00BD0891">
        <w:rPr>
          <w:lang w:val="en-GB"/>
        </w:rPr>
        <w:t xml:space="preserve"> year senior student</w:t>
      </w:r>
      <w:r w:rsidR="004C41FF" w:rsidRPr="00BD0891">
        <w:rPr>
          <w:lang w:bidi="he-IL"/>
        </w:rPr>
        <w:t>s</w:t>
      </w:r>
      <w:r w:rsidR="004C41FF" w:rsidRPr="00BD0891">
        <w:rPr>
          <w:rFonts w:hint="cs"/>
          <w:rtl/>
          <w:lang w:bidi="he-IL"/>
        </w:rPr>
        <w:t>,</w:t>
      </w:r>
      <w:r w:rsidR="004C41FF" w:rsidRPr="00BD0891">
        <w:rPr>
          <w:lang w:val="en-GB"/>
        </w:rPr>
        <w:t xml:space="preserve"> of those participating </w:t>
      </w:r>
      <w:r w:rsidR="00E63291" w:rsidRPr="00BD0891">
        <w:rPr>
          <w:lang w:val="en-GB"/>
        </w:rPr>
        <w:t>in</w:t>
      </w:r>
      <w:r w:rsidR="004C41FF" w:rsidRPr="00BD0891">
        <w:rPr>
          <w:lang w:val="en-GB"/>
        </w:rPr>
        <w:t xml:space="preserve"> the event</w:t>
      </w:r>
      <w:r w:rsidR="00E63291" w:rsidRPr="00BD0891">
        <w:rPr>
          <w:lang w:val="en-GB"/>
        </w:rPr>
        <w:t>,</w:t>
      </w:r>
      <w:r w:rsidR="004C41FF" w:rsidRPr="00BD0891">
        <w:rPr>
          <w:lang w:val="en-GB"/>
        </w:rPr>
        <w:t xml:space="preserve"> </w:t>
      </w:r>
      <w:r w:rsidRPr="00BD0891">
        <w:rPr>
          <w:lang w:val="en-GB"/>
        </w:rPr>
        <w:t xml:space="preserve">took </w:t>
      </w:r>
      <w:r w:rsidR="004C41FF" w:rsidRPr="00BD0891">
        <w:rPr>
          <w:lang w:val="en-GB"/>
        </w:rPr>
        <w:t>part of the study</w:t>
      </w:r>
      <w:r w:rsidRPr="00BD0891">
        <w:rPr>
          <w:lang w:val="en-GB"/>
        </w:rPr>
        <w:t xml:space="preserve"> which </w:t>
      </w:r>
      <w:r w:rsidR="004C41FF" w:rsidRPr="00BD0891">
        <w:rPr>
          <w:lang w:val="en-GB"/>
        </w:rPr>
        <w:t>comprised of two parts.</w:t>
      </w:r>
      <w:r w:rsidR="00E63291" w:rsidRPr="00BD0891">
        <w:rPr>
          <w:lang w:val="en-GB"/>
        </w:rPr>
        <w:t xml:space="preserve"> The first part consisted of </w:t>
      </w:r>
      <w:r w:rsidR="004C41FF" w:rsidRPr="00BD0891">
        <w:rPr>
          <w:lang w:val="en-GB"/>
        </w:rPr>
        <w:t>a close-ended five-level Likert-lik</w:t>
      </w:r>
      <w:r w:rsidR="004C41FF" w:rsidRPr="00BD0891">
        <w:rPr>
          <w:lang w:val="en-GB"/>
        </w:rPr>
        <w:t>e questionnaire</w:t>
      </w:r>
      <w:r w:rsidR="00E63291" w:rsidRPr="00BD0891">
        <w:rPr>
          <w:lang w:val="en-GB"/>
        </w:rPr>
        <w:t xml:space="preserve"> which included</w:t>
      </w:r>
      <w:r w:rsidR="004C41FF" w:rsidRPr="00BD0891">
        <w:rPr>
          <w:lang w:val="en-GB"/>
        </w:rPr>
        <w:t xml:space="preserve"> 20 success factor</w:t>
      </w:r>
      <w:r w:rsidR="00E63291" w:rsidRPr="00BD0891">
        <w:rPr>
          <w:lang w:val="en-GB"/>
        </w:rPr>
        <w:t xml:space="preserve">s related to the </w:t>
      </w:r>
      <w:r w:rsidR="00BD0891" w:rsidRPr="00BD0891">
        <w:rPr>
          <w:lang w:val="en-GB"/>
        </w:rPr>
        <w:t>technical challenge. S</w:t>
      </w:r>
      <w:r w:rsidR="004C41FF" w:rsidRPr="00BD0891">
        <w:rPr>
          <w:lang w:val="en-GB"/>
        </w:rPr>
        <w:t>tudents were requested to rank</w:t>
      </w:r>
      <w:r w:rsidR="00BD0891" w:rsidRPr="00BD0891">
        <w:rPr>
          <w:lang w:val="en-GB"/>
        </w:rPr>
        <w:t xml:space="preserve"> the success factors where </w:t>
      </w:r>
      <w:r w:rsidR="004C41FF" w:rsidRPr="00BD0891">
        <w:rPr>
          <w:lang w:val="en-GB"/>
        </w:rPr>
        <w:t xml:space="preserve">5 </w:t>
      </w:r>
      <w:r w:rsidR="00BD0891" w:rsidRPr="00BD0891">
        <w:rPr>
          <w:lang w:val="en-GB"/>
        </w:rPr>
        <w:t xml:space="preserve">indicated that the related factor </w:t>
      </w:r>
      <w:r w:rsidR="004C41FF" w:rsidRPr="00BD0891">
        <w:rPr>
          <w:lang w:val="en-GB"/>
        </w:rPr>
        <w:t>was highly needed down to 1, not needed at all.  The 20 statements reflected three different categories of e</w:t>
      </w:r>
      <w:r w:rsidR="004C41FF" w:rsidRPr="00BD0891">
        <w:rPr>
          <w:lang w:val="en-GB"/>
        </w:rPr>
        <w:t>ssential skills</w:t>
      </w:r>
      <w:r w:rsidR="004C41FF" w:rsidRPr="00BD0891">
        <w:rPr>
          <w:lang w:val="en-GB"/>
        </w:rPr>
        <w:t>:</w:t>
      </w:r>
    </w:p>
    <w:p w14:paraId="004A7426" w14:textId="0A9F4C4B" w:rsidR="00E20841" w:rsidRPr="00BD0891" w:rsidRDefault="004C41FF" w:rsidP="00BD0891">
      <w:pPr>
        <w:pStyle w:val="ListParagraph"/>
        <w:numPr>
          <w:ilvl w:val="0"/>
          <w:numId w:val="34"/>
        </w:numPr>
        <w:rPr>
          <w:lang w:val="en-GB"/>
        </w:rPr>
      </w:pPr>
      <w:r w:rsidRPr="00BD0891">
        <w:rPr>
          <w:lang w:val="en-GB"/>
        </w:rPr>
        <w:t>Self-management and persistence</w:t>
      </w:r>
      <w:r w:rsidR="00BD0891" w:rsidRPr="00BD0891">
        <w:rPr>
          <w:lang w:val="en-GB"/>
        </w:rPr>
        <w:t>, e.g.,</w:t>
      </w:r>
      <w:r w:rsidRPr="00BD0891">
        <w:rPr>
          <w:lang w:val="en-GB"/>
        </w:rPr>
        <w:t xml:space="preserve"> </w:t>
      </w:r>
      <w:r w:rsidR="00BD0891">
        <w:rPr>
          <w:lang w:val="en-GB"/>
        </w:rPr>
        <w:t>flexibility and</w:t>
      </w:r>
      <w:r w:rsidRPr="00BD0891">
        <w:rPr>
          <w:rFonts w:hint="cs"/>
          <w:rtl/>
          <w:lang w:val="en-GB" w:bidi="he-IL"/>
        </w:rPr>
        <w:t xml:space="preserve"> </w:t>
      </w:r>
      <w:r w:rsidRPr="00BD0891">
        <w:rPr>
          <w:lang w:val="en-GB"/>
        </w:rPr>
        <w:t>prioritizing skills</w:t>
      </w:r>
      <w:r w:rsidR="00BD0891">
        <w:rPr>
          <w:lang w:val="en-GB"/>
        </w:rPr>
        <w:t>.</w:t>
      </w:r>
    </w:p>
    <w:p w14:paraId="43568F80" w14:textId="6BCABACC" w:rsidR="00E20841" w:rsidRPr="00BD0891" w:rsidRDefault="004C41FF" w:rsidP="00BD0891">
      <w:pPr>
        <w:pStyle w:val="ListParagraph"/>
        <w:numPr>
          <w:ilvl w:val="0"/>
          <w:numId w:val="34"/>
        </w:numPr>
        <w:rPr>
          <w:lang w:val="en-GB"/>
        </w:rPr>
      </w:pPr>
      <w:r w:rsidRPr="00BD0891">
        <w:rPr>
          <w:lang w:val="en-GB"/>
        </w:rPr>
        <w:t>Inter-personal and communication</w:t>
      </w:r>
      <w:r w:rsidR="00BD0891">
        <w:rPr>
          <w:lang w:val="en-GB"/>
        </w:rPr>
        <w:t xml:space="preserve">, e.g., </w:t>
      </w:r>
      <w:r w:rsidRPr="00BD0891">
        <w:rPr>
          <w:lang w:val="en-GB"/>
        </w:rPr>
        <w:t xml:space="preserve">listening to others, collaboration, presentations skills’ </w:t>
      </w:r>
      <w:r w:rsidR="00BD0891" w:rsidRPr="00BD0891">
        <w:rPr>
          <w:lang w:val="en-GB"/>
        </w:rPr>
        <w:t>teamwork</w:t>
      </w:r>
      <w:r w:rsidR="00BD0891">
        <w:rPr>
          <w:lang w:val="en-GB"/>
        </w:rPr>
        <w:t xml:space="preserve"> and</w:t>
      </w:r>
      <w:r w:rsidRPr="00BD0891">
        <w:rPr>
          <w:lang w:val="en-GB"/>
        </w:rPr>
        <w:t xml:space="preserve"> presentation skills</w:t>
      </w:r>
    </w:p>
    <w:p w14:paraId="6ACBF618" w14:textId="19935F59" w:rsidR="00E20841" w:rsidRPr="00BD0891" w:rsidRDefault="004C41FF" w:rsidP="00BD0891">
      <w:pPr>
        <w:pStyle w:val="ListParagraph"/>
        <w:numPr>
          <w:ilvl w:val="0"/>
          <w:numId w:val="34"/>
        </w:numPr>
        <w:rPr>
          <w:lang w:val="en-GB"/>
        </w:rPr>
      </w:pPr>
      <w:r w:rsidRPr="00BD0891">
        <w:rPr>
          <w:lang w:val="en-GB"/>
        </w:rPr>
        <w:t xml:space="preserve">Technical and engineering </w:t>
      </w:r>
      <w:r w:rsidR="00BD0891" w:rsidRPr="00BD0891">
        <w:rPr>
          <w:lang w:val="en-GB"/>
        </w:rPr>
        <w:t>thinking</w:t>
      </w:r>
      <w:r w:rsidR="00BD0891">
        <w:rPr>
          <w:lang w:val="en-GB"/>
        </w:rPr>
        <w:t>, e.g.,</w:t>
      </w:r>
      <w:r w:rsidRPr="00BD0891">
        <w:rPr>
          <w:lang w:val="en-GB"/>
        </w:rPr>
        <w:t xml:space="preserve"> </w:t>
      </w:r>
      <w:r w:rsidRPr="00BD0891">
        <w:rPr>
          <w:lang w:val="en-GB"/>
        </w:rPr>
        <w:t>acquiring</w:t>
      </w:r>
      <w:r w:rsidRPr="00BD0891">
        <w:rPr>
          <w:lang w:val="en-GB"/>
        </w:rPr>
        <w:t xml:space="preserve"> </w:t>
      </w:r>
      <w:r w:rsidRPr="00BD0891">
        <w:rPr>
          <w:lang w:val="en-GB"/>
        </w:rPr>
        <w:t>both high</w:t>
      </w:r>
      <w:r w:rsidR="00BD0891">
        <w:rPr>
          <w:lang w:val="en-GB"/>
        </w:rPr>
        <w:t>-</w:t>
      </w:r>
      <w:r w:rsidRPr="00BD0891">
        <w:rPr>
          <w:lang w:val="en-GB"/>
        </w:rPr>
        <w:t>level and low</w:t>
      </w:r>
      <w:r w:rsidR="00BD0891">
        <w:rPr>
          <w:lang w:val="en-GB"/>
        </w:rPr>
        <w:t>-</w:t>
      </w:r>
      <w:r w:rsidRPr="00BD0891">
        <w:rPr>
          <w:lang w:val="en-GB"/>
        </w:rPr>
        <w:t xml:space="preserve">level </w:t>
      </w:r>
      <w:r w:rsidR="00BD0891">
        <w:rPr>
          <w:lang w:val="en-GB"/>
        </w:rPr>
        <w:t>perception</w:t>
      </w:r>
      <w:r w:rsidRPr="00BD0891">
        <w:rPr>
          <w:lang w:val="en-GB"/>
        </w:rPr>
        <w:t xml:space="preserve"> of </w:t>
      </w:r>
      <w:r w:rsidRPr="00BD0891">
        <w:rPr>
          <w:lang w:val="en-GB"/>
        </w:rPr>
        <w:t>task</w:t>
      </w:r>
      <w:r w:rsidR="00BD0891">
        <w:rPr>
          <w:lang w:val="en-GB"/>
        </w:rPr>
        <w:t>s</w:t>
      </w:r>
      <w:r w:rsidRPr="00BD0891">
        <w:rPr>
          <w:lang w:val="en-GB"/>
        </w:rPr>
        <w:t xml:space="preserve">, embracing </w:t>
      </w:r>
      <w:r w:rsidR="00BD0891" w:rsidRPr="00BD0891">
        <w:rPr>
          <w:lang w:val="en-GB"/>
        </w:rPr>
        <w:t>multidisciplinar</w:t>
      </w:r>
      <w:r w:rsidR="00BD0891">
        <w:rPr>
          <w:lang w:val="en-GB"/>
        </w:rPr>
        <w:t>y</w:t>
      </w:r>
      <w:r w:rsidRPr="00BD0891">
        <w:rPr>
          <w:lang w:val="en-GB"/>
        </w:rPr>
        <w:t xml:space="preserve">, detecting </w:t>
      </w:r>
      <w:r w:rsidR="00BD0891">
        <w:rPr>
          <w:lang w:val="en-GB"/>
        </w:rPr>
        <w:t xml:space="preserve">and mitigating </w:t>
      </w:r>
      <w:r w:rsidRPr="00BD0891">
        <w:rPr>
          <w:lang w:val="en-GB"/>
        </w:rPr>
        <w:t>risks</w:t>
      </w:r>
    </w:p>
    <w:p w14:paraId="5C0771F5" w14:textId="77777777" w:rsidR="00BD0891" w:rsidRPr="00B06402" w:rsidRDefault="00BD0891" w:rsidP="00BD0891">
      <w:pPr>
        <w:rPr>
          <w:lang w:val="en-GB"/>
        </w:rPr>
      </w:pPr>
      <w:r w:rsidRPr="00B06402">
        <w:rPr>
          <w:lang w:val="en-GB"/>
        </w:rPr>
        <w:t>All event p</w:t>
      </w:r>
      <w:r w:rsidR="004C41FF" w:rsidRPr="00B06402">
        <w:rPr>
          <w:lang w:val="en-GB"/>
        </w:rPr>
        <w:t xml:space="preserve">articipants </w:t>
      </w:r>
      <w:r w:rsidRPr="00B06402">
        <w:rPr>
          <w:lang w:val="en-GB"/>
        </w:rPr>
        <w:t xml:space="preserve">were required </w:t>
      </w:r>
      <w:r w:rsidR="004C41FF" w:rsidRPr="00B06402">
        <w:rPr>
          <w:lang w:val="en-GB"/>
        </w:rPr>
        <w:t xml:space="preserve">to complete the same questionnaire prior and </w:t>
      </w:r>
      <w:r w:rsidRPr="00B06402">
        <w:rPr>
          <w:lang w:val="en-GB"/>
        </w:rPr>
        <w:t>after</w:t>
      </w:r>
      <w:r w:rsidR="004C41FF" w:rsidRPr="00B06402">
        <w:rPr>
          <w:lang w:val="en-GB"/>
        </w:rPr>
        <w:t xml:space="preserve"> the event.</w:t>
      </w:r>
      <w:r w:rsidRPr="00B06402">
        <w:rPr>
          <w:lang w:val="en-GB"/>
        </w:rPr>
        <w:t xml:space="preserve"> </w:t>
      </w:r>
    </w:p>
    <w:p w14:paraId="532B991D" w14:textId="1E08E51B" w:rsidR="00E20841" w:rsidRPr="00B06402" w:rsidRDefault="00BD0891" w:rsidP="00B06402">
      <w:pPr>
        <w:rPr>
          <w:lang w:val="en-GB"/>
        </w:rPr>
      </w:pPr>
      <w:r w:rsidRPr="00B06402">
        <w:rPr>
          <w:lang w:val="en-GB"/>
        </w:rPr>
        <w:t xml:space="preserve">In the second part, </w:t>
      </w:r>
      <w:r w:rsidR="004C41FF" w:rsidRPr="00B06402">
        <w:rPr>
          <w:lang w:val="en-GB"/>
        </w:rPr>
        <w:t xml:space="preserve">an </w:t>
      </w:r>
      <w:r w:rsidR="00B06402" w:rsidRPr="00B06402">
        <w:rPr>
          <w:lang w:val="en-GB"/>
        </w:rPr>
        <w:t>open-ended</w:t>
      </w:r>
      <w:r w:rsidR="004C41FF" w:rsidRPr="00B06402">
        <w:rPr>
          <w:lang w:val="en-GB"/>
        </w:rPr>
        <w:t xml:space="preserve"> questionnaire </w:t>
      </w:r>
      <w:r w:rsidR="00810CAF" w:rsidRPr="00B06402">
        <w:rPr>
          <w:lang w:val="en-GB"/>
        </w:rPr>
        <w:t xml:space="preserve">was provided where </w:t>
      </w:r>
      <w:r w:rsidR="004C41FF" w:rsidRPr="00B06402">
        <w:rPr>
          <w:lang w:val="en-GB"/>
        </w:rPr>
        <w:t>participants were ask</w:t>
      </w:r>
      <w:r w:rsidR="00B06402" w:rsidRPr="00B06402">
        <w:rPr>
          <w:lang w:val="en-GB"/>
        </w:rPr>
        <w:t>ed</w:t>
      </w:r>
      <w:r w:rsidR="004C41FF" w:rsidRPr="00B06402">
        <w:rPr>
          <w:lang w:val="en-GB"/>
        </w:rPr>
        <w:t xml:space="preserve"> </w:t>
      </w:r>
      <w:r w:rsidR="00B06402">
        <w:rPr>
          <w:lang w:val="en-GB"/>
        </w:rPr>
        <w:t>to reflect</w:t>
      </w:r>
      <w:r w:rsidR="004C41FF" w:rsidRPr="00B06402">
        <w:rPr>
          <w:lang w:val="en-GB"/>
        </w:rPr>
        <w:t xml:space="preserve"> their opinion </w:t>
      </w:r>
      <w:r w:rsidR="00B06402">
        <w:rPr>
          <w:lang w:val="en-GB"/>
        </w:rPr>
        <w:t>with respect to</w:t>
      </w:r>
      <w:r w:rsidR="004C41FF" w:rsidRPr="00B06402">
        <w:rPr>
          <w:lang w:val="en-GB"/>
        </w:rPr>
        <w:t xml:space="preserve"> the most </w:t>
      </w:r>
      <w:r w:rsidR="00B06402">
        <w:rPr>
          <w:lang w:val="en-GB"/>
        </w:rPr>
        <w:t>needed</w:t>
      </w:r>
      <w:r w:rsidR="004C41FF" w:rsidRPr="00B06402">
        <w:rPr>
          <w:lang w:val="en-GB"/>
        </w:rPr>
        <w:t xml:space="preserve"> skills for </w:t>
      </w:r>
      <w:r w:rsidR="00B06402">
        <w:rPr>
          <w:lang w:val="en-GB"/>
        </w:rPr>
        <w:t>succeeding in hackathon</w:t>
      </w:r>
      <w:r w:rsidR="004C41FF" w:rsidRPr="00B06402">
        <w:rPr>
          <w:lang w:val="en-GB"/>
        </w:rPr>
        <w:t xml:space="preserve"> challenge</w:t>
      </w:r>
      <w:r w:rsidR="00B06402">
        <w:rPr>
          <w:lang w:val="en-GB"/>
        </w:rPr>
        <w:t>. The questionnaire was</w:t>
      </w:r>
      <w:r w:rsidR="004C41FF" w:rsidRPr="00B06402">
        <w:rPr>
          <w:lang w:val="en-GB"/>
        </w:rPr>
        <w:t xml:space="preserve"> presented </w:t>
      </w:r>
      <w:r w:rsidR="00B06402">
        <w:rPr>
          <w:lang w:val="en-GB"/>
        </w:rPr>
        <w:t xml:space="preserve">to participants </w:t>
      </w:r>
      <w:r w:rsidR="004C41FF" w:rsidRPr="00B06402">
        <w:rPr>
          <w:lang w:val="en-GB"/>
        </w:rPr>
        <w:t>twice</w:t>
      </w:r>
      <w:r w:rsidR="00B06402">
        <w:rPr>
          <w:lang w:val="en-GB"/>
        </w:rPr>
        <w:t>,</w:t>
      </w:r>
      <w:r w:rsidR="004C41FF" w:rsidRPr="00B06402">
        <w:rPr>
          <w:lang w:val="en-GB"/>
        </w:rPr>
        <w:t xml:space="preserve"> prior and following the event. In addition</w:t>
      </w:r>
      <w:r w:rsidR="00B06402">
        <w:rPr>
          <w:lang w:val="en-GB"/>
        </w:rPr>
        <w:t>,</w:t>
      </w:r>
      <w:r w:rsidR="004C41FF" w:rsidRPr="00B06402">
        <w:rPr>
          <w:lang w:val="en-GB"/>
        </w:rPr>
        <w:t xml:space="preserve"> students were asked to emphasize any change</w:t>
      </w:r>
      <w:r w:rsidR="00B06402">
        <w:rPr>
          <w:lang w:val="en-GB"/>
        </w:rPr>
        <w:t xml:space="preserve"> they</w:t>
      </w:r>
      <w:r w:rsidR="004C41FF" w:rsidRPr="00B06402">
        <w:rPr>
          <w:lang w:val="en-GB"/>
        </w:rPr>
        <w:t xml:space="preserve"> expe</w:t>
      </w:r>
      <w:r w:rsidR="004C41FF" w:rsidRPr="00B06402">
        <w:rPr>
          <w:lang w:val="en-GB"/>
        </w:rPr>
        <w:t xml:space="preserve">rienced. </w:t>
      </w:r>
      <w:r w:rsidR="00B06402">
        <w:rPr>
          <w:lang w:val="en-GB"/>
        </w:rPr>
        <w:t>In addition</w:t>
      </w:r>
      <w:r w:rsidR="004C41FF" w:rsidRPr="00B06402">
        <w:rPr>
          <w:lang w:val="en-GB"/>
        </w:rPr>
        <w:t>, an un-biased observer of the faculty staff</w:t>
      </w:r>
      <w:r w:rsidR="00462350">
        <w:rPr>
          <w:lang w:val="en-GB"/>
        </w:rPr>
        <w:t xml:space="preserve">, that participated in this part, </w:t>
      </w:r>
      <w:r w:rsidR="004C41FF" w:rsidRPr="00B06402">
        <w:rPr>
          <w:lang w:val="en-GB"/>
        </w:rPr>
        <w:t xml:space="preserve">was asked to </w:t>
      </w:r>
      <w:r w:rsidR="00B06402">
        <w:rPr>
          <w:lang w:val="en-GB"/>
        </w:rPr>
        <w:t xml:space="preserve">report </w:t>
      </w:r>
      <w:r w:rsidR="00462350">
        <w:rPr>
          <w:lang w:val="en-GB"/>
        </w:rPr>
        <w:t xml:space="preserve">his </w:t>
      </w:r>
      <w:r w:rsidR="00B06402">
        <w:rPr>
          <w:lang w:val="en-GB"/>
        </w:rPr>
        <w:t>observations</w:t>
      </w:r>
      <w:r w:rsidR="00462350">
        <w:rPr>
          <w:lang w:val="en-GB"/>
        </w:rPr>
        <w:t xml:space="preserve"> related to participant perception of needed skills</w:t>
      </w:r>
      <w:r w:rsidR="004C41FF" w:rsidRPr="00B06402">
        <w:rPr>
          <w:lang w:val="en-GB"/>
        </w:rPr>
        <w:t>.</w:t>
      </w:r>
    </w:p>
    <w:p w14:paraId="4A9DC4D4" w14:textId="77777777" w:rsidR="00E20841" w:rsidRDefault="004C41FF">
      <w:pPr>
        <w:pStyle w:val="Heading1"/>
      </w:pPr>
      <w:r>
        <w:t>Findings</w:t>
      </w:r>
    </w:p>
    <w:p w14:paraId="2194C3F2" w14:textId="2B92B3EA" w:rsidR="00E20841" w:rsidRDefault="004C41FF">
      <w:pPr>
        <w:rPr>
          <w:lang w:bidi="he-IL"/>
        </w:rPr>
      </w:pPr>
      <w:r w:rsidRPr="00483966">
        <w:rPr>
          <w:lang w:val="en-GB"/>
        </w:rPr>
        <w:t>An analysis of student</w:t>
      </w:r>
      <w:r w:rsidR="00483966" w:rsidRPr="00483966">
        <w:rPr>
          <w:lang w:val="en-GB"/>
        </w:rPr>
        <w:t>s’</w:t>
      </w:r>
      <w:r w:rsidRPr="00483966">
        <w:rPr>
          <w:lang w:val="en-GB"/>
        </w:rPr>
        <w:t xml:space="preserve"> answers, </w:t>
      </w:r>
      <w:r w:rsidR="00483966" w:rsidRPr="00483966">
        <w:rPr>
          <w:lang w:val="en-GB"/>
        </w:rPr>
        <w:t>has been</w:t>
      </w:r>
      <w:r w:rsidRPr="00483966">
        <w:rPr>
          <w:lang w:val="en-GB"/>
        </w:rPr>
        <w:t xml:space="preserve"> performed on </w:t>
      </w:r>
      <w:r w:rsidR="00483966" w:rsidRPr="00483966">
        <w:rPr>
          <w:lang w:val="en-GB"/>
        </w:rPr>
        <w:t>pre-</w:t>
      </w:r>
      <w:r w:rsidRPr="00483966">
        <w:rPr>
          <w:lang w:val="en-GB"/>
        </w:rPr>
        <w:t xml:space="preserve"> and </w:t>
      </w:r>
      <w:r w:rsidR="00483966" w:rsidRPr="00483966">
        <w:rPr>
          <w:lang w:val="en-GB"/>
        </w:rPr>
        <w:t>post</w:t>
      </w:r>
      <w:r w:rsidRPr="00483966">
        <w:rPr>
          <w:lang w:val="en-GB"/>
        </w:rPr>
        <w:t xml:space="preserve"> event results</w:t>
      </w:r>
      <w:r w:rsidRPr="00483966">
        <w:rPr>
          <w:lang w:bidi="he-IL"/>
        </w:rPr>
        <w:t>, aiming to understand whether the technological challenge alter</w:t>
      </w:r>
      <w:r w:rsidRPr="00483966">
        <w:rPr>
          <w:lang w:bidi="he-IL"/>
        </w:rPr>
        <w:t>ed student view of essential skills.</w:t>
      </w:r>
    </w:p>
    <w:p w14:paraId="24E9DA15" w14:textId="77777777" w:rsidR="006A636B" w:rsidRPr="00B55A4F" w:rsidRDefault="006A636B" w:rsidP="006A636B">
      <w:pPr>
        <w:pStyle w:val="Heading2"/>
        <w:rPr>
          <w:lang w:val="en-GB"/>
        </w:rPr>
      </w:pPr>
      <w:r w:rsidRPr="00B55A4F">
        <w:rPr>
          <w:lang w:val="en-GB"/>
        </w:rPr>
        <w:t xml:space="preserve">Analysis of the open-ended qualitative data </w:t>
      </w:r>
    </w:p>
    <w:p w14:paraId="3A601765" w14:textId="77777777" w:rsidR="006A636B" w:rsidRDefault="006A636B" w:rsidP="006A636B">
      <w:pPr>
        <w:rPr>
          <w:lang w:val="en-GB"/>
        </w:rPr>
      </w:pPr>
      <w:r w:rsidRPr="00B55A4F">
        <w:rPr>
          <w:lang w:val="en-GB"/>
        </w:rPr>
        <w:t>The analysis of the qualitative data allows identifying the shift in views</w:t>
      </w:r>
      <w:r w:rsidRPr="00B55A4F">
        <w:rPr>
          <w:lang w:bidi="he-IL"/>
        </w:rPr>
        <w:t xml:space="preserve">, </w:t>
      </w:r>
      <w:r w:rsidRPr="00B55A4F">
        <w:rPr>
          <w:lang w:val="en-GB"/>
        </w:rPr>
        <w:t>and its interpretation, as well as the main challenges encountered by the participants. Table 1 reflects a partial sample of students’ feedbacks</w:t>
      </w:r>
      <w:r>
        <w:rPr>
          <w:lang w:val="en-GB"/>
        </w:rPr>
        <w:t xml:space="preserve"> accompanied by observer interpreter.  </w:t>
      </w:r>
    </w:p>
    <w:p w14:paraId="136E4746" w14:textId="77777777" w:rsidR="006A636B" w:rsidRPr="00483966" w:rsidRDefault="006A636B" w:rsidP="006A636B">
      <w:pPr>
        <w:pStyle w:val="IATED-CaptionTables"/>
      </w:pPr>
      <w:r w:rsidRPr="00483966">
        <w:t>Table 1. Major success factors as viewed by</w:t>
      </w:r>
      <w:r>
        <w:t xml:space="preserve"> a sample of students</w:t>
      </w:r>
      <w:r w:rsidRPr="00483966">
        <w:t xml:space="preserve"> </w:t>
      </w:r>
      <w:r>
        <w:t>p</w:t>
      </w:r>
      <w:r w:rsidRPr="00483966">
        <w:t>re</w:t>
      </w:r>
      <w:r>
        <w:t>-</w:t>
      </w:r>
      <w:r w:rsidRPr="00483966">
        <w:t xml:space="preserve"> and</w:t>
      </w:r>
      <w:r>
        <w:t xml:space="preserve"> po</w:t>
      </w:r>
      <w:r w:rsidRPr="00483966">
        <w:t>st-event</w:t>
      </w:r>
    </w:p>
    <w:tbl>
      <w:tblPr>
        <w:tblW w:w="0" w:type="auto"/>
        <w:jc w:val="center"/>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993"/>
        <w:gridCol w:w="1701"/>
        <w:gridCol w:w="2551"/>
        <w:gridCol w:w="2232"/>
      </w:tblGrid>
      <w:tr w:rsidR="006A636B" w14:paraId="0A8C2738" w14:textId="77777777" w:rsidTr="000B554D">
        <w:trPr>
          <w:jc w:val="center"/>
        </w:trPr>
        <w:tc>
          <w:tcPr>
            <w:tcW w:w="993" w:type="dxa"/>
            <w:shd w:val="clear" w:color="auto" w:fill="auto"/>
          </w:tcPr>
          <w:p w14:paraId="08B10A25" w14:textId="77777777" w:rsidR="006A636B" w:rsidRDefault="006A636B" w:rsidP="000B554D">
            <w:pPr>
              <w:spacing w:before="80" w:after="40"/>
              <w:rPr>
                <w:b/>
                <w:bCs/>
                <w:lang w:val="en-GB"/>
              </w:rPr>
            </w:pPr>
            <w:r>
              <w:rPr>
                <w:b/>
                <w:bCs/>
                <w:lang w:val="en-GB"/>
              </w:rPr>
              <w:t>Student</w:t>
            </w:r>
          </w:p>
        </w:tc>
        <w:tc>
          <w:tcPr>
            <w:tcW w:w="1701" w:type="dxa"/>
            <w:shd w:val="clear" w:color="auto" w:fill="auto"/>
          </w:tcPr>
          <w:p w14:paraId="0ADEEC62" w14:textId="77777777" w:rsidR="006A636B" w:rsidRDefault="006A636B" w:rsidP="000B554D">
            <w:pPr>
              <w:spacing w:before="80" w:after="40"/>
              <w:jc w:val="center"/>
              <w:rPr>
                <w:b/>
                <w:bCs/>
                <w:lang w:val="en-GB"/>
              </w:rPr>
            </w:pPr>
            <w:r>
              <w:rPr>
                <w:b/>
                <w:bCs/>
                <w:lang w:val="en-GB"/>
              </w:rPr>
              <w:t>Prior</w:t>
            </w:r>
          </w:p>
        </w:tc>
        <w:tc>
          <w:tcPr>
            <w:tcW w:w="2551" w:type="dxa"/>
            <w:shd w:val="clear" w:color="auto" w:fill="auto"/>
          </w:tcPr>
          <w:p w14:paraId="251F3542" w14:textId="77777777" w:rsidR="006A636B" w:rsidRDefault="006A636B" w:rsidP="000B554D">
            <w:pPr>
              <w:spacing w:before="80" w:after="40"/>
              <w:jc w:val="center"/>
              <w:rPr>
                <w:b/>
                <w:bCs/>
                <w:lang w:val="en-GB"/>
              </w:rPr>
            </w:pPr>
            <w:r>
              <w:rPr>
                <w:b/>
                <w:bCs/>
                <w:lang w:val="en-GB"/>
              </w:rPr>
              <w:t>After</w:t>
            </w:r>
          </w:p>
        </w:tc>
        <w:tc>
          <w:tcPr>
            <w:tcW w:w="2232" w:type="dxa"/>
            <w:shd w:val="clear" w:color="auto" w:fill="auto"/>
          </w:tcPr>
          <w:p w14:paraId="394AEDA8" w14:textId="77777777" w:rsidR="006A636B" w:rsidRDefault="006A636B" w:rsidP="000B554D">
            <w:pPr>
              <w:spacing w:before="80" w:after="40"/>
              <w:jc w:val="center"/>
              <w:rPr>
                <w:b/>
                <w:bCs/>
                <w:lang w:val="en-GB"/>
              </w:rPr>
            </w:pPr>
            <w:r>
              <w:rPr>
                <w:b/>
                <w:bCs/>
                <w:lang w:val="en-GB"/>
              </w:rPr>
              <w:t>Observer interpretation</w:t>
            </w:r>
          </w:p>
        </w:tc>
      </w:tr>
      <w:tr w:rsidR="006A636B" w14:paraId="0834D75D" w14:textId="77777777" w:rsidTr="000B554D">
        <w:trPr>
          <w:jc w:val="center"/>
        </w:trPr>
        <w:tc>
          <w:tcPr>
            <w:tcW w:w="993" w:type="dxa"/>
            <w:shd w:val="clear" w:color="auto" w:fill="auto"/>
          </w:tcPr>
          <w:p w14:paraId="3DC93303" w14:textId="77777777" w:rsidR="006A636B" w:rsidRDefault="006A636B" w:rsidP="000B554D">
            <w:pPr>
              <w:spacing w:before="80" w:after="40"/>
              <w:rPr>
                <w:lang w:val="en-GB"/>
              </w:rPr>
            </w:pPr>
            <w:r>
              <w:rPr>
                <w:lang w:val="en-GB"/>
              </w:rPr>
              <w:t>1.</w:t>
            </w:r>
          </w:p>
        </w:tc>
        <w:tc>
          <w:tcPr>
            <w:tcW w:w="1701" w:type="dxa"/>
            <w:shd w:val="clear" w:color="auto" w:fill="auto"/>
          </w:tcPr>
          <w:p w14:paraId="6AB6BF3F" w14:textId="77777777" w:rsidR="006A636B" w:rsidRDefault="006A636B" w:rsidP="000B554D">
            <w:pPr>
              <w:spacing w:before="80" w:after="40"/>
              <w:jc w:val="center"/>
              <w:rPr>
                <w:i/>
                <w:iCs/>
                <w:lang w:val="en-GB"/>
              </w:rPr>
            </w:pPr>
            <w:r>
              <w:rPr>
                <w:i/>
                <w:iCs/>
                <w:lang w:val="en-GB"/>
              </w:rPr>
              <w:t xml:space="preserve">“Technical interest and persistence” </w:t>
            </w:r>
          </w:p>
        </w:tc>
        <w:tc>
          <w:tcPr>
            <w:tcW w:w="2551" w:type="dxa"/>
            <w:shd w:val="clear" w:color="auto" w:fill="auto"/>
          </w:tcPr>
          <w:p w14:paraId="7FD3C6D3" w14:textId="77777777" w:rsidR="006A636B" w:rsidRDefault="006A636B" w:rsidP="000B554D">
            <w:pPr>
              <w:spacing w:before="80" w:after="40"/>
              <w:jc w:val="center"/>
              <w:rPr>
                <w:i/>
                <w:iCs/>
                <w:lang w:val="en-GB"/>
              </w:rPr>
            </w:pPr>
            <w:r>
              <w:rPr>
                <w:i/>
                <w:iCs/>
                <w:lang w:val="en-GB"/>
              </w:rPr>
              <w:t xml:space="preserve">“Teamwork and collaboration…a single person soon </w:t>
            </w:r>
            <w:proofErr w:type="gramStart"/>
            <w:r>
              <w:rPr>
                <w:i/>
                <w:iCs/>
                <w:lang w:val="en-GB"/>
              </w:rPr>
              <w:t>reaches</w:t>
            </w:r>
            <w:proofErr w:type="gramEnd"/>
            <w:r>
              <w:rPr>
                <w:i/>
                <w:iCs/>
                <w:lang w:val="en-GB"/>
              </w:rPr>
              <w:t xml:space="preserve"> a saturation” </w:t>
            </w:r>
          </w:p>
        </w:tc>
        <w:tc>
          <w:tcPr>
            <w:tcW w:w="2232" w:type="dxa"/>
            <w:shd w:val="clear" w:color="auto" w:fill="auto"/>
          </w:tcPr>
          <w:p w14:paraId="7A7F7EEA" w14:textId="77777777" w:rsidR="006A636B" w:rsidRDefault="006A636B" w:rsidP="000B554D">
            <w:pPr>
              <w:spacing w:before="80" w:after="40"/>
              <w:jc w:val="center"/>
              <w:rPr>
                <w:lang w:val="en-GB"/>
              </w:rPr>
            </w:pPr>
            <w:r>
              <w:rPr>
                <w:lang w:val="en-GB"/>
              </w:rPr>
              <w:t xml:space="preserve">Acknowledging the limitation of an individual and adopting to teamwork  </w:t>
            </w:r>
          </w:p>
        </w:tc>
      </w:tr>
      <w:tr w:rsidR="006A636B" w14:paraId="5874372D" w14:textId="77777777" w:rsidTr="000B554D">
        <w:trPr>
          <w:jc w:val="center"/>
        </w:trPr>
        <w:tc>
          <w:tcPr>
            <w:tcW w:w="993" w:type="dxa"/>
            <w:shd w:val="clear" w:color="auto" w:fill="auto"/>
          </w:tcPr>
          <w:p w14:paraId="6E36C41A" w14:textId="77777777" w:rsidR="006A636B" w:rsidRDefault="006A636B" w:rsidP="000B554D">
            <w:pPr>
              <w:spacing w:before="80" w:after="40"/>
              <w:rPr>
                <w:lang w:val="en-GB"/>
              </w:rPr>
            </w:pPr>
            <w:r>
              <w:rPr>
                <w:lang w:val="en-GB"/>
              </w:rPr>
              <w:t>2.</w:t>
            </w:r>
          </w:p>
        </w:tc>
        <w:tc>
          <w:tcPr>
            <w:tcW w:w="1701" w:type="dxa"/>
            <w:shd w:val="clear" w:color="auto" w:fill="auto"/>
          </w:tcPr>
          <w:p w14:paraId="460E17ED" w14:textId="77777777" w:rsidR="006A636B" w:rsidRDefault="006A636B" w:rsidP="000B554D">
            <w:pPr>
              <w:spacing w:before="80" w:after="40"/>
              <w:jc w:val="center"/>
              <w:rPr>
                <w:i/>
                <w:iCs/>
                <w:lang w:val="en-GB"/>
              </w:rPr>
            </w:pPr>
            <w:r>
              <w:rPr>
                <w:i/>
                <w:iCs/>
                <w:lang w:val="en-GB"/>
              </w:rPr>
              <w:t xml:space="preserve">“Identification of the problem and rapid implantation of a unique solution”  </w:t>
            </w:r>
          </w:p>
        </w:tc>
        <w:tc>
          <w:tcPr>
            <w:tcW w:w="2551" w:type="dxa"/>
            <w:shd w:val="clear" w:color="auto" w:fill="auto"/>
          </w:tcPr>
          <w:p w14:paraId="25B8A9F4" w14:textId="77777777" w:rsidR="006A636B" w:rsidRDefault="006A636B" w:rsidP="000B554D">
            <w:pPr>
              <w:spacing w:before="80" w:after="40"/>
              <w:jc w:val="center"/>
              <w:rPr>
                <w:i/>
                <w:iCs/>
                <w:lang w:val="en-GB"/>
              </w:rPr>
            </w:pPr>
            <w:r>
              <w:rPr>
                <w:i/>
                <w:iCs/>
                <w:lang w:val="en-GB"/>
              </w:rPr>
              <w:t>“a better preparation was needed …Verilog workshop in particular “</w:t>
            </w:r>
          </w:p>
        </w:tc>
        <w:tc>
          <w:tcPr>
            <w:tcW w:w="2232" w:type="dxa"/>
            <w:shd w:val="clear" w:color="auto" w:fill="auto"/>
          </w:tcPr>
          <w:p w14:paraId="385CBABA" w14:textId="77777777" w:rsidR="006A636B" w:rsidRDefault="006A636B" w:rsidP="000B554D">
            <w:pPr>
              <w:spacing w:before="80" w:after="40"/>
              <w:jc w:val="center"/>
              <w:rPr>
                <w:lang w:val="en-GB"/>
              </w:rPr>
            </w:pPr>
            <w:r>
              <w:rPr>
                <w:lang w:val="en-GB"/>
              </w:rPr>
              <w:t>The task presented the student with a knowledge gap he failed to fill</w:t>
            </w:r>
          </w:p>
        </w:tc>
      </w:tr>
      <w:tr w:rsidR="006A636B" w14:paraId="2530BA5E" w14:textId="77777777" w:rsidTr="000B554D">
        <w:trPr>
          <w:jc w:val="center"/>
        </w:trPr>
        <w:tc>
          <w:tcPr>
            <w:tcW w:w="993" w:type="dxa"/>
            <w:shd w:val="clear" w:color="auto" w:fill="auto"/>
          </w:tcPr>
          <w:p w14:paraId="7D75AFBB" w14:textId="77777777" w:rsidR="006A636B" w:rsidRDefault="006A636B" w:rsidP="000B554D">
            <w:pPr>
              <w:spacing w:before="80" w:after="40"/>
            </w:pPr>
            <w:r>
              <w:t>3.</w:t>
            </w:r>
          </w:p>
        </w:tc>
        <w:tc>
          <w:tcPr>
            <w:tcW w:w="1701" w:type="dxa"/>
            <w:shd w:val="clear" w:color="auto" w:fill="auto"/>
          </w:tcPr>
          <w:p w14:paraId="26E398D7" w14:textId="77777777" w:rsidR="006A636B" w:rsidRDefault="006A636B" w:rsidP="000B554D">
            <w:pPr>
              <w:spacing w:before="80" w:after="40"/>
              <w:jc w:val="center"/>
              <w:rPr>
                <w:i/>
                <w:iCs/>
                <w:lang w:val="en-GB"/>
              </w:rPr>
            </w:pPr>
            <w:r>
              <w:rPr>
                <w:i/>
                <w:iCs/>
                <w:lang w:val="en-GB"/>
              </w:rPr>
              <w:t>“Persistence and knowhow”</w:t>
            </w:r>
          </w:p>
        </w:tc>
        <w:tc>
          <w:tcPr>
            <w:tcW w:w="2551" w:type="dxa"/>
            <w:shd w:val="clear" w:color="auto" w:fill="auto"/>
          </w:tcPr>
          <w:p w14:paraId="046B25FC" w14:textId="77777777" w:rsidR="006A636B" w:rsidRDefault="006A636B" w:rsidP="000B554D">
            <w:pPr>
              <w:spacing w:before="80" w:after="40"/>
              <w:jc w:val="center"/>
              <w:rPr>
                <w:lang w:val="en-GB"/>
              </w:rPr>
            </w:pPr>
            <w:r>
              <w:rPr>
                <w:i/>
                <w:iCs/>
                <w:lang w:val="en-GB"/>
              </w:rPr>
              <w:t>“Persistence knowhow, self-learning abilities and understating Software-Hardware interfacing”</w:t>
            </w:r>
          </w:p>
        </w:tc>
        <w:tc>
          <w:tcPr>
            <w:tcW w:w="2232" w:type="dxa"/>
            <w:shd w:val="clear" w:color="auto" w:fill="auto"/>
          </w:tcPr>
          <w:p w14:paraId="1D9CD8AA" w14:textId="77777777" w:rsidR="006A636B" w:rsidRDefault="006A636B" w:rsidP="000B554D">
            <w:pPr>
              <w:spacing w:before="80" w:after="40"/>
              <w:jc w:val="center"/>
              <w:rPr>
                <w:lang w:val="en-GB"/>
              </w:rPr>
            </w:pPr>
            <w:r>
              <w:rPr>
                <w:lang w:val="en-GB"/>
              </w:rPr>
              <w:t>The task presented the student with a knowledge gap she partially overcame</w:t>
            </w:r>
          </w:p>
        </w:tc>
      </w:tr>
      <w:tr w:rsidR="006A636B" w14:paraId="502AB12B" w14:textId="77777777" w:rsidTr="000B554D">
        <w:trPr>
          <w:jc w:val="center"/>
        </w:trPr>
        <w:tc>
          <w:tcPr>
            <w:tcW w:w="993" w:type="dxa"/>
            <w:shd w:val="clear" w:color="auto" w:fill="auto"/>
          </w:tcPr>
          <w:p w14:paraId="596A5BFF" w14:textId="77777777" w:rsidR="006A636B" w:rsidRDefault="006A636B" w:rsidP="000B554D">
            <w:pPr>
              <w:spacing w:before="80" w:after="40"/>
              <w:rPr>
                <w:lang w:val="en-GB"/>
              </w:rPr>
            </w:pPr>
            <w:r>
              <w:rPr>
                <w:lang w:val="en-GB"/>
              </w:rPr>
              <w:t>4.</w:t>
            </w:r>
          </w:p>
        </w:tc>
        <w:tc>
          <w:tcPr>
            <w:tcW w:w="1701" w:type="dxa"/>
            <w:shd w:val="clear" w:color="auto" w:fill="auto"/>
          </w:tcPr>
          <w:p w14:paraId="60583A26" w14:textId="77777777" w:rsidR="006A636B" w:rsidRDefault="006A636B" w:rsidP="000B554D">
            <w:pPr>
              <w:spacing w:before="80" w:after="40"/>
              <w:jc w:val="center"/>
              <w:rPr>
                <w:lang w:val="en-GB"/>
              </w:rPr>
            </w:pPr>
            <w:r>
              <w:rPr>
                <w:lang w:val="en-GB"/>
              </w:rPr>
              <w:t>--</w:t>
            </w:r>
          </w:p>
        </w:tc>
        <w:tc>
          <w:tcPr>
            <w:tcW w:w="2551" w:type="dxa"/>
            <w:shd w:val="clear" w:color="auto" w:fill="auto"/>
          </w:tcPr>
          <w:p w14:paraId="33BBAEF4" w14:textId="77777777" w:rsidR="006A636B" w:rsidRDefault="006A636B" w:rsidP="000B554D">
            <w:pPr>
              <w:spacing w:before="80" w:after="40"/>
              <w:jc w:val="center"/>
              <w:rPr>
                <w:i/>
                <w:iCs/>
                <w:lang w:val="en-GB"/>
              </w:rPr>
            </w:pPr>
            <w:r>
              <w:rPr>
                <w:lang w:val="en-GB"/>
              </w:rPr>
              <w:t>“P</w:t>
            </w:r>
            <w:r>
              <w:rPr>
                <w:i/>
                <w:iCs/>
                <w:lang w:val="en-GB"/>
              </w:rPr>
              <w:t>rior knowledge, ability to fragment the problem into smaller parts, teamwork and high-level perspective”</w:t>
            </w:r>
          </w:p>
        </w:tc>
        <w:tc>
          <w:tcPr>
            <w:tcW w:w="2232" w:type="dxa"/>
            <w:shd w:val="clear" w:color="auto" w:fill="auto"/>
          </w:tcPr>
          <w:p w14:paraId="423396BD" w14:textId="77777777" w:rsidR="006A636B" w:rsidRDefault="006A636B" w:rsidP="000B554D">
            <w:pPr>
              <w:spacing w:before="80" w:after="40"/>
              <w:jc w:val="center"/>
              <w:rPr>
                <w:lang w:val="en-GB"/>
              </w:rPr>
            </w:pPr>
            <w:r>
              <w:rPr>
                <w:lang w:val="en-GB"/>
              </w:rPr>
              <w:t xml:space="preserve">The task presented the student with a knowledge gap she overcame via teamwork and self-paced learning </w:t>
            </w:r>
          </w:p>
        </w:tc>
      </w:tr>
    </w:tbl>
    <w:p w14:paraId="10DB96AA" w14:textId="77777777" w:rsidR="006A636B" w:rsidRPr="00B55A4F" w:rsidRDefault="006A636B" w:rsidP="006A636B">
      <w:pPr>
        <w:rPr>
          <w:lang w:val="en-GB"/>
        </w:rPr>
      </w:pPr>
      <w:r w:rsidRPr="00B55A4F">
        <w:rPr>
          <w:lang w:val="en-GB"/>
        </w:rPr>
        <w:t xml:space="preserve">Overall, the finding suggests that most of the teams found the technical hurdle somehow highly challenging to overcome. Some of the students (such as student 2 In Table 1) have chosen not to complete the task, while those who have demonstrated persistence found support through teamwork. Therefore, we conclude that the hackathon challenge has been perceived by the students as highly challenging and demanding.  </w:t>
      </w:r>
    </w:p>
    <w:p w14:paraId="360CD23A" w14:textId="77777777" w:rsidR="006A636B" w:rsidRPr="006A636B" w:rsidRDefault="006A636B" w:rsidP="006A636B">
      <w:pPr>
        <w:bidi/>
        <w:rPr>
          <w:rFonts w:hint="cs"/>
          <w:rtl/>
          <w:lang w:val="en-GB" w:bidi="he-IL"/>
        </w:rPr>
      </w:pPr>
    </w:p>
    <w:p w14:paraId="509BF4ED" w14:textId="77777777" w:rsidR="00E20841" w:rsidRPr="00581F8C" w:rsidRDefault="004C41FF">
      <w:pPr>
        <w:pStyle w:val="Heading2"/>
        <w:rPr>
          <w:lang w:val="en-GB"/>
        </w:rPr>
      </w:pPr>
      <w:r w:rsidRPr="00581F8C">
        <w:rPr>
          <w:lang w:val="en-GB"/>
        </w:rPr>
        <w:t>Analysis of</w:t>
      </w:r>
      <w:r w:rsidRPr="00581F8C">
        <w:rPr>
          <w:lang w:val="en-GB"/>
        </w:rPr>
        <w:t xml:space="preserve"> the statements grading data   </w:t>
      </w:r>
    </w:p>
    <w:p w14:paraId="0A100AEF" w14:textId="1964B641" w:rsidR="00E20841" w:rsidRPr="00581F8C" w:rsidRDefault="004C41FF" w:rsidP="00581F8C">
      <w:pPr>
        <w:rPr>
          <w:lang w:val="en-GB"/>
        </w:rPr>
      </w:pPr>
      <w:r w:rsidRPr="00581F8C">
        <w:rPr>
          <w:lang w:val="en-GB"/>
        </w:rPr>
        <w:t xml:space="preserve">The </w:t>
      </w:r>
      <w:r w:rsidRPr="00581F8C">
        <w:rPr>
          <w:lang w:val="en-GB"/>
        </w:rPr>
        <w:t xml:space="preserve">20 statements, were graded by the students from 1 (not relevant at all) to 5 (very much needed for the hackathon success), </w:t>
      </w:r>
      <w:r w:rsidR="00581F8C" w:rsidRPr="00581F8C">
        <w:rPr>
          <w:lang w:val="en-GB"/>
        </w:rPr>
        <w:t>producing a</w:t>
      </w:r>
      <w:r w:rsidRPr="00581F8C">
        <w:rPr>
          <w:lang w:val="en-GB"/>
        </w:rPr>
        <w:t xml:space="preserve"> maximal </w:t>
      </w:r>
      <w:r w:rsidRPr="00581F8C">
        <w:rPr>
          <w:lang w:val="en-GB"/>
        </w:rPr>
        <w:t>final grade</w:t>
      </w:r>
      <w:r w:rsidR="00581F8C" w:rsidRPr="00581F8C">
        <w:rPr>
          <w:lang w:val="en-GB"/>
        </w:rPr>
        <w:t xml:space="preserve"> of 100. </w:t>
      </w:r>
      <w:r w:rsidRPr="00581F8C">
        <w:rPr>
          <w:lang w:val="en-GB"/>
        </w:rPr>
        <w:t xml:space="preserve"> </w:t>
      </w:r>
      <w:r w:rsidR="00581F8C" w:rsidRPr="00581F8C">
        <w:rPr>
          <w:lang w:val="en-GB"/>
        </w:rPr>
        <w:t>The pre-task calculated grade is 83 while the post-task grade is 85. This observation may suggest that</w:t>
      </w:r>
      <w:r w:rsidRPr="00581F8C">
        <w:rPr>
          <w:lang w:val="en-GB"/>
        </w:rPr>
        <w:t xml:space="preserve"> students view of essential skills </w:t>
      </w:r>
      <w:r w:rsidR="00581F8C" w:rsidRPr="00581F8C">
        <w:rPr>
          <w:lang w:val="en-GB"/>
        </w:rPr>
        <w:t>did not change</w:t>
      </w:r>
      <w:r w:rsidR="00F06388">
        <w:rPr>
          <w:lang w:val="en-GB"/>
        </w:rPr>
        <w:t xml:space="preserve"> on average</w:t>
      </w:r>
      <w:r w:rsidR="00581F8C" w:rsidRPr="00581F8C">
        <w:rPr>
          <w:lang w:val="en-GB"/>
        </w:rPr>
        <w:t>.</w:t>
      </w:r>
    </w:p>
    <w:p w14:paraId="199267EB" w14:textId="77777777" w:rsidR="00E20841" w:rsidRPr="00581F8C" w:rsidRDefault="004C41FF">
      <w:pPr>
        <w:pStyle w:val="Heading3"/>
        <w:rPr>
          <w:lang w:val="en-GB"/>
        </w:rPr>
      </w:pPr>
      <w:r w:rsidRPr="00581F8C">
        <w:rPr>
          <w:lang w:val="en-GB"/>
        </w:rPr>
        <w:t>Distinct statements or students</w:t>
      </w:r>
    </w:p>
    <w:p w14:paraId="1C632B17" w14:textId="51608179" w:rsidR="00E20841" w:rsidRPr="00753F58" w:rsidRDefault="006022C2" w:rsidP="006A636B">
      <w:pPr>
        <w:rPr>
          <w:lang w:bidi="he-IL"/>
        </w:rPr>
      </w:pPr>
      <w:r w:rsidRPr="00753F58">
        <w:rPr>
          <w:lang w:bidi="he-IL"/>
        </w:rPr>
        <w:t xml:space="preserve">As part of our data analysis, we have examined the answers or every statement in the questionnaire prior and post hackathon event. Similar to the overall grade which did not exhibit a major difference pre-hackathon and post-hackathon, the answers for every statement also exhibited a high-level of similarity. </w:t>
      </w:r>
      <w:r w:rsidR="004C41FF" w:rsidRPr="00753F58">
        <w:rPr>
          <w:lang w:bidi="he-IL"/>
        </w:rPr>
        <w:t xml:space="preserve">The only meaningful </w:t>
      </w:r>
      <w:r w:rsidRPr="00753F58">
        <w:rPr>
          <w:lang w:bidi="he-IL"/>
        </w:rPr>
        <w:t xml:space="preserve">observed </w:t>
      </w:r>
      <w:r w:rsidR="004C41FF" w:rsidRPr="00753F58">
        <w:rPr>
          <w:lang w:bidi="he-IL"/>
        </w:rPr>
        <w:t xml:space="preserve">deviation </w:t>
      </w:r>
      <w:r w:rsidRPr="00753F58">
        <w:rPr>
          <w:lang w:bidi="he-IL"/>
        </w:rPr>
        <w:t>was related to the statement</w:t>
      </w:r>
      <w:r w:rsidR="004C41FF" w:rsidRPr="00753F58">
        <w:rPr>
          <w:lang w:bidi="he-IL"/>
        </w:rPr>
        <w:t xml:space="preserve"> “Ability to secure knowledge and technical resources for the project”</w:t>
      </w:r>
      <w:r w:rsidRPr="00753F58">
        <w:rPr>
          <w:lang w:bidi="he-IL"/>
        </w:rPr>
        <w:t>.</w:t>
      </w:r>
      <w:r w:rsidR="004C41FF" w:rsidRPr="00753F58">
        <w:rPr>
          <w:lang w:bidi="he-IL"/>
        </w:rPr>
        <w:t xml:space="preserve"> </w:t>
      </w:r>
      <w:r w:rsidR="00DD73C6" w:rsidRPr="00753F58">
        <w:rPr>
          <w:lang w:bidi="he-IL"/>
        </w:rPr>
        <w:t>The pre-hackathon calculated average was</w:t>
      </w:r>
      <w:r w:rsidR="004C41FF" w:rsidRPr="00753F58">
        <w:rPr>
          <w:lang w:bidi="he-IL"/>
        </w:rPr>
        <w:t xml:space="preserve"> 3.6</w:t>
      </w:r>
      <w:r w:rsidR="00DD73C6" w:rsidRPr="00753F58">
        <w:rPr>
          <w:lang w:bidi="he-IL"/>
        </w:rPr>
        <w:t xml:space="preserve">, while the post event average was </w:t>
      </w:r>
      <w:r w:rsidR="004C41FF" w:rsidRPr="00753F58">
        <w:rPr>
          <w:lang w:bidi="he-IL"/>
        </w:rPr>
        <w:t>4.6</w:t>
      </w:r>
      <w:r w:rsidR="00DD73C6" w:rsidRPr="00753F58">
        <w:rPr>
          <w:lang w:bidi="he-IL"/>
        </w:rPr>
        <w:t>. This observation indicate</w:t>
      </w:r>
      <w:r w:rsidR="006A636B" w:rsidRPr="00753F58">
        <w:rPr>
          <w:lang w:bidi="he-IL"/>
        </w:rPr>
        <w:t>s</w:t>
      </w:r>
      <w:r w:rsidR="00DD73C6" w:rsidRPr="00753F58">
        <w:rPr>
          <w:lang w:bidi="he-IL"/>
        </w:rPr>
        <w:t xml:space="preserve"> that </w:t>
      </w:r>
      <w:r w:rsidR="004C41FF" w:rsidRPr="00753F58">
        <w:rPr>
          <w:lang w:bidi="he-IL"/>
        </w:rPr>
        <w:t xml:space="preserve">the </w:t>
      </w:r>
      <w:r w:rsidR="006A636B" w:rsidRPr="00753F58">
        <w:rPr>
          <w:lang w:bidi="he-IL"/>
        </w:rPr>
        <w:t xml:space="preserve">participants </w:t>
      </w:r>
      <w:r w:rsidR="004C41FF" w:rsidRPr="00753F58">
        <w:rPr>
          <w:lang w:bidi="he-IL"/>
        </w:rPr>
        <w:t xml:space="preserve">mindset </w:t>
      </w:r>
      <w:r w:rsidR="006A636B" w:rsidRPr="00753F58">
        <w:rPr>
          <w:lang w:bidi="he-IL"/>
        </w:rPr>
        <w:t xml:space="preserve">has </w:t>
      </w:r>
      <w:r w:rsidR="004C41FF" w:rsidRPr="00753F58">
        <w:rPr>
          <w:lang w:bidi="he-IL"/>
        </w:rPr>
        <w:t>change from a personal task to a wider team challenge.</w:t>
      </w:r>
      <w:r w:rsidR="006A636B" w:rsidRPr="00753F58">
        <w:rPr>
          <w:lang w:bidi="he-IL"/>
        </w:rPr>
        <w:t xml:space="preserve"> An </w:t>
      </w:r>
      <w:r w:rsidR="004C41FF" w:rsidRPr="00753F58">
        <w:rPr>
          <w:lang w:bidi="he-IL"/>
        </w:rPr>
        <w:t xml:space="preserve">additional </w:t>
      </w:r>
      <w:r w:rsidR="006A636B" w:rsidRPr="00753F58">
        <w:rPr>
          <w:lang w:bidi="he-IL"/>
        </w:rPr>
        <w:t xml:space="preserve">examination of the scoring of every individual student prior and after the event was performed in order to detect anomalies. </w:t>
      </w:r>
      <w:r w:rsidR="004C41FF" w:rsidRPr="00753F58">
        <w:rPr>
          <w:lang w:bidi="he-IL"/>
        </w:rPr>
        <w:t xml:space="preserve">The results </w:t>
      </w:r>
      <w:r w:rsidR="006A636B" w:rsidRPr="00753F58">
        <w:rPr>
          <w:lang w:bidi="he-IL"/>
        </w:rPr>
        <w:t>indicate</w:t>
      </w:r>
      <w:r w:rsidR="004C41FF" w:rsidRPr="00753F58">
        <w:rPr>
          <w:lang w:bidi="he-IL"/>
        </w:rPr>
        <w:t xml:space="preserve"> that </w:t>
      </w:r>
      <w:r w:rsidR="006A636B" w:rsidRPr="00753F58">
        <w:rPr>
          <w:lang w:bidi="he-IL"/>
        </w:rPr>
        <w:t xml:space="preserve">the </w:t>
      </w:r>
      <w:r w:rsidR="004C41FF" w:rsidRPr="00753F58">
        <w:rPr>
          <w:lang w:bidi="he-IL"/>
        </w:rPr>
        <w:t>majority of the students retained similar final grad</w:t>
      </w:r>
      <w:r w:rsidR="004C41FF" w:rsidRPr="00753F58">
        <w:rPr>
          <w:lang w:bidi="he-IL"/>
        </w:rPr>
        <w:t>e</w:t>
      </w:r>
      <w:r w:rsidR="006A636B" w:rsidRPr="00753F58">
        <w:rPr>
          <w:lang w:bidi="he-IL"/>
        </w:rPr>
        <w:t xml:space="preserve"> (pre and post event)</w:t>
      </w:r>
      <w:r w:rsidR="004C41FF" w:rsidRPr="00753F58">
        <w:rPr>
          <w:lang w:bidi="he-IL"/>
        </w:rPr>
        <w:t xml:space="preserve">, however a minority </w:t>
      </w:r>
      <w:r w:rsidR="006A636B" w:rsidRPr="00753F58">
        <w:rPr>
          <w:lang w:bidi="he-IL"/>
        </w:rPr>
        <w:t xml:space="preserve">of students </w:t>
      </w:r>
      <w:r w:rsidR="004C41FF" w:rsidRPr="00753F58">
        <w:rPr>
          <w:lang w:bidi="he-IL"/>
        </w:rPr>
        <w:t xml:space="preserve">reflected a major change in the success factor final grade. For this observation, it is useful to view the grade of the </w:t>
      </w:r>
      <w:r w:rsidR="004C41FF" w:rsidRPr="00753F58">
        <w:rPr>
          <w:lang w:bidi="he-IL"/>
        </w:rPr>
        <w:t>same</w:t>
      </w:r>
      <w:r w:rsidR="004C41FF" w:rsidRPr="00753F58">
        <w:rPr>
          <w:lang w:bidi="he-IL"/>
        </w:rPr>
        <w:t xml:space="preserve"> students whom their </w:t>
      </w:r>
      <w:r w:rsidR="00753F58" w:rsidRPr="00753F58">
        <w:rPr>
          <w:lang w:bidi="he-IL"/>
        </w:rPr>
        <w:t>open-ended</w:t>
      </w:r>
      <w:r w:rsidR="004C41FF" w:rsidRPr="00753F58">
        <w:rPr>
          <w:lang w:bidi="he-IL"/>
        </w:rPr>
        <w:t xml:space="preserve"> statements are described in Table 1</w:t>
      </w:r>
      <w:r w:rsidR="00753F58" w:rsidRPr="00753F58">
        <w:rPr>
          <w:rFonts w:hint="cs"/>
          <w:rtl/>
          <w:lang w:bidi="he-IL"/>
        </w:rPr>
        <w:t xml:space="preserve"> </w:t>
      </w:r>
      <w:r w:rsidR="004C41FF" w:rsidRPr="00753F58">
        <w:rPr>
          <w:lang w:bidi="he-IL"/>
        </w:rPr>
        <w:t xml:space="preserve"> as shown in Table 2.</w:t>
      </w:r>
    </w:p>
    <w:p w14:paraId="2378DEC2" w14:textId="77777777" w:rsidR="00E20841" w:rsidRPr="00581F8C" w:rsidRDefault="004C41FF">
      <w:pPr>
        <w:pStyle w:val="IATED-CaptionTables"/>
      </w:pPr>
      <w:r w:rsidRPr="00581F8C">
        <w:t>Table 1. Student</w:t>
      </w:r>
      <w:r w:rsidRPr="00581F8C">
        <w:t>’s final sum of success factors grades (partial)</w:t>
      </w:r>
    </w:p>
    <w:tbl>
      <w:tblPr>
        <w:tblW w:w="0" w:type="auto"/>
        <w:jc w:val="center"/>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993"/>
        <w:gridCol w:w="1701"/>
        <w:gridCol w:w="2551"/>
        <w:gridCol w:w="2232"/>
      </w:tblGrid>
      <w:tr w:rsidR="00E20841" w14:paraId="0AF971B8" w14:textId="77777777">
        <w:trPr>
          <w:jc w:val="center"/>
        </w:trPr>
        <w:tc>
          <w:tcPr>
            <w:tcW w:w="993" w:type="dxa"/>
            <w:shd w:val="clear" w:color="auto" w:fill="auto"/>
          </w:tcPr>
          <w:p w14:paraId="6F06844D" w14:textId="77777777" w:rsidR="00E20841" w:rsidRDefault="004C41FF">
            <w:pPr>
              <w:spacing w:before="80" w:after="40"/>
              <w:rPr>
                <w:b/>
                <w:bCs/>
                <w:lang w:val="en-GB"/>
              </w:rPr>
            </w:pPr>
            <w:r>
              <w:rPr>
                <w:b/>
                <w:bCs/>
                <w:lang w:val="en-GB"/>
              </w:rPr>
              <w:t>Student</w:t>
            </w:r>
          </w:p>
        </w:tc>
        <w:tc>
          <w:tcPr>
            <w:tcW w:w="1701" w:type="dxa"/>
            <w:shd w:val="clear" w:color="auto" w:fill="auto"/>
          </w:tcPr>
          <w:p w14:paraId="680E7748" w14:textId="77777777" w:rsidR="00E20841" w:rsidRDefault="004C41FF">
            <w:pPr>
              <w:spacing w:before="80" w:after="40"/>
              <w:jc w:val="center"/>
              <w:rPr>
                <w:b/>
                <w:bCs/>
                <w:lang w:val="en-GB"/>
              </w:rPr>
            </w:pPr>
            <w:r>
              <w:rPr>
                <w:b/>
                <w:bCs/>
                <w:lang w:val="en-GB"/>
              </w:rPr>
              <w:t>Prior Final Grade</w:t>
            </w:r>
          </w:p>
        </w:tc>
        <w:tc>
          <w:tcPr>
            <w:tcW w:w="2551" w:type="dxa"/>
            <w:shd w:val="clear" w:color="auto" w:fill="auto"/>
          </w:tcPr>
          <w:p w14:paraId="0E02E1FF" w14:textId="77777777" w:rsidR="00E20841" w:rsidRDefault="004C41FF">
            <w:pPr>
              <w:spacing w:before="80" w:after="40"/>
              <w:jc w:val="center"/>
              <w:rPr>
                <w:b/>
                <w:bCs/>
                <w:lang w:val="en-GB"/>
              </w:rPr>
            </w:pPr>
            <w:r>
              <w:rPr>
                <w:b/>
                <w:bCs/>
                <w:lang w:val="en-GB"/>
              </w:rPr>
              <w:t>After Event Final Grade</w:t>
            </w:r>
          </w:p>
        </w:tc>
        <w:tc>
          <w:tcPr>
            <w:tcW w:w="2232" w:type="dxa"/>
            <w:shd w:val="clear" w:color="auto" w:fill="auto"/>
          </w:tcPr>
          <w:p w14:paraId="1FA4A923" w14:textId="77777777" w:rsidR="00E20841" w:rsidRDefault="004C41FF">
            <w:pPr>
              <w:spacing w:before="80" w:after="40"/>
              <w:jc w:val="center"/>
              <w:rPr>
                <w:b/>
                <w:bCs/>
                <w:lang w:val="en-GB"/>
              </w:rPr>
            </w:pPr>
            <w:r>
              <w:rPr>
                <w:b/>
                <w:bCs/>
                <w:lang w:val="en-GB"/>
              </w:rPr>
              <w:t>Notes</w:t>
            </w:r>
          </w:p>
        </w:tc>
      </w:tr>
      <w:tr w:rsidR="00E20841" w14:paraId="73F02E3F" w14:textId="77777777">
        <w:trPr>
          <w:jc w:val="center"/>
        </w:trPr>
        <w:tc>
          <w:tcPr>
            <w:tcW w:w="993" w:type="dxa"/>
            <w:shd w:val="clear" w:color="auto" w:fill="auto"/>
          </w:tcPr>
          <w:p w14:paraId="1E8C56B2" w14:textId="77777777" w:rsidR="00E20841" w:rsidRDefault="004C41FF">
            <w:pPr>
              <w:spacing w:before="80" w:after="40"/>
              <w:rPr>
                <w:lang w:val="en-GB"/>
              </w:rPr>
            </w:pPr>
            <w:r>
              <w:rPr>
                <w:lang w:val="en-GB"/>
              </w:rPr>
              <w:t>1.</w:t>
            </w:r>
          </w:p>
        </w:tc>
        <w:tc>
          <w:tcPr>
            <w:tcW w:w="1701" w:type="dxa"/>
            <w:shd w:val="clear" w:color="auto" w:fill="auto"/>
          </w:tcPr>
          <w:p w14:paraId="08E69CA5" w14:textId="77777777" w:rsidR="00E20841" w:rsidRDefault="004C41FF">
            <w:pPr>
              <w:spacing w:before="80" w:after="40"/>
              <w:jc w:val="center"/>
              <w:rPr>
                <w:i/>
                <w:iCs/>
                <w:lang w:val="en-GB"/>
              </w:rPr>
            </w:pPr>
            <w:r>
              <w:rPr>
                <w:i/>
                <w:iCs/>
                <w:lang w:val="en-GB"/>
              </w:rPr>
              <w:t xml:space="preserve">87 </w:t>
            </w:r>
          </w:p>
        </w:tc>
        <w:tc>
          <w:tcPr>
            <w:tcW w:w="2551" w:type="dxa"/>
            <w:shd w:val="clear" w:color="auto" w:fill="auto"/>
          </w:tcPr>
          <w:p w14:paraId="12141F57" w14:textId="77777777" w:rsidR="00E20841" w:rsidRDefault="004C41FF">
            <w:pPr>
              <w:spacing w:before="80" w:after="40"/>
              <w:jc w:val="center"/>
              <w:rPr>
                <w:i/>
                <w:iCs/>
                <w:lang w:val="en-GB"/>
              </w:rPr>
            </w:pPr>
            <w:r>
              <w:rPr>
                <w:i/>
                <w:iCs/>
                <w:lang w:val="en-GB"/>
              </w:rPr>
              <w:t xml:space="preserve">84 </w:t>
            </w:r>
          </w:p>
        </w:tc>
        <w:tc>
          <w:tcPr>
            <w:tcW w:w="2232" w:type="dxa"/>
            <w:shd w:val="clear" w:color="auto" w:fill="auto"/>
          </w:tcPr>
          <w:p w14:paraId="29030554" w14:textId="77777777" w:rsidR="00E20841" w:rsidRDefault="004C41FF">
            <w:pPr>
              <w:spacing w:before="80" w:after="40"/>
              <w:jc w:val="center"/>
              <w:rPr>
                <w:lang w:val="en-GB"/>
              </w:rPr>
            </w:pPr>
            <w:r>
              <w:rPr>
                <w:lang w:val="en-GB"/>
              </w:rPr>
              <w:t xml:space="preserve">Similar estimation of essential skill required </w:t>
            </w:r>
          </w:p>
        </w:tc>
      </w:tr>
      <w:tr w:rsidR="00E20841" w14:paraId="0F16B50E" w14:textId="77777777">
        <w:trPr>
          <w:jc w:val="center"/>
        </w:trPr>
        <w:tc>
          <w:tcPr>
            <w:tcW w:w="993" w:type="dxa"/>
            <w:shd w:val="clear" w:color="auto" w:fill="auto"/>
          </w:tcPr>
          <w:p w14:paraId="602B12B5" w14:textId="77777777" w:rsidR="00E20841" w:rsidRDefault="004C41FF">
            <w:pPr>
              <w:spacing w:before="80" w:after="40"/>
              <w:rPr>
                <w:lang w:val="en-GB"/>
              </w:rPr>
            </w:pPr>
            <w:r>
              <w:rPr>
                <w:lang w:val="en-GB"/>
              </w:rPr>
              <w:t>2.</w:t>
            </w:r>
          </w:p>
        </w:tc>
        <w:tc>
          <w:tcPr>
            <w:tcW w:w="1701" w:type="dxa"/>
            <w:shd w:val="clear" w:color="auto" w:fill="auto"/>
          </w:tcPr>
          <w:p w14:paraId="6F799247" w14:textId="77777777" w:rsidR="00E20841" w:rsidRDefault="004C41FF">
            <w:pPr>
              <w:spacing w:before="80" w:after="40"/>
              <w:jc w:val="center"/>
              <w:rPr>
                <w:i/>
                <w:iCs/>
                <w:lang w:val="en-GB"/>
              </w:rPr>
            </w:pPr>
            <w:r>
              <w:rPr>
                <w:i/>
                <w:iCs/>
                <w:lang w:val="en-GB"/>
              </w:rPr>
              <w:t xml:space="preserve">85   </w:t>
            </w:r>
          </w:p>
        </w:tc>
        <w:tc>
          <w:tcPr>
            <w:tcW w:w="2551" w:type="dxa"/>
            <w:shd w:val="clear" w:color="auto" w:fill="auto"/>
          </w:tcPr>
          <w:p w14:paraId="25ED968B" w14:textId="77777777" w:rsidR="00E20841" w:rsidRDefault="004C41FF">
            <w:pPr>
              <w:spacing w:before="80" w:after="40"/>
              <w:jc w:val="center"/>
              <w:rPr>
                <w:i/>
                <w:iCs/>
                <w:lang w:val="en-GB"/>
              </w:rPr>
            </w:pPr>
            <w:r>
              <w:rPr>
                <w:i/>
                <w:iCs/>
                <w:lang w:val="en-GB"/>
              </w:rPr>
              <w:t>63</w:t>
            </w:r>
          </w:p>
        </w:tc>
        <w:tc>
          <w:tcPr>
            <w:tcW w:w="2232" w:type="dxa"/>
            <w:shd w:val="clear" w:color="auto" w:fill="auto"/>
          </w:tcPr>
          <w:p w14:paraId="26B529F0" w14:textId="77777777" w:rsidR="00E20841" w:rsidRDefault="00E20841">
            <w:pPr>
              <w:spacing w:before="80" w:after="40"/>
              <w:jc w:val="center"/>
              <w:rPr>
                <w:lang w:val="en-GB"/>
              </w:rPr>
            </w:pPr>
          </w:p>
        </w:tc>
      </w:tr>
      <w:tr w:rsidR="00E20841" w14:paraId="55A037B3" w14:textId="77777777">
        <w:trPr>
          <w:jc w:val="center"/>
        </w:trPr>
        <w:tc>
          <w:tcPr>
            <w:tcW w:w="993" w:type="dxa"/>
            <w:shd w:val="clear" w:color="auto" w:fill="auto"/>
          </w:tcPr>
          <w:p w14:paraId="752C9DE5" w14:textId="77777777" w:rsidR="00E20841" w:rsidRDefault="004C41FF">
            <w:pPr>
              <w:spacing w:before="80" w:after="40"/>
            </w:pPr>
            <w:r>
              <w:t>3.</w:t>
            </w:r>
          </w:p>
        </w:tc>
        <w:tc>
          <w:tcPr>
            <w:tcW w:w="1701" w:type="dxa"/>
            <w:shd w:val="clear" w:color="auto" w:fill="auto"/>
          </w:tcPr>
          <w:p w14:paraId="4BB242CA" w14:textId="77777777" w:rsidR="00E20841" w:rsidRDefault="004C41FF">
            <w:pPr>
              <w:spacing w:before="80" w:after="40"/>
              <w:jc w:val="center"/>
              <w:rPr>
                <w:i/>
                <w:iCs/>
                <w:lang w:val="en-GB"/>
              </w:rPr>
            </w:pPr>
            <w:r>
              <w:rPr>
                <w:i/>
                <w:iCs/>
                <w:lang w:val="en-GB"/>
              </w:rPr>
              <w:t>79</w:t>
            </w:r>
          </w:p>
        </w:tc>
        <w:tc>
          <w:tcPr>
            <w:tcW w:w="2551" w:type="dxa"/>
            <w:shd w:val="clear" w:color="auto" w:fill="auto"/>
          </w:tcPr>
          <w:p w14:paraId="10B92F1B" w14:textId="77777777" w:rsidR="00E20841" w:rsidRDefault="004C41FF">
            <w:pPr>
              <w:spacing w:before="80" w:after="40"/>
              <w:jc w:val="center"/>
              <w:rPr>
                <w:lang w:val="en-GB"/>
              </w:rPr>
            </w:pPr>
            <w:r>
              <w:rPr>
                <w:lang w:val="en-GB"/>
              </w:rPr>
              <w:t>93</w:t>
            </w:r>
          </w:p>
        </w:tc>
        <w:tc>
          <w:tcPr>
            <w:tcW w:w="2232" w:type="dxa"/>
            <w:shd w:val="clear" w:color="auto" w:fill="auto"/>
          </w:tcPr>
          <w:p w14:paraId="2B50CB9E" w14:textId="77777777" w:rsidR="00E20841" w:rsidRDefault="00E20841">
            <w:pPr>
              <w:spacing w:before="80" w:after="40"/>
              <w:jc w:val="center"/>
              <w:rPr>
                <w:lang w:val="en-GB"/>
              </w:rPr>
            </w:pPr>
          </w:p>
        </w:tc>
      </w:tr>
      <w:tr w:rsidR="00E20841" w14:paraId="21925D77" w14:textId="77777777">
        <w:trPr>
          <w:jc w:val="center"/>
        </w:trPr>
        <w:tc>
          <w:tcPr>
            <w:tcW w:w="993" w:type="dxa"/>
            <w:shd w:val="clear" w:color="auto" w:fill="auto"/>
          </w:tcPr>
          <w:p w14:paraId="7E85BCEB" w14:textId="77777777" w:rsidR="00E20841" w:rsidRDefault="004C41FF">
            <w:pPr>
              <w:spacing w:before="80" w:after="40"/>
              <w:rPr>
                <w:lang w:val="en-GB"/>
              </w:rPr>
            </w:pPr>
            <w:r>
              <w:rPr>
                <w:lang w:val="en-GB"/>
              </w:rPr>
              <w:t>4.</w:t>
            </w:r>
          </w:p>
        </w:tc>
        <w:tc>
          <w:tcPr>
            <w:tcW w:w="1701" w:type="dxa"/>
            <w:shd w:val="clear" w:color="auto" w:fill="auto"/>
          </w:tcPr>
          <w:p w14:paraId="6BAD7CFA" w14:textId="77777777" w:rsidR="00E20841" w:rsidRDefault="004C41FF">
            <w:pPr>
              <w:spacing w:before="80" w:after="40"/>
              <w:jc w:val="center"/>
              <w:rPr>
                <w:lang w:val="en-GB"/>
              </w:rPr>
            </w:pPr>
            <w:r>
              <w:rPr>
                <w:lang w:val="en-GB"/>
              </w:rPr>
              <w:t>--</w:t>
            </w:r>
          </w:p>
        </w:tc>
        <w:tc>
          <w:tcPr>
            <w:tcW w:w="2551" w:type="dxa"/>
            <w:shd w:val="clear" w:color="auto" w:fill="auto"/>
          </w:tcPr>
          <w:p w14:paraId="79A07B87" w14:textId="77777777" w:rsidR="00E20841" w:rsidRDefault="004C41FF">
            <w:pPr>
              <w:spacing w:before="80" w:after="40"/>
              <w:jc w:val="center"/>
              <w:rPr>
                <w:i/>
                <w:iCs/>
                <w:lang w:val="en-GB"/>
              </w:rPr>
            </w:pPr>
            <w:r>
              <w:rPr>
                <w:i/>
                <w:iCs/>
                <w:lang w:val="en-GB"/>
              </w:rPr>
              <w:t>--</w:t>
            </w:r>
          </w:p>
        </w:tc>
        <w:tc>
          <w:tcPr>
            <w:tcW w:w="2232" w:type="dxa"/>
            <w:shd w:val="clear" w:color="auto" w:fill="auto"/>
          </w:tcPr>
          <w:p w14:paraId="1CAFDBDD" w14:textId="77777777" w:rsidR="00E20841" w:rsidRDefault="004C41FF">
            <w:pPr>
              <w:spacing w:before="80" w:after="40"/>
              <w:jc w:val="center"/>
              <w:rPr>
                <w:lang w:val="en-GB"/>
              </w:rPr>
            </w:pPr>
            <w:r>
              <w:rPr>
                <w:lang w:val="en-GB"/>
              </w:rPr>
              <w:t>Did not complete the closed end survey</w:t>
            </w:r>
          </w:p>
        </w:tc>
      </w:tr>
    </w:tbl>
    <w:p w14:paraId="70692A86" w14:textId="77777777" w:rsidR="00753F58" w:rsidRDefault="00753F58">
      <w:pPr>
        <w:rPr>
          <w:color w:val="00B0F0"/>
          <w:rtl/>
          <w:lang w:bidi="he-IL"/>
        </w:rPr>
      </w:pPr>
    </w:p>
    <w:p w14:paraId="07187035" w14:textId="49C46D9D" w:rsidR="00E20841" w:rsidRPr="00753F58" w:rsidRDefault="00753F58">
      <w:pPr>
        <w:rPr>
          <w:lang w:bidi="he-IL"/>
        </w:rPr>
      </w:pPr>
      <w:r w:rsidRPr="00753F58">
        <w:rPr>
          <w:lang w:bidi="he-IL"/>
        </w:rPr>
        <w:t>The r</w:t>
      </w:r>
      <w:r w:rsidR="004C41FF" w:rsidRPr="00753F58">
        <w:rPr>
          <w:lang w:bidi="he-IL"/>
        </w:rPr>
        <w:t xml:space="preserve">esults </w:t>
      </w:r>
      <w:r w:rsidR="004C41FF" w:rsidRPr="00753F58">
        <w:rPr>
          <w:lang w:bidi="he-IL"/>
        </w:rPr>
        <w:t xml:space="preserve">suggest that the individual estimation of the required essential skill value might </w:t>
      </w:r>
      <w:r w:rsidRPr="00753F58">
        <w:rPr>
          <w:lang w:bidi="he-IL"/>
        </w:rPr>
        <w:t>have been</w:t>
      </w:r>
      <w:r w:rsidR="004C41FF" w:rsidRPr="00753F58">
        <w:rPr>
          <w:lang w:bidi="he-IL"/>
        </w:rPr>
        <w:t xml:space="preserve"> severely biased following a failure or achieving meaningful success on the technical side. </w:t>
      </w:r>
      <w:r>
        <w:rPr>
          <w:lang w:bidi="he-IL"/>
        </w:rPr>
        <w:t>This observation</w:t>
      </w:r>
      <w:r w:rsidR="004C41FF" w:rsidRPr="00753F58">
        <w:rPr>
          <w:lang w:bidi="he-IL"/>
        </w:rPr>
        <w:t xml:space="preserve"> </w:t>
      </w:r>
      <w:r>
        <w:rPr>
          <w:lang w:bidi="he-IL"/>
        </w:rPr>
        <w:t>may also suggest</w:t>
      </w:r>
      <w:r w:rsidR="004C41FF" w:rsidRPr="00753F58">
        <w:rPr>
          <w:lang w:bidi="he-IL"/>
        </w:rPr>
        <w:t xml:space="preserve"> that enhancing soft skills perception</w:t>
      </w:r>
      <w:r w:rsidR="004C41FF" w:rsidRPr="00753F58">
        <w:rPr>
          <w:lang w:bidi="he-IL"/>
        </w:rPr>
        <w:t xml:space="preserve"> of engineering students can only be achieved while the technical challenge is well balanced.</w:t>
      </w:r>
    </w:p>
    <w:p w14:paraId="4F9549CA" w14:textId="77777777" w:rsidR="00E20841" w:rsidRDefault="00E20841">
      <w:pPr>
        <w:rPr>
          <w:color w:val="00B0F0"/>
          <w:lang w:bidi="he-IL"/>
        </w:rPr>
      </w:pPr>
    </w:p>
    <w:p w14:paraId="2D3CAE7D" w14:textId="77777777" w:rsidR="00E20841" w:rsidRPr="00753F58" w:rsidRDefault="004C41FF">
      <w:pPr>
        <w:pStyle w:val="Heading3"/>
        <w:rPr>
          <w:lang w:val="en-GB"/>
        </w:rPr>
      </w:pPr>
      <w:r w:rsidRPr="00753F58">
        <w:rPr>
          <w:lang w:val="en-GB"/>
        </w:rPr>
        <w:t>Analysis of statements score by category</w:t>
      </w:r>
    </w:p>
    <w:p w14:paraId="0BFEBEAA" w14:textId="7389FC61" w:rsidR="00E20841" w:rsidRPr="00753F58" w:rsidRDefault="004C41FF">
      <w:pPr>
        <w:rPr>
          <w:lang w:bidi="he-IL"/>
        </w:rPr>
      </w:pPr>
      <w:r w:rsidRPr="00753F58">
        <w:rPr>
          <w:lang w:bidi="he-IL"/>
        </w:rPr>
        <w:t xml:space="preserve">While the final essential skills </w:t>
      </w:r>
      <w:r w:rsidRPr="00753F58">
        <w:rPr>
          <w:lang w:bidi="he-IL"/>
        </w:rPr>
        <w:t xml:space="preserve">grade was almost the same, a finer look into those skills grades average, </w:t>
      </w:r>
      <w:r w:rsidR="00753F58" w:rsidRPr="00753F58">
        <w:rPr>
          <w:lang w:bidi="he-IL"/>
        </w:rPr>
        <w:t>is illustrated</w:t>
      </w:r>
      <w:r w:rsidRPr="00753F58">
        <w:rPr>
          <w:lang w:bidi="he-IL"/>
        </w:rPr>
        <w:t xml:space="preserve"> in Figure 3. </w:t>
      </w:r>
      <w:r w:rsidR="00753F58" w:rsidRPr="00753F58">
        <w:rPr>
          <w:lang w:bidi="he-IL"/>
        </w:rPr>
        <w:t xml:space="preserve">The results indicate </w:t>
      </w:r>
      <w:r w:rsidRPr="00753F58">
        <w:rPr>
          <w:lang w:bidi="he-IL"/>
        </w:rPr>
        <w:t xml:space="preserve">that </w:t>
      </w:r>
      <w:r w:rsidR="00753F58" w:rsidRPr="00753F58">
        <w:rPr>
          <w:lang w:bidi="he-IL"/>
        </w:rPr>
        <w:t xml:space="preserve">the </w:t>
      </w:r>
      <w:r w:rsidRPr="00753F58">
        <w:rPr>
          <w:lang w:bidi="he-IL"/>
        </w:rPr>
        <w:t xml:space="preserve">participation in the hackathon event, did not diminish the importance of essential skills as perceived by students. While self-related skills are evaluated the same before and after the event, the “softer” skills such as </w:t>
      </w:r>
      <w:proofErr w:type="gramStart"/>
      <w:r w:rsidRPr="00753F58">
        <w:rPr>
          <w:lang w:bidi="he-IL"/>
        </w:rPr>
        <w:t xml:space="preserve">team </w:t>
      </w:r>
      <w:r w:rsidRPr="00753F58">
        <w:rPr>
          <w:lang w:bidi="he-IL"/>
        </w:rPr>
        <w:t>work</w:t>
      </w:r>
      <w:proofErr w:type="gramEnd"/>
      <w:r w:rsidRPr="00753F58">
        <w:rPr>
          <w:lang w:bidi="he-IL"/>
        </w:rPr>
        <w:t xml:space="preserve"> and higher level thinking are </w:t>
      </w:r>
      <w:r w:rsidR="00753F58" w:rsidRPr="00753F58">
        <w:rPr>
          <w:lang w:bidi="he-IL"/>
        </w:rPr>
        <w:t>intensified due to the hackathon event</w:t>
      </w:r>
      <w:r w:rsidRPr="00753F58">
        <w:rPr>
          <w:lang w:bidi="he-IL"/>
        </w:rPr>
        <w:t xml:space="preserve">.  </w:t>
      </w:r>
    </w:p>
    <w:p w14:paraId="637AE47E" w14:textId="53986FAB" w:rsidR="00E20841" w:rsidRDefault="004C41FF" w:rsidP="00FE3600">
      <w:pPr>
        <w:rPr>
          <w:color w:val="00B0F0"/>
          <w:lang w:bidi="he-IL"/>
        </w:rPr>
      </w:pPr>
      <w:r>
        <w:rPr>
          <w:noProof/>
          <w:color w:val="00B0F0"/>
          <w:lang w:bidi="he-IL"/>
        </w:rPr>
        <w:drawing>
          <wp:anchor distT="0" distB="0" distL="114300" distR="114300" simplePos="0" relativeHeight="251658240" behindDoc="0" locked="0" layoutInCell="1" allowOverlap="1" wp14:anchorId="53BD1480" wp14:editId="17C861D9">
            <wp:simplePos x="0" y="0"/>
            <wp:positionH relativeFrom="margin">
              <wp:align>center</wp:align>
            </wp:positionH>
            <wp:positionV relativeFrom="paragraph">
              <wp:posOffset>174819</wp:posOffset>
            </wp:positionV>
            <wp:extent cx="4690745" cy="30670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0745" cy="3067050"/>
                    </a:xfrm>
                    <a:prstGeom prst="rect">
                      <a:avLst/>
                    </a:prstGeom>
                    <a:noFill/>
                  </pic:spPr>
                </pic:pic>
              </a:graphicData>
            </a:graphic>
            <wp14:sizeRelH relativeFrom="page">
              <wp14:pctWidth>0</wp14:pctWidth>
            </wp14:sizeRelH>
            <wp14:sizeRelV relativeFrom="page">
              <wp14:pctHeight>0</wp14:pctHeight>
            </wp14:sizeRelV>
          </wp:anchor>
        </w:drawing>
      </w:r>
    </w:p>
    <w:p w14:paraId="7C9C91C8" w14:textId="0517D455" w:rsidR="00E20841" w:rsidRDefault="004C41FF">
      <w:pPr>
        <w:pStyle w:val="IATED-CaptionFigures"/>
      </w:pPr>
      <w:r w:rsidRPr="00FE3600">
        <w:t>Figure 3. Average Grade on the scale of 1 to 5</w:t>
      </w:r>
      <w:r w:rsidRPr="00FE3600">
        <w:t>, of the perceived necessity of essential skills when those are dived into three major categories, before and following the Hackath</w:t>
      </w:r>
      <w:r w:rsidRPr="00FE3600">
        <w:t>on event.</w:t>
      </w:r>
    </w:p>
    <w:p w14:paraId="7E397420" w14:textId="77777777" w:rsidR="00B55A4F" w:rsidRPr="00B55A4F" w:rsidRDefault="00B55A4F" w:rsidP="00B55A4F">
      <w:pPr>
        <w:rPr>
          <w:lang w:val="en-GB"/>
        </w:rPr>
      </w:pPr>
    </w:p>
    <w:p w14:paraId="1D91A7F5" w14:textId="77777777" w:rsidR="00E20841" w:rsidRDefault="004C41FF">
      <w:pPr>
        <w:pStyle w:val="Heading1"/>
        <w:rPr>
          <w:lang w:val="en-GB"/>
        </w:rPr>
      </w:pPr>
      <w:r>
        <w:rPr>
          <w:lang w:val="en-GB"/>
        </w:rPr>
        <w:t>DISCUSSION AND CONCLUSIONS</w:t>
      </w:r>
    </w:p>
    <w:p w14:paraId="77E5370B" w14:textId="4FBAF270" w:rsidR="00E20841" w:rsidRDefault="004C41FF">
      <w:pPr>
        <w:rPr>
          <w:lang w:val="en-GB"/>
        </w:rPr>
      </w:pPr>
      <w:r>
        <w:rPr>
          <w:lang w:val="en-GB"/>
        </w:rPr>
        <w:t xml:space="preserve">This paper presents a novel hackathon that aimed to strengthen undergraduate students’ interest in chip design and understanding of hardware design skills. The hackathon offered a unique theme that which </w:t>
      </w:r>
      <w:r>
        <w:rPr>
          <w:lang w:val="en-GB"/>
        </w:rPr>
        <w:t>included a design of a RISC-V processor in conjunction with a machine learning accelerator on an FPG</w:t>
      </w:r>
      <w:r>
        <w:rPr>
          <w:lang w:val="en-GB"/>
        </w:rPr>
        <w:t>A board. The hackathon challenge also emphasized the importance of system-level perspective and the importance of software understanding as part of the har</w:t>
      </w:r>
      <w:r>
        <w:rPr>
          <w:lang w:val="en-GB"/>
        </w:rPr>
        <w:t>dware solution.</w:t>
      </w:r>
    </w:p>
    <w:p w14:paraId="2F7DA76B" w14:textId="27AF4D42" w:rsidR="00E20841" w:rsidRPr="009449CC" w:rsidRDefault="004C41FF" w:rsidP="009449CC">
      <w:r w:rsidRPr="009449CC">
        <w:rPr>
          <w:lang w:val="en-GB"/>
        </w:rPr>
        <w:t xml:space="preserve">The overall feedback granted by the </w:t>
      </w:r>
      <w:r w:rsidR="002624D6" w:rsidRPr="009449CC">
        <w:rPr>
          <w:lang w:val="en-GB"/>
        </w:rPr>
        <w:t>open-ended</w:t>
      </w:r>
      <w:r w:rsidRPr="009449CC">
        <w:rPr>
          <w:lang w:val="en-GB"/>
        </w:rPr>
        <w:t xml:space="preserve"> questions</w:t>
      </w:r>
      <w:r w:rsidRPr="009449CC">
        <w:rPr>
          <w:rFonts w:hint="cs"/>
          <w:rtl/>
          <w:lang w:val="en-GB" w:bidi="he-IL"/>
        </w:rPr>
        <w:t>,</w:t>
      </w:r>
      <w:r w:rsidRPr="009449CC">
        <w:rPr>
          <w:lang w:val="en-GB"/>
        </w:rPr>
        <w:t xml:space="preserve"> as well as </w:t>
      </w:r>
      <w:r w:rsidRPr="009449CC">
        <w:t xml:space="preserve">the perspective of the </w:t>
      </w:r>
      <w:r w:rsidR="002624D6" w:rsidRPr="009449CC">
        <w:t xml:space="preserve">independent </w:t>
      </w:r>
      <w:r w:rsidRPr="009449CC">
        <w:t>observer</w:t>
      </w:r>
      <w:r w:rsidR="002624D6" w:rsidRPr="009449CC">
        <w:t>,</w:t>
      </w:r>
      <w:r w:rsidRPr="009449CC">
        <w:t xml:space="preserve"> suggest that the students encountered a</w:t>
      </w:r>
      <w:r w:rsidR="002624D6" w:rsidRPr="009449CC">
        <w:t xml:space="preserve"> significant</w:t>
      </w:r>
      <w:r w:rsidRPr="009449CC">
        <w:t xml:space="preserve"> barrier </w:t>
      </w:r>
      <w:r w:rsidRPr="009449CC">
        <w:t>in a 30</w:t>
      </w:r>
      <w:r w:rsidR="002624D6" w:rsidRPr="009449CC">
        <w:t>-hour</w:t>
      </w:r>
      <w:r w:rsidRPr="009449CC">
        <w:t xml:space="preserve"> timeframe</w:t>
      </w:r>
      <w:r w:rsidR="002624D6" w:rsidRPr="009449CC">
        <w:t xml:space="preserve"> of the hackathon. In particular</w:t>
      </w:r>
      <w:r w:rsidRPr="009449CC">
        <w:t>, the need to master an unknown n</w:t>
      </w:r>
      <w:r w:rsidRPr="009449CC">
        <w:t xml:space="preserve">ew HDL  (Hardware-Description-Language) </w:t>
      </w:r>
      <w:r w:rsidR="002624D6" w:rsidRPr="009449CC">
        <w:t>of the RISC-V</w:t>
      </w:r>
      <w:r w:rsidRPr="009449CC">
        <w:t xml:space="preserve"> </w:t>
      </w:r>
      <w:r w:rsidR="002624D6" w:rsidRPr="009449CC">
        <w:t xml:space="preserve">processor </w:t>
      </w:r>
      <w:r w:rsidRPr="009449CC">
        <w:t>in a short period</w:t>
      </w:r>
      <w:r w:rsidR="00366EF6" w:rsidRPr="009449CC">
        <w:t xml:space="preserve"> has become a major challenge.</w:t>
      </w:r>
      <w:r w:rsidR="009449CC" w:rsidRPr="009449CC">
        <w:t xml:space="preserve"> </w:t>
      </w:r>
      <w:r w:rsidRPr="009449CC">
        <w:t xml:space="preserve">Looking forward </w:t>
      </w:r>
      <w:r w:rsidR="00366EF6" w:rsidRPr="009449CC">
        <w:t xml:space="preserve">to </w:t>
      </w:r>
      <w:r w:rsidRPr="009449CC">
        <w:t xml:space="preserve">spring 2022 </w:t>
      </w:r>
      <w:r w:rsidR="00366EF6" w:rsidRPr="009449CC">
        <w:t>hackathon</w:t>
      </w:r>
      <w:r w:rsidRPr="009449CC">
        <w:t xml:space="preserve"> event, it is realized that </w:t>
      </w:r>
      <w:r w:rsidR="00366EF6" w:rsidRPr="009449CC">
        <w:t xml:space="preserve">a </w:t>
      </w:r>
      <w:r w:rsidRPr="009449CC">
        <w:t>similar wide gap</w:t>
      </w:r>
      <w:r w:rsidR="00366EF6" w:rsidRPr="009449CC">
        <w:t xml:space="preserve"> might appear again. In order to reduce this potential gap, we may consider practicing different strategies such as strengthening the </w:t>
      </w:r>
      <w:r w:rsidR="009449CC" w:rsidRPr="009449CC">
        <w:t xml:space="preserve">students training process prior to the hackathon. For example, one of the considered options is to provide all participants a preparation environment which will help the teams to deep dive into the development environment in stress-free environment. Another approach suggests enhancing the inter-team collaboration through hackathon that may help the participants leverage insights and lessons learned by their collogues. </w:t>
      </w:r>
      <w:r w:rsidR="009449CC" w:rsidRPr="009449CC">
        <w:t>This can be done</w:t>
      </w:r>
      <w:r w:rsidR="009449CC" w:rsidRPr="009449CC">
        <w:rPr>
          <w:lang w:val="en-GB"/>
        </w:rPr>
        <w:t xml:space="preserve"> via intermediate presentations and exchange of team’s progress reports. </w:t>
      </w:r>
      <w:r w:rsidR="009449CC" w:rsidRPr="009449CC">
        <w:rPr>
          <w:lang w:val="en-GB"/>
        </w:rPr>
        <w:t>Such an approach can be adopted</w:t>
      </w:r>
      <w:r w:rsidR="009449CC" w:rsidRPr="009449CC">
        <w:rPr>
          <w:lang w:val="en-GB"/>
        </w:rPr>
        <w:t xml:space="preserve"> if the hackathon timeframe </w:t>
      </w:r>
      <w:r w:rsidR="009449CC" w:rsidRPr="009449CC">
        <w:rPr>
          <w:lang w:val="en-GB"/>
        </w:rPr>
        <w:t>is</w:t>
      </w:r>
      <w:r w:rsidR="009449CC" w:rsidRPr="009449CC">
        <w:rPr>
          <w:lang w:val="en-GB"/>
        </w:rPr>
        <w:t xml:space="preserve"> extended </w:t>
      </w:r>
      <w:r w:rsidR="009449CC" w:rsidRPr="009449CC">
        <w:rPr>
          <w:lang w:val="en-GB"/>
        </w:rPr>
        <w:t>in similar fashion as</w:t>
      </w:r>
      <w:r w:rsidR="009449CC" w:rsidRPr="009449CC">
        <w:rPr>
          <w:lang w:val="en-GB"/>
        </w:rPr>
        <w:t xml:space="preserve"> </w:t>
      </w:r>
      <w:r w:rsidR="009449CC" w:rsidRPr="009449CC">
        <w:t xml:space="preserve">done at Ohio State University [7], along adopting other practices, such as </w:t>
      </w:r>
      <w:r w:rsidR="009449CC" w:rsidRPr="009449CC">
        <w:rPr>
          <w:lang w:val="en-GB"/>
        </w:rPr>
        <w:t>having</w:t>
      </w:r>
      <w:r w:rsidR="009449CC" w:rsidRPr="009449CC">
        <w:rPr>
          <w:lang w:val="en-GB"/>
        </w:rPr>
        <w:t xml:space="preserve"> Alumni participants at the event.</w:t>
      </w:r>
      <w:r w:rsidRPr="009449CC">
        <w:rPr>
          <w:lang w:val="en-GB"/>
        </w:rPr>
        <w:t xml:space="preserve">  </w:t>
      </w:r>
    </w:p>
    <w:p w14:paraId="028C889E" w14:textId="77777777" w:rsidR="00E20841" w:rsidRDefault="004C41FF">
      <w:pPr>
        <w:pStyle w:val="IATED-ACKREFERENCES"/>
      </w:pPr>
      <w:r>
        <w:t>ACKNOWLEDGEMENTS</w:t>
      </w:r>
    </w:p>
    <w:p w14:paraId="6461D995" w14:textId="77777777" w:rsidR="00E20841" w:rsidRDefault="004C41FF">
      <w:pPr>
        <w:rPr>
          <w:lang w:val="en-GB"/>
        </w:rPr>
      </w:pPr>
      <w:r>
        <w:rPr>
          <w:lang w:val="en-GB"/>
        </w:rPr>
        <w:t>The authors would like to thank Intel Corporation for the generous donation of FPGA boards. We also would like to express our appre</w:t>
      </w:r>
      <w:r>
        <w:rPr>
          <w:lang w:val="en-GB"/>
        </w:rPr>
        <w:t xml:space="preserve">ciation to Ruppin Academic Center, </w:t>
      </w:r>
      <w:proofErr w:type="spellStart"/>
      <w:r>
        <w:rPr>
          <w:lang w:val="en-GB"/>
        </w:rPr>
        <w:t>Innoviz</w:t>
      </w:r>
      <w:proofErr w:type="spellEnd"/>
      <w:r>
        <w:rPr>
          <w:lang w:val="en-GB"/>
        </w:rPr>
        <w:t xml:space="preserve"> Technologies, </w:t>
      </w:r>
      <w:proofErr w:type="spellStart"/>
      <w:r>
        <w:rPr>
          <w:lang w:val="en-GB"/>
        </w:rPr>
        <w:t>Veriest</w:t>
      </w:r>
      <w:proofErr w:type="spellEnd"/>
      <w:r>
        <w:rPr>
          <w:lang w:val="en-GB"/>
        </w:rPr>
        <w:t xml:space="preserve">, Western Digital and IEEE Computer Society Israel for their support and sponsorship for the hackathon event. </w:t>
      </w:r>
    </w:p>
    <w:p w14:paraId="18E50E36" w14:textId="77777777" w:rsidR="00E20841" w:rsidRDefault="004C41FF">
      <w:pPr>
        <w:pStyle w:val="IATED-ACKREFERENCES"/>
      </w:pPr>
      <w:r>
        <w:t>REFERENCES</w:t>
      </w:r>
    </w:p>
    <w:p w14:paraId="265EF95F" w14:textId="77777777" w:rsidR="00E20841" w:rsidRDefault="004C41FF" w:rsidP="009449CC">
      <w:pPr>
        <w:pStyle w:val="IATED-References"/>
      </w:pPr>
      <w:r>
        <w:t xml:space="preserve">A. Waterman, K. </w:t>
      </w:r>
      <w:proofErr w:type="spellStart"/>
      <w:r>
        <w:t>Asanovi</w:t>
      </w:r>
      <w:proofErr w:type="spellEnd"/>
      <w:r>
        <w:t xml:space="preserve"> ́c, “The RISC-V Instruction Set Manual”, </w:t>
      </w:r>
      <w:hyperlink r:id="rId11" w:history="1">
        <w:r>
          <w:rPr>
            <w:rStyle w:val="Hyperlink"/>
          </w:rPr>
          <w:t>https://riscv.org/wp-content/uploads/2017/05/riscv-spec-v2.2.pdf</w:t>
        </w:r>
      </w:hyperlink>
      <w:r>
        <w:t>.</w:t>
      </w:r>
    </w:p>
    <w:p w14:paraId="24917D7E" w14:textId="77777777" w:rsidR="00E20841" w:rsidRPr="009449CC" w:rsidRDefault="004C41FF" w:rsidP="009449CC">
      <w:pPr>
        <w:pStyle w:val="IATED-References"/>
      </w:pPr>
      <w:r w:rsidRPr="009449CC">
        <w:t>J. Porras et al., "Hackathons in Software Engineering Education - L</w:t>
      </w:r>
      <w:r w:rsidRPr="009449CC">
        <w:t>essons Learned from a Decade of Events," 2018 IEEE/ACM International Workshop on Software Engineering Education for Millennials (SEEM), 2018, pp. 40-47.</w:t>
      </w:r>
    </w:p>
    <w:p w14:paraId="7C88054A" w14:textId="77777777" w:rsidR="00E20841" w:rsidRPr="009449CC" w:rsidRDefault="004C41FF" w:rsidP="009449CC">
      <w:pPr>
        <w:pStyle w:val="IATED-References"/>
      </w:pPr>
      <w:r w:rsidRPr="009449CC">
        <w:t xml:space="preserve">Medina </w:t>
      </w:r>
      <w:proofErr w:type="spellStart"/>
      <w:r w:rsidRPr="009449CC">
        <w:t>Angarita</w:t>
      </w:r>
      <w:proofErr w:type="spellEnd"/>
      <w:r w:rsidRPr="009449CC">
        <w:t xml:space="preserve"> M.A., Nolte A.</w:t>
      </w:r>
      <w:r w:rsidRPr="009449CC">
        <w:rPr>
          <w:rFonts w:hint="cs"/>
          <w:rtl/>
          <w:lang w:bidi="he-IL"/>
        </w:rPr>
        <w:t xml:space="preserve"> </w:t>
      </w:r>
      <w:r w:rsidRPr="009449CC">
        <w:rPr>
          <w:lang w:bidi="he-IL"/>
        </w:rPr>
        <w:t xml:space="preserve"> “W</w:t>
      </w:r>
      <w:r w:rsidRPr="009449CC">
        <w:t xml:space="preserve">hat Do We Know About Hackathon Outcomes and How to Support Them? – A </w:t>
      </w:r>
      <w:r w:rsidRPr="009449CC">
        <w:t xml:space="preserve">Systematic Literature Review” In: </w:t>
      </w:r>
      <w:r w:rsidRPr="009449CC">
        <w:rPr>
          <w:i/>
          <w:iCs/>
        </w:rPr>
        <w:t xml:space="preserve">Collaboration Technologies and Social Computing., </w:t>
      </w:r>
      <w:r w:rsidRPr="009449CC">
        <w:t xml:space="preserve">A. Nolte et al. (Eds.): Lecture Notes in Computer Science, vol 12324 pp. 50-64. Springer 2020. </w:t>
      </w:r>
      <w:r w:rsidRPr="009449CC">
        <w:t xml:space="preserve"> </w:t>
      </w:r>
      <w:r w:rsidRPr="009449CC">
        <w:t xml:space="preserve">   </w:t>
      </w:r>
    </w:p>
    <w:p w14:paraId="093FE2C5" w14:textId="77777777" w:rsidR="00E20841" w:rsidRDefault="004C41FF" w:rsidP="009449CC">
      <w:pPr>
        <w:pStyle w:val="IATED-References"/>
      </w:pPr>
      <w:r>
        <w:t xml:space="preserve">“DE0-CV User Manual”, </w:t>
      </w:r>
      <w:hyperlink r:id="rId12" w:history="1">
        <w:r>
          <w:rPr>
            <w:rStyle w:val="Hyperlink"/>
          </w:rPr>
          <w:t>https://www.intel.com/content/dam/altera-www/global/en_US/portal/dsn/42/doc-us-dsnbk-42-1504012210-de0-cv-user-manual.pdf</w:t>
        </w:r>
      </w:hyperlink>
      <w:r>
        <w:t>.</w:t>
      </w:r>
    </w:p>
    <w:p w14:paraId="72EB4ED8" w14:textId="77777777" w:rsidR="00E20841" w:rsidRDefault="004C41FF" w:rsidP="009449CC">
      <w:pPr>
        <w:pStyle w:val="IATED-References"/>
      </w:pPr>
      <w:r>
        <w:t xml:space="preserve">“Cyclone V Device Datasheet”, </w:t>
      </w:r>
      <w:hyperlink r:id="rId13" w:history="1">
        <w:r>
          <w:rPr>
            <w:rStyle w:val="Hyperlink"/>
          </w:rPr>
          <w:t>https://www.intel.com/content/dam/www/programmable/us/en/pdfs/literature/hb/cyclone-v/cv_51002.pdf</w:t>
        </w:r>
      </w:hyperlink>
      <w:r>
        <w:t>.</w:t>
      </w:r>
    </w:p>
    <w:p w14:paraId="483CA5E9" w14:textId="77777777" w:rsidR="00E20841" w:rsidRDefault="004C41FF" w:rsidP="009449CC">
      <w:pPr>
        <w:pStyle w:val="IATED-References"/>
      </w:pPr>
      <w:r>
        <w:t>“Quartus Prime Standard Edition Handbook Volume 1: Desig</w:t>
      </w:r>
      <w:r>
        <w:t>n and Synthesis”, https://www.intel.com/content/dam/www/programmable/us/en/pdfs/literature/hb/qts/archives/qts-qps-handbook-16.0.pdf.</w:t>
      </w:r>
    </w:p>
    <w:p w14:paraId="59B5B5C8" w14:textId="77777777" w:rsidR="00E20841" w:rsidRPr="009449CC" w:rsidRDefault="004C41FF" w:rsidP="009449CC">
      <w:pPr>
        <w:pStyle w:val="IATED-References"/>
      </w:pPr>
      <w:r w:rsidRPr="009449CC">
        <w:t xml:space="preserve">Arnab Nandi and Meris </w:t>
      </w:r>
      <w:proofErr w:type="spellStart"/>
      <w:r w:rsidRPr="009449CC">
        <w:t>Mandernach</w:t>
      </w:r>
      <w:proofErr w:type="spellEnd"/>
      <w:r w:rsidRPr="009449CC">
        <w:t xml:space="preserve">. “Hackathons as an Informal Learning Platform.” </w:t>
      </w:r>
      <w:r w:rsidRPr="009449CC">
        <w:rPr>
          <w:i/>
          <w:iCs/>
        </w:rPr>
        <w:t>Proceedings of the 47th ACM Technical Sym</w:t>
      </w:r>
      <w:r w:rsidRPr="009449CC">
        <w:rPr>
          <w:i/>
          <w:iCs/>
        </w:rPr>
        <w:t>posium on Computing Science Education</w:t>
      </w:r>
      <w:r w:rsidRPr="009449CC">
        <w:t xml:space="preserve"> (</w:t>
      </w:r>
      <w:r w:rsidRPr="009449CC">
        <w:rPr>
          <w:i/>
          <w:iCs/>
        </w:rPr>
        <w:t>SIGCSE '16</w:t>
      </w:r>
      <w:r w:rsidRPr="009449CC">
        <w:t xml:space="preserve">). Association for Computing Machinery, New York, NY, USA, 346–351. </w:t>
      </w:r>
      <w:proofErr w:type="spellStart"/>
      <w:r w:rsidRPr="009449CC">
        <w:t>DOI:https</w:t>
      </w:r>
      <w:proofErr w:type="spellEnd"/>
      <w:r w:rsidRPr="009449CC">
        <w:t>://doi.org/10.1145/2839509.2844590</w:t>
      </w:r>
    </w:p>
    <w:sectPr w:rsidR="00E20841" w:rsidRPr="009449CC">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8E3CF" w14:textId="77777777" w:rsidR="004C41FF" w:rsidRDefault="004C41FF">
      <w:pPr>
        <w:spacing w:before="0" w:after="0"/>
      </w:pPr>
      <w:r>
        <w:separator/>
      </w:r>
    </w:p>
  </w:endnote>
  <w:endnote w:type="continuationSeparator" w:id="0">
    <w:p w14:paraId="02721A1E" w14:textId="77777777" w:rsidR="004C41FF" w:rsidRDefault="004C41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1DAE4" w14:textId="77777777" w:rsidR="004C41FF" w:rsidRDefault="004C41FF">
      <w:pPr>
        <w:spacing w:before="0" w:after="0"/>
      </w:pPr>
    </w:p>
  </w:footnote>
  <w:footnote w:type="continuationSeparator" w:id="0">
    <w:p w14:paraId="60487434" w14:textId="77777777" w:rsidR="004C41FF" w:rsidRDefault="004C41FF">
      <w:pPr>
        <w:spacing w:before="0" w:after="0"/>
      </w:pPr>
    </w:p>
  </w:footnote>
  <w:footnote w:type="continuationNotice" w:id="1">
    <w:p w14:paraId="293629AE" w14:textId="77777777" w:rsidR="004C41FF" w:rsidRDefault="004C41FF">
      <w:pPr>
        <w:spacing w:before="0" w:after="0"/>
      </w:pPr>
    </w:p>
  </w:footnote>
  <w:footnote w:id="2">
    <w:p w14:paraId="1949F772" w14:textId="77777777" w:rsidR="00E20841" w:rsidRDefault="004C41FF">
      <w:pPr>
        <w:pStyle w:val="FootnoteText"/>
      </w:pPr>
      <w:r>
        <w:rPr>
          <w:rStyle w:val="FootnoteReference"/>
        </w:rPr>
        <w:t>*</w:t>
      </w:r>
      <w:r>
        <w:t xml:space="preserve"> https://www.terasic.com.tw/cgi-bin/page/archive.pl?Language=English&amp;CategoryNo=167&amp;No=921&amp;PartNo=2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B12A8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9AD8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2033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0EEC7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04A60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4E6B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064C6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D05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61416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9A85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05A3A1D"/>
    <w:multiLevelType w:val="hybridMultilevel"/>
    <w:tmpl w:val="1666AB22"/>
    <w:lvl w:ilvl="0" w:tplc="DD06C4D4">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D36E15"/>
    <w:multiLevelType w:val="hybridMultilevel"/>
    <w:tmpl w:val="D9C8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B75087"/>
    <w:multiLevelType w:val="hybridMultilevel"/>
    <w:tmpl w:val="27F2E8AE"/>
    <w:lvl w:ilvl="0" w:tplc="E2045B4A">
      <w:start w:val="1"/>
      <w:numFmt w:val="upperRoman"/>
      <w:lvlText w:val="%1."/>
      <w:lvlJc w:val="left"/>
      <w:pPr>
        <w:ind w:left="720" w:hanging="360"/>
      </w:pPr>
      <w:rPr>
        <w:rFonts w:ascii="Times New Roman" w:hAnsi="Times New Roman"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8"/>
  </w:num>
  <w:num w:numId="2">
    <w:abstractNumId w:val="24"/>
  </w:num>
  <w:num w:numId="3">
    <w:abstractNumId w:val="26"/>
  </w:num>
  <w:num w:numId="4">
    <w:abstractNumId w:val="14"/>
  </w:num>
  <w:num w:numId="5">
    <w:abstractNumId w:val="20"/>
  </w:num>
  <w:num w:numId="6">
    <w:abstractNumId w:val="19"/>
  </w:num>
  <w:num w:numId="7">
    <w:abstractNumId w:val="15"/>
  </w:num>
  <w:num w:numId="8">
    <w:abstractNumId w:val="21"/>
  </w:num>
  <w:num w:numId="9">
    <w:abstractNumId w:val="27"/>
  </w:num>
  <w:num w:numId="10">
    <w:abstractNumId w:val="25"/>
  </w:num>
  <w:num w:numId="11">
    <w:abstractNumId w:val="16"/>
  </w:num>
  <w:num w:numId="12">
    <w:abstractNumId w:val="23"/>
  </w:num>
  <w:num w:numId="13">
    <w:abstractNumId w:val="12"/>
  </w:num>
  <w:num w:numId="14">
    <w:abstractNumId w:val="17"/>
  </w:num>
  <w:num w:numId="15">
    <w:abstractNumId w:val="11"/>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9"/>
  </w:num>
  <w:num w:numId="20">
    <w:abstractNumId w:val="32"/>
  </w:num>
  <w:num w:numId="21">
    <w:abstractNumId w:val="30"/>
  </w:num>
  <w:num w:numId="22">
    <w:abstractNumId w:val="9"/>
  </w:num>
  <w:num w:numId="23">
    <w:abstractNumId w:val="4"/>
  </w:num>
  <w:num w:numId="24">
    <w:abstractNumId w:val="3"/>
  </w:num>
  <w:num w:numId="25">
    <w:abstractNumId w:val="2"/>
  </w:num>
  <w:num w:numId="26">
    <w:abstractNumId w:val="7"/>
  </w:num>
  <w:num w:numId="27">
    <w:abstractNumId w:val="6"/>
  </w:num>
  <w:num w:numId="28">
    <w:abstractNumId w:val="5"/>
  </w:num>
  <w:num w:numId="29">
    <w:abstractNumId w:val="0"/>
  </w:num>
  <w:num w:numId="30">
    <w:abstractNumId w:val="1"/>
  </w:num>
  <w:num w:numId="31">
    <w:abstractNumId w:val="10"/>
  </w:num>
  <w:num w:numId="32">
    <w:abstractNumId w:val="8"/>
  </w:num>
  <w:num w:numId="33">
    <w:abstractNumId w:val="3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41"/>
    <w:rsid w:val="000A254E"/>
    <w:rsid w:val="002624D6"/>
    <w:rsid w:val="003607D4"/>
    <w:rsid w:val="00366EF6"/>
    <w:rsid w:val="003D11EB"/>
    <w:rsid w:val="0040751E"/>
    <w:rsid w:val="00462350"/>
    <w:rsid w:val="00483966"/>
    <w:rsid w:val="004C41FF"/>
    <w:rsid w:val="00581F8C"/>
    <w:rsid w:val="006022C2"/>
    <w:rsid w:val="00610755"/>
    <w:rsid w:val="006A636B"/>
    <w:rsid w:val="00753F58"/>
    <w:rsid w:val="00810CAF"/>
    <w:rsid w:val="008657AC"/>
    <w:rsid w:val="009449CC"/>
    <w:rsid w:val="009502E8"/>
    <w:rsid w:val="00B06402"/>
    <w:rsid w:val="00B55A4F"/>
    <w:rsid w:val="00BD0891"/>
    <w:rsid w:val="00DD73C6"/>
    <w:rsid w:val="00E20841"/>
    <w:rsid w:val="00E63291"/>
    <w:rsid w:val="00F06388"/>
    <w:rsid w:val="00FE3600"/>
  </w:rsids>
  <m:mathPr>
    <m:mathFont m:val="Cambria Math"/>
    <m:brkBin m:val="before"/>
    <m:brkBinSub m:val="--"/>
    <m:smallFrac m:val="0"/>
    <m:dispDef m:val="0"/>
    <m:lMargin m:val="0"/>
    <m:rMargin m:val="0"/>
    <m:defJc m:val="centerGroup"/>
    <m:wrapRight/>
    <m:intLim m:val="subSup"/>
    <m:naryLim m:val="subSup"/>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223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ATED-Text"/>
    <w:qFormat/>
    <w:pPr>
      <w:spacing w:before="120" w:after="120"/>
      <w:jc w:val="both"/>
    </w:pPr>
    <w:rPr>
      <w:rFonts w:ascii="Arial" w:hAnsi="Arial"/>
      <w:szCs w:val="24"/>
      <w:lang w:val="en-US"/>
    </w:rPr>
  </w:style>
  <w:style w:type="paragraph" w:styleId="Heading1">
    <w:name w:val="heading 1"/>
    <w:aliases w:val="IATED-Section"/>
    <w:next w:val="Normal"/>
    <w:link w:val="Heading1Char"/>
    <w:qFormat/>
    <w:pPr>
      <w:keepNext/>
      <w:numPr>
        <w:numId w:val="15"/>
      </w:numPr>
      <w:spacing w:before="360" w:after="60"/>
      <w:outlineLvl w:val="0"/>
    </w:pPr>
    <w:rPr>
      <w:rFonts w:ascii="Arial" w:hAnsi="Arial"/>
      <w:b/>
      <w:bCs/>
      <w:caps/>
      <w:kern w:val="32"/>
      <w:sz w:val="24"/>
      <w:szCs w:val="32"/>
      <w:lang w:val="en-US"/>
    </w:rPr>
  </w:style>
  <w:style w:type="paragraph" w:styleId="Heading2">
    <w:name w:val="heading 2"/>
    <w:aliases w:val="IATED-Subsection"/>
    <w:next w:val="Normal"/>
    <w:link w:val="Heading2Char"/>
    <w:qFormat/>
    <w:pPr>
      <w:keepNext/>
      <w:numPr>
        <w:ilvl w:val="1"/>
        <w:numId w:val="15"/>
      </w:numPr>
      <w:spacing w:before="240" w:after="60"/>
      <w:outlineLvl w:val="1"/>
    </w:pPr>
    <w:rPr>
      <w:rFonts w:ascii="Arial" w:hAnsi="Arial"/>
      <w:b/>
      <w:bCs/>
      <w:iCs/>
      <w:sz w:val="24"/>
      <w:szCs w:val="28"/>
      <w:lang w:val="en-US"/>
    </w:rPr>
  </w:style>
  <w:style w:type="paragraph" w:styleId="Heading3">
    <w:name w:val="heading 3"/>
    <w:aliases w:val="IATED-Subsubsection"/>
    <w:basedOn w:val="Normal"/>
    <w:next w:val="Normal"/>
    <w:link w:val="Heading3Char"/>
    <w:qFormat/>
    <w:pPr>
      <w:keepNext/>
      <w:numPr>
        <w:ilvl w:val="2"/>
        <w:numId w:val="15"/>
      </w:numPr>
      <w:spacing w:before="180" w:after="60"/>
      <w:outlineLvl w:val="2"/>
    </w:pPr>
    <w:rPr>
      <w:bCs/>
      <w:i/>
      <w:sz w:val="22"/>
      <w:szCs w:val="26"/>
    </w:rPr>
  </w:style>
  <w:style w:type="paragraph" w:styleId="Heading4">
    <w:name w:val="heading 4"/>
    <w:basedOn w:val="Normal"/>
    <w:next w:val="Normal"/>
    <w:link w:val="Heading4Char"/>
    <w:qFormat/>
    <w:pPr>
      <w:keepNext/>
      <w:numPr>
        <w:ilvl w:val="3"/>
        <w:numId w:val="15"/>
      </w:numPr>
      <w:spacing w:before="240" w:after="60"/>
      <w:outlineLvl w:val="3"/>
    </w:pPr>
    <w:rPr>
      <w:rFonts w:ascii="Cambria" w:hAnsi="Cambria"/>
      <w:b/>
      <w:bCs/>
      <w:sz w:val="28"/>
      <w:szCs w:val="28"/>
    </w:rPr>
  </w:style>
  <w:style w:type="paragraph" w:styleId="Heading5">
    <w:name w:val="heading 5"/>
    <w:basedOn w:val="Normal"/>
    <w:next w:val="Normal"/>
    <w:link w:val="Heading5Char"/>
    <w:qFormat/>
    <w:pPr>
      <w:numPr>
        <w:ilvl w:val="4"/>
        <w:numId w:val="15"/>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pPr>
      <w:numPr>
        <w:ilvl w:val="5"/>
        <w:numId w:val="15"/>
      </w:numPr>
      <w:spacing w:before="240" w:after="60"/>
      <w:outlineLvl w:val="5"/>
    </w:pPr>
    <w:rPr>
      <w:rFonts w:ascii="Cambria" w:hAnsi="Cambria"/>
      <w:b/>
      <w:bCs/>
      <w:sz w:val="22"/>
      <w:szCs w:val="22"/>
    </w:rPr>
  </w:style>
  <w:style w:type="paragraph" w:styleId="Heading7">
    <w:name w:val="heading 7"/>
    <w:basedOn w:val="Normal"/>
    <w:next w:val="Normal"/>
    <w:link w:val="Heading7Char"/>
    <w:qFormat/>
    <w:pPr>
      <w:numPr>
        <w:ilvl w:val="6"/>
        <w:numId w:val="15"/>
      </w:numPr>
      <w:spacing w:before="240" w:after="60"/>
      <w:outlineLvl w:val="6"/>
    </w:pPr>
    <w:rPr>
      <w:rFonts w:ascii="Cambria" w:hAnsi="Cambria"/>
    </w:rPr>
  </w:style>
  <w:style w:type="paragraph" w:styleId="Heading8">
    <w:name w:val="heading 8"/>
    <w:basedOn w:val="Normal"/>
    <w:next w:val="Normal"/>
    <w:link w:val="Heading8Char"/>
    <w:qFormat/>
    <w:pPr>
      <w:numPr>
        <w:ilvl w:val="7"/>
        <w:numId w:val="15"/>
      </w:numPr>
      <w:spacing w:before="240" w:after="60"/>
      <w:outlineLvl w:val="7"/>
    </w:pPr>
    <w:rPr>
      <w:rFonts w:ascii="Cambria" w:hAnsi="Cambria"/>
      <w:i/>
      <w:iCs/>
    </w:rPr>
  </w:style>
  <w:style w:type="paragraph" w:styleId="Heading9">
    <w:name w:val="heading 9"/>
    <w:basedOn w:val="Normal"/>
    <w:next w:val="Normal"/>
    <w:link w:val="Heading9Char"/>
    <w:qFormat/>
    <w:pPr>
      <w:numPr>
        <w:ilvl w:val="8"/>
        <w:numId w:val="15"/>
      </w:numPr>
      <w:spacing w:before="240" w:after="60"/>
      <w:outlineLvl w:val="8"/>
    </w:pPr>
    <w:rPr>
      <w:rFonts w:ascii="Calibri"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ATED-Title"/>
    <w:basedOn w:val="Normal"/>
    <w:qFormat/>
    <w:pPr>
      <w:spacing w:before="480"/>
      <w:jc w:val="center"/>
    </w:pPr>
    <w:rPr>
      <w:b/>
      <w:bCs/>
      <w:sz w:val="24"/>
    </w:rPr>
  </w:style>
  <w:style w:type="paragraph" w:customStyle="1" w:styleId="IATED-PaperTitle">
    <w:name w:val="IATED-Paper Title"/>
    <w:next w:val="IATED-Authors"/>
    <w:qFormat/>
    <w:pPr>
      <w:spacing w:before="240" w:after="240"/>
      <w:jc w:val="center"/>
    </w:pPr>
    <w:rPr>
      <w:rFonts w:ascii="Arial" w:hAnsi="Arial" w:cs="Arial"/>
      <w:b/>
      <w:bCs/>
      <w:caps/>
      <w:sz w:val="28"/>
      <w:szCs w:val="24"/>
      <w:lang w:val="en-US"/>
    </w:rPr>
  </w:style>
  <w:style w:type="paragraph" w:customStyle="1" w:styleId="IATED-Authors">
    <w:name w:val="IATED-Authors"/>
    <w:next w:val="IATED-Affiliation"/>
    <w:qFormat/>
    <w:pPr>
      <w:spacing w:after="120"/>
      <w:jc w:val="center"/>
    </w:pPr>
    <w:rPr>
      <w:rFonts w:ascii="Arial" w:hAnsi="Arial" w:cs="Arial"/>
      <w:b/>
      <w:bCs/>
      <w:sz w:val="24"/>
      <w:szCs w:val="24"/>
      <w:lang w:val="en-US"/>
    </w:rPr>
  </w:style>
  <w:style w:type="paragraph" w:customStyle="1" w:styleId="IATED-Affiliation">
    <w:name w:val="IATED-Affiliation"/>
    <w:qFormat/>
    <w:pPr>
      <w:jc w:val="center"/>
    </w:pPr>
    <w:rPr>
      <w:rFonts w:ascii="Arial" w:hAnsi="Arial" w:cs="Arial"/>
      <w:i/>
      <w:sz w:val="22"/>
      <w:szCs w:val="24"/>
      <w:lang w:val="en-US"/>
    </w:rPr>
  </w:style>
  <w:style w:type="paragraph" w:styleId="FootnoteText">
    <w:name w:val="footnote text"/>
    <w:basedOn w:val="Normal"/>
    <w:link w:val="FootnoteTextChar"/>
    <w:pPr>
      <w:spacing w:before="0" w:after="60"/>
    </w:pPr>
    <w:rPr>
      <w:sz w:val="16"/>
    </w:rPr>
  </w:style>
  <w:style w:type="paragraph" w:customStyle="1" w:styleId="IATED-email">
    <w:name w:val="IATED-email"/>
    <w:qFormat/>
    <w:pPr>
      <w:spacing w:after="480"/>
      <w:jc w:val="center"/>
    </w:pPr>
    <w:rPr>
      <w:rFonts w:ascii="Arial" w:hAnsi="Arial" w:cs="Arial"/>
      <w:i/>
      <w:iCs/>
      <w:sz w:val="22"/>
      <w:szCs w:val="24"/>
      <w:lang w:val="en-US"/>
    </w:rPr>
  </w:style>
  <w:style w:type="paragraph" w:customStyle="1" w:styleId="IATED-References">
    <w:name w:val="IATED-References"/>
    <w:basedOn w:val="Title"/>
    <w:autoRedefine/>
    <w:qFormat/>
    <w:rsid w:val="009449CC"/>
    <w:pPr>
      <w:numPr>
        <w:numId w:val="5"/>
      </w:numPr>
      <w:tabs>
        <w:tab w:val="clear" w:pos="360"/>
        <w:tab w:val="left" w:pos="567"/>
      </w:tabs>
      <w:spacing w:before="120"/>
      <w:ind w:left="567" w:hanging="567"/>
      <w:jc w:val="left"/>
    </w:pPr>
    <w:rPr>
      <w:rFonts w:cs="Arial"/>
      <w:b w:val="0"/>
      <w:bCs w:val="0"/>
      <w:sz w:val="20"/>
    </w:rPr>
  </w:style>
  <w:style w:type="character" w:customStyle="1" w:styleId="FootnoteTextChar">
    <w:name w:val="Footnote Text Char"/>
    <w:link w:val="FootnoteText"/>
    <w:rPr>
      <w:rFonts w:ascii="Arial" w:hAnsi="Arial"/>
      <w:sz w:val="16"/>
      <w:szCs w:val="24"/>
      <w:lang w:val="en-US"/>
    </w:rPr>
  </w:style>
  <w:style w:type="character" w:customStyle="1" w:styleId="Heading2Char">
    <w:name w:val="Heading 2 Char"/>
    <w:aliases w:val="IATED-Subsection Char"/>
    <w:link w:val="Heading2"/>
    <w:rPr>
      <w:rFonts w:ascii="Arial" w:hAnsi="Arial"/>
      <w:b/>
      <w:bCs/>
      <w:iCs/>
      <w:sz w:val="24"/>
      <w:szCs w:val="28"/>
    </w:rPr>
  </w:style>
  <w:style w:type="character" w:customStyle="1" w:styleId="Heading3Char">
    <w:name w:val="Heading 3 Char"/>
    <w:aliases w:val="IATED-Subsubsection Char"/>
    <w:link w:val="Heading3"/>
    <w:rPr>
      <w:rFonts w:ascii="Arial" w:hAnsi="Arial"/>
      <w:bCs/>
      <w:i/>
      <w:sz w:val="22"/>
      <w:szCs w:val="26"/>
    </w:rPr>
  </w:style>
  <w:style w:type="character" w:customStyle="1" w:styleId="Heading4Char">
    <w:name w:val="Heading 4 Char"/>
    <w:link w:val="Heading4"/>
    <w:rPr>
      <w:rFonts w:ascii="Cambria" w:hAnsi="Cambria"/>
      <w:b/>
      <w:bCs/>
      <w:sz w:val="28"/>
      <w:szCs w:val="28"/>
      <w:lang w:val="es-ES" w:eastAsia="es-ES"/>
    </w:rPr>
  </w:style>
  <w:style w:type="character" w:customStyle="1" w:styleId="Heading5Char">
    <w:name w:val="Heading 5 Char"/>
    <w:link w:val="Heading5"/>
    <w:rPr>
      <w:rFonts w:ascii="Cambria" w:hAnsi="Cambria"/>
      <w:b/>
      <w:bCs/>
      <w:i/>
      <w:iCs/>
      <w:sz w:val="26"/>
      <w:szCs w:val="26"/>
      <w:lang w:val="es-ES" w:eastAsia="es-ES"/>
    </w:rPr>
  </w:style>
  <w:style w:type="character" w:customStyle="1" w:styleId="Heading6Char">
    <w:name w:val="Heading 6 Char"/>
    <w:link w:val="Heading6"/>
    <w:rPr>
      <w:rFonts w:ascii="Cambria" w:hAnsi="Cambria"/>
      <w:b/>
      <w:bCs/>
      <w:sz w:val="22"/>
      <w:szCs w:val="22"/>
      <w:lang w:val="es-ES" w:eastAsia="es-ES"/>
    </w:rPr>
  </w:style>
  <w:style w:type="character" w:customStyle="1" w:styleId="Heading7Char">
    <w:name w:val="Heading 7 Char"/>
    <w:link w:val="Heading7"/>
    <w:rPr>
      <w:rFonts w:ascii="Cambria" w:hAnsi="Cambria"/>
      <w:szCs w:val="24"/>
      <w:lang w:val="es-ES" w:eastAsia="es-ES"/>
    </w:rPr>
  </w:style>
  <w:style w:type="character" w:customStyle="1" w:styleId="Heading8Char">
    <w:name w:val="Heading 8 Char"/>
    <w:link w:val="Heading8"/>
    <w:rPr>
      <w:rFonts w:ascii="Cambria" w:hAnsi="Cambria"/>
      <w:i/>
      <w:iCs/>
      <w:szCs w:val="24"/>
      <w:lang w:val="es-ES" w:eastAsia="es-ES"/>
    </w:rPr>
  </w:style>
  <w:style w:type="character" w:customStyle="1" w:styleId="Heading9Char">
    <w:name w:val="Heading 9 Char"/>
    <w:link w:val="Heading9"/>
    <w:rPr>
      <w:rFonts w:ascii="Calibri" w:hAnsi="Calibri"/>
      <w:sz w:val="22"/>
      <w:szCs w:val="22"/>
      <w:lang w:val="es-ES" w:eastAsia="es-ES"/>
    </w:rPr>
  </w:style>
  <w:style w:type="character" w:customStyle="1" w:styleId="Heading1Char">
    <w:name w:val="Heading 1 Char"/>
    <w:aliases w:val="IATED-Section Char"/>
    <w:link w:val="Heading1"/>
    <w:rPr>
      <w:rFonts w:ascii="Arial" w:hAnsi="Arial"/>
      <w:b/>
      <w:bCs/>
      <w:caps/>
      <w:kern w:val="32"/>
      <w:sz w:val="24"/>
      <w:szCs w:val="32"/>
    </w:rPr>
  </w:style>
  <w:style w:type="paragraph" w:styleId="DocumentMap">
    <w:name w:val="Document Map"/>
    <w:basedOn w:val="Normal"/>
    <w:link w:val="DocumentMapChar"/>
    <w:rPr>
      <w:rFonts w:ascii="Lucida Grande" w:hAnsi="Lucida Grande"/>
      <w:sz w:val="24"/>
    </w:rPr>
  </w:style>
  <w:style w:type="character" w:customStyle="1" w:styleId="DocumentMapChar">
    <w:name w:val="Document Map Char"/>
    <w:link w:val="DocumentMap"/>
    <w:rPr>
      <w:rFonts w:ascii="Lucida Grande" w:hAnsi="Lucida Grande"/>
      <w:sz w:val="24"/>
      <w:szCs w:val="24"/>
      <w:lang w:val="es-ES" w:eastAsia="es-ES"/>
    </w:rPr>
  </w:style>
  <w:style w:type="character" w:styleId="FootnoteReference">
    <w:name w:val="footnote reference"/>
    <w:rPr>
      <w:noProof w:val="0"/>
      <w:vertAlign w:val="superscript"/>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IATED Figures and Tables"/>
    <w:basedOn w:val="Normal"/>
    <w:next w:val="Normal"/>
    <w:pPr>
      <w:jc w:val="center"/>
    </w:pPr>
    <w:rPr>
      <w:bCs/>
      <w:i/>
      <w:szCs w:val="20"/>
    </w:rPr>
  </w:style>
  <w:style w:type="paragraph" w:styleId="BalloonText">
    <w:name w:val="Balloon Text"/>
    <w:basedOn w:val="Normal"/>
    <w:link w:val="BalloonTextChar"/>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Pr>
      <w:rFonts w:ascii="Lucida Grande" w:hAnsi="Lucida Grande" w:cs="Lucida Grande"/>
      <w:sz w:val="18"/>
      <w:szCs w:val="18"/>
      <w:lang w:val="en-US"/>
    </w:rPr>
  </w:style>
  <w:style w:type="paragraph" w:customStyle="1" w:styleId="IATED-CaptionTables">
    <w:name w:val="IATED-CaptionTables"/>
    <w:basedOn w:val="Caption"/>
    <w:next w:val="Normal"/>
    <w:qFormat/>
    <w:pPr>
      <w:spacing w:before="240"/>
    </w:pPr>
    <w:rPr>
      <w:lang w:val="en-GB"/>
    </w:rPr>
  </w:style>
  <w:style w:type="paragraph" w:customStyle="1" w:styleId="IATED-CaptionFigures">
    <w:name w:val="IATED-CaptionFigures"/>
    <w:basedOn w:val="Caption"/>
    <w:next w:val="Normal"/>
    <w:qFormat/>
    <w:pPr>
      <w:spacing w:after="240"/>
    </w:pPr>
    <w:rPr>
      <w:lang w:val="en-GB"/>
    </w:rPr>
  </w:style>
  <w:style w:type="character" w:styleId="Hyperlink">
    <w:name w:val="Hyperlink"/>
    <w:basedOn w:val="DefaultParagraphFont"/>
    <w:rPr>
      <w:color w:val="auto"/>
      <w:u w:val="none"/>
    </w:rPr>
  </w:style>
  <w:style w:type="character" w:styleId="FollowedHyperlink">
    <w:name w:val="FollowedHyperlink"/>
    <w:basedOn w:val="DefaultParagraphFont"/>
    <w:rPr>
      <w:color w:val="auto"/>
      <w:u w:val="none"/>
    </w:rPr>
  </w:style>
  <w:style w:type="paragraph" w:styleId="List">
    <w:name w:val="List"/>
    <w:basedOn w:val="Normal"/>
    <w:pPr>
      <w:spacing w:before="60" w:after="60"/>
      <w:ind w:left="284" w:hanging="284"/>
      <w:contextualSpacing/>
    </w:pPr>
  </w:style>
  <w:style w:type="paragraph" w:customStyle="1" w:styleId="IATED-ACKREFERENCES">
    <w:name w:val="IATED-ACK &amp; REFERENCES"/>
    <w:basedOn w:val="Normal"/>
    <w:qFormat/>
    <w:pPr>
      <w:keepNext/>
      <w:spacing w:before="360" w:after="60"/>
    </w:pPr>
    <w:rPr>
      <w:b/>
      <w:bCs/>
      <w:caps/>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65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intel.com/content/dam/www/programmable/us/en/pdfs/literature/hb/cyclone-v/cv_510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l.com/content/dam/altera-www/global/en_US/portal/dsn/42/doc-us-dsnbk-42-1504012210-de0-cv-user-manu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scv.org/wp-content/uploads/2017/05/riscv-spec-v2.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5456-BA4A-4B59-B251-8BB7A680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2832</Words>
  <Characters>16145</Characters>
  <Application>Microsoft Office Word</Application>
  <DocSecurity>0</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IATED PAPER Template</vt:lpstr>
      <vt:lpstr>IATED PAPER Template</vt:lpstr>
    </vt:vector>
  </TitlesOfParts>
  <Manager/>
  <Company/>
  <LinksUpToDate>false</LinksUpToDate>
  <CharactersWithSpaces>18940</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2004-03-29T17:30:00Z</cp:lastPrinted>
  <dcterms:created xsi:type="dcterms:W3CDTF">2022-01-02T07:07:00Z</dcterms:created>
  <dcterms:modified xsi:type="dcterms:W3CDTF">2022-01-02T20:57:00Z</dcterms:modified>
  <cp:category/>
</cp:coreProperties>
</file>