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86F41" w14:textId="66A0FA2B" w:rsidR="0081420E" w:rsidRPr="000D1255" w:rsidRDefault="00A2696A" w:rsidP="0081420E">
      <w:pPr>
        <w:jc w:val="center"/>
        <w:rPr>
          <w:rFonts w:asciiTheme="majorBidi" w:hAnsiTheme="majorBidi" w:cstheme="majorBidi"/>
          <w:b/>
          <w:bCs/>
          <w:sz w:val="24"/>
          <w:szCs w:val="24"/>
          <w:lang w:val="en-GB"/>
        </w:rPr>
      </w:pPr>
      <w:bookmarkStart w:id="0" w:name="_Hlk78789395"/>
      <w:r>
        <w:rPr>
          <w:rFonts w:asciiTheme="majorBidi" w:hAnsiTheme="majorBidi" w:cstheme="majorBidi"/>
          <w:b/>
          <w:bCs/>
          <w:sz w:val="24"/>
          <w:szCs w:val="24"/>
          <w:lang w:val="en-GB"/>
        </w:rPr>
        <w:t>Appendix 1</w:t>
      </w:r>
    </w:p>
    <w:p w14:paraId="34613D5F" w14:textId="079B70C3" w:rsidR="00961CFE" w:rsidRPr="0087737C" w:rsidRDefault="00E253C2" w:rsidP="0081420E">
      <w:pPr>
        <w:jc w:val="center"/>
        <w:rPr>
          <w:rFonts w:asciiTheme="majorBidi" w:hAnsiTheme="majorBidi" w:cstheme="majorBidi"/>
          <w:b/>
          <w:bCs/>
          <w:sz w:val="24"/>
          <w:szCs w:val="24"/>
          <w:rtl/>
          <w:lang w:val="en-GB"/>
        </w:rPr>
      </w:pPr>
      <w:r>
        <w:rPr>
          <w:rFonts w:asciiTheme="majorBidi" w:hAnsiTheme="majorBidi" w:cstheme="majorBidi"/>
          <w:b/>
          <w:bCs/>
          <w:sz w:val="24"/>
          <w:szCs w:val="24"/>
          <w:lang w:val="en-GB"/>
        </w:rPr>
        <w:t>The</w:t>
      </w:r>
      <w:r w:rsidR="0081420E" w:rsidRPr="0087737C">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w:t>
      </w:r>
      <w:r w:rsidR="0081420E" w:rsidRPr="0087737C">
        <w:rPr>
          <w:rFonts w:asciiTheme="majorBidi" w:hAnsiTheme="majorBidi" w:cstheme="majorBidi"/>
          <w:b/>
          <w:bCs/>
          <w:sz w:val="24"/>
          <w:szCs w:val="24"/>
          <w:lang w:val="en-GB"/>
        </w:rPr>
        <w:t>dying and rising god</w:t>
      </w:r>
      <w:r w:rsidR="0087737C">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in post-Ugaritic Levant</w:t>
      </w:r>
      <w:bookmarkEnd w:id="0"/>
    </w:p>
    <w:p w14:paraId="76482FF8" w14:textId="77777777" w:rsidR="0081420E" w:rsidRDefault="0081420E">
      <w:pPr>
        <w:rPr>
          <w:rFonts w:asciiTheme="majorBidi" w:hAnsiTheme="majorBidi" w:cstheme="majorBidi"/>
          <w:sz w:val="24"/>
          <w:szCs w:val="24"/>
          <w:lang w:val="en-GB"/>
        </w:rPr>
      </w:pPr>
    </w:p>
    <w:p w14:paraId="4947CFDA" w14:textId="2C6DA3F8" w:rsidR="00961CFE" w:rsidRPr="00961CFE" w:rsidRDefault="00961CFE" w:rsidP="00D46490">
      <w:pPr>
        <w:spacing w:after="0" w:line="480" w:lineRule="auto"/>
        <w:rPr>
          <w:rFonts w:ascii="Times New Roman" w:hAnsi="Times New Roman" w:cs="David"/>
          <w:sz w:val="24"/>
          <w:szCs w:val="24"/>
          <w:rtl/>
          <w:lang w:val="en-US" w:bidi="ar-SA"/>
        </w:rPr>
      </w:pPr>
      <w:r w:rsidRPr="00961CFE">
        <w:rPr>
          <w:rFonts w:ascii="Times New Roman" w:hAnsi="Times New Roman" w:cs="David"/>
          <w:sz w:val="24"/>
          <w:szCs w:val="24"/>
          <w:lang w:val="en-US" w:bidi="ar-SA"/>
        </w:rPr>
        <w:t xml:space="preserve">With the destruction of Ugarit </w:t>
      </w:r>
      <w:r w:rsidR="008D20E2">
        <w:rPr>
          <w:rFonts w:ascii="Times New Roman" w:hAnsi="Times New Roman" w:cs="David"/>
          <w:sz w:val="24"/>
          <w:szCs w:val="24"/>
          <w:lang w:val="en-US" w:bidi="ar-SA"/>
        </w:rPr>
        <w:t xml:space="preserve">and Hatti </w:t>
      </w:r>
      <w:r w:rsidRPr="00961CFE">
        <w:rPr>
          <w:rFonts w:ascii="Times New Roman" w:hAnsi="Times New Roman" w:cs="David"/>
          <w:sz w:val="24"/>
          <w:szCs w:val="24"/>
          <w:lang w:val="en-US" w:bidi="ar-SA"/>
        </w:rPr>
        <w:t xml:space="preserve">towards the end of the second millennium, and with the transition to a linear alphabetic script written on perishable materials, our knowledge of </w:t>
      </w:r>
      <w:proofErr w:type="spellStart"/>
      <w:r w:rsidR="008D20E2">
        <w:rPr>
          <w:rFonts w:ascii="Times New Roman" w:hAnsi="Times New Roman" w:cs="David"/>
          <w:sz w:val="24"/>
          <w:szCs w:val="24"/>
          <w:lang w:val="en-US" w:bidi="ar-SA"/>
        </w:rPr>
        <w:t>Syro</w:t>
      </w:r>
      <w:proofErr w:type="spellEnd"/>
      <w:r w:rsidR="008D20E2">
        <w:rPr>
          <w:rFonts w:ascii="Times New Roman" w:hAnsi="Times New Roman" w:cs="David"/>
          <w:sz w:val="24"/>
          <w:szCs w:val="24"/>
          <w:lang w:val="en-US" w:bidi="ar-SA"/>
        </w:rPr>
        <w:t>-</w:t>
      </w:r>
      <w:r w:rsidRPr="00961CFE">
        <w:rPr>
          <w:rFonts w:ascii="Times New Roman" w:hAnsi="Times New Roman" w:cs="David"/>
          <w:sz w:val="24"/>
          <w:szCs w:val="24"/>
          <w:lang w:val="en-US" w:bidi="ar-SA"/>
        </w:rPr>
        <w:t>Levantine cultures, literatures, and rituals is dramatically diminished</w:t>
      </w:r>
      <w:r w:rsidR="008D20E2">
        <w:rPr>
          <w:rFonts w:ascii="Times New Roman" w:hAnsi="Times New Roman" w:cs="David"/>
          <w:sz w:val="24"/>
          <w:szCs w:val="24"/>
          <w:lang w:val="en-US" w:bidi="ar-SA"/>
        </w:rPr>
        <w:t>. This is true, of course, also regarding the evidence for the my</w:t>
      </w:r>
      <w:r w:rsidR="008D20E2">
        <w:rPr>
          <w:rFonts w:ascii="Times New Roman" w:hAnsi="Times New Roman" w:cs="David"/>
          <w:sz w:val="24"/>
          <w:szCs w:val="24"/>
          <w:lang w:val="en-US"/>
        </w:rPr>
        <w:t>thologem</w:t>
      </w:r>
      <w:r w:rsidRPr="00961CFE">
        <w:rPr>
          <w:rFonts w:ascii="Times New Roman" w:hAnsi="Times New Roman" w:cs="David"/>
          <w:sz w:val="24"/>
          <w:szCs w:val="24"/>
          <w:lang w:val="en-US" w:bidi="ar-SA"/>
        </w:rPr>
        <w:t xml:space="preserve"> </w:t>
      </w:r>
      <w:r w:rsidR="008D20E2">
        <w:rPr>
          <w:rFonts w:ascii="Times New Roman" w:hAnsi="Times New Roman" w:cs="David"/>
          <w:sz w:val="24"/>
          <w:szCs w:val="24"/>
          <w:lang w:val="en-GB"/>
        </w:rPr>
        <w:t>of the dying and rising god</w:t>
      </w:r>
      <w:r w:rsidR="005B1641">
        <w:rPr>
          <w:rFonts w:ascii="Times New Roman" w:hAnsi="Times New Roman" w:cs="David"/>
          <w:sz w:val="24"/>
          <w:szCs w:val="24"/>
          <w:lang w:val="en-GB"/>
        </w:rPr>
        <w:t xml:space="preserve">. </w:t>
      </w:r>
      <w:r w:rsidRPr="00961CFE">
        <w:rPr>
          <w:rFonts w:ascii="Times New Roman" w:hAnsi="Times New Roman" w:cs="David"/>
          <w:sz w:val="24"/>
          <w:szCs w:val="24"/>
          <w:lang w:val="en-US" w:bidi="ar-SA"/>
        </w:rPr>
        <w:t xml:space="preserve">Moreover, biblical literature – which is often used to represent the Levantine literature of the first millennium due to the loss of almost all other </w:t>
      </w:r>
      <w:r w:rsidRPr="00961CFE">
        <w:rPr>
          <w:rFonts w:ascii="Times New Roman" w:hAnsi="Times New Roman" w:cs="David"/>
          <w:sz w:val="24"/>
          <w:szCs w:val="24"/>
          <w:lang w:val="en-US"/>
        </w:rPr>
        <w:t>corp</w:t>
      </w:r>
      <w:r w:rsidR="00E253C2">
        <w:rPr>
          <w:rFonts w:ascii="Times New Roman" w:hAnsi="Times New Roman" w:cs="David"/>
          <w:sz w:val="24"/>
          <w:szCs w:val="24"/>
          <w:lang w:val="en-US"/>
        </w:rPr>
        <w:t>ora</w:t>
      </w:r>
      <w:r w:rsidRPr="00961CFE">
        <w:rPr>
          <w:rFonts w:ascii="Times New Roman" w:hAnsi="Times New Roman" w:cs="David"/>
          <w:sz w:val="24"/>
          <w:szCs w:val="24"/>
          <w:lang w:val="en-GB" w:bidi="ar-SA"/>
        </w:rPr>
        <w:t xml:space="preserve"> </w:t>
      </w:r>
      <w:r w:rsidRPr="00961CFE">
        <w:rPr>
          <w:rFonts w:ascii="Times New Roman" w:hAnsi="Times New Roman" w:cs="David"/>
          <w:sz w:val="24"/>
          <w:szCs w:val="24"/>
          <w:lang w:val="en-US" w:bidi="ar-SA"/>
        </w:rPr>
        <w:t>– mostly rejected, like the Mesopotamian culture, the mythologem of dying and rising gods.</w:t>
      </w:r>
      <w:r w:rsidR="00D46490" w:rsidRPr="00D46490">
        <w:rPr>
          <w:rFonts w:ascii="Times New Roman" w:hAnsi="Times New Roman" w:cs="David"/>
          <w:sz w:val="24"/>
          <w:szCs w:val="24"/>
          <w:vertAlign w:val="superscript"/>
          <w:lang w:val="en-US" w:bidi="ar-SA"/>
        </w:rPr>
        <w:footnoteReference w:id="1"/>
      </w:r>
      <w:r w:rsidRPr="00961CFE">
        <w:rPr>
          <w:rFonts w:ascii="Times New Roman" w:hAnsi="Times New Roman" w:cs="David"/>
          <w:sz w:val="24"/>
          <w:szCs w:val="24"/>
          <w:lang w:val="en-US" w:bidi="ar-SA"/>
        </w:rPr>
        <w:t xml:space="preserve"> Despite these difficulties, there is evidence to suggest that this mythologem continued to be prevalent in the</w:t>
      </w:r>
      <w:r w:rsidR="00E253C2">
        <w:rPr>
          <w:rFonts w:ascii="Times New Roman" w:hAnsi="Times New Roman" w:cs="David"/>
          <w:sz w:val="24"/>
          <w:szCs w:val="24"/>
          <w:lang w:val="en-US" w:bidi="ar-SA"/>
        </w:rPr>
        <w:t xml:space="preserve"> </w:t>
      </w:r>
      <w:r w:rsidR="002B5D45">
        <w:rPr>
          <w:rFonts w:ascii="Times New Roman" w:hAnsi="Times New Roman" w:cs="David"/>
          <w:sz w:val="24"/>
          <w:szCs w:val="24"/>
          <w:lang w:val="en-US" w:bidi="ar-SA"/>
        </w:rPr>
        <w:t>West-Semitic</w:t>
      </w:r>
      <w:r w:rsidRPr="00961CFE">
        <w:rPr>
          <w:rFonts w:ascii="Times New Roman" w:hAnsi="Times New Roman" w:cs="David"/>
          <w:sz w:val="24"/>
          <w:szCs w:val="24"/>
          <w:lang w:val="en-US" w:bidi="ar-SA"/>
        </w:rPr>
        <w:t xml:space="preserve"> culture</w:t>
      </w:r>
      <w:r w:rsidR="00E253C2">
        <w:rPr>
          <w:rFonts w:ascii="Times New Roman" w:hAnsi="Times New Roman" w:cs="David"/>
          <w:sz w:val="24"/>
          <w:szCs w:val="24"/>
          <w:lang w:val="en-US" w:bidi="ar-SA"/>
        </w:rPr>
        <w:t>s</w:t>
      </w:r>
      <w:r w:rsidRPr="00961CFE">
        <w:rPr>
          <w:rFonts w:ascii="Times New Roman" w:hAnsi="Times New Roman" w:cs="David"/>
          <w:sz w:val="24"/>
          <w:szCs w:val="24"/>
          <w:lang w:val="en-US" w:bidi="ar-SA"/>
        </w:rPr>
        <w:t>, not only as a literary theme but as a ritual one as well.</w:t>
      </w:r>
    </w:p>
    <w:p w14:paraId="62FDBF00" w14:textId="255ECA25" w:rsidR="00961CFE" w:rsidRPr="00961CFE" w:rsidRDefault="00961CFE" w:rsidP="002C26D4">
      <w:pPr>
        <w:spacing w:after="0" w:line="480" w:lineRule="auto"/>
        <w:ind w:firstLine="567"/>
        <w:rPr>
          <w:rFonts w:ascii="Times New Roman" w:hAnsi="Times New Roman" w:cs="David"/>
          <w:sz w:val="24"/>
          <w:szCs w:val="24"/>
          <w:lang w:val="en-GB"/>
        </w:rPr>
      </w:pPr>
      <w:r w:rsidRPr="00961CFE">
        <w:rPr>
          <w:rFonts w:ascii="Times New Roman" w:hAnsi="Times New Roman" w:cs="David"/>
          <w:sz w:val="24"/>
          <w:szCs w:val="24"/>
          <w:lang w:val="en-US"/>
        </w:rPr>
        <w:t>Since it has been discussed recently at length by T</w:t>
      </w:r>
      <w:r>
        <w:rPr>
          <w:rFonts w:ascii="Times New Roman" w:hAnsi="Times New Roman" w:cs="David"/>
          <w:sz w:val="24"/>
          <w:szCs w:val="24"/>
          <w:lang w:val="en-US"/>
        </w:rPr>
        <w:t>.N</w:t>
      </w:r>
      <w:r w:rsidRPr="00961CFE">
        <w:rPr>
          <w:rFonts w:ascii="Times New Roman" w:hAnsi="Times New Roman" w:cs="David"/>
          <w:sz w:val="24"/>
          <w:szCs w:val="24"/>
          <w:lang w:val="en-US"/>
        </w:rPr>
        <w:t xml:space="preserve">.D. </w:t>
      </w:r>
      <w:proofErr w:type="spellStart"/>
      <w:r w:rsidRPr="00961CFE">
        <w:rPr>
          <w:rFonts w:ascii="Times New Roman" w:hAnsi="Times New Roman" w:cs="David"/>
          <w:sz w:val="24"/>
          <w:szCs w:val="24"/>
          <w:lang w:val="en-US"/>
        </w:rPr>
        <w:t>Mettinger</w:t>
      </w:r>
      <w:proofErr w:type="spellEnd"/>
      <w:r w:rsidR="00E253C2" w:rsidRPr="00961CFE">
        <w:rPr>
          <w:rFonts w:ascii="Times New Roman" w:hAnsi="Times New Roman" w:cs="David"/>
          <w:sz w:val="24"/>
          <w:szCs w:val="24"/>
          <w:vertAlign w:val="superscript"/>
          <w:lang w:val="en-US"/>
        </w:rPr>
        <w:footnoteReference w:id="2"/>
      </w:r>
      <w:r w:rsidRPr="00961CFE">
        <w:rPr>
          <w:rFonts w:ascii="Times New Roman" w:hAnsi="Times New Roman" w:cs="David"/>
          <w:sz w:val="24"/>
          <w:szCs w:val="24"/>
          <w:lang w:val="en-US"/>
        </w:rPr>
        <w:t xml:space="preserve"> </w:t>
      </w:r>
      <w:r w:rsidRPr="00961CFE">
        <w:rPr>
          <w:rFonts w:ascii="Times New Roman" w:hAnsi="Times New Roman" w:cs="David" w:hint="cs"/>
          <w:sz w:val="24"/>
          <w:szCs w:val="24"/>
          <w:rtl/>
          <w:lang w:val="en-US"/>
        </w:rPr>
        <w:t xml:space="preserve">ובכל מקרה זה חורג מעניינו של ספר זה </w:t>
      </w:r>
      <w:r w:rsidRPr="00961CFE">
        <w:rPr>
          <w:rFonts w:ascii="Times New Roman" w:hAnsi="Times New Roman" w:cs="David"/>
          <w:sz w:val="24"/>
          <w:szCs w:val="24"/>
          <w:rtl/>
          <w:lang w:val="en-US"/>
        </w:rPr>
        <w:t>–</w:t>
      </w:r>
      <w:r w:rsidRPr="00961CFE">
        <w:rPr>
          <w:rFonts w:ascii="Times New Roman" w:hAnsi="Times New Roman" w:cs="David" w:hint="cs"/>
          <w:sz w:val="24"/>
          <w:szCs w:val="24"/>
          <w:rtl/>
          <w:lang w:val="en-US"/>
        </w:rPr>
        <w:t xml:space="preserve"> העוסק בכתבים מהאלף השני לפנה"ס</w:t>
      </w:r>
      <w:r w:rsidRPr="00961CFE">
        <w:rPr>
          <w:rFonts w:ascii="Times New Roman" w:hAnsi="Times New Roman" w:cs="David"/>
          <w:sz w:val="24"/>
          <w:szCs w:val="24"/>
          <w:lang w:val="en-US"/>
        </w:rPr>
        <w:t xml:space="preserve">, I will </w:t>
      </w:r>
      <w:r w:rsidR="00E253C2">
        <w:rPr>
          <w:rFonts w:ascii="Times New Roman" w:hAnsi="Times New Roman" w:cs="David"/>
          <w:sz w:val="24"/>
          <w:szCs w:val="24"/>
          <w:lang w:val="en-US"/>
        </w:rPr>
        <w:t>suffice</w:t>
      </w:r>
      <w:r w:rsidRPr="00961CFE">
        <w:rPr>
          <w:rFonts w:ascii="Times New Roman" w:hAnsi="Times New Roman" w:cs="David"/>
          <w:sz w:val="24"/>
          <w:szCs w:val="24"/>
          <w:lang w:val="en-US"/>
        </w:rPr>
        <w:t xml:space="preserve"> with </w:t>
      </w:r>
      <w:r w:rsidR="00326331">
        <w:rPr>
          <w:rFonts w:ascii="Times New Roman" w:hAnsi="Times New Roman" w:cs="David"/>
          <w:sz w:val="24"/>
          <w:szCs w:val="24"/>
          <w:lang w:val="en-GB"/>
        </w:rPr>
        <w:t xml:space="preserve">only a </w:t>
      </w:r>
      <w:r w:rsidR="002C26D4">
        <w:rPr>
          <w:rFonts w:ascii="Times New Roman" w:hAnsi="Times New Roman" w:cs="David"/>
          <w:sz w:val="24"/>
          <w:szCs w:val="24"/>
          <w:lang w:val="en-GB"/>
        </w:rPr>
        <w:t xml:space="preserve">few examples </w:t>
      </w:r>
      <w:r w:rsidR="00ED130E">
        <w:rPr>
          <w:rFonts w:ascii="Times New Roman" w:hAnsi="Times New Roman" w:cs="David"/>
          <w:sz w:val="24"/>
          <w:szCs w:val="24"/>
          <w:lang w:val="en-GB"/>
        </w:rPr>
        <w:t>testifying</w:t>
      </w:r>
      <w:r w:rsidR="002C26D4">
        <w:rPr>
          <w:rFonts w:ascii="Times New Roman" w:hAnsi="Times New Roman" w:cs="David"/>
          <w:sz w:val="24"/>
          <w:szCs w:val="24"/>
          <w:lang w:val="en-GB"/>
        </w:rPr>
        <w:t xml:space="preserve"> the continuity of this</w:t>
      </w:r>
      <w:r w:rsidRPr="00961CFE">
        <w:rPr>
          <w:rFonts w:ascii="Times New Roman" w:hAnsi="Times New Roman" w:cs="David"/>
          <w:sz w:val="24"/>
          <w:szCs w:val="24"/>
          <w:lang w:val="en-US"/>
        </w:rPr>
        <w:t xml:space="preserve"> mythologem</w:t>
      </w:r>
      <w:r w:rsidR="002C26D4">
        <w:rPr>
          <w:rFonts w:ascii="Times New Roman" w:hAnsi="Times New Roman" w:cs="David"/>
          <w:sz w:val="24"/>
          <w:szCs w:val="24"/>
          <w:lang w:val="en-US"/>
        </w:rPr>
        <w:t xml:space="preserve"> in the Levantine cultures. </w:t>
      </w:r>
      <w:r w:rsidR="00957CEB">
        <w:rPr>
          <w:rFonts w:ascii="Times New Roman" w:hAnsi="Times New Roman" w:cs="David" w:hint="cs"/>
          <w:sz w:val="24"/>
          <w:szCs w:val="24"/>
          <w:rtl/>
          <w:lang w:val="en-US"/>
        </w:rPr>
        <w:t>שתי הדוגמאות הראשונות</w:t>
      </w:r>
      <w:r w:rsidR="001E75D5">
        <w:rPr>
          <w:rFonts w:ascii="Times New Roman" w:hAnsi="Times New Roman" w:cs="David" w:hint="cs"/>
          <w:sz w:val="24"/>
          <w:szCs w:val="24"/>
          <w:rtl/>
          <w:lang w:val="en-US"/>
        </w:rPr>
        <w:t xml:space="preserve"> שי</w:t>
      </w:r>
      <w:r w:rsidR="004803FE">
        <w:rPr>
          <w:rFonts w:ascii="Times New Roman" w:hAnsi="Times New Roman" w:cs="David" w:hint="cs"/>
          <w:sz w:val="24"/>
          <w:szCs w:val="24"/>
          <w:rtl/>
          <w:lang w:val="en-US"/>
        </w:rPr>
        <w:t>וזכרו להלן</w:t>
      </w:r>
      <w:r w:rsidR="00957CEB">
        <w:rPr>
          <w:rFonts w:ascii="Times New Roman" w:hAnsi="Times New Roman" w:cs="David" w:hint="cs"/>
          <w:sz w:val="24"/>
          <w:szCs w:val="24"/>
          <w:rtl/>
          <w:lang w:val="en-US"/>
        </w:rPr>
        <w:t xml:space="preserve"> קשורות להיבט הריטואלי של המיתולוגמה, וחשיבותן העיקרית היא בכך שהן משמרות את זכרו בשפות המקומיות: פניקית ועברית. </w:t>
      </w:r>
      <w:r w:rsidR="001E75D5">
        <w:rPr>
          <w:rFonts w:ascii="Times New Roman" w:hAnsi="Times New Roman" w:cs="David" w:hint="cs"/>
          <w:sz w:val="24"/>
          <w:szCs w:val="24"/>
          <w:rtl/>
          <w:lang w:val="en-US"/>
        </w:rPr>
        <w:t>אמנם היקרו</w:t>
      </w:r>
      <w:r w:rsidR="002A517F">
        <w:rPr>
          <w:rFonts w:ascii="Times New Roman" w:hAnsi="Times New Roman" w:cs="David" w:hint="cs"/>
          <w:sz w:val="24"/>
          <w:szCs w:val="24"/>
          <w:rtl/>
          <w:lang w:val="en-US"/>
        </w:rPr>
        <w:t>יו</w:t>
      </w:r>
      <w:r w:rsidR="001E75D5">
        <w:rPr>
          <w:rFonts w:ascii="Times New Roman" w:hAnsi="Times New Roman" w:cs="David" w:hint="cs"/>
          <w:sz w:val="24"/>
          <w:szCs w:val="24"/>
          <w:rtl/>
          <w:lang w:val="en-US"/>
        </w:rPr>
        <w:t xml:space="preserve">ת </w:t>
      </w:r>
      <w:r w:rsidR="00ED130E">
        <w:rPr>
          <w:rFonts w:ascii="Times New Roman" w:hAnsi="Times New Roman" w:cs="David" w:hint="cs"/>
          <w:sz w:val="24"/>
          <w:szCs w:val="24"/>
          <w:rtl/>
          <w:lang w:val="en-US"/>
        </w:rPr>
        <w:t>אלו</w:t>
      </w:r>
      <w:r w:rsidR="00A376AD">
        <w:rPr>
          <w:rFonts w:ascii="Times New Roman" w:hAnsi="Times New Roman" w:cs="David" w:hint="cs"/>
          <w:sz w:val="24"/>
          <w:szCs w:val="24"/>
          <w:rtl/>
          <w:lang w:val="en-US"/>
        </w:rPr>
        <w:t xml:space="preserve"> </w:t>
      </w:r>
      <w:r w:rsidR="001E75D5">
        <w:rPr>
          <w:rFonts w:ascii="Times New Roman" w:hAnsi="Times New Roman" w:cs="David" w:hint="cs"/>
          <w:sz w:val="24"/>
          <w:szCs w:val="24"/>
          <w:rtl/>
          <w:lang w:val="en-US"/>
        </w:rPr>
        <w:t>משמר</w:t>
      </w:r>
      <w:r w:rsidR="003A15A7">
        <w:rPr>
          <w:rFonts w:ascii="Times New Roman" w:hAnsi="Times New Roman" w:cs="David" w:hint="cs"/>
          <w:sz w:val="24"/>
          <w:szCs w:val="24"/>
          <w:rtl/>
          <w:lang w:val="en-US"/>
        </w:rPr>
        <w:t>ו</w:t>
      </w:r>
      <w:r w:rsidR="001E75D5">
        <w:rPr>
          <w:rFonts w:ascii="Times New Roman" w:hAnsi="Times New Roman" w:cs="David" w:hint="cs"/>
          <w:sz w:val="24"/>
          <w:szCs w:val="24"/>
          <w:rtl/>
          <w:lang w:val="en-US"/>
        </w:rPr>
        <w:t xml:space="preserve">ת </w:t>
      </w:r>
      <w:r w:rsidR="002A517F">
        <w:rPr>
          <w:rFonts w:ascii="Times New Roman" w:hAnsi="Times New Roman" w:cs="David" w:hint="cs"/>
          <w:sz w:val="24"/>
          <w:szCs w:val="24"/>
          <w:rtl/>
          <w:lang w:val="en-US"/>
        </w:rPr>
        <w:t xml:space="preserve">רק את הנוהג הפולחני </w:t>
      </w:r>
      <w:r w:rsidR="002A517F">
        <w:rPr>
          <w:rFonts w:ascii="Times New Roman" w:hAnsi="Times New Roman" w:cs="David"/>
          <w:sz w:val="24"/>
          <w:szCs w:val="24"/>
          <w:rtl/>
          <w:lang w:val="en-US"/>
        </w:rPr>
        <w:t>–</w:t>
      </w:r>
      <w:r w:rsidR="002A517F">
        <w:rPr>
          <w:rFonts w:ascii="Times New Roman" w:hAnsi="Times New Roman" w:cs="David" w:hint="cs"/>
          <w:sz w:val="24"/>
          <w:szCs w:val="24"/>
          <w:rtl/>
          <w:lang w:val="en-US"/>
        </w:rPr>
        <w:t xml:space="preserve"> או </w:t>
      </w:r>
      <w:r w:rsidR="00ED130E">
        <w:rPr>
          <w:rFonts w:ascii="Times New Roman" w:hAnsi="Times New Roman" w:cs="David" w:hint="cs"/>
          <w:sz w:val="24"/>
          <w:szCs w:val="24"/>
          <w:rtl/>
          <w:lang w:val="en-US"/>
        </w:rPr>
        <w:t xml:space="preserve">לעתים </w:t>
      </w:r>
      <w:r w:rsidR="002A517F">
        <w:rPr>
          <w:rFonts w:ascii="Times New Roman" w:hAnsi="Times New Roman" w:cs="David" w:hint="cs"/>
          <w:sz w:val="24"/>
          <w:szCs w:val="24"/>
          <w:rtl/>
          <w:lang w:val="en-US"/>
        </w:rPr>
        <w:t>אפילו,</w:t>
      </w:r>
      <w:r w:rsidR="00ED130E">
        <w:rPr>
          <w:rFonts w:ascii="Times New Roman" w:hAnsi="Times New Roman" w:cs="David" w:hint="cs"/>
          <w:sz w:val="24"/>
          <w:szCs w:val="24"/>
          <w:rtl/>
          <w:lang w:val="en-US"/>
        </w:rPr>
        <w:t xml:space="preserve"> רק</w:t>
      </w:r>
      <w:r w:rsidR="002A517F">
        <w:rPr>
          <w:rFonts w:ascii="Times New Roman" w:hAnsi="Times New Roman" w:cs="David" w:hint="cs"/>
          <w:sz w:val="24"/>
          <w:szCs w:val="24"/>
          <w:rtl/>
          <w:lang w:val="en-US"/>
        </w:rPr>
        <w:t xml:space="preserve"> זכר לנוהג הפול</w:t>
      </w:r>
      <w:r w:rsidR="003A15A7">
        <w:rPr>
          <w:rFonts w:ascii="Times New Roman" w:hAnsi="Times New Roman" w:cs="David" w:hint="cs"/>
          <w:sz w:val="24"/>
          <w:szCs w:val="24"/>
          <w:rtl/>
          <w:lang w:val="en-US"/>
        </w:rPr>
        <w:t>ח</w:t>
      </w:r>
      <w:r w:rsidR="002A517F">
        <w:rPr>
          <w:rFonts w:ascii="Times New Roman" w:hAnsi="Times New Roman" w:cs="David" w:hint="cs"/>
          <w:sz w:val="24"/>
          <w:szCs w:val="24"/>
          <w:rtl/>
          <w:lang w:val="en-US"/>
        </w:rPr>
        <w:t xml:space="preserve">ני </w:t>
      </w:r>
      <w:r w:rsidR="002A517F">
        <w:rPr>
          <w:rFonts w:ascii="Times New Roman" w:hAnsi="Times New Roman" w:cs="David"/>
          <w:sz w:val="24"/>
          <w:szCs w:val="24"/>
          <w:rtl/>
          <w:lang w:val="en-US"/>
        </w:rPr>
        <w:t>–</w:t>
      </w:r>
      <w:r w:rsidR="002A517F">
        <w:rPr>
          <w:rFonts w:ascii="Times New Roman" w:hAnsi="Times New Roman" w:cs="David" w:hint="cs"/>
          <w:sz w:val="24"/>
          <w:szCs w:val="24"/>
          <w:rtl/>
          <w:lang w:val="en-US"/>
        </w:rPr>
        <w:t xml:space="preserve"> ללא הסבר תיאולוגי</w:t>
      </w:r>
      <w:r w:rsidR="003A15A7">
        <w:rPr>
          <w:rFonts w:ascii="Times New Roman" w:hAnsi="Times New Roman" w:cs="David" w:hint="cs"/>
          <w:sz w:val="24"/>
          <w:szCs w:val="24"/>
          <w:rtl/>
          <w:lang w:val="en-US"/>
        </w:rPr>
        <w:t xml:space="preserve"> בצידו</w:t>
      </w:r>
      <w:r w:rsidR="00ED130E">
        <w:rPr>
          <w:rFonts w:ascii="Times New Roman" w:hAnsi="Times New Roman" w:cs="David" w:hint="cs"/>
          <w:sz w:val="24"/>
          <w:szCs w:val="24"/>
          <w:rtl/>
          <w:lang w:val="en-US"/>
        </w:rPr>
        <w:t>;</w:t>
      </w:r>
      <w:r w:rsidR="001E75D5">
        <w:rPr>
          <w:rFonts w:ascii="Times New Roman" w:hAnsi="Times New Roman" w:cs="David" w:hint="cs"/>
          <w:sz w:val="24"/>
          <w:szCs w:val="24"/>
          <w:rtl/>
          <w:lang w:val="en-US"/>
        </w:rPr>
        <w:t xml:space="preserve"> אך אף ב</w:t>
      </w:r>
      <w:r w:rsidR="002A517F">
        <w:rPr>
          <w:rFonts w:ascii="Times New Roman" w:hAnsi="Times New Roman" w:cs="David" w:hint="cs"/>
          <w:sz w:val="24"/>
          <w:szCs w:val="24"/>
          <w:rtl/>
          <w:lang w:val="en-US"/>
        </w:rPr>
        <w:t>כך</w:t>
      </w:r>
      <w:r w:rsidR="001E75D5">
        <w:rPr>
          <w:rFonts w:ascii="Times New Roman" w:hAnsi="Times New Roman" w:cs="David" w:hint="cs"/>
          <w:sz w:val="24"/>
          <w:szCs w:val="24"/>
          <w:rtl/>
          <w:lang w:val="en-US"/>
        </w:rPr>
        <w:t xml:space="preserve"> יש חשיבות רבה, לאור </w:t>
      </w:r>
      <w:r w:rsidR="00ED130E">
        <w:rPr>
          <w:rFonts w:ascii="Times New Roman" w:hAnsi="Times New Roman" w:cs="David" w:hint="cs"/>
          <w:sz w:val="24"/>
          <w:szCs w:val="24"/>
          <w:rtl/>
          <w:lang w:val="en-US"/>
        </w:rPr>
        <w:t>היעדרם של טקסטים ספרותיים אפיגרפיים באלף הראשון לפנה"ס מחד ו</w:t>
      </w:r>
      <w:r w:rsidR="004803FE">
        <w:rPr>
          <w:rFonts w:ascii="Times New Roman" w:hAnsi="Times New Roman" w:cs="David" w:hint="cs"/>
          <w:sz w:val="24"/>
          <w:szCs w:val="24"/>
          <w:rtl/>
          <w:lang w:val="en-US"/>
        </w:rPr>
        <w:t>ה</w:t>
      </w:r>
      <w:r w:rsidR="001E75D5">
        <w:rPr>
          <w:rFonts w:ascii="Times New Roman" w:hAnsi="Times New Roman" w:cs="David" w:hint="cs"/>
          <w:sz w:val="24"/>
          <w:szCs w:val="24"/>
          <w:rtl/>
          <w:lang w:val="en-US"/>
        </w:rPr>
        <w:t>התנגדות למיתולוגמ</w:t>
      </w:r>
      <w:r w:rsidR="00ED130E">
        <w:rPr>
          <w:rFonts w:ascii="Times New Roman" w:hAnsi="Times New Roman" w:cs="David" w:hint="cs"/>
          <w:sz w:val="24"/>
          <w:szCs w:val="24"/>
          <w:rtl/>
          <w:lang w:val="en-US"/>
        </w:rPr>
        <w:t>ת</w:t>
      </w:r>
      <w:r w:rsidR="001E75D5">
        <w:rPr>
          <w:rFonts w:ascii="Times New Roman" w:hAnsi="Times New Roman" w:cs="David" w:hint="cs"/>
          <w:sz w:val="24"/>
          <w:szCs w:val="24"/>
          <w:rtl/>
          <w:lang w:val="en-US"/>
        </w:rPr>
        <w:t xml:space="preserve"> </w:t>
      </w:r>
      <w:r w:rsidR="00ED130E">
        <w:rPr>
          <w:rFonts w:ascii="Times New Roman" w:hAnsi="Times New Roman" w:cs="David" w:hint="cs"/>
          <w:sz w:val="24"/>
          <w:szCs w:val="24"/>
          <w:rtl/>
          <w:lang w:val="en-US"/>
        </w:rPr>
        <w:t>ה"אל-מת-חי"</w:t>
      </w:r>
      <w:r w:rsidR="004803FE">
        <w:rPr>
          <w:rFonts w:ascii="Times New Roman" w:hAnsi="Times New Roman" w:cs="David" w:hint="cs"/>
          <w:sz w:val="24"/>
          <w:szCs w:val="24"/>
          <w:rtl/>
          <w:lang w:val="en-US"/>
        </w:rPr>
        <w:t xml:space="preserve"> בתרבות הישראלית </w:t>
      </w:r>
      <w:r w:rsidR="00ED130E">
        <w:rPr>
          <w:rFonts w:ascii="Times New Roman" w:hAnsi="Times New Roman" w:cs="David" w:hint="cs"/>
          <w:sz w:val="24"/>
          <w:szCs w:val="24"/>
          <w:rtl/>
          <w:lang w:val="en-US"/>
        </w:rPr>
        <w:t>מאידך</w:t>
      </w:r>
      <w:r w:rsidR="00A376AD">
        <w:rPr>
          <w:rFonts w:ascii="Times New Roman" w:hAnsi="Times New Roman" w:cs="David" w:hint="cs"/>
          <w:sz w:val="24"/>
          <w:szCs w:val="24"/>
          <w:rtl/>
          <w:lang w:val="en-US"/>
        </w:rPr>
        <w:t>.</w:t>
      </w:r>
      <w:r w:rsidR="001E75D5">
        <w:rPr>
          <w:rStyle w:val="FootnoteReference"/>
          <w:rFonts w:ascii="Times New Roman" w:hAnsi="Times New Roman" w:cs="David"/>
          <w:sz w:val="24"/>
          <w:szCs w:val="24"/>
          <w:rtl/>
          <w:lang w:val="en-US"/>
        </w:rPr>
        <w:footnoteReference w:id="3"/>
      </w:r>
      <w:r w:rsidR="00957CEB">
        <w:rPr>
          <w:rFonts w:ascii="Times New Roman" w:hAnsi="Times New Roman" w:cs="David" w:hint="cs"/>
          <w:sz w:val="24"/>
          <w:szCs w:val="24"/>
          <w:rtl/>
          <w:lang w:val="en-US"/>
        </w:rPr>
        <w:t xml:space="preserve"> שתי הדוגמאות ה</w:t>
      </w:r>
      <w:r w:rsidR="004803FE">
        <w:rPr>
          <w:rFonts w:ascii="Times New Roman" w:hAnsi="Times New Roman" w:cs="David" w:hint="cs"/>
          <w:sz w:val="24"/>
          <w:szCs w:val="24"/>
          <w:rtl/>
          <w:lang w:val="en-US"/>
        </w:rPr>
        <w:t>אחרונות</w:t>
      </w:r>
      <w:r w:rsidR="00957CEB">
        <w:rPr>
          <w:rFonts w:ascii="Times New Roman" w:hAnsi="Times New Roman" w:cs="David" w:hint="cs"/>
          <w:sz w:val="24"/>
          <w:szCs w:val="24"/>
          <w:rtl/>
          <w:lang w:val="en-US"/>
        </w:rPr>
        <w:t xml:space="preserve"> מצטטות מקצת מהמסורות הספרותיות</w:t>
      </w:r>
      <w:r w:rsidR="001E75D5">
        <w:rPr>
          <w:rFonts w:ascii="Times New Roman" w:hAnsi="Times New Roman" w:cs="David" w:hint="cs"/>
          <w:sz w:val="24"/>
          <w:szCs w:val="24"/>
          <w:rtl/>
          <w:lang w:val="en-US"/>
        </w:rPr>
        <w:t xml:space="preserve"> בנוגע למותו ותחייתו של האל,</w:t>
      </w:r>
      <w:r w:rsidR="00957CEB">
        <w:rPr>
          <w:rFonts w:ascii="Times New Roman" w:hAnsi="Times New Roman" w:cs="David" w:hint="cs"/>
          <w:sz w:val="24"/>
          <w:szCs w:val="24"/>
          <w:rtl/>
          <w:lang w:val="en-US"/>
        </w:rPr>
        <w:t xml:space="preserve"> </w:t>
      </w:r>
      <w:r w:rsidR="004803FE">
        <w:rPr>
          <w:rFonts w:ascii="Times New Roman" w:hAnsi="Times New Roman" w:cs="David" w:hint="cs"/>
          <w:sz w:val="24"/>
          <w:szCs w:val="24"/>
          <w:rtl/>
          <w:lang w:val="en-US"/>
        </w:rPr>
        <w:t xml:space="preserve">אשר </w:t>
      </w:r>
      <w:r w:rsidR="00957CEB">
        <w:rPr>
          <w:rFonts w:ascii="Times New Roman" w:hAnsi="Times New Roman" w:cs="David" w:hint="cs"/>
          <w:sz w:val="24"/>
          <w:szCs w:val="24"/>
          <w:rtl/>
          <w:lang w:val="en-US"/>
        </w:rPr>
        <w:t>עלו על הכתב בידי הפגאנים בסוף העת העתיקה</w:t>
      </w:r>
      <w:r w:rsidR="00ED130E">
        <w:rPr>
          <w:rFonts w:ascii="Times New Roman" w:hAnsi="Times New Roman" w:cs="David" w:hint="cs"/>
          <w:sz w:val="24"/>
          <w:szCs w:val="24"/>
          <w:rtl/>
          <w:lang w:val="en-US"/>
        </w:rPr>
        <w:t xml:space="preserve">, אז סוף סוף החלו להישמר בשנית מסורות ספרותיות מקומיות (בזכות עניינם של הסופרים </w:t>
      </w:r>
      <w:r w:rsidR="00ED130E">
        <w:rPr>
          <w:rFonts w:ascii="Times New Roman" w:hAnsi="Times New Roman" w:cs="David" w:hint="cs"/>
          <w:sz w:val="24"/>
          <w:szCs w:val="24"/>
          <w:rtl/>
          <w:lang w:val="en-US"/>
        </w:rPr>
        <w:lastRenderedPageBreak/>
        <w:t>ואנשי הדת הנוצרים)</w:t>
      </w:r>
      <w:r w:rsidR="004803FE">
        <w:rPr>
          <w:rFonts w:ascii="Times New Roman" w:hAnsi="Times New Roman" w:cs="David" w:hint="cs"/>
          <w:sz w:val="24"/>
          <w:szCs w:val="24"/>
          <w:rtl/>
          <w:lang w:val="en-US"/>
        </w:rPr>
        <w:t>. מסורות אלו</w:t>
      </w:r>
      <w:r w:rsidR="00957CEB">
        <w:rPr>
          <w:rFonts w:ascii="Times New Roman" w:hAnsi="Times New Roman" w:cs="David" w:hint="cs"/>
          <w:sz w:val="24"/>
          <w:szCs w:val="24"/>
          <w:rtl/>
          <w:lang w:val="en-US"/>
        </w:rPr>
        <w:t xml:space="preserve"> מוסיפות</w:t>
      </w:r>
      <w:r w:rsidR="004803FE">
        <w:rPr>
          <w:rFonts w:ascii="Times New Roman" w:hAnsi="Times New Roman" w:cs="David" w:hint="cs"/>
          <w:sz w:val="24"/>
          <w:szCs w:val="24"/>
          <w:rtl/>
          <w:lang w:val="en-US"/>
        </w:rPr>
        <w:t xml:space="preserve"> עוד</w:t>
      </w:r>
      <w:r w:rsidR="00957CEB">
        <w:rPr>
          <w:rFonts w:ascii="Times New Roman" w:hAnsi="Times New Roman" w:cs="David" w:hint="cs"/>
          <w:sz w:val="24"/>
          <w:szCs w:val="24"/>
          <w:rtl/>
          <w:lang w:val="en-US"/>
        </w:rPr>
        <w:t xml:space="preserve"> על התרשמותם של אבות הכנסיה מאותה תקופה בערך, אשר כתביהם נידונו בתחילת פרק א'.</w:t>
      </w:r>
      <w:r w:rsidR="002C26D4">
        <w:rPr>
          <w:rFonts w:ascii="Times New Roman" w:hAnsi="Times New Roman" w:cs="David"/>
          <w:sz w:val="24"/>
          <w:szCs w:val="24"/>
          <w:lang w:val="en-GB"/>
        </w:rPr>
        <w:t xml:space="preserve"> </w:t>
      </w:r>
    </w:p>
    <w:p w14:paraId="72BC869B" w14:textId="7D8727FB" w:rsidR="00B106F1" w:rsidRDefault="00ED130E" w:rsidP="002E14B4">
      <w:pPr>
        <w:spacing w:after="0" w:line="480" w:lineRule="auto"/>
        <w:ind w:firstLine="567"/>
        <w:rPr>
          <w:rFonts w:ascii="Times New Roman" w:hAnsi="Times New Roman" w:cs="David"/>
          <w:sz w:val="24"/>
          <w:szCs w:val="24"/>
          <w:lang w:val="en-GB"/>
        </w:rPr>
      </w:pPr>
      <w:r>
        <w:rPr>
          <w:rFonts w:ascii="Times New Roman" w:hAnsi="Times New Roman" w:cs="David"/>
          <w:sz w:val="24"/>
          <w:szCs w:val="24"/>
          <w:lang w:val="en-US"/>
        </w:rPr>
        <w:t>A</w:t>
      </w:r>
      <w:r w:rsidR="002C26D4">
        <w:rPr>
          <w:rFonts w:ascii="Times New Roman" w:hAnsi="Times New Roman" w:cs="David"/>
          <w:sz w:val="24"/>
          <w:szCs w:val="24"/>
          <w:lang w:val="en-US"/>
        </w:rPr>
        <w:t xml:space="preserve"> </w:t>
      </w:r>
      <w:r w:rsidR="003A15A7">
        <w:rPr>
          <w:rFonts w:ascii="Times New Roman" w:hAnsi="Times New Roman" w:cs="David"/>
          <w:sz w:val="24"/>
          <w:szCs w:val="24"/>
          <w:lang w:val="en-US"/>
        </w:rPr>
        <w:t xml:space="preserve">first </w:t>
      </w:r>
      <w:r w:rsidR="002C26D4">
        <w:rPr>
          <w:rFonts w:ascii="Times New Roman" w:hAnsi="Times New Roman" w:cs="David"/>
          <w:sz w:val="24"/>
          <w:szCs w:val="24"/>
          <w:lang w:val="en-US"/>
        </w:rPr>
        <w:t>instance for the ritual</w:t>
      </w:r>
      <w:r w:rsidR="00BA1D7F">
        <w:rPr>
          <w:rFonts w:ascii="Times New Roman" w:hAnsi="Times New Roman" w:cs="David"/>
          <w:sz w:val="24"/>
          <w:szCs w:val="24"/>
          <w:lang w:val="en-US"/>
        </w:rPr>
        <w:t>ic</w:t>
      </w:r>
      <w:r w:rsidR="002C26D4">
        <w:rPr>
          <w:rFonts w:ascii="Times New Roman" w:hAnsi="Times New Roman" w:cs="David"/>
          <w:sz w:val="24"/>
          <w:szCs w:val="24"/>
          <w:lang w:val="en-US"/>
        </w:rPr>
        <w:t xml:space="preserve"> </w:t>
      </w:r>
      <w:r w:rsidR="00BA1D7F">
        <w:rPr>
          <w:rFonts w:ascii="Times New Roman" w:hAnsi="Times New Roman" w:cs="David"/>
          <w:sz w:val="24"/>
          <w:szCs w:val="24"/>
          <w:lang w:val="en-US"/>
        </w:rPr>
        <w:t>expression</w:t>
      </w:r>
      <w:r w:rsidR="002C26D4">
        <w:rPr>
          <w:rFonts w:ascii="Times New Roman" w:hAnsi="Times New Roman" w:cs="David"/>
          <w:sz w:val="24"/>
          <w:szCs w:val="24"/>
          <w:lang w:val="en-US"/>
        </w:rPr>
        <w:t xml:space="preserve"> of this mythologem </w:t>
      </w:r>
      <w:r w:rsidR="00BA1D7F">
        <w:rPr>
          <w:rFonts w:ascii="Times New Roman" w:hAnsi="Times New Roman" w:cs="David"/>
          <w:sz w:val="24"/>
          <w:szCs w:val="24"/>
          <w:lang w:val="en-US"/>
        </w:rPr>
        <w:t xml:space="preserve">in later periods </w:t>
      </w:r>
      <w:r w:rsidR="00961CFE" w:rsidRPr="00961CFE">
        <w:rPr>
          <w:rFonts w:ascii="Times New Roman" w:hAnsi="Times New Roman" w:cs="David"/>
          <w:sz w:val="24"/>
          <w:szCs w:val="24"/>
          <w:lang w:val="en-US"/>
        </w:rPr>
        <w:t xml:space="preserve">is the </w:t>
      </w:r>
      <w:r w:rsidR="002B5D45">
        <w:rPr>
          <w:rFonts w:ascii="Times New Roman" w:hAnsi="Times New Roman" w:cs="David"/>
          <w:sz w:val="24"/>
          <w:szCs w:val="24"/>
          <w:lang w:val="en-US"/>
        </w:rPr>
        <w:t xml:space="preserve">cultic </w:t>
      </w:r>
      <w:r w:rsidR="00961CFE" w:rsidRPr="00961CFE">
        <w:rPr>
          <w:rFonts w:ascii="Times New Roman" w:hAnsi="Times New Roman" w:cs="David"/>
          <w:sz w:val="24"/>
          <w:szCs w:val="24"/>
          <w:lang w:val="en-US"/>
        </w:rPr>
        <w:t xml:space="preserve">functionary referred to as the </w:t>
      </w:r>
      <w:proofErr w:type="spellStart"/>
      <w:r w:rsidR="00961CFE" w:rsidRPr="00961CFE">
        <w:rPr>
          <w:rFonts w:ascii="Times New Roman" w:hAnsi="Times New Roman" w:cs="David"/>
          <w:i/>
          <w:iCs/>
          <w:sz w:val="24"/>
          <w:szCs w:val="24"/>
          <w:lang w:val="en-US"/>
        </w:rPr>
        <w:t>mqm</w:t>
      </w:r>
      <w:proofErr w:type="spellEnd"/>
      <w:r w:rsidR="00961CFE" w:rsidRPr="00961CFE">
        <w:rPr>
          <w:rFonts w:ascii="Times New Roman" w:hAnsi="Times New Roman" w:cs="David"/>
          <w:i/>
          <w:iCs/>
          <w:sz w:val="24"/>
          <w:szCs w:val="24"/>
          <w:lang w:val="en-US"/>
        </w:rPr>
        <w:t xml:space="preserve"> </w:t>
      </w:r>
      <w:proofErr w:type="spellStart"/>
      <w:r w:rsidR="00961CFE" w:rsidRPr="00961CFE">
        <w:rPr>
          <w:rFonts w:ascii="Times New Roman" w:hAnsi="Times New Roman" w:cs="David"/>
          <w:i/>
          <w:iCs/>
          <w:sz w:val="24"/>
          <w:szCs w:val="24"/>
          <w:lang w:val="en-US"/>
        </w:rPr>
        <w:t>ˀlm</w:t>
      </w:r>
      <w:proofErr w:type="spellEnd"/>
      <w:r w:rsidR="00961CFE" w:rsidRPr="00961CFE">
        <w:rPr>
          <w:rFonts w:ascii="Times New Roman" w:hAnsi="Times New Roman" w:cs="David"/>
          <w:sz w:val="24"/>
          <w:szCs w:val="24"/>
          <w:lang w:val="en-US"/>
        </w:rPr>
        <w:t xml:space="preserve"> who served in Phoenician and Punic temples</w:t>
      </w:r>
      <w:r w:rsidR="00BD488F">
        <w:rPr>
          <w:rFonts w:ascii="Times New Roman" w:hAnsi="Times New Roman" w:cs="David"/>
          <w:sz w:val="24"/>
          <w:szCs w:val="24"/>
          <w:lang w:val="en-US"/>
        </w:rPr>
        <w:t>,</w:t>
      </w:r>
      <w:r w:rsidR="003A15A7">
        <w:rPr>
          <w:rFonts w:ascii="Times New Roman" w:hAnsi="Times New Roman" w:cs="David"/>
          <w:sz w:val="24"/>
          <w:szCs w:val="24"/>
          <w:lang w:val="en-US"/>
        </w:rPr>
        <w:t xml:space="preserve"> and is testified</w:t>
      </w:r>
      <w:r w:rsidR="00BD488F">
        <w:rPr>
          <w:rFonts w:ascii="Times New Roman" w:hAnsi="Times New Roman" w:cs="David"/>
          <w:sz w:val="24"/>
          <w:szCs w:val="24"/>
          <w:lang w:val="en-US"/>
        </w:rPr>
        <w:t xml:space="preserve"> </w:t>
      </w:r>
      <w:r>
        <w:rPr>
          <w:rFonts w:ascii="Times New Roman" w:hAnsi="Times New Roman" w:cs="David"/>
          <w:sz w:val="24"/>
          <w:szCs w:val="24"/>
          <w:lang w:val="en-US"/>
        </w:rPr>
        <w:t xml:space="preserve">in inscriptions </w:t>
      </w:r>
      <w:r w:rsidR="00BD488F">
        <w:rPr>
          <w:rFonts w:ascii="Times New Roman" w:hAnsi="Times New Roman" w:cs="David"/>
          <w:sz w:val="24"/>
          <w:szCs w:val="24"/>
          <w:lang w:val="en-US"/>
        </w:rPr>
        <w:t>from the 4</w:t>
      </w:r>
      <w:r w:rsidR="00BD488F" w:rsidRPr="00BD488F">
        <w:rPr>
          <w:rFonts w:ascii="Times New Roman" w:hAnsi="Times New Roman" w:cs="David"/>
          <w:sz w:val="24"/>
          <w:szCs w:val="24"/>
          <w:vertAlign w:val="superscript"/>
          <w:lang w:val="en-US"/>
        </w:rPr>
        <w:t>th</w:t>
      </w:r>
      <w:r w:rsidR="00BD488F">
        <w:rPr>
          <w:rFonts w:ascii="Times New Roman" w:hAnsi="Times New Roman" w:cs="David"/>
          <w:sz w:val="24"/>
          <w:szCs w:val="24"/>
          <w:lang w:val="en-US"/>
        </w:rPr>
        <w:t xml:space="preserve"> century BCE and forward</w:t>
      </w:r>
      <w:r w:rsidR="00961CFE" w:rsidRPr="00961CFE">
        <w:rPr>
          <w:rFonts w:ascii="Times New Roman" w:hAnsi="Times New Roman" w:cs="David"/>
          <w:sz w:val="24"/>
          <w:szCs w:val="24"/>
          <w:lang w:val="en-US"/>
        </w:rPr>
        <w:t>.</w:t>
      </w:r>
      <w:r w:rsidR="001E75D5" w:rsidRPr="00961CFE">
        <w:rPr>
          <w:rFonts w:ascii="Times New Roman" w:hAnsi="Times New Roman" w:cs="David"/>
          <w:sz w:val="24"/>
          <w:szCs w:val="24"/>
          <w:vertAlign w:val="superscript"/>
          <w:lang w:val="en-US"/>
        </w:rPr>
        <w:footnoteReference w:id="4"/>
      </w:r>
      <w:r w:rsidR="00961CFE" w:rsidRPr="00961CFE">
        <w:rPr>
          <w:rFonts w:ascii="Times New Roman" w:hAnsi="Times New Roman" w:cs="David"/>
          <w:sz w:val="24"/>
          <w:szCs w:val="24"/>
          <w:lang w:val="en-US"/>
        </w:rPr>
        <w:t xml:space="preserve"> The literal meaning of </w:t>
      </w:r>
      <w:r w:rsidR="002A517F">
        <w:rPr>
          <w:rFonts w:ascii="Times New Roman" w:hAnsi="Times New Roman" w:cs="David" w:hint="cs"/>
          <w:sz w:val="24"/>
          <w:szCs w:val="24"/>
          <w:rtl/>
          <w:lang w:val="en-US"/>
        </w:rPr>
        <w:t>מקם אלם</w:t>
      </w:r>
      <w:r w:rsidR="00961CFE" w:rsidRPr="00961CFE">
        <w:rPr>
          <w:rFonts w:ascii="Times New Roman" w:hAnsi="Times New Roman" w:cs="David"/>
          <w:sz w:val="24"/>
          <w:szCs w:val="24"/>
          <w:lang w:val="en-US"/>
        </w:rPr>
        <w:t xml:space="preserve"> is “</w:t>
      </w:r>
      <w:r w:rsidR="002A517F">
        <w:rPr>
          <w:rFonts w:ascii="Times New Roman" w:hAnsi="Times New Roman" w:cs="David"/>
          <w:sz w:val="24"/>
          <w:szCs w:val="24"/>
          <w:lang w:val="en-GB"/>
        </w:rPr>
        <w:t xml:space="preserve">the </w:t>
      </w:r>
      <w:r>
        <w:rPr>
          <w:rFonts w:ascii="Times New Roman" w:hAnsi="Times New Roman" w:cs="David"/>
          <w:sz w:val="24"/>
          <w:szCs w:val="24"/>
          <w:lang w:val="en-US"/>
        </w:rPr>
        <w:t>R</w:t>
      </w:r>
      <w:r w:rsidR="00961CFE" w:rsidRPr="00961CFE">
        <w:rPr>
          <w:rFonts w:ascii="Times New Roman" w:hAnsi="Times New Roman" w:cs="David"/>
          <w:sz w:val="24"/>
          <w:szCs w:val="24"/>
          <w:lang w:val="en-US"/>
        </w:rPr>
        <w:t xml:space="preserve">aiser (Phoenician </w:t>
      </w:r>
      <w:r w:rsidR="00961CFE" w:rsidRPr="00961CFE">
        <w:rPr>
          <w:rFonts w:ascii="Times New Roman" w:hAnsi="Times New Roman" w:cs="David"/>
          <w:i/>
          <w:iCs/>
          <w:sz w:val="24"/>
          <w:szCs w:val="24"/>
          <w:lang w:val="en-US"/>
        </w:rPr>
        <w:t>q-w-m</w:t>
      </w:r>
      <w:r w:rsidR="00961CFE" w:rsidRPr="00961CFE">
        <w:rPr>
          <w:rFonts w:ascii="Times New Roman" w:hAnsi="Times New Roman" w:cs="David"/>
          <w:sz w:val="24"/>
          <w:szCs w:val="24"/>
          <w:lang w:val="en-US"/>
        </w:rPr>
        <w:t xml:space="preserve"> in the H </w:t>
      </w:r>
      <w:r w:rsidR="003A15A7">
        <w:rPr>
          <w:rFonts w:ascii="Times New Roman" w:hAnsi="Times New Roman" w:cs="David"/>
          <w:sz w:val="24"/>
          <w:szCs w:val="24"/>
          <w:lang w:val="en-US"/>
        </w:rPr>
        <w:t>conjugation</w:t>
      </w:r>
      <w:r w:rsidR="00961CFE" w:rsidRPr="00961CFE">
        <w:rPr>
          <w:rFonts w:ascii="Times New Roman" w:hAnsi="Times New Roman" w:cs="David"/>
          <w:sz w:val="24"/>
          <w:szCs w:val="24"/>
          <w:lang w:val="en-US"/>
        </w:rPr>
        <w:t xml:space="preserve">) of the </w:t>
      </w:r>
      <w:r>
        <w:rPr>
          <w:rFonts w:ascii="Times New Roman" w:hAnsi="Times New Roman" w:cs="David"/>
          <w:sz w:val="24"/>
          <w:szCs w:val="24"/>
          <w:lang w:val="en-US"/>
        </w:rPr>
        <w:t>D</w:t>
      </w:r>
      <w:r w:rsidR="00961CFE" w:rsidRPr="00961CFE">
        <w:rPr>
          <w:rFonts w:ascii="Times New Roman" w:hAnsi="Times New Roman" w:cs="David"/>
          <w:sz w:val="24"/>
          <w:szCs w:val="24"/>
          <w:lang w:val="en-US"/>
        </w:rPr>
        <w:t>eity.”</w:t>
      </w:r>
      <w:r w:rsidR="00961CFE" w:rsidRPr="00961CFE">
        <w:rPr>
          <w:rFonts w:ascii="Times New Roman" w:hAnsi="Times New Roman" w:cs="David"/>
          <w:sz w:val="24"/>
          <w:szCs w:val="24"/>
          <w:vertAlign w:val="superscript"/>
          <w:lang w:val="en-US"/>
        </w:rPr>
        <w:footnoteReference w:id="5"/>
      </w:r>
      <w:r w:rsidR="00961CFE" w:rsidRPr="00961CFE">
        <w:rPr>
          <w:rFonts w:ascii="Times New Roman" w:hAnsi="Times New Roman" w:cs="David"/>
          <w:sz w:val="24"/>
          <w:szCs w:val="24"/>
          <w:lang w:val="en-US"/>
        </w:rPr>
        <w:t xml:space="preserve"> </w:t>
      </w:r>
      <w:r w:rsidR="00BD488F">
        <w:rPr>
          <w:rFonts w:ascii="Times New Roman" w:hAnsi="Times New Roman" w:cs="David"/>
          <w:sz w:val="24"/>
          <w:szCs w:val="24"/>
          <w:lang w:val="en-GB"/>
        </w:rPr>
        <w:t>In</w:t>
      </w:r>
      <w:r w:rsidR="00BA1D7F">
        <w:rPr>
          <w:rFonts w:ascii="Times New Roman" w:hAnsi="Times New Roman" w:cs="David"/>
          <w:sz w:val="24"/>
          <w:szCs w:val="24"/>
          <w:lang w:val="en-US"/>
        </w:rPr>
        <w:t xml:space="preserve"> </w:t>
      </w:r>
      <w:r w:rsidR="00961CFE" w:rsidRPr="00961CFE">
        <w:rPr>
          <w:rFonts w:ascii="Times New Roman" w:hAnsi="Times New Roman" w:cs="David"/>
          <w:sz w:val="24"/>
          <w:szCs w:val="24"/>
          <w:lang w:val="en-US"/>
        </w:rPr>
        <w:t>light of the Greek translation of this position</w:t>
      </w:r>
      <w:r w:rsidR="00F7415E">
        <w:rPr>
          <w:rFonts w:ascii="Times New Roman" w:hAnsi="Times New Roman" w:cs="David"/>
          <w:sz w:val="24"/>
          <w:szCs w:val="24"/>
          <w:lang w:val="en-US"/>
        </w:rPr>
        <w:t xml:space="preserve"> – </w:t>
      </w:r>
      <w:proofErr w:type="spellStart"/>
      <w:r w:rsidR="00961CFE" w:rsidRPr="00961CFE">
        <w:rPr>
          <w:rFonts w:ascii="Times New Roman" w:hAnsi="Times New Roman" w:cs="David"/>
          <w:sz w:val="24"/>
          <w:szCs w:val="24"/>
          <w:lang w:val="en-US"/>
        </w:rPr>
        <w:t>ἐγερσε</w:t>
      </w:r>
      <w:proofErr w:type="spellEnd"/>
      <w:r w:rsidR="00961CFE" w:rsidRPr="00961CFE">
        <w:rPr>
          <w:rFonts w:ascii="Times New Roman" w:hAnsi="Times New Roman" w:cs="David"/>
          <w:sz w:val="24"/>
          <w:szCs w:val="24"/>
          <w:lang w:val="en-US"/>
        </w:rPr>
        <w:t>[</w:t>
      </w:r>
      <w:proofErr w:type="spellStart"/>
      <w:r w:rsidR="00961CFE" w:rsidRPr="00961CFE">
        <w:rPr>
          <w:rFonts w:ascii="Times New Roman" w:hAnsi="Times New Roman" w:cs="David"/>
          <w:sz w:val="24"/>
          <w:szCs w:val="24"/>
          <w:lang w:val="en-US"/>
        </w:rPr>
        <w:t>ίτης</w:t>
      </w:r>
      <w:proofErr w:type="spellEnd"/>
      <w:r w:rsidR="00961CFE" w:rsidRPr="00961CFE">
        <w:rPr>
          <w:rFonts w:ascii="Times New Roman" w:hAnsi="Times New Roman" w:cs="David"/>
          <w:sz w:val="24"/>
          <w:szCs w:val="24"/>
          <w:lang w:val="en-US"/>
        </w:rPr>
        <w:t>]</w:t>
      </w:r>
      <w:r w:rsidR="00F7415E">
        <w:rPr>
          <w:rFonts w:ascii="Times New Roman" w:hAnsi="Times New Roman" w:cs="David"/>
          <w:sz w:val="24"/>
          <w:szCs w:val="24"/>
          <w:lang w:val="en-US"/>
        </w:rPr>
        <w:t xml:space="preserve"> –</w:t>
      </w:r>
      <w:r w:rsidR="00961CFE" w:rsidRPr="00961CFE">
        <w:rPr>
          <w:rFonts w:ascii="Times New Roman" w:hAnsi="Times New Roman" w:cs="David"/>
          <w:sz w:val="24"/>
          <w:szCs w:val="24"/>
          <w:lang w:val="en-US"/>
        </w:rPr>
        <w:t xml:space="preserve"> preserved in inscriptions from Philadelphia/Amman and Ramleh</w:t>
      </w:r>
      <w:r w:rsidR="00F7415E">
        <w:rPr>
          <w:rFonts w:ascii="Times New Roman" w:hAnsi="Times New Roman" w:cs="David"/>
          <w:sz w:val="24"/>
          <w:szCs w:val="24"/>
          <w:lang w:val="en-US"/>
        </w:rPr>
        <w:t>,</w:t>
      </w:r>
      <w:r w:rsidR="00961CFE" w:rsidRPr="00961CFE">
        <w:rPr>
          <w:rFonts w:ascii="Times New Roman" w:hAnsi="Times New Roman" w:cs="David"/>
          <w:sz w:val="24"/>
          <w:szCs w:val="24"/>
          <w:lang w:val="en-US"/>
        </w:rPr>
        <w:t xml:space="preserve"> the meaning “</w:t>
      </w:r>
      <w:r w:rsidR="002A517F">
        <w:rPr>
          <w:rFonts w:ascii="Times New Roman" w:hAnsi="Times New Roman" w:cs="David"/>
          <w:sz w:val="24"/>
          <w:szCs w:val="24"/>
          <w:lang w:val="en-US"/>
        </w:rPr>
        <w:t xml:space="preserve">the </w:t>
      </w:r>
      <w:r>
        <w:rPr>
          <w:rFonts w:ascii="Times New Roman" w:hAnsi="Times New Roman" w:cs="David"/>
          <w:sz w:val="24"/>
          <w:szCs w:val="24"/>
          <w:lang w:val="en-US"/>
        </w:rPr>
        <w:t>A</w:t>
      </w:r>
      <w:r w:rsidR="00961CFE" w:rsidRPr="00961CFE">
        <w:rPr>
          <w:rFonts w:ascii="Times New Roman" w:hAnsi="Times New Roman" w:cs="David"/>
          <w:sz w:val="24"/>
          <w:szCs w:val="24"/>
          <w:lang w:val="en-US"/>
        </w:rPr>
        <w:t xml:space="preserve">wakener of the </w:t>
      </w:r>
      <w:r>
        <w:rPr>
          <w:rFonts w:ascii="Times New Roman" w:hAnsi="Times New Roman" w:cs="David"/>
          <w:sz w:val="24"/>
          <w:szCs w:val="24"/>
          <w:lang w:val="en-US"/>
        </w:rPr>
        <w:t>D</w:t>
      </w:r>
      <w:r w:rsidR="00961CFE" w:rsidRPr="00961CFE">
        <w:rPr>
          <w:rFonts w:ascii="Times New Roman" w:hAnsi="Times New Roman" w:cs="David"/>
          <w:sz w:val="24"/>
          <w:szCs w:val="24"/>
          <w:lang w:val="en-US"/>
        </w:rPr>
        <w:t xml:space="preserve">eity” </w:t>
      </w:r>
      <w:r w:rsidR="003B33AD">
        <w:rPr>
          <w:rFonts w:ascii="Times New Roman" w:hAnsi="Times New Roman" w:cs="David"/>
          <w:sz w:val="24"/>
          <w:szCs w:val="24"/>
          <w:lang w:val="en-US"/>
        </w:rPr>
        <w:t>might be</w:t>
      </w:r>
      <w:r w:rsidR="00961CFE" w:rsidRPr="00961CFE">
        <w:rPr>
          <w:rFonts w:ascii="Times New Roman" w:hAnsi="Times New Roman" w:cs="David"/>
          <w:sz w:val="24"/>
          <w:szCs w:val="24"/>
          <w:lang w:val="en-US"/>
        </w:rPr>
        <w:t xml:space="preserve"> even more appropriate.</w:t>
      </w:r>
      <w:r w:rsidR="00961CFE" w:rsidRPr="00961CFE">
        <w:rPr>
          <w:rFonts w:ascii="Times New Roman" w:hAnsi="Times New Roman" w:cs="David"/>
          <w:sz w:val="24"/>
          <w:szCs w:val="24"/>
          <w:vertAlign w:val="superscript"/>
          <w:lang w:val="en-US"/>
        </w:rPr>
        <w:footnoteReference w:id="6"/>
      </w:r>
      <w:r w:rsidR="002E14B4">
        <w:rPr>
          <w:rFonts w:ascii="Times New Roman" w:hAnsi="Times New Roman" w:cs="David" w:hint="cs"/>
          <w:sz w:val="24"/>
          <w:szCs w:val="24"/>
          <w:rtl/>
          <w:lang w:val="en-US"/>
        </w:rPr>
        <w:t xml:space="preserve"> </w:t>
      </w:r>
      <w:r w:rsidR="002E14B4">
        <w:rPr>
          <w:rFonts w:ascii="Times New Roman" w:hAnsi="Times New Roman" w:cs="David"/>
          <w:sz w:val="24"/>
          <w:szCs w:val="24"/>
          <w:lang w:val="en-GB"/>
        </w:rPr>
        <w:t>In several occurrences, the ‘</w:t>
      </w:r>
      <w:r>
        <w:rPr>
          <w:rFonts w:ascii="Times New Roman" w:hAnsi="Times New Roman" w:cs="David"/>
          <w:sz w:val="24"/>
          <w:szCs w:val="24"/>
          <w:lang w:val="en-GB"/>
        </w:rPr>
        <w:t>A</w:t>
      </w:r>
      <w:r w:rsidR="002E14B4">
        <w:rPr>
          <w:rFonts w:ascii="Times New Roman" w:hAnsi="Times New Roman" w:cs="David"/>
          <w:sz w:val="24"/>
          <w:szCs w:val="24"/>
          <w:lang w:val="en-GB"/>
        </w:rPr>
        <w:t xml:space="preserve">wakened’ god is called </w:t>
      </w:r>
      <w:proofErr w:type="spellStart"/>
      <w:r w:rsidR="002A517F">
        <w:rPr>
          <w:rFonts w:ascii="Times New Roman" w:hAnsi="Times New Roman" w:cs="David"/>
          <w:i/>
          <w:iCs/>
          <w:sz w:val="24"/>
          <w:szCs w:val="24"/>
          <w:lang w:val="en-GB"/>
        </w:rPr>
        <w:t>m</w:t>
      </w:r>
      <w:r w:rsidR="002E14B4" w:rsidRPr="003C71D9">
        <w:rPr>
          <w:rFonts w:ascii="Times New Roman" w:hAnsi="Times New Roman" w:cs="Times New Roman"/>
          <w:i/>
          <w:iCs/>
          <w:sz w:val="24"/>
          <w:szCs w:val="24"/>
          <w:lang w:val="en-GB"/>
        </w:rPr>
        <w:t>trḥ</w:t>
      </w:r>
      <w:proofErr w:type="spellEnd"/>
      <w:r w:rsidR="002E14B4" w:rsidRPr="003C71D9">
        <w:rPr>
          <w:rFonts w:ascii="Times New Roman" w:hAnsi="Times New Roman" w:cs="Times New Roman"/>
          <w:i/>
          <w:iCs/>
          <w:sz w:val="24"/>
          <w:szCs w:val="24"/>
          <w:lang w:val="en-GB"/>
        </w:rPr>
        <w:t xml:space="preserve"> </w:t>
      </w:r>
      <w:proofErr w:type="spellStart"/>
      <w:r w:rsidR="002E14B4" w:rsidRPr="003C71D9">
        <w:rPr>
          <w:rFonts w:ascii="Times New Roman" w:hAnsi="Times New Roman" w:cs="Times New Roman"/>
          <w:i/>
          <w:iCs/>
          <w:sz w:val="24"/>
          <w:szCs w:val="24"/>
          <w:lang w:val="en-GB"/>
        </w:rPr>
        <w:t>ˁštrny</w:t>
      </w:r>
      <w:proofErr w:type="spellEnd"/>
      <w:r w:rsidR="002E14B4">
        <w:rPr>
          <w:rFonts w:ascii="Times New Roman" w:hAnsi="Times New Roman" w:cs="Times New Roman"/>
          <w:sz w:val="24"/>
          <w:szCs w:val="24"/>
          <w:lang w:val="en-GB"/>
        </w:rPr>
        <w:t xml:space="preserve">, namely ‘the </w:t>
      </w:r>
      <w:r>
        <w:rPr>
          <w:rFonts w:ascii="Times New Roman" w:hAnsi="Times New Roman" w:cs="Times New Roman"/>
          <w:sz w:val="24"/>
          <w:szCs w:val="24"/>
          <w:lang w:val="en-GB"/>
        </w:rPr>
        <w:t>H</w:t>
      </w:r>
      <w:r w:rsidR="002E14B4">
        <w:rPr>
          <w:rFonts w:ascii="Times New Roman" w:hAnsi="Times New Roman" w:cs="Times New Roman"/>
          <w:sz w:val="24"/>
          <w:szCs w:val="24"/>
          <w:lang w:val="en-GB"/>
        </w:rPr>
        <w:t xml:space="preserve">usband of </w:t>
      </w:r>
      <w:proofErr w:type="spellStart"/>
      <w:r w:rsidR="002E14B4">
        <w:rPr>
          <w:rFonts w:ascii="Times New Roman" w:hAnsi="Times New Roman" w:cs="Times New Roman"/>
          <w:sz w:val="24"/>
          <w:szCs w:val="24"/>
          <w:lang w:val="en-GB"/>
        </w:rPr>
        <w:t>Astronoe</w:t>
      </w:r>
      <w:proofErr w:type="spellEnd"/>
      <w:r w:rsidR="002E14B4">
        <w:rPr>
          <w:rFonts w:ascii="Times New Roman" w:hAnsi="Times New Roman" w:cs="Times New Roman"/>
          <w:sz w:val="24"/>
          <w:szCs w:val="24"/>
          <w:lang w:val="en-GB"/>
        </w:rPr>
        <w:t>’, an appellation</w:t>
      </w:r>
      <w:r w:rsidR="004803FE">
        <w:rPr>
          <w:rFonts w:ascii="Times New Roman" w:hAnsi="Times New Roman" w:cs="Times New Roman"/>
          <w:sz w:val="24"/>
          <w:szCs w:val="24"/>
          <w:lang w:val="en-GB"/>
        </w:rPr>
        <w:t xml:space="preserve"> that</w:t>
      </w:r>
      <w:r w:rsidR="002E14B4">
        <w:rPr>
          <w:rFonts w:ascii="Times New Roman" w:hAnsi="Times New Roman" w:cs="Times New Roman"/>
          <w:sz w:val="24"/>
          <w:szCs w:val="24"/>
          <w:lang w:val="en-GB"/>
        </w:rPr>
        <w:t xml:space="preserve"> befit</w:t>
      </w:r>
      <w:r>
        <w:rPr>
          <w:rFonts w:ascii="Times New Roman" w:hAnsi="Times New Roman" w:cs="Times New Roman"/>
          <w:sz w:val="24"/>
          <w:szCs w:val="24"/>
          <w:lang w:val="en-GB"/>
        </w:rPr>
        <w:t>s</w:t>
      </w:r>
      <w:r w:rsidR="002E14B4">
        <w:rPr>
          <w:rFonts w:ascii="Times New Roman" w:hAnsi="Times New Roman" w:cs="Times New Roman"/>
          <w:sz w:val="24"/>
          <w:szCs w:val="24"/>
          <w:lang w:val="en-GB"/>
        </w:rPr>
        <w:t xml:space="preserve"> the Late Antiquity traditions </w:t>
      </w:r>
      <w:r>
        <w:rPr>
          <w:rFonts w:ascii="Times New Roman" w:hAnsi="Times New Roman" w:cs="Times New Roman"/>
          <w:sz w:val="24"/>
          <w:szCs w:val="24"/>
          <w:lang w:val="en-GB"/>
        </w:rPr>
        <w:t>about</w:t>
      </w:r>
      <w:r w:rsidR="002E14B4">
        <w:rPr>
          <w:rFonts w:ascii="Times New Roman" w:hAnsi="Times New Roman" w:cs="Times New Roman"/>
          <w:sz w:val="24"/>
          <w:szCs w:val="24"/>
          <w:lang w:val="en-GB"/>
        </w:rPr>
        <w:t xml:space="preserve"> of </w:t>
      </w:r>
      <w:proofErr w:type="spellStart"/>
      <w:r w:rsidR="002E14B4">
        <w:rPr>
          <w:rFonts w:ascii="Times New Roman" w:hAnsi="Times New Roman" w:cs="Times New Roman"/>
          <w:sz w:val="24"/>
          <w:szCs w:val="24"/>
          <w:lang w:val="en-GB"/>
        </w:rPr>
        <w:t>Astronoe</w:t>
      </w:r>
      <w:proofErr w:type="spellEnd"/>
      <w:r w:rsidR="002E14B4">
        <w:rPr>
          <w:rFonts w:ascii="Times New Roman" w:hAnsi="Times New Roman" w:cs="Times New Roman"/>
          <w:sz w:val="24"/>
          <w:szCs w:val="24"/>
          <w:lang w:val="en-GB"/>
        </w:rPr>
        <w:t xml:space="preserve"> who revive</w:t>
      </w:r>
      <w:r w:rsidR="004803FE">
        <w:rPr>
          <w:rFonts w:ascii="Times New Roman" w:hAnsi="Times New Roman" w:cs="Times New Roman"/>
          <w:sz w:val="24"/>
          <w:szCs w:val="24"/>
          <w:lang w:val="en-GB"/>
        </w:rPr>
        <w:t>d</w:t>
      </w:r>
      <w:r w:rsidR="002E14B4">
        <w:rPr>
          <w:rFonts w:ascii="Times New Roman" w:hAnsi="Times New Roman" w:cs="Times New Roman"/>
          <w:sz w:val="24"/>
          <w:szCs w:val="24"/>
          <w:lang w:val="en-GB"/>
        </w:rPr>
        <w:t xml:space="preserve"> her lover</w:t>
      </w:r>
      <w:r w:rsidR="004803FE">
        <w:rPr>
          <w:rFonts w:ascii="Times New Roman" w:hAnsi="Times New Roman" w:cs="Times New Roman"/>
          <w:sz w:val="24"/>
          <w:szCs w:val="24"/>
          <w:lang w:val="en-GB"/>
        </w:rPr>
        <w:t xml:space="preserve"> (see, e.g., </w:t>
      </w:r>
      <w:proofErr w:type="spellStart"/>
      <w:r w:rsidR="004803FE">
        <w:rPr>
          <w:rFonts w:ascii="Times New Roman" w:hAnsi="Times New Roman" w:cs="Times New Roman"/>
          <w:sz w:val="24"/>
          <w:szCs w:val="24"/>
          <w:lang w:val="en-GB"/>
        </w:rPr>
        <w:t>Damascius</w:t>
      </w:r>
      <w:proofErr w:type="spellEnd"/>
      <w:r w:rsidR="004803FE">
        <w:rPr>
          <w:rFonts w:ascii="Times New Roman" w:hAnsi="Times New Roman" w:cs="Times New Roman"/>
          <w:sz w:val="24"/>
          <w:szCs w:val="24"/>
          <w:lang w:val="en-GB"/>
        </w:rPr>
        <w:t>, cited below)</w:t>
      </w:r>
      <w:r w:rsidR="002E14B4">
        <w:rPr>
          <w:rFonts w:ascii="Times New Roman" w:hAnsi="Times New Roman" w:cs="Times New Roman"/>
          <w:sz w:val="24"/>
          <w:szCs w:val="24"/>
          <w:lang w:val="en-GB"/>
        </w:rPr>
        <w:t>.</w:t>
      </w:r>
      <w:r w:rsidR="003C71D9">
        <w:rPr>
          <w:rStyle w:val="FootnoteReference"/>
          <w:rFonts w:ascii="Times New Roman" w:hAnsi="Times New Roman" w:cs="Times New Roman"/>
          <w:sz w:val="24"/>
          <w:szCs w:val="24"/>
          <w:lang w:val="en-GB"/>
        </w:rPr>
        <w:footnoteReference w:id="7"/>
      </w:r>
      <w:r>
        <w:rPr>
          <w:rFonts w:ascii="Times New Roman" w:hAnsi="Times New Roman" w:cs="Times New Roman"/>
          <w:sz w:val="24"/>
          <w:szCs w:val="24"/>
          <w:lang w:val="en-GB"/>
        </w:rPr>
        <w:t>While</w:t>
      </w:r>
      <w:r w:rsidR="00326331">
        <w:rPr>
          <w:rFonts w:ascii="Times New Roman" w:hAnsi="Times New Roman" w:cs="David"/>
          <w:sz w:val="24"/>
          <w:szCs w:val="24"/>
          <w:lang w:val="en-US"/>
        </w:rPr>
        <w:t xml:space="preserve"> </w:t>
      </w:r>
      <w:r>
        <w:rPr>
          <w:rFonts w:ascii="Times New Roman" w:hAnsi="Times New Roman" w:cs="David"/>
          <w:sz w:val="24"/>
          <w:szCs w:val="24"/>
          <w:lang w:val="en-US"/>
        </w:rPr>
        <w:t>t</w:t>
      </w:r>
      <w:r w:rsidR="003C71D9">
        <w:rPr>
          <w:rFonts w:ascii="Times New Roman" w:hAnsi="Times New Roman" w:cs="David"/>
          <w:sz w:val="24"/>
          <w:szCs w:val="24"/>
          <w:lang w:val="en-US"/>
        </w:rPr>
        <w:t>wo inscriptions</w:t>
      </w:r>
      <w:r w:rsidR="003C71D9" w:rsidRPr="00961CFE">
        <w:rPr>
          <w:rFonts w:ascii="Times New Roman" w:hAnsi="Times New Roman" w:cs="David"/>
          <w:sz w:val="24"/>
          <w:szCs w:val="24"/>
          <w:lang w:val="en-US"/>
        </w:rPr>
        <w:t xml:space="preserve">, one Phoenician the other Greek, </w:t>
      </w:r>
      <w:r w:rsidR="003C71D9">
        <w:rPr>
          <w:rFonts w:ascii="Times New Roman" w:hAnsi="Times New Roman" w:cs="David"/>
          <w:sz w:val="24"/>
          <w:szCs w:val="24"/>
          <w:lang w:val="en-US"/>
        </w:rPr>
        <w:t>refer</w:t>
      </w:r>
      <w:r w:rsidR="004803FE">
        <w:rPr>
          <w:rFonts w:ascii="Times New Roman" w:hAnsi="Times New Roman" w:cs="David"/>
          <w:sz w:val="24"/>
          <w:szCs w:val="24"/>
          <w:lang w:val="en-US"/>
        </w:rPr>
        <w:t xml:space="preserve"> further</w:t>
      </w:r>
      <w:r w:rsidR="003C71D9">
        <w:rPr>
          <w:rFonts w:ascii="Times New Roman" w:hAnsi="Times New Roman" w:cs="David"/>
          <w:sz w:val="24"/>
          <w:szCs w:val="24"/>
          <w:lang w:val="en-US"/>
        </w:rPr>
        <w:t xml:space="preserve"> to </w:t>
      </w:r>
      <w:r w:rsidR="003C71D9" w:rsidRPr="00961CFE">
        <w:rPr>
          <w:rFonts w:ascii="Times New Roman" w:hAnsi="Times New Roman" w:cs="David"/>
          <w:sz w:val="24"/>
          <w:szCs w:val="24"/>
          <w:lang w:val="en-US"/>
        </w:rPr>
        <w:t>the functionary as “</w:t>
      </w:r>
      <w:r w:rsidR="002A517F">
        <w:rPr>
          <w:rFonts w:ascii="Times New Roman" w:hAnsi="Times New Roman" w:cs="David"/>
          <w:sz w:val="24"/>
          <w:szCs w:val="24"/>
          <w:lang w:val="en-US"/>
        </w:rPr>
        <w:t xml:space="preserve">the </w:t>
      </w:r>
      <w:r>
        <w:rPr>
          <w:rFonts w:ascii="Times New Roman" w:hAnsi="Times New Roman" w:cs="David"/>
          <w:sz w:val="24"/>
          <w:szCs w:val="24"/>
          <w:lang w:val="en-US"/>
        </w:rPr>
        <w:t>A</w:t>
      </w:r>
      <w:r w:rsidR="003C71D9" w:rsidRPr="00961CFE">
        <w:rPr>
          <w:rFonts w:ascii="Times New Roman" w:hAnsi="Times New Roman" w:cs="David"/>
          <w:sz w:val="24"/>
          <w:szCs w:val="24"/>
          <w:lang w:val="en-US"/>
        </w:rPr>
        <w:t>wakener (</w:t>
      </w:r>
      <w:proofErr w:type="spellStart"/>
      <w:r w:rsidR="003C71D9" w:rsidRPr="00961CFE">
        <w:rPr>
          <w:rFonts w:ascii="Times New Roman" w:hAnsi="Times New Roman" w:cs="David"/>
          <w:i/>
          <w:iCs/>
          <w:sz w:val="24"/>
          <w:szCs w:val="24"/>
          <w:lang w:val="en-US"/>
        </w:rPr>
        <w:t>mqm</w:t>
      </w:r>
      <w:proofErr w:type="spellEnd"/>
      <w:r w:rsidR="003C71D9" w:rsidRPr="00961CFE">
        <w:rPr>
          <w:rFonts w:ascii="Times New Roman" w:hAnsi="Times New Roman" w:cs="David"/>
          <w:sz w:val="24"/>
          <w:szCs w:val="24"/>
          <w:lang w:val="en-US"/>
        </w:rPr>
        <w:t>/</w:t>
      </w:r>
      <w:r w:rsidR="003C71D9" w:rsidRPr="00961CFE">
        <w:rPr>
          <w:rFonts w:ascii="Times New Roman" w:hAnsi="Times New Roman" w:cs="David"/>
          <w:i/>
          <w:iCs/>
          <w:sz w:val="24"/>
          <w:szCs w:val="24"/>
          <w:lang w:val="en-US"/>
        </w:rPr>
        <w:t xml:space="preserve"> </w:t>
      </w:r>
      <w:proofErr w:type="spellStart"/>
      <w:r w:rsidR="003C71D9" w:rsidRPr="00961CFE">
        <w:rPr>
          <w:rFonts w:ascii="Times New Roman" w:hAnsi="Times New Roman" w:cs="David"/>
          <w:sz w:val="24"/>
          <w:szCs w:val="24"/>
          <w:lang w:val="en-US"/>
        </w:rPr>
        <w:t>ἐγερσε</w:t>
      </w:r>
      <w:proofErr w:type="spellEnd"/>
      <w:r w:rsidR="003C71D9" w:rsidRPr="00961CFE">
        <w:rPr>
          <w:rFonts w:ascii="Times New Roman" w:hAnsi="Times New Roman" w:cs="David"/>
          <w:sz w:val="24"/>
          <w:szCs w:val="24"/>
          <w:lang w:val="en-US"/>
        </w:rPr>
        <w:t>[</w:t>
      </w:r>
      <w:proofErr w:type="spellStart"/>
      <w:r w:rsidR="003C71D9" w:rsidRPr="00961CFE">
        <w:rPr>
          <w:rFonts w:ascii="Times New Roman" w:hAnsi="Times New Roman" w:cs="David"/>
          <w:sz w:val="24"/>
          <w:szCs w:val="24"/>
          <w:lang w:val="en-US"/>
        </w:rPr>
        <w:t>ίτης</w:t>
      </w:r>
      <w:proofErr w:type="spellEnd"/>
      <w:r w:rsidR="003C71D9" w:rsidRPr="00961CFE">
        <w:rPr>
          <w:rFonts w:ascii="Times New Roman" w:hAnsi="Times New Roman" w:cs="David"/>
          <w:sz w:val="24"/>
          <w:szCs w:val="24"/>
          <w:lang w:val="en-US"/>
        </w:rPr>
        <w:t xml:space="preserve">]) of </w:t>
      </w:r>
      <w:proofErr w:type="spellStart"/>
      <w:r w:rsidR="003C71D9" w:rsidRPr="00961CFE">
        <w:rPr>
          <w:rFonts w:ascii="Times New Roman" w:hAnsi="Times New Roman" w:cs="David"/>
          <w:sz w:val="24"/>
          <w:szCs w:val="24"/>
          <w:lang w:val="en-US"/>
        </w:rPr>
        <w:t>Ml</w:t>
      </w:r>
      <w:proofErr w:type="spellEnd"/>
      <w:r w:rsidR="003C71D9" w:rsidRPr="00961CFE">
        <w:rPr>
          <w:rFonts w:ascii="Times New Roman" w:hAnsi="Times New Roman" w:cs="David"/>
          <w:sz w:val="24"/>
          <w:szCs w:val="24"/>
          <w:lang w:val="en-US"/>
        </w:rPr>
        <w:t>(</w:t>
      </w:r>
      <w:proofErr w:type="spellStart"/>
      <w:r w:rsidR="003C71D9" w:rsidRPr="00961CFE">
        <w:rPr>
          <w:rFonts w:ascii="Times New Roman" w:hAnsi="Times New Roman" w:cs="David"/>
          <w:sz w:val="24"/>
          <w:szCs w:val="24"/>
          <w:lang w:val="en-US"/>
        </w:rPr>
        <w:t>qr</w:t>
      </w:r>
      <w:proofErr w:type="spellEnd"/>
      <w:r w:rsidR="003C71D9" w:rsidRPr="00961CFE">
        <w:rPr>
          <w:rFonts w:ascii="Times New Roman" w:hAnsi="Times New Roman" w:cs="David"/>
          <w:sz w:val="24"/>
          <w:szCs w:val="24"/>
          <w:lang w:val="en-US"/>
        </w:rPr>
        <w:t>)t/Herakles</w:t>
      </w:r>
      <w:r>
        <w:rPr>
          <w:rFonts w:ascii="Times New Roman" w:hAnsi="Times New Roman" w:cs="David"/>
          <w:sz w:val="24"/>
          <w:szCs w:val="24"/>
          <w:lang w:val="en-US"/>
        </w:rPr>
        <w:t>,</w:t>
      </w:r>
      <w:r w:rsidR="003C71D9" w:rsidRPr="00961CFE">
        <w:rPr>
          <w:rFonts w:ascii="Times New Roman" w:hAnsi="Times New Roman" w:cs="David"/>
          <w:sz w:val="24"/>
          <w:szCs w:val="24"/>
          <w:lang w:val="en-US"/>
        </w:rPr>
        <w:t xml:space="preserve">” this role does not necessarily relate to </w:t>
      </w:r>
      <w:proofErr w:type="spellStart"/>
      <w:r w:rsidR="003C71D9" w:rsidRPr="00961CFE">
        <w:rPr>
          <w:rFonts w:ascii="Times New Roman" w:hAnsi="Times New Roman" w:cs="David"/>
          <w:sz w:val="24"/>
          <w:szCs w:val="24"/>
          <w:lang w:val="en-US"/>
        </w:rPr>
        <w:t>Melqart</w:t>
      </w:r>
      <w:proofErr w:type="spellEnd"/>
      <w:r w:rsidR="003C71D9" w:rsidRPr="00961CFE">
        <w:rPr>
          <w:rFonts w:ascii="Times New Roman" w:hAnsi="Times New Roman" w:cs="David"/>
          <w:sz w:val="24"/>
          <w:szCs w:val="24"/>
          <w:lang w:val="en-US"/>
        </w:rPr>
        <w:t xml:space="preserve"> in other occurrences.</w:t>
      </w:r>
      <w:r w:rsidR="003C71D9" w:rsidRPr="00961CFE">
        <w:rPr>
          <w:rFonts w:ascii="Times New Roman" w:hAnsi="Times New Roman" w:cs="David"/>
          <w:sz w:val="24"/>
          <w:szCs w:val="24"/>
          <w:vertAlign w:val="superscript"/>
          <w:lang w:val="en-US"/>
        </w:rPr>
        <w:footnoteReference w:id="8"/>
      </w:r>
    </w:p>
    <w:p w14:paraId="1A4DD2DF" w14:textId="62BD4CF1" w:rsidR="00E1172B" w:rsidRDefault="00957CEB" w:rsidP="009E4A49">
      <w:pPr>
        <w:spacing w:after="0" w:line="480" w:lineRule="auto"/>
        <w:ind w:firstLine="379"/>
        <w:rPr>
          <w:rFonts w:ascii="Times New Roman" w:hAnsi="Times New Roman" w:cs="Times New Roman"/>
          <w:sz w:val="24"/>
          <w:szCs w:val="24"/>
          <w:rtl/>
          <w:lang w:val="en-GB"/>
        </w:rPr>
      </w:pPr>
      <w:r>
        <w:rPr>
          <w:rFonts w:ascii="Times New Roman" w:hAnsi="Times New Roman" w:cs="David"/>
          <w:sz w:val="24"/>
          <w:szCs w:val="24"/>
          <w:lang w:val="en-US"/>
        </w:rPr>
        <w:lastRenderedPageBreak/>
        <w:t>Remarkably, a</w:t>
      </w:r>
      <w:r w:rsidR="00B303D3">
        <w:rPr>
          <w:rFonts w:ascii="Times New Roman" w:hAnsi="Times New Roman" w:cs="David"/>
          <w:sz w:val="24"/>
          <w:szCs w:val="24"/>
          <w:lang w:val="en-US"/>
        </w:rPr>
        <w:t xml:space="preserve">n echo of this position </w:t>
      </w:r>
      <w:r w:rsidR="004803FE">
        <w:rPr>
          <w:rFonts w:ascii="Times New Roman" w:hAnsi="Times New Roman" w:cs="David"/>
          <w:sz w:val="24"/>
          <w:szCs w:val="24"/>
          <w:lang w:val="en-US"/>
        </w:rPr>
        <w:t>might</w:t>
      </w:r>
      <w:r w:rsidR="00326331">
        <w:rPr>
          <w:rFonts w:ascii="Times New Roman" w:hAnsi="Times New Roman" w:cs="David"/>
          <w:sz w:val="24"/>
          <w:szCs w:val="24"/>
          <w:lang w:val="en-US"/>
        </w:rPr>
        <w:t xml:space="preserve"> </w:t>
      </w:r>
      <w:r w:rsidR="00B303D3">
        <w:rPr>
          <w:rFonts w:ascii="Times New Roman" w:hAnsi="Times New Roman" w:cs="David"/>
          <w:sz w:val="24"/>
          <w:szCs w:val="24"/>
          <w:lang w:val="en-US"/>
        </w:rPr>
        <w:t xml:space="preserve">be found in </w:t>
      </w:r>
      <w:proofErr w:type="spellStart"/>
      <w:r w:rsidR="00B303D3">
        <w:rPr>
          <w:rFonts w:ascii="Times New Roman" w:hAnsi="Times New Roman" w:cs="David"/>
          <w:sz w:val="24"/>
          <w:szCs w:val="24"/>
          <w:lang w:val="en-GB"/>
        </w:rPr>
        <w:t>Tanaaitic</w:t>
      </w:r>
      <w:proofErr w:type="spellEnd"/>
      <w:r w:rsidR="00B303D3">
        <w:rPr>
          <w:rFonts w:ascii="Times New Roman" w:hAnsi="Times New Roman" w:cs="David"/>
          <w:sz w:val="24"/>
          <w:szCs w:val="24"/>
          <w:lang w:val="en-GB"/>
        </w:rPr>
        <w:t xml:space="preserve"> sources</w:t>
      </w:r>
      <w:r w:rsidR="00FE4ABE">
        <w:rPr>
          <w:rFonts w:ascii="Times New Roman" w:hAnsi="Times New Roman" w:cs="David"/>
          <w:sz w:val="24"/>
          <w:szCs w:val="24"/>
          <w:lang w:val="en-GB"/>
        </w:rPr>
        <w:t xml:space="preserve"> </w:t>
      </w:r>
      <w:r w:rsidR="00FE4ABE">
        <w:rPr>
          <w:rFonts w:ascii="Times New Roman" w:hAnsi="Times New Roman" w:cs="Times New Roman"/>
          <w:sz w:val="24"/>
          <w:szCs w:val="24"/>
          <w:lang w:val="en-GB"/>
        </w:rPr>
        <w:t xml:space="preserve">(m. </w:t>
      </w:r>
      <w:proofErr w:type="spellStart"/>
      <w:r w:rsidR="00FE4ABE" w:rsidRPr="00D46490">
        <w:rPr>
          <w:rFonts w:ascii="Times New Roman" w:hAnsi="Times New Roman" w:cs="Times New Roman"/>
          <w:i/>
          <w:iCs/>
          <w:sz w:val="24"/>
          <w:szCs w:val="24"/>
          <w:lang w:val="en-GB"/>
        </w:rPr>
        <w:t>Maˁ.Šen</w:t>
      </w:r>
      <w:proofErr w:type="spellEnd"/>
      <w:r w:rsidR="00FE4ABE">
        <w:rPr>
          <w:rFonts w:ascii="Times New Roman" w:hAnsi="Times New Roman" w:cs="Times New Roman"/>
          <w:sz w:val="24"/>
          <w:szCs w:val="24"/>
          <w:lang w:val="en-GB"/>
        </w:rPr>
        <w:t xml:space="preserve">. 5:15; m. </w:t>
      </w:r>
      <w:proofErr w:type="spellStart"/>
      <w:r w:rsidR="00FE4ABE" w:rsidRPr="00D46490">
        <w:rPr>
          <w:rFonts w:ascii="Times New Roman" w:hAnsi="Times New Roman" w:cs="Times New Roman"/>
          <w:i/>
          <w:iCs/>
          <w:sz w:val="24"/>
          <w:szCs w:val="24"/>
          <w:lang w:val="en-GB"/>
        </w:rPr>
        <w:t>Soṭ</w:t>
      </w:r>
      <w:proofErr w:type="spellEnd"/>
      <w:r w:rsidR="00FE4ABE">
        <w:rPr>
          <w:rFonts w:ascii="Times New Roman" w:hAnsi="Times New Roman" w:cs="Times New Roman"/>
          <w:sz w:val="24"/>
          <w:szCs w:val="24"/>
          <w:lang w:val="en-GB"/>
        </w:rPr>
        <w:t>. 9:10)</w:t>
      </w:r>
      <w:r w:rsidR="00B303D3">
        <w:rPr>
          <w:rFonts w:ascii="Times New Roman" w:hAnsi="Times New Roman" w:cs="David"/>
          <w:sz w:val="24"/>
          <w:szCs w:val="24"/>
          <w:lang w:val="en-GB"/>
        </w:rPr>
        <w:t xml:space="preserve"> </w:t>
      </w:r>
      <w:r w:rsidR="00FE4ABE">
        <w:rPr>
          <w:rFonts w:ascii="Times New Roman" w:hAnsi="Times New Roman" w:cs="David"/>
          <w:sz w:val="24"/>
          <w:szCs w:val="24"/>
          <w:lang w:val="en-GB"/>
        </w:rPr>
        <w:t>mentioning</w:t>
      </w:r>
      <w:r w:rsidR="00326331">
        <w:rPr>
          <w:rFonts w:ascii="Times New Roman" w:hAnsi="Times New Roman" w:cs="David"/>
          <w:sz w:val="24"/>
          <w:szCs w:val="24"/>
          <w:lang w:val="en-GB"/>
        </w:rPr>
        <w:t xml:space="preserve"> a group named </w:t>
      </w:r>
      <w:r w:rsidR="00326331">
        <w:rPr>
          <w:rFonts w:ascii="Times New Roman" w:hAnsi="Times New Roman" w:cs="David" w:hint="cs"/>
          <w:sz w:val="24"/>
          <w:szCs w:val="24"/>
          <w:rtl/>
          <w:lang w:val="en-GB"/>
        </w:rPr>
        <w:t>המעוררים</w:t>
      </w:r>
      <w:r w:rsidR="00B303D3">
        <w:rPr>
          <w:rFonts w:ascii="Times New Roman" w:hAnsi="Times New Roman" w:cs="David"/>
          <w:sz w:val="24"/>
          <w:szCs w:val="24"/>
          <w:lang w:val="en-GB"/>
        </w:rPr>
        <w:t xml:space="preserve"> </w:t>
      </w:r>
      <w:r w:rsidR="00326331">
        <w:rPr>
          <w:rFonts w:ascii="Times New Roman" w:hAnsi="Times New Roman" w:cs="David"/>
          <w:sz w:val="24"/>
          <w:szCs w:val="24"/>
          <w:lang w:val="en-GB"/>
        </w:rPr>
        <w:t>(</w:t>
      </w:r>
      <w:r w:rsidR="00B303D3">
        <w:rPr>
          <w:rFonts w:ascii="Times New Roman" w:hAnsi="Times New Roman" w:cs="David"/>
          <w:sz w:val="24"/>
          <w:szCs w:val="24"/>
          <w:lang w:val="en-US"/>
        </w:rPr>
        <w:t xml:space="preserve">the </w:t>
      </w:r>
      <w:proofErr w:type="spellStart"/>
      <w:r w:rsidR="00BD488F">
        <w:rPr>
          <w:rFonts w:ascii="Times New Roman" w:hAnsi="Times New Roman" w:cs="David"/>
          <w:sz w:val="24"/>
          <w:szCs w:val="24"/>
          <w:lang w:val="en-US"/>
        </w:rPr>
        <w:t>Me’orerim</w:t>
      </w:r>
      <w:proofErr w:type="spellEnd"/>
      <w:r w:rsidR="00326331">
        <w:rPr>
          <w:rFonts w:ascii="Times New Roman" w:hAnsi="Times New Roman" w:cs="David"/>
          <w:sz w:val="24"/>
          <w:szCs w:val="24"/>
          <w:lang w:val="en-GB"/>
        </w:rPr>
        <w:t>),</w:t>
      </w:r>
      <w:r w:rsidR="00B657D5">
        <w:rPr>
          <w:rFonts w:ascii="Times New Roman" w:hAnsi="Times New Roman" w:cs="David"/>
          <w:sz w:val="24"/>
          <w:szCs w:val="24"/>
          <w:lang w:val="en-GB"/>
        </w:rPr>
        <w:t xml:space="preserve"> literary “</w:t>
      </w:r>
      <w:r w:rsidR="002A517F">
        <w:rPr>
          <w:rFonts w:ascii="Times New Roman" w:hAnsi="Times New Roman" w:cs="David"/>
          <w:sz w:val="24"/>
          <w:szCs w:val="24"/>
          <w:lang w:val="en-GB"/>
        </w:rPr>
        <w:t>t</w:t>
      </w:r>
      <w:r w:rsidR="00326331">
        <w:rPr>
          <w:rFonts w:ascii="Times New Roman" w:hAnsi="Times New Roman" w:cs="David"/>
          <w:sz w:val="24"/>
          <w:szCs w:val="24"/>
          <w:lang w:val="en-GB"/>
        </w:rPr>
        <w:t xml:space="preserve">he </w:t>
      </w:r>
      <w:r w:rsidR="009E4A49">
        <w:rPr>
          <w:rFonts w:ascii="Times New Roman" w:hAnsi="Times New Roman" w:cs="David"/>
          <w:sz w:val="24"/>
          <w:szCs w:val="24"/>
          <w:lang w:val="en-GB"/>
        </w:rPr>
        <w:t>A</w:t>
      </w:r>
      <w:r w:rsidR="00B657D5">
        <w:rPr>
          <w:rFonts w:ascii="Times New Roman" w:hAnsi="Times New Roman" w:cs="David"/>
          <w:sz w:val="24"/>
          <w:szCs w:val="24"/>
          <w:lang w:val="en-GB"/>
        </w:rPr>
        <w:t>wakener</w:t>
      </w:r>
      <w:r w:rsidR="00B303D3">
        <w:rPr>
          <w:rFonts w:ascii="Times New Roman" w:hAnsi="Times New Roman" w:cs="David"/>
          <w:sz w:val="24"/>
          <w:szCs w:val="24"/>
          <w:lang w:val="en-GB"/>
        </w:rPr>
        <w:t>s</w:t>
      </w:r>
      <w:r w:rsidR="00B657D5">
        <w:rPr>
          <w:rFonts w:ascii="Times New Roman" w:hAnsi="Times New Roman" w:cs="David"/>
          <w:sz w:val="24"/>
          <w:szCs w:val="24"/>
          <w:lang w:val="en-GB"/>
        </w:rPr>
        <w:t>”</w:t>
      </w:r>
      <w:r w:rsidR="00BD488F">
        <w:rPr>
          <w:rFonts w:ascii="Times New Roman" w:hAnsi="Times New Roman" w:cs="David"/>
          <w:sz w:val="24"/>
          <w:szCs w:val="24"/>
          <w:lang w:val="en-GB"/>
        </w:rPr>
        <w:t xml:space="preserve"> (Hebrew </w:t>
      </w:r>
      <w:r w:rsidR="00BD488F" w:rsidRPr="00326331">
        <w:rPr>
          <w:rFonts w:ascii="Times New Roman" w:hAnsi="Times New Roman" w:cs="Times New Roman"/>
          <w:i/>
          <w:iCs/>
          <w:sz w:val="24"/>
          <w:szCs w:val="24"/>
          <w:lang w:val="en-GB"/>
        </w:rPr>
        <w:t>ˁ-w-r</w:t>
      </w:r>
      <w:r w:rsidR="00BD488F">
        <w:rPr>
          <w:rFonts w:ascii="Times New Roman" w:hAnsi="Times New Roman" w:cs="Times New Roman"/>
          <w:sz w:val="24"/>
          <w:szCs w:val="24"/>
          <w:lang w:val="en-GB"/>
        </w:rPr>
        <w:t xml:space="preserve"> in the D</w:t>
      </w:r>
      <w:r w:rsidR="00326331">
        <w:rPr>
          <w:rFonts w:ascii="Times New Roman" w:hAnsi="Times New Roman" w:cs="Times New Roman"/>
          <w:sz w:val="24"/>
          <w:szCs w:val="24"/>
          <w:lang w:val="en-GB"/>
        </w:rPr>
        <w:t>/</w:t>
      </w:r>
      <w:proofErr w:type="spellStart"/>
      <w:r w:rsidR="00326331">
        <w:rPr>
          <w:rFonts w:ascii="Times New Roman" w:hAnsi="Times New Roman" w:cs="Times New Roman"/>
          <w:sz w:val="24"/>
          <w:szCs w:val="24"/>
          <w:lang w:val="en-GB"/>
        </w:rPr>
        <w:t>Polel</w:t>
      </w:r>
      <w:proofErr w:type="spellEnd"/>
      <w:r w:rsidR="00B303D3">
        <w:rPr>
          <w:rFonts w:ascii="Times New Roman" w:hAnsi="Times New Roman" w:cs="Times New Roman"/>
          <w:sz w:val="24"/>
          <w:szCs w:val="24"/>
          <w:lang w:val="en-GB"/>
        </w:rPr>
        <w:t xml:space="preserve"> </w:t>
      </w:r>
      <w:r w:rsidR="00FE4ABE">
        <w:rPr>
          <w:rFonts w:ascii="Times New Roman" w:hAnsi="Times New Roman" w:cs="Times New Roman"/>
          <w:sz w:val="24"/>
          <w:szCs w:val="24"/>
          <w:lang w:val="en-GB"/>
        </w:rPr>
        <w:t>conjugation</w:t>
      </w:r>
      <w:r w:rsidR="00B303D3">
        <w:rPr>
          <w:rFonts w:ascii="Times New Roman" w:hAnsi="Times New Roman" w:cs="Times New Roman"/>
          <w:sz w:val="24"/>
          <w:szCs w:val="24"/>
          <w:lang w:val="en-GB"/>
        </w:rPr>
        <w:t>),</w:t>
      </w:r>
      <w:r w:rsidR="000254D4">
        <w:rPr>
          <w:rStyle w:val="FootnoteReference"/>
          <w:rFonts w:ascii="Times New Roman" w:hAnsi="Times New Roman" w:cs="Times New Roman"/>
          <w:sz w:val="24"/>
          <w:szCs w:val="24"/>
          <w:lang w:val="en-GB"/>
        </w:rPr>
        <w:footnoteReference w:id="9"/>
      </w:r>
      <w:r w:rsidR="00B303D3">
        <w:rPr>
          <w:rFonts w:ascii="Times New Roman" w:hAnsi="Times New Roman" w:cs="Times New Roman"/>
          <w:sz w:val="24"/>
          <w:szCs w:val="24"/>
          <w:lang w:val="en-GB"/>
        </w:rPr>
        <w:t xml:space="preserve"> </w:t>
      </w:r>
      <w:r w:rsidR="00FE4ABE">
        <w:rPr>
          <w:rFonts w:ascii="Times New Roman" w:hAnsi="Times New Roman" w:cs="Times New Roman"/>
          <w:sz w:val="24"/>
          <w:szCs w:val="24"/>
          <w:lang w:val="en-GB"/>
        </w:rPr>
        <w:t>which</w:t>
      </w:r>
      <w:r w:rsidR="00326331">
        <w:rPr>
          <w:rFonts w:ascii="Times New Roman" w:hAnsi="Times New Roman" w:cs="Times New Roman"/>
          <w:sz w:val="24"/>
          <w:szCs w:val="24"/>
          <w:lang w:val="en-GB"/>
        </w:rPr>
        <w:t xml:space="preserve"> </w:t>
      </w:r>
      <w:r w:rsidR="00326331">
        <w:rPr>
          <w:rFonts w:ascii="Times New Roman" w:hAnsi="Times New Roman" w:cs="David"/>
          <w:sz w:val="24"/>
          <w:szCs w:val="24"/>
          <w:lang w:val="en-GB"/>
        </w:rPr>
        <w:t>serve</w:t>
      </w:r>
      <w:r w:rsidR="00FE4ABE">
        <w:rPr>
          <w:rFonts w:ascii="Times New Roman" w:hAnsi="Times New Roman" w:cs="David"/>
          <w:sz w:val="24"/>
          <w:szCs w:val="24"/>
          <w:lang w:val="en-GB"/>
        </w:rPr>
        <w:t>d in the Jerusalemite second temple</w:t>
      </w:r>
      <w:r w:rsidR="00326331">
        <w:rPr>
          <w:rFonts w:ascii="Times New Roman" w:hAnsi="Times New Roman" w:cs="David"/>
          <w:sz w:val="24"/>
          <w:szCs w:val="24"/>
          <w:lang w:val="en-GB"/>
        </w:rPr>
        <w:t xml:space="preserve"> </w:t>
      </w:r>
      <w:r w:rsidR="00B303D3">
        <w:rPr>
          <w:rFonts w:ascii="Times New Roman" w:hAnsi="Times New Roman" w:cs="Times New Roman"/>
          <w:sz w:val="24"/>
          <w:szCs w:val="24"/>
          <w:lang w:val="en-GB"/>
        </w:rPr>
        <w:t xml:space="preserve">until John Hyrcanus </w:t>
      </w:r>
      <w:r w:rsidR="00326331">
        <w:rPr>
          <w:rFonts w:ascii="Times New Roman" w:hAnsi="Times New Roman" w:cs="Times New Roman"/>
          <w:sz w:val="24"/>
          <w:szCs w:val="24"/>
          <w:lang w:val="en-GB"/>
        </w:rPr>
        <w:t>abolish</w:t>
      </w:r>
      <w:r w:rsidR="007400F6">
        <w:rPr>
          <w:rFonts w:ascii="Times New Roman" w:hAnsi="Times New Roman" w:cs="Times New Roman"/>
          <w:sz w:val="24"/>
          <w:szCs w:val="24"/>
          <w:lang w:val="en-GB"/>
        </w:rPr>
        <w:t>ed</w:t>
      </w:r>
      <w:r w:rsidR="00326331">
        <w:rPr>
          <w:rFonts w:ascii="Times New Roman" w:hAnsi="Times New Roman" w:cs="Times New Roman"/>
          <w:sz w:val="24"/>
          <w:szCs w:val="24"/>
          <w:lang w:val="en-GB"/>
        </w:rPr>
        <w:t xml:space="preserve"> it. </w:t>
      </w:r>
    </w:p>
    <w:p w14:paraId="3B9556EA" w14:textId="5520B387" w:rsidR="00961CFE" w:rsidRPr="00957CEB" w:rsidRDefault="00B106F1" w:rsidP="009E4A49">
      <w:pPr>
        <w:bidi/>
        <w:spacing w:after="0" w:line="480" w:lineRule="auto"/>
        <w:rPr>
          <w:rFonts w:ascii="Times New Roman" w:hAnsi="Times New Roman" w:cs="Times New Roman"/>
          <w:sz w:val="24"/>
          <w:szCs w:val="24"/>
          <w:rtl/>
          <w:lang w:val="en-GB"/>
        </w:rPr>
      </w:pPr>
      <w:r w:rsidRPr="00FC21CD">
        <w:rPr>
          <w:rFonts w:ascii="David" w:hAnsi="David" w:cs="David"/>
          <w:sz w:val="24"/>
          <w:szCs w:val="24"/>
          <w:rtl/>
          <w:lang w:val="en-GB"/>
        </w:rPr>
        <w:t>ב</w:t>
      </w:r>
      <w:r w:rsidR="001330C5" w:rsidRPr="00FC21CD">
        <w:rPr>
          <w:rFonts w:ascii="David" w:hAnsi="David" w:cs="David"/>
          <w:sz w:val="24"/>
          <w:szCs w:val="24"/>
          <w:rtl/>
          <w:lang w:val="en-GB"/>
        </w:rPr>
        <w:t xml:space="preserve">מקורות מאוחרים יותר, </w:t>
      </w:r>
      <w:r w:rsidRPr="00FC21CD">
        <w:rPr>
          <w:rFonts w:ascii="David" w:hAnsi="David" w:cs="David"/>
          <w:sz w:val="24"/>
          <w:szCs w:val="24"/>
          <w:rtl/>
          <w:lang w:val="en-GB"/>
        </w:rPr>
        <w:t>ב</w:t>
      </w:r>
      <w:r w:rsidR="001330C5" w:rsidRPr="00FC21CD">
        <w:rPr>
          <w:rFonts w:ascii="David" w:hAnsi="David" w:cs="David"/>
          <w:sz w:val="24"/>
          <w:szCs w:val="24"/>
          <w:rtl/>
          <w:lang w:val="en-GB"/>
        </w:rPr>
        <w:t>תוספתא (</w:t>
      </w:r>
      <w:proofErr w:type="spellStart"/>
      <w:r w:rsidR="00E1172B">
        <w:rPr>
          <w:rFonts w:ascii="David" w:hAnsi="David" w:cs="David"/>
          <w:sz w:val="24"/>
          <w:szCs w:val="24"/>
          <w:lang w:val="en-GB"/>
        </w:rPr>
        <w:t>So</w:t>
      </w:r>
      <w:r w:rsidR="00E1172B">
        <w:rPr>
          <w:rFonts w:ascii="Times New Roman" w:hAnsi="Times New Roman" w:cs="Times New Roman"/>
          <w:sz w:val="24"/>
          <w:szCs w:val="24"/>
          <w:lang w:val="en-GB"/>
        </w:rPr>
        <w:t>ṭ</w:t>
      </w:r>
      <w:r w:rsidR="00E1172B">
        <w:rPr>
          <w:rFonts w:ascii="David" w:hAnsi="David" w:cs="David"/>
          <w:sz w:val="24"/>
          <w:szCs w:val="24"/>
          <w:lang w:val="en-GB"/>
        </w:rPr>
        <w:t>a</w:t>
      </w:r>
      <w:proofErr w:type="spellEnd"/>
      <w:r w:rsidR="00E1172B">
        <w:rPr>
          <w:rFonts w:ascii="David" w:hAnsi="David" w:cs="David"/>
          <w:sz w:val="24"/>
          <w:szCs w:val="24"/>
          <w:lang w:val="en-GB"/>
        </w:rPr>
        <w:t xml:space="preserve"> 13:9</w:t>
      </w:r>
      <w:r w:rsidR="001330C5" w:rsidRPr="00FC21CD">
        <w:rPr>
          <w:rFonts w:ascii="David" w:hAnsi="David" w:cs="David"/>
          <w:sz w:val="24"/>
          <w:szCs w:val="24"/>
          <w:rtl/>
          <w:lang w:val="en-GB"/>
        </w:rPr>
        <w:t>) ו</w:t>
      </w:r>
      <w:r w:rsidRPr="00FC21CD">
        <w:rPr>
          <w:rFonts w:ascii="David" w:hAnsi="David" w:cs="David"/>
          <w:sz w:val="24"/>
          <w:szCs w:val="24"/>
          <w:rtl/>
          <w:lang w:val="en-GB"/>
        </w:rPr>
        <w:t>ב</w:t>
      </w:r>
      <w:r w:rsidR="009E4A49">
        <w:rPr>
          <w:rFonts w:ascii="David" w:hAnsi="David" w:cs="David" w:hint="cs"/>
          <w:sz w:val="24"/>
          <w:szCs w:val="24"/>
          <w:rtl/>
          <w:lang w:val="en-GB"/>
        </w:rPr>
        <w:t>תלמוד ה</w:t>
      </w:r>
      <w:r w:rsidR="001330C5" w:rsidRPr="00FC21CD">
        <w:rPr>
          <w:rFonts w:ascii="David" w:hAnsi="David" w:cs="David"/>
          <w:sz w:val="24"/>
          <w:szCs w:val="24"/>
          <w:rtl/>
          <w:lang w:val="en-GB"/>
        </w:rPr>
        <w:t>ירושלמי (</w:t>
      </w:r>
      <w:r w:rsidR="00E1172B">
        <w:rPr>
          <w:rFonts w:ascii="David" w:hAnsi="David" w:cs="David"/>
          <w:sz w:val="24"/>
          <w:szCs w:val="24"/>
          <w:lang w:val="en-GB"/>
        </w:rPr>
        <w:t>44b [9:10]</w:t>
      </w:r>
      <w:r w:rsidR="001330C5" w:rsidRPr="00FC21CD">
        <w:rPr>
          <w:rFonts w:ascii="David" w:hAnsi="David" w:cs="David"/>
          <w:sz w:val="24"/>
          <w:szCs w:val="24"/>
          <w:rtl/>
          <w:lang w:val="en-GB"/>
        </w:rPr>
        <w:t>), מ</w:t>
      </w:r>
      <w:r w:rsidRPr="00FC21CD">
        <w:rPr>
          <w:rFonts w:ascii="David" w:hAnsi="David" w:cs="David"/>
          <w:sz w:val="24"/>
          <w:szCs w:val="24"/>
          <w:rtl/>
          <w:lang w:val="en-GB"/>
        </w:rPr>
        <w:t>וסבר</w:t>
      </w:r>
      <w:r w:rsidR="001330C5" w:rsidRPr="00FC21CD">
        <w:rPr>
          <w:rFonts w:ascii="David" w:hAnsi="David" w:cs="David"/>
          <w:sz w:val="24"/>
          <w:szCs w:val="24"/>
          <w:rtl/>
          <w:lang w:val="en-GB"/>
        </w:rPr>
        <w:t xml:space="preserve"> כי </w:t>
      </w:r>
      <w:r w:rsidR="009E4A49">
        <w:rPr>
          <w:rFonts w:ascii="David" w:hAnsi="David" w:cs="David"/>
          <w:sz w:val="24"/>
          <w:szCs w:val="24"/>
          <w:lang w:val="en-GB"/>
        </w:rPr>
        <w:t>the Awakeners</w:t>
      </w:r>
      <w:r w:rsidR="001330C5" w:rsidRPr="00FC21CD">
        <w:rPr>
          <w:rFonts w:ascii="David" w:hAnsi="David" w:cs="David"/>
          <w:sz w:val="24"/>
          <w:szCs w:val="24"/>
          <w:rtl/>
          <w:lang w:val="en-GB"/>
        </w:rPr>
        <w:t xml:space="preserve"> ה</w:t>
      </w:r>
      <w:r w:rsidRPr="00FC21CD">
        <w:rPr>
          <w:rFonts w:ascii="David" w:hAnsi="David" w:cs="David"/>
          <w:sz w:val="24"/>
          <w:szCs w:val="24"/>
          <w:rtl/>
          <w:lang w:val="en-GB"/>
        </w:rPr>
        <w:t>יו</w:t>
      </w:r>
      <w:r w:rsidR="001330C5" w:rsidRPr="00FC21CD">
        <w:rPr>
          <w:rFonts w:ascii="David" w:hAnsi="David" w:cs="David"/>
          <w:sz w:val="24"/>
          <w:szCs w:val="24"/>
          <w:rtl/>
          <w:lang w:val="en-GB"/>
        </w:rPr>
        <w:t xml:space="preserve"> הלווים אשר </w:t>
      </w:r>
      <w:r w:rsidRPr="00FC21CD">
        <w:rPr>
          <w:rFonts w:ascii="David" w:hAnsi="David" w:cs="David"/>
          <w:sz w:val="24"/>
          <w:szCs w:val="24"/>
          <w:rtl/>
          <w:lang w:val="en-GB"/>
        </w:rPr>
        <w:t xml:space="preserve">דקלמו </w:t>
      </w:r>
      <w:r w:rsidR="001A38BD">
        <w:rPr>
          <w:rFonts w:ascii="David" w:hAnsi="David" w:cs="David" w:hint="cs"/>
          <w:sz w:val="24"/>
          <w:szCs w:val="24"/>
          <w:rtl/>
          <w:lang w:val="en-GB"/>
        </w:rPr>
        <w:t xml:space="preserve">במקדש בירושלים </w:t>
      </w:r>
      <w:r w:rsidRPr="00FC21CD">
        <w:rPr>
          <w:rFonts w:ascii="David" w:hAnsi="David" w:cs="David"/>
          <w:sz w:val="24"/>
          <w:szCs w:val="24"/>
          <w:rtl/>
          <w:lang w:val="en-GB"/>
        </w:rPr>
        <w:t>את</w:t>
      </w:r>
      <w:r w:rsidR="001330C5" w:rsidRPr="00FC21CD">
        <w:rPr>
          <w:rFonts w:ascii="David" w:hAnsi="David" w:cs="David"/>
          <w:sz w:val="24"/>
          <w:szCs w:val="24"/>
          <w:rtl/>
          <w:lang w:val="en-GB"/>
        </w:rPr>
        <w:t xml:space="preserve"> </w:t>
      </w:r>
      <w:r w:rsidR="00E1172B">
        <w:rPr>
          <w:rFonts w:ascii="David" w:hAnsi="David" w:cs="David" w:hint="cs"/>
          <w:sz w:val="24"/>
          <w:szCs w:val="24"/>
          <w:rtl/>
          <w:lang w:val="en-GB"/>
        </w:rPr>
        <w:t>המילים</w:t>
      </w:r>
      <w:r w:rsidR="00101BDB">
        <w:rPr>
          <w:rFonts w:ascii="David" w:hAnsi="David" w:cs="David" w:hint="cs"/>
          <w:sz w:val="24"/>
          <w:szCs w:val="24"/>
          <w:rtl/>
          <w:lang w:val="en-GB"/>
        </w:rPr>
        <w:t xml:space="preserve"> </w:t>
      </w:r>
      <w:r w:rsidR="00E1172B" w:rsidRPr="00E1172B">
        <w:rPr>
          <w:rFonts w:ascii="David" w:hAnsi="David" w:cs="David"/>
          <w:sz w:val="24"/>
          <w:szCs w:val="24"/>
        </w:rPr>
        <w:t>Rouse Yourself; why do You sleep, O Lord?</w:t>
      </w:r>
      <w:r w:rsidR="00E1172B">
        <w:rPr>
          <w:rFonts w:ascii="David" w:hAnsi="David" w:cs="David" w:hint="cs"/>
          <w:sz w:val="24"/>
          <w:szCs w:val="24"/>
          <w:rtl/>
        </w:rPr>
        <w:t xml:space="preserve"> </w:t>
      </w:r>
      <w:r w:rsidR="009E4A49">
        <w:rPr>
          <w:rFonts w:ascii="David" w:hAnsi="David" w:cs="David" w:hint="cs"/>
          <w:sz w:val="24"/>
          <w:szCs w:val="24"/>
          <w:rtl/>
        </w:rPr>
        <w:t>מתוך תה' מ"ד</w:t>
      </w:r>
      <w:r w:rsidRPr="00FC21CD">
        <w:rPr>
          <w:rFonts w:ascii="David" w:hAnsi="David" w:cs="David"/>
          <w:sz w:val="24"/>
          <w:szCs w:val="24"/>
          <w:rtl/>
          <w:lang w:val="en-GB"/>
        </w:rPr>
        <w:t xml:space="preserve">. אמנם ניכר </w:t>
      </w:r>
      <w:r w:rsidR="004803FE">
        <w:rPr>
          <w:rFonts w:ascii="David" w:hAnsi="David" w:cs="David" w:hint="cs"/>
          <w:sz w:val="24"/>
          <w:szCs w:val="24"/>
          <w:rtl/>
          <w:lang w:val="en-GB"/>
        </w:rPr>
        <w:t>בהסבר זה כי</w:t>
      </w:r>
      <w:r w:rsidRPr="00FC21CD">
        <w:rPr>
          <w:rFonts w:ascii="David" w:hAnsi="David" w:cs="David"/>
          <w:sz w:val="24"/>
          <w:szCs w:val="24"/>
          <w:rtl/>
          <w:lang w:val="en-GB"/>
        </w:rPr>
        <w:t xml:space="preserve"> חז"ל התאימו בין היכרותם עם שירת הלויים במקדש לבין המשנה העתיקה שהיתה בידם, </w:t>
      </w:r>
      <w:r w:rsidR="002E14B4" w:rsidRPr="00FC21CD">
        <w:rPr>
          <w:rFonts w:ascii="David" w:hAnsi="David" w:cs="David"/>
          <w:sz w:val="24"/>
          <w:szCs w:val="24"/>
          <w:rtl/>
          <w:lang w:val="en-GB"/>
        </w:rPr>
        <w:t xml:space="preserve">אולם </w:t>
      </w:r>
      <w:r w:rsidR="00FE4ABE">
        <w:rPr>
          <w:rFonts w:ascii="David" w:hAnsi="David" w:cs="David" w:hint="cs"/>
          <w:sz w:val="24"/>
          <w:szCs w:val="24"/>
          <w:rtl/>
          <w:lang w:val="en-GB"/>
        </w:rPr>
        <w:t>ייתכן</w:t>
      </w:r>
      <w:r w:rsidRPr="00FC21CD">
        <w:rPr>
          <w:rFonts w:ascii="David" w:hAnsi="David" w:cs="David"/>
          <w:sz w:val="24"/>
          <w:szCs w:val="24"/>
          <w:rtl/>
          <w:lang w:val="en-GB"/>
        </w:rPr>
        <w:t xml:space="preserve"> כי כמו במקרים אחרים, אף כאן שרדה בידם מסורת קדומה</w:t>
      </w:r>
      <w:r w:rsidR="004803FE">
        <w:rPr>
          <w:rFonts w:ascii="David" w:hAnsi="David" w:cs="David" w:hint="cs"/>
          <w:sz w:val="24"/>
          <w:szCs w:val="24"/>
          <w:rtl/>
          <w:lang w:val="en-GB"/>
        </w:rPr>
        <w:t xml:space="preserve">, </w:t>
      </w:r>
      <w:r w:rsidR="00FE4ABE">
        <w:rPr>
          <w:rFonts w:ascii="David" w:hAnsi="David" w:cs="David" w:hint="cs"/>
          <w:sz w:val="24"/>
          <w:szCs w:val="24"/>
          <w:rtl/>
          <w:lang w:val="en-GB"/>
        </w:rPr>
        <w:t>ש</w:t>
      </w:r>
      <w:r w:rsidR="009E4A49">
        <w:rPr>
          <w:rFonts w:ascii="David" w:hAnsi="David" w:cs="David" w:hint="cs"/>
          <w:sz w:val="24"/>
          <w:szCs w:val="24"/>
          <w:rtl/>
          <w:lang w:val="en-GB"/>
        </w:rPr>
        <w:t>מקורותיה משותפים למקורותיה של ה</w:t>
      </w:r>
      <w:r w:rsidR="00FE4ABE">
        <w:rPr>
          <w:rFonts w:ascii="David" w:hAnsi="David" w:cs="David" w:hint="cs"/>
          <w:sz w:val="24"/>
          <w:szCs w:val="24"/>
          <w:rtl/>
          <w:lang w:val="en-GB"/>
        </w:rPr>
        <w:t>משרה הפניקית שתוארה לעיל</w:t>
      </w:r>
      <w:r w:rsidR="002E14B4" w:rsidRPr="00FC21CD">
        <w:rPr>
          <w:rFonts w:ascii="David" w:hAnsi="David" w:cs="David"/>
          <w:sz w:val="24"/>
          <w:szCs w:val="24"/>
          <w:rtl/>
          <w:lang w:val="en-GB"/>
        </w:rPr>
        <w:t>.</w:t>
      </w:r>
      <w:r w:rsidR="009E7227" w:rsidRPr="00FC21CD">
        <w:rPr>
          <w:rStyle w:val="FootnoteReference"/>
          <w:rFonts w:ascii="David" w:hAnsi="David" w:cs="David"/>
          <w:sz w:val="24"/>
          <w:szCs w:val="24"/>
          <w:rtl/>
          <w:lang w:val="en-GB"/>
        </w:rPr>
        <w:footnoteReference w:id="10"/>
      </w:r>
      <w:r w:rsidR="00326331" w:rsidRPr="00FC21CD">
        <w:rPr>
          <w:rFonts w:ascii="David" w:hAnsi="David" w:cs="David"/>
          <w:sz w:val="24"/>
          <w:szCs w:val="24"/>
          <w:rtl/>
          <w:lang w:val="en-GB"/>
        </w:rPr>
        <w:t xml:space="preserve"> </w:t>
      </w:r>
      <w:r w:rsidR="00326331" w:rsidRPr="00FC21CD">
        <w:rPr>
          <w:rFonts w:ascii="David" w:hAnsi="David" w:cs="David"/>
          <w:sz w:val="24"/>
          <w:szCs w:val="24"/>
          <w:lang w:val="en-GB"/>
        </w:rPr>
        <w:t xml:space="preserve"> </w:t>
      </w:r>
    </w:p>
    <w:p w14:paraId="6B3428C5" w14:textId="125E08EB" w:rsidR="00961CFE" w:rsidRDefault="001A38BD" w:rsidP="00961CFE">
      <w:pPr>
        <w:spacing w:after="0" w:line="480" w:lineRule="auto"/>
        <w:ind w:firstLine="567"/>
        <w:rPr>
          <w:rFonts w:ascii="Times New Roman" w:hAnsi="Times New Roman" w:cs="David"/>
          <w:sz w:val="24"/>
          <w:szCs w:val="24"/>
          <w:lang w:val="en-US"/>
        </w:rPr>
      </w:pPr>
      <w:r>
        <w:rPr>
          <w:rFonts w:ascii="Times New Roman" w:hAnsi="Times New Roman" w:cs="David"/>
          <w:sz w:val="24"/>
          <w:szCs w:val="24"/>
          <w:lang w:val="en-US"/>
        </w:rPr>
        <w:t>The earlier occurrence of the</w:t>
      </w:r>
      <w:r w:rsidR="00961CFE" w:rsidRPr="00961CFE">
        <w:rPr>
          <w:rFonts w:ascii="Times New Roman" w:hAnsi="Times New Roman" w:cs="David"/>
          <w:sz w:val="24"/>
          <w:szCs w:val="24"/>
          <w:lang w:val="en-US"/>
        </w:rPr>
        <w:t xml:space="preserve"> second </w:t>
      </w:r>
      <w:r w:rsidR="00E30011">
        <w:rPr>
          <w:rFonts w:ascii="Times New Roman" w:hAnsi="Times New Roman" w:cs="David"/>
          <w:sz w:val="24"/>
          <w:szCs w:val="24"/>
          <w:lang w:val="en-GB"/>
        </w:rPr>
        <w:t>example</w:t>
      </w:r>
      <w:r w:rsidR="00961CFE" w:rsidRPr="00961CFE">
        <w:rPr>
          <w:rFonts w:ascii="Times New Roman" w:hAnsi="Times New Roman" w:cs="David"/>
          <w:sz w:val="24"/>
          <w:szCs w:val="24"/>
          <w:lang w:val="en-US"/>
        </w:rPr>
        <w:t xml:space="preserve"> </w:t>
      </w:r>
      <w:r w:rsidR="00E30011">
        <w:rPr>
          <w:rFonts w:ascii="Times New Roman" w:hAnsi="Times New Roman" w:cs="David"/>
          <w:sz w:val="24"/>
          <w:szCs w:val="24"/>
          <w:lang w:val="en-US"/>
        </w:rPr>
        <w:t>of</w:t>
      </w:r>
      <w:r w:rsidR="00961CFE" w:rsidRPr="00961CFE">
        <w:rPr>
          <w:rFonts w:ascii="Times New Roman" w:hAnsi="Times New Roman" w:cs="David"/>
          <w:sz w:val="24"/>
          <w:szCs w:val="24"/>
          <w:lang w:val="en-US"/>
        </w:rPr>
        <w:t xml:space="preserve"> the</w:t>
      </w:r>
      <w:r>
        <w:rPr>
          <w:rFonts w:ascii="Times New Roman" w:hAnsi="Times New Roman" w:cs="David"/>
          <w:sz w:val="24"/>
          <w:szCs w:val="24"/>
          <w:lang w:val="en-US"/>
        </w:rPr>
        <w:t xml:space="preserve"> Levantine</w:t>
      </w:r>
      <w:r w:rsidR="00961CFE" w:rsidRPr="00961CFE">
        <w:rPr>
          <w:rFonts w:ascii="Times New Roman" w:hAnsi="Times New Roman" w:cs="David"/>
          <w:sz w:val="24"/>
          <w:szCs w:val="24"/>
          <w:lang w:val="en-US"/>
        </w:rPr>
        <w:t xml:space="preserve"> cultic use of th</w:t>
      </w:r>
      <w:r>
        <w:rPr>
          <w:rFonts w:ascii="Times New Roman" w:hAnsi="Times New Roman" w:cs="David"/>
          <w:sz w:val="24"/>
          <w:szCs w:val="24"/>
          <w:lang w:val="en-US"/>
        </w:rPr>
        <w:t>e dying and rising god’s</w:t>
      </w:r>
      <w:r w:rsidR="00961CFE" w:rsidRPr="00961CFE">
        <w:rPr>
          <w:rFonts w:ascii="Times New Roman" w:hAnsi="Times New Roman" w:cs="David"/>
          <w:sz w:val="24"/>
          <w:szCs w:val="24"/>
          <w:lang w:val="en-US"/>
        </w:rPr>
        <w:t xml:space="preserve"> mythologem</w:t>
      </w:r>
      <w:r>
        <w:rPr>
          <w:rFonts w:ascii="Times New Roman" w:hAnsi="Times New Roman" w:cs="David"/>
          <w:sz w:val="24"/>
          <w:szCs w:val="24"/>
          <w:lang w:val="en-US"/>
        </w:rPr>
        <w:t xml:space="preserve"> </w:t>
      </w:r>
      <w:r w:rsidR="00FE4ABE">
        <w:rPr>
          <w:rFonts w:ascii="Times New Roman" w:hAnsi="Times New Roman" w:cs="David"/>
          <w:sz w:val="24"/>
          <w:szCs w:val="24"/>
          <w:lang w:val="en-US"/>
        </w:rPr>
        <w:t>wa</w:t>
      </w:r>
      <w:r w:rsidR="00961CFE" w:rsidRPr="00961CFE">
        <w:rPr>
          <w:rFonts w:ascii="Times New Roman" w:hAnsi="Times New Roman" w:cs="David"/>
          <w:sz w:val="24"/>
          <w:szCs w:val="24"/>
          <w:lang w:val="en-US"/>
        </w:rPr>
        <w:t xml:space="preserve">s </w:t>
      </w:r>
      <w:r>
        <w:rPr>
          <w:rFonts w:ascii="Times New Roman" w:hAnsi="Times New Roman" w:cs="David"/>
          <w:sz w:val="24"/>
          <w:szCs w:val="24"/>
          <w:lang w:val="en-US"/>
        </w:rPr>
        <w:t xml:space="preserve">surprisingly </w:t>
      </w:r>
      <w:r w:rsidR="00961CFE" w:rsidRPr="00961CFE">
        <w:rPr>
          <w:rFonts w:ascii="Times New Roman" w:hAnsi="Times New Roman" w:cs="David"/>
          <w:sz w:val="24"/>
          <w:szCs w:val="24"/>
          <w:lang w:val="en-US"/>
        </w:rPr>
        <w:t>preserved</w:t>
      </w:r>
      <w:r w:rsidR="00957CEB">
        <w:rPr>
          <w:rFonts w:ascii="Times New Roman" w:hAnsi="Times New Roman" w:cs="David"/>
          <w:sz w:val="24"/>
          <w:szCs w:val="24"/>
          <w:lang w:val="en-US"/>
        </w:rPr>
        <w:t xml:space="preserve"> </w:t>
      </w:r>
      <w:r w:rsidR="00961CFE" w:rsidRPr="00961CFE">
        <w:rPr>
          <w:rFonts w:ascii="Times New Roman" w:hAnsi="Times New Roman" w:cs="David"/>
          <w:sz w:val="24"/>
          <w:szCs w:val="24"/>
          <w:lang w:val="en-US"/>
        </w:rPr>
        <w:t>in biblical literature. While most biblical texts rejected the mythologem itself, as mentioned above, traces of the agricultural rituals underlying it have nevertheless been found in Psalms 126:</w:t>
      </w:r>
      <w:r w:rsidR="00961CFE" w:rsidRPr="00961CFE">
        <w:rPr>
          <w:rFonts w:ascii="Times New Roman" w:hAnsi="Times New Roman" w:cs="David"/>
          <w:sz w:val="24"/>
          <w:szCs w:val="24"/>
          <w:lang w:val="en-GB"/>
        </w:rPr>
        <w:t>5-6:</w:t>
      </w:r>
      <w:r w:rsidR="00961CFE" w:rsidRPr="00961CFE">
        <w:rPr>
          <w:rFonts w:ascii="Times New Roman" w:hAnsi="Times New Roman" w:cs="David"/>
          <w:sz w:val="24"/>
          <w:szCs w:val="24"/>
          <w:lang w:val="en-US"/>
        </w:rPr>
        <w:t xml:space="preserve"> </w:t>
      </w:r>
    </w:p>
    <w:p w14:paraId="0DED1310" w14:textId="77777777" w:rsidR="00961CFE" w:rsidRDefault="00961CFE" w:rsidP="00961CFE">
      <w:pPr>
        <w:spacing w:after="0" w:line="480" w:lineRule="auto"/>
        <w:ind w:firstLine="567"/>
        <w:rPr>
          <w:rFonts w:ascii="Times New Roman" w:hAnsi="Times New Roman" w:cs="David"/>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776"/>
      </w:tblGrid>
      <w:tr w:rsidR="00961CFE" w14:paraId="09C8DC5D" w14:textId="77777777" w:rsidTr="00961CFE">
        <w:tc>
          <w:tcPr>
            <w:tcW w:w="5240" w:type="dxa"/>
          </w:tcPr>
          <w:p w14:paraId="3B0AAA8C" w14:textId="0AB1E323" w:rsidR="00961CFE" w:rsidRPr="00961CFE" w:rsidRDefault="00961CFE" w:rsidP="00961CFE">
            <w:pPr>
              <w:spacing w:line="480" w:lineRule="auto"/>
              <w:rPr>
                <w:rFonts w:ascii="Times New Roman" w:hAnsi="Times New Roman" w:cs="David"/>
                <w:lang w:val="en-GB"/>
              </w:rPr>
            </w:pPr>
            <w:r w:rsidRPr="00961CFE">
              <w:rPr>
                <w:rFonts w:ascii="Times New Roman" w:hAnsi="Times New Roman" w:cs="David"/>
                <w:vertAlign w:val="superscript"/>
                <w:lang w:val="en-GB"/>
              </w:rPr>
              <w:t xml:space="preserve">5 </w:t>
            </w:r>
            <w:r w:rsidRPr="00961CFE">
              <w:rPr>
                <w:rFonts w:ascii="Times New Roman" w:hAnsi="Times New Roman" w:cs="David"/>
                <w:lang w:val="en-US"/>
              </w:rPr>
              <w:t>Those who sow in tears do reap with songs of joy</w:t>
            </w:r>
          </w:p>
        </w:tc>
        <w:tc>
          <w:tcPr>
            <w:tcW w:w="3776" w:type="dxa"/>
          </w:tcPr>
          <w:p w14:paraId="233D829F" w14:textId="7EB3626B" w:rsidR="00961CFE" w:rsidRPr="00961CFE" w:rsidRDefault="00961CFE" w:rsidP="00961CFE">
            <w:pPr>
              <w:bidi/>
              <w:spacing w:line="480" w:lineRule="auto"/>
              <w:rPr>
                <w:rFonts w:ascii="Times New Roman" w:hAnsi="Times New Roman" w:cs="David"/>
                <w:lang w:val="en-GB"/>
              </w:rPr>
            </w:pPr>
          </w:p>
        </w:tc>
      </w:tr>
      <w:tr w:rsidR="00961CFE" w14:paraId="29411345" w14:textId="77777777" w:rsidTr="00961CFE">
        <w:tc>
          <w:tcPr>
            <w:tcW w:w="5240" w:type="dxa"/>
          </w:tcPr>
          <w:p w14:paraId="79BAA403" w14:textId="7649DD0B" w:rsidR="00961CFE" w:rsidRPr="00961CFE" w:rsidRDefault="00961CFE" w:rsidP="00961CFE">
            <w:pPr>
              <w:spacing w:line="480" w:lineRule="auto"/>
              <w:rPr>
                <w:rFonts w:ascii="Times New Roman" w:hAnsi="Times New Roman" w:cs="David"/>
                <w:lang w:val="en-GB"/>
              </w:rPr>
            </w:pPr>
            <w:r w:rsidRPr="00961CFE">
              <w:rPr>
                <w:rFonts w:ascii="Times New Roman" w:hAnsi="Times New Roman" w:cs="David"/>
                <w:vertAlign w:val="superscript"/>
                <w:lang w:val="en-GB"/>
              </w:rPr>
              <w:t>6</w:t>
            </w:r>
            <w:r w:rsidRPr="00961CFE">
              <w:rPr>
                <w:rFonts w:ascii="Times New Roman" w:hAnsi="Times New Roman" w:cs="David"/>
                <w:lang w:val="en-GB"/>
              </w:rPr>
              <w:t xml:space="preserve"> </w:t>
            </w:r>
            <w:r w:rsidRPr="00961CFE">
              <w:rPr>
                <w:rFonts w:ascii="Times New Roman" w:hAnsi="Times New Roman" w:cs="David"/>
                <w:lang w:val="en-US"/>
              </w:rPr>
              <w:t>The one who carries the seed-bag weeps as he goes; the one who carries his sheaves comes with songs of joy.</w:t>
            </w:r>
          </w:p>
        </w:tc>
        <w:tc>
          <w:tcPr>
            <w:tcW w:w="3776" w:type="dxa"/>
          </w:tcPr>
          <w:p w14:paraId="08330B31" w14:textId="42D398A9" w:rsidR="00961CFE" w:rsidRPr="00961CFE" w:rsidRDefault="00961CFE" w:rsidP="00961CFE">
            <w:pPr>
              <w:bidi/>
              <w:spacing w:line="480" w:lineRule="auto"/>
              <w:rPr>
                <w:rFonts w:ascii="Times New Roman" w:hAnsi="Times New Roman" w:cs="David"/>
                <w:lang w:val="en-GB"/>
              </w:rPr>
            </w:pPr>
          </w:p>
        </w:tc>
      </w:tr>
    </w:tbl>
    <w:p w14:paraId="3A9363A4" w14:textId="77777777" w:rsidR="00961CFE" w:rsidRPr="00961CFE" w:rsidRDefault="00961CFE" w:rsidP="00961CFE">
      <w:pPr>
        <w:spacing w:after="0" w:line="480" w:lineRule="auto"/>
        <w:ind w:firstLine="567"/>
        <w:rPr>
          <w:rFonts w:ascii="Times New Roman" w:hAnsi="Times New Roman" w:cs="David"/>
          <w:sz w:val="24"/>
          <w:szCs w:val="24"/>
          <w:lang w:val="en-GB"/>
        </w:rPr>
      </w:pPr>
    </w:p>
    <w:p w14:paraId="21D3ED3D" w14:textId="77777777" w:rsidR="00120C3A" w:rsidRDefault="00961CFE" w:rsidP="00B434F9">
      <w:pPr>
        <w:spacing w:after="0" w:line="480" w:lineRule="auto"/>
        <w:rPr>
          <w:rFonts w:ascii="Times New Roman" w:hAnsi="Times New Roman" w:cs="David"/>
          <w:sz w:val="24"/>
          <w:szCs w:val="24"/>
          <w:lang w:val="en-GB"/>
        </w:rPr>
      </w:pPr>
      <w:bookmarkStart w:id="1" w:name="_Hlk85699600"/>
      <w:r w:rsidRPr="00961CFE">
        <w:rPr>
          <w:rFonts w:ascii="Times New Roman" w:hAnsi="Times New Roman" w:cs="David"/>
          <w:sz w:val="24"/>
          <w:szCs w:val="24"/>
          <w:lang w:val="en-US"/>
        </w:rPr>
        <w:lastRenderedPageBreak/>
        <w:t xml:space="preserve">These verses, </w:t>
      </w:r>
      <w:r w:rsidR="00C60F63">
        <w:rPr>
          <w:rFonts w:ascii="Times New Roman" w:hAnsi="Times New Roman" w:cs="David"/>
          <w:sz w:val="24"/>
          <w:szCs w:val="24"/>
          <w:lang w:val="en-US"/>
        </w:rPr>
        <w:t>although</w:t>
      </w:r>
      <w:r w:rsidRPr="00961CFE">
        <w:rPr>
          <w:rFonts w:ascii="Times New Roman" w:hAnsi="Times New Roman" w:cs="David"/>
          <w:sz w:val="24"/>
          <w:szCs w:val="24"/>
          <w:lang w:val="en-US"/>
        </w:rPr>
        <w:t xml:space="preserve"> predate the writings of Origen and Jerome by hundreds of years, portray the exact same practices of weeping during the sowing</w:t>
      </w:r>
      <w:r w:rsidRPr="00961CFE">
        <w:rPr>
          <w:rFonts w:ascii="Times New Roman" w:hAnsi="Times New Roman" w:cs="David"/>
          <w:sz w:val="24"/>
          <w:szCs w:val="24"/>
          <w:lang w:val="en-GB"/>
        </w:rPr>
        <w:t>,</w:t>
      </w:r>
      <w:r w:rsidRPr="00961CFE">
        <w:rPr>
          <w:rFonts w:ascii="Times New Roman" w:hAnsi="Times New Roman" w:cs="David"/>
          <w:sz w:val="24"/>
          <w:szCs w:val="24"/>
          <w:lang w:val="en-US"/>
        </w:rPr>
        <w:t xml:space="preserve"> and joy during the harvest</w:t>
      </w:r>
      <w:r w:rsidR="00C60F63">
        <w:rPr>
          <w:rFonts w:ascii="Times New Roman" w:hAnsi="Times New Roman" w:cs="David"/>
          <w:sz w:val="24"/>
          <w:szCs w:val="24"/>
          <w:lang w:val="en-US"/>
        </w:rPr>
        <w:t xml:space="preserve"> that were</w:t>
      </w:r>
      <w:r w:rsidRPr="00961CFE">
        <w:rPr>
          <w:rFonts w:ascii="Times New Roman" w:hAnsi="Times New Roman" w:cs="David"/>
          <w:sz w:val="24"/>
          <w:szCs w:val="24"/>
          <w:lang w:val="en-US"/>
        </w:rPr>
        <w:t xml:space="preserve"> </w:t>
      </w:r>
      <w:r w:rsidRPr="00961CFE">
        <w:rPr>
          <w:rFonts w:ascii="Times New Roman" w:hAnsi="Times New Roman" w:cs="David"/>
          <w:sz w:val="24"/>
          <w:szCs w:val="24"/>
          <w:lang w:val="en-GB"/>
        </w:rPr>
        <w:t>performed by the pagan residents of Palestine, as reported by these patristic authors</w:t>
      </w:r>
      <w:r w:rsidR="009E4A49">
        <w:rPr>
          <w:rFonts w:ascii="Times New Roman" w:hAnsi="Times New Roman" w:cs="David"/>
          <w:sz w:val="24"/>
          <w:szCs w:val="24"/>
          <w:lang w:val="en-GB"/>
        </w:rPr>
        <w:t xml:space="preserve"> </w:t>
      </w:r>
      <w:r w:rsidR="009E4A49">
        <w:rPr>
          <w:rFonts w:ascii="Times New Roman" w:hAnsi="Times New Roman" w:cs="David"/>
          <w:sz w:val="24"/>
          <w:szCs w:val="24"/>
          <w:lang w:val="en-US"/>
        </w:rPr>
        <w:t>(cited in Chapter A, and see also below in brief)</w:t>
      </w:r>
      <w:r w:rsidRPr="00961CFE">
        <w:rPr>
          <w:rFonts w:ascii="Times New Roman" w:hAnsi="Times New Roman" w:cs="David"/>
          <w:sz w:val="24"/>
          <w:szCs w:val="24"/>
          <w:lang w:val="en-US"/>
        </w:rPr>
        <w:t xml:space="preserve">. </w:t>
      </w:r>
      <w:bookmarkStart w:id="2" w:name="_Hlk85699697"/>
      <w:bookmarkEnd w:id="1"/>
      <w:r w:rsidR="00A77A1A">
        <w:rPr>
          <w:rFonts w:ascii="Times New Roman" w:hAnsi="Times New Roman" w:cs="David"/>
          <w:sz w:val="24"/>
          <w:szCs w:val="24"/>
          <w:lang w:val="en-GB"/>
        </w:rPr>
        <w:t xml:space="preserve">While </w:t>
      </w:r>
      <w:r w:rsidR="00A77A1A" w:rsidRPr="00961CFE">
        <w:rPr>
          <w:rFonts w:ascii="Times New Roman" w:hAnsi="Times New Roman" w:cs="David"/>
          <w:sz w:val="24"/>
          <w:szCs w:val="24"/>
          <w:lang w:val="en-US"/>
        </w:rPr>
        <w:t>the psalmist did not</w:t>
      </w:r>
      <w:r w:rsidR="009E4A49">
        <w:rPr>
          <w:rFonts w:ascii="Times New Roman" w:hAnsi="Times New Roman" w:cs="David"/>
          <w:sz w:val="24"/>
          <w:szCs w:val="24"/>
          <w:lang w:val="en-US"/>
        </w:rPr>
        <w:t xml:space="preserve"> – </w:t>
      </w:r>
      <w:r w:rsidR="00A77A1A" w:rsidRPr="00961CFE">
        <w:rPr>
          <w:rFonts w:ascii="Times New Roman" w:hAnsi="Times New Roman" w:cs="David"/>
          <w:sz w:val="24"/>
          <w:szCs w:val="24"/>
          <w:lang w:val="en-US"/>
        </w:rPr>
        <w:t>or could not</w:t>
      </w:r>
      <w:r w:rsidR="009E4A49">
        <w:rPr>
          <w:rFonts w:ascii="Times New Roman" w:hAnsi="Times New Roman" w:cs="David"/>
          <w:sz w:val="24"/>
          <w:szCs w:val="24"/>
          <w:lang w:val="en-US"/>
        </w:rPr>
        <w:t xml:space="preserve"> – </w:t>
      </w:r>
      <w:r w:rsidR="00A77A1A" w:rsidRPr="00961CFE">
        <w:rPr>
          <w:rFonts w:ascii="Times New Roman" w:hAnsi="Times New Roman" w:cs="David"/>
          <w:sz w:val="24"/>
          <w:szCs w:val="24"/>
          <w:lang w:val="en-US"/>
        </w:rPr>
        <w:t xml:space="preserve"> explain the mythological </w:t>
      </w:r>
      <w:r w:rsidR="00A77A1A" w:rsidRPr="00961CFE">
        <w:rPr>
          <w:rFonts w:ascii="Times New Roman" w:hAnsi="Times New Roman" w:cs="David"/>
          <w:sz w:val="24"/>
          <w:szCs w:val="24"/>
          <w:lang w:val="en-GB"/>
        </w:rPr>
        <w:t xml:space="preserve">ideas underlying the ritual, </w:t>
      </w:r>
      <w:r w:rsidR="00A77A1A" w:rsidRPr="00961CFE">
        <w:rPr>
          <w:rFonts w:ascii="Times New Roman" w:hAnsi="Times New Roman" w:cs="David"/>
          <w:sz w:val="24"/>
          <w:szCs w:val="24"/>
          <w:lang w:val="en-US"/>
        </w:rPr>
        <w:t xml:space="preserve">the comments of the patristic authors disclose its </w:t>
      </w:r>
      <w:r w:rsidR="001B0F81">
        <w:rPr>
          <w:rFonts w:ascii="Times New Roman" w:hAnsi="Times New Roman" w:cs="David"/>
          <w:sz w:val="24"/>
          <w:szCs w:val="24"/>
          <w:lang w:val="en-GB"/>
        </w:rPr>
        <w:t>mythic</w:t>
      </w:r>
      <w:r w:rsidR="00A77A1A" w:rsidRPr="00961CFE">
        <w:rPr>
          <w:rFonts w:ascii="Times New Roman" w:hAnsi="Times New Roman" w:cs="David"/>
          <w:sz w:val="24"/>
          <w:szCs w:val="24"/>
          <w:lang w:val="en-US"/>
        </w:rPr>
        <w:t xml:space="preserve"> roots. </w:t>
      </w:r>
      <w:bookmarkEnd w:id="2"/>
      <w:r w:rsidR="00B434F9">
        <w:rPr>
          <w:rFonts w:ascii="Times New Roman" w:hAnsi="Times New Roman" w:cs="David"/>
          <w:sz w:val="24"/>
          <w:szCs w:val="24"/>
          <w:lang w:val="en-US"/>
        </w:rPr>
        <w:t>For convenience, here are again shortened citations of Origen and Jerome</w:t>
      </w:r>
      <w:r w:rsidR="001A38BD">
        <w:rPr>
          <w:rFonts w:ascii="Times New Roman" w:hAnsi="Times New Roman" w:cs="David"/>
          <w:sz w:val="24"/>
          <w:szCs w:val="24"/>
          <w:lang w:val="en-US"/>
        </w:rPr>
        <w:t xml:space="preserve"> about this practice</w:t>
      </w:r>
      <w:r w:rsidR="00B434F9">
        <w:rPr>
          <w:rFonts w:ascii="Times New Roman" w:hAnsi="Times New Roman" w:cs="David"/>
          <w:sz w:val="24"/>
          <w:szCs w:val="24"/>
          <w:lang w:val="en-US"/>
        </w:rPr>
        <w:t>:</w:t>
      </w:r>
      <w:r w:rsidR="00120C3A">
        <w:rPr>
          <w:rFonts w:ascii="Times New Roman" w:hAnsi="Times New Roman" w:cs="David"/>
          <w:sz w:val="24"/>
          <w:szCs w:val="24"/>
          <w:lang w:val="en-GB"/>
        </w:rPr>
        <w:t xml:space="preserve"> </w:t>
      </w:r>
    </w:p>
    <w:p w14:paraId="02B985DD" w14:textId="2C6E62E0" w:rsidR="00B434F9" w:rsidRPr="00120C3A" w:rsidRDefault="00120C3A" w:rsidP="00B434F9">
      <w:pPr>
        <w:spacing w:after="0" w:line="480" w:lineRule="auto"/>
        <w:rPr>
          <w:rFonts w:ascii="Times New Roman" w:hAnsi="Times New Roman" w:cs="David"/>
          <w:sz w:val="24"/>
          <w:szCs w:val="24"/>
          <w:lang w:val="en-GB"/>
        </w:rPr>
      </w:pPr>
      <w:r w:rsidRPr="00120C3A">
        <w:rPr>
          <w:rFonts w:ascii="Times New Roman" w:hAnsi="Times New Roman" w:cs="David"/>
          <w:sz w:val="24"/>
          <w:szCs w:val="24"/>
          <w:highlight w:val="yellow"/>
          <w:lang w:val="en-GB"/>
        </w:rPr>
        <w:t>[citations]</w:t>
      </w:r>
    </w:p>
    <w:p w14:paraId="289449FC" w14:textId="0F33AA29" w:rsidR="00924D85" w:rsidRDefault="00F835FE" w:rsidP="00777250">
      <w:pPr>
        <w:bidi/>
        <w:spacing w:after="0" w:line="480" w:lineRule="auto"/>
        <w:rPr>
          <w:rFonts w:ascii="Times New Roman" w:hAnsi="Times New Roman" w:cs="David"/>
          <w:sz w:val="24"/>
          <w:szCs w:val="24"/>
          <w:rtl/>
          <w:lang w:val="en-US"/>
        </w:rPr>
      </w:pPr>
      <w:r>
        <w:rPr>
          <w:rFonts w:ascii="Times New Roman" w:hAnsi="Times New Roman" w:cs="David" w:hint="cs"/>
          <w:sz w:val="24"/>
          <w:szCs w:val="24"/>
          <w:rtl/>
          <w:lang w:val="en-US"/>
        </w:rPr>
        <w:t xml:space="preserve">עדות מוקדמת יותר </w:t>
      </w:r>
      <w:r w:rsidR="001A38BD">
        <w:rPr>
          <w:rFonts w:ascii="Times New Roman" w:hAnsi="Times New Roman" w:cs="David" w:hint="cs"/>
          <w:sz w:val="24"/>
          <w:szCs w:val="24"/>
          <w:rtl/>
          <w:lang w:val="en-US"/>
        </w:rPr>
        <w:t xml:space="preserve">מאבות כנסיה אלו, </w:t>
      </w:r>
      <w:r>
        <w:rPr>
          <w:rFonts w:ascii="Times New Roman" w:hAnsi="Times New Roman" w:cs="David" w:hint="cs"/>
          <w:sz w:val="24"/>
          <w:szCs w:val="24"/>
          <w:rtl/>
          <w:lang w:val="en-US"/>
        </w:rPr>
        <w:t xml:space="preserve">נמצאת בכתבי </w:t>
      </w:r>
      <w:r w:rsidR="00AE36FC">
        <w:rPr>
          <w:rFonts w:ascii="Times New Roman" w:hAnsi="Times New Roman" w:cs="David" w:hint="cs"/>
          <w:sz w:val="24"/>
          <w:szCs w:val="24"/>
          <w:rtl/>
          <w:lang w:val="en-US"/>
        </w:rPr>
        <w:t>פלוטרכוס</w:t>
      </w:r>
      <w:r w:rsidR="001A38BD">
        <w:rPr>
          <w:rFonts w:ascii="Times New Roman" w:hAnsi="Times New Roman" w:cs="David" w:hint="cs"/>
          <w:sz w:val="24"/>
          <w:szCs w:val="24"/>
          <w:rtl/>
          <w:lang w:val="en-US"/>
        </w:rPr>
        <w:t xml:space="preserve"> הפגאני</w:t>
      </w:r>
      <w:r>
        <w:rPr>
          <w:rFonts w:ascii="Times New Roman" w:hAnsi="Times New Roman" w:cs="David" w:hint="cs"/>
          <w:sz w:val="24"/>
          <w:szCs w:val="24"/>
          <w:rtl/>
          <w:lang w:val="en-US"/>
        </w:rPr>
        <w:t xml:space="preserve"> מהמאה הראשונה לספירה, המיחסת את הריטואל הנידון לאל</w:t>
      </w:r>
      <w:r w:rsidR="00120C3A">
        <w:rPr>
          <w:rFonts w:ascii="Times New Roman" w:hAnsi="Times New Roman" w:cs="David" w:hint="cs"/>
          <w:sz w:val="24"/>
          <w:szCs w:val="24"/>
          <w:rtl/>
          <w:lang w:val="en-US"/>
        </w:rPr>
        <w:t xml:space="preserve"> המצרי</w:t>
      </w:r>
      <w:r>
        <w:rPr>
          <w:rFonts w:ascii="Times New Roman" w:hAnsi="Times New Roman" w:cs="David" w:hint="cs"/>
          <w:sz w:val="24"/>
          <w:szCs w:val="24"/>
          <w:rtl/>
          <w:lang w:val="en-US"/>
        </w:rPr>
        <w:t xml:space="preserve"> אוסיריס</w:t>
      </w:r>
      <w:r w:rsidR="00924D85">
        <w:rPr>
          <w:rFonts w:ascii="Times New Roman" w:hAnsi="Times New Roman" w:cs="David" w:hint="cs"/>
          <w:sz w:val="24"/>
          <w:szCs w:val="24"/>
          <w:rtl/>
          <w:lang w:val="en-US"/>
        </w:rPr>
        <w:t>:</w:t>
      </w:r>
    </w:p>
    <w:p w14:paraId="4BF6F3B0" w14:textId="2E94D9CE" w:rsidR="00924D85" w:rsidRDefault="00924D85" w:rsidP="00924D85">
      <w:pPr>
        <w:spacing w:after="0" w:line="480" w:lineRule="auto"/>
        <w:ind w:left="851" w:right="804"/>
        <w:jc w:val="both"/>
        <w:rPr>
          <w:rFonts w:asciiTheme="majorBidi" w:hAnsiTheme="majorBidi" w:cstheme="majorBidi"/>
        </w:rPr>
      </w:pPr>
      <w:r w:rsidRPr="005D61B3">
        <w:rPr>
          <w:rFonts w:asciiTheme="majorBidi" w:hAnsiTheme="majorBidi" w:cstheme="majorBidi"/>
        </w:rPr>
        <w:t>In this way we shall undertake to deal with the numerous and tiresome people, whether they be such as take pleasure in associating theological problems with the seasonal changes in the surrounding atmosphere, or with the growth of the crops and seedtimes and ploughing; and also those who say that Osiris is being buried at the time when the grain is sown and covered in the earth and that he comes to life and reappears when plants begin to sprout</w:t>
      </w:r>
      <w:r w:rsidR="005344CD">
        <w:rPr>
          <w:rFonts w:asciiTheme="majorBidi" w:hAnsiTheme="majorBidi" w:cstheme="majorBidi"/>
          <w:lang w:val="en-GB"/>
        </w:rPr>
        <w:t>…</w:t>
      </w:r>
      <w:r>
        <w:rPr>
          <w:rFonts w:asciiTheme="majorBidi" w:hAnsiTheme="majorBidi" w:cstheme="majorBidi"/>
          <w:lang w:val="en-GB"/>
        </w:rPr>
        <w:t xml:space="preserve"> (Plutarch, </w:t>
      </w:r>
      <w:r>
        <w:rPr>
          <w:rFonts w:asciiTheme="majorBidi" w:hAnsiTheme="majorBidi" w:cstheme="majorBidi"/>
          <w:i/>
          <w:iCs/>
          <w:lang w:val="en-GB"/>
        </w:rPr>
        <w:t xml:space="preserve">de </w:t>
      </w:r>
      <w:proofErr w:type="spellStart"/>
      <w:r>
        <w:rPr>
          <w:rFonts w:asciiTheme="majorBidi" w:hAnsiTheme="majorBidi" w:cstheme="majorBidi"/>
          <w:i/>
          <w:iCs/>
          <w:lang w:val="en-GB"/>
        </w:rPr>
        <w:t>Iside</w:t>
      </w:r>
      <w:proofErr w:type="spellEnd"/>
      <w:r>
        <w:rPr>
          <w:rFonts w:asciiTheme="majorBidi" w:hAnsiTheme="majorBidi" w:cstheme="majorBidi"/>
          <w:i/>
          <w:iCs/>
          <w:lang w:val="en-GB"/>
        </w:rPr>
        <w:t xml:space="preserve"> et </w:t>
      </w:r>
      <w:proofErr w:type="spellStart"/>
      <w:r>
        <w:rPr>
          <w:rFonts w:asciiTheme="majorBidi" w:hAnsiTheme="majorBidi" w:cstheme="majorBidi"/>
          <w:i/>
          <w:iCs/>
          <w:lang w:val="en-GB"/>
        </w:rPr>
        <w:t>Osiride</w:t>
      </w:r>
      <w:proofErr w:type="spellEnd"/>
      <w:r>
        <w:rPr>
          <w:rFonts w:asciiTheme="majorBidi" w:hAnsiTheme="majorBidi" w:cstheme="majorBidi"/>
          <w:lang w:val="en-GB"/>
        </w:rPr>
        <w:t xml:space="preserve"> 65)</w:t>
      </w:r>
      <w:r w:rsidRPr="005D61B3">
        <w:rPr>
          <w:rFonts w:asciiTheme="majorBidi" w:hAnsiTheme="majorBidi" w:cstheme="majorBidi"/>
        </w:rPr>
        <w:t>.</w:t>
      </w:r>
    </w:p>
    <w:p w14:paraId="4CF3E393" w14:textId="168593FC" w:rsidR="00924D85" w:rsidRPr="005344CD" w:rsidRDefault="00924D85" w:rsidP="005344CD">
      <w:pPr>
        <w:spacing w:after="0" w:line="480" w:lineRule="auto"/>
        <w:ind w:left="851" w:right="804"/>
        <w:jc w:val="both"/>
        <w:rPr>
          <w:rFonts w:asciiTheme="majorBidi" w:hAnsiTheme="majorBidi" w:cstheme="majorBidi"/>
          <w:rtl/>
          <w:lang w:val="en-GB"/>
        </w:rPr>
      </w:pPr>
      <w:r w:rsidRPr="002C54B3">
        <w:rPr>
          <w:rFonts w:asciiTheme="majorBidi" w:hAnsiTheme="majorBidi" w:cstheme="majorBidi"/>
        </w:rPr>
        <w:t>The men of later times accepted this blindly, and in their ignorance referred to the gods the behaviour of the crops and the presence and disappearance of necessities, not only calling them the births and deaths of the gods, but even believing that they are so</w:t>
      </w:r>
      <w:r w:rsidRPr="002C54B3">
        <w:rPr>
          <w:rFonts w:asciiTheme="majorBidi" w:hAnsiTheme="majorBidi" w:cstheme="majorBidi"/>
          <w:lang w:val="en-GB"/>
        </w:rPr>
        <w:t xml:space="preserve"> (</w:t>
      </w:r>
      <w:r>
        <w:rPr>
          <w:rFonts w:asciiTheme="majorBidi" w:hAnsiTheme="majorBidi" w:cstheme="majorBidi"/>
          <w:lang w:val="en-GB"/>
        </w:rPr>
        <w:t>ibid, 70</w:t>
      </w:r>
      <w:r w:rsidRPr="002C54B3">
        <w:rPr>
          <w:rFonts w:asciiTheme="majorBidi" w:hAnsiTheme="majorBidi" w:cstheme="majorBidi"/>
          <w:lang w:val="en-GB"/>
        </w:rPr>
        <w:t>)</w:t>
      </w:r>
      <w:r w:rsidR="00C45D02">
        <w:rPr>
          <w:rFonts w:asciiTheme="majorBidi" w:hAnsiTheme="majorBidi" w:cstheme="majorBidi"/>
          <w:lang w:val="en-GB"/>
        </w:rPr>
        <w:t>.</w:t>
      </w:r>
      <w:r w:rsidR="005344CD">
        <w:rPr>
          <w:rStyle w:val="FootnoteReference"/>
          <w:rFonts w:asciiTheme="majorBidi" w:hAnsiTheme="majorBidi" w:cstheme="majorBidi"/>
          <w:lang w:val="en-GB"/>
        </w:rPr>
        <w:footnoteReference w:id="11"/>
      </w:r>
      <w:r w:rsidRPr="002C54B3">
        <w:rPr>
          <w:rFonts w:asciiTheme="majorBidi" w:hAnsiTheme="majorBidi" w:cstheme="majorBidi"/>
        </w:rPr>
        <w:t xml:space="preserve"> </w:t>
      </w:r>
    </w:p>
    <w:p w14:paraId="1DF9101D" w14:textId="030E82C7" w:rsidR="00A77A1A" w:rsidRPr="00AE36FC" w:rsidRDefault="00F835FE" w:rsidP="00924D85">
      <w:pPr>
        <w:bidi/>
        <w:spacing w:after="0" w:line="480" w:lineRule="auto"/>
        <w:rPr>
          <w:rFonts w:ascii="Times New Roman" w:hAnsi="Times New Roman" w:cs="David"/>
          <w:sz w:val="24"/>
          <w:szCs w:val="24"/>
          <w:rtl/>
          <w:lang w:val="en-GB"/>
        </w:rPr>
      </w:pPr>
      <w:r>
        <w:rPr>
          <w:rFonts w:ascii="Times New Roman" w:hAnsi="Times New Roman" w:cs="David" w:hint="cs"/>
          <w:sz w:val="24"/>
          <w:szCs w:val="24"/>
          <w:rtl/>
          <w:lang w:val="en-US"/>
        </w:rPr>
        <w:t>כאמור</w:t>
      </w:r>
      <w:r w:rsidR="00AE36FC">
        <w:rPr>
          <w:rFonts w:ascii="Times New Roman" w:hAnsi="Times New Roman" w:cs="David" w:hint="cs"/>
          <w:sz w:val="24"/>
          <w:szCs w:val="24"/>
          <w:rtl/>
          <w:lang w:val="en-US"/>
        </w:rPr>
        <w:t xml:space="preserve"> בפרק א', </w:t>
      </w:r>
      <w:r w:rsidR="009E4A49">
        <w:rPr>
          <w:rFonts w:ascii="Times New Roman" w:hAnsi="Times New Roman" w:cs="David" w:hint="cs"/>
          <w:sz w:val="24"/>
          <w:szCs w:val="24"/>
          <w:rtl/>
          <w:lang w:val="en-US"/>
        </w:rPr>
        <w:t>בשלהי העת העתיקה</w:t>
      </w:r>
      <w:r w:rsidR="00AE36FC">
        <w:rPr>
          <w:rFonts w:ascii="Times New Roman" w:hAnsi="Times New Roman" w:cs="David" w:hint="cs"/>
          <w:sz w:val="24"/>
          <w:szCs w:val="24"/>
          <w:rtl/>
          <w:lang w:val="en-US"/>
        </w:rPr>
        <w:t xml:space="preserve"> </w:t>
      </w:r>
      <w:r w:rsidR="005725D4">
        <w:rPr>
          <w:rFonts w:ascii="Times New Roman" w:hAnsi="Times New Roman" w:cs="David" w:hint="cs"/>
          <w:sz w:val="24"/>
          <w:szCs w:val="24"/>
          <w:rtl/>
          <w:lang w:val="en-US"/>
        </w:rPr>
        <w:t>נמנה</w:t>
      </w:r>
      <w:r w:rsidR="00AE36FC">
        <w:rPr>
          <w:rFonts w:ascii="Times New Roman" w:hAnsi="Times New Roman" w:cs="David" w:hint="cs"/>
          <w:sz w:val="24"/>
          <w:szCs w:val="24"/>
          <w:rtl/>
          <w:lang w:val="en-US"/>
        </w:rPr>
        <w:t xml:space="preserve"> </w:t>
      </w:r>
      <w:r w:rsidR="00120C3A">
        <w:rPr>
          <w:rFonts w:ascii="Times New Roman" w:hAnsi="Times New Roman" w:cs="David" w:hint="cs"/>
          <w:sz w:val="24"/>
          <w:szCs w:val="24"/>
          <w:rtl/>
          <w:lang w:val="en-US"/>
        </w:rPr>
        <w:t xml:space="preserve">גם </w:t>
      </w:r>
      <w:r w:rsidR="00AE36FC">
        <w:rPr>
          <w:rFonts w:ascii="Times New Roman" w:hAnsi="Times New Roman" w:cs="David" w:hint="cs"/>
          <w:sz w:val="24"/>
          <w:szCs w:val="24"/>
          <w:rtl/>
          <w:lang w:val="en-US"/>
        </w:rPr>
        <w:t xml:space="preserve">אוסיריס </w:t>
      </w:r>
      <w:r w:rsidR="005725D4">
        <w:rPr>
          <w:rFonts w:ascii="Times New Roman" w:hAnsi="Times New Roman" w:cs="David" w:hint="cs"/>
          <w:sz w:val="24"/>
          <w:szCs w:val="24"/>
          <w:rtl/>
          <w:lang w:val="en-US"/>
        </w:rPr>
        <w:t>על ה</w:t>
      </w:r>
      <w:r w:rsidR="00AE36FC">
        <w:rPr>
          <w:rFonts w:ascii="Times New Roman" w:hAnsi="Times New Roman" w:cs="David" w:hint="cs"/>
          <w:sz w:val="24"/>
          <w:szCs w:val="24"/>
          <w:rtl/>
          <w:lang w:val="en-US"/>
        </w:rPr>
        <w:t>-</w:t>
      </w:r>
      <w:r w:rsidR="00AE36FC">
        <w:rPr>
          <w:rFonts w:ascii="Times New Roman" w:hAnsi="Times New Roman" w:cs="David"/>
          <w:sz w:val="24"/>
          <w:szCs w:val="24"/>
          <w:lang w:val="en-GB"/>
        </w:rPr>
        <w:t>dying and rising god</w:t>
      </w:r>
      <w:r w:rsidR="005725D4">
        <w:rPr>
          <w:rFonts w:ascii="Times New Roman" w:hAnsi="Times New Roman" w:cs="David"/>
          <w:sz w:val="24"/>
          <w:szCs w:val="24"/>
          <w:lang w:val="en-GB"/>
        </w:rPr>
        <w:t>s</w:t>
      </w:r>
      <w:r w:rsidR="00AE36FC">
        <w:rPr>
          <w:rFonts w:ascii="Times New Roman" w:hAnsi="Times New Roman" w:cs="David" w:hint="cs"/>
          <w:sz w:val="24"/>
          <w:szCs w:val="24"/>
          <w:rtl/>
          <w:lang w:val="en-GB"/>
        </w:rPr>
        <w:t xml:space="preserve"> ועל כן </w:t>
      </w:r>
      <w:r>
        <w:rPr>
          <w:rFonts w:ascii="Times New Roman" w:hAnsi="Times New Roman" w:cs="David" w:hint="cs"/>
          <w:sz w:val="24"/>
          <w:szCs w:val="24"/>
          <w:rtl/>
          <w:lang w:val="en-GB"/>
        </w:rPr>
        <w:t>אין להתפלא כי</w:t>
      </w:r>
      <w:r w:rsidR="00AE36FC">
        <w:rPr>
          <w:rFonts w:ascii="Times New Roman" w:hAnsi="Times New Roman" w:cs="David" w:hint="cs"/>
          <w:sz w:val="24"/>
          <w:szCs w:val="24"/>
          <w:rtl/>
          <w:lang w:val="en-GB"/>
        </w:rPr>
        <w:t xml:space="preserve"> </w:t>
      </w:r>
      <w:r w:rsidR="005725D4">
        <w:rPr>
          <w:rFonts w:ascii="Times New Roman" w:hAnsi="Times New Roman" w:cs="David" w:hint="cs"/>
          <w:sz w:val="24"/>
          <w:szCs w:val="24"/>
          <w:rtl/>
          <w:lang w:val="en-GB"/>
        </w:rPr>
        <w:t xml:space="preserve">גם לו </w:t>
      </w:r>
      <w:r>
        <w:rPr>
          <w:rFonts w:ascii="Times New Roman" w:hAnsi="Times New Roman" w:cs="David" w:hint="cs"/>
          <w:sz w:val="24"/>
          <w:szCs w:val="24"/>
          <w:rtl/>
          <w:lang w:val="en-GB"/>
        </w:rPr>
        <w:t xml:space="preserve">יוחס </w:t>
      </w:r>
      <w:r w:rsidR="00AE36FC">
        <w:rPr>
          <w:rFonts w:ascii="Times New Roman" w:hAnsi="Times New Roman" w:cs="David" w:hint="cs"/>
          <w:sz w:val="24"/>
          <w:szCs w:val="24"/>
          <w:rtl/>
          <w:lang w:val="en-GB"/>
        </w:rPr>
        <w:t>ריטואל זה</w:t>
      </w:r>
      <w:r>
        <w:rPr>
          <w:rFonts w:ascii="Times New Roman" w:hAnsi="Times New Roman" w:cs="David" w:hint="cs"/>
          <w:sz w:val="24"/>
          <w:szCs w:val="24"/>
          <w:rtl/>
          <w:lang w:val="en-GB"/>
        </w:rPr>
        <w:t>.</w:t>
      </w:r>
      <w:r w:rsidR="005344CD">
        <w:rPr>
          <w:rFonts w:ascii="Times New Roman" w:hAnsi="Times New Roman" w:cs="David" w:hint="cs"/>
          <w:sz w:val="24"/>
          <w:szCs w:val="24"/>
          <w:rtl/>
          <w:lang w:val="en-GB"/>
        </w:rPr>
        <w:t xml:space="preserve"> </w:t>
      </w:r>
      <w:r>
        <w:rPr>
          <w:rFonts w:ascii="Times New Roman" w:hAnsi="Times New Roman" w:cs="David" w:hint="cs"/>
          <w:sz w:val="24"/>
          <w:szCs w:val="24"/>
          <w:rtl/>
          <w:lang w:val="en-GB"/>
        </w:rPr>
        <w:t xml:space="preserve">למעשה, </w:t>
      </w:r>
      <w:r w:rsidR="009E4A49">
        <w:rPr>
          <w:rFonts w:ascii="Times New Roman" w:hAnsi="Times New Roman" w:cs="David" w:hint="cs"/>
          <w:sz w:val="24"/>
          <w:szCs w:val="24"/>
          <w:rtl/>
          <w:lang w:val="en-GB"/>
        </w:rPr>
        <w:t xml:space="preserve">בשל </w:t>
      </w:r>
      <w:r w:rsidR="001A38BD">
        <w:rPr>
          <w:rFonts w:ascii="Times New Roman" w:hAnsi="Times New Roman" w:cs="David" w:hint="cs"/>
          <w:sz w:val="24"/>
          <w:szCs w:val="24"/>
          <w:rtl/>
          <w:lang w:val="en-GB"/>
        </w:rPr>
        <w:t>ייחוס כגון זה</w:t>
      </w:r>
      <w:r w:rsidR="005344CD">
        <w:rPr>
          <w:rFonts w:ascii="Times New Roman" w:hAnsi="Times New Roman" w:cs="David" w:hint="cs"/>
          <w:sz w:val="24"/>
          <w:szCs w:val="24"/>
          <w:rtl/>
          <w:lang w:val="en-GB"/>
        </w:rPr>
        <w:t xml:space="preserve"> </w:t>
      </w:r>
      <w:r w:rsidR="005344CD">
        <w:rPr>
          <w:rFonts w:ascii="Times New Roman" w:hAnsi="Times New Roman" w:cs="David"/>
          <w:sz w:val="24"/>
          <w:szCs w:val="24"/>
          <w:rtl/>
          <w:lang w:val="en-GB"/>
        </w:rPr>
        <w:t>–</w:t>
      </w:r>
      <w:r w:rsidR="005344CD">
        <w:rPr>
          <w:rFonts w:ascii="Times New Roman" w:hAnsi="Times New Roman" w:cs="David" w:hint="cs"/>
          <w:sz w:val="24"/>
          <w:szCs w:val="24"/>
          <w:rtl/>
          <w:lang w:val="en-GB"/>
        </w:rPr>
        <w:t xml:space="preserve"> </w:t>
      </w:r>
      <w:r>
        <w:rPr>
          <w:rFonts w:ascii="Times New Roman" w:hAnsi="Times New Roman" w:cs="David" w:hint="cs"/>
          <w:sz w:val="24"/>
          <w:szCs w:val="24"/>
          <w:rtl/>
          <w:lang w:val="en-GB"/>
        </w:rPr>
        <w:t xml:space="preserve">כמו בשל </w:t>
      </w:r>
      <w:r w:rsidR="005344CD">
        <w:rPr>
          <w:rFonts w:ascii="Times New Roman" w:hAnsi="Times New Roman" w:cs="David" w:hint="cs"/>
          <w:sz w:val="24"/>
          <w:szCs w:val="24"/>
          <w:rtl/>
          <w:lang w:val="en-GB"/>
        </w:rPr>
        <w:t>עדויות דומות</w:t>
      </w:r>
      <w:r w:rsidR="00FC1FAC">
        <w:rPr>
          <w:rFonts w:ascii="Times New Roman" w:hAnsi="Times New Roman" w:cs="David" w:hint="cs"/>
          <w:sz w:val="24"/>
          <w:szCs w:val="24"/>
          <w:rtl/>
          <w:lang w:val="en-GB"/>
        </w:rPr>
        <w:t xml:space="preserve"> מאותה תקופה</w:t>
      </w:r>
      <w:r>
        <w:rPr>
          <w:rFonts w:ascii="Times New Roman" w:hAnsi="Times New Roman" w:cs="David" w:hint="cs"/>
          <w:sz w:val="24"/>
          <w:szCs w:val="24"/>
          <w:rtl/>
          <w:lang w:val="en-GB"/>
        </w:rPr>
        <w:t xml:space="preserve"> (ראו להלן)</w:t>
      </w:r>
      <w:r w:rsidR="005344CD">
        <w:rPr>
          <w:rFonts w:ascii="Times New Roman" w:hAnsi="Times New Roman" w:cs="David" w:hint="cs"/>
          <w:sz w:val="24"/>
          <w:szCs w:val="24"/>
          <w:rtl/>
          <w:lang w:val="en-GB"/>
        </w:rPr>
        <w:t xml:space="preserve"> </w:t>
      </w:r>
      <w:r w:rsidR="005344CD">
        <w:rPr>
          <w:rFonts w:ascii="Times New Roman" w:hAnsi="Times New Roman" w:cs="David"/>
          <w:sz w:val="24"/>
          <w:szCs w:val="24"/>
          <w:rtl/>
          <w:lang w:val="en-GB"/>
        </w:rPr>
        <w:t>–</w:t>
      </w:r>
      <w:r w:rsidR="005344CD">
        <w:rPr>
          <w:rFonts w:ascii="Times New Roman" w:hAnsi="Times New Roman" w:cs="David" w:hint="cs"/>
          <w:sz w:val="24"/>
          <w:szCs w:val="24"/>
          <w:rtl/>
          <w:lang w:val="en-GB"/>
        </w:rPr>
        <w:t xml:space="preserve"> </w:t>
      </w:r>
      <w:r w:rsidR="00AE36FC">
        <w:rPr>
          <w:rFonts w:ascii="Times New Roman" w:hAnsi="Times New Roman" w:cs="David" w:hint="cs"/>
          <w:sz w:val="24"/>
          <w:szCs w:val="24"/>
          <w:rtl/>
          <w:lang w:val="en-GB"/>
        </w:rPr>
        <w:t xml:space="preserve"> </w:t>
      </w:r>
      <w:r w:rsidR="005344CD">
        <w:rPr>
          <w:rFonts w:ascii="Times New Roman" w:hAnsi="Times New Roman" w:cs="David" w:hint="cs"/>
          <w:sz w:val="24"/>
          <w:szCs w:val="24"/>
          <w:rtl/>
          <w:lang w:val="en-GB"/>
        </w:rPr>
        <w:t>סבר</w:t>
      </w:r>
      <w:r w:rsidR="00AE36FC">
        <w:rPr>
          <w:rFonts w:ascii="Times New Roman" w:hAnsi="Times New Roman" w:cs="David" w:hint="cs"/>
          <w:sz w:val="24"/>
          <w:szCs w:val="24"/>
          <w:rtl/>
          <w:lang w:val="en-GB"/>
        </w:rPr>
        <w:t xml:space="preserve"> </w:t>
      </w:r>
      <w:r w:rsidR="009E4A49">
        <w:rPr>
          <w:rFonts w:ascii="Times New Roman" w:hAnsi="Times New Roman" w:cs="David"/>
          <w:sz w:val="24"/>
          <w:szCs w:val="24"/>
          <w:lang w:val="en-GB"/>
        </w:rPr>
        <w:t>Frazer</w:t>
      </w:r>
      <w:r w:rsidR="00AE36FC">
        <w:rPr>
          <w:rFonts w:ascii="Times New Roman" w:hAnsi="Times New Roman" w:cs="David" w:hint="cs"/>
          <w:sz w:val="24"/>
          <w:szCs w:val="24"/>
          <w:rtl/>
          <w:lang w:val="en-GB"/>
        </w:rPr>
        <w:t xml:space="preserve"> </w:t>
      </w:r>
      <w:r w:rsidR="005344CD">
        <w:rPr>
          <w:rFonts w:ascii="Times New Roman" w:hAnsi="Times New Roman" w:cs="David" w:hint="cs"/>
          <w:sz w:val="24"/>
          <w:szCs w:val="24"/>
          <w:rtl/>
          <w:lang w:val="en-GB"/>
        </w:rPr>
        <w:t>כאחרים,</w:t>
      </w:r>
      <w:r w:rsidR="005725D4">
        <w:rPr>
          <w:rFonts w:ascii="Times New Roman" w:hAnsi="Times New Roman" w:cs="David" w:hint="cs"/>
          <w:sz w:val="24"/>
          <w:szCs w:val="24"/>
          <w:rtl/>
          <w:lang w:val="en-GB"/>
        </w:rPr>
        <w:t xml:space="preserve"> </w:t>
      </w:r>
      <w:r w:rsidR="00AE36FC">
        <w:rPr>
          <w:rFonts w:ascii="Times New Roman" w:hAnsi="Times New Roman" w:cs="David" w:hint="cs"/>
          <w:sz w:val="24"/>
          <w:szCs w:val="24"/>
          <w:rtl/>
          <w:lang w:val="en-GB"/>
        </w:rPr>
        <w:t xml:space="preserve">כי </w:t>
      </w:r>
      <w:r>
        <w:rPr>
          <w:rFonts w:ascii="Times New Roman" w:hAnsi="Times New Roman" w:cs="David" w:hint="cs"/>
          <w:sz w:val="24"/>
          <w:szCs w:val="24"/>
          <w:rtl/>
          <w:lang w:val="en-GB"/>
        </w:rPr>
        <w:t>אף</w:t>
      </w:r>
      <w:r w:rsidR="00AE36FC">
        <w:rPr>
          <w:rFonts w:ascii="Times New Roman" w:hAnsi="Times New Roman" w:cs="David" w:hint="cs"/>
          <w:sz w:val="24"/>
          <w:szCs w:val="24"/>
          <w:rtl/>
          <w:lang w:val="en-GB"/>
        </w:rPr>
        <w:t xml:space="preserve"> בתקופ</w:t>
      </w:r>
      <w:r w:rsidR="00FC1FAC">
        <w:rPr>
          <w:rFonts w:ascii="Times New Roman" w:hAnsi="Times New Roman" w:cs="David" w:hint="cs"/>
          <w:sz w:val="24"/>
          <w:szCs w:val="24"/>
          <w:rtl/>
          <w:lang w:val="en-GB"/>
        </w:rPr>
        <w:t xml:space="preserve">ה שקדמה לשלהי העת העתיקה </w:t>
      </w:r>
      <w:r w:rsidR="00AE36FC">
        <w:rPr>
          <w:rFonts w:ascii="Times New Roman" w:hAnsi="Times New Roman" w:cs="David" w:hint="cs"/>
          <w:sz w:val="24"/>
          <w:szCs w:val="24"/>
          <w:rtl/>
          <w:lang w:val="en-GB"/>
        </w:rPr>
        <w:t>נ</w:t>
      </w:r>
      <w:r w:rsidR="009E4A49">
        <w:rPr>
          <w:rFonts w:ascii="Times New Roman" w:hAnsi="Times New Roman" w:cs="David" w:hint="cs"/>
          <w:sz w:val="24"/>
          <w:szCs w:val="24"/>
          <w:rtl/>
          <w:lang w:val="en-GB"/>
        </w:rPr>
        <w:t>מנה</w:t>
      </w:r>
      <w:r w:rsidR="00AE36FC">
        <w:rPr>
          <w:rFonts w:ascii="Times New Roman" w:hAnsi="Times New Roman" w:cs="David" w:hint="cs"/>
          <w:sz w:val="24"/>
          <w:szCs w:val="24"/>
          <w:rtl/>
          <w:lang w:val="en-GB"/>
        </w:rPr>
        <w:t xml:space="preserve"> אוסיריס </w:t>
      </w:r>
      <w:r w:rsidR="009E4A49">
        <w:rPr>
          <w:rFonts w:ascii="Times New Roman" w:hAnsi="Times New Roman" w:cs="David" w:hint="cs"/>
          <w:sz w:val="24"/>
          <w:szCs w:val="24"/>
          <w:rtl/>
          <w:lang w:val="en-GB"/>
        </w:rPr>
        <w:t>על ה-</w:t>
      </w:r>
      <w:r w:rsidR="009E4A49">
        <w:rPr>
          <w:rFonts w:ascii="Times New Roman" w:hAnsi="Times New Roman" w:cs="David"/>
          <w:sz w:val="24"/>
          <w:szCs w:val="24"/>
          <w:lang w:val="en-GB"/>
        </w:rPr>
        <w:t>dying and rising gods</w:t>
      </w:r>
      <w:r w:rsidR="00AE36FC">
        <w:rPr>
          <w:rFonts w:ascii="Times New Roman" w:hAnsi="Times New Roman" w:cs="David" w:hint="cs"/>
          <w:sz w:val="24"/>
          <w:szCs w:val="24"/>
          <w:rtl/>
          <w:lang w:val="en-GB"/>
        </w:rPr>
        <w:t>.</w:t>
      </w:r>
    </w:p>
    <w:p w14:paraId="2992216C" w14:textId="18670220" w:rsidR="00A77A1A" w:rsidRDefault="00117898" w:rsidP="005725D4">
      <w:pPr>
        <w:bidi/>
        <w:spacing w:after="0" w:line="480" w:lineRule="auto"/>
        <w:ind w:firstLine="379"/>
        <w:rPr>
          <w:rFonts w:ascii="Times New Roman" w:hAnsi="Times New Roman" w:cs="David"/>
          <w:sz w:val="24"/>
          <w:szCs w:val="24"/>
          <w:rtl/>
          <w:lang w:val="en-US"/>
        </w:rPr>
      </w:pPr>
      <w:r>
        <w:rPr>
          <w:rFonts w:ascii="Times New Roman" w:hAnsi="Times New Roman" w:cs="David" w:hint="cs"/>
          <w:sz w:val="24"/>
          <w:szCs w:val="24"/>
          <w:rtl/>
          <w:lang w:val="en-US"/>
        </w:rPr>
        <w:lastRenderedPageBreak/>
        <w:t>הרעיון</w:t>
      </w:r>
      <w:r w:rsidR="00F835FE">
        <w:rPr>
          <w:rFonts w:ascii="Times New Roman" w:hAnsi="Times New Roman" w:cs="David" w:hint="cs"/>
          <w:sz w:val="24"/>
          <w:szCs w:val="24"/>
          <w:rtl/>
          <w:lang w:val="en-US"/>
        </w:rPr>
        <w:t xml:space="preserve"> המיתי</w:t>
      </w:r>
      <w:r>
        <w:rPr>
          <w:rFonts w:ascii="Times New Roman" w:hAnsi="Times New Roman" w:cs="David" w:hint="cs"/>
          <w:sz w:val="24"/>
          <w:szCs w:val="24"/>
          <w:rtl/>
          <w:lang w:val="en-US"/>
        </w:rPr>
        <w:t xml:space="preserve"> העומד בבסיס הריטואל החקלאי </w:t>
      </w:r>
      <w:r w:rsidR="009E4A49">
        <w:rPr>
          <w:rFonts w:ascii="Times New Roman" w:hAnsi="Times New Roman" w:cs="David" w:hint="cs"/>
          <w:sz w:val="24"/>
          <w:szCs w:val="24"/>
          <w:rtl/>
          <w:lang w:val="en-US"/>
        </w:rPr>
        <w:t xml:space="preserve">המדמה את </w:t>
      </w:r>
      <w:r w:rsidR="00AE36FC">
        <w:rPr>
          <w:rFonts w:ascii="Times New Roman" w:hAnsi="Times New Roman" w:cs="David" w:hint="cs"/>
          <w:sz w:val="24"/>
          <w:szCs w:val="24"/>
          <w:rtl/>
          <w:lang w:val="en-US"/>
        </w:rPr>
        <w:t xml:space="preserve">הזריעה </w:t>
      </w:r>
      <w:r w:rsidR="009E4A49">
        <w:rPr>
          <w:rFonts w:ascii="Times New Roman" w:hAnsi="Times New Roman" w:cs="David" w:hint="cs"/>
          <w:sz w:val="24"/>
          <w:szCs w:val="24"/>
          <w:rtl/>
          <w:lang w:val="en-US"/>
        </w:rPr>
        <w:t>ל</w:t>
      </w:r>
      <w:r w:rsidR="00AE36FC">
        <w:rPr>
          <w:rFonts w:ascii="Times New Roman" w:hAnsi="Times New Roman" w:cs="David" w:hint="cs"/>
          <w:sz w:val="24"/>
          <w:szCs w:val="24"/>
          <w:rtl/>
          <w:lang w:val="en-US"/>
        </w:rPr>
        <w:t>קבורת האל, ו</w:t>
      </w:r>
      <w:r w:rsidR="009E4A49">
        <w:rPr>
          <w:rFonts w:ascii="Times New Roman" w:hAnsi="Times New Roman" w:cs="David" w:hint="cs"/>
          <w:sz w:val="24"/>
          <w:szCs w:val="24"/>
          <w:rtl/>
          <w:lang w:val="en-US"/>
        </w:rPr>
        <w:t xml:space="preserve">את </w:t>
      </w:r>
      <w:r w:rsidR="00AE36FC">
        <w:rPr>
          <w:rFonts w:ascii="Times New Roman" w:hAnsi="Times New Roman" w:cs="David" w:hint="cs"/>
          <w:sz w:val="24"/>
          <w:szCs w:val="24"/>
          <w:rtl/>
          <w:lang w:val="en-US"/>
        </w:rPr>
        <w:t xml:space="preserve">הבשלת השיבולים </w:t>
      </w:r>
      <w:r w:rsidR="009E4A49">
        <w:rPr>
          <w:rFonts w:ascii="Times New Roman" w:hAnsi="Times New Roman" w:cs="David" w:hint="cs"/>
          <w:sz w:val="24"/>
          <w:szCs w:val="24"/>
          <w:rtl/>
          <w:lang w:val="en-US"/>
        </w:rPr>
        <w:t>ל</w:t>
      </w:r>
      <w:r w:rsidR="00AE36FC">
        <w:rPr>
          <w:rFonts w:ascii="Times New Roman" w:hAnsi="Times New Roman" w:cs="David" w:hint="cs"/>
          <w:sz w:val="24"/>
          <w:szCs w:val="24"/>
          <w:rtl/>
          <w:lang w:val="en-US"/>
        </w:rPr>
        <w:t>תחייתו</w:t>
      </w:r>
      <w:r w:rsidR="009E4A49">
        <w:rPr>
          <w:rFonts w:ascii="Times New Roman" w:hAnsi="Times New Roman" w:cs="David" w:hint="cs"/>
          <w:sz w:val="24"/>
          <w:szCs w:val="24"/>
          <w:rtl/>
          <w:lang w:val="en-US"/>
        </w:rPr>
        <w:t>,</w:t>
      </w:r>
      <w:r w:rsidR="00AE36FC">
        <w:rPr>
          <w:rFonts w:ascii="Times New Roman" w:hAnsi="Times New Roman" w:cs="David" w:hint="cs"/>
          <w:sz w:val="24"/>
          <w:szCs w:val="24"/>
          <w:rtl/>
          <w:lang w:val="en-US"/>
        </w:rPr>
        <w:t xml:space="preserve"> </w:t>
      </w:r>
      <w:r w:rsidR="00FC1FAC">
        <w:rPr>
          <w:rFonts w:ascii="Times New Roman" w:hAnsi="Times New Roman" w:cs="David" w:hint="cs"/>
          <w:sz w:val="24"/>
          <w:szCs w:val="24"/>
          <w:rtl/>
          <w:lang w:val="en-US"/>
        </w:rPr>
        <w:t>המשיך להיות נפוץ</w:t>
      </w:r>
      <w:r>
        <w:rPr>
          <w:rFonts w:ascii="Times New Roman" w:hAnsi="Times New Roman" w:cs="David" w:hint="cs"/>
          <w:sz w:val="24"/>
          <w:szCs w:val="24"/>
          <w:rtl/>
          <w:lang w:val="en-US"/>
        </w:rPr>
        <w:t xml:space="preserve"> גם בקרב החברות המונותיאסיטיות של שלהי העת העתיקה, </w:t>
      </w:r>
      <w:r w:rsidR="009E4A49">
        <w:rPr>
          <w:rFonts w:ascii="Times New Roman" w:hAnsi="Times New Roman" w:cs="David" w:hint="cs"/>
          <w:sz w:val="24"/>
          <w:szCs w:val="24"/>
          <w:rtl/>
          <w:lang w:val="en-US"/>
        </w:rPr>
        <w:t>כפי</w:t>
      </w:r>
      <w:r w:rsidR="00AE36FC">
        <w:rPr>
          <w:rFonts w:ascii="Times New Roman" w:hAnsi="Times New Roman" w:cs="David" w:hint="cs"/>
          <w:sz w:val="24"/>
          <w:szCs w:val="24"/>
          <w:rtl/>
          <w:lang w:val="en-US"/>
        </w:rPr>
        <w:t xml:space="preserve"> </w:t>
      </w:r>
      <w:r>
        <w:rPr>
          <w:rFonts w:ascii="Times New Roman" w:hAnsi="Times New Roman" w:cs="David" w:hint="cs"/>
          <w:sz w:val="24"/>
          <w:szCs w:val="24"/>
          <w:rtl/>
          <w:lang w:val="en-US"/>
        </w:rPr>
        <w:t>ש</w:t>
      </w:r>
      <w:r w:rsidR="00A77A1A">
        <w:rPr>
          <w:rFonts w:ascii="Times New Roman" w:hAnsi="Times New Roman" w:cs="David" w:hint="cs"/>
          <w:sz w:val="24"/>
          <w:szCs w:val="24"/>
          <w:rtl/>
          <w:lang w:val="en-US"/>
        </w:rPr>
        <w:t xml:space="preserve">מעידים </w:t>
      </w:r>
      <w:r w:rsidR="00FC1FAC">
        <w:rPr>
          <w:rFonts w:ascii="Times New Roman" w:hAnsi="Times New Roman" w:cs="David" w:hint="cs"/>
          <w:sz w:val="24"/>
          <w:szCs w:val="24"/>
          <w:rtl/>
          <w:lang w:val="en-US"/>
        </w:rPr>
        <w:t>ה</w:t>
      </w:r>
      <w:r>
        <w:rPr>
          <w:rFonts w:ascii="Times New Roman" w:hAnsi="Times New Roman" w:cs="David" w:hint="cs"/>
          <w:sz w:val="24"/>
          <w:szCs w:val="24"/>
          <w:rtl/>
          <w:lang w:val="en-US"/>
        </w:rPr>
        <w:t>משלים</w:t>
      </w:r>
      <w:r w:rsidR="005725D4">
        <w:rPr>
          <w:rFonts w:ascii="Times New Roman" w:hAnsi="Times New Roman" w:cs="David" w:hint="cs"/>
          <w:sz w:val="24"/>
          <w:szCs w:val="24"/>
          <w:rtl/>
          <w:lang w:val="en-US"/>
        </w:rPr>
        <w:t xml:space="preserve"> המצוטטים</w:t>
      </w:r>
      <w:r>
        <w:rPr>
          <w:rFonts w:ascii="Times New Roman" w:hAnsi="Times New Roman" w:cs="David" w:hint="cs"/>
          <w:sz w:val="24"/>
          <w:szCs w:val="24"/>
          <w:rtl/>
          <w:lang w:val="en-US"/>
        </w:rPr>
        <w:t xml:space="preserve"> בברית החדשה</w:t>
      </w:r>
      <w:r w:rsidR="00797867">
        <w:rPr>
          <w:rFonts w:ascii="Times New Roman" w:hAnsi="Times New Roman" w:cs="David" w:hint="cs"/>
          <w:sz w:val="24"/>
          <w:szCs w:val="24"/>
          <w:rtl/>
          <w:lang w:val="en-US"/>
        </w:rPr>
        <w:t xml:space="preserve"> ובמקורות נוצריים (</w:t>
      </w:r>
      <w:r w:rsidR="00797867" w:rsidRPr="00120C3A">
        <w:rPr>
          <w:rFonts w:ascii="Times New Roman" w:hAnsi="Times New Roman" w:cs="David"/>
          <w:i/>
          <w:iCs/>
          <w:sz w:val="24"/>
          <w:szCs w:val="24"/>
          <w:lang w:val="en-GB"/>
        </w:rPr>
        <w:t>John</w:t>
      </w:r>
      <w:r w:rsidR="00797867" w:rsidRPr="00120C3A">
        <w:rPr>
          <w:rFonts w:ascii="Times New Roman" w:hAnsi="Times New Roman" w:cs="David"/>
          <w:sz w:val="24"/>
          <w:szCs w:val="24"/>
          <w:lang w:val="en-GB"/>
        </w:rPr>
        <w:t xml:space="preserve"> 12:24-25; </w:t>
      </w:r>
      <w:r w:rsidR="00797867" w:rsidRPr="00120C3A">
        <w:rPr>
          <w:rFonts w:ascii="Times New Roman" w:hAnsi="Times New Roman" w:cs="David"/>
          <w:i/>
          <w:iCs/>
          <w:sz w:val="24"/>
          <w:szCs w:val="24"/>
          <w:lang w:val="en-GB"/>
        </w:rPr>
        <w:t>Cor</w:t>
      </w:r>
      <w:r w:rsidR="00797867" w:rsidRPr="00120C3A">
        <w:rPr>
          <w:rFonts w:ascii="Times New Roman" w:hAnsi="Times New Roman" w:cs="David"/>
          <w:sz w:val="24"/>
          <w:szCs w:val="24"/>
          <w:lang w:val="en-GB"/>
        </w:rPr>
        <w:t xml:space="preserve"> 1 15:35-37, 42-44; Justin Martyr, 1 </w:t>
      </w:r>
      <w:proofErr w:type="spellStart"/>
      <w:r w:rsidR="00797867" w:rsidRPr="00120C3A">
        <w:rPr>
          <w:rFonts w:ascii="Times New Roman" w:hAnsi="Times New Roman" w:cs="David"/>
          <w:i/>
          <w:iCs/>
          <w:sz w:val="24"/>
          <w:szCs w:val="24"/>
          <w:lang w:val="en-GB"/>
        </w:rPr>
        <w:t>Apol</w:t>
      </w:r>
      <w:proofErr w:type="spellEnd"/>
      <w:r w:rsidR="00797867" w:rsidRPr="00120C3A">
        <w:rPr>
          <w:rFonts w:ascii="Times New Roman" w:hAnsi="Times New Roman" w:cs="David"/>
          <w:sz w:val="24"/>
          <w:szCs w:val="24"/>
          <w:lang w:val="en-GB"/>
        </w:rPr>
        <w:t>. 19.1</w:t>
      </w:r>
      <w:r w:rsidR="00797867" w:rsidRPr="00120C3A">
        <w:rPr>
          <w:rFonts w:ascii="Times New Roman" w:hAnsi="Times New Roman" w:cs="David" w:hint="cs"/>
          <w:sz w:val="24"/>
          <w:szCs w:val="24"/>
          <w:rtl/>
          <w:lang w:val="en-US"/>
        </w:rPr>
        <w:t>)</w:t>
      </w:r>
      <w:r w:rsidR="00FC1FAC" w:rsidRPr="00120C3A">
        <w:rPr>
          <w:rFonts w:ascii="Times New Roman" w:hAnsi="Times New Roman" w:cs="David" w:hint="cs"/>
          <w:sz w:val="24"/>
          <w:szCs w:val="24"/>
          <w:rtl/>
          <w:lang w:val="en-US"/>
        </w:rPr>
        <w:t xml:space="preserve">, </w:t>
      </w:r>
      <w:r w:rsidR="00797867" w:rsidRPr="00120C3A">
        <w:rPr>
          <w:rFonts w:ascii="Times New Roman" w:hAnsi="Times New Roman" w:cs="David" w:hint="cs"/>
          <w:sz w:val="24"/>
          <w:szCs w:val="24"/>
          <w:rtl/>
          <w:lang w:val="en-US"/>
        </w:rPr>
        <w:t>ו</w:t>
      </w:r>
      <w:r w:rsidRPr="00120C3A">
        <w:rPr>
          <w:rFonts w:ascii="Times New Roman" w:hAnsi="Times New Roman" w:cs="David" w:hint="cs"/>
          <w:sz w:val="24"/>
          <w:szCs w:val="24"/>
          <w:rtl/>
          <w:lang w:val="en-US"/>
        </w:rPr>
        <w:t>בתלמוד</w:t>
      </w:r>
      <w:r w:rsidR="00797867" w:rsidRPr="00120C3A">
        <w:rPr>
          <w:rFonts w:ascii="Times New Roman" w:hAnsi="Times New Roman" w:cs="David" w:hint="cs"/>
          <w:sz w:val="24"/>
          <w:szCs w:val="24"/>
          <w:rtl/>
          <w:lang w:val="en-US"/>
        </w:rPr>
        <w:t xml:space="preserve"> </w:t>
      </w:r>
      <w:r w:rsidR="00FC1FAC" w:rsidRPr="00120C3A">
        <w:rPr>
          <w:rFonts w:ascii="Times New Roman" w:hAnsi="Times New Roman" w:cs="David" w:hint="cs"/>
          <w:sz w:val="24"/>
          <w:szCs w:val="24"/>
          <w:rtl/>
          <w:lang w:val="en-US"/>
        </w:rPr>
        <w:t>ובמקורות יהודיים נוספים</w:t>
      </w:r>
      <w:r w:rsidR="00797867" w:rsidRPr="00120C3A">
        <w:rPr>
          <w:rFonts w:ascii="Times New Roman" w:hAnsi="Times New Roman" w:cs="David" w:hint="cs"/>
          <w:sz w:val="24"/>
          <w:szCs w:val="24"/>
          <w:rtl/>
          <w:lang w:val="en-US"/>
        </w:rPr>
        <w:t xml:space="preserve"> (</w:t>
      </w:r>
      <w:r w:rsidR="00797867" w:rsidRPr="00120C3A">
        <w:rPr>
          <w:rFonts w:ascii="Times New Roman" w:hAnsi="Times New Roman" w:cs="David"/>
          <w:i/>
          <w:iCs/>
          <w:sz w:val="24"/>
          <w:szCs w:val="24"/>
          <w:lang w:val="en-GB"/>
        </w:rPr>
        <w:t xml:space="preserve">b </w:t>
      </w:r>
      <w:proofErr w:type="spellStart"/>
      <w:r w:rsidR="00797867" w:rsidRPr="00120C3A">
        <w:rPr>
          <w:rFonts w:ascii="Times New Roman" w:hAnsi="Times New Roman" w:cs="David"/>
          <w:i/>
          <w:iCs/>
          <w:sz w:val="24"/>
          <w:szCs w:val="24"/>
          <w:lang w:val="en-GB"/>
        </w:rPr>
        <w:t>Sanh</w:t>
      </w:r>
      <w:proofErr w:type="spellEnd"/>
      <w:r w:rsidR="00797867" w:rsidRPr="00120C3A">
        <w:rPr>
          <w:rFonts w:ascii="Times New Roman" w:hAnsi="Times New Roman" w:cs="David"/>
          <w:sz w:val="24"/>
          <w:szCs w:val="24"/>
          <w:lang w:val="en-GB"/>
        </w:rPr>
        <w:t xml:space="preserve">. 90b; </w:t>
      </w:r>
      <w:r w:rsidR="00797867" w:rsidRPr="00120C3A">
        <w:rPr>
          <w:rFonts w:ascii="Times New Roman" w:hAnsi="Times New Roman" w:cs="David"/>
          <w:i/>
          <w:iCs/>
          <w:sz w:val="24"/>
          <w:szCs w:val="24"/>
          <w:lang w:val="en-GB"/>
        </w:rPr>
        <w:t xml:space="preserve">b </w:t>
      </w:r>
      <w:proofErr w:type="spellStart"/>
      <w:r w:rsidR="00797867" w:rsidRPr="00120C3A">
        <w:rPr>
          <w:rFonts w:ascii="Times New Roman" w:hAnsi="Times New Roman" w:cs="David"/>
          <w:i/>
          <w:iCs/>
          <w:sz w:val="24"/>
          <w:szCs w:val="24"/>
          <w:lang w:val="en-GB"/>
        </w:rPr>
        <w:t>Ket</w:t>
      </w:r>
      <w:proofErr w:type="spellEnd"/>
      <w:r w:rsidR="00797867" w:rsidRPr="00120C3A">
        <w:rPr>
          <w:rFonts w:ascii="Times New Roman" w:hAnsi="Times New Roman" w:cs="David"/>
          <w:i/>
          <w:iCs/>
          <w:sz w:val="24"/>
          <w:szCs w:val="24"/>
          <w:lang w:val="en-GB"/>
        </w:rPr>
        <w:t>.</w:t>
      </w:r>
      <w:r w:rsidR="00797867" w:rsidRPr="00120C3A">
        <w:rPr>
          <w:rFonts w:ascii="Times New Roman" w:hAnsi="Times New Roman" w:cs="David"/>
          <w:sz w:val="24"/>
          <w:szCs w:val="24"/>
          <w:lang w:val="en-GB"/>
        </w:rPr>
        <w:t xml:space="preserve"> 111b; </w:t>
      </w:r>
      <w:r w:rsidR="00797867" w:rsidRPr="00120C3A">
        <w:rPr>
          <w:rFonts w:ascii="Times New Roman" w:hAnsi="Times New Roman" w:cs="David"/>
          <w:i/>
          <w:iCs/>
          <w:sz w:val="24"/>
          <w:szCs w:val="24"/>
        </w:rPr>
        <w:t xml:space="preserve">Ecclesiastes Rabbah </w:t>
      </w:r>
      <w:r w:rsidR="00797867" w:rsidRPr="00120C3A">
        <w:rPr>
          <w:rFonts w:ascii="Times New Roman" w:hAnsi="Times New Roman" w:cs="David"/>
          <w:sz w:val="24"/>
          <w:szCs w:val="24"/>
        </w:rPr>
        <w:t>5.1.10</w:t>
      </w:r>
      <w:r w:rsidR="00797867" w:rsidRPr="00120C3A">
        <w:rPr>
          <w:rFonts w:ascii="Times New Roman" w:hAnsi="Times New Roman" w:cs="David"/>
          <w:sz w:val="24"/>
          <w:szCs w:val="24"/>
          <w:lang w:val="en-GB"/>
        </w:rPr>
        <w:t xml:space="preserve">; </w:t>
      </w:r>
      <w:proofErr w:type="spellStart"/>
      <w:r w:rsidR="00797867" w:rsidRPr="00120C3A">
        <w:rPr>
          <w:rFonts w:ascii="Times New Roman" w:hAnsi="Times New Roman" w:cs="David"/>
          <w:i/>
          <w:iCs/>
          <w:sz w:val="24"/>
          <w:szCs w:val="24"/>
          <w:lang w:val="en-GB"/>
        </w:rPr>
        <w:t>Pirqei</w:t>
      </w:r>
      <w:proofErr w:type="spellEnd"/>
      <w:r w:rsidR="00797867" w:rsidRPr="00120C3A">
        <w:rPr>
          <w:rFonts w:ascii="Times New Roman" w:hAnsi="Times New Roman" w:cs="David"/>
          <w:i/>
          <w:iCs/>
          <w:sz w:val="24"/>
          <w:szCs w:val="24"/>
          <w:lang w:val="en-GB"/>
        </w:rPr>
        <w:t xml:space="preserve"> </w:t>
      </w:r>
      <w:proofErr w:type="spellStart"/>
      <w:r w:rsidR="00797867" w:rsidRPr="00120C3A">
        <w:rPr>
          <w:rFonts w:ascii="Times New Roman" w:hAnsi="Times New Roman" w:cs="David"/>
          <w:i/>
          <w:iCs/>
          <w:sz w:val="24"/>
          <w:szCs w:val="24"/>
          <w:lang w:val="en-GB"/>
        </w:rPr>
        <w:t>deRabbi</w:t>
      </w:r>
      <w:proofErr w:type="spellEnd"/>
      <w:r w:rsidR="00797867" w:rsidRPr="00120C3A">
        <w:rPr>
          <w:rFonts w:ascii="Times New Roman" w:hAnsi="Times New Roman" w:cs="David"/>
          <w:i/>
          <w:iCs/>
          <w:sz w:val="24"/>
          <w:szCs w:val="24"/>
          <w:lang w:val="en-GB"/>
        </w:rPr>
        <w:t xml:space="preserve"> Eliezer</w:t>
      </w:r>
      <w:r w:rsidR="00797867" w:rsidRPr="00120C3A">
        <w:rPr>
          <w:rFonts w:ascii="Times New Roman" w:hAnsi="Times New Roman" w:cs="David"/>
          <w:sz w:val="24"/>
          <w:szCs w:val="24"/>
          <w:lang w:val="en-GB"/>
        </w:rPr>
        <w:t xml:space="preserve"> 33</w:t>
      </w:r>
      <w:r w:rsidR="00797867" w:rsidRPr="00120C3A">
        <w:rPr>
          <w:rFonts w:ascii="Times New Roman" w:hAnsi="Times New Roman" w:cs="David" w:hint="cs"/>
          <w:sz w:val="24"/>
          <w:szCs w:val="24"/>
          <w:rtl/>
          <w:lang w:val="en-US"/>
        </w:rPr>
        <w:t>)</w:t>
      </w:r>
      <w:r w:rsidR="005725D4" w:rsidRPr="00120C3A">
        <w:rPr>
          <w:rFonts w:ascii="Times New Roman" w:hAnsi="Times New Roman" w:cs="David" w:hint="cs"/>
          <w:sz w:val="24"/>
          <w:szCs w:val="24"/>
          <w:rtl/>
          <w:lang w:val="en-US"/>
        </w:rPr>
        <w:t>,</w:t>
      </w:r>
      <w:r w:rsidRPr="00120C3A">
        <w:rPr>
          <w:rFonts w:ascii="Times New Roman" w:hAnsi="Times New Roman" w:cs="David" w:hint="cs"/>
          <w:sz w:val="24"/>
          <w:szCs w:val="24"/>
          <w:rtl/>
          <w:lang w:val="en-US"/>
        </w:rPr>
        <w:t xml:space="preserve"> </w:t>
      </w:r>
      <w:r w:rsidR="005725D4" w:rsidRPr="00120C3A">
        <w:rPr>
          <w:rFonts w:ascii="Times New Roman" w:hAnsi="Times New Roman" w:cs="David" w:hint="cs"/>
          <w:sz w:val="24"/>
          <w:szCs w:val="24"/>
          <w:rtl/>
          <w:lang w:val="en-US"/>
        </w:rPr>
        <w:t xml:space="preserve">המדמים </w:t>
      </w:r>
      <w:r w:rsidRPr="00120C3A">
        <w:rPr>
          <w:rFonts w:ascii="Times New Roman" w:hAnsi="Times New Roman" w:cs="David" w:hint="cs"/>
          <w:sz w:val="24"/>
          <w:szCs w:val="24"/>
          <w:rtl/>
          <w:lang w:val="en-US"/>
        </w:rPr>
        <w:t xml:space="preserve">את </w:t>
      </w:r>
      <w:r w:rsidR="00A77A1A" w:rsidRPr="00120C3A">
        <w:rPr>
          <w:rFonts w:ascii="Times New Roman" w:hAnsi="Times New Roman" w:cs="David" w:hint="cs"/>
          <w:sz w:val="24"/>
          <w:szCs w:val="24"/>
          <w:rtl/>
          <w:lang w:val="en-US"/>
        </w:rPr>
        <w:t xml:space="preserve">מותם של </w:t>
      </w:r>
      <w:r w:rsidRPr="00120C3A">
        <w:rPr>
          <w:rFonts w:ascii="Times New Roman" w:hAnsi="Times New Roman" w:cs="David" w:hint="cs"/>
          <w:sz w:val="24"/>
          <w:szCs w:val="24"/>
          <w:rtl/>
          <w:lang w:val="en-US"/>
        </w:rPr>
        <w:t xml:space="preserve">בני האדם </w:t>
      </w:r>
      <w:r w:rsidR="00A77A1A" w:rsidRPr="00120C3A">
        <w:rPr>
          <w:rFonts w:ascii="Times New Roman" w:hAnsi="Times New Roman" w:cs="David" w:hint="cs"/>
          <w:sz w:val="24"/>
          <w:szCs w:val="24"/>
          <w:rtl/>
          <w:lang w:val="en-US"/>
        </w:rPr>
        <w:t>לזריעת גרעיני החיטה</w:t>
      </w:r>
      <w:r w:rsidRPr="00120C3A">
        <w:rPr>
          <w:rFonts w:ascii="Times New Roman" w:hAnsi="Times New Roman" w:cs="David" w:hint="cs"/>
          <w:sz w:val="24"/>
          <w:szCs w:val="24"/>
          <w:rtl/>
          <w:lang w:val="en-US"/>
        </w:rPr>
        <w:t xml:space="preserve">, ואת תחייתם </w:t>
      </w:r>
      <w:r w:rsidRPr="00120C3A">
        <w:rPr>
          <w:rFonts w:ascii="Times New Roman" w:hAnsi="Times New Roman" w:cs="David"/>
          <w:sz w:val="24"/>
          <w:szCs w:val="24"/>
          <w:rtl/>
          <w:lang w:val="en-US"/>
        </w:rPr>
        <w:t>–</w:t>
      </w:r>
      <w:r w:rsidRPr="00120C3A">
        <w:rPr>
          <w:rFonts w:ascii="Times New Roman" w:hAnsi="Times New Roman" w:cs="David" w:hint="cs"/>
          <w:sz w:val="24"/>
          <w:szCs w:val="24"/>
          <w:rtl/>
          <w:lang w:val="en-US"/>
        </w:rPr>
        <w:t xml:space="preserve"> </w:t>
      </w:r>
      <w:r w:rsidR="00A77A1A" w:rsidRPr="00120C3A">
        <w:rPr>
          <w:rFonts w:ascii="Times New Roman" w:hAnsi="Times New Roman" w:cs="David" w:hint="cs"/>
          <w:sz w:val="24"/>
          <w:szCs w:val="24"/>
          <w:rtl/>
          <w:lang w:val="en-US"/>
        </w:rPr>
        <w:t>להבשלת</w:t>
      </w:r>
      <w:r w:rsidRPr="00120C3A">
        <w:rPr>
          <w:rFonts w:ascii="Times New Roman" w:hAnsi="Times New Roman" w:cs="David" w:hint="cs"/>
          <w:sz w:val="24"/>
          <w:szCs w:val="24"/>
          <w:rtl/>
          <w:lang w:val="en-US"/>
        </w:rPr>
        <w:t xml:space="preserve"> השיבולים</w:t>
      </w:r>
      <w:r w:rsidR="00A77A1A" w:rsidRPr="00120C3A">
        <w:rPr>
          <w:rFonts w:ascii="Times New Roman" w:hAnsi="Times New Roman" w:cs="David" w:hint="cs"/>
          <w:sz w:val="24"/>
          <w:szCs w:val="24"/>
          <w:rtl/>
          <w:lang w:val="en-US"/>
        </w:rPr>
        <w:t>.</w:t>
      </w:r>
      <w:r w:rsidR="00A77A1A" w:rsidRPr="00120C3A">
        <w:rPr>
          <w:rFonts w:ascii="Times New Roman" w:hAnsi="Times New Roman" w:cs="David"/>
          <w:sz w:val="24"/>
          <w:szCs w:val="24"/>
          <w:vertAlign w:val="superscript"/>
          <w:lang w:val="en-US"/>
        </w:rPr>
        <w:t xml:space="preserve"> </w:t>
      </w:r>
      <w:r w:rsidR="00A77A1A" w:rsidRPr="00120C3A">
        <w:rPr>
          <w:rFonts w:ascii="Times New Roman" w:hAnsi="Times New Roman" w:cs="David"/>
          <w:sz w:val="24"/>
          <w:szCs w:val="24"/>
          <w:vertAlign w:val="superscript"/>
          <w:lang w:val="en-US"/>
        </w:rPr>
        <w:footnoteReference w:id="12"/>
      </w:r>
      <w:r w:rsidR="00A77A1A" w:rsidRPr="00120C3A">
        <w:rPr>
          <w:rFonts w:ascii="Times New Roman" w:hAnsi="Times New Roman" w:cs="David" w:hint="cs"/>
          <w:sz w:val="24"/>
          <w:szCs w:val="24"/>
          <w:vertAlign w:val="superscript"/>
          <w:rtl/>
          <w:lang w:val="en-US"/>
        </w:rPr>
        <w:t xml:space="preserve"> </w:t>
      </w:r>
      <w:r w:rsidR="00A77A1A" w:rsidRPr="00120C3A">
        <w:rPr>
          <w:rFonts w:ascii="Times New Roman" w:hAnsi="Times New Roman" w:cs="David" w:hint="cs"/>
          <w:sz w:val="24"/>
          <w:szCs w:val="24"/>
          <w:rtl/>
          <w:lang w:val="en-US"/>
        </w:rPr>
        <w:t>משלים אלו</w:t>
      </w:r>
      <w:r w:rsidR="00FC1FAC" w:rsidRPr="00120C3A">
        <w:rPr>
          <w:rFonts w:ascii="Times New Roman" w:hAnsi="Times New Roman" w:cs="David" w:hint="cs"/>
          <w:sz w:val="24"/>
          <w:szCs w:val="24"/>
          <w:rtl/>
          <w:lang w:val="en-US"/>
        </w:rPr>
        <w:t xml:space="preserve"> </w:t>
      </w:r>
      <w:r w:rsidR="00FC1FAC" w:rsidRPr="00120C3A">
        <w:rPr>
          <w:rFonts w:ascii="Times New Roman" w:hAnsi="Times New Roman" w:cs="David"/>
          <w:sz w:val="24"/>
          <w:szCs w:val="24"/>
          <w:rtl/>
          <w:lang w:val="en-US"/>
        </w:rPr>
        <w:t>–</w:t>
      </w:r>
      <w:r w:rsidR="00FC1FAC" w:rsidRPr="00120C3A">
        <w:rPr>
          <w:rFonts w:ascii="Times New Roman" w:hAnsi="Times New Roman" w:cs="David" w:hint="cs"/>
          <w:sz w:val="24"/>
          <w:szCs w:val="24"/>
          <w:rtl/>
          <w:lang w:val="en-US"/>
        </w:rPr>
        <w:t xml:space="preserve"> ה</w:t>
      </w:r>
      <w:r w:rsidR="00FC1FAC">
        <w:rPr>
          <w:rFonts w:ascii="Times New Roman" w:hAnsi="Times New Roman" w:cs="David" w:hint="cs"/>
          <w:sz w:val="24"/>
          <w:szCs w:val="24"/>
          <w:rtl/>
          <w:lang w:val="en-US"/>
        </w:rPr>
        <w:t>גם שכמו תה' קכ"ו כבר אינם מתייחסים ל-</w:t>
      </w:r>
      <w:r w:rsidR="00FC1FAC">
        <w:rPr>
          <w:rFonts w:ascii="Times New Roman" w:hAnsi="Times New Roman" w:cs="David"/>
          <w:sz w:val="24"/>
          <w:szCs w:val="24"/>
          <w:lang w:val="en-GB"/>
        </w:rPr>
        <w:t>dying and rising god</w:t>
      </w:r>
      <w:r w:rsidR="00FC1FAC">
        <w:rPr>
          <w:rFonts w:ascii="Times New Roman" w:hAnsi="Times New Roman" w:cs="David" w:hint="cs"/>
          <w:sz w:val="24"/>
          <w:szCs w:val="24"/>
          <w:rtl/>
          <w:lang w:val="en-GB"/>
        </w:rPr>
        <w:t xml:space="preserve">, אלא במקרה זה לתחיית המתים </w:t>
      </w:r>
      <w:r w:rsidR="00FC1FAC">
        <w:rPr>
          <w:rFonts w:ascii="Times New Roman" w:hAnsi="Times New Roman" w:cs="David"/>
          <w:sz w:val="24"/>
          <w:szCs w:val="24"/>
          <w:rtl/>
          <w:lang w:val="en-GB"/>
        </w:rPr>
        <w:t>–</w:t>
      </w:r>
      <w:r w:rsidR="00F835FE">
        <w:rPr>
          <w:rFonts w:ascii="Times New Roman" w:hAnsi="Times New Roman" w:cs="David" w:hint="cs"/>
          <w:sz w:val="24"/>
          <w:szCs w:val="24"/>
          <w:rtl/>
          <w:lang w:val="en-US"/>
        </w:rPr>
        <w:t xml:space="preserve"> מהווים </w:t>
      </w:r>
      <w:r w:rsidR="00120C3A">
        <w:rPr>
          <w:rFonts w:ascii="Times New Roman" w:hAnsi="Times New Roman" w:cs="David" w:hint="cs"/>
          <w:sz w:val="24"/>
          <w:szCs w:val="24"/>
          <w:rtl/>
          <w:lang w:val="en-US"/>
        </w:rPr>
        <w:t xml:space="preserve">התפתחות נוספת </w:t>
      </w:r>
      <w:r w:rsidR="00A77A1A">
        <w:rPr>
          <w:rFonts w:ascii="Times New Roman" w:hAnsi="Times New Roman" w:cs="David" w:hint="cs"/>
          <w:sz w:val="24"/>
          <w:szCs w:val="24"/>
          <w:rtl/>
          <w:lang w:val="en-US"/>
        </w:rPr>
        <w:t>של אותו ריטואל עתיק</w:t>
      </w:r>
      <w:r>
        <w:rPr>
          <w:rFonts w:ascii="Times New Roman" w:hAnsi="Times New Roman" w:cs="David" w:hint="cs"/>
          <w:sz w:val="24"/>
          <w:szCs w:val="24"/>
          <w:rtl/>
          <w:lang w:val="en-US"/>
        </w:rPr>
        <w:t>,</w:t>
      </w:r>
      <w:r w:rsidR="005725D4">
        <w:rPr>
          <w:rFonts w:ascii="Times New Roman" w:hAnsi="Times New Roman" w:cs="David" w:hint="cs"/>
          <w:sz w:val="24"/>
          <w:szCs w:val="24"/>
          <w:rtl/>
          <w:lang w:val="en-US"/>
        </w:rPr>
        <w:t xml:space="preserve"> אשר </w:t>
      </w:r>
      <w:r>
        <w:rPr>
          <w:rFonts w:ascii="Times New Roman" w:hAnsi="Times New Roman" w:cs="David" w:hint="cs"/>
          <w:sz w:val="24"/>
          <w:szCs w:val="24"/>
          <w:rtl/>
          <w:lang w:val="en-US"/>
        </w:rPr>
        <w:t xml:space="preserve">רק בשל אקראיות הממצא מופיע לראשונה </w:t>
      </w:r>
      <w:r w:rsidR="00A77A1A">
        <w:rPr>
          <w:rFonts w:ascii="Times New Roman" w:hAnsi="Times New Roman" w:cs="David" w:hint="cs"/>
          <w:sz w:val="24"/>
          <w:szCs w:val="24"/>
          <w:rtl/>
          <w:lang w:val="en-US"/>
        </w:rPr>
        <w:t>בפסוק מ</w:t>
      </w:r>
      <w:r w:rsidR="00AE36FC">
        <w:rPr>
          <w:rFonts w:ascii="Times New Roman" w:hAnsi="Times New Roman" w:cs="David" w:hint="cs"/>
          <w:sz w:val="24"/>
          <w:szCs w:val="24"/>
          <w:rtl/>
          <w:lang w:val="en-US"/>
        </w:rPr>
        <w:t xml:space="preserve">ספר </w:t>
      </w:r>
      <w:r w:rsidR="00A77A1A">
        <w:rPr>
          <w:rFonts w:ascii="Times New Roman" w:hAnsi="Times New Roman" w:cs="David" w:hint="cs"/>
          <w:sz w:val="24"/>
          <w:szCs w:val="24"/>
          <w:rtl/>
          <w:lang w:val="en-US"/>
        </w:rPr>
        <w:t>תהלים</w:t>
      </w:r>
      <w:r w:rsidR="005725D4">
        <w:rPr>
          <w:rFonts w:ascii="Times New Roman" w:hAnsi="Times New Roman" w:cs="David" w:hint="cs"/>
          <w:sz w:val="24"/>
          <w:szCs w:val="24"/>
          <w:rtl/>
          <w:lang w:val="en-US"/>
        </w:rPr>
        <w:t>.</w:t>
      </w:r>
      <w:r w:rsidR="00CE3357">
        <w:rPr>
          <w:rStyle w:val="FootnoteReference"/>
          <w:rFonts w:ascii="Times New Roman" w:hAnsi="Times New Roman" w:cs="David"/>
          <w:sz w:val="24"/>
          <w:szCs w:val="24"/>
          <w:rtl/>
          <w:lang w:val="en-US"/>
        </w:rPr>
        <w:footnoteReference w:id="13"/>
      </w:r>
      <w:r>
        <w:rPr>
          <w:rFonts w:ascii="Times New Roman" w:hAnsi="Times New Roman" w:cs="David" w:hint="cs"/>
          <w:sz w:val="24"/>
          <w:szCs w:val="24"/>
          <w:rtl/>
          <w:lang w:val="en-US"/>
        </w:rPr>
        <w:t xml:space="preserve"> </w:t>
      </w:r>
    </w:p>
    <w:p w14:paraId="116527C1" w14:textId="4FDA4ABD" w:rsidR="001C12F3" w:rsidRPr="001113E1" w:rsidRDefault="001A38BD" w:rsidP="001C12F3">
      <w:pPr>
        <w:spacing w:after="0" w:line="480" w:lineRule="auto"/>
        <w:ind w:firstLine="567"/>
        <w:rPr>
          <w:rFonts w:asciiTheme="majorBidi" w:hAnsiTheme="majorBidi" w:cstheme="majorBidi"/>
          <w:sz w:val="24"/>
          <w:szCs w:val="24"/>
          <w:rtl/>
          <w:lang w:val="en-GB"/>
        </w:rPr>
      </w:pPr>
      <w:r>
        <w:rPr>
          <w:rFonts w:ascii="Times New Roman" w:hAnsi="Times New Roman" w:cs="David"/>
          <w:sz w:val="24"/>
          <w:szCs w:val="24"/>
          <w:lang w:val="en-GB"/>
        </w:rPr>
        <w:t>As mentioned</w:t>
      </w:r>
      <w:r w:rsidR="00F835FE">
        <w:rPr>
          <w:rFonts w:ascii="Times New Roman" w:hAnsi="Times New Roman" w:cs="David"/>
          <w:sz w:val="24"/>
          <w:szCs w:val="24"/>
          <w:lang w:val="en-GB"/>
        </w:rPr>
        <w:t xml:space="preserve">, </w:t>
      </w:r>
      <w:r w:rsidR="00F835FE">
        <w:rPr>
          <w:rFonts w:ascii="Times New Roman" w:hAnsi="Times New Roman" w:cs="David"/>
          <w:sz w:val="24"/>
          <w:szCs w:val="24"/>
          <w:lang w:val="en-US"/>
        </w:rPr>
        <w:t>t</w:t>
      </w:r>
      <w:r w:rsidR="001C12F3" w:rsidRPr="00961CFE">
        <w:rPr>
          <w:rFonts w:ascii="Times New Roman" w:hAnsi="Times New Roman" w:cs="David"/>
          <w:sz w:val="24"/>
          <w:szCs w:val="24"/>
          <w:lang w:val="en-US"/>
        </w:rPr>
        <w:t xml:space="preserve">he </w:t>
      </w:r>
      <w:r w:rsidR="00F835FE">
        <w:rPr>
          <w:rFonts w:ascii="Times New Roman" w:hAnsi="Times New Roman" w:cs="David"/>
          <w:sz w:val="24"/>
          <w:szCs w:val="24"/>
          <w:lang w:val="en-US"/>
        </w:rPr>
        <w:t>relative</w:t>
      </w:r>
      <w:r w:rsidR="001C12F3" w:rsidRPr="00961CFE">
        <w:rPr>
          <w:rFonts w:ascii="Times New Roman" w:hAnsi="Times New Roman" w:cs="David"/>
          <w:sz w:val="24"/>
          <w:szCs w:val="24"/>
          <w:lang w:val="en-US"/>
        </w:rPr>
        <w:t xml:space="preserve"> </w:t>
      </w:r>
      <w:r w:rsidR="001C12F3" w:rsidRPr="00961CFE">
        <w:rPr>
          <w:rFonts w:ascii="Times New Roman" w:hAnsi="Times New Roman" w:cs="David"/>
          <w:sz w:val="24"/>
          <w:szCs w:val="24"/>
          <w:lang w:val="en-GB"/>
        </w:rPr>
        <w:t>lack</w:t>
      </w:r>
      <w:r w:rsidR="001C12F3" w:rsidRPr="00961CFE">
        <w:rPr>
          <w:rFonts w:ascii="Times New Roman" w:hAnsi="Times New Roman" w:cs="David"/>
          <w:sz w:val="24"/>
          <w:szCs w:val="24"/>
          <w:lang w:val="en-US"/>
        </w:rPr>
        <w:t xml:space="preserve"> of </w:t>
      </w:r>
      <w:r w:rsidR="00AE36FC">
        <w:rPr>
          <w:rFonts w:ascii="Times New Roman" w:hAnsi="Times New Roman" w:cs="David"/>
          <w:sz w:val="24"/>
          <w:szCs w:val="24"/>
          <w:lang w:val="en-GB"/>
        </w:rPr>
        <w:t>literary</w:t>
      </w:r>
      <w:r w:rsidR="00137660">
        <w:rPr>
          <w:rFonts w:ascii="Times New Roman" w:hAnsi="Times New Roman" w:cs="David"/>
          <w:sz w:val="24"/>
          <w:szCs w:val="24"/>
          <w:lang w:val="en-GB"/>
        </w:rPr>
        <w:t xml:space="preserve"> </w:t>
      </w:r>
      <w:r w:rsidR="001C12F3" w:rsidRPr="00961CFE">
        <w:rPr>
          <w:rFonts w:ascii="Times New Roman" w:hAnsi="Times New Roman" w:cs="David"/>
          <w:sz w:val="24"/>
          <w:szCs w:val="24"/>
          <w:lang w:val="en-US"/>
        </w:rPr>
        <w:t xml:space="preserve">evidence from the </w:t>
      </w:r>
      <w:r w:rsidR="001C12F3">
        <w:rPr>
          <w:rFonts w:ascii="Times New Roman" w:hAnsi="Times New Roman" w:cs="David"/>
          <w:sz w:val="24"/>
          <w:szCs w:val="24"/>
          <w:lang w:val="en-US"/>
        </w:rPr>
        <w:t>1</w:t>
      </w:r>
      <w:r w:rsidR="001C12F3" w:rsidRPr="001C12F3">
        <w:rPr>
          <w:rFonts w:ascii="Times New Roman" w:hAnsi="Times New Roman" w:cs="David"/>
          <w:sz w:val="24"/>
          <w:szCs w:val="24"/>
          <w:vertAlign w:val="superscript"/>
          <w:lang w:val="en-US"/>
        </w:rPr>
        <w:t>st</w:t>
      </w:r>
      <w:r w:rsidR="001C12F3">
        <w:rPr>
          <w:rFonts w:ascii="Times New Roman" w:hAnsi="Times New Roman" w:cs="David"/>
          <w:sz w:val="24"/>
          <w:szCs w:val="24"/>
          <w:lang w:val="en-US"/>
        </w:rPr>
        <w:t xml:space="preserve"> millennium BCE </w:t>
      </w:r>
      <w:r w:rsidR="001C12F3" w:rsidRPr="00961CFE">
        <w:rPr>
          <w:rFonts w:ascii="Times New Roman" w:hAnsi="Times New Roman" w:cs="David"/>
          <w:sz w:val="24"/>
          <w:szCs w:val="24"/>
          <w:lang w:val="en-US"/>
        </w:rPr>
        <w:t>Levant</w:t>
      </w:r>
      <w:r w:rsidR="008B15AC">
        <w:rPr>
          <w:rFonts w:ascii="Times New Roman" w:hAnsi="Times New Roman" w:cs="David"/>
          <w:sz w:val="24"/>
          <w:szCs w:val="24"/>
          <w:lang w:val="en-US"/>
        </w:rPr>
        <w:t xml:space="preserve"> </w:t>
      </w:r>
      <w:r w:rsidR="001C12F3" w:rsidRPr="00961CFE">
        <w:rPr>
          <w:rFonts w:ascii="Times New Roman" w:hAnsi="Times New Roman" w:cs="David"/>
          <w:sz w:val="24"/>
          <w:szCs w:val="24"/>
          <w:lang w:val="en-US"/>
        </w:rPr>
        <w:t xml:space="preserve">ends abruptly in the </w:t>
      </w:r>
      <w:r>
        <w:rPr>
          <w:rFonts w:ascii="Times New Roman" w:hAnsi="Times New Roman" w:cs="David"/>
          <w:sz w:val="24"/>
          <w:szCs w:val="24"/>
          <w:lang w:val="en-US"/>
        </w:rPr>
        <w:t>L</w:t>
      </w:r>
      <w:r w:rsidR="001C12F3" w:rsidRPr="00961CFE">
        <w:rPr>
          <w:rFonts w:ascii="Times New Roman" w:hAnsi="Times New Roman" w:cs="David"/>
          <w:sz w:val="24"/>
          <w:szCs w:val="24"/>
          <w:lang w:val="en-US"/>
        </w:rPr>
        <w:t xml:space="preserve">ate </w:t>
      </w:r>
      <w:r>
        <w:rPr>
          <w:rFonts w:ascii="Times New Roman" w:hAnsi="Times New Roman" w:cs="David"/>
          <w:sz w:val="24"/>
          <w:szCs w:val="24"/>
          <w:lang w:val="en-US"/>
        </w:rPr>
        <w:t>A</w:t>
      </w:r>
      <w:r w:rsidR="001C12F3" w:rsidRPr="00961CFE">
        <w:rPr>
          <w:rFonts w:ascii="Times New Roman" w:hAnsi="Times New Roman" w:cs="David"/>
          <w:sz w:val="24"/>
          <w:szCs w:val="24"/>
          <w:lang w:val="en-US"/>
        </w:rPr>
        <w:t>ntiquity</w:t>
      </w:r>
      <w:r>
        <w:rPr>
          <w:rFonts w:ascii="Times New Roman" w:hAnsi="Times New Roman" w:cs="David"/>
          <w:sz w:val="24"/>
          <w:szCs w:val="24"/>
          <w:lang w:val="en-US"/>
        </w:rPr>
        <w:t xml:space="preserve"> period</w:t>
      </w:r>
      <w:r w:rsidR="001C12F3" w:rsidRPr="00961CFE">
        <w:rPr>
          <w:rFonts w:ascii="Times New Roman" w:hAnsi="Times New Roman" w:cs="David"/>
          <w:sz w:val="24"/>
          <w:szCs w:val="24"/>
          <w:lang w:val="en-US"/>
        </w:rPr>
        <w:t>, around the rise of Christianity, when pagan texts and patristic polemics against pagans were beginning to be preserved, copied, and transmitted. Then</w:t>
      </w:r>
      <w:r w:rsidR="002B5D45">
        <w:rPr>
          <w:rFonts w:ascii="Times New Roman" w:hAnsi="Times New Roman" w:cs="David"/>
          <w:sz w:val="24"/>
          <w:szCs w:val="24"/>
          <w:lang w:val="en-US"/>
        </w:rPr>
        <w:t xml:space="preserve"> – </w:t>
      </w:r>
      <w:r w:rsidR="002B5D45">
        <w:rPr>
          <w:rFonts w:ascii="Times New Roman" w:hAnsi="Times New Roman" w:cs="David" w:hint="cs"/>
          <w:sz w:val="24"/>
          <w:szCs w:val="24"/>
          <w:rtl/>
          <w:lang w:val="en-US"/>
        </w:rPr>
        <w:t>תודות למפעל השימור הגדול שהתקיים באותה תקופה ובשנים שאחריה</w:t>
      </w:r>
      <w:r w:rsidR="002B5D45">
        <w:rPr>
          <w:rFonts w:ascii="Times New Roman" w:hAnsi="Times New Roman" w:cs="David"/>
          <w:sz w:val="24"/>
          <w:szCs w:val="24"/>
          <w:lang w:val="en-GB"/>
        </w:rPr>
        <w:t xml:space="preserve"> –</w:t>
      </w:r>
      <w:r w:rsidR="002B5D45">
        <w:rPr>
          <w:rFonts w:ascii="Times New Roman" w:hAnsi="Times New Roman" w:cs="David"/>
          <w:sz w:val="24"/>
          <w:szCs w:val="24"/>
          <w:lang w:val="en-US"/>
        </w:rPr>
        <w:t xml:space="preserve"> </w:t>
      </w:r>
      <w:r w:rsidR="001C12F3" w:rsidRPr="00961CFE">
        <w:rPr>
          <w:rFonts w:ascii="Times New Roman" w:hAnsi="Times New Roman" w:cs="David"/>
          <w:sz w:val="24"/>
          <w:szCs w:val="24"/>
          <w:lang w:val="en-US"/>
        </w:rPr>
        <w:t>we are once again treated to a wealth of evidence recording the</w:t>
      </w:r>
      <w:r>
        <w:rPr>
          <w:rFonts w:ascii="Times New Roman" w:hAnsi="Times New Roman" w:cs="David"/>
          <w:sz w:val="24"/>
          <w:szCs w:val="24"/>
          <w:lang w:val="en-US"/>
        </w:rPr>
        <w:t xml:space="preserve"> literary</w:t>
      </w:r>
      <w:r w:rsidR="001C12F3" w:rsidRPr="00961CFE">
        <w:rPr>
          <w:rFonts w:ascii="Times New Roman" w:hAnsi="Times New Roman" w:cs="David"/>
          <w:sz w:val="24"/>
          <w:szCs w:val="24"/>
          <w:lang w:val="en-US"/>
        </w:rPr>
        <w:t xml:space="preserve"> traditions of dying and rising gods that prevailed in the </w:t>
      </w:r>
      <w:proofErr w:type="spellStart"/>
      <w:r w:rsidR="001C12F3" w:rsidRPr="00961CFE">
        <w:rPr>
          <w:rFonts w:ascii="Times New Roman" w:hAnsi="Times New Roman" w:cs="David"/>
          <w:sz w:val="24"/>
          <w:szCs w:val="24"/>
          <w:lang w:val="en-US"/>
        </w:rPr>
        <w:t>Syro</w:t>
      </w:r>
      <w:proofErr w:type="spellEnd"/>
      <w:r w:rsidR="001C12F3" w:rsidRPr="00961CFE">
        <w:rPr>
          <w:rFonts w:ascii="Times New Roman" w:hAnsi="Times New Roman" w:cs="David"/>
          <w:sz w:val="24"/>
          <w:szCs w:val="24"/>
          <w:lang w:val="en-US"/>
        </w:rPr>
        <w:t>-Levantine region.</w:t>
      </w:r>
      <w:r w:rsidR="001C12F3" w:rsidRPr="001C12F3">
        <w:rPr>
          <w:rFonts w:asciiTheme="majorBidi" w:hAnsiTheme="majorBidi" w:cstheme="majorBidi"/>
        </w:rPr>
        <w:t xml:space="preserve"> </w:t>
      </w:r>
      <w:r w:rsidR="001C12F3" w:rsidRPr="001113E1">
        <w:rPr>
          <w:rFonts w:asciiTheme="majorBidi" w:hAnsiTheme="majorBidi" w:cstheme="majorBidi"/>
          <w:sz w:val="24"/>
          <w:szCs w:val="24"/>
        </w:rPr>
        <w:t xml:space="preserve">As we began with the patristic accounts of pagan practices in the </w:t>
      </w:r>
      <w:proofErr w:type="spellStart"/>
      <w:r w:rsidR="001C12F3" w:rsidRPr="001113E1">
        <w:rPr>
          <w:rFonts w:asciiTheme="majorBidi" w:hAnsiTheme="majorBidi" w:cstheme="majorBidi"/>
          <w:sz w:val="24"/>
          <w:szCs w:val="24"/>
        </w:rPr>
        <w:t>Syro</w:t>
      </w:r>
      <w:proofErr w:type="spellEnd"/>
      <w:r w:rsidR="001C12F3" w:rsidRPr="001113E1">
        <w:rPr>
          <w:rFonts w:asciiTheme="majorBidi" w:hAnsiTheme="majorBidi" w:cstheme="majorBidi"/>
          <w:sz w:val="24"/>
          <w:szCs w:val="24"/>
        </w:rPr>
        <w:t xml:space="preserve">-Levantine region, it would only be fitting to conclude with two examples from the accounts of pagans themselves attesting to their own customs and </w:t>
      </w:r>
      <w:r w:rsidR="001C12F3" w:rsidRPr="001113E1">
        <w:rPr>
          <w:rFonts w:asciiTheme="majorBidi" w:hAnsiTheme="majorBidi" w:cstheme="majorBidi"/>
          <w:sz w:val="24"/>
          <w:szCs w:val="24"/>
        </w:rPr>
        <w:lastRenderedPageBreak/>
        <w:t>literature. Lucian of Samosata (</w:t>
      </w:r>
      <w:r w:rsidR="001C12F3" w:rsidRPr="001113E1">
        <w:rPr>
          <w:rFonts w:asciiTheme="majorBidi" w:hAnsiTheme="majorBidi" w:cstheme="majorBidi"/>
          <w:sz w:val="24"/>
          <w:szCs w:val="24"/>
          <w:highlight w:val="yellow"/>
        </w:rPr>
        <w:t>c.125 – after 180 CE</w:t>
      </w:r>
      <w:r w:rsidR="001C12F3" w:rsidRPr="001113E1">
        <w:rPr>
          <w:rFonts w:asciiTheme="majorBidi" w:hAnsiTheme="majorBidi" w:cstheme="majorBidi"/>
          <w:sz w:val="24"/>
          <w:szCs w:val="24"/>
        </w:rPr>
        <w:t>) thus writes the following about the cult of Adonis in Byblos:</w:t>
      </w:r>
      <w:r w:rsidR="001113E1" w:rsidRPr="001113E1">
        <w:rPr>
          <w:rFonts w:ascii="Times New Roman" w:hAnsi="Times New Roman" w:cs="David"/>
          <w:sz w:val="24"/>
          <w:szCs w:val="24"/>
          <w:vertAlign w:val="superscript"/>
          <w:lang w:val="en-US"/>
        </w:rPr>
        <w:t xml:space="preserve"> </w:t>
      </w:r>
      <w:r w:rsidR="001113E1" w:rsidRPr="00961CFE">
        <w:rPr>
          <w:rFonts w:ascii="Times New Roman" w:hAnsi="Times New Roman" w:cs="David"/>
          <w:sz w:val="24"/>
          <w:szCs w:val="24"/>
          <w:vertAlign w:val="superscript"/>
          <w:lang w:val="en-US"/>
        </w:rPr>
        <w:footnoteReference w:id="14"/>
      </w:r>
    </w:p>
    <w:p w14:paraId="17E7D905" w14:textId="7734F398" w:rsidR="004803FE" w:rsidRPr="00120C3A" w:rsidRDefault="00120C3A" w:rsidP="001113E1">
      <w:pPr>
        <w:spacing w:after="0" w:line="480" w:lineRule="auto"/>
        <w:ind w:firstLine="567"/>
        <w:rPr>
          <w:rFonts w:asciiTheme="majorBidi" w:hAnsiTheme="majorBidi" w:cstheme="majorBidi"/>
          <w:sz w:val="24"/>
          <w:szCs w:val="24"/>
          <w:lang w:val="en-GB"/>
        </w:rPr>
      </w:pPr>
      <w:r w:rsidRPr="00120C3A">
        <w:rPr>
          <w:rFonts w:ascii="Times New Roman" w:hAnsi="Times New Roman" w:cs="David"/>
          <w:sz w:val="24"/>
          <w:szCs w:val="24"/>
          <w:highlight w:val="yellow"/>
          <w:lang w:val="en-GB"/>
        </w:rPr>
        <w:t>[citation]</w:t>
      </w:r>
    </w:p>
    <w:p w14:paraId="18C5982D" w14:textId="26CB545D" w:rsidR="009F7362" w:rsidRPr="001113E1" w:rsidRDefault="001113E1" w:rsidP="001113E1">
      <w:pPr>
        <w:spacing w:after="0" w:line="480" w:lineRule="auto"/>
        <w:ind w:firstLine="567"/>
        <w:rPr>
          <w:rFonts w:asciiTheme="majorBidi" w:hAnsiTheme="majorBidi" w:cstheme="majorBidi"/>
          <w:sz w:val="24"/>
          <w:szCs w:val="24"/>
        </w:rPr>
      </w:pPr>
      <w:r w:rsidRPr="001113E1">
        <w:rPr>
          <w:rFonts w:asciiTheme="majorBidi" w:hAnsiTheme="majorBidi" w:cstheme="majorBidi"/>
          <w:sz w:val="24"/>
          <w:szCs w:val="24"/>
        </w:rPr>
        <w:t xml:space="preserve">Likewise, </w:t>
      </w:r>
      <w:proofErr w:type="spellStart"/>
      <w:r w:rsidRPr="001113E1">
        <w:rPr>
          <w:rFonts w:asciiTheme="majorBidi" w:hAnsiTheme="majorBidi" w:cstheme="majorBidi"/>
          <w:sz w:val="24"/>
          <w:szCs w:val="24"/>
        </w:rPr>
        <w:t>Damascius</w:t>
      </w:r>
      <w:proofErr w:type="spellEnd"/>
      <w:r w:rsidRPr="001113E1">
        <w:rPr>
          <w:rFonts w:asciiTheme="majorBidi" w:hAnsiTheme="majorBidi" w:cstheme="majorBidi"/>
          <w:sz w:val="24"/>
          <w:szCs w:val="24"/>
        </w:rPr>
        <w:t xml:space="preserve"> (</w:t>
      </w:r>
      <w:r w:rsidRPr="001113E1">
        <w:rPr>
          <w:rFonts w:asciiTheme="majorBidi" w:hAnsiTheme="majorBidi" w:cstheme="majorBidi"/>
          <w:sz w:val="24"/>
          <w:szCs w:val="24"/>
          <w:highlight w:val="yellow"/>
          <w:lang w:val="en-GB"/>
        </w:rPr>
        <w:t>c. 458 – after 538 CE</w:t>
      </w:r>
      <w:r w:rsidRPr="001113E1">
        <w:rPr>
          <w:rFonts w:asciiTheme="majorBidi" w:hAnsiTheme="majorBidi" w:cstheme="majorBidi"/>
          <w:sz w:val="24"/>
          <w:szCs w:val="24"/>
        </w:rPr>
        <w:t xml:space="preserve">), the last scholar of the Neoplatonic academy in Athens, writes the following about the Phoenician </w:t>
      </w:r>
      <w:proofErr w:type="spellStart"/>
      <w:r w:rsidRPr="001113E1">
        <w:rPr>
          <w:rFonts w:asciiTheme="majorBidi" w:hAnsiTheme="majorBidi" w:cstheme="majorBidi"/>
          <w:sz w:val="24"/>
          <w:szCs w:val="24"/>
        </w:rPr>
        <w:t>Eshmun</w:t>
      </w:r>
      <w:proofErr w:type="spellEnd"/>
      <w:r w:rsidR="009F7362" w:rsidRPr="001113E1">
        <w:rPr>
          <w:rFonts w:asciiTheme="majorBidi" w:hAnsiTheme="majorBidi" w:cstheme="majorBidi"/>
          <w:sz w:val="24"/>
          <w:szCs w:val="24"/>
        </w:rPr>
        <w:t xml:space="preserve">: </w:t>
      </w:r>
    </w:p>
    <w:p w14:paraId="6F6BABD8" w14:textId="086F17C4" w:rsidR="009F7362" w:rsidRDefault="00120C3A" w:rsidP="009F7362">
      <w:pPr>
        <w:spacing w:after="0" w:line="480" w:lineRule="auto"/>
        <w:ind w:left="567"/>
        <w:rPr>
          <w:rFonts w:ascii="Times New Roman" w:hAnsi="Times New Roman" w:cs="David"/>
          <w:sz w:val="24"/>
          <w:szCs w:val="24"/>
          <w:lang w:val="en-US"/>
        </w:rPr>
      </w:pPr>
      <w:r w:rsidRPr="00120C3A">
        <w:rPr>
          <w:rFonts w:ascii="Times New Roman" w:hAnsi="Times New Roman" w:cs="David"/>
          <w:sz w:val="24"/>
          <w:szCs w:val="24"/>
          <w:highlight w:val="yellow"/>
          <w:lang w:val="en-GB"/>
        </w:rPr>
        <w:t>[citation]</w:t>
      </w:r>
    </w:p>
    <w:p w14:paraId="5C722136" w14:textId="66DE5006" w:rsidR="009F7362" w:rsidRDefault="009F7362" w:rsidP="001C12F3">
      <w:pPr>
        <w:bidi/>
        <w:spacing w:after="0" w:line="480" w:lineRule="auto"/>
        <w:rPr>
          <w:rFonts w:ascii="Times New Roman" w:hAnsi="Times New Roman" w:cs="David"/>
          <w:sz w:val="24"/>
          <w:szCs w:val="24"/>
          <w:rtl/>
          <w:lang w:val="en-US"/>
        </w:rPr>
      </w:pPr>
    </w:p>
    <w:p w14:paraId="01AD1F83" w14:textId="1831278A" w:rsidR="00961CFE" w:rsidRPr="001113E1" w:rsidRDefault="00724229" w:rsidP="009F7362">
      <w:pPr>
        <w:spacing w:after="0" w:line="480" w:lineRule="auto"/>
        <w:rPr>
          <w:rFonts w:ascii="Times New Roman" w:hAnsi="Times New Roman" w:cs="David"/>
          <w:sz w:val="24"/>
          <w:szCs w:val="24"/>
          <w:rtl/>
          <w:lang w:val="en-GB"/>
        </w:rPr>
      </w:pPr>
      <w:r>
        <w:rPr>
          <w:rFonts w:ascii="Times New Roman" w:hAnsi="Times New Roman" w:cs="David"/>
          <w:sz w:val="24"/>
          <w:szCs w:val="24"/>
          <w:lang w:val="en-US"/>
        </w:rPr>
        <w:t>With t</w:t>
      </w:r>
      <w:r w:rsidR="005B1641">
        <w:rPr>
          <w:rFonts w:ascii="Times New Roman" w:hAnsi="Times New Roman" w:cs="David"/>
          <w:sz w:val="24"/>
          <w:szCs w:val="24"/>
          <w:lang w:val="en-US"/>
        </w:rPr>
        <w:t>h</w:t>
      </w:r>
      <w:r>
        <w:rPr>
          <w:rFonts w:ascii="Times New Roman" w:hAnsi="Times New Roman" w:cs="David"/>
          <w:sz w:val="24"/>
          <w:szCs w:val="24"/>
          <w:lang w:val="en-US"/>
        </w:rPr>
        <w:t>e</w:t>
      </w:r>
      <w:r w:rsidR="005B1641">
        <w:rPr>
          <w:rFonts w:ascii="Times New Roman" w:hAnsi="Times New Roman" w:cs="David"/>
          <w:sz w:val="24"/>
          <w:szCs w:val="24"/>
          <w:lang w:val="en-US"/>
        </w:rPr>
        <w:t>s</w:t>
      </w:r>
      <w:r>
        <w:rPr>
          <w:rFonts w:ascii="Times New Roman" w:hAnsi="Times New Roman" w:cs="David"/>
          <w:sz w:val="24"/>
          <w:szCs w:val="24"/>
          <w:lang w:val="en-US"/>
        </w:rPr>
        <w:t>e</w:t>
      </w:r>
      <w:r w:rsidR="005B1641">
        <w:rPr>
          <w:rFonts w:ascii="Times New Roman" w:hAnsi="Times New Roman" w:cs="David"/>
          <w:sz w:val="24"/>
          <w:szCs w:val="24"/>
          <w:lang w:val="en-US"/>
        </w:rPr>
        <w:t xml:space="preserve"> </w:t>
      </w:r>
      <w:r>
        <w:rPr>
          <w:rFonts w:ascii="Times New Roman" w:hAnsi="Times New Roman" w:cs="David"/>
          <w:sz w:val="24"/>
          <w:szCs w:val="24"/>
          <w:lang w:val="en-US"/>
        </w:rPr>
        <w:t xml:space="preserve">pagan </w:t>
      </w:r>
      <w:r w:rsidR="005B1641">
        <w:rPr>
          <w:rFonts w:ascii="Times New Roman" w:hAnsi="Times New Roman" w:cs="David"/>
          <w:sz w:val="24"/>
          <w:szCs w:val="24"/>
          <w:lang w:val="en-US"/>
        </w:rPr>
        <w:t>writings</w:t>
      </w:r>
      <w:r>
        <w:rPr>
          <w:rFonts w:ascii="Times New Roman" w:hAnsi="Times New Roman" w:cs="David"/>
          <w:sz w:val="24"/>
          <w:szCs w:val="24"/>
          <w:lang w:val="en-US"/>
        </w:rPr>
        <w:t>,</w:t>
      </w:r>
      <w:r w:rsidR="005B1641">
        <w:rPr>
          <w:rFonts w:ascii="Times New Roman" w:hAnsi="Times New Roman" w:cs="David"/>
          <w:sz w:val="24"/>
          <w:szCs w:val="24"/>
          <w:lang w:val="en-US"/>
        </w:rPr>
        <w:t xml:space="preserve"> our survey of</w:t>
      </w:r>
      <w:r w:rsidR="00111026">
        <w:rPr>
          <w:rFonts w:ascii="Times New Roman" w:hAnsi="Times New Roman" w:cs="David"/>
          <w:sz w:val="24"/>
          <w:szCs w:val="24"/>
          <w:lang w:val="en-US"/>
        </w:rPr>
        <w:t xml:space="preserve"> </w:t>
      </w:r>
      <w:r w:rsidR="005B1641">
        <w:rPr>
          <w:rFonts w:ascii="Times New Roman" w:hAnsi="Times New Roman" w:cs="David"/>
          <w:sz w:val="24"/>
          <w:szCs w:val="24"/>
          <w:lang w:val="en-US"/>
        </w:rPr>
        <w:t>the mythologem</w:t>
      </w:r>
      <w:r w:rsidR="00111026">
        <w:rPr>
          <w:rFonts w:ascii="Times New Roman" w:hAnsi="Times New Roman" w:cs="David"/>
          <w:sz w:val="24"/>
          <w:szCs w:val="24"/>
          <w:lang w:val="en-US"/>
        </w:rPr>
        <w:t xml:space="preserve"> of </w:t>
      </w:r>
      <w:r w:rsidR="005B1641">
        <w:rPr>
          <w:rFonts w:ascii="Times New Roman" w:hAnsi="Times New Roman" w:cs="David"/>
          <w:sz w:val="24"/>
          <w:szCs w:val="24"/>
          <w:lang w:val="en-US"/>
        </w:rPr>
        <w:t xml:space="preserve">the </w:t>
      </w:r>
      <w:r w:rsidR="00111026">
        <w:rPr>
          <w:rFonts w:ascii="Times New Roman" w:hAnsi="Times New Roman" w:cs="David"/>
          <w:sz w:val="24"/>
          <w:szCs w:val="24"/>
          <w:lang w:val="en-US"/>
        </w:rPr>
        <w:t>‘dying and rising god’ in the Levant</w:t>
      </w:r>
      <w:r>
        <w:rPr>
          <w:rFonts w:ascii="Times New Roman" w:hAnsi="Times New Roman" w:cs="David"/>
          <w:sz w:val="24"/>
          <w:szCs w:val="24"/>
          <w:lang w:val="en-US"/>
        </w:rPr>
        <w:t xml:space="preserve"> can be completed</w:t>
      </w:r>
      <w:r w:rsidR="00111026">
        <w:rPr>
          <w:rFonts w:ascii="Times New Roman" w:hAnsi="Times New Roman" w:cs="David"/>
          <w:sz w:val="24"/>
          <w:szCs w:val="24"/>
          <w:lang w:val="en-US"/>
        </w:rPr>
        <w:t xml:space="preserve">, </w:t>
      </w:r>
      <w:r>
        <w:rPr>
          <w:rFonts w:ascii="Times New Roman" w:hAnsi="Times New Roman" w:cs="David"/>
          <w:sz w:val="24"/>
          <w:szCs w:val="24"/>
          <w:lang w:val="en-US"/>
        </w:rPr>
        <w:t xml:space="preserve">as well as </w:t>
      </w:r>
      <w:r w:rsidR="001113E1">
        <w:rPr>
          <w:rFonts w:ascii="Times New Roman" w:hAnsi="Times New Roman" w:cs="David"/>
          <w:sz w:val="24"/>
          <w:szCs w:val="24"/>
          <w:lang w:val="en-US"/>
        </w:rPr>
        <w:t>the</w:t>
      </w:r>
      <w:r w:rsidR="001A38BD">
        <w:rPr>
          <w:rFonts w:ascii="Times New Roman" w:hAnsi="Times New Roman" w:cs="David"/>
          <w:sz w:val="24"/>
          <w:szCs w:val="24"/>
          <w:lang w:val="en-US"/>
        </w:rPr>
        <w:t xml:space="preserve"> survey of the</w:t>
      </w:r>
      <w:r w:rsidR="001113E1">
        <w:rPr>
          <w:rFonts w:ascii="Times New Roman" w:hAnsi="Times New Roman" w:cs="David"/>
          <w:sz w:val="24"/>
          <w:szCs w:val="24"/>
          <w:lang w:val="en-US"/>
        </w:rPr>
        <w:t xml:space="preserve"> </w:t>
      </w:r>
      <w:r w:rsidR="00111026">
        <w:rPr>
          <w:rFonts w:ascii="Times New Roman" w:hAnsi="Times New Roman" w:cs="David"/>
          <w:sz w:val="24"/>
          <w:szCs w:val="24"/>
          <w:lang w:val="en-US"/>
        </w:rPr>
        <w:t>hi</w:t>
      </w:r>
      <w:r w:rsidR="001113E1">
        <w:rPr>
          <w:rFonts w:ascii="Times New Roman" w:hAnsi="Times New Roman" w:cs="David"/>
          <w:sz w:val="24"/>
          <w:szCs w:val="24"/>
          <w:lang w:val="en-US"/>
        </w:rPr>
        <w:t>story of research</w:t>
      </w:r>
      <w:r w:rsidR="00111026">
        <w:rPr>
          <w:rFonts w:ascii="Times New Roman" w:hAnsi="Times New Roman" w:cs="David"/>
          <w:sz w:val="24"/>
          <w:szCs w:val="24"/>
          <w:lang w:val="en-US"/>
        </w:rPr>
        <w:t xml:space="preserve"> regarding </w:t>
      </w:r>
      <w:r w:rsidR="000D1255">
        <w:rPr>
          <w:rFonts w:ascii="Times New Roman" w:hAnsi="Times New Roman" w:cs="David"/>
          <w:sz w:val="24"/>
          <w:szCs w:val="24"/>
          <w:lang w:val="en-US"/>
        </w:rPr>
        <w:t>the ‘dying and rising gods</w:t>
      </w:r>
      <w:r w:rsidR="005B1641">
        <w:rPr>
          <w:rFonts w:ascii="Times New Roman" w:hAnsi="Times New Roman" w:cs="David"/>
          <w:sz w:val="24"/>
          <w:szCs w:val="24"/>
          <w:lang w:val="en-US"/>
        </w:rPr>
        <w:t>.</w:t>
      </w:r>
      <w:r w:rsidR="001A38BD">
        <w:rPr>
          <w:rFonts w:ascii="Times New Roman" w:hAnsi="Times New Roman" w:cs="David"/>
          <w:sz w:val="24"/>
          <w:szCs w:val="24"/>
          <w:lang w:val="en-US"/>
        </w:rPr>
        <w:t>’</w:t>
      </w:r>
      <w:r w:rsidR="001113E1">
        <w:rPr>
          <w:rFonts w:ascii="Times New Roman" w:hAnsi="Times New Roman" w:cs="David"/>
          <w:sz w:val="24"/>
          <w:szCs w:val="24"/>
          <w:lang w:val="en-US"/>
        </w:rPr>
        <w:t xml:space="preserve"> </w:t>
      </w:r>
      <w:r>
        <w:rPr>
          <w:rFonts w:ascii="Times New Roman" w:hAnsi="Times New Roman" w:cs="David"/>
          <w:sz w:val="24"/>
          <w:szCs w:val="24"/>
          <w:lang w:val="en-US"/>
        </w:rPr>
        <w:t>A</w:t>
      </w:r>
      <w:r w:rsidR="000D1255">
        <w:rPr>
          <w:rFonts w:ascii="Times New Roman" w:hAnsi="Times New Roman" w:cs="David"/>
          <w:sz w:val="24"/>
          <w:szCs w:val="24"/>
          <w:lang w:val="en-US"/>
        </w:rPr>
        <w:t>fter all, a</w:t>
      </w:r>
      <w:r>
        <w:rPr>
          <w:rFonts w:ascii="Times New Roman" w:hAnsi="Times New Roman" w:cs="David"/>
          <w:sz w:val="24"/>
          <w:szCs w:val="24"/>
          <w:lang w:val="en-US"/>
        </w:rPr>
        <w:t>long with the writings</w:t>
      </w:r>
      <w:r w:rsidR="001113E1">
        <w:rPr>
          <w:rFonts w:ascii="Times New Roman" w:hAnsi="Times New Roman" w:cs="David"/>
          <w:sz w:val="24"/>
          <w:szCs w:val="24"/>
          <w:lang w:val="en-US"/>
        </w:rPr>
        <w:t xml:space="preserve"> of</w:t>
      </w:r>
      <w:r w:rsidR="009F7362">
        <w:rPr>
          <w:rFonts w:ascii="Times New Roman" w:hAnsi="Times New Roman" w:cs="David"/>
          <w:sz w:val="24"/>
          <w:szCs w:val="24"/>
          <w:lang w:val="en-US"/>
        </w:rPr>
        <w:t xml:space="preserve"> </w:t>
      </w:r>
      <w:r w:rsidR="00961CFE" w:rsidRPr="00961CFE">
        <w:rPr>
          <w:rFonts w:ascii="Times New Roman" w:hAnsi="Times New Roman" w:cs="David"/>
          <w:sz w:val="24"/>
          <w:szCs w:val="24"/>
          <w:lang w:val="en-US"/>
        </w:rPr>
        <w:t>Origen, Jerome, Cyril</w:t>
      </w:r>
      <w:r w:rsidR="000D1255">
        <w:rPr>
          <w:rFonts w:ascii="Times New Roman" w:hAnsi="Times New Roman" w:cs="David"/>
          <w:sz w:val="24"/>
          <w:szCs w:val="24"/>
          <w:lang w:val="en-US"/>
        </w:rPr>
        <w:t>,</w:t>
      </w:r>
      <w:r w:rsidR="00961CFE" w:rsidRPr="00961CFE">
        <w:rPr>
          <w:rFonts w:ascii="Times New Roman" w:hAnsi="Times New Roman" w:cs="David"/>
          <w:sz w:val="24"/>
          <w:szCs w:val="24"/>
          <w:lang w:val="en-US"/>
        </w:rPr>
        <w:t xml:space="preserve"> Aristides</w:t>
      </w:r>
      <w:r>
        <w:rPr>
          <w:rFonts w:ascii="Times New Roman" w:hAnsi="Times New Roman" w:cs="David"/>
          <w:sz w:val="24"/>
          <w:szCs w:val="24"/>
          <w:lang w:val="en-US"/>
        </w:rPr>
        <w:t xml:space="preserve"> </w:t>
      </w:r>
      <w:r w:rsidR="001A38BD">
        <w:rPr>
          <w:rFonts w:ascii="Times New Roman" w:hAnsi="Times New Roman" w:cs="David"/>
          <w:sz w:val="24"/>
          <w:szCs w:val="24"/>
          <w:lang w:val="en-US"/>
        </w:rPr>
        <w:t>which open</w:t>
      </w:r>
      <w:r w:rsidR="001E1B74">
        <w:rPr>
          <w:rFonts w:ascii="Times New Roman" w:hAnsi="Times New Roman" w:cs="David"/>
          <w:sz w:val="24"/>
          <w:szCs w:val="24"/>
          <w:lang w:val="en-US"/>
        </w:rPr>
        <w:t>ed</w:t>
      </w:r>
      <w:r w:rsidR="001A38BD">
        <w:rPr>
          <w:rFonts w:ascii="Times New Roman" w:hAnsi="Times New Roman" w:cs="David"/>
          <w:sz w:val="24"/>
          <w:szCs w:val="24"/>
          <w:lang w:val="en-US"/>
        </w:rPr>
        <w:t xml:space="preserve"> the present research</w:t>
      </w:r>
      <w:r>
        <w:rPr>
          <w:rFonts w:ascii="Times New Roman" w:hAnsi="Times New Roman" w:cs="David"/>
          <w:sz w:val="24"/>
          <w:szCs w:val="24"/>
          <w:lang w:val="en-US"/>
        </w:rPr>
        <w:t>, these</w:t>
      </w:r>
      <w:r w:rsidR="001A38BD">
        <w:rPr>
          <w:rFonts w:ascii="Times New Roman" w:hAnsi="Times New Roman" w:cs="David"/>
          <w:sz w:val="24"/>
          <w:szCs w:val="24"/>
          <w:lang w:val="en-US"/>
        </w:rPr>
        <w:t xml:space="preserve"> pagan</w:t>
      </w:r>
      <w:r>
        <w:rPr>
          <w:rFonts w:ascii="Times New Roman" w:hAnsi="Times New Roman" w:cs="David"/>
          <w:sz w:val="24"/>
          <w:szCs w:val="24"/>
          <w:lang w:val="en-US"/>
        </w:rPr>
        <w:t xml:space="preserve"> </w:t>
      </w:r>
      <w:r w:rsidR="001E1B74">
        <w:rPr>
          <w:rFonts w:ascii="Times New Roman" w:hAnsi="Times New Roman" w:cs="David"/>
          <w:sz w:val="24"/>
          <w:szCs w:val="24"/>
          <w:lang w:val="en-US"/>
        </w:rPr>
        <w:t>writing</w:t>
      </w:r>
      <w:r>
        <w:rPr>
          <w:rFonts w:ascii="Times New Roman" w:hAnsi="Times New Roman" w:cs="David"/>
          <w:sz w:val="24"/>
          <w:szCs w:val="24"/>
          <w:lang w:val="en-US"/>
        </w:rPr>
        <w:t>s</w:t>
      </w:r>
      <w:r w:rsidR="001113E1">
        <w:rPr>
          <w:rFonts w:ascii="Times New Roman" w:hAnsi="Times New Roman" w:cs="David"/>
          <w:sz w:val="24"/>
          <w:szCs w:val="24"/>
          <w:lang w:val="en-US"/>
        </w:rPr>
        <w:t xml:space="preserve"> </w:t>
      </w:r>
      <w:r w:rsidR="00961CFE" w:rsidRPr="00961CFE">
        <w:rPr>
          <w:rFonts w:ascii="Times New Roman" w:hAnsi="Times New Roman" w:cs="David"/>
          <w:sz w:val="24"/>
          <w:szCs w:val="24"/>
          <w:lang w:val="en-US"/>
        </w:rPr>
        <w:t xml:space="preserve">are the very same that led </w:t>
      </w:r>
      <w:r w:rsidR="001113E1">
        <w:rPr>
          <w:rFonts w:ascii="Times New Roman" w:hAnsi="Times New Roman" w:cs="David"/>
          <w:sz w:val="24"/>
          <w:szCs w:val="24"/>
          <w:lang w:val="en-US"/>
        </w:rPr>
        <w:t xml:space="preserve">James </w:t>
      </w:r>
      <w:r w:rsidR="00961CFE" w:rsidRPr="00961CFE">
        <w:rPr>
          <w:rFonts w:ascii="Times New Roman" w:hAnsi="Times New Roman" w:cs="David"/>
          <w:sz w:val="24"/>
          <w:szCs w:val="24"/>
          <w:lang w:val="en-US"/>
        </w:rPr>
        <w:t xml:space="preserve">Frazer and his predecessors to </w:t>
      </w:r>
      <w:r>
        <w:rPr>
          <w:rFonts w:ascii="Times New Roman" w:hAnsi="Times New Roman" w:cs="David"/>
          <w:sz w:val="24"/>
          <w:szCs w:val="24"/>
          <w:lang w:val="en-US"/>
        </w:rPr>
        <w:t>speculate</w:t>
      </w:r>
      <w:r w:rsidR="00111026">
        <w:rPr>
          <w:rFonts w:ascii="Times New Roman" w:hAnsi="Times New Roman" w:cs="David"/>
          <w:sz w:val="24"/>
          <w:szCs w:val="24"/>
          <w:lang w:val="en-US"/>
        </w:rPr>
        <w:t xml:space="preserve"> </w:t>
      </w:r>
      <w:r w:rsidR="00961CFE" w:rsidRPr="00961CFE">
        <w:rPr>
          <w:rFonts w:ascii="Times New Roman" w:hAnsi="Times New Roman" w:cs="David"/>
          <w:sz w:val="24"/>
          <w:szCs w:val="24"/>
          <w:lang w:val="en-US"/>
        </w:rPr>
        <w:t>that the mythologem of the dying and rising god was shared by</w:t>
      </w:r>
      <w:r w:rsidR="00961CFE" w:rsidRPr="00961CFE" w:rsidDel="002076E2">
        <w:rPr>
          <w:rFonts w:ascii="Times New Roman" w:hAnsi="Times New Roman" w:cs="David"/>
          <w:i/>
          <w:iCs/>
          <w:sz w:val="24"/>
          <w:szCs w:val="24"/>
          <w:lang w:val="en-US"/>
        </w:rPr>
        <w:t xml:space="preserve"> </w:t>
      </w:r>
      <w:r w:rsidR="00961CFE" w:rsidRPr="00961CFE">
        <w:rPr>
          <w:rFonts w:ascii="Times New Roman" w:hAnsi="Times New Roman" w:cs="David"/>
          <w:i/>
          <w:iCs/>
          <w:sz w:val="24"/>
          <w:szCs w:val="24"/>
          <w:lang w:val="en-US"/>
        </w:rPr>
        <w:t>all</w:t>
      </w:r>
      <w:r w:rsidR="00961CFE" w:rsidRPr="00961CFE">
        <w:rPr>
          <w:rFonts w:ascii="Times New Roman" w:hAnsi="Times New Roman" w:cs="David"/>
          <w:sz w:val="24"/>
          <w:szCs w:val="24"/>
          <w:lang w:val="en-US"/>
        </w:rPr>
        <w:t xml:space="preserve"> the peoples of the ancient Near East</w:t>
      </w:r>
      <w:r w:rsidR="00FB7B7E">
        <w:rPr>
          <w:rFonts w:ascii="Times New Roman" w:hAnsi="Times New Roman" w:cs="David"/>
          <w:sz w:val="24"/>
          <w:szCs w:val="24"/>
          <w:lang w:val="en-US"/>
        </w:rPr>
        <w:t xml:space="preserve"> f</w:t>
      </w:r>
      <w:r w:rsidR="00111026">
        <w:rPr>
          <w:rFonts w:ascii="Times New Roman" w:hAnsi="Times New Roman" w:cs="David"/>
          <w:sz w:val="24"/>
          <w:szCs w:val="24"/>
          <w:lang w:val="en-US"/>
        </w:rPr>
        <w:t>rom</w:t>
      </w:r>
      <w:r w:rsidR="00FB7B7E">
        <w:rPr>
          <w:rFonts w:ascii="Times New Roman" w:hAnsi="Times New Roman" w:cs="David"/>
          <w:sz w:val="24"/>
          <w:szCs w:val="24"/>
          <w:lang w:val="en-US"/>
        </w:rPr>
        <w:t xml:space="preserve"> day longs</w:t>
      </w:r>
      <w:r w:rsidR="00961CFE" w:rsidRPr="00961CFE">
        <w:rPr>
          <w:rFonts w:ascii="Times New Roman" w:hAnsi="Times New Roman" w:cs="David"/>
          <w:sz w:val="24"/>
          <w:szCs w:val="24"/>
          <w:lang w:val="en-US"/>
        </w:rPr>
        <w:t>.</w:t>
      </w:r>
    </w:p>
    <w:p w14:paraId="62D9FC6E" w14:textId="77777777" w:rsidR="00961CFE" w:rsidRDefault="00961CFE"/>
    <w:sectPr w:rsidR="00961C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C4490" w14:textId="77777777" w:rsidR="00D55177" w:rsidRDefault="00D55177" w:rsidP="00961CFE">
      <w:pPr>
        <w:spacing w:after="0" w:line="240" w:lineRule="auto"/>
      </w:pPr>
      <w:r>
        <w:separator/>
      </w:r>
    </w:p>
  </w:endnote>
  <w:endnote w:type="continuationSeparator" w:id="0">
    <w:p w14:paraId="5B0201D3" w14:textId="77777777" w:rsidR="00D55177" w:rsidRDefault="00D55177" w:rsidP="00961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AE359" w14:textId="77777777" w:rsidR="00D55177" w:rsidRDefault="00D55177" w:rsidP="00961CFE">
      <w:pPr>
        <w:spacing w:after="0" w:line="240" w:lineRule="auto"/>
      </w:pPr>
      <w:r>
        <w:separator/>
      </w:r>
    </w:p>
  </w:footnote>
  <w:footnote w:type="continuationSeparator" w:id="0">
    <w:p w14:paraId="1C690D3F" w14:textId="77777777" w:rsidR="00D55177" w:rsidRDefault="00D55177" w:rsidP="00961CFE">
      <w:pPr>
        <w:spacing w:after="0" w:line="240" w:lineRule="auto"/>
      </w:pPr>
      <w:r>
        <w:continuationSeparator/>
      </w:r>
    </w:p>
  </w:footnote>
  <w:footnote w:id="1">
    <w:p w14:paraId="0E6FD87A" w14:textId="4953E3CA" w:rsidR="00D46490" w:rsidRPr="002A517F" w:rsidRDefault="00D46490" w:rsidP="00FB7A6C">
      <w:pPr>
        <w:autoSpaceDE w:val="0"/>
        <w:autoSpaceDN w:val="0"/>
        <w:adjustRightInd w:val="0"/>
        <w:spacing w:after="0" w:line="360" w:lineRule="auto"/>
        <w:rPr>
          <w:rFonts w:ascii="Times New Roman" w:hAnsi="Times New Roman" w:cs="David"/>
          <w:sz w:val="20"/>
          <w:szCs w:val="20"/>
          <w:rtl/>
          <w:lang w:val="en-GB"/>
        </w:rPr>
      </w:pPr>
      <w:r w:rsidRPr="00FB7A6C">
        <w:rPr>
          <w:rStyle w:val="FootnoteReference"/>
          <w:rFonts w:ascii="Times New Roman" w:hAnsi="Times New Roman" w:cs="David"/>
          <w:sz w:val="20"/>
          <w:szCs w:val="20"/>
        </w:rPr>
        <w:footnoteRef/>
      </w:r>
      <w:r w:rsidRPr="00FB7A6C">
        <w:rPr>
          <w:rFonts w:ascii="Times New Roman" w:hAnsi="Times New Roman" w:cs="David"/>
          <w:sz w:val="20"/>
          <w:szCs w:val="20"/>
        </w:rPr>
        <w:t xml:space="preserve"> Isa. 17:10-11 </w:t>
      </w:r>
      <w:r w:rsidRPr="00FB7A6C">
        <w:rPr>
          <w:rFonts w:ascii="Times New Roman" w:hAnsi="Times New Roman" w:cs="David"/>
          <w:sz w:val="20"/>
          <w:szCs w:val="20"/>
          <w:lang w:val="en-GB"/>
        </w:rPr>
        <w:t>is often mentioned</w:t>
      </w:r>
      <w:r w:rsidRPr="00FB7A6C">
        <w:rPr>
          <w:rFonts w:ascii="Times New Roman" w:hAnsi="Times New Roman" w:cs="David"/>
          <w:sz w:val="20"/>
          <w:szCs w:val="20"/>
        </w:rPr>
        <w:t xml:space="preserve"> as </w:t>
      </w:r>
      <w:r w:rsidRPr="00FB7A6C">
        <w:rPr>
          <w:rFonts w:ascii="Times New Roman" w:hAnsi="Times New Roman" w:cs="David"/>
          <w:sz w:val="20"/>
          <w:szCs w:val="20"/>
          <w:lang w:val="en-GB"/>
        </w:rPr>
        <w:t xml:space="preserve">one of a very few </w:t>
      </w:r>
      <w:r w:rsidR="002A517F">
        <w:rPr>
          <w:rFonts w:ascii="Times New Roman" w:hAnsi="Times New Roman" w:cs="David"/>
          <w:sz w:val="20"/>
          <w:szCs w:val="20"/>
          <w:lang w:val="en-GB"/>
        </w:rPr>
        <w:t xml:space="preserve">exceptions </w:t>
      </w:r>
      <w:r w:rsidRPr="00FB7A6C">
        <w:rPr>
          <w:rFonts w:ascii="Times New Roman" w:hAnsi="Times New Roman" w:cs="David"/>
          <w:sz w:val="20"/>
          <w:szCs w:val="20"/>
        </w:rPr>
        <w:t xml:space="preserve">referring to a resurrection rite, due to the ritual of </w:t>
      </w:r>
      <w:r w:rsidRPr="00FB7A6C">
        <w:rPr>
          <w:rFonts w:ascii="Times New Roman" w:hAnsi="Times New Roman" w:cs="David" w:hint="cs"/>
          <w:sz w:val="20"/>
          <w:szCs w:val="20"/>
          <w:rtl/>
        </w:rPr>
        <w:t>נטעי נעמנים</w:t>
      </w:r>
      <w:r w:rsidRPr="00FB7A6C">
        <w:rPr>
          <w:rFonts w:ascii="Times New Roman" w:hAnsi="Times New Roman" w:cs="David"/>
          <w:sz w:val="20"/>
          <w:szCs w:val="20"/>
          <w:lang w:val="en-GB"/>
        </w:rPr>
        <w:t xml:space="preserve"> </w:t>
      </w:r>
      <w:r w:rsidRPr="00FB7A6C">
        <w:rPr>
          <w:rFonts w:ascii="Times New Roman" w:hAnsi="Times New Roman" w:cs="David"/>
          <w:sz w:val="20"/>
          <w:szCs w:val="20"/>
        </w:rPr>
        <w:t xml:space="preserve">“planting of </w:t>
      </w:r>
      <w:proofErr w:type="spellStart"/>
      <w:r w:rsidRPr="00FB7A6C">
        <w:rPr>
          <w:rFonts w:ascii="Times New Roman" w:hAnsi="Times New Roman" w:cs="David"/>
          <w:sz w:val="20"/>
          <w:szCs w:val="20"/>
        </w:rPr>
        <w:t>Naamanim</w:t>
      </w:r>
      <w:proofErr w:type="spellEnd"/>
      <w:r w:rsidRPr="00FB7A6C">
        <w:rPr>
          <w:rFonts w:ascii="Times New Roman" w:hAnsi="Times New Roman" w:cs="David"/>
          <w:sz w:val="20"/>
          <w:szCs w:val="20"/>
        </w:rPr>
        <w:t>,” occurring there</w:t>
      </w:r>
      <w:r w:rsidR="00DD367D">
        <w:rPr>
          <w:rFonts w:ascii="Times New Roman" w:hAnsi="Times New Roman" w:cs="David"/>
          <w:sz w:val="20"/>
          <w:szCs w:val="20"/>
          <w:lang w:val="en-GB"/>
        </w:rPr>
        <w:t>.</w:t>
      </w:r>
      <w:r w:rsidRPr="00FB7A6C">
        <w:rPr>
          <w:rFonts w:ascii="Times New Roman" w:hAnsi="Times New Roman" w:cs="David"/>
          <w:sz w:val="20"/>
          <w:szCs w:val="20"/>
        </w:rPr>
        <w:t xml:space="preserve"> </w:t>
      </w:r>
      <w:r w:rsidR="002A517F">
        <w:rPr>
          <w:rFonts w:ascii="Times New Roman" w:hAnsi="Times New Roman" w:cs="David"/>
          <w:sz w:val="20"/>
          <w:szCs w:val="20"/>
          <w:lang w:val="en-GB"/>
        </w:rPr>
        <w:t xml:space="preserve">For an additional example, which </w:t>
      </w:r>
      <w:r w:rsidR="00FE4ABE">
        <w:rPr>
          <w:rFonts w:ascii="Times New Roman" w:hAnsi="Times New Roman" w:cs="David"/>
          <w:sz w:val="20"/>
          <w:szCs w:val="20"/>
          <w:lang w:val="en-GB"/>
        </w:rPr>
        <w:t>usually are missing from review as such,</w:t>
      </w:r>
      <w:r w:rsidR="002A517F">
        <w:rPr>
          <w:rFonts w:ascii="Times New Roman" w:hAnsi="Times New Roman" w:cs="David"/>
          <w:sz w:val="20"/>
          <w:szCs w:val="20"/>
          <w:lang w:val="en-GB"/>
        </w:rPr>
        <w:t xml:space="preserve"> see below.</w:t>
      </w:r>
    </w:p>
  </w:footnote>
  <w:footnote w:id="2">
    <w:p w14:paraId="060DA88E" w14:textId="14BCC514" w:rsidR="00E253C2" w:rsidRPr="00FB7A6C" w:rsidRDefault="00E253C2" w:rsidP="00FB7A6C">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p>
  </w:footnote>
  <w:footnote w:id="3">
    <w:p w14:paraId="2B31A7D9" w14:textId="3852A050" w:rsidR="001E75D5" w:rsidRPr="00FB7A6C" w:rsidRDefault="001E75D5" w:rsidP="00D63C99">
      <w:pPr>
        <w:pStyle w:val="FootnoteText"/>
        <w:bidi/>
        <w:spacing w:line="360" w:lineRule="auto"/>
        <w:rPr>
          <w:rFonts w:ascii="Times New Roman" w:hAnsi="Times New Roman" w:cs="David"/>
          <w:rtl/>
        </w:rPr>
      </w:pPr>
      <w:r w:rsidRPr="00FB7A6C">
        <w:rPr>
          <w:rStyle w:val="FootnoteReference"/>
          <w:rFonts w:ascii="Times New Roman" w:hAnsi="Times New Roman" w:cs="David"/>
        </w:rPr>
        <w:footnoteRef/>
      </w:r>
      <w:r w:rsidRPr="00FB7A6C">
        <w:rPr>
          <w:rFonts w:ascii="Times New Roman" w:hAnsi="Times New Roman" w:cs="David"/>
        </w:rPr>
        <w:t xml:space="preserve"> </w:t>
      </w:r>
      <w:r w:rsidRPr="00FB7A6C">
        <w:rPr>
          <w:rFonts w:ascii="Times New Roman" w:hAnsi="Times New Roman" w:cs="David" w:hint="cs"/>
          <w:rtl/>
        </w:rPr>
        <w:t xml:space="preserve">להתייחסויות המקראיות למותם של אלים זרים, </w:t>
      </w:r>
      <w:r w:rsidR="00D63C99">
        <w:rPr>
          <w:rFonts w:ascii="Times New Roman" w:hAnsi="Times New Roman" w:cs="David"/>
        </w:rPr>
        <w:t>Tammuz and Hadad-</w:t>
      </w:r>
      <w:proofErr w:type="spellStart"/>
      <w:r w:rsidR="00D63C99">
        <w:rPr>
          <w:rFonts w:ascii="Times New Roman" w:hAnsi="Times New Roman" w:cs="David"/>
        </w:rPr>
        <w:t>Rimon</w:t>
      </w:r>
      <w:proofErr w:type="spellEnd"/>
      <w:r w:rsidRPr="00FB7A6C">
        <w:rPr>
          <w:rFonts w:ascii="Times New Roman" w:hAnsi="Times New Roman" w:cs="David" w:hint="cs"/>
          <w:rtl/>
        </w:rPr>
        <w:t>, ראו פרק א', ונספח 2, בהתאמה.</w:t>
      </w:r>
    </w:p>
  </w:footnote>
  <w:footnote w:id="4">
    <w:p w14:paraId="33F47E96" w14:textId="26112012" w:rsidR="001E75D5" w:rsidRPr="00FB7A6C" w:rsidRDefault="001E75D5" w:rsidP="00FB7A6C">
      <w:pPr>
        <w:pStyle w:val="FootnoteText"/>
        <w:spacing w:line="360" w:lineRule="auto"/>
        <w:rPr>
          <w:rFonts w:ascii="Times New Roman" w:hAnsi="Times New Roman" w:cs="David"/>
          <w:rtl/>
        </w:rPr>
      </w:pPr>
      <w:r w:rsidRPr="00FB7A6C">
        <w:rPr>
          <w:rFonts w:ascii="Times New Roman" w:hAnsi="Times New Roman" w:cs="David"/>
        </w:rPr>
        <w:t xml:space="preserve"> </w:t>
      </w:r>
      <w:r w:rsidRPr="00FB7A6C">
        <w:rPr>
          <w:rStyle w:val="FootnoteReference"/>
          <w:rFonts w:ascii="Times New Roman" w:hAnsi="Times New Roman" w:cs="David"/>
        </w:rPr>
        <w:footnoteRef/>
      </w:r>
      <w:r w:rsidRPr="00FB7A6C">
        <w:rPr>
          <w:rFonts w:ascii="Times New Roman" w:hAnsi="Times New Roman" w:cs="David"/>
        </w:rPr>
        <w:t xml:space="preserve"> For a reevaluation of all the occurrences in Phoenician and Punic inscriptions, see Zamora 2017.</w:t>
      </w:r>
    </w:p>
  </w:footnote>
  <w:footnote w:id="5">
    <w:p w14:paraId="02092F34" w14:textId="4B9793D5" w:rsidR="00961CFE" w:rsidRPr="00FB7A6C" w:rsidRDefault="00961CFE" w:rsidP="00FB7A6C">
      <w:pPr>
        <w:pStyle w:val="FootnoteText"/>
        <w:spacing w:line="360" w:lineRule="auto"/>
        <w:rPr>
          <w:rFonts w:ascii="Times New Roman" w:hAnsi="Times New Roman" w:cs="David"/>
          <w:rtl/>
        </w:rPr>
      </w:pPr>
      <w:r w:rsidRPr="00FB7A6C">
        <w:rPr>
          <w:rFonts w:ascii="Times New Roman" w:hAnsi="Times New Roman" w:cs="David"/>
        </w:rPr>
        <w:t xml:space="preserve"> </w:t>
      </w:r>
      <w:r w:rsidRPr="00FB7A6C">
        <w:rPr>
          <w:rStyle w:val="FootnoteReference"/>
          <w:rFonts w:ascii="Times New Roman" w:hAnsi="Times New Roman" w:cs="David"/>
        </w:rPr>
        <w:footnoteRef/>
      </w:r>
      <w:r w:rsidRPr="00FB7A6C">
        <w:rPr>
          <w:rFonts w:ascii="Times New Roman" w:hAnsi="Times New Roman" w:cs="David"/>
        </w:rPr>
        <w:t xml:space="preserve"> For a discussion of the Phoenician verb </w:t>
      </w:r>
      <w:r w:rsidRPr="00FB7A6C">
        <w:rPr>
          <w:rFonts w:ascii="Times New Roman" w:hAnsi="Times New Roman" w:cs="David"/>
          <w:i/>
          <w:iCs/>
        </w:rPr>
        <w:t>q-w-m</w:t>
      </w:r>
      <w:r w:rsidRPr="00FB7A6C">
        <w:rPr>
          <w:rFonts w:ascii="Times New Roman" w:hAnsi="Times New Roman" w:cs="David"/>
        </w:rPr>
        <w:t>, denoting “rising after death” (</w:t>
      </w:r>
      <w:proofErr w:type="gramStart"/>
      <w:r w:rsidRPr="00FB7A6C">
        <w:rPr>
          <w:rFonts w:ascii="Times New Roman" w:hAnsi="Times New Roman" w:cs="David"/>
        </w:rPr>
        <w:t>in light of</w:t>
      </w:r>
      <w:proofErr w:type="gramEnd"/>
      <w:r w:rsidRPr="00FB7A6C">
        <w:rPr>
          <w:rFonts w:ascii="Times New Roman" w:hAnsi="Times New Roman" w:cs="David"/>
        </w:rPr>
        <w:t xml:space="preserve"> Biblical Hebrew), see Greenfield 1987, 397-399.</w:t>
      </w:r>
    </w:p>
  </w:footnote>
  <w:footnote w:id="6">
    <w:p w14:paraId="356483A8" w14:textId="07041B3C" w:rsidR="00961CFE" w:rsidRPr="00FB7A6C" w:rsidRDefault="00961CFE" w:rsidP="00FB7A6C">
      <w:pPr>
        <w:autoSpaceDE w:val="0"/>
        <w:autoSpaceDN w:val="0"/>
        <w:adjustRightInd w:val="0"/>
        <w:spacing w:after="0" w:line="360" w:lineRule="auto"/>
        <w:rPr>
          <w:rFonts w:ascii="Times New Roman" w:eastAsia="AGaramondPro-Regular" w:hAnsi="Times New Roman" w:cs="David"/>
          <w:sz w:val="20"/>
          <w:szCs w:val="20"/>
        </w:rPr>
      </w:pPr>
      <w:r w:rsidRPr="00FB7A6C">
        <w:rPr>
          <w:rStyle w:val="FootnoteReference"/>
          <w:rFonts w:ascii="Times New Roman" w:hAnsi="Times New Roman" w:cs="David"/>
          <w:sz w:val="20"/>
          <w:szCs w:val="20"/>
        </w:rPr>
        <w:footnoteRef/>
      </w:r>
      <w:r w:rsidRPr="00FB7A6C">
        <w:rPr>
          <w:rFonts w:ascii="Times New Roman" w:hAnsi="Times New Roman" w:cs="David"/>
          <w:sz w:val="20"/>
          <w:szCs w:val="20"/>
        </w:rPr>
        <w:t xml:space="preserve"> The reconstruction and translation of the Greek phrase follow</w:t>
      </w:r>
      <w:r w:rsidR="00DD367D">
        <w:rPr>
          <w:rFonts w:ascii="Times New Roman" w:hAnsi="Times New Roman" w:cs="David"/>
          <w:sz w:val="20"/>
          <w:szCs w:val="20"/>
          <w:lang w:val="en-GB"/>
        </w:rPr>
        <w:t>..</w:t>
      </w:r>
      <w:r w:rsidRPr="00FB7A6C">
        <w:rPr>
          <w:rFonts w:ascii="Times New Roman" w:hAnsi="Times New Roman" w:cs="David"/>
          <w:sz w:val="20"/>
          <w:szCs w:val="20"/>
        </w:rPr>
        <w:t xml:space="preserve">. The same position is apparently referred to also in an inscription from </w:t>
      </w:r>
      <w:proofErr w:type="spellStart"/>
      <w:r w:rsidRPr="00FB7A6C">
        <w:rPr>
          <w:rFonts w:ascii="Times New Roman" w:hAnsi="Times New Roman" w:cs="David"/>
          <w:sz w:val="20"/>
          <w:szCs w:val="20"/>
        </w:rPr>
        <w:t>Ascalon</w:t>
      </w:r>
      <w:proofErr w:type="spellEnd"/>
      <w:r w:rsidRPr="00FB7A6C">
        <w:rPr>
          <w:rFonts w:ascii="Times New Roman" w:hAnsi="Times New Roman" w:cs="David"/>
          <w:sz w:val="20"/>
          <w:szCs w:val="20"/>
        </w:rPr>
        <w:t xml:space="preserve">, which uses an identical formulation to that appearing in the Ramleh inscription. </w:t>
      </w:r>
    </w:p>
  </w:footnote>
  <w:footnote w:id="7">
    <w:p w14:paraId="788C4307" w14:textId="16770B22" w:rsidR="003C71D9" w:rsidRPr="00FB7A6C" w:rsidRDefault="003C71D9" w:rsidP="00FB7A6C">
      <w:pPr>
        <w:pStyle w:val="FootnoteText"/>
        <w:spacing w:line="360" w:lineRule="auto"/>
        <w:rPr>
          <w:rFonts w:ascii="Times New Roman" w:hAnsi="Times New Roman" w:cs="David"/>
          <w:lang w:val="en-GB"/>
        </w:rPr>
      </w:pPr>
      <w:r w:rsidRPr="00FB7A6C">
        <w:rPr>
          <w:rStyle w:val="FootnoteReference"/>
          <w:rFonts w:ascii="Times New Roman" w:hAnsi="Times New Roman" w:cs="David"/>
        </w:rPr>
        <w:footnoteRef/>
      </w:r>
      <w:r w:rsidRPr="00FB7A6C">
        <w:rPr>
          <w:rFonts w:ascii="Times New Roman" w:hAnsi="Times New Roman" w:cs="David"/>
          <w:lang w:val="en-GB"/>
        </w:rPr>
        <w:t xml:space="preserve"> </w:t>
      </w:r>
      <w:r w:rsidR="00F6498F" w:rsidRPr="00FB7A6C">
        <w:rPr>
          <w:rFonts w:ascii="Times New Roman" w:hAnsi="Times New Roman" w:cs="David"/>
          <w:lang w:val="en-GB"/>
        </w:rPr>
        <w:t xml:space="preserve">Less likely is the possibility that the Phoenician appellation </w:t>
      </w:r>
      <w:proofErr w:type="spellStart"/>
      <w:r w:rsidR="00F6498F">
        <w:rPr>
          <w:rFonts w:ascii="Times New Roman" w:hAnsi="Times New Roman" w:cs="David"/>
          <w:i/>
          <w:iCs/>
          <w:lang w:val="en-GB"/>
        </w:rPr>
        <w:t>m</w:t>
      </w:r>
      <w:r w:rsidR="00F6498F" w:rsidRPr="00FB7A6C">
        <w:rPr>
          <w:rFonts w:ascii="Times New Roman" w:hAnsi="Times New Roman" w:cs="David"/>
          <w:i/>
          <w:iCs/>
          <w:lang w:val="en-GB"/>
        </w:rPr>
        <w:t>trḥ</w:t>
      </w:r>
      <w:proofErr w:type="spellEnd"/>
      <w:r w:rsidR="00F6498F" w:rsidRPr="00FB7A6C">
        <w:rPr>
          <w:rFonts w:ascii="Times New Roman" w:hAnsi="Times New Roman" w:cs="David"/>
          <w:i/>
          <w:iCs/>
          <w:lang w:val="en-GB"/>
        </w:rPr>
        <w:t xml:space="preserve"> </w:t>
      </w:r>
      <w:proofErr w:type="spellStart"/>
      <w:r w:rsidR="00F6498F" w:rsidRPr="00FB7A6C">
        <w:rPr>
          <w:rFonts w:ascii="Times New Roman" w:hAnsi="Times New Roman" w:cs="David"/>
          <w:i/>
          <w:iCs/>
          <w:lang w:val="en-GB"/>
        </w:rPr>
        <w:t>ˁštrny</w:t>
      </w:r>
      <w:proofErr w:type="spellEnd"/>
      <w:r w:rsidR="00F6498F" w:rsidRPr="00FB7A6C">
        <w:rPr>
          <w:rFonts w:ascii="Times New Roman" w:hAnsi="Times New Roman" w:cs="David"/>
          <w:lang w:val="en-GB"/>
        </w:rPr>
        <w:t xml:space="preserve"> was given to the functionary, implying for a sacred marriage, as was suggested by e.g</w:t>
      </w:r>
      <w:r w:rsidR="00F6498F">
        <w:rPr>
          <w:rFonts w:ascii="Times New Roman" w:hAnsi="Times New Roman" w:cs="David"/>
          <w:lang w:val="en-GB"/>
        </w:rPr>
        <w:t>.,</w:t>
      </w:r>
      <w:r w:rsidR="00F6498F" w:rsidRPr="00FB7A6C">
        <w:rPr>
          <w:rFonts w:ascii="Times New Roman" w:hAnsi="Times New Roman" w:cs="David"/>
          <w:lang w:val="en-GB"/>
        </w:rPr>
        <w:t xml:space="preserve"> </w:t>
      </w:r>
      <w:proofErr w:type="spellStart"/>
      <w:r w:rsidR="00F6498F" w:rsidRPr="00FB7A6C">
        <w:rPr>
          <w:rFonts w:ascii="Times New Roman" w:hAnsi="Times New Roman" w:cs="David"/>
        </w:rPr>
        <w:t>Lipiński</w:t>
      </w:r>
      <w:proofErr w:type="spellEnd"/>
      <w:r w:rsidR="00F6498F" w:rsidRPr="00FB7A6C">
        <w:rPr>
          <w:rFonts w:ascii="Times New Roman" w:hAnsi="Times New Roman" w:cs="David"/>
        </w:rPr>
        <w:t xml:space="preserve"> 1970, 33-34.</w:t>
      </w:r>
      <w:r w:rsidR="00F6498F">
        <w:rPr>
          <w:rFonts w:ascii="Times New Roman" w:hAnsi="Times New Roman" w:cs="David"/>
        </w:rPr>
        <w:t xml:space="preserve"> </w:t>
      </w:r>
      <w:r w:rsidRPr="00FB7A6C">
        <w:rPr>
          <w:rFonts w:ascii="Times New Roman" w:hAnsi="Times New Roman" w:cs="David"/>
          <w:lang w:val="en-GB"/>
        </w:rPr>
        <w:t xml:space="preserve">An interesting equivalent </w:t>
      </w:r>
      <w:r w:rsidR="00B0591D" w:rsidRPr="00FB7A6C">
        <w:rPr>
          <w:rFonts w:ascii="Times New Roman" w:hAnsi="Times New Roman" w:cs="David"/>
          <w:lang w:val="en-GB"/>
        </w:rPr>
        <w:t>for</w:t>
      </w:r>
      <w:r w:rsidRPr="00FB7A6C">
        <w:rPr>
          <w:rFonts w:ascii="Times New Roman" w:hAnsi="Times New Roman" w:cs="David"/>
          <w:lang w:val="en-GB"/>
        </w:rPr>
        <w:t xml:space="preserve"> such </w:t>
      </w:r>
      <w:r w:rsidR="000254D4" w:rsidRPr="00FB7A6C">
        <w:rPr>
          <w:rFonts w:ascii="Times New Roman" w:hAnsi="Times New Roman" w:cs="David"/>
          <w:lang w:val="en-GB"/>
        </w:rPr>
        <w:t xml:space="preserve">an </w:t>
      </w:r>
      <w:r w:rsidRPr="00FB7A6C">
        <w:rPr>
          <w:rFonts w:ascii="Times New Roman" w:hAnsi="Times New Roman" w:cs="David"/>
          <w:lang w:val="en-GB"/>
        </w:rPr>
        <w:t>appellation</w:t>
      </w:r>
      <w:r w:rsidR="00F6498F">
        <w:rPr>
          <w:rFonts w:ascii="Times New Roman" w:hAnsi="Times New Roman" w:cs="David"/>
          <w:lang w:val="en-GB"/>
        </w:rPr>
        <w:t xml:space="preserve"> (although its relation to our texts is not clear)</w:t>
      </w:r>
      <w:r w:rsidRPr="00FB7A6C">
        <w:rPr>
          <w:rFonts w:ascii="Times New Roman" w:hAnsi="Times New Roman" w:cs="David"/>
          <w:lang w:val="en-GB"/>
        </w:rPr>
        <w:t xml:space="preserve"> is </w:t>
      </w:r>
      <w:r w:rsidR="00023D58" w:rsidRPr="00FB7A6C">
        <w:rPr>
          <w:rFonts w:ascii="Times New Roman" w:hAnsi="Times New Roman" w:cs="David"/>
          <w:lang w:val="en-GB"/>
        </w:rPr>
        <w:t xml:space="preserve">the Akkadian </w:t>
      </w:r>
      <w:proofErr w:type="spellStart"/>
      <w:r w:rsidR="00023D58" w:rsidRPr="00FB7A6C">
        <w:rPr>
          <w:rFonts w:ascii="Times New Roman" w:hAnsi="Times New Roman" w:cs="David"/>
          <w:i/>
          <w:iCs/>
          <w:lang w:val="en-IL"/>
        </w:rPr>
        <w:t>muti</w:t>
      </w:r>
      <w:proofErr w:type="spellEnd"/>
      <w:r w:rsidR="00023D58" w:rsidRPr="00FB7A6C">
        <w:rPr>
          <w:rFonts w:ascii="Times New Roman" w:hAnsi="Times New Roman" w:cs="David"/>
          <w:i/>
          <w:iCs/>
          <w:lang w:val="en-IL"/>
        </w:rPr>
        <w:t xml:space="preserve"> </w:t>
      </w:r>
      <w:proofErr w:type="spellStart"/>
      <w:r w:rsidR="00023D58" w:rsidRPr="00FB7A6C">
        <w:rPr>
          <w:rFonts w:ascii="Times New Roman" w:hAnsi="Times New Roman" w:cs="David"/>
          <w:i/>
          <w:iCs/>
          <w:lang w:val="en-IL"/>
        </w:rPr>
        <w:t>bēlet</w:t>
      </w:r>
      <w:proofErr w:type="spellEnd"/>
      <w:r w:rsidR="00023D58" w:rsidRPr="00FB7A6C">
        <w:rPr>
          <w:rFonts w:ascii="Times New Roman" w:hAnsi="Times New Roman" w:cs="David"/>
          <w:i/>
          <w:iCs/>
          <w:lang w:val="en-IL"/>
        </w:rPr>
        <w:t xml:space="preserve"> </w:t>
      </w:r>
      <w:proofErr w:type="spellStart"/>
      <w:r w:rsidR="00023D58" w:rsidRPr="00FB7A6C">
        <w:rPr>
          <w:rFonts w:ascii="Times New Roman" w:hAnsi="Times New Roman" w:cs="David"/>
          <w:i/>
          <w:iCs/>
          <w:lang w:val="en-IL"/>
        </w:rPr>
        <w:t>šamāmî</w:t>
      </w:r>
      <w:proofErr w:type="spellEnd"/>
      <w:r w:rsidR="00023D58" w:rsidRPr="00FB7A6C">
        <w:rPr>
          <w:rFonts w:ascii="Times New Roman" w:hAnsi="Times New Roman" w:cs="David"/>
          <w:lang w:val="en-GB"/>
        </w:rPr>
        <w:t xml:space="preserve"> “the husband of the mistress of heaven”, given to an unknown deity </w:t>
      </w:r>
      <w:r w:rsidRPr="00FB7A6C">
        <w:rPr>
          <w:rFonts w:ascii="Times New Roman" w:hAnsi="Times New Roman" w:cs="David"/>
          <w:lang w:val="en-GB"/>
        </w:rPr>
        <w:t xml:space="preserve">in the neo-Assyrian recension of </w:t>
      </w:r>
      <w:r w:rsidRPr="00F6498F">
        <w:rPr>
          <w:rFonts w:ascii="Times New Roman" w:hAnsi="Times New Roman" w:cs="David"/>
          <w:i/>
          <w:iCs/>
          <w:lang w:val="en-GB"/>
        </w:rPr>
        <w:t xml:space="preserve">Nergal and </w:t>
      </w:r>
      <w:proofErr w:type="spellStart"/>
      <w:r w:rsidRPr="00F6498F">
        <w:rPr>
          <w:rFonts w:ascii="Times New Roman" w:hAnsi="Times New Roman" w:cs="David"/>
          <w:i/>
          <w:iCs/>
          <w:lang w:val="en-GB"/>
        </w:rPr>
        <w:t>Ereškigal</w:t>
      </w:r>
      <w:proofErr w:type="spellEnd"/>
      <w:r w:rsidRPr="00FB7A6C">
        <w:rPr>
          <w:rFonts w:ascii="Times New Roman" w:hAnsi="Times New Roman" w:cs="David"/>
          <w:lang w:val="en-GB"/>
        </w:rPr>
        <w:t xml:space="preserve"> (1:47</w:t>
      </w:r>
      <w:r w:rsidR="00023D58" w:rsidRPr="00FB7A6C">
        <w:rPr>
          <w:rFonts w:ascii="Times New Roman" w:hAnsi="Times New Roman" w:cs="David"/>
          <w:lang w:val="en-GB"/>
        </w:rPr>
        <w:t xml:space="preserve">; </w:t>
      </w:r>
      <w:proofErr w:type="spellStart"/>
      <w:r w:rsidR="00D63C99">
        <w:rPr>
          <w:rFonts w:ascii="Times New Roman" w:hAnsi="Times New Roman" w:cs="David"/>
          <w:lang w:val="en-GB"/>
        </w:rPr>
        <w:t>Dalley</w:t>
      </w:r>
      <w:proofErr w:type="spellEnd"/>
      <w:r w:rsidR="00D63C99">
        <w:rPr>
          <w:rFonts w:ascii="Times New Roman" w:hAnsi="Times New Roman" w:cs="David"/>
          <w:lang w:val="en-GB"/>
        </w:rPr>
        <w:t xml:space="preserve"> </w:t>
      </w:r>
      <w:r w:rsidR="00A336CE">
        <w:rPr>
          <w:rFonts w:ascii="Times New Roman" w:hAnsi="Times New Roman" w:cs="David"/>
          <w:lang w:val="en-GB"/>
        </w:rPr>
        <w:t>200</w:t>
      </w:r>
      <w:r w:rsidR="00A76895">
        <w:rPr>
          <w:rFonts w:ascii="Times New Roman" w:hAnsi="Times New Roman" w:cs="David"/>
          <w:lang w:val="en-GB"/>
        </w:rPr>
        <w:t>0</w:t>
      </w:r>
      <w:r w:rsidR="00A336CE">
        <w:rPr>
          <w:rFonts w:ascii="Times New Roman" w:hAnsi="Times New Roman" w:cs="David"/>
          <w:lang w:val="en-GB"/>
        </w:rPr>
        <w:t xml:space="preserve">, </w:t>
      </w:r>
      <w:r w:rsidR="00A76895">
        <w:rPr>
          <w:rFonts w:ascii="Times New Roman" w:hAnsi="Times New Roman" w:cs="David"/>
          <w:lang w:val="en-GB"/>
        </w:rPr>
        <w:t>177</w:t>
      </w:r>
      <w:r w:rsidR="00D63C99">
        <w:rPr>
          <w:rFonts w:ascii="Times New Roman" w:hAnsi="Times New Roman" w:cs="David"/>
          <w:lang w:val="en-GB"/>
        </w:rPr>
        <w:t>, n.</w:t>
      </w:r>
      <w:r w:rsidR="00A76895">
        <w:rPr>
          <w:rFonts w:ascii="Times New Roman" w:hAnsi="Times New Roman" w:cs="David"/>
          <w:lang w:val="en-GB"/>
        </w:rPr>
        <w:t xml:space="preserve"> </w:t>
      </w:r>
      <w:r w:rsidR="00D63C99">
        <w:rPr>
          <w:rFonts w:ascii="Times New Roman" w:hAnsi="Times New Roman" w:cs="David"/>
          <w:lang w:val="en-GB"/>
        </w:rPr>
        <w:t xml:space="preserve">3 suggests </w:t>
      </w:r>
      <w:r w:rsidR="00A336CE">
        <w:rPr>
          <w:rFonts w:ascii="Times New Roman" w:hAnsi="Times New Roman" w:cs="David"/>
          <w:lang w:val="en-GB"/>
        </w:rPr>
        <w:t>identifying</w:t>
      </w:r>
      <w:r w:rsidR="00023D58" w:rsidRPr="00FB7A6C">
        <w:rPr>
          <w:rFonts w:ascii="Times New Roman" w:hAnsi="Times New Roman" w:cs="David"/>
          <w:lang w:val="en-GB"/>
        </w:rPr>
        <w:t xml:space="preserve"> this god as </w:t>
      </w:r>
      <w:proofErr w:type="spellStart"/>
      <w:r w:rsidR="00023D58" w:rsidRPr="00FB7A6C">
        <w:rPr>
          <w:rFonts w:ascii="Times New Roman" w:hAnsi="Times New Roman" w:cs="David"/>
          <w:lang w:val="en-GB"/>
        </w:rPr>
        <w:t>Dumuzi</w:t>
      </w:r>
      <w:proofErr w:type="spellEnd"/>
      <w:r w:rsidRPr="00FB7A6C">
        <w:rPr>
          <w:rFonts w:ascii="Times New Roman" w:hAnsi="Times New Roman" w:cs="David"/>
          <w:lang w:val="en-GB"/>
        </w:rPr>
        <w:t>)</w:t>
      </w:r>
      <w:r w:rsidRPr="00FB7A6C">
        <w:rPr>
          <w:rFonts w:ascii="Times New Roman" w:hAnsi="Times New Roman" w:cs="David"/>
          <w:i/>
          <w:iCs/>
          <w:lang w:val="en-GB"/>
        </w:rPr>
        <w:t>.</w:t>
      </w:r>
      <w:r w:rsidRPr="00FB7A6C">
        <w:rPr>
          <w:rFonts w:ascii="Times New Roman" w:hAnsi="Times New Roman" w:cs="David"/>
          <w:lang w:val="en-GB"/>
        </w:rPr>
        <w:t xml:space="preserve"> </w:t>
      </w:r>
    </w:p>
  </w:footnote>
  <w:footnote w:id="8">
    <w:p w14:paraId="3CAE6025" w14:textId="3AB2EB68" w:rsidR="003C71D9" w:rsidRPr="00DD367D" w:rsidRDefault="003C71D9" w:rsidP="00FB7A6C">
      <w:pPr>
        <w:autoSpaceDE w:val="0"/>
        <w:autoSpaceDN w:val="0"/>
        <w:adjustRightInd w:val="0"/>
        <w:spacing w:after="0" w:line="360" w:lineRule="auto"/>
        <w:rPr>
          <w:rFonts w:ascii="Times New Roman" w:hAnsi="Times New Roman" w:cs="David"/>
          <w:sz w:val="20"/>
          <w:szCs w:val="20"/>
          <w:rtl/>
          <w:lang w:val="en-GB"/>
        </w:rPr>
      </w:pPr>
      <w:r w:rsidRPr="00FB7A6C">
        <w:rPr>
          <w:rStyle w:val="FootnoteReference"/>
          <w:rFonts w:ascii="Times New Roman" w:hAnsi="Times New Roman" w:cs="David"/>
          <w:sz w:val="20"/>
          <w:szCs w:val="20"/>
        </w:rPr>
        <w:footnoteRef/>
      </w:r>
      <w:r w:rsidRPr="00FB7A6C">
        <w:rPr>
          <w:rFonts w:ascii="Times New Roman" w:hAnsi="Times New Roman" w:cs="David"/>
          <w:sz w:val="20"/>
          <w:szCs w:val="20"/>
        </w:rPr>
        <w:t xml:space="preserve"> The statement of Josephus (Ant. Jud. 8.5.3; and cf. </w:t>
      </w:r>
      <w:r w:rsidRPr="00FB7A6C">
        <w:rPr>
          <w:rFonts w:ascii="Times New Roman" w:hAnsi="Times New Roman" w:cs="David"/>
          <w:i/>
          <w:iCs/>
          <w:sz w:val="20"/>
          <w:szCs w:val="20"/>
        </w:rPr>
        <w:t xml:space="preserve">Contra Ap., </w:t>
      </w:r>
      <w:r w:rsidRPr="00FB7A6C">
        <w:rPr>
          <w:rFonts w:ascii="Times New Roman" w:hAnsi="Times New Roman" w:cs="David"/>
          <w:sz w:val="20"/>
          <w:szCs w:val="20"/>
        </w:rPr>
        <w:t>1.18) about king Hiram who was the first to celebrate the “awakening (</w:t>
      </w:r>
      <w:proofErr w:type="spellStart"/>
      <w:r w:rsidRPr="00FB7A6C">
        <w:rPr>
          <w:rFonts w:ascii="Times New Roman" w:hAnsi="Times New Roman" w:cs="David"/>
          <w:sz w:val="20"/>
          <w:szCs w:val="20"/>
        </w:rPr>
        <w:t>ἔγερσις</w:t>
      </w:r>
      <w:proofErr w:type="spellEnd"/>
      <w:r w:rsidRPr="00FB7A6C">
        <w:rPr>
          <w:rFonts w:ascii="Times New Roman" w:hAnsi="Times New Roman" w:cs="David"/>
          <w:sz w:val="20"/>
          <w:szCs w:val="20"/>
        </w:rPr>
        <w:t xml:space="preserve">) of Heracles” in the month of </w:t>
      </w:r>
      <w:proofErr w:type="spellStart"/>
      <w:r w:rsidRPr="00FB7A6C">
        <w:rPr>
          <w:rFonts w:ascii="Times New Roman" w:hAnsi="Times New Roman" w:cs="David"/>
          <w:sz w:val="20"/>
          <w:szCs w:val="20"/>
        </w:rPr>
        <w:t>Peritius</w:t>
      </w:r>
      <w:proofErr w:type="spellEnd"/>
      <w:r w:rsidRPr="00FB7A6C">
        <w:rPr>
          <w:rFonts w:ascii="Times New Roman" w:hAnsi="Times New Roman" w:cs="David"/>
          <w:sz w:val="20"/>
          <w:szCs w:val="20"/>
        </w:rPr>
        <w:t xml:space="preserve"> is usually mentioned by scholars in this context. For a discussion, including the opposing approach which translates (without grounds) the Greek and Phoenician verbs as “the erecter of...,” see</w:t>
      </w:r>
      <w:r w:rsidR="00DD367D">
        <w:rPr>
          <w:rFonts w:ascii="Times New Roman" w:hAnsi="Times New Roman" w:cs="David"/>
          <w:sz w:val="20"/>
          <w:szCs w:val="20"/>
          <w:lang w:val="en-GB"/>
        </w:rPr>
        <w:t>…</w:t>
      </w:r>
    </w:p>
  </w:footnote>
  <w:footnote w:id="9">
    <w:p w14:paraId="133CD5FF" w14:textId="53F4AFDD" w:rsidR="000254D4" w:rsidRPr="00DD367D" w:rsidRDefault="000254D4" w:rsidP="00DD367D">
      <w:pPr>
        <w:pStyle w:val="FootnoteText"/>
        <w:bidi/>
        <w:spacing w:line="360" w:lineRule="auto"/>
        <w:rPr>
          <w:rFonts w:ascii="Times New Roman" w:hAnsi="Times New Roman" w:cs="David"/>
          <w:rtl/>
          <w:lang w:val="en-IL"/>
        </w:rPr>
      </w:pPr>
      <w:r w:rsidRPr="00FB7A6C">
        <w:rPr>
          <w:rStyle w:val="FootnoteReference"/>
          <w:rFonts w:ascii="Times New Roman" w:hAnsi="Times New Roman" w:cs="David"/>
        </w:rPr>
        <w:footnoteRef/>
      </w:r>
      <w:r w:rsidRPr="00FB7A6C">
        <w:rPr>
          <w:rFonts w:ascii="Times New Roman" w:hAnsi="Times New Roman" w:cs="David"/>
        </w:rPr>
        <w:t xml:space="preserve"> For a discussion of the </w:t>
      </w:r>
      <w:r w:rsidR="009E7227" w:rsidRPr="00FB7A6C">
        <w:rPr>
          <w:rFonts w:ascii="Times New Roman" w:hAnsi="Times New Roman" w:cs="David"/>
        </w:rPr>
        <w:t xml:space="preserve">biblical </w:t>
      </w:r>
      <w:r w:rsidRPr="00FB7A6C">
        <w:rPr>
          <w:rFonts w:ascii="Times New Roman" w:hAnsi="Times New Roman" w:cs="David"/>
        </w:rPr>
        <w:t>Hebrew</w:t>
      </w:r>
      <w:r w:rsidR="009E7227" w:rsidRPr="00FB7A6C">
        <w:rPr>
          <w:rFonts w:ascii="Times New Roman" w:hAnsi="Times New Roman" w:cs="David"/>
        </w:rPr>
        <w:t xml:space="preserve"> verb</w:t>
      </w:r>
      <w:r w:rsidRPr="00FB7A6C">
        <w:rPr>
          <w:rFonts w:ascii="Times New Roman" w:hAnsi="Times New Roman" w:cs="David"/>
        </w:rPr>
        <w:t xml:space="preserve"> </w:t>
      </w:r>
      <w:r w:rsidRPr="00FB7A6C">
        <w:rPr>
          <w:rFonts w:ascii="Times New Roman" w:hAnsi="Times New Roman" w:cs="David"/>
          <w:i/>
          <w:iCs/>
        </w:rPr>
        <w:t>ˁ-w-r</w:t>
      </w:r>
      <w:r w:rsidRPr="00FB7A6C">
        <w:rPr>
          <w:rFonts w:ascii="Times New Roman" w:hAnsi="Times New Roman" w:cs="David"/>
        </w:rPr>
        <w:t xml:space="preserve"> </w:t>
      </w:r>
      <w:r w:rsidR="00D46490" w:rsidRPr="00FB7A6C">
        <w:rPr>
          <w:rFonts w:ascii="Times New Roman" w:hAnsi="Times New Roman" w:cs="David"/>
          <w:lang w:val="en-GB"/>
        </w:rPr>
        <w:t>as disturbing the dead, a</w:t>
      </w:r>
      <w:r w:rsidR="00EE0F62">
        <w:rPr>
          <w:rFonts w:ascii="Times New Roman" w:hAnsi="Times New Roman" w:cs="David"/>
          <w:lang w:val="en-GB"/>
        </w:rPr>
        <w:t xml:space="preserve"> semantic</w:t>
      </w:r>
      <w:r w:rsidR="00D46490" w:rsidRPr="00FB7A6C">
        <w:rPr>
          <w:rFonts w:ascii="Times New Roman" w:hAnsi="Times New Roman" w:cs="David"/>
          <w:lang w:val="en-GB"/>
        </w:rPr>
        <w:t xml:space="preserve"> equivalent of</w:t>
      </w:r>
      <w:r w:rsidR="00EE0F62">
        <w:rPr>
          <w:rFonts w:ascii="Times New Roman" w:hAnsi="Times New Roman" w:cs="David"/>
          <w:lang w:val="en-GB"/>
        </w:rPr>
        <w:t xml:space="preserve"> the Phoenician</w:t>
      </w:r>
      <w:r w:rsidR="00D46490" w:rsidRPr="00FB7A6C">
        <w:rPr>
          <w:rFonts w:ascii="Times New Roman" w:hAnsi="Times New Roman" w:cs="David"/>
          <w:lang w:val="en-GB"/>
        </w:rPr>
        <w:t xml:space="preserve"> </w:t>
      </w:r>
      <w:r w:rsidR="00D46490" w:rsidRPr="00FB7A6C">
        <w:rPr>
          <w:rFonts w:ascii="Times New Roman" w:hAnsi="Times New Roman" w:cs="David"/>
          <w:i/>
          <w:iCs/>
          <w:lang w:val="en-GB"/>
        </w:rPr>
        <w:t>q-w-m</w:t>
      </w:r>
      <w:r w:rsidRPr="00FB7A6C">
        <w:rPr>
          <w:rFonts w:ascii="Times New Roman" w:hAnsi="Times New Roman" w:cs="David"/>
        </w:rPr>
        <w:t xml:space="preserve">, see </w:t>
      </w:r>
      <w:r w:rsidRPr="00A336CE">
        <w:rPr>
          <w:rFonts w:ascii="Times New Roman" w:hAnsi="Times New Roman" w:cs="David"/>
        </w:rPr>
        <w:t>Paul</w:t>
      </w:r>
      <w:r w:rsidR="00EE0F62">
        <w:rPr>
          <w:rFonts w:ascii="Times New Roman" w:hAnsi="Times New Roman" w:cs="David"/>
        </w:rPr>
        <w:t xml:space="preserve"> 2009</w:t>
      </w:r>
      <w:r w:rsidR="00EE0F62">
        <w:rPr>
          <w:rFonts w:ascii="Times New Roman" w:hAnsi="Times New Roman" w:cs="David" w:hint="cs"/>
          <w:rtl/>
        </w:rPr>
        <w:t>.</w:t>
      </w:r>
      <w:r w:rsidR="009E7227" w:rsidRPr="00FB7A6C">
        <w:rPr>
          <w:rFonts w:ascii="Times New Roman" w:hAnsi="Times New Roman" w:cs="David" w:hint="cs"/>
          <w:rtl/>
        </w:rPr>
        <w:t xml:space="preserve"> </w:t>
      </w:r>
      <w:r w:rsidR="007E06B8">
        <w:rPr>
          <w:rFonts w:ascii="Times New Roman" w:hAnsi="Times New Roman" w:cs="David" w:hint="cs"/>
          <w:rtl/>
        </w:rPr>
        <w:t xml:space="preserve">בעברית בתר-מקראית, </w:t>
      </w:r>
      <w:r w:rsidR="009E7227" w:rsidRPr="00FB7A6C">
        <w:rPr>
          <w:rFonts w:ascii="Times New Roman" w:hAnsi="Times New Roman" w:cs="David" w:hint="cs"/>
          <w:rtl/>
        </w:rPr>
        <w:t xml:space="preserve">הפועל ע-ו-ר </w:t>
      </w:r>
      <w:r w:rsidR="00D46490" w:rsidRPr="00FB7A6C">
        <w:rPr>
          <w:rFonts w:ascii="Times New Roman" w:hAnsi="Times New Roman" w:cs="David" w:hint="cs"/>
          <w:rtl/>
        </w:rPr>
        <w:t xml:space="preserve">משמש </w:t>
      </w:r>
      <w:r w:rsidR="009E7227" w:rsidRPr="00FB7A6C">
        <w:rPr>
          <w:rFonts w:ascii="Times New Roman" w:hAnsi="Times New Roman" w:cs="David" w:hint="cs"/>
          <w:rtl/>
        </w:rPr>
        <w:t>במשמעות של תחיי</w:t>
      </w:r>
      <w:r w:rsidR="00D46490" w:rsidRPr="00FB7A6C">
        <w:rPr>
          <w:rFonts w:ascii="Times New Roman" w:hAnsi="Times New Roman" w:cs="David" w:hint="cs"/>
          <w:rtl/>
        </w:rPr>
        <w:t>ה</w:t>
      </w:r>
      <w:r w:rsidR="009E7227" w:rsidRPr="00FB7A6C">
        <w:rPr>
          <w:rFonts w:ascii="Times New Roman" w:hAnsi="Times New Roman" w:cs="David" w:hint="cs"/>
          <w:rtl/>
        </w:rPr>
        <w:t xml:space="preserve"> </w:t>
      </w:r>
      <w:r w:rsidR="00D46490" w:rsidRPr="00FB7A6C">
        <w:rPr>
          <w:rFonts w:ascii="Times New Roman" w:hAnsi="Times New Roman" w:cs="David" w:hint="cs"/>
          <w:rtl/>
        </w:rPr>
        <w:t>מה</w:t>
      </w:r>
      <w:r w:rsidR="009E7227" w:rsidRPr="00FB7A6C">
        <w:rPr>
          <w:rFonts w:ascii="Times New Roman" w:hAnsi="Times New Roman" w:cs="David" w:hint="cs"/>
          <w:rtl/>
        </w:rPr>
        <w:t>מתים</w:t>
      </w:r>
      <w:r w:rsidR="00FB7A6C">
        <w:rPr>
          <w:rFonts w:ascii="Times New Roman" w:hAnsi="Times New Roman" w:cs="David" w:hint="cs"/>
          <w:rtl/>
        </w:rPr>
        <w:t>:</w:t>
      </w:r>
      <w:r w:rsidR="009E7227" w:rsidRPr="00FB7A6C">
        <w:rPr>
          <w:rFonts w:ascii="Times New Roman" w:hAnsi="Times New Roman" w:cs="David" w:hint="cs"/>
          <w:rtl/>
        </w:rPr>
        <w:t xml:space="preserve"> </w:t>
      </w:r>
      <w:r w:rsidR="00A336CE">
        <w:rPr>
          <w:rFonts w:ascii="Times New Roman" w:hAnsi="Times New Roman" w:cs="David" w:hint="cs"/>
          <w:rtl/>
        </w:rPr>
        <w:t xml:space="preserve">הן </w:t>
      </w:r>
      <w:r w:rsidR="009E7227" w:rsidRPr="00FB7A6C">
        <w:rPr>
          <w:rFonts w:ascii="Times New Roman" w:hAnsi="Times New Roman" w:cs="David" w:hint="cs"/>
          <w:rtl/>
        </w:rPr>
        <w:t>ב</w:t>
      </w:r>
      <w:r w:rsidR="00A336CE">
        <w:rPr>
          <w:rFonts w:ascii="Times New Roman" w:hAnsi="Times New Roman" w:cs="David" w:hint="cs"/>
          <w:rtl/>
        </w:rPr>
        <w:t>לשון ה</w:t>
      </w:r>
      <w:r w:rsidR="009E7227" w:rsidRPr="00FB7A6C">
        <w:rPr>
          <w:rFonts w:ascii="Times New Roman" w:hAnsi="Times New Roman" w:cs="David" w:hint="cs"/>
          <w:rtl/>
        </w:rPr>
        <w:t>תפילה (כגון ב</w:t>
      </w:r>
      <w:r w:rsidR="007E06B8">
        <w:rPr>
          <w:rFonts w:ascii="Times New Roman" w:hAnsi="Times New Roman" w:cs="David" w:hint="cs"/>
          <w:rtl/>
        </w:rPr>
        <w:t>-</w:t>
      </w:r>
      <w:r w:rsidR="00EE0F62">
        <w:rPr>
          <w:rFonts w:ascii="Times New Roman" w:hAnsi="Times New Roman" w:cs="David" w:hint="cs"/>
          <w:rtl/>
        </w:rPr>
        <w:t xml:space="preserve"> </w:t>
      </w:r>
      <w:r w:rsidR="00EE0F62" w:rsidRPr="007E4A5A">
        <w:rPr>
          <w:rFonts w:ascii="Times New Roman" w:hAnsi="Times New Roman" w:cs="David"/>
          <w:i/>
          <w:iCs/>
          <w:lang w:val="en-GB"/>
        </w:rPr>
        <w:t xml:space="preserve">y. Ber. </w:t>
      </w:r>
      <w:r w:rsidR="007E4A5A">
        <w:rPr>
          <w:rFonts w:ascii="Times New Roman" w:hAnsi="Times New Roman" w:cs="David"/>
          <w:lang w:val="en-GB"/>
        </w:rPr>
        <w:t>65a</w:t>
      </w:r>
      <w:r w:rsidR="00EE0F62">
        <w:rPr>
          <w:rFonts w:ascii="Times New Roman" w:hAnsi="Times New Roman" w:cs="David"/>
          <w:lang w:val="en-GB"/>
        </w:rPr>
        <w:t xml:space="preserve"> [9:2]</w:t>
      </w:r>
      <w:r w:rsidR="009E7227" w:rsidRPr="00FB7A6C">
        <w:rPr>
          <w:rFonts w:ascii="Times New Roman" w:hAnsi="Times New Roman" w:cs="David" w:hint="cs"/>
          <w:rtl/>
        </w:rPr>
        <w:t>: "</w:t>
      </w:r>
      <w:r w:rsidR="007E4A5A">
        <w:rPr>
          <w:rFonts w:ascii="Times New Roman" w:hAnsi="Times New Roman" w:cs="David" w:hint="cs"/>
          <w:rtl/>
        </w:rPr>
        <w:t xml:space="preserve"> </w:t>
      </w:r>
      <w:r w:rsidR="007E4A5A" w:rsidRPr="007E4A5A">
        <w:rPr>
          <w:rFonts w:ascii="Times New Roman" w:hAnsi="Times New Roman" w:cs="David"/>
          <w:lang w:val="en-IL"/>
        </w:rPr>
        <w:t xml:space="preserve">He </w:t>
      </w:r>
      <w:r w:rsidR="00A336CE">
        <w:rPr>
          <w:rFonts w:ascii="Times New Roman" w:hAnsi="Times New Roman" w:cs="David"/>
          <w:lang w:val="en-GB"/>
        </w:rPr>
        <w:t>w</w:t>
      </w:r>
      <w:r w:rsidR="007E4A5A" w:rsidRPr="007E4A5A">
        <w:rPr>
          <w:rFonts w:ascii="Times New Roman" w:hAnsi="Times New Roman" w:cs="David"/>
          <w:lang w:val="en-IL"/>
        </w:rPr>
        <w:t>ho knows your number will wake you up</w:t>
      </w:r>
      <w:r w:rsidR="00A336CE">
        <w:rPr>
          <w:rFonts w:ascii="Times New Roman" w:hAnsi="Times New Roman" w:cs="David"/>
          <w:lang w:val="en-GB"/>
        </w:rPr>
        <w:t xml:space="preserve"> </w:t>
      </w:r>
      <w:r w:rsidR="007E4A5A" w:rsidRPr="007E4A5A">
        <w:rPr>
          <w:rFonts w:ascii="Times New Roman" w:hAnsi="Times New Roman" w:cs="David"/>
          <w:lang w:val="en-IL"/>
        </w:rPr>
        <w:t>and remove the dust from upon your eyes.</w:t>
      </w:r>
      <w:r w:rsidR="007E4A5A" w:rsidRPr="007E4A5A">
        <w:rPr>
          <w:sz w:val="22"/>
          <w:szCs w:val="22"/>
          <w:lang w:val="en-IL"/>
        </w:rPr>
        <w:t xml:space="preserve"> </w:t>
      </w:r>
      <w:r w:rsidR="007E4A5A" w:rsidRPr="007E4A5A">
        <w:rPr>
          <w:rFonts w:ascii="Times New Roman" w:hAnsi="Times New Roman" w:cs="David"/>
          <w:lang w:val="en-IL"/>
        </w:rPr>
        <w:t xml:space="preserve">Praised are </w:t>
      </w:r>
      <w:r w:rsidR="00A336CE" w:rsidRPr="00A336CE">
        <w:rPr>
          <w:rFonts w:ascii="Times New Roman" w:hAnsi="Times New Roman" w:cs="David"/>
          <w:lang w:val="en-IL"/>
        </w:rPr>
        <w:t>y</w:t>
      </w:r>
      <w:r w:rsidR="007E4A5A" w:rsidRPr="007E4A5A">
        <w:rPr>
          <w:rFonts w:ascii="Times New Roman" w:hAnsi="Times New Roman" w:cs="David"/>
          <w:lang w:val="en-IL"/>
        </w:rPr>
        <w:t xml:space="preserve">ou, </w:t>
      </w:r>
      <w:r w:rsidR="007E4A5A">
        <w:rPr>
          <w:rFonts w:ascii="Times New Roman" w:hAnsi="Times New Roman" w:cs="David" w:hint="cs"/>
          <w:lang w:val="en-IL"/>
        </w:rPr>
        <w:t>L</w:t>
      </w:r>
      <w:r w:rsidR="007E4A5A" w:rsidRPr="00A336CE">
        <w:rPr>
          <w:rFonts w:ascii="Times New Roman" w:hAnsi="Times New Roman" w:cs="David"/>
          <w:lang w:val="en-IL"/>
        </w:rPr>
        <w:t>ord</w:t>
      </w:r>
      <w:r w:rsidR="007E4A5A" w:rsidRPr="007E4A5A">
        <w:rPr>
          <w:rFonts w:ascii="Times New Roman" w:hAnsi="Times New Roman" w:cs="David"/>
          <w:lang w:val="en-IL"/>
        </w:rPr>
        <w:t xml:space="preserve">, </w:t>
      </w:r>
      <w:r w:rsidR="00A336CE" w:rsidRPr="00A336CE">
        <w:rPr>
          <w:rFonts w:ascii="Times New Roman" w:hAnsi="Times New Roman" w:cs="David"/>
          <w:lang w:val="en-IL"/>
        </w:rPr>
        <w:t>w</w:t>
      </w:r>
      <w:r w:rsidR="007E4A5A" w:rsidRPr="007E4A5A">
        <w:rPr>
          <w:rFonts w:ascii="Times New Roman" w:hAnsi="Times New Roman" w:cs="David"/>
          <w:lang w:val="en-IL"/>
        </w:rPr>
        <w:t>ho makes the dead live.</w:t>
      </w:r>
      <w:r w:rsidR="00DD367D">
        <w:rPr>
          <w:rFonts w:ascii="Times New Roman" w:hAnsi="Times New Roman" w:cs="David" w:hint="cs"/>
          <w:rtl/>
          <w:lang w:val="en-IL"/>
        </w:rPr>
        <w:t xml:space="preserve">, </w:t>
      </w:r>
      <w:r w:rsidR="009E7227" w:rsidRPr="00FB7A6C">
        <w:rPr>
          <w:rFonts w:ascii="Times New Roman" w:hAnsi="Times New Roman" w:cs="David" w:hint="cs"/>
          <w:rtl/>
        </w:rPr>
        <w:t>ו</w:t>
      </w:r>
      <w:r w:rsidR="00A336CE">
        <w:rPr>
          <w:rFonts w:ascii="Times New Roman" w:hAnsi="Times New Roman" w:cs="David" w:hint="cs"/>
          <w:rtl/>
        </w:rPr>
        <w:t>הן ב</w:t>
      </w:r>
      <w:r w:rsidR="009E7227" w:rsidRPr="00FB7A6C">
        <w:rPr>
          <w:rFonts w:ascii="Times New Roman" w:hAnsi="Times New Roman" w:cs="David" w:hint="cs"/>
          <w:rtl/>
        </w:rPr>
        <w:t xml:space="preserve">כתובות קבר </w:t>
      </w:r>
      <w:r w:rsidR="009E7227" w:rsidRPr="00FB7A6C">
        <w:rPr>
          <w:rFonts w:ascii="Times New Roman" w:hAnsi="Times New Roman" w:cs="David" w:hint="cs"/>
          <w:rtl/>
        </w:rPr>
        <w:t>(כגון בכתובות הקבר מ</w:t>
      </w:r>
      <w:r w:rsidR="00A336CE">
        <w:rPr>
          <w:rFonts w:ascii="Times New Roman" w:hAnsi="Times New Roman" w:cs="David" w:hint="cs"/>
          <w:rtl/>
        </w:rPr>
        <w:t>-</w:t>
      </w:r>
      <w:proofErr w:type="spellStart"/>
      <w:r w:rsidR="00A336CE" w:rsidRPr="00A336CE">
        <w:rPr>
          <w:rFonts w:ascii="Times New Roman" w:hAnsi="Times New Roman" w:cs="David"/>
          <w:lang w:val="en-IL"/>
        </w:rPr>
        <w:t>Zoar</w:t>
      </w:r>
      <w:proofErr w:type="spellEnd"/>
      <w:r w:rsidR="00AA7616">
        <w:rPr>
          <w:rFonts w:ascii="Times New Roman" w:hAnsi="Times New Roman" w:cs="David" w:hint="cs"/>
          <w:rtl/>
          <w:lang w:val="en-IL"/>
        </w:rPr>
        <w:t xml:space="preserve">, </w:t>
      </w:r>
      <w:r w:rsidR="00AA7616" w:rsidRPr="00DD367D">
        <w:rPr>
          <w:rFonts w:ascii="Times New Roman" w:hAnsi="Times New Roman" w:cs="David"/>
          <w:lang w:val="en-IL"/>
        </w:rPr>
        <w:t>tombstone 20</w:t>
      </w:r>
      <w:r w:rsidR="009E7227" w:rsidRPr="00FB7A6C">
        <w:rPr>
          <w:rFonts w:ascii="Times New Roman" w:hAnsi="Times New Roman" w:cs="David" w:hint="cs"/>
          <w:rtl/>
        </w:rPr>
        <w:t xml:space="preserve">: </w:t>
      </w:r>
      <w:r w:rsidR="00FB7A6C">
        <w:rPr>
          <w:rFonts w:ascii="Times New Roman" w:hAnsi="Times New Roman" w:cs="David" w:hint="cs"/>
          <w:rtl/>
        </w:rPr>
        <w:t>"</w:t>
      </w:r>
      <w:r w:rsidR="00A336CE" w:rsidRPr="00A336CE">
        <w:rPr>
          <w:rFonts w:ascii="Times New Roman" w:hAnsi="Times New Roman" w:cs="David"/>
          <w:lang w:val="en-IL"/>
        </w:rPr>
        <w:t>May rest the soul of Jacob…May he wake up to the voice of the announcer of peace</w:t>
      </w:r>
      <w:r w:rsidR="00A336CE">
        <w:rPr>
          <w:rFonts w:ascii="Times New Roman" w:hAnsi="Times New Roman" w:cs="David" w:hint="cs"/>
          <w:rtl/>
          <w:lang w:val="en-GB"/>
        </w:rPr>
        <w:t>"</w:t>
      </w:r>
      <w:r w:rsidR="009E7227" w:rsidRPr="00FB7A6C">
        <w:rPr>
          <w:rFonts w:ascii="Times New Roman" w:hAnsi="Times New Roman" w:cs="David" w:hint="cs"/>
          <w:rtl/>
        </w:rPr>
        <w:t>).</w:t>
      </w:r>
    </w:p>
  </w:footnote>
  <w:footnote w:id="10">
    <w:p w14:paraId="656F9279" w14:textId="3A38CAC8" w:rsidR="009E7227" w:rsidRPr="00FB7A6C" w:rsidRDefault="009E7227" w:rsidP="007E06B8">
      <w:pPr>
        <w:pStyle w:val="FootnoteText"/>
        <w:bidi/>
        <w:spacing w:line="360" w:lineRule="auto"/>
        <w:rPr>
          <w:rFonts w:ascii="Times New Roman" w:hAnsi="Times New Roman" w:cs="David"/>
          <w:lang w:val="en-GB"/>
        </w:rPr>
      </w:pPr>
      <w:r w:rsidRPr="00FB7A6C">
        <w:rPr>
          <w:rStyle w:val="FootnoteReference"/>
          <w:rFonts w:ascii="Times New Roman" w:hAnsi="Times New Roman" w:cs="David"/>
        </w:rPr>
        <w:footnoteRef/>
      </w:r>
      <w:r w:rsidR="007E06B8">
        <w:rPr>
          <w:rFonts w:ascii="Times New Roman" w:hAnsi="Times New Roman" w:cs="David" w:hint="cs"/>
          <w:rtl/>
          <w:lang w:val="en-GB"/>
        </w:rPr>
        <w:t xml:space="preserve"> </w:t>
      </w:r>
      <w:r w:rsidR="00FC21CD" w:rsidRPr="00FB7A6C">
        <w:rPr>
          <w:rFonts w:ascii="Times New Roman" w:hAnsi="Times New Roman" w:cs="David"/>
          <w:lang w:val="de-DE"/>
        </w:rPr>
        <w:t xml:space="preserve"> </w:t>
      </w:r>
      <w:r w:rsidR="007E06B8">
        <w:rPr>
          <w:rFonts w:ascii="Times New Roman" w:hAnsi="Times New Roman" w:cs="David"/>
          <w:lang w:val="de-DE"/>
        </w:rPr>
        <w:t>Lieberman</w:t>
      </w:r>
      <w:r w:rsidR="00FC21CD" w:rsidRPr="00FB7A6C">
        <w:rPr>
          <w:rFonts w:ascii="Times New Roman" w:hAnsi="Times New Roman" w:cs="David" w:hint="cs"/>
          <w:rtl/>
          <w:lang w:val="en-GB"/>
        </w:rPr>
        <w:t xml:space="preserve"> קשר בין המעוררים במקדש הירושלמי לריטואל המצרי</w:t>
      </w:r>
      <w:r w:rsidR="00047C23" w:rsidRPr="00FB7A6C">
        <w:rPr>
          <w:rFonts w:ascii="Times New Roman" w:hAnsi="Times New Roman" w:cs="David" w:hint="cs"/>
          <w:rtl/>
          <w:lang w:val="en-GB"/>
        </w:rPr>
        <w:t xml:space="preserve"> היומי</w:t>
      </w:r>
      <w:r w:rsidR="00FC21CD" w:rsidRPr="00FB7A6C">
        <w:rPr>
          <w:rFonts w:ascii="Times New Roman" w:hAnsi="Times New Roman" w:cs="David" w:hint="cs"/>
          <w:rtl/>
          <w:lang w:val="en-GB"/>
        </w:rPr>
        <w:t xml:space="preserve"> </w:t>
      </w:r>
      <w:r w:rsidR="00A90BF0" w:rsidRPr="00FB7A6C">
        <w:rPr>
          <w:rFonts w:ascii="Times New Roman" w:hAnsi="Times New Roman" w:cs="David" w:hint="cs"/>
          <w:rtl/>
          <w:lang w:val="en-GB"/>
        </w:rPr>
        <w:t xml:space="preserve">שנערך </w:t>
      </w:r>
      <w:r w:rsidR="00FC21CD" w:rsidRPr="00FB7A6C">
        <w:rPr>
          <w:rFonts w:ascii="Times New Roman" w:hAnsi="Times New Roman" w:cs="David" w:hint="cs"/>
          <w:rtl/>
          <w:lang w:val="en-GB"/>
        </w:rPr>
        <w:t xml:space="preserve">במקדש </w:t>
      </w:r>
      <w:r w:rsidR="007E06B8">
        <w:rPr>
          <w:rFonts w:ascii="Times New Roman" w:hAnsi="Times New Roman" w:cs="David"/>
          <w:lang w:val="en-GB"/>
        </w:rPr>
        <w:t>Serapis</w:t>
      </w:r>
      <w:r w:rsidR="00FC21CD" w:rsidRPr="00FB7A6C">
        <w:rPr>
          <w:rFonts w:ascii="Times New Roman" w:hAnsi="Times New Roman" w:cs="David" w:hint="cs"/>
          <w:rtl/>
          <w:lang w:val="en-GB"/>
        </w:rPr>
        <w:t xml:space="preserve"> ודומיו</w:t>
      </w:r>
      <w:r w:rsidR="00A90BF0" w:rsidRPr="00FB7A6C">
        <w:rPr>
          <w:rFonts w:ascii="Times New Roman" w:hAnsi="Times New Roman" w:cs="David" w:hint="cs"/>
          <w:rtl/>
          <w:lang w:val="en-GB"/>
        </w:rPr>
        <w:t>.</w:t>
      </w:r>
      <w:r w:rsidR="00FC21CD" w:rsidRPr="00FB7A6C">
        <w:rPr>
          <w:rFonts w:ascii="Times New Roman" w:hAnsi="Times New Roman" w:cs="David" w:hint="cs"/>
          <w:rtl/>
          <w:lang w:val="en-GB"/>
        </w:rPr>
        <w:t xml:space="preserve"> </w:t>
      </w:r>
      <w:r w:rsidR="00FC21CD" w:rsidRPr="00FB7A6C">
        <w:rPr>
          <w:rFonts w:ascii="Times New Roman" w:hAnsi="Times New Roman" w:cs="David" w:hint="cs"/>
          <w:rtl/>
          <w:lang w:val="en-GB"/>
        </w:rPr>
        <w:t>אולם המקורות היהודיים אינם מציינים בשום מקום כי מדובר בפולחן יומי</w:t>
      </w:r>
      <w:r w:rsidR="00A90BF0" w:rsidRPr="00FB7A6C">
        <w:rPr>
          <w:rFonts w:ascii="Times New Roman" w:hAnsi="Times New Roman" w:cs="David" w:hint="cs"/>
          <w:rtl/>
          <w:lang w:val="en-GB"/>
        </w:rPr>
        <w:t>, וניתן</w:t>
      </w:r>
      <w:r w:rsidR="00E1172B">
        <w:rPr>
          <w:rFonts w:ascii="Times New Roman" w:hAnsi="Times New Roman" w:cs="David" w:hint="cs"/>
          <w:rtl/>
          <w:lang w:val="en-GB"/>
        </w:rPr>
        <w:t xml:space="preserve"> להציע</w:t>
      </w:r>
      <w:r w:rsidR="00047C23" w:rsidRPr="00FB7A6C">
        <w:rPr>
          <w:rFonts w:ascii="Times New Roman" w:hAnsi="Times New Roman" w:cs="David" w:hint="cs"/>
          <w:rtl/>
          <w:lang w:val="en-GB"/>
        </w:rPr>
        <w:t xml:space="preserve">, כפי שציין גם </w:t>
      </w:r>
      <w:proofErr w:type="spellStart"/>
      <w:r w:rsidR="007E06B8">
        <w:rPr>
          <w:rFonts w:ascii="Times New Roman" w:hAnsi="Times New Roman" w:cs="David"/>
          <w:lang w:val="en-GB"/>
        </w:rPr>
        <w:t>Uffenheimer</w:t>
      </w:r>
      <w:proofErr w:type="spellEnd"/>
      <w:r w:rsidR="00047C23" w:rsidRPr="00FB7A6C">
        <w:rPr>
          <w:rFonts w:ascii="Times New Roman" w:hAnsi="Times New Roman" w:cs="David" w:hint="cs"/>
          <w:rtl/>
          <w:lang w:val="en-GB"/>
        </w:rPr>
        <w:t>,</w:t>
      </w:r>
      <w:r w:rsidR="00A90BF0" w:rsidRPr="00FB7A6C">
        <w:rPr>
          <w:rFonts w:ascii="Times New Roman" w:hAnsi="Times New Roman" w:cs="David" w:hint="cs"/>
          <w:rtl/>
          <w:lang w:val="en-GB"/>
        </w:rPr>
        <w:t xml:space="preserve"> כל מועד הולם אחר לפולחן זה</w:t>
      </w:r>
      <w:r w:rsidR="00FC21CD" w:rsidRPr="00FB7A6C">
        <w:rPr>
          <w:rFonts w:ascii="Times New Roman" w:hAnsi="Times New Roman" w:cs="David" w:hint="cs"/>
          <w:rtl/>
          <w:lang w:val="en-GB"/>
        </w:rPr>
        <w:t>.</w:t>
      </w:r>
      <w:r w:rsidR="007E06B8">
        <w:rPr>
          <w:rFonts w:ascii="Times New Roman" w:hAnsi="Times New Roman" w:cs="David" w:hint="cs"/>
          <w:rtl/>
          <w:lang w:val="en-GB"/>
        </w:rPr>
        <w:t xml:space="preserve"> לדוגמאות נוספות למסורות פגאניות מקומיות המשתקפות במנהגי בית המקדש השני, ראו </w:t>
      </w:r>
      <w:r w:rsidR="007E06B8">
        <w:rPr>
          <w:rFonts w:ascii="Times New Roman" w:hAnsi="Times New Roman" w:cs="David"/>
          <w:lang w:val="en-GB"/>
        </w:rPr>
        <w:t>Ayali-Darshan 2013</w:t>
      </w:r>
      <w:r w:rsidR="007E06B8">
        <w:rPr>
          <w:rFonts w:ascii="Times New Roman" w:hAnsi="Times New Roman" w:cs="David" w:hint="cs"/>
          <w:rtl/>
          <w:lang w:val="en-GB"/>
        </w:rPr>
        <w:t xml:space="preserve"> ושם ביבליוגרפיה קודמת. </w:t>
      </w:r>
    </w:p>
  </w:footnote>
  <w:footnote w:id="11">
    <w:p w14:paraId="137C011C" w14:textId="329ED2D2" w:rsidR="005344CD" w:rsidRPr="00120C3A" w:rsidRDefault="005344CD" w:rsidP="009D70E8">
      <w:pPr>
        <w:pStyle w:val="FootnoteText"/>
        <w:spacing w:line="360" w:lineRule="auto"/>
        <w:rPr>
          <w:rFonts w:asciiTheme="majorBidi" w:hAnsiTheme="majorBidi" w:cstheme="majorBidi"/>
          <w:lang w:val="en-GB"/>
        </w:rPr>
      </w:pPr>
      <w:r w:rsidRPr="009D70E8">
        <w:rPr>
          <w:rStyle w:val="FootnoteReference"/>
          <w:rFonts w:asciiTheme="majorBidi" w:hAnsiTheme="majorBidi" w:cstheme="majorBidi"/>
        </w:rPr>
        <w:footnoteRef/>
      </w:r>
      <w:r w:rsidRPr="009D70E8">
        <w:rPr>
          <w:rFonts w:asciiTheme="majorBidi" w:hAnsiTheme="majorBidi" w:cstheme="majorBidi"/>
          <w:lang w:val="en-GB"/>
        </w:rPr>
        <w:t xml:space="preserve"> cf., also Tertul</w:t>
      </w:r>
      <w:r w:rsidR="007F10CF" w:rsidRPr="009D70E8">
        <w:rPr>
          <w:rFonts w:asciiTheme="majorBidi" w:hAnsiTheme="majorBidi" w:cstheme="majorBidi"/>
          <w:lang w:val="en-GB"/>
        </w:rPr>
        <w:t>li</w:t>
      </w:r>
      <w:r w:rsidRPr="009D70E8">
        <w:rPr>
          <w:rFonts w:asciiTheme="majorBidi" w:hAnsiTheme="majorBidi" w:cstheme="majorBidi"/>
          <w:lang w:val="en-GB"/>
        </w:rPr>
        <w:t xml:space="preserve">an, </w:t>
      </w:r>
      <w:r w:rsidRPr="009D70E8">
        <w:rPr>
          <w:rFonts w:asciiTheme="majorBidi" w:hAnsiTheme="majorBidi" w:cstheme="majorBidi"/>
          <w:i/>
          <w:iCs/>
          <w:lang w:val="en-GB"/>
        </w:rPr>
        <w:t>ad. Marc.</w:t>
      </w:r>
      <w:r w:rsidRPr="009D70E8">
        <w:rPr>
          <w:rFonts w:asciiTheme="majorBidi" w:hAnsiTheme="majorBidi" w:cstheme="majorBidi"/>
          <w:lang w:val="en-GB"/>
        </w:rPr>
        <w:t xml:space="preserve"> 1.13</w:t>
      </w:r>
      <w:r w:rsidR="007F10CF" w:rsidRPr="009D70E8">
        <w:rPr>
          <w:rFonts w:asciiTheme="majorBidi" w:hAnsiTheme="majorBidi" w:cstheme="majorBidi"/>
          <w:lang w:val="en-GB"/>
        </w:rPr>
        <w:t>:</w:t>
      </w:r>
      <w:r w:rsidRPr="009D70E8">
        <w:rPr>
          <w:rFonts w:asciiTheme="majorBidi" w:hAnsiTheme="majorBidi" w:cstheme="majorBidi"/>
          <w:lang w:val="en-GB"/>
        </w:rPr>
        <w:t xml:space="preserve"> </w:t>
      </w:r>
      <w:r w:rsidR="007F10CF" w:rsidRPr="009D70E8">
        <w:rPr>
          <w:rFonts w:asciiTheme="majorBidi" w:hAnsiTheme="majorBidi" w:cstheme="majorBidi"/>
          <w:lang w:val="en-GB"/>
        </w:rPr>
        <w:t>“</w:t>
      </w:r>
      <w:r w:rsidRPr="009D70E8">
        <w:rPr>
          <w:rFonts w:asciiTheme="majorBidi" w:hAnsiTheme="majorBidi" w:cstheme="majorBidi"/>
          <w:lang w:val="en-GB"/>
        </w:rPr>
        <w:t xml:space="preserve">… </w:t>
      </w:r>
      <w:r w:rsidRPr="009D70E8">
        <w:rPr>
          <w:rFonts w:asciiTheme="majorBidi" w:hAnsiTheme="majorBidi" w:cstheme="majorBidi"/>
        </w:rPr>
        <w:t xml:space="preserve">So also Osiris: that he is </w:t>
      </w:r>
      <w:proofErr w:type="spellStart"/>
      <w:r w:rsidRPr="009D70E8">
        <w:rPr>
          <w:rFonts w:asciiTheme="majorBidi" w:hAnsiTheme="majorBidi" w:cstheme="majorBidi"/>
        </w:rPr>
        <w:t>for ever</w:t>
      </w:r>
      <w:proofErr w:type="spellEnd"/>
      <w:r w:rsidRPr="009D70E8">
        <w:rPr>
          <w:rFonts w:asciiTheme="majorBidi" w:hAnsiTheme="majorBidi" w:cstheme="majorBidi"/>
        </w:rPr>
        <w:t xml:space="preserve"> being</w:t>
      </w:r>
      <w:r w:rsidRPr="009D70E8">
        <w:rPr>
          <w:rFonts w:asciiTheme="majorBidi" w:hAnsiTheme="majorBidi" w:cstheme="majorBidi"/>
          <w:lang w:val="en-GB"/>
        </w:rPr>
        <w:t xml:space="preserve"> </w:t>
      </w:r>
      <w:r w:rsidRPr="009D70E8">
        <w:rPr>
          <w:rFonts w:asciiTheme="majorBidi" w:hAnsiTheme="majorBidi" w:cstheme="majorBidi"/>
        </w:rPr>
        <w:t>buried, and sought for in the waters, and recovered with rejoicing,</w:t>
      </w:r>
      <w:r w:rsidRPr="009D70E8">
        <w:rPr>
          <w:rFonts w:asciiTheme="majorBidi" w:hAnsiTheme="majorBidi" w:cstheme="majorBidi"/>
          <w:lang w:val="en-GB"/>
        </w:rPr>
        <w:t xml:space="preserve"> </w:t>
      </w:r>
      <w:r w:rsidRPr="009D70E8">
        <w:rPr>
          <w:rFonts w:asciiTheme="majorBidi" w:hAnsiTheme="majorBidi" w:cstheme="majorBidi"/>
        </w:rPr>
        <w:t xml:space="preserve">they argue is </w:t>
      </w:r>
      <w:r w:rsidRPr="009D70E8">
        <w:rPr>
          <w:rFonts w:asciiTheme="majorBidi" w:hAnsiTheme="majorBidi" w:cstheme="majorBidi"/>
          <w:lang w:val="en-GB"/>
        </w:rPr>
        <w:t>a</w:t>
      </w:r>
      <w:r w:rsidRPr="009D70E8">
        <w:rPr>
          <w:rFonts w:asciiTheme="majorBidi" w:hAnsiTheme="majorBidi" w:cstheme="majorBidi"/>
        </w:rPr>
        <w:t xml:space="preserve"> promise of the return of the seed sown, of the lively</w:t>
      </w:r>
      <w:r w:rsidRPr="009D70E8">
        <w:rPr>
          <w:rFonts w:asciiTheme="majorBidi" w:hAnsiTheme="majorBidi" w:cstheme="majorBidi"/>
          <w:lang w:val="en-GB"/>
        </w:rPr>
        <w:t xml:space="preserve"> </w:t>
      </w:r>
      <w:r w:rsidRPr="009D70E8">
        <w:rPr>
          <w:rFonts w:asciiTheme="majorBidi" w:hAnsiTheme="majorBidi" w:cstheme="majorBidi"/>
        </w:rPr>
        <w:t>elements, and of the reviving year</w:t>
      </w:r>
      <w:r w:rsidR="007F10CF" w:rsidRPr="009D70E8">
        <w:rPr>
          <w:rFonts w:asciiTheme="majorBidi" w:hAnsiTheme="majorBidi" w:cstheme="majorBidi"/>
        </w:rPr>
        <w:t>.”</w:t>
      </w:r>
      <w:r w:rsidR="009D70E8" w:rsidRPr="009D70E8">
        <w:rPr>
          <w:rFonts w:asciiTheme="majorBidi" w:hAnsiTheme="majorBidi" w:cstheme="majorBidi"/>
        </w:rPr>
        <w:t xml:space="preserve"> </w:t>
      </w:r>
    </w:p>
  </w:footnote>
  <w:footnote w:id="12">
    <w:p w14:paraId="40CCDFA9" w14:textId="42C952A7" w:rsidR="00A77A1A" w:rsidRPr="00CE3357" w:rsidRDefault="00A77A1A" w:rsidP="009D70E8">
      <w:pPr>
        <w:pStyle w:val="FootnoteText"/>
        <w:spacing w:line="360" w:lineRule="auto"/>
        <w:rPr>
          <w:rFonts w:ascii="David" w:hAnsi="David" w:cs="David"/>
          <w:lang w:val="en-GB"/>
        </w:rPr>
      </w:pPr>
      <w:r w:rsidRPr="00FB7A6C">
        <w:rPr>
          <w:rStyle w:val="FootnoteReference"/>
          <w:rFonts w:ascii="Times New Roman" w:hAnsi="Times New Roman" w:cs="David"/>
        </w:rPr>
        <w:footnoteRef/>
      </w:r>
      <w:r w:rsidRPr="00FB7A6C">
        <w:rPr>
          <w:rFonts w:ascii="Times New Roman" w:hAnsi="Times New Roman" w:cs="David"/>
        </w:rPr>
        <w:t xml:space="preserve"> </w:t>
      </w:r>
      <w:r w:rsidR="009D70E8" w:rsidRPr="009D70E8">
        <w:rPr>
          <w:rFonts w:ascii="Times New Roman" w:hAnsi="Times New Roman" w:cs="David" w:hint="cs"/>
          <w:rtl/>
          <w:lang w:val="en-GB"/>
        </w:rPr>
        <w:t>יש</w:t>
      </w:r>
      <w:r w:rsidR="009D70E8">
        <w:rPr>
          <w:rFonts w:ascii="Times New Roman" w:hAnsi="Times New Roman" w:cs="David" w:hint="cs"/>
          <w:rtl/>
          <w:lang w:val="en-GB"/>
        </w:rPr>
        <w:t xml:space="preserve"> לשים לב כי </w:t>
      </w:r>
      <w:r w:rsidR="00CE3357">
        <w:rPr>
          <w:rFonts w:ascii="Times New Roman" w:hAnsi="Times New Roman" w:cs="David" w:hint="cs"/>
          <w:rtl/>
          <w:lang w:val="en-GB"/>
        </w:rPr>
        <w:t xml:space="preserve">בדומה למקורות הנוצריים, שכולם נכתבו בידי יושבי ארץ ישראל, </w:t>
      </w:r>
      <w:r w:rsidR="009D70E8">
        <w:rPr>
          <w:rFonts w:ascii="Times New Roman" w:hAnsi="Times New Roman" w:cs="David" w:hint="cs"/>
          <w:rtl/>
          <w:lang w:val="en-GB"/>
        </w:rPr>
        <w:t xml:space="preserve">גם </w:t>
      </w:r>
      <w:r w:rsidR="009D70E8" w:rsidRPr="009D70E8">
        <w:rPr>
          <w:rFonts w:ascii="Times New Roman" w:hAnsi="Times New Roman" w:cs="David" w:hint="cs"/>
          <w:rtl/>
          <w:lang w:val="en-GB"/>
        </w:rPr>
        <w:t>ה</w:t>
      </w:r>
      <w:r w:rsidR="009D70E8">
        <w:rPr>
          <w:rFonts w:ascii="Times New Roman" w:hAnsi="Times New Roman" w:cs="David" w:hint="cs"/>
          <w:rtl/>
          <w:lang w:val="en-GB"/>
        </w:rPr>
        <w:t xml:space="preserve">מקורות התלמודיים </w:t>
      </w:r>
      <w:r w:rsidR="009D70E8" w:rsidRPr="009D70E8">
        <w:rPr>
          <w:rFonts w:ascii="Times New Roman" w:hAnsi="Times New Roman" w:cs="David" w:hint="cs"/>
          <w:rtl/>
          <w:lang w:val="en-GB"/>
        </w:rPr>
        <w:t xml:space="preserve">מייחסים את </w:t>
      </w:r>
      <w:r w:rsidR="009D70E8">
        <w:rPr>
          <w:rFonts w:ascii="Times New Roman" w:hAnsi="Times New Roman" w:cs="David" w:hint="cs"/>
          <w:rtl/>
          <w:lang w:val="en-GB"/>
        </w:rPr>
        <w:t>המשל</w:t>
      </w:r>
      <w:r w:rsidR="009D70E8" w:rsidRPr="009D70E8">
        <w:rPr>
          <w:rFonts w:ascii="Times New Roman" w:hAnsi="Times New Roman" w:cs="David" w:hint="cs"/>
          <w:rtl/>
          <w:lang w:val="en-GB"/>
        </w:rPr>
        <w:t xml:space="preserve"> לדמויות שהתגוררו בארץ ישראל</w:t>
      </w:r>
      <w:r w:rsidR="009D70E8">
        <w:rPr>
          <w:rFonts w:ascii="Times New Roman" w:hAnsi="Times New Roman" w:cs="David" w:hint="cs"/>
          <w:rtl/>
          <w:lang w:val="en-GB"/>
        </w:rPr>
        <w:t>.</w:t>
      </w:r>
      <w:r w:rsidR="009D70E8" w:rsidRPr="009D70E8">
        <w:rPr>
          <w:rFonts w:ascii="Times New Roman" w:hAnsi="Times New Roman" w:cs="David" w:hint="cs"/>
          <w:rtl/>
          <w:lang w:val="en-GB"/>
        </w:rPr>
        <w:t xml:space="preserve"> </w:t>
      </w:r>
      <w:r w:rsidR="00CE3357">
        <w:rPr>
          <w:rFonts w:ascii="Times New Roman" w:hAnsi="Times New Roman" w:cs="David" w:hint="cs"/>
          <w:rtl/>
          <w:lang w:val="en-GB"/>
        </w:rPr>
        <w:t xml:space="preserve">עוד יש </w:t>
      </w:r>
      <w:r w:rsidR="009D70E8" w:rsidRPr="009D70E8">
        <w:rPr>
          <w:rFonts w:ascii="Times New Roman" w:hAnsi="Times New Roman" w:cs="David" w:hint="cs"/>
          <w:rtl/>
          <w:lang w:val="en-GB"/>
        </w:rPr>
        <w:t xml:space="preserve">להדגיש כי לא כל </w:t>
      </w:r>
      <w:r w:rsidR="00797867">
        <w:rPr>
          <w:rFonts w:ascii="Times New Roman" w:hAnsi="Times New Roman" w:cs="David" w:hint="cs"/>
          <w:rtl/>
          <w:lang w:val="en-GB"/>
        </w:rPr>
        <w:t>משל של</w:t>
      </w:r>
      <w:r w:rsidR="009D70E8" w:rsidRPr="009D70E8">
        <w:rPr>
          <w:rFonts w:ascii="Times New Roman" w:hAnsi="Times New Roman" w:cs="David" w:hint="cs"/>
          <w:rtl/>
          <w:lang w:val="en-GB"/>
        </w:rPr>
        <w:t xml:space="preserve"> זריעה וקציר משמש בהכרח כדימוי למוות ותחייה</w:t>
      </w:r>
      <w:r w:rsidR="00797867">
        <w:rPr>
          <w:rFonts w:ascii="Times New Roman" w:hAnsi="Times New Roman" w:cs="David" w:hint="cs"/>
          <w:rtl/>
          <w:lang w:val="en-GB"/>
        </w:rPr>
        <w:t>, כפי שעולה למשל מ</w:t>
      </w:r>
      <w:r w:rsidR="009D70E8" w:rsidRPr="009D70E8">
        <w:rPr>
          <w:rFonts w:ascii="Times New Roman" w:hAnsi="Times New Roman" w:cs="David" w:hint="cs"/>
          <w:rtl/>
          <w:lang w:val="en-GB"/>
        </w:rPr>
        <w:t>מַתַי י"ג</w:t>
      </w:r>
      <w:r w:rsidR="00797867">
        <w:rPr>
          <w:rFonts w:ascii="Times New Roman" w:hAnsi="Times New Roman" w:cs="David" w:hint="cs"/>
          <w:rtl/>
          <w:lang w:val="en-GB"/>
        </w:rPr>
        <w:t>.</w:t>
      </w:r>
      <w:r w:rsidR="009D70E8" w:rsidRPr="009D70E8">
        <w:rPr>
          <w:rFonts w:ascii="Times New Roman" w:hAnsi="Times New Roman" w:cs="David" w:hint="cs"/>
          <w:rtl/>
          <w:lang w:val="en-GB"/>
        </w:rPr>
        <w:t xml:space="preserve"> להבדיל מ</w:t>
      </w:r>
      <w:r w:rsidR="00CE3357">
        <w:rPr>
          <w:rFonts w:ascii="Times New Roman" w:hAnsi="Times New Roman" w:cs="David" w:hint="cs"/>
          <w:rtl/>
          <w:lang w:val="en-GB"/>
        </w:rPr>
        <w:t>מנו</w:t>
      </w:r>
      <w:r w:rsidR="009D70E8" w:rsidRPr="009D70E8">
        <w:rPr>
          <w:rFonts w:ascii="Times New Roman" w:hAnsi="Times New Roman" w:cs="David" w:hint="cs"/>
          <w:rtl/>
          <w:lang w:val="en-GB"/>
        </w:rPr>
        <w:t>, קלמנט הרומי</w:t>
      </w:r>
      <w:r w:rsidR="00CE3357">
        <w:rPr>
          <w:rFonts w:ascii="Times New Roman" w:hAnsi="Times New Roman" w:cs="David" w:hint="cs"/>
          <w:rtl/>
          <w:lang w:val="en-GB"/>
        </w:rPr>
        <w:t xml:space="preserve"> (באיגרת הראשונה אל הקורינתיים, 24:4-5)</w:t>
      </w:r>
      <w:r w:rsidR="009D70E8" w:rsidRPr="009D70E8">
        <w:rPr>
          <w:rFonts w:ascii="Times New Roman" w:hAnsi="Times New Roman" w:cs="David" w:hint="cs"/>
          <w:rtl/>
          <w:lang w:val="en-GB"/>
        </w:rPr>
        <w:t>, בן זמנו של יוסטינוס מרטיר, אמנם ביקש ל</w:t>
      </w:r>
      <w:r w:rsidR="00CE3357">
        <w:rPr>
          <w:rFonts w:ascii="Times New Roman" w:hAnsi="Times New Roman" w:cs="David" w:hint="cs"/>
          <w:rtl/>
          <w:lang w:val="en-GB"/>
        </w:rPr>
        <w:t>צטט</w:t>
      </w:r>
      <w:r w:rsidR="009D70E8" w:rsidRPr="009D70E8">
        <w:rPr>
          <w:rFonts w:ascii="Times New Roman" w:hAnsi="Times New Roman" w:cs="David" w:hint="cs"/>
          <w:rtl/>
          <w:lang w:val="en-GB"/>
        </w:rPr>
        <w:t xml:space="preserve"> </w:t>
      </w:r>
      <w:r w:rsidR="00CE3357">
        <w:rPr>
          <w:rFonts w:ascii="Times New Roman" w:hAnsi="Times New Roman" w:cs="David" w:hint="cs"/>
          <w:rtl/>
          <w:lang w:val="en-GB"/>
        </w:rPr>
        <w:t xml:space="preserve">את </w:t>
      </w:r>
      <w:r w:rsidR="009D70E8" w:rsidRPr="009D70E8">
        <w:rPr>
          <w:rFonts w:ascii="Times New Roman" w:hAnsi="Times New Roman" w:cs="David" w:hint="cs"/>
          <w:rtl/>
          <w:lang w:val="en-GB"/>
        </w:rPr>
        <w:t>משל</w:t>
      </w:r>
      <w:r w:rsidR="00CE3357">
        <w:rPr>
          <w:rFonts w:ascii="Times New Roman" w:hAnsi="Times New Roman" w:cs="David" w:hint="cs"/>
          <w:rtl/>
          <w:lang w:val="en-GB"/>
        </w:rPr>
        <w:t xml:space="preserve"> מות הזרע ותחייתו</w:t>
      </w:r>
      <w:r w:rsidR="009D70E8" w:rsidRPr="009D70E8">
        <w:rPr>
          <w:rFonts w:ascii="Times New Roman" w:hAnsi="Times New Roman" w:cs="David" w:hint="cs"/>
          <w:rtl/>
          <w:lang w:val="en-GB"/>
        </w:rPr>
        <w:t xml:space="preserve">, אולם שמט ממנו את ההנחה הבסיסית עליה נשען </w:t>
      </w:r>
      <w:r w:rsidR="009D70E8" w:rsidRPr="009D70E8">
        <w:rPr>
          <w:rFonts w:ascii="Times New Roman" w:hAnsi="Times New Roman" w:cs="David"/>
          <w:rtl/>
          <w:lang w:val="en-GB"/>
        </w:rPr>
        <w:t>–</w:t>
      </w:r>
      <w:r w:rsidR="009D70E8" w:rsidRPr="009D70E8">
        <w:rPr>
          <w:rFonts w:ascii="Times New Roman" w:hAnsi="Times New Roman" w:cs="David" w:hint="cs"/>
          <w:rtl/>
          <w:lang w:val="en-GB"/>
        </w:rPr>
        <w:t xml:space="preserve"> על פיה הזרע נחשב למת, ובחר בדימוי אחר:</w:t>
      </w:r>
      <w:r w:rsidR="00CE3357">
        <w:rPr>
          <w:rFonts w:ascii="Times New Roman" w:hAnsi="Times New Roman" w:cs="David" w:hint="cs"/>
          <w:rtl/>
          <w:lang w:val="en-GB"/>
        </w:rPr>
        <w:t xml:space="preserve"> </w:t>
      </w:r>
      <w:r w:rsidR="00CE3357" w:rsidRPr="009D70E8">
        <w:rPr>
          <w:rFonts w:ascii="Times New Roman" w:hAnsi="Times New Roman" w:cs="David" w:hint="cs"/>
          <w:rtl/>
          <w:lang w:val="en-GB"/>
        </w:rPr>
        <w:t xml:space="preserve">זרע עקר המסוגל להתרבות. נראה כי עשה כן לאחר שלא הכיר או לא הבין את הקונבנציה הרואה בזרע ישות מתה, ועל כן כשביקש להשתמש באותו משל, תיאר את הזרע באופן אחר </w:t>
      </w:r>
      <w:r w:rsidR="00CE3357" w:rsidRPr="009D70E8">
        <w:rPr>
          <w:rFonts w:ascii="Times New Roman" w:hAnsi="Times New Roman" w:cs="David"/>
          <w:rtl/>
          <w:lang w:val="en-GB"/>
        </w:rPr>
        <w:t>–</w:t>
      </w:r>
      <w:r w:rsidR="00CE3357" w:rsidRPr="009D70E8">
        <w:rPr>
          <w:rFonts w:ascii="Times New Roman" w:hAnsi="Times New Roman" w:cs="David" w:hint="cs"/>
          <w:rtl/>
          <w:lang w:val="en-GB"/>
        </w:rPr>
        <w:t xml:space="preserve"> יבש ועקר, אך לא מת.</w:t>
      </w:r>
      <w:r w:rsidR="009D70E8" w:rsidRPr="009D70E8">
        <w:rPr>
          <w:rFonts w:ascii="Times New Roman" w:hAnsi="Times New Roman" w:cs="David" w:hint="cs"/>
          <w:lang w:val="en-IL"/>
        </w:rPr>
        <w:t xml:space="preserve"> </w:t>
      </w:r>
    </w:p>
  </w:footnote>
  <w:footnote w:id="13">
    <w:p w14:paraId="547350A0" w14:textId="4AD3C9E9" w:rsidR="00CE3357" w:rsidRPr="00CE3357" w:rsidRDefault="00CE3357" w:rsidP="00CE3357">
      <w:pPr>
        <w:pStyle w:val="FootnoteText"/>
        <w:bidi/>
        <w:rPr>
          <w:rFonts w:ascii="David" w:hAnsi="David" w:cs="David"/>
          <w:rtl/>
        </w:rPr>
      </w:pPr>
      <w:r w:rsidRPr="00CE3357">
        <w:rPr>
          <w:rStyle w:val="FootnoteReference"/>
          <w:rFonts w:ascii="David" w:hAnsi="David" w:cs="David"/>
        </w:rPr>
        <w:footnoteRef/>
      </w:r>
      <w:r w:rsidRPr="00CE3357">
        <w:rPr>
          <w:rFonts w:ascii="David" w:hAnsi="David" w:cs="David"/>
        </w:rPr>
        <w:t xml:space="preserve"> </w:t>
      </w:r>
      <w:r w:rsidR="00797867">
        <w:rPr>
          <w:rFonts w:ascii="David" w:hAnsi="David" w:cs="David" w:hint="cs"/>
          <w:rtl/>
        </w:rPr>
        <w:t>הטבלה הבאה ממחישה את הדמיון בין הכתובים השונים שנמנו לעיל</w:t>
      </w:r>
      <w:r w:rsidRPr="00CE3357">
        <w:rPr>
          <w:rFonts w:ascii="David" w:hAnsi="David" w:cs="David"/>
          <w:rtl/>
        </w:rPr>
        <w:t>:</w:t>
      </w:r>
    </w:p>
    <w:tbl>
      <w:tblPr>
        <w:tblStyle w:val="TableGrid"/>
        <w:bidiVisual/>
        <w:tblW w:w="9252" w:type="dxa"/>
        <w:tblLayout w:type="fixed"/>
        <w:tblLook w:val="04A0" w:firstRow="1" w:lastRow="0" w:firstColumn="1" w:lastColumn="0" w:noHBand="0" w:noVBand="1"/>
      </w:tblPr>
      <w:tblGrid>
        <w:gridCol w:w="1995"/>
        <w:gridCol w:w="1055"/>
        <w:gridCol w:w="1057"/>
        <w:gridCol w:w="1232"/>
        <w:gridCol w:w="1370"/>
        <w:gridCol w:w="1134"/>
        <w:gridCol w:w="1402"/>
        <w:gridCol w:w="7"/>
      </w:tblGrid>
      <w:tr w:rsidR="00CE3357" w14:paraId="7CDD9704" w14:textId="77777777" w:rsidTr="00C31FCC">
        <w:trPr>
          <w:gridAfter w:val="1"/>
          <w:wAfter w:w="7" w:type="dxa"/>
        </w:trPr>
        <w:tc>
          <w:tcPr>
            <w:tcW w:w="1995" w:type="dxa"/>
          </w:tcPr>
          <w:p w14:paraId="2388557F" w14:textId="77777777" w:rsidR="00CE3357" w:rsidRPr="00CE3357" w:rsidRDefault="00CE3357" w:rsidP="00CE3357">
            <w:pPr>
              <w:bidi/>
              <w:spacing w:line="480" w:lineRule="auto"/>
              <w:rPr>
                <w:rFonts w:ascii="David" w:hAnsi="David" w:cs="David"/>
                <w:sz w:val="20"/>
                <w:szCs w:val="20"/>
                <w:rtl/>
                <w:lang w:val="en-GB"/>
              </w:rPr>
            </w:pPr>
          </w:p>
        </w:tc>
        <w:tc>
          <w:tcPr>
            <w:tcW w:w="3344" w:type="dxa"/>
            <w:gridSpan w:val="3"/>
          </w:tcPr>
          <w:p w14:paraId="4044A0CF"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זריעה</w:t>
            </w:r>
          </w:p>
        </w:tc>
        <w:tc>
          <w:tcPr>
            <w:tcW w:w="3906" w:type="dxa"/>
            <w:gridSpan w:val="3"/>
          </w:tcPr>
          <w:p w14:paraId="23D9FD77"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צמיחה/קציר</w:t>
            </w:r>
          </w:p>
        </w:tc>
      </w:tr>
      <w:tr w:rsidR="00CE3357" w:rsidRPr="009F0146" w14:paraId="24E40694" w14:textId="77777777" w:rsidTr="00C31FCC">
        <w:tc>
          <w:tcPr>
            <w:tcW w:w="1995" w:type="dxa"/>
          </w:tcPr>
          <w:p w14:paraId="5BF77E05" w14:textId="77777777" w:rsidR="00CE3357" w:rsidRPr="00CE3357" w:rsidRDefault="00CE3357" w:rsidP="00CE3357">
            <w:pPr>
              <w:bidi/>
              <w:spacing w:line="480" w:lineRule="auto"/>
              <w:rPr>
                <w:rFonts w:ascii="David" w:hAnsi="David" w:cs="David"/>
                <w:sz w:val="20"/>
                <w:szCs w:val="20"/>
                <w:rtl/>
                <w:lang w:val="en-GB"/>
              </w:rPr>
            </w:pPr>
          </w:p>
        </w:tc>
        <w:tc>
          <w:tcPr>
            <w:tcW w:w="1055" w:type="dxa"/>
          </w:tcPr>
          <w:p w14:paraId="40AA728A" w14:textId="77777777" w:rsidR="00CE3357" w:rsidRPr="009F0146" w:rsidRDefault="00CE3357" w:rsidP="00CE3357">
            <w:pPr>
              <w:bidi/>
              <w:jc w:val="center"/>
              <w:rPr>
                <w:rFonts w:ascii="David" w:hAnsi="David" w:cs="David"/>
                <w:sz w:val="16"/>
                <w:szCs w:val="16"/>
                <w:rtl/>
                <w:lang w:val="en-GB"/>
              </w:rPr>
            </w:pPr>
            <w:r w:rsidRPr="009F0146">
              <w:rPr>
                <w:rFonts w:ascii="David" w:hAnsi="David" w:cs="David" w:hint="cs"/>
                <w:sz w:val="16"/>
                <w:szCs w:val="16"/>
                <w:rtl/>
                <w:lang w:val="en-GB"/>
              </w:rPr>
              <w:t>תיאור המעשה: זריעה</w:t>
            </w:r>
          </w:p>
        </w:tc>
        <w:tc>
          <w:tcPr>
            <w:tcW w:w="1057" w:type="dxa"/>
          </w:tcPr>
          <w:p w14:paraId="65F8E11C" w14:textId="77777777" w:rsidR="00CE3357" w:rsidRPr="009F0146" w:rsidRDefault="00CE3357" w:rsidP="00CE3357">
            <w:pPr>
              <w:bidi/>
              <w:jc w:val="center"/>
              <w:rPr>
                <w:rFonts w:ascii="David" w:hAnsi="David" w:cs="David"/>
                <w:sz w:val="16"/>
                <w:szCs w:val="16"/>
                <w:rtl/>
                <w:lang w:val="en-GB"/>
              </w:rPr>
            </w:pPr>
            <w:r w:rsidRPr="009F0146">
              <w:rPr>
                <w:rFonts w:ascii="David" w:hAnsi="David" w:cs="David" w:hint="cs"/>
                <w:sz w:val="16"/>
                <w:szCs w:val="16"/>
                <w:rtl/>
                <w:lang w:val="en-GB"/>
              </w:rPr>
              <w:t>תיאור המחווה: בכי</w:t>
            </w:r>
          </w:p>
        </w:tc>
        <w:tc>
          <w:tcPr>
            <w:tcW w:w="1232" w:type="dxa"/>
          </w:tcPr>
          <w:p w14:paraId="17E0EC3B" w14:textId="77777777" w:rsidR="00CE3357" w:rsidRPr="009F0146" w:rsidRDefault="00CE3357" w:rsidP="00CE3357">
            <w:pPr>
              <w:bidi/>
              <w:jc w:val="center"/>
              <w:rPr>
                <w:rFonts w:ascii="David" w:hAnsi="David" w:cs="David"/>
                <w:sz w:val="16"/>
                <w:szCs w:val="16"/>
                <w:rtl/>
                <w:lang w:val="en-GB"/>
              </w:rPr>
            </w:pPr>
            <w:r w:rsidRPr="009F0146">
              <w:rPr>
                <w:rFonts w:ascii="David" w:hAnsi="David" w:cs="David" w:hint="cs"/>
                <w:sz w:val="16"/>
                <w:szCs w:val="16"/>
                <w:rtl/>
                <w:lang w:val="en-GB"/>
              </w:rPr>
              <w:t>הסבר: הזרע באדמה מדומה למת (אל/</w:t>
            </w:r>
            <w:r>
              <w:rPr>
                <w:rFonts w:ascii="David" w:hAnsi="David" w:cs="David" w:hint="cs"/>
                <w:sz w:val="16"/>
                <w:szCs w:val="16"/>
                <w:rtl/>
                <w:lang w:val="en-GB"/>
              </w:rPr>
              <w:t>בשר ודם</w:t>
            </w:r>
            <w:r w:rsidRPr="009F0146">
              <w:rPr>
                <w:rFonts w:ascii="David" w:hAnsi="David" w:cs="David" w:hint="cs"/>
                <w:sz w:val="16"/>
                <w:szCs w:val="16"/>
                <w:rtl/>
                <w:lang w:val="en-GB"/>
              </w:rPr>
              <w:t>)</w:t>
            </w:r>
          </w:p>
        </w:tc>
        <w:tc>
          <w:tcPr>
            <w:tcW w:w="1370" w:type="dxa"/>
          </w:tcPr>
          <w:p w14:paraId="2AD34CFB" w14:textId="77777777" w:rsidR="00CE3357" w:rsidRPr="009F0146" w:rsidRDefault="00CE3357" w:rsidP="00CE3357">
            <w:pPr>
              <w:bidi/>
              <w:jc w:val="center"/>
              <w:rPr>
                <w:rFonts w:ascii="David" w:hAnsi="David" w:cs="David"/>
                <w:sz w:val="16"/>
                <w:szCs w:val="16"/>
                <w:rtl/>
                <w:lang w:val="en-GB"/>
              </w:rPr>
            </w:pPr>
            <w:r w:rsidRPr="009F0146">
              <w:rPr>
                <w:rFonts w:ascii="David" w:hAnsi="David" w:cs="David" w:hint="cs"/>
                <w:sz w:val="16"/>
                <w:szCs w:val="16"/>
                <w:rtl/>
                <w:lang w:val="en-GB"/>
              </w:rPr>
              <w:t>תיאור המעשה: גדילת השיבולים/קצירתם</w:t>
            </w:r>
          </w:p>
        </w:tc>
        <w:tc>
          <w:tcPr>
            <w:tcW w:w="1134" w:type="dxa"/>
          </w:tcPr>
          <w:p w14:paraId="073CFFD8" w14:textId="77777777" w:rsidR="00CE3357" w:rsidRPr="009F0146" w:rsidRDefault="00CE3357" w:rsidP="00CE3357">
            <w:pPr>
              <w:bidi/>
              <w:jc w:val="center"/>
              <w:rPr>
                <w:rFonts w:ascii="David" w:hAnsi="David" w:cs="David"/>
                <w:sz w:val="16"/>
                <w:szCs w:val="16"/>
                <w:rtl/>
                <w:lang w:val="en-GB"/>
              </w:rPr>
            </w:pPr>
            <w:r w:rsidRPr="009F0146">
              <w:rPr>
                <w:rFonts w:ascii="David" w:hAnsi="David" w:cs="David" w:hint="cs"/>
                <w:sz w:val="16"/>
                <w:szCs w:val="16"/>
                <w:rtl/>
                <w:lang w:val="en-GB"/>
              </w:rPr>
              <w:t>תיאור המחווה: שמחה</w:t>
            </w:r>
          </w:p>
        </w:tc>
        <w:tc>
          <w:tcPr>
            <w:tcW w:w="1409" w:type="dxa"/>
            <w:gridSpan w:val="2"/>
          </w:tcPr>
          <w:p w14:paraId="4A2FBFF5" w14:textId="77777777" w:rsidR="00CE3357" w:rsidRPr="009F0146" w:rsidRDefault="00CE3357" w:rsidP="00CE3357">
            <w:pPr>
              <w:bidi/>
              <w:jc w:val="center"/>
              <w:rPr>
                <w:rFonts w:ascii="David" w:hAnsi="David" w:cs="David"/>
                <w:sz w:val="16"/>
                <w:szCs w:val="16"/>
                <w:rtl/>
                <w:lang w:val="en-GB"/>
              </w:rPr>
            </w:pPr>
            <w:r w:rsidRPr="009F0146">
              <w:rPr>
                <w:rFonts w:ascii="David" w:hAnsi="David" w:cs="David" w:hint="cs"/>
                <w:sz w:val="16"/>
                <w:szCs w:val="16"/>
                <w:rtl/>
                <w:lang w:val="en-GB"/>
              </w:rPr>
              <w:t>הסבר: גדילת השיבולים מסמלת תחייה (של האל/</w:t>
            </w:r>
            <w:r>
              <w:rPr>
                <w:rFonts w:ascii="David" w:hAnsi="David" w:cs="David" w:hint="cs"/>
                <w:sz w:val="16"/>
                <w:szCs w:val="16"/>
                <w:rtl/>
                <w:lang w:val="en-GB"/>
              </w:rPr>
              <w:t>בשר ודם</w:t>
            </w:r>
            <w:r w:rsidRPr="009F0146">
              <w:rPr>
                <w:rFonts w:ascii="David" w:hAnsi="David" w:cs="David" w:hint="cs"/>
                <w:sz w:val="16"/>
                <w:szCs w:val="16"/>
                <w:rtl/>
                <w:lang w:val="en-GB"/>
              </w:rPr>
              <w:t>)</w:t>
            </w:r>
          </w:p>
        </w:tc>
      </w:tr>
      <w:tr w:rsidR="00CE3357" w:rsidRPr="009F0146" w14:paraId="4083C7AB" w14:textId="77777777" w:rsidTr="00C31FCC">
        <w:tc>
          <w:tcPr>
            <w:tcW w:w="1995" w:type="dxa"/>
            <w:vAlign w:val="center"/>
          </w:tcPr>
          <w:p w14:paraId="5ADD16CF"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תה' קכ"ו 5-6</w:t>
            </w:r>
          </w:p>
        </w:tc>
        <w:tc>
          <w:tcPr>
            <w:tcW w:w="1055" w:type="dxa"/>
            <w:vAlign w:val="center"/>
          </w:tcPr>
          <w:p w14:paraId="6EC0E221"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057" w:type="dxa"/>
            <w:vAlign w:val="center"/>
          </w:tcPr>
          <w:p w14:paraId="78B01182"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232" w:type="dxa"/>
            <w:vAlign w:val="center"/>
          </w:tcPr>
          <w:p w14:paraId="159C9C71" w14:textId="77777777" w:rsidR="00CE3357" w:rsidRPr="00CE3357" w:rsidRDefault="00CE3357" w:rsidP="00CE3357">
            <w:pPr>
              <w:bidi/>
              <w:spacing w:line="480" w:lineRule="auto"/>
              <w:jc w:val="center"/>
              <w:rPr>
                <w:rFonts w:ascii="David" w:hAnsi="David" w:cs="David"/>
                <w:sz w:val="20"/>
                <w:szCs w:val="20"/>
                <w:rtl/>
                <w:lang w:val="en-GB"/>
              </w:rPr>
            </w:pPr>
          </w:p>
        </w:tc>
        <w:tc>
          <w:tcPr>
            <w:tcW w:w="1370" w:type="dxa"/>
            <w:vAlign w:val="center"/>
          </w:tcPr>
          <w:p w14:paraId="342A6A67"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134" w:type="dxa"/>
            <w:vAlign w:val="center"/>
          </w:tcPr>
          <w:p w14:paraId="5A40B29B"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409" w:type="dxa"/>
            <w:gridSpan w:val="2"/>
            <w:vAlign w:val="center"/>
          </w:tcPr>
          <w:p w14:paraId="7F10BF31" w14:textId="77777777" w:rsidR="00CE3357" w:rsidRPr="00CE3357" w:rsidRDefault="00CE3357" w:rsidP="00CE3357">
            <w:pPr>
              <w:bidi/>
              <w:spacing w:line="480" w:lineRule="auto"/>
              <w:jc w:val="center"/>
              <w:rPr>
                <w:rFonts w:ascii="David" w:hAnsi="David" w:cs="David"/>
                <w:sz w:val="20"/>
                <w:szCs w:val="20"/>
                <w:rtl/>
                <w:lang w:val="en-GB"/>
              </w:rPr>
            </w:pPr>
          </w:p>
        </w:tc>
      </w:tr>
      <w:tr w:rsidR="00CE3357" w:rsidRPr="009F0146" w14:paraId="5E5EABA0" w14:textId="77777777" w:rsidTr="00C31FCC">
        <w:tc>
          <w:tcPr>
            <w:tcW w:w="1995" w:type="dxa"/>
            <w:vAlign w:val="center"/>
          </w:tcPr>
          <w:p w14:paraId="1A8FB12F"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ריטואלים פגאניים</w:t>
            </w:r>
          </w:p>
        </w:tc>
        <w:tc>
          <w:tcPr>
            <w:tcW w:w="1055" w:type="dxa"/>
            <w:vAlign w:val="center"/>
          </w:tcPr>
          <w:p w14:paraId="158D052F"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057" w:type="dxa"/>
            <w:vAlign w:val="center"/>
          </w:tcPr>
          <w:p w14:paraId="5E0C9CE3"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232" w:type="dxa"/>
            <w:vAlign w:val="center"/>
          </w:tcPr>
          <w:p w14:paraId="24EB8EE0"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370" w:type="dxa"/>
            <w:vAlign w:val="center"/>
          </w:tcPr>
          <w:p w14:paraId="7BD4FC1E"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134" w:type="dxa"/>
            <w:vAlign w:val="center"/>
          </w:tcPr>
          <w:p w14:paraId="34D8F573"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409" w:type="dxa"/>
            <w:gridSpan w:val="2"/>
            <w:vAlign w:val="center"/>
          </w:tcPr>
          <w:p w14:paraId="024CFBA5"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r>
      <w:tr w:rsidR="00CE3357" w:rsidRPr="009F0146" w14:paraId="25AB5701" w14:textId="77777777" w:rsidTr="00C31FCC">
        <w:tc>
          <w:tcPr>
            <w:tcW w:w="1995" w:type="dxa"/>
            <w:vAlign w:val="center"/>
          </w:tcPr>
          <w:p w14:paraId="70EB0C4A"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דימויים לא-פגאניים</w:t>
            </w:r>
          </w:p>
        </w:tc>
        <w:tc>
          <w:tcPr>
            <w:tcW w:w="1055" w:type="dxa"/>
            <w:vAlign w:val="center"/>
          </w:tcPr>
          <w:p w14:paraId="04436AB2"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057" w:type="dxa"/>
            <w:vAlign w:val="center"/>
          </w:tcPr>
          <w:p w14:paraId="2960F33A" w14:textId="77777777" w:rsidR="00CE3357" w:rsidRPr="00CE3357" w:rsidRDefault="00CE3357" w:rsidP="00CE3357">
            <w:pPr>
              <w:bidi/>
              <w:spacing w:line="480" w:lineRule="auto"/>
              <w:jc w:val="center"/>
              <w:rPr>
                <w:rFonts w:ascii="David" w:hAnsi="David" w:cs="David"/>
                <w:sz w:val="20"/>
                <w:szCs w:val="20"/>
                <w:rtl/>
                <w:lang w:val="en-GB"/>
              </w:rPr>
            </w:pPr>
          </w:p>
        </w:tc>
        <w:tc>
          <w:tcPr>
            <w:tcW w:w="1232" w:type="dxa"/>
            <w:vAlign w:val="center"/>
          </w:tcPr>
          <w:p w14:paraId="075FB344"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370" w:type="dxa"/>
            <w:vAlign w:val="center"/>
          </w:tcPr>
          <w:p w14:paraId="7D6CFE35"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134" w:type="dxa"/>
            <w:vAlign w:val="center"/>
          </w:tcPr>
          <w:p w14:paraId="59613488" w14:textId="77777777" w:rsidR="00CE3357" w:rsidRPr="00CE3357" w:rsidRDefault="00CE3357" w:rsidP="00CE3357">
            <w:pPr>
              <w:bidi/>
              <w:spacing w:line="480" w:lineRule="auto"/>
              <w:jc w:val="center"/>
              <w:rPr>
                <w:rFonts w:ascii="David" w:hAnsi="David" w:cs="David"/>
                <w:sz w:val="20"/>
                <w:szCs w:val="20"/>
                <w:rtl/>
                <w:lang w:val="en-GB"/>
              </w:rPr>
            </w:pPr>
          </w:p>
        </w:tc>
        <w:tc>
          <w:tcPr>
            <w:tcW w:w="1409" w:type="dxa"/>
            <w:gridSpan w:val="2"/>
            <w:vAlign w:val="center"/>
          </w:tcPr>
          <w:p w14:paraId="01293A39"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r>
    </w:tbl>
    <w:p w14:paraId="3E76977D" w14:textId="77777777" w:rsidR="00CE3357" w:rsidRPr="00CE3357" w:rsidRDefault="00CE3357" w:rsidP="00CE3357">
      <w:pPr>
        <w:pStyle w:val="FootnoteText"/>
        <w:bidi/>
        <w:rPr>
          <w:rtl/>
        </w:rPr>
      </w:pPr>
    </w:p>
  </w:footnote>
  <w:footnote w:id="14">
    <w:p w14:paraId="38225C70" w14:textId="1428A9E8" w:rsidR="001113E1" w:rsidRPr="00FB7A6C" w:rsidRDefault="001113E1" w:rsidP="00FB7A6C">
      <w:pPr>
        <w:pStyle w:val="FootnoteText"/>
        <w:spacing w:line="360" w:lineRule="auto"/>
        <w:rPr>
          <w:rFonts w:ascii="Times New Roman" w:hAnsi="Times New Roman" w:cs="David"/>
        </w:rPr>
      </w:pPr>
      <w:r w:rsidRPr="00FB7A6C">
        <w:rPr>
          <w:rStyle w:val="FootnoteReference"/>
          <w:rFonts w:ascii="Times New Roman" w:hAnsi="Times New Roman" w:cs="David"/>
        </w:rPr>
        <w:footnoteRef/>
      </w:r>
      <w:r w:rsidRPr="00FB7A6C">
        <w:rPr>
          <w:rFonts w:ascii="Times New Roman" w:hAnsi="Times New Roman" w:cs="David"/>
        </w:rPr>
        <w:t xml:space="preserve"> While the influence of the classical Adonis on the following two authors is certain, the resurrection of the protagonist is unique to Near Eastern sources (among pagans and patristic sources alike) and has no record in early classical sources.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FE"/>
    <w:rsid w:val="00023D58"/>
    <w:rsid w:val="000254D4"/>
    <w:rsid w:val="00026FD5"/>
    <w:rsid w:val="00047C23"/>
    <w:rsid w:val="00055D7B"/>
    <w:rsid w:val="00075D86"/>
    <w:rsid w:val="00077792"/>
    <w:rsid w:val="000A25CF"/>
    <w:rsid w:val="000B2E26"/>
    <w:rsid w:val="000B5038"/>
    <w:rsid w:val="000D1255"/>
    <w:rsid w:val="00101BDB"/>
    <w:rsid w:val="00111026"/>
    <w:rsid w:val="001113E1"/>
    <w:rsid w:val="00117898"/>
    <w:rsid w:val="00120C3A"/>
    <w:rsid w:val="00132EF1"/>
    <w:rsid w:val="001330C5"/>
    <w:rsid w:val="00137660"/>
    <w:rsid w:val="001A38BD"/>
    <w:rsid w:val="001A6DB2"/>
    <w:rsid w:val="001B0F81"/>
    <w:rsid w:val="001B12C1"/>
    <w:rsid w:val="001C12F3"/>
    <w:rsid w:val="001D118B"/>
    <w:rsid w:val="001E1B74"/>
    <w:rsid w:val="001E75D5"/>
    <w:rsid w:val="002114F3"/>
    <w:rsid w:val="002224F2"/>
    <w:rsid w:val="00253B8B"/>
    <w:rsid w:val="002575F7"/>
    <w:rsid w:val="00263557"/>
    <w:rsid w:val="002A517F"/>
    <w:rsid w:val="002B5D45"/>
    <w:rsid w:val="002C26D4"/>
    <w:rsid w:val="002C77E4"/>
    <w:rsid w:val="002E14B4"/>
    <w:rsid w:val="003028C6"/>
    <w:rsid w:val="00322383"/>
    <w:rsid w:val="00326331"/>
    <w:rsid w:val="00383B27"/>
    <w:rsid w:val="003966A0"/>
    <w:rsid w:val="003A0B78"/>
    <w:rsid w:val="003A15A7"/>
    <w:rsid w:val="003B33AD"/>
    <w:rsid w:val="003C71D9"/>
    <w:rsid w:val="004803FE"/>
    <w:rsid w:val="005344CD"/>
    <w:rsid w:val="00571012"/>
    <w:rsid w:val="005725D4"/>
    <w:rsid w:val="005B1641"/>
    <w:rsid w:val="005C473F"/>
    <w:rsid w:val="005E762F"/>
    <w:rsid w:val="00617288"/>
    <w:rsid w:val="006F65E2"/>
    <w:rsid w:val="00702D4D"/>
    <w:rsid w:val="00724229"/>
    <w:rsid w:val="007400F6"/>
    <w:rsid w:val="00773479"/>
    <w:rsid w:val="00777250"/>
    <w:rsid w:val="00797867"/>
    <w:rsid w:val="007A55A7"/>
    <w:rsid w:val="007C4BD7"/>
    <w:rsid w:val="007C6029"/>
    <w:rsid w:val="007E06B8"/>
    <w:rsid w:val="007E0BFC"/>
    <w:rsid w:val="007E4A5A"/>
    <w:rsid w:val="007F10CF"/>
    <w:rsid w:val="00804E79"/>
    <w:rsid w:val="0081420E"/>
    <w:rsid w:val="0087737C"/>
    <w:rsid w:val="00891F38"/>
    <w:rsid w:val="00893152"/>
    <w:rsid w:val="008B15AC"/>
    <w:rsid w:val="008D20E2"/>
    <w:rsid w:val="008E7B2E"/>
    <w:rsid w:val="00902D14"/>
    <w:rsid w:val="00915B50"/>
    <w:rsid w:val="00924D85"/>
    <w:rsid w:val="00957CEB"/>
    <w:rsid w:val="00961CFE"/>
    <w:rsid w:val="009D70E8"/>
    <w:rsid w:val="009E4A49"/>
    <w:rsid w:val="009E7227"/>
    <w:rsid w:val="009F7362"/>
    <w:rsid w:val="00A2696A"/>
    <w:rsid w:val="00A336CE"/>
    <w:rsid w:val="00A35AFD"/>
    <w:rsid w:val="00A376AD"/>
    <w:rsid w:val="00A55F7C"/>
    <w:rsid w:val="00A65D60"/>
    <w:rsid w:val="00A76895"/>
    <w:rsid w:val="00A77A1A"/>
    <w:rsid w:val="00A90BF0"/>
    <w:rsid w:val="00AA7616"/>
    <w:rsid w:val="00AE36FC"/>
    <w:rsid w:val="00AF62CA"/>
    <w:rsid w:val="00B0591D"/>
    <w:rsid w:val="00B106F1"/>
    <w:rsid w:val="00B113FD"/>
    <w:rsid w:val="00B303D3"/>
    <w:rsid w:val="00B434F9"/>
    <w:rsid w:val="00B657D5"/>
    <w:rsid w:val="00B9430B"/>
    <w:rsid w:val="00BA1D7F"/>
    <w:rsid w:val="00BA7FA9"/>
    <w:rsid w:val="00BD488F"/>
    <w:rsid w:val="00C0791B"/>
    <w:rsid w:val="00C45D02"/>
    <w:rsid w:val="00C53689"/>
    <w:rsid w:val="00C60F63"/>
    <w:rsid w:val="00C82AFD"/>
    <w:rsid w:val="00C91DB0"/>
    <w:rsid w:val="00CE3357"/>
    <w:rsid w:val="00D46490"/>
    <w:rsid w:val="00D55177"/>
    <w:rsid w:val="00D63C99"/>
    <w:rsid w:val="00DB0804"/>
    <w:rsid w:val="00DD367D"/>
    <w:rsid w:val="00E1172B"/>
    <w:rsid w:val="00E253C2"/>
    <w:rsid w:val="00E30011"/>
    <w:rsid w:val="00EA6DBE"/>
    <w:rsid w:val="00EC65E4"/>
    <w:rsid w:val="00ED130E"/>
    <w:rsid w:val="00EE0F62"/>
    <w:rsid w:val="00F31AE2"/>
    <w:rsid w:val="00F50303"/>
    <w:rsid w:val="00F50FD2"/>
    <w:rsid w:val="00F6498F"/>
    <w:rsid w:val="00F7415E"/>
    <w:rsid w:val="00F835FE"/>
    <w:rsid w:val="00F859D9"/>
    <w:rsid w:val="00F87A39"/>
    <w:rsid w:val="00FB7A6C"/>
    <w:rsid w:val="00FB7B7E"/>
    <w:rsid w:val="00FC1FAC"/>
    <w:rsid w:val="00FC21CD"/>
    <w:rsid w:val="00FC2524"/>
    <w:rsid w:val="00FC6E11"/>
    <w:rsid w:val="00FE4ABE"/>
    <w:rsid w:val="00FF629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C15B"/>
  <w15:chartTrackingRefBased/>
  <w15:docId w15:val="{8A638FA0-394D-474B-967E-5579A831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תו"/>
    <w:basedOn w:val="Normal"/>
    <w:link w:val="FootnoteTextChar"/>
    <w:uiPriority w:val="99"/>
    <w:unhideWhenUsed/>
    <w:rsid w:val="00961CFE"/>
    <w:pPr>
      <w:spacing w:after="0" w:line="240" w:lineRule="auto"/>
    </w:pPr>
    <w:rPr>
      <w:sz w:val="20"/>
      <w:szCs w:val="20"/>
      <w:lang w:val="en-US"/>
    </w:rPr>
  </w:style>
  <w:style w:type="character" w:customStyle="1" w:styleId="FootnoteTextChar">
    <w:name w:val="Footnote Text Char"/>
    <w:aliases w:val=" תו Char"/>
    <w:basedOn w:val="DefaultParagraphFont"/>
    <w:link w:val="FootnoteText"/>
    <w:uiPriority w:val="99"/>
    <w:rsid w:val="00961CFE"/>
    <w:rPr>
      <w:sz w:val="20"/>
      <w:szCs w:val="20"/>
      <w:lang w:val="en-US"/>
    </w:rPr>
  </w:style>
  <w:style w:type="character" w:styleId="FootnoteReference">
    <w:name w:val="footnote reference"/>
    <w:basedOn w:val="DefaultParagraphFont"/>
    <w:uiPriority w:val="99"/>
    <w:unhideWhenUsed/>
    <w:rsid w:val="00961CFE"/>
    <w:rPr>
      <w:vertAlign w:val="superscript"/>
    </w:rPr>
  </w:style>
  <w:style w:type="table" w:styleId="TableGrid">
    <w:name w:val="Table Grid"/>
    <w:basedOn w:val="TableNormal"/>
    <w:uiPriority w:val="39"/>
    <w:rsid w:val="0096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376AD"/>
    <w:pPr>
      <w:autoSpaceDE w:val="0"/>
      <w:autoSpaceDN w:val="0"/>
      <w:adjustRightInd w:val="0"/>
      <w:spacing w:after="120" w:line="480" w:lineRule="auto"/>
      <w:ind w:left="720" w:right="720"/>
      <w:jc w:val="both"/>
    </w:pPr>
    <w:rPr>
      <w:rFonts w:ascii="Times New Roman" w:hAnsi="Times New Roman" w:cstheme="majorBidi"/>
      <w:lang w:val="en-US" w:bidi="ar-SA"/>
    </w:rPr>
  </w:style>
  <w:style w:type="character" w:customStyle="1" w:styleId="QuoteChar">
    <w:name w:val="Quote Char"/>
    <w:basedOn w:val="DefaultParagraphFont"/>
    <w:link w:val="Quote"/>
    <w:uiPriority w:val="29"/>
    <w:rsid w:val="00A376AD"/>
    <w:rPr>
      <w:rFonts w:ascii="Times New Roman" w:hAnsi="Times New Roman" w:cstheme="majorBidi"/>
      <w:lang w:val="en-US" w:bidi="ar-SA"/>
    </w:rPr>
  </w:style>
  <w:style w:type="character" w:styleId="Hyperlink">
    <w:name w:val="Hyperlink"/>
    <w:basedOn w:val="DefaultParagraphFont"/>
    <w:uiPriority w:val="99"/>
    <w:unhideWhenUsed/>
    <w:rsid w:val="00B434F9"/>
    <w:rPr>
      <w:color w:val="0563C1" w:themeColor="hyperlink"/>
      <w:u w:val="single"/>
    </w:rPr>
  </w:style>
  <w:style w:type="character" w:styleId="UnresolvedMention">
    <w:name w:val="Unresolved Mention"/>
    <w:basedOn w:val="DefaultParagraphFont"/>
    <w:uiPriority w:val="99"/>
    <w:semiHidden/>
    <w:unhideWhenUsed/>
    <w:rsid w:val="00B43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Darshan</dc:creator>
  <cp:keywords/>
  <dc:description/>
  <cp:lastModifiedBy>Noga Darshan</cp:lastModifiedBy>
  <cp:revision>4</cp:revision>
  <dcterms:created xsi:type="dcterms:W3CDTF">2021-12-15T15:30:00Z</dcterms:created>
  <dcterms:modified xsi:type="dcterms:W3CDTF">2021-12-15T21:00:00Z</dcterms:modified>
</cp:coreProperties>
</file>