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430B" w14:textId="300C2862" w:rsidR="002D50EB" w:rsidRPr="004D67BE" w:rsidRDefault="007C2BBC" w:rsidP="004C329F">
      <w:pPr>
        <w:ind w:firstLine="0"/>
        <w:contextualSpacing/>
        <w:jc w:val="center"/>
        <w:rPr>
          <w:rFonts w:eastAsia="Times New Roman" w:cs="Times New Roman"/>
          <w:b/>
          <w:szCs w:val="24"/>
          <w:lang w:eastAsia="en-GB" w:bidi="ar-SA"/>
        </w:rPr>
      </w:pPr>
      <w:bookmarkStart w:id="0" w:name="_Hlk65973292"/>
      <w:r w:rsidRPr="005C3010">
        <w:rPr>
          <w:rFonts w:eastAsia="Times New Roman" w:cs="Times New Roman"/>
          <w:b/>
          <w:szCs w:val="24"/>
          <w:highlight w:val="lightGray"/>
          <w:lang w:eastAsia="en-GB" w:bidi="ar-SA"/>
        </w:rPr>
        <w:t xml:space="preserve">The </w:t>
      </w:r>
      <w:r w:rsidR="001F0BD0" w:rsidRPr="005C3010">
        <w:rPr>
          <w:rFonts w:eastAsia="Times New Roman" w:cs="Times New Roman"/>
          <w:b/>
          <w:szCs w:val="24"/>
          <w:highlight w:val="lightGray"/>
          <w:lang w:eastAsia="en-GB" w:bidi="ar-SA"/>
        </w:rPr>
        <w:t>D</w:t>
      </w:r>
      <w:r w:rsidRPr="005C3010">
        <w:rPr>
          <w:rFonts w:eastAsia="Times New Roman" w:cs="Times New Roman"/>
          <w:b/>
          <w:szCs w:val="24"/>
          <w:highlight w:val="lightGray"/>
          <w:lang w:eastAsia="en-GB" w:bidi="ar-SA"/>
        </w:rPr>
        <w:t xml:space="preserve">iscrepancy </w:t>
      </w:r>
      <w:r w:rsidR="001F0BD0" w:rsidRPr="005C3010">
        <w:rPr>
          <w:rFonts w:eastAsia="Times New Roman" w:cs="Times New Roman"/>
          <w:b/>
          <w:szCs w:val="24"/>
          <w:highlight w:val="lightGray"/>
          <w:lang w:eastAsia="en-GB" w:bidi="ar-SA"/>
        </w:rPr>
        <w:t>B</w:t>
      </w:r>
      <w:r w:rsidRPr="005C3010">
        <w:rPr>
          <w:rFonts w:eastAsia="Times New Roman" w:cs="Times New Roman"/>
          <w:b/>
          <w:szCs w:val="24"/>
          <w:highlight w:val="lightGray"/>
          <w:lang w:eastAsia="en-GB" w:bidi="ar-SA"/>
        </w:rPr>
        <w:t xml:space="preserve">etween </w:t>
      </w:r>
      <w:r w:rsidR="001F0BD0" w:rsidRPr="005C3010">
        <w:rPr>
          <w:rFonts w:eastAsia="Times New Roman" w:cs="Times New Roman"/>
          <w:b/>
          <w:szCs w:val="24"/>
          <w:highlight w:val="lightGray"/>
          <w:lang w:eastAsia="en-GB" w:bidi="ar-SA"/>
        </w:rPr>
        <w:t>A</w:t>
      </w:r>
      <w:r w:rsidRPr="005C3010">
        <w:rPr>
          <w:rFonts w:eastAsia="Times New Roman" w:cs="Times New Roman"/>
          <w:b/>
          <w:szCs w:val="24"/>
          <w:highlight w:val="lightGray"/>
          <w:lang w:eastAsia="en-GB" w:bidi="ar-SA"/>
        </w:rPr>
        <w:t xml:space="preserve">ctual </w:t>
      </w:r>
      <w:r w:rsidR="001F0BD0" w:rsidRPr="005C3010">
        <w:rPr>
          <w:rFonts w:eastAsia="Times New Roman" w:cs="Times New Roman"/>
          <w:b/>
          <w:szCs w:val="24"/>
          <w:highlight w:val="lightGray"/>
          <w:lang w:eastAsia="en-GB" w:bidi="ar-SA"/>
        </w:rPr>
        <w:t>P</w:t>
      </w:r>
      <w:r w:rsidRPr="005C3010">
        <w:rPr>
          <w:rFonts w:eastAsia="Times New Roman" w:cs="Times New Roman"/>
          <w:b/>
          <w:szCs w:val="24"/>
          <w:highlight w:val="lightGray"/>
          <w:lang w:eastAsia="en-GB" w:bidi="ar-SA"/>
        </w:rPr>
        <w:t xml:space="preserve">erformance and </w:t>
      </w:r>
      <w:r w:rsidR="002D50EB" w:rsidRPr="005C3010">
        <w:rPr>
          <w:rFonts w:eastAsia="Times New Roman" w:cs="Times New Roman"/>
          <w:b/>
          <w:szCs w:val="24"/>
          <w:highlight w:val="lightGray"/>
          <w:lang w:eastAsia="en-GB" w:bidi="ar-SA"/>
        </w:rPr>
        <w:t>Self</w:t>
      </w:r>
      <w:r w:rsidR="00632F47" w:rsidRPr="005C3010">
        <w:rPr>
          <w:rFonts w:eastAsia="Times New Roman" w:cs="Times New Roman"/>
          <w:b/>
          <w:szCs w:val="24"/>
          <w:highlight w:val="lightGray"/>
          <w:lang w:eastAsia="en-GB" w:bidi="ar-SA"/>
        </w:rPr>
        <w:t>-Awareness Among Adolescents</w:t>
      </w:r>
      <w:r w:rsidRPr="005C3010">
        <w:rPr>
          <w:rFonts w:eastAsia="Times New Roman" w:cs="Times New Roman"/>
          <w:b/>
          <w:szCs w:val="24"/>
          <w:highlight w:val="lightGray"/>
          <w:lang w:eastAsia="en-GB" w:bidi="ar-SA"/>
        </w:rPr>
        <w:t xml:space="preserve"> with Executive Function </w:t>
      </w:r>
      <w:r w:rsidR="001F0BD0" w:rsidRPr="005C3010">
        <w:rPr>
          <w:rFonts w:eastAsia="Times New Roman" w:cs="Times New Roman"/>
          <w:b/>
          <w:szCs w:val="24"/>
          <w:highlight w:val="lightGray"/>
          <w:lang w:eastAsia="en-GB" w:bidi="ar-SA"/>
        </w:rPr>
        <w:t>Deficits</w:t>
      </w:r>
      <w:r w:rsidR="00632F47" w:rsidRPr="004D67BE">
        <w:rPr>
          <w:rFonts w:eastAsia="Times New Roman" w:cs="Times New Roman"/>
          <w:b/>
          <w:szCs w:val="24"/>
          <w:lang w:eastAsia="en-GB" w:bidi="ar-SA"/>
        </w:rPr>
        <w:t xml:space="preserve"> </w:t>
      </w:r>
    </w:p>
    <w:p w14:paraId="3F183474" w14:textId="77777777" w:rsidR="002D50EB" w:rsidRPr="004D67BE" w:rsidRDefault="002D50EB" w:rsidP="00405164">
      <w:pPr>
        <w:ind w:firstLine="0"/>
        <w:contextualSpacing/>
        <w:jc w:val="center"/>
        <w:rPr>
          <w:rFonts w:eastAsia="SimSun" w:cs="Times New Roman"/>
          <w:szCs w:val="24"/>
          <w:rtl/>
          <w:lang w:eastAsia="en-GB" w:bidi="ar-SA"/>
        </w:rPr>
      </w:pPr>
      <w:r w:rsidRPr="004D67BE">
        <w:rPr>
          <w:rFonts w:eastAsia="SimSun" w:cs="Times New Roman"/>
          <w:szCs w:val="24"/>
          <w:lang w:eastAsia="en-GB" w:bidi="ar-SA"/>
        </w:rPr>
        <w:t>Yael Fogel</w:t>
      </w:r>
      <w:r w:rsidRPr="004D67BE">
        <w:rPr>
          <w:rFonts w:eastAsia="SimSun" w:cs="Times New Roman"/>
          <w:szCs w:val="24"/>
          <w:vertAlign w:val="superscript"/>
          <w:lang w:eastAsia="en-GB" w:bidi="ar-SA"/>
        </w:rPr>
        <w:t>1,</w:t>
      </w:r>
    </w:p>
    <w:p w14:paraId="1EA11A70" w14:textId="77777777" w:rsidR="002D50EB" w:rsidRPr="004C329F" w:rsidRDefault="002D50EB" w:rsidP="004C329F">
      <w:pPr>
        <w:ind w:firstLine="0"/>
        <w:contextualSpacing/>
        <w:jc w:val="center"/>
        <w:rPr>
          <w:rFonts w:eastAsia="SimSun" w:cs="Times New Roman"/>
          <w:iCs/>
          <w:szCs w:val="24"/>
          <w:lang w:eastAsia="en-GB" w:bidi="ar-SA"/>
        </w:rPr>
      </w:pPr>
      <w:r w:rsidRPr="004C329F">
        <w:rPr>
          <w:rFonts w:eastAsia="SimSun" w:cs="Times New Roman"/>
          <w:iCs/>
          <w:szCs w:val="24"/>
          <w:vertAlign w:val="superscript"/>
          <w:lang w:eastAsia="en-GB" w:bidi="ar-SA"/>
        </w:rPr>
        <w:t>1</w:t>
      </w:r>
      <w:r w:rsidRPr="004C329F">
        <w:rPr>
          <w:rFonts w:eastAsia="SimSun" w:cs="Times New Roman"/>
          <w:iCs/>
          <w:szCs w:val="24"/>
          <w:lang w:eastAsia="en-GB" w:bidi="ar-SA"/>
        </w:rPr>
        <w:t>Department of Occupational Therapy, University of Ariel, Israel</w:t>
      </w:r>
    </w:p>
    <w:p w14:paraId="257FFB6D" w14:textId="77777777" w:rsidR="002D50EB" w:rsidRPr="00817707" w:rsidRDefault="002D50EB" w:rsidP="00817707">
      <w:pPr>
        <w:ind w:firstLine="0"/>
        <w:contextualSpacing/>
        <w:rPr>
          <w:rFonts w:eastAsia="Calibri" w:cs="Times New Roman"/>
          <w:szCs w:val="24"/>
          <w:lang w:eastAsia="en-GB" w:bidi="ar-SA"/>
        </w:rPr>
      </w:pPr>
    </w:p>
    <w:p w14:paraId="101F2650" w14:textId="0755F2BC" w:rsidR="002D50EB" w:rsidRPr="00632F47" w:rsidRDefault="002D50EB" w:rsidP="00405164">
      <w:pPr>
        <w:ind w:firstLine="0"/>
        <w:contextualSpacing/>
        <w:rPr>
          <w:rFonts w:asciiTheme="majorBidi" w:eastAsia="Times New Roman" w:hAnsiTheme="majorBidi" w:cstheme="majorBidi"/>
          <w:szCs w:val="24"/>
          <w:lang w:eastAsia="en-GB"/>
        </w:rPr>
      </w:pPr>
      <w:r w:rsidRPr="00632F47">
        <w:rPr>
          <w:rFonts w:eastAsia="Calibri" w:cs="Times New Roman"/>
          <w:szCs w:val="24"/>
          <w:lang w:eastAsia="en-GB" w:bidi="ar-SA"/>
        </w:rPr>
        <w:t xml:space="preserve">Correspondence: </w:t>
      </w:r>
      <w:r w:rsidR="004C329F">
        <w:rPr>
          <w:rFonts w:eastAsia="Calibri" w:cs="Times New Roman"/>
          <w:szCs w:val="24"/>
          <w:lang w:eastAsia="en-GB" w:bidi="ar-SA"/>
        </w:rPr>
        <w:t xml:space="preserve">Yael Fogel, </w:t>
      </w:r>
      <w:r w:rsidR="004C329F" w:rsidRPr="004C329F">
        <w:rPr>
          <w:rFonts w:eastAsia="SimSun" w:cs="Times New Roman"/>
          <w:iCs/>
          <w:szCs w:val="24"/>
          <w:lang w:eastAsia="en-GB" w:bidi="ar-SA"/>
        </w:rPr>
        <w:t>Department of Occupational Therapy, University of Ariel, Israel</w:t>
      </w:r>
      <w:r w:rsidR="004C329F">
        <w:rPr>
          <w:rFonts w:eastAsia="SimSun" w:cs="Times New Roman"/>
          <w:iCs/>
          <w:szCs w:val="24"/>
          <w:lang w:eastAsia="en-GB" w:bidi="ar-SA"/>
        </w:rPr>
        <w:t>.</w:t>
      </w:r>
      <w:r w:rsidR="00EC51BA">
        <w:rPr>
          <w:rFonts w:eastAsia="SimSun" w:cs="Times New Roman"/>
          <w:iCs/>
          <w:szCs w:val="24"/>
          <w:lang w:eastAsia="en-GB" w:bidi="ar-SA"/>
        </w:rPr>
        <w:t xml:space="preserve"> Phone number: +972 52 6262455</w:t>
      </w:r>
      <w:r w:rsidR="004C329F">
        <w:rPr>
          <w:rFonts w:eastAsia="SimSun" w:cs="Times New Roman"/>
          <w:iCs/>
          <w:szCs w:val="24"/>
          <w:lang w:eastAsia="en-GB" w:bidi="ar-SA"/>
        </w:rPr>
        <w:t xml:space="preserve"> Email: </w:t>
      </w:r>
      <w:hyperlink r:id="rId8" w:history="1">
        <w:r w:rsidR="004C329F" w:rsidRPr="00817707">
          <w:rPr>
            <w:rStyle w:val="Hyperlink"/>
            <w:rFonts w:eastAsia="Calibri" w:cs="Times New Roman"/>
            <w:szCs w:val="24"/>
            <w:lang w:eastAsia="en-GB" w:bidi="ar-SA"/>
          </w:rPr>
          <w:t>yaelfo@ariel.ac.il</w:t>
        </w:r>
      </w:hyperlink>
      <w:r w:rsidR="001E2207">
        <w:rPr>
          <w:rFonts w:eastAsia="Calibri" w:cs="Times New Roman"/>
          <w:szCs w:val="24"/>
          <w:lang w:eastAsia="en-GB" w:bidi="ar-SA"/>
        </w:rPr>
        <w:t xml:space="preserve">. </w:t>
      </w:r>
      <w:hyperlink r:id="rId9" w:history="1">
        <w:r w:rsidRPr="00632F47">
          <w:rPr>
            <w:rStyle w:val="Hyperlink"/>
            <w:rFonts w:asciiTheme="majorBidi" w:eastAsia="Times New Roman" w:hAnsiTheme="majorBidi" w:cstheme="majorBidi"/>
            <w:szCs w:val="24"/>
            <w:lang w:eastAsia="en-GB" w:bidi="ar-SA"/>
          </w:rPr>
          <w:t>ORCiDs</w:t>
        </w:r>
      </w:hyperlink>
      <w:r w:rsidRPr="00632F47">
        <w:rPr>
          <w:rFonts w:asciiTheme="majorBidi" w:eastAsia="Times New Roman" w:hAnsiTheme="majorBidi" w:cstheme="majorBidi"/>
          <w:szCs w:val="24"/>
          <w:lang w:eastAsia="en-GB" w:bidi="ar-SA"/>
        </w:rPr>
        <w:t>: https://orcid.org/0000-0002-7755-519X</w:t>
      </w:r>
    </w:p>
    <w:p w14:paraId="2A4E635A" w14:textId="77777777" w:rsidR="001E2207" w:rsidRDefault="001E2207" w:rsidP="00632F47">
      <w:pPr>
        <w:ind w:firstLine="0"/>
        <w:contextualSpacing/>
        <w:rPr>
          <w:rFonts w:asciiTheme="majorBidi" w:hAnsiTheme="majorBidi" w:cstheme="majorBidi"/>
          <w:color w:val="333333"/>
          <w:szCs w:val="24"/>
        </w:rPr>
      </w:pPr>
    </w:p>
    <w:p w14:paraId="47B20199" w14:textId="493A6EF0" w:rsidR="001E2207" w:rsidRPr="004D67BE" w:rsidRDefault="002D50EB" w:rsidP="004D67BE">
      <w:pPr>
        <w:ind w:firstLine="0"/>
        <w:rPr>
          <w:b/>
          <w:bCs/>
        </w:rPr>
      </w:pPr>
      <w:r w:rsidRPr="004D67BE">
        <w:rPr>
          <w:b/>
          <w:bCs/>
        </w:rPr>
        <w:t xml:space="preserve">Word </w:t>
      </w:r>
      <w:r w:rsidR="001E2207" w:rsidRPr="004D67BE">
        <w:rPr>
          <w:b/>
          <w:bCs/>
        </w:rPr>
        <w:t>C</w:t>
      </w:r>
      <w:r w:rsidRPr="004D67BE">
        <w:rPr>
          <w:b/>
          <w:bCs/>
        </w:rPr>
        <w:t>ount</w:t>
      </w:r>
    </w:p>
    <w:p w14:paraId="2254E7ED" w14:textId="693BFA4D" w:rsidR="001E2207" w:rsidRPr="00E36CE4" w:rsidRDefault="001E2207" w:rsidP="00632F47">
      <w:pPr>
        <w:ind w:firstLine="0"/>
        <w:contextualSpacing/>
        <w:rPr>
          <w:rFonts w:asciiTheme="majorBidi" w:hAnsiTheme="majorBidi" w:cstheme="majorBidi"/>
          <w:szCs w:val="24"/>
          <w:highlight w:val="lightGray"/>
        </w:rPr>
      </w:pPr>
      <w:r w:rsidRPr="00E36CE4">
        <w:rPr>
          <w:rFonts w:asciiTheme="majorBidi" w:hAnsiTheme="majorBidi" w:cstheme="majorBidi"/>
          <w:szCs w:val="24"/>
          <w:highlight w:val="lightGray"/>
        </w:rPr>
        <w:t>Abstract:</w:t>
      </w:r>
      <w:r w:rsidR="00567106" w:rsidRPr="00E36CE4">
        <w:rPr>
          <w:rFonts w:asciiTheme="majorBidi" w:hAnsiTheme="majorBidi" w:cstheme="majorBidi"/>
          <w:szCs w:val="24"/>
          <w:highlight w:val="lightGray"/>
        </w:rPr>
        <w:t xml:space="preserve"> 199</w:t>
      </w:r>
    </w:p>
    <w:p w14:paraId="160D8D60" w14:textId="61BEBE7C" w:rsidR="002D50EB" w:rsidRPr="00632F47" w:rsidRDefault="001E2207" w:rsidP="00817707">
      <w:pPr>
        <w:ind w:firstLine="0"/>
        <w:contextualSpacing/>
        <w:rPr>
          <w:rFonts w:asciiTheme="majorBidi" w:hAnsiTheme="majorBidi" w:cstheme="majorBidi"/>
          <w:szCs w:val="24"/>
          <w:lang w:val="en-GB"/>
        </w:rPr>
      </w:pPr>
      <w:r w:rsidRPr="00E36CE4">
        <w:rPr>
          <w:rFonts w:asciiTheme="majorBidi" w:hAnsiTheme="majorBidi" w:cstheme="majorBidi"/>
          <w:szCs w:val="24"/>
          <w:highlight w:val="lightGray"/>
        </w:rPr>
        <w:t>Manuscript:</w:t>
      </w:r>
      <w:r w:rsidR="002D50EB" w:rsidRPr="00E36CE4">
        <w:rPr>
          <w:rFonts w:asciiTheme="majorBidi" w:hAnsiTheme="majorBidi" w:cstheme="majorBidi"/>
          <w:szCs w:val="24"/>
          <w:highlight w:val="lightGray"/>
        </w:rPr>
        <w:t xml:space="preserve"> </w:t>
      </w:r>
      <w:r w:rsidR="0041413F" w:rsidRPr="00E36CE4">
        <w:rPr>
          <w:rFonts w:asciiTheme="majorBidi" w:hAnsiTheme="majorBidi" w:cstheme="majorBidi"/>
          <w:szCs w:val="24"/>
          <w:highlight w:val="lightGray"/>
        </w:rPr>
        <w:t>4,9</w:t>
      </w:r>
      <w:r w:rsidR="006939E2" w:rsidRPr="00E36CE4">
        <w:rPr>
          <w:rFonts w:asciiTheme="majorBidi" w:hAnsiTheme="majorBidi" w:cstheme="majorBidi"/>
          <w:szCs w:val="24"/>
          <w:highlight w:val="lightGray"/>
        </w:rPr>
        <w:t>77</w:t>
      </w:r>
    </w:p>
    <w:p w14:paraId="3BAB493E" w14:textId="77777777" w:rsidR="002D50EB" w:rsidRPr="0070517D" w:rsidRDefault="002D50EB" w:rsidP="00405164">
      <w:pPr>
        <w:ind w:firstLine="0"/>
        <w:rPr>
          <w:szCs w:val="24"/>
          <w:lang w:val="en-GB"/>
        </w:rPr>
      </w:pPr>
    </w:p>
    <w:p w14:paraId="5D29729E" w14:textId="2FA3B36F" w:rsidR="002D50EB" w:rsidRPr="0070517D" w:rsidRDefault="002D50EB" w:rsidP="004D67BE">
      <w:pPr>
        <w:spacing w:after="160"/>
        <w:ind w:firstLine="0"/>
        <w:rPr>
          <w:rFonts w:asciiTheme="majorBidi" w:hAnsiTheme="majorBidi" w:cstheme="majorBidi"/>
          <w:szCs w:val="24"/>
          <w:highlight w:val="yellow"/>
        </w:rPr>
      </w:pPr>
      <w:r w:rsidRPr="0070517D">
        <w:rPr>
          <w:rFonts w:asciiTheme="majorBidi" w:hAnsiTheme="majorBidi" w:cstheme="majorBidi"/>
          <w:szCs w:val="24"/>
          <w:highlight w:val="yellow"/>
        </w:rPr>
        <w:br w:type="page"/>
      </w:r>
    </w:p>
    <w:p w14:paraId="36277A79" w14:textId="77777777" w:rsidR="00B951BB" w:rsidRDefault="00B951BB" w:rsidP="004D67BE">
      <w:pPr>
        <w:spacing w:after="160"/>
        <w:ind w:firstLine="0"/>
        <w:rPr>
          <w:rFonts w:asciiTheme="majorBidi" w:hAnsiTheme="majorBidi" w:cstheme="majorBidi"/>
          <w:szCs w:val="24"/>
          <w:highlight w:val="yellow"/>
        </w:rPr>
      </w:pPr>
    </w:p>
    <w:bookmarkEnd w:id="0"/>
    <w:p w14:paraId="05A39851" w14:textId="77777777" w:rsidR="00123BAF" w:rsidRPr="00F9248C" w:rsidRDefault="00123BAF" w:rsidP="00817707">
      <w:pPr>
        <w:pStyle w:val="Heading1"/>
        <w:rPr>
          <w:b w:val="0"/>
        </w:rPr>
      </w:pPr>
      <w:r w:rsidRPr="00F9248C">
        <w:t>Abstract</w:t>
      </w:r>
    </w:p>
    <w:p w14:paraId="465F69EE" w14:textId="02855585" w:rsidR="009022C6" w:rsidRPr="00F9248C" w:rsidRDefault="00D2618B" w:rsidP="004D67BE">
      <w:pPr>
        <w:ind w:firstLine="0"/>
        <w:rPr>
          <w:highlight w:val="lightGray"/>
        </w:rPr>
      </w:pPr>
      <w:r w:rsidRPr="004D67BE">
        <w:rPr>
          <w:b/>
          <w:bCs/>
        </w:rPr>
        <w:t>Objective</w:t>
      </w:r>
      <w:r w:rsidR="00C83EB0">
        <w:rPr>
          <w:b/>
          <w:bCs/>
        </w:rPr>
        <w:t>.</w:t>
      </w:r>
      <w:r w:rsidR="00BC6B05">
        <w:t xml:space="preserve"> </w:t>
      </w:r>
      <w:r w:rsidR="009022C6" w:rsidRPr="00853B2E">
        <w:rPr>
          <w:highlight w:val="lightGray"/>
        </w:rPr>
        <w:t xml:space="preserve">Adolescents with executive function deficits (EFDs) </w:t>
      </w:r>
      <w:r w:rsidR="00D97578" w:rsidRPr="00853B2E">
        <w:rPr>
          <w:highlight w:val="lightGray"/>
        </w:rPr>
        <w:t>struggl</w:t>
      </w:r>
      <w:r w:rsidR="00461DCF">
        <w:rPr>
          <w:highlight w:val="lightGray"/>
        </w:rPr>
        <w:t>e to perform complex daily activities and have difficulty</w:t>
      </w:r>
      <w:r w:rsidR="009022C6" w:rsidRPr="00853B2E">
        <w:rPr>
          <w:highlight w:val="lightGray"/>
        </w:rPr>
        <w:t xml:space="preserve"> self-awareness of their performance</w:t>
      </w:r>
      <w:r w:rsidR="009022C6">
        <w:t xml:space="preserve">. </w:t>
      </w:r>
      <w:r>
        <w:t>This study aimed t</w:t>
      </w:r>
      <w:r w:rsidR="006C52C4">
        <w:t>o</w:t>
      </w:r>
      <w:r w:rsidR="009022C6" w:rsidRPr="00C072EB">
        <w:rPr>
          <w:rFonts w:eastAsia="Calibri"/>
        </w:rPr>
        <w:t xml:space="preserve"> </w:t>
      </w:r>
      <w:r w:rsidR="00D97578">
        <w:t>characterize actual performance and self-awareness among adolescent</w:t>
      </w:r>
      <w:r w:rsidR="00461DCF">
        <w:t>s</w:t>
      </w:r>
      <w:r w:rsidR="00D97578">
        <w:t xml:space="preserve"> with EFD pre and post </w:t>
      </w:r>
      <w:r w:rsidR="00371A5A">
        <w:rPr>
          <w:rFonts w:eastAsia="Calibri"/>
        </w:rPr>
        <w:t>a</w:t>
      </w:r>
      <w:r w:rsidR="00371A5A" w:rsidRPr="00F9248C">
        <w:t xml:space="preserve"> metacognitive intervention</w:t>
      </w:r>
      <w:r w:rsidR="009022C6" w:rsidRPr="00C072EB">
        <w:rPr>
          <w:rFonts w:eastAsia="Calibri"/>
        </w:rPr>
        <w:t>.</w:t>
      </w:r>
      <w:r w:rsidR="009022C6" w:rsidRPr="00370F18">
        <w:t xml:space="preserve"> </w:t>
      </w:r>
      <w:r w:rsidR="00BC6B05" w:rsidRPr="004D67BE">
        <w:rPr>
          <w:b/>
          <w:bCs/>
        </w:rPr>
        <w:t>Method</w:t>
      </w:r>
      <w:r w:rsidR="00C83EB0">
        <w:rPr>
          <w:b/>
          <w:bCs/>
        </w:rPr>
        <w:t>.</w:t>
      </w:r>
      <w:r w:rsidR="00BC6B05">
        <w:t xml:space="preserve"> </w:t>
      </w:r>
      <w:r w:rsidR="00AC600E" w:rsidRPr="00370F18">
        <w:t>A</w:t>
      </w:r>
      <w:r w:rsidR="00AC600E" w:rsidRPr="00C072EB">
        <w:t>ll participants performed the Children’s Cooking Task (CCT</w:t>
      </w:r>
      <w:r w:rsidR="00853B2E" w:rsidRPr="00C072EB">
        <w:t>)</w:t>
      </w:r>
      <w:r w:rsidR="00853B2E">
        <w:t xml:space="preserve"> and</w:t>
      </w:r>
      <w:r w:rsidR="00AC600E">
        <w:t xml:space="preserve"> </w:t>
      </w:r>
      <w:r w:rsidR="00AC600E" w:rsidRPr="00C072EB">
        <w:t>answered the Behavioral Rating Inventory Executive Function</w:t>
      </w:r>
      <w:r w:rsidR="00AC600E">
        <w:t>-</w:t>
      </w:r>
      <w:r w:rsidR="00AC600E" w:rsidRPr="00C072EB">
        <w:t>Self</w:t>
      </w:r>
      <w:r w:rsidR="00AC600E">
        <w:t>-</w:t>
      </w:r>
      <w:r w:rsidR="00AC600E" w:rsidRPr="00C072EB">
        <w:t>Report (BRIEF-SR)</w:t>
      </w:r>
      <w:r w:rsidR="00AC600E" w:rsidRPr="00F9248C">
        <w:t xml:space="preserve"> and </w:t>
      </w:r>
      <w:r w:rsidR="00AC600E">
        <w:t>an</w:t>
      </w:r>
      <w:r w:rsidR="00AC600E" w:rsidRPr="00C072EB">
        <w:t xml:space="preserve"> online awareness questionnaire before and after </w:t>
      </w:r>
      <w:r w:rsidR="00AC600E">
        <w:t>the</w:t>
      </w:r>
      <w:r w:rsidR="00AC600E" w:rsidRPr="00C072EB">
        <w:t xml:space="preserve"> CCT.</w:t>
      </w:r>
      <w:r w:rsidR="00AC600E" w:rsidRPr="00F9248C">
        <w:t xml:space="preserve"> </w:t>
      </w:r>
      <w:r w:rsidR="00545DCA">
        <w:t>Forty-one</w:t>
      </w:r>
      <w:r w:rsidR="00AC600E" w:rsidRPr="00F9248C">
        <w:t xml:space="preserve"> adolescents aged 10 to 14 with EFD</w:t>
      </w:r>
      <w:r w:rsidR="00AC600E">
        <w:t xml:space="preserve"> </w:t>
      </w:r>
      <w:r w:rsidR="00461DCF">
        <w:t>hav</w:t>
      </w:r>
      <w:r w:rsidR="00AC600E" w:rsidRPr="00F9248C">
        <w:t xml:space="preserve">e </w:t>
      </w:r>
      <w:r w:rsidR="00EC64F5">
        <w:t>participated</w:t>
      </w:r>
      <w:r w:rsidR="009022C6">
        <w:rPr>
          <w:color w:val="000000" w:themeColor="text1"/>
        </w:rPr>
        <w:t xml:space="preserve">. </w:t>
      </w:r>
      <w:r w:rsidR="009022C6" w:rsidRPr="004D67BE">
        <w:rPr>
          <w:b/>
          <w:bCs/>
        </w:rPr>
        <w:t>Results</w:t>
      </w:r>
      <w:r w:rsidR="00AE5EEA">
        <w:rPr>
          <w:b/>
          <w:bCs/>
        </w:rPr>
        <w:t>.</w:t>
      </w:r>
      <w:r w:rsidR="006C52C4">
        <w:t xml:space="preserve"> </w:t>
      </w:r>
      <w:r w:rsidR="0099446B">
        <w:t xml:space="preserve">Significant </w:t>
      </w:r>
      <w:r w:rsidR="00AC600E" w:rsidRPr="00F9248C">
        <w:t>positive differences were found in the CCT and three BRIEF-SR</w:t>
      </w:r>
      <w:r w:rsidR="00AE5EEA">
        <w:t xml:space="preserve"> subscales</w:t>
      </w:r>
      <w:r w:rsidR="0099446B">
        <w:t xml:space="preserve"> </w:t>
      </w:r>
      <w:proofErr w:type="gramStart"/>
      <w:r w:rsidR="0099446B">
        <w:t>pre</w:t>
      </w:r>
      <w:proofErr w:type="gramEnd"/>
      <w:r w:rsidR="0099446B">
        <w:t xml:space="preserve"> and </w:t>
      </w:r>
      <w:r w:rsidR="00461DCF">
        <w:t>post</w:t>
      </w:r>
      <w:r w:rsidR="00461DCF">
        <w:t>-</w:t>
      </w:r>
      <w:r w:rsidR="0099446B">
        <w:t>intervention</w:t>
      </w:r>
      <w:r w:rsidR="00AC600E">
        <w:rPr>
          <w:rFonts w:eastAsia="Calibri"/>
        </w:rPr>
        <w:t>, but n</w:t>
      </w:r>
      <w:r w:rsidR="00AC600E" w:rsidRPr="00C072EB">
        <w:rPr>
          <w:rFonts w:eastAsia="Calibri"/>
        </w:rPr>
        <w:t>o</w:t>
      </w:r>
      <w:r w:rsidR="00AC600E" w:rsidRPr="00F9248C">
        <w:t xml:space="preserve"> significant differences were found in online self-awareness of performance</w:t>
      </w:r>
      <w:r w:rsidR="009022C6" w:rsidRPr="00F9248C">
        <w:t>.</w:t>
      </w:r>
      <w:r w:rsidR="009022C6">
        <w:rPr>
          <w:b/>
          <w:bCs/>
        </w:rPr>
        <w:t xml:space="preserve"> </w:t>
      </w:r>
      <w:r w:rsidR="00BC6B05" w:rsidRPr="004D67BE">
        <w:rPr>
          <w:b/>
          <w:bCs/>
        </w:rPr>
        <w:t>Conclusions</w:t>
      </w:r>
      <w:r w:rsidR="00AE5EEA">
        <w:rPr>
          <w:b/>
          <w:bCs/>
        </w:rPr>
        <w:t>.</w:t>
      </w:r>
      <w:r w:rsidR="00BC6B05">
        <w:t xml:space="preserve"> </w:t>
      </w:r>
      <w:r w:rsidR="00AC600E">
        <w:t>The adolescents</w:t>
      </w:r>
      <w:r w:rsidR="00AC600E" w:rsidRPr="004543E6">
        <w:t xml:space="preserve"> </w:t>
      </w:r>
      <w:r w:rsidR="00AC600E">
        <w:t>with EFD improved their actual performance on the CCT following the intervention</w:t>
      </w:r>
      <w:r w:rsidR="00461DCF">
        <w:t>,</w:t>
      </w:r>
      <w:r w:rsidR="00AC600E">
        <w:t xml:space="preserve"> but their self-awareness</w:t>
      </w:r>
      <w:r w:rsidR="005A63A5">
        <w:t xml:space="preserve"> stayed </w:t>
      </w:r>
      <w:r w:rsidR="00461DCF">
        <w:t>consisten</w:t>
      </w:r>
      <w:r w:rsidR="00461DCF">
        <w:t>t</w:t>
      </w:r>
      <w:r w:rsidR="00AC600E">
        <w:t xml:space="preserve">. </w:t>
      </w:r>
      <w:r w:rsidR="00461DCF">
        <w:t>T</w:t>
      </w:r>
      <w:r w:rsidR="00461DCF">
        <w:t xml:space="preserve">he </w:t>
      </w:r>
      <w:r w:rsidR="005A63A5">
        <w:t>results may imply that (1) EFD may inhibit self-awareness development (2) self</w:t>
      </w:r>
      <w:r w:rsidR="00853B2E">
        <w:t>-</w:t>
      </w:r>
      <w:r w:rsidR="005A63A5">
        <w:t xml:space="preserve">awareness may not depend on the task and have more other components that </w:t>
      </w:r>
      <w:r w:rsidR="00461DCF">
        <w:t>a</w:t>
      </w:r>
      <w:r w:rsidR="00461DCF">
        <w:t xml:space="preserve">ffect </w:t>
      </w:r>
      <w:r w:rsidR="005A63A5">
        <w:t xml:space="preserve">it. </w:t>
      </w:r>
    </w:p>
    <w:p w14:paraId="00F26324" w14:textId="74A76B87" w:rsidR="00632F47" w:rsidRDefault="00783AC9" w:rsidP="005133DB">
      <w:pPr>
        <w:contextualSpacing/>
        <w:rPr>
          <w:rFonts w:asciiTheme="majorBidi" w:hAnsiTheme="majorBidi"/>
        </w:rPr>
      </w:pPr>
      <w:r w:rsidRPr="00853B2E">
        <w:rPr>
          <w:rFonts w:asciiTheme="majorBidi" w:hAnsiTheme="majorBidi"/>
          <w:i/>
          <w:highlight w:val="lightGray"/>
        </w:rPr>
        <w:t>Keywords</w:t>
      </w:r>
      <w:r w:rsidRPr="00853B2E">
        <w:rPr>
          <w:rFonts w:asciiTheme="majorBidi" w:hAnsiTheme="majorBidi"/>
          <w:highlight w:val="lightGray"/>
        </w:rPr>
        <w:t xml:space="preserve">: </w:t>
      </w:r>
      <w:r w:rsidR="00722BD1" w:rsidRPr="00853B2E">
        <w:rPr>
          <w:rFonts w:asciiTheme="majorBidi" w:hAnsiTheme="majorBidi" w:cstheme="majorBidi"/>
          <w:szCs w:val="24"/>
          <w:highlight w:val="lightGray"/>
        </w:rPr>
        <w:t>actual performance</w:t>
      </w:r>
      <w:r w:rsidR="00632F47" w:rsidRPr="00853B2E">
        <w:rPr>
          <w:rFonts w:asciiTheme="majorBidi" w:hAnsiTheme="majorBidi" w:cstheme="majorBidi"/>
          <w:szCs w:val="24"/>
          <w:highlight w:val="lightGray"/>
        </w:rPr>
        <w:t>,</w:t>
      </w:r>
      <w:r w:rsidR="00722BD1" w:rsidRPr="00853B2E">
        <w:rPr>
          <w:rFonts w:asciiTheme="majorBidi" w:eastAsia="Calibri" w:hAnsiTheme="majorBidi" w:cstheme="majorBidi"/>
          <w:szCs w:val="24"/>
          <w:highlight w:val="lightGray"/>
          <w:lang w:eastAsia="en-GB" w:bidi="ar-SA"/>
        </w:rPr>
        <w:t xml:space="preserve"> </w:t>
      </w:r>
      <w:r w:rsidRPr="00853B2E">
        <w:rPr>
          <w:rFonts w:asciiTheme="majorBidi" w:hAnsiTheme="majorBidi"/>
          <w:highlight w:val="lightGray"/>
        </w:rPr>
        <w:t>executive function</w:t>
      </w:r>
      <w:r w:rsidR="006E6F80" w:rsidRPr="00853B2E">
        <w:rPr>
          <w:rFonts w:asciiTheme="majorBidi" w:hAnsiTheme="majorBidi"/>
          <w:highlight w:val="lightGray"/>
        </w:rPr>
        <w:t xml:space="preserve"> deficits</w:t>
      </w:r>
      <w:r w:rsidRPr="00853B2E">
        <w:rPr>
          <w:rFonts w:asciiTheme="majorBidi" w:hAnsiTheme="majorBidi"/>
          <w:highlight w:val="lightGray"/>
        </w:rPr>
        <w:t xml:space="preserve">, </w:t>
      </w:r>
      <w:r w:rsidR="007572C7" w:rsidRPr="00853B2E">
        <w:rPr>
          <w:rFonts w:asciiTheme="majorBidi" w:hAnsiTheme="majorBidi"/>
          <w:highlight w:val="lightGray"/>
        </w:rPr>
        <w:t>FITTED</w:t>
      </w:r>
      <w:r w:rsidRPr="00853B2E">
        <w:rPr>
          <w:rFonts w:asciiTheme="majorBidi" w:hAnsiTheme="majorBidi"/>
          <w:highlight w:val="lightGray"/>
        </w:rPr>
        <w:t xml:space="preserve"> intervention, </w:t>
      </w:r>
      <w:r w:rsidR="00722BD1" w:rsidRPr="00853B2E">
        <w:rPr>
          <w:rFonts w:asciiTheme="majorBidi" w:eastAsia="Calibri" w:hAnsiTheme="majorBidi" w:cstheme="majorBidi"/>
          <w:szCs w:val="24"/>
          <w:highlight w:val="lightGray"/>
          <w:lang w:eastAsia="en-GB"/>
        </w:rPr>
        <w:t xml:space="preserve">performance </w:t>
      </w:r>
      <w:r w:rsidR="007572C7" w:rsidRPr="00853B2E">
        <w:rPr>
          <w:rFonts w:asciiTheme="majorBidi" w:hAnsiTheme="majorBidi"/>
          <w:highlight w:val="lightGray"/>
        </w:rPr>
        <w:t>real-life assessmen</w:t>
      </w:r>
      <w:r w:rsidR="006E6F80" w:rsidRPr="00853B2E">
        <w:rPr>
          <w:rFonts w:asciiTheme="majorBidi" w:hAnsiTheme="majorBidi"/>
          <w:highlight w:val="lightGray"/>
        </w:rPr>
        <w:t>t</w:t>
      </w:r>
    </w:p>
    <w:p w14:paraId="0AF8187C" w14:textId="53230136" w:rsidR="00FF14BF" w:rsidRDefault="006E6F80" w:rsidP="00817707">
      <w:pPr>
        <w:contextualSpacing/>
        <w:rPr>
          <w:rFonts w:asciiTheme="majorBidi" w:eastAsia="Calibri" w:hAnsiTheme="majorBidi" w:cstheme="majorBidi"/>
          <w:szCs w:val="24"/>
          <w:lang w:eastAsia="en-GB"/>
        </w:rPr>
      </w:pPr>
      <w:r>
        <w:rPr>
          <w:rFonts w:asciiTheme="majorBidi" w:eastAsia="Calibri" w:hAnsiTheme="majorBidi" w:cstheme="majorBidi"/>
          <w:szCs w:val="24"/>
          <w:lang w:eastAsia="en-GB"/>
        </w:rPr>
        <w:t xml:space="preserve"> </w:t>
      </w:r>
    </w:p>
    <w:p w14:paraId="51B11A1C" w14:textId="77777777" w:rsidR="00E35B79" w:rsidRDefault="00E35B79" w:rsidP="004D67BE">
      <w:pPr>
        <w:spacing w:after="160"/>
        <w:ind w:firstLine="0"/>
        <w:rPr>
          <w:rFonts w:asciiTheme="majorBidi" w:eastAsia="Calibri" w:hAnsiTheme="majorBidi" w:cstheme="majorBidi"/>
          <w:szCs w:val="24"/>
          <w:lang w:eastAsia="en-GB"/>
        </w:rPr>
        <w:sectPr w:rsidR="00E35B79">
          <w:headerReference w:type="default" r:id="rId10"/>
          <w:footerReference w:type="default" r:id="rId11"/>
          <w:pgSz w:w="11906" w:h="16838"/>
          <w:pgMar w:top="1440" w:right="1440" w:bottom="1440" w:left="1440" w:header="708" w:footer="708" w:gutter="0"/>
          <w:cols w:space="708"/>
          <w:docGrid w:linePitch="360"/>
        </w:sectPr>
      </w:pPr>
    </w:p>
    <w:p w14:paraId="1B592576" w14:textId="5A874826" w:rsidR="00497872" w:rsidRPr="00F9248C" w:rsidRDefault="00497872" w:rsidP="006A1535">
      <w:pPr>
        <w:pStyle w:val="Heading1"/>
        <w:jc w:val="left"/>
      </w:pPr>
      <w:r w:rsidRPr="00F9248C">
        <w:lastRenderedPageBreak/>
        <w:t>Introduction</w:t>
      </w:r>
    </w:p>
    <w:p w14:paraId="265EFBFC" w14:textId="40F1D0A9" w:rsidR="00216106" w:rsidRPr="00F9248C" w:rsidRDefault="002F6520" w:rsidP="00FD7082">
      <w:pPr>
        <w:contextualSpacing/>
        <w:rPr>
          <w:rFonts w:asciiTheme="majorBidi" w:hAnsiTheme="majorBidi"/>
        </w:rPr>
      </w:pPr>
      <w:r w:rsidRPr="00F9248C">
        <w:rPr>
          <w:rFonts w:asciiTheme="majorBidi" w:hAnsiTheme="majorBidi"/>
        </w:rPr>
        <w:t>Self-awareness is a complex, higher</w:t>
      </w:r>
      <w:r w:rsidR="00BC1303">
        <w:rPr>
          <w:rFonts w:asciiTheme="majorBidi" w:hAnsiTheme="majorBidi"/>
        </w:rPr>
        <w:t xml:space="preserve"> </w:t>
      </w:r>
      <w:r w:rsidRPr="00F9248C">
        <w:rPr>
          <w:rFonts w:asciiTheme="majorBidi" w:hAnsiTheme="majorBidi"/>
        </w:rPr>
        <w:t xml:space="preserve">level cognitive function </w:t>
      </w:r>
      <w:r w:rsidR="00FD7082">
        <w:rPr>
          <w:rFonts w:asciiTheme="majorBidi" w:hAnsiTheme="majorBidi"/>
        </w:rPr>
        <w:t>that</w:t>
      </w:r>
      <w:r w:rsidRPr="00F9248C">
        <w:rPr>
          <w:rFonts w:asciiTheme="majorBidi" w:hAnsiTheme="majorBidi"/>
        </w:rPr>
        <w:t xml:space="preserve"> reflects a person’s ability to self-monitor</w:t>
      </w:r>
      <w:r w:rsidR="00E738DA">
        <w:rPr>
          <w:rFonts w:asciiTheme="majorBidi" w:hAnsiTheme="majorBidi" w:cstheme="majorBidi"/>
          <w:szCs w:val="24"/>
        </w:rPr>
        <w:t xml:space="preserve"> and</w:t>
      </w:r>
      <w:r w:rsidR="00E738DA" w:rsidRPr="00F9248C">
        <w:rPr>
          <w:rFonts w:asciiTheme="majorBidi" w:hAnsiTheme="majorBidi"/>
        </w:rPr>
        <w:t xml:space="preserve"> </w:t>
      </w:r>
      <w:r w:rsidRPr="00F9248C">
        <w:rPr>
          <w:rFonts w:asciiTheme="majorBidi" w:hAnsiTheme="majorBidi"/>
        </w:rPr>
        <w:t xml:space="preserve">recognize and correct </w:t>
      </w:r>
      <w:r w:rsidR="00E738DA" w:rsidRPr="00C072EB">
        <w:rPr>
          <w:rFonts w:asciiTheme="majorBidi" w:hAnsiTheme="majorBidi" w:cstheme="majorBidi"/>
          <w:szCs w:val="24"/>
        </w:rPr>
        <w:t>errors</w:t>
      </w:r>
      <w:r w:rsidR="00E738DA" w:rsidRPr="00F9248C">
        <w:rPr>
          <w:rFonts w:asciiTheme="majorBidi" w:hAnsiTheme="majorBidi"/>
        </w:rPr>
        <w:t xml:space="preserve"> </w:t>
      </w:r>
      <w:r w:rsidRPr="00F9248C">
        <w:rPr>
          <w:rFonts w:asciiTheme="majorBidi" w:hAnsiTheme="majorBidi"/>
        </w:rPr>
        <w:t>during a task</w:t>
      </w:r>
      <w:r w:rsidR="00A34FE7" w:rsidRPr="00F9248C">
        <w:rPr>
          <w:rFonts w:asciiTheme="majorBidi" w:hAnsiTheme="majorBidi"/>
        </w:rPr>
        <w:t xml:space="preserve"> and </w:t>
      </w:r>
      <w:r w:rsidRPr="00F9248C">
        <w:rPr>
          <w:rFonts w:asciiTheme="majorBidi" w:hAnsiTheme="majorBidi"/>
        </w:rPr>
        <w:t xml:space="preserve">may influence </w:t>
      </w:r>
      <w:r w:rsidR="00FD7082">
        <w:rPr>
          <w:rFonts w:asciiTheme="majorBidi" w:hAnsiTheme="majorBidi"/>
        </w:rPr>
        <w:t xml:space="preserve">an </w:t>
      </w:r>
      <w:r w:rsidR="00232149">
        <w:rPr>
          <w:rFonts w:asciiTheme="majorBidi" w:hAnsiTheme="majorBidi" w:cstheme="majorBidi"/>
          <w:szCs w:val="24"/>
        </w:rPr>
        <w:t>individual</w:t>
      </w:r>
      <w:r w:rsidR="00FD7082">
        <w:rPr>
          <w:rFonts w:asciiTheme="majorBidi" w:hAnsiTheme="majorBidi" w:cstheme="majorBidi"/>
          <w:szCs w:val="24"/>
        </w:rPr>
        <w:t>’s</w:t>
      </w:r>
      <w:r w:rsidR="00232149" w:rsidRPr="00F9248C">
        <w:rPr>
          <w:rFonts w:asciiTheme="majorBidi" w:hAnsiTheme="majorBidi"/>
        </w:rPr>
        <w:t xml:space="preserve"> </w:t>
      </w:r>
      <w:r w:rsidRPr="00F9248C">
        <w:rPr>
          <w:rFonts w:asciiTheme="majorBidi" w:hAnsiTheme="majorBidi"/>
        </w:rPr>
        <w:t xml:space="preserve">ability to select appropriate task strategies </w:t>
      </w:r>
      <w:r>
        <w:rPr>
          <w:rFonts w:asciiTheme="majorBidi" w:hAnsiTheme="majorBidi" w:cstheme="majorBidi"/>
          <w:szCs w:val="24"/>
        </w:rPr>
        <w:t>(</w:t>
      </w:r>
      <w:r w:rsidR="006A1535">
        <w:rPr>
          <w:rFonts w:asciiTheme="majorBidi" w:hAnsiTheme="majorBidi" w:cstheme="majorBidi"/>
          <w:szCs w:val="24"/>
        </w:rPr>
        <w:t>Zlotnik</w:t>
      </w:r>
      <w:r>
        <w:rPr>
          <w:rFonts w:asciiTheme="majorBidi" w:hAnsiTheme="majorBidi" w:cstheme="majorBidi"/>
          <w:szCs w:val="24"/>
        </w:rPr>
        <w:t xml:space="preserve"> &amp; Toglia, 2018)</w:t>
      </w:r>
      <w:r w:rsidRPr="00C072EB">
        <w:rPr>
          <w:rFonts w:asciiTheme="majorBidi" w:hAnsiTheme="majorBidi" w:cstheme="majorBidi"/>
          <w:szCs w:val="24"/>
        </w:rPr>
        <w:t>.</w:t>
      </w:r>
      <w:r w:rsidRPr="00F9248C">
        <w:rPr>
          <w:rFonts w:asciiTheme="majorBidi" w:hAnsiTheme="majorBidi"/>
        </w:rPr>
        <w:t xml:space="preserve"> </w:t>
      </w:r>
    </w:p>
    <w:p w14:paraId="24F5B0E4" w14:textId="17DEBE6F" w:rsidR="00216106" w:rsidRPr="00F9248C" w:rsidRDefault="00216106">
      <w:pPr>
        <w:contextualSpacing/>
        <w:rPr>
          <w:rFonts w:asciiTheme="majorBidi" w:hAnsiTheme="majorBidi"/>
        </w:rPr>
      </w:pPr>
      <w:r w:rsidRPr="00F9248C">
        <w:rPr>
          <w:rFonts w:asciiTheme="majorBidi" w:hAnsiTheme="majorBidi"/>
        </w:rPr>
        <w:t xml:space="preserve">Self-awareness </w:t>
      </w:r>
      <w:r w:rsidRPr="00C072EB">
        <w:rPr>
          <w:rFonts w:asciiTheme="majorBidi" w:hAnsiTheme="majorBidi" w:cstheme="majorBidi"/>
          <w:szCs w:val="24"/>
        </w:rPr>
        <w:t>develops</w:t>
      </w:r>
      <w:r w:rsidR="00CD5BC9" w:rsidRPr="00CD5BC9">
        <w:rPr>
          <w:rFonts w:asciiTheme="majorBidi" w:hAnsiTheme="majorBidi" w:cstheme="majorBidi"/>
          <w:szCs w:val="24"/>
        </w:rPr>
        <w:t xml:space="preserve"> </w:t>
      </w:r>
      <w:r w:rsidR="00CD5BC9" w:rsidRPr="00F9248C">
        <w:rPr>
          <w:rFonts w:asciiTheme="majorBidi" w:hAnsiTheme="majorBidi"/>
        </w:rPr>
        <w:t>gradually</w:t>
      </w:r>
      <w:r w:rsidRPr="00F9248C">
        <w:rPr>
          <w:rFonts w:asciiTheme="majorBidi" w:hAnsiTheme="majorBidi"/>
        </w:rPr>
        <w:t xml:space="preserve"> during childhood, starting with awareness of concrete attributes of behavior or physical characteristics and graduating into more abstract attributes </w:t>
      </w:r>
      <w:r>
        <w:rPr>
          <w:rFonts w:asciiTheme="majorBidi" w:hAnsiTheme="majorBidi" w:cstheme="majorBidi"/>
          <w:szCs w:val="24"/>
        </w:rPr>
        <w:t>(Rith-Najarian et al., 2014)</w:t>
      </w:r>
      <w:r w:rsidRPr="00C072EB">
        <w:rPr>
          <w:rFonts w:asciiTheme="majorBidi" w:hAnsiTheme="majorBidi" w:cstheme="majorBidi"/>
          <w:szCs w:val="24"/>
        </w:rPr>
        <w:t xml:space="preserve">. </w:t>
      </w:r>
      <w:r w:rsidRPr="00F9248C">
        <w:rPr>
          <w:rFonts w:asciiTheme="majorBidi" w:hAnsiTheme="majorBidi"/>
        </w:rPr>
        <w:t xml:space="preserve">Reports have shown that children’s self-awareness increases with age, which is consistent with the development of cognitive, memory, and language skills </w:t>
      </w:r>
      <w:r>
        <w:rPr>
          <w:rFonts w:asciiTheme="majorBidi" w:hAnsiTheme="majorBidi" w:cstheme="majorBidi"/>
          <w:szCs w:val="24"/>
        </w:rPr>
        <w:t>(Klimkeit et al., 2006)</w:t>
      </w:r>
      <w:r w:rsidRPr="00C072EB">
        <w:rPr>
          <w:rFonts w:asciiTheme="majorBidi" w:hAnsiTheme="majorBidi" w:cstheme="majorBidi"/>
          <w:szCs w:val="24"/>
        </w:rPr>
        <w:t>.</w:t>
      </w:r>
      <w:r w:rsidR="00FD7082">
        <w:rPr>
          <w:rFonts w:asciiTheme="majorBidi" w:hAnsiTheme="majorBidi" w:cstheme="majorBidi"/>
          <w:szCs w:val="24"/>
        </w:rPr>
        <w:t xml:space="preserve"> </w:t>
      </w:r>
      <w:r w:rsidR="00DD7802">
        <w:rPr>
          <w:rFonts w:asciiTheme="majorBidi" w:hAnsiTheme="majorBidi" w:cstheme="majorBidi"/>
          <w:szCs w:val="24"/>
        </w:rPr>
        <w:t>Self-awareness</w:t>
      </w:r>
      <w:r w:rsidR="00FD7082">
        <w:rPr>
          <w:rFonts w:asciiTheme="majorBidi" w:hAnsiTheme="majorBidi" w:cstheme="majorBidi"/>
          <w:szCs w:val="24"/>
        </w:rPr>
        <w:t xml:space="preserve"> may have several components, including awareness of one’s own faults, awareness of impairment, and awareness of one’s ability to perform task, awareness of performance.</w:t>
      </w:r>
    </w:p>
    <w:p w14:paraId="612F6F59" w14:textId="40273930" w:rsidR="00D91534" w:rsidRPr="00C072EB" w:rsidRDefault="006A1535" w:rsidP="00FD7082">
      <w:pPr>
        <w:rPr>
          <w:rFonts w:asciiTheme="majorBidi" w:hAnsiTheme="majorBidi" w:cstheme="majorBidi"/>
          <w:szCs w:val="24"/>
        </w:rPr>
      </w:pPr>
      <w:r>
        <w:rPr>
          <w:rFonts w:asciiTheme="majorBidi" w:hAnsiTheme="majorBidi" w:cstheme="majorBidi"/>
          <w:szCs w:val="24"/>
        </w:rPr>
        <w:t>Adolescent</w:t>
      </w:r>
      <w:r w:rsidR="00D91534" w:rsidRPr="00C072EB">
        <w:rPr>
          <w:rFonts w:asciiTheme="majorBidi" w:hAnsiTheme="majorBidi" w:cstheme="majorBidi"/>
          <w:szCs w:val="24"/>
        </w:rPr>
        <w:t xml:space="preserve"> </w:t>
      </w:r>
      <w:r w:rsidR="00D91534">
        <w:rPr>
          <w:rFonts w:asciiTheme="majorBidi" w:hAnsiTheme="majorBidi" w:cstheme="majorBidi"/>
          <w:szCs w:val="24"/>
        </w:rPr>
        <w:t xml:space="preserve">struggling with </w:t>
      </w:r>
      <w:r w:rsidR="00EC26B4">
        <w:rPr>
          <w:rFonts w:asciiTheme="majorBidi" w:hAnsiTheme="majorBidi" w:cstheme="majorBidi"/>
          <w:szCs w:val="24"/>
        </w:rPr>
        <w:t>executive function (</w:t>
      </w:r>
      <w:r w:rsidR="008B267B">
        <w:rPr>
          <w:rFonts w:asciiTheme="majorBidi" w:hAnsiTheme="majorBidi" w:cstheme="majorBidi"/>
          <w:szCs w:val="24"/>
        </w:rPr>
        <w:t>EF</w:t>
      </w:r>
      <w:r w:rsidR="00EC26B4">
        <w:rPr>
          <w:rFonts w:asciiTheme="majorBidi" w:hAnsiTheme="majorBidi" w:cstheme="majorBidi"/>
          <w:szCs w:val="24"/>
        </w:rPr>
        <w:t>)</w:t>
      </w:r>
      <w:r w:rsidR="008B267B">
        <w:rPr>
          <w:rFonts w:asciiTheme="majorBidi" w:hAnsiTheme="majorBidi" w:cstheme="majorBidi"/>
          <w:szCs w:val="24"/>
        </w:rPr>
        <w:t xml:space="preserve"> deficits (</w:t>
      </w:r>
      <w:r w:rsidR="00D91534">
        <w:rPr>
          <w:rFonts w:asciiTheme="majorBidi" w:hAnsiTheme="majorBidi" w:cstheme="majorBidi"/>
          <w:szCs w:val="24"/>
        </w:rPr>
        <w:t>EFD</w:t>
      </w:r>
      <w:r w:rsidR="008B267B">
        <w:rPr>
          <w:rFonts w:asciiTheme="majorBidi" w:hAnsiTheme="majorBidi" w:cstheme="majorBidi"/>
          <w:szCs w:val="24"/>
        </w:rPr>
        <w:t>s)</w:t>
      </w:r>
      <w:r w:rsidR="00D91534">
        <w:rPr>
          <w:rFonts w:asciiTheme="majorBidi" w:hAnsiTheme="majorBidi" w:cstheme="majorBidi"/>
          <w:szCs w:val="24"/>
        </w:rPr>
        <w:t xml:space="preserve"> also </w:t>
      </w:r>
      <w:r w:rsidR="00D91534" w:rsidRPr="00C072EB">
        <w:rPr>
          <w:rFonts w:asciiTheme="majorBidi" w:hAnsiTheme="majorBidi" w:cstheme="majorBidi"/>
          <w:szCs w:val="24"/>
        </w:rPr>
        <w:t>have difficult</w:t>
      </w:r>
      <w:r w:rsidR="00D91534">
        <w:rPr>
          <w:rFonts w:asciiTheme="majorBidi" w:hAnsiTheme="majorBidi" w:cstheme="majorBidi"/>
          <w:szCs w:val="24"/>
        </w:rPr>
        <w:t>y</w:t>
      </w:r>
      <w:r w:rsidR="00D91534" w:rsidRPr="00C072EB">
        <w:rPr>
          <w:rFonts w:asciiTheme="majorBidi" w:hAnsiTheme="majorBidi" w:cstheme="majorBidi"/>
          <w:szCs w:val="24"/>
        </w:rPr>
        <w:t xml:space="preserve"> with self-awareness. </w:t>
      </w:r>
      <w:r w:rsidR="00D91534" w:rsidRPr="00CB16CE">
        <w:rPr>
          <w:rFonts w:asciiTheme="majorBidi" w:hAnsiTheme="majorBidi" w:cstheme="majorBidi"/>
          <w:szCs w:val="24"/>
        </w:rPr>
        <w:t xml:space="preserve">Adolescents with EFDs </w:t>
      </w:r>
      <w:r w:rsidR="00D91534">
        <w:rPr>
          <w:rFonts w:asciiTheme="majorBidi" w:hAnsiTheme="majorBidi" w:cstheme="majorBidi"/>
          <w:szCs w:val="24"/>
        </w:rPr>
        <w:t xml:space="preserve">differ from their </w:t>
      </w:r>
      <w:r w:rsidR="009F7885">
        <w:rPr>
          <w:rFonts w:asciiTheme="majorBidi" w:hAnsiTheme="majorBidi" w:cstheme="majorBidi"/>
          <w:szCs w:val="24"/>
        </w:rPr>
        <w:t xml:space="preserve">peers with </w:t>
      </w:r>
      <w:r w:rsidR="00D91534">
        <w:rPr>
          <w:rFonts w:asciiTheme="majorBidi" w:hAnsiTheme="majorBidi" w:cstheme="majorBidi"/>
          <w:szCs w:val="24"/>
        </w:rPr>
        <w:t xml:space="preserve">typical </w:t>
      </w:r>
      <w:r w:rsidR="009F7885">
        <w:rPr>
          <w:rFonts w:asciiTheme="majorBidi" w:hAnsiTheme="majorBidi" w:cstheme="majorBidi"/>
          <w:szCs w:val="24"/>
        </w:rPr>
        <w:t xml:space="preserve">development (TD) </w:t>
      </w:r>
      <w:r w:rsidR="00D91534">
        <w:rPr>
          <w:rFonts w:asciiTheme="majorBidi" w:hAnsiTheme="majorBidi" w:cstheme="majorBidi"/>
          <w:szCs w:val="24"/>
        </w:rPr>
        <w:t xml:space="preserve">in their </w:t>
      </w:r>
      <w:r w:rsidR="00D91534" w:rsidRPr="00CB16CE">
        <w:rPr>
          <w:rFonts w:asciiTheme="majorBidi" w:hAnsiTheme="majorBidi" w:cstheme="majorBidi"/>
          <w:szCs w:val="24"/>
        </w:rPr>
        <w:t>struggle</w:t>
      </w:r>
      <w:r w:rsidR="00D91534">
        <w:rPr>
          <w:rFonts w:asciiTheme="majorBidi" w:hAnsiTheme="majorBidi" w:cstheme="majorBidi"/>
          <w:szCs w:val="24"/>
        </w:rPr>
        <w:t>s</w:t>
      </w:r>
      <w:r w:rsidR="00D91534" w:rsidRPr="00CB16CE">
        <w:rPr>
          <w:rFonts w:asciiTheme="majorBidi" w:hAnsiTheme="majorBidi" w:cstheme="majorBidi"/>
          <w:szCs w:val="24"/>
        </w:rPr>
        <w:t xml:space="preserve"> with daily life</w:t>
      </w:r>
      <w:r w:rsidR="008B267B">
        <w:rPr>
          <w:rFonts w:asciiTheme="majorBidi" w:hAnsiTheme="majorBidi" w:cstheme="majorBidi"/>
          <w:szCs w:val="24"/>
        </w:rPr>
        <w:t xml:space="preserve"> </w:t>
      </w:r>
      <w:r w:rsidR="00D91534">
        <w:rPr>
          <w:rFonts w:asciiTheme="majorBidi" w:hAnsiTheme="majorBidi" w:cstheme="majorBidi"/>
          <w:szCs w:val="24"/>
        </w:rPr>
        <w:t>tasks</w:t>
      </w:r>
      <w:r w:rsidR="00D91534" w:rsidRPr="00CB16CE">
        <w:rPr>
          <w:rFonts w:asciiTheme="majorBidi" w:hAnsiTheme="majorBidi" w:cstheme="majorBidi"/>
          <w:szCs w:val="24"/>
        </w:rPr>
        <w:t xml:space="preserve"> (</w:t>
      </w:r>
      <w:r w:rsidR="00A223D8">
        <w:rPr>
          <w:rFonts w:asciiTheme="majorBidi" w:hAnsiTheme="majorBidi" w:cstheme="majorBidi"/>
          <w:szCs w:val="24"/>
        </w:rPr>
        <w:t>Fogel</w:t>
      </w:r>
      <w:r w:rsidR="00D91534" w:rsidRPr="00CB16CE">
        <w:rPr>
          <w:rFonts w:asciiTheme="majorBidi" w:hAnsiTheme="majorBidi" w:cstheme="majorBidi"/>
          <w:szCs w:val="24"/>
        </w:rPr>
        <w:t xml:space="preserve"> et al., 2020), especially when changes in environmental demands require </w:t>
      </w:r>
      <w:r w:rsidR="00D91534">
        <w:rPr>
          <w:rFonts w:asciiTheme="majorBidi" w:hAnsiTheme="majorBidi" w:cstheme="majorBidi"/>
          <w:szCs w:val="24"/>
        </w:rPr>
        <w:t>them</w:t>
      </w:r>
      <w:r w:rsidR="00D91534" w:rsidRPr="00CB16CE">
        <w:rPr>
          <w:rFonts w:asciiTheme="majorBidi" w:hAnsiTheme="majorBidi" w:cstheme="majorBidi"/>
          <w:szCs w:val="24"/>
        </w:rPr>
        <w:t xml:space="preserve"> to adjust their thinking and actions (Crone &amp; Dahl, 2012).</w:t>
      </w:r>
      <w:r w:rsidR="00D91534">
        <w:t xml:space="preserve"> </w:t>
      </w:r>
    </w:p>
    <w:p w14:paraId="76012462" w14:textId="0CC6FF96" w:rsidR="00E07E2A" w:rsidRDefault="00F17654">
      <w:pPr>
        <w:contextualSpacing/>
      </w:pPr>
      <w:r>
        <w:rPr>
          <w:rFonts w:asciiTheme="majorBidi" w:hAnsiTheme="majorBidi" w:cstheme="majorBidi"/>
          <w:szCs w:val="24"/>
        </w:rPr>
        <w:t xml:space="preserve">Executive Function is a crucial aspect of the ability to perform daily </w:t>
      </w:r>
      <w:r w:rsidR="006A1535">
        <w:rPr>
          <w:rFonts w:asciiTheme="majorBidi" w:hAnsiTheme="majorBidi" w:cstheme="majorBidi"/>
          <w:szCs w:val="24"/>
        </w:rPr>
        <w:t>tasks.</w:t>
      </w:r>
      <w:r>
        <w:rPr>
          <w:rFonts w:asciiTheme="majorBidi" w:hAnsiTheme="majorBidi" w:cstheme="majorBidi"/>
          <w:szCs w:val="24"/>
        </w:rPr>
        <w:t xml:space="preserve"> </w:t>
      </w:r>
      <w:r w:rsidR="00AA1B82">
        <w:t>An EF-deficit (EFD) profile characterizes a heterogeneous group of transdiagnostic problems</w:t>
      </w:r>
      <w:r w:rsidR="008817F7">
        <w:t xml:space="preserve">. </w:t>
      </w:r>
      <w:r w:rsidR="00E07E2A" w:rsidRPr="00C072EB">
        <w:rPr>
          <w:rFonts w:asciiTheme="majorBidi" w:hAnsiTheme="majorBidi" w:cstheme="majorBidi"/>
          <w:szCs w:val="24"/>
        </w:rPr>
        <w:t>Adolescents with</w:t>
      </w:r>
      <w:r w:rsidR="00E07E2A">
        <w:rPr>
          <w:rFonts w:asciiTheme="majorBidi" w:hAnsiTheme="majorBidi" w:cstheme="majorBidi"/>
          <w:szCs w:val="24"/>
        </w:rPr>
        <w:t xml:space="preserve"> an</w:t>
      </w:r>
      <w:r w:rsidR="00E07E2A" w:rsidRPr="00C072EB">
        <w:rPr>
          <w:rFonts w:asciiTheme="majorBidi" w:hAnsiTheme="majorBidi" w:cstheme="majorBidi"/>
          <w:szCs w:val="24"/>
        </w:rPr>
        <w:t xml:space="preserve"> EFD are characterized </w:t>
      </w:r>
      <w:r w:rsidR="00545DCA">
        <w:rPr>
          <w:rFonts w:asciiTheme="majorBidi" w:hAnsiTheme="majorBidi" w:cstheme="majorBidi"/>
          <w:szCs w:val="24"/>
        </w:rPr>
        <w:t>with</w:t>
      </w:r>
      <w:r w:rsidR="006A1535" w:rsidRPr="008817F7">
        <w:rPr>
          <w:rFonts w:asciiTheme="majorBidi" w:hAnsiTheme="majorBidi" w:cstheme="majorBidi"/>
          <w:szCs w:val="24"/>
        </w:rPr>
        <w:t xml:space="preserve"> </w:t>
      </w:r>
      <w:r w:rsidR="006A1535" w:rsidRPr="008817F7">
        <w:rPr>
          <w:rFonts w:asciiTheme="majorBidi" w:hAnsiTheme="majorBidi" w:cstheme="majorBidi"/>
          <w:color w:val="000000"/>
          <w:szCs w:val="24"/>
        </w:rPr>
        <w:t>disorganization</w:t>
      </w:r>
      <w:r w:rsidR="00E07E2A" w:rsidRPr="008817F7">
        <w:rPr>
          <w:rFonts w:asciiTheme="majorBidi" w:hAnsiTheme="majorBidi" w:cstheme="majorBidi"/>
          <w:color w:val="000000"/>
          <w:szCs w:val="24"/>
        </w:rPr>
        <w:t>, forgetfulness, and inability to multitask proficiently</w:t>
      </w:r>
      <w:r w:rsidR="00E93A17" w:rsidRPr="008817F7">
        <w:rPr>
          <w:rFonts w:asciiTheme="majorBidi" w:hAnsiTheme="majorBidi" w:cstheme="majorBidi"/>
          <w:color w:val="000000"/>
          <w:szCs w:val="24"/>
        </w:rPr>
        <w:t xml:space="preserve">, and the </w:t>
      </w:r>
      <w:r w:rsidR="00E93A17" w:rsidRPr="008817F7">
        <w:rPr>
          <w:rFonts w:asciiTheme="majorBidi" w:hAnsiTheme="majorBidi" w:cstheme="majorBidi"/>
          <w:szCs w:val="24"/>
        </w:rPr>
        <w:t>EFDs can limit the</w:t>
      </w:r>
      <w:r w:rsidR="00545DCA">
        <w:rPr>
          <w:rFonts w:asciiTheme="majorBidi" w:hAnsiTheme="majorBidi" w:cstheme="majorBidi"/>
          <w:szCs w:val="24"/>
        </w:rPr>
        <w:t>ir</w:t>
      </w:r>
      <w:r w:rsidR="00E93A17" w:rsidRPr="008817F7">
        <w:rPr>
          <w:rFonts w:asciiTheme="majorBidi" w:hAnsiTheme="majorBidi" w:cstheme="majorBidi"/>
          <w:szCs w:val="24"/>
        </w:rPr>
        <w:t xml:space="preserve"> ability to insightfully self-regulate their behavior (Steward et al., 2017). </w:t>
      </w:r>
      <w:r w:rsidR="00E07E2A" w:rsidRPr="008817F7">
        <w:rPr>
          <w:rFonts w:asciiTheme="majorBidi" w:hAnsiTheme="majorBidi" w:cstheme="majorBidi"/>
          <w:color w:val="000000"/>
          <w:szCs w:val="24"/>
        </w:rPr>
        <w:t xml:space="preserve">Thus, </w:t>
      </w:r>
      <w:r w:rsidR="00E07E2A" w:rsidRPr="008817F7">
        <w:rPr>
          <w:rFonts w:asciiTheme="majorBidi" w:hAnsiTheme="majorBidi" w:cstheme="majorBidi"/>
          <w:szCs w:val="24"/>
        </w:rPr>
        <w:t xml:space="preserve">adolescents with EFD must cope with limitations in daily functioning at home (e.g., day-to-day organizing, planning, and shifting focus), at school (e.g., learning ability and prioritizing responsibilities), and in social environments (e.g., understanding social situations and making friends; Josman &amp; Rosenblum, 2018; </w:t>
      </w:r>
      <w:r w:rsidR="00E07E2A" w:rsidRPr="008817F7">
        <w:rPr>
          <w:rFonts w:asciiTheme="majorBidi" w:hAnsiTheme="majorBidi" w:cstheme="majorBidi"/>
          <w:color w:val="000000"/>
          <w:szCs w:val="24"/>
        </w:rPr>
        <w:t xml:space="preserve">Otero </w:t>
      </w:r>
      <w:r w:rsidR="00E07E2A" w:rsidRPr="008817F7">
        <w:rPr>
          <w:rFonts w:asciiTheme="majorBidi" w:hAnsiTheme="majorBidi" w:cstheme="majorBidi"/>
          <w:color w:val="000000"/>
          <w:szCs w:val="24"/>
        </w:rPr>
        <w:lastRenderedPageBreak/>
        <w:t>et al., 2014</w:t>
      </w:r>
      <w:r w:rsidR="00E07E2A" w:rsidRPr="008817F7">
        <w:rPr>
          <w:rFonts w:asciiTheme="majorBidi" w:hAnsiTheme="majorBidi" w:cstheme="majorBidi"/>
          <w:szCs w:val="24"/>
        </w:rPr>
        <w:t xml:space="preserve">). </w:t>
      </w:r>
      <w:r w:rsidR="00E07E2A" w:rsidRPr="008817F7">
        <w:rPr>
          <w:rFonts w:asciiTheme="majorBidi" w:hAnsiTheme="majorBidi" w:cstheme="majorBidi"/>
          <w:color w:val="000000"/>
          <w:szCs w:val="24"/>
        </w:rPr>
        <w:t xml:space="preserve">Daily tasks, such </w:t>
      </w:r>
      <w:r w:rsidR="004521CE" w:rsidRPr="008817F7">
        <w:rPr>
          <w:rFonts w:asciiTheme="majorBidi" w:hAnsiTheme="majorBidi" w:cstheme="majorBidi"/>
          <w:color w:val="000000"/>
          <w:szCs w:val="24"/>
        </w:rPr>
        <w:t xml:space="preserve">as </w:t>
      </w:r>
      <w:r w:rsidR="00E07E2A" w:rsidRPr="008817F7">
        <w:rPr>
          <w:rFonts w:asciiTheme="majorBidi" w:hAnsiTheme="majorBidi" w:cstheme="majorBidi"/>
          <w:color w:val="000000"/>
          <w:szCs w:val="24"/>
        </w:rPr>
        <w:t>managing time, meeting due dates, and prioritizing responsibilities can be</w:t>
      </w:r>
      <w:r w:rsidR="00E93A17" w:rsidRPr="008817F7">
        <w:rPr>
          <w:rFonts w:asciiTheme="majorBidi" w:hAnsiTheme="majorBidi" w:cstheme="majorBidi"/>
          <w:color w:val="000000"/>
          <w:szCs w:val="24"/>
        </w:rPr>
        <w:t>come major</w:t>
      </w:r>
      <w:r w:rsidR="00E07E2A" w:rsidRPr="008817F7">
        <w:rPr>
          <w:rFonts w:asciiTheme="majorBidi" w:hAnsiTheme="majorBidi" w:cstheme="majorBidi"/>
          <w:color w:val="000000"/>
          <w:szCs w:val="24"/>
        </w:rPr>
        <w:t xml:space="preserve"> struggles.</w:t>
      </w:r>
      <w:r w:rsidR="00E07E2A">
        <w:t xml:space="preserve"> </w:t>
      </w:r>
    </w:p>
    <w:p w14:paraId="22AF0DC1" w14:textId="77777777" w:rsidR="000562A1" w:rsidRDefault="000562A1" w:rsidP="000562A1">
      <w:pPr>
        <w:ind w:firstLine="284"/>
        <w:contextualSpacing/>
        <w:rPr>
          <w:i/>
          <w:iCs/>
        </w:rPr>
      </w:pPr>
      <w:r>
        <w:rPr>
          <w:rFonts w:asciiTheme="majorBidi" w:eastAsia="Calibri" w:hAnsiTheme="majorBidi" w:cstheme="majorBidi"/>
          <w:szCs w:val="24"/>
        </w:rPr>
        <w:t>Adolescents’ a</w:t>
      </w:r>
      <w:r w:rsidRPr="00C072EB">
        <w:rPr>
          <w:rFonts w:asciiTheme="majorBidi" w:eastAsia="Calibri" w:hAnsiTheme="majorBidi" w:cstheme="majorBidi"/>
          <w:szCs w:val="24"/>
        </w:rPr>
        <w:t xml:space="preserve">wareness of </w:t>
      </w:r>
      <w:r>
        <w:rPr>
          <w:rFonts w:asciiTheme="majorBidi" w:eastAsia="Calibri" w:hAnsiTheme="majorBidi" w:cstheme="majorBidi"/>
          <w:szCs w:val="24"/>
        </w:rPr>
        <w:t xml:space="preserve">their </w:t>
      </w:r>
      <w:r>
        <w:rPr>
          <w:rFonts w:asciiTheme="majorBidi" w:hAnsiTheme="majorBidi"/>
        </w:rPr>
        <w:t>deficit</w:t>
      </w:r>
      <w:r w:rsidRPr="00F9248C">
        <w:rPr>
          <w:rFonts w:asciiTheme="majorBidi" w:hAnsiTheme="majorBidi"/>
        </w:rPr>
        <w:t xml:space="preserve"> is important</w:t>
      </w:r>
      <w:r>
        <w:rPr>
          <w:rFonts w:asciiTheme="majorBidi" w:eastAsia="Calibri" w:hAnsiTheme="majorBidi" w:cstheme="majorBidi"/>
          <w:szCs w:val="24"/>
        </w:rPr>
        <w:t xml:space="preserve"> because</w:t>
      </w:r>
      <w:r w:rsidRPr="00C072EB">
        <w:rPr>
          <w:rFonts w:asciiTheme="majorBidi" w:eastAsia="Calibri" w:hAnsiTheme="majorBidi" w:cstheme="majorBidi"/>
          <w:szCs w:val="24"/>
        </w:rPr>
        <w:t xml:space="preserve"> </w:t>
      </w:r>
      <w:r>
        <w:rPr>
          <w:rFonts w:asciiTheme="majorBidi" w:eastAsia="Calibri" w:hAnsiTheme="majorBidi" w:cstheme="majorBidi"/>
          <w:szCs w:val="24"/>
        </w:rPr>
        <w:t>awareness can</w:t>
      </w:r>
      <w:r w:rsidRPr="00C072EB">
        <w:rPr>
          <w:rFonts w:asciiTheme="majorBidi" w:eastAsia="Calibri" w:hAnsiTheme="majorBidi" w:cstheme="majorBidi"/>
          <w:szCs w:val="24"/>
        </w:rPr>
        <w:t xml:space="preserve"> contribute</w:t>
      </w:r>
      <w:r w:rsidRPr="00F9248C">
        <w:rPr>
          <w:rFonts w:asciiTheme="majorBidi" w:hAnsiTheme="majorBidi"/>
        </w:rPr>
        <w:t xml:space="preserve"> to a broad range of functional outcomes </w:t>
      </w:r>
      <w:r>
        <w:rPr>
          <w:rFonts w:asciiTheme="majorBidi" w:eastAsia="Calibri" w:hAnsiTheme="majorBidi" w:cstheme="majorBidi"/>
          <w:szCs w:val="24"/>
        </w:rPr>
        <w:t>(Cermak &amp; Toglia, 2018)</w:t>
      </w:r>
      <w:r w:rsidRPr="00C072EB">
        <w:rPr>
          <w:rFonts w:asciiTheme="majorBidi" w:eastAsia="Calibri" w:hAnsiTheme="majorBidi" w:cstheme="majorBidi"/>
          <w:szCs w:val="24"/>
        </w:rPr>
        <w:t>.</w:t>
      </w:r>
      <w:r w:rsidRPr="00F9248C">
        <w:rPr>
          <w:rFonts w:asciiTheme="majorBidi" w:hAnsiTheme="majorBidi"/>
        </w:rPr>
        <w:t xml:space="preserve"> Lack of awareness may negatively affect adolescents</w:t>
      </w:r>
      <w:r>
        <w:rPr>
          <w:rFonts w:asciiTheme="majorBidi" w:eastAsia="Calibri" w:hAnsiTheme="majorBidi" w:cstheme="majorBidi"/>
          <w:szCs w:val="24"/>
        </w:rPr>
        <w:t xml:space="preserve">, who otherwise may </w:t>
      </w:r>
      <w:r w:rsidRPr="00F9248C">
        <w:rPr>
          <w:rFonts w:asciiTheme="majorBidi" w:hAnsiTheme="majorBidi"/>
        </w:rPr>
        <w:t xml:space="preserve">have </w:t>
      </w:r>
      <w:r>
        <w:rPr>
          <w:rFonts w:asciiTheme="majorBidi" w:eastAsia="Calibri" w:hAnsiTheme="majorBidi" w:cstheme="majorBidi"/>
          <w:szCs w:val="24"/>
        </w:rPr>
        <w:t>no</w:t>
      </w:r>
      <w:r w:rsidRPr="00F9248C">
        <w:rPr>
          <w:rFonts w:asciiTheme="majorBidi" w:hAnsiTheme="majorBidi"/>
        </w:rPr>
        <w:t xml:space="preserve"> coherent explanation for their functional difficulties and </w:t>
      </w:r>
      <w:r>
        <w:rPr>
          <w:rFonts w:asciiTheme="majorBidi" w:eastAsia="Calibri" w:hAnsiTheme="majorBidi" w:cstheme="majorBidi"/>
          <w:szCs w:val="24"/>
        </w:rPr>
        <w:t>hence</w:t>
      </w:r>
      <w:r w:rsidRPr="00F9248C">
        <w:rPr>
          <w:rFonts w:asciiTheme="majorBidi" w:hAnsiTheme="majorBidi"/>
        </w:rPr>
        <w:t xml:space="preserve"> develop misattributions and negative beliefs about themselves </w:t>
      </w:r>
      <w:r>
        <w:rPr>
          <w:rFonts w:asciiTheme="majorBidi" w:eastAsia="Calibri" w:hAnsiTheme="majorBidi" w:cstheme="majorBidi"/>
          <w:szCs w:val="24"/>
        </w:rPr>
        <w:t>(Levanon-Erez &amp; Maeir, 2014)</w:t>
      </w:r>
      <w:r w:rsidRPr="003537AB">
        <w:rPr>
          <w:rFonts w:asciiTheme="majorBidi" w:eastAsia="Calibri" w:hAnsiTheme="majorBidi" w:cstheme="majorBidi"/>
          <w:szCs w:val="24"/>
        </w:rPr>
        <w:t>.</w:t>
      </w:r>
    </w:p>
    <w:p w14:paraId="14BC9B3D" w14:textId="7B7DC302" w:rsidR="00EE6C22" w:rsidRPr="006A1535" w:rsidRDefault="00EE6C22" w:rsidP="008C46F9">
      <w:pPr>
        <w:ind w:firstLine="284"/>
        <w:contextualSpacing/>
        <w:rPr>
          <w:i/>
          <w:iCs/>
        </w:rPr>
      </w:pPr>
      <w:r w:rsidRPr="006A1535">
        <w:rPr>
          <w:i/>
          <w:iCs/>
        </w:rPr>
        <w:t>Aspects of self- awareness</w:t>
      </w:r>
    </w:p>
    <w:p w14:paraId="27ADFA58" w14:textId="6AB5640D" w:rsidR="00E07E2A" w:rsidRPr="00F9248C" w:rsidRDefault="00D450C6">
      <w:pPr>
        <w:contextualSpacing/>
        <w:rPr>
          <w:rFonts w:asciiTheme="majorBidi" w:hAnsiTheme="majorBidi"/>
        </w:rPr>
      </w:pPr>
      <w:r w:rsidRPr="00F9248C">
        <w:rPr>
          <w:rFonts w:asciiTheme="majorBidi" w:hAnsiTheme="majorBidi"/>
        </w:rPr>
        <w:t xml:space="preserve">Self-awareness </w:t>
      </w:r>
      <w:r w:rsidR="00F17654">
        <w:rPr>
          <w:rFonts w:asciiTheme="majorBidi" w:hAnsiTheme="majorBidi"/>
        </w:rPr>
        <w:t xml:space="preserve">of impairment </w:t>
      </w:r>
      <w:r w:rsidRPr="00F9248C">
        <w:rPr>
          <w:rFonts w:asciiTheme="majorBidi" w:hAnsiTheme="majorBidi"/>
        </w:rPr>
        <w:t xml:space="preserve">is usually evaluated by comparing participants’ </w:t>
      </w:r>
      <w:r w:rsidRPr="00C072EB">
        <w:rPr>
          <w:rFonts w:asciiTheme="majorBidi" w:hAnsiTheme="majorBidi" w:cstheme="majorBidi"/>
          <w:szCs w:val="24"/>
        </w:rPr>
        <w:t xml:space="preserve">performance </w:t>
      </w:r>
      <w:r w:rsidRPr="00F9248C">
        <w:rPr>
          <w:rFonts w:asciiTheme="majorBidi" w:hAnsiTheme="majorBidi"/>
        </w:rPr>
        <w:t>on neuropsychological tests</w:t>
      </w:r>
      <w:r>
        <w:rPr>
          <w:rFonts w:asciiTheme="majorBidi" w:hAnsiTheme="majorBidi" w:cstheme="majorBidi"/>
          <w:szCs w:val="24"/>
        </w:rPr>
        <w:t>, self-</w:t>
      </w:r>
      <w:r w:rsidRPr="00C072EB">
        <w:rPr>
          <w:rFonts w:asciiTheme="majorBidi" w:hAnsiTheme="majorBidi" w:cstheme="majorBidi"/>
          <w:szCs w:val="24"/>
        </w:rPr>
        <w:t>ratings of cognitive skills</w:t>
      </w:r>
      <w:r>
        <w:rPr>
          <w:rFonts w:asciiTheme="majorBidi" w:hAnsiTheme="majorBidi" w:cstheme="majorBidi"/>
          <w:szCs w:val="24"/>
        </w:rPr>
        <w:t xml:space="preserve">, and </w:t>
      </w:r>
      <w:r w:rsidRPr="00C072EB">
        <w:rPr>
          <w:rFonts w:asciiTheme="majorBidi" w:hAnsiTheme="majorBidi" w:cstheme="majorBidi"/>
          <w:szCs w:val="24"/>
        </w:rPr>
        <w:t>family members</w:t>
      </w:r>
      <w:r w:rsidR="00B87A9D">
        <w:rPr>
          <w:rFonts w:asciiTheme="majorBidi" w:hAnsiTheme="majorBidi" w:cstheme="majorBidi"/>
          <w:szCs w:val="24"/>
        </w:rPr>
        <w:t>’</w:t>
      </w:r>
      <w:r w:rsidRPr="00C072EB">
        <w:rPr>
          <w:rFonts w:asciiTheme="majorBidi" w:hAnsiTheme="majorBidi" w:cstheme="majorBidi"/>
          <w:szCs w:val="24"/>
        </w:rPr>
        <w:t xml:space="preserve"> or clinicians</w:t>
      </w:r>
      <w:r w:rsidR="00B87A9D">
        <w:rPr>
          <w:rFonts w:asciiTheme="majorBidi" w:hAnsiTheme="majorBidi" w:cstheme="majorBidi"/>
          <w:szCs w:val="24"/>
        </w:rPr>
        <w:t>’</w:t>
      </w:r>
      <w:r w:rsidRPr="00C072EB">
        <w:rPr>
          <w:rFonts w:asciiTheme="majorBidi" w:hAnsiTheme="majorBidi" w:cstheme="majorBidi"/>
          <w:szCs w:val="24"/>
        </w:rPr>
        <w:t xml:space="preserve"> </w:t>
      </w:r>
      <w:r>
        <w:rPr>
          <w:rFonts w:asciiTheme="majorBidi" w:hAnsiTheme="majorBidi" w:cstheme="majorBidi"/>
          <w:szCs w:val="24"/>
        </w:rPr>
        <w:t>ratings of the</w:t>
      </w:r>
      <w:r w:rsidRPr="00C072EB">
        <w:rPr>
          <w:rFonts w:asciiTheme="majorBidi" w:hAnsiTheme="majorBidi" w:cstheme="majorBidi"/>
          <w:szCs w:val="24"/>
        </w:rPr>
        <w:t xml:space="preserve"> participant</w:t>
      </w:r>
      <w:r w:rsidR="00EE6C22">
        <w:rPr>
          <w:rFonts w:asciiTheme="majorBidi" w:hAnsiTheme="majorBidi" w:cstheme="majorBidi"/>
          <w:szCs w:val="24"/>
        </w:rPr>
        <w:t xml:space="preserve"> actions</w:t>
      </w:r>
      <w:r w:rsidRPr="00C072EB">
        <w:rPr>
          <w:rFonts w:asciiTheme="majorBidi" w:hAnsiTheme="majorBidi" w:cstheme="majorBidi"/>
          <w:szCs w:val="24"/>
        </w:rPr>
        <w:t>.</w:t>
      </w:r>
      <w:r w:rsidRPr="00F9248C">
        <w:rPr>
          <w:rFonts w:asciiTheme="majorBidi" w:hAnsiTheme="majorBidi"/>
        </w:rPr>
        <w:t xml:space="preserve"> </w:t>
      </w:r>
      <w:r w:rsidR="00E07E2A" w:rsidRPr="00F9248C">
        <w:rPr>
          <w:rFonts w:asciiTheme="majorBidi" w:hAnsiTheme="majorBidi"/>
        </w:rPr>
        <w:t xml:space="preserve">Most of </w:t>
      </w:r>
      <w:r w:rsidR="00F17654">
        <w:rPr>
          <w:rFonts w:asciiTheme="majorBidi" w:hAnsiTheme="majorBidi"/>
        </w:rPr>
        <w:t>the</w:t>
      </w:r>
      <w:r w:rsidR="00F17654" w:rsidRPr="00F9248C">
        <w:rPr>
          <w:rFonts w:asciiTheme="majorBidi" w:hAnsiTheme="majorBidi"/>
        </w:rPr>
        <w:t xml:space="preserve"> </w:t>
      </w:r>
      <w:r w:rsidR="00E07E2A" w:rsidRPr="00F9248C">
        <w:rPr>
          <w:rFonts w:asciiTheme="majorBidi" w:hAnsiTheme="majorBidi"/>
        </w:rPr>
        <w:t xml:space="preserve">studies </w:t>
      </w:r>
      <w:r w:rsidR="00F17654">
        <w:rPr>
          <w:rFonts w:asciiTheme="majorBidi" w:hAnsiTheme="majorBidi"/>
        </w:rPr>
        <w:t xml:space="preserve">that </w:t>
      </w:r>
      <w:r w:rsidR="00E07E2A" w:rsidRPr="00F9248C">
        <w:rPr>
          <w:rFonts w:asciiTheme="majorBidi" w:hAnsiTheme="majorBidi"/>
        </w:rPr>
        <w:t>assess</w:t>
      </w:r>
      <w:r w:rsidR="00EE6C22">
        <w:rPr>
          <w:rFonts w:asciiTheme="majorBidi" w:hAnsiTheme="majorBidi"/>
        </w:rPr>
        <w:t xml:space="preserve"> </w:t>
      </w:r>
      <w:r w:rsidR="00EE6C22" w:rsidRPr="00F9248C">
        <w:rPr>
          <w:rFonts w:asciiTheme="majorBidi" w:hAnsiTheme="majorBidi"/>
        </w:rPr>
        <w:t>impairment</w:t>
      </w:r>
      <w:r w:rsidR="00EE6C22">
        <w:rPr>
          <w:rFonts w:asciiTheme="majorBidi" w:hAnsiTheme="majorBidi"/>
        </w:rPr>
        <w:t xml:space="preserve"> </w:t>
      </w:r>
      <w:r w:rsidR="00E07E2A" w:rsidRPr="00F9248C">
        <w:rPr>
          <w:rFonts w:asciiTheme="majorBidi" w:hAnsiTheme="majorBidi"/>
        </w:rPr>
        <w:t>awareness us</w:t>
      </w:r>
      <w:r w:rsidR="00F17654">
        <w:rPr>
          <w:rFonts w:asciiTheme="majorBidi" w:hAnsiTheme="majorBidi"/>
        </w:rPr>
        <w:t>e</w:t>
      </w:r>
      <w:r w:rsidR="00E07E2A" w:rsidRPr="00F9248C">
        <w:rPr>
          <w:rFonts w:asciiTheme="majorBidi" w:hAnsiTheme="majorBidi"/>
        </w:rPr>
        <w:t xml:space="preserve"> a questionnaire, such as the Behavior Rating Inventory Executive Function (BRIEF</w:t>
      </w:r>
      <w:r w:rsidR="00E07E2A" w:rsidRPr="00C072EB">
        <w:rPr>
          <w:rFonts w:asciiTheme="majorBidi" w:hAnsiTheme="majorBidi" w:cstheme="majorBidi"/>
          <w:szCs w:val="24"/>
        </w:rPr>
        <w:t>)</w:t>
      </w:r>
      <w:r w:rsidR="00EE6C22">
        <w:rPr>
          <w:rFonts w:asciiTheme="majorBidi" w:hAnsiTheme="majorBidi" w:cstheme="majorBidi"/>
          <w:szCs w:val="24"/>
        </w:rPr>
        <w:t xml:space="preserve"> and the corresponding</w:t>
      </w:r>
      <w:r w:rsidR="00E07E2A" w:rsidRPr="00C072EB">
        <w:rPr>
          <w:rFonts w:asciiTheme="majorBidi" w:hAnsiTheme="majorBidi" w:cstheme="majorBidi"/>
          <w:szCs w:val="24"/>
        </w:rPr>
        <w:t xml:space="preserve"> </w:t>
      </w:r>
      <w:r w:rsidR="00E07E2A">
        <w:rPr>
          <w:rFonts w:asciiTheme="majorBidi" w:hAnsiTheme="majorBidi" w:cstheme="majorBidi"/>
          <w:szCs w:val="24"/>
        </w:rPr>
        <w:t>s</w:t>
      </w:r>
      <w:r w:rsidR="00E07E2A" w:rsidRPr="00C072EB">
        <w:rPr>
          <w:rFonts w:asciiTheme="majorBidi" w:hAnsiTheme="majorBidi" w:cstheme="majorBidi"/>
          <w:szCs w:val="24"/>
        </w:rPr>
        <w:t>elf</w:t>
      </w:r>
      <w:r w:rsidR="00E07E2A">
        <w:rPr>
          <w:rFonts w:asciiTheme="majorBidi" w:hAnsiTheme="majorBidi" w:cstheme="majorBidi"/>
          <w:szCs w:val="24"/>
        </w:rPr>
        <w:t>-re</w:t>
      </w:r>
      <w:r w:rsidR="00E07E2A" w:rsidRPr="00C072EB">
        <w:rPr>
          <w:rFonts w:asciiTheme="majorBidi" w:hAnsiTheme="majorBidi" w:cstheme="majorBidi"/>
          <w:szCs w:val="24"/>
        </w:rPr>
        <w:t>port</w:t>
      </w:r>
      <w:r w:rsidR="00C118A4">
        <w:rPr>
          <w:rFonts w:asciiTheme="majorBidi" w:hAnsiTheme="majorBidi" w:cstheme="majorBidi"/>
          <w:szCs w:val="24"/>
        </w:rPr>
        <w:t>,</w:t>
      </w:r>
      <w:r w:rsidR="00FC0F73" w:rsidRPr="00F9248C">
        <w:rPr>
          <w:rFonts w:asciiTheme="majorBidi" w:hAnsiTheme="majorBidi"/>
        </w:rPr>
        <w:t xml:space="preserve"> the </w:t>
      </w:r>
      <w:r w:rsidR="00E07E2A" w:rsidRPr="00F9248C">
        <w:rPr>
          <w:rFonts w:asciiTheme="majorBidi" w:hAnsiTheme="majorBidi"/>
        </w:rPr>
        <w:t>BRIEF-SR</w:t>
      </w:r>
      <w:r w:rsidR="00E07E2A" w:rsidRPr="00C072EB">
        <w:rPr>
          <w:rFonts w:asciiTheme="majorBidi" w:hAnsiTheme="majorBidi" w:cstheme="majorBidi"/>
          <w:szCs w:val="24"/>
        </w:rPr>
        <w:t xml:space="preserve"> </w:t>
      </w:r>
      <w:r w:rsidR="00FC0F73">
        <w:rPr>
          <w:rFonts w:asciiTheme="majorBidi" w:hAnsiTheme="majorBidi" w:cstheme="majorBidi"/>
          <w:szCs w:val="24"/>
        </w:rPr>
        <w:t>(</w:t>
      </w:r>
      <w:r w:rsidR="00E07E2A">
        <w:rPr>
          <w:rFonts w:asciiTheme="majorBidi" w:hAnsiTheme="majorBidi" w:cstheme="majorBidi"/>
          <w:szCs w:val="24"/>
        </w:rPr>
        <w:t>Steward et al., 2017; Zlo</w:t>
      </w:r>
      <w:r w:rsidR="00586124">
        <w:rPr>
          <w:rFonts w:asciiTheme="majorBidi" w:hAnsiTheme="majorBidi" w:cstheme="majorBidi"/>
          <w:szCs w:val="24"/>
        </w:rPr>
        <w:t>t</w:t>
      </w:r>
      <w:r w:rsidR="00E07E2A">
        <w:rPr>
          <w:rFonts w:asciiTheme="majorBidi" w:hAnsiTheme="majorBidi" w:cstheme="majorBidi"/>
          <w:szCs w:val="24"/>
        </w:rPr>
        <w:t>nik &amp; Toglia, 2018</w:t>
      </w:r>
      <w:r w:rsidR="00E36CE4">
        <w:rPr>
          <w:rFonts w:asciiTheme="majorBidi" w:hAnsiTheme="majorBidi" w:cstheme="majorBidi"/>
          <w:szCs w:val="24"/>
        </w:rPr>
        <w:t xml:space="preserve">), </w:t>
      </w:r>
      <w:r w:rsidR="00E36CE4" w:rsidRPr="00F9248C">
        <w:rPr>
          <w:rFonts w:asciiTheme="majorBidi" w:hAnsiTheme="majorBidi"/>
        </w:rPr>
        <w:t>or</w:t>
      </w:r>
      <w:r w:rsidR="00E07E2A" w:rsidRPr="00F9248C">
        <w:rPr>
          <w:rFonts w:asciiTheme="majorBidi" w:hAnsiTheme="majorBidi"/>
        </w:rPr>
        <w:t xml:space="preserve"> the Questionnaire of Executive Functioning (</w:t>
      </w:r>
      <w:r w:rsidR="00E07E2A">
        <w:rPr>
          <w:rFonts w:asciiTheme="majorBidi" w:hAnsiTheme="majorBidi" w:cstheme="majorBidi"/>
          <w:szCs w:val="24"/>
        </w:rPr>
        <w:t>Geurten et al., 2016</w:t>
      </w:r>
      <w:r w:rsidR="00E07E2A" w:rsidRPr="00C072EB">
        <w:rPr>
          <w:rFonts w:asciiTheme="majorBidi" w:hAnsiTheme="majorBidi" w:cstheme="majorBidi"/>
          <w:szCs w:val="24"/>
        </w:rPr>
        <w:t>).</w:t>
      </w:r>
      <w:r w:rsidR="00E07E2A" w:rsidRPr="00F9248C">
        <w:rPr>
          <w:rFonts w:asciiTheme="majorBidi" w:hAnsiTheme="majorBidi"/>
        </w:rPr>
        <w:t xml:space="preserve"> </w:t>
      </w:r>
    </w:p>
    <w:p w14:paraId="7653C029" w14:textId="47774C7D" w:rsidR="00497872" w:rsidRPr="00F9248C" w:rsidRDefault="00136340" w:rsidP="00A2751E">
      <w:pPr>
        <w:rPr>
          <w:rFonts w:asciiTheme="majorBidi" w:hAnsiTheme="majorBidi"/>
        </w:rPr>
      </w:pPr>
      <w:bookmarkStart w:id="1" w:name="_Hlk92398026"/>
      <w:r w:rsidRPr="00F9248C">
        <w:rPr>
          <w:rFonts w:asciiTheme="majorBidi" w:hAnsiTheme="majorBidi"/>
        </w:rPr>
        <w:t xml:space="preserve">Assessing </w:t>
      </w:r>
      <w:r w:rsidR="00F13D54" w:rsidRPr="00F9248C">
        <w:rPr>
          <w:rFonts w:asciiTheme="majorBidi" w:hAnsiTheme="majorBidi"/>
        </w:rPr>
        <w:t xml:space="preserve">awareness </w:t>
      </w:r>
      <w:r w:rsidR="00F13D54">
        <w:rPr>
          <w:rFonts w:asciiTheme="majorBidi" w:hAnsiTheme="majorBidi"/>
        </w:rPr>
        <w:t xml:space="preserve">of </w:t>
      </w:r>
      <w:r w:rsidRPr="00F9248C">
        <w:rPr>
          <w:rFonts w:asciiTheme="majorBidi" w:hAnsiTheme="majorBidi"/>
        </w:rPr>
        <w:t>performance is more complicated</w:t>
      </w:r>
      <w:r>
        <w:rPr>
          <w:rFonts w:asciiTheme="majorBidi" w:hAnsiTheme="majorBidi" w:cstheme="majorBidi"/>
          <w:szCs w:val="24"/>
        </w:rPr>
        <w:t xml:space="preserve"> because</w:t>
      </w:r>
      <w:r w:rsidRPr="00F9248C">
        <w:rPr>
          <w:rFonts w:asciiTheme="majorBidi" w:hAnsiTheme="majorBidi"/>
        </w:rPr>
        <w:t xml:space="preserve"> it requires evaluating the discrepancy between actual and estimated performance during a specific activity </w:t>
      </w:r>
      <w:bookmarkEnd w:id="1"/>
      <w:r>
        <w:rPr>
          <w:rFonts w:asciiTheme="majorBidi" w:hAnsiTheme="majorBidi" w:cstheme="majorBidi"/>
          <w:szCs w:val="24"/>
        </w:rPr>
        <w:t>(Zlotnik &amp; Toglia, 2018)</w:t>
      </w:r>
      <w:r w:rsidR="00F13D54">
        <w:rPr>
          <w:rFonts w:asciiTheme="majorBidi" w:hAnsiTheme="majorBidi" w:cstheme="majorBidi"/>
          <w:szCs w:val="24"/>
        </w:rPr>
        <w:t xml:space="preserve"> and cannot rely on </w:t>
      </w:r>
      <w:r w:rsidR="00EE6C22">
        <w:rPr>
          <w:rFonts w:asciiTheme="majorBidi" w:hAnsiTheme="majorBidi" w:cstheme="majorBidi"/>
          <w:szCs w:val="24"/>
        </w:rPr>
        <w:t>self-report</w:t>
      </w:r>
      <w:r w:rsidR="00F13D54">
        <w:rPr>
          <w:rFonts w:asciiTheme="majorBidi" w:hAnsiTheme="majorBidi" w:cstheme="majorBidi"/>
          <w:szCs w:val="24"/>
        </w:rPr>
        <w:t xml:space="preserve"> alone</w:t>
      </w:r>
      <w:r w:rsidR="00EE6C22">
        <w:rPr>
          <w:rFonts w:asciiTheme="majorBidi" w:hAnsiTheme="majorBidi" w:cstheme="majorBidi"/>
          <w:szCs w:val="24"/>
        </w:rPr>
        <w:t>.</w:t>
      </w:r>
      <w:r w:rsidRPr="00F9248C">
        <w:rPr>
          <w:rFonts w:asciiTheme="majorBidi" w:hAnsiTheme="majorBidi"/>
        </w:rPr>
        <w:t xml:space="preserve"> To the best of our knowledge, few studies have assessed self-awareness of performance</w:t>
      </w:r>
      <w:r w:rsidR="00E36CE4">
        <w:rPr>
          <w:rFonts w:asciiTheme="majorBidi" w:hAnsiTheme="majorBidi"/>
        </w:rPr>
        <w:t xml:space="preserve"> of performance- based assessment </w:t>
      </w:r>
      <w:r w:rsidR="00E36CE4" w:rsidRPr="00F9248C">
        <w:rPr>
          <w:rFonts w:asciiTheme="majorBidi" w:hAnsiTheme="majorBidi"/>
        </w:rPr>
        <w:t xml:space="preserve">among </w:t>
      </w:r>
      <w:r w:rsidR="00E36CE4">
        <w:rPr>
          <w:rFonts w:asciiTheme="majorBidi" w:hAnsiTheme="majorBidi"/>
        </w:rPr>
        <w:t>typical</w:t>
      </w:r>
      <w:r w:rsidR="00E36CE4" w:rsidRPr="00F9248C">
        <w:rPr>
          <w:rFonts w:asciiTheme="majorBidi" w:hAnsiTheme="majorBidi"/>
        </w:rPr>
        <w:t xml:space="preserve"> adolescents</w:t>
      </w:r>
      <w:r w:rsidRPr="00F9248C">
        <w:rPr>
          <w:rFonts w:asciiTheme="majorBidi" w:hAnsiTheme="majorBidi"/>
        </w:rPr>
        <w:t xml:space="preserve"> </w:t>
      </w:r>
      <w:r>
        <w:rPr>
          <w:rFonts w:asciiTheme="majorBidi" w:hAnsiTheme="majorBidi" w:cstheme="majorBidi"/>
          <w:szCs w:val="24"/>
        </w:rPr>
        <w:t>(Zlotnik &amp; Toglia, 2018)</w:t>
      </w:r>
      <w:r w:rsidRPr="00F9248C">
        <w:rPr>
          <w:rFonts w:asciiTheme="majorBidi" w:hAnsiTheme="majorBidi"/>
        </w:rPr>
        <w:t xml:space="preserve"> </w:t>
      </w:r>
      <w:r w:rsidR="00E36CE4">
        <w:rPr>
          <w:rFonts w:asciiTheme="majorBidi" w:hAnsiTheme="majorBidi"/>
        </w:rPr>
        <w:t xml:space="preserve">and before and after cognitive tasks </w:t>
      </w:r>
      <w:r w:rsidRPr="00F9248C">
        <w:rPr>
          <w:rFonts w:asciiTheme="majorBidi" w:hAnsiTheme="majorBidi"/>
        </w:rPr>
        <w:t xml:space="preserve">among </w:t>
      </w:r>
      <w:r w:rsidR="006E1817">
        <w:rPr>
          <w:rFonts w:asciiTheme="majorBidi" w:hAnsiTheme="majorBidi"/>
        </w:rPr>
        <w:t>typical</w:t>
      </w:r>
      <w:r w:rsidR="006E1817" w:rsidRPr="00F9248C">
        <w:rPr>
          <w:rFonts w:asciiTheme="majorBidi" w:hAnsiTheme="majorBidi"/>
        </w:rPr>
        <w:t xml:space="preserve"> </w:t>
      </w:r>
      <w:r w:rsidR="00E36CE4">
        <w:rPr>
          <w:rFonts w:asciiTheme="majorBidi" w:hAnsiTheme="majorBidi"/>
        </w:rPr>
        <w:t xml:space="preserve">students </w:t>
      </w:r>
      <w:r w:rsidR="00E36CE4">
        <w:rPr>
          <w:rFonts w:asciiTheme="majorBidi" w:hAnsiTheme="majorBidi" w:cstheme="majorBidi"/>
          <w:szCs w:val="24"/>
        </w:rPr>
        <w:t>(Schoo et al., 2013)</w:t>
      </w:r>
      <w:r w:rsidR="00EE6C22">
        <w:rPr>
          <w:rFonts w:asciiTheme="majorBidi" w:hAnsiTheme="majorBidi"/>
        </w:rPr>
        <w:t>.</w:t>
      </w:r>
      <w:r w:rsidRPr="00311E45">
        <w:rPr>
          <w:rFonts w:asciiTheme="majorBidi" w:hAnsiTheme="majorBidi" w:cstheme="majorBidi"/>
          <w:szCs w:val="24"/>
        </w:rPr>
        <w:t xml:space="preserve"> </w:t>
      </w:r>
    </w:p>
    <w:p w14:paraId="6EE78096" w14:textId="1403A4DE" w:rsidR="00D01D1B" w:rsidRDefault="00365842">
      <w:pPr>
        <w:rPr>
          <w:rFonts w:eastAsia="Calibri" w:cs="Times New Roman"/>
          <w:szCs w:val="24"/>
        </w:rPr>
      </w:pPr>
      <w:bookmarkStart w:id="2" w:name="_Hlk60998009"/>
      <w:r w:rsidRPr="00365842">
        <w:rPr>
          <w:rFonts w:eastAsia="Calibri" w:cs="Times New Roman"/>
          <w:szCs w:val="24"/>
          <w:lang w:bidi="ar-SA"/>
        </w:rPr>
        <w:t xml:space="preserve">This study is a secondary analysis of data </w:t>
      </w:r>
      <w:r w:rsidR="00EE6C22">
        <w:rPr>
          <w:rFonts w:eastAsia="Calibri" w:cs="Times New Roman"/>
          <w:szCs w:val="24"/>
          <w:lang w:bidi="ar-SA"/>
        </w:rPr>
        <w:t>from a larger study</w:t>
      </w:r>
      <w:r w:rsidR="00F13D54">
        <w:rPr>
          <w:rFonts w:eastAsia="Calibri" w:cs="Times New Roman"/>
          <w:szCs w:val="24"/>
          <w:lang w:bidi="ar-SA"/>
        </w:rPr>
        <w:t xml:space="preserve"> on the effectiveness of a unique intervention, </w:t>
      </w:r>
      <w:r w:rsidR="00EE6C22">
        <w:rPr>
          <w:rFonts w:eastAsia="Calibri" w:cs="Times New Roman"/>
          <w:szCs w:val="24"/>
          <w:lang w:bidi="ar-SA"/>
        </w:rPr>
        <w:t xml:space="preserve">the </w:t>
      </w:r>
      <w:r w:rsidR="00F13D54" w:rsidRPr="00A6382B">
        <w:t xml:space="preserve">Functional </w:t>
      </w:r>
      <w:r w:rsidR="00F13D54">
        <w:t>I</w:t>
      </w:r>
      <w:r w:rsidR="00F13D54" w:rsidRPr="00A6382B">
        <w:t xml:space="preserve">ndividualized </w:t>
      </w:r>
      <w:r w:rsidR="00F13D54">
        <w:t>T</w:t>
      </w:r>
      <w:r w:rsidR="00F13D54" w:rsidRPr="00A6382B">
        <w:t xml:space="preserve">herapy for </w:t>
      </w:r>
      <w:r w:rsidR="00F13D54">
        <w:t>T</w:t>
      </w:r>
      <w:r w:rsidR="00F13D54" w:rsidRPr="00A6382B">
        <w:t xml:space="preserve">eenagers with </w:t>
      </w:r>
      <w:r w:rsidR="00F13D54">
        <w:t>E</w:t>
      </w:r>
      <w:r w:rsidR="00F13D54" w:rsidRPr="00A6382B">
        <w:t xml:space="preserve">xecutive </w:t>
      </w:r>
      <w:r w:rsidR="00F13D54">
        <w:t>D</w:t>
      </w:r>
      <w:r w:rsidR="00F13D54" w:rsidRPr="00A6382B">
        <w:t>eficits</w:t>
      </w:r>
      <w:r w:rsidR="00F13D54" w:rsidRPr="00365842">
        <w:rPr>
          <w:rFonts w:eastAsia="Calibri" w:cs="Times New Roman"/>
          <w:szCs w:val="24"/>
          <w:lang w:bidi="ar-SA"/>
        </w:rPr>
        <w:t xml:space="preserve"> </w:t>
      </w:r>
      <w:r w:rsidR="00F13D54">
        <w:rPr>
          <w:rFonts w:eastAsia="Calibri" w:cs="Times New Roman"/>
          <w:szCs w:val="24"/>
          <w:lang w:bidi="ar-SA"/>
        </w:rPr>
        <w:t>(</w:t>
      </w:r>
      <w:r w:rsidR="00F13D54" w:rsidRPr="00365842">
        <w:rPr>
          <w:rFonts w:eastAsia="Calibri" w:cs="Times New Roman"/>
          <w:szCs w:val="24"/>
          <w:lang w:bidi="ar-SA"/>
        </w:rPr>
        <w:t>FITTED</w:t>
      </w:r>
      <w:r w:rsidR="00F13D54">
        <w:rPr>
          <w:rFonts w:eastAsia="Calibri" w:cs="Times New Roman"/>
          <w:szCs w:val="24"/>
          <w:lang w:bidi="ar-SA"/>
        </w:rPr>
        <w:t>)</w:t>
      </w:r>
      <w:r w:rsidR="00F13D54" w:rsidRPr="00365842">
        <w:rPr>
          <w:rFonts w:eastAsia="Calibri" w:cs="Times New Roman"/>
          <w:szCs w:val="24"/>
          <w:lang w:bidi="ar-SA"/>
        </w:rPr>
        <w:t xml:space="preserve"> </w:t>
      </w:r>
      <w:r w:rsidR="00F13D54">
        <w:rPr>
          <w:rFonts w:eastAsia="Calibri" w:cs="Times New Roman"/>
          <w:szCs w:val="24"/>
          <w:lang w:bidi="ar-SA"/>
        </w:rPr>
        <w:t xml:space="preserve">to improve EF </w:t>
      </w:r>
      <w:r w:rsidR="006A1535">
        <w:rPr>
          <w:rFonts w:eastAsia="Calibri" w:cs="Times New Roman"/>
          <w:szCs w:val="24"/>
          <w:lang w:bidi="ar-SA"/>
        </w:rPr>
        <w:t xml:space="preserve">in adolescents </w:t>
      </w:r>
      <w:r w:rsidR="001B1FDD" w:rsidRPr="00365842">
        <w:rPr>
          <w:rFonts w:eastAsia="Calibri" w:cs="Times New Roman"/>
          <w:szCs w:val="24"/>
          <w:lang w:bidi="ar-SA"/>
        </w:rPr>
        <w:t>with</w:t>
      </w:r>
      <w:r w:rsidR="001B1FDD">
        <w:rPr>
          <w:rFonts w:eastAsia="Calibri" w:cs="Times New Roman"/>
          <w:szCs w:val="24"/>
          <w:lang w:bidi="ar-SA"/>
        </w:rPr>
        <w:t xml:space="preserve"> </w:t>
      </w:r>
      <w:r w:rsidR="001B1FDD" w:rsidRPr="00365842">
        <w:rPr>
          <w:rFonts w:eastAsia="Calibri" w:cs="Times New Roman"/>
          <w:szCs w:val="24"/>
          <w:lang w:bidi="ar-SA"/>
        </w:rPr>
        <w:t>EFD</w:t>
      </w:r>
      <w:r w:rsidRPr="00365842">
        <w:rPr>
          <w:rFonts w:eastAsia="Calibri" w:cs="Times New Roman"/>
          <w:szCs w:val="24"/>
          <w:lang w:bidi="ar-SA"/>
        </w:rPr>
        <w:t xml:space="preserve"> profiles</w:t>
      </w:r>
      <w:r w:rsidR="00EE6C22">
        <w:rPr>
          <w:rFonts w:eastAsia="Calibri" w:cs="Times New Roman"/>
          <w:szCs w:val="24"/>
          <w:lang w:bidi="ar-SA"/>
        </w:rPr>
        <w:t xml:space="preserve"> through </w:t>
      </w:r>
      <w:r w:rsidR="006A1535">
        <w:rPr>
          <w:rFonts w:eastAsia="Calibri" w:cs="Times New Roman"/>
          <w:szCs w:val="24"/>
          <w:lang w:bidi="ar-SA"/>
        </w:rPr>
        <w:t>an</w:t>
      </w:r>
      <w:r w:rsidR="00EE6C22">
        <w:rPr>
          <w:rFonts w:eastAsia="Calibri" w:cs="Times New Roman"/>
          <w:szCs w:val="24"/>
          <w:lang w:bidi="ar-SA"/>
        </w:rPr>
        <w:t xml:space="preserve"> </w:t>
      </w:r>
      <w:r w:rsidR="006A1535">
        <w:rPr>
          <w:rFonts w:eastAsia="Calibri" w:cs="Times New Roman"/>
          <w:szCs w:val="24"/>
          <w:lang w:bidi="ar-SA"/>
        </w:rPr>
        <w:t xml:space="preserve">Occupational Therapy </w:t>
      </w:r>
      <w:r w:rsidRPr="00365842">
        <w:rPr>
          <w:rFonts w:eastAsia="Calibri" w:cs="Times New Roman"/>
          <w:szCs w:val="24"/>
          <w:lang w:bidi="ar-SA"/>
        </w:rPr>
        <w:t xml:space="preserve">intervention. </w:t>
      </w:r>
      <w:r w:rsidR="00042290">
        <w:rPr>
          <w:rFonts w:asciiTheme="majorBidi" w:hAnsiTheme="majorBidi" w:cstheme="majorBidi"/>
          <w:szCs w:val="24"/>
        </w:rPr>
        <w:t xml:space="preserve">The FITTED is </w:t>
      </w:r>
      <w:r w:rsidR="00042290" w:rsidRPr="00C072EB">
        <w:rPr>
          <w:rFonts w:asciiTheme="majorBidi" w:eastAsia="Calibri" w:hAnsiTheme="majorBidi" w:cstheme="majorBidi"/>
          <w:szCs w:val="24"/>
        </w:rPr>
        <w:t xml:space="preserve">an </w:t>
      </w:r>
      <w:r w:rsidR="00042290">
        <w:rPr>
          <w:rFonts w:asciiTheme="majorBidi" w:eastAsia="Calibri" w:hAnsiTheme="majorBidi" w:cstheme="majorBidi"/>
          <w:szCs w:val="24"/>
        </w:rPr>
        <w:t>8</w:t>
      </w:r>
      <w:r w:rsidR="00042290" w:rsidRPr="00C072EB">
        <w:rPr>
          <w:rFonts w:asciiTheme="majorBidi" w:eastAsia="Calibri" w:hAnsiTheme="majorBidi" w:cstheme="majorBidi"/>
          <w:szCs w:val="24"/>
        </w:rPr>
        <w:t xml:space="preserve">-week, metacognitive, occupation-based </w:t>
      </w:r>
      <w:r w:rsidR="00EE6C22">
        <w:rPr>
          <w:rFonts w:asciiTheme="majorBidi" w:eastAsia="Calibri" w:hAnsiTheme="majorBidi" w:cstheme="majorBidi"/>
          <w:szCs w:val="24"/>
        </w:rPr>
        <w:t xml:space="preserve">program, </w:t>
      </w:r>
      <w:r w:rsidR="00FA073A">
        <w:rPr>
          <w:rFonts w:asciiTheme="majorBidi" w:eastAsia="Calibri" w:hAnsiTheme="majorBidi" w:cstheme="majorBidi"/>
          <w:szCs w:val="24"/>
        </w:rPr>
        <w:lastRenderedPageBreak/>
        <w:t>aim</w:t>
      </w:r>
      <w:r w:rsidR="00F13D54">
        <w:rPr>
          <w:rFonts w:asciiTheme="majorBidi" w:eastAsia="Calibri" w:hAnsiTheme="majorBidi" w:cstheme="majorBidi"/>
          <w:szCs w:val="24"/>
        </w:rPr>
        <w:t>e</w:t>
      </w:r>
      <w:r w:rsidR="00EE6C22">
        <w:rPr>
          <w:rFonts w:asciiTheme="majorBidi" w:eastAsia="Calibri" w:hAnsiTheme="majorBidi" w:cstheme="majorBidi"/>
          <w:szCs w:val="24"/>
        </w:rPr>
        <w:t>d</w:t>
      </w:r>
      <w:r w:rsidR="00FA073A" w:rsidRPr="00C072EB">
        <w:rPr>
          <w:rFonts w:asciiTheme="majorBidi" w:eastAsia="Calibri" w:hAnsiTheme="majorBidi" w:cstheme="majorBidi"/>
          <w:szCs w:val="24"/>
        </w:rPr>
        <w:t xml:space="preserve"> </w:t>
      </w:r>
      <w:r w:rsidR="00F13D54">
        <w:rPr>
          <w:rFonts w:asciiTheme="majorBidi" w:eastAsia="Calibri" w:hAnsiTheme="majorBidi" w:cstheme="majorBidi"/>
          <w:szCs w:val="24"/>
        </w:rPr>
        <w:t>to</w:t>
      </w:r>
      <w:r w:rsidR="00F13D54" w:rsidRPr="00C072EB">
        <w:rPr>
          <w:rFonts w:asciiTheme="majorBidi" w:eastAsia="Calibri" w:hAnsiTheme="majorBidi" w:cstheme="majorBidi"/>
          <w:szCs w:val="24"/>
        </w:rPr>
        <w:t xml:space="preserve"> </w:t>
      </w:r>
      <w:r w:rsidR="00EE1D53">
        <w:rPr>
          <w:rFonts w:asciiTheme="majorBidi" w:eastAsia="Calibri" w:hAnsiTheme="majorBidi" w:cstheme="majorBidi"/>
          <w:szCs w:val="24"/>
        </w:rPr>
        <w:t>assist</w:t>
      </w:r>
      <w:r w:rsidR="00EE6C22">
        <w:rPr>
          <w:rFonts w:asciiTheme="majorBidi" w:eastAsia="Calibri" w:hAnsiTheme="majorBidi" w:cstheme="majorBidi"/>
          <w:szCs w:val="24"/>
        </w:rPr>
        <w:t xml:space="preserve"> </w:t>
      </w:r>
      <w:r w:rsidR="00042290" w:rsidRPr="00C072EB">
        <w:rPr>
          <w:rFonts w:asciiTheme="majorBidi" w:eastAsia="Calibri" w:hAnsiTheme="majorBidi" w:cstheme="majorBidi"/>
          <w:szCs w:val="24"/>
        </w:rPr>
        <w:t>adolescents</w:t>
      </w:r>
      <w:r w:rsidR="00042290">
        <w:rPr>
          <w:rFonts w:asciiTheme="majorBidi" w:eastAsia="Calibri" w:hAnsiTheme="majorBidi" w:cstheme="majorBidi"/>
          <w:szCs w:val="24"/>
        </w:rPr>
        <w:t>,</w:t>
      </w:r>
      <w:r w:rsidR="00042290" w:rsidRPr="00C072EB">
        <w:rPr>
          <w:rFonts w:asciiTheme="majorBidi" w:eastAsia="Calibri" w:hAnsiTheme="majorBidi" w:cstheme="majorBidi"/>
          <w:szCs w:val="24"/>
        </w:rPr>
        <w:t xml:space="preserve"> </w:t>
      </w:r>
      <w:r w:rsidR="00042290" w:rsidRPr="00C072EB">
        <w:rPr>
          <w:rFonts w:asciiTheme="majorBidi" w:eastAsia="Times New Roman" w:hAnsiTheme="majorBidi" w:cstheme="majorBidi"/>
          <w:szCs w:val="24"/>
          <w:lang w:eastAsia="en-GB" w:bidi="ar-SA"/>
        </w:rPr>
        <w:t xml:space="preserve">with or without formal </w:t>
      </w:r>
      <w:r w:rsidR="00EE6C22">
        <w:rPr>
          <w:rFonts w:asciiTheme="majorBidi" w:eastAsia="Times New Roman" w:hAnsiTheme="majorBidi" w:cstheme="majorBidi"/>
          <w:szCs w:val="24"/>
          <w:lang w:eastAsia="en-GB" w:bidi="ar-SA"/>
        </w:rPr>
        <w:t xml:space="preserve">EF </w:t>
      </w:r>
      <w:r w:rsidR="00042290" w:rsidRPr="00C072EB">
        <w:rPr>
          <w:rFonts w:asciiTheme="majorBidi" w:eastAsia="Times New Roman" w:hAnsiTheme="majorBidi" w:cstheme="majorBidi"/>
          <w:szCs w:val="24"/>
          <w:lang w:eastAsia="en-GB" w:bidi="ar-SA"/>
        </w:rPr>
        <w:t>diagnoses</w:t>
      </w:r>
      <w:r w:rsidR="00042290">
        <w:rPr>
          <w:rFonts w:asciiTheme="majorBidi" w:eastAsia="Times New Roman" w:hAnsiTheme="majorBidi" w:cstheme="majorBidi"/>
          <w:szCs w:val="24"/>
          <w:lang w:eastAsia="en-GB" w:bidi="ar-SA"/>
        </w:rPr>
        <w:t>,</w:t>
      </w:r>
      <w:r w:rsidR="00042290" w:rsidRPr="00C072EB">
        <w:rPr>
          <w:rFonts w:asciiTheme="majorBidi" w:eastAsia="Times New Roman" w:hAnsiTheme="majorBidi" w:cstheme="majorBidi"/>
          <w:szCs w:val="24"/>
          <w:lang w:eastAsia="en-GB" w:bidi="ar-SA"/>
        </w:rPr>
        <w:t xml:space="preserve"> </w:t>
      </w:r>
      <w:r w:rsidR="00EE6C22">
        <w:rPr>
          <w:rFonts w:asciiTheme="majorBidi" w:eastAsia="Times New Roman" w:hAnsiTheme="majorBidi" w:cstheme="majorBidi"/>
          <w:szCs w:val="24"/>
          <w:lang w:eastAsia="en-GB" w:bidi="ar-SA"/>
        </w:rPr>
        <w:t xml:space="preserve">to </w:t>
      </w:r>
      <w:r w:rsidR="006A1535" w:rsidRPr="006A1535">
        <w:rPr>
          <w:rFonts w:asciiTheme="majorBidi" w:eastAsia="Times New Roman" w:hAnsiTheme="majorBidi" w:cstheme="majorBidi"/>
          <w:szCs w:val="24"/>
          <w:lang w:eastAsia="en-GB" w:bidi="ar-SA"/>
        </w:rPr>
        <w:t>improved performance and satisfaction with everyday life goals</w:t>
      </w:r>
      <w:r w:rsidR="00042290" w:rsidRPr="00C072EB">
        <w:rPr>
          <w:rFonts w:asciiTheme="majorBidi" w:eastAsia="Times New Roman" w:hAnsiTheme="majorBidi" w:cstheme="majorBidi"/>
          <w:szCs w:val="24"/>
          <w:lang w:eastAsia="en-GB" w:bidi="ar-SA"/>
        </w:rPr>
        <w:t xml:space="preserve">. </w:t>
      </w:r>
      <w:r w:rsidR="00F13D54">
        <w:rPr>
          <w:rFonts w:asciiTheme="majorBidi" w:eastAsia="Times New Roman" w:hAnsiTheme="majorBidi" w:cstheme="majorBidi"/>
          <w:szCs w:val="24"/>
          <w:lang w:eastAsia="en-GB" w:bidi="ar-SA"/>
        </w:rPr>
        <w:t xml:space="preserve">An expanded explanation of this study can be in </w:t>
      </w:r>
      <w:r w:rsidR="00AF0EEF">
        <w:rPr>
          <w:rFonts w:eastAsia="Calibri" w:cs="Times New Roman"/>
          <w:szCs w:val="24"/>
          <w:lang w:bidi="ar-SA"/>
        </w:rPr>
        <w:t>Fogel</w:t>
      </w:r>
      <w:r w:rsidR="00B4678F">
        <w:rPr>
          <w:rFonts w:eastAsia="Calibri" w:cs="Times New Roman"/>
          <w:szCs w:val="24"/>
          <w:lang w:bidi="ar-SA"/>
        </w:rPr>
        <w:t xml:space="preserve"> et al.</w:t>
      </w:r>
      <w:r w:rsidRPr="00365842">
        <w:rPr>
          <w:rFonts w:eastAsia="Calibri" w:cs="Times New Roman"/>
          <w:szCs w:val="24"/>
          <w:lang w:bidi="ar-SA"/>
        </w:rPr>
        <w:t>, 2020</w:t>
      </w:r>
      <w:r w:rsidR="001B1FDD">
        <w:rPr>
          <w:rFonts w:eastAsia="Calibri" w:cs="Times New Roman"/>
          <w:szCs w:val="24"/>
        </w:rPr>
        <w:t>)</w:t>
      </w:r>
      <w:r w:rsidR="00DE7AA9" w:rsidRPr="00BC1829">
        <w:rPr>
          <w:rFonts w:eastAsia="Calibri" w:cs="Times New Roman"/>
          <w:szCs w:val="24"/>
        </w:rPr>
        <w:t>.</w:t>
      </w:r>
      <w:r w:rsidR="00DE7AA9">
        <w:rPr>
          <w:rFonts w:eastAsia="Calibri" w:cs="Times New Roman"/>
          <w:szCs w:val="24"/>
        </w:rPr>
        <w:t xml:space="preserve"> </w:t>
      </w:r>
    </w:p>
    <w:p w14:paraId="40C86760" w14:textId="122229D7" w:rsidR="00497872" w:rsidRPr="00F9248C" w:rsidRDefault="00365842" w:rsidP="001D1DA6">
      <w:r w:rsidRPr="00365842">
        <w:rPr>
          <w:rFonts w:eastAsia="Calibri" w:cs="Times New Roman"/>
          <w:szCs w:val="24"/>
          <w:lang w:bidi="ar-SA"/>
        </w:rPr>
        <w:t>This</w:t>
      </w:r>
      <w:r w:rsidRPr="00F9248C">
        <w:t xml:space="preserve"> current </w:t>
      </w:r>
      <w:r w:rsidRPr="00365842">
        <w:rPr>
          <w:rFonts w:eastAsia="Calibri" w:cs="Times New Roman"/>
          <w:szCs w:val="24"/>
          <w:lang w:bidi="ar-SA"/>
        </w:rPr>
        <w:t xml:space="preserve">study </w:t>
      </w:r>
      <w:r w:rsidRPr="00F9248C">
        <w:t xml:space="preserve">compared </w:t>
      </w:r>
      <w:r w:rsidR="00461DCF">
        <w:t xml:space="preserve">the </w:t>
      </w:r>
      <w:r w:rsidR="00F13D54">
        <w:t>actual performance of a cooking task (</w:t>
      </w:r>
      <w:r w:rsidR="00281E18" w:rsidRPr="00281E18">
        <w:rPr>
          <w:rFonts w:eastAsia="Calibri"/>
          <w:szCs w:val="24"/>
        </w:rPr>
        <w:t>Chevignard</w:t>
      </w:r>
      <w:r w:rsidR="00281E18" w:rsidRPr="00281E18">
        <w:t xml:space="preserve"> et al, 2009, 2010</w:t>
      </w:r>
      <w:r w:rsidR="00F13D54" w:rsidRPr="00281E18">
        <w:t>) and</w:t>
      </w:r>
      <w:r w:rsidR="00F13D54">
        <w:t xml:space="preserve"> awareness of performance </w:t>
      </w:r>
      <w:r w:rsidR="006F4ADC">
        <w:t xml:space="preserve">before and after </w:t>
      </w:r>
      <w:r w:rsidR="00F13D54">
        <w:t xml:space="preserve">a cooking task </w:t>
      </w:r>
      <w:r w:rsidR="006F4ADC">
        <w:t xml:space="preserve">and </w:t>
      </w:r>
      <w:r w:rsidR="00F13D54">
        <w:t xml:space="preserve">between </w:t>
      </w:r>
      <w:r w:rsidR="006F4ADC">
        <w:t>pre and post Fitted intervention among</w:t>
      </w:r>
      <w:r w:rsidR="00F13D54">
        <w:t xml:space="preserve"> </w:t>
      </w:r>
      <w:r w:rsidR="00933587">
        <w:t>adolescents with</w:t>
      </w:r>
      <w:r w:rsidR="00F13D54">
        <w:t xml:space="preserve"> EFD</w:t>
      </w:r>
      <w:r w:rsidR="003A2A5D">
        <w:t xml:space="preserve">. </w:t>
      </w:r>
      <w:r w:rsidRPr="00365842">
        <w:rPr>
          <w:lang w:bidi="ar-SA"/>
        </w:rPr>
        <w:t xml:space="preserve">We </w:t>
      </w:r>
      <w:r w:rsidR="00804E04">
        <w:rPr>
          <w:lang w:bidi="ar-SA"/>
        </w:rPr>
        <w:t xml:space="preserve">expected </w:t>
      </w:r>
      <w:r w:rsidRPr="00365842">
        <w:rPr>
          <w:lang w:bidi="ar-SA"/>
        </w:rPr>
        <w:t xml:space="preserve">that significant differences would be found </w:t>
      </w:r>
      <w:r w:rsidR="00D56AEC" w:rsidRPr="00365842">
        <w:rPr>
          <w:lang w:bidi="ar-SA"/>
        </w:rPr>
        <w:t>between</w:t>
      </w:r>
      <w:r w:rsidR="00D56AEC">
        <w:rPr>
          <w:lang w:bidi="ar-SA"/>
        </w:rPr>
        <w:t xml:space="preserve"> </w:t>
      </w:r>
      <w:proofErr w:type="gramStart"/>
      <w:r w:rsidR="00D56AEC" w:rsidRPr="00365842">
        <w:rPr>
          <w:lang w:bidi="ar-SA"/>
        </w:rPr>
        <w:t>pre</w:t>
      </w:r>
      <w:proofErr w:type="gramEnd"/>
      <w:r w:rsidR="00513B77">
        <w:rPr>
          <w:lang w:bidi="ar-SA"/>
        </w:rPr>
        <w:t xml:space="preserve"> and </w:t>
      </w:r>
      <w:r w:rsidR="00461DCF">
        <w:rPr>
          <w:lang w:bidi="ar-SA"/>
        </w:rPr>
        <w:t>post</w:t>
      </w:r>
      <w:r w:rsidR="00461DCF">
        <w:rPr>
          <w:lang w:bidi="ar-SA"/>
        </w:rPr>
        <w:t>-</w:t>
      </w:r>
      <w:r w:rsidR="00513B77">
        <w:rPr>
          <w:lang w:bidi="ar-SA"/>
        </w:rPr>
        <w:t>intervention</w:t>
      </w:r>
      <w:r w:rsidRPr="00365842">
        <w:rPr>
          <w:lang w:bidi="ar-SA"/>
        </w:rPr>
        <w:t xml:space="preserve"> (1) </w:t>
      </w:r>
      <w:r w:rsidR="00513B77">
        <w:rPr>
          <w:lang w:bidi="ar-SA"/>
        </w:rPr>
        <w:t>in actual performance measured by the CCT assessment</w:t>
      </w:r>
      <w:r w:rsidR="00080CA7">
        <w:rPr>
          <w:lang w:bidi="ar-SA"/>
        </w:rPr>
        <w:t xml:space="preserve">; </w:t>
      </w:r>
      <w:r w:rsidRPr="00365842">
        <w:rPr>
          <w:lang w:bidi="ar-SA"/>
        </w:rPr>
        <w:t xml:space="preserve">(2) </w:t>
      </w:r>
      <w:r w:rsidR="00513B77">
        <w:rPr>
          <w:lang w:bidi="ar-SA"/>
        </w:rPr>
        <w:t>the awareness to the EF impairments as measured by the BRIEF-SR questionnaire</w:t>
      </w:r>
      <w:r w:rsidR="00461DCF">
        <w:rPr>
          <w:lang w:bidi="ar-SA"/>
        </w:rPr>
        <w:t>,</w:t>
      </w:r>
      <w:r w:rsidR="00513B77">
        <w:rPr>
          <w:lang w:bidi="ar-SA"/>
        </w:rPr>
        <w:t xml:space="preserve"> and</w:t>
      </w:r>
      <w:r w:rsidR="00933587">
        <w:rPr>
          <w:lang w:bidi="ar-SA"/>
        </w:rPr>
        <w:t xml:space="preserve"> </w:t>
      </w:r>
      <w:r w:rsidRPr="00365842">
        <w:rPr>
          <w:lang w:bidi="ar-SA"/>
        </w:rPr>
        <w:t xml:space="preserve">(3) </w:t>
      </w:r>
      <w:r w:rsidR="001D1DA6">
        <w:rPr>
          <w:lang w:bidi="ar-SA"/>
        </w:rPr>
        <w:t>the a</w:t>
      </w:r>
      <w:r w:rsidR="00933587">
        <w:rPr>
          <w:lang w:bidi="ar-SA"/>
        </w:rPr>
        <w:t xml:space="preserve">wareness of performance </w:t>
      </w:r>
      <w:r w:rsidR="001D1DA6">
        <w:rPr>
          <w:lang w:bidi="ar-SA"/>
        </w:rPr>
        <w:t xml:space="preserve">in the CCT assessment. </w:t>
      </w:r>
    </w:p>
    <w:bookmarkEnd w:id="2"/>
    <w:p w14:paraId="3F6C8B55" w14:textId="2E42223E" w:rsidR="00782625" w:rsidRPr="00817707" w:rsidRDefault="00080CA7" w:rsidP="00281E18">
      <w:pPr>
        <w:pStyle w:val="Heading1"/>
        <w:jc w:val="left"/>
        <w:rPr>
          <w:szCs w:val="24"/>
          <w:rtl/>
        </w:rPr>
      </w:pPr>
      <w:r>
        <w:t xml:space="preserve">Material and </w:t>
      </w:r>
      <w:r w:rsidR="00782625" w:rsidRPr="00676467">
        <w:t>Method</w:t>
      </w:r>
      <w:r>
        <w:t>s</w:t>
      </w:r>
    </w:p>
    <w:p w14:paraId="422A115F" w14:textId="43EA0EAF" w:rsidR="00782625" w:rsidRPr="00F9248C" w:rsidRDefault="00782625">
      <w:pPr>
        <w:pStyle w:val="Heading2"/>
        <w:rPr>
          <w:b w:val="0"/>
        </w:rPr>
      </w:pPr>
      <w:r w:rsidRPr="00F9248C">
        <w:t>Participants</w:t>
      </w:r>
    </w:p>
    <w:p w14:paraId="0BEAB147" w14:textId="7F2FAC6E" w:rsidR="007902FD" w:rsidRPr="00F9248C" w:rsidRDefault="000E214A" w:rsidP="00C81879">
      <w:pPr>
        <w:autoSpaceDE w:val="0"/>
        <w:autoSpaceDN w:val="0"/>
        <w:adjustRightInd w:val="0"/>
        <w:contextualSpacing/>
      </w:pPr>
      <w:r w:rsidRPr="00C81879">
        <w:t>Study participants were recruited through community advertisements aimed toward young adoles</w:t>
      </w:r>
      <w:r w:rsidRPr="00C81879">
        <w:softHyphen/>
        <w:t>cents (10-14 years old), both with and without difficulty with daily functioning. We excluded volunteers with known psychiatric, emotional, or autistic spectrum disor</w:t>
      </w:r>
      <w:r w:rsidRPr="00C81879">
        <w:softHyphen/>
        <w:t>ders; physical disabilities; or neurological diseases.</w:t>
      </w:r>
      <w:r>
        <w:rPr>
          <w:rFonts w:asciiTheme="majorBidi" w:hAnsiTheme="majorBidi"/>
        </w:rPr>
        <w:t xml:space="preserve"> The current study present secondary analysis with </w:t>
      </w:r>
      <w:r w:rsidR="00782625" w:rsidRPr="00F9248C">
        <w:rPr>
          <w:rFonts w:asciiTheme="majorBidi" w:hAnsiTheme="majorBidi"/>
        </w:rPr>
        <w:t xml:space="preserve">41 young adolescents (10–14 years) </w:t>
      </w:r>
      <w:r w:rsidR="00D57690">
        <w:rPr>
          <w:rFonts w:asciiTheme="majorBidi" w:hAnsiTheme="majorBidi" w:cstheme="majorBidi"/>
          <w:szCs w:val="24"/>
        </w:rPr>
        <w:t>with</w:t>
      </w:r>
      <w:r w:rsidR="004813D9">
        <w:rPr>
          <w:rFonts w:asciiTheme="majorBidi" w:hAnsiTheme="majorBidi" w:cstheme="majorBidi"/>
          <w:szCs w:val="24"/>
        </w:rPr>
        <w:t xml:space="preserve"> </w:t>
      </w:r>
      <w:r w:rsidR="00D57690">
        <w:rPr>
          <w:rFonts w:asciiTheme="majorBidi" w:hAnsiTheme="majorBidi" w:cstheme="majorBidi"/>
          <w:szCs w:val="24"/>
        </w:rPr>
        <w:t>EFD profiles</w:t>
      </w:r>
      <w:r w:rsidR="00785061">
        <w:rPr>
          <w:rFonts w:asciiTheme="majorBidi" w:hAnsiTheme="majorBidi" w:cstheme="majorBidi"/>
          <w:szCs w:val="24"/>
        </w:rPr>
        <w:t xml:space="preserve"> </w:t>
      </w:r>
      <w:r w:rsidR="00782625" w:rsidRPr="00F9248C">
        <w:rPr>
          <w:rFonts w:asciiTheme="majorBidi" w:hAnsiTheme="majorBidi"/>
        </w:rPr>
        <w:t xml:space="preserve">who participated in </w:t>
      </w:r>
      <w:r w:rsidR="00D57690">
        <w:rPr>
          <w:rFonts w:asciiTheme="majorBidi" w:hAnsiTheme="majorBidi" w:cstheme="majorBidi"/>
          <w:szCs w:val="24"/>
        </w:rPr>
        <w:t xml:space="preserve">the </w:t>
      </w:r>
      <w:r w:rsidR="00D57690" w:rsidRPr="00F9248C">
        <w:rPr>
          <w:rFonts w:asciiTheme="majorBidi" w:hAnsiTheme="majorBidi"/>
        </w:rPr>
        <w:t>FITTED</w:t>
      </w:r>
      <w:r w:rsidR="009A3467">
        <w:rPr>
          <w:rFonts w:asciiTheme="majorBidi" w:hAnsiTheme="majorBidi" w:cstheme="majorBidi"/>
          <w:szCs w:val="24"/>
        </w:rPr>
        <w:t xml:space="preserve"> intervention</w:t>
      </w:r>
      <w:r w:rsidR="00B57CD1">
        <w:rPr>
          <w:rFonts w:asciiTheme="majorBidi" w:hAnsiTheme="majorBidi" w:cstheme="majorBidi"/>
          <w:szCs w:val="24"/>
        </w:rPr>
        <w:t xml:space="preserve"> </w:t>
      </w:r>
      <w:r w:rsidR="00AA1B82">
        <w:rPr>
          <w:rFonts w:asciiTheme="majorBidi" w:hAnsiTheme="majorBidi" w:cstheme="majorBidi"/>
          <w:szCs w:val="24"/>
        </w:rPr>
        <w:t>(Fogel</w:t>
      </w:r>
      <w:r w:rsidR="00080CA7">
        <w:rPr>
          <w:rFonts w:asciiTheme="majorBidi" w:hAnsiTheme="majorBidi" w:cstheme="majorBidi"/>
          <w:szCs w:val="24"/>
        </w:rPr>
        <w:t xml:space="preserve">, et al., </w:t>
      </w:r>
      <w:r w:rsidR="00AA1B82">
        <w:rPr>
          <w:rFonts w:asciiTheme="majorBidi" w:hAnsiTheme="majorBidi" w:cstheme="majorBidi"/>
          <w:szCs w:val="24"/>
        </w:rPr>
        <w:t>2020</w:t>
      </w:r>
      <w:r w:rsidR="00080CA7">
        <w:rPr>
          <w:rFonts w:asciiTheme="majorBidi" w:hAnsiTheme="majorBidi" w:cstheme="majorBidi"/>
          <w:szCs w:val="24"/>
        </w:rPr>
        <w:t>)</w:t>
      </w:r>
      <w:r w:rsidR="004813D9">
        <w:rPr>
          <w:rFonts w:asciiTheme="majorBidi" w:hAnsiTheme="majorBidi" w:cstheme="majorBidi"/>
          <w:szCs w:val="24"/>
        </w:rPr>
        <w:t>.</w:t>
      </w:r>
      <w:r w:rsidR="007C2316">
        <w:rPr>
          <w:rFonts w:asciiTheme="majorBidi" w:hAnsiTheme="majorBidi" w:cstheme="majorBidi"/>
          <w:szCs w:val="24"/>
        </w:rPr>
        <w:t xml:space="preserve"> </w:t>
      </w:r>
      <w:r w:rsidR="00FF519B" w:rsidRPr="00F9248C">
        <w:rPr>
          <w:rFonts w:asciiTheme="majorBidi" w:hAnsiTheme="majorBidi"/>
        </w:rPr>
        <w:t>Participants were characterized as having an EFD profile</w:t>
      </w:r>
      <w:r w:rsidR="00FF519B" w:rsidRPr="002D270B">
        <w:rPr>
          <w:rFonts w:asciiTheme="majorBidi" w:hAnsiTheme="majorBidi" w:cstheme="majorBidi"/>
          <w:szCs w:val="24"/>
        </w:rPr>
        <w:t xml:space="preserve"> if </w:t>
      </w:r>
      <w:r w:rsidR="00FF519B" w:rsidRPr="00F9248C">
        <w:rPr>
          <w:rFonts w:asciiTheme="majorBidi" w:hAnsiTheme="majorBidi"/>
        </w:rPr>
        <w:t>their parent-reported scores</w:t>
      </w:r>
      <w:r w:rsidR="00FF519B" w:rsidRPr="002D270B">
        <w:rPr>
          <w:rFonts w:asciiTheme="majorBidi" w:hAnsiTheme="majorBidi" w:cstheme="majorBidi"/>
          <w:szCs w:val="24"/>
        </w:rPr>
        <w:t xml:space="preserve"> were </w:t>
      </w:r>
      <w:r w:rsidR="00FF519B" w:rsidRPr="00F9248C">
        <w:rPr>
          <w:rFonts w:asciiTheme="majorBidi" w:hAnsiTheme="majorBidi"/>
        </w:rPr>
        <w:t>outside normal range</w:t>
      </w:r>
      <w:r w:rsidR="00FF519B" w:rsidRPr="002D270B">
        <w:rPr>
          <w:rFonts w:asciiTheme="majorBidi" w:hAnsiTheme="majorBidi" w:cstheme="majorBidi"/>
          <w:szCs w:val="24"/>
        </w:rPr>
        <w:t xml:space="preserve"> </w:t>
      </w:r>
      <w:r w:rsidR="00504379">
        <w:rPr>
          <w:rFonts w:asciiTheme="majorBidi" w:hAnsiTheme="majorBidi" w:cstheme="majorBidi"/>
          <w:szCs w:val="24"/>
        </w:rPr>
        <w:t>(</w:t>
      </w:r>
      <w:r w:rsidR="00504379" w:rsidRPr="002D270B">
        <w:rPr>
          <w:rFonts w:asciiTheme="majorBidi" w:hAnsiTheme="majorBidi" w:cstheme="majorBidi"/>
          <w:szCs w:val="24"/>
        </w:rPr>
        <w:t>65</w:t>
      </w:r>
      <w:r w:rsidR="00504379">
        <w:rPr>
          <w:rFonts w:asciiTheme="majorBidi" w:hAnsiTheme="majorBidi" w:cstheme="majorBidi"/>
          <w:szCs w:val="24"/>
        </w:rPr>
        <w:t xml:space="preserve"> or higher</w:t>
      </w:r>
      <w:r w:rsidR="00504379" w:rsidRPr="00F9248C">
        <w:rPr>
          <w:rFonts w:asciiTheme="majorBidi" w:hAnsiTheme="majorBidi"/>
        </w:rPr>
        <w:t xml:space="preserve">) </w:t>
      </w:r>
      <w:r w:rsidR="00FF519B" w:rsidRPr="00F9248C">
        <w:rPr>
          <w:rFonts w:asciiTheme="majorBidi" w:hAnsiTheme="majorBidi"/>
        </w:rPr>
        <w:t>on the</w:t>
      </w:r>
      <w:r w:rsidR="00504379" w:rsidRPr="00F9248C">
        <w:rPr>
          <w:rFonts w:asciiTheme="majorBidi" w:hAnsiTheme="majorBidi"/>
        </w:rPr>
        <w:t xml:space="preserve"> </w:t>
      </w:r>
      <w:r w:rsidR="00504379" w:rsidRPr="002D270B">
        <w:rPr>
          <w:rFonts w:asciiTheme="majorBidi" w:hAnsiTheme="majorBidi" w:cstheme="majorBidi"/>
          <w:szCs w:val="24"/>
        </w:rPr>
        <w:t>BRIEF</w:t>
      </w:r>
      <w:r w:rsidR="00FF519B" w:rsidRPr="002D270B">
        <w:rPr>
          <w:rFonts w:asciiTheme="majorBidi" w:hAnsiTheme="majorBidi" w:cstheme="majorBidi"/>
          <w:szCs w:val="24"/>
        </w:rPr>
        <w:t xml:space="preserve"> </w:t>
      </w:r>
      <w:r w:rsidR="00FF519B" w:rsidRPr="00F9248C">
        <w:rPr>
          <w:rFonts w:asciiTheme="majorBidi" w:hAnsiTheme="majorBidi"/>
        </w:rPr>
        <w:t xml:space="preserve">behavioral regulation </w:t>
      </w:r>
      <w:r w:rsidR="00AE1B5E">
        <w:rPr>
          <w:rFonts w:asciiTheme="majorBidi" w:hAnsiTheme="majorBidi" w:cstheme="majorBidi"/>
          <w:szCs w:val="24"/>
        </w:rPr>
        <w:t xml:space="preserve">index </w:t>
      </w:r>
      <w:r w:rsidR="00FF519B" w:rsidRPr="00F9248C">
        <w:rPr>
          <w:rFonts w:asciiTheme="majorBidi" w:hAnsiTheme="majorBidi"/>
        </w:rPr>
        <w:t xml:space="preserve">(BRI) </w:t>
      </w:r>
      <w:r w:rsidR="00FF519B" w:rsidRPr="002D270B">
        <w:rPr>
          <w:rFonts w:asciiTheme="majorBidi" w:hAnsiTheme="majorBidi" w:cstheme="majorBidi"/>
          <w:szCs w:val="24"/>
        </w:rPr>
        <w:t xml:space="preserve">or metacognition </w:t>
      </w:r>
      <w:r w:rsidR="00AE1B5E">
        <w:rPr>
          <w:rFonts w:asciiTheme="majorBidi" w:hAnsiTheme="majorBidi" w:cstheme="majorBidi"/>
          <w:szCs w:val="24"/>
        </w:rPr>
        <w:t xml:space="preserve">index </w:t>
      </w:r>
      <w:r w:rsidR="00FF519B" w:rsidRPr="002D270B">
        <w:rPr>
          <w:rFonts w:asciiTheme="majorBidi" w:hAnsiTheme="majorBidi" w:cstheme="majorBidi"/>
          <w:szCs w:val="24"/>
        </w:rPr>
        <w:t>(MI)</w:t>
      </w:r>
      <w:r w:rsidR="00FF519B">
        <w:t>.</w:t>
      </w:r>
      <w:r w:rsidR="00782625" w:rsidRPr="00C072EB">
        <w:rPr>
          <w:rFonts w:asciiTheme="majorBidi" w:hAnsiTheme="majorBidi" w:cstheme="majorBidi"/>
          <w:szCs w:val="24"/>
        </w:rPr>
        <w:t xml:space="preserve"> </w:t>
      </w:r>
      <w:r w:rsidR="00910898">
        <w:rPr>
          <w:rFonts w:asciiTheme="majorBidi" w:hAnsiTheme="majorBidi" w:cstheme="majorBidi"/>
          <w:szCs w:val="24"/>
        </w:rPr>
        <w:t>T</w:t>
      </w:r>
      <w:r w:rsidR="00675CC1">
        <w:rPr>
          <w:rFonts w:asciiTheme="majorBidi" w:hAnsiTheme="majorBidi" w:cstheme="majorBidi"/>
          <w:szCs w:val="24"/>
        </w:rPr>
        <w:t>he full detail regard</w:t>
      </w:r>
      <w:r w:rsidR="00461DCF">
        <w:rPr>
          <w:rFonts w:asciiTheme="majorBidi" w:hAnsiTheme="majorBidi" w:cstheme="majorBidi"/>
          <w:szCs w:val="24"/>
        </w:rPr>
        <w:t>ing</w:t>
      </w:r>
      <w:r w:rsidR="00675CC1">
        <w:rPr>
          <w:rFonts w:asciiTheme="majorBidi" w:hAnsiTheme="majorBidi" w:cstheme="majorBidi"/>
          <w:szCs w:val="24"/>
        </w:rPr>
        <w:t xml:space="preserve"> the participant </w:t>
      </w:r>
      <w:r w:rsidR="00B22973">
        <w:rPr>
          <w:rFonts w:asciiTheme="majorBidi" w:hAnsiTheme="majorBidi" w:cstheme="majorBidi"/>
          <w:szCs w:val="24"/>
        </w:rPr>
        <w:t>is</w:t>
      </w:r>
      <w:r w:rsidR="00675CC1">
        <w:rPr>
          <w:rFonts w:asciiTheme="majorBidi" w:hAnsiTheme="majorBidi" w:cstheme="majorBidi"/>
          <w:szCs w:val="24"/>
        </w:rPr>
        <w:t xml:space="preserve"> available in Fogel et al, 2020. </w:t>
      </w:r>
    </w:p>
    <w:p w14:paraId="59791E41" w14:textId="7570E788" w:rsidR="00782625" w:rsidRPr="00F9248C" w:rsidRDefault="00782625">
      <w:pPr>
        <w:pStyle w:val="Heading2"/>
      </w:pPr>
      <w:r w:rsidRPr="00F9248C">
        <w:t>Instruments</w:t>
      </w:r>
    </w:p>
    <w:p w14:paraId="23D5771A" w14:textId="77777777" w:rsidR="00B22973" w:rsidRPr="00AA360A" w:rsidRDefault="00B22973" w:rsidP="00B22973">
      <w:pPr>
        <w:contextualSpacing/>
      </w:pPr>
      <w:r w:rsidRPr="00AA360A">
        <w:rPr>
          <w:i/>
          <w:iCs/>
        </w:rPr>
        <w:t>BRIEF (Gioia et al., 2000).</w:t>
      </w:r>
      <w:r w:rsidRPr="00AA360A">
        <w:t xml:space="preserve"> We used scores of the parent-reported BRIEF as a criterion for division between the group with EFD and the control group (with TD). The BRIEF includes 86 questions in five cognitive subscales (initiation, working memory, plan-organize, organization of materials and monitoring) and three behavioural subscales (inhibit, </w:t>
      </w:r>
      <w:r w:rsidRPr="00AA360A">
        <w:lastRenderedPageBreak/>
        <w:t xml:space="preserve">shift and emotional control). These eight subscales form two composite indices (MI and BRI) and one composite score, the global executive composite. The results are expressed in </w:t>
      </w:r>
      <w:r w:rsidRPr="00AA360A">
        <w:rPr>
          <w:i/>
          <w:iCs/>
        </w:rPr>
        <w:t>t</w:t>
      </w:r>
      <w:r w:rsidRPr="00AA360A">
        <w:t xml:space="preserve">-scores (higher scored reflect more problematic behaviour). A </w:t>
      </w:r>
      <w:r w:rsidRPr="00AA360A">
        <w:rPr>
          <w:i/>
          <w:iCs/>
        </w:rPr>
        <w:t>t</w:t>
      </w:r>
      <w:r w:rsidRPr="00AA360A">
        <w:t xml:space="preserve">-score of 65 or higher is considered within the clinical range. Mean internal consistency ranges from .82 to .98, and test–retest correlation ranges from .72 to .84. </w:t>
      </w:r>
    </w:p>
    <w:p w14:paraId="2F08829A" w14:textId="3B68F096" w:rsidR="001247A3" w:rsidRDefault="00782625">
      <w:pPr>
        <w:pStyle w:val="Heading3"/>
        <w:rPr>
          <w:rFonts w:eastAsia="Calibri"/>
          <w:lang w:eastAsia="en-GB" w:bidi="ar-SA"/>
        </w:rPr>
      </w:pPr>
      <w:r w:rsidRPr="00F9248C">
        <w:t>B</w:t>
      </w:r>
      <w:r w:rsidR="00841DE7" w:rsidRPr="00F9248C">
        <w:t>RIEF</w:t>
      </w:r>
      <w:r w:rsidRPr="00F9248C">
        <w:t>-SR</w:t>
      </w:r>
    </w:p>
    <w:p w14:paraId="2668EE52" w14:textId="7888441E" w:rsidR="0073016B" w:rsidRPr="00F9248C" w:rsidRDefault="0073016B" w:rsidP="006627A6">
      <w:r>
        <w:rPr>
          <w:rFonts w:eastAsia="Calibri" w:cs="Arial"/>
          <w:lang w:eastAsia="en-GB"/>
        </w:rPr>
        <w:t>The BRIEF-SR,</w:t>
      </w:r>
      <w:r w:rsidRPr="00F9248C">
        <w:t xml:space="preserve"> </w:t>
      </w:r>
      <w:r w:rsidR="006627A6" w:rsidRPr="006627A6">
        <w:t xml:space="preserve">(Guy et al., 2004) </w:t>
      </w:r>
      <w:r w:rsidR="00E64CB9">
        <w:t xml:space="preserve">is </w:t>
      </w:r>
      <w:r w:rsidRPr="00F9248C">
        <w:t xml:space="preserve">a </w:t>
      </w:r>
      <w:r>
        <w:rPr>
          <w:rFonts w:eastAsia="Calibri" w:cs="Arial"/>
          <w:lang w:eastAsia="en-GB"/>
        </w:rPr>
        <w:t xml:space="preserve">valid and </w:t>
      </w:r>
      <w:r w:rsidRPr="00F9248C">
        <w:t xml:space="preserve">reliable self-report instrument </w:t>
      </w:r>
      <w:r>
        <w:rPr>
          <w:rFonts w:eastAsia="Calibri" w:cs="Arial"/>
          <w:lang w:eastAsia="en-GB"/>
        </w:rPr>
        <w:t xml:space="preserve">used </w:t>
      </w:r>
      <w:r w:rsidRPr="00F9248C">
        <w:t xml:space="preserve">to assess </w:t>
      </w:r>
      <w:r>
        <w:rPr>
          <w:rFonts w:eastAsia="Calibri" w:cs="Arial"/>
          <w:lang w:eastAsia="en-GB"/>
        </w:rPr>
        <w:t>EF</w:t>
      </w:r>
      <w:r w:rsidRPr="00F9248C">
        <w:t xml:space="preserve"> in 11- to </w:t>
      </w:r>
      <w:r w:rsidR="004F3A02" w:rsidRPr="00F9248C">
        <w:t>18</w:t>
      </w:r>
      <w:r w:rsidR="004F3A02">
        <w:t>-year-olds</w:t>
      </w:r>
      <w:r w:rsidR="00E64CB9">
        <w:rPr>
          <w:rFonts w:eastAsia="Calibri" w:cs="Arial"/>
          <w:lang w:eastAsia="en-GB"/>
        </w:rPr>
        <w:t>.</w:t>
      </w:r>
      <w:r>
        <w:rPr>
          <w:rFonts w:eastAsia="Calibri" w:cs="Arial"/>
          <w:lang w:eastAsia="en-GB"/>
        </w:rPr>
        <w:t xml:space="preserve"> </w:t>
      </w:r>
      <w:r w:rsidR="00E64CB9">
        <w:rPr>
          <w:rFonts w:eastAsia="Calibri" w:cs="Arial"/>
          <w:lang w:eastAsia="en-GB"/>
        </w:rPr>
        <w:t xml:space="preserve">The 80 </w:t>
      </w:r>
      <w:r>
        <w:rPr>
          <w:rFonts w:eastAsia="Calibri" w:cs="Arial"/>
          <w:lang w:eastAsia="en-GB"/>
        </w:rPr>
        <w:t>questions correlate to the</w:t>
      </w:r>
      <w:r w:rsidR="00CA57AA">
        <w:rPr>
          <w:rFonts w:eastAsia="Calibri" w:cs="Arial"/>
          <w:lang w:eastAsia="en-GB"/>
        </w:rPr>
        <w:t xml:space="preserve"> BRIEF</w:t>
      </w:r>
      <w:r>
        <w:rPr>
          <w:rFonts w:eastAsia="Calibri" w:cs="Arial"/>
          <w:lang w:eastAsia="en-GB"/>
        </w:rPr>
        <w:t xml:space="preserve"> parent version </w:t>
      </w:r>
      <w:r w:rsidR="00CA57AA">
        <w:rPr>
          <w:rFonts w:eastAsia="Calibri" w:cs="Arial"/>
          <w:lang w:eastAsia="en-GB"/>
        </w:rPr>
        <w:t>in</w:t>
      </w:r>
      <w:r>
        <w:rPr>
          <w:rFonts w:eastAsia="Calibri" w:cs="Arial"/>
          <w:lang w:eastAsia="en-GB"/>
        </w:rPr>
        <w:t xml:space="preserve"> </w:t>
      </w:r>
      <w:r w:rsidR="001F3465">
        <w:rPr>
          <w:rFonts w:eastAsia="Calibri" w:cs="Arial"/>
          <w:lang w:eastAsia="en-GB"/>
        </w:rPr>
        <w:t>its</w:t>
      </w:r>
      <w:r>
        <w:rPr>
          <w:rFonts w:eastAsia="Calibri" w:cs="Arial"/>
          <w:lang w:eastAsia="en-GB"/>
        </w:rPr>
        <w:t xml:space="preserve"> </w:t>
      </w:r>
      <w:r w:rsidRPr="00F9248C">
        <w:t>four MI and four BRI subdomains</w:t>
      </w:r>
      <w:r>
        <w:rPr>
          <w:rFonts w:eastAsia="Calibri" w:cs="Arial"/>
          <w:lang w:eastAsia="en-GB"/>
        </w:rPr>
        <w:t>. Adding</w:t>
      </w:r>
      <w:r w:rsidRPr="00F9248C">
        <w:t xml:space="preserve"> the MI and BRI scores </w:t>
      </w:r>
      <w:r>
        <w:rPr>
          <w:rFonts w:eastAsia="Calibri" w:cs="Arial"/>
          <w:lang w:eastAsia="en-GB"/>
        </w:rPr>
        <w:t>create</w:t>
      </w:r>
      <w:r w:rsidR="00CA57AA">
        <w:rPr>
          <w:rFonts w:eastAsia="Calibri" w:cs="Arial"/>
          <w:lang w:eastAsia="en-GB"/>
        </w:rPr>
        <w:t>s</w:t>
      </w:r>
      <w:r>
        <w:rPr>
          <w:rFonts w:eastAsia="Calibri" w:cs="Arial"/>
          <w:lang w:eastAsia="en-GB"/>
        </w:rPr>
        <w:t xml:space="preserve"> </w:t>
      </w:r>
      <w:r w:rsidR="00CA57AA">
        <w:rPr>
          <w:rFonts w:eastAsia="Calibri" w:cs="Arial"/>
          <w:lang w:eastAsia="en-GB"/>
        </w:rPr>
        <w:t>an</w:t>
      </w:r>
      <w:r w:rsidRPr="00F9248C">
        <w:t xml:space="preserve"> overall </w:t>
      </w:r>
      <w:r w:rsidR="00CA57AA">
        <w:rPr>
          <w:rFonts w:eastAsia="Calibri" w:cs="Arial"/>
          <w:lang w:eastAsia="en-GB"/>
        </w:rPr>
        <w:t>g</w:t>
      </w:r>
      <w:r>
        <w:rPr>
          <w:rFonts w:eastAsia="Calibri" w:cs="Arial"/>
          <w:lang w:eastAsia="en-GB"/>
        </w:rPr>
        <w:t xml:space="preserve">lobal </w:t>
      </w:r>
      <w:r w:rsidR="00CA57AA">
        <w:rPr>
          <w:rFonts w:eastAsia="Calibri" w:cs="Arial"/>
          <w:lang w:eastAsia="en-GB"/>
        </w:rPr>
        <w:t>e</w:t>
      </w:r>
      <w:r>
        <w:rPr>
          <w:rFonts w:eastAsia="Calibri" w:cs="Arial"/>
          <w:lang w:eastAsia="en-GB"/>
        </w:rPr>
        <w:t xml:space="preserve">xecutive </w:t>
      </w:r>
      <w:r w:rsidR="00CA57AA">
        <w:rPr>
          <w:rFonts w:eastAsia="Calibri" w:cs="Arial"/>
          <w:lang w:eastAsia="en-GB"/>
        </w:rPr>
        <w:t>c</w:t>
      </w:r>
      <w:r>
        <w:rPr>
          <w:rFonts w:eastAsia="Calibri" w:cs="Arial"/>
          <w:lang w:eastAsia="en-GB"/>
        </w:rPr>
        <w:t>omposite</w:t>
      </w:r>
      <w:r w:rsidRPr="00F9248C">
        <w:t xml:space="preserve"> (GEC) score. </w:t>
      </w:r>
      <w:r>
        <w:rPr>
          <w:rFonts w:eastAsia="Calibri" w:cs="Arial"/>
          <w:lang w:eastAsia="en-GB"/>
        </w:rPr>
        <w:t>Clinically significant</w:t>
      </w:r>
      <w:r w:rsidRPr="00F9248C">
        <w:t xml:space="preserve"> </w:t>
      </w:r>
      <w:r w:rsidRPr="00F9248C">
        <w:rPr>
          <w:i/>
        </w:rPr>
        <w:t>t</w:t>
      </w:r>
      <w:r w:rsidR="00CA57AA">
        <w:rPr>
          <w:rFonts w:eastAsia="Calibri" w:cs="Arial"/>
          <w:lang w:eastAsia="en-GB"/>
        </w:rPr>
        <w:t> </w:t>
      </w:r>
      <w:r w:rsidRPr="00F9248C">
        <w:t>scores (</w:t>
      </w:r>
      <w:r w:rsidRPr="00F9248C">
        <w:rPr>
          <w:i/>
        </w:rPr>
        <w:t>M</w:t>
      </w:r>
      <w:r w:rsidRPr="00F9248C">
        <w:t xml:space="preserve"> = 50, </w:t>
      </w:r>
      <w:r w:rsidRPr="00F9248C">
        <w:rPr>
          <w:i/>
        </w:rPr>
        <w:t>SD</w:t>
      </w:r>
      <w:r w:rsidRPr="00F9248C">
        <w:t xml:space="preserve"> = 10) </w:t>
      </w:r>
      <w:r>
        <w:rPr>
          <w:rFonts w:eastAsia="Calibri" w:cs="Arial"/>
          <w:lang w:eastAsia="en-GB"/>
        </w:rPr>
        <w:t>are those</w:t>
      </w:r>
      <w:r w:rsidR="00CA57AA">
        <w:rPr>
          <w:rFonts w:eastAsia="Calibri" w:cs="Arial"/>
          <w:lang w:eastAsia="en-GB"/>
        </w:rPr>
        <w:t xml:space="preserve"> of</w:t>
      </w:r>
      <w:r>
        <w:rPr>
          <w:rFonts w:eastAsia="Calibri" w:cs="Arial"/>
          <w:lang w:eastAsia="en-GB"/>
        </w:rPr>
        <w:t xml:space="preserve"> 65 and above. The test–retest reliability of the</w:t>
      </w:r>
      <w:r w:rsidRPr="00F9248C">
        <w:t xml:space="preserve"> BRI and </w:t>
      </w:r>
      <w:r>
        <w:rPr>
          <w:rFonts w:eastAsia="Calibri" w:cs="Arial"/>
          <w:lang w:eastAsia="en-GB"/>
        </w:rPr>
        <w:t xml:space="preserve">MI were </w:t>
      </w:r>
      <w:r w:rsidRPr="00F9248C">
        <w:t>.84 and .87, respectively</w:t>
      </w:r>
      <w:r w:rsidR="00B55201">
        <w:rPr>
          <w:rFonts w:eastAsia="Calibri" w:cs="Arial"/>
          <w:lang w:eastAsia="en-GB"/>
        </w:rPr>
        <w:t xml:space="preserve">, and </w:t>
      </w:r>
      <w:r>
        <w:rPr>
          <w:rFonts w:eastAsia="Calibri" w:cs="Arial"/>
          <w:lang w:eastAsia="en-GB"/>
        </w:rPr>
        <w:t>internal</w:t>
      </w:r>
      <w:r w:rsidRPr="00F9248C">
        <w:t xml:space="preserve"> reliability in the standardized sample</w:t>
      </w:r>
      <w:r>
        <w:rPr>
          <w:rFonts w:eastAsia="Calibri" w:cs="Arial"/>
          <w:lang w:eastAsia="en-GB"/>
        </w:rPr>
        <w:t xml:space="preserve"> was </w:t>
      </w:r>
      <w:r w:rsidRPr="002D270B">
        <w:rPr>
          <w:rFonts w:eastAsia="Calibri" w:cs="Arial"/>
          <w:lang w:eastAsia="en-GB"/>
        </w:rPr>
        <w:t>α = 0.80–0.98</w:t>
      </w:r>
      <w:r>
        <w:rPr>
          <w:rFonts w:eastAsia="Calibri" w:cs="Arial"/>
          <w:lang w:eastAsia="en-GB"/>
        </w:rPr>
        <w:t>. For</w:t>
      </w:r>
      <w:r w:rsidRPr="00F9248C">
        <w:t xml:space="preserve"> the </w:t>
      </w:r>
      <w:r>
        <w:rPr>
          <w:rFonts w:eastAsia="Calibri" w:cs="Arial"/>
          <w:lang w:eastAsia="en-GB"/>
        </w:rPr>
        <w:t>current study’s entire scale, the</w:t>
      </w:r>
      <w:r w:rsidRPr="00F9248C">
        <w:t xml:space="preserve"> internal reliability </w:t>
      </w:r>
      <w:r w:rsidRPr="00B674D9">
        <w:rPr>
          <w:rFonts w:eastAsia="Calibri" w:cs="Arial"/>
          <w:lang w:eastAsia="en-GB"/>
        </w:rPr>
        <w:t>was</w:t>
      </w:r>
      <w:r w:rsidRPr="00F9248C">
        <w:t xml:space="preserve"> α = 0.</w:t>
      </w:r>
      <w:r w:rsidRPr="00B674D9">
        <w:rPr>
          <w:rFonts w:eastAsia="Calibri" w:cs="Arial"/>
          <w:lang w:eastAsia="en-GB"/>
        </w:rPr>
        <w:t>95</w:t>
      </w:r>
      <w:r w:rsidRPr="00F9248C">
        <w:t xml:space="preserve">. </w:t>
      </w:r>
    </w:p>
    <w:p w14:paraId="607358C7" w14:textId="54BA1CD5" w:rsidR="000D044A" w:rsidRPr="00A6382B" w:rsidRDefault="00104787">
      <w:pPr>
        <w:pStyle w:val="Heading3"/>
        <w:rPr>
          <w:rFonts w:eastAsia="Calibri"/>
        </w:rPr>
      </w:pPr>
      <w:r w:rsidRPr="00A6382B">
        <w:rPr>
          <w:rFonts w:eastAsia="Calibri"/>
        </w:rPr>
        <w:t>CCT</w:t>
      </w:r>
      <w:r w:rsidR="000D044A">
        <w:t xml:space="preserve"> </w:t>
      </w:r>
      <w:r w:rsidR="00782625" w:rsidRPr="00F9248C">
        <w:t xml:space="preserve">Hebrew </w:t>
      </w:r>
      <w:r w:rsidR="007C546B">
        <w:t>V</w:t>
      </w:r>
      <w:r w:rsidR="00782625" w:rsidRPr="00F9248C">
        <w:t>ersion</w:t>
      </w:r>
      <w:r w:rsidR="00782625" w:rsidRPr="00A6382B">
        <w:rPr>
          <w:rFonts w:eastAsia="Calibri"/>
        </w:rPr>
        <w:t xml:space="preserve"> </w:t>
      </w:r>
    </w:p>
    <w:p w14:paraId="5CC19CDE" w14:textId="7F5B0216" w:rsidR="00782625" w:rsidRPr="00F9248C" w:rsidRDefault="000D044A">
      <w:pPr>
        <w:widowControl w:val="0"/>
        <w:rPr>
          <w:rFonts w:asciiTheme="majorBidi" w:hAnsiTheme="majorBidi"/>
        </w:rPr>
      </w:pPr>
      <w:r>
        <w:rPr>
          <w:rFonts w:asciiTheme="majorBidi" w:eastAsia="Calibri" w:hAnsiTheme="majorBidi" w:cstheme="majorBidi"/>
          <w:szCs w:val="24"/>
        </w:rPr>
        <w:t>The CCT Hebrew version</w:t>
      </w:r>
      <w:r w:rsidRPr="00F9248C">
        <w:rPr>
          <w:rFonts w:asciiTheme="majorBidi" w:hAnsiTheme="majorBidi"/>
        </w:rPr>
        <w:t xml:space="preserve"> </w:t>
      </w:r>
      <w:r w:rsidR="00782625" w:rsidRPr="00F9248C">
        <w:rPr>
          <w:rFonts w:asciiTheme="majorBidi" w:hAnsiTheme="majorBidi"/>
        </w:rPr>
        <w:t>is a performance-based evaluation</w:t>
      </w:r>
      <w:r w:rsidR="00E80B0A" w:rsidRPr="00F9248C">
        <w:rPr>
          <w:rFonts w:asciiTheme="majorBidi" w:hAnsiTheme="majorBidi"/>
        </w:rPr>
        <w:t xml:space="preserve"> </w:t>
      </w:r>
      <w:r w:rsidR="00E80B0A">
        <w:rPr>
          <w:rFonts w:asciiTheme="majorBidi" w:eastAsia="Calibri" w:hAnsiTheme="majorBidi" w:cstheme="majorBidi"/>
          <w:szCs w:val="24"/>
        </w:rPr>
        <w:t>that</w:t>
      </w:r>
      <w:r w:rsidR="00782625" w:rsidRPr="00F9248C">
        <w:rPr>
          <w:rFonts w:asciiTheme="majorBidi" w:hAnsiTheme="majorBidi"/>
        </w:rPr>
        <w:t xml:space="preserve"> Chevignard et al. </w:t>
      </w:r>
      <w:r w:rsidR="00B43BD1">
        <w:rPr>
          <w:rFonts w:asciiTheme="majorBidi" w:eastAsia="Calibri" w:hAnsiTheme="majorBidi" w:cstheme="majorBidi"/>
          <w:szCs w:val="24"/>
        </w:rPr>
        <w:t xml:space="preserve">(2009, </w:t>
      </w:r>
      <w:r w:rsidR="00A55BA0">
        <w:rPr>
          <w:rFonts w:asciiTheme="majorBidi" w:eastAsia="Calibri" w:hAnsiTheme="majorBidi" w:cstheme="majorBidi"/>
          <w:szCs w:val="24"/>
        </w:rPr>
        <w:t>2010)</w:t>
      </w:r>
      <w:r w:rsidR="000D4718" w:rsidRPr="000D4718">
        <w:rPr>
          <w:rFonts w:asciiTheme="majorBidi" w:eastAsia="Calibri" w:hAnsiTheme="majorBidi" w:cstheme="majorBidi"/>
          <w:szCs w:val="24"/>
        </w:rPr>
        <w:t xml:space="preserve"> </w:t>
      </w:r>
      <w:r w:rsidR="000D4718" w:rsidRPr="00C072EB">
        <w:rPr>
          <w:rFonts w:asciiTheme="majorBidi" w:eastAsia="Calibri" w:hAnsiTheme="majorBidi" w:cstheme="majorBidi"/>
          <w:szCs w:val="24"/>
        </w:rPr>
        <w:t>developed</w:t>
      </w:r>
      <w:r w:rsidR="00782625" w:rsidRPr="00C072EB">
        <w:rPr>
          <w:rFonts w:asciiTheme="majorBidi" w:eastAsia="Calibri" w:hAnsiTheme="majorBidi" w:cstheme="majorBidi"/>
          <w:szCs w:val="24"/>
        </w:rPr>
        <w:t xml:space="preserve"> </w:t>
      </w:r>
      <w:r w:rsidR="00782625" w:rsidRPr="00F9248C">
        <w:rPr>
          <w:rFonts w:asciiTheme="majorBidi" w:hAnsiTheme="majorBidi"/>
        </w:rPr>
        <w:t xml:space="preserve">to assess EF and multitasking abilities. </w:t>
      </w:r>
      <w:r w:rsidR="008E4DDB">
        <w:rPr>
          <w:rFonts w:asciiTheme="majorBidi" w:eastAsia="Calibri" w:hAnsiTheme="majorBidi" w:cstheme="majorBidi"/>
          <w:szCs w:val="24"/>
        </w:rPr>
        <w:t>It</w:t>
      </w:r>
      <w:r w:rsidR="00782625" w:rsidRPr="00C072EB">
        <w:rPr>
          <w:rFonts w:asciiTheme="majorBidi" w:eastAsia="Calibri" w:hAnsiTheme="majorBidi" w:cstheme="majorBidi"/>
          <w:szCs w:val="24"/>
        </w:rPr>
        <w:t xml:space="preserve"> </w:t>
      </w:r>
      <w:r w:rsidR="00782625" w:rsidRPr="00F9248C">
        <w:rPr>
          <w:rFonts w:asciiTheme="majorBidi" w:hAnsiTheme="majorBidi"/>
        </w:rPr>
        <w:t xml:space="preserve">has high internal </w:t>
      </w:r>
      <w:r w:rsidR="0036014B" w:rsidRPr="00F9248C">
        <w:rPr>
          <w:rFonts w:asciiTheme="majorBidi" w:hAnsiTheme="majorBidi"/>
        </w:rPr>
        <w:t>consistency (α = .81</w:t>
      </w:r>
      <w:r w:rsidR="0036014B" w:rsidRPr="0036014B">
        <w:rPr>
          <w:rFonts w:asciiTheme="majorBidi" w:eastAsia="Calibri" w:hAnsiTheme="majorBidi" w:cstheme="majorBidi"/>
          <w:szCs w:val="24"/>
        </w:rPr>
        <w:t>)</w:t>
      </w:r>
      <w:r w:rsidR="00B62C93">
        <w:rPr>
          <w:rFonts w:asciiTheme="majorBidi" w:eastAsia="Calibri" w:hAnsiTheme="majorBidi" w:cstheme="majorBidi"/>
          <w:szCs w:val="24"/>
        </w:rPr>
        <w:t>,</w:t>
      </w:r>
      <w:r w:rsidR="0036014B" w:rsidRPr="0036014B">
        <w:rPr>
          <w:rFonts w:asciiTheme="majorBidi" w:eastAsia="Calibri" w:hAnsiTheme="majorBidi" w:cstheme="majorBidi"/>
          <w:szCs w:val="24"/>
        </w:rPr>
        <w:t xml:space="preserve"> </w:t>
      </w:r>
      <w:r w:rsidR="008E4DDB">
        <w:rPr>
          <w:rFonts w:asciiTheme="majorBidi" w:eastAsia="Calibri" w:hAnsiTheme="majorBidi" w:cstheme="majorBidi"/>
          <w:szCs w:val="24"/>
        </w:rPr>
        <w:t>moderate</w:t>
      </w:r>
      <w:r w:rsidR="008E4DDB" w:rsidRPr="00F9248C">
        <w:rPr>
          <w:rFonts w:asciiTheme="majorBidi" w:hAnsiTheme="majorBidi"/>
        </w:rPr>
        <w:t xml:space="preserve"> </w:t>
      </w:r>
      <w:r w:rsidR="0036014B" w:rsidRPr="00F9248C">
        <w:rPr>
          <w:rFonts w:asciiTheme="majorBidi" w:hAnsiTheme="majorBidi"/>
        </w:rPr>
        <w:t xml:space="preserve">test–retest reliability for total number of errors </w:t>
      </w:r>
      <w:r w:rsidR="0036014B" w:rsidRPr="0036014B">
        <w:rPr>
          <w:rFonts w:asciiTheme="majorBidi" w:eastAsia="Calibri" w:hAnsiTheme="majorBidi" w:cstheme="majorBidi"/>
          <w:szCs w:val="24"/>
        </w:rPr>
        <w:t>(.</w:t>
      </w:r>
      <w:r w:rsidR="0036014B" w:rsidRPr="00F9248C">
        <w:rPr>
          <w:rFonts w:asciiTheme="majorBidi" w:hAnsiTheme="majorBidi"/>
        </w:rPr>
        <w:t>65</w:t>
      </w:r>
      <w:r w:rsidR="0036014B" w:rsidRPr="0036014B">
        <w:rPr>
          <w:rFonts w:asciiTheme="majorBidi" w:eastAsia="Calibri" w:hAnsiTheme="majorBidi" w:cstheme="majorBidi"/>
          <w:szCs w:val="24"/>
        </w:rPr>
        <w:t>)</w:t>
      </w:r>
      <w:r w:rsidR="00B62C93">
        <w:rPr>
          <w:rFonts w:asciiTheme="majorBidi" w:eastAsia="Calibri" w:hAnsiTheme="majorBidi" w:cstheme="majorBidi"/>
          <w:szCs w:val="24"/>
        </w:rPr>
        <w:t>,</w:t>
      </w:r>
      <w:r w:rsidR="008E4DDB">
        <w:rPr>
          <w:rFonts w:asciiTheme="majorBidi" w:eastAsia="Calibri" w:hAnsiTheme="majorBidi" w:cstheme="majorBidi"/>
          <w:szCs w:val="24"/>
        </w:rPr>
        <w:t xml:space="preserve"> and</w:t>
      </w:r>
      <w:r w:rsidR="0036014B" w:rsidRPr="0036014B">
        <w:rPr>
          <w:rFonts w:asciiTheme="majorBidi" w:eastAsia="Calibri" w:hAnsiTheme="majorBidi" w:cstheme="majorBidi"/>
          <w:szCs w:val="24"/>
        </w:rPr>
        <w:t xml:space="preserve"> </w:t>
      </w:r>
      <w:r w:rsidR="0036014B" w:rsidRPr="00F9248C">
        <w:rPr>
          <w:rFonts w:asciiTheme="majorBidi" w:hAnsiTheme="majorBidi"/>
        </w:rPr>
        <w:t>moderate concurrent validity with the BRIEF.</w:t>
      </w:r>
      <w:r w:rsidR="00E64CB9">
        <w:rPr>
          <w:rFonts w:asciiTheme="majorBidi" w:hAnsiTheme="majorBidi"/>
        </w:rPr>
        <w:t xml:space="preserve"> And has been validated in Hebrew (Fogel, et al., 2020b).</w:t>
      </w:r>
    </w:p>
    <w:p w14:paraId="65A63755" w14:textId="3239AF22" w:rsidR="000D044A" w:rsidRPr="00F9248C" w:rsidRDefault="00104787" w:rsidP="00D2782A">
      <w:r w:rsidRPr="00F9248C">
        <w:t>In the CCT, e</w:t>
      </w:r>
      <w:r w:rsidR="00782625" w:rsidRPr="00F9248C">
        <w:t xml:space="preserve">ach participant </w:t>
      </w:r>
      <w:r w:rsidR="008E4DDB">
        <w:t>is</w:t>
      </w:r>
      <w:r w:rsidR="008E4DDB" w:rsidRPr="00F9248C">
        <w:t xml:space="preserve"> </w:t>
      </w:r>
      <w:r w:rsidR="00782625" w:rsidRPr="00F9248C">
        <w:t xml:space="preserve">asked to </w:t>
      </w:r>
      <w:r w:rsidR="00E64CB9">
        <w:t>follow</w:t>
      </w:r>
      <w:r w:rsidR="00E64CB9" w:rsidRPr="00F9248C">
        <w:t xml:space="preserve"> </w:t>
      </w:r>
      <w:r w:rsidR="00782625" w:rsidRPr="00F9248C">
        <w:t xml:space="preserve">two </w:t>
      </w:r>
      <w:r w:rsidR="00465B00">
        <w:t>easy</w:t>
      </w:r>
      <w:r w:rsidR="00465B00" w:rsidRPr="00F9248C">
        <w:t xml:space="preserve"> </w:t>
      </w:r>
      <w:r w:rsidR="00782625" w:rsidRPr="00F9248C">
        <w:t>recipes</w:t>
      </w:r>
      <w:r w:rsidRPr="00F9248C">
        <w:t xml:space="preserve">: </w:t>
      </w:r>
      <w:r w:rsidR="00D2782A">
        <w:t>a</w:t>
      </w:r>
      <w:r w:rsidR="00D2782A" w:rsidRPr="00F9248C">
        <w:t xml:space="preserve"> chocolate</w:t>
      </w:r>
      <w:r w:rsidR="00782625" w:rsidRPr="00F9248C">
        <w:t xml:space="preserve"> cake and fruit cocktail. </w:t>
      </w:r>
      <w:r w:rsidR="000940DD" w:rsidRPr="00F9248C">
        <w:t>Ingredients</w:t>
      </w:r>
      <w:r w:rsidR="000940DD">
        <w:t>,</w:t>
      </w:r>
      <w:r w:rsidR="000940DD" w:rsidRPr="00F9248C">
        <w:t xml:space="preserve"> utensils</w:t>
      </w:r>
      <w:r w:rsidR="000940DD">
        <w:t>, and six recipes</w:t>
      </w:r>
      <w:r w:rsidR="000940DD" w:rsidRPr="00C072EB">
        <w:t xml:space="preserve"> </w:t>
      </w:r>
      <w:r w:rsidR="000940DD">
        <w:t>are</w:t>
      </w:r>
      <w:r w:rsidR="000940DD" w:rsidRPr="00C072EB">
        <w:t xml:space="preserve"> </w:t>
      </w:r>
      <w:r w:rsidR="000940DD" w:rsidRPr="00F9248C">
        <w:t xml:space="preserve">laid on a table with an instruction </w:t>
      </w:r>
      <w:r w:rsidR="000940DD" w:rsidRPr="00C072EB">
        <w:t>sheet</w:t>
      </w:r>
      <w:r w:rsidR="00465B00">
        <w:t xml:space="preserve"> that </w:t>
      </w:r>
      <w:r w:rsidR="0057534B">
        <w:t>show</w:t>
      </w:r>
      <w:r w:rsidR="00080CA7">
        <w:t>s</w:t>
      </w:r>
      <w:r w:rsidR="000940DD">
        <w:t xml:space="preserve"> the </w:t>
      </w:r>
      <w:r w:rsidR="00080CA7">
        <w:t>name</w:t>
      </w:r>
      <w:r w:rsidR="00080CA7" w:rsidRPr="00F9248C">
        <w:t xml:space="preserve"> </w:t>
      </w:r>
      <w:r w:rsidR="000940DD" w:rsidRPr="00F9248C">
        <w:t xml:space="preserve">of </w:t>
      </w:r>
      <w:r w:rsidR="000940DD">
        <w:t>the dish</w:t>
      </w:r>
      <w:r w:rsidR="00583FC9">
        <w:t>,</w:t>
      </w:r>
      <w:r w:rsidR="0057534B">
        <w:t xml:space="preserve"> </w:t>
      </w:r>
      <w:r w:rsidR="00735CC8">
        <w:t>an</w:t>
      </w:r>
      <w:r w:rsidR="000940DD">
        <w:t xml:space="preserve"> </w:t>
      </w:r>
      <w:r w:rsidR="000940DD" w:rsidRPr="00F9248C">
        <w:t>ingredients</w:t>
      </w:r>
      <w:r w:rsidR="000940DD">
        <w:t xml:space="preserve"> list </w:t>
      </w:r>
      <w:r w:rsidR="00583FC9">
        <w:t>with illustrations</w:t>
      </w:r>
      <w:r w:rsidR="00583FC9" w:rsidRPr="00F9248C">
        <w:t xml:space="preserve">, </w:t>
      </w:r>
      <w:r w:rsidR="000940DD" w:rsidRPr="00F9248C">
        <w:t>and numbered preparation steps</w:t>
      </w:r>
      <w:r w:rsidR="00735CC8" w:rsidRPr="00735CC8">
        <w:t xml:space="preserve"> </w:t>
      </w:r>
      <w:r w:rsidR="00735CC8">
        <w:t>with illustrat</w:t>
      </w:r>
      <w:r w:rsidR="00763947">
        <w:t>ions</w:t>
      </w:r>
      <w:r w:rsidR="000940DD">
        <w:t>.</w:t>
      </w:r>
      <w:r w:rsidR="00B24072">
        <w:t xml:space="preserve"> </w:t>
      </w:r>
      <w:r w:rsidR="00F612CF">
        <w:rPr>
          <w:rFonts w:cs="Arial"/>
        </w:rPr>
        <w:t>Tasks are timed (in min</w:t>
      </w:r>
      <w:r w:rsidR="00E64CB9">
        <w:rPr>
          <w:rFonts w:cs="Arial"/>
        </w:rPr>
        <w:t>utes</w:t>
      </w:r>
      <w:r w:rsidR="00F612CF">
        <w:rPr>
          <w:rFonts w:cs="Arial"/>
        </w:rPr>
        <w:t>)</w:t>
      </w:r>
      <w:r w:rsidR="00680FC3">
        <w:rPr>
          <w:rFonts w:cs="Arial"/>
        </w:rPr>
        <w:t>,</w:t>
      </w:r>
      <w:r w:rsidR="00F612CF">
        <w:rPr>
          <w:rFonts w:cs="Arial"/>
        </w:rPr>
        <w:t xml:space="preserve"> and the scores are</w:t>
      </w:r>
      <w:r w:rsidR="00F612CF" w:rsidRPr="00F9248C">
        <w:t xml:space="preserve"> classified into two error levels</w:t>
      </w:r>
      <w:r w:rsidR="00F612CF" w:rsidRPr="00D2782A">
        <w:rPr>
          <w:rFonts w:cs="Arial"/>
        </w:rPr>
        <w:t xml:space="preserve">: </w:t>
      </w:r>
      <w:r w:rsidR="00F612CF" w:rsidRPr="00053AA7">
        <w:rPr>
          <w:rFonts w:cs="Arial"/>
        </w:rPr>
        <w:t xml:space="preserve">descriptive </w:t>
      </w:r>
      <w:r w:rsidR="00F612CF" w:rsidRPr="00D2782A">
        <w:rPr>
          <w:rFonts w:cs="Arial"/>
        </w:rPr>
        <w:t xml:space="preserve">and </w:t>
      </w:r>
      <w:r w:rsidR="00F612CF" w:rsidRPr="00053AA7">
        <w:rPr>
          <w:rFonts w:cs="Arial"/>
        </w:rPr>
        <w:t>neuropsychological</w:t>
      </w:r>
      <w:r w:rsidR="00D2782A" w:rsidRPr="00D2782A">
        <w:rPr>
          <w:rFonts w:cs="Arial"/>
        </w:rPr>
        <w:t xml:space="preserve"> to assess EF and multitasking</w:t>
      </w:r>
      <w:r w:rsidR="00D2782A">
        <w:rPr>
          <w:rFonts w:cs="Arial"/>
        </w:rPr>
        <w:t xml:space="preserve"> </w:t>
      </w:r>
      <w:r w:rsidR="00D2782A" w:rsidRPr="00D2782A">
        <w:rPr>
          <w:rFonts w:cs="Arial"/>
        </w:rPr>
        <w:t>abilities.</w:t>
      </w:r>
      <w:r w:rsidR="00F612CF">
        <w:rPr>
          <w:rFonts w:cs="Arial"/>
        </w:rPr>
        <w:t xml:space="preserve"> </w:t>
      </w:r>
      <w:r w:rsidR="00841DCF">
        <w:rPr>
          <w:rFonts w:cs="Arial"/>
        </w:rPr>
        <w:t>A</w:t>
      </w:r>
      <w:r w:rsidR="00F612CF">
        <w:rPr>
          <w:rFonts w:cs="Arial"/>
        </w:rPr>
        <w:t xml:space="preserve">ccording to the CCT </w:t>
      </w:r>
      <w:r w:rsidR="00F612CF" w:rsidRPr="00BF1EE8">
        <w:rPr>
          <w:rFonts w:cs="Arial"/>
        </w:rPr>
        <w:t xml:space="preserve">manual (Poncet et al., 2015), </w:t>
      </w:r>
      <w:r w:rsidR="00841DCF">
        <w:rPr>
          <w:rFonts w:cs="Arial"/>
        </w:rPr>
        <w:t xml:space="preserve">these levels </w:t>
      </w:r>
      <w:r w:rsidR="00F612CF" w:rsidRPr="00BF1EE8">
        <w:rPr>
          <w:rFonts w:cs="Arial"/>
        </w:rPr>
        <w:t>determine</w:t>
      </w:r>
      <w:r w:rsidR="00841DCF">
        <w:rPr>
          <w:rFonts w:cs="Arial"/>
        </w:rPr>
        <w:t xml:space="preserve"> </w:t>
      </w:r>
      <w:r w:rsidR="00F612CF">
        <w:rPr>
          <w:rFonts w:cs="Arial"/>
        </w:rPr>
        <w:t xml:space="preserve">the </w:t>
      </w:r>
      <w:r w:rsidR="00F612CF">
        <w:rPr>
          <w:rFonts w:cs="Arial"/>
        </w:rPr>
        <w:lastRenderedPageBreak/>
        <w:t xml:space="preserve">number of errors by </w:t>
      </w:r>
      <w:r w:rsidR="00EA5C90">
        <w:rPr>
          <w:rFonts w:cs="Arial"/>
        </w:rPr>
        <w:t xml:space="preserve">error </w:t>
      </w:r>
      <w:r w:rsidR="00F612CF">
        <w:rPr>
          <w:rFonts w:cs="Arial"/>
        </w:rPr>
        <w:t>type</w:t>
      </w:r>
      <w:r w:rsidR="00680FC3">
        <w:rPr>
          <w:rFonts w:cs="Arial"/>
        </w:rPr>
        <w:t xml:space="preserve"> (descriptive)</w:t>
      </w:r>
      <w:r w:rsidR="00F612CF">
        <w:rPr>
          <w:rFonts w:cs="Arial"/>
        </w:rPr>
        <w:t xml:space="preserve"> </w:t>
      </w:r>
      <w:r w:rsidR="00D2782A" w:rsidRPr="00D2782A">
        <w:rPr>
          <w:rFonts w:cs="Arial"/>
        </w:rPr>
        <w:t>without reference to how or</w:t>
      </w:r>
      <w:r w:rsidR="00D2782A">
        <w:rPr>
          <w:rFonts w:cs="Arial"/>
        </w:rPr>
        <w:t xml:space="preserve"> </w:t>
      </w:r>
      <w:r w:rsidR="00D2782A" w:rsidRPr="00D2782A">
        <w:rPr>
          <w:rFonts w:cs="Arial"/>
        </w:rPr>
        <w:t>why they occurred</w:t>
      </w:r>
      <w:r w:rsidR="00D2782A">
        <w:rPr>
          <w:rFonts w:cs="Arial"/>
        </w:rPr>
        <w:t xml:space="preserve"> </w:t>
      </w:r>
      <w:r w:rsidR="00F612CF">
        <w:rPr>
          <w:rFonts w:cs="Arial"/>
        </w:rPr>
        <w:t>and total errors</w:t>
      </w:r>
      <w:r w:rsidR="00DB3681">
        <w:rPr>
          <w:rFonts w:cs="Arial"/>
        </w:rPr>
        <w:t xml:space="preserve"> (</w:t>
      </w:r>
      <w:r w:rsidR="00DB3681" w:rsidRPr="00F9248C">
        <w:t>neuropsychological</w:t>
      </w:r>
      <w:r w:rsidR="00DB3681">
        <w:rPr>
          <w:rFonts w:cs="Arial"/>
        </w:rPr>
        <w:t>)</w:t>
      </w:r>
      <w:r w:rsidR="00D2782A">
        <w:rPr>
          <w:rFonts w:cs="Arial"/>
        </w:rPr>
        <w:t xml:space="preserve"> </w:t>
      </w:r>
      <w:r w:rsidR="00D2782A" w:rsidRPr="00D2782A">
        <w:rPr>
          <w:rFonts w:cs="Arial"/>
        </w:rPr>
        <w:t>allowing</w:t>
      </w:r>
      <w:r w:rsidR="00D2782A">
        <w:rPr>
          <w:rFonts w:cs="Arial"/>
        </w:rPr>
        <w:t xml:space="preserve"> </w:t>
      </w:r>
      <w:r w:rsidR="00D2782A" w:rsidRPr="00D2782A">
        <w:rPr>
          <w:rFonts w:cs="Arial"/>
        </w:rPr>
        <w:t>description of the reasons each error occurred</w:t>
      </w:r>
      <w:r w:rsidR="00F612CF">
        <w:rPr>
          <w:rFonts w:cs="Arial"/>
        </w:rPr>
        <w:t>.</w:t>
      </w:r>
      <w:r w:rsidR="00782625" w:rsidRPr="00F9248C">
        <w:t xml:space="preserve"> </w:t>
      </w:r>
    </w:p>
    <w:p w14:paraId="48B64A52" w14:textId="3EF30B56" w:rsidR="000D044A" w:rsidRPr="00A6382B" w:rsidRDefault="001A23BF">
      <w:pPr>
        <w:pStyle w:val="Heading3"/>
      </w:pPr>
      <w:r>
        <w:t>Self-</w:t>
      </w:r>
      <w:r w:rsidR="00E64CB9">
        <w:t>Awareness of Performance Questionnaire</w:t>
      </w:r>
      <w:r>
        <w:t xml:space="preserve"> (SAP-Q) </w:t>
      </w:r>
    </w:p>
    <w:p w14:paraId="6D8E328A" w14:textId="5F059D5A" w:rsidR="00782625" w:rsidRDefault="00F336AE" w:rsidP="00F336AE">
      <w:r>
        <w:t xml:space="preserve">This clinician administered questionnaire is </w:t>
      </w:r>
      <w:r w:rsidR="00782625" w:rsidRPr="00F9248C">
        <w:t xml:space="preserve">based on </w:t>
      </w:r>
      <w:r w:rsidR="00DB3681">
        <w:t>an instrument</w:t>
      </w:r>
      <w:r w:rsidR="00583FC9">
        <w:t xml:space="preserve"> </w:t>
      </w:r>
      <w:r>
        <w:t xml:space="preserve">to assess general awareness of performance </w:t>
      </w:r>
      <w:r w:rsidRPr="00F9248C">
        <w:t xml:space="preserve">Toglia </w:t>
      </w:r>
      <w:r>
        <w:t>(2011, 2018)</w:t>
      </w:r>
      <w:r w:rsidRPr="00C072EB">
        <w:t xml:space="preserve"> </w:t>
      </w:r>
      <w:r>
        <w:t>and was modified Fogel</w:t>
      </w:r>
      <w:r w:rsidRPr="00C072EB">
        <w:t xml:space="preserve"> </w:t>
      </w:r>
      <w:r>
        <w:t>(2016)</w:t>
      </w:r>
      <w:r w:rsidRPr="00F9248C">
        <w:t xml:space="preserve"> </w:t>
      </w:r>
      <w:r>
        <w:t>to be specific to the cooking performance tasks.  Prior to the task performance</w:t>
      </w:r>
      <w:r w:rsidR="00782625" w:rsidRPr="00F9248C">
        <w:t xml:space="preserve">, the </w:t>
      </w:r>
      <w:r>
        <w:t>clinician</w:t>
      </w:r>
      <w:r w:rsidRPr="00F9248C">
        <w:t xml:space="preserve"> </w:t>
      </w:r>
      <w:r w:rsidR="00782625" w:rsidRPr="00C072EB">
        <w:t>ask</w:t>
      </w:r>
      <w:r w:rsidR="008E7722">
        <w:t>s</w:t>
      </w:r>
      <w:r w:rsidR="00782625" w:rsidRPr="00F9248C">
        <w:t xml:space="preserve"> </w:t>
      </w:r>
      <w:r>
        <w:t xml:space="preserve">the participants </w:t>
      </w:r>
      <w:r w:rsidR="00782625" w:rsidRPr="00F9248C">
        <w:t>three questions</w:t>
      </w:r>
      <w:r>
        <w:t xml:space="preserve"> that they must provide a rating </w:t>
      </w:r>
      <w:r w:rsidRPr="00F9248C">
        <w:t>1 (</w:t>
      </w:r>
      <w:r w:rsidRPr="00F9248C">
        <w:rPr>
          <w:i/>
        </w:rPr>
        <w:t>high estimation</w:t>
      </w:r>
      <w:r w:rsidRPr="00F9248C">
        <w:t xml:space="preserve">) to 5 </w:t>
      </w:r>
      <w:r w:rsidRPr="00F9248C">
        <w:rPr>
          <w:i/>
        </w:rPr>
        <w:t>(low estimation</w:t>
      </w:r>
      <w:r w:rsidRPr="00F9248C">
        <w:t>).</w:t>
      </w:r>
      <w:r>
        <w:t xml:space="preserve"> </w:t>
      </w:r>
      <w:r w:rsidR="00782625" w:rsidRPr="00F9248C">
        <w:t xml:space="preserve">(How do you think you will do on the cooking task?), </w:t>
      </w:r>
      <w:r w:rsidRPr="00F9248C">
        <w:rPr>
          <w:i/>
        </w:rPr>
        <w:t>performance</w:t>
      </w:r>
      <w:r w:rsidRPr="00F9248C">
        <w:t xml:space="preserve"> </w:t>
      </w:r>
      <w:r w:rsidR="00782625" w:rsidRPr="00F9248C">
        <w:t xml:space="preserve">(Do you think you will have difficulty performing the cooking task?), </w:t>
      </w:r>
      <w:r w:rsidRPr="00F9248C">
        <w:rPr>
          <w:i/>
        </w:rPr>
        <w:t>expected difficulty</w:t>
      </w:r>
      <w:r w:rsidRPr="00F9248C">
        <w:t xml:space="preserve"> </w:t>
      </w:r>
      <w:r w:rsidR="00782625" w:rsidRPr="00F9248C">
        <w:t xml:space="preserve">and How long do you think it will take you to perform the cooking task? </w:t>
      </w:r>
      <w:r w:rsidRPr="00F9248C">
        <w:rPr>
          <w:i/>
        </w:rPr>
        <w:t>estimated time</w:t>
      </w:r>
      <w:r w:rsidRPr="00F9248C">
        <w:t xml:space="preserve"> </w:t>
      </w:r>
      <w:r>
        <w:t xml:space="preserve">  </w:t>
      </w:r>
      <w:r w:rsidR="00782625" w:rsidRPr="00F9248C">
        <w:t xml:space="preserve">After the </w:t>
      </w:r>
      <w:r>
        <w:t xml:space="preserve">cooking </w:t>
      </w:r>
      <w:r w:rsidR="000F702F">
        <w:t>task</w:t>
      </w:r>
      <w:r w:rsidR="00782625" w:rsidRPr="00F9248C">
        <w:t xml:space="preserve">, participants </w:t>
      </w:r>
      <w:r w:rsidR="007F659D">
        <w:t>are</w:t>
      </w:r>
      <w:r w:rsidR="007F659D" w:rsidRPr="00F9248C">
        <w:t xml:space="preserve"> </w:t>
      </w:r>
      <w:r w:rsidR="00782625" w:rsidRPr="00F9248C">
        <w:t>asked three more questions</w:t>
      </w:r>
      <w:r>
        <w:t>:</w:t>
      </w:r>
      <w:r w:rsidR="00782625" w:rsidRPr="00F9248C">
        <w:t xml:space="preserve"> on (How do you think you did on the cooking task?), </w:t>
      </w:r>
      <w:r w:rsidR="00993A14">
        <w:rPr>
          <w:i/>
        </w:rPr>
        <w:t xml:space="preserve">estimation of </w:t>
      </w:r>
      <w:r w:rsidRPr="00F9248C">
        <w:rPr>
          <w:i/>
        </w:rPr>
        <w:t>performance</w:t>
      </w:r>
      <w:r w:rsidRPr="00F9248C">
        <w:t xml:space="preserve"> </w:t>
      </w:r>
      <w:r w:rsidR="00782625" w:rsidRPr="00F9248C">
        <w:t xml:space="preserve">(Are you satisfied with the way you performed the cooking task?), </w:t>
      </w:r>
      <w:r w:rsidRPr="00F9248C">
        <w:rPr>
          <w:i/>
        </w:rPr>
        <w:t>satisfaction</w:t>
      </w:r>
      <w:r w:rsidRPr="00F9248C">
        <w:t xml:space="preserve"> </w:t>
      </w:r>
      <w:r w:rsidR="00782625" w:rsidRPr="00F9248C">
        <w:t xml:space="preserve">and (How </w:t>
      </w:r>
      <w:r w:rsidR="00782625" w:rsidRPr="00C072EB">
        <w:t>accurate</w:t>
      </w:r>
      <w:r w:rsidR="00EE1B81">
        <w:t>ly</w:t>
      </w:r>
      <w:r w:rsidR="00782625" w:rsidRPr="00F9248C">
        <w:t xml:space="preserve"> do you think you </w:t>
      </w:r>
      <w:r w:rsidR="00782625" w:rsidRPr="00C072EB">
        <w:t>perform</w:t>
      </w:r>
      <w:r w:rsidR="00EE1B81">
        <w:t>ed</w:t>
      </w:r>
      <w:r w:rsidR="00782625" w:rsidRPr="00F9248C">
        <w:t xml:space="preserve"> the cooking task?). </w:t>
      </w:r>
      <w:r w:rsidRPr="00F9248C">
        <w:rPr>
          <w:i/>
        </w:rPr>
        <w:t>accuracy</w:t>
      </w:r>
      <w:r w:rsidRPr="00F9248C">
        <w:t xml:space="preserve"> </w:t>
      </w:r>
      <w:r w:rsidR="00782625" w:rsidRPr="00F9248C">
        <w:t xml:space="preserve">Each question </w:t>
      </w:r>
      <w:r w:rsidR="00EE1B81">
        <w:t>is</w:t>
      </w:r>
      <w:r w:rsidR="00EE1B81" w:rsidRPr="00F9248C">
        <w:t xml:space="preserve"> </w:t>
      </w:r>
      <w:r w:rsidR="00782625" w:rsidRPr="00F9248C">
        <w:t xml:space="preserve">scored from </w:t>
      </w:r>
    </w:p>
    <w:p w14:paraId="200C1CD4" w14:textId="77777777" w:rsidR="00AA1B82" w:rsidRPr="00A6382B" w:rsidRDefault="00AA1B82" w:rsidP="00AA1B82">
      <w:pPr>
        <w:pStyle w:val="Heading2"/>
      </w:pPr>
      <w:r w:rsidRPr="00A6382B">
        <w:t>Procedure</w:t>
      </w:r>
    </w:p>
    <w:p w14:paraId="079335AC" w14:textId="4D922017" w:rsidR="00AA1B82" w:rsidRDefault="00AA1B82" w:rsidP="00F716C6">
      <w:r w:rsidRPr="00290D84">
        <w:rPr>
          <w:rFonts w:eastAsia="Calibri" w:cs="Arial"/>
          <w:lang w:val="en-GB"/>
        </w:rPr>
        <w:t>This study was approved by the University of Haifa</w:t>
      </w:r>
      <w:r>
        <w:rPr>
          <w:rFonts w:eastAsia="Calibri" w:cs="Arial"/>
          <w:lang w:val="en-GB"/>
        </w:rPr>
        <w:t>,</w:t>
      </w:r>
      <w:r w:rsidRPr="00290D84">
        <w:rPr>
          <w:rFonts w:eastAsia="Calibri" w:cs="Arial"/>
          <w:lang w:val="en-GB"/>
        </w:rPr>
        <w:t xml:space="preserve"> Faculty of Social Welfare and Health Sciences </w:t>
      </w:r>
      <w:r>
        <w:rPr>
          <w:rFonts w:eastAsia="Calibri" w:cs="Arial"/>
          <w:lang w:val="en-GB"/>
        </w:rPr>
        <w:t>E</w:t>
      </w:r>
      <w:r w:rsidRPr="00290D84">
        <w:rPr>
          <w:rFonts w:eastAsia="Calibri" w:cs="Arial"/>
          <w:lang w:val="en-GB"/>
        </w:rPr>
        <w:t xml:space="preserve">thics </w:t>
      </w:r>
      <w:r>
        <w:rPr>
          <w:rFonts w:eastAsia="Calibri" w:cs="Arial"/>
          <w:lang w:val="en-GB"/>
        </w:rPr>
        <w:t>C</w:t>
      </w:r>
      <w:r w:rsidRPr="00290D84">
        <w:rPr>
          <w:rFonts w:eastAsia="Calibri" w:cs="Arial"/>
          <w:lang w:val="en-GB"/>
        </w:rPr>
        <w:t>ommittee</w:t>
      </w:r>
      <w:r>
        <w:rPr>
          <w:rFonts w:eastAsia="Calibri" w:cs="Arial"/>
          <w:lang w:val="en-GB"/>
        </w:rPr>
        <w:t xml:space="preserve"> </w:t>
      </w:r>
      <w:r w:rsidRPr="00290D84">
        <w:rPr>
          <w:rFonts w:eastAsia="Calibri" w:cs="Arial"/>
          <w:lang w:val="en-GB"/>
        </w:rPr>
        <w:t xml:space="preserve">(number </w:t>
      </w:r>
      <w:r w:rsidRPr="00290D84">
        <w:rPr>
          <w:rFonts w:eastAsia="Calibri" w:cs="Times New Roman"/>
          <w:szCs w:val="24"/>
          <w:lang w:val="en-GB"/>
        </w:rPr>
        <w:t>253/13</w:t>
      </w:r>
      <w:r w:rsidRPr="00290D84">
        <w:rPr>
          <w:rFonts w:eastAsia="Calibri" w:cs="Arial"/>
          <w:lang w:val="en-GB"/>
        </w:rPr>
        <w:t>)</w:t>
      </w:r>
      <w:r>
        <w:rPr>
          <w:rFonts w:asciiTheme="majorBidi" w:hAnsiTheme="majorBidi" w:cstheme="majorBidi"/>
          <w:szCs w:val="24"/>
        </w:rPr>
        <w:t>, and a</w:t>
      </w:r>
      <w:r w:rsidRPr="00C072EB">
        <w:rPr>
          <w:rFonts w:asciiTheme="majorBidi" w:hAnsiTheme="majorBidi" w:cstheme="majorBidi"/>
          <w:szCs w:val="24"/>
        </w:rPr>
        <w:t>ll adolescents and their parents signed informed consent for participation.</w:t>
      </w:r>
      <w:r>
        <w:rPr>
          <w:rFonts w:asciiTheme="majorBidi" w:hAnsiTheme="majorBidi" w:cstheme="majorBidi"/>
          <w:szCs w:val="24"/>
        </w:rPr>
        <w:t xml:space="preserve"> </w:t>
      </w:r>
      <w:r w:rsidR="00461DCF">
        <w:rPr>
          <w:rFonts w:asciiTheme="majorBidi" w:hAnsiTheme="majorBidi" w:cstheme="majorBidi"/>
          <w:szCs w:val="24"/>
        </w:rPr>
        <w:t>I</w:t>
      </w:r>
      <w:r>
        <w:rPr>
          <w:rFonts w:asciiTheme="majorBidi" w:hAnsiTheme="majorBidi" w:cstheme="majorBidi"/>
          <w:szCs w:val="24"/>
        </w:rPr>
        <w:t xml:space="preserve">n the primary study, </w:t>
      </w:r>
      <w:r>
        <w:t>a</w:t>
      </w:r>
      <w:r w:rsidRPr="00C072EB">
        <w:t xml:space="preserve">dolescents who met inclusion criteria for the FITTED intervention </w:t>
      </w:r>
      <w:r>
        <w:t>(Fogel et al., 2020)</w:t>
      </w:r>
      <w:r w:rsidRPr="00C072EB">
        <w:t xml:space="preserve"> were invited to individual session</w:t>
      </w:r>
      <w:r>
        <w:t>s</w:t>
      </w:r>
      <w:r w:rsidRPr="00C072EB">
        <w:t xml:space="preserve"> to complete the </w:t>
      </w:r>
      <w:r>
        <w:t>CCT, which</w:t>
      </w:r>
      <w:r w:rsidRPr="00C072EB">
        <w:t xml:space="preserve"> </w:t>
      </w:r>
      <w:r>
        <w:t>a</w:t>
      </w:r>
      <w:r w:rsidRPr="00C072EB">
        <w:t>n expert occupational therapist administered and scored. Figure 1 present</w:t>
      </w:r>
      <w:r>
        <w:t>s</w:t>
      </w:r>
      <w:r w:rsidRPr="00C072EB">
        <w:t xml:space="preserve"> the study design. </w:t>
      </w:r>
      <w:r>
        <w:t>In the pre-</w:t>
      </w:r>
      <w:r w:rsidR="007F2577">
        <w:t>and post-</w:t>
      </w:r>
      <w:r w:rsidR="003D2D7D">
        <w:t>intervention,</w:t>
      </w:r>
      <w:r>
        <w:t xml:space="preserve"> </w:t>
      </w:r>
      <w:r w:rsidRPr="00EA7E00">
        <w:t xml:space="preserve">the </w:t>
      </w:r>
      <w:r w:rsidR="007F2577">
        <w:t>participant</w:t>
      </w:r>
      <w:r w:rsidRPr="00EA7E00">
        <w:t xml:space="preserve"> </w:t>
      </w:r>
      <w:r>
        <w:t xml:space="preserve">completed </w:t>
      </w:r>
      <w:r w:rsidR="007F2577">
        <w:t xml:space="preserve">the BRIEF-SR </w:t>
      </w:r>
      <w:r>
        <w:t xml:space="preserve">questionnaire, </w:t>
      </w:r>
      <w:r w:rsidRPr="00EA7E00">
        <w:t xml:space="preserve">performed the </w:t>
      </w:r>
      <w:r w:rsidR="000F702F" w:rsidRPr="00EA7E00">
        <w:t xml:space="preserve">CCT </w:t>
      </w:r>
      <w:r w:rsidR="007F2577">
        <w:t>assessment.</w:t>
      </w:r>
      <w:r>
        <w:t xml:space="preserve"> </w:t>
      </w:r>
      <w:r w:rsidRPr="004F1318">
        <w:t>All</w:t>
      </w:r>
      <w:r>
        <w:t xml:space="preserve"> participants completed the </w:t>
      </w:r>
      <w:r w:rsidR="001D420C">
        <w:t>SAP</w:t>
      </w:r>
      <w:r w:rsidRPr="00A6382B">
        <w:t xml:space="preserve"> questionnair</w:t>
      </w:r>
      <w:r>
        <w:t xml:space="preserve">e before and after </w:t>
      </w:r>
      <w:r w:rsidR="00F716C6">
        <w:t xml:space="preserve">the </w:t>
      </w:r>
      <w:r>
        <w:t>CCT task</w:t>
      </w:r>
      <w:r w:rsidR="00F716C6">
        <w:t xml:space="preserve"> </w:t>
      </w:r>
      <w:proofErr w:type="gramStart"/>
      <w:r w:rsidR="00F716C6">
        <w:t>pre</w:t>
      </w:r>
      <w:proofErr w:type="gramEnd"/>
      <w:r w:rsidR="00F716C6">
        <w:t xml:space="preserve"> and </w:t>
      </w:r>
      <w:r w:rsidR="00461DCF">
        <w:t>post</w:t>
      </w:r>
      <w:r w:rsidR="00461DCF">
        <w:t>-</w:t>
      </w:r>
      <w:r w:rsidR="00F716C6">
        <w:t>intervention</w:t>
      </w:r>
      <w:r>
        <w:t xml:space="preserve">. </w:t>
      </w:r>
    </w:p>
    <w:p w14:paraId="4E11026E" w14:textId="6B457118" w:rsidR="007F2577" w:rsidRPr="00F9248C" w:rsidRDefault="007F2577" w:rsidP="007F2577">
      <w:pPr>
        <w:ind w:firstLine="0"/>
      </w:pPr>
      <w:r>
        <w:t>[INSERT FIGURE</w:t>
      </w:r>
      <w:r w:rsidRPr="00F9248C">
        <w:t xml:space="preserve"> 1 HERE</w:t>
      </w:r>
      <w:r>
        <w:t>]</w:t>
      </w:r>
    </w:p>
    <w:p w14:paraId="3D97DAEC" w14:textId="77777777" w:rsidR="007F2577" w:rsidRPr="00F9248C" w:rsidRDefault="007F2577" w:rsidP="00AA1B82"/>
    <w:p w14:paraId="207A77F3" w14:textId="6F76C65B" w:rsidR="00782625" w:rsidRPr="00A6382B" w:rsidRDefault="00782625">
      <w:pPr>
        <w:pStyle w:val="Heading2"/>
      </w:pPr>
      <w:r w:rsidRPr="00A6382B">
        <w:lastRenderedPageBreak/>
        <w:t xml:space="preserve">Data </w:t>
      </w:r>
      <w:r w:rsidR="0080745A">
        <w:t>A</w:t>
      </w:r>
      <w:r w:rsidRPr="00A6382B">
        <w:t>nalyses</w:t>
      </w:r>
    </w:p>
    <w:p w14:paraId="0862A80F" w14:textId="753C21E8" w:rsidR="00782625" w:rsidRPr="00A6382B" w:rsidRDefault="00926E8F" w:rsidP="00D50D7A">
      <w:pPr>
        <w:pStyle w:val="NormalWeb"/>
        <w:contextualSpacing/>
        <w:rPr>
          <w:rFonts w:asciiTheme="majorBidi" w:hAnsiTheme="majorBidi" w:cstheme="majorBidi"/>
        </w:rPr>
      </w:pPr>
      <w:r>
        <w:rPr>
          <w:rFonts w:asciiTheme="majorBidi" w:eastAsia="Calibri" w:hAnsiTheme="majorBidi" w:cstheme="majorBidi"/>
          <w:bCs/>
        </w:rPr>
        <w:t xml:space="preserve">The data </w:t>
      </w:r>
      <w:r w:rsidR="00782625" w:rsidRPr="00C072EB">
        <w:rPr>
          <w:rFonts w:asciiTheme="majorBidi" w:eastAsia="Calibri" w:hAnsiTheme="majorBidi" w:cstheme="majorBidi"/>
          <w:bCs/>
        </w:rPr>
        <w:t xml:space="preserve">were processed using SPSS </w:t>
      </w:r>
      <w:r w:rsidR="00AC742B" w:rsidRPr="00C072EB">
        <w:rPr>
          <w:rFonts w:asciiTheme="majorBidi" w:eastAsia="Calibri" w:hAnsiTheme="majorBidi" w:cstheme="majorBidi"/>
          <w:bCs/>
        </w:rPr>
        <w:t>2</w:t>
      </w:r>
      <w:r w:rsidR="00AC742B">
        <w:rPr>
          <w:rFonts w:asciiTheme="majorBidi" w:eastAsia="Calibri" w:hAnsiTheme="majorBidi" w:cstheme="majorBidi"/>
          <w:bCs/>
        </w:rPr>
        <w:t>6</w:t>
      </w:r>
      <w:r w:rsidR="00782625" w:rsidRPr="00C072EB">
        <w:rPr>
          <w:rFonts w:asciiTheme="majorBidi" w:eastAsia="Calibri" w:hAnsiTheme="majorBidi" w:cstheme="majorBidi"/>
          <w:bCs/>
        </w:rPr>
        <w:t>. The sample did not distribute normally, so nonparametric tests were used.</w:t>
      </w:r>
      <w:r w:rsidR="00F56305" w:rsidRPr="00C072EB">
        <w:rPr>
          <w:rFonts w:asciiTheme="majorBidi" w:eastAsia="Calibri" w:hAnsiTheme="majorBidi" w:cstheme="majorBidi"/>
          <w:bCs/>
        </w:rPr>
        <w:t xml:space="preserve"> </w:t>
      </w:r>
      <w:r w:rsidR="00AC742B">
        <w:rPr>
          <w:rFonts w:asciiTheme="majorBidi" w:eastAsia="Calibri" w:hAnsiTheme="majorBidi" w:cstheme="majorBidi"/>
          <w:bCs/>
        </w:rPr>
        <w:t>For the CCT and the BRIEF-SR</w:t>
      </w:r>
      <w:r w:rsidR="00930F2C">
        <w:rPr>
          <w:rFonts w:asciiTheme="majorBidi" w:eastAsia="Calibri" w:hAnsiTheme="majorBidi" w:cstheme="majorBidi"/>
          <w:bCs/>
        </w:rPr>
        <w:t>,</w:t>
      </w:r>
      <w:r w:rsidR="00782625" w:rsidRPr="00C072EB">
        <w:rPr>
          <w:rFonts w:asciiTheme="majorBidi" w:eastAsia="Calibri" w:hAnsiTheme="majorBidi" w:cstheme="majorBidi"/>
          <w:bCs/>
        </w:rPr>
        <w:t xml:space="preserve"> a </w:t>
      </w:r>
      <w:r w:rsidR="00782625" w:rsidRPr="00C072EB">
        <w:rPr>
          <w:rFonts w:asciiTheme="majorBidi" w:hAnsiTheme="majorBidi" w:cstheme="majorBidi"/>
          <w:bCs/>
        </w:rPr>
        <w:t xml:space="preserve">Mann-Whitney test was conducted to examine </w:t>
      </w:r>
      <w:r w:rsidR="00461DCF">
        <w:rPr>
          <w:rFonts w:asciiTheme="majorBidi" w:hAnsiTheme="majorBidi" w:cstheme="majorBidi"/>
          <w:bCs/>
        </w:rPr>
        <w:t>pre- and post-intervention differences</w:t>
      </w:r>
      <w:r w:rsidR="00782625" w:rsidRPr="00C072EB">
        <w:rPr>
          <w:rFonts w:asciiTheme="majorBidi" w:hAnsiTheme="majorBidi" w:cstheme="majorBidi"/>
          <w:bCs/>
        </w:rPr>
        <w:t>.</w:t>
      </w:r>
      <w:r w:rsidR="003922BA">
        <w:rPr>
          <w:rFonts w:asciiTheme="majorBidi" w:hAnsiTheme="majorBidi" w:cstheme="majorBidi"/>
          <w:bCs/>
        </w:rPr>
        <w:t xml:space="preserve"> </w:t>
      </w:r>
      <w:r w:rsidR="00782625" w:rsidRPr="00AD0B3A">
        <w:rPr>
          <w:rFonts w:asciiTheme="majorBidi" w:eastAsia="Calibri" w:hAnsiTheme="majorBidi" w:cstheme="majorBidi"/>
          <w:bCs/>
        </w:rPr>
        <w:t>Differences</w:t>
      </w:r>
      <w:r w:rsidR="001D420C">
        <w:rPr>
          <w:rFonts w:asciiTheme="majorBidi" w:eastAsia="Calibri" w:hAnsiTheme="majorBidi" w:cstheme="majorBidi"/>
          <w:bCs/>
        </w:rPr>
        <w:t xml:space="preserve"> in the SAP-</w:t>
      </w:r>
      <w:r w:rsidR="00AC3506">
        <w:rPr>
          <w:rFonts w:asciiTheme="majorBidi" w:eastAsia="Calibri" w:hAnsiTheme="majorBidi" w:cstheme="majorBidi"/>
          <w:bCs/>
        </w:rPr>
        <w:t xml:space="preserve">Q </w:t>
      </w:r>
      <w:r w:rsidR="00AC3506" w:rsidRPr="00AD0B3A">
        <w:rPr>
          <w:rFonts w:asciiTheme="majorBidi" w:eastAsia="Calibri" w:hAnsiTheme="majorBidi" w:cstheme="majorBidi"/>
          <w:bCs/>
        </w:rPr>
        <w:t>between</w:t>
      </w:r>
      <w:r w:rsidR="001D420C">
        <w:rPr>
          <w:rFonts w:asciiTheme="majorBidi" w:eastAsia="Calibri" w:hAnsiTheme="majorBidi" w:cstheme="majorBidi"/>
          <w:bCs/>
        </w:rPr>
        <w:t xml:space="preserve"> before and after the </w:t>
      </w:r>
      <w:r w:rsidR="00BA24B1">
        <w:rPr>
          <w:rFonts w:asciiTheme="majorBidi" w:eastAsia="Calibri" w:hAnsiTheme="majorBidi" w:cstheme="majorBidi"/>
          <w:bCs/>
        </w:rPr>
        <w:t>CCT within</w:t>
      </w:r>
      <w:r w:rsidR="001D420C">
        <w:rPr>
          <w:rFonts w:asciiTheme="majorBidi" w:eastAsia="Calibri" w:hAnsiTheme="majorBidi" w:cstheme="majorBidi"/>
          <w:bCs/>
        </w:rPr>
        <w:t xml:space="preserve"> </w:t>
      </w:r>
      <w:proofErr w:type="gramStart"/>
      <w:r w:rsidR="00461DCF">
        <w:rPr>
          <w:rFonts w:asciiTheme="majorBidi" w:eastAsia="Calibri" w:hAnsiTheme="majorBidi" w:cstheme="majorBidi"/>
          <w:bCs/>
        </w:rPr>
        <w:t>pre</w:t>
      </w:r>
      <w:proofErr w:type="gramEnd"/>
      <w:r w:rsidR="00461DCF">
        <w:rPr>
          <w:rFonts w:asciiTheme="majorBidi" w:eastAsia="Calibri" w:hAnsiTheme="majorBidi" w:cstheme="majorBidi"/>
          <w:bCs/>
        </w:rPr>
        <w:t xml:space="preserve"> and post-intervention phases and between pre and post-intervention phases</w:t>
      </w:r>
      <w:r w:rsidR="00782625" w:rsidRPr="000B6B08">
        <w:rPr>
          <w:rFonts w:asciiTheme="majorBidi" w:eastAsia="Calibri" w:hAnsiTheme="majorBidi" w:cstheme="majorBidi"/>
          <w:bCs/>
        </w:rPr>
        <w:t xml:space="preserve"> were analyzed using the</w:t>
      </w:r>
      <w:r w:rsidR="00782625" w:rsidRPr="00A6382B">
        <w:rPr>
          <w:rFonts w:asciiTheme="majorBidi" w:eastAsia="Calibri" w:hAnsiTheme="majorBidi" w:cstheme="majorBidi"/>
          <w:bCs/>
        </w:rPr>
        <w:t xml:space="preserve"> </w:t>
      </w:r>
      <w:r w:rsidR="00782625" w:rsidRPr="00A6382B">
        <w:rPr>
          <w:rFonts w:asciiTheme="majorBidi" w:hAnsiTheme="majorBidi" w:cstheme="majorBidi"/>
        </w:rPr>
        <w:t xml:space="preserve">Wilcoxon </w:t>
      </w:r>
      <w:r w:rsidR="00782625" w:rsidRPr="00A6382B">
        <w:rPr>
          <w:rFonts w:asciiTheme="majorBidi" w:eastAsia="Calibri" w:hAnsiTheme="majorBidi" w:cstheme="majorBidi"/>
          <w:bCs/>
        </w:rPr>
        <w:t xml:space="preserve">test </w:t>
      </w:r>
      <w:r w:rsidR="00782625" w:rsidRPr="00A6382B">
        <w:rPr>
          <w:rFonts w:asciiTheme="majorBidi" w:hAnsiTheme="majorBidi" w:cstheme="majorBidi"/>
          <w:shd w:val="clear" w:color="auto" w:fill="FFFFFF"/>
        </w:rPr>
        <w:t>for two related samples.</w:t>
      </w:r>
      <w:r w:rsidR="00841DE7" w:rsidRPr="00A6382B">
        <w:rPr>
          <w:rFonts w:asciiTheme="majorBidi" w:hAnsiTheme="majorBidi" w:cstheme="majorBidi"/>
        </w:rPr>
        <w:t xml:space="preserve"> </w:t>
      </w:r>
      <w:r w:rsidR="00782625" w:rsidRPr="00A6382B">
        <w:rPr>
          <w:rFonts w:asciiTheme="majorBidi" w:hAnsiTheme="majorBidi" w:cstheme="majorBidi"/>
        </w:rPr>
        <w:t xml:space="preserve">Cohen’s </w:t>
      </w:r>
      <w:r w:rsidR="00782625" w:rsidRPr="00F9248C">
        <w:rPr>
          <w:rFonts w:asciiTheme="majorBidi" w:hAnsiTheme="majorBidi"/>
          <w:i/>
        </w:rPr>
        <w:t>d</w:t>
      </w:r>
      <w:r w:rsidR="00782625" w:rsidRPr="00A6382B">
        <w:rPr>
          <w:rFonts w:asciiTheme="majorBidi" w:hAnsiTheme="majorBidi" w:cstheme="majorBidi"/>
        </w:rPr>
        <w:t xml:space="preserve"> was calculated for effect size (.10 was considered a small effect, .30 a medium effect, and .50 a large effect</w:t>
      </w:r>
      <w:r w:rsidR="001E3173">
        <w:rPr>
          <w:rFonts w:asciiTheme="majorBidi" w:hAnsiTheme="majorBidi" w:cstheme="majorBidi"/>
        </w:rPr>
        <w:t>; Cohen, 1988)</w:t>
      </w:r>
      <w:r w:rsidR="00782625" w:rsidRPr="00A6382B">
        <w:rPr>
          <w:rFonts w:asciiTheme="majorBidi" w:hAnsiTheme="majorBidi" w:cstheme="majorBidi"/>
        </w:rPr>
        <w:t>.</w:t>
      </w:r>
    </w:p>
    <w:p w14:paraId="01E3F39D" w14:textId="07B9FA29" w:rsidR="002953BD" w:rsidRDefault="00BA24B1" w:rsidP="00BA24B1">
      <w:pPr>
        <w:contextualSpacing/>
        <w:rPr>
          <w:rFonts w:asciiTheme="majorBidi" w:hAnsiTheme="majorBidi" w:cstheme="majorBidi"/>
          <w:b/>
          <w:bCs/>
          <w:szCs w:val="24"/>
        </w:rPr>
      </w:pPr>
      <w:r w:rsidRPr="00BA24B1">
        <w:t>Assessing awareness of performance is requires evaluating the discrepancy between actual and estimated performance during a specific activity</w:t>
      </w:r>
      <w:r>
        <w:t xml:space="preserve">, </w:t>
      </w:r>
      <w:r w:rsidR="000B6EC7" w:rsidRPr="00F9248C">
        <w:t xml:space="preserve">new variables </w:t>
      </w:r>
      <w:r>
        <w:t>were calculated for the estimation before and after the CCT assessment</w:t>
      </w:r>
      <w:r w:rsidR="000B6EC7" w:rsidRPr="00F9248C">
        <w:t>:</w:t>
      </w:r>
      <w:r w:rsidR="004D09BD" w:rsidRPr="00F9248C">
        <w:rPr>
          <w:rFonts w:asciiTheme="majorBidi" w:hAnsiTheme="majorBidi"/>
          <w:b/>
        </w:rPr>
        <w:t xml:space="preserve"> </w:t>
      </w:r>
    </w:p>
    <w:p w14:paraId="74EEA610" w14:textId="0B2B7F15" w:rsidR="002953BD" w:rsidRPr="00EA7E00" w:rsidRDefault="00475C3B" w:rsidP="00EC2099">
      <w:pPr>
        <w:pStyle w:val="ListParagraph"/>
        <w:numPr>
          <w:ilvl w:val="0"/>
          <w:numId w:val="11"/>
        </w:numPr>
        <w:ind w:left="990"/>
        <w:rPr>
          <w:rFonts w:asciiTheme="majorBidi" w:hAnsiTheme="majorBidi" w:cstheme="majorBidi"/>
          <w:szCs w:val="24"/>
        </w:rPr>
      </w:pPr>
      <w:bookmarkStart w:id="3" w:name="_Hlk92400590"/>
      <w:r>
        <w:rPr>
          <w:rFonts w:asciiTheme="majorBidi" w:hAnsiTheme="majorBidi"/>
          <w:i/>
        </w:rPr>
        <w:t xml:space="preserve">Time </w:t>
      </w:r>
      <w:r w:rsidR="000B6EC7" w:rsidRPr="00EA7E00">
        <w:rPr>
          <w:rFonts w:asciiTheme="majorBidi" w:hAnsiTheme="majorBidi" w:cstheme="majorBidi"/>
          <w:i/>
          <w:iCs/>
          <w:szCs w:val="24"/>
        </w:rPr>
        <w:t>Estimat</w:t>
      </w:r>
      <w:r>
        <w:rPr>
          <w:rFonts w:asciiTheme="majorBidi" w:hAnsiTheme="majorBidi" w:cstheme="majorBidi"/>
          <w:i/>
          <w:iCs/>
          <w:szCs w:val="24"/>
        </w:rPr>
        <w:t>ion</w:t>
      </w:r>
      <w:r w:rsidR="000B6EC7" w:rsidRPr="00F9248C">
        <w:rPr>
          <w:rFonts w:asciiTheme="majorBidi" w:hAnsiTheme="majorBidi"/>
          <w:i/>
        </w:rPr>
        <w:t xml:space="preserve"> gap</w:t>
      </w:r>
      <w:r>
        <w:rPr>
          <w:rFonts w:asciiTheme="majorBidi" w:hAnsiTheme="majorBidi"/>
          <w:i/>
        </w:rPr>
        <w:t xml:space="preserve"> before and after</w:t>
      </w:r>
      <w:r w:rsidR="002953BD" w:rsidRPr="00EA7E00">
        <w:rPr>
          <w:rFonts w:asciiTheme="majorBidi" w:hAnsiTheme="majorBidi" w:cstheme="majorBidi"/>
          <w:i/>
          <w:iCs/>
          <w:szCs w:val="24"/>
        </w:rPr>
        <w:t xml:space="preserve"> =</w:t>
      </w:r>
      <w:r w:rsidR="000B6EC7" w:rsidRPr="00EA7E00">
        <w:rPr>
          <w:rFonts w:asciiTheme="majorBidi" w:hAnsiTheme="majorBidi" w:cstheme="majorBidi"/>
          <w:szCs w:val="24"/>
        </w:rPr>
        <w:t xml:space="preserve"> </w:t>
      </w:r>
      <w:r w:rsidR="004D09BD" w:rsidRPr="00EA7E00">
        <w:rPr>
          <w:rFonts w:asciiTheme="majorBidi" w:hAnsiTheme="majorBidi" w:cstheme="majorBidi"/>
          <w:szCs w:val="24"/>
        </w:rPr>
        <w:t>e</w:t>
      </w:r>
      <w:r w:rsidR="000B6EC7" w:rsidRPr="00EA7E00">
        <w:rPr>
          <w:rFonts w:asciiTheme="majorBidi" w:hAnsiTheme="majorBidi" w:cstheme="majorBidi"/>
          <w:szCs w:val="24"/>
        </w:rPr>
        <w:t>stimate</w:t>
      </w:r>
      <w:r w:rsidR="002953BD" w:rsidRPr="00EA7E00">
        <w:rPr>
          <w:rFonts w:asciiTheme="majorBidi" w:hAnsiTheme="majorBidi" w:cstheme="majorBidi"/>
          <w:szCs w:val="24"/>
        </w:rPr>
        <w:t>d</w:t>
      </w:r>
      <w:r w:rsidR="000B6EC7" w:rsidRPr="00F9248C">
        <w:rPr>
          <w:rFonts w:asciiTheme="majorBidi" w:hAnsiTheme="majorBidi"/>
        </w:rPr>
        <w:t xml:space="preserve"> time after the CCT minus </w:t>
      </w:r>
      <w:r w:rsidR="004D09BD" w:rsidRPr="00EA7E00">
        <w:rPr>
          <w:rFonts w:asciiTheme="majorBidi" w:hAnsiTheme="majorBidi" w:cstheme="majorBidi"/>
          <w:szCs w:val="24"/>
        </w:rPr>
        <w:t>e</w:t>
      </w:r>
      <w:r w:rsidR="000B6EC7" w:rsidRPr="00EA7E00">
        <w:rPr>
          <w:rFonts w:asciiTheme="majorBidi" w:hAnsiTheme="majorBidi" w:cstheme="majorBidi"/>
          <w:szCs w:val="24"/>
        </w:rPr>
        <w:t>stimate</w:t>
      </w:r>
      <w:r w:rsidR="002953BD" w:rsidRPr="00EA7E00">
        <w:rPr>
          <w:rFonts w:asciiTheme="majorBidi" w:hAnsiTheme="majorBidi" w:cstheme="majorBidi"/>
          <w:szCs w:val="24"/>
        </w:rPr>
        <w:t>d</w:t>
      </w:r>
      <w:r w:rsidR="000B6EC7" w:rsidRPr="00F9248C">
        <w:rPr>
          <w:rFonts w:asciiTheme="majorBidi" w:hAnsiTheme="majorBidi"/>
        </w:rPr>
        <w:t xml:space="preserve"> time before the CCT</w:t>
      </w:r>
    </w:p>
    <w:p w14:paraId="335AB2C8" w14:textId="540F3942" w:rsidR="00475C3B" w:rsidRDefault="00475C3B" w:rsidP="00475C3B">
      <w:pPr>
        <w:pStyle w:val="ListParagraph"/>
        <w:numPr>
          <w:ilvl w:val="0"/>
          <w:numId w:val="11"/>
        </w:numPr>
        <w:ind w:left="990"/>
        <w:rPr>
          <w:rFonts w:asciiTheme="majorBidi" w:hAnsiTheme="majorBidi" w:cstheme="majorBidi"/>
          <w:szCs w:val="24"/>
        </w:rPr>
      </w:pPr>
      <w:r>
        <w:rPr>
          <w:rFonts w:asciiTheme="majorBidi" w:hAnsiTheme="majorBidi"/>
          <w:i/>
        </w:rPr>
        <w:t xml:space="preserve">Time </w:t>
      </w:r>
      <w:r w:rsidRPr="00EA7E00">
        <w:rPr>
          <w:rFonts w:asciiTheme="majorBidi" w:hAnsiTheme="majorBidi" w:cstheme="majorBidi"/>
          <w:i/>
          <w:iCs/>
          <w:szCs w:val="24"/>
        </w:rPr>
        <w:t>Estimat</w:t>
      </w:r>
      <w:r>
        <w:rPr>
          <w:rFonts w:asciiTheme="majorBidi" w:hAnsiTheme="majorBidi" w:cstheme="majorBidi"/>
          <w:i/>
          <w:iCs/>
          <w:szCs w:val="24"/>
        </w:rPr>
        <w:t>ion</w:t>
      </w:r>
      <w:r w:rsidRPr="00F9248C">
        <w:rPr>
          <w:rFonts w:asciiTheme="majorBidi" w:hAnsiTheme="majorBidi"/>
          <w:i/>
        </w:rPr>
        <w:t xml:space="preserve"> gap</w:t>
      </w:r>
      <w:r>
        <w:rPr>
          <w:rFonts w:asciiTheme="majorBidi" w:hAnsiTheme="majorBidi"/>
          <w:i/>
        </w:rPr>
        <w:t xml:space="preserve"> before and actual time duration in the CCT</w:t>
      </w:r>
      <w:r w:rsidRPr="00EA7E00">
        <w:rPr>
          <w:rFonts w:asciiTheme="majorBidi" w:hAnsiTheme="majorBidi" w:cstheme="majorBidi"/>
          <w:i/>
          <w:iCs/>
          <w:szCs w:val="24"/>
        </w:rPr>
        <w:t xml:space="preserve"> </w:t>
      </w:r>
      <w:r w:rsidR="003C0E2D" w:rsidRPr="00EA7E00">
        <w:rPr>
          <w:rFonts w:eastAsia="Calibri" w:cs="Times New Roman"/>
          <w:szCs w:val="24"/>
        </w:rPr>
        <w:t>=</w:t>
      </w:r>
      <w:r w:rsidR="000B6EC7" w:rsidRPr="00F9248C">
        <w:t xml:space="preserve"> </w:t>
      </w:r>
      <w:r w:rsidRPr="00EA7E00">
        <w:rPr>
          <w:rFonts w:asciiTheme="majorBidi" w:hAnsiTheme="majorBidi" w:cstheme="majorBidi"/>
          <w:szCs w:val="24"/>
        </w:rPr>
        <w:t>estimated</w:t>
      </w:r>
      <w:r w:rsidRPr="00F9248C">
        <w:rPr>
          <w:rFonts w:asciiTheme="majorBidi" w:hAnsiTheme="majorBidi"/>
        </w:rPr>
        <w:t xml:space="preserve"> time </w:t>
      </w:r>
      <w:r>
        <w:rPr>
          <w:rFonts w:asciiTheme="majorBidi" w:hAnsiTheme="majorBidi"/>
        </w:rPr>
        <w:t>before</w:t>
      </w:r>
      <w:r w:rsidRPr="00F9248C">
        <w:rPr>
          <w:rFonts w:asciiTheme="majorBidi" w:hAnsiTheme="majorBidi"/>
        </w:rPr>
        <w:t xml:space="preserve"> the CCT minus </w:t>
      </w:r>
      <w:r>
        <w:rPr>
          <w:rFonts w:asciiTheme="majorBidi" w:hAnsiTheme="majorBidi" w:cstheme="majorBidi"/>
          <w:szCs w:val="24"/>
        </w:rPr>
        <w:t>actual time performing the</w:t>
      </w:r>
      <w:r w:rsidRPr="00F9248C">
        <w:rPr>
          <w:rFonts w:asciiTheme="majorBidi" w:hAnsiTheme="majorBidi"/>
        </w:rPr>
        <w:t xml:space="preserve"> CCT</w:t>
      </w:r>
    </w:p>
    <w:p w14:paraId="147EE0BB" w14:textId="192191EF" w:rsidR="00475C3B" w:rsidRPr="00EA7E00" w:rsidRDefault="00475C3B" w:rsidP="00475C3B">
      <w:pPr>
        <w:pStyle w:val="ListParagraph"/>
        <w:numPr>
          <w:ilvl w:val="0"/>
          <w:numId w:val="11"/>
        </w:numPr>
        <w:ind w:left="990"/>
        <w:rPr>
          <w:rFonts w:asciiTheme="majorBidi" w:hAnsiTheme="majorBidi" w:cstheme="majorBidi"/>
          <w:szCs w:val="24"/>
        </w:rPr>
      </w:pPr>
      <w:r>
        <w:rPr>
          <w:rFonts w:asciiTheme="majorBidi" w:hAnsiTheme="majorBidi"/>
          <w:i/>
        </w:rPr>
        <w:t xml:space="preserve">Time </w:t>
      </w:r>
      <w:r w:rsidRPr="00EA7E00">
        <w:rPr>
          <w:rFonts w:asciiTheme="majorBidi" w:hAnsiTheme="majorBidi" w:cstheme="majorBidi"/>
          <w:i/>
          <w:iCs/>
          <w:szCs w:val="24"/>
        </w:rPr>
        <w:t>Estimat</w:t>
      </w:r>
      <w:r>
        <w:rPr>
          <w:rFonts w:asciiTheme="majorBidi" w:hAnsiTheme="majorBidi" w:cstheme="majorBidi"/>
          <w:i/>
          <w:iCs/>
          <w:szCs w:val="24"/>
        </w:rPr>
        <w:t>ion</w:t>
      </w:r>
      <w:r w:rsidRPr="00F9248C">
        <w:rPr>
          <w:rFonts w:asciiTheme="majorBidi" w:hAnsiTheme="majorBidi"/>
          <w:i/>
        </w:rPr>
        <w:t xml:space="preserve"> gap</w:t>
      </w:r>
      <w:r>
        <w:rPr>
          <w:rFonts w:asciiTheme="majorBidi" w:hAnsiTheme="majorBidi"/>
          <w:i/>
        </w:rPr>
        <w:t xml:space="preserve"> after and actual time duration in the CCT</w:t>
      </w:r>
      <w:r w:rsidRPr="00EA7E00">
        <w:rPr>
          <w:rFonts w:asciiTheme="majorBidi" w:hAnsiTheme="majorBidi" w:cstheme="majorBidi"/>
          <w:i/>
          <w:iCs/>
          <w:szCs w:val="24"/>
        </w:rPr>
        <w:t xml:space="preserve"> </w:t>
      </w:r>
      <w:r w:rsidRPr="00EA7E00">
        <w:rPr>
          <w:rFonts w:eastAsia="Calibri" w:cs="Times New Roman"/>
          <w:szCs w:val="24"/>
        </w:rPr>
        <w:t>=</w:t>
      </w:r>
      <w:r w:rsidRPr="00F9248C">
        <w:t xml:space="preserve"> </w:t>
      </w:r>
      <w:r w:rsidRPr="00EA7E00">
        <w:rPr>
          <w:rFonts w:asciiTheme="majorBidi" w:hAnsiTheme="majorBidi" w:cstheme="majorBidi"/>
          <w:szCs w:val="24"/>
        </w:rPr>
        <w:t>estimated</w:t>
      </w:r>
      <w:r w:rsidRPr="00F9248C">
        <w:rPr>
          <w:rFonts w:asciiTheme="majorBidi" w:hAnsiTheme="majorBidi"/>
        </w:rPr>
        <w:t xml:space="preserve"> time </w:t>
      </w:r>
      <w:r>
        <w:rPr>
          <w:rFonts w:asciiTheme="majorBidi" w:hAnsiTheme="majorBidi"/>
        </w:rPr>
        <w:t>after</w:t>
      </w:r>
      <w:r w:rsidRPr="00F9248C">
        <w:rPr>
          <w:rFonts w:asciiTheme="majorBidi" w:hAnsiTheme="majorBidi"/>
        </w:rPr>
        <w:t xml:space="preserve"> the CCT minus </w:t>
      </w:r>
      <w:r>
        <w:rPr>
          <w:rFonts w:asciiTheme="majorBidi" w:hAnsiTheme="majorBidi" w:cstheme="majorBidi"/>
          <w:szCs w:val="24"/>
        </w:rPr>
        <w:t>actual time performing the</w:t>
      </w:r>
      <w:r w:rsidRPr="00F9248C">
        <w:rPr>
          <w:rFonts w:asciiTheme="majorBidi" w:hAnsiTheme="majorBidi"/>
        </w:rPr>
        <w:t xml:space="preserve"> CCT</w:t>
      </w:r>
    </w:p>
    <w:p w14:paraId="20EADABA" w14:textId="487F3785" w:rsidR="002E00AD" w:rsidRPr="00F9248C" w:rsidRDefault="002E00AD" w:rsidP="0070517D">
      <w:pPr>
        <w:pStyle w:val="Heading1"/>
      </w:pPr>
      <w:bookmarkStart w:id="4" w:name="_Hlk65841313"/>
      <w:bookmarkEnd w:id="3"/>
      <w:r w:rsidRPr="00F9248C">
        <w:t>Results</w:t>
      </w:r>
    </w:p>
    <w:bookmarkEnd w:id="4"/>
    <w:p w14:paraId="0E114926" w14:textId="413B882C" w:rsidR="00A505ED" w:rsidRDefault="00D30E82" w:rsidP="00494E60">
      <w:pPr>
        <w:rPr>
          <w:szCs w:val="24"/>
        </w:rPr>
      </w:pPr>
      <w:r w:rsidRPr="00A505ED">
        <w:rPr>
          <w:rFonts w:eastAsia="SimSun" w:cs="Times New Roman"/>
          <w:szCs w:val="24"/>
          <w:lang w:eastAsia="en-GB"/>
        </w:rPr>
        <w:t xml:space="preserve">The research </w:t>
      </w:r>
      <w:r w:rsidR="00494E60">
        <w:rPr>
          <w:rFonts w:eastAsia="SimSun" w:cs="Times New Roman"/>
          <w:szCs w:val="24"/>
          <w:lang w:eastAsia="en-GB"/>
        </w:rPr>
        <w:t>participant</w:t>
      </w:r>
      <w:r w:rsidR="00494E60" w:rsidRPr="00A505ED">
        <w:rPr>
          <w:rFonts w:eastAsia="SimSun" w:cs="Times New Roman"/>
          <w:szCs w:val="24"/>
          <w:lang w:eastAsia="en-GB"/>
        </w:rPr>
        <w:t xml:space="preserve"> </w:t>
      </w:r>
      <w:r w:rsidRPr="00A505ED">
        <w:rPr>
          <w:rFonts w:eastAsia="SimSun" w:cs="Times New Roman"/>
          <w:szCs w:val="24"/>
          <w:lang w:eastAsia="en-GB"/>
        </w:rPr>
        <w:t xml:space="preserve">included 29 (70.7%) boys and 12 (29.3%) girls with a mean age of 11.88 ± 1.08 years. </w:t>
      </w:r>
      <w:r w:rsidR="00545DCA">
        <w:rPr>
          <w:szCs w:val="24"/>
        </w:rPr>
        <w:t xml:space="preserve">As an </w:t>
      </w:r>
      <w:r w:rsidR="002D07D5">
        <w:rPr>
          <w:szCs w:val="24"/>
        </w:rPr>
        <w:t>inclusion criterion</w:t>
      </w:r>
      <w:r w:rsidR="00545DCA">
        <w:rPr>
          <w:szCs w:val="24"/>
        </w:rPr>
        <w:t>, the parent reports in the BRIEF questionnaire were 65 and above (</w:t>
      </w:r>
      <w:r w:rsidR="002D07D5">
        <w:rPr>
          <w:szCs w:val="24"/>
        </w:rPr>
        <w:t>BRI: M = 67.70; SD 9.72) (MI: M=66.65; SD=6.34).</w:t>
      </w:r>
    </w:p>
    <w:p w14:paraId="4E5B6149" w14:textId="1EEDBC64" w:rsidR="002F0AB3" w:rsidRPr="002A1CBC" w:rsidRDefault="002F0AB3" w:rsidP="00C20D89">
      <w:pPr>
        <w:rPr>
          <w:b/>
          <w:bCs/>
          <w:i/>
          <w:iCs/>
          <w:szCs w:val="24"/>
        </w:rPr>
      </w:pPr>
      <w:r w:rsidRPr="002A1CBC">
        <w:rPr>
          <w:b/>
          <w:bCs/>
          <w:i/>
          <w:iCs/>
          <w:szCs w:val="24"/>
        </w:rPr>
        <w:t xml:space="preserve">Comparison of </w:t>
      </w:r>
      <w:proofErr w:type="gramStart"/>
      <w:r w:rsidRPr="002A1CBC">
        <w:rPr>
          <w:b/>
          <w:bCs/>
          <w:i/>
          <w:iCs/>
          <w:szCs w:val="24"/>
        </w:rPr>
        <w:t>pre</w:t>
      </w:r>
      <w:proofErr w:type="gramEnd"/>
      <w:r w:rsidRPr="002A1CBC">
        <w:rPr>
          <w:b/>
          <w:bCs/>
          <w:i/>
          <w:iCs/>
          <w:szCs w:val="24"/>
        </w:rPr>
        <w:t xml:space="preserve"> and </w:t>
      </w:r>
      <w:r w:rsidR="00461DCF" w:rsidRPr="002A1CBC">
        <w:rPr>
          <w:b/>
          <w:bCs/>
          <w:i/>
          <w:iCs/>
          <w:szCs w:val="24"/>
        </w:rPr>
        <w:t>post</w:t>
      </w:r>
      <w:r w:rsidR="00461DCF">
        <w:rPr>
          <w:b/>
          <w:bCs/>
          <w:i/>
          <w:iCs/>
          <w:szCs w:val="24"/>
        </w:rPr>
        <w:t>-</w:t>
      </w:r>
      <w:r w:rsidRPr="002A1CBC">
        <w:rPr>
          <w:b/>
          <w:bCs/>
          <w:i/>
          <w:iCs/>
          <w:szCs w:val="24"/>
        </w:rPr>
        <w:t>intervention in the CCT assessment</w:t>
      </w:r>
    </w:p>
    <w:p w14:paraId="2B2A63C5" w14:textId="68F72189" w:rsidR="0009753E" w:rsidRPr="00F9248C" w:rsidRDefault="0009753E" w:rsidP="0009753E">
      <w:r>
        <w:rPr>
          <w:szCs w:val="24"/>
        </w:rPr>
        <w:t>Significant differ</w:t>
      </w:r>
      <w:r w:rsidR="00461DCF">
        <w:rPr>
          <w:szCs w:val="24"/>
        </w:rPr>
        <w:t>e</w:t>
      </w:r>
      <w:r>
        <w:rPr>
          <w:szCs w:val="24"/>
        </w:rPr>
        <w:t xml:space="preserve">nces were found between </w:t>
      </w:r>
      <w:r>
        <w:t xml:space="preserve">pre-and post-intervention and in the actual CCT performance, </w:t>
      </w:r>
      <w:r w:rsidR="00181419">
        <w:t>including</w:t>
      </w:r>
      <w:r w:rsidRPr="00C072EB">
        <w:t xml:space="preserve"> </w:t>
      </w:r>
      <w:r w:rsidRPr="00F9248C">
        <w:t>time duration</w:t>
      </w:r>
      <w:r>
        <w:t xml:space="preserve"> (Z = -4.30; p&lt; .001)</w:t>
      </w:r>
      <w:r w:rsidRPr="00F9248C">
        <w:t xml:space="preserve">, </w:t>
      </w:r>
      <w:r>
        <w:t xml:space="preserve">and </w:t>
      </w:r>
      <w:r w:rsidR="00461DCF">
        <w:t xml:space="preserve">the </w:t>
      </w:r>
      <w:r w:rsidRPr="00F9248C">
        <w:t>total number of errors</w:t>
      </w:r>
      <w:r>
        <w:t xml:space="preserve"> in </w:t>
      </w:r>
      <w:r w:rsidRPr="0009753E">
        <w:t>performance (</w:t>
      </w:r>
      <w:r w:rsidRPr="002A1CBC">
        <w:t xml:space="preserve">Z=-4.93; p&lt;.001) (Table 1). </w:t>
      </w:r>
    </w:p>
    <w:p w14:paraId="7B38CA85" w14:textId="0EED7AE3" w:rsidR="00803858" w:rsidRPr="00F9248C" w:rsidRDefault="00817707" w:rsidP="00D50D7A">
      <w:pPr>
        <w:ind w:firstLine="0"/>
      </w:pPr>
      <w:bookmarkStart w:id="5" w:name="_Hlk76981017"/>
      <w:r>
        <w:lastRenderedPageBreak/>
        <w:t xml:space="preserve">[INSERT </w:t>
      </w:r>
      <w:r w:rsidRPr="00F9248C">
        <w:t>TABLE 1 HERE</w:t>
      </w:r>
      <w:r>
        <w:t>]</w:t>
      </w:r>
    </w:p>
    <w:bookmarkEnd w:id="5"/>
    <w:p w14:paraId="609EBEB6" w14:textId="21610C97" w:rsidR="008B4C9A" w:rsidRPr="002A1CBC" w:rsidRDefault="008B4C9A" w:rsidP="008B4C9A">
      <w:pPr>
        <w:rPr>
          <w:b/>
          <w:bCs/>
          <w:i/>
          <w:iCs/>
          <w:szCs w:val="24"/>
        </w:rPr>
      </w:pPr>
      <w:r w:rsidRPr="002A1CBC">
        <w:rPr>
          <w:b/>
          <w:bCs/>
          <w:i/>
          <w:iCs/>
          <w:szCs w:val="24"/>
        </w:rPr>
        <w:t xml:space="preserve">Comparison of </w:t>
      </w:r>
      <w:proofErr w:type="gramStart"/>
      <w:r w:rsidRPr="002A1CBC">
        <w:rPr>
          <w:b/>
          <w:bCs/>
          <w:i/>
          <w:iCs/>
          <w:szCs w:val="24"/>
        </w:rPr>
        <w:t>pre</w:t>
      </w:r>
      <w:proofErr w:type="gramEnd"/>
      <w:r w:rsidRPr="002A1CBC">
        <w:rPr>
          <w:b/>
          <w:bCs/>
          <w:i/>
          <w:iCs/>
          <w:szCs w:val="24"/>
        </w:rPr>
        <w:t xml:space="preserve"> and </w:t>
      </w:r>
      <w:r w:rsidR="00461DCF" w:rsidRPr="002A1CBC">
        <w:rPr>
          <w:b/>
          <w:bCs/>
          <w:i/>
          <w:iCs/>
          <w:szCs w:val="24"/>
        </w:rPr>
        <w:t>post</w:t>
      </w:r>
      <w:r w:rsidR="00461DCF">
        <w:rPr>
          <w:b/>
          <w:bCs/>
          <w:i/>
          <w:iCs/>
          <w:szCs w:val="24"/>
        </w:rPr>
        <w:t>-</w:t>
      </w:r>
      <w:r w:rsidRPr="002A1CBC">
        <w:rPr>
          <w:b/>
          <w:bCs/>
          <w:i/>
          <w:iCs/>
          <w:szCs w:val="24"/>
        </w:rPr>
        <w:t xml:space="preserve">intervention in the </w:t>
      </w:r>
      <w:r>
        <w:rPr>
          <w:b/>
          <w:bCs/>
          <w:i/>
          <w:iCs/>
          <w:szCs w:val="24"/>
        </w:rPr>
        <w:t>BRIEF-SR</w:t>
      </w:r>
    </w:p>
    <w:p w14:paraId="31D10C67" w14:textId="072FFF21" w:rsidR="007A4A3D" w:rsidRPr="00F9248C" w:rsidRDefault="00EC3BD6" w:rsidP="000F71E2">
      <w:r>
        <w:t>S</w:t>
      </w:r>
      <w:r w:rsidR="000F71E2" w:rsidRPr="00F9248C">
        <w:t xml:space="preserve">ignificant differences were found between </w:t>
      </w:r>
      <w:r w:rsidR="000F71E2">
        <w:t>pre-</w:t>
      </w:r>
      <w:r>
        <w:t xml:space="preserve">and </w:t>
      </w:r>
      <w:r w:rsidR="00BB79B7">
        <w:t>post-intervention</w:t>
      </w:r>
      <w:r w:rsidR="000F71E2">
        <w:t xml:space="preserve"> in the awareness of impairment as measured b</w:t>
      </w:r>
      <w:r>
        <w:t>y</w:t>
      </w:r>
      <w:r w:rsidR="000F71E2">
        <w:t xml:space="preserve"> the BRIEF-SR </w:t>
      </w:r>
      <w:r>
        <w:t xml:space="preserve">GEC (Z=-2.29; p=.20) and in the MI indices (Z=-2.81; P=.005) and no </w:t>
      </w:r>
      <w:r w:rsidR="00BB79B7">
        <w:t>significant</w:t>
      </w:r>
      <w:r>
        <w:t xml:space="preserve"> differ</w:t>
      </w:r>
      <w:r w:rsidR="00461DCF">
        <w:t>e</w:t>
      </w:r>
      <w:r>
        <w:t xml:space="preserve">nces in the BRI indices (Z=-1.42; p=.15). </w:t>
      </w:r>
      <w:r w:rsidR="00461DCF">
        <w:t>T</w:t>
      </w:r>
      <w:r w:rsidR="00461DCF">
        <w:t xml:space="preserve">he </w:t>
      </w:r>
      <w:r>
        <w:t xml:space="preserve">result for each scale is presented in Table 2. </w:t>
      </w:r>
      <w:bookmarkStart w:id="6" w:name="_Hlk62513083"/>
    </w:p>
    <w:p w14:paraId="540D8626" w14:textId="07ECFE48" w:rsidR="00817707" w:rsidRPr="00F9248C" w:rsidRDefault="00817707" w:rsidP="00817707">
      <w:pPr>
        <w:ind w:firstLine="0"/>
      </w:pPr>
      <w:r>
        <w:t xml:space="preserve">[INSERT </w:t>
      </w:r>
      <w:r w:rsidRPr="00F9248C">
        <w:t xml:space="preserve">TABLE </w:t>
      </w:r>
      <w:r w:rsidR="00EC3BD6">
        <w:t>2</w:t>
      </w:r>
      <w:r w:rsidR="00EC3BD6" w:rsidRPr="00F9248C">
        <w:t xml:space="preserve"> </w:t>
      </w:r>
      <w:r w:rsidRPr="00F9248C">
        <w:t>HERE</w:t>
      </w:r>
      <w:r>
        <w:t>]</w:t>
      </w:r>
    </w:p>
    <w:bookmarkEnd w:id="6"/>
    <w:p w14:paraId="2B786991" w14:textId="575B440B" w:rsidR="00993A14" w:rsidRPr="002A1CBC" w:rsidRDefault="00993A14" w:rsidP="00993A14">
      <w:pPr>
        <w:rPr>
          <w:b/>
          <w:bCs/>
          <w:i/>
          <w:iCs/>
          <w:szCs w:val="24"/>
        </w:rPr>
      </w:pPr>
      <w:r w:rsidRPr="002A1CBC">
        <w:rPr>
          <w:b/>
          <w:bCs/>
          <w:i/>
          <w:iCs/>
          <w:szCs w:val="24"/>
        </w:rPr>
        <w:t xml:space="preserve">Comparison of </w:t>
      </w:r>
      <w:proofErr w:type="gramStart"/>
      <w:r w:rsidRPr="002A1CBC">
        <w:rPr>
          <w:b/>
          <w:bCs/>
          <w:i/>
          <w:iCs/>
          <w:szCs w:val="24"/>
        </w:rPr>
        <w:t>pre</w:t>
      </w:r>
      <w:proofErr w:type="gramEnd"/>
      <w:r w:rsidRPr="002A1CBC">
        <w:rPr>
          <w:b/>
          <w:bCs/>
          <w:i/>
          <w:iCs/>
          <w:szCs w:val="24"/>
        </w:rPr>
        <w:t xml:space="preserve"> and </w:t>
      </w:r>
      <w:r w:rsidR="00461DCF" w:rsidRPr="002A1CBC">
        <w:rPr>
          <w:b/>
          <w:bCs/>
          <w:i/>
          <w:iCs/>
          <w:szCs w:val="24"/>
        </w:rPr>
        <w:t>post</w:t>
      </w:r>
      <w:r w:rsidR="00461DCF">
        <w:rPr>
          <w:b/>
          <w:bCs/>
          <w:i/>
          <w:iCs/>
          <w:szCs w:val="24"/>
        </w:rPr>
        <w:t>-</w:t>
      </w:r>
      <w:r w:rsidRPr="002A1CBC">
        <w:rPr>
          <w:b/>
          <w:bCs/>
          <w:i/>
          <w:iCs/>
          <w:szCs w:val="24"/>
        </w:rPr>
        <w:t xml:space="preserve">intervention in the </w:t>
      </w:r>
      <w:r>
        <w:rPr>
          <w:b/>
          <w:bCs/>
          <w:i/>
          <w:iCs/>
          <w:szCs w:val="24"/>
        </w:rPr>
        <w:t>SAP-Q</w:t>
      </w:r>
    </w:p>
    <w:p w14:paraId="22FB7E36" w14:textId="634E3688" w:rsidR="00BB79B7" w:rsidRDefault="00993A14" w:rsidP="00990E7F">
      <w:r>
        <w:t>Although significant differ</w:t>
      </w:r>
      <w:r w:rsidR="00461DCF">
        <w:t>e</w:t>
      </w:r>
      <w:r>
        <w:t xml:space="preserve">nces were found in the CCT and the BRIEF-SR, only one item presented </w:t>
      </w:r>
      <w:r w:rsidRPr="00990E7F">
        <w:t>significant differ</w:t>
      </w:r>
      <w:r w:rsidR="00461DCF">
        <w:t>e</w:t>
      </w:r>
      <w:r w:rsidRPr="00990E7F">
        <w:t>nces –"estimation pf performance" after the CCT (Z=-2.127; p=.03)</w:t>
      </w:r>
      <w:r w:rsidR="00181419">
        <w:t xml:space="preserve"> and Time estimation </w:t>
      </w:r>
      <w:r w:rsidR="00181419" w:rsidRPr="00990E7F">
        <w:t>(Z=-2.</w:t>
      </w:r>
      <w:r w:rsidR="00181419">
        <w:t>00</w:t>
      </w:r>
      <w:r w:rsidR="00181419" w:rsidRPr="00990E7F">
        <w:t>; p=.0</w:t>
      </w:r>
      <w:r w:rsidR="00181419">
        <w:t>4</w:t>
      </w:r>
      <w:r w:rsidR="00181419" w:rsidRPr="00990E7F">
        <w:t>)</w:t>
      </w:r>
      <w:r w:rsidRPr="00990E7F">
        <w:t xml:space="preserve">. </w:t>
      </w:r>
      <w:r w:rsidR="007B1F49" w:rsidRPr="00990E7F">
        <w:t>N</w:t>
      </w:r>
      <w:r w:rsidR="007B1F49">
        <w:t>o</w:t>
      </w:r>
      <w:r w:rsidR="007B1F49" w:rsidRPr="00990E7F">
        <w:t xml:space="preserve"> </w:t>
      </w:r>
      <w:r w:rsidRPr="00990E7F">
        <w:t>other significant differ</w:t>
      </w:r>
      <w:r w:rsidR="00461DCF">
        <w:t>e</w:t>
      </w:r>
      <w:r w:rsidRPr="00990E7F">
        <w:t>nces were found in the SAP-Q item b</w:t>
      </w:r>
      <w:r w:rsidR="00882DF4" w:rsidRPr="00990E7F">
        <w:t xml:space="preserve">etween the </w:t>
      </w:r>
      <w:proofErr w:type="gramStart"/>
      <w:r w:rsidR="00882DF4" w:rsidRPr="00990E7F">
        <w:t>pre</w:t>
      </w:r>
      <w:proofErr w:type="gramEnd"/>
      <w:r w:rsidR="00882DF4" w:rsidRPr="00990E7F">
        <w:t xml:space="preserve"> and </w:t>
      </w:r>
      <w:r w:rsidR="00461DCF" w:rsidRPr="00990E7F">
        <w:t>post</w:t>
      </w:r>
      <w:r w:rsidR="00461DCF">
        <w:t>-</w:t>
      </w:r>
      <w:r w:rsidR="00882DF4" w:rsidRPr="00990E7F">
        <w:t>intervention</w:t>
      </w:r>
      <w:r w:rsidRPr="00990E7F">
        <w:t xml:space="preserve">. </w:t>
      </w:r>
      <w:r w:rsidR="00181419" w:rsidRPr="00990E7F">
        <w:t>Moreover</w:t>
      </w:r>
      <w:r w:rsidR="00181419">
        <w:t>, no</w:t>
      </w:r>
      <w:r w:rsidR="003F465D" w:rsidRPr="00F9248C">
        <w:t xml:space="preserve"> significant differ</w:t>
      </w:r>
      <w:r w:rsidR="00420E67" w:rsidRPr="00F9248C">
        <w:t>e</w:t>
      </w:r>
      <w:r w:rsidR="003F465D" w:rsidRPr="00F9248C">
        <w:t>nces</w:t>
      </w:r>
      <w:r w:rsidR="00990E7F">
        <w:t xml:space="preserve"> were found</w:t>
      </w:r>
      <w:r w:rsidR="003F465D" w:rsidRPr="00F9248C">
        <w:t xml:space="preserve"> </w:t>
      </w:r>
      <w:r w:rsidR="00882DF4">
        <w:t xml:space="preserve">in </w:t>
      </w:r>
      <w:r w:rsidR="00990E7F">
        <w:t xml:space="preserve">the variables of Time Estimation gap before and after the CCT (Z=-.28; p=.77); Time Estimation gap before and actual time duration in the CCT (Z=-1.33; p=.18); and Time Estimation gap after and actual time duration in the CCT (Z=-1.52; p=.13). </w:t>
      </w:r>
    </w:p>
    <w:p w14:paraId="08547D94" w14:textId="77777777" w:rsidR="00CB244E" w:rsidRPr="00F9248C" w:rsidRDefault="00CB244E" w:rsidP="00CB244E">
      <w:pPr>
        <w:pStyle w:val="Heading1"/>
      </w:pPr>
      <w:r w:rsidRPr="00F9248C">
        <w:t>Discussion</w:t>
      </w:r>
    </w:p>
    <w:p w14:paraId="2C6252DC" w14:textId="4E6F750C" w:rsidR="00CB244E" w:rsidRPr="00F9248C" w:rsidRDefault="0084761C" w:rsidP="00CB244E">
      <w:pPr>
        <w:contextualSpacing/>
        <w:rPr>
          <w:rFonts w:asciiTheme="majorBidi" w:hAnsiTheme="majorBidi" w:cstheme="majorBidi"/>
          <w:szCs w:val="24"/>
          <w:rtl/>
        </w:rPr>
      </w:pPr>
      <w:r>
        <w:t xml:space="preserve">This study </w:t>
      </w:r>
      <w:r>
        <w:t xml:space="preserve">results </w:t>
      </w:r>
      <w:r>
        <w:t xml:space="preserve">characterize </w:t>
      </w:r>
      <w:r>
        <w:t>the discrepancy between a</w:t>
      </w:r>
      <w:r>
        <w:t>ctual performance and self-awareness among adolescent</w:t>
      </w:r>
      <w:r w:rsidR="00461DCF">
        <w:t>s</w:t>
      </w:r>
      <w:r>
        <w:t xml:space="preserve"> with EFD </w:t>
      </w:r>
      <w:r>
        <w:t xml:space="preserve">through </w:t>
      </w:r>
      <w:r>
        <w:t xml:space="preserve">pre and post </w:t>
      </w:r>
      <w:r>
        <w:rPr>
          <w:rFonts w:eastAsia="Calibri"/>
        </w:rPr>
        <w:t>a</w:t>
      </w:r>
      <w:r w:rsidRPr="00F9248C">
        <w:t xml:space="preserve"> metacognitive intervention</w:t>
      </w:r>
      <w:r>
        <w:rPr>
          <w:rFonts w:asciiTheme="majorBidi" w:eastAsia="Calibri" w:hAnsiTheme="majorBidi" w:cstheme="majorBidi"/>
          <w:szCs w:val="24"/>
        </w:rPr>
        <w:t xml:space="preserve"> </w:t>
      </w:r>
    </w:p>
    <w:p w14:paraId="53118F52" w14:textId="608DC944" w:rsidR="00CB244E" w:rsidRPr="00F9248C" w:rsidRDefault="00CB244E" w:rsidP="007179FD">
      <w:pPr>
        <w:contextualSpacing/>
        <w:rPr>
          <w:rFonts w:asciiTheme="majorBidi" w:hAnsiTheme="majorBidi"/>
        </w:rPr>
      </w:pPr>
      <w:r>
        <w:rPr>
          <w:rFonts w:asciiTheme="majorBidi" w:eastAsia="Calibri" w:hAnsiTheme="majorBidi" w:cstheme="majorBidi"/>
          <w:szCs w:val="24"/>
        </w:rPr>
        <w:t xml:space="preserve">As expected, </w:t>
      </w:r>
      <w:r w:rsidR="00E9409D">
        <w:rPr>
          <w:rFonts w:asciiTheme="majorBidi" w:eastAsia="Calibri" w:hAnsiTheme="majorBidi" w:cstheme="majorBidi"/>
          <w:szCs w:val="24"/>
        </w:rPr>
        <w:t xml:space="preserve">significant differences were found in the CCT assessment, </w:t>
      </w:r>
      <w:r w:rsidR="00461DCF">
        <w:rPr>
          <w:rFonts w:asciiTheme="majorBidi" w:eastAsia="Calibri" w:hAnsiTheme="majorBidi" w:cstheme="majorBidi"/>
          <w:szCs w:val="24"/>
        </w:rPr>
        <w:t>which</w:t>
      </w:r>
      <w:r w:rsidR="00461DCF">
        <w:rPr>
          <w:rFonts w:asciiTheme="majorBidi" w:eastAsia="Calibri" w:hAnsiTheme="majorBidi" w:cstheme="majorBidi"/>
          <w:szCs w:val="24"/>
        </w:rPr>
        <w:t xml:space="preserve"> </w:t>
      </w:r>
      <w:r w:rsidR="00E9409D">
        <w:rPr>
          <w:rFonts w:asciiTheme="majorBidi" w:eastAsia="Calibri" w:hAnsiTheme="majorBidi" w:cstheme="majorBidi"/>
          <w:szCs w:val="24"/>
        </w:rPr>
        <w:t xml:space="preserve">indicated that the adolescents made a major improvement in the assessment </w:t>
      </w:r>
      <w:r w:rsidR="00461DCF">
        <w:rPr>
          <w:rFonts w:asciiTheme="majorBidi" w:eastAsia="Calibri" w:hAnsiTheme="majorBidi" w:cstheme="majorBidi"/>
          <w:szCs w:val="24"/>
        </w:rPr>
        <w:t>post</w:t>
      </w:r>
      <w:r w:rsidR="00461DCF">
        <w:rPr>
          <w:rFonts w:asciiTheme="majorBidi" w:eastAsia="Calibri" w:hAnsiTheme="majorBidi" w:cstheme="majorBidi"/>
          <w:szCs w:val="24"/>
        </w:rPr>
        <w:t>-</w:t>
      </w:r>
      <w:r w:rsidR="00E9409D">
        <w:rPr>
          <w:rFonts w:asciiTheme="majorBidi" w:eastAsia="Calibri" w:hAnsiTheme="majorBidi" w:cstheme="majorBidi"/>
          <w:szCs w:val="24"/>
        </w:rPr>
        <w:t>intervention.</w:t>
      </w:r>
      <w:r w:rsidR="00D56AEC">
        <w:rPr>
          <w:rFonts w:asciiTheme="majorBidi" w:eastAsia="Calibri" w:hAnsiTheme="majorBidi" w:cstheme="majorBidi"/>
          <w:szCs w:val="24"/>
        </w:rPr>
        <w:t xml:space="preserve"> Moreover</w:t>
      </w:r>
      <w:r w:rsidRPr="00F9248C">
        <w:rPr>
          <w:rFonts w:asciiTheme="majorBidi" w:hAnsiTheme="majorBidi"/>
        </w:rPr>
        <w:t xml:space="preserve">, </w:t>
      </w:r>
      <w:r w:rsidR="00E9409D">
        <w:rPr>
          <w:rFonts w:asciiTheme="majorBidi" w:hAnsiTheme="majorBidi"/>
        </w:rPr>
        <w:t xml:space="preserve">the awareness of </w:t>
      </w:r>
      <w:r w:rsidR="007179FD">
        <w:rPr>
          <w:rFonts w:asciiTheme="majorBidi" w:hAnsiTheme="majorBidi"/>
        </w:rPr>
        <w:t>impairment</w:t>
      </w:r>
      <w:r w:rsidR="00E9409D">
        <w:rPr>
          <w:rFonts w:asciiTheme="majorBidi" w:hAnsiTheme="majorBidi"/>
        </w:rPr>
        <w:t xml:space="preserve"> as </w:t>
      </w:r>
      <w:r w:rsidR="007179FD">
        <w:rPr>
          <w:rFonts w:asciiTheme="majorBidi" w:hAnsiTheme="majorBidi"/>
        </w:rPr>
        <w:t>measured</w:t>
      </w:r>
      <w:r w:rsidR="00E9409D">
        <w:rPr>
          <w:rFonts w:asciiTheme="majorBidi" w:hAnsiTheme="majorBidi"/>
        </w:rPr>
        <w:t xml:space="preserve"> by the BRIEF-SR shows significant </w:t>
      </w:r>
      <w:r w:rsidR="007179FD">
        <w:rPr>
          <w:rFonts w:asciiTheme="majorBidi" w:hAnsiTheme="majorBidi"/>
        </w:rPr>
        <w:t>improvement</w:t>
      </w:r>
      <w:r w:rsidR="00E9409D">
        <w:rPr>
          <w:rFonts w:asciiTheme="majorBidi" w:hAnsiTheme="majorBidi"/>
        </w:rPr>
        <w:t xml:space="preserve"> </w:t>
      </w:r>
      <w:r w:rsidR="00461DCF">
        <w:rPr>
          <w:rFonts w:asciiTheme="majorBidi" w:hAnsiTheme="majorBidi"/>
        </w:rPr>
        <w:t>post</w:t>
      </w:r>
      <w:r w:rsidR="00461DCF">
        <w:rPr>
          <w:rFonts w:asciiTheme="majorBidi" w:hAnsiTheme="majorBidi"/>
        </w:rPr>
        <w:t>-</w:t>
      </w:r>
      <w:r w:rsidR="00E9409D">
        <w:rPr>
          <w:rFonts w:asciiTheme="majorBidi" w:hAnsiTheme="majorBidi"/>
        </w:rPr>
        <w:t>intervention in four scale</w:t>
      </w:r>
      <w:r w:rsidR="00461DCF">
        <w:rPr>
          <w:rFonts w:asciiTheme="majorBidi" w:hAnsiTheme="majorBidi"/>
        </w:rPr>
        <w:t>s</w:t>
      </w:r>
      <w:r w:rsidR="00E9409D">
        <w:rPr>
          <w:rFonts w:asciiTheme="majorBidi" w:hAnsiTheme="majorBidi"/>
        </w:rPr>
        <w:t xml:space="preserve">, </w:t>
      </w:r>
      <w:r w:rsidR="007179FD">
        <w:rPr>
          <w:rFonts w:asciiTheme="majorBidi" w:hAnsiTheme="majorBidi"/>
        </w:rPr>
        <w:t>emotional</w:t>
      </w:r>
      <w:r w:rsidR="00E9409D">
        <w:rPr>
          <w:rFonts w:asciiTheme="majorBidi" w:hAnsiTheme="majorBidi"/>
        </w:rPr>
        <w:t xml:space="preserve"> </w:t>
      </w:r>
      <w:r w:rsidR="007179FD">
        <w:rPr>
          <w:rFonts w:asciiTheme="majorBidi" w:hAnsiTheme="majorBidi"/>
        </w:rPr>
        <w:t xml:space="preserve">control from the behavioral regulation indices and plan, </w:t>
      </w:r>
      <w:r w:rsidR="00D56AEC">
        <w:rPr>
          <w:rFonts w:asciiTheme="majorBidi" w:hAnsiTheme="majorBidi"/>
        </w:rPr>
        <w:t>organization,</w:t>
      </w:r>
      <w:r w:rsidR="007179FD">
        <w:rPr>
          <w:rFonts w:asciiTheme="majorBidi" w:hAnsiTheme="majorBidi"/>
        </w:rPr>
        <w:t xml:space="preserve"> and task completion from the metacognitive indices. </w:t>
      </w:r>
      <w:r w:rsidR="00D56AEC" w:rsidRPr="00F9248C">
        <w:rPr>
          <w:rFonts w:asciiTheme="majorBidi" w:hAnsiTheme="majorBidi"/>
        </w:rPr>
        <w:t>However</w:t>
      </w:r>
      <w:r w:rsidR="007179FD">
        <w:rPr>
          <w:rFonts w:asciiTheme="majorBidi" w:hAnsiTheme="majorBidi"/>
        </w:rPr>
        <w:t>, the self-awareness to the performance in the CCT remain</w:t>
      </w:r>
      <w:r w:rsidR="00461DCF">
        <w:rPr>
          <w:rFonts w:asciiTheme="majorBidi" w:hAnsiTheme="majorBidi"/>
        </w:rPr>
        <w:t>s</w:t>
      </w:r>
      <w:r w:rsidR="007179FD">
        <w:rPr>
          <w:rFonts w:asciiTheme="majorBidi" w:hAnsiTheme="majorBidi"/>
        </w:rPr>
        <w:t xml:space="preserve"> consistent between </w:t>
      </w:r>
      <w:proofErr w:type="gramStart"/>
      <w:r w:rsidR="007179FD">
        <w:rPr>
          <w:rFonts w:asciiTheme="majorBidi" w:hAnsiTheme="majorBidi"/>
        </w:rPr>
        <w:t>pre</w:t>
      </w:r>
      <w:proofErr w:type="gramEnd"/>
      <w:r w:rsidR="007179FD">
        <w:rPr>
          <w:rFonts w:asciiTheme="majorBidi" w:hAnsiTheme="majorBidi"/>
        </w:rPr>
        <w:t xml:space="preserve"> and </w:t>
      </w:r>
      <w:r w:rsidR="00461DCF">
        <w:rPr>
          <w:rFonts w:asciiTheme="majorBidi" w:hAnsiTheme="majorBidi"/>
        </w:rPr>
        <w:t>post</w:t>
      </w:r>
      <w:r w:rsidR="00461DCF">
        <w:rPr>
          <w:rFonts w:asciiTheme="majorBidi" w:hAnsiTheme="majorBidi"/>
        </w:rPr>
        <w:t>-</w:t>
      </w:r>
      <w:r w:rsidR="007179FD">
        <w:rPr>
          <w:rFonts w:asciiTheme="majorBidi" w:hAnsiTheme="majorBidi"/>
        </w:rPr>
        <w:t xml:space="preserve">intervention. </w:t>
      </w:r>
    </w:p>
    <w:p w14:paraId="2BF520FB" w14:textId="3A6F1E9A" w:rsidR="00D56AEC" w:rsidRDefault="00D56AEC" w:rsidP="00D56AEC">
      <w:pPr>
        <w:rPr>
          <w:b/>
          <w:bCs/>
          <w:i/>
          <w:iCs/>
          <w:szCs w:val="24"/>
        </w:rPr>
      </w:pPr>
      <w:r w:rsidRPr="002A1CBC">
        <w:rPr>
          <w:b/>
          <w:bCs/>
          <w:i/>
          <w:iCs/>
          <w:szCs w:val="24"/>
        </w:rPr>
        <w:lastRenderedPageBreak/>
        <w:t xml:space="preserve">Comparison of </w:t>
      </w:r>
      <w:proofErr w:type="gramStart"/>
      <w:r w:rsidRPr="002A1CBC">
        <w:rPr>
          <w:b/>
          <w:bCs/>
          <w:i/>
          <w:iCs/>
          <w:szCs w:val="24"/>
        </w:rPr>
        <w:t>pre</w:t>
      </w:r>
      <w:proofErr w:type="gramEnd"/>
      <w:r w:rsidRPr="002A1CBC">
        <w:rPr>
          <w:b/>
          <w:bCs/>
          <w:i/>
          <w:iCs/>
          <w:szCs w:val="24"/>
        </w:rPr>
        <w:t xml:space="preserve"> and </w:t>
      </w:r>
      <w:r w:rsidR="00461DCF" w:rsidRPr="002A1CBC">
        <w:rPr>
          <w:b/>
          <w:bCs/>
          <w:i/>
          <w:iCs/>
          <w:szCs w:val="24"/>
        </w:rPr>
        <w:t>post</w:t>
      </w:r>
      <w:r w:rsidR="00461DCF">
        <w:rPr>
          <w:b/>
          <w:bCs/>
          <w:i/>
          <w:iCs/>
          <w:szCs w:val="24"/>
        </w:rPr>
        <w:t>-</w:t>
      </w:r>
      <w:r w:rsidRPr="002A1CBC">
        <w:rPr>
          <w:b/>
          <w:bCs/>
          <w:i/>
          <w:iCs/>
          <w:szCs w:val="24"/>
        </w:rPr>
        <w:t>intervention in the CCT assessment</w:t>
      </w:r>
    </w:p>
    <w:p w14:paraId="7E5D2A95" w14:textId="776A0558" w:rsidR="00D56AEC" w:rsidRPr="00F9248C" w:rsidRDefault="00D56AEC" w:rsidP="00D56AEC">
      <w:pPr>
        <w:contextualSpacing/>
        <w:rPr>
          <w:rFonts w:cs="Times New Roman"/>
          <w:color w:val="000000"/>
          <w:szCs w:val="24"/>
          <w:rtl/>
        </w:rPr>
      </w:pPr>
      <w:r w:rsidRPr="00F9248C">
        <w:rPr>
          <w:rFonts w:asciiTheme="majorBidi" w:hAnsiTheme="majorBidi"/>
          <w:color w:val="000000"/>
        </w:rPr>
        <w:t xml:space="preserve">Several studies have used the CCT to measure </w:t>
      </w:r>
      <w:r w:rsidR="00461DCF">
        <w:rPr>
          <w:rFonts w:asciiTheme="majorBidi" w:hAnsiTheme="majorBidi"/>
          <w:color w:val="000000"/>
        </w:rPr>
        <w:t>adolescents' various health conditions' difference</w:t>
      </w:r>
      <w:r w:rsidRPr="00F9248C">
        <w:rPr>
          <w:rFonts w:asciiTheme="majorBidi" w:hAnsiTheme="majorBidi"/>
          <w:color w:val="000000"/>
        </w:rPr>
        <w:t xml:space="preserve">s. </w:t>
      </w:r>
      <w:r>
        <w:rPr>
          <w:rFonts w:asciiTheme="majorBidi" w:eastAsia="Calibri" w:hAnsiTheme="majorBidi" w:cstheme="majorBidi"/>
          <w:szCs w:val="24"/>
        </w:rPr>
        <w:t>Fogel</w:t>
      </w:r>
      <w:r w:rsidRPr="00C072EB">
        <w:rPr>
          <w:rFonts w:asciiTheme="majorBidi" w:eastAsia="Calibri" w:hAnsiTheme="majorBidi" w:cstheme="majorBidi"/>
          <w:szCs w:val="24"/>
        </w:rPr>
        <w:t xml:space="preserve"> et al. </w:t>
      </w:r>
      <w:r>
        <w:rPr>
          <w:rFonts w:asciiTheme="majorBidi" w:eastAsia="Calibri" w:hAnsiTheme="majorBidi" w:cstheme="majorBidi"/>
          <w:szCs w:val="24"/>
        </w:rPr>
        <w:t>(2020b) reported significant d</w:t>
      </w:r>
      <w:r w:rsidRPr="00C072EB">
        <w:rPr>
          <w:rFonts w:asciiTheme="majorBidi" w:eastAsia="Calibri" w:hAnsiTheme="majorBidi" w:cstheme="majorBidi"/>
          <w:szCs w:val="24"/>
        </w:rPr>
        <w:t xml:space="preserve">ifferences in CCT assessments between adolescents with </w:t>
      </w:r>
      <w:r>
        <w:rPr>
          <w:rFonts w:asciiTheme="majorBidi" w:eastAsia="Calibri" w:hAnsiTheme="majorBidi" w:cstheme="majorBidi"/>
          <w:szCs w:val="24"/>
        </w:rPr>
        <w:t xml:space="preserve">an </w:t>
      </w:r>
      <w:r w:rsidRPr="00C072EB">
        <w:rPr>
          <w:rFonts w:asciiTheme="majorBidi" w:eastAsia="Calibri" w:hAnsiTheme="majorBidi" w:cstheme="majorBidi"/>
          <w:szCs w:val="24"/>
        </w:rPr>
        <w:t>EFD and</w:t>
      </w:r>
      <w:r>
        <w:rPr>
          <w:rFonts w:asciiTheme="majorBidi" w:eastAsia="Calibri" w:hAnsiTheme="majorBidi" w:cstheme="majorBidi"/>
          <w:szCs w:val="24"/>
        </w:rPr>
        <w:t xml:space="preserve"> those with</w:t>
      </w:r>
      <w:r w:rsidRPr="00C072EB">
        <w:rPr>
          <w:rFonts w:asciiTheme="majorBidi" w:eastAsia="Calibri" w:hAnsiTheme="majorBidi" w:cstheme="majorBidi"/>
          <w:szCs w:val="24"/>
        </w:rPr>
        <w:t xml:space="preserve"> </w:t>
      </w:r>
      <w:r w:rsidR="00203B4C">
        <w:rPr>
          <w:rFonts w:asciiTheme="majorBidi" w:eastAsia="Calibri" w:hAnsiTheme="majorBidi" w:cstheme="majorBidi"/>
          <w:szCs w:val="24"/>
        </w:rPr>
        <w:t>typical development</w:t>
      </w:r>
      <w:r>
        <w:rPr>
          <w:rFonts w:asciiTheme="majorBidi" w:eastAsia="Calibri" w:hAnsiTheme="majorBidi" w:cstheme="majorBidi"/>
          <w:szCs w:val="24"/>
        </w:rPr>
        <w:t xml:space="preserve">. Other studies </w:t>
      </w:r>
      <w:r>
        <w:rPr>
          <w:rFonts w:eastAsia="Calibri" w:cs="Arial"/>
          <w:lang w:eastAsia="en-GB"/>
        </w:rPr>
        <w:t>performed and rated the CCT</w:t>
      </w:r>
      <w:r w:rsidRPr="00F9248C">
        <w:t xml:space="preserve"> demonstrated</w:t>
      </w:r>
      <w:r>
        <w:rPr>
          <w:rFonts w:eastAsia="Calibri" w:cs="Arial"/>
          <w:lang w:eastAsia="en-GB"/>
        </w:rPr>
        <w:t xml:space="preserve"> its</w:t>
      </w:r>
      <w:r w:rsidRPr="00F9248C">
        <w:t xml:space="preserve"> </w:t>
      </w:r>
      <w:r w:rsidRPr="00F9248C">
        <w:rPr>
          <w:color w:val="000000"/>
        </w:rPr>
        <w:t xml:space="preserve">feasibility for detecting and characterizing (even mild) EFD </w:t>
      </w:r>
      <w:r w:rsidRPr="00F9248C">
        <w:t>profiles</w:t>
      </w:r>
      <w:r w:rsidRPr="00F9248C">
        <w:rPr>
          <w:color w:val="000000"/>
        </w:rPr>
        <w:t xml:space="preserve"> in children with traumatic brain injury </w:t>
      </w:r>
      <w:r w:rsidRPr="00BF1EE8">
        <w:rPr>
          <w:rFonts w:eastAsia="Calibri" w:cs="Times New Roman"/>
          <w:color w:val="000000"/>
          <w:szCs w:val="24"/>
        </w:rPr>
        <w:t>(Krasny-Pacin</w:t>
      </w:r>
      <w:r w:rsidRPr="00583FC9">
        <w:rPr>
          <w:rFonts w:eastAsia="Calibri" w:cs="Times New Roman"/>
          <w:color w:val="000000"/>
          <w:szCs w:val="24"/>
        </w:rPr>
        <w:t xml:space="preserve">i et al., 2015; Wechsler, 1998) and </w:t>
      </w:r>
      <w:r w:rsidRPr="00C072EB">
        <w:rPr>
          <w:rFonts w:asciiTheme="majorBidi" w:hAnsiTheme="majorBidi" w:cstheme="majorBidi"/>
          <w:szCs w:val="24"/>
        </w:rPr>
        <w:t>developmental coordination disorder</w:t>
      </w:r>
      <w:r w:rsidRPr="00583FC9">
        <w:rPr>
          <w:rFonts w:eastAsia="Calibri" w:cs="Times New Roman"/>
          <w:color w:val="000000"/>
          <w:szCs w:val="24"/>
        </w:rPr>
        <w:t xml:space="preserve"> (Toussaint-Thorin et al., 2013).</w:t>
      </w:r>
    </w:p>
    <w:p w14:paraId="6F81F807" w14:textId="76ACC4B6" w:rsidR="00203B4C" w:rsidRPr="00BC1761" w:rsidRDefault="00D56AEC" w:rsidP="00203B4C">
      <w:pPr>
        <w:contextualSpacing/>
        <w:rPr>
          <w:rFonts w:asciiTheme="majorBidi" w:hAnsiTheme="majorBidi"/>
          <w:color w:val="000000"/>
        </w:rPr>
      </w:pPr>
      <w:r w:rsidRPr="00EA7E00">
        <w:rPr>
          <w:rFonts w:asciiTheme="majorBidi" w:eastAsia="Calibri" w:hAnsiTheme="majorBidi" w:cstheme="majorBidi"/>
          <w:color w:val="000000"/>
          <w:szCs w:val="24"/>
        </w:rPr>
        <w:t>However, as</w:t>
      </w:r>
      <w:r w:rsidRPr="00F9248C">
        <w:rPr>
          <w:rFonts w:asciiTheme="majorBidi" w:hAnsiTheme="majorBidi"/>
          <w:color w:val="000000"/>
        </w:rPr>
        <w:t xml:space="preserve"> far as we know, </w:t>
      </w:r>
      <w:r>
        <w:rPr>
          <w:rFonts w:asciiTheme="majorBidi" w:hAnsiTheme="majorBidi" w:cstheme="majorBidi"/>
          <w:color w:val="000000"/>
          <w:szCs w:val="24"/>
        </w:rPr>
        <w:t>ours</w:t>
      </w:r>
      <w:r w:rsidRPr="00F9248C">
        <w:rPr>
          <w:rFonts w:asciiTheme="majorBidi" w:hAnsiTheme="majorBidi"/>
          <w:color w:val="000000"/>
        </w:rPr>
        <w:t xml:space="preserve"> is</w:t>
      </w:r>
      <w:r w:rsidRPr="00C072EB">
        <w:rPr>
          <w:rFonts w:asciiTheme="majorBidi" w:hAnsiTheme="majorBidi" w:cstheme="majorBidi"/>
          <w:color w:val="000000"/>
          <w:szCs w:val="24"/>
        </w:rPr>
        <w:t xml:space="preserve"> </w:t>
      </w:r>
      <w:r>
        <w:rPr>
          <w:rFonts w:asciiTheme="majorBidi" w:hAnsiTheme="majorBidi" w:cstheme="majorBidi"/>
          <w:color w:val="000000"/>
          <w:szCs w:val="24"/>
        </w:rPr>
        <w:t>only</w:t>
      </w:r>
      <w:r w:rsidRPr="00F9248C">
        <w:rPr>
          <w:rFonts w:asciiTheme="majorBidi" w:hAnsiTheme="majorBidi"/>
          <w:color w:val="000000"/>
        </w:rPr>
        <w:t xml:space="preserve"> the second study to document the use of the CCT as an outcome measure after </w:t>
      </w:r>
      <w:r>
        <w:rPr>
          <w:rFonts w:asciiTheme="majorBidi" w:hAnsiTheme="majorBidi" w:cstheme="majorBidi"/>
          <w:color w:val="000000"/>
          <w:szCs w:val="24"/>
        </w:rPr>
        <w:t>an</w:t>
      </w:r>
      <w:r w:rsidRPr="00F9248C">
        <w:rPr>
          <w:rFonts w:asciiTheme="majorBidi" w:hAnsiTheme="majorBidi"/>
          <w:color w:val="000000"/>
        </w:rPr>
        <w:t xml:space="preserve"> intervention. Krasny-Pacini et al. </w:t>
      </w:r>
      <w:r>
        <w:rPr>
          <w:rFonts w:asciiTheme="majorBidi" w:hAnsiTheme="majorBidi" w:cstheme="majorBidi"/>
          <w:color w:val="000000"/>
          <w:szCs w:val="24"/>
        </w:rPr>
        <w:t>(2015)</w:t>
      </w:r>
      <w:r w:rsidRPr="00F9248C">
        <w:rPr>
          <w:rFonts w:asciiTheme="majorBidi" w:hAnsiTheme="majorBidi"/>
          <w:color w:val="000000"/>
        </w:rPr>
        <w:t xml:space="preserve"> studied interventions based on context-sensitive goal</w:t>
      </w:r>
      <w:r>
        <w:rPr>
          <w:rFonts w:asciiTheme="majorBidi" w:hAnsiTheme="majorBidi" w:cstheme="majorBidi"/>
          <w:color w:val="000000"/>
          <w:szCs w:val="24"/>
        </w:rPr>
        <w:t>-</w:t>
      </w:r>
      <w:r w:rsidRPr="00F9248C">
        <w:rPr>
          <w:rFonts w:asciiTheme="majorBidi" w:hAnsiTheme="majorBidi"/>
          <w:color w:val="000000"/>
        </w:rPr>
        <w:t>management training in five children with ABI and severe dysexecutive syndrome. They used the CCT twice before the intervention to obtain two baselines for online awareness.</w:t>
      </w:r>
      <w:r>
        <w:rPr>
          <w:rFonts w:asciiTheme="majorBidi" w:hAnsiTheme="majorBidi" w:cstheme="majorBidi"/>
          <w:color w:val="000000"/>
          <w:szCs w:val="24"/>
        </w:rPr>
        <w:t xml:space="preserve"> </w:t>
      </w:r>
      <w:r w:rsidR="00461DCF">
        <w:rPr>
          <w:rFonts w:asciiTheme="majorBidi" w:hAnsiTheme="majorBidi"/>
          <w:color w:val="000000"/>
        </w:rPr>
        <w:t>Participants showed significant improvement in time duration, total number of errors, and all error types in our study</w:t>
      </w:r>
      <w:r w:rsidRPr="00F9248C">
        <w:rPr>
          <w:rFonts w:asciiTheme="majorBidi" w:hAnsiTheme="majorBidi"/>
          <w:color w:val="000000"/>
        </w:rPr>
        <w:t xml:space="preserve">. </w:t>
      </w:r>
      <w:r>
        <w:rPr>
          <w:rFonts w:asciiTheme="majorBidi" w:hAnsiTheme="majorBidi" w:cstheme="majorBidi"/>
          <w:color w:val="000000"/>
          <w:szCs w:val="24"/>
        </w:rPr>
        <w:t>They</w:t>
      </w:r>
      <w:r w:rsidRPr="00F9248C">
        <w:rPr>
          <w:rFonts w:asciiTheme="majorBidi" w:hAnsiTheme="majorBidi"/>
          <w:color w:val="000000"/>
        </w:rPr>
        <w:t xml:space="preserve"> made significantly fewer errors and performed the task in a shorter time. </w:t>
      </w:r>
      <w:r>
        <w:rPr>
          <w:rFonts w:asciiTheme="majorBidi" w:hAnsiTheme="majorBidi" w:cstheme="majorBidi"/>
          <w:color w:val="000000"/>
          <w:szCs w:val="24"/>
        </w:rPr>
        <w:t>The FITTED intervention’s</w:t>
      </w:r>
      <w:r w:rsidRPr="00F9248C">
        <w:rPr>
          <w:rFonts w:asciiTheme="majorBidi" w:hAnsiTheme="majorBidi"/>
          <w:color w:val="000000"/>
        </w:rPr>
        <w:t xml:space="preserve"> guiding principles </w:t>
      </w:r>
      <w:r>
        <w:rPr>
          <w:rFonts w:asciiTheme="majorBidi" w:hAnsiTheme="majorBidi" w:cstheme="majorBidi"/>
          <w:color w:val="000000"/>
          <w:szCs w:val="24"/>
        </w:rPr>
        <w:t xml:space="preserve">can explain the improvement shown by </w:t>
      </w:r>
      <w:r w:rsidRPr="00F9248C">
        <w:rPr>
          <w:rFonts w:asciiTheme="majorBidi" w:hAnsiTheme="majorBidi"/>
          <w:color w:val="000000"/>
        </w:rPr>
        <w:t>these results.</w:t>
      </w:r>
      <w:r w:rsidRPr="00F9248C">
        <w:t xml:space="preserve"> The </w:t>
      </w:r>
      <w:r>
        <w:rPr>
          <w:rFonts w:eastAsia="Calibri" w:cs="Arial"/>
          <w:lang w:eastAsia="en-GB"/>
        </w:rPr>
        <w:t>FITTED incorporates</w:t>
      </w:r>
      <w:r w:rsidRPr="00F9248C">
        <w:t xml:space="preserve"> </w:t>
      </w:r>
      <w:r w:rsidRPr="00F9248C">
        <w:rPr>
          <w:rFonts w:asciiTheme="majorBidi" w:hAnsiTheme="majorBidi"/>
          <w:color w:val="000000"/>
        </w:rPr>
        <w:t xml:space="preserve">self-monitoring techniques </w:t>
      </w:r>
      <w:r>
        <w:rPr>
          <w:rFonts w:asciiTheme="majorBidi" w:hAnsiTheme="majorBidi" w:cstheme="majorBidi"/>
          <w:color w:val="000000"/>
          <w:szCs w:val="24"/>
        </w:rPr>
        <w:t xml:space="preserve">with </w:t>
      </w:r>
      <w:r>
        <w:rPr>
          <w:rFonts w:eastAsia="Calibri" w:cs="Arial"/>
          <w:lang w:eastAsia="en-GB"/>
        </w:rPr>
        <w:t>s</w:t>
      </w:r>
      <w:r w:rsidRPr="00C072EB">
        <w:rPr>
          <w:rFonts w:asciiTheme="majorBidi" w:hAnsiTheme="majorBidi" w:cstheme="majorBidi"/>
          <w:color w:val="000000"/>
          <w:szCs w:val="24"/>
        </w:rPr>
        <w:t xml:space="preserve">tructured experience </w:t>
      </w:r>
      <w:r>
        <w:rPr>
          <w:rFonts w:asciiTheme="majorBidi" w:hAnsiTheme="majorBidi" w:cstheme="majorBidi"/>
          <w:color w:val="000000"/>
          <w:szCs w:val="24"/>
        </w:rPr>
        <w:t>to</w:t>
      </w:r>
      <w:r w:rsidRPr="00C072EB">
        <w:rPr>
          <w:rFonts w:asciiTheme="majorBidi" w:hAnsiTheme="majorBidi" w:cstheme="majorBidi"/>
          <w:color w:val="000000"/>
          <w:szCs w:val="24"/>
        </w:rPr>
        <w:t xml:space="preserve"> </w:t>
      </w:r>
      <w:r>
        <w:rPr>
          <w:rFonts w:asciiTheme="majorBidi" w:hAnsiTheme="majorBidi" w:cstheme="majorBidi"/>
          <w:color w:val="000000"/>
          <w:szCs w:val="24"/>
        </w:rPr>
        <w:t>assist</w:t>
      </w:r>
      <w:r w:rsidRPr="00F9248C">
        <w:rPr>
          <w:rFonts w:asciiTheme="majorBidi" w:hAnsiTheme="majorBidi"/>
          <w:color w:val="000000"/>
        </w:rPr>
        <w:t xml:space="preserve"> adolescents </w:t>
      </w:r>
      <w:r>
        <w:rPr>
          <w:rFonts w:asciiTheme="majorBidi" w:hAnsiTheme="majorBidi" w:cstheme="majorBidi"/>
          <w:color w:val="000000"/>
          <w:szCs w:val="24"/>
        </w:rPr>
        <w:t xml:space="preserve">in </w:t>
      </w:r>
      <w:r w:rsidRPr="00C072EB">
        <w:rPr>
          <w:rFonts w:asciiTheme="majorBidi" w:hAnsiTheme="majorBidi" w:cstheme="majorBidi"/>
          <w:color w:val="000000"/>
          <w:szCs w:val="24"/>
        </w:rPr>
        <w:t>rediscover</w:t>
      </w:r>
      <w:r>
        <w:rPr>
          <w:rFonts w:asciiTheme="majorBidi" w:hAnsiTheme="majorBidi" w:cstheme="majorBidi"/>
          <w:color w:val="000000"/>
          <w:szCs w:val="24"/>
        </w:rPr>
        <w:t>ing</w:t>
      </w:r>
      <w:r w:rsidRPr="00F9248C">
        <w:rPr>
          <w:rFonts w:asciiTheme="majorBidi" w:hAnsiTheme="majorBidi"/>
          <w:color w:val="000000"/>
        </w:rPr>
        <w:t xml:space="preserve"> themselves and </w:t>
      </w:r>
      <w:r w:rsidRPr="00C072EB">
        <w:rPr>
          <w:rFonts w:asciiTheme="majorBidi" w:hAnsiTheme="majorBidi" w:cstheme="majorBidi"/>
          <w:color w:val="000000"/>
          <w:szCs w:val="24"/>
        </w:rPr>
        <w:t>redefin</w:t>
      </w:r>
      <w:r>
        <w:rPr>
          <w:rFonts w:asciiTheme="majorBidi" w:hAnsiTheme="majorBidi" w:cstheme="majorBidi"/>
          <w:color w:val="000000"/>
          <w:szCs w:val="24"/>
        </w:rPr>
        <w:t>ing</w:t>
      </w:r>
      <w:r w:rsidRPr="00F9248C">
        <w:rPr>
          <w:rFonts w:asciiTheme="majorBidi" w:hAnsiTheme="majorBidi"/>
          <w:color w:val="000000"/>
        </w:rPr>
        <w:t xml:space="preserve"> their knowledge of their strengths and weaknesses. </w:t>
      </w:r>
      <w:r>
        <w:rPr>
          <w:rFonts w:asciiTheme="majorBidi" w:hAnsiTheme="majorBidi" w:cstheme="majorBidi"/>
          <w:color w:val="000000"/>
          <w:szCs w:val="24"/>
        </w:rPr>
        <w:t xml:space="preserve">Such principles help </w:t>
      </w:r>
      <w:r w:rsidR="00461DCF">
        <w:rPr>
          <w:rFonts w:asciiTheme="majorBidi" w:hAnsiTheme="majorBidi" w:cstheme="majorBidi"/>
          <w:color w:val="000000"/>
          <w:szCs w:val="24"/>
        </w:rPr>
        <w:t>adolescents</w:t>
      </w:r>
      <w:r>
        <w:rPr>
          <w:rFonts w:asciiTheme="majorBidi" w:hAnsiTheme="majorBidi" w:cstheme="majorBidi"/>
          <w:color w:val="000000"/>
          <w:szCs w:val="24"/>
        </w:rPr>
        <w:t xml:space="preserve"> form</w:t>
      </w:r>
      <w:r w:rsidRPr="00F9248C">
        <w:rPr>
          <w:rFonts w:asciiTheme="majorBidi" w:hAnsiTheme="majorBidi"/>
          <w:color w:val="000000"/>
        </w:rPr>
        <w:t xml:space="preserve"> strategies for </w:t>
      </w:r>
      <w:r>
        <w:rPr>
          <w:rFonts w:asciiTheme="majorBidi" w:hAnsiTheme="majorBidi" w:cstheme="majorBidi"/>
          <w:color w:val="000000"/>
          <w:szCs w:val="24"/>
        </w:rPr>
        <w:t>use</w:t>
      </w:r>
      <w:r w:rsidRPr="00C072EB">
        <w:rPr>
          <w:rFonts w:asciiTheme="majorBidi" w:hAnsiTheme="majorBidi" w:cstheme="majorBidi"/>
          <w:color w:val="000000"/>
          <w:szCs w:val="24"/>
        </w:rPr>
        <w:t xml:space="preserve"> </w:t>
      </w:r>
      <w:r w:rsidRPr="00F9248C">
        <w:rPr>
          <w:rFonts w:asciiTheme="majorBidi" w:hAnsiTheme="majorBidi"/>
          <w:color w:val="000000"/>
        </w:rPr>
        <w:t xml:space="preserve">before, during, and after activities in meaningful occupational situations. These </w:t>
      </w:r>
      <w:r>
        <w:rPr>
          <w:rFonts w:asciiTheme="majorBidi" w:hAnsiTheme="majorBidi" w:cstheme="majorBidi"/>
          <w:color w:val="000000"/>
          <w:szCs w:val="24"/>
        </w:rPr>
        <w:t>strategies</w:t>
      </w:r>
      <w:r w:rsidRPr="00C072EB">
        <w:rPr>
          <w:rFonts w:asciiTheme="majorBidi" w:hAnsiTheme="majorBidi" w:cstheme="majorBidi"/>
          <w:color w:val="000000"/>
          <w:szCs w:val="24"/>
        </w:rPr>
        <w:t xml:space="preserve"> </w:t>
      </w:r>
      <w:r>
        <w:rPr>
          <w:rFonts w:asciiTheme="majorBidi" w:hAnsiTheme="majorBidi" w:cstheme="majorBidi"/>
          <w:color w:val="000000"/>
          <w:szCs w:val="24"/>
        </w:rPr>
        <w:t>may</w:t>
      </w:r>
      <w:r w:rsidRPr="00F9248C">
        <w:rPr>
          <w:rFonts w:asciiTheme="majorBidi" w:hAnsiTheme="majorBidi"/>
          <w:color w:val="000000"/>
        </w:rPr>
        <w:t xml:space="preserve"> improve </w:t>
      </w:r>
      <w:r w:rsidR="00461DCF">
        <w:rPr>
          <w:rFonts w:asciiTheme="majorBidi" w:hAnsiTheme="majorBidi"/>
          <w:color w:val="000000"/>
        </w:rPr>
        <w:t>adolescents’ ability to inhibit, self-regulate,</w:t>
      </w:r>
      <w:r w:rsidRPr="00F9248C">
        <w:rPr>
          <w:rFonts w:asciiTheme="majorBidi" w:hAnsiTheme="majorBidi"/>
          <w:color w:val="000000"/>
        </w:rPr>
        <w:t xml:space="preserve"> and then respond and channel further self-directed executive actions. </w:t>
      </w:r>
      <w:r>
        <w:rPr>
          <w:rFonts w:asciiTheme="majorBidi" w:hAnsiTheme="majorBidi"/>
          <w:color w:val="000000"/>
        </w:rPr>
        <w:t>After the intervention</w:t>
      </w:r>
      <w:r w:rsidRPr="00F9248C">
        <w:rPr>
          <w:rFonts w:asciiTheme="majorBidi" w:hAnsiTheme="majorBidi"/>
          <w:color w:val="000000"/>
        </w:rPr>
        <w:t>, participants paid more attention to the recipes</w:t>
      </w:r>
      <w:r w:rsidR="00461DCF">
        <w:rPr>
          <w:rFonts w:asciiTheme="majorBidi" w:hAnsiTheme="majorBidi"/>
          <w:color w:val="000000"/>
        </w:rPr>
        <w:t>, collected information more efficiently, and inhibited actions and reactions before performing</w:t>
      </w:r>
      <w:r w:rsidRPr="00F9248C">
        <w:rPr>
          <w:rFonts w:asciiTheme="majorBidi" w:hAnsiTheme="majorBidi"/>
          <w:color w:val="000000"/>
        </w:rPr>
        <w:t xml:space="preserve"> any step. They kept to the task sequence</w:t>
      </w:r>
      <w:r>
        <w:rPr>
          <w:rFonts w:asciiTheme="majorBidi" w:hAnsiTheme="majorBidi" w:cstheme="majorBidi"/>
          <w:color w:val="000000"/>
          <w:szCs w:val="24"/>
        </w:rPr>
        <w:t xml:space="preserve">, </w:t>
      </w:r>
      <w:r w:rsidRPr="00C072EB">
        <w:rPr>
          <w:rFonts w:asciiTheme="majorBidi" w:hAnsiTheme="majorBidi" w:cstheme="majorBidi"/>
          <w:color w:val="000000"/>
          <w:szCs w:val="24"/>
        </w:rPr>
        <w:t>add</w:t>
      </w:r>
      <w:r>
        <w:rPr>
          <w:rFonts w:asciiTheme="majorBidi" w:hAnsiTheme="majorBidi" w:cstheme="majorBidi"/>
          <w:color w:val="000000"/>
          <w:szCs w:val="24"/>
        </w:rPr>
        <w:t>ed</w:t>
      </w:r>
      <w:r w:rsidRPr="00C072EB">
        <w:rPr>
          <w:rFonts w:asciiTheme="majorBidi" w:hAnsiTheme="majorBidi" w:cstheme="majorBidi"/>
          <w:color w:val="000000"/>
          <w:szCs w:val="24"/>
        </w:rPr>
        <w:t xml:space="preserve"> </w:t>
      </w:r>
      <w:r>
        <w:rPr>
          <w:rFonts w:asciiTheme="majorBidi" w:hAnsiTheme="majorBidi" w:cstheme="majorBidi"/>
          <w:color w:val="000000"/>
          <w:szCs w:val="24"/>
        </w:rPr>
        <w:t>fewer</w:t>
      </w:r>
      <w:r w:rsidRPr="00F9248C">
        <w:rPr>
          <w:rFonts w:asciiTheme="majorBidi" w:hAnsiTheme="majorBidi"/>
          <w:color w:val="000000"/>
        </w:rPr>
        <w:t xml:space="preserve"> unnecessary actions</w:t>
      </w:r>
      <w:r>
        <w:rPr>
          <w:rFonts w:asciiTheme="majorBidi" w:hAnsiTheme="majorBidi" w:cstheme="majorBidi"/>
          <w:color w:val="000000"/>
          <w:szCs w:val="24"/>
        </w:rPr>
        <w:t>,</w:t>
      </w:r>
      <w:r w:rsidRPr="00F9248C">
        <w:rPr>
          <w:rFonts w:asciiTheme="majorBidi" w:hAnsiTheme="majorBidi"/>
          <w:color w:val="000000"/>
        </w:rPr>
        <w:t xml:space="preserve"> succeeded in estimating amounts</w:t>
      </w:r>
      <w:r>
        <w:rPr>
          <w:rFonts w:asciiTheme="majorBidi" w:hAnsiTheme="majorBidi" w:cstheme="majorBidi"/>
          <w:color w:val="000000"/>
          <w:szCs w:val="24"/>
        </w:rPr>
        <w:t>,</w:t>
      </w:r>
      <w:r w:rsidRPr="00F9248C">
        <w:rPr>
          <w:rFonts w:asciiTheme="majorBidi" w:hAnsiTheme="majorBidi"/>
          <w:color w:val="000000"/>
        </w:rPr>
        <w:t xml:space="preserve"> and needed less help, as expressed by the </w:t>
      </w:r>
      <w:r w:rsidRPr="00BC1761">
        <w:rPr>
          <w:rFonts w:asciiTheme="majorBidi" w:hAnsiTheme="majorBidi"/>
          <w:color w:val="000000"/>
        </w:rPr>
        <w:t xml:space="preserve">decrease in the number of questions asked. </w:t>
      </w:r>
    </w:p>
    <w:p w14:paraId="286E0D05" w14:textId="5D0378E5" w:rsidR="00D56AEC" w:rsidRPr="00FF45CF" w:rsidRDefault="00D56AEC" w:rsidP="00025F9A">
      <w:pPr>
        <w:rPr>
          <w:b/>
          <w:bCs/>
          <w:i/>
          <w:iCs/>
          <w:szCs w:val="24"/>
        </w:rPr>
      </w:pPr>
      <w:r w:rsidRPr="00FF45CF">
        <w:rPr>
          <w:b/>
          <w:bCs/>
          <w:i/>
          <w:iCs/>
          <w:szCs w:val="24"/>
        </w:rPr>
        <w:t xml:space="preserve">Comparison of </w:t>
      </w:r>
      <w:proofErr w:type="gramStart"/>
      <w:r w:rsidRPr="00FF45CF">
        <w:rPr>
          <w:b/>
          <w:bCs/>
          <w:i/>
          <w:iCs/>
          <w:szCs w:val="24"/>
        </w:rPr>
        <w:t>pre</w:t>
      </w:r>
      <w:proofErr w:type="gramEnd"/>
      <w:r w:rsidRPr="00FF45CF">
        <w:rPr>
          <w:b/>
          <w:bCs/>
          <w:i/>
          <w:iCs/>
          <w:szCs w:val="24"/>
        </w:rPr>
        <w:t xml:space="preserve"> and </w:t>
      </w:r>
      <w:r w:rsidR="00461DCF" w:rsidRPr="00FF45CF">
        <w:rPr>
          <w:b/>
          <w:bCs/>
          <w:i/>
          <w:iCs/>
          <w:szCs w:val="24"/>
        </w:rPr>
        <w:t>post</w:t>
      </w:r>
      <w:r w:rsidR="00461DCF">
        <w:rPr>
          <w:b/>
          <w:bCs/>
          <w:i/>
          <w:iCs/>
          <w:szCs w:val="24"/>
        </w:rPr>
        <w:t>-</w:t>
      </w:r>
      <w:r w:rsidRPr="00FF45CF">
        <w:rPr>
          <w:b/>
          <w:bCs/>
          <w:i/>
          <w:iCs/>
          <w:szCs w:val="24"/>
        </w:rPr>
        <w:t>intervention in the BRIEF-SR</w:t>
      </w:r>
    </w:p>
    <w:p w14:paraId="27F69A30" w14:textId="412791AF" w:rsidR="007B322E" w:rsidRPr="00F9248C" w:rsidRDefault="00CB244E" w:rsidP="007B322E">
      <w:pPr>
        <w:autoSpaceDE w:val="0"/>
        <w:autoSpaceDN w:val="0"/>
        <w:adjustRightInd w:val="0"/>
        <w:contextualSpacing/>
        <w:rPr>
          <w:rFonts w:asciiTheme="majorBidi" w:hAnsiTheme="majorBidi"/>
        </w:rPr>
      </w:pPr>
      <w:r w:rsidRPr="00FF45CF">
        <w:rPr>
          <w:rFonts w:asciiTheme="majorBidi" w:hAnsiTheme="majorBidi" w:cstheme="majorBidi"/>
          <w:szCs w:val="24"/>
        </w:rPr>
        <w:lastRenderedPageBreak/>
        <w:t>Although the</w:t>
      </w:r>
      <w:r w:rsidRPr="00FF45CF">
        <w:rPr>
          <w:rFonts w:asciiTheme="majorBidi" w:hAnsiTheme="majorBidi"/>
        </w:rPr>
        <w:t xml:space="preserve"> BRIEF-SR </w:t>
      </w:r>
      <w:r w:rsidRPr="00FF45CF">
        <w:rPr>
          <w:rFonts w:asciiTheme="majorBidi" w:hAnsiTheme="majorBidi" w:cstheme="majorBidi"/>
          <w:szCs w:val="24"/>
        </w:rPr>
        <w:t xml:space="preserve">scores did not show improved inhibition, shifting, working memory, or monitoring </w:t>
      </w:r>
      <w:r w:rsidR="00461DCF" w:rsidRPr="00FF45CF">
        <w:rPr>
          <w:rFonts w:asciiTheme="majorBidi" w:hAnsiTheme="majorBidi" w:cstheme="majorBidi"/>
          <w:szCs w:val="24"/>
        </w:rPr>
        <w:t>post</w:t>
      </w:r>
      <w:r w:rsidR="00461DCF">
        <w:rPr>
          <w:rFonts w:asciiTheme="majorBidi" w:hAnsiTheme="majorBidi" w:cstheme="majorBidi"/>
          <w:szCs w:val="24"/>
        </w:rPr>
        <w:t>-</w:t>
      </w:r>
      <w:r w:rsidRPr="00FF45CF">
        <w:rPr>
          <w:rFonts w:asciiTheme="majorBidi" w:hAnsiTheme="majorBidi" w:cstheme="majorBidi"/>
          <w:szCs w:val="24"/>
        </w:rPr>
        <w:t>intervention, the results indicate</w:t>
      </w:r>
      <w:r w:rsidRPr="00FF45CF">
        <w:rPr>
          <w:rFonts w:asciiTheme="majorBidi" w:hAnsiTheme="majorBidi"/>
        </w:rPr>
        <w:t xml:space="preserve"> a statistically significant improvement in emotional control, planning, organization, and task completion.</w:t>
      </w:r>
      <w:r w:rsidRPr="00BC1761">
        <w:rPr>
          <w:rFonts w:asciiTheme="majorBidi" w:hAnsiTheme="majorBidi"/>
        </w:rPr>
        <w:t xml:space="preserve"> </w:t>
      </w:r>
      <w:r w:rsidR="00982096" w:rsidRPr="00BC1761">
        <w:rPr>
          <w:rFonts w:asciiTheme="majorBidi" w:hAnsiTheme="majorBidi"/>
        </w:rPr>
        <w:t xml:space="preserve">To the best of our knowledge, this is the </w:t>
      </w:r>
      <w:r w:rsidR="00262920" w:rsidRPr="00BC1761">
        <w:rPr>
          <w:rFonts w:asciiTheme="majorBidi" w:hAnsiTheme="majorBidi"/>
        </w:rPr>
        <w:t>first</w:t>
      </w:r>
      <w:r w:rsidR="00982096" w:rsidRPr="00BC1761">
        <w:rPr>
          <w:rFonts w:asciiTheme="majorBidi" w:hAnsiTheme="majorBidi"/>
        </w:rPr>
        <w:t xml:space="preserve"> time </w:t>
      </w:r>
      <w:r w:rsidR="00262920" w:rsidRPr="00BC1761">
        <w:rPr>
          <w:rFonts w:asciiTheme="majorBidi" w:hAnsiTheme="majorBidi"/>
        </w:rPr>
        <w:t>that</w:t>
      </w:r>
      <w:r w:rsidR="00982096" w:rsidRPr="00BC1761">
        <w:rPr>
          <w:rFonts w:asciiTheme="majorBidi" w:hAnsiTheme="majorBidi"/>
        </w:rPr>
        <w:t xml:space="preserve"> the BRIEF-SR is used as an outcome </w:t>
      </w:r>
      <w:r w:rsidR="00262920" w:rsidRPr="00BC1761">
        <w:rPr>
          <w:rFonts w:asciiTheme="majorBidi" w:hAnsiTheme="majorBidi"/>
        </w:rPr>
        <w:t>measure</w:t>
      </w:r>
      <w:r w:rsidR="00982096" w:rsidRPr="00BC1761">
        <w:rPr>
          <w:rFonts w:asciiTheme="majorBidi" w:hAnsiTheme="majorBidi"/>
        </w:rPr>
        <w:t xml:space="preserve"> </w:t>
      </w:r>
      <w:proofErr w:type="gramStart"/>
      <w:r w:rsidR="00982096" w:rsidRPr="00BC1761">
        <w:rPr>
          <w:rFonts w:asciiTheme="majorBidi" w:hAnsiTheme="majorBidi"/>
        </w:rPr>
        <w:t>pre</w:t>
      </w:r>
      <w:proofErr w:type="gramEnd"/>
      <w:r w:rsidR="00982096" w:rsidRPr="00BC1761">
        <w:rPr>
          <w:rFonts w:asciiTheme="majorBidi" w:hAnsiTheme="majorBidi"/>
        </w:rPr>
        <w:t xml:space="preserve"> and </w:t>
      </w:r>
      <w:r w:rsidR="00461DCF" w:rsidRPr="00BC1761">
        <w:rPr>
          <w:rFonts w:asciiTheme="majorBidi" w:hAnsiTheme="majorBidi"/>
        </w:rPr>
        <w:t>post</w:t>
      </w:r>
      <w:r w:rsidR="00461DCF">
        <w:rPr>
          <w:rFonts w:asciiTheme="majorBidi" w:hAnsiTheme="majorBidi"/>
        </w:rPr>
        <w:t>-</w:t>
      </w:r>
      <w:r w:rsidR="00982096" w:rsidRPr="00BC1761">
        <w:rPr>
          <w:rFonts w:asciiTheme="majorBidi" w:hAnsiTheme="majorBidi"/>
        </w:rPr>
        <w:t>intervention in this population. Two previous studies</w:t>
      </w:r>
      <w:r w:rsidR="00982096">
        <w:rPr>
          <w:rFonts w:asciiTheme="majorBidi" w:hAnsiTheme="majorBidi"/>
        </w:rPr>
        <w:t xml:space="preserve"> documented no </w:t>
      </w:r>
      <w:r w:rsidR="007B322E">
        <w:rPr>
          <w:rFonts w:asciiTheme="majorBidi" w:hAnsiTheme="majorBidi"/>
        </w:rPr>
        <w:t>significant</w:t>
      </w:r>
      <w:r w:rsidR="00982096">
        <w:rPr>
          <w:rFonts w:asciiTheme="majorBidi" w:hAnsiTheme="majorBidi"/>
        </w:rPr>
        <w:t xml:space="preserve"> changes </w:t>
      </w:r>
      <w:proofErr w:type="gramStart"/>
      <w:r w:rsidR="00982096">
        <w:rPr>
          <w:rFonts w:asciiTheme="majorBidi" w:hAnsiTheme="majorBidi"/>
        </w:rPr>
        <w:t>pre</w:t>
      </w:r>
      <w:proofErr w:type="gramEnd"/>
      <w:r w:rsidR="00982096">
        <w:rPr>
          <w:rFonts w:asciiTheme="majorBidi" w:hAnsiTheme="majorBidi"/>
        </w:rPr>
        <w:t xml:space="preserve"> and </w:t>
      </w:r>
      <w:r w:rsidR="00461DCF">
        <w:rPr>
          <w:rFonts w:asciiTheme="majorBidi" w:hAnsiTheme="majorBidi"/>
        </w:rPr>
        <w:t>post</w:t>
      </w:r>
      <w:r w:rsidR="00461DCF">
        <w:rPr>
          <w:rFonts w:asciiTheme="majorBidi" w:hAnsiTheme="majorBidi"/>
        </w:rPr>
        <w:t>-</w:t>
      </w:r>
      <w:r w:rsidR="00982096">
        <w:rPr>
          <w:rFonts w:asciiTheme="majorBidi" w:hAnsiTheme="majorBidi"/>
        </w:rPr>
        <w:t xml:space="preserve">intervention in </w:t>
      </w:r>
      <w:r w:rsidR="00982096" w:rsidRPr="00982096">
        <w:rPr>
          <w:rFonts w:asciiTheme="majorBidi" w:hAnsiTheme="majorBidi"/>
        </w:rPr>
        <w:t xml:space="preserve">Young Female Adolescents with Anorexia </w:t>
      </w:r>
      <w:r w:rsidR="007B322E" w:rsidRPr="00982096">
        <w:rPr>
          <w:rFonts w:asciiTheme="majorBidi" w:hAnsiTheme="majorBidi"/>
        </w:rPr>
        <w:t>Nervosa Before</w:t>
      </w:r>
      <w:r w:rsidR="00982096" w:rsidRPr="00982096">
        <w:rPr>
          <w:rFonts w:asciiTheme="majorBidi" w:hAnsiTheme="majorBidi"/>
        </w:rPr>
        <w:t xml:space="preserve"> and After Cognitive Remediation Therapy</w:t>
      </w:r>
      <w:r w:rsidR="00982096">
        <w:rPr>
          <w:rFonts w:asciiTheme="majorBidi" w:hAnsiTheme="majorBidi"/>
        </w:rPr>
        <w:t xml:space="preserve"> (</w:t>
      </w:r>
      <w:r w:rsidR="00982096" w:rsidRPr="00982096">
        <w:rPr>
          <w:rFonts w:asciiTheme="majorBidi" w:hAnsiTheme="majorBidi"/>
        </w:rPr>
        <w:t>Dahlgren</w:t>
      </w:r>
      <w:r w:rsidR="00982096">
        <w:rPr>
          <w:rFonts w:asciiTheme="majorBidi" w:hAnsiTheme="majorBidi"/>
        </w:rPr>
        <w:t xml:space="preserve"> et al, 2014) and </w:t>
      </w:r>
      <w:r w:rsidR="00982096">
        <w:t xml:space="preserve">among adolescents with </w:t>
      </w:r>
      <w:r w:rsidR="007B322E">
        <w:t xml:space="preserve">autism spectrum </w:t>
      </w:r>
      <w:r w:rsidR="00262920">
        <w:t xml:space="preserve">disorder </w:t>
      </w:r>
      <w:r w:rsidR="00262920">
        <w:rPr>
          <w:rFonts w:asciiTheme="majorBidi" w:hAnsiTheme="majorBidi"/>
        </w:rPr>
        <w:t>(</w:t>
      </w:r>
      <w:r w:rsidR="00982096">
        <w:rPr>
          <w:rFonts w:asciiTheme="majorBidi" w:hAnsiTheme="majorBidi"/>
        </w:rPr>
        <w:t xml:space="preserve">Lamash et al, 2017). </w:t>
      </w:r>
      <w:r w:rsidR="007B322E">
        <w:rPr>
          <w:rFonts w:asciiTheme="majorBidi" w:hAnsiTheme="majorBidi"/>
        </w:rPr>
        <w:t xml:space="preserve">Also, a study in </w:t>
      </w:r>
      <w:r w:rsidR="00461DCF">
        <w:rPr>
          <w:rFonts w:asciiTheme="majorBidi" w:hAnsiTheme="majorBidi"/>
        </w:rPr>
        <w:t>a similar population of adolescents with ADHD showed no significant improvement</w:t>
      </w:r>
      <w:r w:rsidR="007B322E">
        <w:t xml:space="preserve"> in the awareness to difficulties subscale of the Self-Regulation Skills Interview (SRSI)</w:t>
      </w:r>
      <w:r w:rsidR="007B322E">
        <w:rPr>
          <w:rFonts w:asciiTheme="majorBidi" w:hAnsiTheme="majorBidi"/>
        </w:rPr>
        <w:t xml:space="preserve"> (</w:t>
      </w:r>
      <w:r w:rsidR="007B322E" w:rsidRPr="007B322E">
        <w:rPr>
          <w:rFonts w:asciiTheme="majorBidi" w:hAnsiTheme="majorBidi"/>
        </w:rPr>
        <w:t>Levanon-Erez</w:t>
      </w:r>
      <w:r w:rsidR="007B322E">
        <w:rPr>
          <w:rFonts w:asciiTheme="majorBidi" w:hAnsiTheme="majorBidi"/>
        </w:rPr>
        <w:t xml:space="preserve"> et al, 2019).</w:t>
      </w:r>
    </w:p>
    <w:p w14:paraId="0AA2BB51" w14:textId="260CB15B" w:rsidR="00025F9A" w:rsidRPr="002A1CBC" w:rsidRDefault="00025F9A" w:rsidP="00025F9A">
      <w:pPr>
        <w:rPr>
          <w:b/>
          <w:bCs/>
          <w:i/>
          <w:iCs/>
          <w:szCs w:val="24"/>
        </w:rPr>
      </w:pPr>
      <w:r w:rsidRPr="002A1CBC">
        <w:rPr>
          <w:b/>
          <w:bCs/>
          <w:i/>
          <w:iCs/>
          <w:szCs w:val="24"/>
        </w:rPr>
        <w:t xml:space="preserve">Comparison of </w:t>
      </w:r>
      <w:proofErr w:type="gramStart"/>
      <w:r w:rsidRPr="002A1CBC">
        <w:rPr>
          <w:b/>
          <w:bCs/>
          <w:i/>
          <w:iCs/>
          <w:szCs w:val="24"/>
        </w:rPr>
        <w:t>pre</w:t>
      </w:r>
      <w:proofErr w:type="gramEnd"/>
      <w:r w:rsidRPr="002A1CBC">
        <w:rPr>
          <w:b/>
          <w:bCs/>
          <w:i/>
          <w:iCs/>
          <w:szCs w:val="24"/>
        </w:rPr>
        <w:t xml:space="preserve"> and </w:t>
      </w:r>
      <w:r w:rsidR="00461DCF" w:rsidRPr="002A1CBC">
        <w:rPr>
          <w:b/>
          <w:bCs/>
          <w:i/>
          <w:iCs/>
          <w:szCs w:val="24"/>
        </w:rPr>
        <w:t>post</w:t>
      </w:r>
      <w:r w:rsidR="00461DCF">
        <w:rPr>
          <w:b/>
          <w:bCs/>
          <w:i/>
          <w:iCs/>
          <w:szCs w:val="24"/>
        </w:rPr>
        <w:t>-</w:t>
      </w:r>
      <w:r w:rsidRPr="002A1CBC">
        <w:rPr>
          <w:b/>
          <w:bCs/>
          <w:i/>
          <w:iCs/>
          <w:szCs w:val="24"/>
        </w:rPr>
        <w:t xml:space="preserve">intervention in the </w:t>
      </w:r>
      <w:r>
        <w:rPr>
          <w:b/>
          <w:bCs/>
          <w:i/>
          <w:iCs/>
          <w:szCs w:val="24"/>
        </w:rPr>
        <w:t>SAP-Q</w:t>
      </w:r>
    </w:p>
    <w:p w14:paraId="34A1A65A" w14:textId="411BAD3A" w:rsidR="00AC3A12" w:rsidRDefault="002E1D83" w:rsidP="008C46F9">
      <w:pPr>
        <w:rPr>
          <w:rFonts w:asciiTheme="majorBidi" w:hAnsiTheme="majorBidi"/>
          <w:lang w:val="en-GB"/>
        </w:rPr>
      </w:pPr>
      <w:r>
        <w:rPr>
          <w:rFonts w:asciiTheme="majorBidi" w:hAnsiTheme="majorBidi"/>
        </w:rPr>
        <w:t xml:space="preserve">The </w:t>
      </w:r>
      <w:r w:rsidRPr="002E1D83">
        <w:rPr>
          <w:rFonts w:asciiTheme="majorBidi" w:hAnsiTheme="majorBidi"/>
        </w:rPr>
        <w:t>results reve</w:t>
      </w:r>
      <w:r w:rsidR="00461DCF">
        <w:rPr>
          <w:rFonts w:asciiTheme="majorBidi" w:hAnsiTheme="majorBidi"/>
        </w:rPr>
        <w:t>a</w:t>
      </w:r>
      <w:r w:rsidRPr="002E1D83">
        <w:rPr>
          <w:rFonts w:asciiTheme="majorBidi" w:hAnsiTheme="majorBidi"/>
        </w:rPr>
        <w:t xml:space="preserve">led </w:t>
      </w:r>
      <w:r w:rsidRPr="004A6CDF">
        <w:rPr>
          <w:rFonts w:asciiTheme="majorBidi" w:hAnsiTheme="majorBidi"/>
        </w:rPr>
        <w:t>no significant differ</w:t>
      </w:r>
      <w:r w:rsidR="00461DCF">
        <w:rPr>
          <w:rFonts w:asciiTheme="majorBidi" w:hAnsiTheme="majorBidi"/>
        </w:rPr>
        <w:t>e</w:t>
      </w:r>
      <w:r w:rsidRPr="004A6CDF">
        <w:rPr>
          <w:rFonts w:asciiTheme="majorBidi" w:hAnsiTheme="majorBidi"/>
        </w:rPr>
        <w:t xml:space="preserve">nces between </w:t>
      </w:r>
      <w:proofErr w:type="gramStart"/>
      <w:r w:rsidRPr="004A6CDF">
        <w:rPr>
          <w:rFonts w:asciiTheme="majorBidi" w:hAnsiTheme="majorBidi"/>
        </w:rPr>
        <w:t>pre</w:t>
      </w:r>
      <w:proofErr w:type="gramEnd"/>
      <w:r w:rsidRPr="004A6CDF">
        <w:rPr>
          <w:rFonts w:asciiTheme="majorBidi" w:hAnsiTheme="majorBidi"/>
        </w:rPr>
        <w:t xml:space="preserve"> and </w:t>
      </w:r>
      <w:r w:rsidR="00461DCF" w:rsidRPr="004A6CDF">
        <w:rPr>
          <w:rFonts w:asciiTheme="majorBidi" w:hAnsiTheme="majorBidi"/>
        </w:rPr>
        <w:t>post</w:t>
      </w:r>
      <w:r w:rsidR="00461DCF">
        <w:rPr>
          <w:rFonts w:asciiTheme="majorBidi" w:hAnsiTheme="majorBidi"/>
        </w:rPr>
        <w:t>-</w:t>
      </w:r>
      <w:r w:rsidRPr="004A6CDF">
        <w:rPr>
          <w:rFonts w:asciiTheme="majorBidi" w:hAnsiTheme="majorBidi"/>
        </w:rPr>
        <w:t>intervention and highlight</w:t>
      </w:r>
      <w:r w:rsidR="00461DCF">
        <w:rPr>
          <w:rFonts w:asciiTheme="majorBidi" w:hAnsiTheme="majorBidi"/>
        </w:rPr>
        <w:t>ed</w:t>
      </w:r>
      <w:r w:rsidRPr="004A6CDF">
        <w:rPr>
          <w:rFonts w:asciiTheme="majorBidi" w:hAnsiTheme="majorBidi"/>
        </w:rPr>
        <w:t xml:space="preserve"> the question: How, although the major improvement in the CCT (time duration and the number of errors) </w:t>
      </w:r>
      <w:r w:rsidR="00D71E8E" w:rsidRPr="004A6CDF">
        <w:t>a</w:t>
      </w:r>
      <w:r w:rsidR="00D71E8E" w:rsidRPr="004A6CDF">
        <w:t>nd receiving to take home an actual product after the assessment – the cake</w:t>
      </w:r>
      <w:r w:rsidR="00D71E8E" w:rsidRPr="004A6CDF">
        <w:t xml:space="preserve">. </w:t>
      </w:r>
      <w:r w:rsidR="00461DCF">
        <w:rPr>
          <w:rFonts w:asciiTheme="majorBidi" w:hAnsiTheme="majorBidi"/>
        </w:rPr>
        <w:t xml:space="preserve">Why were the adolescents’ self-awareness regarding the CCT task </w:t>
      </w:r>
      <w:proofErr w:type="gramStart"/>
      <w:r w:rsidR="00461DCF">
        <w:rPr>
          <w:rFonts w:asciiTheme="majorBidi" w:hAnsiTheme="majorBidi"/>
        </w:rPr>
        <w:t>similar to</w:t>
      </w:r>
      <w:proofErr w:type="gramEnd"/>
      <w:r w:rsidR="00461DCF">
        <w:rPr>
          <w:rFonts w:asciiTheme="majorBidi" w:hAnsiTheme="majorBidi"/>
        </w:rPr>
        <w:t xml:space="preserve"> pre-</w:t>
      </w:r>
      <w:r w:rsidR="00D71E8E" w:rsidRPr="004A6CDF">
        <w:rPr>
          <w:rFonts w:asciiTheme="majorBidi" w:hAnsiTheme="majorBidi"/>
        </w:rPr>
        <w:t>intervention</w:t>
      </w:r>
      <w:r w:rsidRPr="004A6CDF">
        <w:rPr>
          <w:rFonts w:asciiTheme="majorBidi" w:hAnsiTheme="majorBidi"/>
        </w:rPr>
        <w:t xml:space="preserve">? </w:t>
      </w:r>
      <w:r w:rsidR="00AC3A12" w:rsidRPr="004A6CDF">
        <w:rPr>
          <w:rFonts w:asciiTheme="majorBidi" w:eastAsia="Times New Roman" w:hAnsiTheme="majorBidi" w:cstheme="majorBidi" w:hint="cs"/>
          <w:szCs w:val="24"/>
          <w:lang w:eastAsia="en-GB"/>
        </w:rPr>
        <w:t>A</w:t>
      </w:r>
      <w:r w:rsidR="00AC3A12" w:rsidRPr="004A6CDF">
        <w:rPr>
          <w:rFonts w:asciiTheme="majorBidi" w:eastAsia="Times New Roman" w:hAnsiTheme="majorBidi" w:cstheme="majorBidi"/>
          <w:szCs w:val="24"/>
          <w:lang w:eastAsia="en-GB"/>
        </w:rPr>
        <w:t>re</w:t>
      </w:r>
      <w:r w:rsidRPr="004A6CDF">
        <w:rPr>
          <w:rFonts w:asciiTheme="majorBidi" w:hAnsiTheme="majorBidi"/>
        </w:rPr>
        <w:t xml:space="preserve"> they unaware</w:t>
      </w:r>
      <w:r w:rsidRPr="008C46F9">
        <w:rPr>
          <w:rFonts w:asciiTheme="majorBidi" w:hAnsiTheme="majorBidi"/>
        </w:rPr>
        <w:t xml:space="preserve"> of their ability to perform the task</w:t>
      </w:r>
      <w:r w:rsidR="00AC3A12" w:rsidRPr="00D71E8E">
        <w:rPr>
          <w:rFonts w:asciiTheme="majorBidi" w:hAnsiTheme="majorBidi"/>
        </w:rPr>
        <w:t xml:space="preserve"> better </w:t>
      </w:r>
      <w:r w:rsidR="00461DCF" w:rsidRPr="00D71E8E">
        <w:rPr>
          <w:rFonts w:asciiTheme="majorBidi" w:hAnsiTheme="majorBidi"/>
        </w:rPr>
        <w:t>post</w:t>
      </w:r>
      <w:r w:rsidR="00461DCF">
        <w:rPr>
          <w:rFonts w:asciiTheme="majorBidi" w:hAnsiTheme="majorBidi"/>
        </w:rPr>
        <w:t>-</w:t>
      </w:r>
      <w:r w:rsidR="00AC3A12" w:rsidRPr="00D71E8E">
        <w:rPr>
          <w:rFonts w:asciiTheme="majorBidi" w:hAnsiTheme="majorBidi"/>
        </w:rPr>
        <w:t>intervention</w:t>
      </w:r>
      <w:r w:rsidRPr="008C46F9">
        <w:rPr>
          <w:rFonts w:asciiTheme="majorBidi" w:hAnsiTheme="majorBidi"/>
        </w:rPr>
        <w:t>?</w:t>
      </w:r>
      <w:r w:rsidR="00AC3A12" w:rsidRPr="00D71E8E">
        <w:rPr>
          <w:rFonts w:asciiTheme="majorBidi" w:hAnsiTheme="majorBidi"/>
        </w:rPr>
        <w:t xml:space="preserve"> Are </w:t>
      </w:r>
      <w:r w:rsidR="00EE228B" w:rsidRPr="00D71E8E">
        <w:rPr>
          <w:rFonts w:asciiTheme="majorBidi" w:hAnsiTheme="majorBidi"/>
        </w:rPr>
        <w:t>there</w:t>
      </w:r>
      <w:r w:rsidR="00AC3A12" w:rsidRPr="00D71E8E">
        <w:rPr>
          <w:rFonts w:asciiTheme="majorBidi" w:hAnsiTheme="majorBidi"/>
        </w:rPr>
        <w:t xml:space="preserve"> other component</w:t>
      </w:r>
      <w:r w:rsidR="00461DCF">
        <w:rPr>
          <w:rFonts w:asciiTheme="majorBidi" w:hAnsiTheme="majorBidi"/>
        </w:rPr>
        <w:t>s</w:t>
      </w:r>
      <w:r w:rsidR="00AC3A12" w:rsidRPr="00D71E8E">
        <w:rPr>
          <w:rFonts w:asciiTheme="majorBidi" w:hAnsiTheme="majorBidi"/>
        </w:rPr>
        <w:t xml:space="preserve"> that inhibit their ability to "see" their improvement? </w:t>
      </w:r>
    </w:p>
    <w:p w14:paraId="5A4D8A74" w14:textId="0951A533" w:rsidR="00FF5472" w:rsidRDefault="000E5A07" w:rsidP="00CB244E">
      <w:r w:rsidRPr="008C46F9">
        <w:rPr>
          <w:rFonts w:asciiTheme="majorBidi" w:hAnsiTheme="majorBidi"/>
        </w:rPr>
        <w:t>To dat</w:t>
      </w:r>
      <w:r>
        <w:rPr>
          <w:rFonts w:asciiTheme="majorBidi" w:hAnsiTheme="majorBidi"/>
        </w:rPr>
        <w:t>e, this is the first study that asses</w:t>
      </w:r>
      <w:r w:rsidR="00461DCF">
        <w:rPr>
          <w:rFonts w:asciiTheme="majorBidi" w:hAnsiTheme="majorBidi"/>
        </w:rPr>
        <w:t>se</w:t>
      </w:r>
      <w:r>
        <w:rPr>
          <w:rFonts w:asciiTheme="majorBidi" w:hAnsiTheme="majorBidi"/>
        </w:rPr>
        <w:t xml:space="preserve">s self-awareness to </w:t>
      </w:r>
      <w:r w:rsidR="007267A5">
        <w:rPr>
          <w:rFonts w:asciiTheme="majorBidi" w:hAnsiTheme="majorBidi"/>
        </w:rPr>
        <w:t>performance</w:t>
      </w:r>
      <w:r>
        <w:rPr>
          <w:rFonts w:asciiTheme="majorBidi" w:hAnsiTheme="majorBidi"/>
        </w:rPr>
        <w:t xml:space="preserve"> in this specific population </w:t>
      </w:r>
      <w:proofErr w:type="gramStart"/>
      <w:r>
        <w:rPr>
          <w:rFonts w:asciiTheme="majorBidi" w:hAnsiTheme="majorBidi"/>
        </w:rPr>
        <w:t>pre</w:t>
      </w:r>
      <w:proofErr w:type="gramEnd"/>
      <w:r>
        <w:rPr>
          <w:rFonts w:asciiTheme="majorBidi" w:hAnsiTheme="majorBidi"/>
        </w:rPr>
        <w:t xml:space="preserve"> and </w:t>
      </w:r>
      <w:r w:rsidR="00461DCF">
        <w:rPr>
          <w:rFonts w:asciiTheme="majorBidi" w:hAnsiTheme="majorBidi"/>
        </w:rPr>
        <w:t>post</w:t>
      </w:r>
      <w:r w:rsidR="00461DCF">
        <w:rPr>
          <w:rFonts w:asciiTheme="majorBidi" w:hAnsiTheme="majorBidi"/>
        </w:rPr>
        <w:t>-</w:t>
      </w:r>
      <w:r>
        <w:rPr>
          <w:rFonts w:asciiTheme="majorBidi" w:hAnsiTheme="majorBidi"/>
        </w:rPr>
        <w:t>intervention</w:t>
      </w:r>
      <w:r w:rsidR="00E60DAC">
        <w:rPr>
          <w:rFonts w:asciiTheme="majorBidi" w:hAnsiTheme="majorBidi"/>
        </w:rPr>
        <w:t xml:space="preserve">. </w:t>
      </w:r>
      <w:r w:rsidR="000C461D" w:rsidRPr="008C46F9">
        <w:rPr>
          <w:highlight w:val="lightGray"/>
        </w:rPr>
        <w:t xml:space="preserve">We suggested three </w:t>
      </w:r>
      <w:r w:rsidR="001D2C6D" w:rsidRPr="008C46F9">
        <w:rPr>
          <w:highlight w:val="lightGray"/>
        </w:rPr>
        <w:t>points</w:t>
      </w:r>
      <w:r w:rsidR="000C461D" w:rsidRPr="008C46F9">
        <w:rPr>
          <w:highlight w:val="lightGray"/>
        </w:rPr>
        <w:t xml:space="preserve"> of view to </w:t>
      </w:r>
      <w:r w:rsidR="00E60DAC" w:rsidRPr="008C46F9">
        <w:rPr>
          <w:highlight w:val="lightGray"/>
        </w:rPr>
        <w:t xml:space="preserve">understand </w:t>
      </w:r>
      <w:r w:rsidR="00461DCF" w:rsidRPr="008C46F9">
        <w:rPr>
          <w:highlight w:val="lightGray"/>
        </w:rPr>
        <w:t>th</w:t>
      </w:r>
      <w:r w:rsidR="00461DCF">
        <w:rPr>
          <w:highlight w:val="lightGray"/>
        </w:rPr>
        <w:t>e</w:t>
      </w:r>
      <w:r w:rsidR="00461DCF" w:rsidRPr="008C46F9">
        <w:rPr>
          <w:highlight w:val="lightGray"/>
        </w:rPr>
        <w:t xml:space="preserve">se </w:t>
      </w:r>
      <w:r w:rsidR="00E60DAC" w:rsidRPr="008C46F9">
        <w:rPr>
          <w:highlight w:val="lightGray"/>
        </w:rPr>
        <w:t>results</w:t>
      </w:r>
      <w:r w:rsidR="000C461D" w:rsidRPr="008C46F9">
        <w:rPr>
          <w:highlight w:val="lightGray"/>
        </w:rPr>
        <w:t xml:space="preserve">. </w:t>
      </w:r>
      <w:r w:rsidR="001D2C6D" w:rsidRPr="008C46F9">
        <w:rPr>
          <w:highlight w:val="lightGray"/>
        </w:rPr>
        <w:t xml:space="preserve">First, </w:t>
      </w:r>
      <w:bookmarkStart w:id="7" w:name="_Hlk92462873"/>
      <w:r w:rsidR="001D2C6D" w:rsidRPr="008C46F9">
        <w:rPr>
          <w:highlight w:val="lightGray"/>
        </w:rPr>
        <w:t>the EF difficulties as an underl</w:t>
      </w:r>
      <w:bookmarkStart w:id="8" w:name="_Hlk92462946"/>
      <w:bookmarkEnd w:id="7"/>
      <w:r w:rsidR="00461DCF">
        <w:rPr>
          <w:highlight w:val="lightGray"/>
        </w:rPr>
        <w:t>ying mechanism, second, adolescence as a developmental stage,</w:t>
      </w:r>
      <w:r w:rsidR="001D2C6D" w:rsidRPr="008C46F9">
        <w:rPr>
          <w:highlight w:val="lightGray"/>
        </w:rPr>
        <w:t xml:space="preserve"> </w:t>
      </w:r>
      <w:bookmarkEnd w:id="8"/>
      <w:r w:rsidR="001D2C6D" w:rsidRPr="008C46F9">
        <w:rPr>
          <w:highlight w:val="lightGray"/>
        </w:rPr>
        <w:t>and the third from the environment point of view.</w:t>
      </w:r>
      <w:r w:rsidR="001D2C6D">
        <w:t xml:space="preserve"> </w:t>
      </w:r>
    </w:p>
    <w:p w14:paraId="48676338" w14:textId="77777777" w:rsidR="001D2C6D" w:rsidRPr="008C46F9" w:rsidRDefault="001D2C6D" w:rsidP="000444B1">
      <w:pPr>
        <w:contextualSpacing/>
        <w:rPr>
          <w:rFonts w:asciiTheme="majorBidi" w:eastAsia="Calibri" w:hAnsiTheme="majorBidi" w:cstheme="majorBidi"/>
          <w:b/>
          <w:bCs/>
          <w:i/>
          <w:iCs/>
          <w:szCs w:val="24"/>
          <w:highlight w:val="lightGray"/>
        </w:rPr>
      </w:pPr>
      <w:r w:rsidRPr="008C46F9">
        <w:rPr>
          <w:b/>
          <w:bCs/>
          <w:i/>
          <w:iCs/>
          <w:highlight w:val="lightGray"/>
        </w:rPr>
        <w:t>T</w:t>
      </w:r>
      <w:r w:rsidRPr="008C46F9">
        <w:rPr>
          <w:b/>
          <w:bCs/>
          <w:i/>
          <w:iCs/>
          <w:highlight w:val="lightGray"/>
        </w:rPr>
        <w:t>he EF difficulties as an underline mechanism</w:t>
      </w:r>
      <w:r w:rsidRPr="008C46F9">
        <w:rPr>
          <w:rFonts w:asciiTheme="majorBidi" w:eastAsia="Calibri" w:hAnsiTheme="majorBidi" w:cstheme="majorBidi"/>
          <w:b/>
          <w:bCs/>
          <w:i/>
          <w:iCs/>
          <w:szCs w:val="24"/>
          <w:highlight w:val="lightGray"/>
        </w:rPr>
        <w:t xml:space="preserve"> </w:t>
      </w:r>
    </w:p>
    <w:p w14:paraId="7F183F9E" w14:textId="4DB4ED2D" w:rsidR="00CB244E" w:rsidRDefault="00AB36DE" w:rsidP="00CB244E">
      <w:pPr>
        <w:rPr>
          <w:rFonts w:asciiTheme="majorBidi" w:hAnsiTheme="majorBidi"/>
        </w:rPr>
      </w:pPr>
      <w:r>
        <w:t>A</w:t>
      </w:r>
      <w:r w:rsidR="00CB244E" w:rsidRPr="00F9248C">
        <w:rPr>
          <w:color w:val="000000"/>
        </w:rPr>
        <w:t xml:space="preserve">dolescents with an EFD </w:t>
      </w:r>
      <w:r>
        <w:rPr>
          <w:color w:val="000000"/>
        </w:rPr>
        <w:t>describes</w:t>
      </w:r>
      <w:r w:rsidRPr="00F9248C">
        <w:rPr>
          <w:color w:val="000000"/>
        </w:rPr>
        <w:t xml:space="preserve"> </w:t>
      </w:r>
      <w:r w:rsidR="00CB244E" w:rsidRPr="00F9248C">
        <w:rPr>
          <w:color w:val="000000"/>
        </w:rPr>
        <w:t xml:space="preserve">as impaired when performing complex daily living activities, struggling to achieve everyday life goals, requiring considerably more </w:t>
      </w:r>
      <w:r w:rsidR="00CB244E" w:rsidRPr="00F9248C">
        <w:rPr>
          <w:color w:val="000000"/>
        </w:rPr>
        <w:lastRenderedPageBreak/>
        <w:t xml:space="preserve">assistance from adults, needing substantially more time to complete tasks, and engaging in far more dangerous activities </w:t>
      </w:r>
      <w:r w:rsidR="00CB244E">
        <w:rPr>
          <w:color w:val="000000"/>
        </w:rPr>
        <w:t>(Fogel et al., 2020</w:t>
      </w:r>
      <w:r w:rsidR="00EB1EF5">
        <w:rPr>
          <w:color w:val="000000"/>
        </w:rPr>
        <w:t xml:space="preserve"> </w:t>
      </w:r>
      <w:proofErr w:type="spellStart"/>
      <w:proofErr w:type="gramStart"/>
      <w:r w:rsidR="00EB1EF5">
        <w:rPr>
          <w:color w:val="000000"/>
        </w:rPr>
        <w:t>a,</w:t>
      </w:r>
      <w:r w:rsidR="00CB244E">
        <w:rPr>
          <w:color w:val="000000"/>
        </w:rPr>
        <w:t>b</w:t>
      </w:r>
      <w:proofErr w:type="spellEnd"/>
      <w:proofErr w:type="gramEnd"/>
      <w:r w:rsidR="00CB244E">
        <w:rPr>
          <w:color w:val="000000"/>
        </w:rPr>
        <w:t>)</w:t>
      </w:r>
      <w:r w:rsidR="00CB244E" w:rsidRPr="00C072EB">
        <w:rPr>
          <w:color w:val="000000"/>
        </w:rPr>
        <w:t xml:space="preserve">. </w:t>
      </w:r>
      <w:r w:rsidR="00CB244E" w:rsidRPr="00F9248C">
        <w:rPr>
          <w:rFonts w:asciiTheme="majorBidi" w:hAnsiTheme="majorBidi"/>
        </w:rPr>
        <w:t xml:space="preserve">Those difficulties may cause adolescents to become more distanced from the feedback they receive. Their difficulty in executing inhibition, using memory efficiently, exercising mental flexibility, and exhibiting self-control may delay the development of self-awareness. They </w:t>
      </w:r>
      <w:r w:rsidR="00CB244E">
        <w:rPr>
          <w:rFonts w:asciiTheme="majorBidi" w:eastAsia="Calibri" w:hAnsiTheme="majorBidi" w:cstheme="majorBidi"/>
          <w:szCs w:val="24"/>
        </w:rPr>
        <w:t>could</w:t>
      </w:r>
      <w:r w:rsidR="00CB244E" w:rsidRPr="00F9248C">
        <w:rPr>
          <w:rFonts w:asciiTheme="majorBidi" w:hAnsiTheme="majorBidi"/>
        </w:rPr>
        <w:t xml:space="preserve"> pay little attention to feedback from the environment because of their characteristics and </w:t>
      </w:r>
      <w:r w:rsidR="00CB244E">
        <w:rPr>
          <w:rFonts w:asciiTheme="majorBidi" w:eastAsia="Calibri" w:hAnsiTheme="majorBidi" w:cstheme="majorBidi"/>
          <w:szCs w:val="24"/>
        </w:rPr>
        <w:t>thus</w:t>
      </w:r>
      <w:r w:rsidR="00CB244E" w:rsidRPr="00F9248C">
        <w:rPr>
          <w:rFonts w:asciiTheme="majorBidi" w:hAnsiTheme="majorBidi"/>
        </w:rPr>
        <w:t xml:space="preserve"> fail to integrate and update the </w:t>
      </w:r>
      <w:r w:rsidR="00CB244E" w:rsidRPr="00E35D53">
        <w:rPr>
          <w:rFonts w:asciiTheme="majorBidi" w:hAnsiTheme="majorBidi"/>
        </w:rPr>
        <w:t xml:space="preserve">self-knowledge necessary to develop self-awareness </w:t>
      </w:r>
      <w:r w:rsidR="00CB244E" w:rsidRPr="00E35D53">
        <w:rPr>
          <w:rFonts w:asciiTheme="majorBidi" w:eastAsia="Calibri" w:hAnsiTheme="majorBidi" w:cstheme="majorBidi"/>
          <w:szCs w:val="24"/>
        </w:rPr>
        <w:t>(Toglia &amp; Maeir, 2018).</w:t>
      </w:r>
      <w:r w:rsidR="00EB1EF5" w:rsidRPr="008C46F9">
        <w:t xml:space="preserve"> </w:t>
      </w:r>
      <w:r w:rsidR="00E35D53" w:rsidRPr="008C46F9">
        <w:t>Their</w:t>
      </w:r>
      <w:r w:rsidR="00EB1EF5" w:rsidRPr="008C46F9">
        <w:t xml:space="preserve"> neurological monitoring system, such as feedback, feedforward, and a comparative mechanism</w:t>
      </w:r>
      <w:r w:rsidR="00461DCF">
        <w:t>,</w:t>
      </w:r>
      <w:r w:rsidR="00EB1EF5" w:rsidRPr="008C46F9">
        <w:t xml:space="preserve"> may be damaged or impaired due to neurodevelopmental disorders or other health conditions</w:t>
      </w:r>
      <w:r w:rsidR="00EB1EF5" w:rsidRPr="008C46F9" w:rsidDel="00594992">
        <w:t xml:space="preserve"> </w:t>
      </w:r>
      <w:r w:rsidR="00461DCF">
        <w:t xml:space="preserve">that </w:t>
      </w:r>
      <w:r w:rsidR="00EB1EF5" w:rsidRPr="008C46F9">
        <w:t>causes unawareness (Toglia &amp; Maeir, 2018).</w:t>
      </w:r>
    </w:p>
    <w:p w14:paraId="41BA66D9" w14:textId="76C96AA1" w:rsidR="00893AF4" w:rsidRPr="008C46F9" w:rsidRDefault="00461DCF" w:rsidP="00550691">
      <w:pPr>
        <w:contextualSpacing/>
        <w:rPr>
          <w:rFonts w:asciiTheme="majorBidi" w:hAnsiTheme="majorBidi"/>
          <w:b/>
          <w:bCs/>
          <w:i/>
          <w:iCs/>
        </w:rPr>
      </w:pPr>
      <w:r>
        <w:rPr>
          <w:b/>
          <w:bCs/>
          <w:i/>
          <w:iCs/>
          <w:highlight w:val="lightGray"/>
        </w:rPr>
        <w:t>A</w:t>
      </w:r>
      <w:r w:rsidR="00893AF4" w:rsidRPr="008C46F9">
        <w:rPr>
          <w:b/>
          <w:bCs/>
          <w:i/>
          <w:iCs/>
          <w:highlight w:val="lightGray"/>
        </w:rPr>
        <w:t>dolescence as a developmental stage</w:t>
      </w:r>
      <w:r w:rsidR="00893AF4" w:rsidRPr="008C46F9">
        <w:rPr>
          <w:b/>
          <w:bCs/>
          <w:i/>
          <w:iCs/>
        </w:rPr>
        <w:t xml:space="preserve"> </w:t>
      </w:r>
    </w:p>
    <w:p w14:paraId="5A2B8225" w14:textId="5978469B" w:rsidR="000E12CC" w:rsidRPr="00C45635" w:rsidRDefault="000E12CC" w:rsidP="000E12CC">
      <w:pPr>
        <w:contextualSpacing/>
        <w:rPr>
          <w:rFonts w:asciiTheme="majorBidi" w:hAnsiTheme="majorBidi"/>
        </w:rPr>
      </w:pPr>
      <w:r w:rsidRPr="008C46F9">
        <w:rPr>
          <w:rFonts w:asciiTheme="majorBidi" w:hAnsiTheme="majorBidi" w:cstheme="majorBidi"/>
          <w:color w:val="000000"/>
          <w:szCs w:val="24"/>
        </w:rPr>
        <w:t>Sebastian et al. (2008)</w:t>
      </w:r>
      <w:r w:rsidRPr="008C46F9">
        <w:rPr>
          <w:rFonts w:asciiTheme="majorBidi" w:hAnsiTheme="majorBidi"/>
          <w:color w:val="000000"/>
        </w:rPr>
        <w:t xml:space="preserve"> proposed that adolescence represents a period in which the sense of self-identity undergoes profound development</w:t>
      </w:r>
      <w:r w:rsidRPr="008C46F9">
        <w:rPr>
          <w:rFonts w:asciiTheme="majorBidi" w:hAnsiTheme="majorBidi" w:cstheme="majorBidi"/>
          <w:szCs w:val="24"/>
        </w:rPr>
        <w:t>.</w:t>
      </w:r>
      <w:r w:rsidRPr="008C46F9">
        <w:rPr>
          <w:rFonts w:asciiTheme="majorBidi" w:hAnsiTheme="majorBidi"/>
        </w:rPr>
        <w:t xml:space="preserve"> The gradual improvement in metacognitive ability across the adolescence </w:t>
      </w:r>
      <w:r w:rsidRPr="008C46F9">
        <w:rPr>
          <w:rFonts w:asciiTheme="majorBidi" w:hAnsiTheme="majorBidi" w:cstheme="majorBidi"/>
          <w:szCs w:val="24"/>
        </w:rPr>
        <w:t xml:space="preserve">period </w:t>
      </w:r>
      <w:r w:rsidRPr="008C46F9">
        <w:rPr>
          <w:rFonts w:asciiTheme="majorBidi" w:hAnsiTheme="majorBidi"/>
        </w:rPr>
        <w:t xml:space="preserve">reported here might relate to </w:t>
      </w:r>
      <w:r w:rsidRPr="008C46F9">
        <w:rPr>
          <w:rFonts w:asciiTheme="majorBidi" w:hAnsiTheme="majorBidi" w:cstheme="majorBidi"/>
          <w:szCs w:val="24"/>
        </w:rPr>
        <w:t>increasing</w:t>
      </w:r>
      <w:r w:rsidRPr="008C46F9">
        <w:rPr>
          <w:rFonts w:asciiTheme="majorBidi" w:hAnsiTheme="majorBidi"/>
        </w:rPr>
        <w:t xml:space="preserve"> egocentricity</w:t>
      </w:r>
      <w:r w:rsidRPr="008C46F9">
        <w:rPr>
          <w:rFonts w:asciiTheme="majorBidi" w:hAnsiTheme="majorBidi" w:cstheme="majorBidi"/>
          <w:szCs w:val="24"/>
        </w:rPr>
        <w:t xml:space="preserve"> and</w:t>
      </w:r>
      <w:r w:rsidRPr="008C46F9">
        <w:rPr>
          <w:rFonts w:asciiTheme="majorBidi" w:hAnsiTheme="majorBidi"/>
        </w:rPr>
        <w:t xml:space="preserve"> sense of self and </w:t>
      </w:r>
      <w:r w:rsidRPr="008C46F9">
        <w:rPr>
          <w:rFonts w:asciiTheme="majorBidi" w:hAnsiTheme="majorBidi" w:cstheme="majorBidi"/>
          <w:szCs w:val="24"/>
        </w:rPr>
        <w:t xml:space="preserve">to </w:t>
      </w:r>
      <w:r w:rsidRPr="008C46F9">
        <w:rPr>
          <w:rFonts w:asciiTheme="majorBidi" w:hAnsiTheme="majorBidi"/>
        </w:rPr>
        <w:t xml:space="preserve">developing self-awareness </w:t>
      </w:r>
      <w:r w:rsidRPr="008C46F9">
        <w:rPr>
          <w:rFonts w:asciiTheme="majorBidi" w:hAnsiTheme="majorBidi" w:cstheme="majorBidi"/>
          <w:szCs w:val="24"/>
        </w:rPr>
        <w:t>(Weil et al., 2013)</w:t>
      </w:r>
      <w:r w:rsidRPr="008C46F9">
        <w:rPr>
          <w:rFonts w:asciiTheme="majorBidi" w:eastAsia="Calibri" w:hAnsiTheme="majorBidi" w:cstheme="majorBidi"/>
          <w:szCs w:val="24"/>
        </w:rPr>
        <w:t>.</w:t>
      </w:r>
      <w:r w:rsidRPr="008C46F9">
        <w:rPr>
          <w:rFonts w:asciiTheme="majorBidi" w:hAnsiTheme="majorBidi"/>
        </w:rPr>
        <w:t xml:space="preserve"> </w:t>
      </w:r>
      <w:r w:rsidRPr="008C46F9">
        <w:rPr>
          <w:rFonts w:asciiTheme="majorBidi" w:hAnsiTheme="majorBidi"/>
          <w:color w:val="000000"/>
        </w:rPr>
        <w:t xml:space="preserve">Speculatively, this might lead adolescents to become more in tune with their task </w:t>
      </w:r>
      <w:r w:rsidRPr="008C46F9">
        <w:rPr>
          <w:rFonts w:asciiTheme="majorBidi" w:hAnsiTheme="majorBidi"/>
        </w:rPr>
        <w:t xml:space="preserve">performance at a stage when they become more aware of and place more value on the judgments of others </w:t>
      </w:r>
      <w:r w:rsidRPr="008C46F9">
        <w:rPr>
          <w:rFonts w:asciiTheme="majorBidi" w:hAnsiTheme="majorBidi" w:cstheme="majorBidi"/>
          <w:szCs w:val="24"/>
        </w:rPr>
        <w:t>(Sebastian et al., 2008)</w:t>
      </w:r>
      <w:r w:rsidRPr="008C46F9">
        <w:rPr>
          <w:rFonts w:asciiTheme="majorBidi" w:hAnsiTheme="majorBidi"/>
        </w:rPr>
        <w:t xml:space="preserve"> and when they develop individual identities separate from their families </w:t>
      </w:r>
      <w:r w:rsidRPr="008C46F9">
        <w:rPr>
          <w:rFonts w:asciiTheme="majorBidi" w:hAnsiTheme="majorBidi" w:cstheme="majorBidi"/>
          <w:szCs w:val="24"/>
        </w:rPr>
        <w:t>(Lapsley et al., 1990; Zammitti et al., 2020).</w:t>
      </w:r>
    </w:p>
    <w:p w14:paraId="522CABDE" w14:textId="075A1705" w:rsidR="000E12CC" w:rsidRPr="009C0CD9" w:rsidRDefault="000E12CC" w:rsidP="000E12CC">
      <w:pPr>
        <w:contextualSpacing/>
        <w:rPr>
          <w:rFonts w:asciiTheme="majorBidi" w:hAnsiTheme="majorBidi"/>
          <w:color w:val="000000"/>
        </w:rPr>
      </w:pPr>
      <w:r w:rsidRPr="008C46F9">
        <w:rPr>
          <w:rFonts w:asciiTheme="majorBidi" w:hAnsiTheme="majorBidi"/>
        </w:rPr>
        <w:t xml:space="preserve">Adolescents are in a challenging period with psychological consequences that include comparing themselves to others and developing self-identity. The combination of adolescence and living with EFDs may affect their ability to cope, progress, and become more self-aware. </w:t>
      </w:r>
      <w:r w:rsidRPr="008C46F9">
        <w:rPr>
          <w:rFonts w:asciiTheme="majorBidi" w:eastAsia="Calibri" w:hAnsiTheme="majorBidi" w:cstheme="majorBidi"/>
          <w:szCs w:val="24"/>
        </w:rPr>
        <w:t>In</w:t>
      </w:r>
      <w:r w:rsidRPr="008C46F9">
        <w:rPr>
          <w:rFonts w:asciiTheme="majorBidi" w:hAnsiTheme="majorBidi"/>
        </w:rPr>
        <w:t xml:space="preserve"> their descriptions of their difficulties and desire </w:t>
      </w:r>
      <w:r w:rsidRPr="008C46F9">
        <w:rPr>
          <w:rFonts w:asciiTheme="majorBidi" w:eastAsia="Calibri" w:hAnsiTheme="majorBidi" w:cstheme="majorBidi"/>
          <w:szCs w:val="24"/>
        </w:rPr>
        <w:t>for</w:t>
      </w:r>
      <w:r w:rsidRPr="008C46F9">
        <w:rPr>
          <w:rFonts w:asciiTheme="majorBidi" w:hAnsiTheme="majorBidi"/>
        </w:rPr>
        <w:t xml:space="preserve"> the environment </w:t>
      </w:r>
      <w:r w:rsidRPr="008C46F9">
        <w:rPr>
          <w:rFonts w:asciiTheme="majorBidi" w:eastAsia="Calibri" w:hAnsiTheme="majorBidi" w:cstheme="majorBidi"/>
          <w:szCs w:val="24"/>
        </w:rPr>
        <w:t>to</w:t>
      </w:r>
      <w:r w:rsidRPr="008C46F9">
        <w:rPr>
          <w:rFonts w:asciiTheme="majorBidi" w:hAnsiTheme="majorBidi"/>
        </w:rPr>
        <w:t xml:space="preserve"> change</w:t>
      </w:r>
      <w:r w:rsidRPr="008C46F9">
        <w:rPr>
          <w:rFonts w:asciiTheme="majorBidi" w:eastAsia="Calibri" w:hAnsiTheme="majorBidi" w:cstheme="majorBidi"/>
          <w:szCs w:val="24"/>
        </w:rPr>
        <w:t>, adolescents express their desire to be like everyone else.</w:t>
      </w:r>
      <w:r w:rsidRPr="008C46F9">
        <w:rPr>
          <w:rFonts w:asciiTheme="majorBidi" w:hAnsiTheme="majorBidi"/>
        </w:rPr>
        <w:t xml:space="preserve"> Levanon-Erez</w:t>
      </w:r>
      <w:r w:rsidRPr="008C46F9">
        <w:rPr>
          <w:rFonts w:asciiTheme="majorBidi" w:hAnsiTheme="majorBidi"/>
          <w:color w:val="000000"/>
        </w:rPr>
        <w:t xml:space="preserve"> </w:t>
      </w:r>
      <w:r w:rsidRPr="008C46F9">
        <w:rPr>
          <w:rFonts w:asciiTheme="majorBidi" w:hAnsiTheme="majorBidi" w:cstheme="majorBidi"/>
          <w:color w:val="000000"/>
          <w:szCs w:val="24"/>
        </w:rPr>
        <w:t>and Maeir (2014)</w:t>
      </w:r>
      <w:r w:rsidRPr="008C46F9">
        <w:rPr>
          <w:rFonts w:asciiTheme="majorBidi" w:hAnsiTheme="majorBidi"/>
        </w:rPr>
        <w:t xml:space="preserve"> interviewed 64 adolescents who regarded their occupational identity as the expression </w:t>
      </w:r>
      <w:r w:rsidRPr="008C46F9">
        <w:rPr>
          <w:rFonts w:asciiTheme="majorBidi" w:hAnsiTheme="majorBidi"/>
        </w:rPr>
        <w:lastRenderedPageBreak/>
        <w:t>of human nature in interaction with the environmental dimensions</w:t>
      </w:r>
      <w:r w:rsidRPr="008C46F9">
        <w:rPr>
          <w:rFonts w:asciiTheme="majorBidi" w:hAnsiTheme="majorBidi"/>
          <w:color w:val="000000"/>
        </w:rPr>
        <w:t xml:space="preserve"> of self-care, productivity, and leisure. They found significant differences between adolescents with and without ADHD, demonstrating a possible negative impact of ADHD</w:t>
      </w:r>
      <w:r w:rsidRPr="008C46F9">
        <w:rPr>
          <w:rFonts w:asciiTheme="majorBidi" w:hAnsiTheme="majorBidi" w:cstheme="majorBidi"/>
          <w:color w:val="000000"/>
          <w:szCs w:val="24"/>
        </w:rPr>
        <w:t>, and</w:t>
      </w:r>
      <w:r w:rsidRPr="008C46F9">
        <w:rPr>
          <w:rFonts w:asciiTheme="majorBidi" w:hAnsiTheme="majorBidi"/>
          <w:color w:val="000000"/>
        </w:rPr>
        <w:t xml:space="preserve"> highlighted the item “Felt effective (past</w:t>
      </w:r>
      <w:r w:rsidRPr="008C46F9">
        <w:rPr>
          <w:rFonts w:asciiTheme="majorBidi" w:hAnsiTheme="majorBidi" w:cstheme="majorBidi"/>
          <w:color w:val="000000"/>
          <w:szCs w:val="24"/>
        </w:rPr>
        <w:t>).” This</w:t>
      </w:r>
      <w:r w:rsidRPr="008C46F9">
        <w:rPr>
          <w:rFonts w:asciiTheme="majorBidi" w:hAnsiTheme="majorBidi"/>
          <w:color w:val="000000"/>
        </w:rPr>
        <w:t xml:space="preserve"> may illustrate that adolescents with ADHD have a diminished sense of self as occupational beings, </w:t>
      </w:r>
      <w:r w:rsidR="00461DCF">
        <w:rPr>
          <w:rFonts w:asciiTheme="majorBidi" w:hAnsiTheme="majorBidi"/>
          <w:color w:val="000000"/>
        </w:rPr>
        <w:t>impairing</w:t>
      </w:r>
      <w:r w:rsidRPr="008C46F9">
        <w:rPr>
          <w:rFonts w:asciiTheme="majorBidi" w:hAnsiTheme="majorBidi"/>
          <w:color w:val="000000"/>
        </w:rPr>
        <w:t xml:space="preserve"> their volitional foundation for occupational performance.</w:t>
      </w:r>
    </w:p>
    <w:p w14:paraId="13901EAD" w14:textId="2631D51D" w:rsidR="009C0CD9" w:rsidRPr="00F9248C" w:rsidRDefault="009C0CD9" w:rsidP="009C0CD9">
      <w:pPr>
        <w:contextualSpacing/>
        <w:rPr>
          <w:rFonts w:asciiTheme="majorBidi" w:hAnsiTheme="majorBidi"/>
        </w:rPr>
      </w:pPr>
      <w:r w:rsidRPr="008C46F9">
        <w:rPr>
          <w:rFonts w:asciiTheme="majorBidi" w:hAnsiTheme="majorBidi"/>
        </w:rPr>
        <w:t xml:space="preserve">This may lead to various forms of unawareness result </w:t>
      </w:r>
      <w:r w:rsidRPr="008C46F9">
        <w:rPr>
          <w:rFonts w:asciiTheme="majorBidi" w:eastAsia="Calibri" w:hAnsiTheme="majorBidi" w:cstheme="majorBidi"/>
          <w:szCs w:val="24"/>
        </w:rPr>
        <w:t>from</w:t>
      </w:r>
      <w:r w:rsidRPr="008C46F9">
        <w:rPr>
          <w:rFonts w:asciiTheme="majorBidi" w:hAnsiTheme="majorBidi"/>
        </w:rPr>
        <w:t xml:space="preserve"> </w:t>
      </w:r>
      <w:r w:rsidRPr="008C46F9">
        <w:rPr>
          <w:rFonts w:asciiTheme="majorBidi" w:hAnsiTheme="majorBidi"/>
          <w:i/>
        </w:rPr>
        <w:t>psychologically motivated denial</w:t>
      </w:r>
      <w:r w:rsidRPr="008C46F9">
        <w:rPr>
          <w:rFonts w:asciiTheme="majorBidi" w:hAnsiTheme="majorBidi"/>
        </w:rPr>
        <w:t>, a coping mechanism people</w:t>
      </w:r>
      <w:r w:rsidRPr="008C46F9">
        <w:rPr>
          <w:rFonts w:asciiTheme="majorBidi" w:eastAsia="Calibri" w:hAnsiTheme="majorBidi" w:cstheme="majorBidi"/>
          <w:szCs w:val="24"/>
        </w:rPr>
        <w:t xml:space="preserve"> create as protection</w:t>
      </w:r>
      <w:r w:rsidRPr="008C46F9">
        <w:rPr>
          <w:rFonts w:asciiTheme="majorBidi" w:hAnsiTheme="majorBidi"/>
        </w:rPr>
        <w:t xml:space="preserve"> from painful reality or from recognizing distressing aspects of themselves in the face of adversity. Denial can prevent people from acquiring effective coping skills and developing realistic goals </w:t>
      </w:r>
      <w:r w:rsidRPr="008C46F9">
        <w:rPr>
          <w:rFonts w:asciiTheme="majorBidi" w:eastAsia="Calibri" w:hAnsiTheme="majorBidi" w:cstheme="majorBidi"/>
          <w:szCs w:val="24"/>
        </w:rPr>
        <w:t>(</w:t>
      </w:r>
      <w:proofErr w:type="spellStart"/>
      <w:r w:rsidRPr="008C46F9">
        <w:rPr>
          <w:rFonts w:asciiTheme="majorBidi" w:eastAsia="Calibri" w:hAnsiTheme="majorBidi" w:cstheme="majorBidi"/>
          <w:szCs w:val="24"/>
        </w:rPr>
        <w:t>Kortte</w:t>
      </w:r>
      <w:proofErr w:type="spellEnd"/>
      <w:r w:rsidRPr="008C46F9">
        <w:rPr>
          <w:rFonts w:asciiTheme="majorBidi" w:eastAsia="Calibri" w:hAnsiTheme="majorBidi" w:cstheme="majorBidi"/>
          <w:szCs w:val="24"/>
        </w:rPr>
        <w:t xml:space="preserve"> &amp; Wegener, 2004).</w:t>
      </w:r>
      <w:r w:rsidRPr="009C0CD9">
        <w:rPr>
          <w:rFonts w:asciiTheme="majorBidi" w:eastAsia="Calibri" w:hAnsiTheme="majorBidi" w:cstheme="majorBidi"/>
          <w:szCs w:val="24"/>
        </w:rPr>
        <w:t xml:space="preserve"> </w:t>
      </w:r>
      <w:r>
        <w:rPr>
          <w:rFonts w:asciiTheme="majorBidi" w:eastAsia="Calibri" w:hAnsiTheme="majorBidi" w:cstheme="majorBidi"/>
          <w:szCs w:val="24"/>
        </w:rPr>
        <w:t>It</w:t>
      </w:r>
      <w:r w:rsidRPr="00F9248C">
        <w:rPr>
          <w:rFonts w:asciiTheme="majorBidi" w:hAnsiTheme="majorBidi"/>
        </w:rPr>
        <w:t xml:space="preserve"> seems reasonable that </w:t>
      </w:r>
      <w:r>
        <w:rPr>
          <w:rFonts w:asciiTheme="majorBidi" w:eastAsia="Calibri" w:hAnsiTheme="majorBidi" w:cstheme="majorBidi"/>
          <w:szCs w:val="24"/>
        </w:rPr>
        <w:t>these adolescents’</w:t>
      </w:r>
      <w:r w:rsidRPr="00AD0B3A">
        <w:rPr>
          <w:rFonts w:asciiTheme="majorBidi" w:eastAsia="Calibri" w:hAnsiTheme="majorBidi" w:cstheme="majorBidi"/>
          <w:szCs w:val="24"/>
        </w:rPr>
        <w:t xml:space="preserve"> choice</w:t>
      </w:r>
      <w:r>
        <w:rPr>
          <w:rFonts w:asciiTheme="majorBidi" w:eastAsia="Calibri" w:hAnsiTheme="majorBidi" w:cstheme="majorBidi"/>
          <w:szCs w:val="24"/>
        </w:rPr>
        <w:t>s</w:t>
      </w:r>
      <w:r w:rsidRPr="00F9248C">
        <w:rPr>
          <w:rFonts w:asciiTheme="majorBidi" w:hAnsiTheme="majorBidi"/>
        </w:rPr>
        <w:t xml:space="preserve"> to deny their skills and challenges is understandable and may serve as a protective strategy from personal failure </w:t>
      </w:r>
      <w:r>
        <w:rPr>
          <w:rFonts w:asciiTheme="majorBidi" w:eastAsia="Calibri" w:hAnsiTheme="majorBidi" w:cstheme="majorBidi"/>
          <w:szCs w:val="24"/>
        </w:rPr>
        <w:t>(Ohan &amp; Johnston, 2002; Owens et al., 2009)</w:t>
      </w:r>
      <w:r w:rsidRPr="000521FC">
        <w:rPr>
          <w:rFonts w:asciiTheme="majorBidi" w:eastAsia="Calibri" w:hAnsiTheme="majorBidi" w:cstheme="majorBidi"/>
          <w:szCs w:val="24"/>
        </w:rPr>
        <w:t>.</w:t>
      </w:r>
    </w:p>
    <w:p w14:paraId="5213B84F" w14:textId="3B7A109D" w:rsidR="00550691" w:rsidRPr="008C46F9" w:rsidRDefault="00550691" w:rsidP="00CB244E">
      <w:pPr>
        <w:contextualSpacing/>
        <w:rPr>
          <w:rFonts w:asciiTheme="majorBidi" w:hAnsiTheme="majorBidi"/>
          <w:b/>
          <w:bCs/>
          <w:i/>
          <w:iCs/>
        </w:rPr>
      </w:pPr>
      <w:r w:rsidRPr="008C46F9">
        <w:rPr>
          <w:rFonts w:asciiTheme="majorBidi" w:hAnsiTheme="majorBidi"/>
          <w:b/>
          <w:bCs/>
          <w:i/>
          <w:iCs/>
          <w:highlight w:val="lightGray"/>
        </w:rPr>
        <w:t>The environment</w:t>
      </w:r>
    </w:p>
    <w:p w14:paraId="0CBEB000" w14:textId="2C3988D0" w:rsidR="009C0CD9" w:rsidRDefault="009C0CD9" w:rsidP="000E12CC">
      <w:pPr>
        <w:contextualSpacing/>
        <w:rPr>
          <w:rFonts w:asciiTheme="majorBidi" w:hAnsiTheme="majorBidi"/>
        </w:rPr>
      </w:pPr>
      <w:r>
        <w:rPr>
          <w:rFonts w:asciiTheme="majorBidi" w:eastAsia="Calibri" w:hAnsiTheme="majorBidi" w:cstheme="majorBidi"/>
          <w:szCs w:val="24"/>
        </w:rPr>
        <w:t>A</w:t>
      </w:r>
      <w:r w:rsidRPr="00C072EB">
        <w:rPr>
          <w:rFonts w:asciiTheme="majorBidi" w:eastAsia="Calibri" w:hAnsiTheme="majorBidi" w:cstheme="majorBidi"/>
          <w:szCs w:val="24"/>
        </w:rPr>
        <w:t xml:space="preserve">dolescents </w:t>
      </w:r>
      <w:r>
        <w:rPr>
          <w:rFonts w:asciiTheme="majorBidi" w:eastAsia="Calibri" w:hAnsiTheme="majorBidi" w:cstheme="majorBidi"/>
          <w:szCs w:val="24"/>
        </w:rPr>
        <w:t>with EFD profiles</w:t>
      </w:r>
      <w:r w:rsidRPr="00F9248C">
        <w:rPr>
          <w:rFonts w:asciiTheme="majorBidi" w:hAnsiTheme="majorBidi"/>
        </w:rPr>
        <w:t xml:space="preserve"> experience years of struggle, particularly to fill the gap between </w:t>
      </w:r>
      <w:r w:rsidRPr="00C072EB">
        <w:rPr>
          <w:rFonts w:asciiTheme="majorBidi" w:eastAsia="Calibri" w:hAnsiTheme="majorBidi" w:cstheme="majorBidi"/>
          <w:szCs w:val="24"/>
        </w:rPr>
        <w:t>them</w:t>
      </w:r>
      <w:r>
        <w:rPr>
          <w:rFonts w:asciiTheme="majorBidi" w:eastAsia="Calibri" w:hAnsiTheme="majorBidi" w:cstheme="majorBidi"/>
          <w:szCs w:val="24"/>
        </w:rPr>
        <w:t>selves</w:t>
      </w:r>
      <w:r w:rsidRPr="00F9248C">
        <w:rPr>
          <w:rFonts w:asciiTheme="majorBidi" w:hAnsiTheme="majorBidi"/>
        </w:rPr>
        <w:t xml:space="preserve"> and expectations </w:t>
      </w:r>
      <w:r>
        <w:rPr>
          <w:rFonts w:asciiTheme="majorBidi" w:eastAsia="Calibri" w:hAnsiTheme="majorBidi" w:cstheme="majorBidi"/>
          <w:szCs w:val="24"/>
        </w:rPr>
        <w:t>from</w:t>
      </w:r>
      <w:r w:rsidRPr="00F9248C">
        <w:rPr>
          <w:rFonts w:asciiTheme="majorBidi" w:hAnsiTheme="majorBidi"/>
        </w:rPr>
        <w:t xml:space="preserve"> the environment. </w:t>
      </w:r>
      <w:r>
        <w:rPr>
          <w:rFonts w:asciiTheme="majorBidi" w:hAnsiTheme="majorBidi" w:cstheme="majorBidi"/>
          <w:color w:val="131413"/>
          <w:szCs w:val="24"/>
        </w:rPr>
        <w:t>The</w:t>
      </w:r>
      <w:r w:rsidRPr="00F9248C">
        <w:rPr>
          <w:rFonts w:asciiTheme="majorBidi" w:hAnsiTheme="majorBidi"/>
          <w:color w:val="131413"/>
        </w:rPr>
        <w:t xml:space="preserve"> literature indicated that </w:t>
      </w:r>
      <w:r>
        <w:rPr>
          <w:rFonts w:asciiTheme="majorBidi" w:hAnsiTheme="majorBidi"/>
          <w:color w:val="131413"/>
        </w:rPr>
        <w:t>this population</w:t>
      </w:r>
      <w:r w:rsidRPr="00F9248C">
        <w:rPr>
          <w:rFonts w:asciiTheme="majorBidi" w:hAnsiTheme="majorBidi"/>
          <w:color w:val="131413"/>
        </w:rPr>
        <w:t xml:space="preserve"> feel</w:t>
      </w:r>
      <w:r w:rsidR="00461DCF">
        <w:rPr>
          <w:rFonts w:asciiTheme="majorBidi" w:hAnsiTheme="majorBidi"/>
          <w:color w:val="131413"/>
        </w:rPr>
        <w:t>s from a young age that “something with me or my child is not the same as others” regarding</w:t>
      </w:r>
      <w:r w:rsidRPr="00F9248C">
        <w:rPr>
          <w:rFonts w:asciiTheme="majorBidi" w:hAnsiTheme="majorBidi"/>
          <w:color w:val="131413"/>
        </w:rPr>
        <w:t xml:space="preserve"> their daily functional capabilities </w:t>
      </w:r>
      <w:r>
        <w:rPr>
          <w:rFonts w:asciiTheme="majorBidi" w:hAnsiTheme="majorBidi" w:cstheme="majorBidi"/>
          <w:color w:val="131413"/>
          <w:szCs w:val="24"/>
        </w:rPr>
        <w:t>(Rosenblum et al., 2019)</w:t>
      </w:r>
      <w:r w:rsidRPr="00C072EB">
        <w:rPr>
          <w:rFonts w:asciiTheme="majorBidi" w:hAnsiTheme="majorBidi" w:cstheme="majorBidi"/>
          <w:color w:val="131413"/>
          <w:szCs w:val="24"/>
        </w:rPr>
        <w:t>.</w:t>
      </w:r>
      <w:r w:rsidRPr="00F9248C">
        <w:rPr>
          <w:rFonts w:asciiTheme="majorBidi" w:hAnsiTheme="majorBidi"/>
        </w:rPr>
        <w:t xml:space="preserve"> There is a discrepancy between </w:t>
      </w:r>
      <w:r w:rsidRPr="00C45635">
        <w:rPr>
          <w:rFonts w:asciiTheme="majorBidi" w:hAnsiTheme="majorBidi"/>
        </w:rPr>
        <w:t xml:space="preserve">what others see </w:t>
      </w:r>
      <w:r w:rsidRPr="00C45635">
        <w:rPr>
          <w:rFonts w:asciiTheme="majorBidi" w:eastAsia="Calibri" w:hAnsiTheme="majorBidi" w:cstheme="majorBidi"/>
          <w:szCs w:val="24"/>
        </w:rPr>
        <w:t>(i.e., the</w:t>
      </w:r>
      <w:r w:rsidRPr="00C45635">
        <w:rPr>
          <w:rFonts w:asciiTheme="majorBidi" w:hAnsiTheme="majorBidi"/>
        </w:rPr>
        <w:t xml:space="preserve"> adolescents have intelligence that is average or above average</w:t>
      </w:r>
      <w:r w:rsidRPr="00C45635">
        <w:rPr>
          <w:rFonts w:asciiTheme="majorBidi" w:eastAsia="Calibri" w:hAnsiTheme="majorBidi" w:cstheme="majorBidi"/>
          <w:szCs w:val="24"/>
        </w:rPr>
        <w:t>) and what is happening to those adolescents (Josman &amp; Rosenblum, 2018).</w:t>
      </w:r>
      <w:r w:rsidRPr="00C45635">
        <w:rPr>
          <w:rFonts w:asciiTheme="majorBidi" w:hAnsiTheme="majorBidi"/>
        </w:rPr>
        <w:t xml:space="preserve"> </w:t>
      </w:r>
    </w:p>
    <w:p w14:paraId="4C4036DB" w14:textId="62B8F588" w:rsidR="000E12CC" w:rsidRPr="00F9248C" w:rsidRDefault="000E12CC" w:rsidP="000E12CC">
      <w:pPr>
        <w:contextualSpacing/>
        <w:rPr>
          <w:rFonts w:asciiTheme="majorBidi" w:hAnsiTheme="majorBidi"/>
        </w:rPr>
      </w:pPr>
      <w:r w:rsidRPr="00F9248C">
        <w:rPr>
          <w:rFonts w:asciiTheme="majorBidi" w:hAnsiTheme="majorBidi"/>
        </w:rPr>
        <w:t xml:space="preserve">Adults tend to misunderstand EFD performance issues among </w:t>
      </w:r>
      <w:r>
        <w:rPr>
          <w:rFonts w:asciiTheme="majorBidi" w:eastAsia="Calibri" w:hAnsiTheme="majorBidi" w:cstheme="majorBidi"/>
          <w:szCs w:val="24"/>
        </w:rPr>
        <w:t>adolescents</w:t>
      </w:r>
      <w:r w:rsidRPr="00F9248C">
        <w:rPr>
          <w:rFonts w:asciiTheme="majorBidi" w:hAnsiTheme="majorBidi"/>
        </w:rPr>
        <w:t xml:space="preserve"> and </w:t>
      </w:r>
      <w:r>
        <w:rPr>
          <w:rFonts w:asciiTheme="majorBidi" w:eastAsia="Calibri" w:hAnsiTheme="majorBidi" w:cstheme="majorBidi"/>
          <w:szCs w:val="24"/>
        </w:rPr>
        <w:t xml:space="preserve">thus </w:t>
      </w:r>
      <w:r w:rsidRPr="00C072EB">
        <w:rPr>
          <w:rFonts w:asciiTheme="majorBidi" w:eastAsia="Calibri" w:hAnsiTheme="majorBidi" w:cstheme="majorBidi"/>
          <w:szCs w:val="24"/>
        </w:rPr>
        <w:t>refer to their externalizing behavior</w:t>
      </w:r>
      <w:r w:rsidRPr="00F9248C">
        <w:rPr>
          <w:rFonts w:asciiTheme="majorBidi" w:hAnsiTheme="majorBidi"/>
        </w:rPr>
        <w:t xml:space="preserve"> as lazy, lacking motivation, or willfully misbehaving</w:t>
      </w:r>
      <w:r w:rsidRPr="00C072EB">
        <w:rPr>
          <w:rFonts w:asciiTheme="majorBidi" w:eastAsia="Calibri" w:hAnsiTheme="majorBidi" w:cstheme="majorBidi"/>
          <w:szCs w:val="24"/>
        </w:rPr>
        <w:t xml:space="preserve"> </w:t>
      </w:r>
      <w:r>
        <w:rPr>
          <w:rFonts w:asciiTheme="majorBidi" w:eastAsia="Calibri" w:hAnsiTheme="majorBidi" w:cstheme="majorBidi"/>
          <w:szCs w:val="24"/>
        </w:rPr>
        <w:t>(Cramm et al., 2013).</w:t>
      </w:r>
      <w:r w:rsidRPr="00C072EB">
        <w:rPr>
          <w:rFonts w:asciiTheme="majorBidi" w:eastAsia="Calibri" w:hAnsiTheme="majorBidi" w:cstheme="majorBidi"/>
          <w:szCs w:val="24"/>
        </w:rPr>
        <w:t xml:space="preserve"> Those</w:t>
      </w:r>
      <w:r w:rsidRPr="00F9248C">
        <w:rPr>
          <w:rFonts w:asciiTheme="majorBidi" w:hAnsiTheme="majorBidi"/>
        </w:rPr>
        <w:t xml:space="preserve"> adolescents receive </w:t>
      </w:r>
      <w:r>
        <w:rPr>
          <w:rFonts w:asciiTheme="majorBidi" w:eastAsia="Calibri" w:hAnsiTheme="majorBidi" w:cstheme="majorBidi"/>
          <w:szCs w:val="24"/>
        </w:rPr>
        <w:t>mostly</w:t>
      </w:r>
      <w:r w:rsidRPr="00F9248C">
        <w:rPr>
          <w:rFonts w:asciiTheme="majorBidi" w:hAnsiTheme="majorBidi"/>
        </w:rPr>
        <w:t xml:space="preserve"> harmful </w:t>
      </w:r>
      <w:r>
        <w:rPr>
          <w:rFonts w:asciiTheme="majorBidi" w:eastAsia="Calibri" w:hAnsiTheme="majorBidi" w:cstheme="majorBidi"/>
          <w:szCs w:val="24"/>
        </w:rPr>
        <w:t>feedback, which</w:t>
      </w:r>
      <w:r w:rsidRPr="00F9248C">
        <w:rPr>
          <w:rFonts w:asciiTheme="majorBidi" w:hAnsiTheme="majorBidi"/>
        </w:rPr>
        <w:t xml:space="preserve"> may </w:t>
      </w:r>
      <w:r>
        <w:rPr>
          <w:rFonts w:asciiTheme="majorBidi" w:eastAsia="Calibri" w:hAnsiTheme="majorBidi" w:cstheme="majorBidi"/>
          <w:szCs w:val="24"/>
        </w:rPr>
        <w:t>influence</w:t>
      </w:r>
      <w:r w:rsidRPr="00F9248C">
        <w:rPr>
          <w:rFonts w:asciiTheme="majorBidi" w:hAnsiTheme="majorBidi"/>
        </w:rPr>
        <w:t xml:space="preserve"> their self-awareness. According to Toglia and Kirk </w:t>
      </w:r>
      <w:r>
        <w:rPr>
          <w:rFonts w:asciiTheme="majorBidi" w:eastAsia="Calibri" w:hAnsiTheme="majorBidi" w:cstheme="majorBidi"/>
          <w:szCs w:val="24"/>
        </w:rPr>
        <w:t>(2000)</w:t>
      </w:r>
      <w:r w:rsidRPr="00C072EB">
        <w:rPr>
          <w:rFonts w:asciiTheme="majorBidi" w:eastAsia="Calibri" w:hAnsiTheme="majorBidi" w:cstheme="majorBidi"/>
          <w:szCs w:val="24"/>
        </w:rPr>
        <w:t>,</w:t>
      </w:r>
      <w:r w:rsidRPr="00F9248C">
        <w:rPr>
          <w:rFonts w:asciiTheme="majorBidi" w:hAnsiTheme="majorBidi"/>
        </w:rPr>
        <w:t xml:space="preserve"> subjective cognitive abilities are </w:t>
      </w:r>
      <w:r w:rsidRPr="00C072EB">
        <w:rPr>
          <w:rFonts w:asciiTheme="majorBidi" w:eastAsia="Calibri" w:hAnsiTheme="majorBidi" w:cstheme="majorBidi"/>
          <w:szCs w:val="24"/>
        </w:rPr>
        <w:t xml:space="preserve">based </w:t>
      </w:r>
      <w:r w:rsidRPr="00F9248C">
        <w:rPr>
          <w:rFonts w:asciiTheme="majorBidi" w:hAnsiTheme="majorBidi"/>
        </w:rPr>
        <w:t>mainly on subjective feelings of effort and failure. Many times, adolescents</w:t>
      </w:r>
      <w:r w:rsidRPr="00C072EB">
        <w:rPr>
          <w:rFonts w:asciiTheme="majorBidi" w:eastAsia="Calibri" w:hAnsiTheme="majorBidi" w:cstheme="majorBidi"/>
          <w:szCs w:val="24"/>
        </w:rPr>
        <w:t xml:space="preserve"> </w:t>
      </w:r>
      <w:r>
        <w:rPr>
          <w:rFonts w:asciiTheme="majorBidi" w:eastAsia="Calibri" w:hAnsiTheme="majorBidi" w:cstheme="majorBidi"/>
          <w:szCs w:val="24"/>
        </w:rPr>
        <w:t>with E</w:t>
      </w:r>
      <w:r w:rsidR="009C0CD9">
        <w:rPr>
          <w:rFonts w:asciiTheme="majorBidi" w:eastAsia="Calibri" w:hAnsiTheme="majorBidi" w:cstheme="majorBidi"/>
          <w:szCs w:val="24"/>
        </w:rPr>
        <w:t>FD</w:t>
      </w:r>
      <w:r w:rsidRPr="00F9248C">
        <w:rPr>
          <w:rFonts w:asciiTheme="majorBidi" w:hAnsiTheme="majorBidi"/>
        </w:rPr>
        <w:t xml:space="preserve"> feel </w:t>
      </w:r>
      <w:r>
        <w:rPr>
          <w:rFonts w:asciiTheme="majorBidi" w:eastAsia="Calibri" w:hAnsiTheme="majorBidi" w:cstheme="majorBidi"/>
          <w:szCs w:val="24"/>
        </w:rPr>
        <w:t>they are</w:t>
      </w:r>
      <w:r w:rsidRPr="00F9248C">
        <w:rPr>
          <w:rFonts w:asciiTheme="majorBidi" w:hAnsiTheme="majorBidi"/>
        </w:rPr>
        <w:t xml:space="preserve"> “failures,” </w:t>
      </w:r>
      <w:r w:rsidRPr="00C072EB">
        <w:rPr>
          <w:rFonts w:asciiTheme="majorBidi" w:eastAsia="Calibri" w:hAnsiTheme="majorBidi" w:cstheme="majorBidi"/>
          <w:szCs w:val="24"/>
        </w:rPr>
        <w:t>“</w:t>
      </w:r>
      <w:r w:rsidRPr="00F9248C">
        <w:rPr>
          <w:rFonts w:asciiTheme="majorBidi" w:hAnsiTheme="majorBidi"/>
        </w:rPr>
        <w:t xml:space="preserve">disturbed,” “problematic,” “manipulative,” </w:t>
      </w:r>
      <w:r w:rsidRPr="00F9248C">
        <w:rPr>
          <w:rFonts w:asciiTheme="majorBidi" w:hAnsiTheme="majorBidi"/>
        </w:rPr>
        <w:lastRenderedPageBreak/>
        <w:t>and especially “do not use their potential.” These statements affect their ability to develop a healthy and adaptive self-awareness.</w:t>
      </w:r>
    </w:p>
    <w:p w14:paraId="5D0CE171" w14:textId="77777777" w:rsidR="006A3AD3" w:rsidRPr="00F9248C" w:rsidRDefault="006A3AD3" w:rsidP="006A3AD3">
      <w:pPr>
        <w:pStyle w:val="Heading2"/>
      </w:pPr>
      <w:r w:rsidRPr="00F9248C">
        <w:t>Conclusion</w:t>
      </w:r>
    </w:p>
    <w:p w14:paraId="52319759" w14:textId="0A5BCAB2" w:rsidR="006A3AD3" w:rsidRPr="00F9248C" w:rsidRDefault="006A3AD3" w:rsidP="006A3AD3">
      <w:pPr>
        <w:contextualSpacing/>
        <w:rPr>
          <w:rFonts w:asciiTheme="majorBidi" w:hAnsiTheme="majorBidi"/>
        </w:rPr>
      </w:pPr>
      <w:r w:rsidRPr="00F9248C">
        <w:rPr>
          <w:rFonts w:asciiTheme="majorBidi" w:hAnsiTheme="majorBidi"/>
        </w:rPr>
        <w:t xml:space="preserve">Self-awareness of EF </w:t>
      </w:r>
      <w:r>
        <w:rPr>
          <w:rFonts w:asciiTheme="majorBidi" w:hAnsiTheme="majorBidi"/>
        </w:rPr>
        <w:t xml:space="preserve">impairment </w:t>
      </w:r>
      <w:r w:rsidRPr="00F9248C">
        <w:rPr>
          <w:rFonts w:asciiTheme="majorBidi" w:hAnsiTheme="majorBidi"/>
        </w:rPr>
        <w:t xml:space="preserve">and performance is a complex and challenging factor for adolescents with </w:t>
      </w:r>
      <w:r w:rsidRPr="00C072EB">
        <w:rPr>
          <w:rFonts w:asciiTheme="majorBidi" w:eastAsia="Calibri" w:hAnsiTheme="majorBidi" w:cstheme="majorBidi"/>
          <w:szCs w:val="24"/>
        </w:rPr>
        <w:t>EFD</w:t>
      </w:r>
      <w:r>
        <w:rPr>
          <w:rFonts w:asciiTheme="majorBidi" w:eastAsia="Calibri" w:hAnsiTheme="majorBidi" w:cstheme="majorBidi"/>
          <w:szCs w:val="24"/>
        </w:rPr>
        <w:t>s. It</w:t>
      </w:r>
      <w:r w:rsidRPr="00F9248C">
        <w:rPr>
          <w:rFonts w:asciiTheme="majorBidi" w:hAnsiTheme="majorBidi"/>
        </w:rPr>
        <w:t xml:space="preserve"> is not an automatic process.</w:t>
      </w:r>
      <w:r>
        <w:rPr>
          <w:rFonts w:asciiTheme="majorBidi" w:eastAsia="Calibri" w:hAnsiTheme="majorBidi" w:cstheme="majorBidi"/>
          <w:szCs w:val="24"/>
        </w:rPr>
        <w:t xml:space="preserve"> </w:t>
      </w:r>
      <w:r w:rsidRPr="00EA7E00">
        <w:rPr>
          <w:rFonts w:asciiTheme="majorBidi" w:eastAsia="Calibri" w:hAnsiTheme="majorBidi" w:cstheme="majorBidi"/>
          <w:szCs w:val="24"/>
        </w:rPr>
        <w:t>F</w:t>
      </w:r>
      <w:r>
        <w:rPr>
          <w:rFonts w:asciiTheme="majorBidi" w:eastAsia="Calibri" w:hAnsiTheme="majorBidi" w:cstheme="majorBidi"/>
          <w:szCs w:val="24"/>
        </w:rPr>
        <w:t>irst, f</w:t>
      </w:r>
      <w:r w:rsidRPr="00EA7E00">
        <w:rPr>
          <w:rFonts w:asciiTheme="majorBidi" w:eastAsia="Calibri" w:hAnsiTheme="majorBidi" w:cstheme="majorBidi"/>
          <w:szCs w:val="24"/>
        </w:rPr>
        <w:t>rom</w:t>
      </w:r>
      <w:r w:rsidRPr="00F9248C">
        <w:rPr>
          <w:rFonts w:asciiTheme="majorBidi" w:hAnsiTheme="majorBidi"/>
        </w:rPr>
        <w:t xml:space="preserve"> a clinical </w:t>
      </w:r>
      <w:r w:rsidRPr="003E4F6F">
        <w:rPr>
          <w:rFonts w:asciiTheme="majorBidi" w:eastAsia="Calibri" w:hAnsiTheme="majorBidi" w:cstheme="majorBidi"/>
          <w:szCs w:val="24"/>
        </w:rPr>
        <w:t>view</w:t>
      </w:r>
      <w:r w:rsidRPr="00F9248C">
        <w:rPr>
          <w:rFonts w:asciiTheme="majorBidi" w:hAnsiTheme="majorBidi"/>
        </w:rPr>
        <w:t xml:space="preserve">point, there is a need to </w:t>
      </w:r>
      <w:r>
        <w:rPr>
          <w:rFonts w:asciiTheme="majorBidi" w:eastAsia="Calibri" w:hAnsiTheme="majorBidi" w:cstheme="majorBidi"/>
          <w:szCs w:val="24"/>
        </w:rPr>
        <w:t>view</w:t>
      </w:r>
      <w:r w:rsidRPr="00F9248C">
        <w:rPr>
          <w:rFonts w:asciiTheme="majorBidi" w:hAnsiTheme="majorBidi"/>
        </w:rPr>
        <w:t xml:space="preserve"> self-awareness as a significant component in therapy goals and to raise children’s awareness of their impairment, function, and performance. Second, </w:t>
      </w:r>
      <w:r w:rsidRPr="00C072EB">
        <w:rPr>
          <w:rFonts w:asciiTheme="majorBidi" w:eastAsia="Calibri" w:hAnsiTheme="majorBidi" w:cstheme="majorBidi"/>
          <w:szCs w:val="24"/>
        </w:rPr>
        <w:t>improve</w:t>
      </w:r>
      <w:r>
        <w:rPr>
          <w:rFonts w:asciiTheme="majorBidi" w:eastAsia="Calibri" w:hAnsiTheme="majorBidi" w:cstheme="majorBidi"/>
          <w:szCs w:val="24"/>
        </w:rPr>
        <w:t>d</w:t>
      </w:r>
      <w:r w:rsidRPr="00F9248C">
        <w:rPr>
          <w:rFonts w:asciiTheme="majorBidi" w:hAnsiTheme="majorBidi"/>
        </w:rPr>
        <w:t xml:space="preserve"> awareness of a specific task’s performance may </w:t>
      </w:r>
      <w:r>
        <w:rPr>
          <w:rFonts w:asciiTheme="majorBidi" w:eastAsia="Calibri" w:hAnsiTheme="majorBidi" w:cstheme="majorBidi"/>
          <w:szCs w:val="24"/>
        </w:rPr>
        <w:t>simply</w:t>
      </w:r>
      <w:r w:rsidRPr="00F9248C">
        <w:rPr>
          <w:rFonts w:asciiTheme="majorBidi" w:hAnsiTheme="majorBidi"/>
        </w:rPr>
        <w:t xml:space="preserve"> take longer to achieve compared to an actual improvement in performance. Thus, there is a need to train, practice, and build many experiences for children to help them gain more self-awareness.</w:t>
      </w:r>
    </w:p>
    <w:p w14:paraId="731EE94A" w14:textId="77777777" w:rsidR="006A6F51" w:rsidRPr="00F9248C" w:rsidRDefault="006A6F51" w:rsidP="006A6F51">
      <w:r w:rsidRPr="008C46F9">
        <w:t xml:space="preserve">This study highlights the complexity of gaining self-awareness among adolescents with EFDs, as expressed in Krasny-Pacini et al.’s (2015) online experience model. Those authors emphasized that to gain online awareness, a systematic process based on real experiences and adult mediation is needed after evaluating the child’s awareness level and advancing and gaining online awareness. Their model describes how task experience leads to gaining online awareness and a higher level of anticipatory awareness. They presented practical steps to assess the child in that process. According to Toglia </w:t>
      </w:r>
      <w:r w:rsidRPr="008C46F9">
        <w:rPr>
          <w:rFonts w:cs="Arial"/>
        </w:rPr>
        <w:t xml:space="preserve">(2018), </w:t>
      </w:r>
      <w:r w:rsidRPr="008C46F9">
        <w:t xml:space="preserve">as part of the multicontext (i.e., </w:t>
      </w:r>
      <w:proofErr w:type="gramStart"/>
      <w:r w:rsidRPr="008C46F9">
        <w:t>metacognitive</w:t>
      </w:r>
      <w:proofErr w:type="gramEnd"/>
      <w:r w:rsidRPr="008C46F9">
        <w:t xml:space="preserve"> and strategy-based) approach to interventions, </w:t>
      </w:r>
      <w:r w:rsidRPr="008C46F9">
        <w:rPr>
          <w:rFonts w:cs="Arial"/>
        </w:rPr>
        <w:t xml:space="preserve">each session should address and </w:t>
      </w:r>
      <w:r w:rsidRPr="008C46F9">
        <w:t>enhance self-monitoring and self-</w:t>
      </w:r>
      <w:r w:rsidRPr="008C46F9">
        <w:rPr>
          <w:rFonts w:cs="Arial"/>
        </w:rPr>
        <w:t>regulation</w:t>
      </w:r>
      <w:r w:rsidRPr="008C46F9">
        <w:t>. Using structured performance experiences helps participants rediscover themselves and redefine their knowledge of their strengths and weaknesses. Awareness training promotes self-efficacy and perceived self-control over performance (Toglia &amp; Kirk, 2000).</w:t>
      </w:r>
      <w:r w:rsidRPr="00F9248C">
        <w:t xml:space="preserve"> </w:t>
      </w:r>
    </w:p>
    <w:p w14:paraId="25C2616A" w14:textId="0BE9EA59" w:rsidR="006A3AD3" w:rsidRPr="00F9248C" w:rsidRDefault="006A3AD3" w:rsidP="00D33A46">
      <w:r>
        <w:t>T</w:t>
      </w:r>
      <w:r w:rsidRPr="00EA7E00">
        <w:t>heoretical</w:t>
      </w:r>
      <w:r>
        <w:t>ly, the current</w:t>
      </w:r>
      <w:r w:rsidRPr="00F9248C">
        <w:t xml:space="preserve"> study provides additional evidence highlighting this population’s complexity. Although we saw </w:t>
      </w:r>
      <w:r w:rsidRPr="00C072EB">
        <w:t>improve</w:t>
      </w:r>
      <w:r>
        <w:t>d</w:t>
      </w:r>
      <w:r w:rsidRPr="00F9248C">
        <w:t xml:space="preserve"> performance and achievement concerning daily function goals, </w:t>
      </w:r>
      <w:r>
        <w:t>the adolescents’</w:t>
      </w:r>
      <w:r w:rsidRPr="00F9248C">
        <w:rPr>
          <w:i/>
        </w:rPr>
        <w:t xml:space="preserve"> self-awareness </w:t>
      </w:r>
      <w:r w:rsidRPr="00F9248C">
        <w:t xml:space="preserve">of their performance stayed </w:t>
      </w:r>
      <w:r w:rsidRPr="00F9248C">
        <w:lastRenderedPageBreak/>
        <w:t xml:space="preserve">the same. </w:t>
      </w:r>
      <w:r>
        <w:t xml:space="preserve">These are invisible facets. </w:t>
      </w:r>
      <w:r w:rsidRPr="00F9248C">
        <w:t>These adolescents need continued follow-up, even after completing the treatment process</w:t>
      </w:r>
      <w:r w:rsidRPr="00F9248C">
        <w:rPr>
          <w:rtl/>
        </w:rPr>
        <w:t>.</w:t>
      </w:r>
      <w:r w:rsidRPr="00F9248C">
        <w:t xml:space="preserve"> </w:t>
      </w:r>
      <w:r w:rsidR="00785E48">
        <w:t xml:space="preserve">It </w:t>
      </w:r>
      <w:r w:rsidR="00D33A46">
        <w:t xml:space="preserve">may assume that their awareness is not always </w:t>
      </w:r>
      <w:r w:rsidR="0042425E">
        <w:t>task</w:t>
      </w:r>
      <w:r w:rsidR="0042425E">
        <w:t>-</w:t>
      </w:r>
      <w:r w:rsidR="007267A5">
        <w:t>depend</w:t>
      </w:r>
      <w:r w:rsidR="0042425E">
        <w:t xml:space="preserve">ent </w:t>
      </w:r>
      <w:proofErr w:type="gramStart"/>
      <w:r w:rsidR="0042425E">
        <w:t>on</w:t>
      </w:r>
      <w:proofErr w:type="gramEnd"/>
      <w:r w:rsidR="0042425E">
        <w:t xml:space="preserve"> and more components are involved</w:t>
      </w:r>
      <w:r w:rsidR="00D33A46">
        <w:t>.</w:t>
      </w:r>
    </w:p>
    <w:p w14:paraId="42BA1862" w14:textId="77777777" w:rsidR="00D30E82" w:rsidRPr="00F9248C" w:rsidRDefault="00D30E82" w:rsidP="00D30E82">
      <w:pPr>
        <w:pStyle w:val="Heading2"/>
      </w:pPr>
      <w:r w:rsidRPr="00F9248C">
        <w:t xml:space="preserve">Future </w:t>
      </w:r>
      <w:r>
        <w:t>S</w:t>
      </w:r>
      <w:r w:rsidRPr="00F9248C">
        <w:t xml:space="preserve">tudy and </w:t>
      </w:r>
      <w:r>
        <w:t>L</w:t>
      </w:r>
      <w:r w:rsidRPr="00F9248C">
        <w:t>imitations</w:t>
      </w:r>
    </w:p>
    <w:p w14:paraId="78463047" w14:textId="721D047B" w:rsidR="00D30E82" w:rsidRPr="00F9248C" w:rsidRDefault="00D30E82" w:rsidP="00D30E82">
      <w:pPr>
        <w:contextualSpacing/>
        <w:rPr>
          <w:rFonts w:asciiTheme="majorBidi" w:hAnsiTheme="majorBidi"/>
        </w:rPr>
      </w:pPr>
      <w:r w:rsidRPr="00C072EB">
        <w:rPr>
          <w:rFonts w:asciiTheme="majorBidi" w:eastAsia="Calibri" w:hAnsiTheme="majorBidi" w:cstheme="majorBidi"/>
          <w:szCs w:val="24"/>
        </w:rPr>
        <w:t>Th</w:t>
      </w:r>
      <w:r>
        <w:rPr>
          <w:rFonts w:asciiTheme="majorBidi" w:eastAsia="Calibri" w:hAnsiTheme="majorBidi" w:cstheme="majorBidi"/>
          <w:szCs w:val="24"/>
        </w:rPr>
        <w:t>is</w:t>
      </w:r>
      <w:r w:rsidRPr="00F9248C">
        <w:rPr>
          <w:rFonts w:asciiTheme="majorBidi" w:hAnsiTheme="majorBidi"/>
        </w:rPr>
        <w:t xml:space="preserve"> study leaves </w:t>
      </w:r>
      <w:r>
        <w:rPr>
          <w:rFonts w:asciiTheme="majorBidi" w:eastAsia="Calibri" w:hAnsiTheme="majorBidi" w:cstheme="majorBidi"/>
          <w:szCs w:val="24"/>
        </w:rPr>
        <w:t>unanswered</w:t>
      </w:r>
      <w:r w:rsidRPr="00F9248C">
        <w:rPr>
          <w:rFonts w:asciiTheme="majorBidi" w:hAnsiTheme="majorBidi"/>
        </w:rPr>
        <w:t xml:space="preserve"> questions and underscores the </w:t>
      </w:r>
      <w:r>
        <w:rPr>
          <w:rFonts w:asciiTheme="majorBidi" w:eastAsia="Calibri" w:hAnsiTheme="majorBidi" w:cstheme="majorBidi"/>
          <w:szCs w:val="24"/>
        </w:rPr>
        <w:t>need</w:t>
      </w:r>
      <w:r w:rsidRPr="00F9248C">
        <w:rPr>
          <w:rFonts w:asciiTheme="majorBidi" w:hAnsiTheme="majorBidi"/>
        </w:rPr>
        <w:t xml:space="preserve"> for further research</w:t>
      </w:r>
      <w:r w:rsidRPr="00C072EB">
        <w:rPr>
          <w:rFonts w:asciiTheme="majorBidi" w:eastAsia="Calibri" w:hAnsiTheme="majorBidi" w:cstheme="majorBidi"/>
          <w:szCs w:val="24"/>
        </w:rPr>
        <w:t xml:space="preserve">. </w:t>
      </w:r>
      <w:r>
        <w:rPr>
          <w:rFonts w:asciiTheme="majorBidi" w:eastAsia="Calibri" w:hAnsiTheme="majorBidi" w:cstheme="majorBidi"/>
          <w:szCs w:val="24"/>
        </w:rPr>
        <w:t xml:space="preserve">We tested </w:t>
      </w:r>
      <w:r w:rsidRPr="00F9248C">
        <w:rPr>
          <w:rFonts w:asciiTheme="majorBidi" w:hAnsiTheme="majorBidi"/>
        </w:rPr>
        <w:t xml:space="preserve">self-awareness using questions before and after performing a CCT task. It is crucial to examine findings on other performance tasks related to </w:t>
      </w:r>
      <w:r>
        <w:rPr>
          <w:rFonts w:asciiTheme="majorBidi" w:eastAsia="Calibri" w:hAnsiTheme="majorBidi" w:cstheme="majorBidi"/>
          <w:szCs w:val="24"/>
        </w:rPr>
        <w:t>adolescents’</w:t>
      </w:r>
      <w:r w:rsidRPr="00F9248C">
        <w:rPr>
          <w:rFonts w:asciiTheme="majorBidi" w:hAnsiTheme="majorBidi"/>
        </w:rPr>
        <w:t xml:space="preserve"> daily functioning, such as writing, play, and social</w:t>
      </w:r>
      <w:r>
        <w:rPr>
          <w:rFonts w:asciiTheme="majorBidi" w:eastAsia="Calibri" w:hAnsiTheme="majorBidi" w:cstheme="majorBidi"/>
          <w:szCs w:val="24"/>
        </w:rPr>
        <w:t>-</w:t>
      </w:r>
      <w:r w:rsidRPr="00F9248C">
        <w:rPr>
          <w:rFonts w:asciiTheme="majorBidi" w:hAnsiTheme="majorBidi"/>
        </w:rPr>
        <w:t xml:space="preserve">participation activities, to understand whether self-awareness of </w:t>
      </w:r>
      <w:r w:rsidR="00FF5472" w:rsidRPr="00F9248C">
        <w:rPr>
          <w:rFonts w:asciiTheme="majorBidi" w:hAnsiTheme="majorBidi"/>
        </w:rPr>
        <w:t>performance</w:t>
      </w:r>
      <w:r w:rsidR="00FF5472">
        <w:rPr>
          <w:rFonts w:asciiTheme="majorBidi" w:hAnsiTheme="majorBidi"/>
        </w:rPr>
        <w:t xml:space="preserve"> is task-dependent and </w:t>
      </w:r>
      <w:r w:rsidR="00FF5472" w:rsidRPr="00F9248C">
        <w:rPr>
          <w:rFonts w:asciiTheme="majorBidi" w:hAnsiTheme="majorBidi"/>
        </w:rPr>
        <w:t>remains</w:t>
      </w:r>
      <w:r w:rsidRPr="00F9248C">
        <w:rPr>
          <w:rFonts w:asciiTheme="majorBidi" w:hAnsiTheme="majorBidi"/>
        </w:rPr>
        <w:t xml:space="preserve"> </w:t>
      </w:r>
      <w:r w:rsidR="0042425E">
        <w:rPr>
          <w:rFonts w:asciiTheme="majorBidi" w:hAnsiTheme="majorBidi"/>
        </w:rPr>
        <w:t>consisten</w:t>
      </w:r>
      <w:r w:rsidR="0042425E">
        <w:rPr>
          <w:rFonts w:asciiTheme="majorBidi" w:hAnsiTheme="majorBidi"/>
        </w:rPr>
        <w:t>t</w:t>
      </w:r>
      <w:r w:rsidR="0042425E" w:rsidRPr="00F9248C">
        <w:rPr>
          <w:rFonts w:asciiTheme="majorBidi" w:hAnsiTheme="majorBidi"/>
        </w:rPr>
        <w:t xml:space="preserve"> </w:t>
      </w:r>
      <w:r w:rsidRPr="00F9248C">
        <w:rPr>
          <w:rFonts w:asciiTheme="majorBidi" w:hAnsiTheme="majorBidi"/>
        </w:rPr>
        <w:t xml:space="preserve">even if the </w:t>
      </w:r>
      <w:r>
        <w:rPr>
          <w:rFonts w:asciiTheme="majorBidi" w:eastAsia="Calibri" w:hAnsiTheme="majorBidi" w:cstheme="majorBidi"/>
          <w:szCs w:val="24"/>
        </w:rPr>
        <w:t xml:space="preserve">adolescent’s </w:t>
      </w:r>
      <w:r w:rsidRPr="00C072EB">
        <w:rPr>
          <w:rFonts w:asciiTheme="majorBidi" w:eastAsia="Calibri" w:hAnsiTheme="majorBidi" w:cstheme="majorBidi"/>
          <w:szCs w:val="24"/>
        </w:rPr>
        <w:t>performance has improved.</w:t>
      </w:r>
      <w:r>
        <w:rPr>
          <w:rFonts w:asciiTheme="majorBidi" w:eastAsia="Calibri" w:hAnsiTheme="majorBidi" w:cstheme="majorBidi"/>
          <w:szCs w:val="24"/>
        </w:rPr>
        <w:t xml:space="preserve"> Further</w:t>
      </w:r>
      <w:r w:rsidRPr="00C072EB">
        <w:rPr>
          <w:rFonts w:asciiTheme="majorBidi" w:eastAsia="Calibri" w:hAnsiTheme="majorBidi" w:cstheme="majorBidi"/>
          <w:szCs w:val="24"/>
        </w:rPr>
        <w:t xml:space="preserve">, </w:t>
      </w:r>
      <w:r>
        <w:rPr>
          <w:rFonts w:asciiTheme="majorBidi" w:eastAsia="Calibri" w:hAnsiTheme="majorBidi" w:cstheme="majorBidi"/>
          <w:szCs w:val="24"/>
        </w:rPr>
        <w:t xml:space="preserve">we </w:t>
      </w:r>
      <w:r w:rsidR="00FF5472">
        <w:rPr>
          <w:rFonts w:asciiTheme="majorBidi" w:eastAsia="Calibri" w:hAnsiTheme="majorBidi" w:cstheme="majorBidi"/>
          <w:szCs w:val="24"/>
        </w:rPr>
        <w:t>analyzed</w:t>
      </w:r>
      <w:r w:rsidR="00FF5472">
        <w:rPr>
          <w:rFonts w:asciiTheme="majorBidi" w:eastAsia="Calibri" w:hAnsiTheme="majorBidi" w:cstheme="majorBidi"/>
          <w:szCs w:val="24"/>
        </w:rPr>
        <w:t xml:space="preserve"> </w:t>
      </w:r>
      <w:r>
        <w:rPr>
          <w:rFonts w:asciiTheme="majorBidi" w:eastAsia="Calibri" w:hAnsiTheme="majorBidi" w:cstheme="majorBidi"/>
          <w:szCs w:val="24"/>
        </w:rPr>
        <w:t>s</w:t>
      </w:r>
      <w:r w:rsidRPr="00C072EB">
        <w:rPr>
          <w:rFonts w:asciiTheme="majorBidi" w:eastAsia="Calibri" w:hAnsiTheme="majorBidi" w:cstheme="majorBidi"/>
          <w:szCs w:val="24"/>
        </w:rPr>
        <w:t>elf-awareness of performance in only one way</w:t>
      </w:r>
      <w:r>
        <w:rPr>
          <w:rFonts w:asciiTheme="majorBidi" w:eastAsia="Calibri" w:hAnsiTheme="majorBidi" w:cstheme="majorBidi"/>
          <w:szCs w:val="24"/>
        </w:rPr>
        <w:t xml:space="preserve">, although </w:t>
      </w:r>
      <w:r w:rsidRPr="00C072EB">
        <w:rPr>
          <w:rFonts w:asciiTheme="majorBidi" w:eastAsia="Calibri" w:hAnsiTheme="majorBidi" w:cstheme="majorBidi"/>
          <w:szCs w:val="24"/>
        </w:rPr>
        <w:t xml:space="preserve">there are </w:t>
      </w:r>
      <w:r>
        <w:rPr>
          <w:rFonts w:asciiTheme="majorBidi" w:eastAsia="Calibri" w:hAnsiTheme="majorBidi" w:cstheme="majorBidi"/>
          <w:szCs w:val="24"/>
        </w:rPr>
        <w:t>multiple</w:t>
      </w:r>
      <w:r w:rsidRPr="00C072EB">
        <w:rPr>
          <w:rFonts w:asciiTheme="majorBidi" w:eastAsia="Calibri" w:hAnsiTheme="majorBidi" w:cstheme="majorBidi"/>
          <w:szCs w:val="24"/>
        </w:rPr>
        <w:t xml:space="preserve"> tools </w:t>
      </w:r>
      <w:r>
        <w:rPr>
          <w:rFonts w:asciiTheme="majorBidi" w:eastAsia="Calibri" w:hAnsiTheme="majorBidi" w:cstheme="majorBidi"/>
          <w:szCs w:val="24"/>
        </w:rPr>
        <w:t>to</w:t>
      </w:r>
      <w:r w:rsidRPr="00C072EB">
        <w:rPr>
          <w:rFonts w:asciiTheme="majorBidi" w:eastAsia="Calibri" w:hAnsiTheme="majorBidi" w:cstheme="majorBidi"/>
          <w:szCs w:val="24"/>
        </w:rPr>
        <w:t xml:space="preserve"> test awareness. </w:t>
      </w:r>
      <w:r>
        <w:rPr>
          <w:rFonts w:asciiTheme="majorBidi" w:eastAsia="Calibri" w:hAnsiTheme="majorBidi" w:cstheme="majorBidi"/>
          <w:szCs w:val="24"/>
        </w:rPr>
        <w:t>I</w:t>
      </w:r>
      <w:r w:rsidRPr="00C072EB">
        <w:rPr>
          <w:rFonts w:asciiTheme="majorBidi" w:eastAsia="Calibri" w:hAnsiTheme="majorBidi" w:cstheme="majorBidi"/>
          <w:szCs w:val="24"/>
        </w:rPr>
        <w:t xml:space="preserve">t is necessary to </w:t>
      </w:r>
      <w:r>
        <w:rPr>
          <w:rFonts w:asciiTheme="majorBidi" w:eastAsia="Calibri" w:hAnsiTheme="majorBidi" w:cstheme="majorBidi"/>
          <w:szCs w:val="24"/>
        </w:rPr>
        <w:t>assess</w:t>
      </w:r>
      <w:r w:rsidRPr="00C072EB">
        <w:rPr>
          <w:rFonts w:asciiTheme="majorBidi" w:eastAsia="Calibri" w:hAnsiTheme="majorBidi" w:cstheme="majorBidi"/>
          <w:szCs w:val="24"/>
        </w:rPr>
        <w:t xml:space="preserve"> self-awareness of performance using different tools to </w:t>
      </w:r>
      <w:r>
        <w:rPr>
          <w:rFonts w:asciiTheme="majorBidi" w:eastAsia="Calibri" w:hAnsiTheme="majorBidi" w:cstheme="majorBidi"/>
          <w:szCs w:val="24"/>
        </w:rPr>
        <w:t>verify the reliability of the online</w:t>
      </w:r>
      <w:r w:rsidRPr="00D75118">
        <w:rPr>
          <w:rFonts w:asciiTheme="majorBidi" w:eastAsia="Calibri" w:hAnsiTheme="majorBidi" w:cstheme="majorBidi"/>
          <w:szCs w:val="24"/>
        </w:rPr>
        <w:t xml:space="preserve"> </w:t>
      </w:r>
      <w:r>
        <w:rPr>
          <w:rFonts w:asciiTheme="majorBidi" w:eastAsia="Calibri" w:hAnsiTheme="majorBidi" w:cstheme="majorBidi"/>
          <w:szCs w:val="24"/>
        </w:rPr>
        <w:t>self-awareness</w:t>
      </w:r>
      <w:r w:rsidRPr="00C072EB">
        <w:rPr>
          <w:rFonts w:asciiTheme="majorBidi" w:eastAsia="Calibri" w:hAnsiTheme="majorBidi" w:cstheme="majorBidi"/>
          <w:szCs w:val="24"/>
        </w:rPr>
        <w:t xml:space="preserve"> questionnaire</w:t>
      </w:r>
      <w:r w:rsidRPr="00F9248C">
        <w:rPr>
          <w:rFonts w:asciiTheme="majorBidi" w:hAnsiTheme="majorBidi"/>
        </w:rPr>
        <w:t>.</w:t>
      </w:r>
    </w:p>
    <w:p w14:paraId="37B71B57" w14:textId="6F040D01" w:rsidR="00D30E82" w:rsidRPr="00F9248C" w:rsidRDefault="00D30E82" w:rsidP="00D30E82">
      <w:r w:rsidRPr="00F9248C">
        <w:t xml:space="preserve">Follow-up studies should examine </w:t>
      </w:r>
      <w:r>
        <w:t>adolescents’</w:t>
      </w:r>
      <w:r w:rsidRPr="00F9248C">
        <w:t xml:space="preserve"> self-awareness over time with and without therapeutic intervention. Additional components related to the </w:t>
      </w:r>
      <w:r>
        <w:t>adolescent’s</w:t>
      </w:r>
      <w:r w:rsidRPr="00F9248C">
        <w:t xml:space="preserve"> environment</w:t>
      </w:r>
      <w:r w:rsidR="00461DCF">
        <w:t xml:space="preserve"> should be examined, such as the parents’ attitudes and educational framework toward their child and the adolescent’s developmental and medical history and emotional elements that may be expressed and affect self-awareness</w:t>
      </w:r>
      <w:r w:rsidRPr="00F9248C">
        <w:t>.</w:t>
      </w:r>
    </w:p>
    <w:p w14:paraId="52914CE3" w14:textId="77777777" w:rsidR="00D30E82" w:rsidRDefault="00D30E82" w:rsidP="00CB244E">
      <w:pPr>
        <w:pStyle w:val="Heading2"/>
      </w:pPr>
    </w:p>
    <w:p w14:paraId="784407F1" w14:textId="77777777" w:rsidR="00CB244E" w:rsidRDefault="00CB244E" w:rsidP="00CB244E">
      <w:pPr>
        <w:rPr>
          <w:rtl/>
        </w:rPr>
      </w:pPr>
    </w:p>
    <w:p w14:paraId="643FED67" w14:textId="608FD0F9" w:rsidR="00CB5C19" w:rsidRPr="00CB5C19" w:rsidRDefault="00CB5C19" w:rsidP="007B1F49">
      <w:pPr>
        <w:pStyle w:val="Heading1"/>
        <w:jc w:val="left"/>
        <w:rPr>
          <w:rFonts w:eastAsia="Times New Roman"/>
          <w:lang w:eastAsia="en-GB"/>
        </w:rPr>
      </w:pPr>
      <w:r w:rsidRPr="00CB5C19">
        <w:rPr>
          <w:rFonts w:eastAsia="Times New Roman"/>
          <w:lang w:eastAsia="en-GB"/>
        </w:rPr>
        <w:t>Acknowledgment</w:t>
      </w:r>
      <w:r>
        <w:rPr>
          <w:rFonts w:eastAsia="Times New Roman"/>
          <w:lang w:eastAsia="en-GB"/>
        </w:rPr>
        <w:t>s</w:t>
      </w:r>
    </w:p>
    <w:p w14:paraId="403FCB72" w14:textId="396D2623" w:rsidR="00B7640E" w:rsidRDefault="0070517D" w:rsidP="00405164">
      <w:pPr>
        <w:ind w:firstLine="0"/>
        <w:rPr>
          <w:b/>
        </w:rPr>
      </w:pPr>
      <w:r w:rsidRPr="00EC2099">
        <w:rPr>
          <w:b/>
          <w:bCs/>
        </w:rPr>
        <w:t>Conflict of Interest</w:t>
      </w:r>
      <w:r>
        <w:t>: None.</w:t>
      </w:r>
      <w:r w:rsidR="004D67BE">
        <w:t xml:space="preserve"> </w:t>
      </w:r>
      <w:r w:rsidR="00181578" w:rsidRPr="00EC2099">
        <w:rPr>
          <w:b/>
          <w:bCs/>
        </w:rPr>
        <w:t>Funding</w:t>
      </w:r>
      <w:r w:rsidR="00E856E1">
        <w:t xml:space="preserve">. </w:t>
      </w:r>
      <w:r w:rsidR="00B7640E" w:rsidRPr="00B7640E">
        <w:t>This research did not receive any specific grant from funding agencies in the public, commercial, or not-for-profit sectors.</w:t>
      </w:r>
    </w:p>
    <w:p w14:paraId="49F5241C" w14:textId="77777777" w:rsidR="00CB244E" w:rsidRDefault="00CB244E" w:rsidP="00CB244E">
      <w:pPr>
        <w:pStyle w:val="Heading1"/>
        <w:jc w:val="left"/>
      </w:pPr>
    </w:p>
    <w:p w14:paraId="7C731713" w14:textId="5BAEC293" w:rsidR="005127F8" w:rsidRPr="00F9248C" w:rsidRDefault="005127F8" w:rsidP="007B1F49">
      <w:pPr>
        <w:pStyle w:val="Heading1"/>
        <w:jc w:val="left"/>
      </w:pPr>
      <w:r w:rsidRPr="00F9248C">
        <w:t>References</w:t>
      </w:r>
    </w:p>
    <w:p w14:paraId="4D5786A0" w14:textId="77777777" w:rsidR="00CA77FE" w:rsidRPr="00A6382B" w:rsidRDefault="00CA77FE">
      <w:pPr>
        <w:pStyle w:val="Bibliography"/>
      </w:pPr>
      <w:r w:rsidRPr="00206ADB">
        <w:rPr>
          <w:shd w:val="clear" w:color="auto" w:fill="FFFFFF"/>
        </w:rPr>
        <w:t>Bar-Ilan</w:t>
      </w:r>
      <w:r>
        <w:rPr>
          <w:shd w:val="clear" w:color="auto" w:fill="FFFFFF"/>
        </w:rPr>
        <w:t>,</w:t>
      </w:r>
      <w:r w:rsidRPr="00206ADB">
        <w:rPr>
          <w:shd w:val="clear" w:color="auto" w:fill="FFFFFF"/>
        </w:rPr>
        <w:t xml:space="preserve"> R</w:t>
      </w:r>
      <w:r>
        <w:rPr>
          <w:shd w:val="clear" w:color="auto" w:fill="FFFFFF"/>
        </w:rPr>
        <w:t xml:space="preserve">. </w:t>
      </w:r>
      <w:r w:rsidRPr="00206ADB">
        <w:rPr>
          <w:shd w:val="clear" w:color="auto" w:fill="FFFFFF"/>
        </w:rPr>
        <w:t>T</w:t>
      </w:r>
      <w:r>
        <w:rPr>
          <w:shd w:val="clear" w:color="auto" w:fill="FFFFFF"/>
        </w:rPr>
        <w:t>.</w:t>
      </w:r>
      <w:r w:rsidRPr="00206ADB">
        <w:rPr>
          <w:shd w:val="clear" w:color="auto" w:fill="FFFFFF"/>
        </w:rPr>
        <w:t>, Cohen</w:t>
      </w:r>
      <w:r>
        <w:rPr>
          <w:shd w:val="clear" w:color="auto" w:fill="FFFFFF"/>
        </w:rPr>
        <w:t>,</w:t>
      </w:r>
      <w:r w:rsidRPr="00206ADB">
        <w:rPr>
          <w:shd w:val="clear" w:color="auto" w:fill="FFFFFF"/>
        </w:rPr>
        <w:t xml:space="preserve"> </w:t>
      </w:r>
      <w:r w:rsidRPr="00A6382B">
        <w:rPr>
          <w:shd w:val="clear" w:color="auto" w:fill="FFFFFF"/>
        </w:rPr>
        <w:t>N</w:t>
      </w:r>
      <w:r>
        <w:rPr>
          <w:shd w:val="clear" w:color="auto" w:fill="FFFFFF"/>
        </w:rPr>
        <w:t>.</w:t>
      </w:r>
      <w:r w:rsidRPr="00A6382B">
        <w:rPr>
          <w:shd w:val="clear" w:color="auto" w:fill="FFFFFF"/>
        </w:rPr>
        <w:t xml:space="preserve">, </w:t>
      </w:r>
      <w:r>
        <w:rPr>
          <w:shd w:val="clear" w:color="auto" w:fill="FFFFFF"/>
        </w:rPr>
        <w:t xml:space="preserve">&amp; </w:t>
      </w:r>
      <w:r w:rsidRPr="00A6382B">
        <w:rPr>
          <w:shd w:val="clear" w:color="auto" w:fill="FFFFFF"/>
        </w:rPr>
        <w:t>Maeir</w:t>
      </w:r>
      <w:r>
        <w:rPr>
          <w:shd w:val="clear" w:color="auto" w:fill="FFFFFF"/>
        </w:rPr>
        <w:t>,</w:t>
      </w:r>
      <w:r w:rsidRPr="00A6382B">
        <w:rPr>
          <w:shd w:val="clear" w:color="auto" w:fill="FFFFFF"/>
        </w:rPr>
        <w:t xml:space="preserve"> A</w:t>
      </w:r>
      <w:r>
        <w:rPr>
          <w:shd w:val="clear" w:color="auto" w:fill="FFFFFF"/>
        </w:rPr>
        <w:t xml:space="preserve">. (2018). </w:t>
      </w:r>
      <w:r w:rsidRPr="00A6382B">
        <w:rPr>
          <w:shd w:val="clear" w:color="auto" w:fill="FFFFFF"/>
        </w:rPr>
        <w:t xml:space="preserve">Comparison </w:t>
      </w:r>
      <w:r w:rsidRPr="000B6B08">
        <w:rPr>
          <w:shd w:val="clear" w:color="auto" w:fill="FFFFFF"/>
        </w:rPr>
        <w:t xml:space="preserve">of children with and without </w:t>
      </w:r>
      <w:r>
        <w:rPr>
          <w:shd w:val="clear" w:color="auto" w:fill="FFFFFF"/>
        </w:rPr>
        <w:t>ADHD</w:t>
      </w:r>
      <w:r w:rsidRPr="00A6382B">
        <w:rPr>
          <w:shd w:val="clear" w:color="auto" w:fill="FFFFFF"/>
        </w:rPr>
        <w:t xml:space="preserve"> on a new pictorial self-assessment of executive functions.</w:t>
      </w:r>
      <w:r>
        <w:rPr>
          <w:shd w:val="clear" w:color="auto" w:fill="FFFFFF"/>
        </w:rPr>
        <w:t xml:space="preserve"> </w:t>
      </w:r>
      <w:r w:rsidRPr="00CA77FE">
        <w:rPr>
          <w:i/>
          <w:iCs/>
          <w:shd w:val="clear" w:color="auto" w:fill="FFFFFF"/>
        </w:rPr>
        <w:t>American Journal of Occupational Therapy</w:t>
      </w:r>
      <w:r>
        <w:rPr>
          <w:shd w:val="clear" w:color="auto" w:fill="FFFFFF"/>
        </w:rPr>
        <w:t xml:space="preserve">, </w:t>
      </w:r>
      <w:r w:rsidRPr="00CA77FE">
        <w:rPr>
          <w:i/>
          <w:iCs/>
          <w:shd w:val="clear" w:color="auto" w:fill="FFFFFF"/>
        </w:rPr>
        <w:t>72</w:t>
      </w:r>
      <w:r>
        <w:rPr>
          <w:shd w:val="clear" w:color="auto" w:fill="FFFFFF"/>
        </w:rPr>
        <w:t xml:space="preserve">, </w:t>
      </w:r>
      <w:r w:rsidRPr="00A6382B">
        <w:rPr>
          <w:shd w:val="clear" w:color="auto" w:fill="FFFFFF"/>
        </w:rPr>
        <w:t>7203205040p1</w:t>
      </w:r>
      <w:r>
        <w:rPr>
          <w:shd w:val="clear" w:color="auto" w:fill="FFFFFF"/>
        </w:rPr>
        <w:t>–</w:t>
      </w:r>
      <w:r w:rsidRPr="00A6382B">
        <w:rPr>
          <w:shd w:val="clear" w:color="auto" w:fill="FFFFFF"/>
        </w:rPr>
        <w:t>7203205040p9.</w:t>
      </w:r>
      <w:r w:rsidRPr="00A6382B">
        <w:t xml:space="preserve"> </w:t>
      </w:r>
      <w:r w:rsidRPr="008A75A1">
        <w:t>https://doi.org/10.5014/ajot.2018.021485</w:t>
      </w:r>
    </w:p>
    <w:p w14:paraId="31D48F27" w14:textId="686EC470" w:rsidR="00CA77FE" w:rsidRPr="00A6382B" w:rsidRDefault="00CA77FE">
      <w:pPr>
        <w:pStyle w:val="Bibliography"/>
        <w:rPr>
          <w:lang w:bidi="ar-SA"/>
        </w:rPr>
      </w:pPr>
      <w:r w:rsidRPr="00A6382B">
        <w:t>Brown</w:t>
      </w:r>
      <w:r>
        <w:t>,</w:t>
      </w:r>
      <w:r w:rsidRPr="00A6382B">
        <w:t xml:space="preserve"> A.</w:t>
      </w:r>
      <w:r>
        <w:t xml:space="preserve"> (1987).</w:t>
      </w:r>
      <w:r w:rsidRPr="00F9248C">
        <w:t xml:space="preserve"> Metacognition, executive control, self-</w:t>
      </w:r>
      <w:proofErr w:type="gramStart"/>
      <w:r w:rsidRPr="00F9248C">
        <w:t>regulation</w:t>
      </w:r>
      <w:proofErr w:type="gramEnd"/>
      <w:r w:rsidRPr="00F9248C">
        <w:t xml:space="preserve"> and other more mysterious mechanisms. </w:t>
      </w:r>
      <w:r w:rsidRPr="00A6382B">
        <w:t>In</w:t>
      </w:r>
      <w:r>
        <w:t xml:space="preserve"> F. E.</w:t>
      </w:r>
      <w:r w:rsidRPr="00A6382B">
        <w:t xml:space="preserve"> Weinert </w:t>
      </w:r>
      <w:r>
        <w:t xml:space="preserve">&amp; R. H. </w:t>
      </w:r>
      <w:r w:rsidRPr="00A6382B">
        <w:t xml:space="preserve">Kluwe </w:t>
      </w:r>
      <w:r>
        <w:t>(Eds.),</w:t>
      </w:r>
      <w:r w:rsidRPr="00A6382B">
        <w:t xml:space="preserve"> </w:t>
      </w:r>
      <w:r w:rsidRPr="00CA77FE">
        <w:rPr>
          <w:i/>
          <w:iCs/>
        </w:rPr>
        <w:t>Metacognition, motivation and understanding</w:t>
      </w:r>
      <w:r>
        <w:t xml:space="preserve"> (p</w:t>
      </w:r>
      <w:r w:rsidRPr="00A6382B">
        <w:t>p. 65–116</w:t>
      </w:r>
      <w:r>
        <w:t>)</w:t>
      </w:r>
      <w:r w:rsidRPr="00A6382B">
        <w:t>. Lawrence Erlbaum.</w:t>
      </w:r>
    </w:p>
    <w:p w14:paraId="42849BA4" w14:textId="77777777" w:rsidR="00CA77FE" w:rsidRPr="002D1C6F" w:rsidRDefault="00CA77FE">
      <w:pPr>
        <w:pStyle w:val="Bibliography"/>
        <w:rPr>
          <w:szCs w:val="24"/>
        </w:rPr>
      </w:pPr>
      <w:r w:rsidRPr="002D1C6F">
        <w:rPr>
          <w:rFonts w:eastAsia="Times New Roman"/>
          <w:szCs w:val="24"/>
          <w:lang w:bidi="ar-SA"/>
        </w:rPr>
        <w:t>Cermak</w:t>
      </w:r>
      <w:r>
        <w:rPr>
          <w:rFonts w:eastAsia="Times New Roman"/>
          <w:szCs w:val="24"/>
          <w:lang w:bidi="ar-SA"/>
        </w:rPr>
        <w:t>,</w:t>
      </w:r>
      <w:r w:rsidRPr="002D1C6F">
        <w:rPr>
          <w:rFonts w:eastAsia="Times New Roman"/>
          <w:szCs w:val="24"/>
          <w:lang w:bidi="ar-SA"/>
        </w:rPr>
        <w:t xml:space="preserve"> S</w:t>
      </w:r>
      <w:r>
        <w:rPr>
          <w:rFonts w:eastAsia="Times New Roman"/>
          <w:szCs w:val="24"/>
          <w:lang w:bidi="ar-SA"/>
        </w:rPr>
        <w:t xml:space="preserve">. </w:t>
      </w:r>
      <w:r w:rsidRPr="002D1C6F">
        <w:rPr>
          <w:rFonts w:eastAsia="Times New Roman"/>
          <w:szCs w:val="24"/>
          <w:lang w:bidi="ar-SA"/>
        </w:rPr>
        <w:t>A</w:t>
      </w:r>
      <w:r>
        <w:rPr>
          <w:rFonts w:eastAsia="Times New Roman"/>
          <w:szCs w:val="24"/>
          <w:lang w:bidi="ar-SA"/>
        </w:rPr>
        <w:t>.</w:t>
      </w:r>
      <w:r w:rsidRPr="002D1C6F">
        <w:rPr>
          <w:rFonts w:eastAsia="Times New Roman"/>
          <w:szCs w:val="24"/>
          <w:lang w:bidi="ar-SA"/>
        </w:rPr>
        <w:t xml:space="preserve">, </w:t>
      </w:r>
      <w:r>
        <w:rPr>
          <w:rFonts w:eastAsia="Times New Roman"/>
          <w:szCs w:val="24"/>
          <w:lang w:bidi="ar-SA"/>
        </w:rPr>
        <w:t xml:space="preserve">&amp; </w:t>
      </w:r>
      <w:r w:rsidRPr="002D1C6F">
        <w:rPr>
          <w:rFonts w:eastAsia="Times New Roman"/>
          <w:szCs w:val="24"/>
          <w:lang w:bidi="ar-SA"/>
        </w:rPr>
        <w:t>Toglia</w:t>
      </w:r>
      <w:r>
        <w:rPr>
          <w:rFonts w:eastAsia="Times New Roman"/>
          <w:szCs w:val="24"/>
          <w:lang w:bidi="ar-SA"/>
        </w:rPr>
        <w:t>,</w:t>
      </w:r>
      <w:r w:rsidRPr="002D1C6F">
        <w:rPr>
          <w:rFonts w:eastAsia="Times New Roman"/>
          <w:szCs w:val="24"/>
          <w:lang w:bidi="ar-SA"/>
        </w:rPr>
        <w:t xml:space="preserve"> J. </w:t>
      </w:r>
      <w:r>
        <w:rPr>
          <w:rFonts w:eastAsia="Times New Roman"/>
          <w:szCs w:val="24"/>
          <w:lang w:bidi="ar-SA"/>
        </w:rPr>
        <w:t xml:space="preserve">(2018). </w:t>
      </w:r>
      <w:r w:rsidRPr="002D1C6F">
        <w:rPr>
          <w:rFonts w:eastAsia="Times New Roman"/>
          <w:szCs w:val="24"/>
          <w:lang w:bidi="ar-SA"/>
        </w:rPr>
        <w:t xml:space="preserve">Cognitive development across the lifespan: </w:t>
      </w:r>
      <w:r>
        <w:rPr>
          <w:rFonts w:eastAsia="Times New Roman"/>
          <w:szCs w:val="24"/>
          <w:lang w:bidi="ar-SA"/>
        </w:rPr>
        <w:t>D</w:t>
      </w:r>
      <w:r w:rsidRPr="002D1C6F">
        <w:rPr>
          <w:rFonts w:eastAsia="Times New Roman"/>
          <w:szCs w:val="24"/>
          <w:lang w:bidi="ar-SA"/>
        </w:rPr>
        <w:t>eveloping of cognition and executive functioning in children and adolescents. In</w:t>
      </w:r>
      <w:r>
        <w:rPr>
          <w:rFonts w:eastAsia="Times New Roman"/>
          <w:szCs w:val="24"/>
          <w:lang w:bidi="ar-SA"/>
        </w:rPr>
        <w:t xml:space="preserve"> N.</w:t>
      </w:r>
      <w:r w:rsidRPr="002D1C6F">
        <w:rPr>
          <w:rFonts w:eastAsia="Times New Roman"/>
          <w:szCs w:val="24"/>
          <w:lang w:bidi="ar-SA"/>
        </w:rPr>
        <w:t xml:space="preserve"> Katz </w:t>
      </w:r>
      <w:r>
        <w:rPr>
          <w:rFonts w:eastAsia="Times New Roman"/>
          <w:szCs w:val="24"/>
          <w:lang w:bidi="ar-SA"/>
        </w:rPr>
        <w:t xml:space="preserve">&amp; J. </w:t>
      </w:r>
      <w:r w:rsidRPr="002D1C6F">
        <w:rPr>
          <w:rFonts w:eastAsia="Times New Roman"/>
          <w:szCs w:val="24"/>
          <w:lang w:bidi="ar-SA"/>
        </w:rPr>
        <w:t xml:space="preserve">Toglia </w:t>
      </w:r>
      <w:r>
        <w:rPr>
          <w:rFonts w:eastAsia="Times New Roman"/>
          <w:szCs w:val="24"/>
          <w:lang w:bidi="ar-SA"/>
        </w:rPr>
        <w:t>(Eds.),</w:t>
      </w:r>
      <w:r w:rsidRPr="002D1C6F">
        <w:rPr>
          <w:rFonts w:eastAsia="Times New Roman"/>
          <w:szCs w:val="24"/>
          <w:lang w:bidi="ar-SA"/>
        </w:rPr>
        <w:t xml:space="preserve"> </w:t>
      </w:r>
      <w:r w:rsidRPr="00C55ACB">
        <w:rPr>
          <w:rFonts w:eastAsia="Times New Roman"/>
          <w:i/>
          <w:iCs/>
          <w:szCs w:val="24"/>
          <w:lang w:bidi="ar-SA"/>
        </w:rPr>
        <w:t>C</w:t>
      </w:r>
      <w:r w:rsidRPr="00CA77FE">
        <w:rPr>
          <w:rFonts w:eastAsia="Times New Roman"/>
          <w:i/>
          <w:iCs/>
          <w:szCs w:val="24"/>
          <w:lang w:bidi="ar-SA"/>
        </w:rPr>
        <w:t>ognition, occupation, and participation across the life span: Neuroscience, neurorehabilitation, and models for intervention in occupational therapy</w:t>
      </w:r>
      <w:r w:rsidRPr="008A75A1">
        <w:rPr>
          <w:rFonts w:eastAsia="Times New Roman"/>
          <w:szCs w:val="24"/>
          <w:lang w:bidi="ar-SA"/>
        </w:rPr>
        <w:t xml:space="preserve"> </w:t>
      </w:r>
      <w:r>
        <w:rPr>
          <w:rFonts w:eastAsia="Times New Roman"/>
          <w:szCs w:val="24"/>
          <w:lang w:bidi="ar-SA"/>
        </w:rPr>
        <w:t>(p</w:t>
      </w:r>
      <w:r w:rsidRPr="002D1C6F">
        <w:rPr>
          <w:rFonts w:eastAsia="Times New Roman"/>
          <w:szCs w:val="24"/>
          <w:lang w:bidi="ar-SA"/>
        </w:rPr>
        <w:t>p. 9–29</w:t>
      </w:r>
      <w:r>
        <w:rPr>
          <w:rFonts w:eastAsia="Times New Roman"/>
          <w:szCs w:val="24"/>
          <w:lang w:bidi="ar-SA"/>
        </w:rPr>
        <w:t>)</w:t>
      </w:r>
      <w:r w:rsidRPr="002D1C6F">
        <w:rPr>
          <w:rFonts w:eastAsia="Times New Roman"/>
          <w:szCs w:val="24"/>
          <w:lang w:bidi="ar-SA"/>
        </w:rPr>
        <w:t>. AOTA Press.</w:t>
      </w:r>
    </w:p>
    <w:p w14:paraId="7453BF90" w14:textId="77777777" w:rsidR="00CA77FE" w:rsidRPr="00706743" w:rsidRDefault="00CA77FE">
      <w:pPr>
        <w:pStyle w:val="Bibliography"/>
        <w:rPr>
          <w:szCs w:val="24"/>
        </w:rPr>
      </w:pPr>
      <w:r w:rsidRPr="00706743">
        <w:rPr>
          <w:szCs w:val="24"/>
        </w:rPr>
        <w:t>Chaytor</w:t>
      </w:r>
      <w:r>
        <w:rPr>
          <w:szCs w:val="24"/>
        </w:rPr>
        <w:t>,</w:t>
      </w:r>
      <w:r w:rsidRPr="00706743">
        <w:rPr>
          <w:szCs w:val="24"/>
        </w:rPr>
        <w:t xml:space="preserve"> N</w:t>
      </w:r>
      <w:r>
        <w:rPr>
          <w:szCs w:val="24"/>
        </w:rPr>
        <w:t>.</w:t>
      </w:r>
      <w:r w:rsidRPr="00706743">
        <w:rPr>
          <w:szCs w:val="24"/>
        </w:rPr>
        <w:t xml:space="preserve">, </w:t>
      </w:r>
      <w:r>
        <w:rPr>
          <w:szCs w:val="24"/>
        </w:rPr>
        <w:t xml:space="preserve">&amp; </w:t>
      </w:r>
      <w:r w:rsidRPr="00706743">
        <w:rPr>
          <w:szCs w:val="24"/>
        </w:rPr>
        <w:t>Schmitter-Edgecombe</w:t>
      </w:r>
      <w:r>
        <w:rPr>
          <w:szCs w:val="24"/>
        </w:rPr>
        <w:t>,</w:t>
      </w:r>
      <w:r w:rsidRPr="00706743">
        <w:rPr>
          <w:szCs w:val="24"/>
        </w:rPr>
        <w:t xml:space="preserve"> M. </w:t>
      </w:r>
      <w:r>
        <w:rPr>
          <w:szCs w:val="24"/>
        </w:rPr>
        <w:t xml:space="preserve">(2003). </w:t>
      </w:r>
      <w:r w:rsidRPr="00706743">
        <w:rPr>
          <w:szCs w:val="24"/>
        </w:rPr>
        <w:t xml:space="preserve">The ecological validity of neuropsychological tests: </w:t>
      </w:r>
      <w:r>
        <w:rPr>
          <w:szCs w:val="24"/>
        </w:rPr>
        <w:t>A</w:t>
      </w:r>
      <w:r w:rsidRPr="00706743">
        <w:rPr>
          <w:szCs w:val="24"/>
        </w:rPr>
        <w:t xml:space="preserve"> review of the literature on everyday cognitive skills. </w:t>
      </w:r>
      <w:r w:rsidRPr="00CA77FE">
        <w:rPr>
          <w:i/>
          <w:iCs/>
          <w:szCs w:val="24"/>
        </w:rPr>
        <w:t>Neuropsychology Review</w:t>
      </w:r>
      <w:r>
        <w:rPr>
          <w:szCs w:val="24"/>
        </w:rPr>
        <w:t xml:space="preserve">, </w:t>
      </w:r>
      <w:r w:rsidRPr="00CA77FE">
        <w:rPr>
          <w:i/>
          <w:iCs/>
          <w:szCs w:val="24"/>
        </w:rPr>
        <w:t>13</w:t>
      </w:r>
      <w:r>
        <w:rPr>
          <w:szCs w:val="24"/>
        </w:rPr>
        <w:t xml:space="preserve">, </w:t>
      </w:r>
      <w:r w:rsidRPr="00706743">
        <w:rPr>
          <w:szCs w:val="24"/>
        </w:rPr>
        <w:t xml:space="preserve">181–197. </w:t>
      </w:r>
      <w:r w:rsidRPr="00E54C73">
        <w:rPr>
          <w:szCs w:val="24"/>
        </w:rPr>
        <w:t>https://doi.org/10.1023/B:NERV.0000009483.91468.fb</w:t>
      </w:r>
    </w:p>
    <w:p w14:paraId="4BE8E11C" w14:textId="77777777" w:rsidR="00CA77FE" w:rsidRPr="00145F10" w:rsidRDefault="00CA77FE">
      <w:pPr>
        <w:pStyle w:val="Bibliography"/>
        <w:rPr>
          <w:szCs w:val="24"/>
          <w:lang w:bidi="ar-SA"/>
        </w:rPr>
      </w:pPr>
      <w:r w:rsidRPr="00A6382B">
        <w:rPr>
          <w:szCs w:val="24"/>
        </w:rPr>
        <w:t>Chevignard</w:t>
      </w:r>
      <w:r>
        <w:rPr>
          <w:szCs w:val="24"/>
        </w:rPr>
        <w:t>,</w:t>
      </w:r>
      <w:r w:rsidRPr="00A6382B">
        <w:rPr>
          <w:szCs w:val="24"/>
        </w:rPr>
        <w:t xml:space="preserve"> M</w:t>
      </w:r>
      <w:r>
        <w:rPr>
          <w:szCs w:val="24"/>
        </w:rPr>
        <w:t xml:space="preserve">. </w:t>
      </w:r>
      <w:r w:rsidRPr="00A6382B">
        <w:rPr>
          <w:szCs w:val="24"/>
        </w:rPr>
        <w:t>P</w:t>
      </w:r>
      <w:r>
        <w:rPr>
          <w:szCs w:val="24"/>
        </w:rPr>
        <w:t>.</w:t>
      </w:r>
      <w:r w:rsidRPr="00A6382B">
        <w:rPr>
          <w:szCs w:val="24"/>
        </w:rPr>
        <w:t>, Catroppa</w:t>
      </w:r>
      <w:r>
        <w:rPr>
          <w:szCs w:val="24"/>
        </w:rPr>
        <w:t>,</w:t>
      </w:r>
      <w:r w:rsidRPr="00A6382B">
        <w:rPr>
          <w:szCs w:val="24"/>
        </w:rPr>
        <w:t xml:space="preserve"> C</w:t>
      </w:r>
      <w:r>
        <w:rPr>
          <w:szCs w:val="24"/>
        </w:rPr>
        <w:t>.</w:t>
      </w:r>
      <w:r w:rsidRPr="00A6382B">
        <w:rPr>
          <w:szCs w:val="24"/>
        </w:rPr>
        <w:t>, Galvin</w:t>
      </w:r>
      <w:r>
        <w:rPr>
          <w:szCs w:val="24"/>
        </w:rPr>
        <w:t>,</w:t>
      </w:r>
      <w:r w:rsidRPr="00A6382B">
        <w:rPr>
          <w:szCs w:val="24"/>
        </w:rPr>
        <w:t xml:space="preserve"> J</w:t>
      </w:r>
      <w:r>
        <w:rPr>
          <w:szCs w:val="24"/>
        </w:rPr>
        <w:t>.</w:t>
      </w:r>
      <w:r w:rsidRPr="00A6382B">
        <w:rPr>
          <w:szCs w:val="24"/>
        </w:rPr>
        <w:t xml:space="preserve">, </w:t>
      </w:r>
      <w:r>
        <w:rPr>
          <w:szCs w:val="24"/>
        </w:rPr>
        <w:t>&amp; Anderson, V.</w:t>
      </w:r>
      <w:r w:rsidRPr="00A6382B">
        <w:rPr>
          <w:szCs w:val="24"/>
        </w:rPr>
        <w:t xml:space="preserve"> </w:t>
      </w:r>
      <w:r>
        <w:rPr>
          <w:szCs w:val="24"/>
        </w:rPr>
        <w:t>(2010). D</w:t>
      </w:r>
      <w:r w:rsidRPr="00A6382B">
        <w:rPr>
          <w:szCs w:val="24"/>
        </w:rPr>
        <w:t xml:space="preserve">evelopment and evaluation of an ecological task to assess executive functioning post childhood TBI: </w:t>
      </w:r>
      <w:r>
        <w:rPr>
          <w:szCs w:val="24"/>
        </w:rPr>
        <w:t>T</w:t>
      </w:r>
      <w:r w:rsidRPr="00A6382B">
        <w:rPr>
          <w:szCs w:val="24"/>
        </w:rPr>
        <w:t xml:space="preserve">he Children’s Cooking Task. </w:t>
      </w:r>
      <w:r w:rsidRPr="00CA77FE">
        <w:rPr>
          <w:i/>
          <w:iCs/>
          <w:szCs w:val="24"/>
        </w:rPr>
        <w:t>Brain Impairment</w:t>
      </w:r>
      <w:r>
        <w:rPr>
          <w:szCs w:val="24"/>
        </w:rPr>
        <w:t xml:space="preserve">, </w:t>
      </w:r>
      <w:r w:rsidRPr="00CA77FE">
        <w:rPr>
          <w:i/>
          <w:iCs/>
          <w:szCs w:val="24"/>
        </w:rPr>
        <w:t>11</w:t>
      </w:r>
      <w:r>
        <w:rPr>
          <w:szCs w:val="24"/>
        </w:rPr>
        <w:t xml:space="preserve">, </w:t>
      </w:r>
      <w:r w:rsidRPr="00A6382B">
        <w:rPr>
          <w:szCs w:val="24"/>
        </w:rPr>
        <w:t xml:space="preserve">125–143. </w:t>
      </w:r>
      <w:r w:rsidRPr="00947900">
        <w:rPr>
          <w:szCs w:val="24"/>
        </w:rPr>
        <w:t>https://doi.org/10.1375/brim.11.2.125</w:t>
      </w:r>
    </w:p>
    <w:p w14:paraId="4010DB4B" w14:textId="77777777" w:rsidR="00CA77FE" w:rsidRPr="00706743" w:rsidRDefault="00CA77FE">
      <w:pPr>
        <w:pStyle w:val="Bibliography"/>
        <w:rPr>
          <w:rFonts w:eastAsia="Calibri"/>
          <w:szCs w:val="24"/>
        </w:rPr>
      </w:pPr>
      <w:r w:rsidRPr="00706743">
        <w:rPr>
          <w:rFonts w:eastAsia="Calibri"/>
          <w:szCs w:val="24"/>
        </w:rPr>
        <w:t>Chevignard</w:t>
      </w:r>
      <w:r>
        <w:rPr>
          <w:rFonts w:eastAsia="Calibri"/>
          <w:szCs w:val="24"/>
        </w:rPr>
        <w:t>,</w:t>
      </w:r>
      <w:r w:rsidRPr="00706743">
        <w:rPr>
          <w:rFonts w:eastAsia="Calibri"/>
          <w:szCs w:val="24"/>
        </w:rPr>
        <w:t xml:space="preserve"> M</w:t>
      </w:r>
      <w:r>
        <w:rPr>
          <w:rFonts w:eastAsia="Calibri"/>
          <w:szCs w:val="24"/>
        </w:rPr>
        <w:t xml:space="preserve">. </w:t>
      </w:r>
      <w:r w:rsidRPr="00706743">
        <w:rPr>
          <w:rFonts w:eastAsia="Calibri"/>
          <w:szCs w:val="24"/>
        </w:rPr>
        <w:t>P</w:t>
      </w:r>
      <w:r>
        <w:rPr>
          <w:rFonts w:eastAsia="Calibri"/>
          <w:szCs w:val="24"/>
        </w:rPr>
        <w:t>.</w:t>
      </w:r>
      <w:r w:rsidRPr="00706743">
        <w:rPr>
          <w:rFonts w:eastAsia="Calibri"/>
          <w:szCs w:val="24"/>
        </w:rPr>
        <w:t>, Servant</w:t>
      </w:r>
      <w:r>
        <w:rPr>
          <w:rFonts w:eastAsia="Calibri"/>
          <w:szCs w:val="24"/>
        </w:rPr>
        <w:t xml:space="preserve">, </w:t>
      </w:r>
      <w:r w:rsidRPr="00706743">
        <w:rPr>
          <w:rFonts w:eastAsia="Calibri"/>
          <w:szCs w:val="24"/>
        </w:rPr>
        <w:t>V</w:t>
      </w:r>
      <w:r>
        <w:rPr>
          <w:rFonts w:eastAsia="Calibri"/>
          <w:szCs w:val="24"/>
        </w:rPr>
        <w:t>.</w:t>
      </w:r>
      <w:r w:rsidRPr="00706743">
        <w:rPr>
          <w:rFonts w:eastAsia="Calibri"/>
          <w:szCs w:val="24"/>
        </w:rPr>
        <w:t>, Mariller</w:t>
      </w:r>
      <w:r>
        <w:rPr>
          <w:rFonts w:eastAsia="Calibri"/>
          <w:szCs w:val="24"/>
        </w:rPr>
        <w:t>,</w:t>
      </w:r>
      <w:r w:rsidRPr="00706743">
        <w:rPr>
          <w:rFonts w:eastAsia="Calibri"/>
          <w:szCs w:val="24"/>
        </w:rPr>
        <w:t xml:space="preserve"> A</w:t>
      </w:r>
      <w:r>
        <w:rPr>
          <w:rFonts w:eastAsia="Calibri"/>
          <w:szCs w:val="24"/>
        </w:rPr>
        <w:t>.</w:t>
      </w:r>
      <w:r w:rsidRPr="00706743">
        <w:rPr>
          <w:rFonts w:eastAsia="Calibri"/>
          <w:szCs w:val="24"/>
        </w:rPr>
        <w:t xml:space="preserve">, </w:t>
      </w:r>
      <w:r>
        <w:rPr>
          <w:rFonts w:eastAsia="Calibri"/>
          <w:szCs w:val="24"/>
        </w:rPr>
        <w:t>Abada, G., Pradat-Diehl, P., &amp; Laurent-Vannier, A.</w:t>
      </w:r>
      <w:r w:rsidRPr="00706743">
        <w:rPr>
          <w:rFonts w:eastAsia="Calibri"/>
          <w:szCs w:val="24"/>
        </w:rPr>
        <w:t xml:space="preserve"> </w:t>
      </w:r>
      <w:r>
        <w:rPr>
          <w:rFonts w:eastAsia="Calibri"/>
          <w:szCs w:val="24"/>
        </w:rPr>
        <w:t xml:space="preserve">(2009). </w:t>
      </w:r>
      <w:r w:rsidRPr="00706743">
        <w:rPr>
          <w:rFonts w:eastAsia="Calibri"/>
          <w:szCs w:val="24"/>
        </w:rPr>
        <w:t xml:space="preserve">Assessment of executive functioning in children after TBI with a </w:t>
      </w:r>
      <w:r w:rsidRPr="00706743">
        <w:rPr>
          <w:rFonts w:eastAsia="Calibri"/>
          <w:szCs w:val="24"/>
        </w:rPr>
        <w:lastRenderedPageBreak/>
        <w:t xml:space="preserve">naturalistic open-ended task: </w:t>
      </w:r>
      <w:r>
        <w:rPr>
          <w:rFonts w:eastAsia="Calibri"/>
          <w:szCs w:val="24"/>
        </w:rPr>
        <w:t>A</w:t>
      </w:r>
      <w:r w:rsidRPr="00706743">
        <w:rPr>
          <w:rFonts w:eastAsia="Calibri"/>
          <w:szCs w:val="24"/>
        </w:rPr>
        <w:t xml:space="preserve"> pilot study. </w:t>
      </w:r>
      <w:r w:rsidRPr="00CA77FE">
        <w:rPr>
          <w:rFonts w:eastAsia="Calibri"/>
          <w:i/>
          <w:iCs/>
          <w:szCs w:val="24"/>
        </w:rPr>
        <w:t>Developmental Neurorehabilitation</w:t>
      </w:r>
      <w:r>
        <w:rPr>
          <w:rFonts w:eastAsia="Calibri"/>
          <w:szCs w:val="24"/>
        </w:rPr>
        <w:t xml:space="preserve">, </w:t>
      </w:r>
      <w:r w:rsidRPr="00CA77FE">
        <w:rPr>
          <w:rFonts w:eastAsia="Calibri"/>
          <w:i/>
          <w:iCs/>
          <w:szCs w:val="24"/>
        </w:rPr>
        <w:t>12</w:t>
      </w:r>
      <w:r>
        <w:rPr>
          <w:rFonts w:eastAsia="Calibri"/>
          <w:szCs w:val="24"/>
        </w:rPr>
        <w:t xml:space="preserve">, </w:t>
      </w:r>
      <w:r w:rsidRPr="00706743">
        <w:rPr>
          <w:rFonts w:eastAsia="Calibri"/>
          <w:szCs w:val="24"/>
        </w:rPr>
        <w:t xml:space="preserve">76–91. </w:t>
      </w:r>
      <w:r w:rsidRPr="0087158C">
        <w:rPr>
          <w:rFonts w:eastAsia="Calibri"/>
          <w:szCs w:val="24"/>
        </w:rPr>
        <w:t>https://doi.org/10.1080/17518420902777019</w:t>
      </w:r>
    </w:p>
    <w:p w14:paraId="61B9AA34" w14:textId="77777777" w:rsidR="00CA77FE" w:rsidRPr="00A6382B" w:rsidRDefault="00CA77FE">
      <w:pPr>
        <w:pStyle w:val="Bibliography"/>
      </w:pPr>
      <w:r w:rsidRPr="00A6382B">
        <w:rPr>
          <w:shd w:val="clear" w:color="auto" w:fill="FFFFFF"/>
        </w:rPr>
        <w:t>Chevignard</w:t>
      </w:r>
      <w:r>
        <w:rPr>
          <w:shd w:val="clear" w:color="auto" w:fill="FFFFFF"/>
        </w:rPr>
        <w:t>,</w:t>
      </w:r>
      <w:r w:rsidRPr="00A6382B">
        <w:rPr>
          <w:shd w:val="clear" w:color="auto" w:fill="FFFFFF"/>
        </w:rPr>
        <w:t xml:space="preserve"> M</w:t>
      </w:r>
      <w:r>
        <w:rPr>
          <w:shd w:val="clear" w:color="auto" w:fill="FFFFFF"/>
        </w:rPr>
        <w:t xml:space="preserve">. </w:t>
      </w:r>
      <w:r w:rsidRPr="00A6382B">
        <w:rPr>
          <w:shd w:val="clear" w:color="auto" w:fill="FFFFFF"/>
        </w:rPr>
        <w:t>P</w:t>
      </w:r>
      <w:r>
        <w:rPr>
          <w:shd w:val="clear" w:color="auto" w:fill="FFFFFF"/>
        </w:rPr>
        <w:t>.</w:t>
      </w:r>
      <w:r w:rsidRPr="00A6382B">
        <w:rPr>
          <w:shd w:val="clear" w:color="auto" w:fill="FFFFFF"/>
        </w:rPr>
        <w:t>, Soo</w:t>
      </w:r>
      <w:r>
        <w:rPr>
          <w:shd w:val="clear" w:color="auto" w:fill="FFFFFF"/>
        </w:rPr>
        <w:t>,</w:t>
      </w:r>
      <w:r w:rsidRPr="00A6382B">
        <w:rPr>
          <w:shd w:val="clear" w:color="auto" w:fill="FFFFFF"/>
        </w:rPr>
        <w:t xml:space="preserve"> C</w:t>
      </w:r>
      <w:r>
        <w:rPr>
          <w:shd w:val="clear" w:color="auto" w:fill="FFFFFF"/>
        </w:rPr>
        <w:t>.</w:t>
      </w:r>
      <w:r w:rsidRPr="00A6382B">
        <w:rPr>
          <w:shd w:val="clear" w:color="auto" w:fill="FFFFFF"/>
        </w:rPr>
        <w:t>, Galvin</w:t>
      </w:r>
      <w:r>
        <w:rPr>
          <w:shd w:val="clear" w:color="auto" w:fill="FFFFFF"/>
        </w:rPr>
        <w:t>,</w:t>
      </w:r>
      <w:r w:rsidRPr="00A6382B">
        <w:rPr>
          <w:shd w:val="clear" w:color="auto" w:fill="FFFFFF"/>
        </w:rPr>
        <w:t xml:space="preserve"> J</w:t>
      </w:r>
      <w:r>
        <w:rPr>
          <w:shd w:val="clear" w:color="auto" w:fill="FFFFFF"/>
        </w:rPr>
        <w:t>.</w:t>
      </w:r>
      <w:r w:rsidRPr="00A6382B">
        <w:rPr>
          <w:shd w:val="clear" w:color="auto" w:fill="FFFFFF"/>
        </w:rPr>
        <w:t xml:space="preserve">, </w:t>
      </w:r>
      <w:r>
        <w:rPr>
          <w:shd w:val="clear" w:color="auto" w:fill="FFFFFF"/>
        </w:rPr>
        <w:t>Catroppa, C., &amp; Eren, S.</w:t>
      </w:r>
      <w:r w:rsidRPr="00A6382B">
        <w:rPr>
          <w:shd w:val="clear" w:color="auto" w:fill="FFFFFF"/>
        </w:rPr>
        <w:t xml:space="preserve"> </w:t>
      </w:r>
      <w:r>
        <w:rPr>
          <w:shd w:val="clear" w:color="auto" w:fill="FFFFFF"/>
        </w:rPr>
        <w:t xml:space="preserve">(2012). </w:t>
      </w:r>
      <w:r w:rsidRPr="00A6382B">
        <w:rPr>
          <w:shd w:val="clear" w:color="auto" w:fill="FFFFFF"/>
        </w:rPr>
        <w:t xml:space="preserve">Ecological assessment of cognitive functions in children with acquired brain injury: </w:t>
      </w:r>
      <w:r>
        <w:rPr>
          <w:shd w:val="clear" w:color="auto" w:fill="FFFFFF"/>
        </w:rPr>
        <w:t>A</w:t>
      </w:r>
      <w:r w:rsidRPr="00A6382B">
        <w:rPr>
          <w:shd w:val="clear" w:color="auto" w:fill="FFFFFF"/>
        </w:rPr>
        <w:t xml:space="preserve"> systematic review.</w:t>
      </w:r>
      <w:r>
        <w:rPr>
          <w:shd w:val="clear" w:color="auto" w:fill="FFFFFF"/>
        </w:rPr>
        <w:t xml:space="preserve"> </w:t>
      </w:r>
      <w:r w:rsidRPr="00CA77FE">
        <w:rPr>
          <w:i/>
          <w:iCs/>
          <w:shd w:val="clear" w:color="auto" w:fill="FFFFFF"/>
        </w:rPr>
        <w:t>Brain Injury</w:t>
      </w:r>
      <w:r>
        <w:rPr>
          <w:shd w:val="clear" w:color="auto" w:fill="FFFFFF"/>
        </w:rPr>
        <w:t xml:space="preserve">, </w:t>
      </w:r>
      <w:r w:rsidRPr="00A6382B">
        <w:rPr>
          <w:shd w:val="clear" w:color="auto" w:fill="FFFFFF"/>
        </w:rPr>
        <w:t>26</w:t>
      </w:r>
      <w:r>
        <w:rPr>
          <w:shd w:val="clear" w:color="auto" w:fill="FFFFFF"/>
        </w:rPr>
        <w:t xml:space="preserve">, </w:t>
      </w:r>
      <w:r w:rsidRPr="00A6382B">
        <w:rPr>
          <w:shd w:val="clear" w:color="auto" w:fill="FFFFFF"/>
        </w:rPr>
        <w:t>1033</w:t>
      </w:r>
      <w:r>
        <w:rPr>
          <w:shd w:val="clear" w:color="auto" w:fill="FFFFFF"/>
        </w:rPr>
        <w:t>–</w:t>
      </w:r>
      <w:r w:rsidRPr="00A6382B">
        <w:rPr>
          <w:shd w:val="clear" w:color="auto" w:fill="FFFFFF"/>
        </w:rPr>
        <w:t>1057.</w:t>
      </w:r>
      <w:r w:rsidRPr="00AA2C04">
        <w:t xml:space="preserve"> </w:t>
      </w:r>
      <w:r w:rsidRPr="00AA2C04">
        <w:rPr>
          <w:shd w:val="clear" w:color="auto" w:fill="FFFFFF"/>
        </w:rPr>
        <w:t>https://doi.org/10.3109/02699052.2012.666366</w:t>
      </w:r>
    </w:p>
    <w:p w14:paraId="2AC3848D" w14:textId="77777777" w:rsidR="00CA77FE" w:rsidRDefault="00CA77FE">
      <w:pPr>
        <w:pStyle w:val="Bibliography"/>
      </w:pPr>
      <w:r w:rsidRPr="00A6382B">
        <w:t>Clarke</w:t>
      </w:r>
      <w:r>
        <w:t>,</w:t>
      </w:r>
      <w:r w:rsidRPr="00A6382B">
        <w:t xml:space="preserve"> K</w:t>
      </w:r>
      <w:r>
        <w:t>.</w:t>
      </w:r>
      <w:r w:rsidRPr="00A6382B">
        <w:t>, Cooper</w:t>
      </w:r>
      <w:r>
        <w:t>,</w:t>
      </w:r>
      <w:r w:rsidRPr="00A6382B">
        <w:t xml:space="preserve"> P</w:t>
      </w:r>
      <w:r>
        <w:t>.</w:t>
      </w:r>
      <w:r w:rsidRPr="00A6382B">
        <w:t xml:space="preserve">, </w:t>
      </w:r>
      <w:r>
        <w:t xml:space="preserve">&amp; </w:t>
      </w:r>
      <w:r w:rsidRPr="00A6382B">
        <w:t>Creswell</w:t>
      </w:r>
      <w:r>
        <w:t>,</w:t>
      </w:r>
      <w:r w:rsidRPr="00A6382B">
        <w:t xml:space="preserve"> C. </w:t>
      </w:r>
      <w:r>
        <w:t xml:space="preserve">(2013). </w:t>
      </w:r>
      <w:r w:rsidRPr="00A6382B">
        <w:t xml:space="preserve">The </w:t>
      </w:r>
      <w:r>
        <w:t>P</w:t>
      </w:r>
      <w:r w:rsidRPr="00A6382B">
        <w:t xml:space="preserve">arental </w:t>
      </w:r>
      <w:r>
        <w:t>O</w:t>
      </w:r>
      <w:r w:rsidRPr="00A6382B">
        <w:t xml:space="preserve">verprotection </w:t>
      </w:r>
      <w:r>
        <w:t>S</w:t>
      </w:r>
      <w:r w:rsidRPr="00A6382B">
        <w:t xml:space="preserve">cale: </w:t>
      </w:r>
      <w:r>
        <w:t>A</w:t>
      </w:r>
      <w:r w:rsidRPr="00A6382B">
        <w:t>ssociations with child and parental anxiety.</w:t>
      </w:r>
      <w:r w:rsidRPr="00CA77FE">
        <w:rPr>
          <w:i/>
          <w:iCs/>
        </w:rPr>
        <w:t xml:space="preserve"> Journal of Affective Disorders</w:t>
      </w:r>
      <w:r>
        <w:t xml:space="preserve">, </w:t>
      </w:r>
      <w:r w:rsidRPr="00CA77FE">
        <w:rPr>
          <w:i/>
          <w:iCs/>
        </w:rPr>
        <w:t>151</w:t>
      </w:r>
      <w:r>
        <w:t xml:space="preserve">, </w:t>
      </w:r>
      <w:r w:rsidRPr="00A6382B">
        <w:t xml:space="preserve">618–624. </w:t>
      </w:r>
      <w:r w:rsidRPr="008940A2">
        <w:t>https://doi.org/10.1016/j.jad.2013.07.007</w:t>
      </w:r>
    </w:p>
    <w:p w14:paraId="29C0F223" w14:textId="77777777" w:rsidR="00CA77FE" w:rsidRPr="00A6382B" w:rsidRDefault="00CA77FE">
      <w:pPr>
        <w:pStyle w:val="Bibliography"/>
      </w:pPr>
      <w:r w:rsidRPr="00706743">
        <w:rPr>
          <w:szCs w:val="24"/>
        </w:rPr>
        <w:t>Cohen</w:t>
      </w:r>
      <w:r>
        <w:rPr>
          <w:szCs w:val="24"/>
        </w:rPr>
        <w:t>,</w:t>
      </w:r>
      <w:r w:rsidRPr="00706743">
        <w:rPr>
          <w:szCs w:val="24"/>
        </w:rPr>
        <w:t xml:space="preserve"> J. </w:t>
      </w:r>
      <w:r>
        <w:rPr>
          <w:szCs w:val="24"/>
        </w:rPr>
        <w:t xml:space="preserve">(1988). </w:t>
      </w:r>
      <w:r w:rsidRPr="00CA77FE">
        <w:rPr>
          <w:i/>
          <w:iCs/>
          <w:szCs w:val="24"/>
        </w:rPr>
        <w:t xml:space="preserve">Statistical power analysis for the behavioral sciences </w:t>
      </w:r>
      <w:r>
        <w:rPr>
          <w:szCs w:val="24"/>
        </w:rPr>
        <w:t>(</w:t>
      </w:r>
      <w:r w:rsidRPr="00706743">
        <w:rPr>
          <w:szCs w:val="24"/>
        </w:rPr>
        <w:t>2nd ed</w:t>
      </w:r>
      <w:r>
        <w:rPr>
          <w:szCs w:val="24"/>
        </w:rPr>
        <w:t>)</w:t>
      </w:r>
      <w:r w:rsidRPr="00706743">
        <w:rPr>
          <w:szCs w:val="24"/>
        </w:rPr>
        <w:t xml:space="preserve">. </w:t>
      </w:r>
      <w:r w:rsidRPr="00AF4686">
        <w:t>Lawrence Erlbaum Associates</w:t>
      </w:r>
      <w:r>
        <w:t>.</w:t>
      </w:r>
    </w:p>
    <w:p w14:paraId="650605F4" w14:textId="77777777" w:rsidR="00CA77FE" w:rsidRPr="002D1C6F" w:rsidRDefault="00CA77FE">
      <w:pPr>
        <w:pStyle w:val="Bibliography"/>
        <w:rPr>
          <w:rFonts w:eastAsia="Times New Roman"/>
          <w:szCs w:val="24"/>
          <w:lang w:bidi="ar-SA"/>
        </w:rPr>
      </w:pPr>
      <w:r w:rsidRPr="002D1C6F">
        <w:rPr>
          <w:rFonts w:eastAsia="Times New Roman"/>
          <w:szCs w:val="24"/>
          <w:lang w:bidi="ar-SA"/>
        </w:rPr>
        <w:t>Cramm</w:t>
      </w:r>
      <w:r>
        <w:rPr>
          <w:rFonts w:eastAsia="Times New Roman"/>
          <w:szCs w:val="24"/>
          <w:lang w:bidi="ar-SA"/>
        </w:rPr>
        <w:t>,</w:t>
      </w:r>
      <w:r w:rsidRPr="002D1C6F">
        <w:rPr>
          <w:rFonts w:eastAsia="Times New Roman"/>
          <w:szCs w:val="24"/>
          <w:lang w:bidi="ar-SA"/>
        </w:rPr>
        <w:t xml:space="preserve"> H</w:t>
      </w:r>
      <w:r>
        <w:rPr>
          <w:rFonts w:eastAsia="Times New Roman"/>
          <w:szCs w:val="24"/>
          <w:lang w:bidi="ar-SA"/>
        </w:rPr>
        <w:t>.</w:t>
      </w:r>
      <w:r w:rsidRPr="002D1C6F">
        <w:rPr>
          <w:rFonts w:eastAsia="Times New Roman"/>
          <w:szCs w:val="24"/>
          <w:lang w:bidi="ar-SA"/>
        </w:rPr>
        <w:t>, Krupa</w:t>
      </w:r>
      <w:r>
        <w:rPr>
          <w:rFonts w:eastAsia="Times New Roman"/>
          <w:szCs w:val="24"/>
          <w:lang w:bidi="ar-SA"/>
        </w:rPr>
        <w:t>,</w:t>
      </w:r>
      <w:r w:rsidRPr="002D1C6F">
        <w:rPr>
          <w:rFonts w:eastAsia="Times New Roman"/>
          <w:szCs w:val="24"/>
          <w:lang w:bidi="ar-SA"/>
        </w:rPr>
        <w:t xml:space="preserve"> T</w:t>
      </w:r>
      <w:r>
        <w:rPr>
          <w:rFonts w:eastAsia="Times New Roman"/>
          <w:szCs w:val="24"/>
          <w:lang w:bidi="ar-SA"/>
        </w:rPr>
        <w:t>.</w:t>
      </w:r>
      <w:r w:rsidRPr="002D1C6F">
        <w:rPr>
          <w:rFonts w:eastAsia="Times New Roman"/>
          <w:szCs w:val="24"/>
          <w:lang w:bidi="ar-SA"/>
        </w:rPr>
        <w:t>, Missiuna</w:t>
      </w:r>
      <w:r>
        <w:rPr>
          <w:rFonts w:eastAsia="Times New Roman"/>
          <w:szCs w:val="24"/>
          <w:lang w:bidi="ar-SA"/>
        </w:rPr>
        <w:t>,</w:t>
      </w:r>
      <w:r w:rsidRPr="002D1C6F">
        <w:rPr>
          <w:rFonts w:eastAsia="Times New Roman"/>
          <w:szCs w:val="24"/>
          <w:lang w:bidi="ar-SA"/>
        </w:rPr>
        <w:t xml:space="preserve"> C</w:t>
      </w:r>
      <w:r>
        <w:rPr>
          <w:rFonts w:eastAsia="Times New Roman"/>
          <w:szCs w:val="24"/>
          <w:lang w:bidi="ar-SA"/>
        </w:rPr>
        <w:t>.</w:t>
      </w:r>
      <w:r w:rsidRPr="002D1C6F">
        <w:rPr>
          <w:rFonts w:eastAsia="Times New Roman"/>
          <w:szCs w:val="24"/>
          <w:lang w:bidi="ar-SA"/>
        </w:rPr>
        <w:t>,</w:t>
      </w:r>
      <w:r>
        <w:rPr>
          <w:rFonts w:eastAsia="Times New Roman"/>
          <w:szCs w:val="24"/>
          <w:lang w:bidi="ar-SA"/>
        </w:rPr>
        <w:t xml:space="preserve"> Lysaght, R. M., &amp; Parker, K. C. H. (2013). </w:t>
      </w:r>
      <w:r w:rsidRPr="002D1C6F">
        <w:rPr>
          <w:rFonts w:eastAsia="Times New Roman"/>
          <w:szCs w:val="24"/>
          <w:lang w:bidi="ar-SA"/>
        </w:rPr>
        <w:t xml:space="preserve">Broadening the occupational therapy toolkit: </w:t>
      </w:r>
      <w:r>
        <w:rPr>
          <w:rFonts w:eastAsia="Times New Roman"/>
          <w:szCs w:val="24"/>
          <w:lang w:bidi="ar-SA"/>
        </w:rPr>
        <w:t>A</w:t>
      </w:r>
      <w:r w:rsidRPr="002D1C6F">
        <w:rPr>
          <w:rFonts w:eastAsia="Times New Roman"/>
          <w:szCs w:val="24"/>
          <w:lang w:bidi="ar-SA"/>
        </w:rPr>
        <w:t xml:space="preserve">n executive functioning lens for occupational therapy with children and youth. </w:t>
      </w:r>
      <w:r w:rsidRPr="00CA77FE">
        <w:rPr>
          <w:rFonts w:eastAsia="Times New Roman"/>
          <w:i/>
          <w:iCs/>
          <w:szCs w:val="24"/>
          <w:lang w:bidi="ar-SA"/>
        </w:rPr>
        <w:t>American Journal of Occupational Therapy</w:t>
      </w:r>
      <w:r>
        <w:rPr>
          <w:rFonts w:eastAsia="Times New Roman"/>
          <w:szCs w:val="24"/>
          <w:lang w:bidi="ar-SA"/>
        </w:rPr>
        <w:t xml:space="preserve">, </w:t>
      </w:r>
      <w:r w:rsidRPr="00CA77FE">
        <w:rPr>
          <w:rFonts w:eastAsia="Times New Roman"/>
          <w:i/>
          <w:iCs/>
          <w:szCs w:val="24"/>
          <w:lang w:bidi="ar-SA"/>
        </w:rPr>
        <w:t>67</w:t>
      </w:r>
      <w:r>
        <w:rPr>
          <w:rFonts w:eastAsia="Times New Roman"/>
          <w:szCs w:val="24"/>
          <w:lang w:bidi="ar-SA"/>
        </w:rPr>
        <w:t xml:space="preserve">, </w:t>
      </w:r>
      <w:r w:rsidRPr="002D1C6F">
        <w:rPr>
          <w:rFonts w:eastAsia="Times New Roman"/>
          <w:szCs w:val="24"/>
          <w:lang w:bidi="ar-SA"/>
        </w:rPr>
        <w:t xml:space="preserve">e139–e147. </w:t>
      </w:r>
      <w:r w:rsidRPr="00261801">
        <w:rPr>
          <w:rFonts w:eastAsia="Times New Roman"/>
          <w:szCs w:val="24"/>
          <w:lang w:bidi="ar-SA"/>
        </w:rPr>
        <w:t>https://doi.org/10.5014/ajot.2013.008607</w:t>
      </w:r>
    </w:p>
    <w:p w14:paraId="331F3F3A" w14:textId="4F705D62" w:rsidR="00CA77FE" w:rsidRPr="00F9248C" w:rsidRDefault="00CA77FE">
      <w:pPr>
        <w:pStyle w:val="Bibliography"/>
      </w:pPr>
      <w:r w:rsidRPr="00F9248C">
        <w:t>Crone</w:t>
      </w:r>
      <w:r>
        <w:t>,</w:t>
      </w:r>
      <w:r w:rsidRPr="00A6382B">
        <w:t xml:space="preserve"> E</w:t>
      </w:r>
      <w:r>
        <w:t xml:space="preserve">. </w:t>
      </w:r>
      <w:r w:rsidRPr="00A6382B">
        <w:t>A</w:t>
      </w:r>
      <w:r>
        <w:t>., &amp;</w:t>
      </w:r>
      <w:r w:rsidRPr="00F9248C">
        <w:t xml:space="preserve"> Dahl</w:t>
      </w:r>
      <w:r>
        <w:t>,</w:t>
      </w:r>
      <w:r w:rsidRPr="00A6382B">
        <w:t xml:space="preserve"> R</w:t>
      </w:r>
      <w:r>
        <w:t xml:space="preserve">. </w:t>
      </w:r>
      <w:r w:rsidRPr="00A6382B">
        <w:t>E</w:t>
      </w:r>
      <w:r>
        <w:t>. (2012).</w:t>
      </w:r>
      <w:r w:rsidRPr="00F9248C">
        <w:t xml:space="preserve"> Understanding adolescence as a period of social-affective engagement and goal flexibility. </w:t>
      </w:r>
      <w:r w:rsidRPr="00F9248C">
        <w:rPr>
          <w:i/>
        </w:rPr>
        <w:t xml:space="preserve">Nature </w:t>
      </w:r>
      <w:r w:rsidRPr="00CA77FE">
        <w:rPr>
          <w:i/>
          <w:iCs/>
        </w:rPr>
        <w:t>Reviews Neuroscience</w:t>
      </w:r>
      <w:r>
        <w:t xml:space="preserve">, </w:t>
      </w:r>
      <w:r w:rsidRPr="00F9248C">
        <w:rPr>
          <w:i/>
        </w:rPr>
        <w:t>13</w:t>
      </w:r>
      <w:r>
        <w:t xml:space="preserve">, </w:t>
      </w:r>
      <w:r w:rsidRPr="00F9248C">
        <w:t>636–650.</w:t>
      </w:r>
      <w:r w:rsidRPr="005506FF">
        <w:t xml:space="preserve"> https://doi.org/10.1038/nrn3313</w:t>
      </w:r>
    </w:p>
    <w:p w14:paraId="59C9BDFB" w14:textId="4FD935CB" w:rsidR="00CA77FE" w:rsidRPr="00A6382B" w:rsidRDefault="00CA77FE">
      <w:pPr>
        <w:pStyle w:val="Bibliography"/>
      </w:pPr>
      <w:r w:rsidRPr="00AF4686">
        <w:t>Factor</w:t>
      </w:r>
      <w:r>
        <w:t>,</w:t>
      </w:r>
      <w:r w:rsidRPr="00AF4686">
        <w:t xml:space="preserve"> P</w:t>
      </w:r>
      <w:r>
        <w:t xml:space="preserve">. </w:t>
      </w:r>
      <w:r w:rsidRPr="00AF4686">
        <w:t>I</w:t>
      </w:r>
      <w:r>
        <w:t>.</w:t>
      </w:r>
      <w:r w:rsidRPr="00AF4686">
        <w:t>, Rosen</w:t>
      </w:r>
      <w:r>
        <w:t>,</w:t>
      </w:r>
      <w:r w:rsidRPr="00AF4686">
        <w:t xml:space="preserve"> P</w:t>
      </w:r>
      <w:r>
        <w:t xml:space="preserve">. </w:t>
      </w:r>
      <w:r w:rsidRPr="00AF4686">
        <w:t>J</w:t>
      </w:r>
      <w:r>
        <w:t>.</w:t>
      </w:r>
      <w:r w:rsidRPr="00AF4686">
        <w:t xml:space="preserve">, </w:t>
      </w:r>
      <w:r>
        <w:t xml:space="preserve">&amp; </w:t>
      </w:r>
      <w:r w:rsidRPr="00AF4686">
        <w:t>Reyes</w:t>
      </w:r>
      <w:r>
        <w:t>,</w:t>
      </w:r>
      <w:r w:rsidRPr="00AF4686">
        <w:t xml:space="preserve"> R</w:t>
      </w:r>
      <w:r>
        <w:t xml:space="preserve">. </w:t>
      </w:r>
      <w:r w:rsidRPr="00AF4686">
        <w:t xml:space="preserve">A. </w:t>
      </w:r>
      <w:r>
        <w:t>(2016).</w:t>
      </w:r>
      <w:r w:rsidRPr="00F9248C">
        <w:t xml:space="preserve"> The relation of poor emotional awareness and externalizing behavior among children with ADHD. </w:t>
      </w:r>
      <w:r w:rsidRPr="00CA77FE">
        <w:rPr>
          <w:i/>
          <w:iCs/>
        </w:rPr>
        <w:t>Journal of Attention Disorders</w:t>
      </w:r>
      <w:r>
        <w:t xml:space="preserve">, </w:t>
      </w:r>
      <w:r w:rsidRPr="00CA77FE">
        <w:rPr>
          <w:i/>
          <w:iCs/>
        </w:rPr>
        <w:t>20</w:t>
      </w:r>
      <w:r>
        <w:t xml:space="preserve">, </w:t>
      </w:r>
      <w:r w:rsidRPr="00AF4686">
        <w:t xml:space="preserve">168–177. </w:t>
      </w:r>
      <w:r w:rsidRPr="001D4FF8">
        <w:t>https://doi.org/10.1177%2F1087054713494005</w:t>
      </w:r>
    </w:p>
    <w:p w14:paraId="0ADBE926" w14:textId="787CE9DB" w:rsidR="006A1535" w:rsidRPr="00067084" w:rsidRDefault="006A1535">
      <w:pPr>
        <w:ind w:left="720" w:hanging="720"/>
        <w:rPr>
          <w:rFonts w:eastAsia="Calibri" w:cs="Arial"/>
        </w:rPr>
      </w:pPr>
      <w:r w:rsidRPr="007B1F49">
        <w:rPr>
          <w:rFonts w:cs="Times New Roman"/>
        </w:rPr>
        <w:t>Fogel, Y</w:t>
      </w:r>
      <w:r w:rsidRPr="006A1535">
        <w:rPr>
          <w:rFonts w:cs="Times New Roman"/>
        </w:rPr>
        <w:t>.,</w:t>
      </w:r>
      <w:r w:rsidRPr="00716714">
        <w:rPr>
          <w:rFonts w:cs="Times New Roman"/>
        </w:rPr>
        <w:t xml:space="preserve"> Rosenblum, S., &amp; Josman, N., </w:t>
      </w:r>
      <w:r w:rsidR="000974E9">
        <w:rPr>
          <w:rFonts w:cs="Times New Roman"/>
        </w:rPr>
        <w:t>(</w:t>
      </w:r>
      <w:r w:rsidRPr="00716714">
        <w:rPr>
          <w:rFonts w:cs="Times New Roman"/>
        </w:rPr>
        <w:t>2020</w:t>
      </w:r>
      <w:r w:rsidR="000974E9">
        <w:rPr>
          <w:rFonts w:cs="Times New Roman"/>
        </w:rPr>
        <w:t>a)</w:t>
      </w:r>
      <w:r w:rsidRPr="00716714">
        <w:rPr>
          <w:rFonts w:cs="Times New Roman"/>
        </w:rPr>
        <w:t xml:space="preserve">, Functional individualized therapy for teenagers with executive deficits: A pilot study, </w:t>
      </w:r>
      <w:r w:rsidRPr="00716714">
        <w:rPr>
          <w:rFonts w:cs="Times New Roman"/>
          <w:i/>
          <w:iCs/>
        </w:rPr>
        <w:t>Annals of International Occupational Therapy</w:t>
      </w:r>
      <w:r w:rsidRPr="00716714">
        <w:rPr>
          <w:rFonts w:cs="Times New Roman"/>
        </w:rPr>
        <w:t xml:space="preserve">, </w:t>
      </w:r>
      <w:r w:rsidRPr="00294843">
        <w:rPr>
          <w:rFonts w:cs="Times New Roman"/>
          <w:i/>
          <w:iCs/>
        </w:rPr>
        <w:t>4</w:t>
      </w:r>
      <w:r w:rsidRPr="00716714">
        <w:rPr>
          <w:rFonts w:cs="Times New Roman"/>
        </w:rPr>
        <w:t>, e126–e134,</w:t>
      </w:r>
      <w:r w:rsidRPr="00294843">
        <w:rPr>
          <w:rFonts w:cs="Times New Roman"/>
        </w:rPr>
        <w:t xml:space="preserve"> </w:t>
      </w:r>
      <w:hyperlink r:id="rId12" w:history="1">
        <w:r w:rsidRPr="00222F3A">
          <w:rPr>
            <w:rStyle w:val="Hyperlink"/>
            <w:rFonts w:cs="Times New Roman"/>
          </w:rPr>
          <w:t>https://doi.org/10.3928/24761222-20200923-01</w:t>
        </w:r>
      </w:hyperlink>
      <w:r w:rsidRPr="00716714">
        <w:rPr>
          <w:rFonts w:cs="Times New Roman"/>
        </w:rPr>
        <w:t>.</w:t>
      </w:r>
      <w:r w:rsidRPr="00716714" w:rsidDel="00915616">
        <w:rPr>
          <w:rFonts w:cs="Times New Roman"/>
        </w:rPr>
        <w:t xml:space="preserve"> </w:t>
      </w:r>
    </w:p>
    <w:p w14:paraId="724AE1CD" w14:textId="514C76E4" w:rsidR="00573E15" w:rsidRPr="00F9248C" w:rsidRDefault="00573E15">
      <w:pPr>
        <w:ind w:left="720" w:hanging="720"/>
      </w:pPr>
      <w:r w:rsidRPr="00067084">
        <w:rPr>
          <w:rFonts w:eastAsia="Calibri" w:cs="Arial"/>
        </w:rPr>
        <w:t>Fogel, Y., Rosenblum, S., Hirsh, R., Chevignard, M., &amp; Josman, N. (2020</w:t>
      </w:r>
      <w:r w:rsidR="000974E9">
        <w:rPr>
          <w:rFonts w:eastAsia="Calibri" w:cs="Arial"/>
        </w:rPr>
        <w:t>b</w:t>
      </w:r>
      <w:r w:rsidRPr="00067084">
        <w:rPr>
          <w:rFonts w:eastAsia="Calibri" w:cs="Arial"/>
        </w:rPr>
        <w:t xml:space="preserve">). Daily </w:t>
      </w:r>
      <w:r w:rsidRPr="00F9248C">
        <w:t xml:space="preserve">performance of </w:t>
      </w:r>
      <w:r w:rsidRPr="00067084">
        <w:rPr>
          <w:rFonts w:eastAsia="Calibri" w:cs="Arial"/>
        </w:rPr>
        <w:t xml:space="preserve">adolescents with </w:t>
      </w:r>
      <w:r w:rsidRPr="00F9248C">
        <w:t>executive function</w:t>
      </w:r>
      <w:r w:rsidRPr="00067084">
        <w:rPr>
          <w:rFonts w:eastAsia="Calibri" w:cs="Arial"/>
        </w:rPr>
        <w:t xml:space="preserve"> deficits: An empirical study using </w:t>
      </w:r>
      <w:r w:rsidRPr="00067084">
        <w:rPr>
          <w:rFonts w:eastAsia="Calibri" w:cs="Arial"/>
        </w:rPr>
        <w:lastRenderedPageBreak/>
        <w:t xml:space="preserve">a complex-cooking task. </w:t>
      </w:r>
      <w:r w:rsidRPr="00067084">
        <w:rPr>
          <w:rFonts w:eastAsia="Calibri" w:cs="Arial"/>
          <w:i/>
          <w:iCs/>
        </w:rPr>
        <w:t>Occupational Therapy International</w:t>
      </w:r>
      <w:r w:rsidRPr="00067084">
        <w:rPr>
          <w:rFonts w:eastAsia="Calibri" w:cs="Arial"/>
        </w:rPr>
        <w:t xml:space="preserve">, </w:t>
      </w:r>
      <w:r w:rsidRPr="00067084">
        <w:rPr>
          <w:rFonts w:eastAsia="Calibri" w:cs="Arial"/>
          <w:i/>
          <w:iCs/>
        </w:rPr>
        <w:t>2020</w:t>
      </w:r>
      <w:r w:rsidRPr="00067084">
        <w:rPr>
          <w:rFonts w:eastAsia="Calibri" w:cs="Arial"/>
        </w:rPr>
        <w:t xml:space="preserve">, Article 3051809. https://doi.org/10.1155/2020/3051809 </w:t>
      </w:r>
      <w:hyperlink r:id="rId13" w:history="1">
        <w:r w:rsidRPr="00067084">
          <w:rPr>
            <w:rFonts w:eastAsia="Calibri" w:cs="Times New Roman"/>
          </w:rPr>
          <w:t xml:space="preserve"> </w:t>
        </w:r>
      </w:hyperlink>
    </w:p>
    <w:p w14:paraId="598E330C" w14:textId="453F7E57" w:rsidR="00573E15" w:rsidRPr="00067084" w:rsidRDefault="00573E15">
      <w:pPr>
        <w:ind w:left="720" w:hanging="720"/>
        <w:rPr>
          <w:rFonts w:eastAsia="Calibri" w:cs="Arial"/>
        </w:rPr>
      </w:pPr>
      <w:r w:rsidRPr="00067084">
        <w:rPr>
          <w:rFonts w:eastAsia="Calibri" w:cs="Arial"/>
        </w:rPr>
        <w:t>Fogel, Y., Rosenblum, S., &amp; Josman, N. (</w:t>
      </w:r>
      <w:r w:rsidR="000974E9" w:rsidRPr="00067084">
        <w:rPr>
          <w:rFonts w:eastAsia="Calibri" w:cs="Arial"/>
        </w:rPr>
        <w:t>2020</w:t>
      </w:r>
      <w:r w:rsidR="000974E9">
        <w:rPr>
          <w:rFonts w:eastAsia="Calibri" w:cs="Arial"/>
        </w:rPr>
        <w:t>c</w:t>
      </w:r>
      <w:r w:rsidRPr="00067084">
        <w:rPr>
          <w:rFonts w:eastAsia="Calibri" w:cs="Arial"/>
        </w:rPr>
        <w:t xml:space="preserve">). Participation patterns of adolescents with and without executive function deficits: Parents’ perspectives. </w:t>
      </w:r>
      <w:r w:rsidRPr="00067084">
        <w:rPr>
          <w:rFonts w:eastAsia="Calibri" w:cs="Arial"/>
          <w:i/>
          <w:iCs/>
        </w:rPr>
        <w:t>Journal of Occupational Therapy, Schools, and Early Intervention</w:t>
      </w:r>
      <w:r w:rsidR="000C031F">
        <w:rPr>
          <w:rFonts w:eastAsia="Calibri" w:cs="Arial"/>
          <w:i/>
          <w:iCs/>
        </w:rPr>
        <w:t xml:space="preserve">. </w:t>
      </w:r>
      <w:r w:rsidR="000C031F" w:rsidRPr="004D67BE">
        <w:rPr>
          <w:rFonts w:eastAsia="Calibri" w:cs="Arial"/>
        </w:rPr>
        <w:t>Advance online publication</w:t>
      </w:r>
      <w:r w:rsidR="000C031F">
        <w:rPr>
          <w:rFonts w:eastAsia="Calibri" w:cs="Arial"/>
          <w:i/>
          <w:iCs/>
        </w:rPr>
        <w:t>.</w:t>
      </w:r>
      <w:r w:rsidRPr="00067084">
        <w:rPr>
          <w:rFonts w:eastAsia="Calibri" w:cs="Arial"/>
        </w:rPr>
        <w:t xml:space="preserve"> https://doi.org/10.1080/19411243.2020.1862728</w:t>
      </w:r>
    </w:p>
    <w:p w14:paraId="486AC9BA" w14:textId="77777777" w:rsidR="00CA77FE" w:rsidRPr="00A6382B" w:rsidRDefault="00CA77FE">
      <w:pPr>
        <w:pStyle w:val="Bibliography"/>
        <w:rPr>
          <w:shd w:val="clear" w:color="auto" w:fill="FCFCFC"/>
        </w:rPr>
      </w:pPr>
      <w:r w:rsidRPr="00A6382B">
        <w:t>Gagnon</w:t>
      </w:r>
      <w:r>
        <w:t xml:space="preserve">, </w:t>
      </w:r>
      <w:r w:rsidRPr="00A6382B">
        <w:t>R</w:t>
      </w:r>
      <w:r>
        <w:t xml:space="preserve">. </w:t>
      </w:r>
      <w:r w:rsidRPr="00A6382B">
        <w:t>J</w:t>
      </w:r>
      <w:r>
        <w:t>.</w:t>
      </w:r>
      <w:r w:rsidRPr="00A6382B">
        <w:t xml:space="preserve"> </w:t>
      </w:r>
      <w:r>
        <w:t xml:space="preserve">(2019). </w:t>
      </w:r>
      <w:r w:rsidRPr="00A6382B">
        <w:t xml:space="preserve">Examining overparenting, socioeconomic status, and parental out-of-school time experience: </w:t>
      </w:r>
      <w:r>
        <w:t>D</w:t>
      </w:r>
      <w:r w:rsidRPr="00A6382B">
        <w:t xml:space="preserve">oes socioeconomic status and out-of-school-time experience matter? </w:t>
      </w:r>
      <w:r w:rsidRPr="00CA77FE">
        <w:rPr>
          <w:i/>
          <w:iCs/>
        </w:rPr>
        <w:t>Children and Youth Services Review</w:t>
      </w:r>
      <w:r>
        <w:t xml:space="preserve">, </w:t>
      </w:r>
      <w:r w:rsidRPr="00CA77FE">
        <w:rPr>
          <w:i/>
          <w:iCs/>
        </w:rPr>
        <w:t>101</w:t>
      </w:r>
      <w:r>
        <w:t xml:space="preserve">, 181–189. </w:t>
      </w:r>
      <w:r w:rsidRPr="00D556AB">
        <w:t>https://doi.org/10.1016/j.childyouth.2019.04.003</w:t>
      </w:r>
    </w:p>
    <w:p w14:paraId="43C9B69E" w14:textId="77777777" w:rsidR="00CA77FE" w:rsidRPr="00A6382B" w:rsidRDefault="00CA77FE">
      <w:pPr>
        <w:pStyle w:val="Bibliography"/>
      </w:pPr>
      <w:r w:rsidRPr="00A6382B">
        <w:rPr>
          <w:shd w:val="clear" w:color="auto" w:fill="FCFCFC"/>
          <w:lang w:val="es-US"/>
        </w:rPr>
        <w:t>Gagnon</w:t>
      </w:r>
      <w:r>
        <w:rPr>
          <w:shd w:val="clear" w:color="auto" w:fill="FCFCFC"/>
          <w:lang w:val="es-US"/>
        </w:rPr>
        <w:t>,</w:t>
      </w:r>
      <w:r w:rsidRPr="00A6382B">
        <w:rPr>
          <w:shd w:val="clear" w:color="auto" w:fill="FCFCFC"/>
          <w:lang w:val="es-US"/>
        </w:rPr>
        <w:t xml:space="preserve"> R</w:t>
      </w:r>
      <w:r>
        <w:rPr>
          <w:shd w:val="clear" w:color="auto" w:fill="FCFCFC"/>
          <w:lang w:val="es-US"/>
        </w:rPr>
        <w:t xml:space="preserve">. </w:t>
      </w:r>
      <w:r w:rsidRPr="00A6382B">
        <w:rPr>
          <w:shd w:val="clear" w:color="auto" w:fill="FCFCFC"/>
          <w:lang w:val="es-US"/>
        </w:rPr>
        <w:t>J</w:t>
      </w:r>
      <w:r>
        <w:rPr>
          <w:shd w:val="clear" w:color="auto" w:fill="FCFCFC"/>
          <w:lang w:val="es-US"/>
        </w:rPr>
        <w:t>.</w:t>
      </w:r>
      <w:r w:rsidRPr="00A6382B">
        <w:rPr>
          <w:shd w:val="clear" w:color="auto" w:fill="FCFCFC"/>
          <w:lang w:val="es-US"/>
        </w:rPr>
        <w:t xml:space="preserve">, </w:t>
      </w:r>
      <w:proofErr w:type="spellStart"/>
      <w:r w:rsidRPr="00A6382B">
        <w:rPr>
          <w:shd w:val="clear" w:color="auto" w:fill="FCFCFC"/>
          <w:lang w:val="es-US"/>
        </w:rPr>
        <w:t>Garst</w:t>
      </w:r>
      <w:proofErr w:type="spellEnd"/>
      <w:r>
        <w:rPr>
          <w:shd w:val="clear" w:color="auto" w:fill="FCFCFC"/>
          <w:lang w:val="es-US"/>
        </w:rPr>
        <w:t>,</w:t>
      </w:r>
      <w:r w:rsidRPr="00A6382B">
        <w:rPr>
          <w:shd w:val="clear" w:color="auto" w:fill="FCFCFC"/>
          <w:lang w:val="es-US"/>
        </w:rPr>
        <w:t xml:space="preserve"> B</w:t>
      </w:r>
      <w:r>
        <w:rPr>
          <w:shd w:val="clear" w:color="auto" w:fill="FCFCFC"/>
          <w:lang w:val="es-US"/>
        </w:rPr>
        <w:t xml:space="preserve">. </w:t>
      </w:r>
      <w:r w:rsidRPr="00A6382B">
        <w:rPr>
          <w:shd w:val="clear" w:color="auto" w:fill="FCFCFC"/>
          <w:lang w:val="es-US"/>
        </w:rPr>
        <w:t xml:space="preserve">A, </w:t>
      </w:r>
      <w:proofErr w:type="spellStart"/>
      <w:r w:rsidRPr="00A6382B">
        <w:rPr>
          <w:shd w:val="clear" w:color="auto" w:fill="FCFCFC"/>
          <w:lang w:val="es-US"/>
        </w:rPr>
        <w:t>Kouros</w:t>
      </w:r>
      <w:proofErr w:type="spellEnd"/>
      <w:r>
        <w:rPr>
          <w:shd w:val="clear" w:color="auto" w:fill="FCFCFC"/>
          <w:lang w:val="es-US"/>
        </w:rPr>
        <w:t>,</w:t>
      </w:r>
      <w:r w:rsidRPr="00A6382B">
        <w:rPr>
          <w:shd w:val="clear" w:color="auto" w:fill="FCFCFC"/>
          <w:lang w:val="es-US"/>
        </w:rPr>
        <w:t xml:space="preserve"> C</w:t>
      </w:r>
      <w:r>
        <w:rPr>
          <w:shd w:val="clear" w:color="auto" w:fill="FCFCFC"/>
          <w:lang w:val="es-US"/>
        </w:rPr>
        <w:t xml:space="preserve">. </w:t>
      </w:r>
      <w:r w:rsidRPr="00A6382B">
        <w:rPr>
          <w:shd w:val="clear" w:color="auto" w:fill="FCFCFC"/>
          <w:lang w:val="es-US"/>
        </w:rPr>
        <w:t>D</w:t>
      </w:r>
      <w:r>
        <w:rPr>
          <w:shd w:val="clear" w:color="auto" w:fill="FCFCFC"/>
          <w:lang w:val="es-US"/>
        </w:rPr>
        <w:t>.</w:t>
      </w:r>
      <w:r w:rsidRPr="00A6382B">
        <w:rPr>
          <w:shd w:val="clear" w:color="auto" w:fill="FCFCFC"/>
          <w:lang w:val="es-US"/>
        </w:rPr>
        <w:t>,</w:t>
      </w:r>
      <w:r>
        <w:rPr>
          <w:shd w:val="clear" w:color="auto" w:fill="FCFCFC"/>
          <w:lang w:val="es-US"/>
        </w:rPr>
        <w:t xml:space="preserve"> Schiffrin, H. H., &amp; Cui, M. (2020). </w:t>
      </w:r>
      <w:r w:rsidRPr="00A6382B">
        <w:rPr>
          <w:shd w:val="clear" w:color="auto" w:fill="FCFCFC"/>
        </w:rPr>
        <w:t xml:space="preserve">When </w:t>
      </w:r>
      <w:r w:rsidRPr="00AD0B3A">
        <w:rPr>
          <w:shd w:val="clear" w:color="auto" w:fill="FCFCFC"/>
        </w:rPr>
        <w:t xml:space="preserve">overparenting is normal parenting: </w:t>
      </w:r>
      <w:r>
        <w:rPr>
          <w:shd w:val="clear" w:color="auto" w:fill="FCFCFC"/>
        </w:rPr>
        <w:t>E</w:t>
      </w:r>
      <w:r w:rsidRPr="00AD0B3A">
        <w:rPr>
          <w:shd w:val="clear" w:color="auto" w:fill="FCFCFC"/>
        </w:rPr>
        <w:t>xamining child disability and overparenting in early adolescence</w:t>
      </w:r>
      <w:r w:rsidRPr="00A6382B">
        <w:rPr>
          <w:shd w:val="clear" w:color="auto" w:fill="FCFCFC"/>
        </w:rPr>
        <w:t>.</w:t>
      </w:r>
      <w:r>
        <w:rPr>
          <w:shd w:val="clear" w:color="auto" w:fill="FCFCFC"/>
        </w:rPr>
        <w:t xml:space="preserve"> </w:t>
      </w:r>
      <w:r w:rsidRPr="00CA77FE">
        <w:rPr>
          <w:i/>
          <w:iCs/>
          <w:shd w:val="clear" w:color="auto" w:fill="FCFCFC"/>
        </w:rPr>
        <w:t>Journal of Child and Family Studies</w:t>
      </w:r>
      <w:r>
        <w:rPr>
          <w:shd w:val="clear" w:color="auto" w:fill="FCFCFC"/>
        </w:rPr>
        <w:t xml:space="preserve">, </w:t>
      </w:r>
      <w:r w:rsidRPr="00CA77FE">
        <w:rPr>
          <w:i/>
          <w:iCs/>
          <w:shd w:val="clear" w:color="auto" w:fill="FCFCFC"/>
        </w:rPr>
        <w:t>29</w:t>
      </w:r>
      <w:r>
        <w:rPr>
          <w:shd w:val="clear" w:color="auto" w:fill="FCFCFC"/>
        </w:rPr>
        <w:t xml:space="preserve">, </w:t>
      </w:r>
      <w:r w:rsidRPr="00A6382B">
        <w:rPr>
          <w:shd w:val="clear" w:color="auto" w:fill="FCFCFC"/>
        </w:rPr>
        <w:t>413–425</w:t>
      </w:r>
      <w:r w:rsidRPr="00AD0B3A">
        <w:rPr>
          <w:shd w:val="clear" w:color="auto" w:fill="FCFCFC"/>
        </w:rPr>
        <w:t>.</w:t>
      </w:r>
      <w:r>
        <w:rPr>
          <w:shd w:val="clear" w:color="auto" w:fill="FCFCFC"/>
        </w:rPr>
        <w:t xml:space="preserve"> </w:t>
      </w:r>
      <w:r w:rsidRPr="00816558">
        <w:rPr>
          <w:shd w:val="clear" w:color="auto" w:fill="FCFCFC"/>
        </w:rPr>
        <w:t>https://doi.org/10.1007/s10826-019-01623-1</w:t>
      </w:r>
    </w:p>
    <w:p w14:paraId="2C6FA145" w14:textId="0CAB1065" w:rsidR="00CA77FE" w:rsidRPr="00F9248C" w:rsidRDefault="00CA77FE">
      <w:pPr>
        <w:pStyle w:val="Bibliography"/>
      </w:pPr>
      <w:r w:rsidRPr="00F9248C">
        <w:rPr>
          <w:lang w:val="es-US"/>
        </w:rPr>
        <w:t>Geurten</w:t>
      </w:r>
      <w:r>
        <w:rPr>
          <w:lang w:val="es-US"/>
        </w:rPr>
        <w:t>,</w:t>
      </w:r>
      <w:r w:rsidRPr="00F9248C">
        <w:rPr>
          <w:lang w:val="es-US"/>
        </w:rPr>
        <w:t xml:space="preserve"> M</w:t>
      </w:r>
      <w:r>
        <w:rPr>
          <w:lang w:val="es-US"/>
        </w:rPr>
        <w:t>.</w:t>
      </w:r>
      <w:r w:rsidRPr="00A6382B">
        <w:rPr>
          <w:lang w:val="es-US"/>
        </w:rPr>
        <w:t>,</w:t>
      </w:r>
      <w:r w:rsidRPr="00F9248C">
        <w:rPr>
          <w:lang w:val="es-US"/>
        </w:rPr>
        <w:t xml:space="preserve"> </w:t>
      </w:r>
      <w:proofErr w:type="spellStart"/>
      <w:r w:rsidRPr="00F9248C">
        <w:rPr>
          <w:lang w:val="es-US"/>
        </w:rPr>
        <w:t>Catale</w:t>
      </w:r>
      <w:proofErr w:type="spellEnd"/>
      <w:r>
        <w:rPr>
          <w:lang w:val="es-US"/>
        </w:rPr>
        <w:t>,</w:t>
      </w:r>
      <w:r w:rsidRPr="00F9248C">
        <w:rPr>
          <w:lang w:val="es-US"/>
        </w:rPr>
        <w:t xml:space="preserve"> C</w:t>
      </w:r>
      <w:r>
        <w:rPr>
          <w:lang w:val="es-US"/>
        </w:rPr>
        <w:t>.</w:t>
      </w:r>
      <w:r w:rsidRPr="00A6382B">
        <w:rPr>
          <w:lang w:val="es-US"/>
        </w:rPr>
        <w:t>,</w:t>
      </w:r>
      <w:r w:rsidRPr="00F9248C">
        <w:rPr>
          <w:lang w:val="es-US"/>
        </w:rPr>
        <w:t xml:space="preserve"> Geurten</w:t>
      </w:r>
      <w:r>
        <w:rPr>
          <w:lang w:val="es-US"/>
        </w:rPr>
        <w:t>,</w:t>
      </w:r>
      <w:r w:rsidRPr="00F9248C">
        <w:rPr>
          <w:lang w:val="es-US"/>
        </w:rPr>
        <w:t xml:space="preserve"> C</w:t>
      </w:r>
      <w:r>
        <w:rPr>
          <w:lang w:val="es-US"/>
        </w:rPr>
        <w:t>.</w:t>
      </w:r>
      <w:r w:rsidRPr="00A6382B">
        <w:rPr>
          <w:lang w:val="es-US"/>
        </w:rPr>
        <w:t xml:space="preserve">, </w:t>
      </w:r>
      <w:proofErr w:type="spellStart"/>
      <w:r>
        <w:rPr>
          <w:lang w:val="es-US"/>
        </w:rPr>
        <w:t>Wansard</w:t>
      </w:r>
      <w:proofErr w:type="spellEnd"/>
      <w:r>
        <w:rPr>
          <w:lang w:val="es-US"/>
        </w:rPr>
        <w:t>, M., &amp; Meulemans, T.</w:t>
      </w:r>
      <w:r w:rsidRPr="00A6382B">
        <w:rPr>
          <w:lang w:val="es-US"/>
        </w:rPr>
        <w:t xml:space="preserve"> </w:t>
      </w:r>
      <w:r>
        <w:rPr>
          <w:lang w:val="es-US"/>
        </w:rPr>
        <w:t>(2016).</w:t>
      </w:r>
      <w:r w:rsidRPr="00F9248C">
        <w:rPr>
          <w:lang w:val="es-US"/>
        </w:rPr>
        <w:t xml:space="preserve"> </w:t>
      </w:r>
      <w:r w:rsidRPr="00F9248C">
        <w:t xml:space="preserve">Studying self-awareness in children: </w:t>
      </w:r>
      <w:r>
        <w:t>V</w:t>
      </w:r>
      <w:r w:rsidRPr="00A6382B">
        <w:t>alidation</w:t>
      </w:r>
      <w:r w:rsidRPr="00F9248C">
        <w:t xml:space="preserve"> of the Questionnaire of Executive Functioning (QEF). </w:t>
      </w:r>
      <w:r w:rsidRPr="00CA77FE">
        <w:rPr>
          <w:i/>
          <w:iCs/>
        </w:rPr>
        <w:t>Clinical Neuropsychologist</w:t>
      </w:r>
      <w:r>
        <w:t xml:space="preserve">, </w:t>
      </w:r>
      <w:r w:rsidRPr="00CA77FE">
        <w:rPr>
          <w:i/>
          <w:iCs/>
        </w:rPr>
        <w:t>30</w:t>
      </w:r>
      <w:r>
        <w:t xml:space="preserve">, </w:t>
      </w:r>
      <w:r w:rsidRPr="00F9248C">
        <w:t xml:space="preserve">558–578. </w:t>
      </w:r>
      <w:r w:rsidRPr="009F53A9">
        <w:t>https://doi.org/10.1080/13854046.2016.1178331</w:t>
      </w:r>
    </w:p>
    <w:p w14:paraId="518A8DAF" w14:textId="08148D5B" w:rsidR="00CA77FE" w:rsidRPr="00F9248C" w:rsidRDefault="00CA77FE">
      <w:pPr>
        <w:pStyle w:val="Bibliography"/>
      </w:pPr>
      <w:r w:rsidRPr="00F9248C">
        <w:t>Gilboa</w:t>
      </w:r>
      <w:r>
        <w:rPr>
          <w:rFonts w:eastAsia="Calibri"/>
          <w:szCs w:val="24"/>
        </w:rPr>
        <w:t>,</w:t>
      </w:r>
      <w:r w:rsidRPr="00F9248C">
        <w:t xml:space="preserve"> Y</w:t>
      </w:r>
      <w:r>
        <w:rPr>
          <w:rFonts w:eastAsia="Calibri"/>
          <w:szCs w:val="24"/>
        </w:rPr>
        <w:t>.</w:t>
      </w:r>
      <w:r w:rsidRPr="00A6382B">
        <w:rPr>
          <w:rFonts w:eastAsia="Calibri"/>
          <w:szCs w:val="24"/>
        </w:rPr>
        <w:t xml:space="preserve">, </w:t>
      </w:r>
      <w:r>
        <w:rPr>
          <w:rFonts w:eastAsia="Calibri"/>
          <w:szCs w:val="24"/>
        </w:rPr>
        <w:t>&amp;</w:t>
      </w:r>
      <w:r w:rsidRPr="00F9248C">
        <w:t xml:space="preserve"> Helmer</w:t>
      </w:r>
      <w:r>
        <w:rPr>
          <w:rFonts w:eastAsia="Calibri"/>
          <w:szCs w:val="24"/>
        </w:rPr>
        <w:t>,</w:t>
      </w:r>
      <w:r w:rsidRPr="00F9248C">
        <w:t xml:space="preserve"> A.</w:t>
      </w:r>
      <w:r w:rsidRPr="00A6382B">
        <w:rPr>
          <w:rFonts w:eastAsia="Calibri"/>
          <w:szCs w:val="24"/>
        </w:rPr>
        <w:t xml:space="preserve"> </w:t>
      </w:r>
      <w:r>
        <w:rPr>
          <w:rFonts w:eastAsia="Calibri"/>
          <w:szCs w:val="24"/>
        </w:rPr>
        <w:t>(2020).</w:t>
      </w:r>
      <w:r w:rsidRPr="00F9248C">
        <w:t xml:space="preserve"> Self-management intervention for attention and executive functions using equine-assisted occupational therapy among children aged 6–14 diagnosed with attention deficit/hyperactivity disorder. </w:t>
      </w:r>
      <w:r w:rsidRPr="00CA77FE">
        <w:rPr>
          <w:rFonts w:eastAsia="Calibri"/>
          <w:i/>
          <w:iCs/>
          <w:szCs w:val="24"/>
        </w:rPr>
        <w:t>Journal of Alternative and Complementary Medicine</w:t>
      </w:r>
      <w:r>
        <w:rPr>
          <w:rFonts w:eastAsia="Calibri"/>
          <w:szCs w:val="24"/>
        </w:rPr>
        <w:t xml:space="preserve">, </w:t>
      </w:r>
      <w:r w:rsidRPr="00CA77FE">
        <w:rPr>
          <w:rFonts w:eastAsia="Calibri"/>
          <w:i/>
          <w:iCs/>
          <w:szCs w:val="24"/>
        </w:rPr>
        <w:t>26</w:t>
      </w:r>
      <w:r>
        <w:rPr>
          <w:rFonts w:eastAsia="Calibri"/>
          <w:szCs w:val="24"/>
        </w:rPr>
        <w:t xml:space="preserve">, </w:t>
      </w:r>
      <w:r w:rsidRPr="00A6382B">
        <w:rPr>
          <w:rFonts w:eastAsia="Calibri"/>
          <w:szCs w:val="24"/>
        </w:rPr>
        <w:t xml:space="preserve">239–246. </w:t>
      </w:r>
      <w:r w:rsidRPr="009F24DC">
        <w:rPr>
          <w:rFonts w:eastAsia="Calibri"/>
          <w:szCs w:val="24"/>
        </w:rPr>
        <w:t>https://doi.org/10.1089/acm.2019.0374</w:t>
      </w:r>
    </w:p>
    <w:p w14:paraId="4B6A6690" w14:textId="00C8BE6C" w:rsidR="00CA77FE" w:rsidRPr="00F9248C" w:rsidRDefault="00CA77FE">
      <w:pPr>
        <w:pStyle w:val="Bibliography"/>
      </w:pPr>
      <w:r w:rsidRPr="00F9248C">
        <w:t>Gioia</w:t>
      </w:r>
      <w:r>
        <w:rPr>
          <w:rFonts w:eastAsia="Calibri"/>
          <w:szCs w:val="24"/>
        </w:rPr>
        <w:t>,</w:t>
      </w:r>
      <w:r w:rsidRPr="00F9248C">
        <w:t xml:space="preserve"> G</w:t>
      </w:r>
      <w:r>
        <w:rPr>
          <w:rFonts w:eastAsia="Calibri"/>
          <w:szCs w:val="24"/>
        </w:rPr>
        <w:t>.</w:t>
      </w:r>
      <w:r w:rsidRPr="00A6382B">
        <w:rPr>
          <w:rFonts w:eastAsia="Calibri"/>
          <w:szCs w:val="24"/>
        </w:rPr>
        <w:t>,</w:t>
      </w:r>
      <w:r w:rsidRPr="00F9248C">
        <w:t xml:space="preserve"> Isquith</w:t>
      </w:r>
      <w:r>
        <w:rPr>
          <w:rFonts w:eastAsia="Calibri"/>
          <w:szCs w:val="24"/>
        </w:rPr>
        <w:t>,</w:t>
      </w:r>
      <w:r w:rsidRPr="00F9248C">
        <w:t xml:space="preserve"> P</w:t>
      </w:r>
      <w:r>
        <w:rPr>
          <w:rFonts w:eastAsia="Calibri"/>
          <w:szCs w:val="24"/>
        </w:rPr>
        <w:t>.</w:t>
      </w:r>
      <w:r w:rsidRPr="00A6382B">
        <w:rPr>
          <w:rFonts w:eastAsia="Calibri"/>
          <w:szCs w:val="24"/>
        </w:rPr>
        <w:t>,</w:t>
      </w:r>
      <w:r w:rsidRPr="00F9248C">
        <w:t xml:space="preserve"> Guy</w:t>
      </w:r>
      <w:r>
        <w:rPr>
          <w:rFonts w:eastAsia="Calibri"/>
          <w:szCs w:val="24"/>
        </w:rPr>
        <w:t xml:space="preserve">, </w:t>
      </w:r>
      <w:r w:rsidRPr="00A6382B">
        <w:rPr>
          <w:rFonts w:eastAsia="Calibri"/>
          <w:szCs w:val="24"/>
        </w:rPr>
        <w:t>S</w:t>
      </w:r>
      <w:r>
        <w:rPr>
          <w:rFonts w:eastAsia="Calibri"/>
          <w:szCs w:val="24"/>
        </w:rPr>
        <w:t>., &amp; Kenworth, L. (2002).</w:t>
      </w:r>
      <w:r w:rsidRPr="00F9248C">
        <w:t xml:space="preserve"> </w:t>
      </w:r>
      <w:r w:rsidRPr="00F9248C">
        <w:rPr>
          <w:i/>
        </w:rPr>
        <w:t xml:space="preserve">Brief Rating Inventory of Executive Function: </w:t>
      </w:r>
      <w:r w:rsidRPr="00CA77FE">
        <w:rPr>
          <w:rFonts w:eastAsia="Calibri"/>
          <w:i/>
          <w:iCs/>
          <w:szCs w:val="24"/>
        </w:rPr>
        <w:t>Professional</w:t>
      </w:r>
      <w:r w:rsidRPr="00F9248C">
        <w:rPr>
          <w:i/>
        </w:rPr>
        <w:t xml:space="preserve"> manual</w:t>
      </w:r>
      <w:r w:rsidRPr="00F9248C">
        <w:t>. Psychological Assessment Resources.</w:t>
      </w:r>
    </w:p>
    <w:p w14:paraId="71C929F0" w14:textId="57976F9E" w:rsidR="00CA77FE" w:rsidRPr="00F9248C" w:rsidRDefault="00CA77FE">
      <w:pPr>
        <w:pStyle w:val="Bibliography"/>
      </w:pPr>
      <w:r w:rsidRPr="00F9248C">
        <w:lastRenderedPageBreak/>
        <w:t>Guy</w:t>
      </w:r>
      <w:r>
        <w:rPr>
          <w:rFonts w:eastAsia="Calibri"/>
          <w:szCs w:val="24"/>
        </w:rPr>
        <w:t xml:space="preserve">, </w:t>
      </w:r>
      <w:r w:rsidRPr="00A6382B">
        <w:rPr>
          <w:rFonts w:eastAsia="Calibri"/>
          <w:szCs w:val="24"/>
        </w:rPr>
        <w:t>S</w:t>
      </w:r>
      <w:r>
        <w:rPr>
          <w:rFonts w:eastAsia="Calibri"/>
          <w:szCs w:val="24"/>
        </w:rPr>
        <w:t xml:space="preserve">. </w:t>
      </w:r>
      <w:r w:rsidRPr="00A6382B">
        <w:rPr>
          <w:rFonts w:eastAsia="Calibri"/>
          <w:szCs w:val="24"/>
        </w:rPr>
        <w:t>C</w:t>
      </w:r>
      <w:r>
        <w:rPr>
          <w:rFonts w:eastAsia="Calibri"/>
          <w:szCs w:val="24"/>
        </w:rPr>
        <w:t>.</w:t>
      </w:r>
      <w:r w:rsidRPr="00A6382B">
        <w:rPr>
          <w:rFonts w:eastAsia="Calibri"/>
          <w:szCs w:val="24"/>
        </w:rPr>
        <w:t>,</w:t>
      </w:r>
      <w:r w:rsidRPr="00F9248C">
        <w:t xml:space="preserve"> Isquith</w:t>
      </w:r>
      <w:r>
        <w:rPr>
          <w:rFonts w:eastAsia="Calibri"/>
          <w:szCs w:val="24"/>
        </w:rPr>
        <w:t>,</w:t>
      </w:r>
      <w:r w:rsidRPr="00A6382B">
        <w:rPr>
          <w:rFonts w:eastAsia="Calibri"/>
          <w:szCs w:val="24"/>
        </w:rPr>
        <w:t xml:space="preserve"> P</w:t>
      </w:r>
      <w:r>
        <w:rPr>
          <w:rFonts w:eastAsia="Calibri"/>
          <w:szCs w:val="24"/>
        </w:rPr>
        <w:t xml:space="preserve">. </w:t>
      </w:r>
      <w:r w:rsidRPr="00A6382B">
        <w:rPr>
          <w:rFonts w:eastAsia="Calibri"/>
          <w:szCs w:val="24"/>
        </w:rPr>
        <w:t>K</w:t>
      </w:r>
      <w:r>
        <w:rPr>
          <w:rFonts w:eastAsia="Calibri"/>
          <w:szCs w:val="24"/>
        </w:rPr>
        <w:t>.</w:t>
      </w:r>
      <w:r w:rsidRPr="00A6382B">
        <w:rPr>
          <w:rFonts w:eastAsia="Calibri"/>
          <w:szCs w:val="24"/>
        </w:rPr>
        <w:t xml:space="preserve">, </w:t>
      </w:r>
      <w:r>
        <w:rPr>
          <w:rFonts w:eastAsia="Calibri"/>
          <w:szCs w:val="24"/>
        </w:rPr>
        <w:t>&amp;</w:t>
      </w:r>
      <w:r w:rsidRPr="00F9248C">
        <w:t xml:space="preserve"> Gioia</w:t>
      </w:r>
      <w:r>
        <w:rPr>
          <w:rFonts w:eastAsia="Calibri"/>
          <w:szCs w:val="24"/>
        </w:rPr>
        <w:t>,</w:t>
      </w:r>
      <w:r w:rsidRPr="00A6382B">
        <w:rPr>
          <w:rFonts w:eastAsia="Calibri"/>
          <w:szCs w:val="24"/>
        </w:rPr>
        <w:t xml:space="preserve"> G</w:t>
      </w:r>
      <w:r>
        <w:rPr>
          <w:rFonts w:eastAsia="Calibri"/>
          <w:szCs w:val="24"/>
        </w:rPr>
        <w:t xml:space="preserve">. </w:t>
      </w:r>
      <w:r w:rsidRPr="00A6382B">
        <w:rPr>
          <w:rFonts w:eastAsia="Calibri"/>
          <w:szCs w:val="24"/>
        </w:rPr>
        <w:t>A</w:t>
      </w:r>
      <w:r>
        <w:rPr>
          <w:rFonts w:eastAsia="Calibri"/>
          <w:szCs w:val="24"/>
        </w:rPr>
        <w:t>. (2004).</w:t>
      </w:r>
      <w:r w:rsidRPr="00F9248C">
        <w:t xml:space="preserve"> </w:t>
      </w:r>
      <w:r w:rsidRPr="00F9248C">
        <w:rPr>
          <w:i/>
        </w:rPr>
        <w:t xml:space="preserve">Behavior Rating Inventory of Executive Function: </w:t>
      </w:r>
      <w:r w:rsidRPr="00CA77FE">
        <w:rPr>
          <w:rFonts w:eastAsia="Calibri"/>
          <w:i/>
          <w:iCs/>
          <w:szCs w:val="24"/>
        </w:rPr>
        <w:t>Self</w:t>
      </w:r>
      <w:r w:rsidRPr="00F9248C">
        <w:rPr>
          <w:i/>
        </w:rPr>
        <w:t>-report version professional manual</w:t>
      </w:r>
      <w:r w:rsidRPr="00F9248C">
        <w:t>. Psychological Assessment Resources.</w:t>
      </w:r>
    </w:p>
    <w:p w14:paraId="4D5AE06F" w14:textId="67A1E64C" w:rsidR="00CA77FE" w:rsidRPr="00A6382B" w:rsidRDefault="00CA77FE">
      <w:pPr>
        <w:pStyle w:val="Bibliography"/>
        <w:rPr>
          <w:shd w:val="clear" w:color="auto" w:fill="FFFFFF"/>
        </w:rPr>
      </w:pPr>
      <w:r w:rsidRPr="00A6382B">
        <w:rPr>
          <w:shd w:val="clear" w:color="auto" w:fill="FFFFFF"/>
        </w:rPr>
        <w:t>Hands</w:t>
      </w:r>
      <w:r>
        <w:rPr>
          <w:shd w:val="clear" w:color="auto" w:fill="FFFFFF"/>
        </w:rPr>
        <w:t xml:space="preserve">, </w:t>
      </w:r>
      <w:r w:rsidRPr="00A6382B">
        <w:rPr>
          <w:shd w:val="clear" w:color="auto" w:fill="FFFFFF"/>
        </w:rPr>
        <w:t>B</w:t>
      </w:r>
      <w:r>
        <w:rPr>
          <w:shd w:val="clear" w:color="auto" w:fill="FFFFFF"/>
        </w:rPr>
        <w:t>.</w:t>
      </w:r>
      <w:r w:rsidRPr="00A6382B">
        <w:rPr>
          <w:shd w:val="clear" w:color="auto" w:fill="FFFFFF"/>
        </w:rPr>
        <w:t>, Rose</w:t>
      </w:r>
      <w:r>
        <w:rPr>
          <w:shd w:val="clear" w:color="auto" w:fill="FFFFFF"/>
        </w:rPr>
        <w:t>,</w:t>
      </w:r>
      <w:r w:rsidRPr="00A6382B">
        <w:rPr>
          <w:shd w:val="clear" w:color="auto" w:fill="FFFFFF"/>
        </w:rPr>
        <w:t xml:space="preserve"> E</w:t>
      </w:r>
      <w:r>
        <w:rPr>
          <w:shd w:val="clear" w:color="auto" w:fill="FFFFFF"/>
        </w:rPr>
        <w:t>.</w:t>
      </w:r>
      <w:r w:rsidRPr="00A6382B">
        <w:rPr>
          <w:shd w:val="clear" w:color="auto" w:fill="FFFFFF"/>
        </w:rPr>
        <w:t xml:space="preserve">, </w:t>
      </w:r>
      <w:proofErr w:type="spellStart"/>
      <w:r w:rsidRPr="00A6382B">
        <w:rPr>
          <w:shd w:val="clear" w:color="auto" w:fill="FFFFFF"/>
        </w:rPr>
        <w:t>Chivers</w:t>
      </w:r>
      <w:proofErr w:type="spellEnd"/>
      <w:r>
        <w:rPr>
          <w:shd w:val="clear" w:color="auto" w:fill="FFFFFF"/>
        </w:rPr>
        <w:t>,</w:t>
      </w:r>
      <w:r w:rsidRPr="00A6382B">
        <w:rPr>
          <w:shd w:val="clear" w:color="auto" w:fill="FFFFFF"/>
        </w:rPr>
        <w:t xml:space="preserve"> P</w:t>
      </w:r>
      <w:r>
        <w:rPr>
          <w:shd w:val="clear" w:color="auto" w:fill="FFFFFF"/>
        </w:rPr>
        <w:t>.</w:t>
      </w:r>
      <w:r w:rsidRPr="00A6382B">
        <w:rPr>
          <w:shd w:val="clear" w:color="auto" w:fill="FFFFFF"/>
        </w:rPr>
        <w:t xml:space="preserve">, </w:t>
      </w:r>
      <w:r>
        <w:rPr>
          <w:shd w:val="clear" w:color="auto" w:fill="FFFFFF"/>
        </w:rPr>
        <w:t xml:space="preserve">McIntyre, F., </w:t>
      </w:r>
      <w:proofErr w:type="spellStart"/>
      <w:r>
        <w:rPr>
          <w:shd w:val="clear" w:color="auto" w:fill="FFFFFF"/>
        </w:rPr>
        <w:t>Timler</w:t>
      </w:r>
      <w:proofErr w:type="spellEnd"/>
      <w:r>
        <w:rPr>
          <w:shd w:val="clear" w:color="auto" w:fill="FFFFFF"/>
        </w:rPr>
        <w:t>, A., &amp; Parker, H. (2020).</w:t>
      </w:r>
      <w:r w:rsidRPr="00F9248C">
        <w:rPr>
          <w:shd w:val="clear" w:color="auto" w:fill="FFFFFF"/>
        </w:rPr>
        <w:t xml:space="preserve"> The relationships between motor competence, physical activity, fitness and self-concept in children and adolescents with DCD. </w:t>
      </w:r>
      <w:r w:rsidRPr="00CA77FE">
        <w:rPr>
          <w:i/>
          <w:iCs/>
          <w:shd w:val="clear" w:color="auto" w:fill="FFFFFF"/>
        </w:rPr>
        <w:t>Current Developmental Disorders Report</w:t>
      </w:r>
      <w:r>
        <w:rPr>
          <w:shd w:val="clear" w:color="auto" w:fill="FFFFFF"/>
        </w:rPr>
        <w:t xml:space="preserve">, </w:t>
      </w:r>
      <w:r w:rsidRPr="00CA77FE">
        <w:rPr>
          <w:i/>
          <w:iCs/>
          <w:shd w:val="clear" w:color="auto" w:fill="FFFFFF"/>
        </w:rPr>
        <w:t>7</w:t>
      </w:r>
      <w:r w:rsidRPr="00A6382B">
        <w:rPr>
          <w:shd w:val="clear" w:color="auto" w:fill="FFFFFF"/>
        </w:rPr>
        <w:t>(2)</w:t>
      </w:r>
      <w:r>
        <w:rPr>
          <w:shd w:val="clear" w:color="auto" w:fill="FFFFFF"/>
        </w:rPr>
        <w:t xml:space="preserve">, </w:t>
      </w:r>
      <w:r w:rsidRPr="00A6382B">
        <w:rPr>
          <w:shd w:val="clear" w:color="auto" w:fill="FFFFFF"/>
        </w:rPr>
        <w:t>35</w:t>
      </w:r>
      <w:r>
        <w:rPr>
          <w:shd w:val="clear" w:color="auto" w:fill="FFFFFF"/>
        </w:rPr>
        <w:t>–</w:t>
      </w:r>
      <w:r w:rsidRPr="00A6382B">
        <w:rPr>
          <w:shd w:val="clear" w:color="auto" w:fill="FFFFFF"/>
        </w:rPr>
        <w:t xml:space="preserve">42. </w:t>
      </w:r>
      <w:r w:rsidRPr="00F209FE">
        <w:rPr>
          <w:shd w:val="clear" w:color="auto" w:fill="FFFFFF"/>
        </w:rPr>
        <w:t>https://doi.org/10.1007/s40474-020-00189-8</w:t>
      </w:r>
    </w:p>
    <w:p w14:paraId="3260F318" w14:textId="0CF4D24C" w:rsidR="00CA77FE" w:rsidRPr="00F9248C" w:rsidRDefault="00CA77FE">
      <w:pPr>
        <w:pStyle w:val="Bibliography"/>
      </w:pPr>
      <w:r w:rsidRPr="00A6382B">
        <w:rPr>
          <w:shd w:val="clear" w:color="auto" w:fill="FFFFFF"/>
        </w:rPr>
        <w:t>Harter</w:t>
      </w:r>
      <w:r>
        <w:rPr>
          <w:shd w:val="clear" w:color="auto" w:fill="FFFFFF"/>
        </w:rPr>
        <w:t>,</w:t>
      </w:r>
      <w:r w:rsidRPr="00F9248C">
        <w:rPr>
          <w:shd w:val="clear" w:color="auto" w:fill="FFFFFF"/>
        </w:rPr>
        <w:t xml:space="preserve"> S</w:t>
      </w:r>
      <w:r w:rsidRPr="00A6382B">
        <w:rPr>
          <w:shd w:val="clear" w:color="auto" w:fill="FFFFFF"/>
        </w:rPr>
        <w:t xml:space="preserve">. </w:t>
      </w:r>
      <w:r>
        <w:rPr>
          <w:shd w:val="clear" w:color="auto" w:fill="FFFFFF"/>
        </w:rPr>
        <w:t xml:space="preserve">(2012). </w:t>
      </w:r>
      <w:r w:rsidRPr="00A6382B">
        <w:rPr>
          <w:rStyle w:val="Emphasis"/>
          <w:rFonts w:cs="Times New Roman"/>
          <w:i w:val="0"/>
          <w:iCs w:val="0"/>
          <w:shd w:val="clear" w:color="auto" w:fill="FFFFFF"/>
        </w:rPr>
        <w:t>Emerging self-processes during</w:t>
      </w:r>
      <w:r w:rsidRPr="00F9248C">
        <w:rPr>
          <w:rStyle w:val="Emphasis"/>
          <w:i w:val="0"/>
          <w:shd w:val="clear" w:color="auto" w:fill="FFFFFF"/>
        </w:rPr>
        <w:t xml:space="preserve"> childhood </w:t>
      </w:r>
      <w:r w:rsidRPr="00A6382B">
        <w:rPr>
          <w:rStyle w:val="Emphasis"/>
          <w:rFonts w:cs="Times New Roman"/>
          <w:i w:val="0"/>
          <w:iCs w:val="0"/>
          <w:shd w:val="clear" w:color="auto" w:fill="FFFFFF"/>
        </w:rPr>
        <w:t>and</w:t>
      </w:r>
      <w:r w:rsidRPr="00F9248C">
        <w:rPr>
          <w:rStyle w:val="Emphasis"/>
          <w:i w:val="0"/>
          <w:shd w:val="clear" w:color="auto" w:fill="FFFFFF"/>
        </w:rPr>
        <w:t xml:space="preserve"> adolescence.</w:t>
      </w:r>
      <w:r>
        <w:rPr>
          <w:rStyle w:val="Emphasis"/>
          <w:rFonts w:cs="Times New Roman"/>
          <w:i w:val="0"/>
          <w:iCs w:val="0"/>
          <w:shd w:val="clear" w:color="auto" w:fill="FFFFFF"/>
        </w:rPr>
        <w:t xml:space="preserve"> </w:t>
      </w:r>
      <w:r w:rsidRPr="00A6382B">
        <w:rPr>
          <w:shd w:val="clear" w:color="auto" w:fill="FFFFFF"/>
        </w:rPr>
        <w:t xml:space="preserve">In </w:t>
      </w:r>
      <w:r>
        <w:rPr>
          <w:shd w:val="clear" w:color="auto" w:fill="FFFFFF"/>
        </w:rPr>
        <w:t xml:space="preserve">M. R. </w:t>
      </w:r>
      <w:r w:rsidRPr="00A6382B">
        <w:rPr>
          <w:shd w:val="clear" w:color="auto" w:fill="FFFFFF"/>
        </w:rPr>
        <w:t>Leary</w:t>
      </w:r>
      <w:r>
        <w:rPr>
          <w:shd w:val="clear" w:color="auto" w:fill="FFFFFF"/>
        </w:rPr>
        <w:t xml:space="preserve"> &amp; J. P. </w:t>
      </w:r>
      <w:r w:rsidRPr="00A6382B">
        <w:rPr>
          <w:shd w:val="clear" w:color="auto" w:fill="FFFFFF"/>
        </w:rPr>
        <w:t>Tangney</w:t>
      </w:r>
      <w:r>
        <w:rPr>
          <w:shd w:val="clear" w:color="auto" w:fill="FFFFFF"/>
        </w:rPr>
        <w:t xml:space="preserve"> (Eds.), </w:t>
      </w:r>
      <w:r w:rsidRPr="00CA77FE">
        <w:rPr>
          <w:rStyle w:val="Emphasis"/>
          <w:rFonts w:cs="Times New Roman"/>
          <w:shd w:val="clear" w:color="auto" w:fill="FFFFFF"/>
        </w:rPr>
        <w:t>Handbook of self and identity</w:t>
      </w:r>
      <w:r w:rsidRPr="007C1190">
        <w:rPr>
          <w:shd w:val="clear" w:color="auto" w:fill="FFFFFF"/>
        </w:rPr>
        <w:t xml:space="preserve"> </w:t>
      </w:r>
      <w:r>
        <w:rPr>
          <w:shd w:val="clear" w:color="auto" w:fill="FFFFFF"/>
        </w:rPr>
        <w:t>(p</w:t>
      </w:r>
      <w:r w:rsidRPr="00AF4686">
        <w:rPr>
          <w:shd w:val="clear" w:color="auto" w:fill="FFFFFF"/>
        </w:rPr>
        <w:t>p. 680–715</w:t>
      </w:r>
      <w:r>
        <w:rPr>
          <w:shd w:val="clear" w:color="auto" w:fill="FFFFFF"/>
        </w:rPr>
        <w:t xml:space="preserve">). </w:t>
      </w:r>
      <w:r w:rsidRPr="00A6382B">
        <w:rPr>
          <w:shd w:val="clear" w:color="auto" w:fill="FFFFFF"/>
        </w:rPr>
        <w:t>Guilford Press</w:t>
      </w:r>
      <w:r w:rsidRPr="00AF4686">
        <w:rPr>
          <w:shd w:val="clear" w:color="auto" w:fill="FFFFFF"/>
        </w:rPr>
        <w:t>.</w:t>
      </w:r>
    </w:p>
    <w:p w14:paraId="4C5AA15B" w14:textId="44301176" w:rsidR="00CA77FE" w:rsidRPr="00F9248C" w:rsidRDefault="00CA77FE">
      <w:pPr>
        <w:pStyle w:val="Bibliography"/>
      </w:pPr>
      <w:r w:rsidRPr="00F9248C">
        <w:t>Hong</w:t>
      </w:r>
      <w:r>
        <w:t xml:space="preserve">, </w:t>
      </w:r>
      <w:r w:rsidRPr="00A6382B">
        <w:t>J</w:t>
      </w:r>
      <w:r>
        <w:t>.-</w:t>
      </w:r>
      <w:r w:rsidRPr="00A6382B">
        <w:t>C</w:t>
      </w:r>
      <w:r>
        <w:t>.</w:t>
      </w:r>
      <w:r w:rsidRPr="00A6382B">
        <w:t>,</w:t>
      </w:r>
      <w:r w:rsidRPr="00F9248C">
        <w:t xml:space="preserve"> Hwang</w:t>
      </w:r>
      <w:r>
        <w:t xml:space="preserve">, </w:t>
      </w:r>
      <w:r w:rsidRPr="00A6382B">
        <w:t>M</w:t>
      </w:r>
      <w:r>
        <w:t>.-</w:t>
      </w:r>
      <w:r w:rsidRPr="00A6382B">
        <w:t>Y</w:t>
      </w:r>
      <w:r>
        <w:t>.</w:t>
      </w:r>
      <w:r w:rsidRPr="00A6382B">
        <w:t>,</w:t>
      </w:r>
      <w:r w:rsidRPr="00F9248C">
        <w:t xml:space="preserve"> </w:t>
      </w:r>
      <w:proofErr w:type="spellStart"/>
      <w:r w:rsidRPr="00F9248C">
        <w:t>Kuo</w:t>
      </w:r>
      <w:proofErr w:type="spellEnd"/>
      <w:r>
        <w:t xml:space="preserve">, </w:t>
      </w:r>
      <w:r w:rsidRPr="00A6382B">
        <w:t>Y</w:t>
      </w:r>
      <w:r>
        <w:t>.-</w:t>
      </w:r>
      <w:r w:rsidRPr="00A6382B">
        <w:t>C</w:t>
      </w:r>
      <w:r>
        <w:t>.</w:t>
      </w:r>
      <w:r w:rsidRPr="00A6382B">
        <w:t>,</w:t>
      </w:r>
      <w:r>
        <w:t xml:space="preserve"> &amp; Hsu, W.-Y.</w:t>
      </w:r>
      <w:r w:rsidRPr="00A6382B">
        <w:t xml:space="preserve"> </w:t>
      </w:r>
      <w:r>
        <w:t>(2015).</w:t>
      </w:r>
      <w:r w:rsidRPr="00F9248C">
        <w:t xml:space="preserve"> Parental monitoring and helicopter parenting relevant to vocational student’s procrastination and self-regulated learning. </w:t>
      </w:r>
      <w:r w:rsidRPr="00CA77FE">
        <w:rPr>
          <w:i/>
          <w:iCs/>
        </w:rPr>
        <w:t>Learning and Individual Differences</w:t>
      </w:r>
      <w:r>
        <w:t xml:space="preserve">, </w:t>
      </w:r>
      <w:r w:rsidRPr="00CA77FE">
        <w:rPr>
          <w:i/>
          <w:iCs/>
        </w:rPr>
        <w:t>42</w:t>
      </w:r>
      <w:r>
        <w:t xml:space="preserve">, </w:t>
      </w:r>
      <w:r w:rsidRPr="00A6382B">
        <w:t xml:space="preserve">139–146. </w:t>
      </w:r>
      <w:r w:rsidRPr="00EF5F85">
        <w:t>https://doi.org/10.1016/j.lindif.2015.08.003</w:t>
      </w:r>
    </w:p>
    <w:p w14:paraId="4BECFE65" w14:textId="43BF8B5D" w:rsidR="00CA77FE" w:rsidRPr="00A6382B" w:rsidRDefault="00CA77FE">
      <w:pPr>
        <w:pStyle w:val="Bibliography"/>
        <w:rPr>
          <w:lang w:bidi="ar-SA"/>
        </w:rPr>
      </w:pPr>
      <w:r w:rsidRPr="00A6382B">
        <w:rPr>
          <w:lang w:bidi="ar-SA"/>
        </w:rPr>
        <w:t>Josman</w:t>
      </w:r>
      <w:r>
        <w:rPr>
          <w:lang w:bidi="ar-SA"/>
        </w:rPr>
        <w:t>,</w:t>
      </w:r>
      <w:r w:rsidRPr="00A6382B">
        <w:rPr>
          <w:lang w:bidi="ar-SA"/>
        </w:rPr>
        <w:t xml:space="preserve"> N</w:t>
      </w:r>
      <w:r>
        <w:rPr>
          <w:lang w:bidi="ar-SA"/>
        </w:rPr>
        <w:t>.</w:t>
      </w:r>
      <w:r w:rsidRPr="00A6382B">
        <w:rPr>
          <w:lang w:bidi="ar-SA"/>
        </w:rPr>
        <w:t xml:space="preserve">, </w:t>
      </w:r>
      <w:r>
        <w:rPr>
          <w:lang w:bidi="ar-SA"/>
        </w:rPr>
        <w:t xml:space="preserve">&amp; </w:t>
      </w:r>
      <w:r w:rsidRPr="00A6382B">
        <w:rPr>
          <w:lang w:bidi="ar-SA"/>
        </w:rPr>
        <w:t>Rosenblum</w:t>
      </w:r>
      <w:r>
        <w:rPr>
          <w:lang w:bidi="ar-SA"/>
        </w:rPr>
        <w:t>,</w:t>
      </w:r>
      <w:r w:rsidRPr="00A6382B">
        <w:rPr>
          <w:lang w:bidi="ar-SA"/>
        </w:rPr>
        <w:t xml:space="preserve"> S. A</w:t>
      </w:r>
      <w:r>
        <w:rPr>
          <w:lang w:bidi="ar-SA"/>
        </w:rPr>
        <w:t>. (2018).</w:t>
      </w:r>
      <w:r w:rsidRPr="00A6382B">
        <w:rPr>
          <w:lang w:bidi="ar-SA"/>
        </w:rPr>
        <w:t xml:space="preserve"> </w:t>
      </w:r>
      <w:r w:rsidR="003D4D4F">
        <w:rPr>
          <w:lang w:bidi="ar-SA"/>
        </w:rPr>
        <w:t>M</w:t>
      </w:r>
      <w:r w:rsidRPr="00A6382B">
        <w:rPr>
          <w:lang w:bidi="ar-SA"/>
        </w:rPr>
        <w:t>etacognitive model for children with neurodevelopmental disorders. In</w:t>
      </w:r>
      <w:r>
        <w:rPr>
          <w:lang w:bidi="ar-SA"/>
        </w:rPr>
        <w:t xml:space="preserve"> N.</w:t>
      </w:r>
      <w:r w:rsidRPr="00A6382B">
        <w:rPr>
          <w:lang w:bidi="ar-SA"/>
        </w:rPr>
        <w:t xml:space="preserve"> Katz</w:t>
      </w:r>
      <w:r>
        <w:rPr>
          <w:lang w:bidi="ar-SA"/>
        </w:rPr>
        <w:t xml:space="preserve"> &amp; J.</w:t>
      </w:r>
      <w:r w:rsidRPr="00A6382B">
        <w:rPr>
          <w:lang w:bidi="ar-SA"/>
        </w:rPr>
        <w:t xml:space="preserve"> Toglia</w:t>
      </w:r>
      <w:r>
        <w:rPr>
          <w:lang w:bidi="ar-SA"/>
        </w:rPr>
        <w:t xml:space="preserve"> (Eds.),</w:t>
      </w:r>
      <w:r w:rsidRPr="00A6382B">
        <w:rPr>
          <w:lang w:bidi="ar-SA"/>
        </w:rPr>
        <w:t xml:space="preserve"> </w:t>
      </w:r>
      <w:r w:rsidRPr="00CA77FE">
        <w:rPr>
          <w:i/>
          <w:iCs/>
          <w:lang w:bidi="ar-SA"/>
        </w:rPr>
        <w:t>Cognition, occupation, and participation across the life span: Neuroscience, neurorehabilitation, and models for intervention in occupational therapy</w:t>
      </w:r>
      <w:r>
        <w:rPr>
          <w:lang w:bidi="ar-SA"/>
        </w:rPr>
        <w:t xml:space="preserve"> (pp. 273–294)</w:t>
      </w:r>
      <w:r w:rsidRPr="00A6382B">
        <w:rPr>
          <w:lang w:bidi="ar-SA"/>
        </w:rPr>
        <w:t>. AOTA Press.</w:t>
      </w:r>
    </w:p>
    <w:p w14:paraId="5DE83677" w14:textId="130EB01B" w:rsidR="00CA77FE" w:rsidRPr="000521FC" w:rsidRDefault="00CA77FE">
      <w:pPr>
        <w:pStyle w:val="Bibliography"/>
      </w:pPr>
      <w:r w:rsidRPr="00F9248C">
        <w:rPr>
          <w:shd w:val="clear" w:color="auto" w:fill="FFFFFF"/>
        </w:rPr>
        <w:t>Joyner</w:t>
      </w:r>
      <w:r>
        <w:rPr>
          <w:shd w:val="clear" w:color="auto" w:fill="FFFFFF"/>
        </w:rPr>
        <w:t>,</w:t>
      </w:r>
      <w:r w:rsidRPr="00A6382B">
        <w:rPr>
          <w:shd w:val="clear" w:color="auto" w:fill="FFFFFF"/>
        </w:rPr>
        <w:t xml:space="preserve"> K</w:t>
      </w:r>
      <w:r>
        <w:rPr>
          <w:shd w:val="clear" w:color="auto" w:fill="FFFFFF"/>
        </w:rPr>
        <w:t xml:space="preserve">. </w:t>
      </w:r>
      <w:r w:rsidRPr="00A6382B">
        <w:rPr>
          <w:shd w:val="clear" w:color="auto" w:fill="FFFFFF"/>
        </w:rPr>
        <w:t>B</w:t>
      </w:r>
      <w:r>
        <w:rPr>
          <w:shd w:val="clear" w:color="auto" w:fill="FFFFFF"/>
        </w:rPr>
        <w:t>.</w:t>
      </w:r>
      <w:r w:rsidRPr="00A6382B">
        <w:rPr>
          <w:shd w:val="clear" w:color="auto" w:fill="FFFFFF"/>
        </w:rPr>
        <w:t>,</w:t>
      </w:r>
      <w:r w:rsidRPr="00F9248C">
        <w:rPr>
          <w:shd w:val="clear" w:color="auto" w:fill="FFFFFF"/>
        </w:rPr>
        <w:t xml:space="preserve"> Silver</w:t>
      </w:r>
      <w:r>
        <w:rPr>
          <w:shd w:val="clear" w:color="auto" w:fill="FFFFFF"/>
        </w:rPr>
        <w:t>,</w:t>
      </w:r>
      <w:r w:rsidRPr="00A6382B">
        <w:rPr>
          <w:shd w:val="clear" w:color="auto" w:fill="FFFFFF"/>
        </w:rPr>
        <w:t xml:space="preserve"> C</w:t>
      </w:r>
      <w:r>
        <w:rPr>
          <w:shd w:val="clear" w:color="auto" w:fill="FFFFFF"/>
        </w:rPr>
        <w:t xml:space="preserve">. </w:t>
      </w:r>
      <w:r w:rsidRPr="00A6382B">
        <w:rPr>
          <w:shd w:val="clear" w:color="auto" w:fill="FFFFFF"/>
        </w:rPr>
        <w:t>H</w:t>
      </w:r>
      <w:r>
        <w:rPr>
          <w:shd w:val="clear" w:color="auto" w:fill="FFFFFF"/>
        </w:rPr>
        <w:t>.</w:t>
      </w:r>
      <w:r w:rsidRPr="00A6382B">
        <w:rPr>
          <w:shd w:val="clear" w:color="auto" w:fill="FFFFFF"/>
        </w:rPr>
        <w:t xml:space="preserve">, </w:t>
      </w:r>
      <w:r>
        <w:rPr>
          <w:shd w:val="clear" w:color="auto" w:fill="FFFFFF"/>
        </w:rPr>
        <w:t>&amp;</w:t>
      </w:r>
      <w:r w:rsidRPr="00F9248C">
        <w:rPr>
          <w:shd w:val="clear" w:color="auto" w:fill="FFFFFF"/>
        </w:rPr>
        <w:t xml:space="preserve"> Stavinoha</w:t>
      </w:r>
      <w:r>
        <w:rPr>
          <w:shd w:val="clear" w:color="auto" w:fill="FFFFFF"/>
        </w:rPr>
        <w:t>,</w:t>
      </w:r>
      <w:r w:rsidRPr="00A6382B">
        <w:rPr>
          <w:shd w:val="clear" w:color="auto" w:fill="FFFFFF"/>
        </w:rPr>
        <w:t xml:space="preserve"> P</w:t>
      </w:r>
      <w:r>
        <w:rPr>
          <w:shd w:val="clear" w:color="auto" w:fill="FFFFFF"/>
        </w:rPr>
        <w:t xml:space="preserve">. </w:t>
      </w:r>
      <w:r w:rsidRPr="00A6382B">
        <w:rPr>
          <w:shd w:val="clear" w:color="auto" w:fill="FFFFFF"/>
        </w:rPr>
        <w:t xml:space="preserve">L. </w:t>
      </w:r>
      <w:r>
        <w:rPr>
          <w:shd w:val="clear" w:color="auto" w:fill="FFFFFF"/>
        </w:rPr>
        <w:t>(2009).</w:t>
      </w:r>
      <w:r w:rsidRPr="00F9248C">
        <w:rPr>
          <w:shd w:val="clear" w:color="auto" w:fill="FFFFFF"/>
        </w:rPr>
        <w:t xml:space="preserve"> Relationship between parenting stress and ratings of executive functioning in children with ADHD.</w:t>
      </w:r>
      <w:r>
        <w:rPr>
          <w:shd w:val="clear" w:color="auto" w:fill="FFFFFF"/>
        </w:rPr>
        <w:t xml:space="preserve"> </w:t>
      </w:r>
      <w:r w:rsidRPr="00C55ACB">
        <w:rPr>
          <w:i/>
          <w:iCs/>
          <w:shd w:val="clear" w:color="auto" w:fill="FFFFFF"/>
        </w:rPr>
        <w:t>J</w:t>
      </w:r>
      <w:r w:rsidRPr="00CA77FE">
        <w:rPr>
          <w:i/>
          <w:iCs/>
          <w:shd w:val="clear" w:color="auto" w:fill="FFFFFF"/>
        </w:rPr>
        <w:t>ournal of Psychoeducational Assessment</w:t>
      </w:r>
      <w:r>
        <w:rPr>
          <w:shd w:val="clear" w:color="auto" w:fill="FFFFFF"/>
        </w:rPr>
        <w:t xml:space="preserve">, </w:t>
      </w:r>
      <w:r w:rsidRPr="00F9248C">
        <w:rPr>
          <w:i/>
          <w:shd w:val="clear" w:color="auto" w:fill="FFFFFF"/>
        </w:rPr>
        <w:t>27</w:t>
      </w:r>
      <w:r>
        <w:rPr>
          <w:shd w:val="clear" w:color="auto" w:fill="FFFFFF"/>
        </w:rPr>
        <w:t xml:space="preserve">, </w:t>
      </w:r>
      <w:r w:rsidRPr="00F9248C">
        <w:rPr>
          <w:shd w:val="clear" w:color="auto" w:fill="FFFFFF"/>
        </w:rPr>
        <w:t xml:space="preserve">452–464. </w:t>
      </w:r>
      <w:r w:rsidRPr="00C2703A">
        <w:rPr>
          <w:shd w:val="clear" w:color="auto" w:fill="FFFFFF"/>
        </w:rPr>
        <w:t>https://doi.org/10.1177%2F0734282909333945</w:t>
      </w:r>
    </w:p>
    <w:p w14:paraId="307E61E7" w14:textId="07D1683C" w:rsidR="00CA77FE" w:rsidRPr="00706743" w:rsidRDefault="00CA77FE">
      <w:pPr>
        <w:pStyle w:val="Bibliography"/>
        <w:rPr>
          <w:szCs w:val="24"/>
        </w:rPr>
      </w:pPr>
      <w:r w:rsidRPr="00706743">
        <w:rPr>
          <w:szCs w:val="24"/>
        </w:rPr>
        <w:t>Kenworth</w:t>
      </w:r>
      <w:r>
        <w:rPr>
          <w:szCs w:val="24"/>
        </w:rPr>
        <w:t>,</w:t>
      </w:r>
      <w:r w:rsidRPr="00706743">
        <w:rPr>
          <w:szCs w:val="24"/>
        </w:rPr>
        <w:t xml:space="preserve"> L</w:t>
      </w:r>
      <w:r>
        <w:rPr>
          <w:szCs w:val="24"/>
        </w:rPr>
        <w:t>.</w:t>
      </w:r>
      <w:r w:rsidRPr="00706743">
        <w:rPr>
          <w:szCs w:val="24"/>
        </w:rPr>
        <w:t xml:space="preserve">, </w:t>
      </w:r>
      <w:proofErr w:type="spellStart"/>
      <w:r w:rsidRPr="00706743">
        <w:rPr>
          <w:szCs w:val="24"/>
        </w:rPr>
        <w:t>Yerys</w:t>
      </w:r>
      <w:proofErr w:type="spellEnd"/>
      <w:r>
        <w:rPr>
          <w:szCs w:val="24"/>
        </w:rPr>
        <w:t>,</w:t>
      </w:r>
      <w:r w:rsidRPr="00706743">
        <w:rPr>
          <w:szCs w:val="24"/>
        </w:rPr>
        <w:t xml:space="preserve"> B</w:t>
      </w:r>
      <w:r>
        <w:rPr>
          <w:szCs w:val="24"/>
        </w:rPr>
        <w:t xml:space="preserve">. </w:t>
      </w:r>
      <w:r w:rsidRPr="00706743">
        <w:rPr>
          <w:szCs w:val="24"/>
        </w:rPr>
        <w:t>E</w:t>
      </w:r>
      <w:r>
        <w:rPr>
          <w:szCs w:val="24"/>
        </w:rPr>
        <w:t>.</w:t>
      </w:r>
      <w:r w:rsidRPr="00706743">
        <w:rPr>
          <w:szCs w:val="24"/>
        </w:rPr>
        <w:t>, Anthony</w:t>
      </w:r>
      <w:r>
        <w:rPr>
          <w:szCs w:val="24"/>
        </w:rPr>
        <w:t>,</w:t>
      </w:r>
      <w:r w:rsidRPr="00706743">
        <w:rPr>
          <w:szCs w:val="24"/>
        </w:rPr>
        <w:t xml:space="preserve"> L</w:t>
      </w:r>
      <w:r>
        <w:rPr>
          <w:szCs w:val="24"/>
        </w:rPr>
        <w:t xml:space="preserve">. </w:t>
      </w:r>
      <w:r w:rsidRPr="00706743">
        <w:rPr>
          <w:szCs w:val="24"/>
        </w:rPr>
        <w:t>G</w:t>
      </w:r>
      <w:r>
        <w:rPr>
          <w:szCs w:val="24"/>
        </w:rPr>
        <w:t>.</w:t>
      </w:r>
      <w:r w:rsidRPr="00706743">
        <w:rPr>
          <w:szCs w:val="24"/>
        </w:rPr>
        <w:t xml:space="preserve">, </w:t>
      </w:r>
      <w:r>
        <w:rPr>
          <w:szCs w:val="24"/>
        </w:rPr>
        <w:t>&amp; Wallace, G. L.</w:t>
      </w:r>
      <w:r w:rsidRPr="00706743">
        <w:rPr>
          <w:szCs w:val="24"/>
        </w:rPr>
        <w:t xml:space="preserve"> </w:t>
      </w:r>
      <w:r>
        <w:rPr>
          <w:szCs w:val="24"/>
        </w:rPr>
        <w:t>(2008).</w:t>
      </w:r>
      <w:r w:rsidRPr="00F9248C">
        <w:t xml:space="preserve"> Understanding executive control in autism spectrum disorders in the lab and in the real world. </w:t>
      </w:r>
      <w:r w:rsidRPr="00CA77FE">
        <w:rPr>
          <w:i/>
          <w:iCs/>
          <w:szCs w:val="24"/>
        </w:rPr>
        <w:t>Neuropsychology Review</w:t>
      </w:r>
      <w:r>
        <w:rPr>
          <w:szCs w:val="24"/>
        </w:rPr>
        <w:t xml:space="preserve">, </w:t>
      </w:r>
      <w:r w:rsidRPr="00CA77FE">
        <w:rPr>
          <w:i/>
          <w:iCs/>
          <w:szCs w:val="24"/>
        </w:rPr>
        <w:t>18</w:t>
      </w:r>
      <w:r>
        <w:rPr>
          <w:szCs w:val="24"/>
        </w:rPr>
        <w:t xml:space="preserve">, </w:t>
      </w:r>
      <w:r w:rsidRPr="00706743">
        <w:rPr>
          <w:szCs w:val="24"/>
        </w:rPr>
        <w:t>320</w:t>
      </w:r>
      <w:r>
        <w:rPr>
          <w:szCs w:val="24"/>
        </w:rPr>
        <w:t>–</w:t>
      </w:r>
      <w:r w:rsidRPr="00706743">
        <w:rPr>
          <w:szCs w:val="24"/>
        </w:rPr>
        <w:t xml:space="preserve">338. </w:t>
      </w:r>
      <w:r w:rsidRPr="00254307">
        <w:rPr>
          <w:szCs w:val="24"/>
        </w:rPr>
        <w:t>https://doi.org/10.1007/s11065-008-9077-7</w:t>
      </w:r>
    </w:p>
    <w:p w14:paraId="7B7E9941" w14:textId="77777777" w:rsidR="00CA77FE" w:rsidRPr="00A6382B" w:rsidRDefault="00CA77FE">
      <w:pPr>
        <w:pStyle w:val="Bibliography"/>
      </w:pPr>
      <w:r w:rsidRPr="00A6382B">
        <w:lastRenderedPageBreak/>
        <w:t>Kessels</w:t>
      </w:r>
      <w:r>
        <w:t xml:space="preserve">, </w:t>
      </w:r>
      <w:r w:rsidRPr="00A6382B">
        <w:t>R</w:t>
      </w:r>
      <w:r>
        <w:t xml:space="preserve">. </w:t>
      </w:r>
      <w:r w:rsidRPr="00A6382B">
        <w:t>P</w:t>
      </w:r>
      <w:r>
        <w:t xml:space="preserve">. </w:t>
      </w:r>
      <w:r w:rsidRPr="00A6382B">
        <w:t>C</w:t>
      </w:r>
      <w:r>
        <w:t>.</w:t>
      </w:r>
      <w:r w:rsidRPr="00A6382B">
        <w:t xml:space="preserve">, </w:t>
      </w:r>
      <w:r>
        <w:t xml:space="preserve">&amp; </w:t>
      </w:r>
      <w:proofErr w:type="spellStart"/>
      <w:r w:rsidRPr="00A6382B">
        <w:t>Haan</w:t>
      </w:r>
      <w:proofErr w:type="spellEnd"/>
      <w:r>
        <w:t xml:space="preserve">, </w:t>
      </w:r>
      <w:r w:rsidRPr="00A6382B">
        <w:t>E</w:t>
      </w:r>
      <w:r>
        <w:t xml:space="preserve">. </w:t>
      </w:r>
      <w:r w:rsidRPr="00A6382B">
        <w:t>H</w:t>
      </w:r>
      <w:r>
        <w:t xml:space="preserve">. </w:t>
      </w:r>
      <w:r w:rsidRPr="00A6382B">
        <w:t>F.</w:t>
      </w:r>
      <w:r>
        <w:t xml:space="preserve"> (2003).</w:t>
      </w:r>
      <w:r w:rsidRPr="00A6382B">
        <w:t xml:space="preserve"> Implicit learning in memory rehabilitation: </w:t>
      </w:r>
      <w:r>
        <w:t>A</w:t>
      </w:r>
      <w:r w:rsidRPr="00A6382B">
        <w:t xml:space="preserve"> meta-analysis on errorless learning and vanishing cues methods. </w:t>
      </w:r>
      <w:r w:rsidRPr="00CA77FE">
        <w:rPr>
          <w:i/>
          <w:iCs/>
        </w:rPr>
        <w:t>Journal of Clinical and Experimental Neuropsychology</w:t>
      </w:r>
      <w:r>
        <w:t xml:space="preserve">, </w:t>
      </w:r>
      <w:r w:rsidRPr="00CA77FE">
        <w:rPr>
          <w:i/>
          <w:iCs/>
        </w:rPr>
        <w:t>25</w:t>
      </w:r>
      <w:r>
        <w:t xml:space="preserve">, </w:t>
      </w:r>
      <w:r w:rsidRPr="00A6382B">
        <w:t>805–814.</w:t>
      </w:r>
      <w:r w:rsidRPr="00504E87">
        <w:t xml:space="preserve"> https://doi.org/10.1076/jcen.25.6.805.16474</w:t>
      </w:r>
    </w:p>
    <w:p w14:paraId="42CA579C" w14:textId="77777777" w:rsidR="00CA77FE" w:rsidRPr="00A6382B" w:rsidRDefault="00CA77FE">
      <w:pPr>
        <w:pStyle w:val="Bibliography"/>
        <w:rPr>
          <w:shd w:val="clear" w:color="auto" w:fill="FFFFFF"/>
        </w:rPr>
      </w:pPr>
      <w:r w:rsidRPr="00A6382B">
        <w:rPr>
          <w:lang w:val="es-US"/>
        </w:rPr>
        <w:t>Klimkeit</w:t>
      </w:r>
      <w:r>
        <w:rPr>
          <w:lang w:val="es-US"/>
        </w:rPr>
        <w:t>,</w:t>
      </w:r>
      <w:r w:rsidRPr="00A6382B">
        <w:rPr>
          <w:lang w:val="es-US"/>
        </w:rPr>
        <w:t xml:space="preserve"> E</w:t>
      </w:r>
      <w:r>
        <w:rPr>
          <w:lang w:val="es-US"/>
        </w:rPr>
        <w:t>.</w:t>
      </w:r>
      <w:r w:rsidRPr="00A6382B">
        <w:rPr>
          <w:lang w:val="es-US"/>
        </w:rPr>
        <w:t>, Graham</w:t>
      </w:r>
      <w:r>
        <w:rPr>
          <w:lang w:val="es-US"/>
        </w:rPr>
        <w:t>,</w:t>
      </w:r>
      <w:r w:rsidRPr="00A6382B">
        <w:rPr>
          <w:lang w:val="es-US"/>
        </w:rPr>
        <w:t xml:space="preserve"> C</w:t>
      </w:r>
      <w:r>
        <w:rPr>
          <w:lang w:val="es-US"/>
        </w:rPr>
        <w:t>.</w:t>
      </w:r>
      <w:r w:rsidRPr="00A6382B">
        <w:rPr>
          <w:lang w:val="es-US"/>
        </w:rPr>
        <w:t>, Lee</w:t>
      </w:r>
      <w:r>
        <w:rPr>
          <w:lang w:val="es-US"/>
        </w:rPr>
        <w:t>,</w:t>
      </w:r>
      <w:r w:rsidRPr="00A6382B">
        <w:rPr>
          <w:lang w:val="es-US"/>
        </w:rPr>
        <w:t xml:space="preserve"> P</w:t>
      </w:r>
      <w:r>
        <w:rPr>
          <w:lang w:val="es-US"/>
        </w:rPr>
        <w:t>.</w:t>
      </w:r>
      <w:r w:rsidRPr="00A6382B">
        <w:rPr>
          <w:lang w:val="es-US"/>
        </w:rPr>
        <w:t xml:space="preserve">, </w:t>
      </w:r>
      <w:proofErr w:type="spellStart"/>
      <w:r>
        <w:rPr>
          <w:lang w:val="es-US"/>
        </w:rPr>
        <w:t>Morlin</w:t>
      </w:r>
      <w:proofErr w:type="spellEnd"/>
      <w:r>
        <w:rPr>
          <w:lang w:val="es-US"/>
        </w:rPr>
        <w:t xml:space="preserve">, M., Russo, D., &amp; </w:t>
      </w:r>
      <w:proofErr w:type="spellStart"/>
      <w:r>
        <w:rPr>
          <w:lang w:val="es-US"/>
        </w:rPr>
        <w:t>Tonge</w:t>
      </w:r>
      <w:proofErr w:type="spellEnd"/>
      <w:r>
        <w:rPr>
          <w:lang w:val="es-US"/>
        </w:rPr>
        <w:t>, B.</w:t>
      </w:r>
      <w:r w:rsidRPr="00A6382B">
        <w:rPr>
          <w:lang w:val="es-US"/>
        </w:rPr>
        <w:t xml:space="preserve"> </w:t>
      </w:r>
      <w:r>
        <w:rPr>
          <w:lang w:val="es-US"/>
        </w:rPr>
        <w:t xml:space="preserve">(2006). </w:t>
      </w:r>
      <w:r w:rsidRPr="00A6382B">
        <w:t xml:space="preserve">Children should be seen and heard: </w:t>
      </w:r>
      <w:r>
        <w:t>S</w:t>
      </w:r>
      <w:r w:rsidRPr="00A6382B">
        <w:t xml:space="preserve">elf-report of feelings and behaviors in primary-school-age children with ADHD. </w:t>
      </w:r>
      <w:r w:rsidRPr="00CA77FE">
        <w:rPr>
          <w:i/>
          <w:iCs/>
        </w:rPr>
        <w:t>Journal of Attention Disorders</w:t>
      </w:r>
      <w:r>
        <w:t xml:space="preserve">, </w:t>
      </w:r>
      <w:r w:rsidRPr="00CA77FE">
        <w:rPr>
          <w:i/>
          <w:iCs/>
        </w:rPr>
        <w:t>10</w:t>
      </w:r>
      <w:r>
        <w:t xml:space="preserve">, </w:t>
      </w:r>
      <w:r w:rsidRPr="00A6382B">
        <w:t>181–191.</w:t>
      </w:r>
      <w:r w:rsidRPr="00A32978">
        <w:t xml:space="preserve"> https://doi.org/10.1177/1087054706289926</w:t>
      </w:r>
    </w:p>
    <w:p w14:paraId="678FE565" w14:textId="7A5B35EF" w:rsidR="00CA77FE" w:rsidRPr="00F9248C" w:rsidRDefault="00CA77FE">
      <w:pPr>
        <w:pStyle w:val="Bibliography"/>
        <w:rPr>
          <w:shd w:val="clear" w:color="auto" w:fill="FFFFFF"/>
        </w:rPr>
      </w:pPr>
      <w:proofErr w:type="spellStart"/>
      <w:r w:rsidRPr="00F9248C">
        <w:rPr>
          <w:shd w:val="clear" w:color="auto" w:fill="FFFFFF"/>
        </w:rPr>
        <w:t>Kortte</w:t>
      </w:r>
      <w:proofErr w:type="spellEnd"/>
      <w:r>
        <w:rPr>
          <w:szCs w:val="24"/>
          <w:shd w:val="clear" w:color="auto" w:fill="FFFFFF"/>
        </w:rPr>
        <w:t>,</w:t>
      </w:r>
      <w:r w:rsidRPr="002D1C6F">
        <w:rPr>
          <w:szCs w:val="24"/>
          <w:shd w:val="clear" w:color="auto" w:fill="FFFFFF"/>
        </w:rPr>
        <w:t xml:space="preserve"> K</w:t>
      </w:r>
      <w:r>
        <w:rPr>
          <w:szCs w:val="24"/>
          <w:shd w:val="clear" w:color="auto" w:fill="FFFFFF"/>
        </w:rPr>
        <w:t xml:space="preserve">. </w:t>
      </w:r>
      <w:r w:rsidRPr="002D1C6F">
        <w:rPr>
          <w:szCs w:val="24"/>
          <w:shd w:val="clear" w:color="auto" w:fill="FFFFFF"/>
        </w:rPr>
        <w:t xml:space="preserve">B, </w:t>
      </w:r>
      <w:r>
        <w:rPr>
          <w:szCs w:val="24"/>
          <w:shd w:val="clear" w:color="auto" w:fill="FFFFFF"/>
        </w:rPr>
        <w:t>&amp;</w:t>
      </w:r>
      <w:r w:rsidRPr="00F9248C">
        <w:rPr>
          <w:shd w:val="clear" w:color="auto" w:fill="FFFFFF"/>
        </w:rPr>
        <w:t xml:space="preserve"> Wegener</w:t>
      </w:r>
      <w:r>
        <w:rPr>
          <w:szCs w:val="24"/>
          <w:shd w:val="clear" w:color="auto" w:fill="FFFFFF"/>
        </w:rPr>
        <w:t>,</w:t>
      </w:r>
      <w:r w:rsidRPr="002D1C6F">
        <w:rPr>
          <w:szCs w:val="24"/>
          <w:shd w:val="clear" w:color="auto" w:fill="FFFFFF"/>
        </w:rPr>
        <w:t xml:space="preserve"> S</w:t>
      </w:r>
      <w:r>
        <w:rPr>
          <w:szCs w:val="24"/>
          <w:shd w:val="clear" w:color="auto" w:fill="FFFFFF"/>
        </w:rPr>
        <w:t xml:space="preserve">. </w:t>
      </w:r>
      <w:r w:rsidRPr="002D1C6F">
        <w:rPr>
          <w:szCs w:val="24"/>
          <w:shd w:val="clear" w:color="auto" w:fill="FFFFFF"/>
        </w:rPr>
        <w:t xml:space="preserve">T. </w:t>
      </w:r>
      <w:r>
        <w:rPr>
          <w:szCs w:val="24"/>
          <w:shd w:val="clear" w:color="auto" w:fill="FFFFFF"/>
        </w:rPr>
        <w:t>(2004).</w:t>
      </w:r>
      <w:r w:rsidRPr="00F9248C">
        <w:rPr>
          <w:shd w:val="clear" w:color="auto" w:fill="FFFFFF"/>
        </w:rPr>
        <w:t xml:space="preserve"> Denial of illness in medical rehabilitation populations: </w:t>
      </w:r>
      <w:r>
        <w:rPr>
          <w:szCs w:val="24"/>
          <w:shd w:val="clear" w:color="auto" w:fill="FFFFFF"/>
        </w:rPr>
        <w:t>T</w:t>
      </w:r>
      <w:r w:rsidRPr="002D1C6F">
        <w:rPr>
          <w:szCs w:val="24"/>
          <w:shd w:val="clear" w:color="auto" w:fill="FFFFFF"/>
        </w:rPr>
        <w:t>heory</w:t>
      </w:r>
      <w:r w:rsidRPr="00F9248C">
        <w:rPr>
          <w:shd w:val="clear" w:color="auto" w:fill="FFFFFF"/>
        </w:rPr>
        <w:t>, research, and definition.</w:t>
      </w:r>
      <w:r>
        <w:rPr>
          <w:szCs w:val="24"/>
          <w:shd w:val="clear" w:color="auto" w:fill="FFFFFF"/>
        </w:rPr>
        <w:t xml:space="preserve"> </w:t>
      </w:r>
      <w:r w:rsidRPr="00CA77FE">
        <w:rPr>
          <w:i/>
          <w:iCs/>
          <w:szCs w:val="24"/>
          <w:shd w:val="clear" w:color="auto" w:fill="FFFFFF"/>
        </w:rPr>
        <w:t>Rehabilitation Psychology</w:t>
      </w:r>
      <w:r>
        <w:rPr>
          <w:szCs w:val="24"/>
          <w:shd w:val="clear" w:color="auto" w:fill="FFFFFF"/>
        </w:rPr>
        <w:t xml:space="preserve">, </w:t>
      </w:r>
      <w:r w:rsidRPr="00CA77FE">
        <w:rPr>
          <w:i/>
          <w:iCs/>
          <w:szCs w:val="24"/>
          <w:shd w:val="clear" w:color="auto" w:fill="FFFFFF"/>
        </w:rPr>
        <w:t>49</w:t>
      </w:r>
      <w:r>
        <w:rPr>
          <w:szCs w:val="24"/>
          <w:shd w:val="clear" w:color="auto" w:fill="FFFFFF"/>
        </w:rPr>
        <w:t xml:space="preserve">, </w:t>
      </w:r>
      <w:r w:rsidRPr="00F9248C">
        <w:rPr>
          <w:shd w:val="clear" w:color="auto" w:fill="FFFFFF"/>
        </w:rPr>
        <w:t>187</w:t>
      </w:r>
      <w:r>
        <w:rPr>
          <w:szCs w:val="24"/>
          <w:shd w:val="clear" w:color="auto" w:fill="FFFFFF"/>
        </w:rPr>
        <w:t>-199</w:t>
      </w:r>
      <w:r w:rsidRPr="002D1C6F">
        <w:rPr>
          <w:szCs w:val="24"/>
          <w:shd w:val="clear" w:color="auto" w:fill="FFFFFF"/>
        </w:rPr>
        <w:t>.</w:t>
      </w:r>
      <w:r w:rsidRPr="00BF1FFF">
        <w:t xml:space="preserve"> </w:t>
      </w:r>
      <w:r w:rsidRPr="00BF1FFF">
        <w:rPr>
          <w:szCs w:val="24"/>
          <w:shd w:val="clear" w:color="auto" w:fill="FFFFFF"/>
        </w:rPr>
        <w:t>https://doi</w:t>
      </w:r>
      <w:r w:rsidR="00C232ED">
        <w:rPr>
          <w:szCs w:val="24"/>
          <w:shd w:val="clear" w:color="auto" w:fill="FFFFFF"/>
        </w:rPr>
        <w:t>.org</w:t>
      </w:r>
      <w:r w:rsidRPr="00BF1FFF">
        <w:rPr>
          <w:szCs w:val="24"/>
          <w:shd w:val="clear" w:color="auto" w:fill="FFFFFF"/>
        </w:rPr>
        <w:t>/10.1037/0090-5550.49.3.187</w:t>
      </w:r>
    </w:p>
    <w:p w14:paraId="166038D9" w14:textId="3F11E447" w:rsidR="00CA77FE" w:rsidRPr="003D1801" w:rsidRDefault="00CA77FE">
      <w:pPr>
        <w:pStyle w:val="Bibliography"/>
        <w:rPr>
          <w:rFonts w:eastAsia="Calibri"/>
          <w:szCs w:val="24"/>
        </w:rPr>
      </w:pPr>
      <w:r w:rsidRPr="003D1801">
        <w:rPr>
          <w:szCs w:val="24"/>
          <w:shd w:val="clear" w:color="auto" w:fill="FFFFFF"/>
        </w:rPr>
        <w:t>Koutsouki</w:t>
      </w:r>
      <w:r>
        <w:rPr>
          <w:szCs w:val="24"/>
          <w:shd w:val="clear" w:color="auto" w:fill="FFFFFF"/>
        </w:rPr>
        <w:t>,</w:t>
      </w:r>
      <w:r w:rsidRPr="003D1801">
        <w:rPr>
          <w:szCs w:val="24"/>
          <w:shd w:val="clear" w:color="auto" w:fill="FFFFFF"/>
        </w:rPr>
        <w:t xml:space="preserve"> D</w:t>
      </w:r>
      <w:r>
        <w:rPr>
          <w:szCs w:val="24"/>
          <w:shd w:val="clear" w:color="auto" w:fill="FFFFFF"/>
        </w:rPr>
        <w:t>.</w:t>
      </w:r>
      <w:r w:rsidRPr="003D1801">
        <w:rPr>
          <w:szCs w:val="24"/>
          <w:shd w:val="clear" w:color="auto" w:fill="FFFFFF"/>
        </w:rPr>
        <w:t xml:space="preserve">, </w:t>
      </w:r>
      <w:r>
        <w:rPr>
          <w:szCs w:val="24"/>
          <w:shd w:val="clear" w:color="auto" w:fill="FFFFFF"/>
        </w:rPr>
        <w:t xml:space="preserve">&amp; </w:t>
      </w:r>
      <w:r w:rsidRPr="003D1801">
        <w:rPr>
          <w:szCs w:val="24"/>
          <w:shd w:val="clear" w:color="auto" w:fill="FFFFFF"/>
        </w:rPr>
        <w:t>Asonitou</w:t>
      </w:r>
      <w:r>
        <w:rPr>
          <w:szCs w:val="24"/>
          <w:shd w:val="clear" w:color="auto" w:fill="FFFFFF"/>
        </w:rPr>
        <w:t>,</w:t>
      </w:r>
      <w:r w:rsidRPr="003D1801">
        <w:rPr>
          <w:szCs w:val="24"/>
          <w:shd w:val="clear" w:color="auto" w:fill="FFFFFF"/>
        </w:rPr>
        <w:t xml:space="preserve"> K. </w:t>
      </w:r>
      <w:r>
        <w:rPr>
          <w:szCs w:val="24"/>
          <w:shd w:val="clear" w:color="auto" w:fill="FFFFFF"/>
        </w:rPr>
        <w:t>(2015).</w:t>
      </w:r>
      <w:r w:rsidRPr="00F9248C">
        <w:rPr>
          <w:shd w:val="clear" w:color="auto" w:fill="FFFFFF"/>
        </w:rPr>
        <w:t xml:space="preserve"> Cognitive processes in children with developmental coordination disorder. </w:t>
      </w:r>
      <w:r w:rsidRPr="003D1801">
        <w:rPr>
          <w:szCs w:val="24"/>
          <w:shd w:val="clear" w:color="auto" w:fill="FFFFFF"/>
        </w:rPr>
        <w:t>In</w:t>
      </w:r>
      <w:r>
        <w:rPr>
          <w:szCs w:val="24"/>
          <w:shd w:val="clear" w:color="auto" w:fill="FFFFFF"/>
        </w:rPr>
        <w:t xml:space="preserve"> T. C. </w:t>
      </w:r>
      <w:r w:rsidRPr="003D1801">
        <w:rPr>
          <w:szCs w:val="24"/>
          <w:shd w:val="clear" w:color="auto" w:fill="FFFFFF"/>
        </w:rPr>
        <w:t>Papadopoulos</w:t>
      </w:r>
      <w:r>
        <w:rPr>
          <w:szCs w:val="24"/>
          <w:shd w:val="clear" w:color="auto" w:fill="FFFFFF"/>
        </w:rPr>
        <w:t>, R. K.</w:t>
      </w:r>
      <w:r w:rsidRPr="003D1801">
        <w:rPr>
          <w:szCs w:val="24"/>
          <w:shd w:val="clear" w:color="auto" w:fill="FFFFFF"/>
        </w:rPr>
        <w:t xml:space="preserve"> </w:t>
      </w:r>
      <w:proofErr w:type="spellStart"/>
      <w:r w:rsidRPr="003D1801">
        <w:rPr>
          <w:szCs w:val="24"/>
          <w:shd w:val="clear" w:color="auto" w:fill="FFFFFF"/>
        </w:rPr>
        <w:t>Parrila</w:t>
      </w:r>
      <w:proofErr w:type="spellEnd"/>
      <w:r>
        <w:rPr>
          <w:szCs w:val="24"/>
          <w:shd w:val="clear" w:color="auto" w:fill="FFFFFF"/>
        </w:rPr>
        <w:t xml:space="preserve">, &amp; J. R. </w:t>
      </w:r>
      <w:r w:rsidRPr="003D1801">
        <w:rPr>
          <w:szCs w:val="24"/>
          <w:shd w:val="clear" w:color="auto" w:fill="FFFFFF"/>
        </w:rPr>
        <w:t>Kirby</w:t>
      </w:r>
      <w:r>
        <w:rPr>
          <w:szCs w:val="24"/>
          <w:shd w:val="clear" w:color="auto" w:fill="FFFFFF"/>
        </w:rPr>
        <w:t xml:space="preserve"> (Eds.),</w:t>
      </w:r>
      <w:r w:rsidRPr="003D1801">
        <w:rPr>
          <w:szCs w:val="24"/>
          <w:shd w:val="clear" w:color="auto" w:fill="FFFFFF"/>
        </w:rPr>
        <w:t xml:space="preserve"> </w:t>
      </w:r>
      <w:r w:rsidRPr="00CA77FE">
        <w:rPr>
          <w:i/>
          <w:iCs/>
          <w:szCs w:val="24"/>
          <w:shd w:val="clear" w:color="auto" w:fill="FFFFFF"/>
        </w:rPr>
        <w:t>Cognition, intelligence, and achievement</w:t>
      </w:r>
      <w:r>
        <w:rPr>
          <w:szCs w:val="24"/>
          <w:shd w:val="clear" w:color="auto" w:fill="FFFFFF"/>
        </w:rPr>
        <w:t xml:space="preserve"> (pp. 267</w:t>
      </w:r>
      <w:r w:rsidR="003D4D4F">
        <w:rPr>
          <w:szCs w:val="24"/>
          <w:shd w:val="clear" w:color="auto" w:fill="FFFFFF"/>
        </w:rPr>
        <w:t>–</w:t>
      </w:r>
      <w:r>
        <w:rPr>
          <w:szCs w:val="24"/>
          <w:shd w:val="clear" w:color="auto" w:fill="FFFFFF"/>
        </w:rPr>
        <w:t>289)</w:t>
      </w:r>
      <w:r w:rsidRPr="003D1801">
        <w:rPr>
          <w:szCs w:val="24"/>
          <w:shd w:val="clear" w:color="auto" w:fill="FFFFFF"/>
        </w:rPr>
        <w:t>. Academic Press.</w:t>
      </w:r>
    </w:p>
    <w:p w14:paraId="0471988E" w14:textId="46EBE6F9" w:rsidR="00CA77FE" w:rsidRPr="00706743" w:rsidRDefault="00CA77FE">
      <w:pPr>
        <w:pStyle w:val="Bibliography"/>
        <w:rPr>
          <w:rFonts w:eastAsia="Calibri"/>
          <w:szCs w:val="24"/>
        </w:rPr>
      </w:pPr>
      <w:r w:rsidRPr="00706743">
        <w:rPr>
          <w:rFonts w:eastAsia="Calibri"/>
          <w:szCs w:val="24"/>
        </w:rPr>
        <w:t>Krasny-Pacini</w:t>
      </w:r>
      <w:r>
        <w:rPr>
          <w:rFonts w:eastAsia="Calibri"/>
          <w:szCs w:val="24"/>
        </w:rPr>
        <w:t>,</w:t>
      </w:r>
      <w:r w:rsidRPr="00706743">
        <w:rPr>
          <w:rFonts w:eastAsia="Calibri"/>
          <w:szCs w:val="24"/>
        </w:rPr>
        <w:t xml:space="preserve"> A</w:t>
      </w:r>
      <w:r>
        <w:rPr>
          <w:rFonts w:eastAsia="Calibri"/>
          <w:szCs w:val="24"/>
        </w:rPr>
        <w:t>.</w:t>
      </w:r>
      <w:r w:rsidRPr="00706743">
        <w:rPr>
          <w:rFonts w:eastAsia="Calibri"/>
          <w:szCs w:val="24"/>
        </w:rPr>
        <w:t>, Limond</w:t>
      </w:r>
      <w:r>
        <w:rPr>
          <w:rFonts w:eastAsia="Calibri"/>
          <w:szCs w:val="24"/>
        </w:rPr>
        <w:t>,</w:t>
      </w:r>
      <w:r w:rsidRPr="00706743">
        <w:rPr>
          <w:rFonts w:eastAsia="Calibri"/>
          <w:szCs w:val="24"/>
        </w:rPr>
        <w:t xml:space="preserve"> J</w:t>
      </w:r>
      <w:r>
        <w:rPr>
          <w:rFonts w:eastAsia="Calibri"/>
          <w:szCs w:val="24"/>
        </w:rPr>
        <w:t>.</w:t>
      </w:r>
      <w:r w:rsidRPr="00706743">
        <w:rPr>
          <w:rFonts w:eastAsia="Calibri"/>
          <w:szCs w:val="24"/>
        </w:rPr>
        <w:t>, Evans</w:t>
      </w:r>
      <w:r>
        <w:rPr>
          <w:rFonts w:eastAsia="Calibri"/>
          <w:szCs w:val="24"/>
        </w:rPr>
        <w:t>,</w:t>
      </w:r>
      <w:r w:rsidRPr="00706743">
        <w:rPr>
          <w:rFonts w:eastAsia="Calibri"/>
          <w:szCs w:val="24"/>
        </w:rPr>
        <w:t xml:space="preserve"> J</w:t>
      </w:r>
      <w:r>
        <w:rPr>
          <w:rFonts w:eastAsia="Calibri"/>
          <w:szCs w:val="24"/>
        </w:rPr>
        <w:t>.</w:t>
      </w:r>
      <w:r w:rsidRPr="00706743">
        <w:rPr>
          <w:rFonts w:eastAsia="Calibri"/>
          <w:szCs w:val="24"/>
        </w:rPr>
        <w:t xml:space="preserve">, </w:t>
      </w:r>
      <w:r>
        <w:rPr>
          <w:rFonts w:eastAsia="Calibri"/>
          <w:szCs w:val="24"/>
        </w:rPr>
        <w:t>Hiebel, J., Bendjelida, K., &amp; Chevi</w:t>
      </w:r>
      <w:r w:rsidR="00DB7B23">
        <w:rPr>
          <w:rFonts w:eastAsia="Calibri"/>
          <w:szCs w:val="24"/>
        </w:rPr>
        <w:t>g</w:t>
      </w:r>
      <w:r>
        <w:rPr>
          <w:rFonts w:eastAsia="Calibri"/>
          <w:szCs w:val="24"/>
        </w:rPr>
        <w:t>nard, M. (2015).</w:t>
      </w:r>
      <w:r w:rsidRPr="00706743">
        <w:rPr>
          <w:rFonts w:eastAsia="Calibri"/>
          <w:szCs w:val="24"/>
        </w:rPr>
        <w:t xml:space="preserve"> Self-awareness assessment during cognitive rehabilitation in children with acquired brain injury: </w:t>
      </w:r>
      <w:r>
        <w:rPr>
          <w:rFonts w:eastAsia="Calibri"/>
          <w:szCs w:val="24"/>
        </w:rPr>
        <w:t>A</w:t>
      </w:r>
      <w:r w:rsidRPr="00706743">
        <w:rPr>
          <w:rFonts w:eastAsia="Calibri"/>
          <w:szCs w:val="24"/>
        </w:rPr>
        <w:t xml:space="preserve"> feasibility study and proposed model of child </w:t>
      </w:r>
      <w:proofErr w:type="spellStart"/>
      <w:r w:rsidRPr="00706743">
        <w:rPr>
          <w:rFonts w:eastAsia="Calibri"/>
          <w:szCs w:val="24"/>
        </w:rPr>
        <w:t>anosognisia</w:t>
      </w:r>
      <w:proofErr w:type="spellEnd"/>
      <w:r w:rsidRPr="00706743">
        <w:rPr>
          <w:rFonts w:eastAsia="Calibri"/>
          <w:szCs w:val="24"/>
        </w:rPr>
        <w:t xml:space="preserve">. </w:t>
      </w:r>
      <w:r w:rsidRPr="00CA77FE">
        <w:rPr>
          <w:rFonts w:eastAsia="Calibri"/>
          <w:i/>
          <w:iCs/>
          <w:szCs w:val="24"/>
        </w:rPr>
        <w:t>Disability and Rehabilitation</w:t>
      </w:r>
      <w:r>
        <w:rPr>
          <w:rFonts w:eastAsia="Calibri"/>
          <w:szCs w:val="24"/>
        </w:rPr>
        <w:t xml:space="preserve">, </w:t>
      </w:r>
      <w:r w:rsidRPr="00CA77FE">
        <w:rPr>
          <w:rFonts w:eastAsia="Calibri"/>
          <w:i/>
          <w:iCs/>
          <w:szCs w:val="24"/>
        </w:rPr>
        <w:t>22</w:t>
      </w:r>
      <w:r>
        <w:rPr>
          <w:rFonts w:eastAsia="Calibri"/>
          <w:szCs w:val="24"/>
        </w:rPr>
        <w:t>, 2092–2106</w:t>
      </w:r>
      <w:r w:rsidRPr="00706743">
        <w:rPr>
          <w:rFonts w:eastAsia="Calibri"/>
          <w:szCs w:val="24"/>
        </w:rPr>
        <w:t xml:space="preserve">. </w:t>
      </w:r>
      <w:r w:rsidRPr="008E3BA5">
        <w:rPr>
          <w:rFonts w:eastAsia="Calibri"/>
          <w:szCs w:val="24"/>
        </w:rPr>
        <w:t>https://doi.org/10.3109/09638288.2014.998783</w:t>
      </w:r>
    </w:p>
    <w:p w14:paraId="14F62A26" w14:textId="77777777" w:rsidR="00CA77FE" w:rsidRPr="00A6382B" w:rsidRDefault="00CA77FE">
      <w:pPr>
        <w:pStyle w:val="Bibliography"/>
        <w:rPr>
          <w:lang w:bidi="ar-SA"/>
        </w:rPr>
      </w:pPr>
      <w:r w:rsidRPr="00A6382B">
        <w:rPr>
          <w:rFonts w:eastAsia="Calibri"/>
        </w:rPr>
        <w:t>Kurman</w:t>
      </w:r>
      <w:r>
        <w:rPr>
          <w:rFonts w:eastAsia="Calibri"/>
        </w:rPr>
        <w:t>,</w:t>
      </w:r>
      <w:r w:rsidRPr="00A6382B">
        <w:rPr>
          <w:rFonts w:eastAsia="Calibri"/>
        </w:rPr>
        <w:t xml:space="preserve"> J</w:t>
      </w:r>
      <w:r>
        <w:rPr>
          <w:rFonts w:eastAsia="Calibri"/>
        </w:rPr>
        <w:t>.</w:t>
      </w:r>
      <w:r w:rsidRPr="00A6382B">
        <w:rPr>
          <w:rFonts w:eastAsia="Calibri"/>
        </w:rPr>
        <w:t>, Rothschild-</w:t>
      </w:r>
      <w:proofErr w:type="spellStart"/>
      <w:r w:rsidRPr="00A6382B">
        <w:rPr>
          <w:rFonts w:eastAsia="Calibri"/>
        </w:rPr>
        <w:t>Yakar</w:t>
      </w:r>
      <w:proofErr w:type="spellEnd"/>
      <w:r>
        <w:rPr>
          <w:rFonts w:eastAsia="Calibri"/>
        </w:rPr>
        <w:t>,</w:t>
      </w:r>
      <w:r w:rsidRPr="00A6382B">
        <w:rPr>
          <w:rFonts w:eastAsia="Calibri"/>
        </w:rPr>
        <w:t xml:space="preserve"> L</w:t>
      </w:r>
      <w:r>
        <w:rPr>
          <w:rFonts w:eastAsia="Calibri"/>
        </w:rPr>
        <w:t>.</w:t>
      </w:r>
      <w:r w:rsidRPr="00A6382B">
        <w:rPr>
          <w:rFonts w:eastAsia="Calibri"/>
        </w:rPr>
        <w:t>, Angel</w:t>
      </w:r>
      <w:r>
        <w:rPr>
          <w:rFonts w:eastAsia="Calibri"/>
        </w:rPr>
        <w:t>,</w:t>
      </w:r>
      <w:r w:rsidRPr="00A6382B">
        <w:rPr>
          <w:rFonts w:eastAsia="Calibri"/>
        </w:rPr>
        <w:t xml:space="preserve"> R</w:t>
      </w:r>
      <w:r>
        <w:rPr>
          <w:rFonts w:eastAsia="Calibri"/>
        </w:rPr>
        <w:t>.</w:t>
      </w:r>
      <w:r w:rsidRPr="00A6382B">
        <w:rPr>
          <w:rFonts w:eastAsia="Calibri"/>
        </w:rPr>
        <w:t>,</w:t>
      </w:r>
      <w:r>
        <w:rPr>
          <w:rFonts w:eastAsia="Calibri"/>
        </w:rPr>
        <w:t xml:space="preserve"> &amp; Katz, M. (2018).</w:t>
      </w:r>
      <w:r w:rsidRPr="00F9248C">
        <w:t xml:space="preserve"> How good am I? Implicit and explicit self-esteem as a function of perceived parenting styles among children with ADHD. </w:t>
      </w:r>
      <w:r w:rsidRPr="00CA77FE">
        <w:rPr>
          <w:i/>
          <w:iCs/>
        </w:rPr>
        <w:t>Journal of Attention Disorders</w:t>
      </w:r>
      <w:r>
        <w:t xml:space="preserve">, </w:t>
      </w:r>
      <w:r w:rsidRPr="00CA77FE">
        <w:rPr>
          <w:i/>
          <w:iCs/>
        </w:rPr>
        <w:t>22</w:t>
      </w:r>
      <w:r>
        <w:t xml:space="preserve">, </w:t>
      </w:r>
      <w:r w:rsidRPr="00A6382B">
        <w:t>1207–1217.</w:t>
      </w:r>
      <w:r w:rsidRPr="007843A4">
        <w:t xml:space="preserve"> https://doi.org/10.1177%2F1087054715569599</w:t>
      </w:r>
    </w:p>
    <w:p w14:paraId="42BBADE0" w14:textId="2C6F5561" w:rsidR="00CA77FE" w:rsidRPr="00A6382B" w:rsidRDefault="00CA77FE">
      <w:pPr>
        <w:pStyle w:val="Bibliography"/>
        <w:rPr>
          <w:lang w:bidi="ar-SA"/>
        </w:rPr>
      </w:pPr>
      <w:r w:rsidRPr="00A6382B">
        <w:rPr>
          <w:lang w:bidi="ar-SA"/>
        </w:rPr>
        <w:t>Lapsley</w:t>
      </w:r>
      <w:r>
        <w:rPr>
          <w:lang w:bidi="ar-SA"/>
        </w:rPr>
        <w:t xml:space="preserve">, </w:t>
      </w:r>
      <w:r w:rsidRPr="00A6382B">
        <w:rPr>
          <w:lang w:bidi="ar-SA"/>
        </w:rPr>
        <w:t>D</w:t>
      </w:r>
      <w:r>
        <w:rPr>
          <w:lang w:bidi="ar-SA"/>
        </w:rPr>
        <w:t xml:space="preserve">. </w:t>
      </w:r>
      <w:r w:rsidRPr="00A6382B">
        <w:rPr>
          <w:lang w:bidi="ar-SA"/>
        </w:rPr>
        <w:t>K</w:t>
      </w:r>
      <w:r>
        <w:rPr>
          <w:lang w:bidi="ar-SA"/>
        </w:rPr>
        <w:t>.</w:t>
      </w:r>
      <w:r w:rsidRPr="00A6382B">
        <w:rPr>
          <w:lang w:bidi="ar-SA"/>
        </w:rPr>
        <w:t>, Rice</w:t>
      </w:r>
      <w:r>
        <w:rPr>
          <w:lang w:bidi="ar-SA"/>
        </w:rPr>
        <w:t>,</w:t>
      </w:r>
      <w:r w:rsidRPr="00A6382B">
        <w:rPr>
          <w:lang w:bidi="ar-SA"/>
        </w:rPr>
        <w:t xml:space="preserve"> K</w:t>
      </w:r>
      <w:r>
        <w:rPr>
          <w:lang w:bidi="ar-SA"/>
        </w:rPr>
        <w:t xml:space="preserve">. </w:t>
      </w:r>
      <w:r w:rsidRPr="00A6382B">
        <w:rPr>
          <w:lang w:bidi="ar-SA"/>
        </w:rPr>
        <w:t>G</w:t>
      </w:r>
      <w:r>
        <w:rPr>
          <w:lang w:bidi="ar-SA"/>
        </w:rPr>
        <w:t>.</w:t>
      </w:r>
      <w:r w:rsidRPr="00A6382B">
        <w:rPr>
          <w:lang w:bidi="ar-SA"/>
        </w:rPr>
        <w:t xml:space="preserve">, </w:t>
      </w:r>
      <w:r>
        <w:rPr>
          <w:lang w:bidi="ar-SA"/>
        </w:rPr>
        <w:t>&amp;</w:t>
      </w:r>
      <w:r w:rsidR="003D4D4F">
        <w:rPr>
          <w:lang w:bidi="ar-SA"/>
        </w:rPr>
        <w:t xml:space="preserve"> </w:t>
      </w:r>
      <w:r w:rsidRPr="00A6382B">
        <w:rPr>
          <w:lang w:bidi="ar-SA"/>
        </w:rPr>
        <w:t>FitzGerald</w:t>
      </w:r>
      <w:r>
        <w:rPr>
          <w:lang w:bidi="ar-SA"/>
        </w:rPr>
        <w:t>,</w:t>
      </w:r>
      <w:r w:rsidRPr="00A6382B">
        <w:rPr>
          <w:lang w:bidi="ar-SA"/>
        </w:rPr>
        <w:t xml:space="preserve"> D</w:t>
      </w:r>
      <w:r>
        <w:rPr>
          <w:lang w:bidi="ar-SA"/>
        </w:rPr>
        <w:t xml:space="preserve">. </w:t>
      </w:r>
      <w:r w:rsidRPr="00A6382B">
        <w:rPr>
          <w:lang w:bidi="ar-SA"/>
        </w:rPr>
        <w:t xml:space="preserve">P. </w:t>
      </w:r>
      <w:r>
        <w:rPr>
          <w:lang w:bidi="ar-SA"/>
        </w:rPr>
        <w:t xml:space="preserve">(1990). </w:t>
      </w:r>
      <w:r w:rsidRPr="00A6382B">
        <w:rPr>
          <w:lang w:bidi="ar-SA"/>
        </w:rPr>
        <w:t xml:space="preserve">Adolescent attachment, identity, and adjustment to college: </w:t>
      </w:r>
      <w:r>
        <w:rPr>
          <w:lang w:bidi="ar-SA"/>
        </w:rPr>
        <w:t>I</w:t>
      </w:r>
      <w:r w:rsidRPr="00A6382B">
        <w:rPr>
          <w:lang w:bidi="ar-SA"/>
        </w:rPr>
        <w:t>mplications for the continuity of adaptation hypothesis.</w:t>
      </w:r>
      <w:r>
        <w:rPr>
          <w:lang w:bidi="ar-SA"/>
        </w:rPr>
        <w:t xml:space="preserve"> </w:t>
      </w:r>
      <w:r w:rsidRPr="00CA77FE">
        <w:rPr>
          <w:i/>
          <w:iCs/>
          <w:lang w:bidi="ar-SA"/>
        </w:rPr>
        <w:lastRenderedPageBreak/>
        <w:t>Journal of Counseling and Development</w:t>
      </w:r>
      <w:r>
        <w:rPr>
          <w:lang w:bidi="ar-SA"/>
        </w:rPr>
        <w:t xml:space="preserve">, </w:t>
      </w:r>
      <w:r w:rsidRPr="00CA77FE">
        <w:rPr>
          <w:i/>
          <w:iCs/>
          <w:lang w:bidi="ar-SA"/>
        </w:rPr>
        <w:t>68</w:t>
      </w:r>
      <w:r>
        <w:rPr>
          <w:lang w:bidi="ar-SA"/>
        </w:rPr>
        <w:t xml:space="preserve">, </w:t>
      </w:r>
      <w:r w:rsidRPr="00A6382B">
        <w:rPr>
          <w:lang w:bidi="ar-SA"/>
        </w:rPr>
        <w:t>561</w:t>
      </w:r>
      <w:r w:rsidRPr="000521FC">
        <w:rPr>
          <w:lang w:bidi="ar-SA"/>
        </w:rPr>
        <w:t>–</w:t>
      </w:r>
      <w:r w:rsidRPr="00A6382B">
        <w:rPr>
          <w:lang w:bidi="ar-SA"/>
        </w:rPr>
        <w:t>565.</w:t>
      </w:r>
      <w:r w:rsidRPr="006D2C2F">
        <w:t xml:space="preserve"> </w:t>
      </w:r>
      <w:r w:rsidRPr="006D2C2F">
        <w:rPr>
          <w:lang w:bidi="ar-SA"/>
        </w:rPr>
        <w:t>https://doi.org/10.1002/j.1556-6676.1990.tb01411.x</w:t>
      </w:r>
    </w:p>
    <w:p w14:paraId="350A3B73" w14:textId="77777777" w:rsidR="00CA77FE" w:rsidRPr="00206ADB" w:rsidRDefault="00CA77FE">
      <w:pPr>
        <w:pStyle w:val="Bibliography"/>
      </w:pPr>
      <w:r w:rsidRPr="00206ADB">
        <w:rPr>
          <w:lang w:bidi="ar-SA"/>
        </w:rPr>
        <w:t>Lau</w:t>
      </w:r>
      <w:r>
        <w:rPr>
          <w:lang w:bidi="ar-SA"/>
        </w:rPr>
        <w:t>,</w:t>
      </w:r>
      <w:r w:rsidRPr="00206ADB">
        <w:rPr>
          <w:lang w:bidi="ar-SA"/>
        </w:rPr>
        <w:t xml:space="preserve"> W</w:t>
      </w:r>
      <w:r>
        <w:rPr>
          <w:lang w:bidi="ar-SA"/>
        </w:rPr>
        <w:t xml:space="preserve">. </w:t>
      </w:r>
      <w:r w:rsidRPr="00206ADB">
        <w:rPr>
          <w:lang w:bidi="ar-SA"/>
        </w:rPr>
        <w:t>F</w:t>
      </w:r>
      <w:r>
        <w:rPr>
          <w:lang w:bidi="ar-SA"/>
        </w:rPr>
        <w:t xml:space="preserve">. </w:t>
      </w:r>
      <w:r w:rsidRPr="00206ADB">
        <w:rPr>
          <w:lang w:bidi="ar-SA"/>
        </w:rPr>
        <w:t>K</w:t>
      </w:r>
      <w:r>
        <w:rPr>
          <w:lang w:bidi="ar-SA"/>
        </w:rPr>
        <w:t>.</w:t>
      </w:r>
      <w:r w:rsidRPr="00206ADB">
        <w:rPr>
          <w:lang w:bidi="ar-SA"/>
        </w:rPr>
        <w:t xml:space="preserve">, </w:t>
      </w:r>
      <w:proofErr w:type="spellStart"/>
      <w:r w:rsidRPr="00206ADB">
        <w:rPr>
          <w:lang w:bidi="ar-SA"/>
        </w:rPr>
        <w:t>Ortega</w:t>
      </w:r>
      <w:r>
        <w:rPr>
          <w:lang w:bidi="ar-SA"/>
        </w:rPr>
        <w:t>m</w:t>
      </w:r>
      <w:proofErr w:type="spellEnd"/>
      <w:r w:rsidRPr="00206ADB">
        <w:rPr>
          <w:lang w:bidi="ar-SA"/>
        </w:rPr>
        <w:t xml:space="preserve"> K</w:t>
      </w:r>
      <w:r>
        <w:rPr>
          <w:lang w:bidi="ar-SA"/>
        </w:rPr>
        <w:t>.</w:t>
      </w:r>
      <w:r w:rsidRPr="00206ADB">
        <w:rPr>
          <w:lang w:bidi="ar-SA"/>
        </w:rPr>
        <w:t>,</w:t>
      </w:r>
      <w:r>
        <w:rPr>
          <w:lang w:bidi="ar-SA"/>
        </w:rPr>
        <w:t xml:space="preserve"> &amp;</w:t>
      </w:r>
      <w:r w:rsidRPr="00206ADB">
        <w:rPr>
          <w:lang w:bidi="ar-SA"/>
        </w:rPr>
        <w:t xml:space="preserve"> Sharkey J. </w:t>
      </w:r>
      <w:r>
        <w:rPr>
          <w:lang w:bidi="ar-SA"/>
        </w:rPr>
        <w:t xml:space="preserve">(2015). </w:t>
      </w:r>
      <w:r w:rsidRPr="00206ADB">
        <w:rPr>
          <w:lang w:bidi="ar-SA"/>
        </w:rPr>
        <w:t>Disability awareness training with a group</w:t>
      </w:r>
      <w:r w:rsidRPr="00206ADB">
        <w:rPr>
          <w:rFonts w:eastAsia="Times New Roman"/>
          <w:lang w:bidi="ar-SA"/>
        </w:rPr>
        <w:t xml:space="preserve"> of adolescents with learning disabilities. </w:t>
      </w:r>
      <w:r w:rsidRPr="00CA77FE">
        <w:rPr>
          <w:rFonts w:eastAsia="Times New Roman"/>
          <w:i/>
          <w:iCs/>
          <w:lang w:bidi="ar-SA"/>
        </w:rPr>
        <w:t>Contemporary School Psychology</w:t>
      </w:r>
      <w:r>
        <w:rPr>
          <w:rFonts w:eastAsia="Times New Roman"/>
          <w:lang w:bidi="ar-SA"/>
        </w:rPr>
        <w:t>,</w:t>
      </w:r>
      <w:r w:rsidRPr="00206ADB">
        <w:rPr>
          <w:rFonts w:eastAsia="Times New Roman"/>
          <w:lang w:bidi="ar-SA"/>
        </w:rPr>
        <w:t xml:space="preserve"> </w:t>
      </w:r>
      <w:r w:rsidRPr="00CA77FE">
        <w:rPr>
          <w:rFonts w:eastAsia="Times New Roman"/>
          <w:i/>
          <w:iCs/>
          <w:lang w:bidi="ar-SA"/>
        </w:rPr>
        <w:t>19</w:t>
      </w:r>
      <w:r>
        <w:rPr>
          <w:rFonts w:eastAsia="Times New Roman"/>
          <w:lang w:bidi="ar-SA"/>
        </w:rPr>
        <w:t xml:space="preserve">, </w:t>
      </w:r>
      <w:r w:rsidRPr="00206ADB">
        <w:rPr>
          <w:rFonts w:eastAsia="Times New Roman"/>
          <w:lang w:bidi="ar-SA"/>
        </w:rPr>
        <w:t>145–156.</w:t>
      </w:r>
      <w:r w:rsidRPr="003E67BE">
        <w:t xml:space="preserve"> </w:t>
      </w:r>
      <w:r w:rsidRPr="003E67BE">
        <w:rPr>
          <w:rFonts w:eastAsia="Times New Roman"/>
          <w:lang w:bidi="ar-SA"/>
        </w:rPr>
        <w:t>https://doi.org/10.1007/s40688-014-0030-x</w:t>
      </w:r>
    </w:p>
    <w:p w14:paraId="649772C8" w14:textId="77777777" w:rsidR="00CA77FE" w:rsidRPr="006E663C" w:rsidRDefault="00CA77FE">
      <w:pPr>
        <w:pStyle w:val="Bibliography"/>
        <w:rPr>
          <w:rFonts w:eastAsia="Calibri"/>
        </w:rPr>
      </w:pPr>
      <w:r w:rsidRPr="006E663C">
        <w:rPr>
          <w:rFonts w:eastAsia="Calibri"/>
        </w:rPr>
        <w:t>Law</w:t>
      </w:r>
      <w:r>
        <w:rPr>
          <w:rFonts w:eastAsia="Calibri"/>
        </w:rPr>
        <w:t>,</w:t>
      </w:r>
      <w:r w:rsidRPr="006E663C">
        <w:rPr>
          <w:rFonts w:eastAsia="Calibri"/>
        </w:rPr>
        <w:t xml:space="preserve"> M</w:t>
      </w:r>
      <w:r>
        <w:rPr>
          <w:rFonts w:eastAsia="Calibri"/>
        </w:rPr>
        <w:t>.</w:t>
      </w:r>
      <w:r w:rsidRPr="006E663C">
        <w:rPr>
          <w:rFonts w:eastAsia="Calibri"/>
        </w:rPr>
        <w:t>, Baptiste</w:t>
      </w:r>
      <w:r>
        <w:rPr>
          <w:rFonts w:eastAsia="Calibri"/>
        </w:rPr>
        <w:t>,</w:t>
      </w:r>
      <w:r w:rsidRPr="006E663C">
        <w:rPr>
          <w:rFonts w:eastAsia="Calibri"/>
        </w:rPr>
        <w:t xml:space="preserve"> S</w:t>
      </w:r>
      <w:r>
        <w:rPr>
          <w:rFonts w:eastAsia="Calibri"/>
        </w:rPr>
        <w:t>.</w:t>
      </w:r>
      <w:r w:rsidRPr="006E663C">
        <w:rPr>
          <w:rFonts w:eastAsia="Calibri"/>
        </w:rPr>
        <w:t>, Carswell</w:t>
      </w:r>
      <w:r>
        <w:rPr>
          <w:rFonts w:eastAsia="Calibri"/>
        </w:rPr>
        <w:t>,</w:t>
      </w:r>
      <w:r w:rsidRPr="006E663C">
        <w:rPr>
          <w:rFonts w:eastAsia="Calibri"/>
        </w:rPr>
        <w:t xml:space="preserve"> A</w:t>
      </w:r>
      <w:r>
        <w:rPr>
          <w:rFonts w:eastAsia="Calibri"/>
        </w:rPr>
        <w:t>.</w:t>
      </w:r>
      <w:r w:rsidRPr="006E663C">
        <w:rPr>
          <w:rFonts w:eastAsia="Calibri"/>
        </w:rPr>
        <w:t>, Polatajko, H</w:t>
      </w:r>
      <w:r>
        <w:rPr>
          <w:rFonts w:eastAsia="Calibri"/>
        </w:rPr>
        <w:t>.</w:t>
      </w:r>
      <w:r w:rsidRPr="006E663C">
        <w:rPr>
          <w:rFonts w:eastAsia="Calibri"/>
        </w:rPr>
        <w:t xml:space="preserve">, </w:t>
      </w:r>
      <w:r>
        <w:rPr>
          <w:rFonts w:eastAsia="Calibri"/>
        </w:rPr>
        <w:t xml:space="preserve">&amp; </w:t>
      </w:r>
      <w:r w:rsidRPr="006E663C">
        <w:rPr>
          <w:rFonts w:eastAsia="Calibri"/>
        </w:rPr>
        <w:t>Pollock</w:t>
      </w:r>
      <w:r>
        <w:rPr>
          <w:rFonts w:eastAsia="Calibri"/>
        </w:rPr>
        <w:t>,</w:t>
      </w:r>
      <w:r w:rsidRPr="006E663C">
        <w:rPr>
          <w:rFonts w:eastAsia="Calibri"/>
        </w:rPr>
        <w:t xml:space="preserve"> N.</w:t>
      </w:r>
      <w:r w:rsidRPr="005956F7">
        <w:rPr>
          <w:rFonts w:eastAsia="Calibri"/>
        </w:rPr>
        <w:t xml:space="preserve"> </w:t>
      </w:r>
      <w:r>
        <w:rPr>
          <w:rFonts w:eastAsia="Calibri"/>
        </w:rPr>
        <w:t xml:space="preserve">(2005). </w:t>
      </w:r>
      <w:r w:rsidRPr="005956F7">
        <w:rPr>
          <w:rFonts w:eastAsia="Calibri"/>
        </w:rPr>
        <w:t>C</w:t>
      </w:r>
      <w:r w:rsidRPr="00F9248C">
        <w:rPr>
          <w:i/>
        </w:rPr>
        <w:t>anadian Occupational Performance Measure</w:t>
      </w:r>
      <w:r w:rsidRPr="005956F7">
        <w:rPr>
          <w:rFonts w:eastAsia="Calibri"/>
        </w:rPr>
        <w:t>.</w:t>
      </w:r>
      <w:r w:rsidRPr="006E663C">
        <w:rPr>
          <w:rFonts w:eastAsia="Calibri"/>
        </w:rPr>
        <w:t xml:space="preserve"> CAOT.</w:t>
      </w:r>
    </w:p>
    <w:p w14:paraId="211B51DA" w14:textId="28607340" w:rsidR="00CA77FE" w:rsidRPr="00AD0B3A" w:rsidRDefault="00CA77FE">
      <w:pPr>
        <w:pStyle w:val="Bibliography"/>
        <w:rPr>
          <w:szCs w:val="24"/>
        </w:rPr>
      </w:pPr>
      <w:r w:rsidRPr="00A6382B">
        <w:rPr>
          <w:rFonts w:eastAsia="Calibri"/>
          <w:lang w:val="es-US"/>
        </w:rPr>
        <w:t>Levanon-Erez</w:t>
      </w:r>
      <w:r>
        <w:rPr>
          <w:rFonts w:eastAsia="Calibri"/>
          <w:lang w:val="es-US"/>
        </w:rPr>
        <w:t>,</w:t>
      </w:r>
      <w:r w:rsidRPr="00A6382B">
        <w:rPr>
          <w:rFonts w:eastAsia="Calibri"/>
          <w:lang w:val="es-US"/>
        </w:rPr>
        <w:t xml:space="preserve"> N</w:t>
      </w:r>
      <w:r>
        <w:rPr>
          <w:rFonts w:eastAsia="Calibri"/>
          <w:lang w:val="es-US"/>
        </w:rPr>
        <w:t>.</w:t>
      </w:r>
      <w:r w:rsidRPr="00A6382B">
        <w:rPr>
          <w:rFonts w:eastAsia="Calibri"/>
          <w:lang w:val="es-US"/>
        </w:rPr>
        <w:t xml:space="preserve">, </w:t>
      </w:r>
      <w:r>
        <w:rPr>
          <w:rFonts w:eastAsia="Calibri"/>
          <w:lang w:val="es-US"/>
        </w:rPr>
        <w:t xml:space="preserve">&amp; </w:t>
      </w:r>
      <w:r w:rsidRPr="00A6382B">
        <w:rPr>
          <w:rFonts w:eastAsia="Calibri"/>
          <w:lang w:val="es-US"/>
        </w:rPr>
        <w:t>Maeir</w:t>
      </w:r>
      <w:r>
        <w:rPr>
          <w:rFonts w:eastAsia="Calibri"/>
          <w:lang w:val="es-US"/>
        </w:rPr>
        <w:t>,</w:t>
      </w:r>
      <w:r w:rsidRPr="00A6382B">
        <w:rPr>
          <w:rFonts w:eastAsia="Calibri"/>
          <w:lang w:val="es-US"/>
        </w:rPr>
        <w:t xml:space="preserve"> A. </w:t>
      </w:r>
      <w:r>
        <w:rPr>
          <w:rFonts w:eastAsia="Calibri"/>
          <w:lang w:val="es-US"/>
        </w:rPr>
        <w:t xml:space="preserve">(2014). </w:t>
      </w:r>
      <w:r w:rsidRPr="00F9248C">
        <w:t xml:space="preserve">The teen Cog-Fun model of intervention for adolescents with ADHD. </w:t>
      </w:r>
      <w:r w:rsidRPr="00A6382B">
        <w:rPr>
          <w:rFonts w:eastAsia="Calibri"/>
          <w:szCs w:val="24"/>
        </w:rPr>
        <w:t>In</w:t>
      </w:r>
      <w:r>
        <w:rPr>
          <w:rFonts w:eastAsia="Calibri"/>
          <w:szCs w:val="24"/>
        </w:rPr>
        <w:t xml:space="preserve"> I.</w:t>
      </w:r>
      <w:r w:rsidRPr="00A6382B">
        <w:rPr>
          <w:rFonts w:eastAsia="Calibri"/>
          <w:szCs w:val="24"/>
        </w:rPr>
        <w:t xml:space="preserve"> Berger</w:t>
      </w:r>
      <w:r>
        <w:rPr>
          <w:rFonts w:eastAsia="Calibri"/>
          <w:szCs w:val="24"/>
        </w:rPr>
        <w:t xml:space="preserve"> &amp; A.</w:t>
      </w:r>
      <w:r w:rsidRPr="00A6382B">
        <w:rPr>
          <w:rFonts w:eastAsia="Calibri"/>
          <w:szCs w:val="24"/>
        </w:rPr>
        <w:t xml:space="preserve"> Maeir</w:t>
      </w:r>
      <w:r>
        <w:rPr>
          <w:rFonts w:eastAsia="Calibri"/>
          <w:szCs w:val="24"/>
        </w:rPr>
        <w:t xml:space="preserve"> A (Eds.), </w:t>
      </w:r>
      <w:r w:rsidRPr="00CA77FE">
        <w:rPr>
          <w:rFonts w:eastAsia="Calibri"/>
          <w:i/>
          <w:iCs/>
          <w:szCs w:val="24"/>
        </w:rPr>
        <w:t xml:space="preserve">ADHD: A transparent impairment, clinical, daily-life and research aspects in diverse populations </w:t>
      </w:r>
      <w:r>
        <w:rPr>
          <w:rFonts w:eastAsia="Calibri"/>
          <w:szCs w:val="24"/>
        </w:rPr>
        <w:t>(pp.</w:t>
      </w:r>
      <w:r w:rsidRPr="00167E53">
        <w:rPr>
          <w:rFonts w:eastAsia="Calibri"/>
          <w:szCs w:val="24"/>
        </w:rPr>
        <w:t xml:space="preserve"> </w:t>
      </w:r>
      <w:r w:rsidRPr="00AF4686">
        <w:rPr>
          <w:rFonts w:eastAsia="Calibri"/>
          <w:szCs w:val="24"/>
        </w:rPr>
        <w:t>17–34</w:t>
      </w:r>
      <w:r>
        <w:rPr>
          <w:rFonts w:eastAsia="Calibri"/>
          <w:szCs w:val="24"/>
        </w:rPr>
        <w:t>).</w:t>
      </w:r>
      <w:r w:rsidRPr="00A6382B">
        <w:rPr>
          <w:rFonts w:eastAsia="Calibri"/>
          <w:szCs w:val="24"/>
        </w:rPr>
        <w:t xml:space="preserve"> Nova Science</w:t>
      </w:r>
      <w:r>
        <w:rPr>
          <w:rFonts w:eastAsia="Calibri"/>
          <w:szCs w:val="24"/>
        </w:rPr>
        <w:t>.</w:t>
      </w:r>
    </w:p>
    <w:p w14:paraId="301FE0F4" w14:textId="77777777" w:rsidR="00CA77FE" w:rsidRPr="00A6382B" w:rsidRDefault="00CA77FE">
      <w:pPr>
        <w:pStyle w:val="Bibliography"/>
      </w:pPr>
      <w:r w:rsidRPr="00A6382B">
        <w:rPr>
          <w:lang w:bidi="ar-SA"/>
        </w:rPr>
        <w:t>Lloyd</w:t>
      </w:r>
      <w:r>
        <w:rPr>
          <w:lang w:bidi="ar-SA"/>
        </w:rPr>
        <w:t>,</w:t>
      </w:r>
      <w:r w:rsidRPr="00A6382B">
        <w:rPr>
          <w:lang w:bidi="ar-SA"/>
        </w:rPr>
        <w:t xml:space="preserve"> O</w:t>
      </w:r>
      <w:r>
        <w:rPr>
          <w:lang w:bidi="ar-SA"/>
        </w:rPr>
        <w:t>.</w:t>
      </w:r>
      <w:r w:rsidRPr="00A6382B">
        <w:rPr>
          <w:lang w:bidi="ar-SA"/>
        </w:rPr>
        <w:t>, Ownsworth</w:t>
      </w:r>
      <w:r>
        <w:rPr>
          <w:lang w:bidi="ar-SA"/>
        </w:rPr>
        <w:t>,</w:t>
      </w:r>
      <w:r w:rsidRPr="00A6382B">
        <w:rPr>
          <w:lang w:bidi="ar-SA"/>
        </w:rPr>
        <w:t xml:space="preserve"> T</w:t>
      </w:r>
      <w:r>
        <w:rPr>
          <w:lang w:bidi="ar-SA"/>
        </w:rPr>
        <w:t>.</w:t>
      </w:r>
      <w:r w:rsidRPr="00A6382B">
        <w:rPr>
          <w:lang w:bidi="ar-SA"/>
        </w:rPr>
        <w:t>, Fleming</w:t>
      </w:r>
      <w:r>
        <w:rPr>
          <w:lang w:bidi="ar-SA"/>
        </w:rPr>
        <w:t>,</w:t>
      </w:r>
      <w:r w:rsidRPr="00A6382B">
        <w:rPr>
          <w:lang w:bidi="ar-SA"/>
        </w:rPr>
        <w:t xml:space="preserve"> J</w:t>
      </w:r>
      <w:r>
        <w:rPr>
          <w:lang w:bidi="ar-SA"/>
        </w:rPr>
        <w:t>.</w:t>
      </w:r>
      <w:r w:rsidRPr="00A6382B">
        <w:rPr>
          <w:lang w:bidi="ar-SA"/>
        </w:rPr>
        <w:t xml:space="preserve">, </w:t>
      </w:r>
      <w:r>
        <w:rPr>
          <w:lang w:bidi="ar-SA"/>
        </w:rPr>
        <w:t>&amp; Zimmer-</w:t>
      </w:r>
      <w:proofErr w:type="spellStart"/>
      <w:r>
        <w:rPr>
          <w:lang w:bidi="ar-SA"/>
        </w:rPr>
        <w:t>Gembeck</w:t>
      </w:r>
      <w:proofErr w:type="spellEnd"/>
      <w:r>
        <w:rPr>
          <w:lang w:bidi="ar-SA"/>
        </w:rPr>
        <w:t>, M. J.</w:t>
      </w:r>
      <w:r w:rsidRPr="00A6382B">
        <w:rPr>
          <w:lang w:bidi="ar-SA"/>
        </w:rPr>
        <w:t xml:space="preserve"> </w:t>
      </w:r>
      <w:r>
        <w:rPr>
          <w:lang w:bidi="ar-SA"/>
        </w:rPr>
        <w:t xml:space="preserve">(2015). </w:t>
      </w:r>
      <w:r w:rsidRPr="00A6382B">
        <w:rPr>
          <w:lang w:bidi="ar-SA"/>
        </w:rPr>
        <w:t>Awareness</w:t>
      </w:r>
      <w:r w:rsidRPr="00A6382B">
        <w:rPr>
          <w:rFonts w:eastAsia="Times New Roman"/>
          <w:lang w:bidi="ar-SA"/>
        </w:rPr>
        <w:t xml:space="preserve"> deficits in children and adolescents after traumatic brain injury: </w:t>
      </w:r>
      <w:r>
        <w:rPr>
          <w:rFonts w:eastAsia="Times New Roman"/>
          <w:lang w:bidi="ar-SA"/>
        </w:rPr>
        <w:t>A</w:t>
      </w:r>
      <w:r w:rsidRPr="00A6382B">
        <w:rPr>
          <w:rFonts w:eastAsia="Times New Roman"/>
          <w:lang w:bidi="ar-SA"/>
        </w:rPr>
        <w:t xml:space="preserve"> systematic review. </w:t>
      </w:r>
      <w:r w:rsidRPr="00CA77FE">
        <w:rPr>
          <w:rFonts w:eastAsia="Times New Roman"/>
          <w:i/>
          <w:iCs/>
          <w:lang w:bidi="ar-SA"/>
        </w:rPr>
        <w:t>Journal of Head Trauma Rehabilitation</w:t>
      </w:r>
      <w:r>
        <w:rPr>
          <w:rFonts w:eastAsia="Times New Roman"/>
          <w:lang w:bidi="ar-SA"/>
        </w:rPr>
        <w:t xml:space="preserve">, </w:t>
      </w:r>
      <w:r w:rsidRPr="00CA77FE">
        <w:rPr>
          <w:rFonts w:eastAsia="Times New Roman"/>
          <w:i/>
          <w:iCs/>
          <w:lang w:bidi="ar-SA"/>
        </w:rPr>
        <w:t>30</w:t>
      </w:r>
      <w:r>
        <w:rPr>
          <w:rFonts w:eastAsia="Times New Roman"/>
          <w:lang w:bidi="ar-SA"/>
        </w:rPr>
        <w:t xml:space="preserve">, </w:t>
      </w:r>
      <w:r w:rsidRPr="00A6382B">
        <w:rPr>
          <w:rFonts w:eastAsia="Times New Roman"/>
          <w:lang w:bidi="ar-SA"/>
        </w:rPr>
        <w:t>311–323.</w:t>
      </w:r>
      <w:r w:rsidRPr="00B20A03">
        <w:t xml:space="preserve"> </w:t>
      </w:r>
      <w:r w:rsidRPr="00B20A03">
        <w:rPr>
          <w:rFonts w:eastAsia="Times New Roman"/>
          <w:lang w:bidi="ar-SA"/>
        </w:rPr>
        <w:t>https://doi.org/10.1097/htr.0000000000000113</w:t>
      </w:r>
    </w:p>
    <w:p w14:paraId="5205B26D" w14:textId="77777777" w:rsidR="00CA77FE" w:rsidRPr="002D1C6F" w:rsidRDefault="00CA77FE">
      <w:pPr>
        <w:pStyle w:val="Bibliography"/>
        <w:rPr>
          <w:szCs w:val="24"/>
          <w:lang w:bidi="ar-SA"/>
        </w:rPr>
      </w:pPr>
      <w:r w:rsidRPr="002D1C6F">
        <w:rPr>
          <w:rFonts w:eastAsia="Calibri"/>
          <w:szCs w:val="24"/>
        </w:rPr>
        <w:t>Mann</w:t>
      </w:r>
      <w:r>
        <w:rPr>
          <w:rFonts w:eastAsia="Calibri"/>
          <w:szCs w:val="24"/>
        </w:rPr>
        <w:t>,</w:t>
      </w:r>
      <w:r w:rsidRPr="002D1C6F">
        <w:rPr>
          <w:rFonts w:eastAsia="Calibri"/>
          <w:szCs w:val="24"/>
        </w:rPr>
        <w:t xml:space="preserve"> D</w:t>
      </w:r>
      <w:r>
        <w:rPr>
          <w:rFonts w:eastAsia="Calibri"/>
          <w:szCs w:val="24"/>
        </w:rPr>
        <w:t xml:space="preserve">. </w:t>
      </w:r>
      <w:r w:rsidRPr="002D1C6F">
        <w:rPr>
          <w:rFonts w:eastAsia="Calibri"/>
          <w:szCs w:val="24"/>
        </w:rPr>
        <w:t>P</w:t>
      </w:r>
      <w:r>
        <w:rPr>
          <w:rFonts w:eastAsia="Calibri"/>
          <w:szCs w:val="24"/>
        </w:rPr>
        <w:t>.</w:t>
      </w:r>
      <w:r w:rsidRPr="002D1C6F">
        <w:rPr>
          <w:rFonts w:eastAsia="Calibri"/>
          <w:szCs w:val="24"/>
        </w:rPr>
        <w:t xml:space="preserve">, </w:t>
      </w:r>
      <w:r>
        <w:rPr>
          <w:rFonts w:eastAsia="Calibri"/>
          <w:szCs w:val="24"/>
        </w:rPr>
        <w:t xml:space="preserve">&amp; </w:t>
      </w:r>
      <w:r w:rsidRPr="002D1C6F">
        <w:rPr>
          <w:rFonts w:eastAsia="Calibri"/>
          <w:szCs w:val="24"/>
        </w:rPr>
        <w:t>Snover</w:t>
      </w:r>
      <w:r>
        <w:rPr>
          <w:rFonts w:eastAsia="Calibri"/>
          <w:szCs w:val="24"/>
        </w:rPr>
        <w:t>,</w:t>
      </w:r>
      <w:r w:rsidRPr="002D1C6F">
        <w:rPr>
          <w:rFonts w:eastAsia="Calibri"/>
          <w:szCs w:val="24"/>
        </w:rPr>
        <w:t xml:space="preserve"> R. </w:t>
      </w:r>
      <w:r>
        <w:rPr>
          <w:rFonts w:eastAsia="Calibri"/>
          <w:szCs w:val="24"/>
        </w:rPr>
        <w:t xml:space="preserve">(2015). </w:t>
      </w:r>
      <w:r w:rsidRPr="002D1C6F">
        <w:rPr>
          <w:rFonts w:eastAsia="Calibri"/>
          <w:szCs w:val="24"/>
        </w:rPr>
        <w:t xml:space="preserve">Executive functioning: </w:t>
      </w:r>
      <w:r>
        <w:rPr>
          <w:rFonts w:eastAsia="Calibri"/>
          <w:szCs w:val="24"/>
        </w:rPr>
        <w:t>R</w:t>
      </w:r>
      <w:r w:rsidRPr="002D1C6F">
        <w:rPr>
          <w:rFonts w:eastAsia="Calibri"/>
          <w:szCs w:val="24"/>
        </w:rPr>
        <w:t xml:space="preserve">elationship with high school student role performance. </w:t>
      </w:r>
      <w:r w:rsidRPr="00CA77FE">
        <w:rPr>
          <w:rFonts w:eastAsia="Calibri"/>
          <w:i/>
          <w:iCs/>
          <w:szCs w:val="24"/>
        </w:rPr>
        <w:t>Open Journal of Occupational Therapy</w:t>
      </w:r>
      <w:r>
        <w:rPr>
          <w:rFonts w:eastAsia="Calibri"/>
          <w:szCs w:val="24"/>
        </w:rPr>
        <w:t xml:space="preserve">, </w:t>
      </w:r>
      <w:r w:rsidRPr="00CA77FE">
        <w:rPr>
          <w:rFonts w:eastAsia="Calibri"/>
          <w:i/>
          <w:iCs/>
          <w:szCs w:val="24"/>
        </w:rPr>
        <w:t>3</w:t>
      </w:r>
      <w:r w:rsidRPr="002D1C6F">
        <w:rPr>
          <w:rFonts w:eastAsia="Calibri"/>
          <w:szCs w:val="24"/>
        </w:rPr>
        <w:t>(4)</w:t>
      </w:r>
      <w:r>
        <w:rPr>
          <w:rFonts w:eastAsia="Calibri"/>
          <w:szCs w:val="24"/>
        </w:rPr>
        <w:t>.</w:t>
      </w:r>
      <w:r w:rsidRPr="00524B1A">
        <w:t xml:space="preserve"> </w:t>
      </w:r>
      <w:r w:rsidRPr="00524B1A">
        <w:rPr>
          <w:rFonts w:eastAsia="Calibri"/>
          <w:szCs w:val="24"/>
        </w:rPr>
        <w:t>https://doi.org/10.15453/2168-6408.1153</w:t>
      </w:r>
      <w:r w:rsidRPr="002D1C6F">
        <w:rPr>
          <w:rFonts w:eastAsia="Calibri"/>
          <w:szCs w:val="24"/>
        </w:rPr>
        <w:t>.</w:t>
      </w:r>
    </w:p>
    <w:p w14:paraId="3F9AEBDF" w14:textId="77777777" w:rsidR="00CA77FE" w:rsidRPr="00706743" w:rsidRDefault="00CA77FE">
      <w:pPr>
        <w:pStyle w:val="Bibliography"/>
        <w:rPr>
          <w:szCs w:val="24"/>
          <w:lang w:bidi="ar-SA"/>
        </w:rPr>
      </w:pPr>
      <w:proofErr w:type="spellStart"/>
      <w:r w:rsidRPr="00706743">
        <w:rPr>
          <w:szCs w:val="24"/>
          <w:lang w:val="es-US" w:bidi="ar-SA"/>
        </w:rPr>
        <w:t>McQuade</w:t>
      </w:r>
      <w:proofErr w:type="spellEnd"/>
      <w:r>
        <w:rPr>
          <w:szCs w:val="24"/>
          <w:lang w:val="es-US" w:bidi="ar-SA"/>
        </w:rPr>
        <w:t>,</w:t>
      </w:r>
      <w:r w:rsidRPr="00706743">
        <w:rPr>
          <w:szCs w:val="24"/>
          <w:lang w:val="es-US" w:bidi="ar-SA"/>
        </w:rPr>
        <w:t xml:space="preserve"> J</w:t>
      </w:r>
      <w:r>
        <w:rPr>
          <w:szCs w:val="24"/>
          <w:lang w:val="es-US" w:bidi="ar-SA"/>
        </w:rPr>
        <w:t xml:space="preserve">. </w:t>
      </w:r>
      <w:r w:rsidRPr="00706743">
        <w:rPr>
          <w:szCs w:val="24"/>
          <w:lang w:val="es-US" w:bidi="ar-SA"/>
        </w:rPr>
        <w:t>D</w:t>
      </w:r>
      <w:r>
        <w:rPr>
          <w:szCs w:val="24"/>
          <w:lang w:val="es-US" w:bidi="ar-SA"/>
        </w:rPr>
        <w:t>.</w:t>
      </w:r>
      <w:r w:rsidRPr="00706743">
        <w:rPr>
          <w:szCs w:val="24"/>
          <w:lang w:val="es-US" w:bidi="ar-SA"/>
        </w:rPr>
        <w:t>, Mendoza</w:t>
      </w:r>
      <w:r>
        <w:rPr>
          <w:szCs w:val="24"/>
          <w:lang w:val="es-US" w:bidi="ar-SA"/>
        </w:rPr>
        <w:t>,</w:t>
      </w:r>
      <w:r w:rsidRPr="00706743">
        <w:rPr>
          <w:szCs w:val="24"/>
          <w:lang w:val="es-US" w:bidi="ar-SA"/>
        </w:rPr>
        <w:t xml:space="preserve"> S</w:t>
      </w:r>
      <w:r>
        <w:rPr>
          <w:szCs w:val="24"/>
          <w:lang w:val="es-US" w:bidi="ar-SA"/>
        </w:rPr>
        <w:t xml:space="preserve">. </w:t>
      </w:r>
      <w:r w:rsidRPr="00706743">
        <w:rPr>
          <w:szCs w:val="24"/>
          <w:lang w:val="es-US" w:bidi="ar-SA"/>
        </w:rPr>
        <w:t>A</w:t>
      </w:r>
      <w:r>
        <w:rPr>
          <w:szCs w:val="24"/>
          <w:lang w:val="es-US" w:bidi="ar-SA"/>
        </w:rPr>
        <w:t>.</w:t>
      </w:r>
      <w:r w:rsidRPr="00706743">
        <w:rPr>
          <w:szCs w:val="24"/>
          <w:lang w:val="es-US" w:bidi="ar-SA"/>
        </w:rPr>
        <w:t>, Larsen</w:t>
      </w:r>
      <w:r>
        <w:rPr>
          <w:szCs w:val="24"/>
          <w:lang w:val="es-US" w:bidi="ar-SA"/>
        </w:rPr>
        <w:t>,</w:t>
      </w:r>
      <w:r w:rsidRPr="00706743">
        <w:rPr>
          <w:szCs w:val="24"/>
          <w:lang w:val="es-US" w:bidi="ar-SA"/>
        </w:rPr>
        <w:t xml:space="preserve"> K</w:t>
      </w:r>
      <w:r>
        <w:rPr>
          <w:szCs w:val="24"/>
          <w:lang w:val="es-US" w:bidi="ar-SA"/>
        </w:rPr>
        <w:t xml:space="preserve">. </w:t>
      </w:r>
      <w:r w:rsidRPr="00706743">
        <w:rPr>
          <w:szCs w:val="24"/>
          <w:lang w:val="es-US" w:bidi="ar-SA"/>
        </w:rPr>
        <w:t>L</w:t>
      </w:r>
      <w:r>
        <w:rPr>
          <w:szCs w:val="24"/>
          <w:lang w:val="es-US" w:bidi="ar-SA"/>
        </w:rPr>
        <w:t>.</w:t>
      </w:r>
      <w:r w:rsidRPr="00706743">
        <w:rPr>
          <w:szCs w:val="24"/>
          <w:lang w:val="es-US" w:bidi="ar-SA"/>
        </w:rPr>
        <w:t xml:space="preserve">, </w:t>
      </w:r>
      <w:r>
        <w:rPr>
          <w:szCs w:val="24"/>
          <w:lang w:val="es-US" w:bidi="ar-SA"/>
        </w:rPr>
        <w:t xml:space="preserve">&amp; </w:t>
      </w:r>
      <w:proofErr w:type="spellStart"/>
      <w:r>
        <w:rPr>
          <w:szCs w:val="24"/>
          <w:lang w:val="es-US" w:bidi="ar-SA"/>
        </w:rPr>
        <w:t>Breaux</w:t>
      </w:r>
      <w:proofErr w:type="spellEnd"/>
      <w:r>
        <w:rPr>
          <w:szCs w:val="24"/>
          <w:lang w:val="es-US" w:bidi="ar-SA"/>
        </w:rPr>
        <w:t xml:space="preserve">, R. P. (2017). </w:t>
      </w:r>
      <w:r w:rsidRPr="00706743">
        <w:rPr>
          <w:szCs w:val="24"/>
          <w:lang w:bidi="ar-SA"/>
        </w:rPr>
        <w:t xml:space="preserve">The nature of social positive illusory bias: </w:t>
      </w:r>
      <w:r>
        <w:rPr>
          <w:szCs w:val="24"/>
          <w:lang w:bidi="ar-SA"/>
        </w:rPr>
        <w:t>R</w:t>
      </w:r>
      <w:r w:rsidRPr="00706743">
        <w:rPr>
          <w:szCs w:val="24"/>
          <w:lang w:bidi="ar-SA"/>
        </w:rPr>
        <w:t xml:space="preserve">eflection of social impairment, self-protective motivation, or poor executive functioning? </w:t>
      </w:r>
      <w:r w:rsidRPr="00CA77FE">
        <w:rPr>
          <w:i/>
          <w:iCs/>
          <w:szCs w:val="24"/>
          <w:lang w:bidi="ar-SA"/>
        </w:rPr>
        <w:t>Journal of Abnormal Child Psychology</w:t>
      </w:r>
      <w:r>
        <w:rPr>
          <w:szCs w:val="24"/>
          <w:lang w:bidi="ar-SA"/>
        </w:rPr>
        <w:t xml:space="preserve">, </w:t>
      </w:r>
      <w:r w:rsidRPr="00CA77FE">
        <w:rPr>
          <w:i/>
          <w:iCs/>
          <w:szCs w:val="24"/>
          <w:lang w:bidi="ar-SA"/>
        </w:rPr>
        <w:t>45</w:t>
      </w:r>
      <w:r>
        <w:rPr>
          <w:szCs w:val="24"/>
          <w:lang w:bidi="ar-SA"/>
        </w:rPr>
        <w:t xml:space="preserve">, </w:t>
      </w:r>
      <w:r w:rsidRPr="00706743">
        <w:rPr>
          <w:szCs w:val="24"/>
          <w:lang w:bidi="ar-SA"/>
        </w:rPr>
        <w:t xml:space="preserve">289–300. </w:t>
      </w:r>
      <w:r w:rsidRPr="00FB09BD">
        <w:rPr>
          <w:szCs w:val="24"/>
          <w:lang w:bidi="ar-SA"/>
        </w:rPr>
        <w:t>https://doi.org/10.1007/s10802-016-0172-6</w:t>
      </w:r>
    </w:p>
    <w:p w14:paraId="35578F8C" w14:textId="1CDDD5ED" w:rsidR="00CA77FE" w:rsidRPr="00F9248C" w:rsidRDefault="00CA77FE">
      <w:pPr>
        <w:pStyle w:val="Bibliography"/>
      </w:pPr>
      <w:r w:rsidRPr="00F9248C">
        <w:rPr>
          <w:shd w:val="clear" w:color="auto" w:fill="FFFFFF"/>
        </w:rPr>
        <w:t>Ohan</w:t>
      </w:r>
      <w:r>
        <w:rPr>
          <w:shd w:val="clear" w:color="auto" w:fill="FFFFFF"/>
        </w:rPr>
        <w:t>,</w:t>
      </w:r>
      <w:r w:rsidRPr="000B6B08">
        <w:rPr>
          <w:shd w:val="clear" w:color="auto" w:fill="FFFFFF"/>
        </w:rPr>
        <w:t xml:space="preserve"> </w:t>
      </w:r>
      <w:r w:rsidRPr="00A6382B">
        <w:rPr>
          <w:shd w:val="clear" w:color="auto" w:fill="FFFFFF"/>
        </w:rPr>
        <w:t>J</w:t>
      </w:r>
      <w:r>
        <w:rPr>
          <w:shd w:val="clear" w:color="auto" w:fill="FFFFFF"/>
        </w:rPr>
        <w:t xml:space="preserve">. </w:t>
      </w:r>
      <w:r w:rsidRPr="00A6382B">
        <w:rPr>
          <w:shd w:val="clear" w:color="auto" w:fill="FFFFFF"/>
        </w:rPr>
        <w:t>L</w:t>
      </w:r>
      <w:r>
        <w:rPr>
          <w:shd w:val="clear" w:color="auto" w:fill="FFFFFF"/>
        </w:rPr>
        <w:t>.</w:t>
      </w:r>
      <w:r w:rsidRPr="00A6382B">
        <w:rPr>
          <w:shd w:val="clear" w:color="auto" w:fill="FFFFFF"/>
        </w:rPr>
        <w:t xml:space="preserve">, </w:t>
      </w:r>
      <w:r>
        <w:rPr>
          <w:shd w:val="clear" w:color="auto" w:fill="FFFFFF"/>
        </w:rPr>
        <w:t>&amp;</w:t>
      </w:r>
      <w:r w:rsidRPr="00F9248C">
        <w:rPr>
          <w:shd w:val="clear" w:color="auto" w:fill="FFFFFF"/>
        </w:rPr>
        <w:t xml:space="preserve"> Johnston</w:t>
      </w:r>
      <w:r>
        <w:rPr>
          <w:shd w:val="clear" w:color="auto" w:fill="FFFFFF"/>
        </w:rPr>
        <w:t>,</w:t>
      </w:r>
      <w:r w:rsidRPr="00F9248C">
        <w:rPr>
          <w:shd w:val="clear" w:color="auto" w:fill="FFFFFF"/>
        </w:rPr>
        <w:t xml:space="preserve"> C.</w:t>
      </w:r>
      <w:r w:rsidRPr="00A6382B">
        <w:rPr>
          <w:shd w:val="clear" w:color="auto" w:fill="FFFFFF"/>
        </w:rPr>
        <w:t xml:space="preserve"> </w:t>
      </w:r>
      <w:r>
        <w:rPr>
          <w:shd w:val="clear" w:color="auto" w:fill="FFFFFF"/>
        </w:rPr>
        <w:t>(2002).</w:t>
      </w:r>
      <w:r w:rsidRPr="00F9248C">
        <w:rPr>
          <w:shd w:val="clear" w:color="auto" w:fill="FFFFFF"/>
        </w:rPr>
        <w:t xml:space="preserve"> Are the performance overestimates given by boys with ADHD self-protective?</w:t>
      </w:r>
      <w:r>
        <w:rPr>
          <w:shd w:val="clear" w:color="auto" w:fill="FFFFFF"/>
        </w:rPr>
        <w:t xml:space="preserve"> </w:t>
      </w:r>
      <w:r w:rsidRPr="00CA77FE">
        <w:rPr>
          <w:i/>
          <w:iCs/>
          <w:shd w:val="clear" w:color="auto" w:fill="FFFFFF"/>
        </w:rPr>
        <w:t>Journal of Clinical</w:t>
      </w:r>
      <w:r w:rsidRPr="00F9248C">
        <w:rPr>
          <w:i/>
          <w:shd w:val="clear" w:color="auto" w:fill="FFFFFF"/>
        </w:rPr>
        <w:t xml:space="preserve"> Child </w:t>
      </w:r>
      <w:r w:rsidRPr="00CA77FE">
        <w:rPr>
          <w:i/>
          <w:iCs/>
          <w:shd w:val="clear" w:color="auto" w:fill="FFFFFF"/>
        </w:rPr>
        <w:t>and Adolescent Psychology</w:t>
      </w:r>
      <w:r>
        <w:rPr>
          <w:shd w:val="clear" w:color="auto" w:fill="FFFFFF"/>
        </w:rPr>
        <w:t xml:space="preserve">, </w:t>
      </w:r>
      <w:r w:rsidRPr="00F9248C">
        <w:rPr>
          <w:i/>
          <w:shd w:val="clear" w:color="auto" w:fill="FFFFFF"/>
        </w:rPr>
        <w:t>31</w:t>
      </w:r>
      <w:r>
        <w:rPr>
          <w:shd w:val="clear" w:color="auto" w:fill="FFFFFF"/>
        </w:rPr>
        <w:t xml:space="preserve">, </w:t>
      </w:r>
      <w:r w:rsidRPr="00F9248C">
        <w:rPr>
          <w:shd w:val="clear" w:color="auto" w:fill="FFFFFF"/>
        </w:rPr>
        <w:t>230–241.</w:t>
      </w:r>
      <w:r w:rsidRPr="00B31AAF">
        <w:t xml:space="preserve"> </w:t>
      </w:r>
      <w:r w:rsidRPr="00B31AAF">
        <w:rPr>
          <w:shd w:val="clear" w:color="auto" w:fill="FFFFFF"/>
        </w:rPr>
        <w:t>https://doi.org/10.1207/s15374424jccp3102_08</w:t>
      </w:r>
    </w:p>
    <w:p w14:paraId="7B2AB6E9" w14:textId="77777777" w:rsidR="00CA77FE" w:rsidRPr="00A6382B" w:rsidRDefault="00CA77FE">
      <w:pPr>
        <w:pStyle w:val="Bibliography"/>
        <w:rPr>
          <w:shd w:val="clear" w:color="auto" w:fill="FFFFFF"/>
        </w:rPr>
      </w:pPr>
      <w:r w:rsidRPr="00A6382B">
        <w:rPr>
          <w:lang w:bidi="ar-SA"/>
        </w:rPr>
        <w:lastRenderedPageBreak/>
        <w:t>Otero</w:t>
      </w:r>
      <w:r>
        <w:rPr>
          <w:lang w:bidi="ar-SA"/>
        </w:rPr>
        <w:t>,</w:t>
      </w:r>
      <w:r w:rsidRPr="00A6382B">
        <w:rPr>
          <w:lang w:bidi="ar-SA"/>
        </w:rPr>
        <w:t xml:space="preserve"> T</w:t>
      </w:r>
      <w:r>
        <w:rPr>
          <w:lang w:bidi="ar-SA"/>
        </w:rPr>
        <w:t xml:space="preserve">. </w:t>
      </w:r>
      <w:r w:rsidRPr="00A6382B">
        <w:rPr>
          <w:lang w:bidi="ar-SA"/>
        </w:rPr>
        <w:t>M</w:t>
      </w:r>
      <w:r>
        <w:rPr>
          <w:lang w:bidi="ar-SA"/>
        </w:rPr>
        <w:t>.</w:t>
      </w:r>
      <w:r w:rsidRPr="00A6382B">
        <w:rPr>
          <w:lang w:bidi="ar-SA"/>
        </w:rPr>
        <w:t>, Barker</w:t>
      </w:r>
      <w:r>
        <w:rPr>
          <w:lang w:bidi="ar-SA"/>
        </w:rPr>
        <w:t>,</w:t>
      </w:r>
      <w:r w:rsidRPr="00A6382B">
        <w:rPr>
          <w:lang w:bidi="ar-SA"/>
        </w:rPr>
        <w:t xml:space="preserve"> L</w:t>
      </w:r>
      <w:r>
        <w:rPr>
          <w:lang w:bidi="ar-SA"/>
        </w:rPr>
        <w:t xml:space="preserve">. </w:t>
      </w:r>
      <w:r w:rsidRPr="00A6382B">
        <w:rPr>
          <w:lang w:bidi="ar-SA"/>
        </w:rPr>
        <w:t>A</w:t>
      </w:r>
      <w:r>
        <w:rPr>
          <w:lang w:bidi="ar-SA"/>
        </w:rPr>
        <w:t>.</w:t>
      </w:r>
      <w:r w:rsidRPr="00A6382B">
        <w:rPr>
          <w:lang w:bidi="ar-SA"/>
        </w:rPr>
        <w:t>,</w:t>
      </w:r>
      <w:r>
        <w:rPr>
          <w:lang w:bidi="ar-SA"/>
        </w:rPr>
        <w:t xml:space="preserve"> &amp;</w:t>
      </w:r>
      <w:r w:rsidRPr="00A6382B">
        <w:rPr>
          <w:lang w:bidi="ar-SA"/>
        </w:rPr>
        <w:t xml:space="preserve"> Naglieri</w:t>
      </w:r>
      <w:r>
        <w:rPr>
          <w:lang w:bidi="ar-SA"/>
        </w:rPr>
        <w:t>,</w:t>
      </w:r>
      <w:r w:rsidRPr="00A6382B">
        <w:rPr>
          <w:lang w:bidi="ar-SA"/>
        </w:rPr>
        <w:t xml:space="preserve"> J</w:t>
      </w:r>
      <w:r>
        <w:rPr>
          <w:lang w:bidi="ar-SA"/>
        </w:rPr>
        <w:t xml:space="preserve">. </w:t>
      </w:r>
      <w:r w:rsidRPr="00A6382B">
        <w:rPr>
          <w:lang w:bidi="ar-SA"/>
        </w:rPr>
        <w:t xml:space="preserve">A. </w:t>
      </w:r>
      <w:r>
        <w:rPr>
          <w:lang w:bidi="ar-SA"/>
        </w:rPr>
        <w:t>(2014).</w:t>
      </w:r>
      <w:r w:rsidRPr="00F9248C">
        <w:t xml:space="preserve"> Executive function treatment and intervention in schools. </w:t>
      </w:r>
      <w:r w:rsidRPr="00CA77FE">
        <w:rPr>
          <w:i/>
          <w:iCs/>
          <w:lang w:bidi="ar-SA"/>
        </w:rPr>
        <w:t>Applied Neuropsychology: Child</w:t>
      </w:r>
      <w:r>
        <w:rPr>
          <w:lang w:bidi="ar-SA"/>
        </w:rPr>
        <w:t xml:space="preserve">, </w:t>
      </w:r>
      <w:r w:rsidRPr="00CA77FE">
        <w:rPr>
          <w:i/>
          <w:iCs/>
          <w:lang w:bidi="ar-SA"/>
        </w:rPr>
        <w:t>3</w:t>
      </w:r>
      <w:r>
        <w:rPr>
          <w:lang w:bidi="ar-SA"/>
        </w:rPr>
        <w:t xml:space="preserve">, </w:t>
      </w:r>
      <w:r w:rsidRPr="00A6382B">
        <w:rPr>
          <w:lang w:bidi="ar-SA"/>
        </w:rPr>
        <w:t xml:space="preserve">205–214. </w:t>
      </w:r>
      <w:r w:rsidRPr="005E1AC1">
        <w:rPr>
          <w:lang w:bidi="ar-SA"/>
        </w:rPr>
        <w:t>https://doi.org/10.1080/21622965.2014.897903</w:t>
      </w:r>
    </w:p>
    <w:p w14:paraId="30B80CAB" w14:textId="60A36F83" w:rsidR="00CA77FE" w:rsidRPr="00F9248C" w:rsidRDefault="00CA77FE">
      <w:pPr>
        <w:pStyle w:val="Bibliography"/>
      </w:pPr>
      <w:r w:rsidRPr="00F9248C">
        <w:rPr>
          <w:shd w:val="clear" w:color="auto" w:fill="FFFFFF"/>
        </w:rPr>
        <w:t>Owens</w:t>
      </w:r>
      <w:r>
        <w:rPr>
          <w:szCs w:val="24"/>
          <w:shd w:val="clear" w:color="auto" w:fill="FFFFFF"/>
        </w:rPr>
        <w:t>,</w:t>
      </w:r>
      <w:r w:rsidRPr="000B6B08">
        <w:rPr>
          <w:szCs w:val="24"/>
          <w:shd w:val="clear" w:color="auto" w:fill="FFFFFF"/>
        </w:rPr>
        <w:t xml:space="preserve"> E</w:t>
      </w:r>
      <w:r>
        <w:rPr>
          <w:szCs w:val="24"/>
          <w:shd w:val="clear" w:color="auto" w:fill="FFFFFF"/>
        </w:rPr>
        <w:t xml:space="preserve">. </w:t>
      </w:r>
      <w:r w:rsidRPr="00A6382B">
        <w:rPr>
          <w:szCs w:val="24"/>
          <w:shd w:val="clear" w:color="auto" w:fill="FFFFFF"/>
        </w:rPr>
        <w:t>B</w:t>
      </w:r>
      <w:r>
        <w:rPr>
          <w:szCs w:val="24"/>
          <w:shd w:val="clear" w:color="auto" w:fill="FFFFFF"/>
        </w:rPr>
        <w:t>.</w:t>
      </w:r>
      <w:r w:rsidRPr="00A6382B">
        <w:rPr>
          <w:szCs w:val="24"/>
          <w:shd w:val="clear" w:color="auto" w:fill="FFFFFF"/>
        </w:rPr>
        <w:t>,</w:t>
      </w:r>
      <w:r w:rsidRPr="00F9248C">
        <w:rPr>
          <w:shd w:val="clear" w:color="auto" w:fill="FFFFFF"/>
        </w:rPr>
        <w:t xml:space="preserve"> Hinshaw</w:t>
      </w:r>
      <w:r>
        <w:rPr>
          <w:szCs w:val="24"/>
          <w:shd w:val="clear" w:color="auto" w:fill="FFFFFF"/>
        </w:rPr>
        <w:t>,</w:t>
      </w:r>
      <w:r w:rsidRPr="00A6382B">
        <w:rPr>
          <w:szCs w:val="24"/>
          <w:shd w:val="clear" w:color="auto" w:fill="FFFFFF"/>
        </w:rPr>
        <w:t xml:space="preserve"> S</w:t>
      </w:r>
      <w:r>
        <w:rPr>
          <w:szCs w:val="24"/>
          <w:shd w:val="clear" w:color="auto" w:fill="FFFFFF"/>
        </w:rPr>
        <w:t xml:space="preserve">. </w:t>
      </w:r>
      <w:r w:rsidRPr="00A6382B">
        <w:rPr>
          <w:szCs w:val="24"/>
          <w:shd w:val="clear" w:color="auto" w:fill="FFFFFF"/>
        </w:rPr>
        <w:t>P</w:t>
      </w:r>
      <w:r w:rsidR="004F1017">
        <w:rPr>
          <w:szCs w:val="24"/>
          <w:shd w:val="clear" w:color="auto" w:fill="FFFFFF"/>
        </w:rPr>
        <w:t>.</w:t>
      </w:r>
      <w:r w:rsidRPr="00A6382B">
        <w:rPr>
          <w:szCs w:val="24"/>
          <w:shd w:val="clear" w:color="auto" w:fill="FFFFFF"/>
        </w:rPr>
        <w:t>, Lee</w:t>
      </w:r>
      <w:r>
        <w:rPr>
          <w:szCs w:val="24"/>
          <w:shd w:val="clear" w:color="auto" w:fill="FFFFFF"/>
        </w:rPr>
        <w:t>,</w:t>
      </w:r>
      <w:r w:rsidRPr="00A6382B">
        <w:rPr>
          <w:szCs w:val="24"/>
          <w:shd w:val="clear" w:color="auto" w:fill="FFFFFF"/>
        </w:rPr>
        <w:t xml:space="preserve"> S</w:t>
      </w:r>
      <w:r>
        <w:rPr>
          <w:szCs w:val="24"/>
          <w:shd w:val="clear" w:color="auto" w:fill="FFFFFF"/>
        </w:rPr>
        <w:t xml:space="preserve">. </w:t>
      </w:r>
      <w:r w:rsidRPr="00A6382B">
        <w:rPr>
          <w:szCs w:val="24"/>
          <w:shd w:val="clear" w:color="auto" w:fill="FFFFFF"/>
        </w:rPr>
        <w:t>S</w:t>
      </w:r>
      <w:r>
        <w:rPr>
          <w:szCs w:val="24"/>
          <w:shd w:val="clear" w:color="auto" w:fill="FFFFFF"/>
        </w:rPr>
        <w:t>.</w:t>
      </w:r>
      <w:r w:rsidRPr="00A6382B">
        <w:rPr>
          <w:szCs w:val="24"/>
          <w:shd w:val="clear" w:color="auto" w:fill="FFFFFF"/>
        </w:rPr>
        <w:t>,</w:t>
      </w:r>
      <w:r>
        <w:rPr>
          <w:szCs w:val="24"/>
          <w:shd w:val="clear" w:color="auto" w:fill="FFFFFF"/>
        </w:rPr>
        <w:t xml:space="preserve"> &amp; Lahey, B. B</w:t>
      </w:r>
      <w:r w:rsidRPr="000B6B08">
        <w:rPr>
          <w:szCs w:val="24"/>
          <w:shd w:val="clear" w:color="auto" w:fill="FFFFFF"/>
        </w:rPr>
        <w:t>.</w:t>
      </w:r>
      <w:r>
        <w:rPr>
          <w:szCs w:val="24"/>
          <w:shd w:val="clear" w:color="auto" w:fill="FFFFFF"/>
        </w:rPr>
        <w:t xml:space="preserve"> (2009).</w:t>
      </w:r>
      <w:r w:rsidRPr="00F9248C">
        <w:rPr>
          <w:shd w:val="clear" w:color="auto" w:fill="FFFFFF"/>
        </w:rPr>
        <w:t xml:space="preserve"> Few girls with childhood attention-deficit/hyperactivity disorder show positive adjustment during adolescence.</w:t>
      </w:r>
      <w:r>
        <w:rPr>
          <w:szCs w:val="24"/>
          <w:shd w:val="clear" w:color="auto" w:fill="FFFFFF"/>
        </w:rPr>
        <w:t xml:space="preserve"> </w:t>
      </w:r>
      <w:r w:rsidRPr="00CA77FE">
        <w:rPr>
          <w:i/>
          <w:iCs/>
          <w:szCs w:val="24"/>
          <w:shd w:val="clear" w:color="auto" w:fill="FFFFFF"/>
        </w:rPr>
        <w:t>Journal of Clinical</w:t>
      </w:r>
      <w:r w:rsidRPr="00F9248C">
        <w:rPr>
          <w:i/>
          <w:shd w:val="clear" w:color="auto" w:fill="FFFFFF"/>
        </w:rPr>
        <w:t xml:space="preserve"> Child </w:t>
      </w:r>
      <w:r w:rsidRPr="00CA77FE">
        <w:rPr>
          <w:i/>
          <w:iCs/>
          <w:szCs w:val="24"/>
          <w:shd w:val="clear" w:color="auto" w:fill="FFFFFF"/>
        </w:rPr>
        <w:t>and Adolescent Psychology</w:t>
      </w:r>
      <w:r>
        <w:rPr>
          <w:szCs w:val="24"/>
          <w:shd w:val="clear" w:color="auto" w:fill="FFFFFF"/>
        </w:rPr>
        <w:t xml:space="preserve">, </w:t>
      </w:r>
      <w:r w:rsidRPr="00F9248C">
        <w:rPr>
          <w:i/>
          <w:shd w:val="clear" w:color="auto" w:fill="FFFFFF"/>
        </w:rPr>
        <w:t>38</w:t>
      </w:r>
      <w:r>
        <w:rPr>
          <w:szCs w:val="24"/>
          <w:shd w:val="clear" w:color="auto" w:fill="FFFFFF"/>
        </w:rPr>
        <w:t xml:space="preserve">, </w:t>
      </w:r>
      <w:r w:rsidRPr="00F9248C">
        <w:rPr>
          <w:shd w:val="clear" w:color="auto" w:fill="FFFFFF"/>
        </w:rPr>
        <w:t>132–143.</w:t>
      </w:r>
      <w:r w:rsidRPr="00957B3A">
        <w:t xml:space="preserve"> </w:t>
      </w:r>
      <w:r w:rsidRPr="00957B3A">
        <w:rPr>
          <w:szCs w:val="24"/>
          <w:shd w:val="clear" w:color="auto" w:fill="FFFFFF"/>
        </w:rPr>
        <w:t>https://doi.org/10.1080/15374410802575313</w:t>
      </w:r>
    </w:p>
    <w:p w14:paraId="1FCAD80F" w14:textId="669F3410" w:rsidR="00CA77FE" w:rsidRPr="00F9248C" w:rsidRDefault="00CA77FE">
      <w:pPr>
        <w:pStyle w:val="Bibliography"/>
      </w:pPr>
      <w:r w:rsidRPr="00F9248C">
        <w:t>Ownsworth</w:t>
      </w:r>
      <w:r>
        <w:rPr>
          <w:szCs w:val="24"/>
        </w:rPr>
        <w:t>,</w:t>
      </w:r>
      <w:r w:rsidRPr="00F9248C">
        <w:t xml:space="preserve"> T</w:t>
      </w:r>
      <w:r>
        <w:rPr>
          <w:szCs w:val="24"/>
        </w:rPr>
        <w:t>.</w:t>
      </w:r>
      <w:r w:rsidRPr="00A6382B">
        <w:rPr>
          <w:szCs w:val="24"/>
        </w:rPr>
        <w:t>,</w:t>
      </w:r>
      <w:r w:rsidRPr="00F9248C">
        <w:t xml:space="preserve"> Clare</w:t>
      </w:r>
      <w:r>
        <w:rPr>
          <w:szCs w:val="24"/>
        </w:rPr>
        <w:t>,</w:t>
      </w:r>
      <w:r w:rsidRPr="00F9248C">
        <w:t xml:space="preserve"> L</w:t>
      </w:r>
      <w:r>
        <w:rPr>
          <w:szCs w:val="24"/>
        </w:rPr>
        <w:t>.</w:t>
      </w:r>
      <w:r w:rsidRPr="00A6382B">
        <w:rPr>
          <w:szCs w:val="24"/>
        </w:rPr>
        <w:t xml:space="preserve">, </w:t>
      </w:r>
      <w:r>
        <w:rPr>
          <w:szCs w:val="24"/>
        </w:rPr>
        <w:t>&amp;</w:t>
      </w:r>
      <w:r w:rsidRPr="00F9248C">
        <w:t xml:space="preserve"> Morris</w:t>
      </w:r>
      <w:r>
        <w:rPr>
          <w:szCs w:val="24"/>
        </w:rPr>
        <w:t>,</w:t>
      </w:r>
      <w:r w:rsidRPr="00F9248C">
        <w:t xml:space="preserve"> R.</w:t>
      </w:r>
      <w:r w:rsidRPr="00A6382B">
        <w:rPr>
          <w:szCs w:val="24"/>
        </w:rPr>
        <w:t xml:space="preserve"> </w:t>
      </w:r>
      <w:r>
        <w:rPr>
          <w:szCs w:val="24"/>
        </w:rPr>
        <w:t>(2006).</w:t>
      </w:r>
      <w:r w:rsidRPr="00F9248C">
        <w:t xml:space="preserve"> An integrated biopsychosocial approach to understanding awareness deficits in Alzheimer's disease and brain injury.</w:t>
      </w:r>
      <w:r>
        <w:rPr>
          <w:szCs w:val="24"/>
        </w:rPr>
        <w:t xml:space="preserve"> </w:t>
      </w:r>
      <w:r w:rsidRPr="00CA77FE">
        <w:rPr>
          <w:i/>
          <w:iCs/>
          <w:szCs w:val="24"/>
        </w:rPr>
        <w:t>Neuropsychological Rehabilitation</w:t>
      </w:r>
      <w:r>
        <w:rPr>
          <w:szCs w:val="24"/>
        </w:rPr>
        <w:t xml:space="preserve">, </w:t>
      </w:r>
      <w:r w:rsidRPr="00CA77FE">
        <w:rPr>
          <w:i/>
          <w:iCs/>
          <w:szCs w:val="24"/>
        </w:rPr>
        <w:t>16</w:t>
      </w:r>
      <w:r>
        <w:rPr>
          <w:szCs w:val="24"/>
        </w:rPr>
        <w:t xml:space="preserve">, </w:t>
      </w:r>
      <w:r w:rsidRPr="00A6382B">
        <w:rPr>
          <w:szCs w:val="24"/>
        </w:rPr>
        <w:t>415</w:t>
      </w:r>
      <w:r w:rsidRPr="000521FC">
        <w:rPr>
          <w:szCs w:val="24"/>
        </w:rPr>
        <w:t>–</w:t>
      </w:r>
      <w:r w:rsidRPr="00A6382B">
        <w:rPr>
          <w:szCs w:val="24"/>
        </w:rPr>
        <w:t>438.</w:t>
      </w:r>
      <w:r w:rsidRPr="00881DB8">
        <w:t xml:space="preserve"> </w:t>
      </w:r>
      <w:r w:rsidRPr="00881DB8">
        <w:rPr>
          <w:szCs w:val="24"/>
        </w:rPr>
        <w:t>https://doi.org/10.1080/09602010500505641</w:t>
      </w:r>
    </w:p>
    <w:p w14:paraId="43CF8C6B" w14:textId="64247C42" w:rsidR="00CA77FE" w:rsidRDefault="00CA77FE">
      <w:pPr>
        <w:pStyle w:val="Bibliography"/>
        <w:rPr>
          <w:szCs w:val="24"/>
          <w:lang w:bidi="ar-SA"/>
        </w:rPr>
      </w:pPr>
      <w:r w:rsidRPr="00A6382B">
        <w:rPr>
          <w:szCs w:val="24"/>
        </w:rPr>
        <w:t>Poncet</w:t>
      </w:r>
      <w:r>
        <w:rPr>
          <w:szCs w:val="24"/>
        </w:rPr>
        <w:t>,</w:t>
      </w:r>
      <w:r w:rsidRPr="00A6382B">
        <w:rPr>
          <w:szCs w:val="24"/>
        </w:rPr>
        <w:t xml:space="preserve"> F</w:t>
      </w:r>
      <w:r>
        <w:rPr>
          <w:szCs w:val="24"/>
        </w:rPr>
        <w:t>.</w:t>
      </w:r>
      <w:r w:rsidRPr="00A6382B">
        <w:rPr>
          <w:szCs w:val="24"/>
        </w:rPr>
        <w:t>, Krasny-Pacini</w:t>
      </w:r>
      <w:r>
        <w:rPr>
          <w:szCs w:val="24"/>
        </w:rPr>
        <w:t>,</w:t>
      </w:r>
      <w:r w:rsidRPr="00A6382B">
        <w:rPr>
          <w:szCs w:val="24"/>
        </w:rPr>
        <w:t xml:space="preserve"> A</w:t>
      </w:r>
      <w:r>
        <w:rPr>
          <w:szCs w:val="24"/>
        </w:rPr>
        <w:t>.</w:t>
      </w:r>
      <w:r w:rsidRPr="00A6382B">
        <w:rPr>
          <w:szCs w:val="24"/>
        </w:rPr>
        <w:t>, Alzieu</w:t>
      </w:r>
      <w:r>
        <w:rPr>
          <w:szCs w:val="24"/>
        </w:rPr>
        <w:t>,</w:t>
      </w:r>
      <w:r w:rsidRPr="00A6382B">
        <w:rPr>
          <w:szCs w:val="24"/>
        </w:rPr>
        <w:t xml:space="preserve"> C</w:t>
      </w:r>
      <w:r>
        <w:rPr>
          <w:szCs w:val="24"/>
        </w:rPr>
        <w:t>.</w:t>
      </w:r>
      <w:r w:rsidRPr="00A6382B">
        <w:rPr>
          <w:szCs w:val="24"/>
        </w:rPr>
        <w:t xml:space="preserve">, </w:t>
      </w:r>
      <w:r w:rsidR="00A5249D">
        <w:rPr>
          <w:szCs w:val="24"/>
        </w:rPr>
        <w:t xml:space="preserve">Servant, V., Taillefer, C., &amp; Chevignard, </w:t>
      </w:r>
      <w:r w:rsidR="00473122">
        <w:rPr>
          <w:szCs w:val="24"/>
        </w:rPr>
        <w:t>M.</w:t>
      </w:r>
      <w:r w:rsidRPr="00A6382B">
        <w:rPr>
          <w:szCs w:val="24"/>
        </w:rPr>
        <w:t xml:space="preserve"> </w:t>
      </w:r>
      <w:r>
        <w:rPr>
          <w:szCs w:val="24"/>
        </w:rPr>
        <w:t xml:space="preserve">(2015). </w:t>
      </w:r>
      <w:r w:rsidRPr="00CA77FE">
        <w:rPr>
          <w:i/>
          <w:iCs/>
          <w:szCs w:val="24"/>
        </w:rPr>
        <w:t>Children's Cooking Task manual (English version 1)</w:t>
      </w:r>
      <w:r>
        <w:rPr>
          <w:szCs w:val="24"/>
        </w:rPr>
        <w:t xml:space="preserve"> [U</w:t>
      </w:r>
      <w:r w:rsidRPr="00A6382B">
        <w:rPr>
          <w:szCs w:val="24"/>
        </w:rPr>
        <w:t>npublished</w:t>
      </w:r>
      <w:r>
        <w:rPr>
          <w:szCs w:val="24"/>
        </w:rPr>
        <w:t xml:space="preserve"> manuscript].</w:t>
      </w:r>
    </w:p>
    <w:p w14:paraId="0C4ABDF7" w14:textId="77777777" w:rsidR="00CA77FE" w:rsidRPr="00A6382B" w:rsidRDefault="00CA77FE">
      <w:pPr>
        <w:pStyle w:val="Bibliography"/>
        <w:rPr>
          <w:shd w:val="clear" w:color="auto" w:fill="FFFFFF"/>
        </w:rPr>
      </w:pPr>
      <w:r w:rsidRPr="00A6382B">
        <w:rPr>
          <w:lang w:bidi="ar-SA"/>
        </w:rPr>
        <w:t>Rith-Najarian</w:t>
      </w:r>
      <w:r>
        <w:rPr>
          <w:lang w:bidi="ar-SA"/>
        </w:rPr>
        <w:t>,</w:t>
      </w:r>
      <w:r w:rsidRPr="00A6382B">
        <w:rPr>
          <w:lang w:bidi="ar-SA"/>
        </w:rPr>
        <w:t xml:space="preserve"> L</w:t>
      </w:r>
      <w:r>
        <w:rPr>
          <w:lang w:bidi="ar-SA"/>
        </w:rPr>
        <w:t xml:space="preserve">. </w:t>
      </w:r>
      <w:r w:rsidRPr="00A6382B">
        <w:rPr>
          <w:lang w:bidi="ar-SA"/>
        </w:rPr>
        <w:t>R</w:t>
      </w:r>
      <w:r>
        <w:rPr>
          <w:lang w:bidi="ar-SA"/>
        </w:rPr>
        <w:t>.</w:t>
      </w:r>
      <w:r w:rsidRPr="00A6382B">
        <w:rPr>
          <w:lang w:bidi="ar-SA"/>
        </w:rPr>
        <w:t>, McLaughlin</w:t>
      </w:r>
      <w:r>
        <w:rPr>
          <w:lang w:bidi="ar-SA"/>
        </w:rPr>
        <w:t>,</w:t>
      </w:r>
      <w:r w:rsidRPr="00A6382B">
        <w:rPr>
          <w:lang w:bidi="ar-SA"/>
        </w:rPr>
        <w:t xml:space="preserve"> K</w:t>
      </w:r>
      <w:r>
        <w:rPr>
          <w:lang w:bidi="ar-SA"/>
        </w:rPr>
        <w:t xml:space="preserve">. </w:t>
      </w:r>
      <w:r w:rsidRPr="00A6382B">
        <w:rPr>
          <w:lang w:bidi="ar-SA"/>
        </w:rPr>
        <w:t>A</w:t>
      </w:r>
      <w:r>
        <w:rPr>
          <w:lang w:bidi="ar-SA"/>
        </w:rPr>
        <w:t>.</w:t>
      </w:r>
      <w:r w:rsidRPr="00A6382B">
        <w:rPr>
          <w:lang w:bidi="ar-SA"/>
        </w:rPr>
        <w:t>, Sheridan</w:t>
      </w:r>
      <w:r>
        <w:rPr>
          <w:lang w:bidi="ar-SA"/>
        </w:rPr>
        <w:t>,</w:t>
      </w:r>
      <w:r w:rsidRPr="00A6382B">
        <w:rPr>
          <w:lang w:bidi="ar-SA"/>
        </w:rPr>
        <w:t xml:space="preserve"> M</w:t>
      </w:r>
      <w:r>
        <w:rPr>
          <w:lang w:bidi="ar-SA"/>
        </w:rPr>
        <w:t xml:space="preserve">. </w:t>
      </w:r>
      <w:r w:rsidRPr="00A6382B">
        <w:rPr>
          <w:lang w:bidi="ar-SA"/>
        </w:rPr>
        <w:t>A</w:t>
      </w:r>
      <w:r>
        <w:rPr>
          <w:lang w:bidi="ar-SA"/>
        </w:rPr>
        <w:t>.</w:t>
      </w:r>
      <w:r w:rsidRPr="00A6382B">
        <w:rPr>
          <w:lang w:bidi="ar-SA"/>
        </w:rPr>
        <w:t xml:space="preserve">, </w:t>
      </w:r>
      <w:r>
        <w:rPr>
          <w:lang w:bidi="ar-SA"/>
        </w:rPr>
        <w:t>&amp; Nock, M. K.</w:t>
      </w:r>
      <w:r w:rsidRPr="00A6382B">
        <w:rPr>
          <w:lang w:bidi="ar-SA"/>
        </w:rPr>
        <w:t xml:space="preserve"> </w:t>
      </w:r>
      <w:r>
        <w:rPr>
          <w:lang w:bidi="ar-SA"/>
        </w:rPr>
        <w:t xml:space="preserve">(2014). </w:t>
      </w:r>
      <w:r w:rsidRPr="00A6382B">
        <w:rPr>
          <w:lang w:bidi="ar-SA"/>
        </w:rPr>
        <w:t xml:space="preserve">The biopsychosocial model of stress in adolescence: </w:t>
      </w:r>
      <w:r>
        <w:rPr>
          <w:lang w:bidi="ar-SA"/>
        </w:rPr>
        <w:t>S</w:t>
      </w:r>
      <w:r w:rsidRPr="00A6382B">
        <w:rPr>
          <w:lang w:bidi="ar-SA"/>
        </w:rPr>
        <w:t xml:space="preserve">elf-awareness of performance versus stress reactivity. </w:t>
      </w:r>
      <w:r w:rsidRPr="00CA77FE">
        <w:rPr>
          <w:i/>
          <w:iCs/>
          <w:lang w:bidi="ar-SA"/>
        </w:rPr>
        <w:t>Stress</w:t>
      </w:r>
      <w:r>
        <w:rPr>
          <w:lang w:bidi="ar-SA"/>
        </w:rPr>
        <w:t xml:space="preserve">, </w:t>
      </w:r>
      <w:r w:rsidRPr="00A6382B">
        <w:rPr>
          <w:lang w:bidi="ar-SA"/>
        </w:rPr>
        <w:t>17</w:t>
      </w:r>
      <w:r>
        <w:rPr>
          <w:lang w:bidi="ar-SA"/>
        </w:rPr>
        <w:t xml:space="preserve">, </w:t>
      </w:r>
      <w:r w:rsidRPr="00A6382B">
        <w:rPr>
          <w:lang w:bidi="ar-SA"/>
        </w:rPr>
        <w:t>193–203.</w:t>
      </w:r>
      <w:r w:rsidRPr="00513381">
        <w:t xml:space="preserve"> </w:t>
      </w:r>
      <w:r w:rsidRPr="00513381">
        <w:rPr>
          <w:lang w:bidi="ar-SA"/>
        </w:rPr>
        <w:t>https://doi.org/10.3109/10253890.2014.891102</w:t>
      </w:r>
    </w:p>
    <w:p w14:paraId="2A665F15" w14:textId="66BFCEE9" w:rsidR="00CA77FE" w:rsidRPr="00A6382B" w:rsidRDefault="00CA77FE">
      <w:pPr>
        <w:pStyle w:val="Bibliography"/>
        <w:rPr>
          <w:shd w:val="clear" w:color="auto" w:fill="FFFFFF"/>
        </w:rPr>
      </w:pPr>
      <w:r w:rsidRPr="00A6382B">
        <w:rPr>
          <w:shd w:val="clear" w:color="auto" w:fill="FFFFFF"/>
        </w:rPr>
        <w:t>Rosenblum</w:t>
      </w:r>
      <w:r>
        <w:rPr>
          <w:shd w:val="clear" w:color="auto" w:fill="FFFFFF"/>
        </w:rPr>
        <w:t xml:space="preserve">, </w:t>
      </w:r>
      <w:r w:rsidRPr="00A6382B">
        <w:rPr>
          <w:shd w:val="clear" w:color="auto" w:fill="FFFFFF"/>
        </w:rPr>
        <w:t>S</w:t>
      </w:r>
      <w:r>
        <w:rPr>
          <w:shd w:val="clear" w:color="auto" w:fill="FFFFFF"/>
        </w:rPr>
        <w:t>.</w:t>
      </w:r>
      <w:r w:rsidRPr="00A6382B">
        <w:rPr>
          <w:shd w:val="clear" w:color="auto" w:fill="FFFFFF"/>
        </w:rPr>
        <w:t>, Ezra Zandani</w:t>
      </w:r>
      <w:r>
        <w:rPr>
          <w:shd w:val="clear" w:color="auto" w:fill="FFFFFF"/>
        </w:rPr>
        <w:t>,</w:t>
      </w:r>
      <w:r w:rsidRPr="00A6382B">
        <w:rPr>
          <w:shd w:val="clear" w:color="auto" w:fill="FFFFFF"/>
        </w:rPr>
        <w:t xml:space="preserve"> I</w:t>
      </w:r>
      <w:r>
        <w:rPr>
          <w:shd w:val="clear" w:color="auto" w:fill="FFFFFF"/>
        </w:rPr>
        <w:t>.</w:t>
      </w:r>
      <w:r w:rsidRPr="00A6382B">
        <w:rPr>
          <w:shd w:val="clear" w:color="auto" w:fill="FFFFFF"/>
        </w:rPr>
        <w:t>, Deutsch-Castel</w:t>
      </w:r>
      <w:r>
        <w:rPr>
          <w:shd w:val="clear" w:color="auto" w:fill="FFFFFF"/>
        </w:rPr>
        <w:t>,</w:t>
      </w:r>
      <w:r w:rsidRPr="00A6382B">
        <w:rPr>
          <w:shd w:val="clear" w:color="auto" w:fill="FFFFFF"/>
        </w:rPr>
        <w:t xml:space="preserve"> T</w:t>
      </w:r>
      <w:r>
        <w:rPr>
          <w:shd w:val="clear" w:color="auto" w:fill="FFFFFF"/>
        </w:rPr>
        <w:t>.</w:t>
      </w:r>
      <w:r w:rsidRPr="00A6382B">
        <w:rPr>
          <w:shd w:val="clear" w:color="auto" w:fill="FFFFFF"/>
        </w:rPr>
        <w:t>,</w:t>
      </w:r>
      <w:r w:rsidR="00473122">
        <w:rPr>
          <w:shd w:val="clear" w:color="auto" w:fill="FFFFFF"/>
        </w:rPr>
        <w:t xml:space="preserve"> </w:t>
      </w:r>
      <w:r>
        <w:rPr>
          <w:shd w:val="clear" w:color="auto" w:fill="FFFFFF"/>
        </w:rPr>
        <w:t xml:space="preserve">&amp; Meyer, S. (2019). </w:t>
      </w:r>
      <w:r w:rsidRPr="00A6382B">
        <w:rPr>
          <w:shd w:val="clear" w:color="auto" w:fill="FFFFFF"/>
        </w:rPr>
        <w:t xml:space="preserve">The Child Evaluation Checklist: </w:t>
      </w:r>
      <w:r>
        <w:rPr>
          <w:shd w:val="clear" w:color="auto" w:fill="FFFFFF"/>
        </w:rPr>
        <w:t xml:space="preserve">A </w:t>
      </w:r>
      <w:r w:rsidRPr="00A6382B">
        <w:rPr>
          <w:shd w:val="clear" w:color="auto" w:fill="FFFFFF"/>
        </w:rPr>
        <w:t xml:space="preserve">screening questionnaire for detecting red flags of hidden neurodevelopmental disorders among pre-school children. </w:t>
      </w:r>
      <w:r w:rsidRPr="00CA77FE">
        <w:rPr>
          <w:i/>
          <w:iCs/>
          <w:shd w:val="clear" w:color="auto" w:fill="FFFFFF"/>
        </w:rPr>
        <w:t>Occupational Therapy International</w:t>
      </w:r>
      <w:r>
        <w:rPr>
          <w:shd w:val="clear" w:color="auto" w:fill="FFFFFF"/>
        </w:rPr>
        <w:t xml:space="preserve">, </w:t>
      </w:r>
      <w:r w:rsidRPr="00CA77FE">
        <w:rPr>
          <w:i/>
          <w:iCs/>
          <w:shd w:val="clear" w:color="auto" w:fill="FFFFFF"/>
        </w:rPr>
        <w:t>2019</w:t>
      </w:r>
      <w:r>
        <w:rPr>
          <w:shd w:val="clear" w:color="auto" w:fill="FFFFFF"/>
        </w:rPr>
        <w:t>, Article 6891831</w:t>
      </w:r>
      <w:r w:rsidRPr="00A6382B">
        <w:rPr>
          <w:shd w:val="clear" w:color="auto" w:fill="FFFFFF"/>
        </w:rPr>
        <w:t xml:space="preserve">. </w:t>
      </w:r>
      <w:r w:rsidRPr="00C02E39">
        <w:rPr>
          <w:shd w:val="clear" w:color="auto" w:fill="FFFFFF"/>
        </w:rPr>
        <w:t>https://doi.org/10.1155/2019/6891831</w:t>
      </w:r>
      <w:r w:rsidRPr="00C02E39" w:rsidDel="00BF1FFF">
        <w:rPr>
          <w:shd w:val="clear" w:color="auto" w:fill="FFFFFF"/>
        </w:rPr>
        <w:t xml:space="preserve"> </w:t>
      </w:r>
    </w:p>
    <w:p w14:paraId="345A84DE" w14:textId="77777777" w:rsidR="00CA77FE" w:rsidRPr="00CA77FE" w:rsidRDefault="00CA77FE">
      <w:pPr>
        <w:pStyle w:val="Bibliography"/>
      </w:pPr>
      <w:r w:rsidRPr="00A6382B">
        <w:rPr>
          <w:szCs w:val="24"/>
          <w:shd w:val="clear" w:color="auto" w:fill="FFFFFF"/>
          <w:lang w:val="es-US"/>
        </w:rPr>
        <w:t>Schoo</w:t>
      </w:r>
      <w:r>
        <w:rPr>
          <w:szCs w:val="24"/>
          <w:shd w:val="clear" w:color="auto" w:fill="FFFFFF"/>
          <w:lang w:val="es-US"/>
        </w:rPr>
        <w:t>,</w:t>
      </w:r>
      <w:r w:rsidRPr="00A6382B">
        <w:rPr>
          <w:szCs w:val="24"/>
          <w:shd w:val="clear" w:color="auto" w:fill="FFFFFF"/>
          <w:lang w:val="es-US"/>
        </w:rPr>
        <w:t xml:space="preserve"> L</w:t>
      </w:r>
      <w:r>
        <w:rPr>
          <w:szCs w:val="24"/>
          <w:shd w:val="clear" w:color="auto" w:fill="FFFFFF"/>
          <w:lang w:val="es-US"/>
        </w:rPr>
        <w:t xml:space="preserve">. </w:t>
      </w:r>
      <w:r w:rsidRPr="00A6382B">
        <w:rPr>
          <w:szCs w:val="24"/>
          <w:shd w:val="clear" w:color="auto" w:fill="FFFFFF"/>
          <w:lang w:val="es-US"/>
        </w:rPr>
        <w:t>A</w:t>
      </w:r>
      <w:r>
        <w:rPr>
          <w:szCs w:val="24"/>
          <w:shd w:val="clear" w:color="auto" w:fill="FFFFFF"/>
          <w:lang w:val="es-US"/>
        </w:rPr>
        <w:t>.</w:t>
      </w:r>
      <w:r w:rsidRPr="00A6382B">
        <w:rPr>
          <w:szCs w:val="24"/>
          <w:shd w:val="clear" w:color="auto" w:fill="FFFFFF"/>
          <w:lang w:val="es-US"/>
        </w:rPr>
        <w:t xml:space="preserve">, van </w:t>
      </w:r>
      <w:proofErr w:type="spellStart"/>
      <w:r w:rsidRPr="00A6382B">
        <w:rPr>
          <w:szCs w:val="24"/>
          <w:shd w:val="clear" w:color="auto" w:fill="FFFFFF"/>
          <w:lang w:val="es-US"/>
        </w:rPr>
        <w:t>Zandvoort</w:t>
      </w:r>
      <w:proofErr w:type="spellEnd"/>
      <w:r>
        <w:rPr>
          <w:szCs w:val="24"/>
          <w:shd w:val="clear" w:color="auto" w:fill="FFFFFF"/>
          <w:lang w:val="es-US"/>
        </w:rPr>
        <w:t>,</w:t>
      </w:r>
      <w:r w:rsidRPr="00A6382B">
        <w:rPr>
          <w:szCs w:val="24"/>
          <w:shd w:val="clear" w:color="auto" w:fill="FFFFFF"/>
          <w:lang w:val="es-US"/>
        </w:rPr>
        <w:t xml:space="preserve"> M</w:t>
      </w:r>
      <w:r>
        <w:rPr>
          <w:szCs w:val="24"/>
          <w:shd w:val="clear" w:color="auto" w:fill="FFFFFF"/>
          <w:lang w:val="es-US"/>
        </w:rPr>
        <w:t xml:space="preserve">. </w:t>
      </w:r>
      <w:r w:rsidRPr="00A6382B">
        <w:rPr>
          <w:szCs w:val="24"/>
          <w:shd w:val="clear" w:color="auto" w:fill="FFFFFF"/>
          <w:lang w:val="es-US"/>
        </w:rPr>
        <w:t>J</w:t>
      </w:r>
      <w:r>
        <w:rPr>
          <w:szCs w:val="24"/>
          <w:shd w:val="clear" w:color="auto" w:fill="FFFFFF"/>
          <w:lang w:val="es-US"/>
        </w:rPr>
        <w:t>.</w:t>
      </w:r>
      <w:r w:rsidRPr="00A6382B">
        <w:rPr>
          <w:szCs w:val="24"/>
          <w:shd w:val="clear" w:color="auto" w:fill="FFFFFF"/>
          <w:lang w:val="es-US"/>
        </w:rPr>
        <w:t xml:space="preserve">, </w:t>
      </w:r>
      <w:proofErr w:type="spellStart"/>
      <w:r w:rsidRPr="00A6382B">
        <w:rPr>
          <w:szCs w:val="24"/>
          <w:shd w:val="clear" w:color="auto" w:fill="FFFFFF"/>
          <w:lang w:val="es-US"/>
        </w:rPr>
        <w:t>Biessels</w:t>
      </w:r>
      <w:proofErr w:type="spellEnd"/>
      <w:r>
        <w:rPr>
          <w:szCs w:val="24"/>
          <w:shd w:val="clear" w:color="auto" w:fill="FFFFFF"/>
          <w:lang w:val="es-US"/>
        </w:rPr>
        <w:t>,</w:t>
      </w:r>
      <w:r w:rsidRPr="00A6382B">
        <w:rPr>
          <w:szCs w:val="24"/>
          <w:shd w:val="clear" w:color="auto" w:fill="FFFFFF"/>
          <w:lang w:val="es-US"/>
        </w:rPr>
        <w:t xml:space="preserve"> G</w:t>
      </w:r>
      <w:r>
        <w:rPr>
          <w:szCs w:val="24"/>
          <w:shd w:val="clear" w:color="auto" w:fill="FFFFFF"/>
          <w:lang w:val="es-US"/>
        </w:rPr>
        <w:t xml:space="preserve">. </w:t>
      </w:r>
      <w:r w:rsidRPr="00A6382B">
        <w:rPr>
          <w:szCs w:val="24"/>
          <w:shd w:val="clear" w:color="auto" w:fill="FFFFFF"/>
          <w:lang w:val="es-US"/>
        </w:rPr>
        <w:t>J</w:t>
      </w:r>
      <w:r>
        <w:rPr>
          <w:szCs w:val="24"/>
          <w:shd w:val="clear" w:color="auto" w:fill="FFFFFF"/>
          <w:lang w:val="es-US"/>
        </w:rPr>
        <w:t>.</w:t>
      </w:r>
      <w:r w:rsidRPr="00A6382B">
        <w:rPr>
          <w:szCs w:val="24"/>
          <w:shd w:val="clear" w:color="auto" w:fill="FFFFFF"/>
          <w:lang w:val="es-US"/>
        </w:rPr>
        <w:t xml:space="preserve">, </w:t>
      </w:r>
      <w:proofErr w:type="spellStart"/>
      <w:r>
        <w:rPr>
          <w:szCs w:val="24"/>
          <w:shd w:val="clear" w:color="auto" w:fill="FFFFFF"/>
          <w:lang w:val="es-US"/>
        </w:rPr>
        <w:t>Jaap</w:t>
      </w:r>
      <w:proofErr w:type="spellEnd"/>
      <w:r>
        <w:rPr>
          <w:szCs w:val="24"/>
          <w:shd w:val="clear" w:color="auto" w:fill="FFFFFF"/>
          <w:lang w:val="es-US"/>
        </w:rPr>
        <w:t xml:space="preserve"> </w:t>
      </w:r>
      <w:proofErr w:type="spellStart"/>
      <w:r>
        <w:rPr>
          <w:szCs w:val="24"/>
          <w:shd w:val="clear" w:color="auto" w:fill="FFFFFF"/>
          <w:lang w:val="es-US"/>
        </w:rPr>
        <w:t>Kappelle</w:t>
      </w:r>
      <w:proofErr w:type="spellEnd"/>
      <w:r>
        <w:rPr>
          <w:szCs w:val="24"/>
          <w:shd w:val="clear" w:color="auto" w:fill="FFFFFF"/>
          <w:lang w:val="es-US"/>
        </w:rPr>
        <w:t xml:space="preserve">, L., &amp; </w:t>
      </w:r>
      <w:proofErr w:type="spellStart"/>
      <w:r>
        <w:rPr>
          <w:szCs w:val="24"/>
          <w:shd w:val="clear" w:color="auto" w:fill="FFFFFF"/>
          <w:lang w:val="es-US"/>
        </w:rPr>
        <w:t>Postma</w:t>
      </w:r>
      <w:proofErr w:type="spellEnd"/>
      <w:r>
        <w:rPr>
          <w:szCs w:val="24"/>
          <w:shd w:val="clear" w:color="auto" w:fill="FFFFFF"/>
          <w:lang w:val="es-US"/>
        </w:rPr>
        <w:t>, A.</w:t>
      </w:r>
      <w:r w:rsidRPr="00A6382B">
        <w:rPr>
          <w:szCs w:val="24"/>
          <w:shd w:val="clear" w:color="auto" w:fill="FFFFFF"/>
          <w:lang w:val="es-US"/>
        </w:rPr>
        <w:t xml:space="preserve"> </w:t>
      </w:r>
      <w:r>
        <w:rPr>
          <w:szCs w:val="24"/>
          <w:shd w:val="clear" w:color="auto" w:fill="FFFFFF"/>
          <w:lang w:val="es-US"/>
        </w:rPr>
        <w:t xml:space="preserve">(2013). </w:t>
      </w:r>
      <w:r w:rsidRPr="00A6382B">
        <w:rPr>
          <w:szCs w:val="24"/>
          <w:shd w:val="clear" w:color="auto" w:fill="FFFFFF"/>
        </w:rPr>
        <w:t xml:space="preserve">Insight in cognition: </w:t>
      </w:r>
      <w:r>
        <w:rPr>
          <w:szCs w:val="24"/>
          <w:shd w:val="clear" w:color="auto" w:fill="FFFFFF"/>
        </w:rPr>
        <w:t>S</w:t>
      </w:r>
      <w:r w:rsidRPr="00A6382B">
        <w:rPr>
          <w:szCs w:val="24"/>
          <w:shd w:val="clear" w:color="auto" w:fill="FFFFFF"/>
        </w:rPr>
        <w:t xml:space="preserve">elf-awareness of performance across cognitive domains. </w:t>
      </w:r>
      <w:r w:rsidRPr="00CA77FE">
        <w:rPr>
          <w:i/>
          <w:iCs/>
          <w:szCs w:val="24"/>
          <w:shd w:val="clear" w:color="auto" w:fill="FFFFFF"/>
        </w:rPr>
        <w:lastRenderedPageBreak/>
        <w:t>Applied Neuropsychology: Adult</w:t>
      </w:r>
      <w:r>
        <w:rPr>
          <w:szCs w:val="24"/>
          <w:shd w:val="clear" w:color="auto" w:fill="FFFFFF"/>
        </w:rPr>
        <w:t xml:space="preserve">, </w:t>
      </w:r>
      <w:r w:rsidRPr="00CA77FE">
        <w:rPr>
          <w:i/>
          <w:iCs/>
          <w:szCs w:val="24"/>
          <w:shd w:val="clear" w:color="auto" w:fill="FFFFFF"/>
        </w:rPr>
        <w:t>20</w:t>
      </w:r>
      <w:r>
        <w:rPr>
          <w:szCs w:val="24"/>
          <w:shd w:val="clear" w:color="auto" w:fill="FFFFFF"/>
        </w:rPr>
        <w:t xml:space="preserve">, </w:t>
      </w:r>
      <w:r w:rsidRPr="00A6382B">
        <w:rPr>
          <w:szCs w:val="24"/>
          <w:shd w:val="clear" w:color="auto" w:fill="FFFFFF"/>
        </w:rPr>
        <w:t>95–102.</w:t>
      </w:r>
      <w:r w:rsidRPr="002D4F1B">
        <w:t xml:space="preserve"> </w:t>
      </w:r>
      <w:r w:rsidRPr="002D4F1B">
        <w:rPr>
          <w:szCs w:val="24"/>
          <w:shd w:val="clear" w:color="auto" w:fill="FFFFFF"/>
        </w:rPr>
        <w:t>https://doi.org/10.1080/09084282.2012.670144</w:t>
      </w:r>
    </w:p>
    <w:p w14:paraId="0FA80321" w14:textId="11C982A9" w:rsidR="00CA77FE" w:rsidRPr="00F9248C" w:rsidRDefault="00CA77FE">
      <w:pPr>
        <w:pStyle w:val="Bibliography"/>
        <w:rPr>
          <w:shd w:val="clear" w:color="auto" w:fill="FFFFFF"/>
        </w:rPr>
      </w:pPr>
      <w:r w:rsidRPr="00F9248C">
        <w:rPr>
          <w:shd w:val="clear" w:color="auto" w:fill="FFFFFF"/>
        </w:rPr>
        <w:t>Sebastian</w:t>
      </w:r>
      <w:r>
        <w:rPr>
          <w:szCs w:val="24"/>
          <w:shd w:val="clear" w:color="auto" w:fill="FFFFFF"/>
        </w:rPr>
        <w:t>,</w:t>
      </w:r>
      <w:r w:rsidRPr="00F9248C">
        <w:rPr>
          <w:shd w:val="clear" w:color="auto" w:fill="FFFFFF"/>
        </w:rPr>
        <w:t xml:space="preserve"> C</w:t>
      </w:r>
      <w:r>
        <w:rPr>
          <w:szCs w:val="24"/>
          <w:shd w:val="clear" w:color="auto" w:fill="FFFFFF"/>
        </w:rPr>
        <w:t>.</w:t>
      </w:r>
      <w:r w:rsidRPr="002D1C6F">
        <w:rPr>
          <w:szCs w:val="24"/>
          <w:shd w:val="clear" w:color="auto" w:fill="FFFFFF"/>
        </w:rPr>
        <w:t>,</w:t>
      </w:r>
      <w:r w:rsidRPr="00F9248C">
        <w:rPr>
          <w:shd w:val="clear" w:color="auto" w:fill="FFFFFF"/>
        </w:rPr>
        <w:t xml:space="preserve"> Burnett</w:t>
      </w:r>
      <w:r>
        <w:rPr>
          <w:szCs w:val="24"/>
          <w:shd w:val="clear" w:color="auto" w:fill="FFFFFF"/>
        </w:rPr>
        <w:t>,</w:t>
      </w:r>
      <w:r w:rsidRPr="00F9248C">
        <w:rPr>
          <w:shd w:val="clear" w:color="auto" w:fill="FFFFFF"/>
        </w:rPr>
        <w:t xml:space="preserve"> S</w:t>
      </w:r>
      <w:r>
        <w:rPr>
          <w:szCs w:val="24"/>
          <w:shd w:val="clear" w:color="auto" w:fill="FFFFFF"/>
        </w:rPr>
        <w:t>.</w:t>
      </w:r>
      <w:r w:rsidRPr="002D1C6F">
        <w:rPr>
          <w:szCs w:val="24"/>
          <w:shd w:val="clear" w:color="auto" w:fill="FFFFFF"/>
        </w:rPr>
        <w:t xml:space="preserve">, </w:t>
      </w:r>
      <w:r>
        <w:rPr>
          <w:szCs w:val="24"/>
          <w:shd w:val="clear" w:color="auto" w:fill="FFFFFF"/>
        </w:rPr>
        <w:t>&amp;</w:t>
      </w:r>
      <w:r w:rsidRPr="00F9248C">
        <w:rPr>
          <w:shd w:val="clear" w:color="auto" w:fill="FFFFFF"/>
        </w:rPr>
        <w:t xml:space="preserve"> Blakemore</w:t>
      </w:r>
      <w:r>
        <w:rPr>
          <w:szCs w:val="24"/>
          <w:shd w:val="clear" w:color="auto" w:fill="FFFFFF"/>
        </w:rPr>
        <w:t>,</w:t>
      </w:r>
      <w:r w:rsidRPr="002D1C6F">
        <w:rPr>
          <w:szCs w:val="24"/>
          <w:shd w:val="clear" w:color="auto" w:fill="FFFFFF"/>
        </w:rPr>
        <w:t xml:space="preserve"> S</w:t>
      </w:r>
      <w:r>
        <w:rPr>
          <w:szCs w:val="24"/>
          <w:shd w:val="clear" w:color="auto" w:fill="FFFFFF"/>
        </w:rPr>
        <w:t xml:space="preserve">. </w:t>
      </w:r>
      <w:r w:rsidRPr="002D1C6F">
        <w:rPr>
          <w:szCs w:val="24"/>
          <w:shd w:val="clear" w:color="auto" w:fill="FFFFFF"/>
        </w:rPr>
        <w:t xml:space="preserve">J. </w:t>
      </w:r>
      <w:r>
        <w:rPr>
          <w:szCs w:val="24"/>
          <w:shd w:val="clear" w:color="auto" w:fill="FFFFFF"/>
        </w:rPr>
        <w:t>(2008).</w:t>
      </w:r>
      <w:r w:rsidRPr="00F9248C">
        <w:rPr>
          <w:shd w:val="clear" w:color="auto" w:fill="FFFFFF"/>
        </w:rPr>
        <w:t xml:space="preserve"> Development of the self-concept during adolescence.</w:t>
      </w:r>
      <w:r>
        <w:rPr>
          <w:szCs w:val="24"/>
          <w:shd w:val="clear" w:color="auto" w:fill="FFFFFF"/>
        </w:rPr>
        <w:t xml:space="preserve"> </w:t>
      </w:r>
      <w:r w:rsidRPr="00F9248C">
        <w:rPr>
          <w:i/>
          <w:shd w:val="clear" w:color="auto" w:fill="FFFFFF"/>
        </w:rPr>
        <w:t xml:space="preserve">Trends </w:t>
      </w:r>
      <w:r w:rsidRPr="00CA77FE">
        <w:rPr>
          <w:i/>
          <w:iCs/>
          <w:szCs w:val="24"/>
          <w:shd w:val="clear" w:color="auto" w:fill="FFFFFF"/>
        </w:rPr>
        <w:t>in Cognitive Science</w:t>
      </w:r>
      <w:r>
        <w:rPr>
          <w:szCs w:val="24"/>
          <w:shd w:val="clear" w:color="auto" w:fill="FFFFFF"/>
        </w:rPr>
        <w:t xml:space="preserve">, </w:t>
      </w:r>
      <w:r w:rsidRPr="00F9248C">
        <w:rPr>
          <w:i/>
          <w:shd w:val="clear" w:color="auto" w:fill="FFFFFF"/>
        </w:rPr>
        <w:t>12</w:t>
      </w:r>
      <w:r>
        <w:rPr>
          <w:szCs w:val="24"/>
          <w:shd w:val="clear" w:color="auto" w:fill="FFFFFF"/>
        </w:rPr>
        <w:t xml:space="preserve">, </w:t>
      </w:r>
      <w:r w:rsidRPr="00F9248C">
        <w:rPr>
          <w:shd w:val="clear" w:color="auto" w:fill="FFFFFF"/>
        </w:rPr>
        <w:t>441–446.</w:t>
      </w:r>
      <w:r w:rsidRPr="00832A2D">
        <w:t xml:space="preserve"> </w:t>
      </w:r>
      <w:r w:rsidRPr="00832A2D">
        <w:rPr>
          <w:szCs w:val="24"/>
          <w:shd w:val="clear" w:color="auto" w:fill="FFFFFF"/>
        </w:rPr>
        <w:t>https://doi.org/10.1016/j.tics.2008.07.008</w:t>
      </w:r>
    </w:p>
    <w:p w14:paraId="3B8CD198" w14:textId="77777777" w:rsidR="00CA77FE" w:rsidRPr="00706743" w:rsidRDefault="00CA77FE">
      <w:pPr>
        <w:pStyle w:val="Bibliography"/>
        <w:rPr>
          <w:szCs w:val="24"/>
          <w:shd w:val="clear" w:color="auto" w:fill="FFFFFF"/>
        </w:rPr>
      </w:pPr>
      <w:r w:rsidRPr="00706743">
        <w:rPr>
          <w:szCs w:val="24"/>
          <w:shd w:val="clear" w:color="auto" w:fill="FFFFFF"/>
        </w:rPr>
        <w:t>Silverstein</w:t>
      </w:r>
      <w:r>
        <w:rPr>
          <w:szCs w:val="24"/>
          <w:shd w:val="clear" w:color="auto" w:fill="FFFFFF"/>
        </w:rPr>
        <w:t>,</w:t>
      </w:r>
      <w:r w:rsidRPr="00706743">
        <w:rPr>
          <w:szCs w:val="24"/>
          <w:shd w:val="clear" w:color="auto" w:fill="FFFFFF"/>
        </w:rPr>
        <w:t xml:space="preserve"> S</w:t>
      </w:r>
      <w:r>
        <w:rPr>
          <w:szCs w:val="24"/>
          <w:shd w:val="clear" w:color="auto" w:fill="FFFFFF"/>
        </w:rPr>
        <w:t xml:space="preserve">. </w:t>
      </w:r>
      <w:r w:rsidRPr="00706743">
        <w:rPr>
          <w:szCs w:val="24"/>
          <w:shd w:val="clear" w:color="auto" w:fill="FFFFFF"/>
        </w:rPr>
        <w:t>M</w:t>
      </w:r>
      <w:r>
        <w:rPr>
          <w:szCs w:val="24"/>
          <w:shd w:val="clear" w:color="auto" w:fill="FFFFFF"/>
        </w:rPr>
        <w:t>.</w:t>
      </w:r>
      <w:r w:rsidRPr="00706743">
        <w:rPr>
          <w:szCs w:val="24"/>
          <w:shd w:val="clear" w:color="auto" w:fill="FFFFFF"/>
        </w:rPr>
        <w:t>, Berten</w:t>
      </w:r>
      <w:r>
        <w:rPr>
          <w:szCs w:val="24"/>
          <w:shd w:val="clear" w:color="auto" w:fill="FFFFFF"/>
        </w:rPr>
        <w:t>,</w:t>
      </w:r>
      <w:r w:rsidRPr="00706743">
        <w:rPr>
          <w:szCs w:val="24"/>
          <w:shd w:val="clear" w:color="auto" w:fill="FFFFFF"/>
        </w:rPr>
        <w:t xml:space="preserve"> S</w:t>
      </w:r>
      <w:r>
        <w:rPr>
          <w:szCs w:val="24"/>
          <w:shd w:val="clear" w:color="auto" w:fill="FFFFFF"/>
        </w:rPr>
        <w:t>.</w:t>
      </w:r>
      <w:r w:rsidRPr="00706743">
        <w:rPr>
          <w:szCs w:val="24"/>
          <w:shd w:val="clear" w:color="auto" w:fill="FFFFFF"/>
        </w:rPr>
        <w:t>, Olson</w:t>
      </w:r>
      <w:r>
        <w:rPr>
          <w:szCs w:val="24"/>
          <w:shd w:val="clear" w:color="auto" w:fill="FFFFFF"/>
        </w:rPr>
        <w:t>,</w:t>
      </w:r>
      <w:r w:rsidRPr="00706743">
        <w:rPr>
          <w:szCs w:val="24"/>
          <w:shd w:val="clear" w:color="auto" w:fill="FFFFFF"/>
        </w:rPr>
        <w:t xml:space="preserve"> P</w:t>
      </w:r>
      <w:r>
        <w:rPr>
          <w:szCs w:val="24"/>
          <w:shd w:val="clear" w:color="auto" w:fill="FFFFFF"/>
        </w:rPr>
        <w:t>.</w:t>
      </w:r>
      <w:r w:rsidRPr="00706743">
        <w:rPr>
          <w:szCs w:val="24"/>
          <w:shd w:val="clear" w:color="auto" w:fill="FFFFFF"/>
        </w:rPr>
        <w:t xml:space="preserve">, </w:t>
      </w:r>
      <w:r>
        <w:rPr>
          <w:szCs w:val="24"/>
          <w:shd w:val="clear" w:color="auto" w:fill="FFFFFF"/>
        </w:rPr>
        <w:t>Paul, R., Williams, L. M., Cooper, N., &amp; Gordon, E</w:t>
      </w:r>
      <w:r w:rsidRPr="00706743">
        <w:rPr>
          <w:szCs w:val="24"/>
          <w:shd w:val="clear" w:color="auto" w:fill="FFFFFF"/>
        </w:rPr>
        <w:t xml:space="preserve">. </w:t>
      </w:r>
      <w:r>
        <w:rPr>
          <w:szCs w:val="24"/>
          <w:shd w:val="clear" w:color="auto" w:fill="FFFFFF"/>
        </w:rPr>
        <w:t>(2007).</w:t>
      </w:r>
      <w:r w:rsidRPr="00F9248C">
        <w:rPr>
          <w:shd w:val="clear" w:color="auto" w:fill="FFFFFF"/>
        </w:rPr>
        <w:t xml:space="preserve"> Development and validation of a world-wide-web-based neurocognitive assessment battery: WebNeuro. </w:t>
      </w:r>
      <w:r w:rsidRPr="00CA77FE">
        <w:rPr>
          <w:i/>
          <w:iCs/>
          <w:szCs w:val="24"/>
          <w:shd w:val="clear" w:color="auto" w:fill="FFFFFF"/>
        </w:rPr>
        <w:t>Behavior Research Methods</w:t>
      </w:r>
      <w:r>
        <w:rPr>
          <w:szCs w:val="24"/>
          <w:shd w:val="clear" w:color="auto" w:fill="FFFFFF"/>
        </w:rPr>
        <w:t xml:space="preserve">, </w:t>
      </w:r>
      <w:r w:rsidRPr="00CA77FE">
        <w:rPr>
          <w:i/>
          <w:iCs/>
          <w:szCs w:val="24"/>
          <w:shd w:val="clear" w:color="auto" w:fill="FFFFFF"/>
        </w:rPr>
        <w:t>39</w:t>
      </w:r>
      <w:r>
        <w:rPr>
          <w:szCs w:val="24"/>
          <w:shd w:val="clear" w:color="auto" w:fill="FFFFFF"/>
        </w:rPr>
        <w:t xml:space="preserve">, </w:t>
      </w:r>
      <w:r w:rsidRPr="00706743">
        <w:rPr>
          <w:szCs w:val="24"/>
          <w:shd w:val="clear" w:color="auto" w:fill="FFFFFF"/>
        </w:rPr>
        <w:t xml:space="preserve">940–949. </w:t>
      </w:r>
      <w:r w:rsidRPr="002517CE">
        <w:rPr>
          <w:szCs w:val="24"/>
          <w:shd w:val="clear" w:color="auto" w:fill="FFFFFF"/>
        </w:rPr>
        <w:t>https://doi.org/10.3758/BF03192989</w:t>
      </w:r>
    </w:p>
    <w:p w14:paraId="24518E6F" w14:textId="77777777" w:rsidR="00CA77FE" w:rsidRPr="00260CDF" w:rsidRDefault="00CA77FE">
      <w:pPr>
        <w:pStyle w:val="Bibliography"/>
        <w:rPr>
          <w:szCs w:val="24"/>
          <w:shd w:val="clear" w:color="auto" w:fill="FFFFFF"/>
        </w:rPr>
      </w:pPr>
      <w:r w:rsidRPr="00260CDF">
        <w:rPr>
          <w:szCs w:val="24"/>
        </w:rPr>
        <w:t>Steinberg</w:t>
      </w:r>
      <w:r>
        <w:rPr>
          <w:szCs w:val="24"/>
        </w:rPr>
        <w:t>,</w:t>
      </w:r>
      <w:r w:rsidRPr="00260CDF">
        <w:rPr>
          <w:szCs w:val="24"/>
        </w:rPr>
        <w:t xml:space="preserve"> L. </w:t>
      </w:r>
      <w:r>
        <w:rPr>
          <w:szCs w:val="24"/>
        </w:rPr>
        <w:t xml:space="preserve">(2002). </w:t>
      </w:r>
      <w:r w:rsidRPr="00CA77FE">
        <w:rPr>
          <w:i/>
          <w:iCs/>
          <w:szCs w:val="24"/>
        </w:rPr>
        <w:t>Adolescence</w:t>
      </w:r>
      <w:r>
        <w:rPr>
          <w:szCs w:val="24"/>
        </w:rPr>
        <w:t xml:space="preserve"> (</w:t>
      </w:r>
      <w:r w:rsidRPr="00260CDF">
        <w:rPr>
          <w:szCs w:val="24"/>
        </w:rPr>
        <w:t>6th ed.</w:t>
      </w:r>
      <w:r>
        <w:rPr>
          <w:szCs w:val="24"/>
        </w:rPr>
        <w:t>).</w:t>
      </w:r>
      <w:r w:rsidRPr="00260CDF">
        <w:rPr>
          <w:szCs w:val="24"/>
        </w:rPr>
        <w:t xml:space="preserve"> McGraw Hill.</w:t>
      </w:r>
    </w:p>
    <w:p w14:paraId="67D20679" w14:textId="77777777" w:rsidR="00CA77FE" w:rsidRPr="00206ADB" w:rsidRDefault="00CA77FE">
      <w:pPr>
        <w:pStyle w:val="Bibliography"/>
      </w:pPr>
      <w:r w:rsidRPr="00206ADB">
        <w:rPr>
          <w:shd w:val="clear" w:color="auto" w:fill="FFFFFF"/>
          <w:lang w:val="es-US"/>
        </w:rPr>
        <w:t>Steward</w:t>
      </w:r>
      <w:r>
        <w:rPr>
          <w:shd w:val="clear" w:color="auto" w:fill="FFFFFF"/>
          <w:lang w:val="es-US"/>
        </w:rPr>
        <w:t>,</w:t>
      </w:r>
      <w:r w:rsidRPr="00206ADB">
        <w:rPr>
          <w:shd w:val="clear" w:color="auto" w:fill="FFFFFF"/>
          <w:lang w:val="es-US"/>
        </w:rPr>
        <w:t xml:space="preserve"> K</w:t>
      </w:r>
      <w:r>
        <w:rPr>
          <w:shd w:val="clear" w:color="auto" w:fill="FFFFFF"/>
          <w:lang w:val="es-US"/>
        </w:rPr>
        <w:t xml:space="preserve">. </w:t>
      </w:r>
      <w:r w:rsidRPr="00206ADB">
        <w:rPr>
          <w:shd w:val="clear" w:color="auto" w:fill="FFFFFF"/>
          <w:lang w:val="es-US"/>
        </w:rPr>
        <w:t>A</w:t>
      </w:r>
      <w:r>
        <w:rPr>
          <w:shd w:val="clear" w:color="auto" w:fill="FFFFFF"/>
          <w:lang w:val="es-US"/>
        </w:rPr>
        <w:t>.</w:t>
      </w:r>
      <w:r w:rsidRPr="00206ADB">
        <w:rPr>
          <w:shd w:val="clear" w:color="auto" w:fill="FFFFFF"/>
          <w:lang w:val="es-US"/>
        </w:rPr>
        <w:t>, Tan</w:t>
      </w:r>
      <w:r>
        <w:rPr>
          <w:shd w:val="clear" w:color="auto" w:fill="FFFFFF"/>
          <w:lang w:val="es-US"/>
        </w:rPr>
        <w:t>,</w:t>
      </w:r>
      <w:r w:rsidRPr="00206ADB">
        <w:rPr>
          <w:shd w:val="clear" w:color="auto" w:fill="FFFFFF"/>
          <w:lang w:val="es-US"/>
        </w:rPr>
        <w:t xml:space="preserve"> A</w:t>
      </w:r>
      <w:r>
        <w:rPr>
          <w:shd w:val="clear" w:color="auto" w:fill="FFFFFF"/>
          <w:lang w:val="es-US"/>
        </w:rPr>
        <w:t>.</w:t>
      </w:r>
      <w:r w:rsidRPr="00206ADB">
        <w:rPr>
          <w:shd w:val="clear" w:color="auto" w:fill="FFFFFF"/>
          <w:lang w:val="es-US"/>
        </w:rPr>
        <w:t>, Delgaty</w:t>
      </w:r>
      <w:r>
        <w:rPr>
          <w:shd w:val="clear" w:color="auto" w:fill="FFFFFF"/>
          <w:lang w:val="es-US"/>
        </w:rPr>
        <w:t>,</w:t>
      </w:r>
      <w:r w:rsidRPr="00206ADB">
        <w:rPr>
          <w:shd w:val="clear" w:color="auto" w:fill="FFFFFF"/>
          <w:lang w:val="es-US"/>
        </w:rPr>
        <w:t xml:space="preserve"> L</w:t>
      </w:r>
      <w:r>
        <w:rPr>
          <w:shd w:val="clear" w:color="auto" w:fill="FFFFFF"/>
          <w:lang w:val="es-US"/>
        </w:rPr>
        <w:t>.</w:t>
      </w:r>
      <w:r w:rsidRPr="00206ADB">
        <w:rPr>
          <w:shd w:val="clear" w:color="auto" w:fill="FFFFFF"/>
          <w:lang w:val="es-US"/>
        </w:rPr>
        <w:t xml:space="preserve">, </w:t>
      </w:r>
      <w:r>
        <w:rPr>
          <w:shd w:val="clear" w:color="auto" w:fill="FFFFFF"/>
          <w:lang w:val="es-US"/>
        </w:rPr>
        <w:t>Gonzales, M. M., &amp; Bunner, M</w:t>
      </w:r>
      <w:r w:rsidRPr="00206ADB">
        <w:rPr>
          <w:shd w:val="clear" w:color="auto" w:fill="FFFFFF"/>
          <w:lang w:val="es-US"/>
        </w:rPr>
        <w:t xml:space="preserve">. </w:t>
      </w:r>
      <w:r>
        <w:rPr>
          <w:shd w:val="clear" w:color="auto" w:fill="FFFFFF"/>
          <w:lang w:val="es-US"/>
        </w:rPr>
        <w:t xml:space="preserve">(2017). </w:t>
      </w:r>
      <w:r w:rsidRPr="00206ADB">
        <w:rPr>
          <w:shd w:val="clear" w:color="auto" w:fill="FFFFFF"/>
        </w:rPr>
        <w:t xml:space="preserve">Self-awareness of executive functioning deficits in adolescents with ADHD. </w:t>
      </w:r>
      <w:r w:rsidRPr="00CA77FE">
        <w:rPr>
          <w:i/>
          <w:iCs/>
          <w:shd w:val="clear" w:color="auto" w:fill="FFFFFF"/>
        </w:rPr>
        <w:t>Journal of Attention Disorders</w:t>
      </w:r>
      <w:r>
        <w:rPr>
          <w:shd w:val="clear" w:color="auto" w:fill="FFFFFF"/>
        </w:rPr>
        <w:t xml:space="preserve">, </w:t>
      </w:r>
      <w:r w:rsidRPr="00CA77FE">
        <w:rPr>
          <w:i/>
          <w:iCs/>
          <w:shd w:val="clear" w:color="auto" w:fill="FFFFFF"/>
        </w:rPr>
        <w:t>21</w:t>
      </w:r>
      <w:r>
        <w:rPr>
          <w:shd w:val="clear" w:color="auto" w:fill="FFFFFF"/>
        </w:rPr>
        <w:t xml:space="preserve">, </w:t>
      </w:r>
      <w:r w:rsidRPr="00206ADB">
        <w:rPr>
          <w:shd w:val="clear" w:color="auto" w:fill="FFFFFF"/>
        </w:rPr>
        <w:t xml:space="preserve">316–322. </w:t>
      </w:r>
      <w:r w:rsidRPr="00DA59F8">
        <w:rPr>
          <w:shd w:val="clear" w:color="auto" w:fill="FFFFFF"/>
        </w:rPr>
        <w:t>https://doi.org/10.1177%2F1087054714530782</w:t>
      </w:r>
    </w:p>
    <w:p w14:paraId="7F4F3B1A" w14:textId="77777777" w:rsidR="00CA77FE" w:rsidRDefault="00CA77FE">
      <w:pPr>
        <w:pStyle w:val="Bibliography"/>
        <w:rPr>
          <w:lang w:bidi="ar-SA"/>
        </w:rPr>
      </w:pPr>
      <w:r w:rsidRPr="00A6382B">
        <w:rPr>
          <w:rFonts w:eastAsia="Times New Roman"/>
          <w:lang w:bidi="ar-SA"/>
        </w:rPr>
        <w:t>Stuss</w:t>
      </w:r>
      <w:r>
        <w:rPr>
          <w:rFonts w:eastAsia="Times New Roman"/>
          <w:lang w:bidi="ar-SA"/>
        </w:rPr>
        <w:t>,</w:t>
      </w:r>
      <w:r w:rsidRPr="00A6382B">
        <w:rPr>
          <w:rFonts w:eastAsia="Times New Roman"/>
          <w:lang w:bidi="ar-SA"/>
        </w:rPr>
        <w:t xml:space="preserve"> D</w:t>
      </w:r>
      <w:r>
        <w:rPr>
          <w:rFonts w:eastAsia="Times New Roman"/>
          <w:lang w:bidi="ar-SA"/>
        </w:rPr>
        <w:t xml:space="preserve">. </w:t>
      </w:r>
      <w:r w:rsidRPr="00A6382B">
        <w:rPr>
          <w:rFonts w:eastAsia="Times New Roman"/>
          <w:lang w:bidi="ar-SA"/>
        </w:rPr>
        <w:t xml:space="preserve">T. </w:t>
      </w:r>
      <w:r>
        <w:rPr>
          <w:rFonts w:eastAsia="Times New Roman"/>
          <w:lang w:bidi="ar-SA"/>
        </w:rPr>
        <w:t xml:space="preserve">(1991). </w:t>
      </w:r>
      <w:r w:rsidRPr="00A6382B">
        <w:rPr>
          <w:rFonts w:eastAsia="Times New Roman"/>
          <w:lang w:bidi="ar-SA"/>
        </w:rPr>
        <w:t xml:space="preserve">Self, awareness, and the frontal lobes: </w:t>
      </w:r>
      <w:r>
        <w:rPr>
          <w:rFonts w:eastAsia="Times New Roman"/>
          <w:lang w:bidi="ar-SA"/>
        </w:rPr>
        <w:t>A</w:t>
      </w:r>
      <w:r w:rsidRPr="00A6382B">
        <w:rPr>
          <w:rFonts w:eastAsia="Times New Roman"/>
          <w:lang w:bidi="ar-SA"/>
        </w:rPr>
        <w:t xml:space="preserve"> neuropsychological perspective. </w:t>
      </w:r>
      <w:r w:rsidRPr="00A6382B">
        <w:rPr>
          <w:lang w:bidi="ar-SA"/>
        </w:rPr>
        <w:t>In</w:t>
      </w:r>
      <w:r>
        <w:rPr>
          <w:lang w:bidi="ar-SA"/>
        </w:rPr>
        <w:t xml:space="preserve"> J.</w:t>
      </w:r>
      <w:r w:rsidRPr="00A6382B">
        <w:rPr>
          <w:lang w:bidi="ar-SA"/>
        </w:rPr>
        <w:t xml:space="preserve"> Strauss </w:t>
      </w:r>
      <w:r>
        <w:rPr>
          <w:lang w:bidi="ar-SA"/>
        </w:rPr>
        <w:t>&amp; G. R.</w:t>
      </w:r>
      <w:r w:rsidRPr="00A6382B">
        <w:rPr>
          <w:lang w:bidi="ar-SA"/>
        </w:rPr>
        <w:t xml:space="preserve"> Goethals </w:t>
      </w:r>
      <w:r>
        <w:rPr>
          <w:lang w:bidi="ar-SA"/>
        </w:rPr>
        <w:t>(Eds.),</w:t>
      </w:r>
      <w:r w:rsidRPr="00A6382B">
        <w:rPr>
          <w:lang w:bidi="ar-SA"/>
        </w:rPr>
        <w:t xml:space="preserve"> </w:t>
      </w:r>
      <w:r w:rsidRPr="00CA77FE">
        <w:rPr>
          <w:i/>
          <w:iCs/>
          <w:lang w:bidi="ar-SA"/>
        </w:rPr>
        <w:t>The self: Interdisciplinary approaches</w:t>
      </w:r>
      <w:r>
        <w:rPr>
          <w:lang w:bidi="ar-SA"/>
        </w:rPr>
        <w:t xml:space="preserve"> (p</w:t>
      </w:r>
      <w:r w:rsidRPr="00A6382B">
        <w:rPr>
          <w:lang w:bidi="ar-SA"/>
        </w:rPr>
        <w:t>p. 255–278</w:t>
      </w:r>
      <w:r>
        <w:rPr>
          <w:lang w:bidi="ar-SA"/>
        </w:rPr>
        <w:t>)</w:t>
      </w:r>
      <w:r w:rsidRPr="00A6382B">
        <w:rPr>
          <w:lang w:bidi="ar-SA"/>
        </w:rPr>
        <w:t>. Springer</w:t>
      </w:r>
      <w:r w:rsidRPr="00A6382B">
        <w:rPr>
          <w:rFonts w:eastAsia="Times New Roman"/>
          <w:lang w:bidi="ar-SA"/>
        </w:rPr>
        <w:t xml:space="preserve">. </w:t>
      </w:r>
    </w:p>
    <w:p w14:paraId="699586DD" w14:textId="77777777" w:rsidR="00CA77FE" w:rsidRDefault="00CA77FE">
      <w:pPr>
        <w:pStyle w:val="Bibliography"/>
        <w:rPr>
          <w:lang w:bidi="ar-SA"/>
        </w:rPr>
      </w:pPr>
      <w:r w:rsidRPr="002D1C6F">
        <w:rPr>
          <w:rFonts w:eastAsia="Times New Roman"/>
          <w:szCs w:val="24"/>
          <w:lang w:bidi="ar-SA"/>
        </w:rPr>
        <w:t>Toglia</w:t>
      </w:r>
      <w:r>
        <w:rPr>
          <w:rFonts w:eastAsia="Times New Roman"/>
          <w:szCs w:val="24"/>
          <w:lang w:bidi="ar-SA"/>
        </w:rPr>
        <w:t>,</w:t>
      </w:r>
      <w:r w:rsidRPr="002D1C6F">
        <w:rPr>
          <w:rFonts w:eastAsia="Times New Roman"/>
          <w:szCs w:val="24"/>
          <w:lang w:bidi="ar-SA"/>
        </w:rPr>
        <w:t xml:space="preserve"> J</w:t>
      </w:r>
      <w:r>
        <w:rPr>
          <w:rFonts w:eastAsia="Times New Roman"/>
          <w:szCs w:val="24"/>
          <w:lang w:bidi="ar-SA"/>
        </w:rPr>
        <w:t xml:space="preserve">. </w:t>
      </w:r>
      <w:r w:rsidRPr="002D1C6F">
        <w:rPr>
          <w:rFonts w:eastAsia="Times New Roman"/>
          <w:szCs w:val="24"/>
          <w:lang w:bidi="ar-SA"/>
        </w:rPr>
        <w:t xml:space="preserve">P. </w:t>
      </w:r>
      <w:r>
        <w:rPr>
          <w:rFonts w:eastAsia="Times New Roman"/>
          <w:szCs w:val="24"/>
          <w:lang w:bidi="ar-SA"/>
        </w:rPr>
        <w:t>(2011).</w:t>
      </w:r>
      <w:r w:rsidRPr="00F9248C">
        <w:t xml:space="preserve"> The dynamic interactional model of cognition in cognitive rehabilitation. </w:t>
      </w:r>
      <w:r w:rsidRPr="00FC30FE">
        <w:rPr>
          <w:rFonts w:eastAsia="Times New Roman"/>
          <w:szCs w:val="24"/>
          <w:lang w:bidi="ar-SA"/>
        </w:rPr>
        <w:t>In</w:t>
      </w:r>
      <w:r>
        <w:rPr>
          <w:rFonts w:eastAsia="Times New Roman"/>
          <w:szCs w:val="24"/>
          <w:lang w:bidi="ar-SA"/>
        </w:rPr>
        <w:t xml:space="preserve"> N.</w:t>
      </w:r>
      <w:r w:rsidRPr="00FC30FE">
        <w:rPr>
          <w:rFonts w:eastAsia="Times New Roman"/>
          <w:szCs w:val="24"/>
          <w:lang w:bidi="ar-SA"/>
        </w:rPr>
        <w:t xml:space="preserve"> Katz </w:t>
      </w:r>
      <w:r>
        <w:rPr>
          <w:rFonts w:eastAsia="Times New Roman"/>
          <w:szCs w:val="24"/>
          <w:lang w:bidi="ar-SA"/>
        </w:rPr>
        <w:t xml:space="preserve">(Ed.), </w:t>
      </w:r>
      <w:r w:rsidRPr="00FC30FE">
        <w:rPr>
          <w:rFonts w:eastAsia="Times New Roman"/>
          <w:szCs w:val="24"/>
          <w:lang w:bidi="ar-SA"/>
        </w:rPr>
        <w:t>C</w:t>
      </w:r>
      <w:r w:rsidRPr="00CA77FE">
        <w:rPr>
          <w:rFonts w:eastAsia="Times New Roman"/>
          <w:i/>
          <w:iCs/>
          <w:szCs w:val="24"/>
          <w:lang w:bidi="ar-SA"/>
        </w:rPr>
        <w:t xml:space="preserve">ognition, occupation, and participation across the life span: Neuroscience, </w:t>
      </w:r>
      <w:proofErr w:type="gramStart"/>
      <w:r w:rsidRPr="00CA77FE">
        <w:rPr>
          <w:rFonts w:eastAsia="Times New Roman"/>
          <w:i/>
          <w:iCs/>
          <w:szCs w:val="24"/>
          <w:lang w:bidi="ar-SA"/>
        </w:rPr>
        <w:t>neurorehabilitation</w:t>
      </w:r>
      <w:proofErr w:type="gramEnd"/>
      <w:r w:rsidRPr="00CA77FE">
        <w:rPr>
          <w:rFonts w:eastAsia="Times New Roman"/>
          <w:i/>
          <w:iCs/>
          <w:szCs w:val="24"/>
          <w:lang w:bidi="ar-SA"/>
        </w:rPr>
        <w:t xml:space="preserve"> and models for intervention in occupational therapy</w:t>
      </w:r>
      <w:r w:rsidRPr="00CA77FE">
        <w:rPr>
          <w:rFonts w:eastAsia="Times New Roman"/>
          <w:i/>
          <w:iCs/>
          <w:lang w:bidi="ar-SA"/>
        </w:rPr>
        <w:t xml:space="preserve"> </w:t>
      </w:r>
      <w:r>
        <w:rPr>
          <w:rFonts w:eastAsia="Times New Roman"/>
          <w:lang w:bidi="ar-SA"/>
        </w:rPr>
        <w:t>(p</w:t>
      </w:r>
      <w:r w:rsidRPr="00AF4686">
        <w:rPr>
          <w:rFonts w:eastAsia="Times New Roman"/>
          <w:lang w:bidi="ar-SA"/>
        </w:rPr>
        <w:t>p</w:t>
      </w:r>
      <w:r>
        <w:rPr>
          <w:rFonts w:eastAsia="Times New Roman"/>
          <w:lang w:bidi="ar-SA"/>
        </w:rPr>
        <w:t>.</w:t>
      </w:r>
      <w:r w:rsidRPr="00AF4686">
        <w:rPr>
          <w:rFonts w:eastAsia="Times New Roman"/>
          <w:lang w:bidi="ar-SA"/>
        </w:rPr>
        <w:t xml:space="preserve"> 161</w:t>
      </w:r>
      <w:r>
        <w:rPr>
          <w:rFonts w:eastAsia="Times New Roman"/>
          <w:lang w:bidi="ar-SA"/>
        </w:rPr>
        <w:t>–</w:t>
      </w:r>
      <w:r w:rsidRPr="00AF4686">
        <w:rPr>
          <w:rFonts w:eastAsia="Times New Roman"/>
          <w:lang w:bidi="ar-SA"/>
        </w:rPr>
        <w:t>202</w:t>
      </w:r>
      <w:r>
        <w:rPr>
          <w:rFonts w:eastAsia="Times New Roman"/>
          <w:lang w:bidi="ar-SA"/>
        </w:rPr>
        <w:t>)</w:t>
      </w:r>
      <w:r w:rsidRPr="00FC30FE">
        <w:rPr>
          <w:rFonts w:eastAsia="Times New Roman"/>
          <w:szCs w:val="24"/>
          <w:lang w:bidi="ar-SA"/>
        </w:rPr>
        <w:t xml:space="preserve">. AOTA </w:t>
      </w:r>
      <w:r w:rsidRPr="00AF4686">
        <w:rPr>
          <w:rFonts w:eastAsia="Times New Roman"/>
          <w:lang w:bidi="ar-SA"/>
        </w:rPr>
        <w:t>Press</w:t>
      </w:r>
      <w:r>
        <w:rPr>
          <w:rFonts w:eastAsia="Times New Roman"/>
          <w:lang w:bidi="ar-SA"/>
        </w:rPr>
        <w:t>.</w:t>
      </w:r>
    </w:p>
    <w:p w14:paraId="2863AB4C" w14:textId="77777777" w:rsidR="00CA77FE" w:rsidRDefault="00CA77FE">
      <w:pPr>
        <w:pStyle w:val="Bibliography"/>
        <w:rPr>
          <w:lang w:bidi="ar-SA"/>
        </w:rPr>
      </w:pPr>
      <w:r w:rsidRPr="00AF4686">
        <w:rPr>
          <w:shd w:val="clear" w:color="auto" w:fill="FFFFFF"/>
        </w:rPr>
        <w:t>Toglia</w:t>
      </w:r>
      <w:r>
        <w:rPr>
          <w:shd w:val="clear" w:color="auto" w:fill="FFFFFF"/>
        </w:rPr>
        <w:t>,</w:t>
      </w:r>
      <w:r w:rsidRPr="00AF4686">
        <w:rPr>
          <w:shd w:val="clear" w:color="auto" w:fill="FFFFFF"/>
        </w:rPr>
        <w:t xml:space="preserve"> J</w:t>
      </w:r>
      <w:r>
        <w:rPr>
          <w:shd w:val="clear" w:color="auto" w:fill="FFFFFF"/>
        </w:rPr>
        <w:t>. P</w:t>
      </w:r>
      <w:r w:rsidRPr="00AF4686">
        <w:rPr>
          <w:shd w:val="clear" w:color="auto" w:fill="FFFFFF"/>
        </w:rPr>
        <w:t>.</w:t>
      </w:r>
      <w:r>
        <w:rPr>
          <w:shd w:val="clear" w:color="auto" w:fill="FFFFFF"/>
        </w:rPr>
        <w:t xml:space="preserve"> (2015).</w:t>
      </w:r>
      <w:r w:rsidRPr="00AF4686">
        <w:rPr>
          <w:shd w:val="clear" w:color="auto" w:fill="FFFFFF"/>
        </w:rPr>
        <w:t xml:space="preserve"> </w:t>
      </w:r>
      <w:r w:rsidRPr="00CA77FE">
        <w:rPr>
          <w:i/>
          <w:iCs/>
          <w:shd w:val="clear" w:color="auto" w:fill="FFFFFF"/>
        </w:rPr>
        <w:t>Weekly Calendar Planning Activity (WCPA): A performance test of executive function.</w:t>
      </w:r>
      <w:r w:rsidRPr="00AF4686">
        <w:rPr>
          <w:shd w:val="clear" w:color="auto" w:fill="FFFFFF"/>
        </w:rPr>
        <w:t xml:space="preserve"> AOTA Press</w:t>
      </w:r>
      <w:r>
        <w:rPr>
          <w:shd w:val="clear" w:color="auto" w:fill="FFFFFF"/>
        </w:rPr>
        <w:t>.</w:t>
      </w:r>
    </w:p>
    <w:p w14:paraId="12AF4260" w14:textId="77777777" w:rsidR="00CA77FE" w:rsidRPr="00A6382B" w:rsidRDefault="00CA77FE">
      <w:pPr>
        <w:pStyle w:val="Bibliography"/>
        <w:rPr>
          <w:rFonts w:eastAsia="Times New Roman"/>
          <w:lang w:bidi="ar-SA"/>
        </w:rPr>
      </w:pPr>
      <w:r w:rsidRPr="00AF4686">
        <w:rPr>
          <w:rFonts w:eastAsia="Times New Roman"/>
          <w:lang w:bidi="ar-SA"/>
        </w:rPr>
        <w:t>Toglia</w:t>
      </w:r>
      <w:r>
        <w:rPr>
          <w:rFonts w:eastAsia="Times New Roman"/>
          <w:lang w:bidi="ar-SA"/>
        </w:rPr>
        <w:t xml:space="preserve">, </w:t>
      </w:r>
      <w:r w:rsidRPr="00AF4686">
        <w:rPr>
          <w:rFonts w:eastAsia="Times New Roman"/>
          <w:lang w:bidi="ar-SA"/>
        </w:rPr>
        <w:t>J</w:t>
      </w:r>
      <w:r>
        <w:rPr>
          <w:rFonts w:eastAsia="Times New Roman"/>
          <w:lang w:bidi="ar-SA"/>
        </w:rPr>
        <w:t xml:space="preserve">. </w:t>
      </w:r>
      <w:r w:rsidRPr="00AF4686">
        <w:rPr>
          <w:rFonts w:eastAsia="Times New Roman"/>
          <w:lang w:bidi="ar-SA"/>
        </w:rPr>
        <w:t>P</w:t>
      </w:r>
      <w:r>
        <w:rPr>
          <w:rFonts w:eastAsia="Times New Roman"/>
          <w:lang w:bidi="ar-SA"/>
        </w:rPr>
        <w:t xml:space="preserve">. (2018). </w:t>
      </w:r>
      <w:r w:rsidRPr="00AF4686">
        <w:rPr>
          <w:rFonts w:eastAsia="Times New Roman"/>
          <w:lang w:bidi="ar-SA"/>
        </w:rPr>
        <w:t>The dynamic interactional model of cognition in cognitive rehabilitation. In</w:t>
      </w:r>
      <w:r>
        <w:rPr>
          <w:rFonts w:eastAsia="Times New Roman"/>
          <w:lang w:bidi="ar-SA"/>
        </w:rPr>
        <w:t xml:space="preserve"> N.</w:t>
      </w:r>
      <w:r w:rsidRPr="00AF4686">
        <w:rPr>
          <w:rFonts w:eastAsia="Times New Roman"/>
          <w:lang w:bidi="ar-SA"/>
        </w:rPr>
        <w:t xml:space="preserve"> Katz </w:t>
      </w:r>
      <w:r>
        <w:rPr>
          <w:rFonts w:eastAsia="Times New Roman"/>
          <w:lang w:bidi="ar-SA"/>
        </w:rPr>
        <w:t xml:space="preserve">&amp; J. </w:t>
      </w:r>
      <w:r w:rsidRPr="00AF4686">
        <w:rPr>
          <w:rFonts w:eastAsia="Times New Roman"/>
          <w:lang w:bidi="ar-SA"/>
        </w:rPr>
        <w:t xml:space="preserve">Toglia </w:t>
      </w:r>
      <w:r>
        <w:rPr>
          <w:rFonts w:eastAsia="Times New Roman"/>
          <w:lang w:bidi="ar-SA"/>
        </w:rPr>
        <w:t xml:space="preserve">(Eds.), </w:t>
      </w:r>
      <w:r w:rsidRPr="00CA77FE">
        <w:rPr>
          <w:rFonts w:eastAsia="Times New Roman"/>
          <w:i/>
          <w:iCs/>
          <w:lang w:bidi="ar-SA"/>
        </w:rPr>
        <w:t xml:space="preserve">Cognition, occupation, and participation across the life </w:t>
      </w:r>
      <w:r w:rsidRPr="00CA77FE">
        <w:rPr>
          <w:rFonts w:eastAsia="Times New Roman"/>
          <w:i/>
          <w:iCs/>
          <w:lang w:bidi="ar-SA"/>
        </w:rPr>
        <w:lastRenderedPageBreak/>
        <w:t xml:space="preserve">span: Neuroscience, </w:t>
      </w:r>
      <w:proofErr w:type="gramStart"/>
      <w:r w:rsidRPr="00CA77FE">
        <w:rPr>
          <w:rFonts w:eastAsia="Times New Roman"/>
          <w:i/>
          <w:iCs/>
          <w:lang w:bidi="ar-SA"/>
        </w:rPr>
        <w:t>neurorehabilitation</w:t>
      </w:r>
      <w:proofErr w:type="gramEnd"/>
      <w:r w:rsidRPr="00CA77FE">
        <w:rPr>
          <w:rFonts w:eastAsia="Times New Roman"/>
          <w:i/>
          <w:iCs/>
          <w:lang w:bidi="ar-SA"/>
        </w:rPr>
        <w:t xml:space="preserve"> and models for intervention in occupational therapy</w:t>
      </w:r>
      <w:r w:rsidRPr="00C36E6E">
        <w:rPr>
          <w:rFonts w:eastAsia="Times New Roman"/>
          <w:lang w:bidi="ar-SA"/>
        </w:rPr>
        <w:t xml:space="preserve"> </w:t>
      </w:r>
      <w:r>
        <w:rPr>
          <w:rFonts w:eastAsia="Times New Roman"/>
          <w:lang w:bidi="ar-SA"/>
        </w:rPr>
        <w:t>(p</w:t>
      </w:r>
      <w:r w:rsidRPr="00AF4686">
        <w:rPr>
          <w:rFonts w:eastAsia="Times New Roman"/>
          <w:lang w:bidi="ar-SA"/>
        </w:rPr>
        <w:t>p. 355–387</w:t>
      </w:r>
      <w:r>
        <w:rPr>
          <w:rFonts w:eastAsia="Times New Roman"/>
          <w:lang w:bidi="ar-SA"/>
        </w:rPr>
        <w:t xml:space="preserve">). </w:t>
      </w:r>
      <w:r w:rsidRPr="00AF4686">
        <w:rPr>
          <w:rFonts w:eastAsia="Times New Roman"/>
          <w:lang w:bidi="ar-SA"/>
        </w:rPr>
        <w:t>AOTA Press.</w:t>
      </w:r>
    </w:p>
    <w:p w14:paraId="09D125DD" w14:textId="67719FCD" w:rsidR="00250220" w:rsidRPr="00A6382B" w:rsidRDefault="00250220">
      <w:pPr>
        <w:pStyle w:val="Bibliography"/>
        <w:rPr>
          <w:lang w:bidi="ar-SA"/>
        </w:rPr>
      </w:pPr>
      <w:r w:rsidRPr="00A6382B">
        <w:rPr>
          <w:rFonts w:eastAsia="Times New Roman"/>
          <w:lang w:bidi="ar-SA"/>
        </w:rPr>
        <w:t>Toglia</w:t>
      </w:r>
      <w:r>
        <w:rPr>
          <w:rFonts w:eastAsia="Times New Roman"/>
          <w:lang w:bidi="ar-SA"/>
        </w:rPr>
        <w:t>,</w:t>
      </w:r>
      <w:r w:rsidRPr="00A6382B">
        <w:rPr>
          <w:rFonts w:eastAsia="Times New Roman"/>
          <w:lang w:bidi="ar-SA"/>
        </w:rPr>
        <w:t xml:space="preserve"> J</w:t>
      </w:r>
      <w:r w:rsidR="00473122">
        <w:rPr>
          <w:rFonts w:eastAsia="Times New Roman"/>
          <w:lang w:bidi="ar-SA"/>
        </w:rPr>
        <w:t>.</w:t>
      </w:r>
      <w:r w:rsidRPr="00A6382B">
        <w:rPr>
          <w:rFonts w:eastAsia="Times New Roman"/>
          <w:lang w:bidi="ar-SA"/>
        </w:rPr>
        <w:t xml:space="preserve">, </w:t>
      </w:r>
      <w:r>
        <w:rPr>
          <w:rFonts w:eastAsia="Times New Roman"/>
          <w:lang w:bidi="ar-SA"/>
        </w:rPr>
        <w:t xml:space="preserve">&amp; </w:t>
      </w:r>
      <w:r w:rsidRPr="00A6382B">
        <w:rPr>
          <w:rFonts w:eastAsia="Times New Roman"/>
          <w:lang w:bidi="ar-SA"/>
        </w:rPr>
        <w:t>Kirk</w:t>
      </w:r>
      <w:r>
        <w:rPr>
          <w:rFonts w:eastAsia="Times New Roman"/>
          <w:lang w:bidi="ar-SA"/>
        </w:rPr>
        <w:t>,</w:t>
      </w:r>
      <w:r w:rsidRPr="00A6382B">
        <w:rPr>
          <w:rFonts w:eastAsia="Times New Roman"/>
          <w:lang w:bidi="ar-SA"/>
        </w:rPr>
        <w:t xml:space="preserve"> U. </w:t>
      </w:r>
      <w:r>
        <w:rPr>
          <w:rFonts w:eastAsia="Times New Roman"/>
          <w:lang w:bidi="ar-SA"/>
        </w:rPr>
        <w:t xml:space="preserve">(2000). </w:t>
      </w:r>
      <w:r w:rsidRPr="00A6382B">
        <w:rPr>
          <w:rFonts w:eastAsia="Times New Roman"/>
          <w:lang w:bidi="ar-SA"/>
        </w:rPr>
        <w:t xml:space="preserve">Understanding awareness deficits following brain </w:t>
      </w:r>
      <w:r w:rsidRPr="00A6382B">
        <w:rPr>
          <w:lang w:bidi="ar-SA"/>
        </w:rPr>
        <w:t xml:space="preserve">injury. </w:t>
      </w:r>
      <w:proofErr w:type="spellStart"/>
      <w:r w:rsidRPr="00CA77FE">
        <w:rPr>
          <w:i/>
          <w:iCs/>
          <w:lang w:bidi="ar-SA"/>
        </w:rPr>
        <w:t>NeuroRehabilitation</w:t>
      </w:r>
      <w:proofErr w:type="spellEnd"/>
      <w:r>
        <w:rPr>
          <w:lang w:bidi="ar-SA"/>
        </w:rPr>
        <w:t xml:space="preserve">, </w:t>
      </w:r>
      <w:r w:rsidRPr="00CA77FE">
        <w:rPr>
          <w:i/>
          <w:iCs/>
          <w:lang w:bidi="ar-SA"/>
        </w:rPr>
        <w:t>15</w:t>
      </w:r>
      <w:r>
        <w:rPr>
          <w:lang w:bidi="ar-SA"/>
        </w:rPr>
        <w:t xml:space="preserve">, </w:t>
      </w:r>
      <w:r w:rsidRPr="00A6382B">
        <w:rPr>
          <w:lang w:bidi="ar-SA"/>
        </w:rPr>
        <w:t>57–70.</w:t>
      </w:r>
    </w:p>
    <w:p w14:paraId="68922674" w14:textId="77777777" w:rsidR="00CA77FE" w:rsidRPr="003D1801" w:rsidRDefault="00CA77FE">
      <w:pPr>
        <w:pStyle w:val="Bibliography"/>
        <w:rPr>
          <w:szCs w:val="24"/>
        </w:rPr>
      </w:pPr>
      <w:r w:rsidRPr="003D1801">
        <w:rPr>
          <w:rFonts w:eastAsia="Times New Roman"/>
          <w:szCs w:val="24"/>
          <w:lang w:bidi="ar-SA"/>
        </w:rPr>
        <w:t>Toglia</w:t>
      </w:r>
      <w:r>
        <w:rPr>
          <w:rFonts w:eastAsia="Times New Roman"/>
          <w:szCs w:val="24"/>
          <w:lang w:bidi="ar-SA"/>
        </w:rPr>
        <w:t>,</w:t>
      </w:r>
      <w:r w:rsidRPr="003D1801">
        <w:rPr>
          <w:rFonts w:eastAsia="Times New Roman"/>
          <w:szCs w:val="24"/>
          <w:lang w:bidi="ar-SA"/>
        </w:rPr>
        <w:t xml:space="preserve"> J</w:t>
      </w:r>
      <w:r>
        <w:rPr>
          <w:rFonts w:eastAsia="Times New Roman"/>
          <w:szCs w:val="24"/>
          <w:lang w:bidi="ar-SA"/>
        </w:rPr>
        <w:t>.</w:t>
      </w:r>
      <w:r w:rsidRPr="003D1801">
        <w:rPr>
          <w:rFonts w:eastAsia="Times New Roman"/>
          <w:szCs w:val="24"/>
          <w:lang w:bidi="ar-SA"/>
        </w:rPr>
        <w:t xml:space="preserve">, </w:t>
      </w:r>
      <w:r>
        <w:rPr>
          <w:rFonts w:eastAsia="Times New Roman"/>
          <w:szCs w:val="24"/>
          <w:lang w:bidi="ar-SA"/>
        </w:rPr>
        <w:t xml:space="preserve">&amp; </w:t>
      </w:r>
      <w:r w:rsidRPr="003D1801">
        <w:rPr>
          <w:rFonts w:eastAsia="Times New Roman"/>
          <w:szCs w:val="24"/>
          <w:lang w:bidi="ar-SA"/>
        </w:rPr>
        <w:t>Maeir</w:t>
      </w:r>
      <w:r>
        <w:rPr>
          <w:rFonts w:eastAsia="Times New Roman"/>
          <w:szCs w:val="24"/>
          <w:lang w:bidi="ar-SA"/>
        </w:rPr>
        <w:t>,</w:t>
      </w:r>
      <w:r w:rsidRPr="003D1801">
        <w:rPr>
          <w:rFonts w:eastAsia="Times New Roman"/>
          <w:szCs w:val="24"/>
          <w:lang w:bidi="ar-SA"/>
        </w:rPr>
        <w:t xml:space="preserve"> A. </w:t>
      </w:r>
      <w:r>
        <w:rPr>
          <w:rFonts w:eastAsia="Times New Roman"/>
          <w:szCs w:val="24"/>
          <w:lang w:bidi="ar-SA"/>
        </w:rPr>
        <w:t xml:space="preserve">(2018). </w:t>
      </w:r>
      <w:r w:rsidRPr="003D1801">
        <w:rPr>
          <w:rFonts w:eastAsia="Times New Roman"/>
          <w:szCs w:val="24"/>
          <w:lang w:bidi="ar-SA"/>
        </w:rPr>
        <w:t xml:space="preserve">Self-awareness and metacognition: </w:t>
      </w:r>
      <w:r>
        <w:rPr>
          <w:rFonts w:eastAsia="Times New Roman"/>
          <w:szCs w:val="24"/>
          <w:lang w:bidi="ar-SA"/>
        </w:rPr>
        <w:t>E</w:t>
      </w:r>
      <w:r w:rsidRPr="003D1801">
        <w:rPr>
          <w:rFonts w:eastAsia="Times New Roman"/>
          <w:szCs w:val="24"/>
          <w:lang w:bidi="ar-SA"/>
        </w:rPr>
        <w:t>ffect on occupational performance and outcome across the lifespan. In</w:t>
      </w:r>
      <w:r>
        <w:rPr>
          <w:rFonts w:eastAsia="Times New Roman"/>
          <w:szCs w:val="24"/>
          <w:lang w:bidi="ar-SA"/>
        </w:rPr>
        <w:t xml:space="preserve"> N.</w:t>
      </w:r>
      <w:r w:rsidRPr="003D1801">
        <w:rPr>
          <w:rFonts w:eastAsia="Times New Roman"/>
          <w:szCs w:val="24"/>
          <w:lang w:bidi="ar-SA"/>
        </w:rPr>
        <w:t xml:space="preserve"> Katz </w:t>
      </w:r>
      <w:r>
        <w:rPr>
          <w:rFonts w:eastAsia="Times New Roman"/>
          <w:szCs w:val="24"/>
          <w:lang w:bidi="ar-SA"/>
        </w:rPr>
        <w:t>&amp; J.</w:t>
      </w:r>
      <w:r w:rsidRPr="003D1801">
        <w:rPr>
          <w:rFonts w:eastAsia="Times New Roman"/>
          <w:szCs w:val="24"/>
          <w:lang w:bidi="ar-SA"/>
        </w:rPr>
        <w:t xml:space="preserve"> Toglia </w:t>
      </w:r>
      <w:r>
        <w:rPr>
          <w:rFonts w:eastAsia="Times New Roman"/>
          <w:szCs w:val="24"/>
          <w:lang w:bidi="ar-SA"/>
        </w:rPr>
        <w:t>(Eds.),</w:t>
      </w:r>
      <w:r w:rsidRPr="003D1801">
        <w:rPr>
          <w:rFonts w:eastAsia="Times New Roman"/>
          <w:szCs w:val="24"/>
          <w:lang w:bidi="ar-SA"/>
        </w:rPr>
        <w:t xml:space="preserve"> </w:t>
      </w:r>
      <w:r w:rsidRPr="00CA77FE">
        <w:rPr>
          <w:rFonts w:eastAsia="Times New Roman"/>
          <w:i/>
          <w:iCs/>
          <w:szCs w:val="24"/>
          <w:lang w:bidi="ar-SA"/>
        </w:rPr>
        <w:t>Cognition, occupation, and participation across the life span: Neuroscience, neurorehabilitation, and models for intervention in occupational therapy</w:t>
      </w:r>
      <w:r>
        <w:rPr>
          <w:rFonts w:eastAsia="Times New Roman"/>
          <w:szCs w:val="24"/>
          <w:lang w:bidi="ar-SA"/>
        </w:rPr>
        <w:t xml:space="preserve"> (pp. 143–164)</w:t>
      </w:r>
      <w:r w:rsidRPr="003D1801">
        <w:rPr>
          <w:rFonts w:eastAsia="Times New Roman"/>
          <w:szCs w:val="24"/>
          <w:lang w:bidi="ar-SA"/>
        </w:rPr>
        <w:t>. AOTA Press.</w:t>
      </w:r>
    </w:p>
    <w:p w14:paraId="49DA1837" w14:textId="77777777" w:rsidR="00CA77FE" w:rsidRPr="002D1C6F" w:rsidRDefault="00CA77FE">
      <w:pPr>
        <w:pStyle w:val="Bibliography"/>
        <w:rPr>
          <w:szCs w:val="24"/>
        </w:rPr>
      </w:pPr>
      <w:r w:rsidRPr="002D1C6F">
        <w:rPr>
          <w:szCs w:val="24"/>
        </w:rPr>
        <w:t>Toussaint-Thorin</w:t>
      </w:r>
      <w:r>
        <w:rPr>
          <w:szCs w:val="24"/>
        </w:rPr>
        <w:t>,</w:t>
      </w:r>
      <w:r w:rsidRPr="002D1C6F">
        <w:rPr>
          <w:szCs w:val="24"/>
        </w:rPr>
        <w:t xml:space="preserve"> M</w:t>
      </w:r>
      <w:r>
        <w:rPr>
          <w:szCs w:val="24"/>
        </w:rPr>
        <w:t>.</w:t>
      </w:r>
      <w:r w:rsidRPr="002D1C6F">
        <w:rPr>
          <w:szCs w:val="24"/>
        </w:rPr>
        <w:t>, Marchal</w:t>
      </w:r>
      <w:r>
        <w:rPr>
          <w:szCs w:val="24"/>
        </w:rPr>
        <w:t>,</w:t>
      </w:r>
      <w:r w:rsidRPr="002D1C6F">
        <w:rPr>
          <w:szCs w:val="24"/>
        </w:rPr>
        <w:t xml:space="preserve"> F</w:t>
      </w:r>
      <w:r>
        <w:rPr>
          <w:szCs w:val="24"/>
        </w:rPr>
        <w:t>.</w:t>
      </w:r>
      <w:r w:rsidRPr="002D1C6F">
        <w:rPr>
          <w:szCs w:val="24"/>
        </w:rPr>
        <w:t>, Benkhaled</w:t>
      </w:r>
      <w:r>
        <w:rPr>
          <w:szCs w:val="24"/>
        </w:rPr>
        <w:t>,</w:t>
      </w:r>
      <w:r w:rsidRPr="002D1C6F">
        <w:rPr>
          <w:szCs w:val="24"/>
        </w:rPr>
        <w:t xml:space="preserve"> O</w:t>
      </w:r>
      <w:r>
        <w:rPr>
          <w:szCs w:val="24"/>
        </w:rPr>
        <w:t>.</w:t>
      </w:r>
      <w:r w:rsidRPr="002D1C6F">
        <w:rPr>
          <w:szCs w:val="24"/>
        </w:rPr>
        <w:t xml:space="preserve">, </w:t>
      </w:r>
      <w:r>
        <w:rPr>
          <w:szCs w:val="24"/>
        </w:rPr>
        <w:t>Pradat-Diehl, P., Boyer, F.-C., &amp; Chevignard, M</w:t>
      </w:r>
      <w:r w:rsidRPr="002D1C6F">
        <w:rPr>
          <w:szCs w:val="24"/>
        </w:rPr>
        <w:t xml:space="preserve">. </w:t>
      </w:r>
      <w:r>
        <w:rPr>
          <w:szCs w:val="24"/>
        </w:rPr>
        <w:t xml:space="preserve">(2013). </w:t>
      </w:r>
      <w:r w:rsidRPr="002D1C6F">
        <w:rPr>
          <w:szCs w:val="24"/>
        </w:rPr>
        <w:t xml:space="preserve">Executive functions of children with developmental dyspraxia: </w:t>
      </w:r>
      <w:r>
        <w:rPr>
          <w:szCs w:val="24"/>
        </w:rPr>
        <w:t>A</w:t>
      </w:r>
      <w:r w:rsidRPr="002D1C6F">
        <w:rPr>
          <w:szCs w:val="24"/>
        </w:rPr>
        <w:t xml:space="preserve">ssessment combining neuropsychological and ecological tests. </w:t>
      </w:r>
      <w:r w:rsidRPr="00CA77FE">
        <w:rPr>
          <w:i/>
          <w:iCs/>
          <w:szCs w:val="24"/>
        </w:rPr>
        <w:t>Annals of Physical and Rehabilitation Medicine</w:t>
      </w:r>
      <w:r>
        <w:rPr>
          <w:szCs w:val="24"/>
        </w:rPr>
        <w:t xml:space="preserve">, </w:t>
      </w:r>
      <w:r w:rsidRPr="00CA77FE">
        <w:rPr>
          <w:i/>
          <w:iCs/>
          <w:szCs w:val="24"/>
        </w:rPr>
        <w:t>56</w:t>
      </w:r>
      <w:r>
        <w:rPr>
          <w:szCs w:val="24"/>
        </w:rPr>
        <w:t xml:space="preserve">, </w:t>
      </w:r>
      <w:r w:rsidRPr="002D1C6F">
        <w:rPr>
          <w:szCs w:val="24"/>
        </w:rPr>
        <w:t xml:space="preserve">268–287. </w:t>
      </w:r>
      <w:r w:rsidRPr="00515A3C">
        <w:rPr>
          <w:szCs w:val="24"/>
        </w:rPr>
        <w:t>https://doi.org/10.1016/j.rehab.2013.02.006</w:t>
      </w:r>
    </w:p>
    <w:p w14:paraId="4EDFDB48" w14:textId="77777777" w:rsidR="00CA77FE" w:rsidRPr="00706743" w:rsidRDefault="00CA77FE">
      <w:pPr>
        <w:pStyle w:val="Bibliography"/>
        <w:rPr>
          <w:szCs w:val="24"/>
        </w:rPr>
      </w:pPr>
      <w:r w:rsidRPr="00706743">
        <w:rPr>
          <w:szCs w:val="24"/>
          <w:shd w:val="clear" w:color="auto" w:fill="FFFFFF"/>
        </w:rPr>
        <w:t>Wallisch</w:t>
      </w:r>
      <w:r>
        <w:rPr>
          <w:szCs w:val="24"/>
          <w:shd w:val="clear" w:color="auto" w:fill="FFFFFF"/>
        </w:rPr>
        <w:t>,</w:t>
      </w:r>
      <w:r w:rsidRPr="00706743">
        <w:rPr>
          <w:szCs w:val="24"/>
          <w:shd w:val="clear" w:color="auto" w:fill="FFFFFF"/>
        </w:rPr>
        <w:t xml:space="preserve"> A</w:t>
      </w:r>
      <w:r>
        <w:rPr>
          <w:szCs w:val="24"/>
          <w:shd w:val="clear" w:color="auto" w:fill="FFFFFF"/>
        </w:rPr>
        <w:t>.</w:t>
      </w:r>
      <w:r w:rsidRPr="00706743">
        <w:rPr>
          <w:szCs w:val="24"/>
          <w:shd w:val="clear" w:color="auto" w:fill="FFFFFF"/>
        </w:rPr>
        <w:t>, Little</w:t>
      </w:r>
      <w:r>
        <w:rPr>
          <w:szCs w:val="24"/>
          <w:shd w:val="clear" w:color="auto" w:fill="FFFFFF"/>
        </w:rPr>
        <w:t>,</w:t>
      </w:r>
      <w:r w:rsidRPr="00706743">
        <w:rPr>
          <w:szCs w:val="24"/>
          <w:shd w:val="clear" w:color="auto" w:fill="FFFFFF"/>
        </w:rPr>
        <w:t xml:space="preserve"> L</w:t>
      </w:r>
      <w:r>
        <w:rPr>
          <w:szCs w:val="24"/>
          <w:shd w:val="clear" w:color="auto" w:fill="FFFFFF"/>
        </w:rPr>
        <w:t xml:space="preserve">. </w:t>
      </w:r>
      <w:r w:rsidRPr="00706743">
        <w:rPr>
          <w:szCs w:val="24"/>
          <w:shd w:val="clear" w:color="auto" w:fill="FFFFFF"/>
        </w:rPr>
        <w:t>M</w:t>
      </w:r>
      <w:r>
        <w:rPr>
          <w:szCs w:val="24"/>
          <w:shd w:val="clear" w:color="auto" w:fill="FFFFFF"/>
        </w:rPr>
        <w:t>.</w:t>
      </w:r>
      <w:r w:rsidRPr="00706743">
        <w:rPr>
          <w:szCs w:val="24"/>
          <w:shd w:val="clear" w:color="auto" w:fill="FFFFFF"/>
        </w:rPr>
        <w:t>, Dean</w:t>
      </w:r>
      <w:r>
        <w:rPr>
          <w:szCs w:val="24"/>
          <w:shd w:val="clear" w:color="auto" w:fill="FFFFFF"/>
        </w:rPr>
        <w:t>,</w:t>
      </w:r>
      <w:r w:rsidRPr="00706743">
        <w:rPr>
          <w:szCs w:val="24"/>
          <w:shd w:val="clear" w:color="auto" w:fill="FFFFFF"/>
        </w:rPr>
        <w:t xml:space="preserve"> E</w:t>
      </w:r>
      <w:r>
        <w:rPr>
          <w:szCs w:val="24"/>
          <w:shd w:val="clear" w:color="auto" w:fill="FFFFFF"/>
        </w:rPr>
        <w:t>.</w:t>
      </w:r>
      <w:r w:rsidRPr="00706743">
        <w:rPr>
          <w:szCs w:val="24"/>
          <w:shd w:val="clear" w:color="auto" w:fill="FFFFFF"/>
        </w:rPr>
        <w:t>,</w:t>
      </w:r>
      <w:r>
        <w:rPr>
          <w:szCs w:val="24"/>
          <w:shd w:val="clear" w:color="auto" w:fill="FFFFFF"/>
        </w:rPr>
        <w:t xml:space="preserve"> &amp; Dunn, W.</w:t>
      </w:r>
      <w:r w:rsidRPr="00706743">
        <w:rPr>
          <w:szCs w:val="24"/>
          <w:shd w:val="clear" w:color="auto" w:fill="FFFFFF"/>
        </w:rPr>
        <w:t xml:space="preserve"> </w:t>
      </w:r>
      <w:r>
        <w:rPr>
          <w:szCs w:val="24"/>
          <w:shd w:val="clear" w:color="auto" w:fill="FFFFFF"/>
        </w:rPr>
        <w:t xml:space="preserve">(2018). </w:t>
      </w:r>
      <w:r w:rsidRPr="00706743">
        <w:rPr>
          <w:szCs w:val="24"/>
          <w:shd w:val="clear" w:color="auto" w:fill="FFFFFF"/>
        </w:rPr>
        <w:t xml:space="preserve">Executive function measures for children: </w:t>
      </w:r>
      <w:r>
        <w:rPr>
          <w:szCs w:val="24"/>
          <w:shd w:val="clear" w:color="auto" w:fill="FFFFFF"/>
        </w:rPr>
        <w:t>A</w:t>
      </w:r>
      <w:r w:rsidRPr="00706743">
        <w:rPr>
          <w:szCs w:val="24"/>
          <w:shd w:val="clear" w:color="auto" w:fill="FFFFFF"/>
        </w:rPr>
        <w:t xml:space="preserve"> scoping review of ecological validity.</w:t>
      </w:r>
      <w:r>
        <w:rPr>
          <w:szCs w:val="24"/>
          <w:shd w:val="clear" w:color="auto" w:fill="FFFFFF"/>
        </w:rPr>
        <w:t xml:space="preserve"> </w:t>
      </w:r>
      <w:r w:rsidRPr="00CA77FE">
        <w:rPr>
          <w:i/>
          <w:iCs/>
          <w:szCs w:val="24"/>
          <w:shd w:val="clear" w:color="auto" w:fill="FFFFFF"/>
        </w:rPr>
        <w:t>OTJR: Occupation, Participation and Health</w:t>
      </w:r>
      <w:r>
        <w:rPr>
          <w:szCs w:val="24"/>
          <w:shd w:val="clear" w:color="auto" w:fill="FFFFFF"/>
        </w:rPr>
        <w:t xml:space="preserve">, </w:t>
      </w:r>
      <w:r w:rsidRPr="00CA77FE">
        <w:rPr>
          <w:i/>
          <w:iCs/>
          <w:szCs w:val="24"/>
          <w:shd w:val="clear" w:color="auto" w:fill="FFFFFF"/>
        </w:rPr>
        <w:t>38</w:t>
      </w:r>
      <w:r>
        <w:rPr>
          <w:szCs w:val="24"/>
          <w:shd w:val="clear" w:color="auto" w:fill="FFFFFF"/>
        </w:rPr>
        <w:t xml:space="preserve">, </w:t>
      </w:r>
      <w:r w:rsidRPr="00706743">
        <w:rPr>
          <w:szCs w:val="24"/>
          <w:shd w:val="clear" w:color="auto" w:fill="FFFFFF"/>
        </w:rPr>
        <w:t>6</w:t>
      </w:r>
      <w:r>
        <w:rPr>
          <w:szCs w:val="24"/>
          <w:shd w:val="clear" w:color="auto" w:fill="FFFFFF"/>
        </w:rPr>
        <w:t>–</w:t>
      </w:r>
      <w:r w:rsidRPr="00706743">
        <w:rPr>
          <w:szCs w:val="24"/>
          <w:shd w:val="clear" w:color="auto" w:fill="FFFFFF"/>
        </w:rPr>
        <w:t>14.</w:t>
      </w:r>
      <w:r w:rsidRPr="00706743">
        <w:rPr>
          <w:szCs w:val="24"/>
        </w:rPr>
        <w:t xml:space="preserve"> </w:t>
      </w:r>
      <w:r w:rsidRPr="00336A6E">
        <w:rPr>
          <w:szCs w:val="24"/>
        </w:rPr>
        <w:t>https://doi.org/10.1177%2F1539449217727118</w:t>
      </w:r>
    </w:p>
    <w:p w14:paraId="7CEC492C" w14:textId="77777777" w:rsidR="00CA77FE" w:rsidRPr="00FC30FE" w:rsidRDefault="00CA77FE">
      <w:pPr>
        <w:pStyle w:val="Bibliography"/>
        <w:rPr>
          <w:szCs w:val="24"/>
        </w:rPr>
      </w:pPr>
      <w:r w:rsidRPr="00145F10">
        <w:rPr>
          <w:szCs w:val="24"/>
        </w:rPr>
        <w:t>Wechsler</w:t>
      </w:r>
      <w:r>
        <w:rPr>
          <w:szCs w:val="24"/>
        </w:rPr>
        <w:t>,</w:t>
      </w:r>
      <w:r w:rsidRPr="00145F10">
        <w:rPr>
          <w:szCs w:val="24"/>
        </w:rPr>
        <w:t xml:space="preserve"> D. </w:t>
      </w:r>
      <w:r>
        <w:rPr>
          <w:szCs w:val="24"/>
        </w:rPr>
        <w:t>(1998).</w:t>
      </w:r>
      <w:r w:rsidRPr="00F9248C">
        <w:t xml:space="preserve"> </w:t>
      </w:r>
      <w:r w:rsidRPr="00F9248C">
        <w:rPr>
          <w:i/>
        </w:rPr>
        <w:t>Wechsler scale for intelligence: Hebrew version</w:t>
      </w:r>
      <w:r w:rsidRPr="00F9248C">
        <w:t>. Israeli Ministry of Education</w:t>
      </w:r>
      <w:r w:rsidRPr="00145F10">
        <w:rPr>
          <w:szCs w:val="24"/>
        </w:rPr>
        <w:t>.</w:t>
      </w:r>
    </w:p>
    <w:p w14:paraId="0FC00C08" w14:textId="296F70E8" w:rsidR="00CA77FE" w:rsidRPr="00F9248C" w:rsidRDefault="00CA77FE">
      <w:pPr>
        <w:pStyle w:val="Bibliography"/>
      </w:pPr>
      <w:r w:rsidRPr="00F9248C">
        <w:t>Weil</w:t>
      </w:r>
      <w:r>
        <w:rPr>
          <w:szCs w:val="24"/>
        </w:rPr>
        <w:t>,</w:t>
      </w:r>
      <w:r w:rsidRPr="002D1C6F">
        <w:rPr>
          <w:szCs w:val="24"/>
        </w:rPr>
        <w:t xml:space="preserve"> L</w:t>
      </w:r>
      <w:r>
        <w:rPr>
          <w:szCs w:val="24"/>
        </w:rPr>
        <w:t xml:space="preserve">. </w:t>
      </w:r>
      <w:r w:rsidRPr="002D1C6F">
        <w:rPr>
          <w:szCs w:val="24"/>
        </w:rPr>
        <w:t>G</w:t>
      </w:r>
      <w:r>
        <w:rPr>
          <w:szCs w:val="24"/>
        </w:rPr>
        <w:t>.</w:t>
      </w:r>
      <w:r w:rsidRPr="002D1C6F">
        <w:rPr>
          <w:szCs w:val="24"/>
        </w:rPr>
        <w:t>,</w:t>
      </w:r>
      <w:r w:rsidRPr="00F9248C">
        <w:t xml:space="preserve"> Fleming</w:t>
      </w:r>
      <w:r>
        <w:rPr>
          <w:szCs w:val="24"/>
        </w:rPr>
        <w:t>,</w:t>
      </w:r>
      <w:r w:rsidRPr="002D1C6F">
        <w:rPr>
          <w:szCs w:val="24"/>
        </w:rPr>
        <w:t xml:space="preserve"> S</w:t>
      </w:r>
      <w:r>
        <w:rPr>
          <w:szCs w:val="24"/>
        </w:rPr>
        <w:t xml:space="preserve">. </w:t>
      </w:r>
      <w:r w:rsidRPr="002D1C6F">
        <w:rPr>
          <w:szCs w:val="24"/>
        </w:rPr>
        <w:t>M</w:t>
      </w:r>
      <w:r>
        <w:rPr>
          <w:szCs w:val="24"/>
        </w:rPr>
        <w:t>.</w:t>
      </w:r>
      <w:r w:rsidRPr="002D1C6F">
        <w:rPr>
          <w:szCs w:val="24"/>
        </w:rPr>
        <w:t>,</w:t>
      </w:r>
      <w:r w:rsidRPr="00F9248C">
        <w:t xml:space="preserve"> </w:t>
      </w:r>
      <w:proofErr w:type="spellStart"/>
      <w:r w:rsidRPr="00F9248C">
        <w:t>Dumontheil</w:t>
      </w:r>
      <w:proofErr w:type="spellEnd"/>
      <w:r>
        <w:rPr>
          <w:szCs w:val="24"/>
        </w:rPr>
        <w:t>,</w:t>
      </w:r>
      <w:r w:rsidRPr="002D1C6F">
        <w:rPr>
          <w:szCs w:val="24"/>
        </w:rPr>
        <w:t xml:space="preserve"> I</w:t>
      </w:r>
      <w:r>
        <w:rPr>
          <w:szCs w:val="24"/>
        </w:rPr>
        <w:t>.</w:t>
      </w:r>
      <w:r w:rsidRPr="002D1C6F">
        <w:rPr>
          <w:szCs w:val="24"/>
        </w:rPr>
        <w:t xml:space="preserve">, </w:t>
      </w:r>
      <w:proofErr w:type="spellStart"/>
      <w:r>
        <w:rPr>
          <w:szCs w:val="24"/>
        </w:rPr>
        <w:t>Kilford</w:t>
      </w:r>
      <w:proofErr w:type="spellEnd"/>
      <w:r>
        <w:rPr>
          <w:szCs w:val="24"/>
        </w:rPr>
        <w:t>, E. J., Weil, R. S., Rees, G., Dolan, R. J., &amp; Blakemore, S.-J.</w:t>
      </w:r>
      <w:r w:rsidRPr="002D1C6F">
        <w:rPr>
          <w:szCs w:val="24"/>
        </w:rPr>
        <w:t xml:space="preserve"> </w:t>
      </w:r>
      <w:r>
        <w:rPr>
          <w:szCs w:val="24"/>
        </w:rPr>
        <w:t>(2013).</w:t>
      </w:r>
      <w:r w:rsidRPr="00F9248C">
        <w:t xml:space="preserve"> The development of metacognitive ability in adolescence.</w:t>
      </w:r>
      <w:r>
        <w:rPr>
          <w:szCs w:val="24"/>
        </w:rPr>
        <w:t xml:space="preserve"> </w:t>
      </w:r>
      <w:r w:rsidRPr="00CA77FE">
        <w:rPr>
          <w:i/>
          <w:iCs/>
          <w:szCs w:val="24"/>
        </w:rPr>
        <w:t>Consciousness and Cognition</w:t>
      </w:r>
      <w:r>
        <w:rPr>
          <w:szCs w:val="24"/>
        </w:rPr>
        <w:t xml:space="preserve">, </w:t>
      </w:r>
      <w:r w:rsidRPr="00F9248C">
        <w:rPr>
          <w:i/>
        </w:rPr>
        <w:t>22</w:t>
      </w:r>
      <w:r>
        <w:rPr>
          <w:szCs w:val="24"/>
        </w:rPr>
        <w:t xml:space="preserve">, </w:t>
      </w:r>
      <w:r w:rsidRPr="00F9248C">
        <w:t>264–271.</w:t>
      </w:r>
      <w:r w:rsidRPr="00040AEC">
        <w:t xml:space="preserve"> </w:t>
      </w:r>
      <w:r w:rsidRPr="00040AEC">
        <w:rPr>
          <w:szCs w:val="24"/>
        </w:rPr>
        <w:t>https://doi.org/10.1016/j.concog.2013.01.004</w:t>
      </w:r>
    </w:p>
    <w:p w14:paraId="559A49E0" w14:textId="5DA3603B" w:rsidR="00CA77FE" w:rsidRPr="002D1C6F" w:rsidRDefault="00CA77FE">
      <w:pPr>
        <w:pStyle w:val="Bibliography"/>
        <w:rPr>
          <w:szCs w:val="24"/>
        </w:rPr>
      </w:pPr>
      <w:r w:rsidRPr="002D1C6F">
        <w:rPr>
          <w:szCs w:val="24"/>
          <w:lang w:val="es-US"/>
        </w:rPr>
        <w:lastRenderedPageBreak/>
        <w:t>Wiener</w:t>
      </w:r>
      <w:r>
        <w:rPr>
          <w:szCs w:val="24"/>
          <w:lang w:val="es-US"/>
        </w:rPr>
        <w:t>,</w:t>
      </w:r>
      <w:r w:rsidRPr="002D1C6F">
        <w:rPr>
          <w:szCs w:val="24"/>
          <w:lang w:val="es-US"/>
        </w:rPr>
        <w:t xml:space="preserve"> J</w:t>
      </w:r>
      <w:r>
        <w:rPr>
          <w:szCs w:val="24"/>
          <w:lang w:val="es-US"/>
        </w:rPr>
        <w:t>.</w:t>
      </w:r>
      <w:r w:rsidRPr="002D1C6F">
        <w:rPr>
          <w:szCs w:val="24"/>
          <w:lang w:val="es-US"/>
        </w:rPr>
        <w:t>, Biondic</w:t>
      </w:r>
      <w:r>
        <w:rPr>
          <w:szCs w:val="24"/>
          <w:lang w:val="es-US"/>
        </w:rPr>
        <w:t>,</w:t>
      </w:r>
      <w:r w:rsidRPr="002D1C6F">
        <w:rPr>
          <w:szCs w:val="24"/>
          <w:lang w:val="es-US"/>
        </w:rPr>
        <w:t xml:space="preserve"> D</w:t>
      </w:r>
      <w:r>
        <w:rPr>
          <w:szCs w:val="24"/>
          <w:lang w:val="es-US"/>
        </w:rPr>
        <w:t>.</w:t>
      </w:r>
      <w:r w:rsidRPr="002D1C6F">
        <w:rPr>
          <w:szCs w:val="24"/>
          <w:lang w:val="es-US"/>
        </w:rPr>
        <w:t>, Grimbos</w:t>
      </w:r>
      <w:r>
        <w:rPr>
          <w:szCs w:val="24"/>
          <w:lang w:val="es-US"/>
        </w:rPr>
        <w:t>,</w:t>
      </w:r>
      <w:r w:rsidRPr="002D1C6F">
        <w:rPr>
          <w:szCs w:val="24"/>
          <w:lang w:val="es-US"/>
        </w:rPr>
        <w:t xml:space="preserve"> T</w:t>
      </w:r>
      <w:r w:rsidR="00C55ACB">
        <w:rPr>
          <w:szCs w:val="24"/>
          <w:lang w:val="es-US"/>
        </w:rPr>
        <w:t>.</w:t>
      </w:r>
      <w:r w:rsidRPr="002D1C6F">
        <w:rPr>
          <w:szCs w:val="24"/>
          <w:lang w:val="es-US"/>
        </w:rPr>
        <w:t xml:space="preserve">, </w:t>
      </w:r>
      <w:r>
        <w:rPr>
          <w:szCs w:val="24"/>
          <w:lang w:val="es-US"/>
        </w:rPr>
        <w:t>&amp; Herbert, M.</w:t>
      </w:r>
      <w:r w:rsidRPr="002D1C6F">
        <w:rPr>
          <w:szCs w:val="24"/>
          <w:lang w:val="es-US"/>
        </w:rPr>
        <w:t xml:space="preserve"> </w:t>
      </w:r>
      <w:r>
        <w:rPr>
          <w:szCs w:val="24"/>
          <w:lang w:val="es-US"/>
        </w:rPr>
        <w:t xml:space="preserve">(2016). </w:t>
      </w:r>
      <w:r w:rsidRPr="002D1C6F">
        <w:rPr>
          <w:szCs w:val="24"/>
        </w:rPr>
        <w:t>Parenting stress of parents of adolescents with attention-deficit hyperactivity disorder.</w:t>
      </w:r>
      <w:r>
        <w:rPr>
          <w:szCs w:val="24"/>
        </w:rPr>
        <w:t xml:space="preserve"> </w:t>
      </w:r>
      <w:r w:rsidRPr="00C55ACB">
        <w:rPr>
          <w:i/>
          <w:iCs/>
          <w:szCs w:val="24"/>
        </w:rPr>
        <w:t>J</w:t>
      </w:r>
      <w:r w:rsidRPr="00CA77FE">
        <w:rPr>
          <w:i/>
          <w:iCs/>
          <w:szCs w:val="24"/>
        </w:rPr>
        <w:t>ournal of Abnormal Child Psychology</w:t>
      </w:r>
      <w:r>
        <w:rPr>
          <w:szCs w:val="24"/>
        </w:rPr>
        <w:t xml:space="preserve">, </w:t>
      </w:r>
      <w:r w:rsidRPr="00CA77FE">
        <w:rPr>
          <w:i/>
          <w:iCs/>
          <w:szCs w:val="24"/>
        </w:rPr>
        <w:t>44</w:t>
      </w:r>
      <w:r>
        <w:rPr>
          <w:szCs w:val="24"/>
        </w:rPr>
        <w:t xml:space="preserve">, </w:t>
      </w:r>
      <w:r w:rsidRPr="002D1C6F">
        <w:rPr>
          <w:szCs w:val="24"/>
        </w:rPr>
        <w:t>561–574.</w:t>
      </w:r>
      <w:r w:rsidRPr="008E00A9">
        <w:t xml:space="preserve"> </w:t>
      </w:r>
      <w:r w:rsidRPr="008E00A9">
        <w:rPr>
          <w:szCs w:val="24"/>
        </w:rPr>
        <w:t>https://doi.org/10.1007/s10802-015-0050-7</w:t>
      </w:r>
    </w:p>
    <w:p w14:paraId="1B10EE58" w14:textId="77777777" w:rsidR="00CA77FE" w:rsidRPr="002D1C6F" w:rsidRDefault="00CA77FE">
      <w:pPr>
        <w:pStyle w:val="Bibliography"/>
        <w:rPr>
          <w:szCs w:val="24"/>
          <w:shd w:val="clear" w:color="auto" w:fill="FFFFFF"/>
        </w:rPr>
      </w:pPr>
      <w:r w:rsidRPr="002D1C6F">
        <w:rPr>
          <w:szCs w:val="24"/>
        </w:rPr>
        <w:t>Yotyodying</w:t>
      </w:r>
      <w:r>
        <w:rPr>
          <w:szCs w:val="24"/>
        </w:rPr>
        <w:t>,</w:t>
      </w:r>
      <w:r w:rsidRPr="002D1C6F">
        <w:rPr>
          <w:szCs w:val="24"/>
        </w:rPr>
        <w:t xml:space="preserve"> S</w:t>
      </w:r>
      <w:r>
        <w:rPr>
          <w:szCs w:val="24"/>
        </w:rPr>
        <w:t>.</w:t>
      </w:r>
      <w:r w:rsidRPr="002D1C6F">
        <w:rPr>
          <w:szCs w:val="24"/>
        </w:rPr>
        <w:t xml:space="preserve">, </w:t>
      </w:r>
      <w:r>
        <w:rPr>
          <w:szCs w:val="24"/>
        </w:rPr>
        <w:t>&amp;</w:t>
      </w:r>
      <w:r w:rsidRPr="002D1C6F">
        <w:rPr>
          <w:szCs w:val="24"/>
        </w:rPr>
        <w:t>Wild</w:t>
      </w:r>
      <w:r>
        <w:rPr>
          <w:szCs w:val="24"/>
        </w:rPr>
        <w:t>,</w:t>
      </w:r>
      <w:r w:rsidRPr="002D1C6F">
        <w:rPr>
          <w:szCs w:val="24"/>
        </w:rPr>
        <w:t xml:space="preserve"> E. </w:t>
      </w:r>
      <w:r>
        <w:rPr>
          <w:szCs w:val="24"/>
        </w:rPr>
        <w:t xml:space="preserve">(2016). </w:t>
      </w:r>
      <w:r w:rsidRPr="002D1C6F">
        <w:rPr>
          <w:szCs w:val="24"/>
        </w:rPr>
        <w:t xml:space="preserve">Predictors of the quantity and different qualities of home-based parental involvement: </w:t>
      </w:r>
      <w:r>
        <w:rPr>
          <w:szCs w:val="24"/>
        </w:rPr>
        <w:t>E</w:t>
      </w:r>
      <w:r w:rsidRPr="002D1C6F">
        <w:rPr>
          <w:szCs w:val="24"/>
        </w:rPr>
        <w:t xml:space="preserve">vidence from parents of children with learning disabilities. </w:t>
      </w:r>
      <w:r w:rsidRPr="00CA77FE">
        <w:rPr>
          <w:i/>
          <w:iCs/>
          <w:szCs w:val="24"/>
        </w:rPr>
        <w:t>Learning and Individual Differences</w:t>
      </w:r>
      <w:r>
        <w:rPr>
          <w:szCs w:val="24"/>
        </w:rPr>
        <w:t xml:space="preserve">, </w:t>
      </w:r>
      <w:r w:rsidRPr="00CA77FE">
        <w:rPr>
          <w:i/>
          <w:iCs/>
          <w:szCs w:val="24"/>
        </w:rPr>
        <w:t>49</w:t>
      </w:r>
      <w:r>
        <w:rPr>
          <w:szCs w:val="24"/>
        </w:rPr>
        <w:t xml:space="preserve">, </w:t>
      </w:r>
      <w:r w:rsidRPr="002D1C6F">
        <w:rPr>
          <w:szCs w:val="24"/>
        </w:rPr>
        <w:t xml:space="preserve">74–84. </w:t>
      </w:r>
      <w:r w:rsidRPr="00786559">
        <w:rPr>
          <w:szCs w:val="24"/>
        </w:rPr>
        <w:t>https://doi.org/10.1016/j.lindif.2016.05.003</w:t>
      </w:r>
    </w:p>
    <w:p w14:paraId="739462E2" w14:textId="73DAA285" w:rsidR="00CA77FE" w:rsidRPr="00F9248C" w:rsidRDefault="00CA77FE">
      <w:pPr>
        <w:pStyle w:val="Bibliography"/>
      </w:pPr>
      <w:r w:rsidRPr="00F9248C">
        <w:t>Zammitti</w:t>
      </w:r>
      <w:r>
        <w:rPr>
          <w:szCs w:val="24"/>
        </w:rPr>
        <w:t>,</w:t>
      </w:r>
      <w:r w:rsidRPr="00F9248C">
        <w:t xml:space="preserve"> A</w:t>
      </w:r>
      <w:r>
        <w:rPr>
          <w:szCs w:val="24"/>
        </w:rPr>
        <w:t>.</w:t>
      </w:r>
      <w:r w:rsidRPr="002D1C6F">
        <w:rPr>
          <w:szCs w:val="24"/>
        </w:rPr>
        <w:t>,</w:t>
      </w:r>
      <w:r w:rsidRPr="00F9248C">
        <w:t xml:space="preserve"> Scuderi</w:t>
      </w:r>
      <w:r>
        <w:rPr>
          <w:szCs w:val="24"/>
        </w:rPr>
        <w:t>,</w:t>
      </w:r>
      <w:r w:rsidRPr="00F9248C">
        <w:t xml:space="preserve"> V</w:t>
      </w:r>
      <w:r>
        <w:rPr>
          <w:szCs w:val="24"/>
        </w:rPr>
        <w:t>.</w:t>
      </w:r>
      <w:r w:rsidRPr="002D1C6F">
        <w:rPr>
          <w:szCs w:val="24"/>
        </w:rPr>
        <w:t xml:space="preserve">, </w:t>
      </w:r>
      <w:r>
        <w:rPr>
          <w:szCs w:val="24"/>
        </w:rPr>
        <w:t>&amp;</w:t>
      </w:r>
      <w:r w:rsidRPr="00F9248C">
        <w:t xml:space="preserve"> Russo</w:t>
      </w:r>
      <w:r>
        <w:rPr>
          <w:szCs w:val="24"/>
        </w:rPr>
        <w:t>,</w:t>
      </w:r>
      <w:r w:rsidRPr="00F9248C">
        <w:t xml:space="preserve"> A.</w:t>
      </w:r>
      <w:r w:rsidRPr="002D1C6F">
        <w:rPr>
          <w:szCs w:val="24"/>
        </w:rPr>
        <w:t xml:space="preserve"> </w:t>
      </w:r>
      <w:r>
        <w:rPr>
          <w:szCs w:val="24"/>
        </w:rPr>
        <w:t>(2020).</w:t>
      </w:r>
      <w:r w:rsidRPr="00F9248C">
        <w:t xml:space="preserve"> Perceived career parental support and identity development: </w:t>
      </w:r>
      <w:r>
        <w:rPr>
          <w:szCs w:val="24"/>
        </w:rPr>
        <w:t>A</w:t>
      </w:r>
      <w:r w:rsidRPr="00F9248C">
        <w:t xml:space="preserve"> study on adolescents.</w:t>
      </w:r>
      <w:r>
        <w:rPr>
          <w:szCs w:val="24"/>
        </w:rPr>
        <w:t xml:space="preserve"> </w:t>
      </w:r>
      <w:r w:rsidRPr="00CA77FE">
        <w:rPr>
          <w:i/>
          <w:iCs/>
          <w:szCs w:val="24"/>
        </w:rPr>
        <w:t>Interdisciplinary Journal of Family Studies</w:t>
      </w:r>
      <w:r>
        <w:rPr>
          <w:szCs w:val="24"/>
        </w:rPr>
        <w:t xml:space="preserve">, </w:t>
      </w:r>
      <w:r w:rsidRPr="00F9248C">
        <w:rPr>
          <w:i/>
        </w:rPr>
        <w:t>25</w:t>
      </w:r>
      <w:r w:rsidRPr="00F9248C">
        <w:t>(1</w:t>
      </w:r>
      <w:r w:rsidRPr="002D1C6F">
        <w:rPr>
          <w:szCs w:val="24"/>
        </w:rPr>
        <w:t>)</w:t>
      </w:r>
      <w:r>
        <w:rPr>
          <w:szCs w:val="24"/>
        </w:rPr>
        <w:t>, 27–46</w:t>
      </w:r>
      <w:r w:rsidRPr="002D1C6F">
        <w:rPr>
          <w:szCs w:val="24"/>
        </w:rPr>
        <w:t>.</w:t>
      </w:r>
    </w:p>
    <w:p w14:paraId="1EA26BCB" w14:textId="445C4151" w:rsidR="00CA77FE" w:rsidRDefault="00CA77FE">
      <w:pPr>
        <w:pStyle w:val="Bibliography"/>
        <w:rPr>
          <w:szCs w:val="24"/>
          <w:shd w:val="clear" w:color="auto" w:fill="FFFFFF"/>
        </w:rPr>
      </w:pPr>
      <w:r w:rsidRPr="00FC30FE">
        <w:rPr>
          <w:szCs w:val="24"/>
          <w:shd w:val="clear" w:color="auto" w:fill="FFFFFF"/>
        </w:rPr>
        <w:t>Zlotnik</w:t>
      </w:r>
      <w:r>
        <w:rPr>
          <w:szCs w:val="24"/>
          <w:shd w:val="clear" w:color="auto" w:fill="FFFFFF"/>
        </w:rPr>
        <w:t>,</w:t>
      </w:r>
      <w:r w:rsidRPr="00FC30FE">
        <w:rPr>
          <w:szCs w:val="24"/>
          <w:shd w:val="clear" w:color="auto" w:fill="FFFFFF"/>
        </w:rPr>
        <w:t xml:space="preserve"> S</w:t>
      </w:r>
      <w:r>
        <w:rPr>
          <w:szCs w:val="24"/>
          <w:shd w:val="clear" w:color="auto" w:fill="FFFFFF"/>
        </w:rPr>
        <w:t>.</w:t>
      </w:r>
      <w:r w:rsidRPr="00FC30FE">
        <w:rPr>
          <w:szCs w:val="24"/>
          <w:shd w:val="clear" w:color="auto" w:fill="FFFFFF"/>
        </w:rPr>
        <w:t xml:space="preserve">, </w:t>
      </w:r>
      <w:r>
        <w:rPr>
          <w:szCs w:val="24"/>
          <w:shd w:val="clear" w:color="auto" w:fill="FFFFFF"/>
        </w:rPr>
        <w:t xml:space="preserve">&amp; </w:t>
      </w:r>
      <w:r w:rsidRPr="00FC30FE">
        <w:rPr>
          <w:szCs w:val="24"/>
          <w:shd w:val="clear" w:color="auto" w:fill="FFFFFF"/>
        </w:rPr>
        <w:t>Toglia</w:t>
      </w:r>
      <w:r>
        <w:rPr>
          <w:szCs w:val="24"/>
          <w:shd w:val="clear" w:color="auto" w:fill="FFFFFF"/>
        </w:rPr>
        <w:t>,</w:t>
      </w:r>
      <w:r w:rsidRPr="00FC30FE">
        <w:rPr>
          <w:szCs w:val="24"/>
          <w:shd w:val="clear" w:color="auto" w:fill="FFFFFF"/>
        </w:rPr>
        <w:t xml:space="preserve"> J. </w:t>
      </w:r>
      <w:r>
        <w:rPr>
          <w:szCs w:val="24"/>
          <w:shd w:val="clear" w:color="auto" w:fill="FFFFFF"/>
        </w:rPr>
        <w:t>(2018).</w:t>
      </w:r>
      <w:r w:rsidRPr="00F9248C">
        <w:rPr>
          <w:shd w:val="clear" w:color="auto" w:fill="FFFFFF"/>
        </w:rPr>
        <w:t xml:space="preserve"> Measuring adolescent self-awareness and accuracy using a performance-based assessment and parental report. </w:t>
      </w:r>
      <w:r w:rsidRPr="00CA77FE">
        <w:rPr>
          <w:i/>
          <w:iCs/>
          <w:szCs w:val="24"/>
          <w:shd w:val="clear" w:color="auto" w:fill="FFFFFF"/>
        </w:rPr>
        <w:t>Frontiers in Public Health</w:t>
      </w:r>
      <w:r>
        <w:rPr>
          <w:szCs w:val="24"/>
          <w:shd w:val="clear" w:color="auto" w:fill="FFFFFF"/>
        </w:rPr>
        <w:t xml:space="preserve">, </w:t>
      </w:r>
      <w:r w:rsidRPr="00C55ACB">
        <w:rPr>
          <w:i/>
          <w:iCs/>
          <w:szCs w:val="24"/>
          <w:shd w:val="clear" w:color="auto" w:fill="FFFFFF"/>
        </w:rPr>
        <w:t>6</w:t>
      </w:r>
      <w:r>
        <w:rPr>
          <w:szCs w:val="24"/>
          <w:shd w:val="clear" w:color="auto" w:fill="FFFFFF"/>
        </w:rPr>
        <w:t>(</w:t>
      </w:r>
      <w:r w:rsidRPr="00FC30FE">
        <w:rPr>
          <w:szCs w:val="24"/>
          <w:shd w:val="clear" w:color="auto" w:fill="FFFFFF"/>
        </w:rPr>
        <w:t>15</w:t>
      </w:r>
      <w:r>
        <w:rPr>
          <w:szCs w:val="24"/>
          <w:shd w:val="clear" w:color="auto" w:fill="FFFFFF"/>
        </w:rPr>
        <w:t>)</w:t>
      </w:r>
      <w:r w:rsidRPr="00FC30FE">
        <w:rPr>
          <w:szCs w:val="24"/>
          <w:shd w:val="clear" w:color="auto" w:fill="FFFFFF"/>
        </w:rPr>
        <w:t>.</w:t>
      </w:r>
      <w:r w:rsidRPr="005D6F48">
        <w:t xml:space="preserve"> </w:t>
      </w:r>
      <w:r w:rsidRPr="005D6F48">
        <w:rPr>
          <w:szCs w:val="24"/>
          <w:shd w:val="clear" w:color="auto" w:fill="FFFFFF"/>
        </w:rPr>
        <w:t>https://doi.org/10.3389/fpubh.2018.00015</w:t>
      </w:r>
    </w:p>
    <w:p w14:paraId="75EA018C" w14:textId="4034951B" w:rsidR="00A26F15" w:rsidRDefault="00A26F15" w:rsidP="004D67BE">
      <w:pPr>
        <w:spacing w:after="160"/>
        <w:ind w:firstLine="0"/>
        <w:rPr>
          <w:rFonts w:asciiTheme="majorBidi" w:hAnsiTheme="majorBidi" w:cstheme="majorBidi"/>
          <w:b/>
          <w:bCs/>
          <w:sz w:val="28"/>
          <w:szCs w:val="28"/>
        </w:rPr>
      </w:pPr>
      <w:r>
        <w:rPr>
          <w:rFonts w:asciiTheme="majorBidi" w:hAnsiTheme="majorBidi" w:cstheme="majorBidi"/>
          <w:b/>
          <w:bCs/>
          <w:sz w:val="28"/>
          <w:szCs w:val="28"/>
        </w:rPr>
        <w:br w:type="page"/>
      </w:r>
    </w:p>
    <w:p w14:paraId="5A053CBF" w14:textId="0588FBE4" w:rsidR="00ED0B6F" w:rsidRDefault="00ED0B6F" w:rsidP="004D67BE">
      <w:pPr>
        <w:pStyle w:val="Heading1"/>
        <w:rPr>
          <w:rFonts w:eastAsia="Calibri"/>
        </w:rPr>
      </w:pPr>
      <w:r>
        <w:rPr>
          <w:rFonts w:eastAsia="Calibri"/>
        </w:rPr>
        <w:lastRenderedPageBreak/>
        <w:t>Figure Caption</w:t>
      </w:r>
    </w:p>
    <w:p w14:paraId="1504026A" w14:textId="49245528" w:rsidR="00803858" w:rsidRPr="004D67BE" w:rsidRDefault="00803858" w:rsidP="002D6BA7">
      <w:pPr>
        <w:spacing w:after="240"/>
        <w:ind w:firstLine="0"/>
        <w:rPr>
          <w:rFonts w:asciiTheme="majorBidi" w:hAnsiTheme="majorBidi"/>
          <w:i/>
          <w:iCs/>
        </w:rPr>
      </w:pPr>
      <w:r w:rsidRPr="004D67BE">
        <w:rPr>
          <w:rFonts w:asciiTheme="majorBidi" w:hAnsiTheme="majorBidi"/>
          <w:b/>
          <w:bCs/>
        </w:rPr>
        <w:t>Figure 1</w:t>
      </w:r>
      <w:r w:rsidR="002D6BA7" w:rsidRPr="004D67BE">
        <w:rPr>
          <w:rFonts w:asciiTheme="majorBidi" w:hAnsiTheme="majorBidi"/>
          <w:b/>
          <w:bCs/>
        </w:rPr>
        <w:br/>
      </w:r>
      <w:r w:rsidR="002D6BA7" w:rsidRPr="004D67BE">
        <w:rPr>
          <w:rFonts w:asciiTheme="majorBidi" w:hAnsiTheme="majorBidi"/>
          <w:i/>
          <w:iCs/>
        </w:rPr>
        <w:t>S</w:t>
      </w:r>
      <w:r w:rsidRPr="004D67BE">
        <w:rPr>
          <w:rFonts w:asciiTheme="majorBidi" w:hAnsiTheme="majorBidi"/>
          <w:i/>
          <w:iCs/>
        </w:rPr>
        <w:t xml:space="preserve">tudy </w:t>
      </w:r>
      <w:r w:rsidR="002D6BA7" w:rsidRPr="004D67BE">
        <w:rPr>
          <w:rFonts w:asciiTheme="majorBidi" w:hAnsiTheme="majorBidi"/>
          <w:i/>
          <w:iCs/>
        </w:rPr>
        <w:t>D</w:t>
      </w:r>
      <w:r w:rsidRPr="004D67BE">
        <w:rPr>
          <w:rFonts w:asciiTheme="majorBidi" w:hAnsiTheme="majorBidi"/>
          <w:i/>
          <w:iCs/>
        </w:rPr>
        <w:t>esign</w:t>
      </w:r>
    </w:p>
    <w:p w14:paraId="40FD504F" w14:textId="77777777" w:rsidR="00ED0B6F" w:rsidRPr="00C072EB" w:rsidRDefault="00ED0B6F" w:rsidP="00480F09">
      <w:pPr>
        <w:spacing w:after="240"/>
        <w:ind w:firstLine="0"/>
        <w:rPr>
          <w:rFonts w:asciiTheme="majorBidi" w:hAnsiTheme="majorBidi" w:cstheme="majorBidi"/>
          <w:szCs w:val="24"/>
        </w:rPr>
      </w:pPr>
    </w:p>
    <w:p w14:paraId="4AD4A743" w14:textId="77777777" w:rsidR="00803858" w:rsidRPr="00F9248C" w:rsidRDefault="00803858">
      <w:pPr>
        <w:spacing w:after="120"/>
        <w:ind w:left="720" w:hanging="720"/>
        <w:sectPr w:rsidR="00803858" w:rsidRPr="00F9248C">
          <w:pgSz w:w="11906" w:h="16838"/>
          <w:pgMar w:top="1440" w:right="1440" w:bottom="1440" w:left="1440" w:header="708" w:footer="708" w:gutter="0"/>
          <w:cols w:space="708"/>
          <w:docGrid w:linePitch="360"/>
        </w:sectPr>
      </w:pPr>
    </w:p>
    <w:p w14:paraId="6E301E74" w14:textId="085D7425" w:rsidR="001D3CE6" w:rsidRDefault="001D3CE6" w:rsidP="004D67BE">
      <w:pPr>
        <w:pStyle w:val="Heading1"/>
      </w:pPr>
      <w:r>
        <w:lastRenderedPageBreak/>
        <w:t>Tables</w:t>
      </w:r>
    </w:p>
    <w:p w14:paraId="082D2185" w14:textId="77777777" w:rsidR="00803858" w:rsidRPr="00F9248C" w:rsidRDefault="00803858">
      <w:pPr>
        <w:spacing w:after="120"/>
        <w:ind w:firstLine="0"/>
        <w:sectPr w:rsidR="00803858" w:rsidRPr="00F9248C">
          <w:pgSz w:w="11906" w:h="16838"/>
          <w:pgMar w:top="1440" w:right="1440" w:bottom="1440" w:left="1440" w:header="708" w:footer="708" w:gutter="0"/>
          <w:cols w:space="708"/>
          <w:docGrid w:linePitch="360"/>
        </w:sectPr>
      </w:pPr>
    </w:p>
    <w:p w14:paraId="69D0DFFD" w14:textId="4FD258AE" w:rsidR="00395351" w:rsidRPr="004D67BE" w:rsidRDefault="00803858">
      <w:pPr>
        <w:ind w:firstLine="0"/>
        <w:rPr>
          <w:rFonts w:eastAsia="Calibri" w:cs="Times New Roman"/>
          <w:b/>
          <w:bCs/>
          <w:szCs w:val="24"/>
        </w:rPr>
      </w:pPr>
      <w:r w:rsidRPr="004D67BE">
        <w:rPr>
          <w:b/>
          <w:bCs/>
        </w:rPr>
        <w:lastRenderedPageBreak/>
        <w:t xml:space="preserve">Table </w:t>
      </w:r>
      <w:r w:rsidR="0053606C">
        <w:rPr>
          <w:b/>
          <w:bCs/>
        </w:rPr>
        <w:t>1</w:t>
      </w:r>
    </w:p>
    <w:p w14:paraId="466BADA1" w14:textId="059E2EFF" w:rsidR="00803858" w:rsidRPr="00F9248C" w:rsidRDefault="00994AA5">
      <w:pPr>
        <w:ind w:firstLine="0"/>
        <w:rPr>
          <w:i/>
        </w:rPr>
      </w:pPr>
      <w:bookmarkStart w:id="9" w:name="_Hlk70689834"/>
      <w:r>
        <w:rPr>
          <w:rFonts w:eastAsia="Calibri" w:cs="Times New Roman"/>
          <w:i/>
          <w:iCs/>
          <w:szCs w:val="24"/>
        </w:rPr>
        <w:t>Comparison of</w:t>
      </w:r>
      <w:r w:rsidRPr="00F9248C">
        <w:rPr>
          <w:i/>
        </w:rPr>
        <w:t xml:space="preserve"> </w:t>
      </w:r>
      <w:r w:rsidR="00803858" w:rsidRPr="00F9248C">
        <w:rPr>
          <w:i/>
        </w:rPr>
        <w:t xml:space="preserve">Pre- and </w:t>
      </w:r>
      <w:r>
        <w:rPr>
          <w:rFonts w:eastAsia="Calibri" w:cs="Times New Roman"/>
          <w:i/>
          <w:iCs/>
          <w:szCs w:val="24"/>
        </w:rPr>
        <w:t>P</w:t>
      </w:r>
      <w:r w:rsidR="00803858" w:rsidRPr="00EA7E00">
        <w:rPr>
          <w:rFonts w:eastAsia="Calibri" w:cs="Times New Roman"/>
          <w:i/>
          <w:iCs/>
          <w:szCs w:val="24"/>
        </w:rPr>
        <w:t>ost-</w:t>
      </w:r>
      <w:r>
        <w:rPr>
          <w:rFonts w:eastAsia="Calibri" w:cs="Times New Roman"/>
          <w:i/>
          <w:iCs/>
          <w:szCs w:val="24"/>
        </w:rPr>
        <w:t>I</w:t>
      </w:r>
      <w:r w:rsidR="00803858" w:rsidRPr="00EA7E00">
        <w:rPr>
          <w:rFonts w:eastAsia="Calibri" w:cs="Times New Roman"/>
          <w:i/>
          <w:iCs/>
          <w:szCs w:val="24"/>
        </w:rPr>
        <w:t xml:space="preserve">ntervention </w:t>
      </w:r>
      <w:r>
        <w:rPr>
          <w:rFonts w:eastAsia="Calibri" w:cs="Times New Roman"/>
          <w:i/>
          <w:iCs/>
          <w:szCs w:val="24"/>
        </w:rPr>
        <w:t>Children’s Cooking Task Scores</w:t>
      </w:r>
      <w:r w:rsidR="00861B23">
        <w:rPr>
          <w:rFonts w:eastAsia="Calibri" w:cs="Times New Roman"/>
          <w:i/>
          <w:iCs/>
          <w:szCs w:val="24"/>
        </w:rPr>
        <w:t xml:space="preserve"> (Performance)</w:t>
      </w:r>
    </w:p>
    <w:tbl>
      <w:tblPr>
        <w:tblStyle w:val="LightShading1"/>
        <w:tblpPr w:leftFromText="180" w:rightFromText="180" w:vertAnchor="text" w:horzAnchor="margin" w:tblpX="170" w:tblpY="256"/>
        <w:tblW w:w="9498" w:type="dxa"/>
        <w:shd w:val="clear" w:color="auto" w:fill="FFFFFF" w:themeFill="background1"/>
        <w:tblLayout w:type="fixed"/>
        <w:tblLook w:val="06A0" w:firstRow="1" w:lastRow="0" w:firstColumn="1" w:lastColumn="0" w:noHBand="1" w:noVBand="1"/>
      </w:tblPr>
      <w:tblGrid>
        <w:gridCol w:w="2835"/>
        <w:gridCol w:w="2410"/>
        <w:gridCol w:w="2126"/>
        <w:gridCol w:w="709"/>
        <w:gridCol w:w="851"/>
        <w:gridCol w:w="567"/>
      </w:tblGrid>
      <w:tr w:rsidR="00F9248C" w:rsidRPr="00740C0A" w14:paraId="50F24BAB" w14:textId="77777777" w:rsidTr="00EA7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vAlign w:val="center"/>
          </w:tcPr>
          <w:bookmarkEnd w:id="9"/>
          <w:p w14:paraId="2BF0C9D0" w14:textId="33AE451F" w:rsidR="00803858" w:rsidRPr="004D67BE" w:rsidRDefault="00BA4CA5" w:rsidP="00405164">
            <w:pPr>
              <w:suppressLineNumbers/>
              <w:suppressAutoHyphens/>
              <w:ind w:firstLine="0"/>
              <w:contextualSpacing/>
              <w:rPr>
                <w:rFonts w:asciiTheme="majorBidi" w:hAnsiTheme="majorBidi"/>
                <w:b w:val="0"/>
                <w:bCs w:val="0"/>
                <w:color w:val="000000" w:themeColor="text1"/>
                <w:sz w:val="20"/>
              </w:rPr>
            </w:pPr>
            <w:r w:rsidRPr="00740C0A">
              <w:rPr>
                <w:rFonts w:asciiTheme="majorBidi" w:eastAsia="Calibri" w:hAnsiTheme="majorBidi" w:cstheme="majorBidi"/>
                <w:color w:val="000000" w:themeColor="text1"/>
                <w:sz w:val="20"/>
                <w:szCs w:val="20"/>
              </w:rPr>
              <w:t>Variable</w:t>
            </w:r>
          </w:p>
        </w:tc>
        <w:tc>
          <w:tcPr>
            <w:tcW w:w="2410" w:type="dxa"/>
            <w:shd w:val="clear" w:color="auto" w:fill="FFFFFF" w:themeFill="background1"/>
          </w:tcPr>
          <w:p w14:paraId="3CACF5B7" w14:textId="77777777"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Pre-intervention</w:t>
            </w:r>
          </w:p>
        </w:tc>
        <w:tc>
          <w:tcPr>
            <w:tcW w:w="2126" w:type="dxa"/>
            <w:shd w:val="clear" w:color="auto" w:fill="FFFFFF" w:themeFill="background1"/>
          </w:tcPr>
          <w:p w14:paraId="0FACCA6B" w14:textId="7DF14049"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Postintervention</w:t>
            </w:r>
          </w:p>
        </w:tc>
        <w:tc>
          <w:tcPr>
            <w:tcW w:w="709" w:type="dxa"/>
            <w:shd w:val="clear" w:color="auto" w:fill="FFFFFF" w:themeFill="background1"/>
          </w:tcPr>
          <w:p w14:paraId="72DE18A6" w14:textId="77777777"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i/>
                <w:color w:val="000000" w:themeColor="text1"/>
                <w:sz w:val="20"/>
              </w:rPr>
            </w:pPr>
            <w:r w:rsidRPr="00740C0A">
              <w:rPr>
                <w:rFonts w:asciiTheme="majorBidi" w:hAnsiTheme="majorBidi"/>
                <w:i/>
                <w:color w:val="000000" w:themeColor="text1"/>
                <w:sz w:val="20"/>
              </w:rPr>
              <w:t>Z</w:t>
            </w:r>
          </w:p>
        </w:tc>
        <w:tc>
          <w:tcPr>
            <w:tcW w:w="851" w:type="dxa"/>
            <w:shd w:val="clear" w:color="auto" w:fill="FFFFFF" w:themeFill="background1"/>
          </w:tcPr>
          <w:p w14:paraId="4D6497D5" w14:textId="77777777"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i/>
                <w:color w:val="000000" w:themeColor="text1"/>
                <w:sz w:val="20"/>
              </w:rPr>
            </w:pPr>
            <w:r w:rsidRPr="00740C0A">
              <w:rPr>
                <w:rFonts w:asciiTheme="majorBidi" w:hAnsiTheme="majorBidi"/>
                <w:i/>
                <w:color w:val="000000" w:themeColor="text1"/>
                <w:sz w:val="20"/>
              </w:rPr>
              <w:t>p</w:t>
            </w:r>
          </w:p>
        </w:tc>
        <w:tc>
          <w:tcPr>
            <w:tcW w:w="567" w:type="dxa"/>
            <w:shd w:val="clear" w:color="auto" w:fill="FFFFFF" w:themeFill="background1"/>
          </w:tcPr>
          <w:p w14:paraId="2721A637" w14:textId="77777777"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i/>
                <w:color w:val="000000" w:themeColor="text1"/>
                <w:sz w:val="20"/>
              </w:rPr>
            </w:pPr>
            <w:r w:rsidRPr="00740C0A">
              <w:rPr>
                <w:rFonts w:asciiTheme="majorBidi" w:hAnsiTheme="majorBidi"/>
                <w:i/>
                <w:color w:val="000000" w:themeColor="text1"/>
                <w:sz w:val="20"/>
              </w:rPr>
              <w:t>d</w:t>
            </w:r>
          </w:p>
        </w:tc>
      </w:tr>
      <w:tr w:rsidR="00803858" w:rsidRPr="00740C0A" w14:paraId="7909A3D8" w14:textId="77777777" w:rsidTr="00CE09DB">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12" w:space="0" w:color="auto"/>
            </w:tcBorders>
            <w:shd w:val="clear" w:color="auto" w:fill="FFFFFF" w:themeFill="background1"/>
          </w:tcPr>
          <w:p w14:paraId="7A4DC818" w14:textId="77777777" w:rsidR="00803858" w:rsidRPr="004D67BE" w:rsidRDefault="00803858" w:rsidP="00817707">
            <w:pPr>
              <w:suppressLineNumbers/>
              <w:tabs>
                <w:tab w:val="decimal" w:pos="705"/>
              </w:tabs>
              <w:suppressAutoHyphens/>
              <w:ind w:firstLine="0"/>
              <w:contextualSpacing/>
              <w:rPr>
                <w:rFonts w:asciiTheme="majorBidi" w:eastAsia="Calibri" w:hAnsiTheme="majorBidi" w:cstheme="majorBidi"/>
                <w:b w:val="0"/>
                <w:bCs w:val="0"/>
                <w:color w:val="000000" w:themeColor="text1"/>
                <w:sz w:val="20"/>
                <w:szCs w:val="20"/>
              </w:rPr>
            </w:pPr>
          </w:p>
        </w:tc>
        <w:tc>
          <w:tcPr>
            <w:tcW w:w="4536" w:type="dxa"/>
            <w:gridSpan w:val="2"/>
            <w:tcBorders>
              <w:top w:val="nil"/>
              <w:bottom w:val="single" w:sz="12" w:space="0" w:color="auto"/>
            </w:tcBorders>
            <w:shd w:val="clear" w:color="auto" w:fill="FFFFFF" w:themeFill="background1"/>
          </w:tcPr>
          <w:p w14:paraId="15022CEB" w14:textId="05EC9285" w:rsidR="00803858" w:rsidRPr="00EC2099" w:rsidRDefault="00803858" w:rsidP="00480F09">
            <w:pPr>
              <w:suppressLineNumbers/>
              <w:tabs>
                <w:tab w:val="decimal" w:pos="393"/>
              </w:tab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iCs/>
                <w:color w:val="000000" w:themeColor="text1"/>
                <w:sz w:val="20"/>
                <w:szCs w:val="20"/>
              </w:rPr>
            </w:pPr>
            <w:r w:rsidRPr="00480F09">
              <w:rPr>
                <w:rFonts w:asciiTheme="majorBidi" w:hAnsiTheme="majorBidi"/>
                <w:i/>
                <w:color w:val="000000" w:themeColor="text1"/>
                <w:sz w:val="20"/>
              </w:rPr>
              <w:t>M</w:t>
            </w:r>
            <w:r w:rsidRPr="0070517D">
              <w:rPr>
                <w:rFonts w:asciiTheme="majorBidi" w:eastAsia="Calibri" w:hAnsiTheme="majorBidi" w:cstheme="majorBidi"/>
                <w:iCs/>
                <w:color w:val="000000" w:themeColor="text1"/>
                <w:sz w:val="20"/>
                <w:szCs w:val="20"/>
              </w:rPr>
              <w:t xml:space="preserve"> </w:t>
            </w:r>
            <w:r w:rsidR="00994AA5" w:rsidRPr="0070517D">
              <w:rPr>
                <w:rFonts w:asciiTheme="majorBidi" w:eastAsia="Calibri" w:hAnsiTheme="majorBidi" w:cstheme="majorBidi"/>
                <w:iCs/>
                <w:color w:val="000000" w:themeColor="text1"/>
                <w:sz w:val="20"/>
                <w:szCs w:val="20"/>
              </w:rPr>
              <w:t>(</w:t>
            </w:r>
            <w:r w:rsidR="00994AA5" w:rsidRPr="00D50D7A">
              <w:rPr>
                <w:rFonts w:asciiTheme="majorBidi" w:hAnsiTheme="majorBidi"/>
                <w:i/>
                <w:color w:val="000000" w:themeColor="text1"/>
                <w:sz w:val="20"/>
              </w:rPr>
              <w:t>SD</w:t>
            </w:r>
            <w:r w:rsidR="00994AA5" w:rsidRPr="00D50D7A">
              <w:rPr>
                <w:rFonts w:asciiTheme="majorBidi" w:eastAsia="Calibri" w:hAnsiTheme="majorBidi" w:cstheme="majorBidi"/>
                <w:iCs/>
                <w:color w:val="000000" w:themeColor="text1"/>
                <w:sz w:val="20"/>
                <w:szCs w:val="20"/>
              </w:rPr>
              <w:t xml:space="preserve">) </w:t>
            </w:r>
            <w:r w:rsidRPr="00D50D7A">
              <w:rPr>
                <w:rFonts w:asciiTheme="majorBidi" w:eastAsia="Calibri" w:hAnsiTheme="majorBidi" w:cstheme="majorBidi"/>
                <w:iCs/>
                <w:color w:val="000000" w:themeColor="text1"/>
                <w:sz w:val="20"/>
                <w:szCs w:val="20"/>
              </w:rPr>
              <w:t>[min–max]</w:t>
            </w:r>
          </w:p>
        </w:tc>
        <w:tc>
          <w:tcPr>
            <w:tcW w:w="709" w:type="dxa"/>
            <w:tcBorders>
              <w:bottom w:val="single" w:sz="12" w:space="0" w:color="auto"/>
            </w:tcBorders>
            <w:shd w:val="clear" w:color="auto" w:fill="FFFFFF" w:themeFill="background1"/>
          </w:tcPr>
          <w:p w14:paraId="0F81F1F1" w14:textId="77777777" w:rsidR="00803858" w:rsidRPr="00740C0A"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c>
          <w:tcPr>
            <w:tcW w:w="851" w:type="dxa"/>
            <w:tcBorders>
              <w:top w:val="nil"/>
              <w:bottom w:val="single" w:sz="12" w:space="0" w:color="auto"/>
            </w:tcBorders>
            <w:shd w:val="clear" w:color="auto" w:fill="FFFFFF" w:themeFill="background1"/>
          </w:tcPr>
          <w:p w14:paraId="072B515E" w14:textId="77777777" w:rsidR="00803858" w:rsidRPr="00740C0A" w:rsidRDefault="00803858" w:rsidP="00D50D7A">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c>
          <w:tcPr>
            <w:tcW w:w="567" w:type="dxa"/>
            <w:tcBorders>
              <w:top w:val="nil"/>
              <w:bottom w:val="single" w:sz="12" w:space="0" w:color="auto"/>
            </w:tcBorders>
            <w:shd w:val="clear" w:color="auto" w:fill="FFFFFF" w:themeFill="background1"/>
          </w:tcPr>
          <w:p w14:paraId="23DD3A13" w14:textId="77777777" w:rsidR="00803858" w:rsidRPr="00740C0A"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r>
      <w:tr w:rsidR="00803858" w:rsidRPr="00740C0A" w14:paraId="20C92B2F" w14:textId="77777777" w:rsidTr="00CE09DB">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auto"/>
            </w:tcBorders>
            <w:shd w:val="clear" w:color="auto" w:fill="FFFFFF" w:themeFill="background1"/>
          </w:tcPr>
          <w:p w14:paraId="01DF9779" w14:textId="77777777" w:rsidR="00803858" w:rsidRPr="004D67BE" w:rsidRDefault="00803858" w:rsidP="00817707">
            <w:pPr>
              <w:suppressLineNumbers/>
              <w:tabs>
                <w:tab w:val="decimal" w:pos="705"/>
              </w:tab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Task duration (min)</w:t>
            </w:r>
          </w:p>
        </w:tc>
        <w:tc>
          <w:tcPr>
            <w:tcW w:w="2410" w:type="dxa"/>
            <w:tcBorders>
              <w:top w:val="single" w:sz="12" w:space="0" w:color="auto"/>
            </w:tcBorders>
            <w:shd w:val="clear" w:color="auto" w:fill="FFFFFF" w:themeFill="background1"/>
          </w:tcPr>
          <w:p w14:paraId="79C2B620" w14:textId="5EA782AC" w:rsidR="00803858" w:rsidRPr="00D50D7A" w:rsidRDefault="00803858" w:rsidP="00480F09">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27.87</w:t>
            </w:r>
            <w:r w:rsidR="00994AA5" w:rsidRPr="0070517D">
              <w:rPr>
                <w:rFonts w:asciiTheme="majorBidi" w:eastAsia="Calibri" w:hAnsiTheme="majorBidi" w:cstheme="majorBidi"/>
                <w:color w:val="000000" w:themeColor="text1"/>
                <w:sz w:val="20"/>
                <w:szCs w:val="20"/>
              </w:rPr>
              <w:t xml:space="preserve"> (12.22)</w:t>
            </w:r>
            <w:r w:rsidRPr="0070517D">
              <w:rPr>
                <w:rFonts w:asciiTheme="majorBidi" w:eastAsia="Calibri" w:hAnsiTheme="majorBidi" w:cstheme="majorBidi"/>
                <w:color w:val="000000" w:themeColor="text1"/>
                <w:sz w:val="20"/>
                <w:szCs w:val="20"/>
              </w:rPr>
              <w:t xml:space="preserve"> [11–75]</w:t>
            </w:r>
          </w:p>
        </w:tc>
        <w:tc>
          <w:tcPr>
            <w:tcW w:w="2126" w:type="dxa"/>
            <w:tcBorders>
              <w:top w:val="single" w:sz="12" w:space="0" w:color="auto"/>
            </w:tcBorders>
            <w:shd w:val="clear" w:color="auto" w:fill="FFFFFF" w:themeFill="background1"/>
          </w:tcPr>
          <w:p w14:paraId="3DD1DA2C" w14:textId="1F33801F" w:rsidR="00803858" w:rsidRPr="00740C0A"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2</w:t>
            </w:r>
            <w:r w:rsidRPr="00740C0A">
              <w:rPr>
                <w:rFonts w:asciiTheme="majorBidi" w:eastAsia="Calibri" w:hAnsiTheme="majorBidi" w:cstheme="majorBidi"/>
                <w:color w:val="000000" w:themeColor="text1"/>
                <w:sz w:val="20"/>
                <w:szCs w:val="20"/>
                <w:rtl/>
              </w:rPr>
              <w:t>0</w:t>
            </w:r>
            <w:r w:rsidRPr="00740C0A">
              <w:rPr>
                <w:rFonts w:asciiTheme="majorBidi" w:eastAsia="Calibri" w:hAnsiTheme="majorBidi" w:cstheme="majorBidi"/>
                <w:color w:val="000000" w:themeColor="text1"/>
                <w:sz w:val="20"/>
                <w:szCs w:val="20"/>
              </w:rPr>
              <w:t>.</w:t>
            </w:r>
            <w:r w:rsidRPr="00740C0A">
              <w:rPr>
                <w:rFonts w:asciiTheme="majorBidi" w:eastAsia="Calibri" w:hAnsiTheme="majorBidi" w:cstheme="majorBidi"/>
                <w:color w:val="000000" w:themeColor="text1"/>
                <w:sz w:val="20"/>
                <w:szCs w:val="20"/>
                <w:rtl/>
              </w:rPr>
              <w:t>24</w:t>
            </w:r>
            <w:r w:rsidRPr="00740C0A">
              <w:rPr>
                <w:rFonts w:asciiTheme="majorBidi" w:eastAsia="Calibri" w:hAnsiTheme="majorBidi" w:cstheme="majorBidi"/>
                <w:color w:val="000000" w:themeColor="text1"/>
                <w:sz w:val="20"/>
                <w:szCs w:val="20"/>
              </w:rPr>
              <w:t xml:space="preserve"> </w:t>
            </w:r>
            <w:r w:rsidR="00994AA5" w:rsidRPr="00740C0A">
              <w:rPr>
                <w:rFonts w:asciiTheme="majorBidi" w:eastAsia="Calibri" w:hAnsiTheme="majorBidi" w:cstheme="majorBidi"/>
                <w:color w:val="000000" w:themeColor="text1"/>
                <w:sz w:val="20"/>
                <w:szCs w:val="20"/>
              </w:rPr>
              <w:t xml:space="preserve">(5.90) </w:t>
            </w:r>
            <w:r w:rsidRPr="00740C0A">
              <w:rPr>
                <w:rFonts w:asciiTheme="majorBidi" w:eastAsia="Calibri" w:hAnsiTheme="majorBidi" w:cstheme="majorBidi"/>
                <w:color w:val="000000" w:themeColor="text1"/>
                <w:sz w:val="20"/>
                <w:szCs w:val="20"/>
              </w:rPr>
              <w:t>[1</w:t>
            </w:r>
            <w:r w:rsidRPr="00740C0A">
              <w:rPr>
                <w:rFonts w:asciiTheme="majorBidi" w:eastAsia="Calibri" w:hAnsiTheme="majorBidi" w:cstheme="majorBidi"/>
                <w:color w:val="000000" w:themeColor="text1"/>
                <w:sz w:val="20"/>
                <w:szCs w:val="20"/>
                <w:rtl/>
              </w:rPr>
              <w:t>1</w:t>
            </w:r>
            <w:r w:rsidRPr="00740C0A">
              <w:rPr>
                <w:rFonts w:asciiTheme="majorBidi" w:eastAsia="Calibri" w:hAnsiTheme="majorBidi" w:cstheme="majorBidi"/>
                <w:color w:val="000000" w:themeColor="text1"/>
                <w:sz w:val="20"/>
                <w:szCs w:val="20"/>
              </w:rPr>
              <w:t>–</w:t>
            </w:r>
            <w:r w:rsidRPr="00740C0A">
              <w:rPr>
                <w:rFonts w:asciiTheme="majorBidi" w:eastAsia="Calibri" w:hAnsiTheme="majorBidi" w:cstheme="majorBidi"/>
                <w:color w:val="000000" w:themeColor="text1"/>
                <w:sz w:val="20"/>
                <w:szCs w:val="20"/>
                <w:rtl/>
              </w:rPr>
              <w:t>3</w:t>
            </w:r>
            <w:r w:rsidRPr="00740C0A">
              <w:rPr>
                <w:rFonts w:asciiTheme="majorBidi" w:eastAsia="Calibri" w:hAnsiTheme="majorBidi" w:cstheme="majorBidi"/>
                <w:color w:val="000000" w:themeColor="text1"/>
                <w:sz w:val="20"/>
                <w:szCs w:val="20"/>
              </w:rPr>
              <w:t>7]</w:t>
            </w:r>
          </w:p>
        </w:tc>
        <w:tc>
          <w:tcPr>
            <w:tcW w:w="709" w:type="dxa"/>
            <w:tcBorders>
              <w:top w:val="single" w:sz="12" w:space="0" w:color="auto"/>
            </w:tcBorders>
            <w:shd w:val="clear" w:color="auto" w:fill="FFFFFF" w:themeFill="background1"/>
          </w:tcPr>
          <w:p w14:paraId="36AB8DCC" w14:textId="77777777" w:rsidR="00803858" w:rsidRPr="00740C0A" w:rsidRDefault="00803858" w:rsidP="00D50D7A">
            <w:pPr>
              <w:suppressLineNumbers/>
              <w:tabs>
                <w:tab w:val="decimal" w:pos="56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-4.30</w:t>
            </w:r>
          </w:p>
        </w:tc>
        <w:tc>
          <w:tcPr>
            <w:tcW w:w="851" w:type="dxa"/>
            <w:tcBorders>
              <w:top w:val="single" w:sz="12" w:space="0" w:color="auto"/>
            </w:tcBorders>
            <w:shd w:val="clear" w:color="auto" w:fill="FFFFFF" w:themeFill="background1"/>
          </w:tcPr>
          <w:p w14:paraId="6E6B8D58" w14:textId="77777777" w:rsidR="00803858" w:rsidRPr="00740C0A"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tcBorders>
              <w:top w:val="single" w:sz="12" w:space="0" w:color="auto"/>
            </w:tcBorders>
            <w:shd w:val="clear" w:color="auto" w:fill="FFFFFF" w:themeFill="background1"/>
          </w:tcPr>
          <w:p w14:paraId="2F1A58B0"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0.79</w:t>
            </w:r>
          </w:p>
        </w:tc>
      </w:tr>
      <w:tr w:rsidR="00803858" w:rsidRPr="00740C0A" w14:paraId="15EA3A93" w14:textId="77777777" w:rsidTr="00CE09DB">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auto"/>
            </w:tcBorders>
            <w:shd w:val="clear" w:color="auto" w:fill="FFFFFF" w:themeFill="background1"/>
          </w:tcPr>
          <w:p w14:paraId="608A7C58" w14:textId="77777777" w:rsidR="00803858" w:rsidRPr="004D67BE" w:rsidRDefault="00803858" w:rsidP="00817707">
            <w:pPr>
              <w:suppressLineNumbers/>
              <w:tabs>
                <w:tab w:val="decimal" w:pos="705"/>
              </w:tabs>
              <w:suppressAutoHyphens/>
              <w:ind w:firstLine="0"/>
              <w:contextualSpacing/>
              <w:rPr>
                <w:rFonts w:asciiTheme="majorBidi" w:eastAsia="Calibri" w:hAnsiTheme="majorBidi" w:cstheme="majorBidi"/>
                <w:b w:val="0"/>
                <w:bCs w:val="0"/>
                <w:iCs/>
                <w:color w:val="000000" w:themeColor="text1"/>
                <w:sz w:val="20"/>
                <w:szCs w:val="20"/>
              </w:rPr>
            </w:pPr>
            <w:r w:rsidRPr="00740C0A">
              <w:rPr>
                <w:rFonts w:asciiTheme="majorBidi" w:eastAsia="Calibri" w:hAnsiTheme="majorBidi" w:cstheme="majorBidi"/>
                <w:iCs/>
                <w:color w:val="000000" w:themeColor="text1"/>
                <w:sz w:val="20"/>
                <w:szCs w:val="20"/>
              </w:rPr>
              <w:t>Total number of errors</w:t>
            </w:r>
          </w:p>
        </w:tc>
        <w:tc>
          <w:tcPr>
            <w:tcW w:w="2410" w:type="dxa"/>
            <w:tcBorders>
              <w:bottom w:val="single" w:sz="12" w:space="0" w:color="auto"/>
            </w:tcBorders>
            <w:shd w:val="clear" w:color="auto" w:fill="FFFFFF" w:themeFill="background1"/>
          </w:tcPr>
          <w:p w14:paraId="3BD126BE" w14:textId="79761289" w:rsidR="00803858" w:rsidRPr="00D50D7A" w:rsidRDefault="00803858" w:rsidP="00480F09">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75.98 </w:t>
            </w:r>
            <w:r w:rsidR="00994AA5" w:rsidRPr="0070517D">
              <w:rPr>
                <w:rFonts w:asciiTheme="majorBidi" w:eastAsia="Calibri" w:hAnsiTheme="majorBidi" w:cstheme="majorBidi"/>
                <w:color w:val="000000" w:themeColor="text1"/>
                <w:sz w:val="20"/>
                <w:szCs w:val="20"/>
              </w:rPr>
              <w:t xml:space="preserve">(52.98) </w:t>
            </w:r>
            <w:r w:rsidRPr="0070517D">
              <w:rPr>
                <w:rFonts w:asciiTheme="majorBidi" w:eastAsia="Calibri" w:hAnsiTheme="majorBidi" w:cstheme="majorBidi"/>
                <w:color w:val="000000" w:themeColor="text1"/>
                <w:sz w:val="20"/>
                <w:szCs w:val="20"/>
              </w:rPr>
              <w:t>[15–290]</w:t>
            </w:r>
          </w:p>
        </w:tc>
        <w:tc>
          <w:tcPr>
            <w:tcW w:w="2126" w:type="dxa"/>
            <w:tcBorders>
              <w:bottom w:val="single" w:sz="12" w:space="0" w:color="auto"/>
            </w:tcBorders>
            <w:shd w:val="clear" w:color="auto" w:fill="FFFFFF" w:themeFill="background1"/>
          </w:tcPr>
          <w:p w14:paraId="61C81AA4" w14:textId="06A38A86" w:rsidR="00803858" w:rsidRPr="00740C0A"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 xml:space="preserve">41.22 </w:t>
            </w:r>
            <w:r w:rsidR="00994AA5" w:rsidRPr="00740C0A">
              <w:rPr>
                <w:rFonts w:asciiTheme="majorBidi" w:eastAsia="Calibri" w:hAnsiTheme="majorBidi" w:cstheme="majorBidi"/>
                <w:color w:val="000000" w:themeColor="text1"/>
                <w:sz w:val="20"/>
                <w:szCs w:val="20"/>
              </w:rPr>
              <w:t xml:space="preserve">(24.83) </w:t>
            </w:r>
            <w:r w:rsidRPr="00740C0A">
              <w:rPr>
                <w:rFonts w:asciiTheme="majorBidi" w:eastAsia="Calibri" w:hAnsiTheme="majorBidi" w:cstheme="majorBidi"/>
                <w:color w:val="000000" w:themeColor="text1"/>
                <w:sz w:val="20"/>
                <w:szCs w:val="20"/>
              </w:rPr>
              <w:t>[6–202]</w:t>
            </w:r>
          </w:p>
        </w:tc>
        <w:tc>
          <w:tcPr>
            <w:tcW w:w="709" w:type="dxa"/>
            <w:tcBorders>
              <w:bottom w:val="single" w:sz="12" w:space="0" w:color="auto"/>
            </w:tcBorders>
            <w:shd w:val="clear" w:color="auto" w:fill="FFFFFF" w:themeFill="background1"/>
          </w:tcPr>
          <w:p w14:paraId="54B2FAB1" w14:textId="77777777" w:rsidR="00803858" w:rsidRPr="00740C0A" w:rsidRDefault="00803858" w:rsidP="00D50D7A">
            <w:pPr>
              <w:suppressLineNumbers/>
              <w:tabs>
                <w:tab w:val="decimal" w:pos="56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-4.93</w:t>
            </w:r>
          </w:p>
        </w:tc>
        <w:tc>
          <w:tcPr>
            <w:tcW w:w="851" w:type="dxa"/>
            <w:tcBorders>
              <w:bottom w:val="single" w:sz="12" w:space="0" w:color="auto"/>
            </w:tcBorders>
            <w:shd w:val="clear" w:color="auto" w:fill="FFFFFF" w:themeFill="background1"/>
          </w:tcPr>
          <w:p w14:paraId="71482E77" w14:textId="77777777" w:rsidR="00803858" w:rsidRPr="00740C0A"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tcBorders>
              <w:bottom w:val="single" w:sz="12" w:space="0" w:color="auto"/>
            </w:tcBorders>
            <w:shd w:val="clear" w:color="auto" w:fill="FFFFFF" w:themeFill="background1"/>
          </w:tcPr>
          <w:p w14:paraId="792B8715"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0.84</w:t>
            </w:r>
          </w:p>
        </w:tc>
      </w:tr>
      <w:tr w:rsidR="00803858" w:rsidRPr="00740C0A" w14:paraId="1C458DC4" w14:textId="77777777" w:rsidTr="00CE09DB">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12" w:space="0" w:color="auto"/>
              <w:bottom w:val="single" w:sz="12" w:space="0" w:color="auto"/>
            </w:tcBorders>
            <w:shd w:val="clear" w:color="auto" w:fill="FFFFFF" w:themeFill="background1"/>
          </w:tcPr>
          <w:p w14:paraId="55D5DC50" w14:textId="77777777" w:rsidR="00803858" w:rsidRPr="004D67BE" w:rsidRDefault="00803858" w:rsidP="00817707">
            <w:pPr>
              <w:suppressLineNumbers/>
              <w:tabs>
                <w:tab w:val="decimal" w:pos="393"/>
                <w:tab w:val="decimal" w:pos="434"/>
                <w:tab w:val="decimal" w:pos="705"/>
              </w:tabs>
              <w:suppressAutoHyphens/>
              <w:ind w:firstLine="0"/>
              <w:contextualSpacing/>
              <w:rPr>
                <w:rFonts w:asciiTheme="majorBidi" w:eastAsia="Calibri" w:hAnsiTheme="majorBidi" w:cstheme="majorBidi"/>
                <w:b w:val="0"/>
                <w:bCs w:val="0"/>
                <w:iCs/>
                <w:color w:val="000000" w:themeColor="text1"/>
                <w:sz w:val="20"/>
                <w:szCs w:val="20"/>
              </w:rPr>
            </w:pPr>
            <w:r w:rsidRPr="00740C0A">
              <w:rPr>
                <w:rFonts w:asciiTheme="majorBidi" w:eastAsia="Calibri" w:hAnsiTheme="majorBidi" w:cstheme="majorBidi"/>
                <w:iCs/>
                <w:color w:val="000000" w:themeColor="text1"/>
                <w:sz w:val="20"/>
                <w:szCs w:val="20"/>
              </w:rPr>
              <w:t>Descriptive analysis</w:t>
            </w:r>
          </w:p>
        </w:tc>
        <w:tc>
          <w:tcPr>
            <w:tcW w:w="851" w:type="dxa"/>
            <w:tcBorders>
              <w:top w:val="single" w:sz="12" w:space="0" w:color="auto"/>
              <w:bottom w:val="single" w:sz="12" w:space="0" w:color="auto"/>
            </w:tcBorders>
            <w:shd w:val="clear" w:color="auto" w:fill="FFFFFF" w:themeFill="background1"/>
          </w:tcPr>
          <w:p w14:paraId="0871CAC6" w14:textId="77777777" w:rsidR="00803858" w:rsidRPr="00480F09"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c>
          <w:tcPr>
            <w:tcW w:w="567" w:type="dxa"/>
            <w:tcBorders>
              <w:top w:val="single" w:sz="12" w:space="0" w:color="auto"/>
              <w:bottom w:val="single" w:sz="12" w:space="0" w:color="auto"/>
            </w:tcBorders>
            <w:shd w:val="clear" w:color="auto" w:fill="FFFFFF" w:themeFill="background1"/>
          </w:tcPr>
          <w:p w14:paraId="107CBC04" w14:textId="77777777" w:rsidR="00803858" w:rsidRPr="0070517D"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r>
      <w:tr w:rsidR="00803858" w:rsidRPr="00740C0A" w14:paraId="0E03D598" w14:textId="77777777" w:rsidTr="00CE09DB">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auto"/>
            </w:tcBorders>
            <w:shd w:val="clear" w:color="auto" w:fill="FFFFFF" w:themeFill="background1"/>
          </w:tcPr>
          <w:p w14:paraId="335C6767"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Omissions</w:t>
            </w:r>
          </w:p>
        </w:tc>
        <w:tc>
          <w:tcPr>
            <w:tcW w:w="2410" w:type="dxa"/>
            <w:tcBorders>
              <w:top w:val="single" w:sz="12" w:space="0" w:color="auto"/>
            </w:tcBorders>
            <w:shd w:val="clear" w:color="auto" w:fill="FFFFFF" w:themeFill="background1"/>
          </w:tcPr>
          <w:p w14:paraId="7AF7B407" w14:textId="229A46AA" w:rsidR="00803858" w:rsidRPr="00D50D7A" w:rsidRDefault="00803858" w:rsidP="00480F09">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2.54</w:t>
            </w:r>
            <w:r w:rsidR="00994AA5" w:rsidRPr="0070517D">
              <w:rPr>
                <w:rFonts w:asciiTheme="majorBidi" w:eastAsia="Calibri" w:hAnsiTheme="majorBidi" w:cstheme="majorBidi"/>
                <w:color w:val="000000" w:themeColor="text1"/>
                <w:sz w:val="20"/>
                <w:szCs w:val="20"/>
              </w:rPr>
              <w:t xml:space="preserve"> (1.88)</w:t>
            </w:r>
            <w:r w:rsidRPr="0070517D">
              <w:rPr>
                <w:rFonts w:asciiTheme="majorBidi" w:eastAsia="Calibri" w:hAnsiTheme="majorBidi" w:cstheme="majorBidi"/>
                <w:color w:val="000000" w:themeColor="text1"/>
                <w:sz w:val="20"/>
                <w:szCs w:val="20"/>
              </w:rPr>
              <w:t xml:space="preserve"> [0–8]</w:t>
            </w:r>
          </w:p>
        </w:tc>
        <w:tc>
          <w:tcPr>
            <w:tcW w:w="2126" w:type="dxa"/>
            <w:tcBorders>
              <w:top w:val="single" w:sz="12" w:space="0" w:color="auto"/>
            </w:tcBorders>
            <w:shd w:val="clear" w:color="auto" w:fill="FFFFFF" w:themeFill="background1"/>
          </w:tcPr>
          <w:p w14:paraId="0BC27A0A" w14:textId="0F438FD5" w:rsidR="00803858" w:rsidRPr="00740C0A" w:rsidRDefault="00803858" w:rsidP="0070517D">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1.46</w:t>
            </w:r>
            <w:r w:rsidR="00994AA5" w:rsidRPr="00740C0A">
              <w:rPr>
                <w:rFonts w:asciiTheme="majorBidi" w:eastAsia="Calibri" w:hAnsiTheme="majorBidi" w:cstheme="majorBidi"/>
                <w:color w:val="000000" w:themeColor="text1"/>
                <w:sz w:val="20"/>
                <w:szCs w:val="20"/>
              </w:rPr>
              <w:t xml:space="preserve"> (1.25)</w:t>
            </w:r>
            <w:r w:rsidRPr="00740C0A">
              <w:rPr>
                <w:rFonts w:asciiTheme="majorBidi" w:eastAsia="Calibri" w:hAnsiTheme="majorBidi" w:cstheme="majorBidi"/>
                <w:color w:val="000000" w:themeColor="text1"/>
                <w:sz w:val="20"/>
                <w:szCs w:val="20"/>
              </w:rPr>
              <w:t xml:space="preserve"> [0–5]</w:t>
            </w:r>
          </w:p>
        </w:tc>
        <w:tc>
          <w:tcPr>
            <w:tcW w:w="709" w:type="dxa"/>
            <w:tcBorders>
              <w:top w:val="single" w:sz="12" w:space="0" w:color="auto"/>
            </w:tcBorders>
            <w:shd w:val="clear" w:color="auto" w:fill="FFFFFF" w:themeFill="background1"/>
          </w:tcPr>
          <w:p w14:paraId="3ED09119" w14:textId="77777777" w:rsidR="00803858" w:rsidRPr="00740C0A" w:rsidRDefault="00803858" w:rsidP="00D50D7A">
            <w:pPr>
              <w:suppressLineNumbers/>
              <w:tabs>
                <w:tab w:val="decimal" w:pos="188"/>
                <w:tab w:val="decimal" w:pos="616"/>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rPr>
            </w:pPr>
            <w:r w:rsidRPr="00740C0A">
              <w:rPr>
                <w:rFonts w:asciiTheme="majorBidi" w:eastAsia="Calibri" w:hAnsiTheme="majorBidi" w:cstheme="majorBidi"/>
                <w:color w:val="000000" w:themeColor="text1"/>
                <w:sz w:val="20"/>
                <w:szCs w:val="20"/>
              </w:rPr>
              <w:t>-3.13</w:t>
            </w:r>
          </w:p>
        </w:tc>
        <w:tc>
          <w:tcPr>
            <w:tcW w:w="851" w:type="dxa"/>
            <w:tcBorders>
              <w:top w:val="single" w:sz="12" w:space="0" w:color="auto"/>
            </w:tcBorders>
            <w:shd w:val="clear" w:color="auto" w:fill="FFFFFF" w:themeFill="background1"/>
          </w:tcPr>
          <w:p w14:paraId="625B4026"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.002</w:t>
            </w:r>
          </w:p>
        </w:tc>
        <w:tc>
          <w:tcPr>
            <w:tcW w:w="567" w:type="dxa"/>
            <w:tcBorders>
              <w:top w:val="single" w:sz="12" w:space="0" w:color="auto"/>
            </w:tcBorders>
            <w:shd w:val="clear" w:color="auto" w:fill="FFFFFF" w:themeFill="background1"/>
          </w:tcPr>
          <w:p w14:paraId="61B8EA5D"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0.68</w:t>
            </w:r>
          </w:p>
        </w:tc>
      </w:tr>
      <w:tr w:rsidR="00803858" w:rsidRPr="00740C0A" w14:paraId="1E876882" w14:textId="77777777" w:rsidTr="00CE09DB">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4425D999"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Additions</w:t>
            </w:r>
          </w:p>
        </w:tc>
        <w:tc>
          <w:tcPr>
            <w:tcW w:w="2410" w:type="dxa"/>
            <w:shd w:val="clear" w:color="auto" w:fill="FFFFFF" w:themeFill="background1"/>
          </w:tcPr>
          <w:p w14:paraId="7B1990F4" w14:textId="452B7FB1" w:rsidR="00803858" w:rsidRPr="00D50D7A" w:rsidRDefault="00803858" w:rsidP="00480F09">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13.22 </w:t>
            </w:r>
            <w:r w:rsidR="00994AA5" w:rsidRPr="0070517D">
              <w:rPr>
                <w:rFonts w:asciiTheme="majorBidi" w:eastAsia="Calibri" w:hAnsiTheme="majorBidi" w:cstheme="majorBidi"/>
                <w:color w:val="000000" w:themeColor="text1"/>
                <w:sz w:val="20"/>
                <w:szCs w:val="20"/>
              </w:rPr>
              <w:t xml:space="preserve">(9.15) </w:t>
            </w:r>
            <w:r w:rsidRPr="0070517D">
              <w:rPr>
                <w:rFonts w:asciiTheme="majorBidi" w:eastAsia="Calibri" w:hAnsiTheme="majorBidi" w:cstheme="majorBidi"/>
                <w:color w:val="000000" w:themeColor="text1"/>
                <w:sz w:val="20"/>
                <w:szCs w:val="20"/>
              </w:rPr>
              <w:t>[1–51]</w:t>
            </w:r>
          </w:p>
        </w:tc>
        <w:tc>
          <w:tcPr>
            <w:tcW w:w="2126" w:type="dxa"/>
            <w:shd w:val="clear" w:color="auto" w:fill="FFFFFF" w:themeFill="background1"/>
          </w:tcPr>
          <w:p w14:paraId="1EDAE0B2" w14:textId="14A3457A" w:rsidR="00803858" w:rsidRPr="00740C0A" w:rsidRDefault="00803858" w:rsidP="0070517D">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rPr>
            </w:pPr>
            <w:r w:rsidRPr="00740C0A">
              <w:rPr>
                <w:rFonts w:asciiTheme="majorBidi" w:eastAsia="Calibri" w:hAnsiTheme="majorBidi" w:cstheme="majorBidi"/>
                <w:color w:val="000000" w:themeColor="text1"/>
                <w:sz w:val="20"/>
                <w:szCs w:val="20"/>
              </w:rPr>
              <w:t xml:space="preserve">4.95 </w:t>
            </w:r>
            <w:r w:rsidR="00994AA5" w:rsidRPr="00740C0A">
              <w:rPr>
                <w:rFonts w:asciiTheme="majorBidi" w:eastAsia="Calibri" w:hAnsiTheme="majorBidi" w:cstheme="majorBidi"/>
                <w:color w:val="000000" w:themeColor="text1"/>
                <w:sz w:val="20"/>
                <w:szCs w:val="20"/>
              </w:rPr>
              <w:t>(3.97) [</w:t>
            </w:r>
            <w:r w:rsidRPr="00740C0A">
              <w:rPr>
                <w:rFonts w:asciiTheme="majorBidi" w:eastAsia="Calibri" w:hAnsiTheme="majorBidi" w:cstheme="majorBidi"/>
                <w:color w:val="000000" w:themeColor="text1"/>
                <w:sz w:val="20"/>
                <w:szCs w:val="20"/>
              </w:rPr>
              <w:t>0–15]</w:t>
            </w:r>
          </w:p>
        </w:tc>
        <w:tc>
          <w:tcPr>
            <w:tcW w:w="709" w:type="dxa"/>
            <w:shd w:val="clear" w:color="auto" w:fill="FFFFFF" w:themeFill="background1"/>
          </w:tcPr>
          <w:p w14:paraId="4DEAD079" w14:textId="77777777" w:rsidR="00803858" w:rsidRPr="00740C0A" w:rsidRDefault="00803858" w:rsidP="00D50D7A">
            <w:pPr>
              <w:suppressLineNumbers/>
              <w:tabs>
                <w:tab w:val="decimal" w:pos="188"/>
                <w:tab w:val="decimal" w:pos="616"/>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-4.80</w:t>
            </w:r>
          </w:p>
        </w:tc>
        <w:tc>
          <w:tcPr>
            <w:tcW w:w="851" w:type="dxa"/>
            <w:shd w:val="clear" w:color="auto" w:fill="FFFFFF" w:themeFill="background1"/>
          </w:tcPr>
          <w:p w14:paraId="444C9A8F"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shd w:val="clear" w:color="auto" w:fill="FFFFFF" w:themeFill="background1"/>
          </w:tcPr>
          <w:p w14:paraId="49D2294E"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1.17</w:t>
            </w:r>
          </w:p>
        </w:tc>
      </w:tr>
      <w:tr w:rsidR="00803858" w:rsidRPr="00740C0A" w14:paraId="596AF0CF" w14:textId="77777777" w:rsidTr="00CE09DB">
        <w:trPr>
          <w:trHeight w:val="23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4BC10E87"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Substitutions-sequences</w:t>
            </w:r>
          </w:p>
        </w:tc>
        <w:tc>
          <w:tcPr>
            <w:tcW w:w="2410" w:type="dxa"/>
            <w:shd w:val="clear" w:color="auto" w:fill="FFFFFF" w:themeFill="background1"/>
          </w:tcPr>
          <w:p w14:paraId="48573FF0" w14:textId="7129945B" w:rsidR="00803858" w:rsidRPr="00D50D7A" w:rsidRDefault="00803858" w:rsidP="00480F09">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5.32</w:t>
            </w:r>
            <w:r w:rsidR="00994AA5" w:rsidRPr="0070517D">
              <w:rPr>
                <w:rFonts w:asciiTheme="majorBidi" w:eastAsia="Calibri" w:hAnsiTheme="majorBidi" w:cstheme="majorBidi"/>
                <w:color w:val="000000" w:themeColor="text1"/>
                <w:sz w:val="20"/>
                <w:szCs w:val="20"/>
              </w:rPr>
              <w:t xml:space="preserve"> (3.08)</w:t>
            </w:r>
            <w:r w:rsidRPr="0070517D">
              <w:rPr>
                <w:rFonts w:asciiTheme="majorBidi" w:eastAsia="Calibri" w:hAnsiTheme="majorBidi" w:cstheme="majorBidi"/>
                <w:color w:val="000000" w:themeColor="text1"/>
                <w:sz w:val="20"/>
                <w:szCs w:val="20"/>
              </w:rPr>
              <w:t xml:space="preserve"> [0–11]</w:t>
            </w:r>
          </w:p>
        </w:tc>
        <w:tc>
          <w:tcPr>
            <w:tcW w:w="2126" w:type="dxa"/>
            <w:shd w:val="clear" w:color="auto" w:fill="FFFFFF" w:themeFill="background1"/>
          </w:tcPr>
          <w:p w14:paraId="563CAD6F" w14:textId="11D0134A" w:rsidR="00803858" w:rsidRPr="00740C0A" w:rsidRDefault="00803858" w:rsidP="0070517D">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 xml:space="preserve">3.12 </w:t>
            </w:r>
            <w:r w:rsidR="00994AA5" w:rsidRPr="00740C0A">
              <w:rPr>
                <w:rFonts w:asciiTheme="majorBidi" w:eastAsia="Calibri" w:hAnsiTheme="majorBidi" w:cstheme="majorBidi"/>
                <w:color w:val="000000" w:themeColor="text1"/>
                <w:sz w:val="20"/>
                <w:szCs w:val="20"/>
              </w:rPr>
              <w:t>(</w:t>
            </w:r>
            <w:r w:rsidRPr="00740C0A">
              <w:rPr>
                <w:rFonts w:asciiTheme="majorBidi" w:eastAsia="Calibri" w:hAnsiTheme="majorBidi" w:cstheme="majorBidi"/>
                <w:color w:val="000000" w:themeColor="text1"/>
                <w:sz w:val="20"/>
                <w:szCs w:val="20"/>
              </w:rPr>
              <w:t>2.49</w:t>
            </w:r>
            <w:r w:rsidR="00994AA5" w:rsidRPr="00740C0A">
              <w:rPr>
                <w:rFonts w:asciiTheme="majorBidi" w:eastAsia="Calibri" w:hAnsiTheme="majorBidi" w:cstheme="majorBidi"/>
                <w:color w:val="000000" w:themeColor="text1"/>
                <w:sz w:val="20"/>
                <w:szCs w:val="20"/>
              </w:rPr>
              <w:t>) [</w:t>
            </w:r>
            <w:r w:rsidRPr="00740C0A">
              <w:rPr>
                <w:rFonts w:asciiTheme="majorBidi" w:eastAsia="Calibri" w:hAnsiTheme="majorBidi" w:cstheme="majorBidi"/>
                <w:color w:val="000000" w:themeColor="text1"/>
                <w:sz w:val="20"/>
                <w:szCs w:val="20"/>
              </w:rPr>
              <w:t>0–9]</w:t>
            </w:r>
          </w:p>
        </w:tc>
        <w:tc>
          <w:tcPr>
            <w:tcW w:w="709" w:type="dxa"/>
            <w:shd w:val="clear" w:color="auto" w:fill="FFFFFF" w:themeFill="background1"/>
          </w:tcPr>
          <w:p w14:paraId="70D64D98" w14:textId="77777777" w:rsidR="00803858" w:rsidRPr="00740C0A" w:rsidRDefault="00803858" w:rsidP="00D50D7A">
            <w:pPr>
              <w:suppressLineNumbers/>
              <w:tabs>
                <w:tab w:val="decimal" w:pos="188"/>
                <w:tab w:val="decimal" w:pos="64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rPr>
            </w:pPr>
            <w:r w:rsidRPr="00740C0A">
              <w:rPr>
                <w:rFonts w:asciiTheme="majorBidi" w:eastAsia="Calibri" w:hAnsiTheme="majorBidi" w:cstheme="majorBidi"/>
                <w:color w:val="000000" w:themeColor="text1"/>
                <w:sz w:val="20"/>
                <w:szCs w:val="20"/>
              </w:rPr>
              <w:t>-3.04</w:t>
            </w:r>
          </w:p>
        </w:tc>
        <w:tc>
          <w:tcPr>
            <w:tcW w:w="851" w:type="dxa"/>
            <w:shd w:val="clear" w:color="auto" w:fill="FFFFFF" w:themeFill="background1"/>
          </w:tcPr>
          <w:p w14:paraId="686BAAFD"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.002</w:t>
            </w:r>
          </w:p>
        </w:tc>
        <w:tc>
          <w:tcPr>
            <w:tcW w:w="567" w:type="dxa"/>
            <w:shd w:val="clear" w:color="auto" w:fill="FFFFFF" w:themeFill="background1"/>
          </w:tcPr>
          <w:p w14:paraId="058BA5F9"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0.78</w:t>
            </w:r>
          </w:p>
        </w:tc>
      </w:tr>
      <w:tr w:rsidR="00803858" w:rsidRPr="00740C0A" w14:paraId="5CAF8DFA" w14:textId="77777777" w:rsidTr="00CE09DB">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6A52D9B" w14:textId="53A1AE20"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 xml:space="preserve">Estimation </w:t>
            </w:r>
            <w:r w:rsidR="00861B23">
              <w:rPr>
                <w:rFonts w:asciiTheme="majorBidi" w:eastAsia="Calibri" w:hAnsiTheme="majorBidi" w:cstheme="majorBidi"/>
                <w:color w:val="000000" w:themeColor="text1"/>
                <w:sz w:val="20"/>
                <w:szCs w:val="20"/>
              </w:rPr>
              <w:t>Errors</w:t>
            </w:r>
          </w:p>
        </w:tc>
        <w:tc>
          <w:tcPr>
            <w:tcW w:w="2410" w:type="dxa"/>
            <w:shd w:val="clear" w:color="auto" w:fill="FFFFFF" w:themeFill="background1"/>
          </w:tcPr>
          <w:p w14:paraId="39D38F8A" w14:textId="4272CB22" w:rsidR="00803858" w:rsidRPr="00D50D7A" w:rsidRDefault="00803858" w:rsidP="00480F09">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5.63 </w:t>
            </w:r>
            <w:r w:rsidR="00994AA5" w:rsidRPr="0070517D">
              <w:rPr>
                <w:rFonts w:asciiTheme="majorBidi" w:eastAsia="Calibri" w:hAnsiTheme="majorBidi" w:cstheme="majorBidi"/>
                <w:color w:val="000000" w:themeColor="text1"/>
                <w:sz w:val="20"/>
                <w:szCs w:val="20"/>
              </w:rPr>
              <w:t xml:space="preserve">(2.40) </w:t>
            </w:r>
            <w:r w:rsidRPr="0070517D">
              <w:rPr>
                <w:rFonts w:asciiTheme="majorBidi" w:eastAsia="Calibri" w:hAnsiTheme="majorBidi" w:cstheme="majorBidi"/>
                <w:color w:val="000000" w:themeColor="text1"/>
                <w:sz w:val="20"/>
                <w:szCs w:val="20"/>
              </w:rPr>
              <w:t>[0–10]</w:t>
            </w:r>
          </w:p>
        </w:tc>
        <w:tc>
          <w:tcPr>
            <w:tcW w:w="2126" w:type="dxa"/>
            <w:shd w:val="clear" w:color="auto" w:fill="FFFFFF" w:themeFill="background1"/>
          </w:tcPr>
          <w:p w14:paraId="04368145" w14:textId="6B2EAD12" w:rsidR="00803858" w:rsidRPr="00740C0A" w:rsidRDefault="00803858" w:rsidP="0070517D">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 xml:space="preserve">2.98 </w:t>
            </w:r>
            <w:r w:rsidR="00994AA5" w:rsidRPr="00740C0A">
              <w:rPr>
                <w:rFonts w:asciiTheme="majorBidi" w:eastAsia="Calibri" w:hAnsiTheme="majorBidi" w:cstheme="majorBidi"/>
                <w:color w:val="000000" w:themeColor="text1"/>
                <w:sz w:val="20"/>
                <w:szCs w:val="20"/>
              </w:rPr>
              <w:t xml:space="preserve">(2.63) </w:t>
            </w:r>
            <w:r w:rsidRPr="00740C0A">
              <w:rPr>
                <w:rFonts w:asciiTheme="majorBidi" w:eastAsia="Calibri" w:hAnsiTheme="majorBidi" w:cstheme="majorBidi"/>
                <w:color w:val="000000" w:themeColor="text1"/>
                <w:sz w:val="20"/>
                <w:szCs w:val="20"/>
              </w:rPr>
              <w:t>[0–10]</w:t>
            </w:r>
          </w:p>
        </w:tc>
        <w:tc>
          <w:tcPr>
            <w:tcW w:w="709" w:type="dxa"/>
            <w:shd w:val="clear" w:color="auto" w:fill="FFFFFF" w:themeFill="background1"/>
          </w:tcPr>
          <w:p w14:paraId="3A09E944" w14:textId="77777777" w:rsidR="00803858" w:rsidRPr="00740C0A" w:rsidRDefault="00803858" w:rsidP="00D50D7A">
            <w:pPr>
              <w:suppressLineNumbers/>
              <w:tabs>
                <w:tab w:val="decimal" w:pos="188"/>
                <w:tab w:val="decimal" w:pos="64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-4.27</w:t>
            </w:r>
          </w:p>
        </w:tc>
        <w:tc>
          <w:tcPr>
            <w:tcW w:w="851" w:type="dxa"/>
            <w:shd w:val="clear" w:color="auto" w:fill="FFFFFF" w:themeFill="background1"/>
          </w:tcPr>
          <w:p w14:paraId="2946AE32"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shd w:val="clear" w:color="auto" w:fill="FFFFFF" w:themeFill="background1"/>
          </w:tcPr>
          <w:p w14:paraId="17957B80"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1.05</w:t>
            </w:r>
          </w:p>
        </w:tc>
      </w:tr>
      <w:tr w:rsidR="00803858" w:rsidRPr="00740C0A" w14:paraId="705BDF12" w14:textId="77777777" w:rsidTr="00CE09DB">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auto"/>
            </w:tcBorders>
            <w:shd w:val="clear" w:color="auto" w:fill="FFFFFF" w:themeFill="background1"/>
          </w:tcPr>
          <w:p w14:paraId="55E69DAA"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Commentary-question</w:t>
            </w:r>
          </w:p>
        </w:tc>
        <w:tc>
          <w:tcPr>
            <w:tcW w:w="2410" w:type="dxa"/>
            <w:tcBorders>
              <w:bottom w:val="single" w:sz="12" w:space="0" w:color="auto"/>
            </w:tcBorders>
            <w:shd w:val="clear" w:color="auto" w:fill="FFFFFF" w:themeFill="background1"/>
          </w:tcPr>
          <w:p w14:paraId="0B3B678A" w14:textId="19404A70" w:rsidR="00803858" w:rsidRPr="00D50D7A" w:rsidRDefault="00803858" w:rsidP="00480F09">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18.88 </w:t>
            </w:r>
            <w:r w:rsidR="00994AA5" w:rsidRPr="0070517D">
              <w:rPr>
                <w:rFonts w:asciiTheme="majorBidi" w:eastAsia="Calibri" w:hAnsiTheme="majorBidi" w:cstheme="majorBidi"/>
                <w:color w:val="000000" w:themeColor="text1"/>
                <w:sz w:val="20"/>
                <w:szCs w:val="20"/>
              </w:rPr>
              <w:t xml:space="preserve">(20.54) </w:t>
            </w:r>
            <w:r w:rsidRPr="0070517D">
              <w:rPr>
                <w:rFonts w:asciiTheme="majorBidi" w:eastAsia="Calibri" w:hAnsiTheme="majorBidi" w:cstheme="majorBidi"/>
                <w:color w:val="000000" w:themeColor="text1"/>
                <w:sz w:val="20"/>
                <w:szCs w:val="20"/>
              </w:rPr>
              <w:t>[0–113]</w:t>
            </w:r>
          </w:p>
        </w:tc>
        <w:tc>
          <w:tcPr>
            <w:tcW w:w="2126" w:type="dxa"/>
            <w:tcBorders>
              <w:bottom w:val="single" w:sz="12" w:space="0" w:color="auto"/>
            </w:tcBorders>
            <w:shd w:val="clear" w:color="auto" w:fill="FFFFFF" w:themeFill="background1"/>
          </w:tcPr>
          <w:p w14:paraId="00FFD860" w14:textId="2F74A7BB" w:rsidR="00803858" w:rsidRPr="00740C0A" w:rsidRDefault="00803858" w:rsidP="0070517D">
            <w:pPr>
              <w:suppressLineNumbers/>
              <w:tabs>
                <w:tab w:val="decimal" w:pos="43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4.83</w:t>
            </w:r>
            <w:r w:rsidR="00994AA5" w:rsidRPr="00740C0A">
              <w:rPr>
                <w:rFonts w:asciiTheme="majorBidi" w:eastAsia="Calibri" w:hAnsiTheme="majorBidi" w:cstheme="majorBidi"/>
                <w:color w:val="000000" w:themeColor="text1"/>
                <w:sz w:val="20"/>
                <w:szCs w:val="20"/>
              </w:rPr>
              <w:t xml:space="preserve"> (7.69)</w:t>
            </w:r>
            <w:r w:rsidRPr="00740C0A">
              <w:rPr>
                <w:rFonts w:asciiTheme="majorBidi" w:eastAsia="Calibri" w:hAnsiTheme="majorBidi" w:cstheme="majorBidi"/>
                <w:color w:val="000000" w:themeColor="text1"/>
                <w:sz w:val="20"/>
                <w:szCs w:val="20"/>
              </w:rPr>
              <w:t xml:space="preserve"> [0–33]</w:t>
            </w:r>
          </w:p>
        </w:tc>
        <w:tc>
          <w:tcPr>
            <w:tcW w:w="709" w:type="dxa"/>
            <w:tcBorders>
              <w:bottom w:val="single" w:sz="12" w:space="0" w:color="auto"/>
            </w:tcBorders>
            <w:shd w:val="clear" w:color="auto" w:fill="FFFFFF" w:themeFill="background1"/>
          </w:tcPr>
          <w:p w14:paraId="721C9A09" w14:textId="77777777" w:rsidR="00803858" w:rsidRPr="00740C0A" w:rsidRDefault="00803858" w:rsidP="00D50D7A">
            <w:pPr>
              <w:suppressLineNumbers/>
              <w:tabs>
                <w:tab w:val="decimal" w:pos="188"/>
                <w:tab w:val="decimal" w:pos="64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-4.34</w:t>
            </w:r>
          </w:p>
        </w:tc>
        <w:tc>
          <w:tcPr>
            <w:tcW w:w="851" w:type="dxa"/>
            <w:tcBorders>
              <w:bottom w:val="single" w:sz="12" w:space="0" w:color="auto"/>
            </w:tcBorders>
            <w:shd w:val="clear" w:color="auto" w:fill="FFFFFF" w:themeFill="background1"/>
          </w:tcPr>
          <w:p w14:paraId="4E4E5031"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tcBorders>
              <w:bottom w:val="single" w:sz="12" w:space="0" w:color="auto"/>
            </w:tcBorders>
            <w:shd w:val="clear" w:color="auto" w:fill="FFFFFF" w:themeFill="background1"/>
          </w:tcPr>
          <w:p w14:paraId="2D675606"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0.90</w:t>
            </w:r>
          </w:p>
        </w:tc>
      </w:tr>
      <w:tr w:rsidR="00803858" w:rsidRPr="00740C0A" w14:paraId="568DAA46" w14:textId="77777777" w:rsidTr="00CE09DB">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12" w:space="0" w:color="auto"/>
              <w:bottom w:val="single" w:sz="12" w:space="0" w:color="auto"/>
            </w:tcBorders>
            <w:shd w:val="clear" w:color="auto" w:fill="FFFFFF" w:themeFill="background1"/>
          </w:tcPr>
          <w:p w14:paraId="0F89ACE7" w14:textId="77777777" w:rsidR="00803858" w:rsidRPr="004D67BE" w:rsidRDefault="00803858" w:rsidP="00817707">
            <w:pPr>
              <w:suppressLineNumbers/>
              <w:tabs>
                <w:tab w:val="decimal" w:pos="188"/>
                <w:tab w:val="decimal" w:pos="434"/>
                <w:tab w:val="decimal" w:pos="705"/>
                <w:tab w:val="decimal" w:pos="1547"/>
              </w:tabs>
              <w:suppressAutoHyphens/>
              <w:ind w:firstLine="0"/>
              <w:contextualSpacing/>
              <w:rPr>
                <w:rFonts w:asciiTheme="majorBidi" w:eastAsia="Calibri" w:hAnsiTheme="majorBidi" w:cstheme="majorBidi"/>
                <w:b w:val="0"/>
                <w:bCs w:val="0"/>
                <w:iCs/>
                <w:color w:val="000000" w:themeColor="text1"/>
                <w:sz w:val="20"/>
                <w:szCs w:val="20"/>
              </w:rPr>
            </w:pPr>
            <w:r w:rsidRPr="00740C0A">
              <w:rPr>
                <w:rFonts w:asciiTheme="majorBidi" w:eastAsia="Calibri" w:hAnsiTheme="majorBidi" w:cstheme="majorBidi"/>
                <w:iCs/>
                <w:color w:val="000000" w:themeColor="text1"/>
                <w:sz w:val="20"/>
                <w:szCs w:val="20"/>
              </w:rPr>
              <w:t>Neuropsychological analysis</w:t>
            </w:r>
          </w:p>
        </w:tc>
        <w:tc>
          <w:tcPr>
            <w:tcW w:w="851" w:type="dxa"/>
            <w:tcBorders>
              <w:top w:val="single" w:sz="12" w:space="0" w:color="auto"/>
              <w:bottom w:val="single" w:sz="12" w:space="0" w:color="auto"/>
            </w:tcBorders>
            <w:shd w:val="clear" w:color="auto" w:fill="FFFFFF" w:themeFill="background1"/>
          </w:tcPr>
          <w:p w14:paraId="2FBADB08" w14:textId="77777777" w:rsidR="00803858" w:rsidRPr="00480F09" w:rsidRDefault="00803858" w:rsidP="00480F09">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c>
          <w:tcPr>
            <w:tcW w:w="567" w:type="dxa"/>
            <w:tcBorders>
              <w:top w:val="single" w:sz="12" w:space="0" w:color="auto"/>
              <w:bottom w:val="single" w:sz="12" w:space="0" w:color="auto"/>
            </w:tcBorders>
            <w:shd w:val="clear" w:color="auto" w:fill="FFFFFF" w:themeFill="background1"/>
          </w:tcPr>
          <w:p w14:paraId="2E7195D4" w14:textId="77777777" w:rsidR="00803858" w:rsidRPr="0070517D" w:rsidRDefault="00803858" w:rsidP="0070517D">
            <w:pPr>
              <w:suppressLineNumbers/>
              <w:suppressAutoHyphens/>
              <w:ind w:firstLine="0"/>
              <w:contextualSpacing/>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r>
      <w:tr w:rsidR="00803858" w:rsidRPr="00740C0A" w14:paraId="2EE95F69" w14:textId="77777777" w:rsidTr="00CE09DB">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auto"/>
            </w:tcBorders>
            <w:shd w:val="clear" w:color="auto" w:fill="FFFFFF" w:themeFill="background1"/>
          </w:tcPr>
          <w:p w14:paraId="13CA2B7B"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Control errors</w:t>
            </w:r>
          </w:p>
        </w:tc>
        <w:tc>
          <w:tcPr>
            <w:tcW w:w="2410" w:type="dxa"/>
            <w:tcBorders>
              <w:top w:val="single" w:sz="12" w:space="0" w:color="auto"/>
            </w:tcBorders>
            <w:shd w:val="clear" w:color="auto" w:fill="FFFFFF" w:themeFill="background1"/>
          </w:tcPr>
          <w:p w14:paraId="4DF2BE50" w14:textId="29289CA6" w:rsidR="00803858" w:rsidRPr="00D50D7A" w:rsidRDefault="00803858" w:rsidP="00480F09">
            <w:pPr>
              <w:suppressLineNumbers/>
              <w:tabs>
                <w:tab w:val="decimal" w:pos="38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7.80 </w:t>
            </w:r>
            <w:r w:rsidR="00994AA5" w:rsidRPr="0070517D">
              <w:rPr>
                <w:rFonts w:asciiTheme="majorBidi" w:eastAsia="Calibri" w:hAnsiTheme="majorBidi" w:cstheme="majorBidi"/>
                <w:color w:val="000000" w:themeColor="text1"/>
                <w:sz w:val="20"/>
                <w:szCs w:val="20"/>
              </w:rPr>
              <w:t xml:space="preserve">(4.56) </w:t>
            </w:r>
            <w:r w:rsidRPr="0070517D">
              <w:rPr>
                <w:rFonts w:asciiTheme="majorBidi" w:eastAsia="Calibri" w:hAnsiTheme="majorBidi" w:cstheme="majorBidi"/>
                <w:color w:val="000000" w:themeColor="text1"/>
                <w:sz w:val="20"/>
                <w:szCs w:val="20"/>
              </w:rPr>
              <w:t>[1–21]</w:t>
            </w:r>
          </w:p>
        </w:tc>
        <w:tc>
          <w:tcPr>
            <w:tcW w:w="2126" w:type="dxa"/>
            <w:tcBorders>
              <w:top w:val="single" w:sz="12" w:space="0" w:color="auto"/>
            </w:tcBorders>
            <w:shd w:val="clear" w:color="auto" w:fill="FFFFFF" w:themeFill="background1"/>
          </w:tcPr>
          <w:p w14:paraId="747BD87A" w14:textId="2152EDAB" w:rsidR="00803858" w:rsidRPr="00740C0A" w:rsidRDefault="00803858" w:rsidP="0070517D">
            <w:pPr>
              <w:suppressLineNumbers/>
              <w:tabs>
                <w:tab w:val="decimal" w:pos="352"/>
              </w:tabs>
              <w:suppressAutoHyphens/>
              <w:ind w:firstLine="0"/>
              <w:contextualSpacing/>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4.59</w:t>
            </w:r>
            <w:r w:rsidR="00994AA5" w:rsidRPr="00740C0A">
              <w:rPr>
                <w:rFonts w:asciiTheme="majorBidi" w:eastAsia="Calibri" w:hAnsiTheme="majorBidi" w:cstheme="majorBidi"/>
                <w:color w:val="000000" w:themeColor="text1"/>
                <w:sz w:val="20"/>
                <w:szCs w:val="20"/>
              </w:rPr>
              <w:t xml:space="preserve"> (3.26)</w:t>
            </w:r>
            <w:r w:rsidRPr="00740C0A">
              <w:rPr>
                <w:rFonts w:asciiTheme="majorBidi" w:eastAsia="Calibri" w:hAnsiTheme="majorBidi" w:cstheme="majorBidi"/>
                <w:color w:val="000000" w:themeColor="text1"/>
                <w:sz w:val="20"/>
                <w:szCs w:val="20"/>
              </w:rPr>
              <w:t xml:space="preserve"> [0–14]</w:t>
            </w:r>
          </w:p>
        </w:tc>
        <w:tc>
          <w:tcPr>
            <w:tcW w:w="709" w:type="dxa"/>
            <w:tcBorders>
              <w:top w:val="single" w:sz="12" w:space="0" w:color="auto"/>
            </w:tcBorders>
            <w:shd w:val="clear" w:color="auto" w:fill="FFFFFF" w:themeFill="background1"/>
          </w:tcPr>
          <w:p w14:paraId="4E2CC338" w14:textId="77777777" w:rsidR="00803858" w:rsidRPr="00740C0A" w:rsidRDefault="00803858" w:rsidP="00D50D7A">
            <w:pPr>
              <w:suppressLineNumbers/>
              <w:tabs>
                <w:tab w:val="decimal" w:pos="188"/>
                <w:tab w:val="decimal" w:pos="71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-3.69</w:t>
            </w:r>
          </w:p>
        </w:tc>
        <w:tc>
          <w:tcPr>
            <w:tcW w:w="851" w:type="dxa"/>
            <w:tcBorders>
              <w:top w:val="single" w:sz="12" w:space="0" w:color="auto"/>
            </w:tcBorders>
            <w:shd w:val="clear" w:color="auto" w:fill="FFFFFF" w:themeFill="background1"/>
          </w:tcPr>
          <w:p w14:paraId="264A21C6"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tcBorders>
              <w:top w:val="single" w:sz="12" w:space="0" w:color="auto"/>
            </w:tcBorders>
            <w:shd w:val="clear" w:color="auto" w:fill="FFFFFF" w:themeFill="background1"/>
          </w:tcPr>
          <w:p w14:paraId="04FE6806"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0.81</w:t>
            </w:r>
          </w:p>
        </w:tc>
      </w:tr>
      <w:tr w:rsidR="00803858" w:rsidRPr="00740C0A" w14:paraId="2861C47F" w14:textId="77777777" w:rsidTr="00CE09DB">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49FDFF95"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Context neglect</w:t>
            </w:r>
          </w:p>
        </w:tc>
        <w:tc>
          <w:tcPr>
            <w:tcW w:w="2410" w:type="dxa"/>
            <w:shd w:val="clear" w:color="auto" w:fill="FFFFFF" w:themeFill="background1"/>
          </w:tcPr>
          <w:p w14:paraId="3042D910" w14:textId="7DA70F45" w:rsidR="00803858" w:rsidRPr="00D50D7A" w:rsidRDefault="00803858" w:rsidP="00480F09">
            <w:pPr>
              <w:suppressLineNumbers/>
              <w:tabs>
                <w:tab w:val="decimal" w:pos="38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31.27 </w:t>
            </w:r>
            <w:r w:rsidR="00994AA5" w:rsidRPr="0070517D">
              <w:rPr>
                <w:rFonts w:asciiTheme="majorBidi" w:eastAsia="Calibri" w:hAnsiTheme="majorBidi" w:cstheme="majorBidi"/>
                <w:color w:val="000000" w:themeColor="text1"/>
                <w:sz w:val="20"/>
                <w:szCs w:val="20"/>
              </w:rPr>
              <w:t xml:space="preserve">(21.24) </w:t>
            </w:r>
            <w:r w:rsidRPr="0070517D">
              <w:rPr>
                <w:rFonts w:asciiTheme="majorBidi" w:eastAsia="Calibri" w:hAnsiTheme="majorBidi" w:cstheme="majorBidi"/>
                <w:color w:val="000000" w:themeColor="text1"/>
                <w:sz w:val="20"/>
                <w:szCs w:val="20"/>
              </w:rPr>
              <w:t>[8–120]</w:t>
            </w:r>
          </w:p>
        </w:tc>
        <w:tc>
          <w:tcPr>
            <w:tcW w:w="2126" w:type="dxa"/>
            <w:shd w:val="clear" w:color="auto" w:fill="FFFFFF" w:themeFill="background1"/>
          </w:tcPr>
          <w:p w14:paraId="0F8DFDCD" w14:textId="5803B734" w:rsidR="00803858" w:rsidRPr="00740C0A" w:rsidRDefault="00803858" w:rsidP="0070517D">
            <w:pPr>
              <w:suppressLineNumbers/>
              <w:tabs>
                <w:tab w:val="decimal" w:pos="352"/>
              </w:tabs>
              <w:suppressAutoHyphens/>
              <w:ind w:firstLine="0"/>
              <w:contextualSpacing/>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 xml:space="preserve">12.27 </w:t>
            </w:r>
            <w:r w:rsidR="00994AA5" w:rsidRPr="00740C0A">
              <w:rPr>
                <w:rFonts w:asciiTheme="majorBidi" w:eastAsia="Calibri" w:hAnsiTheme="majorBidi" w:cstheme="majorBidi"/>
                <w:color w:val="000000" w:themeColor="text1"/>
                <w:sz w:val="20"/>
                <w:szCs w:val="20"/>
              </w:rPr>
              <w:t xml:space="preserve">(8.82) </w:t>
            </w:r>
            <w:r w:rsidRPr="00740C0A">
              <w:rPr>
                <w:rFonts w:asciiTheme="majorBidi" w:eastAsia="Calibri" w:hAnsiTheme="majorBidi" w:cstheme="majorBidi"/>
                <w:color w:val="000000" w:themeColor="text1"/>
                <w:sz w:val="20"/>
                <w:szCs w:val="20"/>
              </w:rPr>
              <w:t>[1-37]</w:t>
            </w:r>
          </w:p>
        </w:tc>
        <w:tc>
          <w:tcPr>
            <w:tcW w:w="709" w:type="dxa"/>
            <w:shd w:val="clear" w:color="auto" w:fill="FFFFFF" w:themeFill="background1"/>
          </w:tcPr>
          <w:p w14:paraId="554E63C9" w14:textId="77777777" w:rsidR="00803858" w:rsidRPr="00740C0A" w:rsidRDefault="00803858" w:rsidP="00D50D7A">
            <w:pPr>
              <w:suppressLineNumbers/>
              <w:tabs>
                <w:tab w:val="decimal" w:pos="188"/>
                <w:tab w:val="decimal" w:pos="71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-4.89</w:t>
            </w:r>
          </w:p>
        </w:tc>
        <w:tc>
          <w:tcPr>
            <w:tcW w:w="851" w:type="dxa"/>
            <w:shd w:val="clear" w:color="auto" w:fill="FFFFFF" w:themeFill="background1"/>
          </w:tcPr>
          <w:p w14:paraId="3B56E658"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shd w:val="clear" w:color="auto" w:fill="FFFFFF" w:themeFill="background1"/>
          </w:tcPr>
          <w:p w14:paraId="0FCF8D05"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1.17</w:t>
            </w:r>
          </w:p>
        </w:tc>
      </w:tr>
      <w:tr w:rsidR="00803858" w:rsidRPr="00740C0A" w14:paraId="2B6882AB" w14:textId="77777777" w:rsidTr="00CE09DB">
        <w:trPr>
          <w:trHeight w:val="316"/>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49BC0125"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Environmental adherence</w:t>
            </w:r>
          </w:p>
        </w:tc>
        <w:tc>
          <w:tcPr>
            <w:tcW w:w="2410" w:type="dxa"/>
            <w:shd w:val="clear" w:color="auto" w:fill="FFFFFF" w:themeFill="background1"/>
          </w:tcPr>
          <w:p w14:paraId="4C84CD72" w14:textId="763B5715" w:rsidR="00803858" w:rsidRPr="00D50D7A" w:rsidRDefault="00803858" w:rsidP="00480F09">
            <w:pPr>
              <w:suppressLineNumbers/>
              <w:tabs>
                <w:tab w:val="decimal" w:pos="38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5.20</w:t>
            </w:r>
            <w:r w:rsidR="00994AA5" w:rsidRPr="0070517D">
              <w:rPr>
                <w:rFonts w:asciiTheme="majorBidi" w:eastAsia="Calibri" w:hAnsiTheme="majorBidi" w:cstheme="majorBidi"/>
                <w:color w:val="000000" w:themeColor="text1"/>
                <w:sz w:val="20"/>
                <w:szCs w:val="20"/>
              </w:rPr>
              <w:t xml:space="preserve"> (3.87)</w:t>
            </w:r>
            <w:r w:rsidRPr="0070517D">
              <w:rPr>
                <w:rFonts w:asciiTheme="majorBidi" w:eastAsia="Calibri" w:hAnsiTheme="majorBidi" w:cstheme="majorBidi"/>
                <w:color w:val="000000" w:themeColor="text1"/>
                <w:sz w:val="20"/>
                <w:szCs w:val="20"/>
              </w:rPr>
              <w:t xml:space="preserve"> [0</w:t>
            </w:r>
            <w:r w:rsidRPr="00D50D7A">
              <w:rPr>
                <w:rFonts w:ascii="Myanmar Text" w:eastAsia="Calibri" w:hAnsi="Myanmar Text" w:cs="Myanmar Text"/>
                <w:color w:val="000000" w:themeColor="text1"/>
                <w:sz w:val="20"/>
                <w:szCs w:val="20"/>
              </w:rPr>
              <w:t>–</w:t>
            </w:r>
            <w:r w:rsidRPr="00D50D7A">
              <w:rPr>
                <w:rFonts w:asciiTheme="majorBidi" w:eastAsia="Calibri" w:hAnsiTheme="majorBidi" w:cstheme="majorBidi"/>
                <w:color w:val="000000" w:themeColor="text1"/>
                <w:sz w:val="20"/>
                <w:szCs w:val="20"/>
              </w:rPr>
              <w:t>23]</w:t>
            </w:r>
          </w:p>
        </w:tc>
        <w:tc>
          <w:tcPr>
            <w:tcW w:w="2126" w:type="dxa"/>
            <w:shd w:val="clear" w:color="auto" w:fill="FFFFFF" w:themeFill="background1"/>
          </w:tcPr>
          <w:p w14:paraId="1DCA6290" w14:textId="6A71D6ED" w:rsidR="00803858" w:rsidRPr="00740C0A" w:rsidRDefault="00803858" w:rsidP="0070517D">
            <w:pPr>
              <w:suppressLineNumbers/>
              <w:tabs>
                <w:tab w:val="decimal" w:pos="352"/>
              </w:tabs>
              <w:suppressAutoHyphens/>
              <w:ind w:firstLine="0"/>
              <w:contextualSpacing/>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 xml:space="preserve">2.37 </w:t>
            </w:r>
            <w:r w:rsidR="00994AA5" w:rsidRPr="00740C0A">
              <w:rPr>
                <w:rFonts w:asciiTheme="majorBidi" w:eastAsia="Calibri" w:hAnsiTheme="majorBidi" w:cstheme="majorBidi"/>
                <w:color w:val="000000" w:themeColor="text1"/>
                <w:sz w:val="20"/>
                <w:szCs w:val="20"/>
              </w:rPr>
              <w:t xml:space="preserve">(1.70) </w:t>
            </w:r>
            <w:r w:rsidRPr="00740C0A">
              <w:rPr>
                <w:rFonts w:asciiTheme="majorBidi" w:eastAsia="Calibri" w:hAnsiTheme="majorBidi" w:cstheme="majorBidi"/>
                <w:color w:val="000000" w:themeColor="text1"/>
                <w:sz w:val="20"/>
                <w:szCs w:val="20"/>
              </w:rPr>
              <w:t>[0–7]</w:t>
            </w:r>
          </w:p>
        </w:tc>
        <w:tc>
          <w:tcPr>
            <w:tcW w:w="709" w:type="dxa"/>
            <w:shd w:val="clear" w:color="auto" w:fill="FFFFFF" w:themeFill="background1"/>
          </w:tcPr>
          <w:p w14:paraId="7833E11C" w14:textId="77777777" w:rsidR="00803858" w:rsidRPr="00740C0A" w:rsidRDefault="00803858" w:rsidP="00D50D7A">
            <w:pPr>
              <w:suppressLineNumbers/>
              <w:tabs>
                <w:tab w:val="decimal" w:pos="188"/>
                <w:tab w:val="decimal" w:pos="71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-4.31</w:t>
            </w:r>
          </w:p>
        </w:tc>
        <w:tc>
          <w:tcPr>
            <w:tcW w:w="851" w:type="dxa"/>
            <w:shd w:val="clear" w:color="auto" w:fill="FFFFFF" w:themeFill="background1"/>
          </w:tcPr>
          <w:p w14:paraId="794FF537"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shd w:val="clear" w:color="auto" w:fill="FFFFFF" w:themeFill="background1"/>
          </w:tcPr>
          <w:p w14:paraId="0B7F3D8A"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0.95</w:t>
            </w:r>
          </w:p>
        </w:tc>
      </w:tr>
      <w:tr w:rsidR="00803858" w:rsidRPr="00740C0A" w14:paraId="61CC165A" w14:textId="77777777" w:rsidTr="00CE09DB">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6369A20D"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Purposeless action</w:t>
            </w:r>
          </w:p>
        </w:tc>
        <w:tc>
          <w:tcPr>
            <w:tcW w:w="2410" w:type="dxa"/>
            <w:shd w:val="clear" w:color="auto" w:fill="FFFFFF" w:themeFill="background1"/>
          </w:tcPr>
          <w:p w14:paraId="667AB4F2" w14:textId="3C1AD86C" w:rsidR="00803858" w:rsidRPr="00D50D7A" w:rsidRDefault="00803858" w:rsidP="00480F09">
            <w:pPr>
              <w:suppressLineNumbers/>
              <w:tabs>
                <w:tab w:val="decimal" w:pos="38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6.22 </w:t>
            </w:r>
            <w:r w:rsidR="00994AA5" w:rsidRPr="0070517D">
              <w:rPr>
                <w:rFonts w:asciiTheme="majorBidi" w:eastAsia="Calibri" w:hAnsiTheme="majorBidi" w:cstheme="majorBidi"/>
                <w:color w:val="000000" w:themeColor="text1"/>
                <w:sz w:val="20"/>
                <w:szCs w:val="20"/>
              </w:rPr>
              <w:t xml:space="preserve">(5.65) </w:t>
            </w:r>
            <w:r w:rsidRPr="0070517D">
              <w:rPr>
                <w:rFonts w:asciiTheme="majorBidi" w:eastAsia="Calibri" w:hAnsiTheme="majorBidi" w:cstheme="majorBidi"/>
                <w:color w:val="000000" w:themeColor="text1"/>
                <w:sz w:val="20"/>
                <w:szCs w:val="20"/>
              </w:rPr>
              <w:t>[0–20]</w:t>
            </w:r>
          </w:p>
        </w:tc>
        <w:tc>
          <w:tcPr>
            <w:tcW w:w="2126" w:type="dxa"/>
            <w:shd w:val="clear" w:color="auto" w:fill="FFFFFF" w:themeFill="background1"/>
          </w:tcPr>
          <w:p w14:paraId="0C7C9B28" w14:textId="3579F541" w:rsidR="00803858" w:rsidRPr="00740C0A" w:rsidRDefault="00803858" w:rsidP="0070517D">
            <w:pPr>
              <w:suppressLineNumbers/>
              <w:tabs>
                <w:tab w:val="decimal" w:pos="352"/>
              </w:tabs>
              <w:suppressAutoHyphens/>
              <w:ind w:firstLine="0"/>
              <w:contextualSpacing/>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 xml:space="preserve">2.46 </w:t>
            </w:r>
            <w:r w:rsidR="00994AA5" w:rsidRPr="00740C0A">
              <w:rPr>
                <w:rFonts w:asciiTheme="majorBidi" w:eastAsia="Calibri" w:hAnsiTheme="majorBidi" w:cstheme="majorBidi"/>
                <w:color w:val="000000" w:themeColor="text1"/>
                <w:sz w:val="20"/>
                <w:szCs w:val="20"/>
              </w:rPr>
              <w:t xml:space="preserve">(2.30) </w:t>
            </w:r>
            <w:r w:rsidRPr="00740C0A">
              <w:rPr>
                <w:rFonts w:asciiTheme="majorBidi" w:eastAsia="Calibri" w:hAnsiTheme="majorBidi" w:cstheme="majorBidi"/>
                <w:color w:val="000000" w:themeColor="text1"/>
                <w:sz w:val="20"/>
                <w:szCs w:val="20"/>
              </w:rPr>
              <w:t>[0–8]</w:t>
            </w:r>
          </w:p>
        </w:tc>
        <w:tc>
          <w:tcPr>
            <w:tcW w:w="709" w:type="dxa"/>
            <w:shd w:val="clear" w:color="auto" w:fill="FFFFFF" w:themeFill="background1"/>
          </w:tcPr>
          <w:p w14:paraId="23590EF2" w14:textId="77777777" w:rsidR="00803858" w:rsidRPr="00740C0A" w:rsidRDefault="00803858" w:rsidP="00D50D7A">
            <w:pPr>
              <w:suppressLineNumbers/>
              <w:tabs>
                <w:tab w:val="decimal" w:pos="188"/>
                <w:tab w:val="decimal" w:pos="71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-3.52</w:t>
            </w:r>
          </w:p>
        </w:tc>
        <w:tc>
          <w:tcPr>
            <w:tcW w:w="851" w:type="dxa"/>
            <w:shd w:val="clear" w:color="auto" w:fill="FFFFFF" w:themeFill="background1"/>
          </w:tcPr>
          <w:p w14:paraId="2A9F2358"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shd w:val="clear" w:color="auto" w:fill="FFFFFF" w:themeFill="background1"/>
          </w:tcPr>
          <w:p w14:paraId="361BC11C"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0.87</w:t>
            </w:r>
          </w:p>
        </w:tc>
      </w:tr>
      <w:tr w:rsidR="00803858" w:rsidRPr="00740C0A" w14:paraId="37251995" w14:textId="77777777" w:rsidTr="00CE09DB">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6D8269F6"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Dependency</w:t>
            </w:r>
          </w:p>
        </w:tc>
        <w:tc>
          <w:tcPr>
            <w:tcW w:w="2410" w:type="dxa"/>
            <w:shd w:val="clear" w:color="auto" w:fill="FFFFFF" w:themeFill="background1"/>
          </w:tcPr>
          <w:p w14:paraId="3F27F874" w14:textId="3E044F04" w:rsidR="00803858" w:rsidRPr="00D50D7A" w:rsidRDefault="00803858" w:rsidP="00480F09">
            <w:pPr>
              <w:suppressLineNumbers/>
              <w:tabs>
                <w:tab w:val="decimal" w:pos="38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5.58 </w:t>
            </w:r>
            <w:r w:rsidR="00994AA5" w:rsidRPr="0070517D">
              <w:rPr>
                <w:rFonts w:asciiTheme="majorBidi" w:eastAsia="Calibri" w:hAnsiTheme="majorBidi" w:cstheme="majorBidi"/>
                <w:color w:val="000000" w:themeColor="text1"/>
                <w:sz w:val="20"/>
                <w:szCs w:val="20"/>
              </w:rPr>
              <w:t xml:space="preserve">(4.18) </w:t>
            </w:r>
            <w:r w:rsidRPr="0070517D">
              <w:rPr>
                <w:rFonts w:asciiTheme="majorBidi" w:eastAsia="Calibri" w:hAnsiTheme="majorBidi" w:cstheme="majorBidi"/>
                <w:color w:val="000000" w:themeColor="text1"/>
                <w:sz w:val="20"/>
                <w:szCs w:val="20"/>
              </w:rPr>
              <w:t>[0–17]</w:t>
            </w:r>
          </w:p>
        </w:tc>
        <w:tc>
          <w:tcPr>
            <w:tcW w:w="2126" w:type="dxa"/>
            <w:shd w:val="clear" w:color="auto" w:fill="FFFFFF" w:themeFill="background1"/>
          </w:tcPr>
          <w:p w14:paraId="7B735E2B" w14:textId="1B20F704" w:rsidR="00803858" w:rsidRPr="00740C0A" w:rsidRDefault="00803858" w:rsidP="0070517D">
            <w:pPr>
              <w:suppressLineNumbers/>
              <w:tabs>
                <w:tab w:val="decimal" w:pos="352"/>
              </w:tabs>
              <w:suppressAutoHyphens/>
              <w:ind w:firstLine="0"/>
              <w:contextualSpacing/>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 xml:space="preserve">1.39 </w:t>
            </w:r>
            <w:r w:rsidR="00994AA5" w:rsidRPr="00740C0A">
              <w:rPr>
                <w:rFonts w:asciiTheme="majorBidi" w:eastAsia="Calibri" w:hAnsiTheme="majorBidi" w:cstheme="majorBidi"/>
                <w:color w:val="000000" w:themeColor="text1"/>
                <w:sz w:val="20"/>
                <w:szCs w:val="20"/>
              </w:rPr>
              <w:t xml:space="preserve">(1.98) </w:t>
            </w:r>
            <w:r w:rsidRPr="00740C0A">
              <w:rPr>
                <w:rFonts w:asciiTheme="majorBidi" w:eastAsia="Calibri" w:hAnsiTheme="majorBidi" w:cstheme="majorBidi"/>
                <w:color w:val="000000" w:themeColor="text1"/>
                <w:sz w:val="20"/>
                <w:szCs w:val="20"/>
              </w:rPr>
              <w:t>[0–8]</w:t>
            </w:r>
          </w:p>
        </w:tc>
        <w:tc>
          <w:tcPr>
            <w:tcW w:w="709" w:type="dxa"/>
            <w:shd w:val="clear" w:color="auto" w:fill="FFFFFF" w:themeFill="background1"/>
          </w:tcPr>
          <w:p w14:paraId="13F08445" w14:textId="77777777" w:rsidR="00803858" w:rsidRPr="00740C0A" w:rsidRDefault="00803858" w:rsidP="00D50D7A">
            <w:pPr>
              <w:suppressLineNumbers/>
              <w:tabs>
                <w:tab w:val="decimal" w:pos="188"/>
                <w:tab w:val="decimal" w:pos="71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-4.72</w:t>
            </w:r>
          </w:p>
        </w:tc>
        <w:tc>
          <w:tcPr>
            <w:tcW w:w="851" w:type="dxa"/>
            <w:shd w:val="clear" w:color="auto" w:fill="FFFFFF" w:themeFill="background1"/>
          </w:tcPr>
          <w:p w14:paraId="0D0F0D3B" w14:textId="77777777" w:rsidR="00803858" w:rsidRPr="00740C0A" w:rsidRDefault="00803858" w:rsidP="00405164">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&lt; .001</w:t>
            </w:r>
          </w:p>
        </w:tc>
        <w:tc>
          <w:tcPr>
            <w:tcW w:w="567" w:type="dxa"/>
            <w:shd w:val="clear" w:color="auto" w:fill="FFFFFF" w:themeFill="background1"/>
          </w:tcPr>
          <w:p w14:paraId="157B52D3" w14:textId="77777777" w:rsidR="00803858" w:rsidRPr="00740C0A"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1.28</w:t>
            </w:r>
          </w:p>
        </w:tc>
      </w:tr>
      <w:tr w:rsidR="00803858" w:rsidRPr="00740C0A" w14:paraId="3514B3BA" w14:textId="77777777" w:rsidTr="00CE09DB">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2553340F"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740C0A">
              <w:rPr>
                <w:rFonts w:asciiTheme="majorBidi" w:eastAsia="Calibri" w:hAnsiTheme="majorBidi" w:cstheme="majorBidi"/>
                <w:color w:val="000000" w:themeColor="text1"/>
                <w:sz w:val="20"/>
                <w:szCs w:val="20"/>
              </w:rPr>
              <w:t>Inappropriate behavior</w:t>
            </w:r>
          </w:p>
        </w:tc>
        <w:tc>
          <w:tcPr>
            <w:tcW w:w="2410" w:type="dxa"/>
            <w:shd w:val="clear" w:color="auto" w:fill="FFFFFF" w:themeFill="background1"/>
          </w:tcPr>
          <w:p w14:paraId="0400EF81" w14:textId="5D396309" w:rsidR="00803858" w:rsidRPr="00D50D7A" w:rsidRDefault="00803858" w:rsidP="00480F09">
            <w:pPr>
              <w:suppressLineNumbers/>
              <w:tabs>
                <w:tab w:val="decimal" w:pos="38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0.63 </w:t>
            </w:r>
            <w:r w:rsidR="00994AA5" w:rsidRPr="0070517D">
              <w:rPr>
                <w:rFonts w:asciiTheme="majorBidi" w:eastAsia="Calibri" w:hAnsiTheme="majorBidi" w:cstheme="majorBidi"/>
                <w:color w:val="000000" w:themeColor="text1"/>
                <w:sz w:val="20"/>
                <w:szCs w:val="20"/>
              </w:rPr>
              <w:t xml:space="preserve">(1.09) </w:t>
            </w:r>
            <w:r w:rsidRPr="0070517D">
              <w:rPr>
                <w:rFonts w:asciiTheme="majorBidi" w:eastAsia="Calibri" w:hAnsiTheme="majorBidi" w:cstheme="majorBidi"/>
                <w:color w:val="000000" w:themeColor="text1"/>
                <w:sz w:val="20"/>
                <w:szCs w:val="20"/>
              </w:rPr>
              <w:t>[0–4]</w:t>
            </w:r>
          </w:p>
        </w:tc>
        <w:tc>
          <w:tcPr>
            <w:tcW w:w="2126" w:type="dxa"/>
            <w:shd w:val="clear" w:color="auto" w:fill="FFFFFF" w:themeFill="background1"/>
          </w:tcPr>
          <w:p w14:paraId="32F0E95A" w14:textId="5DD0534E" w:rsidR="00803858" w:rsidRPr="00740C0A" w:rsidRDefault="00803858" w:rsidP="0070517D">
            <w:pPr>
              <w:suppressLineNumbers/>
              <w:tabs>
                <w:tab w:val="decimal" w:pos="352"/>
              </w:tabs>
              <w:suppressAutoHyphens/>
              <w:ind w:firstLine="0"/>
              <w:contextualSpacing/>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0.34</w:t>
            </w:r>
            <w:r w:rsidR="00994AA5" w:rsidRPr="00740C0A">
              <w:rPr>
                <w:rFonts w:asciiTheme="majorBidi" w:eastAsia="Calibri" w:hAnsiTheme="majorBidi" w:cstheme="majorBidi"/>
                <w:color w:val="000000" w:themeColor="text1"/>
                <w:sz w:val="20"/>
                <w:szCs w:val="20"/>
              </w:rPr>
              <w:t xml:space="preserve"> (0.82)</w:t>
            </w:r>
            <w:r w:rsidRPr="00740C0A">
              <w:rPr>
                <w:rFonts w:asciiTheme="majorBidi" w:eastAsia="Calibri" w:hAnsiTheme="majorBidi" w:cstheme="majorBidi"/>
                <w:color w:val="000000" w:themeColor="text1"/>
                <w:sz w:val="20"/>
                <w:szCs w:val="20"/>
              </w:rPr>
              <w:t xml:space="preserve"> [0–8]</w:t>
            </w:r>
          </w:p>
        </w:tc>
        <w:tc>
          <w:tcPr>
            <w:tcW w:w="709" w:type="dxa"/>
            <w:shd w:val="clear" w:color="auto" w:fill="FFFFFF" w:themeFill="background1"/>
          </w:tcPr>
          <w:p w14:paraId="5F34F217" w14:textId="77777777" w:rsidR="00803858" w:rsidRPr="00740C0A" w:rsidRDefault="00803858" w:rsidP="0070517D">
            <w:pPr>
              <w:suppressLineNumbers/>
              <w:tabs>
                <w:tab w:val="decimal" w:pos="188"/>
                <w:tab w:val="decimal" w:pos="714"/>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-1.16</w:t>
            </w:r>
          </w:p>
        </w:tc>
        <w:tc>
          <w:tcPr>
            <w:tcW w:w="851" w:type="dxa"/>
            <w:shd w:val="clear" w:color="auto" w:fill="FFFFFF" w:themeFill="background1"/>
          </w:tcPr>
          <w:p w14:paraId="0D3858BD" w14:textId="77777777" w:rsidR="00803858" w:rsidRPr="00740C0A" w:rsidRDefault="00803858" w:rsidP="00D50D7A">
            <w:pPr>
              <w:suppressLineNumbers/>
              <w:tabs>
                <w:tab w:val="decimal" w:pos="155"/>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740C0A">
              <w:rPr>
                <w:rFonts w:asciiTheme="majorBidi" w:eastAsia="Calibri" w:hAnsiTheme="majorBidi" w:cstheme="majorBidi"/>
                <w:color w:val="000000" w:themeColor="text1"/>
                <w:sz w:val="20"/>
                <w:szCs w:val="20"/>
              </w:rPr>
              <w:t>.246</w:t>
            </w:r>
          </w:p>
        </w:tc>
        <w:tc>
          <w:tcPr>
            <w:tcW w:w="567" w:type="dxa"/>
            <w:shd w:val="clear" w:color="auto" w:fill="FFFFFF" w:themeFill="background1"/>
          </w:tcPr>
          <w:p w14:paraId="45B11237" w14:textId="77777777" w:rsidR="00803858" w:rsidRPr="00740C0A"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rPr>
            </w:pPr>
            <w:r w:rsidRPr="00740C0A">
              <w:rPr>
                <w:rFonts w:asciiTheme="majorBidi" w:eastAsia="Calibri" w:hAnsiTheme="majorBidi" w:cstheme="majorBidi"/>
                <w:color w:val="000000" w:themeColor="text1"/>
                <w:sz w:val="20"/>
                <w:szCs w:val="20"/>
              </w:rPr>
              <w:t>0.30</w:t>
            </w:r>
          </w:p>
        </w:tc>
      </w:tr>
    </w:tbl>
    <w:p w14:paraId="763FC80D" w14:textId="77777777" w:rsidR="00803858" w:rsidRPr="00F9248C" w:rsidRDefault="00803858" w:rsidP="00817707">
      <w:pPr>
        <w:ind w:firstLine="0"/>
        <w:contextualSpacing/>
        <w:rPr>
          <w:b/>
        </w:rPr>
      </w:pPr>
    </w:p>
    <w:p w14:paraId="4597BD0E" w14:textId="77777777" w:rsidR="00803858" w:rsidRPr="00F9248C" w:rsidRDefault="00803858">
      <w:pPr>
        <w:spacing w:after="120"/>
        <w:ind w:firstLine="0"/>
        <w:sectPr w:rsidR="00803858" w:rsidRPr="00F9248C">
          <w:pgSz w:w="11906" w:h="16838"/>
          <w:pgMar w:top="1440" w:right="1440" w:bottom="1440" w:left="1440" w:header="708" w:footer="708" w:gutter="0"/>
          <w:cols w:space="708"/>
          <w:docGrid w:linePitch="360"/>
        </w:sectPr>
      </w:pPr>
    </w:p>
    <w:p w14:paraId="3CAA8863" w14:textId="53A0E63F" w:rsidR="00994AA5" w:rsidRDefault="00803858">
      <w:pPr>
        <w:ind w:firstLine="0"/>
        <w:contextualSpacing/>
        <w:rPr>
          <w:rFonts w:eastAsia="Calibri" w:cs="Times New Roman"/>
          <w:b/>
          <w:bCs/>
          <w:szCs w:val="24"/>
        </w:rPr>
      </w:pPr>
      <w:r w:rsidRPr="00F9248C">
        <w:rPr>
          <w:b/>
        </w:rPr>
        <w:lastRenderedPageBreak/>
        <w:t xml:space="preserve">Table </w:t>
      </w:r>
      <w:r w:rsidR="0053606C">
        <w:rPr>
          <w:b/>
        </w:rPr>
        <w:t>2</w:t>
      </w:r>
    </w:p>
    <w:p w14:paraId="262EAD70" w14:textId="76F1C82B" w:rsidR="00994AA5" w:rsidRPr="00C072EB" w:rsidRDefault="00994AA5">
      <w:pPr>
        <w:ind w:firstLine="0"/>
        <w:rPr>
          <w:rFonts w:eastAsia="Calibri" w:cs="Times New Roman"/>
          <w:b/>
          <w:bCs/>
          <w:szCs w:val="24"/>
        </w:rPr>
      </w:pPr>
      <w:r>
        <w:rPr>
          <w:rFonts w:eastAsia="Calibri" w:cs="Times New Roman"/>
          <w:i/>
          <w:iCs/>
          <w:szCs w:val="24"/>
        </w:rPr>
        <w:t xml:space="preserve">Comparison of </w:t>
      </w:r>
      <w:r w:rsidRPr="00763059">
        <w:rPr>
          <w:rFonts w:eastAsia="Calibri" w:cs="Times New Roman"/>
          <w:i/>
          <w:iCs/>
          <w:szCs w:val="24"/>
        </w:rPr>
        <w:t xml:space="preserve">Pre- and </w:t>
      </w:r>
      <w:r>
        <w:rPr>
          <w:rFonts w:eastAsia="Calibri" w:cs="Times New Roman"/>
          <w:i/>
          <w:iCs/>
          <w:szCs w:val="24"/>
        </w:rPr>
        <w:t>P</w:t>
      </w:r>
      <w:r w:rsidRPr="00763059">
        <w:rPr>
          <w:rFonts w:eastAsia="Calibri" w:cs="Times New Roman"/>
          <w:i/>
          <w:iCs/>
          <w:szCs w:val="24"/>
        </w:rPr>
        <w:t>ost-</w:t>
      </w:r>
      <w:r>
        <w:rPr>
          <w:rFonts w:eastAsia="Calibri" w:cs="Times New Roman"/>
          <w:i/>
          <w:iCs/>
          <w:szCs w:val="24"/>
        </w:rPr>
        <w:t>I</w:t>
      </w:r>
      <w:r w:rsidRPr="00763059">
        <w:rPr>
          <w:rFonts w:eastAsia="Calibri" w:cs="Times New Roman"/>
          <w:i/>
          <w:iCs/>
          <w:szCs w:val="24"/>
        </w:rPr>
        <w:t xml:space="preserve">ntervention </w:t>
      </w:r>
      <w:r>
        <w:rPr>
          <w:rFonts w:eastAsia="Calibri" w:cs="Times New Roman"/>
          <w:i/>
          <w:iCs/>
          <w:szCs w:val="24"/>
        </w:rPr>
        <w:t>Self-Awareness of Executive Functions</w:t>
      </w:r>
      <w:r w:rsidR="00861B23">
        <w:rPr>
          <w:rFonts w:eastAsia="Calibri" w:cs="Times New Roman"/>
          <w:i/>
          <w:iCs/>
          <w:szCs w:val="24"/>
        </w:rPr>
        <w:t xml:space="preserve"> (Awareness of Impairment)</w:t>
      </w:r>
    </w:p>
    <w:tbl>
      <w:tblPr>
        <w:tblStyle w:val="LightShading1"/>
        <w:tblpPr w:leftFromText="180" w:rightFromText="180" w:vertAnchor="text" w:horzAnchor="margin" w:tblpX="170" w:tblpY="256"/>
        <w:tblW w:w="9498" w:type="dxa"/>
        <w:shd w:val="clear" w:color="auto" w:fill="FFFFFF" w:themeFill="background1"/>
        <w:tblLayout w:type="fixed"/>
        <w:tblLook w:val="06A0" w:firstRow="1" w:lastRow="0" w:firstColumn="1" w:lastColumn="0" w:noHBand="1" w:noVBand="1"/>
      </w:tblPr>
      <w:tblGrid>
        <w:gridCol w:w="2552"/>
        <w:gridCol w:w="2410"/>
        <w:gridCol w:w="2126"/>
        <w:gridCol w:w="992"/>
        <w:gridCol w:w="724"/>
        <w:gridCol w:w="694"/>
      </w:tblGrid>
      <w:tr w:rsidR="00F9248C" w:rsidRPr="00070DC8" w14:paraId="2F0B9E90" w14:textId="77777777" w:rsidTr="00EA7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vAlign w:val="center"/>
          </w:tcPr>
          <w:p w14:paraId="54E90843" w14:textId="153B05B1" w:rsidR="00803858" w:rsidRPr="004D67BE" w:rsidRDefault="0044163A" w:rsidP="00405164">
            <w:pPr>
              <w:suppressLineNumbers/>
              <w:suppressAutoHyphens/>
              <w:ind w:firstLine="0"/>
              <w:contextualSpacing/>
              <w:rPr>
                <w:rFonts w:asciiTheme="majorBidi" w:hAnsiTheme="majorBidi"/>
                <w:b w:val="0"/>
                <w:bCs w:val="0"/>
                <w:color w:val="000000" w:themeColor="text1"/>
                <w:sz w:val="20"/>
              </w:rPr>
            </w:pPr>
            <w:r w:rsidRPr="00070DC8">
              <w:rPr>
                <w:rFonts w:asciiTheme="majorBidi" w:eastAsia="Calibri" w:hAnsiTheme="majorBidi" w:cstheme="majorBidi"/>
                <w:color w:val="000000" w:themeColor="text1"/>
                <w:sz w:val="20"/>
                <w:szCs w:val="20"/>
              </w:rPr>
              <w:t>Scale</w:t>
            </w:r>
          </w:p>
        </w:tc>
        <w:tc>
          <w:tcPr>
            <w:tcW w:w="2410" w:type="dxa"/>
            <w:shd w:val="clear" w:color="auto" w:fill="FFFFFF" w:themeFill="background1"/>
          </w:tcPr>
          <w:p w14:paraId="0577F9C2" w14:textId="77777777"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000000" w:themeColor="text1"/>
                <w:sz w:val="20"/>
                <w:szCs w:val="20"/>
              </w:rPr>
            </w:pPr>
            <w:r w:rsidRPr="00070DC8">
              <w:rPr>
                <w:rFonts w:asciiTheme="majorBidi" w:eastAsia="Calibri" w:hAnsiTheme="majorBidi" w:cstheme="majorBidi"/>
                <w:color w:val="000000" w:themeColor="text1"/>
                <w:sz w:val="20"/>
                <w:szCs w:val="20"/>
              </w:rPr>
              <w:t>Pre-intervention</w:t>
            </w:r>
          </w:p>
        </w:tc>
        <w:tc>
          <w:tcPr>
            <w:tcW w:w="2126" w:type="dxa"/>
            <w:shd w:val="clear" w:color="auto" w:fill="FFFFFF" w:themeFill="background1"/>
          </w:tcPr>
          <w:p w14:paraId="52474CF1" w14:textId="404E0DB5"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000000" w:themeColor="text1"/>
                <w:sz w:val="20"/>
                <w:szCs w:val="20"/>
              </w:rPr>
            </w:pPr>
            <w:r w:rsidRPr="00070DC8">
              <w:rPr>
                <w:rFonts w:asciiTheme="majorBidi" w:eastAsia="Calibri" w:hAnsiTheme="majorBidi" w:cstheme="majorBidi"/>
                <w:color w:val="000000" w:themeColor="text1"/>
                <w:sz w:val="20"/>
                <w:szCs w:val="20"/>
              </w:rPr>
              <w:t>Postintervention</w:t>
            </w:r>
          </w:p>
        </w:tc>
        <w:tc>
          <w:tcPr>
            <w:tcW w:w="992" w:type="dxa"/>
            <w:shd w:val="clear" w:color="auto" w:fill="FFFFFF" w:themeFill="background1"/>
          </w:tcPr>
          <w:p w14:paraId="145F8E39" w14:textId="77777777"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i/>
                <w:color w:val="000000" w:themeColor="text1"/>
                <w:sz w:val="20"/>
              </w:rPr>
            </w:pPr>
            <w:r w:rsidRPr="00070DC8">
              <w:rPr>
                <w:rFonts w:asciiTheme="majorBidi" w:hAnsiTheme="majorBidi"/>
                <w:i/>
                <w:color w:val="000000" w:themeColor="text1"/>
                <w:sz w:val="20"/>
              </w:rPr>
              <w:t>Z</w:t>
            </w:r>
          </w:p>
        </w:tc>
        <w:tc>
          <w:tcPr>
            <w:tcW w:w="724" w:type="dxa"/>
            <w:shd w:val="clear" w:color="auto" w:fill="FFFFFF" w:themeFill="background1"/>
          </w:tcPr>
          <w:p w14:paraId="30DFDDED" w14:textId="77777777"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i/>
                <w:color w:val="000000" w:themeColor="text1"/>
                <w:sz w:val="20"/>
              </w:rPr>
            </w:pPr>
            <w:r w:rsidRPr="00070DC8">
              <w:rPr>
                <w:rFonts w:asciiTheme="majorBidi" w:hAnsiTheme="majorBidi"/>
                <w:i/>
                <w:color w:val="000000" w:themeColor="text1"/>
                <w:sz w:val="20"/>
              </w:rPr>
              <w:t>p</w:t>
            </w:r>
          </w:p>
        </w:tc>
        <w:tc>
          <w:tcPr>
            <w:tcW w:w="694" w:type="dxa"/>
            <w:shd w:val="clear" w:color="auto" w:fill="FFFFFF" w:themeFill="background1"/>
          </w:tcPr>
          <w:p w14:paraId="17518FF0" w14:textId="77777777" w:rsidR="00803858" w:rsidRPr="004D67BE" w:rsidRDefault="00803858" w:rsidP="004D67BE">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i/>
                <w:color w:val="000000" w:themeColor="text1"/>
                <w:sz w:val="20"/>
              </w:rPr>
            </w:pPr>
            <w:r w:rsidRPr="00070DC8">
              <w:rPr>
                <w:rFonts w:asciiTheme="majorBidi" w:hAnsiTheme="majorBidi"/>
                <w:i/>
                <w:color w:val="000000" w:themeColor="text1"/>
                <w:sz w:val="20"/>
              </w:rPr>
              <w:t>d</w:t>
            </w:r>
          </w:p>
        </w:tc>
      </w:tr>
      <w:tr w:rsidR="00803858" w:rsidRPr="00070DC8" w14:paraId="4BED49CB" w14:textId="77777777" w:rsidTr="00CE09DB">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12" w:space="0" w:color="auto"/>
            </w:tcBorders>
            <w:shd w:val="clear" w:color="auto" w:fill="FFFFFF" w:themeFill="background1"/>
          </w:tcPr>
          <w:p w14:paraId="6BCED2E0" w14:textId="77777777" w:rsidR="00803858" w:rsidRPr="004D67BE" w:rsidRDefault="00803858" w:rsidP="00817707">
            <w:pPr>
              <w:suppressLineNumbers/>
              <w:tabs>
                <w:tab w:val="decimal" w:pos="705"/>
              </w:tabs>
              <w:suppressAutoHyphens/>
              <w:ind w:firstLine="0"/>
              <w:contextualSpacing/>
              <w:rPr>
                <w:rFonts w:asciiTheme="majorBidi" w:eastAsia="Calibri" w:hAnsiTheme="majorBidi" w:cstheme="majorBidi"/>
                <w:b w:val="0"/>
                <w:bCs w:val="0"/>
                <w:color w:val="000000" w:themeColor="text1"/>
                <w:sz w:val="20"/>
                <w:szCs w:val="20"/>
              </w:rPr>
            </w:pPr>
          </w:p>
        </w:tc>
        <w:tc>
          <w:tcPr>
            <w:tcW w:w="4536" w:type="dxa"/>
            <w:gridSpan w:val="2"/>
            <w:tcBorders>
              <w:top w:val="nil"/>
              <w:bottom w:val="single" w:sz="12" w:space="0" w:color="auto"/>
            </w:tcBorders>
            <w:shd w:val="clear" w:color="auto" w:fill="FFFFFF" w:themeFill="background1"/>
          </w:tcPr>
          <w:p w14:paraId="787CD009" w14:textId="7EC9E98B" w:rsidR="00803858" w:rsidRPr="00D50D7A" w:rsidRDefault="00803858" w:rsidP="00480F09">
            <w:pPr>
              <w:suppressLineNumbers/>
              <w:tabs>
                <w:tab w:val="decimal" w:pos="393"/>
              </w:tab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iCs/>
                <w:color w:val="000000" w:themeColor="text1"/>
                <w:sz w:val="20"/>
                <w:szCs w:val="20"/>
              </w:rPr>
            </w:pPr>
            <w:r w:rsidRPr="00480F09">
              <w:rPr>
                <w:rFonts w:asciiTheme="majorBidi" w:hAnsiTheme="majorBidi"/>
                <w:i/>
                <w:color w:val="000000" w:themeColor="text1"/>
                <w:sz w:val="20"/>
              </w:rPr>
              <w:t>M</w:t>
            </w:r>
            <w:r w:rsidR="00094FD0" w:rsidRPr="0070517D">
              <w:rPr>
                <w:rFonts w:asciiTheme="majorBidi" w:eastAsia="Calibri" w:hAnsiTheme="majorBidi" w:cstheme="majorBidi"/>
                <w:iCs/>
                <w:color w:val="000000" w:themeColor="text1"/>
                <w:sz w:val="20"/>
                <w:szCs w:val="20"/>
              </w:rPr>
              <w:t xml:space="preserve"> (</w:t>
            </w:r>
            <w:r w:rsidR="00094FD0" w:rsidRPr="00D50D7A">
              <w:rPr>
                <w:rFonts w:asciiTheme="majorBidi" w:hAnsiTheme="majorBidi"/>
                <w:i/>
                <w:color w:val="000000" w:themeColor="text1"/>
                <w:sz w:val="20"/>
              </w:rPr>
              <w:t>SD</w:t>
            </w:r>
            <w:r w:rsidR="00094FD0" w:rsidRPr="00D50D7A">
              <w:rPr>
                <w:rFonts w:asciiTheme="majorBidi" w:eastAsia="Calibri" w:hAnsiTheme="majorBidi" w:cstheme="majorBidi"/>
                <w:iCs/>
                <w:color w:val="000000" w:themeColor="text1"/>
                <w:sz w:val="20"/>
                <w:szCs w:val="20"/>
              </w:rPr>
              <w:t xml:space="preserve">) </w:t>
            </w:r>
            <w:r w:rsidRPr="00D50D7A">
              <w:rPr>
                <w:rFonts w:asciiTheme="majorBidi" w:eastAsia="Calibri" w:hAnsiTheme="majorBidi" w:cstheme="majorBidi"/>
                <w:iCs/>
                <w:color w:val="000000" w:themeColor="text1"/>
                <w:sz w:val="20"/>
                <w:szCs w:val="20"/>
              </w:rPr>
              <w:t>[min–max]</w:t>
            </w:r>
          </w:p>
        </w:tc>
        <w:tc>
          <w:tcPr>
            <w:tcW w:w="992" w:type="dxa"/>
            <w:tcBorders>
              <w:bottom w:val="single" w:sz="12" w:space="0" w:color="auto"/>
            </w:tcBorders>
            <w:shd w:val="clear" w:color="auto" w:fill="FFFFFF" w:themeFill="background1"/>
          </w:tcPr>
          <w:p w14:paraId="6745E26D" w14:textId="77777777"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c>
          <w:tcPr>
            <w:tcW w:w="724" w:type="dxa"/>
            <w:tcBorders>
              <w:top w:val="nil"/>
              <w:bottom w:val="single" w:sz="12" w:space="0" w:color="auto"/>
            </w:tcBorders>
            <w:shd w:val="clear" w:color="auto" w:fill="FFFFFF" w:themeFill="background1"/>
          </w:tcPr>
          <w:p w14:paraId="7F0C64DB" w14:textId="77777777" w:rsidR="00803858" w:rsidRPr="00070DC8" w:rsidRDefault="00803858" w:rsidP="00D50D7A">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c>
          <w:tcPr>
            <w:tcW w:w="694" w:type="dxa"/>
            <w:tcBorders>
              <w:top w:val="nil"/>
              <w:bottom w:val="single" w:sz="12" w:space="0" w:color="auto"/>
            </w:tcBorders>
            <w:shd w:val="clear" w:color="auto" w:fill="FFFFFF" w:themeFill="background1"/>
          </w:tcPr>
          <w:p w14:paraId="19863007" w14:textId="77777777"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r>
      <w:tr w:rsidR="00803858" w:rsidRPr="00070DC8" w14:paraId="72CCC61A" w14:textId="77777777" w:rsidTr="00CE09DB">
        <w:tc>
          <w:tcPr>
            <w:cnfStyle w:val="001000000000" w:firstRow="0" w:lastRow="0" w:firstColumn="1" w:lastColumn="0" w:oddVBand="0" w:evenVBand="0" w:oddHBand="0" w:evenHBand="0" w:firstRowFirstColumn="0" w:firstRowLastColumn="0" w:lastRowFirstColumn="0" w:lastRowLastColumn="0"/>
            <w:tcW w:w="2552" w:type="dxa"/>
            <w:tcBorders>
              <w:top w:val="single" w:sz="12" w:space="0" w:color="auto"/>
              <w:left w:val="nil"/>
              <w:bottom w:val="nil"/>
              <w:right w:val="nil"/>
            </w:tcBorders>
          </w:tcPr>
          <w:p w14:paraId="6934D4FF" w14:textId="231182B1" w:rsidR="00803858" w:rsidRPr="004D67BE" w:rsidRDefault="00803858" w:rsidP="00817707">
            <w:pPr>
              <w:suppressLineNumbers/>
              <w:tabs>
                <w:tab w:val="decimal" w:pos="705"/>
              </w:tab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BRIEF-SR</w:t>
            </w:r>
            <w:r w:rsidR="00A65ACE" w:rsidRPr="00070DC8">
              <w:rPr>
                <w:rFonts w:eastAsia="Times New Roman" w:cs="Times New Roman"/>
                <w:sz w:val="20"/>
                <w:szCs w:val="20"/>
                <w:lang w:eastAsia="en-GB" w:bidi="ar-SA"/>
              </w:rPr>
              <w:t xml:space="preserve"> </w:t>
            </w:r>
            <w:r w:rsidRPr="00070DC8">
              <w:rPr>
                <w:sz w:val="20"/>
              </w:rPr>
              <w:t>BRI</w:t>
            </w:r>
          </w:p>
        </w:tc>
        <w:tc>
          <w:tcPr>
            <w:tcW w:w="2410" w:type="dxa"/>
            <w:tcBorders>
              <w:top w:val="single" w:sz="12" w:space="0" w:color="auto"/>
            </w:tcBorders>
            <w:shd w:val="clear" w:color="auto" w:fill="FFFFFF" w:themeFill="background1"/>
          </w:tcPr>
          <w:p w14:paraId="2ADC3C30" w14:textId="592D7678"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51.08</w:t>
            </w:r>
            <w:r w:rsidR="00094FD0" w:rsidRPr="0070517D">
              <w:rPr>
                <w:rFonts w:asciiTheme="majorBidi" w:eastAsia="Calibri" w:hAnsiTheme="majorBidi" w:cstheme="majorBidi"/>
                <w:color w:val="000000" w:themeColor="text1"/>
                <w:sz w:val="20"/>
                <w:szCs w:val="20"/>
              </w:rPr>
              <w:t xml:space="preserve"> (12.18)</w:t>
            </w:r>
            <w:r w:rsidRPr="00D50D7A">
              <w:rPr>
                <w:rFonts w:asciiTheme="majorBidi" w:eastAsia="Calibri" w:hAnsiTheme="majorBidi" w:cstheme="majorBidi"/>
                <w:color w:val="000000" w:themeColor="text1"/>
                <w:sz w:val="20"/>
                <w:szCs w:val="20"/>
              </w:rPr>
              <w:t xml:space="preserve"> [37–84]</w:t>
            </w:r>
          </w:p>
        </w:tc>
        <w:tc>
          <w:tcPr>
            <w:tcW w:w="2126" w:type="dxa"/>
            <w:tcBorders>
              <w:top w:val="single" w:sz="12" w:space="0" w:color="auto"/>
            </w:tcBorders>
            <w:shd w:val="clear" w:color="auto" w:fill="FFFFFF" w:themeFill="background1"/>
          </w:tcPr>
          <w:p w14:paraId="5DFDD973" w14:textId="2A215093"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56.82</w:t>
            </w:r>
            <w:r w:rsidR="00A65ACE" w:rsidRPr="00070DC8">
              <w:rPr>
                <w:rFonts w:asciiTheme="majorBidi" w:eastAsia="Calibri" w:hAnsiTheme="majorBidi" w:cstheme="majorBidi"/>
                <w:color w:val="000000" w:themeColor="text1"/>
                <w:sz w:val="20"/>
                <w:szCs w:val="20"/>
              </w:rPr>
              <w:t xml:space="preserve"> (11.17) </w:t>
            </w:r>
            <w:r w:rsidRPr="00070DC8">
              <w:rPr>
                <w:rFonts w:asciiTheme="majorBidi" w:eastAsia="Calibri" w:hAnsiTheme="majorBidi" w:cstheme="majorBidi"/>
                <w:color w:val="000000" w:themeColor="text1"/>
                <w:sz w:val="20"/>
                <w:szCs w:val="20"/>
              </w:rPr>
              <w:t>[35–84]</w:t>
            </w:r>
          </w:p>
        </w:tc>
        <w:tc>
          <w:tcPr>
            <w:tcW w:w="992" w:type="dxa"/>
            <w:tcBorders>
              <w:top w:val="single" w:sz="12" w:space="0" w:color="auto"/>
            </w:tcBorders>
            <w:shd w:val="clear" w:color="auto" w:fill="FFFFFF" w:themeFill="background1"/>
          </w:tcPr>
          <w:p w14:paraId="6E8BECB6"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-1.42</w:t>
            </w:r>
          </w:p>
        </w:tc>
        <w:tc>
          <w:tcPr>
            <w:tcW w:w="724" w:type="dxa"/>
            <w:tcBorders>
              <w:top w:val="single" w:sz="12" w:space="0" w:color="auto"/>
            </w:tcBorders>
            <w:shd w:val="clear" w:color="auto" w:fill="FFFFFF" w:themeFill="background1"/>
          </w:tcPr>
          <w:p w14:paraId="0904FD74" w14:textId="5B1CE3C1"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.15</w:t>
            </w:r>
            <w:r w:rsidR="00C30144" w:rsidRPr="00070DC8">
              <w:rPr>
                <w:rFonts w:asciiTheme="majorBidi" w:eastAsia="Calibri" w:hAnsiTheme="majorBidi" w:cstheme="majorBidi"/>
                <w:color w:val="000000" w:themeColor="text1"/>
                <w:sz w:val="20"/>
                <w:szCs w:val="20"/>
              </w:rPr>
              <w:t>0</w:t>
            </w:r>
          </w:p>
        </w:tc>
        <w:tc>
          <w:tcPr>
            <w:tcW w:w="694" w:type="dxa"/>
            <w:tcBorders>
              <w:top w:val="single" w:sz="12" w:space="0" w:color="auto"/>
            </w:tcBorders>
            <w:shd w:val="clear" w:color="auto" w:fill="FFFFFF" w:themeFill="background1"/>
          </w:tcPr>
          <w:p w14:paraId="1F7BFE05"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0.49</w:t>
            </w:r>
          </w:p>
        </w:tc>
      </w:tr>
      <w:tr w:rsidR="00803858" w:rsidRPr="00070DC8" w14:paraId="748EB434" w14:textId="77777777" w:rsidTr="004D67BE">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tcPr>
          <w:p w14:paraId="34D8CDCE" w14:textId="7E5A4078" w:rsidR="00803858" w:rsidRPr="004D67BE" w:rsidRDefault="00803858" w:rsidP="00817707">
            <w:pPr>
              <w:suppressLineNumbers/>
              <w:tabs>
                <w:tab w:val="decimal" w:pos="705"/>
              </w:tabs>
              <w:suppressAutoHyphens/>
              <w:ind w:firstLine="0"/>
              <w:contextualSpacing/>
              <w:rPr>
                <w:rFonts w:asciiTheme="majorBidi" w:eastAsia="Calibri" w:hAnsiTheme="majorBidi" w:cstheme="majorBidi"/>
                <w:b w:val="0"/>
                <w:bCs w:val="0"/>
                <w:iCs/>
                <w:color w:val="000000" w:themeColor="text1"/>
                <w:sz w:val="20"/>
                <w:szCs w:val="20"/>
              </w:rPr>
            </w:pPr>
            <w:r w:rsidRPr="00070DC8">
              <w:rPr>
                <w:sz w:val="20"/>
              </w:rPr>
              <w:t>BRIEF-SR</w:t>
            </w:r>
            <w:r w:rsidR="00A65ACE" w:rsidRPr="00070DC8">
              <w:rPr>
                <w:rFonts w:eastAsia="Times New Roman" w:cs="Times New Roman"/>
                <w:sz w:val="20"/>
                <w:szCs w:val="20"/>
                <w:lang w:eastAsia="en-GB" w:bidi="ar-SA"/>
              </w:rPr>
              <w:t xml:space="preserve"> </w:t>
            </w:r>
            <w:r w:rsidRPr="00070DC8">
              <w:rPr>
                <w:sz w:val="20"/>
              </w:rPr>
              <w:t>MI</w:t>
            </w:r>
          </w:p>
        </w:tc>
        <w:tc>
          <w:tcPr>
            <w:tcW w:w="0" w:type="dxa"/>
            <w:tcBorders>
              <w:bottom w:val="nil"/>
            </w:tcBorders>
            <w:shd w:val="clear" w:color="auto" w:fill="FFFFFF" w:themeFill="background1"/>
          </w:tcPr>
          <w:p w14:paraId="7C5C2323" w14:textId="15B0A5C5"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58.69 </w:t>
            </w:r>
            <w:r w:rsidR="00094FD0" w:rsidRPr="0070517D">
              <w:rPr>
                <w:rFonts w:asciiTheme="majorBidi" w:eastAsia="Calibri" w:hAnsiTheme="majorBidi" w:cstheme="majorBidi"/>
                <w:color w:val="000000" w:themeColor="text1"/>
                <w:sz w:val="20"/>
                <w:szCs w:val="20"/>
              </w:rPr>
              <w:t xml:space="preserve">(10.83) </w:t>
            </w:r>
            <w:r w:rsidRPr="00D50D7A">
              <w:rPr>
                <w:rFonts w:asciiTheme="majorBidi" w:eastAsia="Calibri" w:hAnsiTheme="majorBidi" w:cstheme="majorBidi"/>
                <w:color w:val="000000" w:themeColor="text1"/>
                <w:sz w:val="20"/>
                <w:szCs w:val="20"/>
              </w:rPr>
              <w:t>[31–81]</w:t>
            </w:r>
          </w:p>
        </w:tc>
        <w:tc>
          <w:tcPr>
            <w:tcW w:w="0" w:type="dxa"/>
            <w:tcBorders>
              <w:bottom w:val="nil"/>
            </w:tcBorders>
            <w:shd w:val="clear" w:color="auto" w:fill="FFFFFF" w:themeFill="background1"/>
          </w:tcPr>
          <w:p w14:paraId="75BCE49B" w14:textId="0E5D5AB5"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55.46</w:t>
            </w:r>
            <w:r w:rsidR="00A65ACE" w:rsidRPr="00070DC8">
              <w:rPr>
                <w:rFonts w:asciiTheme="majorBidi" w:eastAsia="Calibri" w:hAnsiTheme="majorBidi" w:cstheme="majorBidi"/>
                <w:color w:val="000000" w:themeColor="text1"/>
                <w:sz w:val="20"/>
                <w:szCs w:val="20"/>
              </w:rPr>
              <w:t xml:space="preserve"> (9.52)</w:t>
            </w:r>
            <w:r w:rsidRPr="00070DC8">
              <w:rPr>
                <w:rFonts w:asciiTheme="majorBidi" w:eastAsia="Calibri" w:hAnsiTheme="majorBidi" w:cstheme="majorBidi"/>
                <w:color w:val="000000" w:themeColor="text1"/>
                <w:sz w:val="20"/>
                <w:szCs w:val="20"/>
              </w:rPr>
              <w:t xml:space="preserve"> [32–78]</w:t>
            </w:r>
          </w:p>
        </w:tc>
        <w:tc>
          <w:tcPr>
            <w:tcW w:w="0" w:type="dxa"/>
            <w:tcBorders>
              <w:bottom w:val="nil"/>
            </w:tcBorders>
            <w:shd w:val="clear" w:color="auto" w:fill="FFFFFF" w:themeFill="background1"/>
          </w:tcPr>
          <w:p w14:paraId="6A9B07EA"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-2.81</w:t>
            </w:r>
          </w:p>
        </w:tc>
        <w:tc>
          <w:tcPr>
            <w:tcW w:w="0" w:type="dxa"/>
            <w:tcBorders>
              <w:bottom w:val="nil"/>
            </w:tcBorders>
            <w:shd w:val="clear" w:color="auto" w:fill="FFFFFF" w:themeFill="background1"/>
          </w:tcPr>
          <w:p w14:paraId="588B94B7" w14:textId="77777777"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.005</w:t>
            </w:r>
          </w:p>
        </w:tc>
        <w:tc>
          <w:tcPr>
            <w:tcW w:w="0" w:type="dxa"/>
            <w:tcBorders>
              <w:bottom w:val="nil"/>
            </w:tcBorders>
            <w:shd w:val="clear" w:color="auto" w:fill="FFFFFF" w:themeFill="background1"/>
          </w:tcPr>
          <w:p w14:paraId="7DD52238"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0.32</w:t>
            </w:r>
          </w:p>
        </w:tc>
      </w:tr>
      <w:tr w:rsidR="00803858" w:rsidRPr="00070DC8" w14:paraId="757ACE8F" w14:textId="77777777" w:rsidTr="004D67BE">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4" w:space="0" w:color="auto"/>
              <w:right w:val="nil"/>
            </w:tcBorders>
          </w:tcPr>
          <w:p w14:paraId="21A42475" w14:textId="2E6D7BB7" w:rsidR="00803858" w:rsidRPr="004D67BE" w:rsidRDefault="00803858" w:rsidP="00817707">
            <w:pPr>
              <w:suppressLineNumbers/>
              <w:tabs>
                <w:tab w:val="decimal" w:pos="705"/>
              </w:tabs>
              <w:suppressAutoHyphens/>
              <w:ind w:firstLine="0"/>
              <w:contextualSpacing/>
              <w:rPr>
                <w:rFonts w:asciiTheme="majorBidi" w:eastAsia="Calibri" w:hAnsiTheme="majorBidi" w:cstheme="majorBidi"/>
                <w:b w:val="0"/>
                <w:bCs w:val="0"/>
                <w:iCs/>
                <w:color w:val="000000" w:themeColor="text1"/>
                <w:sz w:val="20"/>
                <w:szCs w:val="20"/>
              </w:rPr>
            </w:pPr>
            <w:r w:rsidRPr="00070DC8">
              <w:rPr>
                <w:sz w:val="20"/>
              </w:rPr>
              <w:t>BRIEF-SR</w:t>
            </w:r>
            <w:r w:rsidR="00A65ACE" w:rsidRPr="00070DC8">
              <w:rPr>
                <w:rFonts w:eastAsia="Times New Roman" w:cs="Times New Roman"/>
                <w:sz w:val="20"/>
                <w:szCs w:val="20"/>
                <w:lang w:eastAsia="en-GB" w:bidi="ar-SA"/>
              </w:rPr>
              <w:t xml:space="preserve"> </w:t>
            </w:r>
            <w:r w:rsidRPr="00070DC8">
              <w:rPr>
                <w:sz w:val="20"/>
              </w:rPr>
              <w:t>GEC</w:t>
            </w:r>
          </w:p>
        </w:tc>
        <w:tc>
          <w:tcPr>
            <w:tcW w:w="0" w:type="dxa"/>
            <w:tcBorders>
              <w:top w:val="nil"/>
              <w:bottom w:val="single" w:sz="4" w:space="0" w:color="auto"/>
            </w:tcBorders>
            <w:shd w:val="clear" w:color="auto" w:fill="FFFFFF" w:themeFill="background1"/>
          </w:tcPr>
          <w:p w14:paraId="31174FD5" w14:textId="3F2C2400"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59.41</w:t>
            </w:r>
            <w:r w:rsidR="00094FD0" w:rsidRPr="0070517D">
              <w:rPr>
                <w:rFonts w:asciiTheme="majorBidi" w:eastAsia="Calibri" w:hAnsiTheme="majorBidi" w:cstheme="majorBidi"/>
                <w:color w:val="000000" w:themeColor="text1"/>
                <w:sz w:val="20"/>
                <w:szCs w:val="20"/>
              </w:rPr>
              <w:t xml:space="preserve"> (</w:t>
            </w:r>
            <w:proofErr w:type="gramStart"/>
            <w:r w:rsidR="00094FD0" w:rsidRPr="0070517D">
              <w:rPr>
                <w:rFonts w:asciiTheme="majorBidi" w:eastAsia="Calibri" w:hAnsiTheme="majorBidi" w:cstheme="majorBidi"/>
                <w:color w:val="000000" w:themeColor="text1"/>
                <w:sz w:val="20"/>
                <w:szCs w:val="20"/>
              </w:rPr>
              <w:t>11.24)</w:t>
            </w:r>
            <w:r w:rsidRPr="00D50D7A">
              <w:rPr>
                <w:rFonts w:asciiTheme="majorBidi" w:eastAsia="Calibri" w:hAnsiTheme="majorBidi" w:cstheme="majorBidi"/>
                <w:color w:val="000000" w:themeColor="text1"/>
                <w:sz w:val="20"/>
                <w:szCs w:val="20"/>
              </w:rPr>
              <w:t>[</w:t>
            </w:r>
            <w:proofErr w:type="gramEnd"/>
            <w:r w:rsidRPr="00D50D7A">
              <w:rPr>
                <w:rFonts w:asciiTheme="majorBidi" w:eastAsia="Calibri" w:hAnsiTheme="majorBidi" w:cstheme="majorBidi"/>
                <w:color w:val="000000" w:themeColor="text1"/>
                <w:sz w:val="20"/>
                <w:szCs w:val="20"/>
              </w:rPr>
              <w:t>33–84]</w:t>
            </w:r>
          </w:p>
        </w:tc>
        <w:tc>
          <w:tcPr>
            <w:tcW w:w="0" w:type="dxa"/>
            <w:tcBorders>
              <w:top w:val="nil"/>
              <w:bottom w:val="single" w:sz="4" w:space="0" w:color="auto"/>
            </w:tcBorders>
            <w:shd w:val="clear" w:color="auto" w:fill="FFFFFF" w:themeFill="background1"/>
          </w:tcPr>
          <w:p w14:paraId="665E621D" w14:textId="4B671148"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 xml:space="preserve">56.59 </w:t>
            </w:r>
            <w:r w:rsidR="00A65ACE" w:rsidRPr="00070DC8">
              <w:rPr>
                <w:rFonts w:asciiTheme="majorBidi" w:eastAsia="Calibri" w:hAnsiTheme="majorBidi" w:cstheme="majorBidi"/>
                <w:color w:val="000000" w:themeColor="text1"/>
                <w:sz w:val="20"/>
                <w:szCs w:val="20"/>
              </w:rPr>
              <w:t xml:space="preserve">(10.86) </w:t>
            </w:r>
            <w:r w:rsidRPr="00070DC8">
              <w:rPr>
                <w:rFonts w:asciiTheme="majorBidi" w:eastAsia="Calibri" w:hAnsiTheme="majorBidi" w:cstheme="majorBidi"/>
                <w:color w:val="000000" w:themeColor="text1"/>
                <w:sz w:val="20"/>
                <w:szCs w:val="20"/>
              </w:rPr>
              <w:t>[33–84]</w:t>
            </w:r>
          </w:p>
        </w:tc>
        <w:tc>
          <w:tcPr>
            <w:tcW w:w="0" w:type="dxa"/>
            <w:tcBorders>
              <w:top w:val="nil"/>
              <w:bottom w:val="single" w:sz="4" w:space="0" w:color="auto"/>
            </w:tcBorders>
            <w:shd w:val="clear" w:color="auto" w:fill="FFFFFF" w:themeFill="background1"/>
          </w:tcPr>
          <w:p w14:paraId="4DE6D42B"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-2.29</w:t>
            </w:r>
          </w:p>
        </w:tc>
        <w:tc>
          <w:tcPr>
            <w:tcW w:w="0" w:type="dxa"/>
            <w:tcBorders>
              <w:top w:val="nil"/>
              <w:bottom w:val="nil"/>
            </w:tcBorders>
            <w:shd w:val="clear" w:color="auto" w:fill="FFFFFF" w:themeFill="background1"/>
          </w:tcPr>
          <w:p w14:paraId="2B664319" w14:textId="4C0ED737"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.02</w:t>
            </w:r>
            <w:r w:rsidR="00C30144" w:rsidRPr="00070DC8">
              <w:rPr>
                <w:rFonts w:asciiTheme="majorBidi" w:eastAsia="Calibri" w:hAnsiTheme="majorBidi" w:cstheme="majorBidi"/>
                <w:color w:val="000000" w:themeColor="text1"/>
                <w:sz w:val="20"/>
                <w:szCs w:val="20"/>
              </w:rPr>
              <w:t>0</w:t>
            </w:r>
          </w:p>
        </w:tc>
        <w:tc>
          <w:tcPr>
            <w:tcW w:w="0" w:type="dxa"/>
            <w:tcBorders>
              <w:top w:val="nil"/>
              <w:bottom w:val="nil"/>
            </w:tcBorders>
            <w:shd w:val="clear" w:color="auto" w:fill="FFFFFF" w:themeFill="background1"/>
          </w:tcPr>
          <w:p w14:paraId="0D28E8E2"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0.25</w:t>
            </w:r>
          </w:p>
        </w:tc>
      </w:tr>
      <w:tr w:rsidR="00803858" w:rsidRPr="00070DC8" w14:paraId="7395522D" w14:textId="77777777" w:rsidTr="004D67BE">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auto"/>
              <w:bottom w:val="single" w:sz="4" w:space="0" w:color="auto"/>
            </w:tcBorders>
            <w:shd w:val="clear" w:color="auto" w:fill="FFFFFF" w:themeFill="background1"/>
          </w:tcPr>
          <w:p w14:paraId="03534774" w14:textId="77777777" w:rsidR="00803858" w:rsidRPr="004D67BE" w:rsidRDefault="00803858" w:rsidP="00817707">
            <w:pPr>
              <w:suppressLineNumbers/>
              <w:tabs>
                <w:tab w:val="decimal" w:pos="393"/>
                <w:tab w:val="decimal" w:pos="705"/>
              </w:tabs>
              <w:suppressAutoHyphens/>
              <w:ind w:firstLine="0"/>
              <w:contextualSpacing/>
              <w:rPr>
                <w:rFonts w:asciiTheme="majorBidi" w:eastAsia="Calibri" w:hAnsiTheme="majorBidi" w:cstheme="majorBidi"/>
                <w:b w:val="0"/>
                <w:bCs w:val="0"/>
                <w:iCs/>
                <w:color w:val="000000" w:themeColor="text1"/>
                <w:sz w:val="20"/>
                <w:szCs w:val="20"/>
              </w:rPr>
            </w:pPr>
            <w:r w:rsidRPr="00070DC8">
              <w:rPr>
                <w:rFonts w:asciiTheme="majorBidi" w:eastAsia="Calibri" w:hAnsiTheme="majorBidi" w:cstheme="majorBidi"/>
                <w:iCs/>
                <w:color w:val="000000" w:themeColor="text1"/>
                <w:sz w:val="20"/>
                <w:szCs w:val="20"/>
              </w:rPr>
              <w:t>BRIEF-SR scales</w:t>
            </w:r>
          </w:p>
        </w:tc>
        <w:tc>
          <w:tcPr>
            <w:tcW w:w="0" w:type="dxa"/>
            <w:tcBorders>
              <w:top w:val="nil"/>
              <w:bottom w:val="nil"/>
            </w:tcBorders>
            <w:shd w:val="clear" w:color="auto" w:fill="FFFFFF" w:themeFill="background1"/>
          </w:tcPr>
          <w:p w14:paraId="2CE8D83A" w14:textId="77777777" w:rsidR="00803858" w:rsidRPr="00480F09"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c>
          <w:tcPr>
            <w:tcW w:w="0" w:type="dxa"/>
            <w:tcBorders>
              <w:top w:val="nil"/>
              <w:bottom w:val="nil"/>
            </w:tcBorders>
            <w:shd w:val="clear" w:color="auto" w:fill="FFFFFF" w:themeFill="background1"/>
          </w:tcPr>
          <w:p w14:paraId="7BBBED8E" w14:textId="77777777" w:rsidR="00803858" w:rsidRPr="0070517D"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p>
        </w:tc>
      </w:tr>
      <w:tr w:rsidR="00803858" w:rsidRPr="00070DC8" w14:paraId="4884FEE1" w14:textId="77777777" w:rsidTr="004D67B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nil"/>
              <w:right w:val="nil"/>
            </w:tcBorders>
          </w:tcPr>
          <w:p w14:paraId="427E7046"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Inhibition</w:t>
            </w:r>
          </w:p>
        </w:tc>
        <w:tc>
          <w:tcPr>
            <w:tcW w:w="0" w:type="dxa"/>
            <w:tcBorders>
              <w:top w:val="single" w:sz="4" w:space="0" w:color="auto"/>
              <w:bottom w:val="nil"/>
            </w:tcBorders>
            <w:shd w:val="clear" w:color="auto" w:fill="FFFFFF" w:themeFill="background1"/>
          </w:tcPr>
          <w:p w14:paraId="07A604E0" w14:textId="2DA98969"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55.69 </w:t>
            </w:r>
            <w:r w:rsidR="00094FD0" w:rsidRPr="0070517D">
              <w:rPr>
                <w:rFonts w:asciiTheme="majorBidi" w:eastAsia="Calibri" w:hAnsiTheme="majorBidi" w:cstheme="majorBidi"/>
                <w:color w:val="000000" w:themeColor="text1"/>
                <w:sz w:val="20"/>
                <w:szCs w:val="20"/>
              </w:rPr>
              <w:t xml:space="preserve">(11.08) </w:t>
            </w:r>
            <w:r w:rsidRPr="00D50D7A">
              <w:rPr>
                <w:rFonts w:asciiTheme="majorBidi" w:eastAsia="Calibri" w:hAnsiTheme="majorBidi" w:cstheme="majorBidi"/>
                <w:color w:val="000000" w:themeColor="text1"/>
                <w:sz w:val="20"/>
                <w:szCs w:val="20"/>
              </w:rPr>
              <w:t>[34–86]</w:t>
            </w:r>
          </w:p>
        </w:tc>
        <w:tc>
          <w:tcPr>
            <w:tcW w:w="0" w:type="dxa"/>
            <w:tcBorders>
              <w:top w:val="single" w:sz="4" w:space="0" w:color="auto"/>
              <w:bottom w:val="nil"/>
            </w:tcBorders>
            <w:shd w:val="clear" w:color="auto" w:fill="FFFFFF" w:themeFill="background1"/>
          </w:tcPr>
          <w:p w14:paraId="0715B7E1" w14:textId="5349EDF8"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54.28</w:t>
            </w:r>
            <w:r w:rsidR="00A65ACE" w:rsidRPr="00070DC8">
              <w:rPr>
                <w:rFonts w:asciiTheme="majorBidi" w:eastAsia="Calibri" w:hAnsiTheme="majorBidi" w:cstheme="majorBidi"/>
                <w:color w:val="000000" w:themeColor="text1"/>
                <w:sz w:val="20"/>
                <w:szCs w:val="20"/>
              </w:rPr>
              <w:t xml:space="preserve"> (10.47)</w:t>
            </w:r>
            <w:r w:rsidRPr="00070DC8">
              <w:rPr>
                <w:rFonts w:asciiTheme="majorBidi" w:eastAsia="Calibri" w:hAnsiTheme="majorBidi" w:cstheme="majorBidi"/>
                <w:color w:val="000000" w:themeColor="text1"/>
                <w:sz w:val="20"/>
                <w:szCs w:val="20"/>
              </w:rPr>
              <w:t xml:space="preserve"> [34–79]</w:t>
            </w:r>
          </w:p>
        </w:tc>
        <w:tc>
          <w:tcPr>
            <w:tcW w:w="0" w:type="dxa"/>
            <w:tcBorders>
              <w:top w:val="single" w:sz="4" w:space="0" w:color="auto"/>
              <w:bottom w:val="nil"/>
            </w:tcBorders>
            <w:shd w:val="clear" w:color="auto" w:fill="FFFFFF" w:themeFill="background1"/>
          </w:tcPr>
          <w:p w14:paraId="673BF68C" w14:textId="563B13F1"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rPr>
            </w:pPr>
            <w:r w:rsidRPr="00070DC8">
              <w:rPr>
                <w:rFonts w:asciiTheme="majorBidi" w:eastAsia="Calibri" w:hAnsiTheme="majorBidi" w:cstheme="majorBidi"/>
                <w:color w:val="000000" w:themeColor="text1"/>
                <w:sz w:val="20"/>
                <w:szCs w:val="20"/>
              </w:rPr>
              <w:t>-</w:t>
            </w:r>
            <w:r w:rsidR="00C30144" w:rsidRPr="00070DC8">
              <w:rPr>
                <w:rFonts w:asciiTheme="majorBidi" w:eastAsia="Calibri" w:hAnsiTheme="majorBidi" w:cstheme="majorBidi"/>
                <w:color w:val="000000" w:themeColor="text1"/>
                <w:sz w:val="20"/>
                <w:szCs w:val="20"/>
              </w:rPr>
              <w:t>0</w:t>
            </w:r>
            <w:r w:rsidRPr="00070DC8">
              <w:rPr>
                <w:rFonts w:asciiTheme="majorBidi" w:eastAsia="Calibri" w:hAnsiTheme="majorBidi" w:cstheme="majorBidi"/>
                <w:color w:val="000000" w:themeColor="text1"/>
                <w:sz w:val="20"/>
                <w:szCs w:val="20"/>
              </w:rPr>
              <w:t>.78</w:t>
            </w:r>
          </w:p>
        </w:tc>
        <w:tc>
          <w:tcPr>
            <w:tcW w:w="0" w:type="dxa"/>
            <w:tcBorders>
              <w:top w:val="nil"/>
              <w:bottom w:val="nil"/>
            </w:tcBorders>
            <w:shd w:val="clear" w:color="auto" w:fill="FFFFFF" w:themeFill="background1"/>
          </w:tcPr>
          <w:p w14:paraId="026E4177" w14:textId="3378DE04"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.44</w:t>
            </w:r>
            <w:r w:rsidR="00C30144" w:rsidRPr="00070DC8">
              <w:rPr>
                <w:rFonts w:asciiTheme="majorBidi" w:eastAsia="Calibri" w:hAnsiTheme="majorBidi" w:cstheme="majorBidi"/>
                <w:color w:val="000000" w:themeColor="text1"/>
                <w:sz w:val="20"/>
                <w:szCs w:val="20"/>
              </w:rPr>
              <w:t>0</w:t>
            </w:r>
          </w:p>
        </w:tc>
        <w:tc>
          <w:tcPr>
            <w:tcW w:w="0" w:type="dxa"/>
            <w:tcBorders>
              <w:top w:val="nil"/>
              <w:bottom w:val="nil"/>
            </w:tcBorders>
            <w:shd w:val="clear" w:color="auto" w:fill="FFFFFF" w:themeFill="background1"/>
          </w:tcPr>
          <w:p w14:paraId="5AD21538"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0.32</w:t>
            </w:r>
          </w:p>
        </w:tc>
      </w:tr>
      <w:tr w:rsidR="00803858" w:rsidRPr="00070DC8" w14:paraId="0CFF2728" w14:textId="77777777" w:rsidTr="004D67BE">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tcPr>
          <w:p w14:paraId="3132E00C"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Shift</w:t>
            </w:r>
          </w:p>
        </w:tc>
        <w:tc>
          <w:tcPr>
            <w:tcW w:w="0" w:type="dxa"/>
            <w:tcBorders>
              <w:top w:val="nil"/>
              <w:bottom w:val="nil"/>
            </w:tcBorders>
            <w:shd w:val="clear" w:color="auto" w:fill="FFFFFF" w:themeFill="background1"/>
          </w:tcPr>
          <w:p w14:paraId="07C9EBD4" w14:textId="3136228A"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58.59</w:t>
            </w:r>
            <w:r w:rsidR="00094FD0" w:rsidRPr="0070517D">
              <w:rPr>
                <w:rFonts w:asciiTheme="majorBidi" w:eastAsia="Calibri" w:hAnsiTheme="majorBidi" w:cstheme="majorBidi"/>
                <w:color w:val="000000" w:themeColor="text1"/>
                <w:sz w:val="20"/>
                <w:szCs w:val="20"/>
              </w:rPr>
              <w:t xml:space="preserve"> (14.36)</w:t>
            </w:r>
            <w:r w:rsidRPr="00D50D7A">
              <w:rPr>
                <w:rFonts w:asciiTheme="majorBidi" w:eastAsia="Calibri" w:hAnsiTheme="majorBidi" w:cstheme="majorBidi"/>
                <w:color w:val="000000" w:themeColor="text1"/>
                <w:sz w:val="20"/>
                <w:szCs w:val="20"/>
              </w:rPr>
              <w:t xml:space="preserve"> [32–91]</w:t>
            </w:r>
          </w:p>
        </w:tc>
        <w:tc>
          <w:tcPr>
            <w:tcW w:w="0" w:type="dxa"/>
            <w:tcBorders>
              <w:top w:val="nil"/>
              <w:bottom w:val="nil"/>
            </w:tcBorders>
            <w:shd w:val="clear" w:color="auto" w:fill="FFFFFF" w:themeFill="background1"/>
          </w:tcPr>
          <w:p w14:paraId="6868D1B8" w14:textId="39DE3F3D"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rPr>
            </w:pPr>
            <w:r w:rsidRPr="00070DC8">
              <w:rPr>
                <w:rFonts w:asciiTheme="majorBidi" w:eastAsia="Calibri" w:hAnsiTheme="majorBidi" w:cstheme="majorBidi"/>
                <w:color w:val="000000" w:themeColor="text1"/>
                <w:sz w:val="20"/>
                <w:szCs w:val="20"/>
              </w:rPr>
              <w:t>57.33</w:t>
            </w:r>
            <w:r w:rsidR="00A65ACE" w:rsidRPr="00070DC8">
              <w:rPr>
                <w:rFonts w:asciiTheme="majorBidi" w:eastAsia="Calibri" w:hAnsiTheme="majorBidi" w:cstheme="majorBidi"/>
                <w:color w:val="000000" w:themeColor="text1"/>
                <w:sz w:val="20"/>
                <w:szCs w:val="20"/>
              </w:rPr>
              <w:t xml:space="preserve"> (13.12)</w:t>
            </w:r>
            <w:r w:rsidRPr="00070DC8">
              <w:rPr>
                <w:rFonts w:asciiTheme="majorBidi" w:eastAsia="Calibri" w:hAnsiTheme="majorBidi" w:cstheme="majorBidi"/>
                <w:color w:val="000000" w:themeColor="text1"/>
                <w:sz w:val="20"/>
                <w:szCs w:val="20"/>
              </w:rPr>
              <w:t xml:space="preserve"> [34–97]</w:t>
            </w:r>
          </w:p>
        </w:tc>
        <w:tc>
          <w:tcPr>
            <w:tcW w:w="0" w:type="dxa"/>
            <w:tcBorders>
              <w:top w:val="nil"/>
              <w:bottom w:val="nil"/>
            </w:tcBorders>
            <w:shd w:val="clear" w:color="auto" w:fill="FFFFFF" w:themeFill="background1"/>
          </w:tcPr>
          <w:p w14:paraId="18427868" w14:textId="1E2CE6FF"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w:t>
            </w:r>
            <w:r w:rsidR="00C30144" w:rsidRPr="00070DC8">
              <w:rPr>
                <w:rFonts w:asciiTheme="majorBidi" w:eastAsia="Calibri" w:hAnsiTheme="majorBidi" w:cstheme="majorBidi"/>
                <w:color w:val="000000" w:themeColor="text1"/>
                <w:sz w:val="20"/>
                <w:szCs w:val="20"/>
              </w:rPr>
              <w:t>0</w:t>
            </w:r>
            <w:r w:rsidRPr="00070DC8">
              <w:rPr>
                <w:rFonts w:asciiTheme="majorBidi" w:eastAsia="Calibri" w:hAnsiTheme="majorBidi" w:cstheme="majorBidi"/>
                <w:color w:val="000000" w:themeColor="text1"/>
                <w:sz w:val="20"/>
                <w:szCs w:val="20"/>
              </w:rPr>
              <w:t>.74</w:t>
            </w:r>
          </w:p>
        </w:tc>
        <w:tc>
          <w:tcPr>
            <w:tcW w:w="0" w:type="dxa"/>
            <w:tcBorders>
              <w:top w:val="nil"/>
              <w:bottom w:val="nil"/>
            </w:tcBorders>
            <w:shd w:val="clear" w:color="auto" w:fill="FFFFFF" w:themeFill="background1"/>
          </w:tcPr>
          <w:p w14:paraId="4911EB39" w14:textId="77777777"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.46</w:t>
            </w:r>
          </w:p>
        </w:tc>
        <w:tc>
          <w:tcPr>
            <w:tcW w:w="0" w:type="dxa"/>
            <w:tcBorders>
              <w:top w:val="nil"/>
              <w:bottom w:val="nil"/>
            </w:tcBorders>
            <w:shd w:val="clear" w:color="auto" w:fill="FFFFFF" w:themeFill="background1"/>
          </w:tcPr>
          <w:p w14:paraId="4F79C173"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0.10</w:t>
            </w:r>
          </w:p>
        </w:tc>
      </w:tr>
      <w:tr w:rsidR="00803858" w:rsidRPr="00070DC8" w14:paraId="6C1FBD21" w14:textId="77777777" w:rsidTr="004D67BE">
        <w:trPr>
          <w:trHeight w:val="23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tcPr>
          <w:p w14:paraId="338DDCDC"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Emotional control</w:t>
            </w:r>
          </w:p>
        </w:tc>
        <w:tc>
          <w:tcPr>
            <w:tcW w:w="0" w:type="dxa"/>
            <w:tcBorders>
              <w:top w:val="nil"/>
            </w:tcBorders>
            <w:shd w:val="clear" w:color="auto" w:fill="FFFFFF" w:themeFill="background1"/>
          </w:tcPr>
          <w:p w14:paraId="645EA7A8" w14:textId="77AEB0D2"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61.18</w:t>
            </w:r>
            <w:r w:rsidR="00094FD0" w:rsidRPr="0070517D">
              <w:rPr>
                <w:rFonts w:asciiTheme="majorBidi" w:eastAsia="Calibri" w:hAnsiTheme="majorBidi" w:cstheme="majorBidi"/>
                <w:color w:val="000000" w:themeColor="text1"/>
                <w:sz w:val="20"/>
                <w:szCs w:val="20"/>
              </w:rPr>
              <w:t xml:space="preserve"> (10.96)</w:t>
            </w:r>
            <w:r w:rsidRPr="00D50D7A">
              <w:rPr>
                <w:rFonts w:asciiTheme="majorBidi" w:eastAsia="Calibri" w:hAnsiTheme="majorBidi" w:cstheme="majorBidi"/>
                <w:color w:val="000000" w:themeColor="text1"/>
                <w:sz w:val="20"/>
                <w:szCs w:val="20"/>
              </w:rPr>
              <w:t xml:space="preserve"> [38–83]</w:t>
            </w:r>
          </w:p>
        </w:tc>
        <w:tc>
          <w:tcPr>
            <w:tcW w:w="0" w:type="dxa"/>
            <w:tcBorders>
              <w:top w:val="nil"/>
            </w:tcBorders>
            <w:shd w:val="clear" w:color="auto" w:fill="FFFFFF" w:themeFill="background1"/>
          </w:tcPr>
          <w:p w14:paraId="1E52B9AA" w14:textId="7083ED78"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 xml:space="preserve">57.74 </w:t>
            </w:r>
            <w:r w:rsidR="00A65ACE" w:rsidRPr="00070DC8">
              <w:rPr>
                <w:rFonts w:asciiTheme="majorBidi" w:eastAsia="Calibri" w:hAnsiTheme="majorBidi" w:cstheme="majorBidi"/>
                <w:color w:val="000000" w:themeColor="text1"/>
                <w:sz w:val="20"/>
                <w:szCs w:val="20"/>
              </w:rPr>
              <w:t xml:space="preserve">(10.37) </w:t>
            </w:r>
            <w:r w:rsidRPr="00070DC8">
              <w:rPr>
                <w:rFonts w:asciiTheme="majorBidi" w:eastAsia="Calibri" w:hAnsiTheme="majorBidi" w:cstheme="majorBidi"/>
                <w:color w:val="000000" w:themeColor="text1"/>
                <w:sz w:val="20"/>
                <w:szCs w:val="20"/>
              </w:rPr>
              <w:t>[38–82]</w:t>
            </w:r>
          </w:p>
        </w:tc>
        <w:tc>
          <w:tcPr>
            <w:tcW w:w="0" w:type="dxa"/>
            <w:tcBorders>
              <w:top w:val="nil"/>
            </w:tcBorders>
            <w:shd w:val="clear" w:color="auto" w:fill="FFFFFF" w:themeFill="background1"/>
          </w:tcPr>
          <w:p w14:paraId="66A97C3B"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rPr>
            </w:pPr>
            <w:r w:rsidRPr="00070DC8">
              <w:rPr>
                <w:rFonts w:asciiTheme="majorBidi" w:eastAsia="Calibri" w:hAnsiTheme="majorBidi" w:cstheme="majorBidi"/>
                <w:color w:val="000000" w:themeColor="text1"/>
                <w:sz w:val="20"/>
                <w:szCs w:val="20"/>
              </w:rPr>
              <w:t>-2.31</w:t>
            </w:r>
          </w:p>
        </w:tc>
        <w:tc>
          <w:tcPr>
            <w:tcW w:w="0" w:type="dxa"/>
            <w:tcBorders>
              <w:top w:val="nil"/>
            </w:tcBorders>
            <w:shd w:val="clear" w:color="auto" w:fill="FFFFFF" w:themeFill="background1"/>
          </w:tcPr>
          <w:p w14:paraId="0F0FDC99" w14:textId="103A1626"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.02</w:t>
            </w:r>
            <w:r w:rsidR="00C30144" w:rsidRPr="00070DC8">
              <w:rPr>
                <w:rFonts w:asciiTheme="majorBidi" w:eastAsia="Calibri" w:hAnsiTheme="majorBidi" w:cstheme="majorBidi"/>
                <w:color w:val="000000" w:themeColor="text1"/>
                <w:sz w:val="20"/>
                <w:szCs w:val="20"/>
              </w:rPr>
              <w:t>0</w:t>
            </w:r>
          </w:p>
        </w:tc>
        <w:tc>
          <w:tcPr>
            <w:tcW w:w="0" w:type="dxa"/>
            <w:tcBorders>
              <w:top w:val="nil"/>
            </w:tcBorders>
            <w:shd w:val="clear" w:color="auto" w:fill="FFFFFF" w:themeFill="background1"/>
          </w:tcPr>
          <w:p w14:paraId="6E8E820A"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0.32</w:t>
            </w:r>
          </w:p>
        </w:tc>
      </w:tr>
      <w:tr w:rsidR="00803858" w:rsidRPr="00070DC8" w14:paraId="52F21BCE" w14:textId="77777777" w:rsidTr="00CE09DB">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18A792CD"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Monitor</w:t>
            </w:r>
          </w:p>
        </w:tc>
        <w:tc>
          <w:tcPr>
            <w:tcW w:w="2410" w:type="dxa"/>
            <w:tcBorders>
              <w:bottom w:val="nil"/>
            </w:tcBorders>
            <w:shd w:val="clear" w:color="auto" w:fill="FFFFFF" w:themeFill="background1"/>
          </w:tcPr>
          <w:p w14:paraId="6FB78708" w14:textId="6557111F"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54.10 </w:t>
            </w:r>
            <w:r w:rsidR="00094FD0" w:rsidRPr="0070517D">
              <w:rPr>
                <w:rFonts w:asciiTheme="majorBidi" w:eastAsia="Calibri" w:hAnsiTheme="majorBidi" w:cstheme="majorBidi"/>
                <w:color w:val="000000" w:themeColor="text1"/>
                <w:sz w:val="20"/>
                <w:szCs w:val="20"/>
              </w:rPr>
              <w:t xml:space="preserve">(10.10) </w:t>
            </w:r>
            <w:r w:rsidRPr="00D50D7A">
              <w:rPr>
                <w:rFonts w:asciiTheme="majorBidi" w:eastAsia="Calibri" w:hAnsiTheme="majorBidi" w:cstheme="majorBidi"/>
                <w:color w:val="000000" w:themeColor="text1"/>
                <w:sz w:val="20"/>
                <w:szCs w:val="20"/>
              </w:rPr>
              <w:t>[36–76]</w:t>
            </w:r>
          </w:p>
        </w:tc>
        <w:tc>
          <w:tcPr>
            <w:tcW w:w="2126" w:type="dxa"/>
            <w:tcBorders>
              <w:bottom w:val="nil"/>
            </w:tcBorders>
            <w:shd w:val="clear" w:color="auto" w:fill="FFFFFF" w:themeFill="background1"/>
          </w:tcPr>
          <w:p w14:paraId="6EC41F76" w14:textId="403C95DB"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51.02</w:t>
            </w:r>
            <w:r w:rsidR="00A65ACE" w:rsidRPr="00070DC8">
              <w:rPr>
                <w:rFonts w:asciiTheme="majorBidi" w:eastAsia="Calibri" w:hAnsiTheme="majorBidi" w:cstheme="majorBidi"/>
                <w:color w:val="000000" w:themeColor="text1"/>
                <w:sz w:val="20"/>
                <w:szCs w:val="20"/>
              </w:rPr>
              <w:t xml:space="preserve"> (10.70)</w:t>
            </w:r>
            <w:r w:rsidRPr="00070DC8">
              <w:rPr>
                <w:rFonts w:asciiTheme="majorBidi" w:eastAsia="Calibri" w:hAnsiTheme="majorBidi" w:cstheme="majorBidi"/>
                <w:color w:val="000000" w:themeColor="text1"/>
                <w:sz w:val="20"/>
                <w:szCs w:val="20"/>
              </w:rPr>
              <w:t xml:space="preserve"> [36–78]</w:t>
            </w:r>
          </w:p>
        </w:tc>
        <w:tc>
          <w:tcPr>
            <w:tcW w:w="992" w:type="dxa"/>
            <w:tcBorders>
              <w:bottom w:val="nil"/>
            </w:tcBorders>
            <w:shd w:val="clear" w:color="auto" w:fill="FFFFFF" w:themeFill="background1"/>
          </w:tcPr>
          <w:p w14:paraId="74F7DEE3"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-2.06</w:t>
            </w:r>
          </w:p>
        </w:tc>
        <w:tc>
          <w:tcPr>
            <w:tcW w:w="724" w:type="dxa"/>
            <w:tcBorders>
              <w:bottom w:val="nil"/>
            </w:tcBorders>
            <w:shd w:val="clear" w:color="auto" w:fill="FFFFFF" w:themeFill="background1"/>
          </w:tcPr>
          <w:p w14:paraId="642E8F64" w14:textId="6F4DBEE8"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.04</w:t>
            </w:r>
            <w:r w:rsidR="00C30144" w:rsidRPr="00070DC8">
              <w:rPr>
                <w:rFonts w:asciiTheme="majorBidi" w:eastAsia="Calibri" w:hAnsiTheme="majorBidi" w:cstheme="majorBidi"/>
                <w:color w:val="000000" w:themeColor="text1"/>
                <w:sz w:val="20"/>
                <w:szCs w:val="20"/>
              </w:rPr>
              <w:t>0</w:t>
            </w:r>
          </w:p>
        </w:tc>
        <w:tc>
          <w:tcPr>
            <w:tcW w:w="694" w:type="dxa"/>
            <w:tcBorders>
              <w:bottom w:val="nil"/>
            </w:tcBorders>
            <w:shd w:val="clear" w:color="auto" w:fill="FFFFFF" w:themeFill="background1"/>
          </w:tcPr>
          <w:p w14:paraId="693FE2F1"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0.30</w:t>
            </w:r>
          </w:p>
        </w:tc>
      </w:tr>
      <w:tr w:rsidR="00803858" w:rsidRPr="00070DC8" w14:paraId="55F8AB32" w14:textId="77777777" w:rsidTr="00CE09DB">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2D218906"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Working memory</w:t>
            </w:r>
          </w:p>
        </w:tc>
        <w:tc>
          <w:tcPr>
            <w:tcW w:w="2410" w:type="dxa"/>
            <w:tcBorders>
              <w:top w:val="nil"/>
              <w:bottom w:val="nil"/>
            </w:tcBorders>
            <w:shd w:val="clear" w:color="auto" w:fill="FFFFFF" w:themeFill="background1"/>
          </w:tcPr>
          <w:p w14:paraId="7A928730" w14:textId="38D144D6"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56.05</w:t>
            </w:r>
            <w:r w:rsidR="00094FD0" w:rsidRPr="0070517D">
              <w:rPr>
                <w:rFonts w:asciiTheme="majorBidi" w:eastAsia="Calibri" w:hAnsiTheme="majorBidi" w:cstheme="majorBidi"/>
                <w:color w:val="000000" w:themeColor="text1"/>
                <w:sz w:val="20"/>
                <w:szCs w:val="20"/>
              </w:rPr>
              <w:t xml:space="preserve"> (11.39)</w:t>
            </w:r>
            <w:r w:rsidRPr="00D50D7A">
              <w:rPr>
                <w:rFonts w:asciiTheme="majorBidi" w:eastAsia="Calibri" w:hAnsiTheme="majorBidi" w:cstheme="majorBidi"/>
                <w:color w:val="000000" w:themeColor="text1"/>
                <w:sz w:val="20"/>
                <w:szCs w:val="20"/>
              </w:rPr>
              <w:t xml:space="preserve"> [34–86]</w:t>
            </w:r>
          </w:p>
        </w:tc>
        <w:tc>
          <w:tcPr>
            <w:tcW w:w="2126" w:type="dxa"/>
            <w:tcBorders>
              <w:top w:val="nil"/>
              <w:bottom w:val="nil"/>
            </w:tcBorders>
            <w:shd w:val="clear" w:color="auto" w:fill="FFFFFF" w:themeFill="background1"/>
          </w:tcPr>
          <w:p w14:paraId="62593EBC" w14:textId="3C277125"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55.41</w:t>
            </w:r>
            <w:r w:rsidR="00A65ACE" w:rsidRPr="00070DC8">
              <w:rPr>
                <w:rFonts w:asciiTheme="majorBidi" w:eastAsia="Calibri" w:hAnsiTheme="majorBidi" w:cstheme="majorBidi"/>
                <w:color w:val="000000" w:themeColor="text1"/>
                <w:sz w:val="20"/>
                <w:szCs w:val="20"/>
              </w:rPr>
              <w:t xml:space="preserve"> (10.75)</w:t>
            </w:r>
            <w:r w:rsidRPr="00070DC8">
              <w:rPr>
                <w:rFonts w:asciiTheme="majorBidi" w:eastAsia="Calibri" w:hAnsiTheme="majorBidi" w:cstheme="majorBidi"/>
                <w:color w:val="000000" w:themeColor="text1"/>
                <w:sz w:val="20"/>
                <w:szCs w:val="20"/>
              </w:rPr>
              <w:t xml:space="preserve"> [34–81]</w:t>
            </w:r>
          </w:p>
        </w:tc>
        <w:tc>
          <w:tcPr>
            <w:tcW w:w="992" w:type="dxa"/>
            <w:tcBorders>
              <w:top w:val="nil"/>
              <w:bottom w:val="nil"/>
            </w:tcBorders>
            <w:shd w:val="clear" w:color="auto" w:fill="FFFFFF" w:themeFill="background1"/>
          </w:tcPr>
          <w:p w14:paraId="14C8ADB5"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-5.01</w:t>
            </w:r>
          </w:p>
        </w:tc>
        <w:tc>
          <w:tcPr>
            <w:tcW w:w="724" w:type="dxa"/>
            <w:tcBorders>
              <w:top w:val="nil"/>
              <w:bottom w:val="nil"/>
            </w:tcBorders>
            <w:shd w:val="clear" w:color="auto" w:fill="FFFFFF" w:themeFill="background1"/>
          </w:tcPr>
          <w:p w14:paraId="71BCB272" w14:textId="502C5B80"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.61</w:t>
            </w:r>
            <w:r w:rsidR="00C30144" w:rsidRPr="00070DC8">
              <w:rPr>
                <w:rFonts w:asciiTheme="majorBidi" w:eastAsia="Calibri" w:hAnsiTheme="majorBidi" w:cstheme="majorBidi"/>
                <w:color w:val="000000" w:themeColor="text1"/>
                <w:sz w:val="20"/>
                <w:szCs w:val="20"/>
              </w:rPr>
              <w:t>0</w:t>
            </w:r>
          </w:p>
        </w:tc>
        <w:tc>
          <w:tcPr>
            <w:tcW w:w="694" w:type="dxa"/>
            <w:tcBorders>
              <w:top w:val="nil"/>
              <w:bottom w:val="nil"/>
            </w:tcBorders>
            <w:shd w:val="clear" w:color="auto" w:fill="FFFFFF" w:themeFill="background1"/>
          </w:tcPr>
          <w:p w14:paraId="6F16BA5E"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0.06</w:t>
            </w:r>
          </w:p>
        </w:tc>
      </w:tr>
      <w:tr w:rsidR="00803858" w:rsidRPr="00070DC8" w14:paraId="59B22E05" w14:textId="77777777" w:rsidTr="00CE09DB">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3FCC9187"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Plan/Org</w:t>
            </w:r>
          </w:p>
        </w:tc>
        <w:tc>
          <w:tcPr>
            <w:tcW w:w="2410" w:type="dxa"/>
            <w:tcBorders>
              <w:top w:val="nil"/>
              <w:bottom w:val="nil"/>
            </w:tcBorders>
            <w:shd w:val="clear" w:color="auto" w:fill="FFFFFF" w:themeFill="background1"/>
          </w:tcPr>
          <w:p w14:paraId="25F7C541" w14:textId="470C795E"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58.33 </w:t>
            </w:r>
            <w:r w:rsidR="00094FD0" w:rsidRPr="0070517D">
              <w:rPr>
                <w:rFonts w:asciiTheme="majorBidi" w:eastAsia="Calibri" w:hAnsiTheme="majorBidi" w:cstheme="majorBidi"/>
                <w:color w:val="000000" w:themeColor="text1"/>
                <w:sz w:val="20"/>
                <w:szCs w:val="20"/>
              </w:rPr>
              <w:t xml:space="preserve">(10.89) </w:t>
            </w:r>
            <w:r w:rsidRPr="00D50D7A">
              <w:rPr>
                <w:rFonts w:asciiTheme="majorBidi" w:eastAsia="Calibri" w:hAnsiTheme="majorBidi" w:cstheme="majorBidi"/>
                <w:color w:val="000000" w:themeColor="text1"/>
                <w:sz w:val="20"/>
                <w:szCs w:val="20"/>
              </w:rPr>
              <w:t>[31–79]</w:t>
            </w:r>
          </w:p>
        </w:tc>
        <w:tc>
          <w:tcPr>
            <w:tcW w:w="2126" w:type="dxa"/>
            <w:tcBorders>
              <w:top w:val="nil"/>
              <w:bottom w:val="nil"/>
            </w:tcBorders>
            <w:shd w:val="clear" w:color="auto" w:fill="FFFFFF" w:themeFill="background1"/>
          </w:tcPr>
          <w:p w14:paraId="2D5726F5" w14:textId="33C88253"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 xml:space="preserve">55.49 </w:t>
            </w:r>
            <w:r w:rsidR="00A65ACE" w:rsidRPr="00070DC8">
              <w:rPr>
                <w:rFonts w:asciiTheme="majorBidi" w:eastAsia="Calibri" w:hAnsiTheme="majorBidi" w:cstheme="majorBidi"/>
                <w:color w:val="000000" w:themeColor="text1"/>
                <w:sz w:val="20"/>
                <w:szCs w:val="20"/>
              </w:rPr>
              <w:t xml:space="preserve">(9.81) </w:t>
            </w:r>
            <w:r w:rsidRPr="00070DC8">
              <w:rPr>
                <w:rFonts w:asciiTheme="majorBidi" w:eastAsia="Calibri" w:hAnsiTheme="majorBidi" w:cstheme="majorBidi"/>
                <w:color w:val="000000" w:themeColor="text1"/>
                <w:sz w:val="20"/>
                <w:szCs w:val="20"/>
              </w:rPr>
              <w:t>[31–77]</w:t>
            </w:r>
          </w:p>
        </w:tc>
        <w:tc>
          <w:tcPr>
            <w:tcW w:w="992" w:type="dxa"/>
            <w:tcBorders>
              <w:top w:val="nil"/>
              <w:bottom w:val="nil"/>
            </w:tcBorders>
            <w:shd w:val="clear" w:color="auto" w:fill="FFFFFF" w:themeFill="background1"/>
          </w:tcPr>
          <w:p w14:paraId="037E3E67"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-2.40</w:t>
            </w:r>
          </w:p>
        </w:tc>
        <w:tc>
          <w:tcPr>
            <w:tcW w:w="724" w:type="dxa"/>
            <w:tcBorders>
              <w:top w:val="nil"/>
              <w:bottom w:val="nil"/>
            </w:tcBorders>
            <w:shd w:val="clear" w:color="auto" w:fill="FFFFFF" w:themeFill="background1"/>
          </w:tcPr>
          <w:p w14:paraId="1D2CAE24" w14:textId="2E3C6CB1"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.02</w:t>
            </w:r>
            <w:r w:rsidR="00C30144" w:rsidRPr="00070DC8">
              <w:rPr>
                <w:rFonts w:asciiTheme="majorBidi" w:eastAsia="Calibri" w:hAnsiTheme="majorBidi" w:cstheme="majorBidi"/>
                <w:color w:val="000000" w:themeColor="text1"/>
                <w:sz w:val="20"/>
                <w:szCs w:val="20"/>
              </w:rPr>
              <w:t>0</w:t>
            </w:r>
          </w:p>
        </w:tc>
        <w:tc>
          <w:tcPr>
            <w:tcW w:w="694" w:type="dxa"/>
            <w:tcBorders>
              <w:top w:val="nil"/>
              <w:bottom w:val="nil"/>
            </w:tcBorders>
            <w:shd w:val="clear" w:color="auto" w:fill="FFFFFF" w:themeFill="background1"/>
          </w:tcPr>
          <w:p w14:paraId="562161CF"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0.27</w:t>
            </w:r>
          </w:p>
        </w:tc>
      </w:tr>
      <w:tr w:rsidR="00803858" w:rsidRPr="00070DC8" w14:paraId="29E5ADC6" w14:textId="77777777" w:rsidTr="00CE09DB">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239C5E45"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Organization of materials</w:t>
            </w:r>
          </w:p>
        </w:tc>
        <w:tc>
          <w:tcPr>
            <w:tcW w:w="2410" w:type="dxa"/>
            <w:tcBorders>
              <w:top w:val="nil"/>
              <w:bottom w:val="nil"/>
            </w:tcBorders>
            <w:shd w:val="clear" w:color="auto" w:fill="FFFFFF" w:themeFill="background1"/>
          </w:tcPr>
          <w:p w14:paraId="40D9387C" w14:textId="351ED080"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55.23</w:t>
            </w:r>
            <w:r w:rsidR="00094FD0" w:rsidRPr="0070517D">
              <w:rPr>
                <w:rFonts w:asciiTheme="majorBidi" w:eastAsia="Calibri" w:hAnsiTheme="majorBidi" w:cstheme="majorBidi"/>
                <w:color w:val="000000" w:themeColor="text1"/>
                <w:sz w:val="20"/>
                <w:szCs w:val="20"/>
              </w:rPr>
              <w:t xml:space="preserve"> (11.55)</w:t>
            </w:r>
            <w:r w:rsidRPr="00D50D7A">
              <w:rPr>
                <w:rFonts w:asciiTheme="majorBidi" w:eastAsia="Calibri" w:hAnsiTheme="majorBidi" w:cstheme="majorBidi"/>
                <w:color w:val="000000" w:themeColor="text1"/>
                <w:sz w:val="20"/>
                <w:szCs w:val="20"/>
              </w:rPr>
              <w:t xml:space="preserve"> [33–76]</w:t>
            </w:r>
          </w:p>
        </w:tc>
        <w:tc>
          <w:tcPr>
            <w:tcW w:w="2126" w:type="dxa"/>
            <w:tcBorders>
              <w:top w:val="nil"/>
              <w:bottom w:val="nil"/>
            </w:tcBorders>
            <w:shd w:val="clear" w:color="auto" w:fill="FFFFFF" w:themeFill="background1"/>
          </w:tcPr>
          <w:p w14:paraId="6858C875" w14:textId="4FBADC17"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 xml:space="preserve">51.64 </w:t>
            </w:r>
            <w:r w:rsidR="00A65ACE" w:rsidRPr="00070DC8">
              <w:rPr>
                <w:rFonts w:asciiTheme="majorBidi" w:eastAsia="Calibri" w:hAnsiTheme="majorBidi" w:cstheme="majorBidi"/>
                <w:color w:val="000000" w:themeColor="text1"/>
                <w:sz w:val="20"/>
                <w:szCs w:val="20"/>
              </w:rPr>
              <w:t xml:space="preserve">(8.41) </w:t>
            </w:r>
            <w:r w:rsidRPr="00070DC8">
              <w:rPr>
                <w:rFonts w:asciiTheme="majorBidi" w:eastAsia="Calibri" w:hAnsiTheme="majorBidi" w:cstheme="majorBidi"/>
                <w:color w:val="000000" w:themeColor="text1"/>
                <w:sz w:val="20"/>
                <w:szCs w:val="20"/>
              </w:rPr>
              <w:t>[33–75]</w:t>
            </w:r>
          </w:p>
        </w:tc>
        <w:tc>
          <w:tcPr>
            <w:tcW w:w="992" w:type="dxa"/>
            <w:tcBorders>
              <w:top w:val="nil"/>
              <w:bottom w:val="nil"/>
            </w:tcBorders>
            <w:shd w:val="clear" w:color="auto" w:fill="FFFFFF" w:themeFill="background1"/>
          </w:tcPr>
          <w:p w14:paraId="310F216C"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-2.38</w:t>
            </w:r>
          </w:p>
        </w:tc>
        <w:tc>
          <w:tcPr>
            <w:tcW w:w="724" w:type="dxa"/>
            <w:tcBorders>
              <w:top w:val="nil"/>
              <w:bottom w:val="nil"/>
            </w:tcBorders>
            <w:shd w:val="clear" w:color="auto" w:fill="FFFFFF" w:themeFill="background1"/>
          </w:tcPr>
          <w:p w14:paraId="2C81FBCF" w14:textId="4E9A3007"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.02</w:t>
            </w:r>
            <w:r w:rsidR="00C30144" w:rsidRPr="00070DC8">
              <w:rPr>
                <w:rFonts w:asciiTheme="majorBidi" w:eastAsia="Calibri" w:hAnsiTheme="majorBidi" w:cstheme="majorBidi"/>
                <w:color w:val="000000" w:themeColor="text1"/>
                <w:sz w:val="20"/>
                <w:szCs w:val="20"/>
              </w:rPr>
              <w:t>0</w:t>
            </w:r>
          </w:p>
        </w:tc>
        <w:tc>
          <w:tcPr>
            <w:tcW w:w="694" w:type="dxa"/>
            <w:tcBorders>
              <w:top w:val="nil"/>
              <w:bottom w:val="nil"/>
            </w:tcBorders>
            <w:shd w:val="clear" w:color="auto" w:fill="FFFFFF" w:themeFill="background1"/>
          </w:tcPr>
          <w:p w14:paraId="11A60A4C"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0.35</w:t>
            </w:r>
          </w:p>
        </w:tc>
      </w:tr>
      <w:tr w:rsidR="00803858" w:rsidRPr="00070DC8" w14:paraId="05E8D590" w14:textId="77777777" w:rsidTr="00CE09DB">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12" w:space="0" w:color="auto"/>
              <w:right w:val="nil"/>
            </w:tcBorders>
          </w:tcPr>
          <w:p w14:paraId="6B484631" w14:textId="77777777" w:rsidR="00803858" w:rsidRPr="004D67BE" w:rsidRDefault="00803858" w:rsidP="00817707">
            <w:pPr>
              <w:suppressLineNumbers/>
              <w:suppressAutoHyphens/>
              <w:ind w:firstLine="0"/>
              <w:contextualSpacing/>
              <w:rPr>
                <w:rFonts w:asciiTheme="majorBidi" w:eastAsia="Calibri" w:hAnsiTheme="majorBidi" w:cstheme="majorBidi"/>
                <w:b w:val="0"/>
                <w:bCs w:val="0"/>
                <w:color w:val="000000" w:themeColor="text1"/>
                <w:sz w:val="20"/>
                <w:szCs w:val="20"/>
              </w:rPr>
            </w:pPr>
            <w:r w:rsidRPr="00070DC8">
              <w:rPr>
                <w:sz w:val="20"/>
              </w:rPr>
              <w:t>Task completion</w:t>
            </w:r>
          </w:p>
        </w:tc>
        <w:tc>
          <w:tcPr>
            <w:tcW w:w="2410" w:type="dxa"/>
            <w:tcBorders>
              <w:top w:val="nil"/>
              <w:bottom w:val="single" w:sz="12" w:space="0" w:color="auto"/>
            </w:tcBorders>
            <w:shd w:val="clear" w:color="auto" w:fill="FFFFFF" w:themeFill="background1"/>
          </w:tcPr>
          <w:p w14:paraId="4EB9A7A8" w14:textId="1CCF3E7A" w:rsidR="00803858" w:rsidRPr="00D50D7A" w:rsidRDefault="00803858" w:rsidP="00480F0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480F09">
              <w:rPr>
                <w:rFonts w:asciiTheme="majorBidi" w:eastAsia="Calibri" w:hAnsiTheme="majorBidi" w:cstheme="majorBidi"/>
                <w:color w:val="000000" w:themeColor="text1"/>
                <w:sz w:val="20"/>
                <w:szCs w:val="20"/>
              </w:rPr>
              <w:t xml:space="preserve">61.13 </w:t>
            </w:r>
            <w:r w:rsidR="00094FD0" w:rsidRPr="0070517D">
              <w:rPr>
                <w:rFonts w:asciiTheme="majorBidi" w:eastAsia="Calibri" w:hAnsiTheme="majorBidi" w:cstheme="majorBidi"/>
                <w:color w:val="000000" w:themeColor="text1"/>
                <w:sz w:val="20"/>
                <w:szCs w:val="20"/>
              </w:rPr>
              <w:t xml:space="preserve">(11.00) </w:t>
            </w:r>
            <w:r w:rsidRPr="00D50D7A">
              <w:rPr>
                <w:rFonts w:asciiTheme="majorBidi" w:eastAsia="Calibri" w:hAnsiTheme="majorBidi" w:cstheme="majorBidi"/>
                <w:color w:val="000000" w:themeColor="text1"/>
                <w:sz w:val="20"/>
                <w:szCs w:val="20"/>
              </w:rPr>
              <w:t>[35–84]</w:t>
            </w:r>
          </w:p>
        </w:tc>
        <w:tc>
          <w:tcPr>
            <w:tcW w:w="2126" w:type="dxa"/>
            <w:tcBorders>
              <w:top w:val="nil"/>
              <w:bottom w:val="single" w:sz="12" w:space="0" w:color="auto"/>
            </w:tcBorders>
            <w:shd w:val="clear" w:color="auto" w:fill="FFFFFF" w:themeFill="background1"/>
          </w:tcPr>
          <w:p w14:paraId="4361BA90" w14:textId="0DD96546" w:rsidR="00803858" w:rsidRPr="00070DC8" w:rsidRDefault="00803858" w:rsidP="0070517D">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 xml:space="preserve">56.33 </w:t>
            </w:r>
            <w:r w:rsidR="00A65ACE" w:rsidRPr="00070DC8">
              <w:rPr>
                <w:rFonts w:asciiTheme="majorBidi" w:eastAsia="Calibri" w:hAnsiTheme="majorBidi" w:cstheme="majorBidi"/>
                <w:color w:val="000000" w:themeColor="text1"/>
                <w:sz w:val="20"/>
                <w:szCs w:val="20"/>
              </w:rPr>
              <w:t xml:space="preserve">(8.60) </w:t>
            </w:r>
            <w:r w:rsidRPr="00070DC8">
              <w:rPr>
                <w:rFonts w:asciiTheme="majorBidi" w:eastAsia="Calibri" w:hAnsiTheme="majorBidi" w:cstheme="majorBidi"/>
                <w:color w:val="000000" w:themeColor="text1"/>
                <w:sz w:val="20"/>
                <w:szCs w:val="20"/>
              </w:rPr>
              <w:t>[</w:t>
            </w:r>
            <w:r w:rsidRPr="00070DC8">
              <w:rPr>
                <w:rFonts w:asciiTheme="majorBidi" w:hAnsiTheme="majorBidi"/>
                <w:color w:val="000000" w:themeColor="text1"/>
                <w:sz w:val="20"/>
              </w:rPr>
              <w:t>35</w:t>
            </w:r>
            <w:r w:rsidRPr="00070DC8">
              <w:rPr>
                <w:rFonts w:asciiTheme="majorBidi" w:eastAsia="Calibri" w:hAnsiTheme="majorBidi" w:cstheme="majorBidi"/>
                <w:color w:val="000000" w:themeColor="text1"/>
                <w:sz w:val="20"/>
                <w:szCs w:val="20"/>
              </w:rPr>
              <w:t>–72]</w:t>
            </w:r>
          </w:p>
        </w:tc>
        <w:tc>
          <w:tcPr>
            <w:tcW w:w="992" w:type="dxa"/>
            <w:tcBorders>
              <w:top w:val="nil"/>
              <w:bottom w:val="single" w:sz="12" w:space="0" w:color="auto"/>
            </w:tcBorders>
            <w:shd w:val="clear" w:color="auto" w:fill="FFFFFF" w:themeFill="background1"/>
          </w:tcPr>
          <w:p w14:paraId="173EFAAF" w14:textId="77777777" w:rsidR="00803858" w:rsidRPr="00070DC8" w:rsidRDefault="00803858" w:rsidP="00D50D7A">
            <w:pPr>
              <w:suppressLineNumber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-3.37</w:t>
            </w:r>
          </w:p>
        </w:tc>
        <w:tc>
          <w:tcPr>
            <w:tcW w:w="724" w:type="dxa"/>
            <w:tcBorders>
              <w:top w:val="nil"/>
              <w:bottom w:val="single" w:sz="12" w:space="0" w:color="auto"/>
            </w:tcBorders>
            <w:shd w:val="clear" w:color="auto" w:fill="FFFFFF" w:themeFill="background1"/>
          </w:tcPr>
          <w:p w14:paraId="6623D347" w14:textId="77777777" w:rsidR="00803858" w:rsidRPr="00070DC8" w:rsidRDefault="00803858" w:rsidP="00405164">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.001</w:t>
            </w:r>
          </w:p>
        </w:tc>
        <w:tc>
          <w:tcPr>
            <w:tcW w:w="694" w:type="dxa"/>
            <w:tcBorders>
              <w:top w:val="nil"/>
              <w:bottom w:val="single" w:sz="12" w:space="0" w:color="auto"/>
            </w:tcBorders>
            <w:shd w:val="clear" w:color="auto" w:fill="FFFFFF" w:themeFill="background1"/>
          </w:tcPr>
          <w:p w14:paraId="076D447B" w14:textId="77777777" w:rsidR="00803858" w:rsidRPr="00070DC8" w:rsidRDefault="00803858" w:rsidP="004D67BE">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Pr>
            </w:pPr>
            <w:r w:rsidRPr="00070DC8">
              <w:rPr>
                <w:rFonts w:asciiTheme="majorBidi" w:eastAsia="Calibri" w:hAnsiTheme="majorBidi" w:cstheme="majorBidi"/>
                <w:color w:val="000000" w:themeColor="text1"/>
                <w:sz w:val="20"/>
                <w:szCs w:val="20"/>
              </w:rPr>
              <w:t>0.49</w:t>
            </w:r>
          </w:p>
        </w:tc>
      </w:tr>
    </w:tbl>
    <w:p w14:paraId="0EF96BF6" w14:textId="23EA0434" w:rsidR="00CC4E65" w:rsidRPr="00A6382B" w:rsidRDefault="00C30144" w:rsidP="00817707">
      <w:pPr>
        <w:spacing w:after="120"/>
        <w:ind w:firstLine="0"/>
        <w:rPr>
          <w:rFonts w:cs="Times New Roman"/>
          <w:szCs w:val="24"/>
        </w:rPr>
      </w:pPr>
      <w:r w:rsidRPr="004D67BE">
        <w:rPr>
          <w:rFonts w:cs="Times New Roman"/>
          <w:i/>
          <w:iCs/>
          <w:szCs w:val="24"/>
        </w:rPr>
        <w:t>Note</w:t>
      </w:r>
      <w:r>
        <w:rPr>
          <w:rFonts w:cs="Times New Roman"/>
          <w:szCs w:val="24"/>
        </w:rPr>
        <w:t xml:space="preserve">. BRIEF-SR = </w:t>
      </w:r>
      <w:r w:rsidRPr="00C072EB">
        <w:rPr>
          <w:rFonts w:asciiTheme="majorBidi" w:hAnsiTheme="majorBidi" w:cstheme="majorBidi"/>
          <w:szCs w:val="24"/>
        </w:rPr>
        <w:t>Behavioral Rating Inventory Executive Function</w:t>
      </w:r>
      <w:r>
        <w:rPr>
          <w:rFonts w:asciiTheme="majorBidi" w:hAnsiTheme="majorBidi" w:cstheme="majorBidi"/>
          <w:szCs w:val="24"/>
        </w:rPr>
        <w:t xml:space="preserve"> Self-Report; BRI = </w:t>
      </w:r>
      <w:r w:rsidRPr="002D270B">
        <w:rPr>
          <w:rFonts w:asciiTheme="majorBidi" w:hAnsiTheme="majorBidi" w:cstheme="majorBidi"/>
          <w:szCs w:val="24"/>
        </w:rPr>
        <w:t xml:space="preserve">behavioral regulation </w:t>
      </w:r>
      <w:r>
        <w:rPr>
          <w:rFonts w:asciiTheme="majorBidi" w:hAnsiTheme="majorBidi" w:cstheme="majorBidi"/>
          <w:szCs w:val="24"/>
        </w:rPr>
        <w:t xml:space="preserve">index; MRI = </w:t>
      </w:r>
      <w:r w:rsidRPr="002D270B">
        <w:rPr>
          <w:rFonts w:asciiTheme="majorBidi" w:hAnsiTheme="majorBidi" w:cstheme="majorBidi"/>
          <w:szCs w:val="24"/>
        </w:rPr>
        <w:t xml:space="preserve">metacognition </w:t>
      </w:r>
      <w:r>
        <w:rPr>
          <w:rFonts w:asciiTheme="majorBidi" w:hAnsiTheme="majorBidi" w:cstheme="majorBidi"/>
          <w:szCs w:val="24"/>
        </w:rPr>
        <w:t>index; GEC = g</w:t>
      </w:r>
      <w:r>
        <w:rPr>
          <w:rFonts w:eastAsia="Calibri" w:cs="Arial"/>
          <w:lang w:eastAsia="en-GB"/>
        </w:rPr>
        <w:t>lobal executive composite.</w:t>
      </w:r>
    </w:p>
    <w:p w14:paraId="3D6BBB98" w14:textId="77777777" w:rsidR="0053606C" w:rsidRDefault="0053606C">
      <w:pPr>
        <w:spacing w:after="160" w:line="259" w:lineRule="auto"/>
        <w:ind w:firstLine="0"/>
        <w:rPr>
          <w:rFonts w:asciiTheme="majorBidi" w:hAnsiTheme="majorBidi" w:cstheme="majorBidi"/>
          <w:szCs w:val="24"/>
        </w:rPr>
        <w:sectPr w:rsidR="0053606C">
          <w:pgSz w:w="11906" w:h="16838"/>
          <w:pgMar w:top="1440" w:right="1440" w:bottom="1440" w:left="1440" w:header="708" w:footer="708" w:gutter="0"/>
          <w:cols w:space="708"/>
          <w:docGrid w:linePitch="360"/>
        </w:sectPr>
      </w:pPr>
    </w:p>
    <w:p w14:paraId="2AB8B970" w14:textId="77777777" w:rsidR="0053606C" w:rsidRDefault="0053606C" w:rsidP="0053606C">
      <w:pPr>
        <w:ind w:firstLine="0"/>
        <w:rPr>
          <w:rFonts w:eastAsia="Calibri" w:cs="Times New Roman"/>
          <w:b/>
          <w:bCs/>
          <w:szCs w:val="24"/>
        </w:rPr>
      </w:pPr>
      <w:r w:rsidRPr="00F9248C">
        <w:rPr>
          <w:b/>
        </w:rPr>
        <w:lastRenderedPageBreak/>
        <w:t>Table 1</w:t>
      </w:r>
    </w:p>
    <w:p w14:paraId="0BAEC6BF" w14:textId="77777777" w:rsidR="0053606C" w:rsidRPr="004D67BE" w:rsidRDefault="0053606C" w:rsidP="0053606C">
      <w:pPr>
        <w:ind w:firstLine="0"/>
        <w:rPr>
          <w:bCs/>
          <w:i/>
        </w:rPr>
      </w:pPr>
      <w:r w:rsidRPr="004D67BE">
        <w:rPr>
          <w:bCs/>
          <w:i/>
        </w:rPr>
        <w:t>Pre-</w:t>
      </w:r>
      <w:r w:rsidRPr="004D67BE">
        <w:rPr>
          <w:rFonts w:eastAsia="Calibri" w:cs="Times New Roman"/>
          <w:bCs/>
          <w:i/>
          <w:iCs/>
          <w:szCs w:val="24"/>
        </w:rPr>
        <w:t>Intervention Children’s Cooking Task (CCT) Scores</w:t>
      </w:r>
      <w:r>
        <w:rPr>
          <w:rFonts w:eastAsia="Calibri" w:cs="Times New Roman"/>
          <w:bCs/>
          <w:i/>
          <w:iCs/>
          <w:szCs w:val="24"/>
        </w:rPr>
        <w:t xml:space="preserve"> (Comparison of Awareness of Performance between TD and EFD)</w:t>
      </w:r>
    </w:p>
    <w:tbl>
      <w:tblPr>
        <w:tblStyle w:val="LightShading1"/>
        <w:tblpPr w:leftFromText="180" w:rightFromText="180" w:vertAnchor="text" w:horzAnchor="margin" w:tblpX="170" w:tblpY="256"/>
        <w:tblW w:w="9498" w:type="dxa"/>
        <w:tblBorders>
          <w:top w:val="none" w:sz="0" w:space="0" w:color="auto"/>
          <w:bottom w:val="none" w:sz="0" w:space="0" w:color="auto"/>
        </w:tblBorders>
        <w:shd w:val="clear" w:color="auto" w:fill="FFFFFF" w:themeFill="background1"/>
        <w:tblLayout w:type="fixed"/>
        <w:tblLook w:val="06A0" w:firstRow="1" w:lastRow="0" w:firstColumn="1" w:lastColumn="0" w:noHBand="1" w:noVBand="1"/>
      </w:tblPr>
      <w:tblGrid>
        <w:gridCol w:w="2065"/>
        <w:gridCol w:w="2160"/>
        <w:gridCol w:w="2242"/>
        <w:gridCol w:w="1161"/>
        <w:gridCol w:w="1007"/>
        <w:gridCol w:w="863"/>
      </w:tblGrid>
      <w:tr w:rsidR="000E4D49" w:rsidRPr="008337ED" w14:paraId="789335C7" w14:textId="77777777" w:rsidTr="004A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val="restart"/>
            <w:tcBorders>
              <w:top w:val="single" w:sz="4" w:space="0" w:color="auto"/>
            </w:tcBorders>
            <w:shd w:val="clear" w:color="auto" w:fill="FFFFFF" w:themeFill="background1"/>
            <w:vAlign w:val="center"/>
          </w:tcPr>
          <w:p w14:paraId="4B0B44AF" w14:textId="77777777" w:rsidR="000E4D49" w:rsidRPr="004D67BE" w:rsidRDefault="000E4D49" w:rsidP="000E4D49">
            <w:pPr>
              <w:suppressLineNumbers/>
              <w:suppressAutoHyphens/>
              <w:ind w:firstLine="0"/>
              <w:contextualSpacing/>
              <w:rPr>
                <w:rFonts w:eastAsia="Calibri" w:cs="Times New Roman"/>
                <w:b w:val="0"/>
                <w:bCs w:val="0"/>
                <w:color w:val="000000" w:themeColor="text1"/>
                <w:sz w:val="22"/>
              </w:rPr>
            </w:pPr>
            <w:r w:rsidRPr="008337ED">
              <w:rPr>
                <w:rFonts w:eastAsia="Calibri" w:cs="Times New Roman"/>
                <w:color w:val="000000" w:themeColor="text1"/>
                <w:sz w:val="22"/>
              </w:rPr>
              <w:t>Variable</w:t>
            </w:r>
          </w:p>
        </w:tc>
        <w:tc>
          <w:tcPr>
            <w:tcW w:w="2160" w:type="dxa"/>
            <w:shd w:val="clear" w:color="auto" w:fill="FFFFFF" w:themeFill="background1"/>
          </w:tcPr>
          <w:p w14:paraId="0A56C95D" w14:textId="03BBB66F" w:rsidR="000E4D49" w:rsidRPr="004D67BE" w:rsidRDefault="000E4D49" w:rsidP="000E4D49">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color w:val="000000" w:themeColor="text1"/>
                <w:sz w:val="22"/>
              </w:rPr>
            </w:pPr>
            <w:r w:rsidRPr="00740C0A">
              <w:rPr>
                <w:rFonts w:asciiTheme="majorBidi" w:eastAsia="Calibri" w:hAnsiTheme="majorBidi" w:cstheme="majorBidi"/>
                <w:color w:val="000000" w:themeColor="text1"/>
                <w:sz w:val="20"/>
                <w:szCs w:val="20"/>
              </w:rPr>
              <w:t>Pre-intervention</w:t>
            </w:r>
          </w:p>
        </w:tc>
        <w:tc>
          <w:tcPr>
            <w:tcW w:w="2242" w:type="dxa"/>
            <w:shd w:val="clear" w:color="auto" w:fill="FFFFFF" w:themeFill="background1"/>
          </w:tcPr>
          <w:p w14:paraId="3E77BBD1" w14:textId="411C7965" w:rsidR="000E4D49" w:rsidRPr="004D67BE" w:rsidRDefault="000E4D49" w:rsidP="000E4D49">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color w:val="000000" w:themeColor="text1"/>
                <w:sz w:val="22"/>
              </w:rPr>
            </w:pPr>
            <w:r w:rsidRPr="00740C0A">
              <w:rPr>
                <w:rFonts w:asciiTheme="majorBidi" w:eastAsia="Calibri" w:hAnsiTheme="majorBidi" w:cstheme="majorBidi"/>
                <w:color w:val="000000" w:themeColor="text1"/>
                <w:sz w:val="20"/>
                <w:szCs w:val="20"/>
              </w:rPr>
              <w:t>Postintervention</w:t>
            </w:r>
          </w:p>
        </w:tc>
        <w:tc>
          <w:tcPr>
            <w:tcW w:w="1161" w:type="dxa"/>
            <w:tcBorders>
              <w:top w:val="single" w:sz="4" w:space="0" w:color="auto"/>
            </w:tcBorders>
            <w:shd w:val="clear" w:color="auto" w:fill="FFFFFF" w:themeFill="background1"/>
          </w:tcPr>
          <w:p w14:paraId="126D2243" w14:textId="77777777" w:rsidR="000E4D49" w:rsidRPr="004D67BE" w:rsidRDefault="000E4D49" w:rsidP="000E4D49">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iCs/>
                <w:color w:val="000000" w:themeColor="text1"/>
                <w:sz w:val="22"/>
              </w:rPr>
            </w:pPr>
            <w:r w:rsidRPr="008337ED">
              <w:rPr>
                <w:rFonts w:eastAsia="Calibri" w:cs="Times New Roman"/>
                <w:i/>
                <w:iCs/>
                <w:color w:val="000000" w:themeColor="text1"/>
                <w:sz w:val="22"/>
              </w:rPr>
              <w:t>Z</w:t>
            </w:r>
          </w:p>
        </w:tc>
        <w:tc>
          <w:tcPr>
            <w:tcW w:w="1007" w:type="dxa"/>
            <w:tcBorders>
              <w:top w:val="single" w:sz="4" w:space="0" w:color="auto"/>
            </w:tcBorders>
            <w:shd w:val="clear" w:color="auto" w:fill="FFFFFF" w:themeFill="background1"/>
          </w:tcPr>
          <w:p w14:paraId="7FC815F0" w14:textId="77777777" w:rsidR="000E4D49" w:rsidRPr="004D67BE" w:rsidRDefault="000E4D49" w:rsidP="000E4D49">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iCs/>
                <w:color w:val="000000" w:themeColor="text1"/>
                <w:sz w:val="22"/>
              </w:rPr>
            </w:pPr>
            <w:r w:rsidRPr="008337ED">
              <w:rPr>
                <w:rFonts w:eastAsia="Calibri" w:cs="Times New Roman"/>
                <w:i/>
                <w:iCs/>
                <w:color w:val="000000" w:themeColor="text1"/>
                <w:sz w:val="22"/>
              </w:rPr>
              <w:t>p</w:t>
            </w:r>
          </w:p>
        </w:tc>
        <w:tc>
          <w:tcPr>
            <w:tcW w:w="863" w:type="dxa"/>
            <w:tcBorders>
              <w:top w:val="single" w:sz="4" w:space="0" w:color="auto"/>
            </w:tcBorders>
            <w:shd w:val="clear" w:color="auto" w:fill="FFFFFF" w:themeFill="background1"/>
          </w:tcPr>
          <w:p w14:paraId="39FEA1D5" w14:textId="77777777" w:rsidR="000E4D49" w:rsidRPr="004D67BE" w:rsidRDefault="000E4D49" w:rsidP="000E4D49">
            <w:pPr>
              <w:suppressLineNumbers/>
              <w:suppressAutoHyphens/>
              <w:ind w:firstLine="0"/>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iCs/>
                <w:color w:val="000000" w:themeColor="text1"/>
                <w:sz w:val="22"/>
              </w:rPr>
            </w:pPr>
            <w:r w:rsidRPr="008337ED">
              <w:rPr>
                <w:rFonts w:eastAsia="Calibri" w:cs="Times New Roman"/>
                <w:i/>
                <w:iCs/>
                <w:color w:val="000000" w:themeColor="text1"/>
                <w:sz w:val="22"/>
              </w:rPr>
              <w:t>d</w:t>
            </w:r>
          </w:p>
        </w:tc>
      </w:tr>
      <w:tr w:rsidR="0053606C" w:rsidRPr="008337ED" w14:paraId="4FA56613" w14:textId="77777777" w:rsidTr="00A231C9">
        <w:tc>
          <w:tcPr>
            <w:cnfStyle w:val="001000000000" w:firstRow="0" w:lastRow="0" w:firstColumn="1" w:lastColumn="0" w:oddVBand="0" w:evenVBand="0" w:oddHBand="0" w:evenHBand="0" w:firstRowFirstColumn="0" w:firstRowLastColumn="0" w:lastRowFirstColumn="0" w:lastRowLastColumn="0"/>
            <w:tcW w:w="2065" w:type="dxa"/>
            <w:vMerge/>
            <w:tcBorders>
              <w:bottom w:val="single" w:sz="4" w:space="0" w:color="auto"/>
            </w:tcBorders>
            <w:shd w:val="clear" w:color="auto" w:fill="FFFFFF" w:themeFill="background1"/>
          </w:tcPr>
          <w:p w14:paraId="4283057C" w14:textId="77777777" w:rsidR="0053606C" w:rsidRPr="004D67BE" w:rsidRDefault="0053606C" w:rsidP="00A231C9">
            <w:pPr>
              <w:suppressLineNumbers/>
              <w:suppressAutoHyphens/>
              <w:ind w:firstLine="0"/>
              <w:contextualSpacing/>
              <w:rPr>
                <w:rFonts w:eastAsia="Calibri" w:cs="Times New Roman"/>
                <w:b w:val="0"/>
                <w:bCs w:val="0"/>
                <w:color w:val="000000" w:themeColor="text1"/>
                <w:sz w:val="22"/>
              </w:rPr>
            </w:pPr>
          </w:p>
        </w:tc>
        <w:tc>
          <w:tcPr>
            <w:tcW w:w="4402" w:type="dxa"/>
            <w:gridSpan w:val="2"/>
            <w:tcBorders>
              <w:top w:val="single" w:sz="4" w:space="0" w:color="auto"/>
              <w:bottom w:val="single" w:sz="4" w:space="0" w:color="auto"/>
            </w:tcBorders>
            <w:shd w:val="clear" w:color="auto" w:fill="FFFFFF" w:themeFill="background1"/>
          </w:tcPr>
          <w:p w14:paraId="377638FE" w14:textId="77777777" w:rsidR="0053606C" w:rsidRPr="00D50D7A" w:rsidRDefault="0053606C" w:rsidP="00A231C9">
            <w:pPr>
              <w:suppressLineNumbers/>
              <w:tabs>
                <w:tab w:val="decimal" w:pos="393"/>
              </w:tabs>
              <w:suppressAutoHyphens/>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themeColor="text1"/>
                <w:sz w:val="22"/>
              </w:rPr>
            </w:pPr>
            <w:r w:rsidRPr="00480F09">
              <w:rPr>
                <w:rFonts w:eastAsia="Calibri" w:cs="Times New Roman"/>
                <w:i/>
                <w:iCs/>
                <w:color w:val="000000" w:themeColor="text1"/>
                <w:sz w:val="22"/>
              </w:rPr>
              <w:t>M</w:t>
            </w:r>
            <w:r w:rsidRPr="0070517D">
              <w:rPr>
                <w:rFonts w:eastAsia="Calibri" w:cs="Times New Roman"/>
                <w:color w:val="000000" w:themeColor="text1"/>
                <w:sz w:val="22"/>
              </w:rPr>
              <w:t xml:space="preserve"> (</w:t>
            </w:r>
            <w:r w:rsidRPr="00D50D7A">
              <w:rPr>
                <w:rFonts w:eastAsia="Calibri" w:cs="Times New Roman"/>
                <w:i/>
                <w:iCs/>
                <w:color w:val="000000" w:themeColor="text1"/>
                <w:sz w:val="22"/>
              </w:rPr>
              <w:t>SD</w:t>
            </w:r>
            <w:r w:rsidRPr="00D50D7A">
              <w:rPr>
                <w:rFonts w:eastAsia="Calibri" w:cs="Times New Roman"/>
                <w:color w:val="000000" w:themeColor="text1"/>
                <w:sz w:val="22"/>
              </w:rPr>
              <w:t>) [min–max]</w:t>
            </w:r>
          </w:p>
        </w:tc>
        <w:tc>
          <w:tcPr>
            <w:tcW w:w="1161" w:type="dxa"/>
            <w:tcBorders>
              <w:bottom w:val="single" w:sz="4" w:space="0" w:color="auto"/>
            </w:tcBorders>
            <w:shd w:val="clear" w:color="auto" w:fill="FFFFFF" w:themeFill="background1"/>
          </w:tcPr>
          <w:p w14:paraId="4D754509" w14:textId="77777777" w:rsidR="0053606C" w:rsidRPr="008337ED" w:rsidRDefault="0053606C" w:rsidP="00A231C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eastAsia="Calibri" w:cs="Times New Roman"/>
                <w:color w:val="000000" w:themeColor="text1"/>
                <w:sz w:val="22"/>
              </w:rPr>
            </w:pPr>
          </w:p>
        </w:tc>
        <w:tc>
          <w:tcPr>
            <w:tcW w:w="1007" w:type="dxa"/>
            <w:tcBorders>
              <w:bottom w:val="single" w:sz="4" w:space="0" w:color="auto"/>
            </w:tcBorders>
            <w:shd w:val="clear" w:color="auto" w:fill="FFFFFF" w:themeFill="background1"/>
          </w:tcPr>
          <w:p w14:paraId="26E63F2A" w14:textId="77777777" w:rsidR="0053606C" w:rsidRPr="008337ED" w:rsidRDefault="0053606C" w:rsidP="00A231C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eastAsia="Calibri" w:cs="Times New Roman"/>
                <w:color w:val="000000" w:themeColor="text1"/>
                <w:sz w:val="22"/>
              </w:rPr>
            </w:pPr>
          </w:p>
        </w:tc>
        <w:tc>
          <w:tcPr>
            <w:tcW w:w="863" w:type="dxa"/>
            <w:tcBorders>
              <w:bottom w:val="single" w:sz="4" w:space="0" w:color="auto"/>
            </w:tcBorders>
            <w:shd w:val="clear" w:color="auto" w:fill="FFFFFF" w:themeFill="background1"/>
          </w:tcPr>
          <w:p w14:paraId="6A120061" w14:textId="77777777" w:rsidR="0053606C" w:rsidRPr="008337ED" w:rsidRDefault="0053606C" w:rsidP="00A231C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eastAsia="Calibri" w:cs="Times New Roman"/>
                <w:color w:val="000000" w:themeColor="text1"/>
                <w:sz w:val="22"/>
              </w:rPr>
            </w:pPr>
          </w:p>
        </w:tc>
      </w:tr>
      <w:tr w:rsidR="0053606C" w:rsidRPr="008337ED" w14:paraId="06D8E4CA" w14:textId="77777777" w:rsidTr="00A231C9">
        <w:tc>
          <w:tcPr>
            <w:cnfStyle w:val="001000000000" w:firstRow="0" w:lastRow="0" w:firstColumn="1" w:lastColumn="0" w:oddVBand="0" w:evenVBand="0" w:oddHBand="0" w:evenHBand="0" w:firstRowFirstColumn="0" w:firstRowLastColumn="0" w:lastRowFirstColumn="0" w:lastRowLastColumn="0"/>
            <w:tcW w:w="7628" w:type="dxa"/>
            <w:gridSpan w:val="4"/>
            <w:tcBorders>
              <w:top w:val="single" w:sz="4" w:space="0" w:color="auto"/>
            </w:tcBorders>
            <w:shd w:val="clear" w:color="auto" w:fill="FFFFFF" w:themeFill="background1"/>
          </w:tcPr>
          <w:p w14:paraId="1749C2C4" w14:textId="77777777" w:rsidR="0053606C" w:rsidRPr="004D67BE" w:rsidRDefault="0053606C" w:rsidP="00A231C9">
            <w:pPr>
              <w:suppressLineNumbers/>
              <w:tabs>
                <w:tab w:val="decimal" w:pos="393"/>
                <w:tab w:val="decimal" w:pos="705"/>
              </w:tabs>
              <w:suppressAutoHyphens/>
              <w:ind w:firstLine="0"/>
              <w:contextualSpacing/>
              <w:rPr>
                <w:rFonts w:cs="Times New Roman"/>
                <w:b w:val="0"/>
                <w:bCs w:val="0"/>
                <w:color w:val="000000" w:themeColor="text1"/>
                <w:sz w:val="22"/>
              </w:rPr>
            </w:pPr>
            <w:r w:rsidRPr="004D67BE">
              <w:rPr>
                <w:rFonts w:cs="Times New Roman"/>
                <w:color w:val="000000" w:themeColor="text1"/>
                <w:sz w:val="22"/>
              </w:rPr>
              <w:t>Before the CCT</w:t>
            </w:r>
          </w:p>
        </w:tc>
        <w:tc>
          <w:tcPr>
            <w:tcW w:w="1007" w:type="dxa"/>
            <w:tcBorders>
              <w:top w:val="single" w:sz="4" w:space="0" w:color="auto"/>
            </w:tcBorders>
            <w:shd w:val="clear" w:color="auto" w:fill="FFFFFF" w:themeFill="background1"/>
          </w:tcPr>
          <w:p w14:paraId="03C1A735" w14:textId="77777777" w:rsidR="0053606C" w:rsidRPr="00480F09" w:rsidRDefault="0053606C" w:rsidP="00A231C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tc>
        <w:tc>
          <w:tcPr>
            <w:tcW w:w="863" w:type="dxa"/>
            <w:tcBorders>
              <w:top w:val="single" w:sz="4" w:space="0" w:color="auto"/>
            </w:tcBorders>
            <w:shd w:val="clear" w:color="auto" w:fill="FFFFFF" w:themeFill="background1"/>
          </w:tcPr>
          <w:p w14:paraId="3738531A" w14:textId="77777777" w:rsidR="0053606C" w:rsidRPr="0070517D" w:rsidRDefault="0053606C" w:rsidP="00A231C9">
            <w:pPr>
              <w:suppressLineNumber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tc>
      </w:tr>
      <w:tr w:rsidR="0053606C" w:rsidRPr="008337ED" w14:paraId="511215EE" w14:textId="77777777" w:rsidTr="00A231C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tcPr>
          <w:p w14:paraId="49CDD2C7" w14:textId="77777777" w:rsidR="0053606C" w:rsidRPr="004D67BE" w:rsidRDefault="0053606C" w:rsidP="00A231C9">
            <w:pPr>
              <w:suppressLineNumbers/>
              <w:suppressAutoHyphens/>
              <w:ind w:left="344" w:hanging="180"/>
              <w:contextualSpacing/>
              <w:rPr>
                <w:rFonts w:cs="Times New Roman"/>
                <w:b w:val="0"/>
                <w:bCs w:val="0"/>
                <w:color w:val="000000" w:themeColor="text1"/>
                <w:sz w:val="22"/>
              </w:rPr>
            </w:pPr>
            <w:r>
              <w:rPr>
                <w:rFonts w:cs="Times New Roman"/>
                <w:color w:val="000000" w:themeColor="text1"/>
                <w:sz w:val="22"/>
              </w:rPr>
              <w:t xml:space="preserve">Expected </w:t>
            </w:r>
            <w:r w:rsidRPr="004D67BE">
              <w:rPr>
                <w:rFonts w:cs="Times New Roman"/>
                <w:color w:val="000000" w:themeColor="text1"/>
                <w:sz w:val="22"/>
              </w:rPr>
              <w:t>Performance</w:t>
            </w:r>
          </w:p>
        </w:tc>
        <w:tc>
          <w:tcPr>
            <w:tcW w:w="2160" w:type="dxa"/>
            <w:shd w:val="clear" w:color="auto" w:fill="FFFFFF" w:themeFill="background1"/>
          </w:tcPr>
          <w:p w14:paraId="781BFB60" w14:textId="77777777" w:rsidR="0053606C" w:rsidRPr="00EC2099" w:rsidRDefault="0053606C" w:rsidP="00A231C9">
            <w:pPr>
              <w:suppressLineNumbers/>
              <w:tabs>
                <w:tab w:val="decimal" w:pos="253"/>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80F09">
              <w:rPr>
                <w:rFonts w:cs="Times New Roman"/>
                <w:color w:val="000000" w:themeColor="text1"/>
                <w:sz w:val="22"/>
              </w:rPr>
              <w:t xml:space="preserve">3.32 </w:t>
            </w:r>
            <w:r w:rsidRPr="0070517D">
              <w:rPr>
                <w:rFonts w:eastAsia="Calibri" w:cs="Times New Roman"/>
                <w:color w:val="000000" w:themeColor="text1"/>
                <w:sz w:val="22"/>
              </w:rPr>
              <w:t>(</w:t>
            </w:r>
            <w:r w:rsidRPr="00D50D7A">
              <w:rPr>
                <w:rFonts w:cs="Times New Roman"/>
                <w:color w:val="000000" w:themeColor="text1"/>
                <w:sz w:val="22"/>
              </w:rPr>
              <w:t>1.17</w:t>
            </w:r>
            <w:r w:rsidRPr="00D50D7A">
              <w:rPr>
                <w:rFonts w:eastAsia="Calibri" w:cs="Times New Roman"/>
                <w:color w:val="000000" w:themeColor="text1"/>
                <w:sz w:val="22"/>
              </w:rPr>
              <w:t>) [</w:t>
            </w:r>
            <w:r w:rsidRPr="00D50D7A">
              <w:rPr>
                <w:rFonts w:cs="Times New Roman"/>
                <w:color w:val="000000" w:themeColor="text1"/>
                <w:sz w:val="22"/>
              </w:rPr>
              <w:t>1–5</w:t>
            </w:r>
            <w:r w:rsidRPr="00EC2099">
              <w:rPr>
                <w:rFonts w:eastAsia="Calibri" w:cs="Times New Roman"/>
                <w:color w:val="000000" w:themeColor="text1"/>
                <w:sz w:val="22"/>
              </w:rPr>
              <w:t>]</w:t>
            </w:r>
          </w:p>
        </w:tc>
        <w:tc>
          <w:tcPr>
            <w:tcW w:w="2242" w:type="dxa"/>
            <w:shd w:val="clear" w:color="auto" w:fill="FFFFFF" w:themeFill="background1"/>
          </w:tcPr>
          <w:p w14:paraId="64877EF8" w14:textId="05DFB18A" w:rsidR="0053606C" w:rsidRPr="004D67BE" w:rsidRDefault="0053606C" w:rsidP="00A231C9">
            <w:pPr>
              <w:suppressLineNumbers/>
              <w:tabs>
                <w:tab w:val="decimal" w:pos="35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3.</w:t>
            </w:r>
            <w:r w:rsidR="000E4D49">
              <w:rPr>
                <w:rFonts w:cs="Times New Roman"/>
                <w:color w:val="000000" w:themeColor="text1"/>
                <w:sz w:val="22"/>
              </w:rPr>
              <w:t>46</w:t>
            </w:r>
            <w:r w:rsidR="000E4D49" w:rsidRPr="004D67BE">
              <w:rPr>
                <w:rFonts w:cs="Times New Roman"/>
                <w:color w:val="000000" w:themeColor="text1"/>
                <w:sz w:val="22"/>
              </w:rPr>
              <w:t xml:space="preserve"> </w:t>
            </w:r>
            <w:r w:rsidRPr="008337ED">
              <w:rPr>
                <w:rFonts w:eastAsia="Calibri" w:cs="Times New Roman"/>
                <w:color w:val="000000" w:themeColor="text1"/>
                <w:sz w:val="22"/>
              </w:rPr>
              <w:t>(</w:t>
            </w:r>
            <w:r w:rsidRPr="004D67BE">
              <w:rPr>
                <w:rFonts w:cs="Times New Roman"/>
                <w:color w:val="000000" w:themeColor="text1"/>
                <w:sz w:val="22"/>
              </w:rPr>
              <w:t>1.</w:t>
            </w:r>
            <w:r w:rsidR="000E4D49">
              <w:rPr>
                <w:rFonts w:cs="Times New Roman"/>
                <w:color w:val="000000" w:themeColor="text1"/>
                <w:sz w:val="22"/>
              </w:rPr>
              <w:t>03</w:t>
            </w:r>
            <w:r w:rsidRPr="008337ED">
              <w:rPr>
                <w:rFonts w:eastAsia="Calibri" w:cs="Times New Roman"/>
                <w:color w:val="000000" w:themeColor="text1"/>
                <w:sz w:val="22"/>
              </w:rPr>
              <w:t>) [</w:t>
            </w:r>
            <w:r w:rsidRPr="004D67BE">
              <w:rPr>
                <w:rFonts w:cs="Times New Roman"/>
                <w:color w:val="000000" w:themeColor="text1"/>
                <w:sz w:val="22"/>
              </w:rPr>
              <w:t>1–5</w:t>
            </w:r>
            <w:r w:rsidRPr="008337ED">
              <w:rPr>
                <w:rFonts w:eastAsia="Calibri" w:cs="Times New Roman"/>
                <w:color w:val="000000" w:themeColor="text1"/>
                <w:sz w:val="22"/>
              </w:rPr>
              <w:t>]</w:t>
            </w:r>
          </w:p>
        </w:tc>
        <w:tc>
          <w:tcPr>
            <w:tcW w:w="1161" w:type="dxa"/>
            <w:shd w:val="clear" w:color="auto" w:fill="FFFFFF" w:themeFill="background1"/>
          </w:tcPr>
          <w:p w14:paraId="3D1EDBEB" w14:textId="3ECDC7C1" w:rsidR="0053606C" w:rsidRPr="004D67BE" w:rsidRDefault="0053606C" w:rsidP="00A231C9">
            <w:pPr>
              <w:suppressLineNumbers/>
              <w:tabs>
                <w:tab w:val="decimal" w:pos="352"/>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cs="Times New Roman"/>
                <w:color w:val="000000" w:themeColor="text1"/>
                <w:sz w:val="22"/>
              </w:rPr>
              <w:t>92</w:t>
            </w:r>
          </w:p>
        </w:tc>
        <w:tc>
          <w:tcPr>
            <w:tcW w:w="1007" w:type="dxa"/>
            <w:shd w:val="clear" w:color="auto" w:fill="FFFFFF" w:themeFill="background1"/>
          </w:tcPr>
          <w:p w14:paraId="63E78875" w14:textId="60A5377C" w:rsidR="0053606C" w:rsidRPr="004D67BE" w:rsidRDefault="0053606C" w:rsidP="00A231C9">
            <w:pPr>
              <w:suppressLineNumbers/>
              <w:tabs>
                <w:tab w:val="decimal" w:pos="271"/>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eastAsia="Calibri" w:cs="Times New Roman"/>
                <w:color w:val="000000" w:themeColor="text1"/>
                <w:sz w:val="22"/>
              </w:rPr>
              <w:t>33</w:t>
            </w:r>
          </w:p>
        </w:tc>
        <w:tc>
          <w:tcPr>
            <w:tcW w:w="863" w:type="dxa"/>
            <w:shd w:val="clear" w:color="auto" w:fill="FFFFFF" w:themeFill="background1"/>
          </w:tcPr>
          <w:p w14:paraId="446AD249" w14:textId="0E5C16A8" w:rsidR="0053606C" w:rsidRPr="00613DDE" w:rsidRDefault="0053606C" w:rsidP="00A231C9">
            <w:pPr>
              <w:suppressLineNumbers/>
              <w:tabs>
                <w:tab w:val="decimal" w:pos="22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highlight w:val="lightGray"/>
              </w:rPr>
            </w:pPr>
          </w:p>
        </w:tc>
      </w:tr>
      <w:tr w:rsidR="0053606C" w:rsidRPr="008337ED" w14:paraId="27004C36" w14:textId="77777777" w:rsidTr="00A231C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tcPr>
          <w:p w14:paraId="3DE03C61" w14:textId="77777777" w:rsidR="0053606C" w:rsidRPr="004D67BE" w:rsidRDefault="0053606C" w:rsidP="00A231C9">
            <w:pPr>
              <w:suppressLineNumbers/>
              <w:suppressAutoHyphens/>
              <w:ind w:left="344" w:hanging="180"/>
              <w:contextualSpacing/>
              <w:rPr>
                <w:rFonts w:cs="Times New Roman"/>
                <w:b w:val="0"/>
                <w:bCs w:val="0"/>
                <w:color w:val="000000" w:themeColor="text1"/>
                <w:sz w:val="22"/>
              </w:rPr>
            </w:pPr>
            <w:r w:rsidRPr="004D67BE">
              <w:rPr>
                <w:rFonts w:cs="Times New Roman"/>
                <w:color w:val="000000" w:themeColor="text1"/>
                <w:sz w:val="22"/>
              </w:rPr>
              <w:t>Expected difficulty</w:t>
            </w:r>
          </w:p>
        </w:tc>
        <w:tc>
          <w:tcPr>
            <w:tcW w:w="2160" w:type="dxa"/>
            <w:shd w:val="clear" w:color="auto" w:fill="FFFFFF" w:themeFill="background1"/>
            <w:vAlign w:val="center"/>
          </w:tcPr>
          <w:p w14:paraId="5E7924D0" w14:textId="77777777" w:rsidR="0053606C" w:rsidRPr="00EC2099" w:rsidRDefault="0053606C" w:rsidP="00A231C9">
            <w:pPr>
              <w:suppressLineNumbers/>
              <w:tabs>
                <w:tab w:val="decimal" w:pos="253"/>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80F09">
              <w:rPr>
                <w:rFonts w:cs="Times New Roman"/>
                <w:color w:val="000000" w:themeColor="text1"/>
                <w:sz w:val="22"/>
              </w:rPr>
              <w:t xml:space="preserve">3.54 </w:t>
            </w:r>
            <w:r w:rsidRPr="0070517D">
              <w:rPr>
                <w:rFonts w:eastAsia="Calibri" w:cs="Times New Roman"/>
                <w:color w:val="000000" w:themeColor="text1"/>
                <w:sz w:val="22"/>
              </w:rPr>
              <w:t>(0.</w:t>
            </w:r>
            <w:r w:rsidRPr="00D50D7A">
              <w:rPr>
                <w:rFonts w:cs="Times New Roman"/>
                <w:color w:val="000000" w:themeColor="text1"/>
                <w:sz w:val="22"/>
              </w:rPr>
              <w:t>98</w:t>
            </w:r>
            <w:r w:rsidRPr="00D50D7A">
              <w:rPr>
                <w:rFonts w:eastAsia="Calibri" w:cs="Times New Roman"/>
                <w:color w:val="000000" w:themeColor="text1"/>
                <w:sz w:val="22"/>
              </w:rPr>
              <w:t>) [</w:t>
            </w:r>
            <w:r w:rsidRPr="00D50D7A">
              <w:rPr>
                <w:rFonts w:cs="Times New Roman"/>
                <w:color w:val="000000" w:themeColor="text1"/>
                <w:sz w:val="22"/>
              </w:rPr>
              <w:t>2–5</w:t>
            </w:r>
            <w:r w:rsidRPr="00EC2099">
              <w:rPr>
                <w:rFonts w:eastAsia="Calibri" w:cs="Times New Roman"/>
                <w:color w:val="000000" w:themeColor="text1"/>
                <w:sz w:val="22"/>
              </w:rPr>
              <w:t>]</w:t>
            </w:r>
          </w:p>
        </w:tc>
        <w:tc>
          <w:tcPr>
            <w:tcW w:w="2242" w:type="dxa"/>
            <w:shd w:val="clear" w:color="auto" w:fill="FFFFFF" w:themeFill="background1"/>
            <w:vAlign w:val="center"/>
          </w:tcPr>
          <w:p w14:paraId="688615A7" w14:textId="1DA6030C" w:rsidR="0053606C" w:rsidRPr="008337ED" w:rsidRDefault="000E4D49" w:rsidP="00A231C9">
            <w:pPr>
              <w:suppressLineNumbers/>
              <w:tabs>
                <w:tab w:val="decimal" w:pos="35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tl/>
              </w:rPr>
            </w:pPr>
            <w:r>
              <w:rPr>
                <w:rFonts w:cs="Times New Roman"/>
                <w:color w:val="000000" w:themeColor="text1"/>
                <w:sz w:val="22"/>
              </w:rPr>
              <w:t>3</w:t>
            </w:r>
            <w:r w:rsidR="0053606C" w:rsidRPr="004D67BE">
              <w:rPr>
                <w:rFonts w:cs="Times New Roman"/>
                <w:color w:val="000000" w:themeColor="text1"/>
                <w:sz w:val="22"/>
              </w:rPr>
              <w:t>.</w:t>
            </w:r>
            <w:r>
              <w:rPr>
                <w:rFonts w:cs="Times New Roman"/>
                <w:color w:val="000000" w:themeColor="text1"/>
                <w:sz w:val="22"/>
              </w:rPr>
              <w:t>78</w:t>
            </w:r>
            <w:r w:rsidRPr="004D67BE">
              <w:rPr>
                <w:rFonts w:cs="Times New Roman"/>
                <w:color w:val="000000" w:themeColor="text1"/>
                <w:sz w:val="22"/>
              </w:rPr>
              <w:t xml:space="preserve"> </w:t>
            </w:r>
            <w:r w:rsidR="0053606C" w:rsidRPr="008337ED">
              <w:rPr>
                <w:rFonts w:eastAsia="Calibri" w:cs="Times New Roman"/>
                <w:color w:val="000000" w:themeColor="text1"/>
                <w:sz w:val="22"/>
              </w:rPr>
              <w:t>(0.</w:t>
            </w:r>
            <w:r w:rsidRPr="004D67BE">
              <w:rPr>
                <w:rFonts w:cs="Times New Roman"/>
                <w:color w:val="000000" w:themeColor="text1"/>
                <w:sz w:val="22"/>
              </w:rPr>
              <w:t>9</w:t>
            </w:r>
            <w:r>
              <w:rPr>
                <w:rFonts w:cs="Times New Roman"/>
                <w:color w:val="000000" w:themeColor="text1"/>
                <w:sz w:val="22"/>
              </w:rPr>
              <w:t>41</w:t>
            </w:r>
            <w:r w:rsidR="0053606C" w:rsidRPr="008337ED">
              <w:rPr>
                <w:rFonts w:eastAsia="Calibri" w:cs="Times New Roman"/>
                <w:color w:val="000000" w:themeColor="text1"/>
                <w:sz w:val="22"/>
              </w:rPr>
              <w:t>) [</w:t>
            </w:r>
            <w:r w:rsidR="0053606C" w:rsidRPr="004D67BE">
              <w:rPr>
                <w:rFonts w:cs="Times New Roman"/>
                <w:color w:val="000000" w:themeColor="text1"/>
                <w:sz w:val="22"/>
              </w:rPr>
              <w:t>1–5</w:t>
            </w:r>
            <w:r w:rsidR="0053606C" w:rsidRPr="008337ED">
              <w:rPr>
                <w:rFonts w:eastAsia="Calibri" w:cs="Times New Roman"/>
                <w:color w:val="000000" w:themeColor="text1"/>
                <w:sz w:val="22"/>
              </w:rPr>
              <w:t>]</w:t>
            </w:r>
          </w:p>
        </w:tc>
        <w:tc>
          <w:tcPr>
            <w:tcW w:w="1161" w:type="dxa"/>
            <w:shd w:val="clear" w:color="auto" w:fill="FFFFFF" w:themeFill="background1"/>
            <w:vAlign w:val="center"/>
          </w:tcPr>
          <w:p w14:paraId="7AF99C8E" w14:textId="2B1F5E50" w:rsidR="0053606C" w:rsidRPr="004D67BE" w:rsidRDefault="0053606C" w:rsidP="00A231C9">
            <w:pPr>
              <w:suppressLineNumbers/>
              <w:tabs>
                <w:tab w:val="decimal" w:pos="352"/>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cs="Times New Roman"/>
                <w:color w:val="000000" w:themeColor="text1"/>
                <w:sz w:val="22"/>
              </w:rPr>
              <w:t>1</w:t>
            </w:r>
            <w:r w:rsidRPr="004D67BE">
              <w:rPr>
                <w:rFonts w:cs="Times New Roman"/>
                <w:color w:val="000000" w:themeColor="text1"/>
                <w:sz w:val="22"/>
              </w:rPr>
              <w:t>.</w:t>
            </w:r>
            <w:r w:rsidR="000E4D49">
              <w:rPr>
                <w:rFonts w:cs="Times New Roman"/>
                <w:color w:val="000000" w:themeColor="text1"/>
                <w:sz w:val="22"/>
              </w:rPr>
              <w:t>55</w:t>
            </w:r>
          </w:p>
        </w:tc>
        <w:tc>
          <w:tcPr>
            <w:tcW w:w="1007" w:type="dxa"/>
            <w:shd w:val="clear" w:color="auto" w:fill="FFFFFF" w:themeFill="background1"/>
            <w:vAlign w:val="center"/>
          </w:tcPr>
          <w:p w14:paraId="54F7DB36" w14:textId="459BE2A5" w:rsidR="0053606C" w:rsidRPr="004D67BE" w:rsidRDefault="0053606C" w:rsidP="00A231C9">
            <w:pPr>
              <w:suppressLineNumbers/>
              <w:tabs>
                <w:tab w:val="decimal" w:pos="271"/>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eastAsia="Calibri" w:cs="Times New Roman"/>
                <w:color w:val="000000" w:themeColor="text1"/>
                <w:sz w:val="22"/>
              </w:rPr>
              <w:t>12</w:t>
            </w:r>
          </w:p>
        </w:tc>
        <w:tc>
          <w:tcPr>
            <w:tcW w:w="863" w:type="dxa"/>
            <w:shd w:val="clear" w:color="auto" w:fill="FFFFFF" w:themeFill="background1"/>
            <w:vAlign w:val="center"/>
          </w:tcPr>
          <w:p w14:paraId="43A1888C" w14:textId="7DDDD357" w:rsidR="0053606C" w:rsidRPr="00613DDE" w:rsidRDefault="0053606C" w:rsidP="00A231C9">
            <w:pPr>
              <w:suppressLineNumbers/>
              <w:tabs>
                <w:tab w:val="decimal" w:pos="22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highlight w:val="lightGray"/>
              </w:rPr>
            </w:pPr>
          </w:p>
        </w:tc>
      </w:tr>
      <w:tr w:rsidR="0053606C" w:rsidRPr="008337ED" w14:paraId="55DD382C" w14:textId="77777777" w:rsidTr="00A231C9">
        <w:trPr>
          <w:trHeight w:val="23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tcPr>
          <w:p w14:paraId="517875EE" w14:textId="77777777" w:rsidR="0053606C" w:rsidRPr="004D67BE" w:rsidRDefault="0053606C" w:rsidP="00A231C9">
            <w:pPr>
              <w:suppressLineNumbers/>
              <w:suppressAutoHyphens/>
              <w:ind w:left="344" w:hanging="180"/>
              <w:contextualSpacing/>
              <w:rPr>
                <w:rFonts w:cs="Times New Roman"/>
                <w:b w:val="0"/>
                <w:bCs w:val="0"/>
                <w:color w:val="000000" w:themeColor="text1"/>
                <w:sz w:val="22"/>
                <w:rtl/>
              </w:rPr>
            </w:pPr>
            <w:r w:rsidRPr="004D67BE">
              <w:rPr>
                <w:rFonts w:cs="Times New Roman"/>
                <w:color w:val="000000" w:themeColor="text1"/>
                <w:sz w:val="22"/>
              </w:rPr>
              <w:t>Time estimation</w:t>
            </w:r>
          </w:p>
        </w:tc>
        <w:tc>
          <w:tcPr>
            <w:tcW w:w="2160" w:type="dxa"/>
            <w:shd w:val="clear" w:color="auto" w:fill="FFFFFF" w:themeFill="background1"/>
          </w:tcPr>
          <w:p w14:paraId="1550FBC9" w14:textId="77777777" w:rsidR="0053606C" w:rsidRPr="00EC2099" w:rsidRDefault="0053606C" w:rsidP="00A231C9">
            <w:pPr>
              <w:suppressLineNumbers/>
              <w:tabs>
                <w:tab w:val="decimal" w:pos="253"/>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80F09">
              <w:rPr>
                <w:rFonts w:cs="Times New Roman"/>
                <w:color w:val="000000" w:themeColor="text1"/>
                <w:sz w:val="22"/>
              </w:rPr>
              <w:t xml:space="preserve">32.32 </w:t>
            </w:r>
            <w:r w:rsidRPr="0070517D">
              <w:rPr>
                <w:rFonts w:eastAsia="Calibri" w:cs="Times New Roman"/>
                <w:color w:val="000000" w:themeColor="text1"/>
                <w:sz w:val="22"/>
              </w:rPr>
              <w:t>(</w:t>
            </w:r>
            <w:r w:rsidRPr="00D50D7A">
              <w:rPr>
                <w:rFonts w:cs="Times New Roman"/>
                <w:color w:val="000000" w:themeColor="text1"/>
                <w:sz w:val="22"/>
              </w:rPr>
              <w:t>20.40</w:t>
            </w:r>
            <w:r w:rsidRPr="00D50D7A">
              <w:rPr>
                <w:rFonts w:eastAsia="Calibri" w:cs="Times New Roman"/>
                <w:color w:val="000000" w:themeColor="text1"/>
                <w:sz w:val="22"/>
              </w:rPr>
              <w:t>) [</w:t>
            </w:r>
            <w:r w:rsidRPr="00D50D7A">
              <w:rPr>
                <w:rFonts w:cs="Times New Roman"/>
                <w:color w:val="000000" w:themeColor="text1"/>
                <w:sz w:val="22"/>
              </w:rPr>
              <w:t>5–90</w:t>
            </w:r>
            <w:r w:rsidRPr="00EC2099">
              <w:rPr>
                <w:rFonts w:eastAsia="Calibri" w:cs="Times New Roman"/>
                <w:color w:val="000000" w:themeColor="text1"/>
                <w:sz w:val="22"/>
              </w:rPr>
              <w:t>]</w:t>
            </w:r>
          </w:p>
        </w:tc>
        <w:tc>
          <w:tcPr>
            <w:tcW w:w="2242" w:type="dxa"/>
            <w:shd w:val="clear" w:color="auto" w:fill="FFFFFF" w:themeFill="background1"/>
          </w:tcPr>
          <w:p w14:paraId="5ED81D11" w14:textId="08FBCD1E" w:rsidR="0053606C" w:rsidRPr="004D67BE" w:rsidRDefault="000E4D49" w:rsidP="00A231C9">
            <w:pPr>
              <w:suppressLineNumbers/>
              <w:tabs>
                <w:tab w:val="decimal" w:pos="35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2</w:t>
            </w:r>
            <w:r>
              <w:rPr>
                <w:rFonts w:cs="Times New Roman"/>
                <w:color w:val="000000" w:themeColor="text1"/>
                <w:sz w:val="22"/>
              </w:rPr>
              <w:t>7</w:t>
            </w:r>
            <w:r w:rsidR="0053606C" w:rsidRPr="004D67BE">
              <w:rPr>
                <w:rFonts w:cs="Times New Roman"/>
                <w:color w:val="000000" w:themeColor="text1"/>
                <w:sz w:val="22"/>
              </w:rPr>
              <w:t>.</w:t>
            </w:r>
            <w:r>
              <w:rPr>
                <w:rFonts w:cs="Times New Roman"/>
                <w:color w:val="000000" w:themeColor="text1"/>
                <w:sz w:val="22"/>
              </w:rPr>
              <w:t>12</w:t>
            </w:r>
            <w:r w:rsidRPr="004D67BE">
              <w:rPr>
                <w:rFonts w:cs="Times New Roman"/>
                <w:color w:val="000000" w:themeColor="text1"/>
                <w:sz w:val="22"/>
              </w:rPr>
              <w:t xml:space="preserve"> </w:t>
            </w:r>
            <w:r w:rsidR="0053606C" w:rsidRPr="008337ED">
              <w:rPr>
                <w:rFonts w:eastAsia="Calibri" w:cs="Times New Roman"/>
                <w:color w:val="000000" w:themeColor="text1"/>
                <w:sz w:val="22"/>
              </w:rPr>
              <w:t>(</w:t>
            </w:r>
            <w:r w:rsidRPr="004D67BE">
              <w:rPr>
                <w:rFonts w:cs="Times New Roman"/>
                <w:color w:val="000000" w:themeColor="text1"/>
                <w:sz w:val="22"/>
              </w:rPr>
              <w:t>1</w:t>
            </w:r>
            <w:r>
              <w:rPr>
                <w:rFonts w:cs="Times New Roman"/>
                <w:color w:val="000000" w:themeColor="text1"/>
                <w:sz w:val="22"/>
              </w:rPr>
              <w:t>1</w:t>
            </w:r>
            <w:r w:rsidR="0053606C" w:rsidRPr="004D67BE">
              <w:rPr>
                <w:rFonts w:cs="Times New Roman"/>
                <w:color w:val="000000" w:themeColor="text1"/>
                <w:sz w:val="22"/>
              </w:rPr>
              <w:t>.</w:t>
            </w:r>
            <w:r>
              <w:rPr>
                <w:rFonts w:cs="Times New Roman"/>
                <w:color w:val="000000" w:themeColor="text1"/>
                <w:sz w:val="22"/>
              </w:rPr>
              <w:t>71</w:t>
            </w:r>
            <w:r w:rsidR="0053606C" w:rsidRPr="008337ED">
              <w:rPr>
                <w:rFonts w:eastAsia="Calibri" w:cs="Times New Roman"/>
                <w:color w:val="000000" w:themeColor="text1"/>
                <w:sz w:val="22"/>
              </w:rPr>
              <w:t>) [</w:t>
            </w:r>
            <w:r w:rsidR="0053606C" w:rsidRPr="004D67BE">
              <w:rPr>
                <w:rFonts w:cs="Times New Roman"/>
                <w:color w:val="000000" w:themeColor="text1"/>
                <w:sz w:val="22"/>
              </w:rPr>
              <w:t>10–60</w:t>
            </w:r>
            <w:r w:rsidR="0053606C" w:rsidRPr="008337ED">
              <w:rPr>
                <w:rFonts w:eastAsia="Calibri" w:cs="Times New Roman"/>
                <w:color w:val="000000" w:themeColor="text1"/>
                <w:sz w:val="22"/>
              </w:rPr>
              <w:t>]</w:t>
            </w:r>
          </w:p>
        </w:tc>
        <w:tc>
          <w:tcPr>
            <w:tcW w:w="1161" w:type="dxa"/>
            <w:shd w:val="clear" w:color="auto" w:fill="FFFFFF" w:themeFill="background1"/>
          </w:tcPr>
          <w:p w14:paraId="23E00738" w14:textId="3EF8BC29" w:rsidR="0053606C" w:rsidRPr="008337ED" w:rsidRDefault="0053606C" w:rsidP="00A231C9">
            <w:pPr>
              <w:suppressLineNumbers/>
              <w:tabs>
                <w:tab w:val="decimal" w:pos="352"/>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tl/>
              </w:rPr>
            </w:pPr>
            <w:r w:rsidRPr="008337ED">
              <w:rPr>
                <w:rFonts w:eastAsia="Calibri" w:cs="Times New Roman"/>
                <w:color w:val="000000" w:themeColor="text1"/>
                <w:sz w:val="22"/>
              </w:rPr>
              <w:t>-0.</w:t>
            </w:r>
            <w:r w:rsidR="000E4D49">
              <w:rPr>
                <w:rFonts w:cs="Times New Roman"/>
                <w:color w:val="000000" w:themeColor="text1"/>
                <w:sz w:val="22"/>
              </w:rPr>
              <w:t>82</w:t>
            </w:r>
          </w:p>
        </w:tc>
        <w:tc>
          <w:tcPr>
            <w:tcW w:w="1007" w:type="dxa"/>
            <w:shd w:val="clear" w:color="auto" w:fill="FFFFFF" w:themeFill="background1"/>
          </w:tcPr>
          <w:p w14:paraId="6481B45A" w14:textId="17D5A2C3" w:rsidR="0053606C" w:rsidRPr="004D67BE" w:rsidRDefault="0053606C" w:rsidP="00A231C9">
            <w:pPr>
              <w:suppressLineNumbers/>
              <w:tabs>
                <w:tab w:val="decimal" w:pos="271"/>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eastAsia="Calibri" w:cs="Times New Roman"/>
                <w:color w:val="000000" w:themeColor="text1"/>
                <w:sz w:val="22"/>
              </w:rPr>
              <w:t>41</w:t>
            </w:r>
          </w:p>
        </w:tc>
        <w:tc>
          <w:tcPr>
            <w:tcW w:w="863" w:type="dxa"/>
            <w:shd w:val="clear" w:color="auto" w:fill="FFFFFF" w:themeFill="background1"/>
          </w:tcPr>
          <w:p w14:paraId="5EF0C5B2" w14:textId="4201A62B" w:rsidR="0053606C" w:rsidRPr="00613DDE" w:rsidRDefault="0053606C" w:rsidP="00A231C9">
            <w:pPr>
              <w:suppressLineNumbers/>
              <w:tabs>
                <w:tab w:val="decimal" w:pos="22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highlight w:val="lightGray"/>
              </w:rPr>
            </w:pPr>
          </w:p>
        </w:tc>
      </w:tr>
      <w:tr w:rsidR="0053606C" w:rsidRPr="008337ED" w14:paraId="40D832E6" w14:textId="77777777" w:rsidTr="00A231C9">
        <w:tc>
          <w:tcPr>
            <w:cnfStyle w:val="001000000000" w:firstRow="0" w:lastRow="0" w:firstColumn="1" w:lastColumn="0" w:oddVBand="0" w:evenVBand="0" w:oddHBand="0" w:evenHBand="0" w:firstRowFirstColumn="0" w:firstRowLastColumn="0" w:lastRowFirstColumn="0" w:lastRowLastColumn="0"/>
            <w:tcW w:w="7628" w:type="dxa"/>
            <w:gridSpan w:val="4"/>
            <w:shd w:val="clear" w:color="auto" w:fill="FFFFFF" w:themeFill="background1"/>
          </w:tcPr>
          <w:p w14:paraId="22C0C927" w14:textId="77777777" w:rsidR="0053606C" w:rsidRPr="004D67BE" w:rsidRDefault="0053606C" w:rsidP="00A231C9">
            <w:pPr>
              <w:suppressLineNumbers/>
              <w:tabs>
                <w:tab w:val="decimal" w:pos="359"/>
                <w:tab w:val="decimal" w:pos="705"/>
              </w:tabs>
              <w:suppressAutoHyphens/>
              <w:ind w:firstLine="0"/>
              <w:contextualSpacing/>
              <w:rPr>
                <w:rFonts w:cs="Times New Roman"/>
                <w:b w:val="0"/>
                <w:bCs w:val="0"/>
                <w:color w:val="000000" w:themeColor="text1"/>
                <w:sz w:val="22"/>
              </w:rPr>
            </w:pPr>
            <w:r w:rsidRPr="004D67BE">
              <w:rPr>
                <w:rFonts w:cs="Times New Roman"/>
                <w:color w:val="000000" w:themeColor="text1"/>
                <w:sz w:val="22"/>
              </w:rPr>
              <w:t>After the CCT</w:t>
            </w:r>
          </w:p>
        </w:tc>
        <w:tc>
          <w:tcPr>
            <w:tcW w:w="1007" w:type="dxa"/>
            <w:shd w:val="clear" w:color="auto" w:fill="FFFFFF" w:themeFill="background1"/>
          </w:tcPr>
          <w:p w14:paraId="58F1967D" w14:textId="77777777" w:rsidR="0053606C" w:rsidRPr="00480F09" w:rsidRDefault="0053606C" w:rsidP="00A231C9">
            <w:pPr>
              <w:suppressLineNumbers/>
              <w:tabs>
                <w:tab w:val="decimal" w:pos="271"/>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tc>
        <w:tc>
          <w:tcPr>
            <w:tcW w:w="863" w:type="dxa"/>
            <w:shd w:val="clear" w:color="auto" w:fill="FFFFFF" w:themeFill="background1"/>
          </w:tcPr>
          <w:p w14:paraId="47271187" w14:textId="77777777" w:rsidR="0053606C" w:rsidRPr="00613DDE" w:rsidRDefault="0053606C" w:rsidP="00A231C9">
            <w:pPr>
              <w:suppressLineNumbers/>
              <w:tabs>
                <w:tab w:val="decimal" w:pos="22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highlight w:val="lightGray"/>
              </w:rPr>
            </w:pPr>
          </w:p>
        </w:tc>
      </w:tr>
      <w:tr w:rsidR="0053606C" w:rsidRPr="008337ED" w14:paraId="66C33A52" w14:textId="77777777" w:rsidTr="00A231C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tcPr>
          <w:p w14:paraId="412566A4" w14:textId="77777777" w:rsidR="0053606C" w:rsidRPr="004D67BE" w:rsidRDefault="0053606C" w:rsidP="00A231C9">
            <w:pPr>
              <w:suppressLineNumbers/>
              <w:suppressAutoHyphens/>
              <w:ind w:left="164" w:firstLine="0"/>
              <w:contextualSpacing/>
              <w:rPr>
                <w:rFonts w:cs="Times New Roman"/>
                <w:b w:val="0"/>
                <w:bCs w:val="0"/>
                <w:color w:val="000000" w:themeColor="text1"/>
                <w:sz w:val="22"/>
              </w:rPr>
            </w:pPr>
            <w:r>
              <w:rPr>
                <w:rFonts w:cs="Times New Roman"/>
                <w:color w:val="000000" w:themeColor="text1"/>
                <w:sz w:val="22"/>
              </w:rPr>
              <w:t xml:space="preserve">Estimation of </w:t>
            </w:r>
            <w:r w:rsidRPr="004D67BE">
              <w:rPr>
                <w:rFonts w:cs="Times New Roman"/>
                <w:color w:val="000000" w:themeColor="text1"/>
                <w:sz w:val="22"/>
              </w:rPr>
              <w:t>Performance</w:t>
            </w:r>
          </w:p>
        </w:tc>
        <w:tc>
          <w:tcPr>
            <w:tcW w:w="2160" w:type="dxa"/>
            <w:shd w:val="clear" w:color="auto" w:fill="FFFFFF" w:themeFill="background1"/>
          </w:tcPr>
          <w:p w14:paraId="52DF6730" w14:textId="77777777" w:rsidR="0053606C" w:rsidRPr="00EC2099" w:rsidRDefault="0053606C" w:rsidP="00A231C9">
            <w:pPr>
              <w:suppressLineNumbers/>
              <w:tabs>
                <w:tab w:val="decimal" w:pos="253"/>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80F09">
              <w:rPr>
                <w:rFonts w:cs="Times New Roman"/>
                <w:color w:val="000000" w:themeColor="text1"/>
                <w:sz w:val="22"/>
              </w:rPr>
              <w:t xml:space="preserve">3.29 </w:t>
            </w:r>
            <w:r w:rsidRPr="0070517D">
              <w:rPr>
                <w:rFonts w:eastAsia="Calibri" w:cs="Times New Roman"/>
                <w:color w:val="000000" w:themeColor="text1"/>
                <w:sz w:val="22"/>
              </w:rPr>
              <w:t>(</w:t>
            </w:r>
            <w:r w:rsidRPr="00D50D7A">
              <w:rPr>
                <w:rFonts w:cs="Times New Roman"/>
                <w:color w:val="000000" w:themeColor="text1"/>
                <w:sz w:val="22"/>
              </w:rPr>
              <w:t>1.03</w:t>
            </w:r>
            <w:r w:rsidRPr="00D50D7A">
              <w:rPr>
                <w:rFonts w:eastAsia="Calibri" w:cs="Times New Roman"/>
                <w:color w:val="000000" w:themeColor="text1"/>
                <w:sz w:val="22"/>
              </w:rPr>
              <w:t>) [</w:t>
            </w:r>
            <w:r w:rsidRPr="00D50D7A">
              <w:rPr>
                <w:rFonts w:cs="Times New Roman"/>
                <w:color w:val="000000" w:themeColor="text1"/>
                <w:sz w:val="22"/>
              </w:rPr>
              <w:t>1–5</w:t>
            </w:r>
            <w:r w:rsidRPr="00EC2099">
              <w:rPr>
                <w:rFonts w:eastAsia="Calibri" w:cs="Times New Roman"/>
                <w:color w:val="000000" w:themeColor="text1"/>
                <w:sz w:val="22"/>
              </w:rPr>
              <w:t>]</w:t>
            </w:r>
          </w:p>
        </w:tc>
        <w:tc>
          <w:tcPr>
            <w:tcW w:w="2242" w:type="dxa"/>
            <w:shd w:val="clear" w:color="auto" w:fill="FFFFFF" w:themeFill="background1"/>
          </w:tcPr>
          <w:p w14:paraId="5F866C76" w14:textId="1864C72B" w:rsidR="0053606C" w:rsidRPr="004D67BE" w:rsidRDefault="0053606C" w:rsidP="00A231C9">
            <w:pPr>
              <w:suppressLineNumbers/>
              <w:tabs>
                <w:tab w:val="decimal" w:pos="35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3.</w:t>
            </w:r>
            <w:r w:rsidR="000E4D49">
              <w:rPr>
                <w:rFonts w:cs="Times New Roman"/>
                <w:color w:val="000000" w:themeColor="text1"/>
                <w:sz w:val="22"/>
              </w:rPr>
              <w:t>76</w:t>
            </w:r>
            <w:r w:rsidR="000E4D49" w:rsidRPr="004D67BE">
              <w:rPr>
                <w:rFonts w:cs="Times New Roman"/>
                <w:color w:val="000000" w:themeColor="text1"/>
                <w:sz w:val="22"/>
              </w:rPr>
              <w:t xml:space="preserve"> </w:t>
            </w:r>
            <w:r w:rsidRPr="008337ED">
              <w:rPr>
                <w:rFonts w:eastAsia="Calibri" w:cs="Times New Roman"/>
                <w:color w:val="000000" w:themeColor="text1"/>
                <w:sz w:val="22"/>
              </w:rPr>
              <w:t>(0.</w:t>
            </w:r>
            <w:r w:rsidR="000E4D49" w:rsidRPr="004D67BE">
              <w:rPr>
                <w:rFonts w:cs="Times New Roman"/>
                <w:color w:val="000000" w:themeColor="text1"/>
                <w:sz w:val="22"/>
              </w:rPr>
              <w:t>9</w:t>
            </w:r>
            <w:r w:rsidR="000E4D49">
              <w:rPr>
                <w:rFonts w:cs="Times New Roman"/>
                <w:color w:val="000000" w:themeColor="text1"/>
                <w:sz w:val="22"/>
              </w:rPr>
              <w:t>4</w:t>
            </w:r>
            <w:r w:rsidRPr="008337ED">
              <w:rPr>
                <w:rFonts w:eastAsia="Calibri" w:cs="Times New Roman"/>
                <w:color w:val="000000" w:themeColor="text1"/>
                <w:sz w:val="22"/>
              </w:rPr>
              <w:t>) [</w:t>
            </w:r>
            <w:r w:rsidR="000E4D49">
              <w:rPr>
                <w:rFonts w:cs="Times New Roman"/>
                <w:color w:val="000000" w:themeColor="text1"/>
                <w:sz w:val="22"/>
              </w:rPr>
              <w:t>1</w:t>
            </w:r>
            <w:r w:rsidRPr="004D67BE">
              <w:rPr>
                <w:rFonts w:cs="Times New Roman"/>
                <w:color w:val="000000" w:themeColor="text1"/>
                <w:sz w:val="22"/>
              </w:rPr>
              <w:t>–</w:t>
            </w:r>
            <w:r w:rsidR="000E4D49">
              <w:rPr>
                <w:rFonts w:cs="Times New Roman"/>
                <w:color w:val="000000" w:themeColor="text1"/>
                <w:sz w:val="22"/>
              </w:rPr>
              <w:t>5</w:t>
            </w:r>
            <w:r w:rsidRPr="008337ED">
              <w:rPr>
                <w:rFonts w:eastAsia="Calibri" w:cs="Times New Roman"/>
                <w:color w:val="000000" w:themeColor="text1"/>
                <w:sz w:val="22"/>
              </w:rPr>
              <w:t>]</w:t>
            </w:r>
          </w:p>
        </w:tc>
        <w:tc>
          <w:tcPr>
            <w:tcW w:w="1161" w:type="dxa"/>
            <w:shd w:val="clear" w:color="auto" w:fill="FFFFFF" w:themeFill="background1"/>
          </w:tcPr>
          <w:p w14:paraId="42FBC468" w14:textId="5046387A" w:rsidR="0053606C" w:rsidRPr="004D67BE" w:rsidRDefault="0053606C" w:rsidP="00A231C9">
            <w:pPr>
              <w:suppressLineNumbers/>
              <w:tabs>
                <w:tab w:val="decimal" w:pos="352"/>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cs="Times New Roman"/>
                <w:color w:val="000000" w:themeColor="text1"/>
                <w:sz w:val="22"/>
              </w:rPr>
              <w:t>2</w:t>
            </w:r>
            <w:r w:rsidRPr="004D67BE">
              <w:rPr>
                <w:rFonts w:cs="Times New Roman"/>
                <w:color w:val="000000" w:themeColor="text1"/>
                <w:sz w:val="22"/>
              </w:rPr>
              <w:t>.</w:t>
            </w:r>
            <w:r w:rsidR="000E4D49">
              <w:rPr>
                <w:rFonts w:cs="Times New Roman"/>
                <w:color w:val="000000" w:themeColor="text1"/>
                <w:sz w:val="22"/>
              </w:rPr>
              <w:t>13</w:t>
            </w:r>
          </w:p>
        </w:tc>
        <w:tc>
          <w:tcPr>
            <w:tcW w:w="1007" w:type="dxa"/>
            <w:shd w:val="clear" w:color="auto" w:fill="FFFFFF" w:themeFill="background1"/>
          </w:tcPr>
          <w:p w14:paraId="4FAAA5F1" w14:textId="3B94C0CF" w:rsidR="0053606C" w:rsidRPr="004D67BE" w:rsidRDefault="0053606C" w:rsidP="00A231C9">
            <w:pPr>
              <w:suppressLineNumbers/>
              <w:tabs>
                <w:tab w:val="decimal" w:pos="271"/>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eastAsia="Calibri" w:cs="Times New Roman"/>
                <w:color w:val="000000" w:themeColor="text1"/>
                <w:sz w:val="22"/>
              </w:rPr>
              <w:t>03</w:t>
            </w:r>
          </w:p>
        </w:tc>
        <w:tc>
          <w:tcPr>
            <w:tcW w:w="863" w:type="dxa"/>
            <w:shd w:val="clear" w:color="auto" w:fill="FFFFFF" w:themeFill="background1"/>
          </w:tcPr>
          <w:p w14:paraId="60ACF86C" w14:textId="5450994F" w:rsidR="0053606C" w:rsidRPr="00613DDE" w:rsidRDefault="0053606C" w:rsidP="00A231C9">
            <w:pPr>
              <w:suppressLineNumbers/>
              <w:tabs>
                <w:tab w:val="decimal" w:pos="22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highlight w:val="lightGray"/>
              </w:rPr>
            </w:pPr>
          </w:p>
        </w:tc>
      </w:tr>
      <w:tr w:rsidR="0053606C" w:rsidRPr="008337ED" w14:paraId="6349640C" w14:textId="77777777" w:rsidTr="00A231C9">
        <w:trPr>
          <w:trHeight w:val="303"/>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tcPr>
          <w:p w14:paraId="6AA15BFD" w14:textId="77777777" w:rsidR="0053606C" w:rsidRPr="004D67BE" w:rsidRDefault="0053606C" w:rsidP="00A231C9">
            <w:pPr>
              <w:suppressLineNumbers/>
              <w:suppressAutoHyphens/>
              <w:ind w:left="164" w:firstLine="0"/>
              <w:contextualSpacing/>
              <w:rPr>
                <w:rFonts w:cs="Times New Roman"/>
                <w:b w:val="0"/>
                <w:bCs w:val="0"/>
                <w:color w:val="000000" w:themeColor="text1"/>
                <w:sz w:val="22"/>
              </w:rPr>
            </w:pPr>
            <w:r>
              <w:rPr>
                <w:rFonts w:cs="Times New Roman"/>
                <w:color w:val="000000" w:themeColor="text1"/>
                <w:sz w:val="22"/>
              </w:rPr>
              <w:t xml:space="preserve">Estimated </w:t>
            </w:r>
            <w:r w:rsidRPr="004D67BE">
              <w:rPr>
                <w:rFonts w:cs="Times New Roman"/>
                <w:color w:val="000000" w:themeColor="text1"/>
                <w:sz w:val="22"/>
              </w:rPr>
              <w:t>Accuracy</w:t>
            </w:r>
          </w:p>
        </w:tc>
        <w:tc>
          <w:tcPr>
            <w:tcW w:w="2160" w:type="dxa"/>
            <w:shd w:val="clear" w:color="auto" w:fill="FFFFFF" w:themeFill="background1"/>
          </w:tcPr>
          <w:p w14:paraId="4B52F0F2" w14:textId="77777777" w:rsidR="0053606C" w:rsidRPr="00EC2099" w:rsidRDefault="0053606C" w:rsidP="00A231C9">
            <w:pPr>
              <w:suppressLineNumbers/>
              <w:tabs>
                <w:tab w:val="decimal" w:pos="253"/>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80F09">
              <w:rPr>
                <w:rFonts w:cs="Times New Roman"/>
                <w:color w:val="000000" w:themeColor="text1"/>
                <w:sz w:val="22"/>
              </w:rPr>
              <w:t xml:space="preserve">3.78 </w:t>
            </w:r>
            <w:r w:rsidRPr="0070517D">
              <w:rPr>
                <w:rFonts w:eastAsia="Calibri" w:cs="Times New Roman"/>
                <w:color w:val="000000" w:themeColor="text1"/>
                <w:sz w:val="22"/>
              </w:rPr>
              <w:t>(0.</w:t>
            </w:r>
            <w:r w:rsidRPr="00D50D7A">
              <w:rPr>
                <w:rFonts w:cs="Times New Roman"/>
                <w:color w:val="000000" w:themeColor="text1"/>
                <w:sz w:val="22"/>
              </w:rPr>
              <w:t>94</w:t>
            </w:r>
            <w:r w:rsidRPr="00D50D7A">
              <w:rPr>
                <w:rFonts w:eastAsia="Calibri" w:cs="Times New Roman"/>
                <w:color w:val="000000" w:themeColor="text1"/>
                <w:sz w:val="22"/>
              </w:rPr>
              <w:t>) [</w:t>
            </w:r>
            <w:r w:rsidRPr="00D50D7A">
              <w:rPr>
                <w:rFonts w:cs="Times New Roman"/>
                <w:color w:val="000000" w:themeColor="text1"/>
                <w:sz w:val="22"/>
              </w:rPr>
              <w:t>1–5</w:t>
            </w:r>
            <w:r w:rsidRPr="00EC2099">
              <w:rPr>
                <w:rFonts w:eastAsia="Calibri" w:cs="Times New Roman"/>
                <w:color w:val="000000" w:themeColor="text1"/>
                <w:sz w:val="22"/>
              </w:rPr>
              <w:t>]</w:t>
            </w:r>
          </w:p>
        </w:tc>
        <w:tc>
          <w:tcPr>
            <w:tcW w:w="2242" w:type="dxa"/>
            <w:shd w:val="clear" w:color="auto" w:fill="FFFFFF" w:themeFill="background1"/>
          </w:tcPr>
          <w:p w14:paraId="47F24D4E" w14:textId="7CF2034F" w:rsidR="0053606C" w:rsidRPr="004D67BE" w:rsidRDefault="0053606C" w:rsidP="00A231C9">
            <w:pPr>
              <w:suppressLineNumbers/>
              <w:tabs>
                <w:tab w:val="decimal" w:pos="35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4.</w:t>
            </w:r>
            <w:r w:rsidR="000E4D49">
              <w:rPr>
                <w:rFonts w:cs="Times New Roman"/>
                <w:color w:val="000000" w:themeColor="text1"/>
                <w:sz w:val="22"/>
              </w:rPr>
              <w:t>10</w:t>
            </w:r>
            <w:r w:rsidR="000E4D49" w:rsidRPr="004D67BE">
              <w:rPr>
                <w:rFonts w:cs="Times New Roman"/>
                <w:color w:val="000000" w:themeColor="text1"/>
                <w:sz w:val="22"/>
              </w:rPr>
              <w:t xml:space="preserve"> </w:t>
            </w:r>
            <w:r w:rsidRPr="008337ED">
              <w:rPr>
                <w:rFonts w:eastAsia="Calibri" w:cs="Times New Roman"/>
                <w:color w:val="000000" w:themeColor="text1"/>
                <w:sz w:val="22"/>
              </w:rPr>
              <w:t>(0.</w:t>
            </w:r>
            <w:r w:rsidR="000E4D49">
              <w:rPr>
                <w:rFonts w:cs="Times New Roman"/>
                <w:color w:val="000000" w:themeColor="text1"/>
                <w:sz w:val="22"/>
              </w:rPr>
              <w:t>77</w:t>
            </w:r>
            <w:r w:rsidRPr="008337ED">
              <w:rPr>
                <w:rFonts w:eastAsia="Calibri" w:cs="Times New Roman"/>
                <w:color w:val="000000" w:themeColor="text1"/>
                <w:sz w:val="22"/>
              </w:rPr>
              <w:t>) [</w:t>
            </w:r>
            <w:r w:rsidR="000E4D49">
              <w:rPr>
                <w:rFonts w:cs="Times New Roman"/>
                <w:color w:val="000000" w:themeColor="text1"/>
                <w:sz w:val="22"/>
              </w:rPr>
              <w:t>2</w:t>
            </w:r>
            <w:r w:rsidRPr="004D67BE">
              <w:rPr>
                <w:rFonts w:cs="Times New Roman"/>
                <w:color w:val="000000" w:themeColor="text1"/>
                <w:sz w:val="22"/>
              </w:rPr>
              <w:t>-5</w:t>
            </w:r>
            <w:r w:rsidRPr="008337ED">
              <w:rPr>
                <w:rFonts w:eastAsia="Calibri" w:cs="Times New Roman"/>
                <w:color w:val="000000" w:themeColor="text1"/>
                <w:sz w:val="22"/>
              </w:rPr>
              <w:t>]</w:t>
            </w:r>
          </w:p>
        </w:tc>
        <w:tc>
          <w:tcPr>
            <w:tcW w:w="1161" w:type="dxa"/>
            <w:shd w:val="clear" w:color="auto" w:fill="FFFFFF" w:themeFill="background1"/>
          </w:tcPr>
          <w:p w14:paraId="358C7790" w14:textId="22D34FAB" w:rsidR="0053606C" w:rsidRPr="004D67BE" w:rsidRDefault="0053606C" w:rsidP="00A231C9">
            <w:pPr>
              <w:suppressLineNumbers/>
              <w:tabs>
                <w:tab w:val="decimal" w:pos="352"/>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8337ED">
              <w:rPr>
                <w:rFonts w:eastAsia="Calibri" w:cs="Times New Roman"/>
                <w:color w:val="000000" w:themeColor="text1"/>
                <w:sz w:val="22"/>
              </w:rPr>
              <w:t>-</w:t>
            </w:r>
            <w:r w:rsidR="000E4D49">
              <w:rPr>
                <w:rFonts w:eastAsia="Calibri" w:cs="Times New Roman"/>
                <w:color w:val="000000" w:themeColor="text1"/>
                <w:sz w:val="22"/>
              </w:rPr>
              <w:t>1</w:t>
            </w:r>
            <w:r w:rsidRPr="008337ED">
              <w:rPr>
                <w:rFonts w:eastAsia="Calibri" w:cs="Times New Roman"/>
                <w:color w:val="000000" w:themeColor="text1"/>
                <w:sz w:val="22"/>
              </w:rPr>
              <w:t>.</w:t>
            </w:r>
            <w:r w:rsidR="000E4D49">
              <w:rPr>
                <w:rFonts w:cs="Times New Roman"/>
                <w:color w:val="000000" w:themeColor="text1"/>
                <w:sz w:val="22"/>
              </w:rPr>
              <w:t>71</w:t>
            </w:r>
          </w:p>
        </w:tc>
        <w:tc>
          <w:tcPr>
            <w:tcW w:w="1007" w:type="dxa"/>
            <w:shd w:val="clear" w:color="auto" w:fill="FFFFFF" w:themeFill="background1"/>
          </w:tcPr>
          <w:p w14:paraId="68D39B10" w14:textId="7691BFBA" w:rsidR="0053606C" w:rsidRPr="004D67BE" w:rsidRDefault="0053606C" w:rsidP="00A231C9">
            <w:pPr>
              <w:suppressLineNumbers/>
              <w:tabs>
                <w:tab w:val="decimal" w:pos="271"/>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eastAsia="Calibri" w:cs="Times New Roman"/>
                <w:color w:val="000000" w:themeColor="text1"/>
                <w:sz w:val="22"/>
              </w:rPr>
              <w:t>09</w:t>
            </w:r>
          </w:p>
        </w:tc>
        <w:tc>
          <w:tcPr>
            <w:tcW w:w="863" w:type="dxa"/>
            <w:shd w:val="clear" w:color="auto" w:fill="FFFFFF" w:themeFill="background1"/>
          </w:tcPr>
          <w:p w14:paraId="18F0A728" w14:textId="331655CC" w:rsidR="0053606C" w:rsidRPr="00613DDE" w:rsidRDefault="0053606C" w:rsidP="00A231C9">
            <w:pPr>
              <w:suppressLineNumbers/>
              <w:tabs>
                <w:tab w:val="decimal" w:pos="22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highlight w:val="lightGray"/>
              </w:rPr>
            </w:pPr>
          </w:p>
        </w:tc>
      </w:tr>
      <w:tr w:rsidR="0053606C" w:rsidRPr="008337ED" w14:paraId="0569EB6C" w14:textId="77777777" w:rsidTr="00A231C9">
        <w:tc>
          <w:tcPr>
            <w:cnfStyle w:val="001000000000" w:firstRow="0" w:lastRow="0" w:firstColumn="1" w:lastColumn="0" w:oddVBand="0" w:evenVBand="0" w:oddHBand="0" w:evenHBand="0" w:firstRowFirstColumn="0" w:firstRowLastColumn="0" w:lastRowFirstColumn="0" w:lastRowLastColumn="0"/>
            <w:tcW w:w="2065" w:type="dxa"/>
            <w:tcBorders>
              <w:bottom w:val="single" w:sz="4" w:space="0" w:color="auto"/>
            </w:tcBorders>
            <w:shd w:val="clear" w:color="auto" w:fill="FFFFFF" w:themeFill="background1"/>
          </w:tcPr>
          <w:p w14:paraId="11901B3F" w14:textId="77777777" w:rsidR="0053606C" w:rsidRPr="004D67BE" w:rsidRDefault="0053606C" w:rsidP="00A231C9">
            <w:pPr>
              <w:suppressLineNumbers/>
              <w:suppressAutoHyphens/>
              <w:ind w:left="164" w:firstLine="0"/>
              <w:contextualSpacing/>
              <w:rPr>
                <w:rFonts w:cs="Times New Roman"/>
                <w:b w:val="0"/>
                <w:bCs w:val="0"/>
                <w:color w:val="000000" w:themeColor="text1"/>
                <w:sz w:val="22"/>
              </w:rPr>
            </w:pPr>
            <w:r w:rsidRPr="004D67BE">
              <w:rPr>
                <w:rFonts w:cs="Times New Roman"/>
                <w:color w:val="000000" w:themeColor="text1"/>
                <w:sz w:val="22"/>
              </w:rPr>
              <w:t>Time estimation</w:t>
            </w:r>
          </w:p>
        </w:tc>
        <w:tc>
          <w:tcPr>
            <w:tcW w:w="2160" w:type="dxa"/>
            <w:tcBorders>
              <w:bottom w:val="single" w:sz="4" w:space="0" w:color="auto"/>
            </w:tcBorders>
            <w:shd w:val="clear" w:color="auto" w:fill="FFFFFF" w:themeFill="background1"/>
          </w:tcPr>
          <w:p w14:paraId="6071EF2A" w14:textId="77777777" w:rsidR="0053606C" w:rsidRPr="00EC2099" w:rsidRDefault="0053606C" w:rsidP="00A231C9">
            <w:pPr>
              <w:suppressLineNumbers/>
              <w:tabs>
                <w:tab w:val="decimal" w:pos="253"/>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80F09">
              <w:rPr>
                <w:rFonts w:cs="Times New Roman"/>
                <w:color w:val="000000" w:themeColor="text1"/>
                <w:sz w:val="22"/>
              </w:rPr>
              <w:t xml:space="preserve">26.78 </w:t>
            </w:r>
            <w:r w:rsidRPr="0070517D">
              <w:rPr>
                <w:rFonts w:eastAsia="Calibri" w:cs="Times New Roman"/>
                <w:color w:val="000000" w:themeColor="text1"/>
                <w:sz w:val="22"/>
              </w:rPr>
              <w:t>(</w:t>
            </w:r>
            <w:r w:rsidRPr="00D50D7A">
              <w:rPr>
                <w:rFonts w:cs="Times New Roman"/>
                <w:color w:val="000000" w:themeColor="text1"/>
                <w:sz w:val="22"/>
              </w:rPr>
              <w:t>12.46</w:t>
            </w:r>
            <w:r w:rsidRPr="00D50D7A">
              <w:rPr>
                <w:rFonts w:eastAsia="Calibri" w:cs="Times New Roman"/>
                <w:color w:val="000000" w:themeColor="text1"/>
                <w:sz w:val="22"/>
              </w:rPr>
              <w:t>) [</w:t>
            </w:r>
            <w:r w:rsidRPr="00D50D7A">
              <w:rPr>
                <w:rFonts w:cs="Times New Roman"/>
                <w:color w:val="000000" w:themeColor="text1"/>
                <w:sz w:val="22"/>
              </w:rPr>
              <w:t>10–60</w:t>
            </w:r>
            <w:r w:rsidRPr="00EC2099">
              <w:rPr>
                <w:rFonts w:eastAsia="Calibri" w:cs="Times New Roman"/>
                <w:color w:val="000000" w:themeColor="text1"/>
                <w:sz w:val="22"/>
              </w:rPr>
              <w:t>]</w:t>
            </w:r>
          </w:p>
        </w:tc>
        <w:tc>
          <w:tcPr>
            <w:tcW w:w="2242" w:type="dxa"/>
            <w:tcBorders>
              <w:bottom w:val="single" w:sz="4" w:space="0" w:color="auto"/>
            </w:tcBorders>
            <w:shd w:val="clear" w:color="auto" w:fill="FFFFFF" w:themeFill="background1"/>
          </w:tcPr>
          <w:p w14:paraId="0DF10FB4" w14:textId="1A1C8B69" w:rsidR="0053606C" w:rsidRPr="004D67BE" w:rsidRDefault="000E4D49" w:rsidP="00A231C9">
            <w:pPr>
              <w:suppressLineNumbers/>
              <w:tabs>
                <w:tab w:val="decimal" w:pos="35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2</w:t>
            </w:r>
            <w:r>
              <w:rPr>
                <w:rFonts w:cs="Times New Roman"/>
                <w:color w:val="000000" w:themeColor="text1"/>
                <w:sz w:val="22"/>
              </w:rPr>
              <w:t>1</w:t>
            </w:r>
            <w:r w:rsidR="0053606C" w:rsidRPr="004D67BE">
              <w:rPr>
                <w:rFonts w:cs="Times New Roman"/>
                <w:color w:val="000000" w:themeColor="text1"/>
                <w:sz w:val="22"/>
              </w:rPr>
              <w:t>.</w:t>
            </w:r>
            <w:r>
              <w:rPr>
                <w:rFonts w:cs="Times New Roman"/>
                <w:color w:val="000000" w:themeColor="text1"/>
                <w:sz w:val="22"/>
              </w:rPr>
              <w:t>83</w:t>
            </w:r>
            <w:r w:rsidRPr="004D67BE">
              <w:rPr>
                <w:rFonts w:cs="Times New Roman"/>
                <w:color w:val="000000" w:themeColor="text1"/>
                <w:sz w:val="22"/>
              </w:rPr>
              <w:t xml:space="preserve"> </w:t>
            </w:r>
            <w:r w:rsidR="0053606C" w:rsidRPr="008337ED">
              <w:rPr>
                <w:rFonts w:eastAsia="Calibri" w:cs="Times New Roman"/>
                <w:color w:val="000000" w:themeColor="text1"/>
                <w:sz w:val="22"/>
              </w:rPr>
              <w:t>(</w:t>
            </w:r>
            <w:r>
              <w:rPr>
                <w:rFonts w:cs="Times New Roman"/>
                <w:color w:val="000000" w:themeColor="text1"/>
                <w:sz w:val="22"/>
              </w:rPr>
              <w:t>10</w:t>
            </w:r>
            <w:r w:rsidR="0053606C" w:rsidRPr="004D67BE">
              <w:rPr>
                <w:rFonts w:cs="Times New Roman"/>
                <w:color w:val="000000" w:themeColor="text1"/>
                <w:sz w:val="22"/>
              </w:rPr>
              <w:t>.</w:t>
            </w:r>
            <w:r>
              <w:rPr>
                <w:rFonts w:cs="Times New Roman"/>
                <w:color w:val="000000" w:themeColor="text1"/>
                <w:sz w:val="22"/>
              </w:rPr>
              <w:t>58</w:t>
            </w:r>
            <w:r w:rsidR="0053606C" w:rsidRPr="008337ED">
              <w:rPr>
                <w:rFonts w:eastAsia="Calibri" w:cs="Times New Roman"/>
                <w:color w:val="000000" w:themeColor="text1"/>
                <w:sz w:val="22"/>
              </w:rPr>
              <w:t>) [</w:t>
            </w:r>
            <w:r>
              <w:rPr>
                <w:rFonts w:cs="Times New Roman"/>
                <w:color w:val="000000" w:themeColor="text1"/>
                <w:sz w:val="22"/>
              </w:rPr>
              <w:t>5</w:t>
            </w:r>
            <w:r w:rsidR="0053606C" w:rsidRPr="004D67BE">
              <w:rPr>
                <w:rFonts w:cs="Times New Roman"/>
                <w:color w:val="000000" w:themeColor="text1"/>
                <w:sz w:val="22"/>
              </w:rPr>
              <w:t>–</w:t>
            </w:r>
            <w:r>
              <w:rPr>
                <w:rFonts w:cs="Times New Roman"/>
                <w:color w:val="000000" w:themeColor="text1"/>
                <w:sz w:val="22"/>
              </w:rPr>
              <w:t>60</w:t>
            </w:r>
            <w:r w:rsidR="0053606C" w:rsidRPr="008337ED">
              <w:rPr>
                <w:rFonts w:eastAsia="Calibri" w:cs="Times New Roman"/>
                <w:color w:val="000000" w:themeColor="text1"/>
                <w:sz w:val="22"/>
              </w:rPr>
              <w:t>]</w:t>
            </w:r>
          </w:p>
        </w:tc>
        <w:tc>
          <w:tcPr>
            <w:tcW w:w="1161" w:type="dxa"/>
            <w:tcBorders>
              <w:bottom w:val="single" w:sz="4" w:space="0" w:color="auto"/>
            </w:tcBorders>
            <w:shd w:val="clear" w:color="auto" w:fill="FFFFFF" w:themeFill="background1"/>
          </w:tcPr>
          <w:p w14:paraId="73F42003" w14:textId="774E20A9" w:rsidR="0053606C" w:rsidRPr="004D67BE" w:rsidRDefault="0053606C" w:rsidP="00A231C9">
            <w:pPr>
              <w:suppressLineNumbers/>
              <w:tabs>
                <w:tab w:val="decimal" w:pos="352"/>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cs="Times New Roman"/>
                <w:color w:val="000000" w:themeColor="text1"/>
                <w:sz w:val="22"/>
              </w:rPr>
              <w:t>2</w:t>
            </w:r>
            <w:r w:rsidRPr="004D67BE">
              <w:rPr>
                <w:rFonts w:cs="Times New Roman"/>
                <w:color w:val="000000" w:themeColor="text1"/>
                <w:sz w:val="22"/>
              </w:rPr>
              <w:t>.</w:t>
            </w:r>
            <w:r w:rsidR="000E4D49">
              <w:rPr>
                <w:rFonts w:cs="Times New Roman"/>
                <w:color w:val="000000" w:themeColor="text1"/>
                <w:sz w:val="22"/>
              </w:rPr>
              <w:t>00</w:t>
            </w:r>
          </w:p>
        </w:tc>
        <w:tc>
          <w:tcPr>
            <w:tcW w:w="1007" w:type="dxa"/>
            <w:tcBorders>
              <w:bottom w:val="single" w:sz="4" w:space="0" w:color="auto"/>
            </w:tcBorders>
            <w:shd w:val="clear" w:color="auto" w:fill="FFFFFF" w:themeFill="background1"/>
          </w:tcPr>
          <w:p w14:paraId="777D190F" w14:textId="0B47EA16" w:rsidR="0053606C" w:rsidRPr="004D67BE" w:rsidRDefault="0053606C" w:rsidP="00A231C9">
            <w:pPr>
              <w:suppressLineNumbers/>
              <w:tabs>
                <w:tab w:val="decimal" w:pos="271"/>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4D67BE">
              <w:rPr>
                <w:rFonts w:cs="Times New Roman"/>
                <w:color w:val="000000" w:themeColor="text1"/>
                <w:sz w:val="22"/>
              </w:rPr>
              <w:t>.</w:t>
            </w:r>
            <w:r w:rsidR="000E4D49">
              <w:rPr>
                <w:rFonts w:cs="Times New Roman"/>
                <w:color w:val="000000" w:themeColor="text1"/>
                <w:sz w:val="22"/>
              </w:rPr>
              <w:t>04</w:t>
            </w:r>
          </w:p>
        </w:tc>
        <w:tc>
          <w:tcPr>
            <w:tcW w:w="863" w:type="dxa"/>
            <w:tcBorders>
              <w:bottom w:val="single" w:sz="4" w:space="0" w:color="auto"/>
            </w:tcBorders>
            <w:shd w:val="clear" w:color="auto" w:fill="FFFFFF" w:themeFill="background1"/>
          </w:tcPr>
          <w:p w14:paraId="15374BF6" w14:textId="7AE654BD" w:rsidR="0053606C" w:rsidRPr="00613DDE" w:rsidRDefault="0053606C" w:rsidP="00A231C9">
            <w:pPr>
              <w:suppressLineNumbers/>
              <w:tabs>
                <w:tab w:val="decimal" w:pos="229"/>
              </w:tabs>
              <w:suppressAutoHyphens/>
              <w:ind w:firstLine="0"/>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highlight w:val="lightGray"/>
              </w:rPr>
            </w:pPr>
          </w:p>
        </w:tc>
      </w:tr>
    </w:tbl>
    <w:p w14:paraId="03BB6D3C" w14:textId="77777777" w:rsidR="0053606C" w:rsidRPr="00F9248C" w:rsidRDefault="0053606C" w:rsidP="0053606C">
      <w:pPr>
        <w:ind w:firstLine="0"/>
        <w:contextualSpacing/>
        <w:rPr>
          <w:b/>
        </w:rPr>
      </w:pPr>
    </w:p>
    <w:p w14:paraId="0A30E8B2" w14:textId="35926982" w:rsidR="00640040" w:rsidRDefault="00640040">
      <w:pPr>
        <w:spacing w:after="160" w:line="259" w:lineRule="auto"/>
        <w:ind w:firstLine="0"/>
        <w:rPr>
          <w:rFonts w:asciiTheme="majorBidi" w:hAnsiTheme="majorBidi" w:cstheme="majorBidi"/>
          <w:szCs w:val="24"/>
        </w:rPr>
      </w:pPr>
      <w:r>
        <w:rPr>
          <w:rFonts w:asciiTheme="majorBidi" w:hAnsiTheme="majorBidi" w:cstheme="majorBidi"/>
          <w:szCs w:val="24"/>
        </w:rPr>
        <w:br w:type="page"/>
      </w:r>
    </w:p>
    <w:p w14:paraId="4CE66948" w14:textId="3C105157" w:rsidR="005E4EF3" w:rsidRDefault="001D3CE6" w:rsidP="004D67BE">
      <w:pPr>
        <w:pStyle w:val="Heading1"/>
      </w:pPr>
      <w:r>
        <w:lastRenderedPageBreak/>
        <w:t>Figure 1</w:t>
      </w:r>
    </w:p>
    <w:p w14:paraId="158B49BC" w14:textId="17927F30" w:rsidR="008069C6" w:rsidRPr="00F9248C" w:rsidRDefault="00DF0D06" w:rsidP="005E4EF3">
      <w:pPr>
        <w:ind w:firstLine="0"/>
        <w:contextualSpacing/>
        <w:rPr>
          <w:rFonts w:asciiTheme="majorBidi" w:hAnsiTheme="majorBidi" w:cstheme="majorBidi"/>
          <w:szCs w:val="24"/>
        </w:rPr>
      </w:pPr>
      <w:r>
        <w:rPr>
          <w:rFonts w:asciiTheme="majorBidi" w:hAnsiTheme="majorBidi" w:cstheme="majorBidi"/>
          <w:noProof/>
          <w:szCs w:val="24"/>
        </w:rPr>
        <w:drawing>
          <wp:inline distT="0" distB="0" distL="0" distR="0" wp14:anchorId="55B8459B" wp14:editId="4EC55CDF">
            <wp:extent cx="5815330" cy="255218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9081" cy="2553832"/>
                    </a:xfrm>
                    <a:prstGeom prst="rect">
                      <a:avLst/>
                    </a:prstGeom>
                    <a:noFill/>
                  </pic:spPr>
                </pic:pic>
              </a:graphicData>
            </a:graphic>
          </wp:inline>
        </w:drawing>
      </w:r>
    </w:p>
    <w:sectPr w:rsidR="008069C6" w:rsidRPr="00F924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E41B" w14:textId="77777777" w:rsidR="0080331C" w:rsidRDefault="0080331C" w:rsidP="00F9248C">
      <w:pPr>
        <w:spacing w:line="240" w:lineRule="auto"/>
      </w:pPr>
      <w:r>
        <w:separator/>
      </w:r>
    </w:p>
  </w:endnote>
  <w:endnote w:type="continuationSeparator" w:id="0">
    <w:p w14:paraId="1DBD4C7C" w14:textId="77777777" w:rsidR="0080331C" w:rsidRDefault="0080331C" w:rsidP="00F9248C">
      <w:pPr>
        <w:spacing w:line="240" w:lineRule="auto"/>
      </w:pPr>
      <w:r>
        <w:continuationSeparator/>
      </w:r>
    </w:p>
  </w:endnote>
  <w:endnote w:type="continuationNotice" w:id="1">
    <w:p w14:paraId="69B9B10A" w14:textId="77777777" w:rsidR="0080331C" w:rsidRDefault="0080331C" w:rsidP="00F924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JINJ I+ Gullive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549910"/>
      <w:docPartObj>
        <w:docPartGallery w:val="Page Numbers (Bottom of Page)"/>
        <w:docPartUnique/>
      </w:docPartObj>
    </w:sdtPr>
    <w:sdtEndPr>
      <w:rPr>
        <w:noProof/>
      </w:rPr>
    </w:sdtEndPr>
    <w:sdtContent>
      <w:p w14:paraId="76FEBDA4" w14:textId="650FC451" w:rsidR="002C30B6" w:rsidRDefault="00A01F0F" w:rsidP="00D50D7A">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40DA" w14:textId="77777777" w:rsidR="0080331C" w:rsidRDefault="0080331C" w:rsidP="00F9248C">
      <w:pPr>
        <w:spacing w:line="240" w:lineRule="auto"/>
      </w:pPr>
      <w:r>
        <w:separator/>
      </w:r>
    </w:p>
  </w:footnote>
  <w:footnote w:type="continuationSeparator" w:id="0">
    <w:p w14:paraId="6D72E36C" w14:textId="77777777" w:rsidR="0080331C" w:rsidRDefault="0080331C" w:rsidP="00F9248C">
      <w:pPr>
        <w:spacing w:line="240" w:lineRule="auto"/>
      </w:pPr>
      <w:r>
        <w:continuationSeparator/>
      </w:r>
    </w:p>
  </w:footnote>
  <w:footnote w:type="continuationNotice" w:id="1">
    <w:p w14:paraId="67BF0588" w14:textId="77777777" w:rsidR="0080331C" w:rsidRDefault="0080331C" w:rsidP="00F924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9235" w14:textId="2101CC26" w:rsidR="00CE09DB" w:rsidRPr="005F424B" w:rsidRDefault="002C30B6" w:rsidP="00D50D7A">
    <w:pPr>
      <w:pStyle w:val="Header"/>
      <w:tabs>
        <w:tab w:val="clear" w:pos="4153"/>
        <w:tab w:val="clear" w:pos="8306"/>
        <w:tab w:val="right" w:pos="9000"/>
      </w:tabs>
      <w:ind w:firstLine="0"/>
      <w:jc w:val="right"/>
    </w:pPr>
    <w:r>
      <w:rPr>
        <w:rFonts w:asciiTheme="majorBidi" w:hAnsiTheme="majorBidi" w:cstheme="majorBidi"/>
        <w:szCs w:val="24"/>
      </w:rPr>
      <w:t>Fogel: Self</w:t>
    </w:r>
    <w:r w:rsidR="00CE09DB" w:rsidRPr="00EA7E00">
      <w:rPr>
        <w:rFonts w:asciiTheme="majorBidi" w:hAnsiTheme="majorBidi" w:cstheme="majorBidi"/>
        <w:szCs w:val="24"/>
      </w:rPr>
      <w:t>-</w:t>
    </w:r>
    <w:r>
      <w:rPr>
        <w:rFonts w:asciiTheme="majorBidi" w:hAnsiTheme="majorBidi" w:cstheme="majorBidi"/>
        <w:szCs w:val="24"/>
      </w:rPr>
      <w:t>awareness and adolescents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AB9"/>
    <w:multiLevelType w:val="hybridMultilevel"/>
    <w:tmpl w:val="CCB6E0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6FE015C"/>
    <w:multiLevelType w:val="hybridMultilevel"/>
    <w:tmpl w:val="EE80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331F"/>
    <w:multiLevelType w:val="hybridMultilevel"/>
    <w:tmpl w:val="EB802942"/>
    <w:lvl w:ilvl="0" w:tplc="BEE27B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F626AB"/>
    <w:multiLevelType w:val="hybridMultilevel"/>
    <w:tmpl w:val="6E786FEA"/>
    <w:lvl w:ilvl="0" w:tplc="9730789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9127C"/>
    <w:multiLevelType w:val="multilevel"/>
    <w:tmpl w:val="A5FE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517A7"/>
    <w:multiLevelType w:val="hybridMultilevel"/>
    <w:tmpl w:val="46F22670"/>
    <w:lvl w:ilvl="0" w:tplc="937686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E60E5C"/>
    <w:multiLevelType w:val="multilevel"/>
    <w:tmpl w:val="03D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94FCA"/>
    <w:multiLevelType w:val="hybridMultilevel"/>
    <w:tmpl w:val="C654F726"/>
    <w:lvl w:ilvl="0" w:tplc="08EA70A0">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87AA6"/>
    <w:multiLevelType w:val="multilevel"/>
    <w:tmpl w:val="F14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8477A"/>
    <w:multiLevelType w:val="hybridMultilevel"/>
    <w:tmpl w:val="89F2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327C5"/>
    <w:multiLevelType w:val="hybridMultilevel"/>
    <w:tmpl w:val="5B343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740B4"/>
    <w:multiLevelType w:val="hybridMultilevel"/>
    <w:tmpl w:val="B5BA2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8"/>
  </w:num>
  <w:num w:numId="5">
    <w:abstractNumId w:val="1"/>
  </w:num>
  <w:num w:numId="6">
    <w:abstractNumId w:val="11"/>
  </w:num>
  <w:num w:numId="7">
    <w:abstractNumId w:val="6"/>
  </w:num>
  <w:num w:numId="8">
    <w:abstractNumId w:val="4"/>
  </w:num>
  <w:num w:numId="9">
    <w:abstractNumId w:val="3"/>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rI0szS2MDAzMrFU0lEKTi0uzszPAykwNqgFAHGNW5ktAAAA"/>
  </w:docVars>
  <w:rsids>
    <w:rsidRoot w:val="00F704D7"/>
    <w:rsid w:val="0000485B"/>
    <w:rsid w:val="0000578C"/>
    <w:rsid w:val="00005EA3"/>
    <w:rsid w:val="0000611E"/>
    <w:rsid w:val="00010F1E"/>
    <w:rsid w:val="00013ADE"/>
    <w:rsid w:val="000156E6"/>
    <w:rsid w:val="00015912"/>
    <w:rsid w:val="000166CB"/>
    <w:rsid w:val="00017727"/>
    <w:rsid w:val="00017BF3"/>
    <w:rsid w:val="00021173"/>
    <w:rsid w:val="00024F47"/>
    <w:rsid w:val="00025F9A"/>
    <w:rsid w:val="000273AF"/>
    <w:rsid w:val="00031110"/>
    <w:rsid w:val="00031D4D"/>
    <w:rsid w:val="0003205A"/>
    <w:rsid w:val="0003398F"/>
    <w:rsid w:val="00033E93"/>
    <w:rsid w:val="00034B82"/>
    <w:rsid w:val="00034DDF"/>
    <w:rsid w:val="000353AD"/>
    <w:rsid w:val="00035A05"/>
    <w:rsid w:val="0003616E"/>
    <w:rsid w:val="00040AEC"/>
    <w:rsid w:val="00040DCE"/>
    <w:rsid w:val="00042290"/>
    <w:rsid w:val="000444B1"/>
    <w:rsid w:val="000458B1"/>
    <w:rsid w:val="00050BF6"/>
    <w:rsid w:val="00051AA8"/>
    <w:rsid w:val="000521FC"/>
    <w:rsid w:val="00053713"/>
    <w:rsid w:val="00053AA7"/>
    <w:rsid w:val="00053AB9"/>
    <w:rsid w:val="00053F64"/>
    <w:rsid w:val="000545E2"/>
    <w:rsid w:val="0005580A"/>
    <w:rsid w:val="00056289"/>
    <w:rsid w:val="000562A1"/>
    <w:rsid w:val="0005672F"/>
    <w:rsid w:val="0005733A"/>
    <w:rsid w:val="00057764"/>
    <w:rsid w:val="00060295"/>
    <w:rsid w:val="000616A1"/>
    <w:rsid w:val="000627F2"/>
    <w:rsid w:val="00063E43"/>
    <w:rsid w:val="000656F1"/>
    <w:rsid w:val="00065D54"/>
    <w:rsid w:val="00065DA4"/>
    <w:rsid w:val="000670B3"/>
    <w:rsid w:val="00067188"/>
    <w:rsid w:val="00067994"/>
    <w:rsid w:val="00070DC8"/>
    <w:rsid w:val="000748BF"/>
    <w:rsid w:val="000749A2"/>
    <w:rsid w:val="00074AAE"/>
    <w:rsid w:val="000757B8"/>
    <w:rsid w:val="000758C0"/>
    <w:rsid w:val="000774EF"/>
    <w:rsid w:val="00080CA7"/>
    <w:rsid w:val="0008133F"/>
    <w:rsid w:val="00081E5B"/>
    <w:rsid w:val="0008369B"/>
    <w:rsid w:val="00083FB6"/>
    <w:rsid w:val="00084559"/>
    <w:rsid w:val="00085130"/>
    <w:rsid w:val="00087265"/>
    <w:rsid w:val="00093883"/>
    <w:rsid w:val="00093AEC"/>
    <w:rsid w:val="000940DD"/>
    <w:rsid w:val="00094FD0"/>
    <w:rsid w:val="000974E9"/>
    <w:rsid w:val="0009753E"/>
    <w:rsid w:val="000A3440"/>
    <w:rsid w:val="000A3718"/>
    <w:rsid w:val="000A439D"/>
    <w:rsid w:val="000B0C39"/>
    <w:rsid w:val="000B0CCE"/>
    <w:rsid w:val="000B200B"/>
    <w:rsid w:val="000B4DE8"/>
    <w:rsid w:val="000B5133"/>
    <w:rsid w:val="000B6B08"/>
    <w:rsid w:val="000B6EC7"/>
    <w:rsid w:val="000B78C5"/>
    <w:rsid w:val="000C031F"/>
    <w:rsid w:val="000C07C6"/>
    <w:rsid w:val="000C0E32"/>
    <w:rsid w:val="000C16C2"/>
    <w:rsid w:val="000C3E45"/>
    <w:rsid w:val="000C461D"/>
    <w:rsid w:val="000D044A"/>
    <w:rsid w:val="000D2763"/>
    <w:rsid w:val="000D3A06"/>
    <w:rsid w:val="000D4718"/>
    <w:rsid w:val="000D5C36"/>
    <w:rsid w:val="000D66BA"/>
    <w:rsid w:val="000D7AC3"/>
    <w:rsid w:val="000D7E3F"/>
    <w:rsid w:val="000E02EC"/>
    <w:rsid w:val="000E0917"/>
    <w:rsid w:val="000E12CC"/>
    <w:rsid w:val="000E18D0"/>
    <w:rsid w:val="000E19B8"/>
    <w:rsid w:val="000E214A"/>
    <w:rsid w:val="000E2607"/>
    <w:rsid w:val="000E3760"/>
    <w:rsid w:val="000E3E22"/>
    <w:rsid w:val="000E3FC8"/>
    <w:rsid w:val="000E4D49"/>
    <w:rsid w:val="000E5A07"/>
    <w:rsid w:val="000E7249"/>
    <w:rsid w:val="000F01CD"/>
    <w:rsid w:val="000F0F86"/>
    <w:rsid w:val="000F5BB0"/>
    <w:rsid w:val="000F702F"/>
    <w:rsid w:val="000F70E4"/>
    <w:rsid w:val="000F719C"/>
    <w:rsid w:val="000F71E2"/>
    <w:rsid w:val="00100664"/>
    <w:rsid w:val="00101613"/>
    <w:rsid w:val="001025EB"/>
    <w:rsid w:val="00102792"/>
    <w:rsid w:val="00104787"/>
    <w:rsid w:val="00104C0C"/>
    <w:rsid w:val="00113394"/>
    <w:rsid w:val="00113911"/>
    <w:rsid w:val="00115C4C"/>
    <w:rsid w:val="00115D48"/>
    <w:rsid w:val="00116B3A"/>
    <w:rsid w:val="00117C7E"/>
    <w:rsid w:val="00120176"/>
    <w:rsid w:val="00123BAF"/>
    <w:rsid w:val="00124278"/>
    <w:rsid w:val="001247A3"/>
    <w:rsid w:val="00125A4E"/>
    <w:rsid w:val="00126B41"/>
    <w:rsid w:val="001301D2"/>
    <w:rsid w:val="00130439"/>
    <w:rsid w:val="00131120"/>
    <w:rsid w:val="001338BC"/>
    <w:rsid w:val="00136340"/>
    <w:rsid w:val="00136422"/>
    <w:rsid w:val="001365EB"/>
    <w:rsid w:val="00142186"/>
    <w:rsid w:val="001434D4"/>
    <w:rsid w:val="00145F10"/>
    <w:rsid w:val="00145F45"/>
    <w:rsid w:val="00146299"/>
    <w:rsid w:val="0014693E"/>
    <w:rsid w:val="0015032D"/>
    <w:rsid w:val="001504B7"/>
    <w:rsid w:val="0015247F"/>
    <w:rsid w:val="00154B02"/>
    <w:rsid w:val="00155237"/>
    <w:rsid w:val="00155808"/>
    <w:rsid w:val="00155E15"/>
    <w:rsid w:val="001571EB"/>
    <w:rsid w:val="001615AA"/>
    <w:rsid w:val="001658C4"/>
    <w:rsid w:val="00166B6A"/>
    <w:rsid w:val="00167E53"/>
    <w:rsid w:val="00170B8C"/>
    <w:rsid w:val="00170E1E"/>
    <w:rsid w:val="00171FC3"/>
    <w:rsid w:val="00173449"/>
    <w:rsid w:val="00176889"/>
    <w:rsid w:val="00177616"/>
    <w:rsid w:val="00180726"/>
    <w:rsid w:val="00180A87"/>
    <w:rsid w:val="00181419"/>
    <w:rsid w:val="00181578"/>
    <w:rsid w:val="001846A3"/>
    <w:rsid w:val="00185128"/>
    <w:rsid w:val="0018549A"/>
    <w:rsid w:val="00185EAE"/>
    <w:rsid w:val="00185FEC"/>
    <w:rsid w:val="00187A9C"/>
    <w:rsid w:val="00192428"/>
    <w:rsid w:val="00192EC9"/>
    <w:rsid w:val="001947DF"/>
    <w:rsid w:val="001A13E4"/>
    <w:rsid w:val="001A1EB0"/>
    <w:rsid w:val="001A1EC9"/>
    <w:rsid w:val="001A23BF"/>
    <w:rsid w:val="001A2EA3"/>
    <w:rsid w:val="001A4482"/>
    <w:rsid w:val="001A6801"/>
    <w:rsid w:val="001A7FBF"/>
    <w:rsid w:val="001B1FDD"/>
    <w:rsid w:val="001B2545"/>
    <w:rsid w:val="001B76C3"/>
    <w:rsid w:val="001C0F9E"/>
    <w:rsid w:val="001C2273"/>
    <w:rsid w:val="001C3ACB"/>
    <w:rsid w:val="001C5405"/>
    <w:rsid w:val="001C544A"/>
    <w:rsid w:val="001C54DA"/>
    <w:rsid w:val="001C7342"/>
    <w:rsid w:val="001D1DA6"/>
    <w:rsid w:val="001D1FAC"/>
    <w:rsid w:val="001D2C6D"/>
    <w:rsid w:val="001D3CE6"/>
    <w:rsid w:val="001D420C"/>
    <w:rsid w:val="001D45E2"/>
    <w:rsid w:val="001D4FF8"/>
    <w:rsid w:val="001E178B"/>
    <w:rsid w:val="001E2207"/>
    <w:rsid w:val="001E3173"/>
    <w:rsid w:val="001E4741"/>
    <w:rsid w:val="001E669C"/>
    <w:rsid w:val="001E6B6F"/>
    <w:rsid w:val="001E73E7"/>
    <w:rsid w:val="001E74E7"/>
    <w:rsid w:val="001F0BD0"/>
    <w:rsid w:val="001F25B0"/>
    <w:rsid w:val="001F2A51"/>
    <w:rsid w:val="001F2CE8"/>
    <w:rsid w:val="001F3465"/>
    <w:rsid w:val="001F38A4"/>
    <w:rsid w:val="001F63C2"/>
    <w:rsid w:val="001F6F04"/>
    <w:rsid w:val="002007C7"/>
    <w:rsid w:val="0020151E"/>
    <w:rsid w:val="002038A0"/>
    <w:rsid w:val="00203A2E"/>
    <w:rsid w:val="00203B4C"/>
    <w:rsid w:val="00206229"/>
    <w:rsid w:val="00206ADB"/>
    <w:rsid w:val="00211363"/>
    <w:rsid w:val="0021172C"/>
    <w:rsid w:val="00212031"/>
    <w:rsid w:val="00212810"/>
    <w:rsid w:val="002131EB"/>
    <w:rsid w:val="0021353A"/>
    <w:rsid w:val="00214AE0"/>
    <w:rsid w:val="0021539F"/>
    <w:rsid w:val="00215BFB"/>
    <w:rsid w:val="00216106"/>
    <w:rsid w:val="00217DE3"/>
    <w:rsid w:val="00220182"/>
    <w:rsid w:val="00221670"/>
    <w:rsid w:val="00222A57"/>
    <w:rsid w:val="00222C16"/>
    <w:rsid w:val="00222EE1"/>
    <w:rsid w:val="002234E9"/>
    <w:rsid w:val="00223CEA"/>
    <w:rsid w:val="0022577E"/>
    <w:rsid w:val="00225B43"/>
    <w:rsid w:val="00226934"/>
    <w:rsid w:val="0023110A"/>
    <w:rsid w:val="002313A6"/>
    <w:rsid w:val="00232149"/>
    <w:rsid w:val="00232C70"/>
    <w:rsid w:val="00232FB4"/>
    <w:rsid w:val="00233B0F"/>
    <w:rsid w:val="00236F01"/>
    <w:rsid w:val="0023755D"/>
    <w:rsid w:val="00237B2B"/>
    <w:rsid w:val="00240595"/>
    <w:rsid w:val="00241733"/>
    <w:rsid w:val="00243E75"/>
    <w:rsid w:val="00245E77"/>
    <w:rsid w:val="0024603B"/>
    <w:rsid w:val="00250220"/>
    <w:rsid w:val="0025077F"/>
    <w:rsid w:val="00250E59"/>
    <w:rsid w:val="002517CE"/>
    <w:rsid w:val="00251A7B"/>
    <w:rsid w:val="00252492"/>
    <w:rsid w:val="00252DBE"/>
    <w:rsid w:val="00253751"/>
    <w:rsid w:val="00253BCF"/>
    <w:rsid w:val="00254307"/>
    <w:rsid w:val="002549F5"/>
    <w:rsid w:val="00255BB5"/>
    <w:rsid w:val="00255FCE"/>
    <w:rsid w:val="002569E5"/>
    <w:rsid w:val="00256A86"/>
    <w:rsid w:val="00260CDF"/>
    <w:rsid w:val="00261801"/>
    <w:rsid w:val="00262920"/>
    <w:rsid w:val="00263572"/>
    <w:rsid w:val="0026435E"/>
    <w:rsid w:val="002646A9"/>
    <w:rsid w:val="00264DC9"/>
    <w:rsid w:val="00265841"/>
    <w:rsid w:val="00265E28"/>
    <w:rsid w:val="002711E8"/>
    <w:rsid w:val="002722FE"/>
    <w:rsid w:val="00273933"/>
    <w:rsid w:val="00274622"/>
    <w:rsid w:val="0027487A"/>
    <w:rsid w:val="00277478"/>
    <w:rsid w:val="0028126E"/>
    <w:rsid w:val="00281813"/>
    <w:rsid w:val="00281E18"/>
    <w:rsid w:val="00282495"/>
    <w:rsid w:val="002831B9"/>
    <w:rsid w:val="00284517"/>
    <w:rsid w:val="00286EB9"/>
    <w:rsid w:val="00290C92"/>
    <w:rsid w:val="00294E66"/>
    <w:rsid w:val="0029527D"/>
    <w:rsid w:val="002953BD"/>
    <w:rsid w:val="00295EF5"/>
    <w:rsid w:val="0029610C"/>
    <w:rsid w:val="00296859"/>
    <w:rsid w:val="0029787D"/>
    <w:rsid w:val="002A1CBC"/>
    <w:rsid w:val="002A7E16"/>
    <w:rsid w:val="002B07E9"/>
    <w:rsid w:val="002B0C8E"/>
    <w:rsid w:val="002B155D"/>
    <w:rsid w:val="002B1686"/>
    <w:rsid w:val="002B2C4D"/>
    <w:rsid w:val="002B47D5"/>
    <w:rsid w:val="002B77F2"/>
    <w:rsid w:val="002C0625"/>
    <w:rsid w:val="002C1E36"/>
    <w:rsid w:val="002C30B6"/>
    <w:rsid w:val="002C3ADB"/>
    <w:rsid w:val="002C40FE"/>
    <w:rsid w:val="002C5613"/>
    <w:rsid w:val="002D07D5"/>
    <w:rsid w:val="002D18F1"/>
    <w:rsid w:val="002D1C6F"/>
    <w:rsid w:val="002D2E5A"/>
    <w:rsid w:val="002D2F98"/>
    <w:rsid w:val="002D4F1B"/>
    <w:rsid w:val="002D50EB"/>
    <w:rsid w:val="002D68D8"/>
    <w:rsid w:val="002D6BA7"/>
    <w:rsid w:val="002D7B47"/>
    <w:rsid w:val="002E00AD"/>
    <w:rsid w:val="002E0F5B"/>
    <w:rsid w:val="002E14DB"/>
    <w:rsid w:val="002E1D83"/>
    <w:rsid w:val="002E2A51"/>
    <w:rsid w:val="002E31A1"/>
    <w:rsid w:val="002E3366"/>
    <w:rsid w:val="002E3A26"/>
    <w:rsid w:val="002E5990"/>
    <w:rsid w:val="002F0AB3"/>
    <w:rsid w:val="002F0F3C"/>
    <w:rsid w:val="002F114D"/>
    <w:rsid w:val="002F37FB"/>
    <w:rsid w:val="002F48DA"/>
    <w:rsid w:val="002F6520"/>
    <w:rsid w:val="003005BE"/>
    <w:rsid w:val="00301181"/>
    <w:rsid w:val="00302EEA"/>
    <w:rsid w:val="00304631"/>
    <w:rsid w:val="00304682"/>
    <w:rsid w:val="00304D84"/>
    <w:rsid w:val="00307A55"/>
    <w:rsid w:val="00311006"/>
    <w:rsid w:val="00311E45"/>
    <w:rsid w:val="00313F25"/>
    <w:rsid w:val="00314BA1"/>
    <w:rsid w:val="00315E78"/>
    <w:rsid w:val="003204E4"/>
    <w:rsid w:val="003205B3"/>
    <w:rsid w:val="003219A0"/>
    <w:rsid w:val="00322F44"/>
    <w:rsid w:val="003264BE"/>
    <w:rsid w:val="00332163"/>
    <w:rsid w:val="00332F87"/>
    <w:rsid w:val="00333288"/>
    <w:rsid w:val="00333B25"/>
    <w:rsid w:val="003354BF"/>
    <w:rsid w:val="00336A6E"/>
    <w:rsid w:val="00337623"/>
    <w:rsid w:val="00337E05"/>
    <w:rsid w:val="00341F6E"/>
    <w:rsid w:val="00342B95"/>
    <w:rsid w:val="00343CB7"/>
    <w:rsid w:val="00346155"/>
    <w:rsid w:val="00346554"/>
    <w:rsid w:val="0034794F"/>
    <w:rsid w:val="00347E99"/>
    <w:rsid w:val="003521BD"/>
    <w:rsid w:val="003537AB"/>
    <w:rsid w:val="003558FD"/>
    <w:rsid w:val="00357CD2"/>
    <w:rsid w:val="0036014B"/>
    <w:rsid w:val="0036025D"/>
    <w:rsid w:val="0036342D"/>
    <w:rsid w:val="00363AF2"/>
    <w:rsid w:val="00365842"/>
    <w:rsid w:val="00366CEA"/>
    <w:rsid w:val="00367E00"/>
    <w:rsid w:val="00370F18"/>
    <w:rsid w:val="00370FF9"/>
    <w:rsid w:val="00371004"/>
    <w:rsid w:val="00371A5A"/>
    <w:rsid w:val="00372602"/>
    <w:rsid w:val="00373143"/>
    <w:rsid w:val="00374F35"/>
    <w:rsid w:val="00375314"/>
    <w:rsid w:val="00376403"/>
    <w:rsid w:val="00381BAA"/>
    <w:rsid w:val="00384523"/>
    <w:rsid w:val="00385680"/>
    <w:rsid w:val="00385904"/>
    <w:rsid w:val="003867C5"/>
    <w:rsid w:val="003870C7"/>
    <w:rsid w:val="0039030B"/>
    <w:rsid w:val="003922BA"/>
    <w:rsid w:val="003944BB"/>
    <w:rsid w:val="00395351"/>
    <w:rsid w:val="00396671"/>
    <w:rsid w:val="003A0CE2"/>
    <w:rsid w:val="003A0F3D"/>
    <w:rsid w:val="003A2A5D"/>
    <w:rsid w:val="003A4A33"/>
    <w:rsid w:val="003A5464"/>
    <w:rsid w:val="003A574A"/>
    <w:rsid w:val="003A5965"/>
    <w:rsid w:val="003A5AD0"/>
    <w:rsid w:val="003B1775"/>
    <w:rsid w:val="003B2662"/>
    <w:rsid w:val="003B27CD"/>
    <w:rsid w:val="003B3307"/>
    <w:rsid w:val="003B5D8F"/>
    <w:rsid w:val="003B6DEE"/>
    <w:rsid w:val="003B7B64"/>
    <w:rsid w:val="003B7FE9"/>
    <w:rsid w:val="003C0CF3"/>
    <w:rsid w:val="003C0E2D"/>
    <w:rsid w:val="003C29D7"/>
    <w:rsid w:val="003C7DDF"/>
    <w:rsid w:val="003D01BD"/>
    <w:rsid w:val="003D0E4D"/>
    <w:rsid w:val="003D1801"/>
    <w:rsid w:val="003D2D7D"/>
    <w:rsid w:val="003D4D4F"/>
    <w:rsid w:val="003D781D"/>
    <w:rsid w:val="003D7C72"/>
    <w:rsid w:val="003E131D"/>
    <w:rsid w:val="003E18B5"/>
    <w:rsid w:val="003E2423"/>
    <w:rsid w:val="003E34DE"/>
    <w:rsid w:val="003E4D31"/>
    <w:rsid w:val="003E5951"/>
    <w:rsid w:val="003E5B62"/>
    <w:rsid w:val="003E67BE"/>
    <w:rsid w:val="003F0F9A"/>
    <w:rsid w:val="003F22B3"/>
    <w:rsid w:val="003F465D"/>
    <w:rsid w:val="003F5D13"/>
    <w:rsid w:val="003F6050"/>
    <w:rsid w:val="003F6553"/>
    <w:rsid w:val="004039C8"/>
    <w:rsid w:val="00405164"/>
    <w:rsid w:val="004057EA"/>
    <w:rsid w:val="004105DC"/>
    <w:rsid w:val="00411F35"/>
    <w:rsid w:val="0041413F"/>
    <w:rsid w:val="004146BC"/>
    <w:rsid w:val="004152E5"/>
    <w:rsid w:val="00415861"/>
    <w:rsid w:val="0042048A"/>
    <w:rsid w:val="00420E67"/>
    <w:rsid w:val="004228F8"/>
    <w:rsid w:val="00423034"/>
    <w:rsid w:val="00423A19"/>
    <w:rsid w:val="0042425E"/>
    <w:rsid w:val="00425314"/>
    <w:rsid w:val="00426C14"/>
    <w:rsid w:val="004329A9"/>
    <w:rsid w:val="00436D92"/>
    <w:rsid w:val="00437CD6"/>
    <w:rsid w:val="00437D4D"/>
    <w:rsid w:val="004400B1"/>
    <w:rsid w:val="0044163A"/>
    <w:rsid w:val="0044596C"/>
    <w:rsid w:val="0044651C"/>
    <w:rsid w:val="0044749F"/>
    <w:rsid w:val="00450F17"/>
    <w:rsid w:val="004521CE"/>
    <w:rsid w:val="00452EBF"/>
    <w:rsid w:val="004543E6"/>
    <w:rsid w:val="00455A6E"/>
    <w:rsid w:val="00456E05"/>
    <w:rsid w:val="00456F51"/>
    <w:rsid w:val="0046114D"/>
    <w:rsid w:val="00461DCF"/>
    <w:rsid w:val="004636A2"/>
    <w:rsid w:val="00464D4B"/>
    <w:rsid w:val="004652CF"/>
    <w:rsid w:val="00465B00"/>
    <w:rsid w:val="0046715A"/>
    <w:rsid w:val="0046788E"/>
    <w:rsid w:val="00473122"/>
    <w:rsid w:val="00474D40"/>
    <w:rsid w:val="00475C3B"/>
    <w:rsid w:val="00480F09"/>
    <w:rsid w:val="004813D9"/>
    <w:rsid w:val="00481D96"/>
    <w:rsid w:val="0048479A"/>
    <w:rsid w:val="004856EF"/>
    <w:rsid w:val="00494E60"/>
    <w:rsid w:val="00497872"/>
    <w:rsid w:val="004979DC"/>
    <w:rsid w:val="00497F37"/>
    <w:rsid w:val="004A1DA0"/>
    <w:rsid w:val="004A2683"/>
    <w:rsid w:val="004A427F"/>
    <w:rsid w:val="004A55F8"/>
    <w:rsid w:val="004A57C9"/>
    <w:rsid w:val="004A6CDF"/>
    <w:rsid w:val="004A73FD"/>
    <w:rsid w:val="004A74E1"/>
    <w:rsid w:val="004B0783"/>
    <w:rsid w:val="004B5084"/>
    <w:rsid w:val="004B555D"/>
    <w:rsid w:val="004C1F9D"/>
    <w:rsid w:val="004C329F"/>
    <w:rsid w:val="004C5464"/>
    <w:rsid w:val="004C6C33"/>
    <w:rsid w:val="004D09BD"/>
    <w:rsid w:val="004D0BB3"/>
    <w:rsid w:val="004D1975"/>
    <w:rsid w:val="004D3CA1"/>
    <w:rsid w:val="004D41C3"/>
    <w:rsid w:val="004D51EF"/>
    <w:rsid w:val="004D5B15"/>
    <w:rsid w:val="004D67BE"/>
    <w:rsid w:val="004D6A2C"/>
    <w:rsid w:val="004D6B5F"/>
    <w:rsid w:val="004E0EC1"/>
    <w:rsid w:val="004E0FCE"/>
    <w:rsid w:val="004E1423"/>
    <w:rsid w:val="004E1D5A"/>
    <w:rsid w:val="004E3691"/>
    <w:rsid w:val="004E47FF"/>
    <w:rsid w:val="004E4FE2"/>
    <w:rsid w:val="004E545E"/>
    <w:rsid w:val="004E6105"/>
    <w:rsid w:val="004E62B1"/>
    <w:rsid w:val="004E659E"/>
    <w:rsid w:val="004E6A56"/>
    <w:rsid w:val="004E71FE"/>
    <w:rsid w:val="004E759F"/>
    <w:rsid w:val="004F1017"/>
    <w:rsid w:val="004F1318"/>
    <w:rsid w:val="004F3A02"/>
    <w:rsid w:val="004F468E"/>
    <w:rsid w:val="004F7BCE"/>
    <w:rsid w:val="0050043F"/>
    <w:rsid w:val="00501B80"/>
    <w:rsid w:val="00504379"/>
    <w:rsid w:val="00504E87"/>
    <w:rsid w:val="00505805"/>
    <w:rsid w:val="00506D3D"/>
    <w:rsid w:val="005127F8"/>
    <w:rsid w:val="00513381"/>
    <w:rsid w:val="005133DB"/>
    <w:rsid w:val="00513B77"/>
    <w:rsid w:val="00514239"/>
    <w:rsid w:val="00515783"/>
    <w:rsid w:val="00515A3C"/>
    <w:rsid w:val="00516227"/>
    <w:rsid w:val="00517988"/>
    <w:rsid w:val="005203D8"/>
    <w:rsid w:val="005218F1"/>
    <w:rsid w:val="00524B1A"/>
    <w:rsid w:val="005301B0"/>
    <w:rsid w:val="00530A2B"/>
    <w:rsid w:val="005311D1"/>
    <w:rsid w:val="00531229"/>
    <w:rsid w:val="00531932"/>
    <w:rsid w:val="00533047"/>
    <w:rsid w:val="00534B63"/>
    <w:rsid w:val="0053606C"/>
    <w:rsid w:val="00540B3F"/>
    <w:rsid w:val="005415DD"/>
    <w:rsid w:val="00541FBA"/>
    <w:rsid w:val="00542880"/>
    <w:rsid w:val="005439F6"/>
    <w:rsid w:val="00543A5D"/>
    <w:rsid w:val="00545564"/>
    <w:rsid w:val="00545DCA"/>
    <w:rsid w:val="00546349"/>
    <w:rsid w:val="00546B6C"/>
    <w:rsid w:val="0054712C"/>
    <w:rsid w:val="00550691"/>
    <w:rsid w:val="005506FF"/>
    <w:rsid w:val="00551281"/>
    <w:rsid w:val="0055230D"/>
    <w:rsid w:val="00553CDB"/>
    <w:rsid w:val="00554E70"/>
    <w:rsid w:val="00555C1E"/>
    <w:rsid w:val="0056078F"/>
    <w:rsid w:val="00561D54"/>
    <w:rsid w:val="00563D20"/>
    <w:rsid w:val="00567106"/>
    <w:rsid w:val="00573E15"/>
    <w:rsid w:val="0057534B"/>
    <w:rsid w:val="00575DB6"/>
    <w:rsid w:val="005831BA"/>
    <w:rsid w:val="00583FC9"/>
    <w:rsid w:val="00586124"/>
    <w:rsid w:val="00586C0A"/>
    <w:rsid w:val="00592801"/>
    <w:rsid w:val="00594992"/>
    <w:rsid w:val="005956F7"/>
    <w:rsid w:val="005957D6"/>
    <w:rsid w:val="005964C7"/>
    <w:rsid w:val="005A01FD"/>
    <w:rsid w:val="005A0D24"/>
    <w:rsid w:val="005A0E3A"/>
    <w:rsid w:val="005A1357"/>
    <w:rsid w:val="005A2DAE"/>
    <w:rsid w:val="005A4D1C"/>
    <w:rsid w:val="005A58D1"/>
    <w:rsid w:val="005A63A5"/>
    <w:rsid w:val="005A651A"/>
    <w:rsid w:val="005B28A0"/>
    <w:rsid w:val="005B3ADF"/>
    <w:rsid w:val="005B3C0D"/>
    <w:rsid w:val="005B6261"/>
    <w:rsid w:val="005B6E5E"/>
    <w:rsid w:val="005C040C"/>
    <w:rsid w:val="005C2DB2"/>
    <w:rsid w:val="005C3010"/>
    <w:rsid w:val="005C4273"/>
    <w:rsid w:val="005C42DA"/>
    <w:rsid w:val="005C4A95"/>
    <w:rsid w:val="005C5E3A"/>
    <w:rsid w:val="005C62F3"/>
    <w:rsid w:val="005C64AC"/>
    <w:rsid w:val="005C6F29"/>
    <w:rsid w:val="005C7B64"/>
    <w:rsid w:val="005D0830"/>
    <w:rsid w:val="005D0B09"/>
    <w:rsid w:val="005D147E"/>
    <w:rsid w:val="005D16DF"/>
    <w:rsid w:val="005D1821"/>
    <w:rsid w:val="005D2D1C"/>
    <w:rsid w:val="005D5855"/>
    <w:rsid w:val="005D59CC"/>
    <w:rsid w:val="005D5A51"/>
    <w:rsid w:val="005D6F48"/>
    <w:rsid w:val="005D7ECD"/>
    <w:rsid w:val="005E07F9"/>
    <w:rsid w:val="005E0A79"/>
    <w:rsid w:val="005E1AC1"/>
    <w:rsid w:val="005E2569"/>
    <w:rsid w:val="005E3522"/>
    <w:rsid w:val="005E3F04"/>
    <w:rsid w:val="005E4EF3"/>
    <w:rsid w:val="005E5900"/>
    <w:rsid w:val="005E6E15"/>
    <w:rsid w:val="005F219D"/>
    <w:rsid w:val="005F2E15"/>
    <w:rsid w:val="005F3537"/>
    <w:rsid w:val="005F424B"/>
    <w:rsid w:val="005F577D"/>
    <w:rsid w:val="005F6653"/>
    <w:rsid w:val="005F6B3B"/>
    <w:rsid w:val="00600A18"/>
    <w:rsid w:val="00601D56"/>
    <w:rsid w:val="00602CB6"/>
    <w:rsid w:val="00603E86"/>
    <w:rsid w:val="006046F1"/>
    <w:rsid w:val="00604D3F"/>
    <w:rsid w:val="0060641C"/>
    <w:rsid w:val="00607E8F"/>
    <w:rsid w:val="00610EA6"/>
    <w:rsid w:val="00610F17"/>
    <w:rsid w:val="006116F6"/>
    <w:rsid w:val="006126E9"/>
    <w:rsid w:val="0061305A"/>
    <w:rsid w:val="00613DDE"/>
    <w:rsid w:val="00613DFC"/>
    <w:rsid w:val="006147DD"/>
    <w:rsid w:val="0061699B"/>
    <w:rsid w:val="00621BE5"/>
    <w:rsid w:val="00622367"/>
    <w:rsid w:val="00625413"/>
    <w:rsid w:val="006263EE"/>
    <w:rsid w:val="00626AAC"/>
    <w:rsid w:val="00626D1C"/>
    <w:rsid w:val="00630AD6"/>
    <w:rsid w:val="0063169A"/>
    <w:rsid w:val="00631876"/>
    <w:rsid w:val="00631C57"/>
    <w:rsid w:val="00632F47"/>
    <w:rsid w:val="0063462A"/>
    <w:rsid w:val="00634892"/>
    <w:rsid w:val="006376A7"/>
    <w:rsid w:val="0063774A"/>
    <w:rsid w:val="00640040"/>
    <w:rsid w:val="00641EC9"/>
    <w:rsid w:val="00641EF2"/>
    <w:rsid w:val="00643721"/>
    <w:rsid w:val="0064379F"/>
    <w:rsid w:val="00644D64"/>
    <w:rsid w:val="006513A7"/>
    <w:rsid w:val="006537A4"/>
    <w:rsid w:val="00655738"/>
    <w:rsid w:val="00655D5B"/>
    <w:rsid w:val="00661420"/>
    <w:rsid w:val="006627A6"/>
    <w:rsid w:val="00664AEA"/>
    <w:rsid w:val="00665D2A"/>
    <w:rsid w:val="00670B04"/>
    <w:rsid w:val="00670C28"/>
    <w:rsid w:val="00673FDF"/>
    <w:rsid w:val="006752CA"/>
    <w:rsid w:val="00675CC1"/>
    <w:rsid w:val="00676467"/>
    <w:rsid w:val="00677A25"/>
    <w:rsid w:val="00680845"/>
    <w:rsid w:val="00680EF4"/>
    <w:rsid w:val="00680FC3"/>
    <w:rsid w:val="006844A1"/>
    <w:rsid w:val="00685CDB"/>
    <w:rsid w:val="0069022F"/>
    <w:rsid w:val="00691044"/>
    <w:rsid w:val="006939E2"/>
    <w:rsid w:val="00694899"/>
    <w:rsid w:val="00695B2C"/>
    <w:rsid w:val="006960C4"/>
    <w:rsid w:val="0069788D"/>
    <w:rsid w:val="006A142C"/>
    <w:rsid w:val="006A1535"/>
    <w:rsid w:val="006A15F8"/>
    <w:rsid w:val="006A2724"/>
    <w:rsid w:val="006A3316"/>
    <w:rsid w:val="006A3477"/>
    <w:rsid w:val="006A3673"/>
    <w:rsid w:val="006A3AD3"/>
    <w:rsid w:val="006A5585"/>
    <w:rsid w:val="006A6F51"/>
    <w:rsid w:val="006B0591"/>
    <w:rsid w:val="006B563E"/>
    <w:rsid w:val="006B6D88"/>
    <w:rsid w:val="006B7223"/>
    <w:rsid w:val="006C3772"/>
    <w:rsid w:val="006C44B2"/>
    <w:rsid w:val="006C4665"/>
    <w:rsid w:val="006C52C4"/>
    <w:rsid w:val="006C5BF5"/>
    <w:rsid w:val="006C6A8B"/>
    <w:rsid w:val="006D0E2C"/>
    <w:rsid w:val="006D1BE9"/>
    <w:rsid w:val="006D2C2F"/>
    <w:rsid w:val="006D3B7F"/>
    <w:rsid w:val="006D47D5"/>
    <w:rsid w:val="006D75C0"/>
    <w:rsid w:val="006E1817"/>
    <w:rsid w:val="006E29A2"/>
    <w:rsid w:val="006E3CE1"/>
    <w:rsid w:val="006E5885"/>
    <w:rsid w:val="006E69EF"/>
    <w:rsid w:val="006E6F80"/>
    <w:rsid w:val="006F2C7C"/>
    <w:rsid w:val="006F4ADC"/>
    <w:rsid w:val="00700F71"/>
    <w:rsid w:val="007024B5"/>
    <w:rsid w:val="00702B1C"/>
    <w:rsid w:val="00702D85"/>
    <w:rsid w:val="0070367B"/>
    <w:rsid w:val="00704958"/>
    <w:rsid w:val="0070517D"/>
    <w:rsid w:val="00706743"/>
    <w:rsid w:val="007111FB"/>
    <w:rsid w:val="0071151A"/>
    <w:rsid w:val="007127DC"/>
    <w:rsid w:val="00713BD1"/>
    <w:rsid w:val="007169C8"/>
    <w:rsid w:val="00717223"/>
    <w:rsid w:val="007179FD"/>
    <w:rsid w:val="00720CEC"/>
    <w:rsid w:val="00722A4C"/>
    <w:rsid w:val="00722BD1"/>
    <w:rsid w:val="00723B85"/>
    <w:rsid w:val="00724552"/>
    <w:rsid w:val="00725D26"/>
    <w:rsid w:val="007264F8"/>
    <w:rsid w:val="007267A5"/>
    <w:rsid w:val="00726DD0"/>
    <w:rsid w:val="0073015F"/>
    <w:rsid w:val="0073016B"/>
    <w:rsid w:val="007311BC"/>
    <w:rsid w:val="00732406"/>
    <w:rsid w:val="0073252A"/>
    <w:rsid w:val="00732898"/>
    <w:rsid w:val="00735CC8"/>
    <w:rsid w:val="00735E5A"/>
    <w:rsid w:val="00740C0A"/>
    <w:rsid w:val="00740DFC"/>
    <w:rsid w:val="00743B59"/>
    <w:rsid w:val="00743B86"/>
    <w:rsid w:val="007444AD"/>
    <w:rsid w:val="0074482E"/>
    <w:rsid w:val="00747985"/>
    <w:rsid w:val="00747CCF"/>
    <w:rsid w:val="00750566"/>
    <w:rsid w:val="00751C55"/>
    <w:rsid w:val="007540D0"/>
    <w:rsid w:val="007560A7"/>
    <w:rsid w:val="007572C7"/>
    <w:rsid w:val="00763912"/>
    <w:rsid w:val="00763947"/>
    <w:rsid w:val="00765579"/>
    <w:rsid w:val="00766C93"/>
    <w:rsid w:val="0077019C"/>
    <w:rsid w:val="00770E37"/>
    <w:rsid w:val="007725FF"/>
    <w:rsid w:val="00772A40"/>
    <w:rsid w:val="00780E71"/>
    <w:rsid w:val="00782625"/>
    <w:rsid w:val="00783AC9"/>
    <w:rsid w:val="007843A4"/>
    <w:rsid w:val="00785061"/>
    <w:rsid w:val="007856A2"/>
    <w:rsid w:val="00785E48"/>
    <w:rsid w:val="00786559"/>
    <w:rsid w:val="00787366"/>
    <w:rsid w:val="007902FD"/>
    <w:rsid w:val="00794C6B"/>
    <w:rsid w:val="00794EAF"/>
    <w:rsid w:val="00796A34"/>
    <w:rsid w:val="00797C3E"/>
    <w:rsid w:val="00797F65"/>
    <w:rsid w:val="007A0CB6"/>
    <w:rsid w:val="007A10CE"/>
    <w:rsid w:val="007A1B9A"/>
    <w:rsid w:val="007A3E12"/>
    <w:rsid w:val="007A47FB"/>
    <w:rsid w:val="007A4A3D"/>
    <w:rsid w:val="007B10DE"/>
    <w:rsid w:val="007B1F49"/>
    <w:rsid w:val="007B322E"/>
    <w:rsid w:val="007B3B35"/>
    <w:rsid w:val="007B3DFF"/>
    <w:rsid w:val="007B4397"/>
    <w:rsid w:val="007B7229"/>
    <w:rsid w:val="007B735D"/>
    <w:rsid w:val="007C1190"/>
    <w:rsid w:val="007C2316"/>
    <w:rsid w:val="007C2BBC"/>
    <w:rsid w:val="007C2E02"/>
    <w:rsid w:val="007C5313"/>
    <w:rsid w:val="007C546B"/>
    <w:rsid w:val="007C63A7"/>
    <w:rsid w:val="007D0692"/>
    <w:rsid w:val="007D217A"/>
    <w:rsid w:val="007D24FD"/>
    <w:rsid w:val="007D2AA0"/>
    <w:rsid w:val="007D39DB"/>
    <w:rsid w:val="007D6236"/>
    <w:rsid w:val="007D7332"/>
    <w:rsid w:val="007D778C"/>
    <w:rsid w:val="007E01FA"/>
    <w:rsid w:val="007E0AF5"/>
    <w:rsid w:val="007E0B13"/>
    <w:rsid w:val="007E141E"/>
    <w:rsid w:val="007E17E4"/>
    <w:rsid w:val="007E33E5"/>
    <w:rsid w:val="007E35E2"/>
    <w:rsid w:val="007E3E5B"/>
    <w:rsid w:val="007E628F"/>
    <w:rsid w:val="007E685C"/>
    <w:rsid w:val="007E6E13"/>
    <w:rsid w:val="007E7121"/>
    <w:rsid w:val="007F0924"/>
    <w:rsid w:val="007F1F3B"/>
    <w:rsid w:val="007F1F6C"/>
    <w:rsid w:val="007F2577"/>
    <w:rsid w:val="007F2DCC"/>
    <w:rsid w:val="007F4DB6"/>
    <w:rsid w:val="007F659D"/>
    <w:rsid w:val="00800761"/>
    <w:rsid w:val="00800E86"/>
    <w:rsid w:val="00801B9A"/>
    <w:rsid w:val="00802BCC"/>
    <w:rsid w:val="0080331C"/>
    <w:rsid w:val="00803858"/>
    <w:rsid w:val="00804E04"/>
    <w:rsid w:val="0080519E"/>
    <w:rsid w:val="008069C6"/>
    <w:rsid w:val="0080745A"/>
    <w:rsid w:val="0081251B"/>
    <w:rsid w:val="00816558"/>
    <w:rsid w:val="00817707"/>
    <w:rsid w:val="0082037D"/>
    <w:rsid w:val="00821657"/>
    <w:rsid w:val="008218BC"/>
    <w:rsid w:val="00824286"/>
    <w:rsid w:val="00825336"/>
    <w:rsid w:val="008258B0"/>
    <w:rsid w:val="008314DE"/>
    <w:rsid w:val="00832333"/>
    <w:rsid w:val="00832A2D"/>
    <w:rsid w:val="008337ED"/>
    <w:rsid w:val="00841890"/>
    <w:rsid w:val="00841DCF"/>
    <w:rsid w:val="00841DE7"/>
    <w:rsid w:val="008429F5"/>
    <w:rsid w:val="00845033"/>
    <w:rsid w:val="00845102"/>
    <w:rsid w:val="00846D64"/>
    <w:rsid w:val="0084713F"/>
    <w:rsid w:val="0084761C"/>
    <w:rsid w:val="008525F7"/>
    <w:rsid w:val="008536DD"/>
    <w:rsid w:val="00853B2E"/>
    <w:rsid w:val="00855367"/>
    <w:rsid w:val="00860B03"/>
    <w:rsid w:val="00861B23"/>
    <w:rsid w:val="00863B91"/>
    <w:rsid w:val="00864D96"/>
    <w:rsid w:val="00867EA5"/>
    <w:rsid w:val="0087158C"/>
    <w:rsid w:val="00874207"/>
    <w:rsid w:val="008765FB"/>
    <w:rsid w:val="00880B65"/>
    <w:rsid w:val="008817F7"/>
    <w:rsid w:val="00881DB8"/>
    <w:rsid w:val="00882DF4"/>
    <w:rsid w:val="00884BC5"/>
    <w:rsid w:val="00885CEB"/>
    <w:rsid w:val="00893858"/>
    <w:rsid w:val="00893AF4"/>
    <w:rsid w:val="008940A2"/>
    <w:rsid w:val="00896592"/>
    <w:rsid w:val="00897045"/>
    <w:rsid w:val="00897740"/>
    <w:rsid w:val="008A2453"/>
    <w:rsid w:val="008A57D6"/>
    <w:rsid w:val="008A75A1"/>
    <w:rsid w:val="008B1EF9"/>
    <w:rsid w:val="008B267B"/>
    <w:rsid w:val="008B4C9A"/>
    <w:rsid w:val="008B5FCF"/>
    <w:rsid w:val="008B6B28"/>
    <w:rsid w:val="008C119D"/>
    <w:rsid w:val="008C27E2"/>
    <w:rsid w:val="008C46F9"/>
    <w:rsid w:val="008C666B"/>
    <w:rsid w:val="008D365D"/>
    <w:rsid w:val="008D3777"/>
    <w:rsid w:val="008D6538"/>
    <w:rsid w:val="008D6D56"/>
    <w:rsid w:val="008D6E94"/>
    <w:rsid w:val="008D7A10"/>
    <w:rsid w:val="008E00A9"/>
    <w:rsid w:val="008E0BC0"/>
    <w:rsid w:val="008E1950"/>
    <w:rsid w:val="008E1BDB"/>
    <w:rsid w:val="008E1BE9"/>
    <w:rsid w:val="008E3BA5"/>
    <w:rsid w:val="008E4A87"/>
    <w:rsid w:val="008E4DDB"/>
    <w:rsid w:val="008E665D"/>
    <w:rsid w:val="008E705D"/>
    <w:rsid w:val="008E76D7"/>
    <w:rsid w:val="008E7722"/>
    <w:rsid w:val="008F2259"/>
    <w:rsid w:val="008F277E"/>
    <w:rsid w:val="008F35E3"/>
    <w:rsid w:val="008F36BD"/>
    <w:rsid w:val="008F4F3E"/>
    <w:rsid w:val="008F61C3"/>
    <w:rsid w:val="008F6212"/>
    <w:rsid w:val="008F76DE"/>
    <w:rsid w:val="008F7F27"/>
    <w:rsid w:val="009021A8"/>
    <w:rsid w:val="009022C6"/>
    <w:rsid w:val="00902A09"/>
    <w:rsid w:val="00907F61"/>
    <w:rsid w:val="00910898"/>
    <w:rsid w:val="00912082"/>
    <w:rsid w:val="00912F2D"/>
    <w:rsid w:val="009162F6"/>
    <w:rsid w:val="00920372"/>
    <w:rsid w:val="00920F44"/>
    <w:rsid w:val="00920F93"/>
    <w:rsid w:val="00925A01"/>
    <w:rsid w:val="0092629F"/>
    <w:rsid w:val="00926E8F"/>
    <w:rsid w:val="00927EBB"/>
    <w:rsid w:val="00930F2C"/>
    <w:rsid w:val="00931B0D"/>
    <w:rsid w:val="00932C41"/>
    <w:rsid w:val="0093300D"/>
    <w:rsid w:val="00933587"/>
    <w:rsid w:val="00933899"/>
    <w:rsid w:val="009354B8"/>
    <w:rsid w:val="00935619"/>
    <w:rsid w:val="00935E00"/>
    <w:rsid w:val="009365C0"/>
    <w:rsid w:val="00936B1C"/>
    <w:rsid w:val="009378E5"/>
    <w:rsid w:val="009379E9"/>
    <w:rsid w:val="00942FFC"/>
    <w:rsid w:val="0094509B"/>
    <w:rsid w:val="00945940"/>
    <w:rsid w:val="00947900"/>
    <w:rsid w:val="00951FEB"/>
    <w:rsid w:val="0095365F"/>
    <w:rsid w:val="00954000"/>
    <w:rsid w:val="00954007"/>
    <w:rsid w:val="00954DFF"/>
    <w:rsid w:val="00957B3A"/>
    <w:rsid w:val="009605C8"/>
    <w:rsid w:val="00963029"/>
    <w:rsid w:val="009644DA"/>
    <w:rsid w:val="00964906"/>
    <w:rsid w:val="00964917"/>
    <w:rsid w:val="00964B99"/>
    <w:rsid w:val="0096533B"/>
    <w:rsid w:val="009729DB"/>
    <w:rsid w:val="009732AF"/>
    <w:rsid w:val="00973928"/>
    <w:rsid w:val="00974DB9"/>
    <w:rsid w:val="00975A51"/>
    <w:rsid w:val="00976978"/>
    <w:rsid w:val="00982096"/>
    <w:rsid w:val="0098215F"/>
    <w:rsid w:val="0098288A"/>
    <w:rsid w:val="0098608D"/>
    <w:rsid w:val="009869D8"/>
    <w:rsid w:val="0098792A"/>
    <w:rsid w:val="00990E7F"/>
    <w:rsid w:val="00991591"/>
    <w:rsid w:val="00992971"/>
    <w:rsid w:val="00993A0C"/>
    <w:rsid w:val="00993A14"/>
    <w:rsid w:val="0099446B"/>
    <w:rsid w:val="00994AA5"/>
    <w:rsid w:val="00995927"/>
    <w:rsid w:val="00995B4F"/>
    <w:rsid w:val="00997F6D"/>
    <w:rsid w:val="009A12F0"/>
    <w:rsid w:val="009A1618"/>
    <w:rsid w:val="009A2E87"/>
    <w:rsid w:val="009A3467"/>
    <w:rsid w:val="009A4DAC"/>
    <w:rsid w:val="009A5DE1"/>
    <w:rsid w:val="009A5E6C"/>
    <w:rsid w:val="009A768D"/>
    <w:rsid w:val="009B105D"/>
    <w:rsid w:val="009B1A1B"/>
    <w:rsid w:val="009B3DFE"/>
    <w:rsid w:val="009B42AF"/>
    <w:rsid w:val="009B54C2"/>
    <w:rsid w:val="009B560C"/>
    <w:rsid w:val="009B5CC9"/>
    <w:rsid w:val="009C0CD9"/>
    <w:rsid w:val="009C4D0B"/>
    <w:rsid w:val="009C5480"/>
    <w:rsid w:val="009C586F"/>
    <w:rsid w:val="009C798C"/>
    <w:rsid w:val="009D01A5"/>
    <w:rsid w:val="009D1D68"/>
    <w:rsid w:val="009D362C"/>
    <w:rsid w:val="009D3875"/>
    <w:rsid w:val="009D4D4B"/>
    <w:rsid w:val="009D6646"/>
    <w:rsid w:val="009D723A"/>
    <w:rsid w:val="009D72B6"/>
    <w:rsid w:val="009D7D1F"/>
    <w:rsid w:val="009E152C"/>
    <w:rsid w:val="009E186C"/>
    <w:rsid w:val="009E266D"/>
    <w:rsid w:val="009E2696"/>
    <w:rsid w:val="009E38D2"/>
    <w:rsid w:val="009E444B"/>
    <w:rsid w:val="009E605F"/>
    <w:rsid w:val="009E6450"/>
    <w:rsid w:val="009E64EA"/>
    <w:rsid w:val="009E68DA"/>
    <w:rsid w:val="009E782B"/>
    <w:rsid w:val="009F005B"/>
    <w:rsid w:val="009F0B0A"/>
    <w:rsid w:val="009F1A31"/>
    <w:rsid w:val="009F1D40"/>
    <w:rsid w:val="009F24DC"/>
    <w:rsid w:val="009F25FA"/>
    <w:rsid w:val="009F283D"/>
    <w:rsid w:val="009F47FD"/>
    <w:rsid w:val="009F4FE8"/>
    <w:rsid w:val="009F52ED"/>
    <w:rsid w:val="009F53A9"/>
    <w:rsid w:val="009F5BB5"/>
    <w:rsid w:val="009F6489"/>
    <w:rsid w:val="009F64F5"/>
    <w:rsid w:val="009F715A"/>
    <w:rsid w:val="009F7885"/>
    <w:rsid w:val="009F7A7E"/>
    <w:rsid w:val="00A000CC"/>
    <w:rsid w:val="00A00158"/>
    <w:rsid w:val="00A006DF"/>
    <w:rsid w:val="00A018B3"/>
    <w:rsid w:val="00A01F0F"/>
    <w:rsid w:val="00A02F10"/>
    <w:rsid w:val="00A10FFB"/>
    <w:rsid w:val="00A1324A"/>
    <w:rsid w:val="00A134CB"/>
    <w:rsid w:val="00A1386D"/>
    <w:rsid w:val="00A13CEA"/>
    <w:rsid w:val="00A14308"/>
    <w:rsid w:val="00A15EE5"/>
    <w:rsid w:val="00A16884"/>
    <w:rsid w:val="00A200F2"/>
    <w:rsid w:val="00A20769"/>
    <w:rsid w:val="00A22184"/>
    <w:rsid w:val="00A223D8"/>
    <w:rsid w:val="00A225C7"/>
    <w:rsid w:val="00A26F15"/>
    <w:rsid w:val="00A2751E"/>
    <w:rsid w:val="00A27F94"/>
    <w:rsid w:val="00A32978"/>
    <w:rsid w:val="00A33E88"/>
    <w:rsid w:val="00A3430C"/>
    <w:rsid w:val="00A34617"/>
    <w:rsid w:val="00A34FE7"/>
    <w:rsid w:val="00A36292"/>
    <w:rsid w:val="00A424D5"/>
    <w:rsid w:val="00A43619"/>
    <w:rsid w:val="00A505ED"/>
    <w:rsid w:val="00A50BB3"/>
    <w:rsid w:val="00A52195"/>
    <w:rsid w:val="00A5249D"/>
    <w:rsid w:val="00A524EB"/>
    <w:rsid w:val="00A52DAA"/>
    <w:rsid w:val="00A55BA0"/>
    <w:rsid w:val="00A564B1"/>
    <w:rsid w:val="00A570AE"/>
    <w:rsid w:val="00A6010B"/>
    <w:rsid w:val="00A6061E"/>
    <w:rsid w:val="00A61671"/>
    <w:rsid w:val="00A62F53"/>
    <w:rsid w:val="00A6382B"/>
    <w:rsid w:val="00A642D3"/>
    <w:rsid w:val="00A65563"/>
    <w:rsid w:val="00A65ACE"/>
    <w:rsid w:val="00A705A7"/>
    <w:rsid w:val="00A706F9"/>
    <w:rsid w:val="00A71DEB"/>
    <w:rsid w:val="00A74BE8"/>
    <w:rsid w:val="00A74CC7"/>
    <w:rsid w:val="00A768AA"/>
    <w:rsid w:val="00A76C2E"/>
    <w:rsid w:val="00A77912"/>
    <w:rsid w:val="00A77F3D"/>
    <w:rsid w:val="00A805BD"/>
    <w:rsid w:val="00A81D4F"/>
    <w:rsid w:val="00A82C88"/>
    <w:rsid w:val="00A83BA8"/>
    <w:rsid w:val="00A8400D"/>
    <w:rsid w:val="00A85920"/>
    <w:rsid w:val="00A860FD"/>
    <w:rsid w:val="00A866BA"/>
    <w:rsid w:val="00A87D9A"/>
    <w:rsid w:val="00A90564"/>
    <w:rsid w:val="00A91847"/>
    <w:rsid w:val="00A92567"/>
    <w:rsid w:val="00A960F5"/>
    <w:rsid w:val="00A9691E"/>
    <w:rsid w:val="00AA10EE"/>
    <w:rsid w:val="00AA1B82"/>
    <w:rsid w:val="00AA2C04"/>
    <w:rsid w:val="00AA6781"/>
    <w:rsid w:val="00AA6D4D"/>
    <w:rsid w:val="00AB0D95"/>
    <w:rsid w:val="00AB11DA"/>
    <w:rsid w:val="00AB3283"/>
    <w:rsid w:val="00AB36DE"/>
    <w:rsid w:val="00AB48F8"/>
    <w:rsid w:val="00AC0D30"/>
    <w:rsid w:val="00AC3506"/>
    <w:rsid w:val="00AC3A12"/>
    <w:rsid w:val="00AC5A1E"/>
    <w:rsid w:val="00AC600E"/>
    <w:rsid w:val="00AC6BEF"/>
    <w:rsid w:val="00AC742B"/>
    <w:rsid w:val="00AD0158"/>
    <w:rsid w:val="00AD0B3A"/>
    <w:rsid w:val="00AD176F"/>
    <w:rsid w:val="00AD278B"/>
    <w:rsid w:val="00AD2ABA"/>
    <w:rsid w:val="00AD4A16"/>
    <w:rsid w:val="00AD5FC3"/>
    <w:rsid w:val="00AD69A2"/>
    <w:rsid w:val="00AD6B64"/>
    <w:rsid w:val="00AD784D"/>
    <w:rsid w:val="00AE0AE8"/>
    <w:rsid w:val="00AE1B5E"/>
    <w:rsid w:val="00AE5E5A"/>
    <w:rsid w:val="00AE5EEA"/>
    <w:rsid w:val="00AE70AF"/>
    <w:rsid w:val="00AE73DB"/>
    <w:rsid w:val="00AF0EEF"/>
    <w:rsid w:val="00AF3E33"/>
    <w:rsid w:val="00AF42BF"/>
    <w:rsid w:val="00AF5714"/>
    <w:rsid w:val="00AF6091"/>
    <w:rsid w:val="00B00CAF"/>
    <w:rsid w:val="00B01DD4"/>
    <w:rsid w:val="00B05ADA"/>
    <w:rsid w:val="00B078BE"/>
    <w:rsid w:val="00B1152B"/>
    <w:rsid w:val="00B12BDB"/>
    <w:rsid w:val="00B1320B"/>
    <w:rsid w:val="00B13B6D"/>
    <w:rsid w:val="00B16265"/>
    <w:rsid w:val="00B20939"/>
    <w:rsid w:val="00B20A03"/>
    <w:rsid w:val="00B219D3"/>
    <w:rsid w:val="00B2220C"/>
    <w:rsid w:val="00B22973"/>
    <w:rsid w:val="00B23D81"/>
    <w:rsid w:val="00B24072"/>
    <w:rsid w:val="00B2462E"/>
    <w:rsid w:val="00B25297"/>
    <w:rsid w:val="00B2576E"/>
    <w:rsid w:val="00B26F57"/>
    <w:rsid w:val="00B27849"/>
    <w:rsid w:val="00B305FB"/>
    <w:rsid w:val="00B31AAF"/>
    <w:rsid w:val="00B32A0F"/>
    <w:rsid w:val="00B34ADB"/>
    <w:rsid w:val="00B3573B"/>
    <w:rsid w:val="00B37C2E"/>
    <w:rsid w:val="00B37E5D"/>
    <w:rsid w:val="00B432C6"/>
    <w:rsid w:val="00B439B4"/>
    <w:rsid w:val="00B43B56"/>
    <w:rsid w:val="00B43BD1"/>
    <w:rsid w:val="00B44168"/>
    <w:rsid w:val="00B4618B"/>
    <w:rsid w:val="00B4678F"/>
    <w:rsid w:val="00B54C67"/>
    <w:rsid w:val="00B54DF2"/>
    <w:rsid w:val="00B55201"/>
    <w:rsid w:val="00B5545C"/>
    <w:rsid w:val="00B55BBA"/>
    <w:rsid w:val="00B57CD1"/>
    <w:rsid w:val="00B6240C"/>
    <w:rsid w:val="00B62C93"/>
    <w:rsid w:val="00B62F05"/>
    <w:rsid w:val="00B64BCA"/>
    <w:rsid w:val="00B6573D"/>
    <w:rsid w:val="00B665D4"/>
    <w:rsid w:val="00B70EDD"/>
    <w:rsid w:val="00B72611"/>
    <w:rsid w:val="00B72CCD"/>
    <w:rsid w:val="00B75FBC"/>
    <w:rsid w:val="00B7640E"/>
    <w:rsid w:val="00B81977"/>
    <w:rsid w:val="00B837F6"/>
    <w:rsid w:val="00B841F2"/>
    <w:rsid w:val="00B8580B"/>
    <w:rsid w:val="00B862BC"/>
    <w:rsid w:val="00B8663B"/>
    <w:rsid w:val="00B87A9D"/>
    <w:rsid w:val="00B926FB"/>
    <w:rsid w:val="00B9396F"/>
    <w:rsid w:val="00B948F3"/>
    <w:rsid w:val="00B951BB"/>
    <w:rsid w:val="00B95209"/>
    <w:rsid w:val="00BA24B1"/>
    <w:rsid w:val="00BA2A24"/>
    <w:rsid w:val="00BA320F"/>
    <w:rsid w:val="00BA4CA5"/>
    <w:rsid w:val="00BB0060"/>
    <w:rsid w:val="00BB2F2C"/>
    <w:rsid w:val="00BB79B7"/>
    <w:rsid w:val="00BB7BEE"/>
    <w:rsid w:val="00BC1303"/>
    <w:rsid w:val="00BC1761"/>
    <w:rsid w:val="00BC1829"/>
    <w:rsid w:val="00BC2D5B"/>
    <w:rsid w:val="00BC4A9E"/>
    <w:rsid w:val="00BC66A7"/>
    <w:rsid w:val="00BC68B6"/>
    <w:rsid w:val="00BC6B05"/>
    <w:rsid w:val="00BC76B7"/>
    <w:rsid w:val="00BD0F42"/>
    <w:rsid w:val="00BD3A3B"/>
    <w:rsid w:val="00BD6365"/>
    <w:rsid w:val="00BE3DD3"/>
    <w:rsid w:val="00BE3F27"/>
    <w:rsid w:val="00BE4E08"/>
    <w:rsid w:val="00BE5795"/>
    <w:rsid w:val="00BE624F"/>
    <w:rsid w:val="00BE6EFA"/>
    <w:rsid w:val="00BE7A3A"/>
    <w:rsid w:val="00BF115E"/>
    <w:rsid w:val="00BF1E5A"/>
    <w:rsid w:val="00BF1FFF"/>
    <w:rsid w:val="00BF2146"/>
    <w:rsid w:val="00BF365E"/>
    <w:rsid w:val="00BF404A"/>
    <w:rsid w:val="00BF5AB9"/>
    <w:rsid w:val="00C01315"/>
    <w:rsid w:val="00C01FEC"/>
    <w:rsid w:val="00C02E39"/>
    <w:rsid w:val="00C03427"/>
    <w:rsid w:val="00C049F2"/>
    <w:rsid w:val="00C072EB"/>
    <w:rsid w:val="00C0770F"/>
    <w:rsid w:val="00C114B3"/>
    <w:rsid w:val="00C118A4"/>
    <w:rsid w:val="00C1283A"/>
    <w:rsid w:val="00C14A76"/>
    <w:rsid w:val="00C1545C"/>
    <w:rsid w:val="00C20D89"/>
    <w:rsid w:val="00C22C92"/>
    <w:rsid w:val="00C232ED"/>
    <w:rsid w:val="00C23FCA"/>
    <w:rsid w:val="00C2402A"/>
    <w:rsid w:val="00C2510C"/>
    <w:rsid w:val="00C257E9"/>
    <w:rsid w:val="00C2703A"/>
    <w:rsid w:val="00C300AB"/>
    <w:rsid w:val="00C30144"/>
    <w:rsid w:val="00C30696"/>
    <w:rsid w:val="00C338AF"/>
    <w:rsid w:val="00C345C4"/>
    <w:rsid w:val="00C36B5B"/>
    <w:rsid w:val="00C36E6E"/>
    <w:rsid w:val="00C40C37"/>
    <w:rsid w:val="00C41F94"/>
    <w:rsid w:val="00C431F3"/>
    <w:rsid w:val="00C43EA9"/>
    <w:rsid w:val="00C441EA"/>
    <w:rsid w:val="00C45635"/>
    <w:rsid w:val="00C4677A"/>
    <w:rsid w:val="00C46BB6"/>
    <w:rsid w:val="00C4746F"/>
    <w:rsid w:val="00C47AF9"/>
    <w:rsid w:val="00C5238F"/>
    <w:rsid w:val="00C534AB"/>
    <w:rsid w:val="00C547D5"/>
    <w:rsid w:val="00C55ACB"/>
    <w:rsid w:val="00C61512"/>
    <w:rsid w:val="00C66211"/>
    <w:rsid w:val="00C66A30"/>
    <w:rsid w:val="00C66A4A"/>
    <w:rsid w:val="00C70A1F"/>
    <w:rsid w:val="00C7302E"/>
    <w:rsid w:val="00C7348B"/>
    <w:rsid w:val="00C7458A"/>
    <w:rsid w:val="00C75426"/>
    <w:rsid w:val="00C76202"/>
    <w:rsid w:val="00C763F5"/>
    <w:rsid w:val="00C77113"/>
    <w:rsid w:val="00C81879"/>
    <w:rsid w:val="00C81F7B"/>
    <w:rsid w:val="00C82265"/>
    <w:rsid w:val="00C83321"/>
    <w:rsid w:val="00C83776"/>
    <w:rsid w:val="00C83EB0"/>
    <w:rsid w:val="00C87D0A"/>
    <w:rsid w:val="00C91491"/>
    <w:rsid w:val="00C974D0"/>
    <w:rsid w:val="00CA1AEA"/>
    <w:rsid w:val="00CA28A8"/>
    <w:rsid w:val="00CA3534"/>
    <w:rsid w:val="00CA3754"/>
    <w:rsid w:val="00CA4213"/>
    <w:rsid w:val="00CA4328"/>
    <w:rsid w:val="00CA51FF"/>
    <w:rsid w:val="00CA57AA"/>
    <w:rsid w:val="00CA643E"/>
    <w:rsid w:val="00CA77FE"/>
    <w:rsid w:val="00CB0001"/>
    <w:rsid w:val="00CB039D"/>
    <w:rsid w:val="00CB244E"/>
    <w:rsid w:val="00CB5B1E"/>
    <w:rsid w:val="00CB5C19"/>
    <w:rsid w:val="00CB7185"/>
    <w:rsid w:val="00CB7409"/>
    <w:rsid w:val="00CC093F"/>
    <w:rsid w:val="00CC0A55"/>
    <w:rsid w:val="00CC2916"/>
    <w:rsid w:val="00CC33E2"/>
    <w:rsid w:val="00CC4981"/>
    <w:rsid w:val="00CC4A64"/>
    <w:rsid w:val="00CC4E65"/>
    <w:rsid w:val="00CC54E6"/>
    <w:rsid w:val="00CD0F01"/>
    <w:rsid w:val="00CD2C14"/>
    <w:rsid w:val="00CD3ADE"/>
    <w:rsid w:val="00CD45E4"/>
    <w:rsid w:val="00CD4B8A"/>
    <w:rsid w:val="00CD5BC9"/>
    <w:rsid w:val="00CE09DB"/>
    <w:rsid w:val="00CE2451"/>
    <w:rsid w:val="00CE6B0B"/>
    <w:rsid w:val="00CF07F8"/>
    <w:rsid w:val="00CF1C3A"/>
    <w:rsid w:val="00CF2CF5"/>
    <w:rsid w:val="00CF405E"/>
    <w:rsid w:val="00CF4128"/>
    <w:rsid w:val="00CF44F9"/>
    <w:rsid w:val="00CF688B"/>
    <w:rsid w:val="00CF7504"/>
    <w:rsid w:val="00D00B70"/>
    <w:rsid w:val="00D01D1B"/>
    <w:rsid w:val="00D05087"/>
    <w:rsid w:val="00D055C5"/>
    <w:rsid w:val="00D1364C"/>
    <w:rsid w:val="00D25A79"/>
    <w:rsid w:val="00D2618B"/>
    <w:rsid w:val="00D2782A"/>
    <w:rsid w:val="00D309FF"/>
    <w:rsid w:val="00D30E82"/>
    <w:rsid w:val="00D315C1"/>
    <w:rsid w:val="00D33A46"/>
    <w:rsid w:val="00D3614A"/>
    <w:rsid w:val="00D36791"/>
    <w:rsid w:val="00D36B7E"/>
    <w:rsid w:val="00D37A7D"/>
    <w:rsid w:val="00D4007D"/>
    <w:rsid w:val="00D4181A"/>
    <w:rsid w:val="00D426E3"/>
    <w:rsid w:val="00D434BD"/>
    <w:rsid w:val="00D44A68"/>
    <w:rsid w:val="00D450C6"/>
    <w:rsid w:val="00D45CAA"/>
    <w:rsid w:val="00D45E97"/>
    <w:rsid w:val="00D45FFB"/>
    <w:rsid w:val="00D46D5D"/>
    <w:rsid w:val="00D46FAA"/>
    <w:rsid w:val="00D50D7A"/>
    <w:rsid w:val="00D54937"/>
    <w:rsid w:val="00D54DBC"/>
    <w:rsid w:val="00D55019"/>
    <w:rsid w:val="00D556AB"/>
    <w:rsid w:val="00D56732"/>
    <w:rsid w:val="00D56AEC"/>
    <w:rsid w:val="00D56AEF"/>
    <w:rsid w:val="00D57690"/>
    <w:rsid w:val="00D60ED8"/>
    <w:rsid w:val="00D63087"/>
    <w:rsid w:val="00D67B3E"/>
    <w:rsid w:val="00D706A4"/>
    <w:rsid w:val="00D711E6"/>
    <w:rsid w:val="00D712ED"/>
    <w:rsid w:val="00D71E8E"/>
    <w:rsid w:val="00D72174"/>
    <w:rsid w:val="00D75118"/>
    <w:rsid w:val="00D7577A"/>
    <w:rsid w:val="00D76B24"/>
    <w:rsid w:val="00D76EC6"/>
    <w:rsid w:val="00D81668"/>
    <w:rsid w:val="00D81F70"/>
    <w:rsid w:val="00D8248E"/>
    <w:rsid w:val="00D83D33"/>
    <w:rsid w:val="00D83F9D"/>
    <w:rsid w:val="00D84A4E"/>
    <w:rsid w:val="00D84E29"/>
    <w:rsid w:val="00D91534"/>
    <w:rsid w:val="00D93E7B"/>
    <w:rsid w:val="00D955B5"/>
    <w:rsid w:val="00D96F65"/>
    <w:rsid w:val="00D97578"/>
    <w:rsid w:val="00DA053A"/>
    <w:rsid w:val="00DA11E4"/>
    <w:rsid w:val="00DA1CF2"/>
    <w:rsid w:val="00DA4C55"/>
    <w:rsid w:val="00DA59F8"/>
    <w:rsid w:val="00DA5EF2"/>
    <w:rsid w:val="00DA72A6"/>
    <w:rsid w:val="00DB0670"/>
    <w:rsid w:val="00DB3681"/>
    <w:rsid w:val="00DB7B23"/>
    <w:rsid w:val="00DC22CB"/>
    <w:rsid w:val="00DC5077"/>
    <w:rsid w:val="00DC58C3"/>
    <w:rsid w:val="00DC742A"/>
    <w:rsid w:val="00DD3467"/>
    <w:rsid w:val="00DD3E21"/>
    <w:rsid w:val="00DD4CA8"/>
    <w:rsid w:val="00DD7332"/>
    <w:rsid w:val="00DD7802"/>
    <w:rsid w:val="00DD7D29"/>
    <w:rsid w:val="00DE155A"/>
    <w:rsid w:val="00DE1804"/>
    <w:rsid w:val="00DE2C36"/>
    <w:rsid w:val="00DE2F6B"/>
    <w:rsid w:val="00DE436B"/>
    <w:rsid w:val="00DE4AEB"/>
    <w:rsid w:val="00DE751B"/>
    <w:rsid w:val="00DE7AA9"/>
    <w:rsid w:val="00DF07C0"/>
    <w:rsid w:val="00DF0D06"/>
    <w:rsid w:val="00DF22D2"/>
    <w:rsid w:val="00DF568F"/>
    <w:rsid w:val="00DF66A4"/>
    <w:rsid w:val="00DF66B1"/>
    <w:rsid w:val="00DF7049"/>
    <w:rsid w:val="00E0024E"/>
    <w:rsid w:val="00E05054"/>
    <w:rsid w:val="00E06090"/>
    <w:rsid w:val="00E07E2A"/>
    <w:rsid w:val="00E146C5"/>
    <w:rsid w:val="00E14FB0"/>
    <w:rsid w:val="00E16DFC"/>
    <w:rsid w:val="00E1758E"/>
    <w:rsid w:val="00E20BC3"/>
    <w:rsid w:val="00E20F23"/>
    <w:rsid w:val="00E23EA1"/>
    <w:rsid w:val="00E24717"/>
    <w:rsid w:val="00E248F3"/>
    <w:rsid w:val="00E27759"/>
    <w:rsid w:val="00E32A28"/>
    <w:rsid w:val="00E34BE7"/>
    <w:rsid w:val="00E35B79"/>
    <w:rsid w:val="00E35D53"/>
    <w:rsid w:val="00E360B9"/>
    <w:rsid w:val="00E36CE4"/>
    <w:rsid w:val="00E4127D"/>
    <w:rsid w:val="00E41437"/>
    <w:rsid w:val="00E41A0C"/>
    <w:rsid w:val="00E42362"/>
    <w:rsid w:val="00E42AE5"/>
    <w:rsid w:val="00E4532B"/>
    <w:rsid w:val="00E463A6"/>
    <w:rsid w:val="00E479B9"/>
    <w:rsid w:val="00E50471"/>
    <w:rsid w:val="00E52CC9"/>
    <w:rsid w:val="00E54C73"/>
    <w:rsid w:val="00E6029E"/>
    <w:rsid w:val="00E607D2"/>
    <w:rsid w:val="00E60DAC"/>
    <w:rsid w:val="00E61AC6"/>
    <w:rsid w:val="00E62E46"/>
    <w:rsid w:val="00E64082"/>
    <w:rsid w:val="00E64CB9"/>
    <w:rsid w:val="00E65DB3"/>
    <w:rsid w:val="00E66560"/>
    <w:rsid w:val="00E66D38"/>
    <w:rsid w:val="00E67DB7"/>
    <w:rsid w:val="00E70058"/>
    <w:rsid w:val="00E703D4"/>
    <w:rsid w:val="00E723A1"/>
    <w:rsid w:val="00E738DA"/>
    <w:rsid w:val="00E744E7"/>
    <w:rsid w:val="00E75B79"/>
    <w:rsid w:val="00E77C38"/>
    <w:rsid w:val="00E80B0A"/>
    <w:rsid w:val="00E8153A"/>
    <w:rsid w:val="00E82B0B"/>
    <w:rsid w:val="00E83FE0"/>
    <w:rsid w:val="00E856E1"/>
    <w:rsid w:val="00E90952"/>
    <w:rsid w:val="00E92725"/>
    <w:rsid w:val="00E93A17"/>
    <w:rsid w:val="00E9409D"/>
    <w:rsid w:val="00EA2598"/>
    <w:rsid w:val="00EA267E"/>
    <w:rsid w:val="00EA3D5A"/>
    <w:rsid w:val="00EA3E0F"/>
    <w:rsid w:val="00EA4755"/>
    <w:rsid w:val="00EA4EBE"/>
    <w:rsid w:val="00EA5173"/>
    <w:rsid w:val="00EA5C90"/>
    <w:rsid w:val="00EA60A5"/>
    <w:rsid w:val="00EA7427"/>
    <w:rsid w:val="00EA78DF"/>
    <w:rsid w:val="00EA7E00"/>
    <w:rsid w:val="00EB1EF5"/>
    <w:rsid w:val="00EB5D78"/>
    <w:rsid w:val="00EC0A7E"/>
    <w:rsid w:val="00EC2099"/>
    <w:rsid w:val="00EC26B4"/>
    <w:rsid w:val="00EC3BD6"/>
    <w:rsid w:val="00EC3E15"/>
    <w:rsid w:val="00EC4CA1"/>
    <w:rsid w:val="00EC51BA"/>
    <w:rsid w:val="00EC64F5"/>
    <w:rsid w:val="00EC6B3C"/>
    <w:rsid w:val="00EC7E15"/>
    <w:rsid w:val="00ED0B6F"/>
    <w:rsid w:val="00ED3C46"/>
    <w:rsid w:val="00ED45E6"/>
    <w:rsid w:val="00ED4A52"/>
    <w:rsid w:val="00ED6A0D"/>
    <w:rsid w:val="00ED6D3F"/>
    <w:rsid w:val="00ED72E3"/>
    <w:rsid w:val="00ED7903"/>
    <w:rsid w:val="00ED7CC5"/>
    <w:rsid w:val="00EE1B81"/>
    <w:rsid w:val="00EE1D53"/>
    <w:rsid w:val="00EE228B"/>
    <w:rsid w:val="00EE2FA5"/>
    <w:rsid w:val="00EE422A"/>
    <w:rsid w:val="00EE43A9"/>
    <w:rsid w:val="00EE5461"/>
    <w:rsid w:val="00EE6C22"/>
    <w:rsid w:val="00EE7F97"/>
    <w:rsid w:val="00EF2908"/>
    <w:rsid w:val="00EF322D"/>
    <w:rsid w:val="00EF5B3F"/>
    <w:rsid w:val="00EF5F85"/>
    <w:rsid w:val="00F00757"/>
    <w:rsid w:val="00F020AA"/>
    <w:rsid w:val="00F02725"/>
    <w:rsid w:val="00F061D6"/>
    <w:rsid w:val="00F10733"/>
    <w:rsid w:val="00F10CDA"/>
    <w:rsid w:val="00F11A25"/>
    <w:rsid w:val="00F120C8"/>
    <w:rsid w:val="00F13D54"/>
    <w:rsid w:val="00F14693"/>
    <w:rsid w:val="00F15587"/>
    <w:rsid w:val="00F1713E"/>
    <w:rsid w:val="00F1727A"/>
    <w:rsid w:val="00F17654"/>
    <w:rsid w:val="00F178BC"/>
    <w:rsid w:val="00F209FE"/>
    <w:rsid w:val="00F23CD9"/>
    <w:rsid w:val="00F24377"/>
    <w:rsid w:val="00F24560"/>
    <w:rsid w:val="00F24DCC"/>
    <w:rsid w:val="00F26C58"/>
    <w:rsid w:val="00F309A7"/>
    <w:rsid w:val="00F30C4E"/>
    <w:rsid w:val="00F31489"/>
    <w:rsid w:val="00F32C9A"/>
    <w:rsid w:val="00F336AE"/>
    <w:rsid w:val="00F34692"/>
    <w:rsid w:val="00F346A3"/>
    <w:rsid w:val="00F348E2"/>
    <w:rsid w:val="00F3569D"/>
    <w:rsid w:val="00F35D49"/>
    <w:rsid w:val="00F36911"/>
    <w:rsid w:val="00F4243E"/>
    <w:rsid w:val="00F44809"/>
    <w:rsid w:val="00F460E7"/>
    <w:rsid w:val="00F477B3"/>
    <w:rsid w:val="00F50839"/>
    <w:rsid w:val="00F51556"/>
    <w:rsid w:val="00F518F3"/>
    <w:rsid w:val="00F52527"/>
    <w:rsid w:val="00F54AD3"/>
    <w:rsid w:val="00F5544C"/>
    <w:rsid w:val="00F562B1"/>
    <w:rsid w:val="00F56305"/>
    <w:rsid w:val="00F56ED0"/>
    <w:rsid w:val="00F6002C"/>
    <w:rsid w:val="00F6034D"/>
    <w:rsid w:val="00F6059A"/>
    <w:rsid w:val="00F612CF"/>
    <w:rsid w:val="00F61941"/>
    <w:rsid w:val="00F623B9"/>
    <w:rsid w:val="00F6567F"/>
    <w:rsid w:val="00F6609F"/>
    <w:rsid w:val="00F66F9A"/>
    <w:rsid w:val="00F704D7"/>
    <w:rsid w:val="00F7135F"/>
    <w:rsid w:val="00F716C6"/>
    <w:rsid w:val="00F72037"/>
    <w:rsid w:val="00F75AA7"/>
    <w:rsid w:val="00F763A8"/>
    <w:rsid w:val="00F77213"/>
    <w:rsid w:val="00F80D88"/>
    <w:rsid w:val="00F80E60"/>
    <w:rsid w:val="00F8118D"/>
    <w:rsid w:val="00F81FEA"/>
    <w:rsid w:val="00F85CBB"/>
    <w:rsid w:val="00F90EC4"/>
    <w:rsid w:val="00F9248C"/>
    <w:rsid w:val="00F928E9"/>
    <w:rsid w:val="00F92DE7"/>
    <w:rsid w:val="00F9487B"/>
    <w:rsid w:val="00F956CD"/>
    <w:rsid w:val="00FA073A"/>
    <w:rsid w:val="00FA1AA0"/>
    <w:rsid w:val="00FA1E5C"/>
    <w:rsid w:val="00FA2CCA"/>
    <w:rsid w:val="00FA32FF"/>
    <w:rsid w:val="00FA371E"/>
    <w:rsid w:val="00FB09BD"/>
    <w:rsid w:val="00FB2CCD"/>
    <w:rsid w:val="00FB365E"/>
    <w:rsid w:val="00FB4A5E"/>
    <w:rsid w:val="00FB5371"/>
    <w:rsid w:val="00FC0F73"/>
    <w:rsid w:val="00FC1843"/>
    <w:rsid w:val="00FC1F9C"/>
    <w:rsid w:val="00FC30FE"/>
    <w:rsid w:val="00FC3EC3"/>
    <w:rsid w:val="00FC4F70"/>
    <w:rsid w:val="00FC6578"/>
    <w:rsid w:val="00FD1450"/>
    <w:rsid w:val="00FD1809"/>
    <w:rsid w:val="00FD1A40"/>
    <w:rsid w:val="00FD2F08"/>
    <w:rsid w:val="00FD7082"/>
    <w:rsid w:val="00FE0618"/>
    <w:rsid w:val="00FE3007"/>
    <w:rsid w:val="00FE301D"/>
    <w:rsid w:val="00FE4132"/>
    <w:rsid w:val="00FE4FE7"/>
    <w:rsid w:val="00FE59A3"/>
    <w:rsid w:val="00FE6A47"/>
    <w:rsid w:val="00FE7595"/>
    <w:rsid w:val="00FF0972"/>
    <w:rsid w:val="00FF0F94"/>
    <w:rsid w:val="00FF0FB2"/>
    <w:rsid w:val="00FF136A"/>
    <w:rsid w:val="00FF14BF"/>
    <w:rsid w:val="00FF1886"/>
    <w:rsid w:val="00FF23FF"/>
    <w:rsid w:val="00FF2BE3"/>
    <w:rsid w:val="00FF3BA2"/>
    <w:rsid w:val="00FF45CF"/>
    <w:rsid w:val="00FF519B"/>
    <w:rsid w:val="00FF5472"/>
    <w:rsid w:val="00FF6B5C"/>
    <w:rsid w:val="00FF7DA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494B2"/>
  <w15:chartTrackingRefBased/>
  <w15:docId w15:val="{CDCE5644-E1B7-4DBC-AF3D-1EF5E6D8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67"/>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676467"/>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E59A3"/>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E59A3"/>
    <w:pPr>
      <w:keepNext/>
      <w:keepLines/>
      <w:ind w:firstLine="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F94"/>
    <w:pPr>
      <w:ind w:left="720"/>
      <w:contextualSpacing/>
    </w:pPr>
  </w:style>
  <w:style w:type="character" w:styleId="CommentReference">
    <w:name w:val="annotation reference"/>
    <w:basedOn w:val="DefaultParagraphFont"/>
    <w:uiPriority w:val="99"/>
    <w:semiHidden/>
    <w:unhideWhenUsed/>
    <w:rsid w:val="00A006DF"/>
    <w:rPr>
      <w:sz w:val="16"/>
      <w:szCs w:val="16"/>
    </w:rPr>
  </w:style>
  <w:style w:type="paragraph" w:styleId="CommentText">
    <w:name w:val="annotation text"/>
    <w:basedOn w:val="Normal"/>
    <w:link w:val="CommentTextChar"/>
    <w:uiPriority w:val="99"/>
    <w:unhideWhenUsed/>
    <w:rsid w:val="00F9248C"/>
    <w:pPr>
      <w:spacing w:line="240" w:lineRule="auto"/>
    </w:pPr>
    <w:rPr>
      <w:sz w:val="20"/>
      <w:szCs w:val="20"/>
    </w:rPr>
  </w:style>
  <w:style w:type="character" w:customStyle="1" w:styleId="CommentTextChar">
    <w:name w:val="Comment Text Char"/>
    <w:basedOn w:val="DefaultParagraphFont"/>
    <w:link w:val="CommentText"/>
    <w:uiPriority w:val="99"/>
    <w:rsid w:val="00A006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006DF"/>
    <w:rPr>
      <w:b/>
      <w:bCs/>
    </w:rPr>
  </w:style>
  <w:style w:type="character" w:customStyle="1" w:styleId="CommentSubjectChar">
    <w:name w:val="Comment Subject Char"/>
    <w:basedOn w:val="CommentTextChar"/>
    <w:link w:val="CommentSubject"/>
    <w:uiPriority w:val="99"/>
    <w:semiHidden/>
    <w:rsid w:val="00A006DF"/>
    <w:rPr>
      <w:rFonts w:ascii="Times New Roman" w:hAnsi="Times New Roman"/>
      <w:b/>
      <w:bCs/>
      <w:sz w:val="20"/>
      <w:szCs w:val="20"/>
    </w:rPr>
  </w:style>
  <w:style w:type="paragraph" w:styleId="BalloonText">
    <w:name w:val="Balloon Text"/>
    <w:basedOn w:val="Normal"/>
    <w:link w:val="BalloonTextChar"/>
    <w:uiPriority w:val="99"/>
    <w:semiHidden/>
    <w:unhideWhenUsed/>
    <w:rsid w:val="00F9248C"/>
    <w:pPr>
      <w:spacing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A006DF"/>
    <w:rPr>
      <w:rFonts w:ascii="Segoe UI" w:hAnsi="Segoe UI" w:cs="Segoe UI"/>
      <w:sz w:val="20"/>
      <w:szCs w:val="18"/>
    </w:rPr>
  </w:style>
  <w:style w:type="character" w:styleId="Hyperlink">
    <w:name w:val="Hyperlink"/>
    <w:basedOn w:val="DefaultParagraphFont"/>
    <w:uiPriority w:val="99"/>
    <w:unhideWhenUsed/>
    <w:rsid w:val="00765579"/>
    <w:rPr>
      <w:color w:val="0563C1" w:themeColor="hyperlink"/>
      <w:u w:val="single"/>
    </w:rPr>
  </w:style>
  <w:style w:type="table" w:customStyle="1" w:styleId="PlainTable51">
    <w:name w:val="Plain Table 51"/>
    <w:basedOn w:val="TableNormal"/>
    <w:uiPriority w:val="45"/>
    <w:rsid w:val="00115C4C"/>
    <w:pPr>
      <w:spacing w:after="0"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11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F061D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F061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9248C"/>
    <w:rPr>
      <w:rFonts w:cs="Times New Roman"/>
      <w:szCs w:val="24"/>
    </w:rPr>
  </w:style>
  <w:style w:type="paragraph" w:styleId="Bibliography">
    <w:name w:val="Bibliography"/>
    <w:basedOn w:val="Normal"/>
    <w:next w:val="Normal"/>
    <w:uiPriority w:val="37"/>
    <w:unhideWhenUsed/>
    <w:rsid w:val="00F9248C"/>
    <w:pPr>
      <w:ind w:left="720" w:hanging="720"/>
    </w:pPr>
  </w:style>
  <w:style w:type="paragraph" w:customStyle="1" w:styleId="bibliographic-informationitem">
    <w:name w:val="bibliographic-information__item"/>
    <w:basedOn w:val="Normal"/>
    <w:rsid w:val="00F9248C"/>
    <w:pPr>
      <w:ind w:left="720" w:hanging="720"/>
    </w:pPr>
    <w:rPr>
      <w:rFonts w:eastAsia="Times New Roman"/>
      <w:lang w:val="en-GB" w:eastAsia="en-GB" w:bidi="ar-SA"/>
    </w:rPr>
  </w:style>
  <w:style w:type="paragraph" w:customStyle="1" w:styleId="Newparagraph">
    <w:name w:val="New paragraph"/>
    <w:basedOn w:val="Normal"/>
    <w:qFormat/>
    <w:rsid w:val="00F9248C"/>
    <w:rPr>
      <w:rFonts w:eastAsia="Times New Roman"/>
      <w:lang w:val="en-GB" w:eastAsia="en-GB" w:bidi="ar-SA"/>
    </w:rPr>
  </w:style>
  <w:style w:type="paragraph" w:customStyle="1" w:styleId="Default">
    <w:name w:val="Default"/>
    <w:rsid w:val="003E4D31"/>
    <w:pPr>
      <w:autoSpaceDE w:val="0"/>
      <w:autoSpaceDN w:val="0"/>
      <w:adjustRightInd w:val="0"/>
      <w:spacing w:after="0" w:line="240" w:lineRule="auto"/>
    </w:pPr>
    <w:rPr>
      <w:rFonts w:ascii="PJINJ I+ Gulliver" w:hAnsi="PJINJ I+ Gulliver" w:cs="PJINJ I+ Gulliver"/>
      <w:color w:val="000000"/>
      <w:sz w:val="24"/>
      <w:szCs w:val="24"/>
    </w:rPr>
  </w:style>
  <w:style w:type="character" w:styleId="UnresolvedMention">
    <w:name w:val="Unresolved Mention"/>
    <w:basedOn w:val="DefaultParagraphFont"/>
    <w:uiPriority w:val="99"/>
    <w:semiHidden/>
    <w:unhideWhenUsed/>
    <w:rsid w:val="002E2A51"/>
    <w:rPr>
      <w:color w:val="605E5C"/>
      <w:shd w:val="clear" w:color="auto" w:fill="E1DFDD"/>
    </w:rPr>
  </w:style>
  <w:style w:type="paragraph" w:customStyle="1" w:styleId="Style1">
    <w:name w:val="Style1"/>
    <w:basedOn w:val="Normal"/>
    <w:qFormat/>
    <w:rsid w:val="00F9248C"/>
    <w:pPr>
      <w:contextualSpacing/>
    </w:pPr>
    <w:rPr>
      <w:rFonts w:asciiTheme="majorBidi" w:hAnsiTheme="majorBidi" w:cstheme="majorBidi"/>
      <w:szCs w:val="24"/>
    </w:rPr>
  </w:style>
  <w:style w:type="table" w:customStyle="1" w:styleId="LightShading11">
    <w:name w:val="Light Shading11"/>
    <w:basedOn w:val="TableNormal"/>
    <w:next w:val="LightShading"/>
    <w:uiPriority w:val="60"/>
    <w:rsid w:val="00CA375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6A3673"/>
    <w:rPr>
      <w:i/>
      <w:iCs/>
    </w:rPr>
  </w:style>
  <w:style w:type="paragraph" w:customStyle="1" w:styleId="Paragraph">
    <w:name w:val="Paragraph"/>
    <w:basedOn w:val="Normal"/>
    <w:next w:val="Newparagraph"/>
    <w:qFormat/>
    <w:rsid w:val="00F9248C"/>
    <w:pPr>
      <w:widowControl w:val="0"/>
      <w:spacing w:before="240"/>
    </w:pPr>
    <w:rPr>
      <w:rFonts w:eastAsia="Times New Roman" w:cs="Times New Roman"/>
      <w:szCs w:val="24"/>
      <w:lang w:val="en-GB" w:eastAsia="en-GB" w:bidi="ar-SA"/>
    </w:rPr>
  </w:style>
  <w:style w:type="paragraph" w:styleId="Header">
    <w:name w:val="header"/>
    <w:basedOn w:val="Normal"/>
    <w:link w:val="HeaderChar"/>
    <w:uiPriority w:val="99"/>
    <w:unhideWhenUsed/>
    <w:rsid w:val="00F9248C"/>
    <w:pPr>
      <w:tabs>
        <w:tab w:val="center" w:pos="4153"/>
        <w:tab w:val="right" w:pos="8306"/>
      </w:tabs>
      <w:spacing w:line="240" w:lineRule="auto"/>
    </w:pPr>
  </w:style>
  <w:style w:type="character" w:customStyle="1" w:styleId="HeaderChar">
    <w:name w:val="Header Char"/>
    <w:basedOn w:val="DefaultParagraphFont"/>
    <w:link w:val="Header"/>
    <w:uiPriority w:val="99"/>
    <w:rsid w:val="004D6A2C"/>
    <w:rPr>
      <w:rFonts w:ascii="Times New Roman" w:hAnsi="Times New Roman"/>
      <w:sz w:val="24"/>
    </w:rPr>
  </w:style>
  <w:style w:type="paragraph" w:styleId="Footer">
    <w:name w:val="footer"/>
    <w:basedOn w:val="Normal"/>
    <w:link w:val="FooterChar"/>
    <w:uiPriority w:val="99"/>
    <w:unhideWhenUsed/>
    <w:rsid w:val="00F9248C"/>
    <w:pPr>
      <w:tabs>
        <w:tab w:val="center" w:pos="4153"/>
        <w:tab w:val="right" w:pos="8306"/>
      </w:tabs>
      <w:spacing w:line="240" w:lineRule="auto"/>
    </w:pPr>
  </w:style>
  <w:style w:type="character" w:customStyle="1" w:styleId="FooterChar">
    <w:name w:val="Footer Char"/>
    <w:basedOn w:val="DefaultParagraphFont"/>
    <w:link w:val="Footer"/>
    <w:uiPriority w:val="99"/>
    <w:rsid w:val="004D6A2C"/>
    <w:rPr>
      <w:rFonts w:ascii="Times New Roman" w:hAnsi="Times New Roman"/>
      <w:sz w:val="24"/>
    </w:rPr>
  </w:style>
  <w:style w:type="character" w:customStyle="1" w:styleId="Heading1Char">
    <w:name w:val="Heading 1 Char"/>
    <w:basedOn w:val="DefaultParagraphFont"/>
    <w:link w:val="Heading1"/>
    <w:uiPriority w:val="9"/>
    <w:rsid w:val="0067646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E59A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E59A3"/>
    <w:rPr>
      <w:rFonts w:ascii="Times New Roman" w:eastAsiaTheme="majorEastAsia" w:hAnsi="Times New Roman" w:cstheme="majorBidi"/>
      <w:b/>
      <w:sz w:val="24"/>
      <w:szCs w:val="24"/>
    </w:rPr>
  </w:style>
  <w:style w:type="paragraph" w:styleId="Revision">
    <w:name w:val="Revision"/>
    <w:hidden/>
    <w:uiPriority w:val="99"/>
    <w:semiHidden/>
    <w:rsid w:val="00583FC9"/>
    <w:pPr>
      <w:spacing w:after="0" w:line="240" w:lineRule="auto"/>
    </w:pPr>
    <w:rPr>
      <w:rFonts w:ascii="Times New Roman" w:hAnsi="Times New Roman"/>
      <w:sz w:val="24"/>
    </w:rPr>
  </w:style>
  <w:style w:type="paragraph" w:styleId="PlainText">
    <w:name w:val="Plain Text"/>
    <w:basedOn w:val="Normal"/>
    <w:link w:val="PlainTextChar"/>
    <w:uiPriority w:val="99"/>
    <w:semiHidden/>
    <w:unhideWhenUsed/>
    <w:rsid w:val="000E02EC"/>
    <w:pPr>
      <w:spacing w:line="240" w:lineRule="auto"/>
      <w:ind w:firstLine="0"/>
    </w:pPr>
    <w:rPr>
      <w:rFonts w:ascii="Calibri" w:hAnsi="Calibri"/>
      <w:sz w:val="22"/>
      <w:szCs w:val="21"/>
      <w:lang w:val="en-GB"/>
    </w:rPr>
  </w:style>
  <w:style w:type="character" w:customStyle="1" w:styleId="PlainTextChar">
    <w:name w:val="Plain Text Char"/>
    <w:basedOn w:val="DefaultParagraphFont"/>
    <w:link w:val="PlainText"/>
    <w:uiPriority w:val="99"/>
    <w:semiHidden/>
    <w:rsid w:val="000E02EC"/>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08749">
      <w:bodyDiv w:val="1"/>
      <w:marLeft w:val="0"/>
      <w:marRight w:val="0"/>
      <w:marTop w:val="0"/>
      <w:marBottom w:val="0"/>
      <w:divBdr>
        <w:top w:val="none" w:sz="0" w:space="0" w:color="auto"/>
        <w:left w:val="none" w:sz="0" w:space="0" w:color="auto"/>
        <w:bottom w:val="none" w:sz="0" w:space="0" w:color="auto"/>
        <w:right w:val="none" w:sz="0" w:space="0" w:color="auto"/>
      </w:divBdr>
    </w:div>
    <w:div w:id="20290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elfo@ariel.ac.il" TargetMode="External"/><Relationship Id="rId13" Type="http://schemas.openxmlformats.org/officeDocument/2006/relationships/hyperlink" Target="https://doi.org/10.1155/2020/3051809%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928/24761222-20200923-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cid.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9D666F-1D7F-4C9B-B1D2-669B7B11A391}">
  <we:reference id="wa104382081" version="1.21.0.0" store="en-001" storeType="OMEX"/>
  <we:alternateReferences>
    <we:reference id="wa104382081" version="1.21.0.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3047-4D2A-4CD2-A64F-2CB2EDCF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31</Pages>
  <Words>7716</Words>
  <Characters>38582</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יעל פוגל/Yael Fogel</cp:lastModifiedBy>
  <cp:revision>130</cp:revision>
  <cp:lastPrinted>2022-01-06T14:39:00Z</cp:lastPrinted>
  <dcterms:created xsi:type="dcterms:W3CDTF">2022-01-06T18:28:00Z</dcterms:created>
  <dcterms:modified xsi:type="dcterms:W3CDTF">2022-01-08T18:46:00Z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ec61292f-1bd3-3892-80fd-9544d4d71c4f</vt:lpwstr>
  </property>
</Properties>
</file>