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1C65" w14:textId="159BF49A" w:rsidR="00BA3D87" w:rsidRDefault="00BA3D87" w:rsidP="007D0890">
      <w:pPr>
        <w:pStyle w:val="hebrew"/>
        <w:spacing w:before="100" w:beforeAutospacing="1" w:line="360" w:lineRule="auto"/>
        <w:ind w:right="-850" w:firstLine="0"/>
        <w:rPr>
          <w:rFonts w:asciiTheme="majorBidi" w:hAnsiTheme="majorBidi" w:cstheme="majorBidi"/>
          <w:sz w:val="24"/>
          <w:rtl/>
        </w:rPr>
      </w:pPr>
      <w:r>
        <w:rPr>
          <w:rFonts w:asciiTheme="majorBidi" w:hAnsiTheme="majorBidi" w:cstheme="majorBidi"/>
          <w:sz w:val="24"/>
        </w:rPr>
        <w:t xml:space="preserve">Act and Omission in Criminal </w:t>
      </w:r>
      <w:r w:rsidR="00C9667A">
        <w:rPr>
          <w:rFonts w:asciiTheme="majorBidi" w:hAnsiTheme="majorBidi" w:cstheme="majorBidi" w:hint="cs"/>
          <w:sz w:val="24"/>
        </w:rPr>
        <w:t>L</w:t>
      </w:r>
      <w:r w:rsidR="00C9667A">
        <w:rPr>
          <w:rFonts w:asciiTheme="majorBidi" w:hAnsiTheme="majorBidi" w:cstheme="majorBidi"/>
          <w:sz w:val="24"/>
        </w:rPr>
        <w:t>aw: An Ethical Perspective</w:t>
      </w:r>
    </w:p>
    <w:p w14:paraId="613F40DB" w14:textId="7787D047" w:rsidR="005F38C8" w:rsidRDefault="00FA609A" w:rsidP="00914305">
      <w:pPr>
        <w:pStyle w:val="hebrew"/>
        <w:spacing w:before="100" w:beforeAutospacing="1" w:line="360" w:lineRule="auto"/>
        <w:ind w:left="-850" w:right="-850"/>
        <w:rPr>
          <w:rFonts w:asciiTheme="majorBidi" w:hAnsiTheme="majorBidi" w:cstheme="majorBidi"/>
          <w:sz w:val="24"/>
          <w:rtl/>
        </w:rPr>
      </w:pPr>
      <w:r>
        <w:rPr>
          <w:rFonts w:asciiTheme="majorBidi" w:hAnsiTheme="majorBidi" w:cstheme="majorBidi" w:hint="cs"/>
          <w:sz w:val="24"/>
          <w:rtl/>
        </w:rPr>
        <w:t xml:space="preserve">הספר </w:t>
      </w:r>
      <w:r w:rsidR="0006689F">
        <w:rPr>
          <w:rFonts w:asciiTheme="majorBidi" w:hAnsiTheme="majorBidi" w:cstheme="majorBidi" w:hint="cs"/>
          <w:sz w:val="24"/>
          <w:rtl/>
        </w:rPr>
        <w:t>דן</w:t>
      </w:r>
      <w:r>
        <w:rPr>
          <w:rFonts w:asciiTheme="majorBidi" w:hAnsiTheme="majorBidi" w:cstheme="majorBidi" w:hint="cs"/>
          <w:sz w:val="24"/>
          <w:rtl/>
        </w:rPr>
        <w:t xml:space="preserve"> בהבחנה שבין מעשה למחדל</w:t>
      </w:r>
      <w:r w:rsidR="00F37DDD">
        <w:rPr>
          <w:rFonts w:asciiTheme="majorBidi" w:hAnsiTheme="majorBidi" w:cstheme="majorBidi" w:hint="cs"/>
          <w:sz w:val="24"/>
          <w:rtl/>
        </w:rPr>
        <w:t xml:space="preserve"> במשפט הפלילי, הבחנה משמעותית העוברת כחוט השני בכל סוגי העבירות. </w:t>
      </w:r>
      <w:r w:rsidR="00931F04">
        <w:rPr>
          <w:rFonts w:asciiTheme="majorBidi" w:hAnsiTheme="majorBidi" w:cstheme="majorBidi" w:hint="cs"/>
          <w:sz w:val="24"/>
          <w:rtl/>
        </w:rPr>
        <w:t xml:space="preserve">בהתאם </w:t>
      </w:r>
      <w:r w:rsidR="0038717A">
        <w:rPr>
          <w:rFonts w:asciiTheme="majorBidi" w:hAnsiTheme="majorBidi" w:cstheme="majorBidi" w:hint="cs"/>
          <w:sz w:val="24"/>
          <w:rtl/>
        </w:rPr>
        <w:t>להבחנה זו</w:t>
      </w:r>
      <w:r>
        <w:rPr>
          <w:rFonts w:asciiTheme="majorBidi" w:hAnsiTheme="majorBidi" w:cstheme="majorBidi" w:hint="cs"/>
          <w:sz w:val="24"/>
          <w:rtl/>
        </w:rPr>
        <w:t xml:space="preserve">, </w:t>
      </w:r>
      <w:r w:rsidR="001D5A08">
        <w:rPr>
          <w:rFonts w:asciiTheme="majorBidi" w:hAnsiTheme="majorBidi" w:cstheme="majorBidi" w:hint="cs"/>
          <w:sz w:val="24"/>
          <w:rtl/>
        </w:rPr>
        <w:t xml:space="preserve">כאשר מבקשים להרשיע נאשם בגין מעשה שגרם לנזק, כל מעשה שגרם לתוצאה האסורה יספיק לצורך הרשעה. לעומת זאת כאשר מבקשים להרשיע נאשם בגין מחדל שגרם לנזק זהה, הנאשם יורשע אך ורק אם </w:t>
      </w:r>
      <w:r w:rsidR="00914305">
        <w:rPr>
          <w:rFonts w:asciiTheme="majorBidi" w:hAnsiTheme="majorBidi" w:cstheme="majorBidi" w:hint="cs"/>
          <w:sz w:val="24"/>
          <w:rtl/>
        </w:rPr>
        <w:t xml:space="preserve">הוטלה עליו </w:t>
      </w:r>
      <w:r w:rsidR="009134DF">
        <w:rPr>
          <w:rFonts w:asciiTheme="majorBidi" w:hAnsiTheme="majorBidi" w:cstheme="majorBidi" w:hint="cs"/>
          <w:sz w:val="24"/>
          <w:rtl/>
        </w:rPr>
        <w:t>החובה לפעול</w:t>
      </w:r>
      <w:r w:rsidR="0038717A">
        <w:rPr>
          <w:rFonts w:asciiTheme="majorBidi" w:hAnsiTheme="majorBidi" w:cstheme="majorBidi" w:hint="cs"/>
          <w:sz w:val="24"/>
          <w:rtl/>
        </w:rPr>
        <w:t xml:space="preserve"> והפרת החובה גרמה לנזק האסור</w:t>
      </w:r>
      <w:r w:rsidR="009134DF">
        <w:rPr>
          <w:rFonts w:asciiTheme="majorBidi" w:hAnsiTheme="majorBidi" w:cstheme="majorBidi" w:hint="cs"/>
          <w:sz w:val="24"/>
          <w:rtl/>
        </w:rPr>
        <w:t xml:space="preserve">. </w:t>
      </w:r>
    </w:p>
    <w:p w14:paraId="467B224E" w14:textId="4CB901C7" w:rsidR="005F38C8" w:rsidRDefault="00FC5F41" w:rsidP="00914305">
      <w:pPr>
        <w:pStyle w:val="hebrew"/>
        <w:spacing w:before="100" w:beforeAutospacing="1" w:line="360" w:lineRule="auto"/>
        <w:ind w:left="-850" w:right="-850"/>
        <w:rPr>
          <w:rFonts w:asciiTheme="majorBidi" w:hAnsiTheme="majorBidi" w:cstheme="majorBidi" w:hint="cs"/>
          <w:sz w:val="24"/>
          <w:rtl/>
        </w:rPr>
      </w:pPr>
      <w:r>
        <w:rPr>
          <w:rFonts w:asciiTheme="majorBidi" w:hAnsiTheme="majorBidi" w:cstheme="majorBidi" w:hint="cs"/>
          <w:sz w:val="24"/>
          <w:rtl/>
        </w:rPr>
        <w:t xml:space="preserve">ההבחנה שבין מעשה למחדל אינה נחלת המשפט הפלילי </w:t>
      </w:r>
      <w:r w:rsidR="00CD4364">
        <w:rPr>
          <w:rFonts w:asciiTheme="majorBidi" w:hAnsiTheme="majorBidi" w:cstheme="majorBidi" w:hint="cs"/>
          <w:sz w:val="24"/>
          <w:rtl/>
        </w:rPr>
        <w:t xml:space="preserve">בלבד </w:t>
      </w:r>
      <w:r>
        <w:rPr>
          <w:rFonts w:asciiTheme="majorBidi" w:hAnsiTheme="majorBidi" w:cstheme="majorBidi" w:hint="cs"/>
          <w:sz w:val="24"/>
          <w:rtl/>
        </w:rPr>
        <w:t xml:space="preserve">והיא מושרשת היטב גם בחשיבתנו המוסרית. </w:t>
      </w:r>
      <w:r w:rsidR="00914305">
        <w:rPr>
          <w:rFonts w:asciiTheme="majorBidi" w:hAnsiTheme="majorBidi" w:cstheme="majorBidi" w:hint="cs"/>
          <w:sz w:val="24"/>
          <w:rtl/>
        </w:rPr>
        <w:t xml:space="preserve">כך, </w:t>
      </w:r>
      <w:r>
        <w:rPr>
          <w:rFonts w:asciiTheme="majorBidi" w:hAnsiTheme="majorBidi" w:cstheme="majorBidi" w:hint="cs"/>
          <w:sz w:val="24"/>
          <w:rtl/>
        </w:rPr>
        <w:t>האחריות המוסרית של אדם שגרם ל</w:t>
      </w:r>
      <w:r w:rsidR="005F38C8">
        <w:rPr>
          <w:rFonts w:asciiTheme="majorBidi" w:hAnsiTheme="majorBidi" w:cstheme="majorBidi" w:hint="cs"/>
          <w:sz w:val="24"/>
          <w:rtl/>
        </w:rPr>
        <w:t>מוות</w:t>
      </w:r>
      <w:r>
        <w:rPr>
          <w:rFonts w:asciiTheme="majorBidi" w:hAnsiTheme="majorBidi" w:cstheme="majorBidi" w:hint="cs"/>
          <w:sz w:val="24"/>
          <w:rtl/>
        </w:rPr>
        <w:t xml:space="preserve"> במעשה משמעותית יותר מהאחריות המוסרית של אדם</w:t>
      </w:r>
      <w:r w:rsidR="009134DF">
        <w:rPr>
          <w:rFonts w:asciiTheme="majorBidi" w:hAnsiTheme="majorBidi" w:cstheme="majorBidi" w:hint="cs"/>
          <w:sz w:val="24"/>
          <w:rtl/>
        </w:rPr>
        <w:t xml:space="preserve"> </w:t>
      </w:r>
      <w:r w:rsidR="00914305">
        <w:rPr>
          <w:rFonts w:asciiTheme="majorBidi" w:hAnsiTheme="majorBidi" w:cstheme="majorBidi" w:hint="cs"/>
          <w:sz w:val="24"/>
          <w:rtl/>
        </w:rPr>
        <w:t xml:space="preserve">אשר </w:t>
      </w:r>
      <w:r w:rsidR="0038717A">
        <w:rPr>
          <w:rFonts w:asciiTheme="majorBidi" w:hAnsiTheme="majorBidi" w:cstheme="majorBidi" w:hint="cs"/>
          <w:sz w:val="24"/>
          <w:rtl/>
        </w:rPr>
        <w:t xml:space="preserve">"רק" </w:t>
      </w:r>
      <w:r w:rsidR="00914305">
        <w:rPr>
          <w:rFonts w:asciiTheme="majorBidi" w:hAnsiTheme="majorBidi" w:cstheme="majorBidi" w:hint="cs"/>
          <w:sz w:val="24"/>
          <w:rtl/>
        </w:rPr>
        <w:t>הניח ל</w:t>
      </w:r>
      <w:r w:rsidR="005F38C8">
        <w:rPr>
          <w:rFonts w:asciiTheme="majorBidi" w:hAnsiTheme="majorBidi" w:cstheme="majorBidi" w:hint="cs"/>
          <w:sz w:val="24"/>
          <w:rtl/>
        </w:rPr>
        <w:t>מוות</w:t>
      </w:r>
      <w:r w:rsidR="00914305">
        <w:rPr>
          <w:rFonts w:asciiTheme="majorBidi" w:hAnsiTheme="majorBidi" w:cstheme="majorBidi" w:hint="cs"/>
          <w:sz w:val="24"/>
          <w:rtl/>
        </w:rPr>
        <w:t xml:space="preserve"> להתממש. </w:t>
      </w:r>
      <w:r w:rsidR="00811BB1">
        <w:rPr>
          <w:rFonts w:asciiTheme="majorBidi" w:hAnsiTheme="majorBidi" w:cstheme="majorBidi" w:hint="cs"/>
          <w:sz w:val="24"/>
          <w:rtl/>
        </w:rPr>
        <w:t xml:space="preserve">הבחנה זו מהווה, לדעת רבים, </w:t>
      </w:r>
      <w:r w:rsidR="00022CE5">
        <w:rPr>
          <w:rFonts w:asciiTheme="majorBidi" w:hAnsiTheme="majorBidi" w:cstheme="majorBidi" w:hint="cs"/>
          <w:sz w:val="24"/>
          <w:rtl/>
        </w:rPr>
        <w:t>ל</w:t>
      </w:r>
      <w:r w:rsidR="00811BB1">
        <w:rPr>
          <w:rFonts w:asciiTheme="majorBidi" w:hAnsiTheme="majorBidi" w:cstheme="majorBidi" w:hint="cs"/>
          <w:sz w:val="24"/>
          <w:rtl/>
        </w:rPr>
        <w:t xml:space="preserve">בסיס המוסרי להבדל שבין </w:t>
      </w:r>
      <w:r w:rsidR="00666336">
        <w:rPr>
          <w:rFonts w:asciiTheme="majorBidi" w:hAnsiTheme="majorBidi" w:cstheme="majorBidi" w:hint="cs"/>
          <w:sz w:val="24"/>
          <w:rtl/>
        </w:rPr>
        <w:t xml:space="preserve">המתת חסד אקטיבית אשר אסורה </w:t>
      </w:r>
      <w:r w:rsidR="00F37DDD">
        <w:rPr>
          <w:rFonts w:asciiTheme="majorBidi" w:hAnsiTheme="majorBidi" w:cstheme="majorBidi" w:hint="cs"/>
          <w:sz w:val="24"/>
          <w:rtl/>
        </w:rPr>
        <w:t xml:space="preserve">לחלוטין </w:t>
      </w:r>
      <w:r w:rsidR="00666336">
        <w:rPr>
          <w:rFonts w:asciiTheme="majorBidi" w:hAnsiTheme="majorBidi" w:cstheme="majorBidi" w:hint="cs"/>
          <w:sz w:val="24"/>
          <w:rtl/>
        </w:rPr>
        <w:t>במרבית המדינות, להמתת חסד פאסיבית שמותרת בכל המדינות בהתקיים נסיבות מסוימות.</w:t>
      </w:r>
      <w:r w:rsidR="00266C81">
        <w:rPr>
          <w:rFonts w:asciiTheme="majorBidi" w:hAnsiTheme="majorBidi" w:cstheme="majorBidi" w:hint="cs"/>
          <w:sz w:val="24"/>
          <w:rtl/>
        </w:rPr>
        <w:t xml:space="preserve"> </w:t>
      </w:r>
    </w:p>
    <w:p w14:paraId="6249C5F1" w14:textId="767ABD12" w:rsidR="005B50F9" w:rsidRDefault="00266C81" w:rsidP="005B50F9">
      <w:pPr>
        <w:pStyle w:val="hebrew"/>
        <w:spacing w:before="100" w:beforeAutospacing="1" w:line="360" w:lineRule="auto"/>
        <w:ind w:left="-850" w:right="-850"/>
        <w:rPr>
          <w:rFonts w:asciiTheme="majorBidi" w:hAnsiTheme="majorBidi" w:cstheme="majorBidi"/>
          <w:sz w:val="24"/>
          <w:rtl/>
        </w:rPr>
      </w:pPr>
      <w:r>
        <w:rPr>
          <w:rFonts w:asciiTheme="majorBidi" w:hAnsiTheme="majorBidi" w:cstheme="majorBidi" w:hint="cs"/>
          <w:sz w:val="24"/>
          <w:rtl/>
        </w:rPr>
        <w:t>הבחנה זו אשר נראית סבירה ואינטואיטיבית בעיניים מוסריות ומשפטיות אינה קלה לביסוס</w:t>
      </w:r>
      <w:r w:rsidR="0038717A">
        <w:rPr>
          <w:rFonts w:asciiTheme="majorBidi" w:hAnsiTheme="majorBidi" w:cstheme="majorBidi" w:hint="cs"/>
          <w:sz w:val="24"/>
          <w:rtl/>
        </w:rPr>
        <w:t>;</w:t>
      </w:r>
      <w:r>
        <w:rPr>
          <w:rFonts w:asciiTheme="majorBidi" w:hAnsiTheme="majorBidi" w:cstheme="majorBidi" w:hint="cs"/>
          <w:sz w:val="24"/>
          <w:rtl/>
        </w:rPr>
        <w:t xml:space="preserve"> ואכן, החל מתחילת שנות השישים של המאה העשרים החלה מגמה משמעותית</w:t>
      </w:r>
      <w:r w:rsidR="00811BB1">
        <w:rPr>
          <w:rFonts w:asciiTheme="majorBidi" w:hAnsiTheme="majorBidi" w:cstheme="majorBidi" w:hint="cs"/>
          <w:sz w:val="24"/>
          <w:rtl/>
        </w:rPr>
        <w:t xml:space="preserve"> לתקוף</w:t>
      </w:r>
      <w:r>
        <w:rPr>
          <w:rFonts w:asciiTheme="majorBidi" w:hAnsiTheme="majorBidi" w:cstheme="majorBidi" w:hint="cs"/>
          <w:sz w:val="24"/>
          <w:rtl/>
        </w:rPr>
        <w:t xml:space="preserve"> </w:t>
      </w:r>
      <w:r w:rsidR="00811BB1">
        <w:rPr>
          <w:rFonts w:asciiTheme="majorBidi" w:hAnsiTheme="majorBidi" w:cstheme="majorBidi" w:hint="cs"/>
          <w:sz w:val="24"/>
          <w:rtl/>
        </w:rPr>
        <w:t>ו</w:t>
      </w:r>
      <w:r>
        <w:rPr>
          <w:rFonts w:asciiTheme="majorBidi" w:hAnsiTheme="majorBidi" w:cstheme="majorBidi" w:hint="cs"/>
          <w:sz w:val="24"/>
          <w:rtl/>
        </w:rPr>
        <w:t>לבקר ה</w:t>
      </w:r>
      <w:r w:rsidR="00914305">
        <w:rPr>
          <w:rFonts w:asciiTheme="majorBidi" w:hAnsiTheme="majorBidi" w:cstheme="majorBidi" w:hint="cs"/>
          <w:sz w:val="24"/>
          <w:rtl/>
        </w:rPr>
        <w:t xml:space="preserve">בחנה מוסרית זו. </w:t>
      </w:r>
      <w:r w:rsidR="008E516C">
        <w:rPr>
          <w:rFonts w:asciiTheme="majorBidi" w:hAnsiTheme="majorBidi" w:cstheme="majorBidi" w:hint="cs"/>
          <w:sz w:val="24"/>
          <w:rtl/>
        </w:rPr>
        <w:t xml:space="preserve">מבקרים אלה טענו כי </w:t>
      </w:r>
      <w:r w:rsidR="00301992" w:rsidRPr="00301992">
        <w:rPr>
          <w:rFonts w:asciiTheme="majorBidi" w:hAnsiTheme="majorBidi" w:cstheme="majorBidi"/>
          <w:sz w:val="24"/>
          <w:rtl/>
        </w:rPr>
        <w:t>כאשר הכוונ</w:t>
      </w:r>
      <w:r w:rsidR="009134DF">
        <w:rPr>
          <w:rFonts w:asciiTheme="majorBidi" w:hAnsiTheme="majorBidi" w:cstheme="majorBidi" w:hint="cs"/>
          <w:sz w:val="24"/>
          <w:rtl/>
        </w:rPr>
        <w:t xml:space="preserve">ה והתוצאה בשני המקרים הן זהות לא קיים הבדל מוסרי </w:t>
      </w:r>
      <w:r w:rsidR="00301992" w:rsidRPr="00301992">
        <w:rPr>
          <w:rFonts w:asciiTheme="majorBidi" w:hAnsiTheme="majorBidi" w:cstheme="majorBidi"/>
          <w:sz w:val="24"/>
          <w:rtl/>
        </w:rPr>
        <w:t xml:space="preserve">בין </w:t>
      </w:r>
      <w:r w:rsidR="008E516C">
        <w:rPr>
          <w:rFonts w:asciiTheme="majorBidi" w:hAnsiTheme="majorBidi" w:cstheme="majorBidi" w:hint="cs"/>
          <w:sz w:val="24"/>
          <w:rtl/>
        </w:rPr>
        <w:t xml:space="preserve">מעשה </w:t>
      </w:r>
      <w:r w:rsidR="009165F5">
        <w:rPr>
          <w:rFonts w:asciiTheme="majorBidi" w:hAnsiTheme="majorBidi" w:cstheme="majorBidi" w:hint="cs"/>
          <w:sz w:val="24"/>
          <w:rtl/>
        </w:rPr>
        <w:t>למחדל</w:t>
      </w:r>
      <w:r w:rsidR="00BC409A">
        <w:rPr>
          <w:rFonts w:asciiTheme="majorBidi" w:hAnsiTheme="majorBidi" w:cstheme="majorBidi" w:hint="cs"/>
          <w:sz w:val="24"/>
          <w:rtl/>
        </w:rPr>
        <w:t>.</w:t>
      </w:r>
      <w:r w:rsidR="00F37DDD">
        <w:rPr>
          <w:rFonts w:asciiTheme="majorBidi" w:hAnsiTheme="majorBidi" w:cstheme="majorBidi" w:hint="cs"/>
          <w:sz w:val="24"/>
          <w:rtl/>
        </w:rPr>
        <w:t xml:space="preserve"> </w:t>
      </w:r>
      <w:r w:rsidR="00301992" w:rsidRPr="00301992">
        <w:rPr>
          <w:rFonts w:asciiTheme="majorBidi" w:hAnsiTheme="majorBidi" w:cstheme="majorBidi"/>
          <w:sz w:val="24"/>
          <w:rtl/>
        </w:rPr>
        <w:t>זוהי ללא ספק עמדה מהפכנית מבחינה מוסרית</w:t>
      </w:r>
      <w:r w:rsidR="00274541">
        <w:rPr>
          <w:rFonts w:asciiTheme="majorBidi" w:hAnsiTheme="majorBidi" w:cstheme="majorBidi" w:hint="cs"/>
          <w:sz w:val="24"/>
          <w:rtl/>
        </w:rPr>
        <w:t xml:space="preserve"> הסותרת את האינטואיציות שלנו. בהתאם לכך, לכאורה, גם </w:t>
      </w:r>
      <w:r w:rsidR="00231383">
        <w:rPr>
          <w:rFonts w:asciiTheme="majorBidi" w:hAnsiTheme="majorBidi" w:cstheme="majorBidi" w:hint="cs"/>
          <w:sz w:val="24"/>
          <w:rtl/>
        </w:rPr>
        <w:t>חשיבתנו המשפטית חייבת</w:t>
      </w:r>
      <w:r w:rsidR="00301992" w:rsidRPr="00301992">
        <w:rPr>
          <w:rFonts w:asciiTheme="majorBidi" w:hAnsiTheme="majorBidi" w:cstheme="majorBidi"/>
          <w:sz w:val="24"/>
          <w:rtl/>
        </w:rPr>
        <w:t xml:space="preserve"> להשתנות</w:t>
      </w:r>
      <w:r w:rsidR="00CD4364">
        <w:rPr>
          <w:rFonts w:asciiTheme="majorBidi" w:hAnsiTheme="majorBidi" w:cstheme="majorBidi" w:hint="cs"/>
          <w:sz w:val="24"/>
          <w:rtl/>
        </w:rPr>
        <w:t xml:space="preserve"> שכן </w:t>
      </w:r>
      <w:r w:rsidR="00B567D9">
        <w:rPr>
          <w:rFonts w:asciiTheme="majorBidi" w:hAnsiTheme="majorBidi" w:cstheme="majorBidi" w:hint="cs"/>
          <w:sz w:val="24"/>
          <w:rtl/>
        </w:rPr>
        <w:t>אם ההבחנה המוסרית מוטלת בספק, אף ההבחנה המשפטית אינה ברורה מאליה</w:t>
      </w:r>
      <w:r w:rsidR="00CD4364">
        <w:rPr>
          <w:rFonts w:asciiTheme="majorBidi" w:hAnsiTheme="majorBidi" w:cstheme="majorBidi" w:hint="cs"/>
          <w:sz w:val="24"/>
          <w:rtl/>
        </w:rPr>
        <w:t>.</w:t>
      </w:r>
    </w:p>
    <w:p w14:paraId="22E0906D" w14:textId="0D6C9ED2" w:rsidR="00F81BC1" w:rsidRDefault="00D850F7" w:rsidP="005B50F9">
      <w:pPr>
        <w:pStyle w:val="hebrew"/>
        <w:spacing w:before="100" w:beforeAutospacing="1" w:line="360" w:lineRule="auto"/>
        <w:ind w:left="-850" w:right="-850"/>
        <w:rPr>
          <w:rFonts w:asciiTheme="majorBidi" w:hAnsiTheme="majorBidi" w:cstheme="majorBidi"/>
          <w:sz w:val="24"/>
          <w:rtl/>
        </w:rPr>
      </w:pPr>
      <w:r>
        <w:rPr>
          <w:rFonts w:asciiTheme="majorBidi" w:hAnsiTheme="majorBidi" w:cstheme="majorBidi" w:hint="cs"/>
          <w:sz w:val="24"/>
          <w:rtl/>
        </w:rPr>
        <w:t>ה</w:t>
      </w:r>
      <w:r w:rsidR="00D13DFF">
        <w:rPr>
          <w:rFonts w:asciiTheme="majorBidi" w:hAnsiTheme="majorBidi" w:cstheme="majorBidi" w:hint="cs"/>
          <w:sz w:val="24"/>
          <w:rtl/>
        </w:rPr>
        <w:t>ספר מחבר</w:t>
      </w:r>
      <w:r w:rsidR="00C46B3C">
        <w:rPr>
          <w:rFonts w:asciiTheme="majorBidi" w:hAnsiTheme="majorBidi" w:cstheme="majorBidi" w:hint="cs"/>
          <w:sz w:val="24"/>
          <w:rtl/>
        </w:rPr>
        <w:t xml:space="preserve"> בפעם הראשונה</w:t>
      </w:r>
      <w:r w:rsidR="00696055">
        <w:rPr>
          <w:rFonts w:asciiTheme="majorBidi" w:hAnsiTheme="majorBidi" w:cstheme="majorBidi" w:hint="cs"/>
          <w:sz w:val="24"/>
          <w:rtl/>
        </w:rPr>
        <w:t xml:space="preserve"> באופן מלא וקוהרנטי</w:t>
      </w:r>
      <w:r w:rsidR="00D13DFF">
        <w:rPr>
          <w:rFonts w:asciiTheme="majorBidi" w:hAnsiTheme="majorBidi" w:cstheme="majorBidi" w:hint="cs"/>
          <w:sz w:val="24"/>
          <w:rtl/>
        </w:rPr>
        <w:t xml:space="preserve"> בין הדיון הפילוסופי-מוסרי לבין הדיון המשפטי-פלילי ביחס להבחנה שבין מעשה למחדל. </w:t>
      </w:r>
      <w:r w:rsidR="009165F5">
        <w:rPr>
          <w:rFonts w:asciiTheme="majorBidi" w:hAnsiTheme="majorBidi" w:cstheme="majorBidi" w:hint="cs"/>
          <w:sz w:val="24"/>
          <w:rtl/>
        </w:rPr>
        <w:t xml:space="preserve">במסגרת זו </w:t>
      </w:r>
      <w:r w:rsidR="0006689F">
        <w:rPr>
          <w:rFonts w:asciiTheme="majorBidi" w:hAnsiTheme="majorBidi" w:cstheme="majorBidi" w:hint="cs"/>
          <w:sz w:val="24"/>
          <w:rtl/>
        </w:rPr>
        <w:t>מציע</w:t>
      </w:r>
      <w:r w:rsidR="00C46B3C">
        <w:rPr>
          <w:rFonts w:asciiTheme="majorBidi" w:hAnsiTheme="majorBidi" w:cstheme="majorBidi" w:hint="cs"/>
          <w:sz w:val="24"/>
          <w:rtl/>
        </w:rPr>
        <w:t xml:space="preserve"> הספר חלוקה חשובה בין </w:t>
      </w:r>
      <w:r w:rsidR="00231383">
        <w:rPr>
          <w:rFonts w:asciiTheme="majorBidi" w:hAnsiTheme="majorBidi" w:cstheme="majorBidi" w:hint="cs"/>
          <w:sz w:val="24"/>
          <w:rtl/>
        </w:rPr>
        <w:t xml:space="preserve">גישות </w:t>
      </w:r>
      <w:r w:rsidR="00696055">
        <w:rPr>
          <w:rFonts w:asciiTheme="majorBidi" w:hAnsiTheme="majorBidi" w:cstheme="majorBidi" w:hint="cs"/>
          <w:sz w:val="24"/>
          <w:rtl/>
        </w:rPr>
        <w:t xml:space="preserve">אשר ביססו את ההבחנה שבין מעשה למחדל </w:t>
      </w:r>
      <w:r w:rsidR="002E3A64">
        <w:rPr>
          <w:rFonts w:asciiTheme="majorBidi" w:hAnsiTheme="majorBidi" w:cstheme="majorBidi" w:hint="cs"/>
          <w:sz w:val="24"/>
          <w:rtl/>
        </w:rPr>
        <w:t xml:space="preserve">במשפט הפלילי </w:t>
      </w:r>
      <w:r w:rsidR="00696055">
        <w:rPr>
          <w:rFonts w:asciiTheme="majorBidi" w:hAnsiTheme="majorBidi" w:cstheme="majorBidi" w:hint="cs"/>
          <w:sz w:val="24"/>
          <w:rtl/>
        </w:rPr>
        <w:t>על רציונל מוסרי</w:t>
      </w:r>
      <w:r w:rsidR="00C46B3C">
        <w:rPr>
          <w:rFonts w:asciiTheme="majorBidi" w:hAnsiTheme="majorBidi" w:cstheme="majorBidi" w:hint="cs"/>
          <w:sz w:val="24"/>
          <w:rtl/>
        </w:rPr>
        <w:t xml:space="preserve">, לבין </w:t>
      </w:r>
      <w:r w:rsidR="00231383">
        <w:rPr>
          <w:rFonts w:asciiTheme="majorBidi" w:hAnsiTheme="majorBidi" w:cstheme="majorBidi" w:hint="cs"/>
          <w:sz w:val="24"/>
          <w:rtl/>
        </w:rPr>
        <w:t>גישות</w:t>
      </w:r>
      <w:r w:rsidR="00696055">
        <w:rPr>
          <w:rFonts w:asciiTheme="majorBidi" w:hAnsiTheme="majorBidi" w:cstheme="majorBidi" w:hint="cs"/>
          <w:sz w:val="24"/>
          <w:rtl/>
        </w:rPr>
        <w:t xml:space="preserve"> אשר ביססו את ההבחנה שבין מעשה למחדל על רציונל משפטי</w:t>
      </w:r>
      <w:r w:rsidR="00C46B3C">
        <w:rPr>
          <w:rFonts w:asciiTheme="majorBidi" w:hAnsiTheme="majorBidi" w:cstheme="majorBidi" w:hint="cs"/>
          <w:sz w:val="24"/>
          <w:rtl/>
        </w:rPr>
        <w:t>.</w:t>
      </w:r>
      <w:r w:rsidR="005F38C8">
        <w:rPr>
          <w:rFonts w:asciiTheme="majorBidi" w:hAnsiTheme="majorBidi" w:cstheme="majorBidi" w:hint="cs"/>
          <w:sz w:val="24"/>
          <w:rtl/>
        </w:rPr>
        <w:t xml:space="preserve"> </w:t>
      </w:r>
      <w:r w:rsidR="000501FE">
        <w:rPr>
          <w:rFonts w:asciiTheme="majorBidi" w:hAnsiTheme="majorBidi" w:cstheme="majorBidi" w:hint="cs"/>
          <w:sz w:val="24"/>
          <w:rtl/>
        </w:rPr>
        <w:t xml:space="preserve">לאחר דיון ביקורתי </w:t>
      </w:r>
      <w:proofErr w:type="spellStart"/>
      <w:r w:rsidR="000501FE">
        <w:rPr>
          <w:rFonts w:asciiTheme="majorBidi" w:hAnsiTheme="majorBidi" w:cstheme="majorBidi" w:hint="cs"/>
          <w:sz w:val="24"/>
          <w:rtl/>
        </w:rPr>
        <w:t>ברציונלים</w:t>
      </w:r>
      <w:proofErr w:type="spellEnd"/>
      <w:r w:rsidR="000501FE">
        <w:rPr>
          <w:rFonts w:asciiTheme="majorBidi" w:hAnsiTheme="majorBidi" w:cstheme="majorBidi" w:hint="cs"/>
          <w:sz w:val="24"/>
          <w:rtl/>
        </w:rPr>
        <w:t xml:space="preserve"> אלה </w:t>
      </w:r>
      <w:r w:rsidR="0006689F">
        <w:rPr>
          <w:rFonts w:asciiTheme="majorBidi" w:hAnsiTheme="majorBidi" w:cstheme="majorBidi" w:hint="cs"/>
          <w:sz w:val="24"/>
          <w:rtl/>
        </w:rPr>
        <w:t>מציג הספר</w:t>
      </w:r>
      <w:r w:rsidR="00F81BC1">
        <w:rPr>
          <w:rFonts w:asciiTheme="majorBidi" w:hAnsiTheme="majorBidi" w:cstheme="majorBidi" w:hint="cs"/>
          <w:sz w:val="24"/>
          <w:rtl/>
        </w:rPr>
        <w:t xml:space="preserve"> רציונל</w:t>
      </w:r>
      <w:r w:rsidR="000501FE">
        <w:rPr>
          <w:rFonts w:asciiTheme="majorBidi" w:hAnsiTheme="majorBidi" w:cstheme="majorBidi" w:hint="cs"/>
          <w:sz w:val="24"/>
          <w:rtl/>
        </w:rPr>
        <w:t xml:space="preserve"> חדש להבחנה שבין מעשה למחדל במשפט הפלילי. </w:t>
      </w:r>
      <w:r w:rsidR="0095331D">
        <w:rPr>
          <w:rFonts w:asciiTheme="majorBidi" w:hAnsiTheme="majorBidi" w:cstheme="majorBidi" w:hint="cs"/>
          <w:sz w:val="24"/>
          <w:rtl/>
        </w:rPr>
        <w:t xml:space="preserve">בחלקו השני </w:t>
      </w:r>
      <w:r w:rsidR="00F81BC1">
        <w:rPr>
          <w:rFonts w:asciiTheme="majorBidi" w:hAnsiTheme="majorBidi" w:cstheme="majorBidi" w:hint="cs"/>
          <w:sz w:val="24"/>
          <w:rtl/>
        </w:rPr>
        <w:t xml:space="preserve">ידון הספר בשאלות מעשיות וחשובות </w:t>
      </w:r>
      <w:r w:rsidR="00F81BC1">
        <w:rPr>
          <w:rFonts w:asciiTheme="majorBidi" w:hAnsiTheme="majorBidi" w:cstheme="majorBidi" w:hint="cs"/>
          <w:sz w:val="24"/>
          <w:rtl/>
        </w:rPr>
        <w:lastRenderedPageBreak/>
        <w:t xml:space="preserve">הקשורות להבחנה זו כגון: </w:t>
      </w:r>
      <w:r w:rsidR="00696055">
        <w:rPr>
          <w:rFonts w:asciiTheme="majorBidi" w:hAnsiTheme="majorBidi" w:cstheme="majorBidi" w:hint="cs"/>
          <w:sz w:val="24"/>
          <w:rtl/>
        </w:rPr>
        <w:t>מהי ההגדרה של מעשה ומחדל במשפט הפלילי?</w:t>
      </w:r>
      <w:r w:rsidR="00F81BC1">
        <w:rPr>
          <w:rFonts w:asciiTheme="majorBidi" w:hAnsiTheme="majorBidi" w:cstheme="majorBidi" w:hint="cs"/>
          <w:sz w:val="24"/>
          <w:rtl/>
        </w:rPr>
        <w:t xml:space="preserve"> האם </w:t>
      </w:r>
      <w:r w:rsidR="000C189E">
        <w:rPr>
          <w:rFonts w:asciiTheme="majorBidi" w:hAnsiTheme="majorBidi" w:cstheme="majorBidi" w:hint="cs"/>
          <w:sz w:val="24"/>
          <w:rtl/>
        </w:rPr>
        <w:t>ראוי לערוך הבחנה</w:t>
      </w:r>
      <w:r w:rsidR="00F81BC1">
        <w:rPr>
          <w:rFonts w:asciiTheme="majorBidi" w:hAnsiTheme="majorBidi" w:cstheme="majorBidi" w:hint="cs"/>
          <w:sz w:val="24"/>
          <w:rtl/>
        </w:rPr>
        <w:t xml:space="preserve"> ברמת הענישה בין מעשה למחדל</w:t>
      </w:r>
      <w:r w:rsidR="00696055">
        <w:rPr>
          <w:rFonts w:asciiTheme="majorBidi" w:hAnsiTheme="majorBidi" w:cstheme="majorBidi" w:hint="cs"/>
          <w:sz w:val="24"/>
          <w:rtl/>
        </w:rPr>
        <w:t>?</w:t>
      </w:r>
      <w:r w:rsidR="00154ABB">
        <w:rPr>
          <w:rFonts w:asciiTheme="majorBidi" w:hAnsiTheme="majorBidi" w:cstheme="majorBidi" w:hint="cs"/>
          <w:sz w:val="24"/>
          <w:rtl/>
        </w:rPr>
        <w:t xml:space="preserve"> מהי העמדה של בתי המשפט בארצות הברית ביחס להבחנה זו?</w:t>
      </w:r>
      <w:r w:rsidR="00F81BC1">
        <w:rPr>
          <w:rFonts w:asciiTheme="majorBidi" w:hAnsiTheme="majorBidi" w:cstheme="majorBidi" w:hint="cs"/>
          <w:sz w:val="24"/>
          <w:rtl/>
        </w:rPr>
        <w:t xml:space="preserve"> </w:t>
      </w:r>
      <w:r w:rsidR="00696055">
        <w:rPr>
          <w:rFonts w:asciiTheme="majorBidi" w:hAnsiTheme="majorBidi" w:cstheme="majorBidi" w:hint="cs"/>
          <w:sz w:val="24"/>
          <w:rtl/>
        </w:rPr>
        <w:t>והאם ההבחנה בין המתת חסד אקטיבית להמתת חסד פאסיבית קשורה בהכרח להבחנה שבין מעשה למחדל במשפט הפלילי?</w:t>
      </w:r>
      <w:r w:rsidR="00F81BC1">
        <w:rPr>
          <w:rFonts w:asciiTheme="majorBidi" w:hAnsiTheme="majorBidi" w:cstheme="majorBidi" w:hint="cs"/>
          <w:sz w:val="24"/>
          <w:rtl/>
        </w:rPr>
        <w:t xml:space="preserve"> </w:t>
      </w:r>
    </w:p>
    <w:p w14:paraId="699B503E" w14:textId="77777777" w:rsidR="009165F5" w:rsidRDefault="009165F5" w:rsidP="009165F5">
      <w:pPr>
        <w:pStyle w:val="hebrew"/>
        <w:spacing w:line="360" w:lineRule="auto"/>
        <w:ind w:left="-850" w:right="-850"/>
        <w:rPr>
          <w:rFonts w:asciiTheme="majorBidi" w:hAnsiTheme="majorBidi" w:cstheme="majorBidi"/>
          <w:sz w:val="24"/>
          <w:rtl/>
        </w:rPr>
      </w:pPr>
    </w:p>
    <w:p w14:paraId="468E7E50" w14:textId="06624EBE" w:rsidR="00C46B3C" w:rsidRDefault="00231383" w:rsidP="009165F5">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הגרסה העברית לספר פורסמה </w:t>
      </w:r>
      <w:r w:rsidR="00D63B22">
        <w:rPr>
          <w:rFonts w:asciiTheme="majorBidi" w:hAnsiTheme="majorBidi" w:cstheme="majorBidi" w:hint="cs"/>
          <w:sz w:val="24"/>
          <w:rtl/>
        </w:rPr>
        <w:t xml:space="preserve">בשנת 2015 </w:t>
      </w:r>
      <w:r w:rsidR="00F81BC1">
        <w:rPr>
          <w:rFonts w:asciiTheme="majorBidi" w:hAnsiTheme="majorBidi" w:cstheme="majorBidi" w:hint="cs"/>
          <w:sz w:val="24"/>
          <w:rtl/>
        </w:rPr>
        <w:t xml:space="preserve">בהוצאת נבו </w:t>
      </w:r>
      <w:r w:rsidR="006A6766">
        <w:rPr>
          <w:rFonts w:asciiTheme="majorBidi" w:hAnsiTheme="majorBidi" w:cstheme="majorBidi" w:hint="cs"/>
          <w:sz w:val="24"/>
          <w:rtl/>
        </w:rPr>
        <w:t>שנחשבת לאחת ההוצאות לאור המכובדות וה</w:t>
      </w:r>
      <w:r>
        <w:rPr>
          <w:rFonts w:asciiTheme="majorBidi" w:hAnsiTheme="majorBidi" w:cstheme="majorBidi" w:hint="cs"/>
          <w:sz w:val="24"/>
          <w:rtl/>
        </w:rPr>
        <w:t>מ</w:t>
      </w:r>
      <w:r w:rsidR="006A6766">
        <w:rPr>
          <w:rFonts w:asciiTheme="majorBidi" w:hAnsiTheme="majorBidi" w:cstheme="majorBidi" w:hint="cs"/>
          <w:sz w:val="24"/>
          <w:rtl/>
        </w:rPr>
        <w:t xml:space="preserve">שפיעות בקרב שופטים ועורכי דין בישראל. הספר גם זכה להיות מצוטט במאמרים ובספרים שפורסמו בישראל והיווה גם בסיס למספר פסיקות חשובות בבית המשפט העליון בישראל. </w:t>
      </w:r>
    </w:p>
    <w:p w14:paraId="047377F0" w14:textId="5CCCEC68" w:rsidR="009165F5" w:rsidRDefault="009165F5" w:rsidP="009165F5">
      <w:pPr>
        <w:pStyle w:val="hebrew"/>
        <w:spacing w:line="360" w:lineRule="auto"/>
        <w:ind w:left="-850" w:right="-850"/>
        <w:rPr>
          <w:rFonts w:asciiTheme="majorBidi" w:hAnsiTheme="majorBidi" w:cstheme="majorBidi"/>
          <w:sz w:val="24"/>
          <w:rtl/>
        </w:rPr>
      </w:pPr>
    </w:p>
    <w:p w14:paraId="3C9630CA" w14:textId="6E200FA5" w:rsidR="009165F5" w:rsidRPr="006F2B63" w:rsidRDefault="009165F5" w:rsidP="009165F5">
      <w:pPr>
        <w:pStyle w:val="hebrew"/>
        <w:spacing w:line="360" w:lineRule="auto"/>
        <w:ind w:left="-850" w:right="-850"/>
        <w:rPr>
          <w:rFonts w:asciiTheme="majorBidi" w:hAnsiTheme="majorBidi" w:cstheme="majorBidi"/>
          <w:b/>
          <w:bCs/>
          <w:sz w:val="24"/>
          <w:rtl/>
        </w:rPr>
      </w:pPr>
      <w:r w:rsidRPr="006F2B63">
        <w:rPr>
          <w:rFonts w:asciiTheme="majorBidi" w:hAnsiTheme="majorBidi" w:cstheme="majorBidi" w:hint="cs"/>
          <w:b/>
          <w:bCs/>
          <w:sz w:val="24"/>
          <w:rtl/>
        </w:rPr>
        <w:t xml:space="preserve">אני סבור כי הספר מתאים מאוד לסדרה </w:t>
      </w:r>
      <w:r w:rsidRPr="006F2B63">
        <w:rPr>
          <w:rFonts w:asciiTheme="majorBidi" w:hAnsiTheme="majorBidi" w:cstheme="majorBidi"/>
          <w:b/>
          <w:bCs/>
          <w:sz w:val="24"/>
        </w:rPr>
        <w:t>Law, Ethics and Economics</w:t>
      </w:r>
      <w:r w:rsidRPr="006F2B63">
        <w:rPr>
          <w:rFonts w:asciiTheme="majorBidi" w:hAnsiTheme="majorBidi" w:cstheme="majorBidi" w:hint="cs"/>
          <w:b/>
          <w:bCs/>
          <w:sz w:val="24"/>
          <w:rtl/>
        </w:rPr>
        <w:t xml:space="preserve"> </w:t>
      </w:r>
      <w:r w:rsidR="006F2B63" w:rsidRPr="006F2B63">
        <w:rPr>
          <w:rFonts w:asciiTheme="majorBidi" w:hAnsiTheme="majorBidi" w:cstheme="majorBidi" w:hint="cs"/>
          <w:b/>
          <w:bCs/>
          <w:sz w:val="24"/>
          <w:rtl/>
        </w:rPr>
        <w:t xml:space="preserve">של הוצאת </w:t>
      </w:r>
      <w:proofErr w:type="spellStart"/>
      <w:r w:rsidR="006F2B63" w:rsidRPr="006F2B63">
        <w:rPr>
          <w:rFonts w:asciiTheme="majorBidi" w:hAnsiTheme="majorBidi" w:cstheme="majorBidi" w:hint="cs"/>
          <w:b/>
          <w:bCs/>
          <w:sz w:val="24"/>
          <w:rtl/>
        </w:rPr>
        <w:t>ראוטלג</w:t>
      </w:r>
      <w:proofErr w:type="spellEnd"/>
      <w:r w:rsidR="006F2B63" w:rsidRPr="006F2B63">
        <w:rPr>
          <w:rFonts w:asciiTheme="majorBidi" w:hAnsiTheme="majorBidi" w:cstheme="majorBidi" w:hint="cs"/>
          <w:b/>
          <w:bCs/>
          <w:sz w:val="24"/>
          <w:rtl/>
        </w:rPr>
        <w:t xml:space="preserve">' </w:t>
      </w:r>
      <w:r w:rsidRPr="006F2B63">
        <w:rPr>
          <w:rFonts w:asciiTheme="majorBidi" w:hAnsiTheme="majorBidi" w:cstheme="majorBidi" w:hint="cs"/>
          <w:b/>
          <w:bCs/>
          <w:sz w:val="24"/>
          <w:rtl/>
        </w:rPr>
        <w:t xml:space="preserve">שכן כפי שציינתי לעיל הוא מחבר באופן </w:t>
      </w:r>
      <w:r w:rsidR="0095331D">
        <w:rPr>
          <w:rFonts w:asciiTheme="majorBidi" w:hAnsiTheme="majorBidi" w:cstheme="majorBidi" w:hint="cs"/>
          <w:b/>
          <w:bCs/>
          <w:sz w:val="24"/>
          <w:rtl/>
        </w:rPr>
        <w:t>עשיר</w:t>
      </w:r>
      <w:r w:rsidR="006F2B63" w:rsidRPr="006F2B63">
        <w:rPr>
          <w:rFonts w:asciiTheme="majorBidi" w:hAnsiTheme="majorBidi" w:cstheme="majorBidi" w:hint="cs"/>
          <w:b/>
          <w:bCs/>
          <w:sz w:val="24"/>
          <w:rtl/>
        </w:rPr>
        <w:t xml:space="preserve"> בין שני תחומי חקר </w:t>
      </w:r>
      <w:r w:rsidR="006F2B63" w:rsidRPr="006F2B63">
        <w:rPr>
          <w:rFonts w:asciiTheme="majorBidi" w:hAnsiTheme="majorBidi" w:cstheme="majorBidi"/>
          <w:b/>
          <w:bCs/>
          <w:sz w:val="24"/>
          <w:rtl/>
        </w:rPr>
        <w:t>–</w:t>
      </w:r>
      <w:r w:rsidR="006F2B63" w:rsidRPr="006F2B63">
        <w:rPr>
          <w:rFonts w:asciiTheme="majorBidi" w:hAnsiTheme="majorBidi" w:cstheme="majorBidi" w:hint="cs"/>
          <w:b/>
          <w:bCs/>
          <w:sz w:val="24"/>
          <w:rtl/>
        </w:rPr>
        <w:t xml:space="preserve"> המשפט הפלילי </w:t>
      </w:r>
      <w:r w:rsidR="0095331D">
        <w:rPr>
          <w:rFonts w:asciiTheme="majorBidi" w:hAnsiTheme="majorBidi" w:cstheme="majorBidi" w:hint="cs"/>
          <w:b/>
          <w:bCs/>
          <w:sz w:val="24"/>
          <w:rtl/>
        </w:rPr>
        <w:t>וה</w:t>
      </w:r>
      <w:r w:rsidR="006F2B63" w:rsidRPr="006F2B63">
        <w:rPr>
          <w:rFonts w:asciiTheme="majorBidi" w:hAnsiTheme="majorBidi" w:cstheme="majorBidi" w:hint="cs"/>
          <w:b/>
          <w:bCs/>
          <w:sz w:val="24"/>
          <w:rtl/>
        </w:rPr>
        <w:t xml:space="preserve">פילוסופיה של המוסר. </w:t>
      </w:r>
    </w:p>
    <w:p w14:paraId="487519DA" w14:textId="4F6DA546" w:rsidR="005C65D7" w:rsidRDefault="005C65D7" w:rsidP="006A6766">
      <w:pPr>
        <w:pStyle w:val="hebrew"/>
        <w:spacing w:line="360" w:lineRule="auto"/>
        <w:ind w:left="-850" w:right="-850"/>
        <w:rPr>
          <w:rFonts w:asciiTheme="majorBidi" w:hAnsiTheme="majorBidi" w:cstheme="majorBidi"/>
          <w:sz w:val="24"/>
          <w:rtl/>
        </w:rPr>
      </w:pPr>
    </w:p>
    <w:p w14:paraId="3C6A498B" w14:textId="77777777" w:rsidR="005C65D7" w:rsidRDefault="005C65D7" w:rsidP="006A6766">
      <w:pPr>
        <w:pStyle w:val="hebrew"/>
        <w:spacing w:line="360" w:lineRule="auto"/>
        <w:ind w:left="-850" w:right="-850"/>
        <w:rPr>
          <w:rFonts w:asciiTheme="majorBidi" w:hAnsiTheme="majorBidi" w:cstheme="majorBidi"/>
          <w:sz w:val="24"/>
          <w:rtl/>
        </w:rPr>
      </w:pPr>
    </w:p>
    <w:p w14:paraId="3C69EBA1" w14:textId="33E7EC7A" w:rsidR="006A6766" w:rsidRDefault="005C65D7" w:rsidP="006A6766">
      <w:pPr>
        <w:pStyle w:val="hebrew"/>
        <w:spacing w:line="360" w:lineRule="auto"/>
        <w:ind w:left="-850" w:right="-850"/>
        <w:rPr>
          <w:rFonts w:asciiTheme="majorBidi" w:hAnsiTheme="majorBidi" w:cstheme="majorBidi"/>
          <w:b/>
          <w:bCs/>
          <w:sz w:val="24"/>
          <w:rtl/>
        </w:rPr>
      </w:pPr>
      <w:r w:rsidRPr="005C65D7">
        <w:rPr>
          <w:rFonts w:asciiTheme="majorBidi" w:hAnsiTheme="majorBidi" w:cstheme="majorBidi" w:hint="cs"/>
          <w:b/>
          <w:bCs/>
          <w:sz w:val="24"/>
          <w:rtl/>
        </w:rPr>
        <w:t>מטרת הספר</w:t>
      </w:r>
    </w:p>
    <w:p w14:paraId="25FED2D0" w14:textId="0A79FB24" w:rsidR="00040C4C" w:rsidRDefault="00893813" w:rsidP="002464CE">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מטרת הספר היא לדון באופן מלא ומפורט באחת ההבחנות החשובות ביותר בחשיבה המוסרית והמשפטית שלנו והיא ההבחנה בין מעשה למחדל. </w:t>
      </w:r>
      <w:r w:rsidR="00910E4B">
        <w:rPr>
          <w:rFonts w:asciiTheme="majorBidi" w:hAnsiTheme="majorBidi" w:cstheme="majorBidi" w:hint="cs"/>
          <w:sz w:val="24"/>
          <w:rtl/>
        </w:rPr>
        <w:t>בעוד שמאמרים אשר נכתבו בתחום ניתקו בין הדיון הפילוסופי-מוסרי לבין הדיון הפלילי-משפטי, ספר זה מחבר בין שני תחומי</w:t>
      </w:r>
      <w:r w:rsidR="00811B7A">
        <w:rPr>
          <w:rFonts w:asciiTheme="majorBidi" w:hAnsiTheme="majorBidi" w:cstheme="majorBidi" w:hint="cs"/>
          <w:sz w:val="24"/>
          <w:rtl/>
        </w:rPr>
        <w:t xml:space="preserve"> חקר </w:t>
      </w:r>
      <w:r w:rsidR="00910E4B">
        <w:rPr>
          <w:rFonts w:asciiTheme="majorBidi" w:hAnsiTheme="majorBidi" w:cstheme="majorBidi" w:hint="cs"/>
          <w:sz w:val="24"/>
          <w:rtl/>
        </w:rPr>
        <w:t xml:space="preserve">אלה באופן מעמיק ועשיר. </w:t>
      </w:r>
      <w:r w:rsidR="007D0890">
        <w:rPr>
          <w:rFonts w:asciiTheme="majorBidi" w:hAnsiTheme="majorBidi" w:cstheme="majorBidi" w:hint="cs"/>
          <w:sz w:val="24"/>
          <w:rtl/>
        </w:rPr>
        <w:t xml:space="preserve">בנוסף, </w:t>
      </w:r>
      <w:r w:rsidR="0098328C">
        <w:rPr>
          <w:rFonts w:asciiTheme="majorBidi" w:hAnsiTheme="majorBidi" w:cstheme="majorBidi" w:hint="cs"/>
          <w:sz w:val="24"/>
          <w:rtl/>
        </w:rPr>
        <w:t>הספרות שנכתבה עד היום ביחס להבחנה שבין מעשה למחדל עס</w:t>
      </w:r>
      <w:r w:rsidR="001551A6">
        <w:rPr>
          <w:rFonts w:asciiTheme="majorBidi" w:hAnsiTheme="majorBidi" w:cstheme="majorBidi" w:hint="cs"/>
          <w:sz w:val="24"/>
          <w:rtl/>
        </w:rPr>
        <w:t xml:space="preserve">קה בהיבטים מסוימים של ההבחנה לעומת זאת ספר זה עוסק בהבחנה בכללותה על כל היבטיה המשפטיים והמוסריים. </w:t>
      </w:r>
    </w:p>
    <w:p w14:paraId="6DF9343E" w14:textId="54F06927" w:rsidR="002464CE" w:rsidRDefault="002464CE" w:rsidP="002464CE">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הספר בנוי מחלק תאורטי המצוי בשער הראשון של הספר ומחלק מעשי יותר המצוי בשער השני ואחת ממטרות הספר היא להראות כי השאלות המעשיות נשענות באופן מובהק על ההיבטים התיאורטיים העוסקים </w:t>
      </w:r>
      <w:proofErr w:type="spellStart"/>
      <w:r>
        <w:rPr>
          <w:rFonts w:asciiTheme="majorBidi" w:hAnsiTheme="majorBidi" w:cstheme="majorBidi" w:hint="cs"/>
          <w:sz w:val="24"/>
          <w:rtl/>
        </w:rPr>
        <w:t>ברציונלים</w:t>
      </w:r>
      <w:proofErr w:type="spellEnd"/>
      <w:r>
        <w:rPr>
          <w:rFonts w:asciiTheme="majorBidi" w:hAnsiTheme="majorBidi" w:cstheme="majorBidi" w:hint="cs"/>
          <w:sz w:val="24"/>
          <w:rtl/>
        </w:rPr>
        <w:t xml:space="preserve"> השונים המבחינים בין מעשה למחדל במשפט הפלילי. </w:t>
      </w:r>
    </w:p>
    <w:p w14:paraId="157ACBC0" w14:textId="5F0527BF" w:rsidR="005C65D7" w:rsidRDefault="00910E4B" w:rsidP="006A6766">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lastRenderedPageBreak/>
        <w:t>הספר מתחיל בהצגת הגישות הסקפטיות אשר ערערו על ההבחנה שבין מעשה למחדל מבחינה מוסרית וממשיך ל</w:t>
      </w:r>
      <w:r w:rsidR="00401974">
        <w:rPr>
          <w:rFonts w:asciiTheme="majorBidi" w:hAnsiTheme="majorBidi" w:cstheme="majorBidi" w:hint="cs"/>
          <w:sz w:val="24"/>
          <w:rtl/>
        </w:rPr>
        <w:t xml:space="preserve">דון באופן ביקורתי בגישות </w:t>
      </w:r>
      <w:r>
        <w:rPr>
          <w:rFonts w:asciiTheme="majorBidi" w:hAnsiTheme="majorBidi" w:cstheme="majorBidi" w:hint="cs"/>
          <w:sz w:val="24"/>
          <w:rtl/>
        </w:rPr>
        <w:t xml:space="preserve">שניסו לבסס את ההבחנה שבין מעשה למחדל במשפט הפלילי. </w:t>
      </w:r>
      <w:r w:rsidR="005D4BD6">
        <w:rPr>
          <w:rFonts w:asciiTheme="majorBidi" w:hAnsiTheme="majorBidi" w:cstheme="majorBidi" w:hint="cs"/>
          <w:sz w:val="24"/>
          <w:rtl/>
        </w:rPr>
        <w:t>במסגרת דיון זה</w:t>
      </w:r>
      <w:r w:rsidR="0003045C">
        <w:rPr>
          <w:rFonts w:asciiTheme="majorBidi" w:hAnsiTheme="majorBidi" w:cstheme="majorBidi" w:hint="cs"/>
          <w:sz w:val="24"/>
          <w:rtl/>
        </w:rPr>
        <w:t xml:space="preserve"> מציע</w:t>
      </w:r>
      <w:r w:rsidR="005D4BD6">
        <w:rPr>
          <w:rFonts w:asciiTheme="majorBidi" w:hAnsiTheme="majorBidi" w:cstheme="majorBidi" w:hint="cs"/>
          <w:sz w:val="24"/>
          <w:rtl/>
        </w:rPr>
        <w:t xml:space="preserve"> הספר</w:t>
      </w:r>
      <w:r w:rsidR="0003045C">
        <w:rPr>
          <w:rFonts w:asciiTheme="majorBidi" w:hAnsiTheme="majorBidi" w:cstheme="majorBidi" w:hint="cs"/>
          <w:sz w:val="24"/>
          <w:rtl/>
        </w:rPr>
        <w:t xml:space="preserve"> חלוקה לשני סוגים של </w:t>
      </w:r>
      <w:proofErr w:type="spellStart"/>
      <w:r w:rsidR="0003045C">
        <w:rPr>
          <w:rFonts w:asciiTheme="majorBidi" w:hAnsiTheme="majorBidi" w:cstheme="majorBidi" w:hint="cs"/>
          <w:sz w:val="24"/>
          <w:rtl/>
        </w:rPr>
        <w:t>רציונלים</w:t>
      </w:r>
      <w:proofErr w:type="spellEnd"/>
      <w:r w:rsidR="0003045C">
        <w:rPr>
          <w:rFonts w:asciiTheme="majorBidi" w:hAnsiTheme="majorBidi" w:cstheme="majorBidi" w:hint="cs"/>
          <w:sz w:val="24"/>
          <w:rtl/>
        </w:rPr>
        <w:t xml:space="preserve"> שהוצעו להבחנה שבין מעשה למחדל במשפט הפלילי: </w:t>
      </w:r>
      <w:proofErr w:type="spellStart"/>
      <w:r w:rsidR="0003045C">
        <w:rPr>
          <w:rFonts w:asciiTheme="majorBidi" w:hAnsiTheme="majorBidi" w:cstheme="majorBidi" w:hint="cs"/>
          <w:sz w:val="24"/>
          <w:rtl/>
        </w:rPr>
        <w:t>רציונלים</w:t>
      </w:r>
      <w:proofErr w:type="spellEnd"/>
      <w:r w:rsidR="0003045C">
        <w:rPr>
          <w:rFonts w:asciiTheme="majorBidi" w:hAnsiTheme="majorBidi" w:cstheme="majorBidi" w:hint="cs"/>
          <w:sz w:val="24"/>
          <w:rtl/>
        </w:rPr>
        <w:t xml:space="preserve"> מוסריים </w:t>
      </w:r>
      <w:proofErr w:type="spellStart"/>
      <w:r w:rsidR="0003045C">
        <w:rPr>
          <w:rFonts w:asciiTheme="majorBidi" w:hAnsiTheme="majorBidi" w:cstheme="majorBidi" w:hint="cs"/>
          <w:sz w:val="24"/>
          <w:rtl/>
        </w:rPr>
        <w:t>ורציונלים</w:t>
      </w:r>
      <w:proofErr w:type="spellEnd"/>
      <w:r w:rsidR="0003045C">
        <w:rPr>
          <w:rFonts w:asciiTheme="majorBidi" w:hAnsiTheme="majorBidi" w:cstheme="majorBidi" w:hint="cs"/>
          <w:sz w:val="24"/>
          <w:rtl/>
        </w:rPr>
        <w:t xml:space="preserve"> משפטיים. </w:t>
      </w:r>
      <w:r w:rsidR="00A4169B">
        <w:rPr>
          <w:rFonts w:asciiTheme="majorBidi" w:hAnsiTheme="majorBidi" w:cstheme="majorBidi" w:hint="cs"/>
          <w:sz w:val="24"/>
          <w:rtl/>
        </w:rPr>
        <w:t xml:space="preserve">החלוקה בין </w:t>
      </w:r>
      <w:proofErr w:type="spellStart"/>
      <w:r w:rsidR="00A4169B">
        <w:rPr>
          <w:rFonts w:asciiTheme="majorBidi" w:hAnsiTheme="majorBidi" w:cstheme="majorBidi" w:hint="cs"/>
          <w:sz w:val="24"/>
          <w:rtl/>
        </w:rPr>
        <w:t>הרציונלים</w:t>
      </w:r>
      <w:proofErr w:type="spellEnd"/>
      <w:r w:rsidR="00A4169B">
        <w:rPr>
          <w:rFonts w:asciiTheme="majorBidi" w:hAnsiTheme="majorBidi" w:cstheme="majorBidi" w:hint="cs"/>
          <w:sz w:val="24"/>
          <w:rtl/>
        </w:rPr>
        <w:t xml:space="preserve"> המוסריים והמשפטיים הינה חדשנית </w:t>
      </w:r>
      <w:r w:rsidR="00651E18">
        <w:rPr>
          <w:rFonts w:asciiTheme="majorBidi" w:hAnsiTheme="majorBidi" w:cstheme="majorBidi" w:hint="cs"/>
          <w:sz w:val="24"/>
          <w:rtl/>
        </w:rPr>
        <w:t>ומשפיעה באופן ישיר על קשת רחבה של שאלות מעשיות הקשורות להבחנה שבין מעשה למחדל במשפט הפלילי</w:t>
      </w:r>
      <w:r w:rsidR="00040C4C">
        <w:rPr>
          <w:rFonts w:asciiTheme="majorBidi" w:hAnsiTheme="majorBidi" w:cstheme="majorBidi" w:hint="cs"/>
          <w:sz w:val="24"/>
          <w:rtl/>
        </w:rPr>
        <w:t xml:space="preserve"> ואשר יידונו בשער השני של הספר</w:t>
      </w:r>
      <w:r w:rsidR="00651E18">
        <w:rPr>
          <w:rFonts w:asciiTheme="majorBidi" w:hAnsiTheme="majorBidi" w:cstheme="majorBidi" w:hint="cs"/>
          <w:sz w:val="24"/>
          <w:rtl/>
        </w:rPr>
        <w:t xml:space="preserve">. </w:t>
      </w:r>
      <w:r w:rsidR="00A4169B">
        <w:rPr>
          <w:rFonts w:asciiTheme="majorBidi" w:hAnsiTheme="majorBidi" w:cstheme="majorBidi" w:hint="cs"/>
          <w:sz w:val="24"/>
          <w:rtl/>
        </w:rPr>
        <w:t xml:space="preserve">בחשיפת </w:t>
      </w:r>
      <w:proofErr w:type="spellStart"/>
      <w:r w:rsidR="00A4169B">
        <w:rPr>
          <w:rFonts w:asciiTheme="majorBidi" w:hAnsiTheme="majorBidi" w:cstheme="majorBidi" w:hint="cs"/>
          <w:sz w:val="24"/>
          <w:rtl/>
        </w:rPr>
        <w:t>הרציונלים</w:t>
      </w:r>
      <w:proofErr w:type="spellEnd"/>
      <w:r w:rsidR="00A4169B">
        <w:rPr>
          <w:rFonts w:asciiTheme="majorBidi" w:hAnsiTheme="majorBidi" w:cstheme="majorBidi" w:hint="cs"/>
          <w:sz w:val="24"/>
          <w:rtl/>
        </w:rPr>
        <w:t xml:space="preserve">, ניתוחם וציון ההבדלים ביניהם יש כדי ליצור תמונה חדשה ועשירה יותר ביחס למחשבה על אודות ההבחנה שבין מעשה למחדל במשפט הפלילי. </w:t>
      </w:r>
      <w:r w:rsidR="00D25945">
        <w:rPr>
          <w:rFonts w:asciiTheme="majorBidi" w:hAnsiTheme="majorBidi" w:cstheme="majorBidi" w:hint="cs"/>
          <w:sz w:val="24"/>
          <w:rtl/>
        </w:rPr>
        <w:t xml:space="preserve">מעבר לחלוקה חדשנית זו מוצע בספר רציונל חדש להבחנה שבין מעשה למחדל במשפט הפלילי תוך התמקדות בהבחנה שבין </w:t>
      </w:r>
      <w:r w:rsidR="00D25945">
        <w:rPr>
          <w:rFonts w:asciiTheme="majorBidi" w:hAnsiTheme="majorBidi" w:cstheme="majorBidi"/>
          <w:sz w:val="24"/>
        </w:rPr>
        <w:t xml:space="preserve">killing </w:t>
      </w:r>
      <w:r w:rsidR="00D25945">
        <w:rPr>
          <w:rFonts w:asciiTheme="majorBidi" w:hAnsiTheme="majorBidi" w:cstheme="majorBidi" w:hint="cs"/>
          <w:sz w:val="24"/>
          <w:rtl/>
        </w:rPr>
        <w:t xml:space="preserve"> ל </w:t>
      </w:r>
      <w:r w:rsidR="00D25945">
        <w:rPr>
          <w:rFonts w:asciiTheme="majorBidi" w:hAnsiTheme="majorBidi" w:cstheme="majorBidi"/>
          <w:sz w:val="24"/>
          <w:rtl/>
        </w:rPr>
        <w:t>–</w:t>
      </w:r>
      <w:r w:rsidR="00D25945">
        <w:rPr>
          <w:rFonts w:asciiTheme="majorBidi" w:hAnsiTheme="majorBidi" w:cstheme="majorBidi" w:hint="cs"/>
          <w:sz w:val="24"/>
          <w:rtl/>
        </w:rPr>
        <w:t xml:space="preserve"> </w:t>
      </w:r>
      <w:r w:rsidR="00D25945">
        <w:rPr>
          <w:rFonts w:asciiTheme="majorBidi" w:hAnsiTheme="majorBidi" w:cstheme="majorBidi"/>
          <w:sz w:val="24"/>
        </w:rPr>
        <w:t>letting die</w:t>
      </w:r>
      <w:r w:rsidR="00D25945">
        <w:rPr>
          <w:rFonts w:asciiTheme="majorBidi" w:hAnsiTheme="majorBidi" w:cstheme="majorBidi" w:hint="cs"/>
          <w:sz w:val="24"/>
          <w:rtl/>
        </w:rPr>
        <w:t xml:space="preserve">. הרציונל החדש מראה שבניגוד לאינטואיציה הראשונית, </w:t>
      </w:r>
      <w:r w:rsidR="00B444E9">
        <w:rPr>
          <w:rFonts w:asciiTheme="majorBidi" w:hAnsiTheme="majorBidi" w:cstheme="majorBidi" w:hint="cs"/>
          <w:sz w:val="24"/>
          <w:rtl/>
        </w:rPr>
        <w:t xml:space="preserve">האיסור המוסרי על </w:t>
      </w:r>
      <w:r w:rsidR="00B444E9">
        <w:rPr>
          <w:rFonts w:asciiTheme="majorBidi" w:hAnsiTheme="majorBidi" w:cstheme="majorBidi"/>
          <w:sz w:val="24"/>
        </w:rPr>
        <w:t>killing</w:t>
      </w:r>
      <w:r w:rsidR="00B444E9">
        <w:rPr>
          <w:rFonts w:asciiTheme="majorBidi" w:hAnsiTheme="majorBidi" w:cstheme="majorBidi" w:hint="cs"/>
          <w:sz w:val="24"/>
          <w:rtl/>
        </w:rPr>
        <w:t xml:space="preserve"> מגן על ערכים </w:t>
      </w:r>
      <w:r w:rsidR="008A66FA">
        <w:rPr>
          <w:rFonts w:asciiTheme="majorBidi" w:hAnsiTheme="majorBidi" w:cstheme="majorBidi" w:hint="cs"/>
          <w:sz w:val="24"/>
          <w:rtl/>
        </w:rPr>
        <w:t>רחבים</w:t>
      </w:r>
      <w:r w:rsidR="00B444E9">
        <w:rPr>
          <w:rFonts w:asciiTheme="majorBidi" w:hAnsiTheme="majorBidi" w:cstheme="majorBidi" w:hint="cs"/>
          <w:sz w:val="24"/>
          <w:rtl/>
        </w:rPr>
        <w:t xml:space="preserve"> יותר מאשר האיסור המוסרי על </w:t>
      </w:r>
      <w:r w:rsidR="00B444E9">
        <w:rPr>
          <w:rFonts w:asciiTheme="majorBidi" w:hAnsiTheme="majorBidi" w:cstheme="majorBidi"/>
          <w:sz w:val="24"/>
        </w:rPr>
        <w:t>letting die</w:t>
      </w:r>
      <w:r w:rsidR="00B444E9">
        <w:rPr>
          <w:rFonts w:asciiTheme="majorBidi" w:hAnsiTheme="majorBidi" w:cstheme="majorBidi" w:hint="cs"/>
          <w:sz w:val="24"/>
          <w:rtl/>
        </w:rPr>
        <w:t xml:space="preserve"> וזהו הבסיס להבחנה בין </w:t>
      </w:r>
      <w:r w:rsidR="00B444E9">
        <w:rPr>
          <w:rFonts w:asciiTheme="majorBidi" w:hAnsiTheme="majorBidi" w:cstheme="majorBidi"/>
          <w:sz w:val="24"/>
        </w:rPr>
        <w:t>killing</w:t>
      </w:r>
      <w:r w:rsidR="00B444E9">
        <w:rPr>
          <w:rFonts w:asciiTheme="majorBidi" w:hAnsiTheme="majorBidi" w:cstheme="majorBidi" w:hint="cs"/>
          <w:sz w:val="24"/>
          <w:rtl/>
        </w:rPr>
        <w:t xml:space="preserve"> ל </w:t>
      </w:r>
      <w:r w:rsidR="00B444E9">
        <w:rPr>
          <w:rFonts w:asciiTheme="majorBidi" w:hAnsiTheme="majorBidi" w:cstheme="majorBidi"/>
          <w:sz w:val="24"/>
          <w:rtl/>
        </w:rPr>
        <w:t>–</w:t>
      </w:r>
      <w:r w:rsidR="00B444E9">
        <w:rPr>
          <w:rFonts w:asciiTheme="majorBidi" w:hAnsiTheme="majorBidi" w:cstheme="majorBidi" w:hint="cs"/>
          <w:sz w:val="24"/>
          <w:rtl/>
        </w:rPr>
        <w:t xml:space="preserve"> </w:t>
      </w:r>
      <w:r w:rsidR="00B444E9">
        <w:rPr>
          <w:rFonts w:asciiTheme="majorBidi" w:hAnsiTheme="majorBidi" w:cstheme="majorBidi"/>
          <w:sz w:val="24"/>
        </w:rPr>
        <w:t>letting die</w:t>
      </w:r>
      <w:r w:rsidR="00B444E9">
        <w:rPr>
          <w:rFonts w:asciiTheme="majorBidi" w:hAnsiTheme="majorBidi" w:cstheme="majorBidi" w:hint="cs"/>
          <w:sz w:val="24"/>
        </w:rPr>
        <w:t xml:space="preserve"> </w:t>
      </w:r>
      <w:r w:rsidR="0095331D">
        <w:rPr>
          <w:rFonts w:asciiTheme="majorBidi" w:hAnsiTheme="majorBidi" w:cstheme="majorBidi" w:hint="cs"/>
          <w:sz w:val="24"/>
          <w:rtl/>
        </w:rPr>
        <w:t xml:space="preserve"> </w:t>
      </w:r>
      <w:r w:rsidR="00B444E9">
        <w:rPr>
          <w:rFonts w:asciiTheme="majorBidi" w:hAnsiTheme="majorBidi" w:cstheme="majorBidi" w:hint="cs"/>
          <w:sz w:val="24"/>
          <w:rtl/>
        </w:rPr>
        <w:t xml:space="preserve">במשפט הפלילי. </w:t>
      </w:r>
    </w:p>
    <w:p w14:paraId="216E18CC" w14:textId="33D11275" w:rsidR="006F2B63" w:rsidRDefault="007D0890" w:rsidP="002464CE">
      <w:pPr>
        <w:pStyle w:val="hebrew"/>
        <w:spacing w:line="360" w:lineRule="auto"/>
        <w:ind w:left="-850" w:right="-850"/>
        <w:rPr>
          <w:rFonts w:asciiTheme="majorBidi" w:hAnsiTheme="majorBidi" w:cstheme="majorBidi" w:hint="cs"/>
          <w:sz w:val="24"/>
          <w:rtl/>
        </w:rPr>
      </w:pPr>
      <w:r>
        <w:rPr>
          <w:rFonts w:asciiTheme="majorBidi" w:hAnsiTheme="majorBidi" w:cstheme="majorBidi" w:hint="cs"/>
          <w:sz w:val="24"/>
          <w:rtl/>
        </w:rPr>
        <w:t>בניגוד לספרות העכשווית העוסקת בהבחנה שבין מעשה למחדל</w:t>
      </w:r>
    </w:p>
    <w:p w14:paraId="13CA8FB0" w14:textId="60D9DFDD" w:rsidR="002464CE" w:rsidRDefault="00B444E9" w:rsidP="002464CE">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הספר מופנה לחוקרים, עורכי דין ושופטים העוסקים בתחום המשפט הפלילי ו</w:t>
      </w:r>
      <w:r w:rsidR="001B3F56">
        <w:rPr>
          <w:rFonts w:asciiTheme="majorBidi" w:hAnsiTheme="majorBidi" w:cstheme="majorBidi" w:hint="cs"/>
          <w:sz w:val="24"/>
          <w:rtl/>
        </w:rPr>
        <w:t xml:space="preserve">אין ספק שספר זה </w:t>
      </w:r>
      <w:r w:rsidR="00B709EB">
        <w:rPr>
          <w:rFonts w:asciiTheme="majorBidi" w:hAnsiTheme="majorBidi" w:cstheme="majorBidi" w:hint="cs"/>
          <w:sz w:val="24"/>
          <w:rtl/>
        </w:rPr>
        <w:t>יעניק להם ראייה כללית ורחבה בתחום זה.</w:t>
      </w:r>
      <w:r w:rsidR="002464CE">
        <w:rPr>
          <w:rFonts w:asciiTheme="majorBidi" w:hAnsiTheme="majorBidi" w:cstheme="majorBidi" w:hint="cs"/>
          <w:sz w:val="24"/>
          <w:rtl/>
        </w:rPr>
        <w:t xml:space="preserve"> </w:t>
      </w:r>
    </w:p>
    <w:p w14:paraId="0D851E3B" w14:textId="20A31602" w:rsidR="00B444E9" w:rsidRDefault="00B709EB" w:rsidP="006A6766">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 </w:t>
      </w:r>
      <w:r w:rsidR="00651E18">
        <w:rPr>
          <w:rFonts w:asciiTheme="majorBidi" w:hAnsiTheme="majorBidi" w:cstheme="majorBidi" w:hint="cs"/>
          <w:sz w:val="24"/>
          <w:rtl/>
        </w:rPr>
        <w:t xml:space="preserve">הספר גם </w:t>
      </w:r>
      <w:r w:rsidR="00E01B81">
        <w:rPr>
          <w:rFonts w:asciiTheme="majorBidi" w:hAnsiTheme="majorBidi" w:cstheme="majorBidi" w:hint="cs"/>
          <w:sz w:val="24"/>
          <w:rtl/>
        </w:rPr>
        <w:t>יעניין</w:t>
      </w:r>
      <w:r w:rsidR="00651E18">
        <w:rPr>
          <w:rFonts w:asciiTheme="majorBidi" w:hAnsiTheme="majorBidi" w:cstheme="majorBidi" w:hint="cs"/>
          <w:sz w:val="24"/>
          <w:rtl/>
        </w:rPr>
        <w:t xml:space="preserve"> חוקרים מתחום הפילוסופיה של המוסר וכן ביו-</w:t>
      </w:r>
      <w:proofErr w:type="spellStart"/>
      <w:r w:rsidR="00651E18">
        <w:rPr>
          <w:rFonts w:asciiTheme="majorBidi" w:hAnsiTheme="majorBidi" w:cstheme="majorBidi" w:hint="cs"/>
          <w:sz w:val="24"/>
          <w:rtl/>
        </w:rPr>
        <w:t>אתיקנים</w:t>
      </w:r>
      <w:proofErr w:type="spellEnd"/>
      <w:r w:rsidR="00651E18">
        <w:rPr>
          <w:rFonts w:asciiTheme="majorBidi" w:hAnsiTheme="majorBidi" w:cstheme="majorBidi" w:hint="cs"/>
          <w:sz w:val="24"/>
          <w:rtl/>
        </w:rPr>
        <w:t xml:space="preserve"> העוסקים בהבחנה שבין המתת חסד אקטיבית לבין המתת חסד פאסיבית. </w:t>
      </w:r>
    </w:p>
    <w:p w14:paraId="156C4026" w14:textId="74E5BE74" w:rsidR="00D20FB8" w:rsidRDefault="00D20FB8" w:rsidP="006A6766">
      <w:pPr>
        <w:pStyle w:val="hebrew"/>
        <w:spacing w:line="360" w:lineRule="auto"/>
        <w:ind w:left="-850" w:right="-850"/>
        <w:rPr>
          <w:rFonts w:asciiTheme="majorBidi" w:hAnsiTheme="majorBidi" w:cstheme="majorBidi"/>
          <w:sz w:val="24"/>
          <w:rtl/>
        </w:rPr>
      </w:pPr>
    </w:p>
    <w:p w14:paraId="2CC86160" w14:textId="01397CCF" w:rsidR="00D20FB8" w:rsidRPr="00D20FB8" w:rsidRDefault="00D20FB8" w:rsidP="006A6766">
      <w:pPr>
        <w:pStyle w:val="hebrew"/>
        <w:spacing w:line="360" w:lineRule="auto"/>
        <w:ind w:left="-850" w:right="-850"/>
        <w:rPr>
          <w:rFonts w:asciiTheme="majorBidi" w:hAnsiTheme="majorBidi" w:cstheme="majorBidi"/>
          <w:b/>
          <w:bCs/>
          <w:sz w:val="24"/>
          <w:rtl/>
        </w:rPr>
      </w:pPr>
      <w:r w:rsidRPr="00D20FB8">
        <w:rPr>
          <w:rFonts w:asciiTheme="majorBidi" w:hAnsiTheme="majorBidi" w:cstheme="majorBidi" w:hint="cs"/>
          <w:b/>
          <w:bCs/>
          <w:sz w:val="24"/>
          <w:rtl/>
        </w:rPr>
        <w:t>ראשי פרקים לספר</w:t>
      </w:r>
    </w:p>
    <w:p w14:paraId="6260BAB7" w14:textId="5681B84C" w:rsidR="005C65D7" w:rsidRPr="00463A24" w:rsidRDefault="00FB2FE9" w:rsidP="006A6766">
      <w:pPr>
        <w:pStyle w:val="hebrew"/>
        <w:spacing w:line="360" w:lineRule="auto"/>
        <w:ind w:left="-850" w:right="-850"/>
        <w:rPr>
          <w:rFonts w:asciiTheme="majorBidi" w:hAnsiTheme="majorBidi" w:cstheme="majorBidi"/>
          <w:b/>
          <w:bCs/>
          <w:sz w:val="24"/>
        </w:rPr>
      </w:pPr>
      <w:r w:rsidRPr="00463A24">
        <w:rPr>
          <w:rFonts w:asciiTheme="majorBidi" w:hAnsiTheme="majorBidi" w:cstheme="majorBidi"/>
          <w:b/>
          <w:bCs/>
          <w:sz w:val="24"/>
        </w:rPr>
        <w:t>introduction</w:t>
      </w:r>
    </w:p>
    <w:p w14:paraId="5FFE986B" w14:textId="00CCE414" w:rsidR="00D85089" w:rsidRDefault="00FB2FE9" w:rsidP="00D85089">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המבוא </w:t>
      </w:r>
      <w:r w:rsidR="00CE6270">
        <w:rPr>
          <w:rFonts w:asciiTheme="majorBidi" w:hAnsiTheme="majorBidi" w:cstheme="majorBidi" w:hint="cs"/>
          <w:sz w:val="24"/>
          <w:rtl/>
        </w:rPr>
        <w:t>סוקר</w:t>
      </w:r>
      <w:r w:rsidR="000A09C7">
        <w:rPr>
          <w:rFonts w:asciiTheme="majorBidi" w:hAnsiTheme="majorBidi" w:cstheme="majorBidi" w:hint="cs"/>
          <w:sz w:val="24"/>
          <w:rtl/>
        </w:rPr>
        <w:t xml:space="preserve"> את מהלך הספר בכללותו</w:t>
      </w:r>
      <w:r w:rsidR="00C83343">
        <w:rPr>
          <w:rFonts w:asciiTheme="majorBidi" w:hAnsiTheme="majorBidi" w:cstheme="majorBidi" w:hint="cs"/>
          <w:sz w:val="24"/>
          <w:rtl/>
        </w:rPr>
        <w:t xml:space="preserve"> ממבט על. ה</w:t>
      </w:r>
      <w:r w:rsidR="00B35A49">
        <w:rPr>
          <w:rFonts w:asciiTheme="majorBidi" w:hAnsiTheme="majorBidi" w:cstheme="majorBidi" w:hint="cs"/>
          <w:sz w:val="24"/>
          <w:rtl/>
        </w:rPr>
        <w:t>וא</w:t>
      </w:r>
      <w:r w:rsidR="00C83343">
        <w:rPr>
          <w:rFonts w:asciiTheme="majorBidi" w:hAnsiTheme="majorBidi" w:cstheme="majorBidi" w:hint="cs"/>
          <w:sz w:val="24"/>
          <w:rtl/>
        </w:rPr>
        <w:t xml:space="preserve"> </w:t>
      </w:r>
      <w:r w:rsidR="00CE6270">
        <w:rPr>
          <w:rFonts w:asciiTheme="majorBidi" w:hAnsiTheme="majorBidi" w:cstheme="majorBidi" w:hint="cs"/>
          <w:sz w:val="24"/>
          <w:rtl/>
        </w:rPr>
        <w:t>מ</w:t>
      </w:r>
      <w:r w:rsidR="00C83343">
        <w:rPr>
          <w:rFonts w:asciiTheme="majorBidi" w:hAnsiTheme="majorBidi" w:cstheme="majorBidi" w:hint="cs"/>
          <w:sz w:val="24"/>
          <w:rtl/>
        </w:rPr>
        <w:t xml:space="preserve">צביע על כך שההבחנה בין מעשה למחדל היא הבחנה מושרשת הן במשפט הפלילי והן במוסר הרווח אשר נותן משקל לא רק להיבט </w:t>
      </w:r>
      <w:proofErr w:type="spellStart"/>
      <w:r w:rsidR="00C83343">
        <w:rPr>
          <w:rFonts w:asciiTheme="majorBidi" w:hAnsiTheme="majorBidi" w:cstheme="majorBidi" w:hint="cs"/>
          <w:sz w:val="24"/>
          <w:rtl/>
        </w:rPr>
        <w:t>התוצאתי</w:t>
      </w:r>
      <w:proofErr w:type="spellEnd"/>
      <w:r w:rsidR="00C83343">
        <w:rPr>
          <w:rFonts w:asciiTheme="majorBidi" w:hAnsiTheme="majorBidi" w:cstheme="majorBidi" w:hint="cs"/>
          <w:sz w:val="24"/>
          <w:rtl/>
        </w:rPr>
        <w:t xml:space="preserve"> של ההתנהגות אלא אף לאופן התרחשותה. </w:t>
      </w:r>
      <w:r w:rsidR="005B1532">
        <w:rPr>
          <w:rFonts w:asciiTheme="majorBidi" w:hAnsiTheme="majorBidi" w:cstheme="majorBidi" w:hint="cs"/>
          <w:sz w:val="24"/>
          <w:rtl/>
        </w:rPr>
        <w:t>למרות חשיבה אינטואיטיבית זו</w:t>
      </w:r>
      <w:r w:rsidR="001B019E">
        <w:rPr>
          <w:rFonts w:asciiTheme="majorBidi" w:hAnsiTheme="majorBidi" w:cstheme="majorBidi" w:hint="cs"/>
          <w:sz w:val="24"/>
          <w:rtl/>
        </w:rPr>
        <w:t xml:space="preserve"> הרי</w:t>
      </w:r>
      <w:r w:rsidR="000F3209">
        <w:rPr>
          <w:rFonts w:asciiTheme="majorBidi" w:hAnsiTheme="majorBidi" w:cstheme="majorBidi" w:hint="cs"/>
          <w:sz w:val="24"/>
          <w:rtl/>
        </w:rPr>
        <w:t xml:space="preserve"> </w:t>
      </w:r>
      <w:r w:rsidR="001B019E">
        <w:rPr>
          <w:rFonts w:asciiTheme="majorBidi" w:hAnsiTheme="majorBidi" w:cstheme="majorBidi" w:hint="cs"/>
          <w:sz w:val="24"/>
          <w:rtl/>
        </w:rPr>
        <w:t>ש</w:t>
      </w:r>
      <w:r w:rsidR="000F3209">
        <w:rPr>
          <w:rFonts w:asciiTheme="majorBidi" w:hAnsiTheme="majorBidi" w:cstheme="majorBidi" w:hint="cs"/>
          <w:sz w:val="24"/>
          <w:rtl/>
        </w:rPr>
        <w:t>מתחילת שנות השישים של המאה העשרים ועד ימינו אנו,</w:t>
      </w:r>
      <w:r w:rsidR="005B1532">
        <w:rPr>
          <w:rFonts w:asciiTheme="majorBidi" w:hAnsiTheme="majorBidi" w:cstheme="majorBidi" w:hint="cs"/>
          <w:sz w:val="24"/>
          <w:rtl/>
        </w:rPr>
        <w:t xml:space="preserve"> קיימת מגמה משמעותית בספרות הפילוסופית אשר מבקרת הבחנה זו</w:t>
      </w:r>
      <w:r w:rsidR="008B0658">
        <w:rPr>
          <w:rFonts w:asciiTheme="majorBidi" w:hAnsiTheme="majorBidi" w:cstheme="majorBidi" w:hint="cs"/>
          <w:sz w:val="24"/>
          <w:rtl/>
        </w:rPr>
        <w:t xml:space="preserve"> עד כדי כך שניתן לומר שכיום הפילוסופיה של המוסר חצויה בשאלה </w:t>
      </w:r>
      <w:r w:rsidR="001B019E">
        <w:rPr>
          <w:rFonts w:asciiTheme="majorBidi" w:hAnsiTheme="majorBidi" w:cstheme="majorBidi" w:hint="cs"/>
          <w:sz w:val="24"/>
          <w:rtl/>
        </w:rPr>
        <w:t xml:space="preserve">האם אכן קיימת הבחנה מוסרית בין </w:t>
      </w:r>
      <w:r w:rsidR="001B019E">
        <w:rPr>
          <w:rFonts w:asciiTheme="majorBidi" w:hAnsiTheme="majorBidi" w:cstheme="majorBidi" w:hint="cs"/>
          <w:sz w:val="24"/>
          <w:rtl/>
        </w:rPr>
        <w:lastRenderedPageBreak/>
        <w:t>מעשה למחדל או שמא הבחנה זו משוללת יסוד</w:t>
      </w:r>
      <w:r w:rsidR="005B1532">
        <w:rPr>
          <w:rFonts w:asciiTheme="majorBidi" w:hAnsiTheme="majorBidi" w:cstheme="majorBidi" w:hint="cs"/>
          <w:sz w:val="24"/>
          <w:rtl/>
        </w:rPr>
        <w:t xml:space="preserve">. </w:t>
      </w:r>
      <w:r w:rsidR="00D63B22">
        <w:rPr>
          <w:rFonts w:asciiTheme="majorBidi" w:hAnsiTheme="majorBidi" w:cstheme="majorBidi" w:hint="cs"/>
          <w:sz w:val="24"/>
          <w:rtl/>
        </w:rPr>
        <w:t xml:space="preserve">למרות שהפילוסופיה של המוסר חלוקה ביחס לשאלת ההבחנה הנ"ל, </w:t>
      </w:r>
      <w:r w:rsidR="00E01B81">
        <w:rPr>
          <w:rFonts w:asciiTheme="majorBidi" w:hAnsiTheme="majorBidi" w:cstheme="majorBidi" w:hint="cs"/>
          <w:sz w:val="24"/>
          <w:rtl/>
        </w:rPr>
        <w:t xml:space="preserve">באופן מפתיע </w:t>
      </w:r>
      <w:r w:rsidR="00181A6F">
        <w:rPr>
          <w:rFonts w:asciiTheme="majorBidi" w:hAnsiTheme="majorBidi" w:cstheme="majorBidi" w:hint="cs"/>
          <w:sz w:val="24"/>
          <w:rtl/>
        </w:rPr>
        <w:t>מחלוקת זו לא באה לידי ביטו</w:t>
      </w:r>
      <w:r w:rsidR="00E01B81">
        <w:rPr>
          <w:rFonts w:asciiTheme="majorBidi" w:hAnsiTheme="majorBidi" w:cstheme="majorBidi" w:hint="cs"/>
          <w:sz w:val="24"/>
          <w:rtl/>
        </w:rPr>
        <w:t>י</w:t>
      </w:r>
      <w:r w:rsidR="00181A6F">
        <w:rPr>
          <w:rFonts w:asciiTheme="majorBidi" w:hAnsiTheme="majorBidi" w:cstheme="majorBidi" w:hint="cs"/>
          <w:sz w:val="24"/>
          <w:rtl/>
        </w:rPr>
        <w:t xml:space="preserve"> במשפט הפלילי</w:t>
      </w:r>
      <w:r w:rsidR="00D63B22">
        <w:rPr>
          <w:rFonts w:asciiTheme="majorBidi" w:hAnsiTheme="majorBidi" w:cstheme="majorBidi" w:hint="cs"/>
          <w:sz w:val="24"/>
          <w:rtl/>
        </w:rPr>
        <w:t>.</w:t>
      </w:r>
      <w:r w:rsidR="00181A6F">
        <w:rPr>
          <w:rFonts w:asciiTheme="majorBidi" w:hAnsiTheme="majorBidi" w:cstheme="majorBidi" w:hint="cs"/>
          <w:sz w:val="24"/>
          <w:rtl/>
        </w:rPr>
        <w:t xml:space="preserve"> </w:t>
      </w:r>
      <w:r w:rsidR="00E01B81">
        <w:rPr>
          <w:rFonts w:asciiTheme="majorBidi" w:hAnsiTheme="majorBidi" w:cstheme="majorBidi" w:hint="cs"/>
          <w:sz w:val="24"/>
          <w:rtl/>
        </w:rPr>
        <w:t xml:space="preserve">אולם כאן יש לשאול, </w:t>
      </w:r>
      <w:r w:rsidR="00770AC2">
        <w:rPr>
          <w:rFonts w:asciiTheme="majorBidi" w:hAnsiTheme="majorBidi" w:cstheme="majorBidi" w:hint="cs"/>
          <w:sz w:val="24"/>
          <w:rtl/>
        </w:rPr>
        <w:t>אם ההבחנה המוסרית מוטלת בספק</w:t>
      </w:r>
      <w:r w:rsidR="00E01B81">
        <w:rPr>
          <w:rFonts w:asciiTheme="majorBidi" w:hAnsiTheme="majorBidi" w:cstheme="majorBidi" w:hint="cs"/>
          <w:sz w:val="24"/>
          <w:rtl/>
        </w:rPr>
        <w:t>, האם אין זה מוביל לכך שגם ההבחנה המשפטית אינה ברורה מאליה?</w:t>
      </w:r>
      <w:r w:rsidR="00770AC2">
        <w:rPr>
          <w:rFonts w:asciiTheme="majorBidi" w:hAnsiTheme="majorBidi" w:cstheme="majorBidi" w:hint="cs"/>
          <w:sz w:val="24"/>
          <w:rtl/>
        </w:rPr>
        <w:t xml:space="preserve"> </w:t>
      </w:r>
    </w:p>
    <w:p w14:paraId="34EFDA6C" w14:textId="28CCBB1A" w:rsidR="00770AC2" w:rsidRDefault="00770AC2" w:rsidP="00D85089">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לנוכח עובדה זו מ</w:t>
      </w:r>
      <w:r w:rsidR="001865AA">
        <w:rPr>
          <w:rFonts w:asciiTheme="majorBidi" w:hAnsiTheme="majorBidi" w:cstheme="majorBidi" w:hint="cs"/>
          <w:sz w:val="24"/>
          <w:rtl/>
        </w:rPr>
        <w:t>ודגש</w:t>
      </w:r>
      <w:r>
        <w:rPr>
          <w:rFonts w:asciiTheme="majorBidi" w:hAnsiTheme="majorBidi" w:cstheme="majorBidi" w:hint="cs"/>
          <w:sz w:val="24"/>
          <w:rtl/>
        </w:rPr>
        <w:t xml:space="preserve"> כי מטרת הספר היא לענות על מספר שאלות עיקריות:</w:t>
      </w:r>
    </w:p>
    <w:p w14:paraId="6340446C" w14:textId="3628D303" w:rsidR="00D20FB8" w:rsidRDefault="00770AC2" w:rsidP="00D85089">
      <w:pPr>
        <w:pStyle w:val="hebrew"/>
        <w:numPr>
          <w:ilvl w:val="0"/>
          <w:numId w:val="1"/>
        </w:numPr>
        <w:spacing w:line="360" w:lineRule="auto"/>
        <w:ind w:right="-850"/>
        <w:rPr>
          <w:rFonts w:asciiTheme="majorBidi" w:hAnsiTheme="majorBidi" w:cstheme="majorBidi"/>
          <w:sz w:val="24"/>
        </w:rPr>
      </w:pPr>
      <w:r>
        <w:rPr>
          <w:rFonts w:asciiTheme="majorBidi" w:hAnsiTheme="majorBidi" w:cstheme="majorBidi" w:hint="cs"/>
          <w:sz w:val="24"/>
          <w:rtl/>
        </w:rPr>
        <w:t>מהו הרציונל המבחין בין מעשה למחדל במשפט הפלילי</w:t>
      </w:r>
      <w:r w:rsidR="00D85089">
        <w:rPr>
          <w:rFonts w:asciiTheme="majorBidi" w:hAnsiTheme="majorBidi" w:cstheme="majorBidi" w:hint="cs"/>
          <w:sz w:val="24"/>
          <w:rtl/>
        </w:rPr>
        <w:t xml:space="preserve">? </w:t>
      </w:r>
      <w:r w:rsidR="00C6563E">
        <w:rPr>
          <w:rFonts w:asciiTheme="majorBidi" w:hAnsiTheme="majorBidi" w:cstheme="majorBidi" w:hint="cs"/>
          <w:sz w:val="24"/>
          <w:rtl/>
        </w:rPr>
        <w:t xml:space="preserve">בהקשר לכך יובהר מדוע יורשע האדם במחדל רק אם אותרה החובה לפעול ואילו כאשר מדובר במעשה אין הדבר כן? </w:t>
      </w:r>
      <w:r w:rsidR="00D85089">
        <w:rPr>
          <w:rFonts w:asciiTheme="majorBidi" w:hAnsiTheme="majorBidi" w:cstheme="majorBidi" w:hint="cs"/>
          <w:sz w:val="24"/>
          <w:rtl/>
        </w:rPr>
        <w:t xml:space="preserve">(2) </w:t>
      </w:r>
      <w:r>
        <w:rPr>
          <w:rFonts w:asciiTheme="majorBidi" w:hAnsiTheme="majorBidi" w:cstheme="majorBidi" w:hint="cs"/>
          <w:sz w:val="24"/>
          <w:rtl/>
        </w:rPr>
        <w:t>מהי ההגדרה של מעשה ומחדל במשפט הפלילי</w:t>
      </w:r>
      <w:r w:rsidR="00D85089">
        <w:rPr>
          <w:rFonts w:asciiTheme="majorBidi" w:hAnsiTheme="majorBidi" w:cstheme="majorBidi" w:hint="cs"/>
          <w:sz w:val="24"/>
          <w:rtl/>
        </w:rPr>
        <w:t xml:space="preserve"> ומהי עמדת בתי המשפט בארצות הברית בנוגע לכך?</w:t>
      </w:r>
      <w:r>
        <w:rPr>
          <w:rFonts w:asciiTheme="majorBidi" w:hAnsiTheme="majorBidi" w:cstheme="majorBidi" w:hint="cs"/>
          <w:sz w:val="24"/>
          <w:rtl/>
        </w:rPr>
        <w:t xml:space="preserve"> </w:t>
      </w:r>
      <w:r w:rsidR="00D85089">
        <w:rPr>
          <w:rFonts w:asciiTheme="majorBidi" w:hAnsiTheme="majorBidi" w:cstheme="majorBidi" w:hint="cs"/>
          <w:sz w:val="24"/>
          <w:rtl/>
        </w:rPr>
        <w:t xml:space="preserve">(3) </w:t>
      </w:r>
      <w:r>
        <w:rPr>
          <w:rFonts w:asciiTheme="majorBidi" w:hAnsiTheme="majorBidi" w:cstheme="majorBidi" w:hint="cs"/>
          <w:sz w:val="24"/>
          <w:rtl/>
        </w:rPr>
        <w:t>אלו חובות מספקות את הדרישה של חובה לפעול במחדל</w:t>
      </w:r>
      <w:r w:rsidR="00D85089">
        <w:rPr>
          <w:rFonts w:asciiTheme="majorBidi" w:hAnsiTheme="majorBidi" w:cstheme="majorBidi" w:hint="cs"/>
          <w:sz w:val="24"/>
          <w:rtl/>
        </w:rPr>
        <w:t xml:space="preserve">? האם כל חיקוק המטיל חובה לפעול יספק את דרישת החובה או שמא רק חובות ספציפיות יכולות לשמש את הדרישה כאמור? </w:t>
      </w:r>
      <w:r w:rsidR="009501F4">
        <w:rPr>
          <w:rFonts w:asciiTheme="majorBidi" w:hAnsiTheme="majorBidi" w:cstheme="majorBidi" w:hint="cs"/>
          <w:sz w:val="24"/>
          <w:rtl/>
        </w:rPr>
        <w:t xml:space="preserve">(4) </w:t>
      </w:r>
      <w:r w:rsidR="00D85089">
        <w:rPr>
          <w:rFonts w:asciiTheme="majorBidi" w:hAnsiTheme="majorBidi" w:cstheme="majorBidi" w:hint="cs"/>
          <w:sz w:val="24"/>
          <w:rtl/>
        </w:rPr>
        <w:t>האם צריך להיות הבדל מבחינת רמת הענישה בין מעשה שגרם לנזק לבין מחדל שגרם לאותו נזק אף כאשר הופרה חובה לפעול? (</w:t>
      </w:r>
      <w:r w:rsidR="009501F4">
        <w:rPr>
          <w:rFonts w:asciiTheme="majorBidi" w:hAnsiTheme="majorBidi" w:cstheme="majorBidi" w:hint="cs"/>
          <w:sz w:val="24"/>
          <w:rtl/>
        </w:rPr>
        <w:t>5</w:t>
      </w:r>
      <w:r w:rsidR="00D85089">
        <w:rPr>
          <w:rFonts w:asciiTheme="majorBidi" w:hAnsiTheme="majorBidi" w:cstheme="majorBidi" w:hint="cs"/>
          <w:sz w:val="24"/>
          <w:rtl/>
        </w:rPr>
        <w:t>) האם ההבחנה בין המתת חסד אקטיבית להמתת חסד פאסיבית קשורה להבחנה בין מעשה למחדל הפלילי?</w:t>
      </w:r>
    </w:p>
    <w:p w14:paraId="3073C11F" w14:textId="77777777" w:rsidR="007B3DDE" w:rsidRDefault="007B3DDE" w:rsidP="007B3DD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אחת ממטרות הספר היא להצביע על הקשר העמוק הקיים בין שאלת הרציונל להבחנה שבין מעשה למחדל במשפט הפלילי לבין השאלות המעשיות שהוצגו לעיל. </w:t>
      </w:r>
    </w:p>
    <w:p w14:paraId="3281D242" w14:textId="1DF6572C" w:rsidR="00C6563E" w:rsidRDefault="007A1A40" w:rsidP="00C6563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המבוא מדגיש כי </w:t>
      </w:r>
      <w:r w:rsidR="00C6563E">
        <w:rPr>
          <w:rFonts w:asciiTheme="majorBidi" w:hAnsiTheme="majorBidi" w:cstheme="majorBidi" w:hint="cs"/>
          <w:sz w:val="24"/>
          <w:rtl/>
        </w:rPr>
        <w:t xml:space="preserve">מניתוח הספרות המשפטית והפילוסופית ניתן לחלק את </w:t>
      </w:r>
      <w:proofErr w:type="spellStart"/>
      <w:r w:rsidR="00C6563E">
        <w:rPr>
          <w:rFonts w:asciiTheme="majorBidi" w:hAnsiTheme="majorBidi" w:cstheme="majorBidi" w:hint="cs"/>
          <w:sz w:val="24"/>
          <w:rtl/>
        </w:rPr>
        <w:t>הרציונלים</w:t>
      </w:r>
      <w:proofErr w:type="spellEnd"/>
      <w:r w:rsidR="00C6563E">
        <w:rPr>
          <w:rFonts w:asciiTheme="majorBidi" w:hAnsiTheme="majorBidi" w:cstheme="majorBidi" w:hint="cs"/>
          <w:sz w:val="24"/>
          <w:rtl/>
        </w:rPr>
        <w:t xml:space="preserve"> שהוצעו להבחנה שבין מעשה למחדל במשפט הפלילי לשני </w:t>
      </w:r>
      <w:r w:rsidR="001865AA">
        <w:rPr>
          <w:rFonts w:asciiTheme="majorBidi" w:hAnsiTheme="majorBidi" w:cstheme="majorBidi" w:hint="cs"/>
          <w:sz w:val="24"/>
          <w:rtl/>
        </w:rPr>
        <w:t>סוגים</w:t>
      </w:r>
      <w:r w:rsidR="00C6563E">
        <w:rPr>
          <w:rFonts w:asciiTheme="majorBidi" w:hAnsiTheme="majorBidi" w:cstheme="majorBidi" w:hint="cs"/>
          <w:sz w:val="24"/>
          <w:rtl/>
        </w:rPr>
        <w:t xml:space="preserve">: </w:t>
      </w:r>
      <w:proofErr w:type="spellStart"/>
      <w:r w:rsidR="00C6563E">
        <w:rPr>
          <w:rFonts w:asciiTheme="majorBidi" w:hAnsiTheme="majorBidi" w:cstheme="majorBidi" w:hint="cs"/>
          <w:sz w:val="24"/>
          <w:rtl/>
        </w:rPr>
        <w:t>רציונלים</w:t>
      </w:r>
      <w:proofErr w:type="spellEnd"/>
      <w:r w:rsidR="00C6563E">
        <w:rPr>
          <w:rFonts w:asciiTheme="majorBidi" w:hAnsiTheme="majorBidi" w:cstheme="majorBidi" w:hint="cs"/>
          <w:sz w:val="24"/>
          <w:rtl/>
        </w:rPr>
        <w:t xml:space="preserve"> משפטיים</w:t>
      </w:r>
      <w:r w:rsidR="00B35A49">
        <w:rPr>
          <w:rFonts w:asciiTheme="majorBidi" w:hAnsiTheme="majorBidi" w:cstheme="majorBidi" w:hint="cs"/>
          <w:sz w:val="24"/>
          <w:rtl/>
        </w:rPr>
        <w:t xml:space="preserve"> </w:t>
      </w:r>
      <w:proofErr w:type="spellStart"/>
      <w:r w:rsidR="00B35A49">
        <w:rPr>
          <w:rFonts w:asciiTheme="majorBidi" w:hAnsiTheme="majorBidi" w:cstheme="majorBidi" w:hint="cs"/>
          <w:sz w:val="24"/>
          <w:rtl/>
        </w:rPr>
        <w:t>ורציונלים</w:t>
      </w:r>
      <w:proofErr w:type="spellEnd"/>
      <w:r w:rsidR="00B35A49">
        <w:rPr>
          <w:rFonts w:asciiTheme="majorBidi" w:hAnsiTheme="majorBidi" w:cstheme="majorBidi" w:hint="cs"/>
          <w:sz w:val="24"/>
          <w:rtl/>
        </w:rPr>
        <w:t xml:space="preserve"> מוסריים</w:t>
      </w:r>
      <w:r w:rsidR="00C6563E">
        <w:rPr>
          <w:rFonts w:asciiTheme="majorBidi" w:hAnsiTheme="majorBidi" w:cstheme="majorBidi" w:hint="cs"/>
          <w:sz w:val="24"/>
          <w:rtl/>
        </w:rPr>
        <w:t>.</w:t>
      </w:r>
      <w:r w:rsidR="00B35A49">
        <w:rPr>
          <w:rFonts w:asciiTheme="majorBidi" w:hAnsiTheme="majorBidi" w:cstheme="majorBidi" w:hint="cs"/>
          <w:sz w:val="24"/>
          <w:rtl/>
        </w:rPr>
        <w:t xml:space="preserve"> </w:t>
      </w:r>
      <w:proofErr w:type="spellStart"/>
      <w:r w:rsidR="00B35A49">
        <w:rPr>
          <w:rFonts w:asciiTheme="majorBidi" w:hAnsiTheme="majorBidi" w:cstheme="majorBidi" w:hint="cs"/>
          <w:sz w:val="24"/>
          <w:rtl/>
        </w:rPr>
        <w:t>הרציונלים</w:t>
      </w:r>
      <w:proofErr w:type="spellEnd"/>
      <w:r w:rsidR="00B35A49">
        <w:rPr>
          <w:rFonts w:asciiTheme="majorBidi" w:hAnsiTheme="majorBidi" w:cstheme="majorBidi" w:hint="cs"/>
          <w:sz w:val="24"/>
          <w:rtl/>
        </w:rPr>
        <w:t xml:space="preserve"> </w:t>
      </w:r>
      <w:r w:rsidR="00554017">
        <w:rPr>
          <w:rFonts w:asciiTheme="majorBidi" w:hAnsiTheme="majorBidi" w:cstheme="majorBidi" w:hint="cs"/>
          <w:sz w:val="24"/>
          <w:rtl/>
        </w:rPr>
        <w:t xml:space="preserve">המשפטיים גורסים כי הצורך באיתור חובה לפעול במקרה של מחדל בניגוד למעשה נובע מבעיה בעקרון החוקיות, מרצון לפתור בעיית תאום בין האזרחים ומן הצורך לצמצם את מספר האשמים הפוטנציאליים. </w:t>
      </w:r>
      <w:proofErr w:type="spellStart"/>
      <w:r w:rsidR="009501F4">
        <w:rPr>
          <w:rFonts w:asciiTheme="majorBidi" w:hAnsiTheme="majorBidi" w:cstheme="majorBidi" w:hint="cs"/>
          <w:sz w:val="24"/>
          <w:rtl/>
        </w:rPr>
        <w:t>ה</w:t>
      </w:r>
      <w:r w:rsidR="00554017">
        <w:rPr>
          <w:rFonts w:asciiTheme="majorBidi" w:hAnsiTheme="majorBidi" w:cstheme="majorBidi" w:hint="cs"/>
          <w:sz w:val="24"/>
          <w:rtl/>
        </w:rPr>
        <w:t>רציונלים</w:t>
      </w:r>
      <w:proofErr w:type="spellEnd"/>
      <w:r w:rsidR="00554017">
        <w:rPr>
          <w:rFonts w:asciiTheme="majorBidi" w:hAnsiTheme="majorBidi" w:cstheme="majorBidi" w:hint="cs"/>
          <w:sz w:val="24"/>
          <w:rtl/>
        </w:rPr>
        <w:t xml:space="preserve"> המוסריים, </w:t>
      </w:r>
      <w:r w:rsidR="009501F4">
        <w:rPr>
          <w:rFonts w:asciiTheme="majorBidi" w:hAnsiTheme="majorBidi" w:cstheme="majorBidi" w:hint="cs"/>
          <w:sz w:val="24"/>
          <w:rtl/>
        </w:rPr>
        <w:t xml:space="preserve">שמים דגש כל אחד בנפרד, </w:t>
      </w:r>
      <w:r w:rsidR="008D44E4">
        <w:rPr>
          <w:rFonts w:asciiTheme="majorBidi" w:hAnsiTheme="majorBidi" w:cstheme="majorBidi" w:hint="cs"/>
          <w:sz w:val="24"/>
          <w:rtl/>
        </w:rPr>
        <w:t>על קודקוד אחר של המשולש הרלוונטי: ה</w:t>
      </w:r>
      <w:r w:rsidR="001865AA">
        <w:rPr>
          <w:rFonts w:asciiTheme="majorBidi" w:hAnsiTheme="majorBidi" w:cstheme="majorBidi" w:hint="cs"/>
          <w:sz w:val="24"/>
          <w:rtl/>
        </w:rPr>
        <w:t>נאשם</w:t>
      </w:r>
      <w:r w:rsidR="00A530A2">
        <w:rPr>
          <w:rFonts w:asciiTheme="majorBidi" w:hAnsiTheme="majorBidi" w:cstheme="majorBidi" w:hint="cs"/>
          <w:sz w:val="24"/>
          <w:rtl/>
        </w:rPr>
        <w:t xml:space="preserve"> הפוטנציאלי</w:t>
      </w:r>
      <w:r w:rsidR="008D44E4">
        <w:rPr>
          <w:rFonts w:asciiTheme="majorBidi" w:hAnsiTheme="majorBidi" w:cstheme="majorBidi" w:hint="cs"/>
          <w:sz w:val="24"/>
          <w:rtl/>
        </w:rPr>
        <w:t>, הקשר הסיבתי בין התנהגות ה</w:t>
      </w:r>
      <w:r w:rsidR="001865AA">
        <w:rPr>
          <w:rFonts w:asciiTheme="majorBidi" w:hAnsiTheme="majorBidi" w:cstheme="majorBidi" w:hint="cs"/>
          <w:sz w:val="24"/>
          <w:rtl/>
        </w:rPr>
        <w:t>נאשם</w:t>
      </w:r>
      <w:r w:rsidR="008D44E4">
        <w:rPr>
          <w:rFonts w:asciiTheme="majorBidi" w:hAnsiTheme="majorBidi" w:cstheme="majorBidi" w:hint="cs"/>
          <w:sz w:val="24"/>
          <w:rtl/>
        </w:rPr>
        <w:t xml:space="preserve"> לנזק האסור, והנזק שנגרם לקרבן. </w:t>
      </w:r>
      <w:r w:rsidR="00452D6B">
        <w:rPr>
          <w:rFonts w:asciiTheme="majorBidi" w:hAnsiTheme="majorBidi" w:cstheme="majorBidi" w:hint="cs"/>
          <w:sz w:val="24"/>
          <w:rtl/>
        </w:rPr>
        <w:t>כך, רציונל החירות מתמקד בקודקוד "הפועל" שבמשולש</w:t>
      </w:r>
      <w:r w:rsidR="00544CB2">
        <w:rPr>
          <w:rFonts w:asciiTheme="majorBidi" w:hAnsiTheme="majorBidi" w:cstheme="majorBidi" w:hint="cs"/>
          <w:sz w:val="24"/>
          <w:rtl/>
        </w:rPr>
        <w:t xml:space="preserve">, ובאופן ספציפי בפגיעה השונה בחירותו של </w:t>
      </w:r>
      <w:r w:rsidR="00050206">
        <w:rPr>
          <w:rFonts w:asciiTheme="majorBidi" w:hAnsiTheme="majorBidi" w:cstheme="majorBidi" w:hint="cs"/>
          <w:sz w:val="24"/>
          <w:rtl/>
        </w:rPr>
        <w:t>"</w:t>
      </w:r>
      <w:r w:rsidR="00544CB2">
        <w:rPr>
          <w:rFonts w:asciiTheme="majorBidi" w:hAnsiTheme="majorBidi" w:cstheme="majorBidi" w:hint="cs"/>
          <w:sz w:val="24"/>
          <w:rtl/>
        </w:rPr>
        <w:t>הפועל</w:t>
      </w:r>
      <w:r w:rsidR="00050206">
        <w:rPr>
          <w:rFonts w:asciiTheme="majorBidi" w:hAnsiTheme="majorBidi" w:cstheme="majorBidi" w:hint="cs"/>
          <w:sz w:val="24"/>
          <w:rtl/>
        </w:rPr>
        <w:t>"</w:t>
      </w:r>
      <w:r w:rsidR="00544CB2">
        <w:rPr>
          <w:rFonts w:asciiTheme="majorBidi" w:hAnsiTheme="majorBidi" w:cstheme="majorBidi" w:hint="cs"/>
          <w:sz w:val="24"/>
          <w:rtl/>
        </w:rPr>
        <w:t xml:space="preserve"> במקרה של איסור בגין מעשה אל מול איסור בגין מחדל. לעומת זאת, רציונל הסיבתיות מתמקד בקודקוד של הקשר הסיבתי שבין התנהגות הנאשם לנזק שנגרם לקרבן. ולבסוף הרציונל השלישי מדגיש את הפגיעה בקודקוד השלישי של המשולש, הלוא הוא </w:t>
      </w:r>
      <w:proofErr w:type="spellStart"/>
      <w:r w:rsidR="00544CB2">
        <w:rPr>
          <w:rFonts w:asciiTheme="majorBidi" w:hAnsiTheme="majorBidi" w:cstheme="majorBidi" w:hint="cs"/>
          <w:sz w:val="24"/>
          <w:rtl/>
        </w:rPr>
        <w:t>הקרבן</w:t>
      </w:r>
      <w:proofErr w:type="spellEnd"/>
      <w:r w:rsidR="00544CB2">
        <w:rPr>
          <w:rFonts w:asciiTheme="majorBidi" w:hAnsiTheme="majorBidi" w:cstheme="majorBidi" w:hint="cs"/>
          <w:sz w:val="24"/>
          <w:rtl/>
        </w:rPr>
        <w:t xml:space="preserve">. </w:t>
      </w:r>
    </w:p>
    <w:p w14:paraId="7DA0C425" w14:textId="1ED0D4ED" w:rsidR="00F6349A" w:rsidRDefault="007B3DDE" w:rsidP="00C6563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lastRenderedPageBreak/>
        <w:t xml:space="preserve">בסיום סקירת </w:t>
      </w:r>
      <w:proofErr w:type="spellStart"/>
      <w:r>
        <w:rPr>
          <w:rFonts w:asciiTheme="majorBidi" w:hAnsiTheme="majorBidi" w:cstheme="majorBidi" w:hint="cs"/>
          <w:sz w:val="24"/>
          <w:rtl/>
        </w:rPr>
        <w:t>הרציונלים</w:t>
      </w:r>
      <w:proofErr w:type="spellEnd"/>
      <w:r>
        <w:rPr>
          <w:rFonts w:asciiTheme="majorBidi" w:hAnsiTheme="majorBidi" w:cstheme="majorBidi" w:hint="cs"/>
          <w:sz w:val="24"/>
          <w:rtl/>
        </w:rPr>
        <w:t xml:space="preserve"> השונים, מוצגת בקצרה</w:t>
      </w:r>
      <w:r w:rsidR="00050206">
        <w:rPr>
          <w:rFonts w:asciiTheme="majorBidi" w:hAnsiTheme="majorBidi" w:cstheme="majorBidi" w:hint="cs"/>
          <w:sz w:val="24"/>
          <w:rtl/>
        </w:rPr>
        <w:t xml:space="preserve"> במבוא,</w:t>
      </w:r>
      <w:r>
        <w:rPr>
          <w:rFonts w:asciiTheme="majorBidi" w:hAnsiTheme="majorBidi" w:cstheme="majorBidi" w:hint="cs"/>
          <w:sz w:val="24"/>
          <w:rtl/>
        </w:rPr>
        <w:t xml:space="preserve"> התיאוריה אותה </w:t>
      </w:r>
      <w:r w:rsidR="00A530A2">
        <w:rPr>
          <w:rFonts w:asciiTheme="majorBidi" w:hAnsiTheme="majorBidi" w:cstheme="majorBidi" w:hint="cs"/>
          <w:sz w:val="24"/>
          <w:rtl/>
        </w:rPr>
        <w:t>אני מציע</w:t>
      </w:r>
      <w:r>
        <w:rPr>
          <w:rFonts w:asciiTheme="majorBidi" w:hAnsiTheme="majorBidi" w:cstheme="majorBidi" w:hint="cs"/>
          <w:sz w:val="24"/>
          <w:rtl/>
        </w:rPr>
        <w:t xml:space="preserve"> לפיה ההבחנה בין מעשה למחדל במשפט הפלילי נעוצה בפגיעה השונה באוטונומיה של הפרט</w:t>
      </w:r>
      <w:r w:rsidR="00050206">
        <w:rPr>
          <w:rFonts w:asciiTheme="majorBidi" w:hAnsiTheme="majorBidi" w:cstheme="majorBidi" w:hint="cs"/>
          <w:sz w:val="24"/>
          <w:rtl/>
        </w:rPr>
        <w:t xml:space="preserve"> בהמתה במעשה אל מול המתה במחדל</w:t>
      </w:r>
      <w:r>
        <w:rPr>
          <w:rFonts w:asciiTheme="majorBidi" w:hAnsiTheme="majorBidi" w:cstheme="majorBidi" w:hint="cs"/>
          <w:sz w:val="24"/>
          <w:rtl/>
        </w:rPr>
        <w:t xml:space="preserve">. </w:t>
      </w:r>
    </w:p>
    <w:p w14:paraId="7F162BB7" w14:textId="2E625313" w:rsidR="00576990" w:rsidRDefault="00576990" w:rsidP="00C6563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 </w:t>
      </w:r>
    </w:p>
    <w:p w14:paraId="32391F04" w14:textId="775ACEF5" w:rsidR="00576990" w:rsidRPr="00470C90" w:rsidRDefault="00F5761E" w:rsidP="00C6563E">
      <w:pPr>
        <w:pStyle w:val="hebrew"/>
        <w:spacing w:line="360" w:lineRule="auto"/>
        <w:ind w:left="-566" w:right="-850" w:firstLine="0"/>
        <w:rPr>
          <w:rFonts w:asciiTheme="majorBidi" w:hAnsiTheme="majorBidi" w:cstheme="majorBidi"/>
          <w:b/>
          <w:bCs/>
          <w:sz w:val="24"/>
          <w:rtl/>
        </w:rPr>
      </w:pPr>
      <w:r w:rsidRPr="00470C90">
        <w:rPr>
          <w:rFonts w:asciiTheme="majorBidi" w:hAnsiTheme="majorBidi" w:cstheme="majorBidi" w:hint="cs"/>
          <w:b/>
          <w:bCs/>
          <w:sz w:val="24"/>
          <w:rtl/>
        </w:rPr>
        <w:t>השער הראשון</w:t>
      </w:r>
    </w:p>
    <w:p w14:paraId="2559350F" w14:textId="59E8A2CF" w:rsidR="00576990" w:rsidRPr="007B3DDE" w:rsidRDefault="00576990" w:rsidP="00576990">
      <w:pPr>
        <w:pStyle w:val="hebrew"/>
        <w:spacing w:line="360" w:lineRule="auto"/>
        <w:ind w:left="-566" w:right="-850" w:firstLine="0"/>
        <w:rPr>
          <w:rFonts w:asciiTheme="majorBidi" w:hAnsiTheme="majorBidi" w:cstheme="majorBidi"/>
          <w:b/>
          <w:bCs/>
          <w:sz w:val="24"/>
          <w:rtl/>
        </w:rPr>
      </w:pPr>
      <w:r w:rsidRPr="007B3DDE">
        <w:rPr>
          <w:rFonts w:asciiTheme="majorBidi" w:hAnsiTheme="majorBidi" w:cstheme="majorBidi" w:hint="cs"/>
          <w:b/>
          <w:bCs/>
          <w:sz w:val="24"/>
          <w:rtl/>
        </w:rPr>
        <w:t xml:space="preserve">פרק א </w:t>
      </w:r>
      <w:r w:rsidRPr="007B3DDE">
        <w:rPr>
          <w:rFonts w:asciiTheme="majorBidi" w:hAnsiTheme="majorBidi" w:cstheme="majorBidi"/>
          <w:b/>
          <w:bCs/>
          <w:sz w:val="24"/>
          <w:rtl/>
        </w:rPr>
        <w:t>–</w:t>
      </w:r>
      <w:r w:rsidRPr="007B3DDE">
        <w:rPr>
          <w:rFonts w:asciiTheme="majorBidi" w:hAnsiTheme="majorBidi" w:cstheme="majorBidi" w:hint="cs"/>
          <w:b/>
          <w:bCs/>
          <w:sz w:val="24"/>
          <w:rtl/>
        </w:rPr>
        <w:t xml:space="preserve"> התיאוריה הסקפטית המשווה</w:t>
      </w:r>
    </w:p>
    <w:p w14:paraId="2D406CDB" w14:textId="0462CA35" w:rsidR="007C4632" w:rsidRDefault="00576990" w:rsidP="00576990">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בפרק זה אדון בתאוריה הסקפטית הגורסת כי לא קיימת כלל הבחנה מוסרית בין</w:t>
      </w:r>
      <w:r w:rsidR="007C4632">
        <w:rPr>
          <w:rFonts w:asciiTheme="majorBidi" w:hAnsiTheme="majorBidi" w:cstheme="majorBidi" w:hint="cs"/>
          <w:sz w:val="24"/>
          <w:rtl/>
        </w:rPr>
        <w:t xml:space="preserve"> מעשה למחדל</w:t>
      </w:r>
      <w:r w:rsidR="00A530A2">
        <w:rPr>
          <w:rFonts w:asciiTheme="majorBidi" w:hAnsiTheme="majorBidi" w:cstheme="majorBidi" w:hint="cs"/>
          <w:sz w:val="24"/>
          <w:rtl/>
        </w:rPr>
        <w:t xml:space="preserve"> בכלל ובין </w:t>
      </w:r>
      <w:r w:rsidR="00A530A2">
        <w:rPr>
          <w:rFonts w:asciiTheme="majorBidi" w:hAnsiTheme="majorBidi" w:cstheme="majorBidi"/>
          <w:sz w:val="24"/>
        </w:rPr>
        <w:t>k</w:t>
      </w:r>
      <w:r w:rsidR="007C4632">
        <w:rPr>
          <w:rFonts w:asciiTheme="majorBidi" w:hAnsiTheme="majorBidi" w:cstheme="majorBidi"/>
          <w:sz w:val="24"/>
        </w:rPr>
        <w:t xml:space="preserve">illing </w:t>
      </w:r>
      <w:r w:rsidR="007C4632">
        <w:rPr>
          <w:rFonts w:asciiTheme="majorBidi" w:hAnsiTheme="majorBidi" w:cstheme="majorBidi" w:hint="cs"/>
          <w:sz w:val="24"/>
          <w:rtl/>
        </w:rPr>
        <w:t xml:space="preserve"> ל</w:t>
      </w:r>
      <w:r w:rsidR="00A530A2">
        <w:rPr>
          <w:rFonts w:asciiTheme="majorBidi" w:hAnsiTheme="majorBidi" w:cstheme="majorBidi" w:hint="cs"/>
          <w:sz w:val="24"/>
          <w:rtl/>
        </w:rPr>
        <w:t xml:space="preserve"> -</w:t>
      </w:r>
      <w:r w:rsidR="007C4632">
        <w:rPr>
          <w:rFonts w:asciiTheme="majorBidi" w:hAnsiTheme="majorBidi" w:cstheme="majorBidi" w:hint="cs"/>
          <w:sz w:val="24"/>
          <w:rtl/>
        </w:rPr>
        <w:t xml:space="preserve"> </w:t>
      </w:r>
      <w:r w:rsidR="007C4632">
        <w:rPr>
          <w:rFonts w:asciiTheme="majorBidi" w:hAnsiTheme="majorBidi" w:cstheme="majorBidi"/>
          <w:sz w:val="24"/>
        </w:rPr>
        <w:t>letting die</w:t>
      </w:r>
      <w:r w:rsidR="00022CE5">
        <w:rPr>
          <w:rFonts w:asciiTheme="majorBidi" w:hAnsiTheme="majorBidi" w:cstheme="majorBidi" w:hint="cs"/>
          <w:sz w:val="24"/>
          <w:rtl/>
        </w:rPr>
        <w:t xml:space="preserve"> בפרט</w:t>
      </w:r>
      <w:r w:rsidR="007C4632">
        <w:rPr>
          <w:rFonts w:asciiTheme="majorBidi" w:hAnsiTheme="majorBidi" w:cstheme="majorBidi" w:hint="cs"/>
          <w:sz w:val="24"/>
          <w:rtl/>
        </w:rPr>
        <w:t xml:space="preserve">. לפי תאוריה זו כאשר כל התנאים שווים </w:t>
      </w:r>
      <w:r w:rsidR="007C4632">
        <w:rPr>
          <w:rFonts w:asciiTheme="majorBidi" w:hAnsiTheme="majorBidi" w:cstheme="majorBidi"/>
          <w:sz w:val="24"/>
          <w:rtl/>
        </w:rPr>
        <w:t>–</w:t>
      </w:r>
      <w:r w:rsidR="007C4632">
        <w:rPr>
          <w:rFonts w:asciiTheme="majorBidi" w:hAnsiTheme="majorBidi" w:cstheme="majorBidi" w:hint="cs"/>
          <w:sz w:val="24"/>
          <w:rtl/>
        </w:rPr>
        <w:t xml:space="preserve"> הכוונות, המניעים, התוצאות וההוצאות למניעת הנזק </w:t>
      </w:r>
      <w:r w:rsidR="007C4632">
        <w:rPr>
          <w:rFonts w:asciiTheme="majorBidi" w:hAnsiTheme="majorBidi" w:cstheme="majorBidi"/>
          <w:sz w:val="24"/>
          <w:rtl/>
        </w:rPr>
        <w:t>–</w:t>
      </w:r>
      <w:r w:rsidR="007C4632">
        <w:rPr>
          <w:rFonts w:asciiTheme="majorBidi" w:hAnsiTheme="majorBidi" w:cstheme="majorBidi" w:hint="cs"/>
          <w:sz w:val="24"/>
          <w:rtl/>
        </w:rPr>
        <w:t xml:space="preserve"> אין הבדל בין מעשה שגרם לנזק לבין מחדל שגרם לנזק זהה. יש לציין כי העמדות הסקפטיות שתקפו את ההבחנה המוסרית שבין מעשה למחדל אינן עשויות מקשה אחת ובפרק זה אציג את ההבחנות ביניהן. </w:t>
      </w:r>
      <w:r w:rsidR="001268F9">
        <w:rPr>
          <w:rFonts w:asciiTheme="majorBidi" w:hAnsiTheme="majorBidi" w:cstheme="majorBidi" w:hint="cs"/>
          <w:sz w:val="24"/>
          <w:rtl/>
        </w:rPr>
        <w:t xml:space="preserve">בסיום כל גישה אציג את הביקורת האפשרית כלפיה. </w:t>
      </w:r>
    </w:p>
    <w:p w14:paraId="6D8E43EA" w14:textId="77777777" w:rsidR="007C4632" w:rsidRDefault="007C4632" w:rsidP="00576990">
      <w:pPr>
        <w:pStyle w:val="hebrew"/>
        <w:spacing w:line="360" w:lineRule="auto"/>
        <w:ind w:left="-566" w:right="-850" w:firstLine="0"/>
        <w:rPr>
          <w:rFonts w:asciiTheme="majorBidi" w:hAnsiTheme="majorBidi" w:cstheme="majorBidi"/>
          <w:sz w:val="24"/>
          <w:rtl/>
        </w:rPr>
      </w:pPr>
    </w:p>
    <w:p w14:paraId="772A5942" w14:textId="77777777" w:rsidR="007C4632" w:rsidRPr="001268F9" w:rsidRDefault="007C4632" w:rsidP="007C4632">
      <w:pPr>
        <w:pStyle w:val="hebrew"/>
        <w:numPr>
          <w:ilvl w:val="0"/>
          <w:numId w:val="3"/>
        </w:numPr>
        <w:spacing w:line="360" w:lineRule="auto"/>
        <w:ind w:right="-850"/>
        <w:rPr>
          <w:rFonts w:asciiTheme="majorBidi" w:hAnsiTheme="majorBidi" w:cstheme="majorBidi"/>
          <w:b/>
          <w:bCs/>
          <w:sz w:val="24"/>
        </w:rPr>
      </w:pPr>
      <w:r w:rsidRPr="001268F9">
        <w:rPr>
          <w:rFonts w:asciiTheme="majorBidi" w:hAnsiTheme="majorBidi" w:cstheme="majorBidi" w:hint="cs"/>
          <w:b/>
          <w:bCs/>
          <w:sz w:val="24"/>
          <w:rtl/>
        </w:rPr>
        <w:t>טיעון השוואת המקרים</w:t>
      </w:r>
    </w:p>
    <w:p w14:paraId="38AFC1ED" w14:textId="2C8D868C" w:rsidR="00F67B04" w:rsidRDefault="00F67B04" w:rsidP="007C4632">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בסעיף זה אציג את </w:t>
      </w:r>
      <w:r w:rsidR="007C4632">
        <w:rPr>
          <w:rFonts w:asciiTheme="majorBidi" w:hAnsiTheme="majorBidi" w:cstheme="majorBidi" w:hint="cs"/>
          <w:sz w:val="24"/>
          <w:rtl/>
        </w:rPr>
        <w:t>העמדה הראשונה השוללת קיום הבחנה מוסרית בין מעשה למחדל</w:t>
      </w:r>
      <w:r>
        <w:rPr>
          <w:rFonts w:asciiTheme="majorBidi" w:hAnsiTheme="majorBidi" w:cstheme="majorBidi" w:hint="cs"/>
          <w:sz w:val="24"/>
          <w:rtl/>
        </w:rPr>
        <w:t>. המתודולוגיה של עמדה זו</w:t>
      </w:r>
      <w:r w:rsidR="007C4632">
        <w:rPr>
          <w:rFonts w:asciiTheme="majorBidi" w:hAnsiTheme="majorBidi" w:cstheme="majorBidi" w:hint="cs"/>
          <w:sz w:val="24"/>
          <w:rtl/>
        </w:rPr>
        <w:t xml:space="preserve"> מתמקדת בהצגת שני מקרים השווים בכל התנאים למע</w:t>
      </w:r>
      <w:r>
        <w:rPr>
          <w:rFonts w:asciiTheme="majorBidi" w:hAnsiTheme="majorBidi" w:cstheme="majorBidi" w:hint="cs"/>
          <w:sz w:val="24"/>
          <w:rtl/>
        </w:rPr>
        <w:t xml:space="preserve">ט העובדה כי במקרה אחד הנזק נגרם כתוצאה ממעשה ואילו במקרה השני הנזק נגרם כתוצאה ממחדל. </w:t>
      </w:r>
    </w:p>
    <w:p w14:paraId="4CBAC5A0" w14:textId="073EB561" w:rsidR="00576990" w:rsidRPr="001268F9" w:rsidRDefault="00F67B04" w:rsidP="00F67B04">
      <w:pPr>
        <w:pStyle w:val="hebrew"/>
        <w:numPr>
          <w:ilvl w:val="0"/>
          <w:numId w:val="3"/>
        </w:numPr>
        <w:spacing w:line="360" w:lineRule="auto"/>
        <w:ind w:right="-850"/>
        <w:rPr>
          <w:rFonts w:asciiTheme="majorBidi" w:hAnsiTheme="majorBidi" w:cstheme="majorBidi"/>
          <w:b/>
          <w:bCs/>
          <w:sz w:val="24"/>
        </w:rPr>
      </w:pPr>
      <w:r w:rsidRPr="001268F9">
        <w:rPr>
          <w:rFonts w:asciiTheme="majorBidi" w:hAnsiTheme="majorBidi" w:cstheme="majorBidi" w:hint="cs"/>
          <w:b/>
          <w:bCs/>
          <w:sz w:val="24"/>
          <w:rtl/>
        </w:rPr>
        <w:t>טיעון השוואת הנימוקים לאיסור</w:t>
      </w:r>
    </w:p>
    <w:p w14:paraId="013265C4" w14:textId="21975CB4" w:rsidR="00F67B04" w:rsidRDefault="00F67B04" w:rsidP="00F67B04">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בניגוד לגישה הראשונה שניסתה לשלול את ההבחנה המוסרית על ידי השוואת שני מקרים, הגישה השנייה שפותחה על ידי ג'יימס </w:t>
      </w:r>
      <w:proofErr w:type="spellStart"/>
      <w:r>
        <w:rPr>
          <w:rFonts w:asciiTheme="majorBidi" w:hAnsiTheme="majorBidi" w:cstheme="majorBidi" w:hint="cs"/>
          <w:sz w:val="24"/>
          <w:rtl/>
        </w:rPr>
        <w:t>רייצ'לס</w:t>
      </w:r>
      <w:proofErr w:type="spellEnd"/>
      <w:r>
        <w:rPr>
          <w:rFonts w:asciiTheme="majorBidi" w:hAnsiTheme="majorBidi" w:cstheme="majorBidi" w:hint="cs"/>
          <w:sz w:val="24"/>
          <w:rtl/>
        </w:rPr>
        <w:t xml:space="preserve"> מתמקדת בניתוח הנימוקים המצויים בבסיס האיסור </w:t>
      </w:r>
      <w:r w:rsidR="00633489">
        <w:rPr>
          <w:rFonts w:asciiTheme="majorBidi" w:hAnsiTheme="majorBidi" w:cstheme="majorBidi" w:hint="cs"/>
          <w:sz w:val="24"/>
          <w:rtl/>
        </w:rPr>
        <w:t xml:space="preserve">כנגד </w:t>
      </w:r>
      <w:r w:rsidR="00633489">
        <w:rPr>
          <w:rFonts w:asciiTheme="majorBidi" w:hAnsiTheme="majorBidi" w:cstheme="majorBidi"/>
          <w:sz w:val="24"/>
        </w:rPr>
        <w:t>killing</w:t>
      </w:r>
      <w:r w:rsidR="00633489">
        <w:rPr>
          <w:rFonts w:asciiTheme="majorBidi" w:hAnsiTheme="majorBidi" w:cstheme="majorBidi" w:hint="cs"/>
          <w:sz w:val="24"/>
          <w:rtl/>
        </w:rPr>
        <w:t xml:space="preserve"> ו</w:t>
      </w:r>
      <w:r w:rsidR="00A530A2">
        <w:rPr>
          <w:rFonts w:asciiTheme="majorBidi" w:hAnsiTheme="majorBidi" w:cstheme="majorBidi"/>
          <w:sz w:val="24"/>
        </w:rPr>
        <w:t>l</w:t>
      </w:r>
      <w:r w:rsidR="00633489">
        <w:rPr>
          <w:rFonts w:asciiTheme="majorBidi" w:hAnsiTheme="majorBidi" w:cstheme="majorBidi"/>
          <w:sz w:val="24"/>
        </w:rPr>
        <w:t>etting die</w:t>
      </w:r>
      <w:r w:rsidR="00633489">
        <w:rPr>
          <w:rFonts w:asciiTheme="majorBidi" w:hAnsiTheme="majorBidi" w:cstheme="majorBidi" w:hint="cs"/>
          <w:sz w:val="24"/>
          <w:rtl/>
        </w:rPr>
        <w:t xml:space="preserve">. גישה זו מנסה לשלול את ההבחנה המוסרית לא על אינטואיציה שיפוטית בנוגע להשוואת שני המקרים, אלא על מהלך לוגי מסודר אשר יוכיח כי לא יתכן שקיימת הבחנה מוסרית בין שני המקרים. </w:t>
      </w:r>
    </w:p>
    <w:p w14:paraId="55764837" w14:textId="1AF6B10E" w:rsidR="00633489" w:rsidRPr="001268F9" w:rsidRDefault="00633489" w:rsidP="00633489">
      <w:pPr>
        <w:pStyle w:val="hebrew"/>
        <w:numPr>
          <w:ilvl w:val="0"/>
          <w:numId w:val="3"/>
        </w:numPr>
        <w:spacing w:line="360" w:lineRule="auto"/>
        <w:ind w:right="-850"/>
        <w:rPr>
          <w:rFonts w:asciiTheme="majorBidi" w:hAnsiTheme="majorBidi" w:cstheme="majorBidi"/>
          <w:b/>
          <w:bCs/>
          <w:sz w:val="24"/>
        </w:rPr>
      </w:pPr>
      <w:r w:rsidRPr="001268F9">
        <w:rPr>
          <w:rFonts w:asciiTheme="majorBidi" w:hAnsiTheme="majorBidi" w:cstheme="majorBidi" w:hint="cs"/>
          <w:b/>
          <w:bCs/>
          <w:sz w:val="24"/>
          <w:rtl/>
        </w:rPr>
        <w:t xml:space="preserve">טיעון תקיפת הרציונל המוסרי </w:t>
      </w:r>
    </w:p>
    <w:p w14:paraId="04F3210F" w14:textId="2BF188E1" w:rsidR="00633489" w:rsidRDefault="00633489" w:rsidP="00633489">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lastRenderedPageBreak/>
        <w:t xml:space="preserve">בניגוד לשתי הגישות הקודמות, אשר ניסו להעלות טיעונים פוזיטיביים לטובת שלילת ההבחנה המוסרית, הגישה הנוכחית מנסה לשלול את ההבחנה המוסרית על ידי דחיית </w:t>
      </w:r>
      <w:proofErr w:type="spellStart"/>
      <w:r>
        <w:rPr>
          <w:rFonts w:asciiTheme="majorBidi" w:hAnsiTheme="majorBidi" w:cstheme="majorBidi" w:hint="cs"/>
          <w:sz w:val="24"/>
          <w:rtl/>
        </w:rPr>
        <w:t>הרציונלים</w:t>
      </w:r>
      <w:proofErr w:type="spellEnd"/>
      <w:r>
        <w:rPr>
          <w:rFonts w:asciiTheme="majorBidi" w:hAnsiTheme="majorBidi" w:cstheme="majorBidi" w:hint="cs"/>
          <w:sz w:val="24"/>
          <w:rtl/>
        </w:rPr>
        <w:t xml:space="preserve"> השונים שהועלו להבחנה שבין מעשה למחדל. </w:t>
      </w:r>
    </w:p>
    <w:p w14:paraId="6C1CFA66" w14:textId="39D1D85C" w:rsidR="00633489" w:rsidRPr="001268F9" w:rsidRDefault="00633489" w:rsidP="00633489">
      <w:pPr>
        <w:pStyle w:val="hebrew"/>
        <w:numPr>
          <w:ilvl w:val="0"/>
          <w:numId w:val="3"/>
        </w:numPr>
        <w:spacing w:line="360" w:lineRule="auto"/>
        <w:ind w:right="-850"/>
        <w:rPr>
          <w:rFonts w:asciiTheme="majorBidi" w:hAnsiTheme="majorBidi" w:cstheme="majorBidi"/>
          <w:b/>
          <w:bCs/>
          <w:sz w:val="24"/>
          <w:rtl/>
        </w:rPr>
      </w:pPr>
      <w:r w:rsidRPr="001268F9">
        <w:rPr>
          <w:rFonts w:asciiTheme="majorBidi" w:hAnsiTheme="majorBidi" w:cstheme="majorBidi" w:hint="cs"/>
          <w:b/>
          <w:bCs/>
          <w:sz w:val="24"/>
          <w:rtl/>
        </w:rPr>
        <w:t xml:space="preserve">טיעון תקיפת ההגדרה </w:t>
      </w:r>
    </w:p>
    <w:p w14:paraId="579B7507" w14:textId="25D157CE" w:rsidR="00941DDD" w:rsidRDefault="00C46B3C" w:rsidP="00301992">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 </w:t>
      </w:r>
      <w:r w:rsidR="00941DDD">
        <w:rPr>
          <w:rFonts w:asciiTheme="majorBidi" w:hAnsiTheme="majorBidi" w:cstheme="majorBidi" w:hint="cs"/>
          <w:sz w:val="24"/>
          <w:rtl/>
        </w:rPr>
        <w:t xml:space="preserve">הגישה הרביעית והאחרונה מתייחסים להוגים אשר הגדירו את המושגים של </w:t>
      </w:r>
      <w:r w:rsidR="00941DDD">
        <w:rPr>
          <w:rFonts w:asciiTheme="majorBidi" w:hAnsiTheme="majorBidi" w:cstheme="majorBidi"/>
          <w:sz w:val="24"/>
        </w:rPr>
        <w:t>killing</w:t>
      </w:r>
      <w:r w:rsidR="00941DDD">
        <w:rPr>
          <w:rFonts w:asciiTheme="majorBidi" w:hAnsiTheme="majorBidi" w:cstheme="majorBidi" w:hint="cs"/>
          <w:sz w:val="24"/>
        </w:rPr>
        <w:t xml:space="preserve"> </w:t>
      </w:r>
      <w:r w:rsidR="00941DDD">
        <w:rPr>
          <w:rFonts w:asciiTheme="majorBidi" w:hAnsiTheme="majorBidi" w:cstheme="majorBidi"/>
          <w:sz w:val="24"/>
        </w:rPr>
        <w:t xml:space="preserve"> </w:t>
      </w:r>
      <w:r w:rsidR="00941DDD">
        <w:rPr>
          <w:rFonts w:asciiTheme="majorBidi" w:hAnsiTheme="majorBidi" w:cstheme="majorBidi" w:hint="cs"/>
          <w:sz w:val="24"/>
          <w:rtl/>
        </w:rPr>
        <w:t xml:space="preserve"> ו </w:t>
      </w:r>
      <w:r w:rsidR="00941DDD">
        <w:rPr>
          <w:rFonts w:asciiTheme="majorBidi" w:hAnsiTheme="majorBidi" w:cstheme="majorBidi"/>
          <w:sz w:val="24"/>
          <w:rtl/>
        </w:rPr>
        <w:t>–</w:t>
      </w:r>
      <w:r w:rsidR="00941DDD">
        <w:rPr>
          <w:rFonts w:asciiTheme="majorBidi" w:hAnsiTheme="majorBidi" w:cstheme="majorBidi" w:hint="cs"/>
          <w:sz w:val="24"/>
          <w:rtl/>
        </w:rPr>
        <w:t xml:space="preserve"> </w:t>
      </w:r>
      <w:r w:rsidR="00941DDD">
        <w:rPr>
          <w:rFonts w:asciiTheme="majorBidi" w:hAnsiTheme="majorBidi" w:cstheme="majorBidi"/>
          <w:sz w:val="24"/>
        </w:rPr>
        <w:t>letting die</w:t>
      </w:r>
      <w:r w:rsidR="00941DDD">
        <w:rPr>
          <w:rFonts w:asciiTheme="majorBidi" w:hAnsiTheme="majorBidi" w:cstheme="majorBidi" w:hint="cs"/>
          <w:sz w:val="24"/>
          <w:rtl/>
        </w:rPr>
        <w:t xml:space="preserve"> אך טענו כי נוכח הגדרה זו, לא קיים רציונל מוסרי להבחנה שבין מעשה ומחדל בכלל ובין </w:t>
      </w:r>
      <w:r w:rsidR="00941DDD">
        <w:rPr>
          <w:rFonts w:asciiTheme="majorBidi" w:hAnsiTheme="majorBidi" w:cstheme="majorBidi"/>
          <w:sz w:val="24"/>
        </w:rPr>
        <w:t>killing</w:t>
      </w:r>
      <w:r w:rsidR="00941DDD">
        <w:rPr>
          <w:rFonts w:asciiTheme="majorBidi" w:hAnsiTheme="majorBidi" w:cstheme="majorBidi" w:hint="cs"/>
          <w:sz w:val="24"/>
          <w:rtl/>
        </w:rPr>
        <w:t xml:space="preserve"> ל- </w:t>
      </w:r>
      <w:r w:rsidR="00941DDD">
        <w:rPr>
          <w:rFonts w:asciiTheme="majorBidi" w:hAnsiTheme="majorBidi" w:cstheme="majorBidi"/>
          <w:sz w:val="24"/>
        </w:rPr>
        <w:t>letting die</w:t>
      </w:r>
      <w:r w:rsidR="00941DDD">
        <w:rPr>
          <w:rFonts w:asciiTheme="majorBidi" w:hAnsiTheme="majorBidi" w:cstheme="majorBidi" w:hint="cs"/>
          <w:sz w:val="24"/>
        </w:rPr>
        <w:t xml:space="preserve"> </w:t>
      </w:r>
      <w:r w:rsidR="00941DDD">
        <w:rPr>
          <w:rFonts w:asciiTheme="majorBidi" w:hAnsiTheme="majorBidi" w:cstheme="majorBidi" w:hint="cs"/>
          <w:sz w:val="24"/>
          <w:rtl/>
        </w:rPr>
        <w:t xml:space="preserve">בפרט. </w:t>
      </w:r>
    </w:p>
    <w:p w14:paraId="6778CD82" w14:textId="77777777" w:rsidR="009501F4" w:rsidRDefault="009501F4" w:rsidP="001268F9">
      <w:pPr>
        <w:pStyle w:val="hebrew"/>
        <w:spacing w:line="360" w:lineRule="auto"/>
        <w:ind w:left="-850" w:right="-850"/>
        <w:rPr>
          <w:rFonts w:asciiTheme="majorBidi" w:hAnsiTheme="majorBidi" w:cstheme="majorBidi"/>
          <w:b/>
          <w:bCs/>
          <w:sz w:val="24"/>
          <w:rtl/>
        </w:rPr>
      </w:pPr>
    </w:p>
    <w:p w14:paraId="6C073F76" w14:textId="6E69AF59" w:rsidR="001268F9" w:rsidRPr="00D13233" w:rsidRDefault="001268F9" w:rsidP="001268F9">
      <w:pPr>
        <w:pStyle w:val="hebrew"/>
        <w:spacing w:line="360" w:lineRule="auto"/>
        <w:ind w:left="-850" w:right="-850"/>
        <w:rPr>
          <w:rFonts w:asciiTheme="majorBidi" w:hAnsiTheme="majorBidi" w:cstheme="majorBidi"/>
          <w:b/>
          <w:bCs/>
          <w:sz w:val="24"/>
          <w:rtl/>
        </w:rPr>
      </w:pPr>
      <w:r w:rsidRPr="00D13233">
        <w:rPr>
          <w:rFonts w:asciiTheme="majorBidi" w:hAnsiTheme="majorBidi" w:cstheme="majorBidi" w:hint="cs"/>
          <w:b/>
          <w:bCs/>
          <w:sz w:val="24"/>
          <w:rtl/>
        </w:rPr>
        <w:t xml:space="preserve">פרק ב' - </w:t>
      </w:r>
      <w:proofErr w:type="spellStart"/>
      <w:r w:rsidRPr="00D13233">
        <w:rPr>
          <w:rFonts w:asciiTheme="majorBidi" w:hAnsiTheme="majorBidi" w:cstheme="majorBidi" w:hint="cs"/>
          <w:b/>
          <w:bCs/>
          <w:sz w:val="24"/>
          <w:rtl/>
        </w:rPr>
        <w:t>הרציונלים</w:t>
      </w:r>
      <w:proofErr w:type="spellEnd"/>
      <w:r w:rsidRPr="00D13233">
        <w:rPr>
          <w:rFonts w:asciiTheme="majorBidi" w:hAnsiTheme="majorBidi" w:cstheme="majorBidi" w:hint="cs"/>
          <w:b/>
          <w:bCs/>
          <w:sz w:val="24"/>
          <w:rtl/>
        </w:rPr>
        <w:t xml:space="preserve"> המוסריים המבחינים בין מעשה למחדל במשפט הפלילי</w:t>
      </w:r>
    </w:p>
    <w:p w14:paraId="7147B678" w14:textId="4D415117" w:rsidR="001268F9" w:rsidRDefault="001268F9" w:rsidP="00301992">
      <w:pPr>
        <w:pStyle w:val="hebrew"/>
        <w:spacing w:line="360" w:lineRule="auto"/>
        <w:ind w:left="-850" w:right="-850"/>
        <w:rPr>
          <w:rFonts w:asciiTheme="majorBidi" w:hAnsiTheme="majorBidi" w:cstheme="majorBidi"/>
          <w:sz w:val="24"/>
          <w:rtl/>
        </w:rPr>
      </w:pPr>
      <w:r>
        <w:rPr>
          <w:rFonts w:asciiTheme="majorBidi" w:hAnsiTheme="majorBidi" w:cstheme="majorBidi" w:hint="cs"/>
          <w:sz w:val="24"/>
          <w:rtl/>
        </w:rPr>
        <w:t xml:space="preserve">בפרק זה אדון בגישות הסבורות כי קיימת הבחנה בין מעשה למחדל וכי הבחנה זו נשענת על רציונל מוסרי. לפי גישות אלה הטעם לכך שיש לערוך הבחנה </w:t>
      </w:r>
      <w:r w:rsidRPr="001268F9">
        <w:rPr>
          <w:rFonts w:asciiTheme="majorBidi" w:hAnsiTheme="majorBidi" w:cstheme="majorBidi" w:hint="cs"/>
          <w:b/>
          <w:bCs/>
          <w:sz w:val="24"/>
          <w:rtl/>
        </w:rPr>
        <w:t xml:space="preserve">משפטית </w:t>
      </w:r>
      <w:r>
        <w:rPr>
          <w:rFonts w:asciiTheme="majorBidi" w:hAnsiTheme="majorBidi" w:cstheme="majorBidi" w:hint="cs"/>
          <w:sz w:val="24"/>
          <w:rtl/>
        </w:rPr>
        <w:t xml:space="preserve">בין מעשה למחדל נובע מהבחנה </w:t>
      </w:r>
      <w:r w:rsidRPr="001268F9">
        <w:rPr>
          <w:rFonts w:asciiTheme="majorBidi" w:hAnsiTheme="majorBidi" w:cstheme="majorBidi" w:hint="cs"/>
          <w:b/>
          <w:bCs/>
          <w:sz w:val="24"/>
          <w:rtl/>
        </w:rPr>
        <w:t>מוסרית</w:t>
      </w:r>
      <w:r>
        <w:rPr>
          <w:rFonts w:asciiTheme="majorBidi" w:hAnsiTheme="majorBidi" w:cstheme="majorBidi" w:hint="cs"/>
          <w:sz w:val="24"/>
          <w:rtl/>
        </w:rPr>
        <w:t xml:space="preserve"> הקיימת </w:t>
      </w:r>
      <w:r w:rsidR="00C17E43">
        <w:rPr>
          <w:rFonts w:asciiTheme="majorBidi" w:hAnsiTheme="majorBidi" w:cstheme="majorBidi" w:hint="cs"/>
          <w:sz w:val="24"/>
          <w:rtl/>
        </w:rPr>
        <w:t xml:space="preserve">בין מעשה לבין מחדל. בהקשר לכך אציין כי כאשר אני מתייחס </w:t>
      </w:r>
      <w:proofErr w:type="spellStart"/>
      <w:r w:rsidR="00C17E43">
        <w:rPr>
          <w:rFonts w:asciiTheme="majorBidi" w:hAnsiTheme="majorBidi" w:cstheme="majorBidi" w:hint="cs"/>
          <w:sz w:val="24"/>
          <w:rtl/>
        </w:rPr>
        <w:t>לרציונלים</w:t>
      </w:r>
      <w:proofErr w:type="spellEnd"/>
      <w:r w:rsidR="00C17E43">
        <w:rPr>
          <w:rFonts w:asciiTheme="majorBidi" w:hAnsiTheme="majorBidi" w:cstheme="majorBidi" w:hint="cs"/>
          <w:sz w:val="24"/>
          <w:rtl/>
        </w:rPr>
        <w:t xml:space="preserve"> מוסריים כוונתי </w:t>
      </w:r>
      <w:proofErr w:type="spellStart"/>
      <w:r w:rsidR="00C17E43">
        <w:rPr>
          <w:rFonts w:asciiTheme="majorBidi" w:hAnsiTheme="majorBidi" w:cstheme="majorBidi" w:hint="cs"/>
          <w:sz w:val="24"/>
          <w:rtl/>
        </w:rPr>
        <w:t>לרציונלים</w:t>
      </w:r>
      <w:proofErr w:type="spellEnd"/>
      <w:r w:rsidR="00C17E43">
        <w:rPr>
          <w:rFonts w:asciiTheme="majorBidi" w:hAnsiTheme="majorBidi" w:cstheme="majorBidi" w:hint="cs"/>
          <w:sz w:val="24"/>
          <w:rtl/>
        </w:rPr>
        <w:t xml:space="preserve"> המצביעים על הבחנה הקשורה לרמת האשמה של הנאשם במקרה של גרימת נזק במעשה אל מול אשמתו במקרה של גרימת נזק במחדל. </w:t>
      </w:r>
      <w:r w:rsidR="002C12EE">
        <w:rPr>
          <w:rFonts w:asciiTheme="majorBidi" w:hAnsiTheme="majorBidi" w:cstheme="majorBidi" w:hint="cs"/>
          <w:sz w:val="24"/>
          <w:rtl/>
        </w:rPr>
        <w:t xml:space="preserve">במסגרת הצגת </w:t>
      </w:r>
      <w:proofErr w:type="spellStart"/>
      <w:r w:rsidR="002C12EE">
        <w:rPr>
          <w:rFonts w:asciiTheme="majorBidi" w:hAnsiTheme="majorBidi" w:cstheme="majorBidi" w:hint="cs"/>
          <w:sz w:val="24"/>
          <w:rtl/>
        </w:rPr>
        <w:t>הרציונלים</w:t>
      </w:r>
      <w:proofErr w:type="spellEnd"/>
      <w:r w:rsidR="002C12EE">
        <w:rPr>
          <w:rFonts w:asciiTheme="majorBidi" w:hAnsiTheme="majorBidi" w:cstheme="majorBidi" w:hint="cs"/>
          <w:sz w:val="24"/>
          <w:rtl/>
        </w:rPr>
        <w:t xml:space="preserve"> אציין מהי ההגדרה של מעשה ומחדל הנובעת מהרציונל הרלוונטי. </w:t>
      </w:r>
      <w:r w:rsidR="00D8608B">
        <w:rPr>
          <w:rFonts w:asciiTheme="majorBidi" w:hAnsiTheme="majorBidi" w:cstheme="majorBidi" w:hint="cs"/>
          <w:sz w:val="24"/>
          <w:rtl/>
        </w:rPr>
        <w:t xml:space="preserve">בסיום הצגת כל תיאוריה אבקר אותה. </w:t>
      </w:r>
    </w:p>
    <w:p w14:paraId="7D89B18B" w14:textId="5E276AC1" w:rsidR="00C17E43" w:rsidRPr="00D13233" w:rsidRDefault="00C17E43" w:rsidP="00C17E43">
      <w:pPr>
        <w:pStyle w:val="hebrew"/>
        <w:numPr>
          <w:ilvl w:val="0"/>
          <w:numId w:val="4"/>
        </w:numPr>
        <w:spacing w:line="360" w:lineRule="auto"/>
        <w:ind w:right="-850"/>
        <w:rPr>
          <w:rFonts w:asciiTheme="majorBidi" w:hAnsiTheme="majorBidi" w:cstheme="majorBidi"/>
          <w:b/>
          <w:bCs/>
          <w:sz w:val="24"/>
        </w:rPr>
      </w:pPr>
      <w:r w:rsidRPr="00D13233">
        <w:rPr>
          <w:rFonts w:asciiTheme="majorBidi" w:hAnsiTheme="majorBidi" w:cstheme="majorBidi" w:hint="cs"/>
          <w:b/>
          <w:bCs/>
          <w:sz w:val="24"/>
          <w:rtl/>
        </w:rPr>
        <w:t xml:space="preserve">רציונל הסיבתיות </w:t>
      </w:r>
      <w:r w:rsidRPr="00D13233">
        <w:rPr>
          <w:rFonts w:asciiTheme="majorBidi" w:hAnsiTheme="majorBidi" w:cstheme="majorBidi"/>
          <w:b/>
          <w:bCs/>
          <w:sz w:val="24"/>
          <w:rtl/>
        </w:rPr>
        <w:t>–</w:t>
      </w:r>
      <w:r w:rsidRPr="00D13233">
        <w:rPr>
          <w:rFonts w:asciiTheme="majorBidi" w:hAnsiTheme="majorBidi" w:cstheme="majorBidi" w:hint="cs"/>
          <w:b/>
          <w:bCs/>
          <w:sz w:val="24"/>
          <w:rtl/>
        </w:rPr>
        <w:t xml:space="preserve"> </w:t>
      </w:r>
    </w:p>
    <w:p w14:paraId="293765A0" w14:textId="1BAEEE9D" w:rsidR="00C17E43" w:rsidRDefault="00C17E43" w:rsidP="00C17E43">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בסעיף זה יוצג אחד </w:t>
      </w:r>
      <w:proofErr w:type="spellStart"/>
      <w:r>
        <w:rPr>
          <w:rFonts w:asciiTheme="majorBidi" w:hAnsiTheme="majorBidi" w:cstheme="majorBidi" w:hint="cs"/>
          <w:sz w:val="24"/>
          <w:rtl/>
        </w:rPr>
        <w:t>הרציונלים</w:t>
      </w:r>
      <w:proofErr w:type="spellEnd"/>
      <w:r>
        <w:rPr>
          <w:rFonts w:asciiTheme="majorBidi" w:hAnsiTheme="majorBidi" w:cstheme="majorBidi" w:hint="cs"/>
          <w:sz w:val="24"/>
          <w:rtl/>
        </w:rPr>
        <w:t xml:space="preserve"> האינטואיטיביים </w:t>
      </w:r>
      <w:r w:rsidR="005062B3">
        <w:rPr>
          <w:rFonts w:asciiTheme="majorBidi" w:hAnsiTheme="majorBidi" w:cstheme="majorBidi" w:hint="cs"/>
          <w:sz w:val="24"/>
          <w:rtl/>
        </w:rPr>
        <w:t xml:space="preserve">ביותר מבחינה מוסרית להבחנה בין מעשה למחדל במשפט הפלילי. רציונל זה מתבסס על הבחנה סיבתית בין מעשה שגרם לנזק לבין מחדל שהוביל לנזק זהה. </w:t>
      </w:r>
      <w:r w:rsidR="00D8608B">
        <w:rPr>
          <w:rFonts w:asciiTheme="majorBidi" w:hAnsiTheme="majorBidi" w:cstheme="majorBidi" w:hint="cs"/>
          <w:sz w:val="24"/>
          <w:rtl/>
        </w:rPr>
        <w:t>לפי הבחנה זו המתה במעשה</w:t>
      </w:r>
      <w:r w:rsidR="00047C72">
        <w:rPr>
          <w:rFonts w:asciiTheme="majorBidi" w:hAnsiTheme="majorBidi" w:cstheme="majorBidi" w:hint="cs"/>
          <w:sz w:val="24"/>
          <w:rtl/>
        </w:rPr>
        <w:t>, למשל,</w:t>
      </w:r>
      <w:r w:rsidR="00D8608B">
        <w:rPr>
          <w:rFonts w:asciiTheme="majorBidi" w:hAnsiTheme="majorBidi" w:cstheme="majorBidi" w:hint="cs"/>
          <w:sz w:val="24"/>
          <w:rtl/>
        </w:rPr>
        <w:t xml:space="preserve"> חמורה מאי מניעת מוות שכן בהמתה במעשה מתקיים קשר סיבתי בין מעשה הנאשם למות </w:t>
      </w:r>
      <w:proofErr w:type="spellStart"/>
      <w:r w:rsidR="00D8608B">
        <w:rPr>
          <w:rFonts w:asciiTheme="majorBidi" w:hAnsiTheme="majorBidi" w:cstheme="majorBidi" w:hint="cs"/>
          <w:sz w:val="24"/>
          <w:rtl/>
        </w:rPr>
        <w:t>הקרבן</w:t>
      </w:r>
      <w:proofErr w:type="spellEnd"/>
      <w:r w:rsidR="00D8608B">
        <w:rPr>
          <w:rFonts w:asciiTheme="majorBidi" w:hAnsiTheme="majorBidi" w:cstheme="majorBidi" w:hint="cs"/>
          <w:sz w:val="24"/>
          <w:rtl/>
        </w:rPr>
        <w:t xml:space="preserve"> ואילו במקרה של מחדל המתבטא באי מניעת מוות, לא מתקיים קשר סיבתי, או שהקשר הסיבתי עקיף יותר, בין התנהגות הנאשם למות </w:t>
      </w:r>
      <w:proofErr w:type="spellStart"/>
      <w:r w:rsidR="00D8608B">
        <w:rPr>
          <w:rFonts w:asciiTheme="majorBidi" w:hAnsiTheme="majorBidi" w:cstheme="majorBidi" w:hint="cs"/>
          <w:sz w:val="24"/>
          <w:rtl/>
        </w:rPr>
        <w:t>הקרבן</w:t>
      </w:r>
      <w:proofErr w:type="spellEnd"/>
      <w:r w:rsidR="00D8608B">
        <w:rPr>
          <w:rFonts w:asciiTheme="majorBidi" w:hAnsiTheme="majorBidi" w:cstheme="majorBidi" w:hint="cs"/>
          <w:sz w:val="24"/>
          <w:rtl/>
        </w:rPr>
        <w:t xml:space="preserve">. במסגרת סעיף זה יוצגו מספר תאוריות על אודות סיבתיות שעשויות לתמוך בעמדה הגורסת כי קיימת הבחנה בין מעשה למחדל בכלל ובין </w:t>
      </w:r>
      <w:r w:rsidR="00D8608B">
        <w:rPr>
          <w:rFonts w:asciiTheme="majorBidi" w:hAnsiTheme="majorBidi" w:cstheme="majorBidi"/>
          <w:sz w:val="24"/>
        </w:rPr>
        <w:t xml:space="preserve">killing </w:t>
      </w:r>
      <w:r w:rsidR="00D8608B">
        <w:rPr>
          <w:rFonts w:asciiTheme="majorBidi" w:hAnsiTheme="majorBidi" w:cstheme="majorBidi" w:hint="cs"/>
          <w:sz w:val="24"/>
          <w:rtl/>
        </w:rPr>
        <w:t xml:space="preserve"> ל </w:t>
      </w:r>
      <w:r w:rsidR="00D8608B">
        <w:rPr>
          <w:rFonts w:asciiTheme="majorBidi" w:hAnsiTheme="majorBidi" w:cstheme="majorBidi"/>
          <w:sz w:val="24"/>
          <w:rtl/>
        </w:rPr>
        <w:t>–</w:t>
      </w:r>
      <w:r w:rsidR="00D8608B">
        <w:rPr>
          <w:rFonts w:asciiTheme="majorBidi" w:hAnsiTheme="majorBidi" w:cstheme="majorBidi" w:hint="cs"/>
          <w:sz w:val="24"/>
          <w:rtl/>
        </w:rPr>
        <w:t xml:space="preserve"> </w:t>
      </w:r>
      <w:r w:rsidR="00D8608B">
        <w:rPr>
          <w:rFonts w:asciiTheme="majorBidi" w:hAnsiTheme="majorBidi" w:cstheme="majorBidi"/>
          <w:sz w:val="24"/>
        </w:rPr>
        <w:t>letting die</w:t>
      </w:r>
      <w:r w:rsidR="00D8608B">
        <w:rPr>
          <w:rFonts w:asciiTheme="majorBidi" w:hAnsiTheme="majorBidi" w:cstheme="majorBidi" w:hint="cs"/>
          <w:sz w:val="24"/>
        </w:rPr>
        <w:t xml:space="preserve"> </w:t>
      </w:r>
      <w:r w:rsidR="00047C72">
        <w:rPr>
          <w:rFonts w:asciiTheme="majorBidi" w:hAnsiTheme="majorBidi" w:cstheme="majorBidi" w:hint="cs"/>
          <w:sz w:val="24"/>
          <w:rtl/>
        </w:rPr>
        <w:t xml:space="preserve"> </w:t>
      </w:r>
      <w:r w:rsidR="00D8608B">
        <w:rPr>
          <w:rFonts w:asciiTheme="majorBidi" w:hAnsiTheme="majorBidi" w:cstheme="majorBidi" w:hint="cs"/>
          <w:sz w:val="24"/>
          <w:rtl/>
        </w:rPr>
        <w:t xml:space="preserve">בפרט. </w:t>
      </w:r>
    </w:p>
    <w:p w14:paraId="657B0C99" w14:textId="71AE2E97" w:rsidR="00D8608B" w:rsidRPr="00D13233" w:rsidRDefault="00A06ACD" w:rsidP="00A06ACD">
      <w:pPr>
        <w:pStyle w:val="hebrew"/>
        <w:numPr>
          <w:ilvl w:val="0"/>
          <w:numId w:val="4"/>
        </w:numPr>
        <w:spacing w:line="360" w:lineRule="auto"/>
        <w:ind w:right="-850"/>
        <w:rPr>
          <w:rFonts w:asciiTheme="majorBidi" w:hAnsiTheme="majorBidi" w:cstheme="majorBidi"/>
          <w:b/>
          <w:bCs/>
          <w:sz w:val="24"/>
        </w:rPr>
      </w:pPr>
      <w:r w:rsidRPr="00D13233">
        <w:rPr>
          <w:rFonts w:asciiTheme="majorBidi" w:hAnsiTheme="majorBidi" w:cstheme="majorBidi" w:hint="cs"/>
          <w:b/>
          <w:bCs/>
          <w:sz w:val="24"/>
          <w:rtl/>
        </w:rPr>
        <w:t xml:space="preserve">רציונל החירות </w:t>
      </w:r>
    </w:p>
    <w:p w14:paraId="287B4DA7" w14:textId="6DEFF6E0" w:rsidR="00D80367" w:rsidRDefault="00A06ACD" w:rsidP="00A06ACD">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lastRenderedPageBreak/>
        <w:t xml:space="preserve">בסעיף זה תוצג תיאוריה מרכזית ומקובלת להבחנה בין מעשה למחדל במשפט הפלילי המתמקדת בפגיעה השונה בחירות הפעולה של האזרח. </w:t>
      </w:r>
      <w:r w:rsidR="00D80367">
        <w:rPr>
          <w:rFonts w:asciiTheme="majorBidi" w:hAnsiTheme="majorBidi" w:cstheme="majorBidi" w:hint="cs"/>
          <w:sz w:val="24"/>
          <w:rtl/>
        </w:rPr>
        <w:t>לפי גישה זו, במקרה של איסור כנגד המתה במעשה, הפגיעה בחירות האזרח אינה כה גדולה שכן כל שנדרש מן האזרח לעשות הוא להימנע ממעשה מסוים, אך אין זה מונע ממנו לבצע אינסוף פעולות אחרות.</w:t>
      </w:r>
      <w:r w:rsidR="00047C72">
        <w:rPr>
          <w:rFonts w:asciiTheme="majorBidi" w:hAnsiTheme="majorBidi" w:cstheme="majorBidi" w:hint="cs"/>
          <w:sz w:val="24"/>
          <w:rtl/>
        </w:rPr>
        <w:t xml:space="preserve"> לעומת זאת איסור כנגד מחדל מאפשר לו לעשות מעשה אחד אך מונע ממנו אינסוף פעולות אחרות. כך, איסור כנגד </w:t>
      </w:r>
      <w:r w:rsidR="00047C72">
        <w:rPr>
          <w:rFonts w:asciiTheme="majorBidi" w:hAnsiTheme="majorBidi" w:cstheme="majorBidi"/>
          <w:sz w:val="24"/>
        </w:rPr>
        <w:t>killing</w:t>
      </w:r>
      <w:r w:rsidR="00047C72">
        <w:rPr>
          <w:rFonts w:asciiTheme="majorBidi" w:hAnsiTheme="majorBidi" w:cstheme="majorBidi" w:hint="cs"/>
          <w:sz w:val="24"/>
          <w:rtl/>
        </w:rPr>
        <w:t xml:space="preserve"> אוסר עליו פעולות ספציפיות אך מאפשר לו לעשות אינסוף פעולות אחרות. לעומת זאת,</w:t>
      </w:r>
      <w:r w:rsidR="00D80367">
        <w:rPr>
          <w:rFonts w:asciiTheme="majorBidi" w:hAnsiTheme="majorBidi" w:cstheme="majorBidi" w:hint="cs"/>
          <w:sz w:val="24"/>
          <w:rtl/>
        </w:rPr>
        <w:t xml:space="preserve"> איסור כללי כנגד </w:t>
      </w:r>
      <w:r w:rsidR="00D80367">
        <w:rPr>
          <w:rFonts w:asciiTheme="majorBidi" w:hAnsiTheme="majorBidi" w:cstheme="majorBidi"/>
          <w:sz w:val="24"/>
        </w:rPr>
        <w:t>letting die</w:t>
      </w:r>
      <w:r w:rsidR="00D80367">
        <w:rPr>
          <w:rFonts w:asciiTheme="majorBidi" w:hAnsiTheme="majorBidi" w:cstheme="majorBidi" w:hint="cs"/>
          <w:sz w:val="24"/>
          <w:rtl/>
        </w:rPr>
        <w:t xml:space="preserve"> ללא דרישה ספציפית לפעול, </w:t>
      </w:r>
      <w:r w:rsidR="00047C72">
        <w:rPr>
          <w:rFonts w:asciiTheme="majorBidi" w:hAnsiTheme="majorBidi" w:cstheme="majorBidi" w:hint="cs"/>
          <w:sz w:val="24"/>
          <w:rtl/>
        </w:rPr>
        <w:t>יפגע</w:t>
      </w:r>
      <w:r w:rsidR="00D80367">
        <w:rPr>
          <w:rFonts w:asciiTheme="majorBidi" w:hAnsiTheme="majorBidi" w:cstheme="majorBidi" w:hint="cs"/>
          <w:sz w:val="24"/>
          <w:rtl/>
        </w:rPr>
        <w:t xml:space="preserve"> באופן משמעותי בחירות הפעולה של האזרח, שכן איסור כזה יחייב אותו כל העת לבצע פעולות הצלה שכן בכל זמן נתון קיים אי שם אדם המצוי בסכנה. דרישה מן האזרח לבצע בכל זמן נתון פעולות הצלה תשלול ממנו את האפשרות לתכנן ולנהל את חייו באופן סביר. </w:t>
      </w:r>
    </w:p>
    <w:p w14:paraId="55955DE8" w14:textId="23923420" w:rsidR="00D80367" w:rsidRPr="00D13233" w:rsidRDefault="00D80367" w:rsidP="00D80367">
      <w:pPr>
        <w:pStyle w:val="hebrew"/>
        <w:numPr>
          <w:ilvl w:val="0"/>
          <w:numId w:val="4"/>
        </w:numPr>
        <w:spacing w:line="360" w:lineRule="auto"/>
        <w:ind w:right="-850"/>
        <w:rPr>
          <w:rFonts w:asciiTheme="majorBidi" w:hAnsiTheme="majorBidi" w:cstheme="majorBidi"/>
          <w:b/>
          <w:bCs/>
          <w:sz w:val="24"/>
        </w:rPr>
      </w:pPr>
      <w:r w:rsidRPr="00D13233">
        <w:rPr>
          <w:rFonts w:asciiTheme="majorBidi" w:hAnsiTheme="majorBidi" w:cstheme="majorBidi" w:hint="cs"/>
          <w:b/>
          <w:bCs/>
          <w:sz w:val="24"/>
          <w:rtl/>
        </w:rPr>
        <w:t>רציונל הפגיעה בקרבן</w:t>
      </w:r>
    </w:p>
    <w:p w14:paraId="2403D51F" w14:textId="77777777" w:rsidR="00237CC4" w:rsidRDefault="00D80367" w:rsidP="00D80367">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בסעיף זה אציג רציונל </w:t>
      </w:r>
      <w:r w:rsidR="006A6170">
        <w:rPr>
          <w:rFonts w:asciiTheme="majorBidi" w:hAnsiTheme="majorBidi" w:cstheme="majorBidi" w:hint="cs"/>
          <w:sz w:val="24"/>
          <w:rtl/>
        </w:rPr>
        <w:t xml:space="preserve">אשר אינו מתמקד בפגיעה השונה בחירות הפעולה של האזרח, או בשוני בטיב הקשר הסיבתי בין התנהגותו של הנאשם לנזק האסור, אלא בפגיעה השונה בקרבן עצמו. לפי גישה זו בכל המקרים של </w:t>
      </w:r>
      <w:r w:rsidR="006A6170">
        <w:rPr>
          <w:rFonts w:asciiTheme="majorBidi" w:hAnsiTheme="majorBidi" w:cstheme="majorBidi"/>
          <w:sz w:val="24"/>
        </w:rPr>
        <w:t>letting die</w:t>
      </w:r>
      <w:r w:rsidR="006A6170">
        <w:rPr>
          <w:rFonts w:asciiTheme="majorBidi" w:hAnsiTheme="majorBidi" w:cstheme="majorBidi" w:hint="cs"/>
          <w:sz w:val="24"/>
          <w:rtl/>
        </w:rPr>
        <w:t xml:space="preserve"> </w:t>
      </w:r>
      <w:proofErr w:type="spellStart"/>
      <w:r w:rsidR="006A6170">
        <w:rPr>
          <w:rFonts w:asciiTheme="majorBidi" w:hAnsiTheme="majorBidi" w:cstheme="majorBidi" w:hint="cs"/>
          <w:sz w:val="24"/>
          <w:rtl/>
        </w:rPr>
        <w:t>הקרבן</w:t>
      </w:r>
      <w:proofErr w:type="spellEnd"/>
      <w:r w:rsidR="006A6170">
        <w:rPr>
          <w:rFonts w:asciiTheme="majorBidi" w:hAnsiTheme="majorBidi" w:cstheme="majorBidi" w:hint="cs"/>
          <w:sz w:val="24"/>
          <w:rtl/>
        </w:rPr>
        <w:t xml:space="preserve"> מאבד "רק" חיים שיכולים היו להיות לו כתוצאה מהעזרה של הנאשם. לעומת זאת, במרבית המקרים של </w:t>
      </w:r>
      <w:r w:rsidR="006A6170">
        <w:rPr>
          <w:rFonts w:asciiTheme="majorBidi" w:hAnsiTheme="majorBidi" w:cstheme="majorBidi"/>
          <w:sz w:val="24"/>
        </w:rPr>
        <w:t>killing</w:t>
      </w:r>
      <w:r w:rsidR="006A6170">
        <w:rPr>
          <w:rFonts w:asciiTheme="majorBidi" w:hAnsiTheme="majorBidi" w:cstheme="majorBidi" w:hint="cs"/>
          <w:sz w:val="24"/>
          <w:rtl/>
        </w:rPr>
        <w:t xml:space="preserve"> </w:t>
      </w:r>
      <w:proofErr w:type="spellStart"/>
      <w:r w:rsidR="006A6170">
        <w:rPr>
          <w:rFonts w:asciiTheme="majorBidi" w:hAnsiTheme="majorBidi" w:cstheme="majorBidi" w:hint="cs"/>
          <w:sz w:val="24"/>
          <w:rtl/>
        </w:rPr>
        <w:t>הקרבן</w:t>
      </w:r>
      <w:proofErr w:type="spellEnd"/>
      <w:r w:rsidR="006A6170">
        <w:rPr>
          <w:rFonts w:asciiTheme="majorBidi" w:hAnsiTheme="majorBidi" w:cstheme="majorBidi" w:hint="cs"/>
          <w:sz w:val="24"/>
          <w:rtl/>
        </w:rPr>
        <w:t xml:space="preserve"> מאבד חיים שיכולים היו להיות לו באופן בלתי תלוי בנאשם. גישה אחרת המתמקדת בפגיעה השונה בקרבן גורסת כי במקרה של </w:t>
      </w:r>
      <w:r w:rsidR="006A6170">
        <w:rPr>
          <w:rFonts w:asciiTheme="majorBidi" w:hAnsiTheme="majorBidi" w:cstheme="majorBidi"/>
          <w:sz w:val="24"/>
        </w:rPr>
        <w:t>killing</w:t>
      </w:r>
      <w:r w:rsidR="006A6170">
        <w:rPr>
          <w:rFonts w:asciiTheme="majorBidi" w:hAnsiTheme="majorBidi" w:cstheme="majorBidi" w:hint="cs"/>
          <w:sz w:val="24"/>
          <w:rtl/>
        </w:rPr>
        <w:t xml:space="preserve"> הנאשם הופך את המצב של </w:t>
      </w:r>
      <w:proofErr w:type="spellStart"/>
      <w:r w:rsidR="006A6170">
        <w:rPr>
          <w:rFonts w:asciiTheme="majorBidi" w:hAnsiTheme="majorBidi" w:cstheme="majorBidi" w:hint="cs"/>
          <w:sz w:val="24"/>
          <w:rtl/>
        </w:rPr>
        <w:t>הקרבן</w:t>
      </w:r>
      <w:proofErr w:type="spellEnd"/>
      <w:r w:rsidR="006A6170">
        <w:rPr>
          <w:rFonts w:asciiTheme="majorBidi" w:hAnsiTheme="majorBidi" w:cstheme="majorBidi" w:hint="cs"/>
          <w:sz w:val="24"/>
          <w:rtl/>
        </w:rPr>
        <w:t xml:space="preserve"> לרע יותר ואילו במקרה של </w:t>
      </w:r>
      <w:r w:rsidR="006A6170">
        <w:rPr>
          <w:rFonts w:asciiTheme="majorBidi" w:hAnsiTheme="majorBidi" w:cstheme="majorBidi"/>
          <w:sz w:val="24"/>
        </w:rPr>
        <w:t>letting die</w:t>
      </w:r>
      <w:r w:rsidR="006A6170">
        <w:rPr>
          <w:rFonts w:asciiTheme="majorBidi" w:hAnsiTheme="majorBidi" w:cstheme="majorBidi" w:hint="cs"/>
          <w:sz w:val="24"/>
          <w:rtl/>
        </w:rPr>
        <w:t xml:space="preserve"> הוא אמנם לא מיטיב עמו, אך הוא גם לא הופך את מצבו לרע יותר.</w:t>
      </w:r>
    </w:p>
    <w:p w14:paraId="18FE86D8" w14:textId="77777777" w:rsidR="00BA3D87" w:rsidRDefault="00BA3D87" w:rsidP="00D80367">
      <w:pPr>
        <w:pStyle w:val="hebrew"/>
        <w:spacing w:line="360" w:lineRule="auto"/>
        <w:ind w:left="-566" w:right="-850" w:firstLine="0"/>
        <w:rPr>
          <w:rFonts w:asciiTheme="majorBidi" w:hAnsiTheme="majorBidi" w:cstheme="majorBidi"/>
          <w:b/>
          <w:bCs/>
          <w:sz w:val="24"/>
          <w:rtl/>
        </w:rPr>
      </w:pPr>
    </w:p>
    <w:p w14:paraId="09C0B9B9" w14:textId="22365243" w:rsidR="00237CC4" w:rsidRPr="00237CC4" w:rsidRDefault="00237CC4" w:rsidP="00D80367">
      <w:pPr>
        <w:pStyle w:val="hebrew"/>
        <w:spacing w:line="360" w:lineRule="auto"/>
        <w:ind w:left="-566" w:right="-850" w:firstLine="0"/>
        <w:rPr>
          <w:rFonts w:asciiTheme="majorBidi" w:hAnsiTheme="majorBidi" w:cstheme="majorBidi"/>
          <w:b/>
          <w:bCs/>
          <w:sz w:val="24"/>
          <w:rtl/>
        </w:rPr>
      </w:pPr>
      <w:r w:rsidRPr="00237CC4">
        <w:rPr>
          <w:rFonts w:asciiTheme="majorBidi" w:hAnsiTheme="majorBidi" w:cstheme="majorBidi" w:hint="cs"/>
          <w:b/>
          <w:bCs/>
          <w:sz w:val="24"/>
          <w:rtl/>
        </w:rPr>
        <w:t xml:space="preserve">פרק ג' </w:t>
      </w:r>
      <w:r w:rsidRPr="00237CC4">
        <w:rPr>
          <w:rFonts w:asciiTheme="majorBidi" w:hAnsiTheme="majorBidi" w:cstheme="majorBidi"/>
          <w:b/>
          <w:bCs/>
          <w:sz w:val="24"/>
          <w:rtl/>
        </w:rPr>
        <w:t>–</w:t>
      </w:r>
      <w:r w:rsidRPr="00237CC4">
        <w:rPr>
          <w:rFonts w:asciiTheme="majorBidi" w:hAnsiTheme="majorBidi" w:cstheme="majorBidi" w:hint="cs"/>
          <w:b/>
          <w:bCs/>
          <w:sz w:val="24"/>
          <w:rtl/>
        </w:rPr>
        <w:t xml:space="preserve"> </w:t>
      </w:r>
      <w:proofErr w:type="spellStart"/>
      <w:r w:rsidRPr="00237CC4">
        <w:rPr>
          <w:rFonts w:asciiTheme="majorBidi" w:hAnsiTheme="majorBidi" w:cstheme="majorBidi" w:hint="cs"/>
          <w:b/>
          <w:bCs/>
          <w:sz w:val="24"/>
          <w:rtl/>
        </w:rPr>
        <w:t>הרציונלים</w:t>
      </w:r>
      <w:proofErr w:type="spellEnd"/>
      <w:r w:rsidRPr="00237CC4">
        <w:rPr>
          <w:rFonts w:asciiTheme="majorBidi" w:hAnsiTheme="majorBidi" w:cstheme="majorBidi" w:hint="cs"/>
          <w:b/>
          <w:bCs/>
          <w:sz w:val="24"/>
          <w:rtl/>
        </w:rPr>
        <w:t xml:space="preserve"> המשפטיים המבחינים בין מעשה למחדל במשפט הפלילי</w:t>
      </w:r>
    </w:p>
    <w:p w14:paraId="3AE67AA1" w14:textId="6457930E" w:rsidR="00D80367" w:rsidRDefault="006A6170" w:rsidP="00D80367">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 </w:t>
      </w:r>
      <w:r w:rsidR="00237CC4">
        <w:rPr>
          <w:rFonts w:asciiTheme="majorBidi" w:hAnsiTheme="majorBidi" w:cstheme="majorBidi" w:hint="cs"/>
          <w:sz w:val="24"/>
          <w:rtl/>
        </w:rPr>
        <w:t xml:space="preserve">בפרק זה יוצגו הגישות הסבורות כי ההבחנה בין מעשה למחדל במשפט הפלילי אינה מושתתת על רציונל מוסרי אלא על רציונל משפטי. לפי עמדה זו אטען כי אף אם לא קיימת הבחנה מוסרית בין מעשה שגרם לנזק לבין מחדל שגרם לנזק זהה, עדיין ראוי שהמשפט הפלילי יערוך הבחנה זו מטעמים פנים משפטיים. </w:t>
      </w:r>
    </w:p>
    <w:p w14:paraId="0EB177AD" w14:textId="792C7A4D" w:rsidR="00237CC4" w:rsidRPr="00470C90" w:rsidRDefault="00237CC4" w:rsidP="00237CC4">
      <w:pPr>
        <w:pStyle w:val="hebrew"/>
        <w:numPr>
          <w:ilvl w:val="0"/>
          <w:numId w:val="5"/>
        </w:numPr>
        <w:spacing w:line="360" w:lineRule="auto"/>
        <w:ind w:right="-850"/>
        <w:rPr>
          <w:rFonts w:asciiTheme="majorBidi" w:hAnsiTheme="majorBidi" w:cstheme="majorBidi"/>
          <w:b/>
          <w:bCs/>
          <w:sz w:val="24"/>
        </w:rPr>
      </w:pPr>
      <w:r w:rsidRPr="00470C90">
        <w:rPr>
          <w:rFonts w:asciiTheme="majorBidi" w:hAnsiTheme="majorBidi" w:cstheme="majorBidi" w:hint="cs"/>
          <w:b/>
          <w:bCs/>
          <w:sz w:val="24"/>
          <w:rtl/>
        </w:rPr>
        <w:lastRenderedPageBreak/>
        <w:t>רציונל המבוסס על עקרון החוקיות</w:t>
      </w:r>
    </w:p>
    <w:p w14:paraId="04E2E190" w14:textId="1CBE7F12" w:rsidR="007C1EBF" w:rsidRDefault="00237CC4" w:rsidP="00237CC4">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בסעיף זה תוצג העמדה ש</w:t>
      </w:r>
      <w:r w:rsidR="00CF63DF">
        <w:rPr>
          <w:rFonts w:asciiTheme="majorBidi" w:hAnsiTheme="majorBidi" w:cstheme="majorBidi" w:hint="cs"/>
          <w:sz w:val="24"/>
          <w:rtl/>
        </w:rPr>
        <w:t xml:space="preserve">ההבחנה בין מעשה למחדל במשפט הפלילי נעוצה בעקרון החוקיות. לפי גישה זו כיוון שסיבתיות נעוצה בחריגה מהנורמלי והסביר בהתרחשות נתונה הרי שהן מעשה והן מחדל יכולים לגרום לנזק; גם מחדל כמו מעשה עשוי לחרוג מהנורמלי והסביר בהתרחשות נתונה ובמקרה זה הוא יהווה הגורם לנזק. עם זאת, למרות שאין </w:t>
      </w:r>
      <w:r w:rsidR="007C1EBF">
        <w:rPr>
          <w:rFonts w:asciiTheme="majorBidi" w:hAnsiTheme="majorBidi" w:cstheme="majorBidi" w:hint="cs"/>
          <w:sz w:val="24"/>
          <w:rtl/>
        </w:rPr>
        <w:t>הבחנה סיבתית מהותית</w:t>
      </w:r>
      <w:r w:rsidR="00CF63DF">
        <w:rPr>
          <w:rFonts w:asciiTheme="majorBidi" w:hAnsiTheme="majorBidi" w:cstheme="majorBidi" w:hint="cs"/>
          <w:sz w:val="24"/>
          <w:rtl/>
        </w:rPr>
        <w:t xml:space="preserve"> בין מעשה לבין מחדל, הרי ש</w:t>
      </w:r>
      <w:r w:rsidR="007C1EBF">
        <w:rPr>
          <w:rFonts w:asciiTheme="majorBidi" w:hAnsiTheme="majorBidi" w:cstheme="majorBidi" w:hint="cs"/>
          <w:sz w:val="24"/>
          <w:rtl/>
        </w:rPr>
        <w:t xml:space="preserve">עדיין קיים צורך באיתור חובה לפעול </w:t>
      </w:r>
      <w:r w:rsidR="00CF63DF">
        <w:rPr>
          <w:rFonts w:asciiTheme="majorBidi" w:hAnsiTheme="majorBidi" w:cstheme="majorBidi" w:hint="cs"/>
          <w:sz w:val="24"/>
          <w:rtl/>
        </w:rPr>
        <w:t xml:space="preserve">במחדל על מנת שהאזרח ידע מתי מדובר בחריגה מהנורמלי והסביר בהתרחשות נתונה. ללא </w:t>
      </w:r>
      <w:r w:rsidR="007C1EBF">
        <w:rPr>
          <w:rFonts w:asciiTheme="majorBidi" w:hAnsiTheme="majorBidi" w:cstheme="majorBidi" w:hint="cs"/>
          <w:sz w:val="24"/>
          <w:rtl/>
        </w:rPr>
        <w:t xml:space="preserve">ציון חובה לפעול במחדל, האזרח לא ידע האם התנהגותו </w:t>
      </w:r>
      <w:proofErr w:type="spellStart"/>
      <w:r w:rsidR="007C1EBF">
        <w:rPr>
          <w:rFonts w:asciiTheme="majorBidi" w:hAnsiTheme="majorBidi" w:cstheme="majorBidi" w:hint="cs"/>
          <w:sz w:val="24"/>
          <w:rtl/>
        </w:rPr>
        <w:t>המחדלית</w:t>
      </w:r>
      <w:proofErr w:type="spellEnd"/>
      <w:r w:rsidR="007C1EBF">
        <w:rPr>
          <w:rFonts w:asciiTheme="majorBidi" w:hAnsiTheme="majorBidi" w:cstheme="majorBidi" w:hint="cs"/>
          <w:sz w:val="24"/>
          <w:rtl/>
        </w:rPr>
        <w:t xml:space="preserve"> היא הגורם לנזק או לא. הבחנה זו אם כן אינה נובעת מהבחנה מוסרית אלא מהבחנה משפטית המושתתת על עקרון החוקיות. </w:t>
      </w:r>
    </w:p>
    <w:p w14:paraId="3A5CCDCA" w14:textId="2ED36EB2" w:rsidR="00237CC4" w:rsidRPr="00F5761E" w:rsidRDefault="00CF63DF" w:rsidP="007C1EBF">
      <w:pPr>
        <w:pStyle w:val="hebrew"/>
        <w:numPr>
          <w:ilvl w:val="0"/>
          <w:numId w:val="5"/>
        </w:numPr>
        <w:spacing w:line="360" w:lineRule="auto"/>
        <w:ind w:right="-850"/>
        <w:rPr>
          <w:rFonts w:asciiTheme="majorBidi" w:hAnsiTheme="majorBidi" w:cstheme="majorBidi"/>
          <w:b/>
          <w:bCs/>
          <w:sz w:val="24"/>
        </w:rPr>
      </w:pPr>
      <w:r>
        <w:rPr>
          <w:rFonts w:asciiTheme="majorBidi" w:hAnsiTheme="majorBidi" w:cstheme="majorBidi" w:hint="cs"/>
          <w:sz w:val="24"/>
          <w:rtl/>
        </w:rPr>
        <w:t xml:space="preserve"> </w:t>
      </w:r>
      <w:r w:rsidR="007C1EBF" w:rsidRPr="00F5761E">
        <w:rPr>
          <w:rFonts w:asciiTheme="majorBidi" w:hAnsiTheme="majorBidi" w:cstheme="majorBidi" w:hint="cs"/>
          <w:b/>
          <w:bCs/>
          <w:sz w:val="24"/>
          <w:rtl/>
        </w:rPr>
        <w:t xml:space="preserve">רציונל בעיית התיאום </w:t>
      </w:r>
    </w:p>
    <w:p w14:paraId="004A7E02" w14:textId="5C7A9D7E" w:rsidR="007B3DDE" w:rsidRDefault="007B3DDE" w:rsidP="007B3DD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בסעיף זה תוצג העמדה לפיה </w:t>
      </w:r>
      <w:r w:rsidR="000C4836">
        <w:rPr>
          <w:rFonts w:asciiTheme="majorBidi" w:hAnsiTheme="majorBidi" w:cstheme="majorBidi" w:hint="cs"/>
          <w:sz w:val="24"/>
          <w:rtl/>
        </w:rPr>
        <w:t>הצורך באיתור החובה לפעול במקרה של מחדל בשונה מן ממעשה, נובע מן הצורך לפתור את בעיית התאום בין האזרחים. בהתאם לכך, ללא צורך באיתור חובה לפעול במחדל, היה נוצר בזבוז אדיר של משאבים שכן א</w:t>
      </w:r>
      <w:r w:rsidR="00047C72">
        <w:rPr>
          <w:rFonts w:asciiTheme="majorBidi" w:hAnsiTheme="majorBidi" w:cstheme="majorBidi" w:hint="cs"/>
          <w:sz w:val="24"/>
          <w:rtl/>
        </w:rPr>
        <w:t>זרחיים</w:t>
      </w:r>
      <w:r w:rsidR="000C4836">
        <w:rPr>
          <w:rFonts w:asciiTheme="majorBidi" w:hAnsiTheme="majorBidi" w:cstheme="majorBidi" w:hint="cs"/>
          <w:sz w:val="24"/>
          <w:rtl/>
        </w:rPr>
        <w:t xml:space="preserve"> רבים היו נאלצים לעזור לאנשים הזקוקים לעזרה בלא שיהא בכך כל צורך. החובה הספציפית לפעול פותרת בעיה זו שכן בכל מקרה נתון רק אנשים ספציפיים יאלצו לעזור ויתר החברה תוכל לעסוק בענייניה. </w:t>
      </w:r>
    </w:p>
    <w:p w14:paraId="260733BB" w14:textId="3B9E5DFB" w:rsidR="000C4836" w:rsidRPr="00F5761E" w:rsidRDefault="000C4836" w:rsidP="000C4836">
      <w:pPr>
        <w:pStyle w:val="hebrew"/>
        <w:numPr>
          <w:ilvl w:val="0"/>
          <w:numId w:val="5"/>
        </w:numPr>
        <w:spacing w:line="360" w:lineRule="auto"/>
        <w:ind w:right="-850"/>
        <w:rPr>
          <w:rFonts w:asciiTheme="majorBidi" w:hAnsiTheme="majorBidi" w:cstheme="majorBidi"/>
          <w:b/>
          <w:bCs/>
          <w:sz w:val="24"/>
        </w:rPr>
      </w:pPr>
      <w:r w:rsidRPr="00F5761E">
        <w:rPr>
          <w:rFonts w:asciiTheme="majorBidi" w:hAnsiTheme="majorBidi" w:cstheme="majorBidi" w:hint="cs"/>
          <w:b/>
          <w:bCs/>
          <w:sz w:val="24"/>
          <w:rtl/>
        </w:rPr>
        <w:t>רציונל צמצום האשמים</w:t>
      </w:r>
    </w:p>
    <w:p w14:paraId="45883502" w14:textId="25D27CA6" w:rsidR="000C4836" w:rsidRDefault="00D15ED8" w:rsidP="000C4836">
      <w:pPr>
        <w:pStyle w:val="hebrew"/>
        <w:spacing w:line="360" w:lineRule="auto"/>
        <w:ind w:left="-566" w:right="-850" w:firstLine="0"/>
        <w:rPr>
          <w:rFonts w:asciiTheme="majorBidi" w:hAnsiTheme="majorBidi" w:cstheme="majorBidi"/>
          <w:sz w:val="24"/>
        </w:rPr>
      </w:pPr>
      <w:r>
        <w:rPr>
          <w:rFonts w:asciiTheme="majorBidi" w:hAnsiTheme="majorBidi" w:cstheme="majorBidi" w:hint="cs"/>
          <w:sz w:val="24"/>
          <w:rtl/>
        </w:rPr>
        <w:t xml:space="preserve">בסעיף זה תוצג העמדה לפיה הצורך באיתור חובה לפעול במחדל נובע מהקושי לברור את האשם העיקרי במקרה של מחדל. החובה לפעול המוטלת על אדם ספציפי פותרת בעיה זו. </w:t>
      </w:r>
    </w:p>
    <w:p w14:paraId="76109930" w14:textId="1704B896" w:rsidR="007C1EBF" w:rsidRDefault="007C1EBF" w:rsidP="007C1EBF">
      <w:pPr>
        <w:pStyle w:val="hebrew"/>
        <w:spacing w:line="360" w:lineRule="auto"/>
        <w:ind w:left="-566" w:right="-850" w:firstLine="0"/>
        <w:rPr>
          <w:rFonts w:asciiTheme="majorBidi" w:hAnsiTheme="majorBidi" w:cstheme="majorBidi"/>
          <w:sz w:val="24"/>
          <w:rtl/>
        </w:rPr>
      </w:pPr>
    </w:p>
    <w:p w14:paraId="2B2A0286" w14:textId="5F4E9ACF" w:rsidR="00D15ED8" w:rsidRDefault="00D15ED8" w:rsidP="007C1EBF">
      <w:pPr>
        <w:pStyle w:val="hebrew"/>
        <w:spacing w:line="360" w:lineRule="auto"/>
        <w:ind w:left="-566" w:right="-850" w:firstLine="0"/>
        <w:rPr>
          <w:rFonts w:asciiTheme="majorBidi" w:hAnsiTheme="majorBidi" w:cstheme="majorBidi"/>
          <w:sz w:val="24"/>
          <w:rtl/>
        </w:rPr>
      </w:pPr>
      <w:r w:rsidRPr="00470C90">
        <w:rPr>
          <w:rFonts w:asciiTheme="majorBidi" w:hAnsiTheme="majorBidi" w:cstheme="majorBidi" w:hint="cs"/>
          <w:b/>
          <w:bCs/>
          <w:sz w:val="24"/>
          <w:rtl/>
        </w:rPr>
        <w:t xml:space="preserve">פרק ד </w:t>
      </w:r>
      <w:r w:rsidRPr="00470C90">
        <w:rPr>
          <w:rFonts w:asciiTheme="majorBidi" w:hAnsiTheme="majorBidi" w:cstheme="majorBidi"/>
          <w:b/>
          <w:bCs/>
          <w:sz w:val="24"/>
          <w:rtl/>
        </w:rPr>
        <w:t>–</w:t>
      </w:r>
      <w:r w:rsidRPr="00470C90">
        <w:rPr>
          <w:rFonts w:asciiTheme="majorBidi" w:hAnsiTheme="majorBidi" w:cstheme="majorBidi" w:hint="cs"/>
          <w:b/>
          <w:bCs/>
          <w:sz w:val="24"/>
          <w:rtl/>
        </w:rPr>
        <w:t xml:space="preserve"> </w:t>
      </w:r>
      <w:r w:rsidRPr="00F5761E">
        <w:rPr>
          <w:rFonts w:asciiTheme="majorBidi" w:hAnsiTheme="majorBidi" w:cstheme="majorBidi" w:hint="cs"/>
          <w:b/>
          <w:bCs/>
          <w:sz w:val="24"/>
          <w:rtl/>
        </w:rPr>
        <w:t>תיאורית הפגיעה באוטונומית הפרט</w:t>
      </w:r>
    </w:p>
    <w:p w14:paraId="7CA4194D" w14:textId="74634073" w:rsidR="009656F1" w:rsidRDefault="004210E9" w:rsidP="007C1EBF">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בפרק זה אציג את הרציונל החדש אותו אני מציע להבחנה שבין מעשה למחדל תוך התמקדות בהבחנה שבין </w:t>
      </w:r>
      <w:r>
        <w:rPr>
          <w:rFonts w:asciiTheme="majorBidi" w:hAnsiTheme="majorBidi" w:cstheme="majorBidi"/>
          <w:sz w:val="24"/>
        </w:rPr>
        <w:t>killing</w:t>
      </w:r>
      <w:r>
        <w:rPr>
          <w:rFonts w:asciiTheme="majorBidi" w:hAnsiTheme="majorBidi" w:cstheme="majorBidi" w:hint="cs"/>
          <w:sz w:val="24"/>
          <w:rtl/>
        </w:rPr>
        <w:t xml:space="preserve"> ל </w:t>
      </w:r>
      <w:r>
        <w:rPr>
          <w:rFonts w:asciiTheme="majorBidi" w:hAnsiTheme="majorBidi" w:cstheme="majorBidi"/>
          <w:sz w:val="24"/>
          <w:rtl/>
        </w:rPr>
        <w:t>–</w:t>
      </w:r>
      <w:r>
        <w:rPr>
          <w:rFonts w:asciiTheme="majorBidi" w:hAnsiTheme="majorBidi" w:cstheme="majorBidi" w:hint="cs"/>
          <w:sz w:val="24"/>
          <w:rtl/>
        </w:rPr>
        <w:t xml:space="preserve"> </w:t>
      </w:r>
      <w:r>
        <w:rPr>
          <w:rFonts w:asciiTheme="majorBidi" w:hAnsiTheme="majorBidi" w:cstheme="majorBidi"/>
          <w:sz w:val="24"/>
        </w:rPr>
        <w:t>letting die</w:t>
      </w:r>
      <w:r>
        <w:rPr>
          <w:rFonts w:asciiTheme="majorBidi" w:hAnsiTheme="majorBidi" w:cstheme="majorBidi" w:hint="cs"/>
          <w:sz w:val="24"/>
          <w:rtl/>
        </w:rPr>
        <w:t xml:space="preserve">. במסגרת זו אטען כי המפתח להבחנה מצוי בהבנה על אלו אינטרסים שני האיסורים </w:t>
      </w:r>
      <w:r>
        <w:rPr>
          <w:rFonts w:asciiTheme="majorBidi" w:hAnsiTheme="majorBidi" w:cstheme="majorBidi"/>
          <w:sz w:val="24"/>
          <w:rtl/>
        </w:rPr>
        <w:t>–</w:t>
      </w:r>
      <w:r>
        <w:rPr>
          <w:rFonts w:asciiTheme="majorBidi" w:hAnsiTheme="majorBidi" w:cstheme="majorBidi" w:hint="cs"/>
          <w:sz w:val="24"/>
          <w:rtl/>
        </w:rPr>
        <w:t xml:space="preserve"> האיסור על </w:t>
      </w:r>
      <w:r>
        <w:rPr>
          <w:rFonts w:asciiTheme="majorBidi" w:hAnsiTheme="majorBidi" w:cstheme="majorBidi"/>
          <w:sz w:val="24"/>
        </w:rPr>
        <w:t>killing</w:t>
      </w:r>
      <w:r>
        <w:rPr>
          <w:rFonts w:asciiTheme="majorBidi" w:hAnsiTheme="majorBidi" w:cstheme="majorBidi" w:hint="cs"/>
          <w:sz w:val="24"/>
          <w:rtl/>
        </w:rPr>
        <w:t xml:space="preserve"> והאיסור על </w:t>
      </w:r>
      <w:r>
        <w:rPr>
          <w:rFonts w:asciiTheme="majorBidi" w:hAnsiTheme="majorBidi" w:cstheme="majorBidi"/>
          <w:sz w:val="24"/>
        </w:rPr>
        <w:t>letting die</w:t>
      </w:r>
      <w:r>
        <w:rPr>
          <w:rFonts w:asciiTheme="majorBidi" w:hAnsiTheme="majorBidi" w:cstheme="majorBidi" w:hint="cs"/>
          <w:sz w:val="24"/>
          <w:rtl/>
        </w:rPr>
        <w:t xml:space="preserve"> </w:t>
      </w:r>
      <w:r>
        <w:rPr>
          <w:rFonts w:asciiTheme="majorBidi" w:hAnsiTheme="majorBidi" w:cstheme="majorBidi"/>
          <w:sz w:val="24"/>
          <w:rtl/>
        </w:rPr>
        <w:t>–</w:t>
      </w:r>
      <w:r>
        <w:rPr>
          <w:rFonts w:asciiTheme="majorBidi" w:hAnsiTheme="majorBidi" w:cstheme="majorBidi" w:hint="cs"/>
          <w:sz w:val="24"/>
          <w:rtl/>
        </w:rPr>
        <w:t xml:space="preserve"> מבקשים להגן. נראה, כי נקודת המוצא של כל התיאוריות הקודמות שהוצעו הייתה כי שני האיסורים  מבקשים להגן על אינטרסים או </w:t>
      </w:r>
      <w:r>
        <w:rPr>
          <w:rFonts w:asciiTheme="majorBidi" w:hAnsiTheme="majorBidi" w:cstheme="majorBidi" w:hint="cs"/>
          <w:sz w:val="24"/>
          <w:rtl/>
        </w:rPr>
        <w:lastRenderedPageBreak/>
        <w:t xml:space="preserve">ערכים זהים </w:t>
      </w:r>
      <w:r>
        <w:rPr>
          <w:rFonts w:asciiTheme="majorBidi" w:hAnsiTheme="majorBidi" w:cstheme="majorBidi"/>
          <w:sz w:val="24"/>
          <w:rtl/>
        </w:rPr>
        <w:t>–</w:t>
      </w:r>
      <w:r>
        <w:rPr>
          <w:rFonts w:asciiTheme="majorBidi" w:hAnsiTheme="majorBidi" w:cstheme="majorBidi" w:hint="cs"/>
          <w:sz w:val="24"/>
          <w:rtl/>
        </w:rPr>
        <w:t xml:space="preserve"> חיי האדם של </w:t>
      </w:r>
      <w:proofErr w:type="spellStart"/>
      <w:r>
        <w:rPr>
          <w:rFonts w:asciiTheme="majorBidi" w:hAnsiTheme="majorBidi" w:cstheme="majorBidi" w:hint="cs"/>
          <w:sz w:val="24"/>
          <w:rtl/>
        </w:rPr>
        <w:t>הקרבן</w:t>
      </w:r>
      <w:proofErr w:type="spellEnd"/>
      <w:r>
        <w:rPr>
          <w:rFonts w:asciiTheme="majorBidi" w:hAnsiTheme="majorBidi" w:cstheme="majorBidi" w:hint="cs"/>
          <w:sz w:val="24"/>
          <w:rtl/>
        </w:rPr>
        <w:t xml:space="preserve">. </w:t>
      </w:r>
      <w:r w:rsidR="00017681">
        <w:rPr>
          <w:rFonts w:asciiTheme="majorBidi" w:hAnsiTheme="majorBidi" w:cstheme="majorBidi" w:hint="cs"/>
          <w:sz w:val="24"/>
          <w:rtl/>
        </w:rPr>
        <w:t>לעומת גישות אלה, בפרק זה אטען</w:t>
      </w:r>
      <w:r>
        <w:rPr>
          <w:rFonts w:asciiTheme="majorBidi" w:hAnsiTheme="majorBidi" w:cstheme="majorBidi" w:hint="cs"/>
          <w:sz w:val="24"/>
          <w:rtl/>
        </w:rPr>
        <w:t xml:space="preserve"> כי האינטרסים המצויים בבסיס האיסור על </w:t>
      </w:r>
      <w:r>
        <w:rPr>
          <w:rFonts w:asciiTheme="majorBidi" w:hAnsiTheme="majorBidi" w:cstheme="majorBidi"/>
          <w:sz w:val="24"/>
        </w:rPr>
        <w:t>killing</w:t>
      </w:r>
      <w:r>
        <w:rPr>
          <w:rFonts w:asciiTheme="majorBidi" w:hAnsiTheme="majorBidi" w:cstheme="majorBidi" w:hint="cs"/>
          <w:sz w:val="24"/>
          <w:rtl/>
        </w:rPr>
        <w:t xml:space="preserve"> רחבים ומשמעותיים יותר מהאינטרסים המצויים בבסיס האיסור על </w:t>
      </w:r>
      <w:r>
        <w:rPr>
          <w:rFonts w:asciiTheme="majorBidi" w:hAnsiTheme="majorBidi" w:cstheme="majorBidi"/>
          <w:sz w:val="24"/>
        </w:rPr>
        <w:t>letting die</w:t>
      </w:r>
      <w:r>
        <w:rPr>
          <w:rFonts w:asciiTheme="majorBidi" w:hAnsiTheme="majorBidi" w:cstheme="majorBidi" w:hint="cs"/>
          <w:sz w:val="24"/>
          <w:rtl/>
        </w:rPr>
        <w:t xml:space="preserve">. האיסור על </w:t>
      </w:r>
      <w:r>
        <w:rPr>
          <w:rFonts w:asciiTheme="majorBidi" w:hAnsiTheme="majorBidi" w:cstheme="majorBidi"/>
          <w:sz w:val="24"/>
        </w:rPr>
        <w:t xml:space="preserve">killing </w:t>
      </w:r>
      <w:r>
        <w:rPr>
          <w:rFonts w:asciiTheme="majorBidi" w:hAnsiTheme="majorBidi" w:cstheme="majorBidi" w:hint="cs"/>
          <w:sz w:val="24"/>
          <w:rtl/>
        </w:rPr>
        <w:t xml:space="preserve"> מכונן את האוטונומיה האישית שלנו, כיחידים וכחברה, באשר הוא מאפשר לנו לחיות חיים עם ביטחון ללא מגננה ופחד. לעומת זאת האיסור כנגד </w:t>
      </w:r>
      <w:r>
        <w:rPr>
          <w:rFonts w:asciiTheme="majorBidi" w:hAnsiTheme="majorBidi" w:cstheme="majorBidi"/>
          <w:sz w:val="24"/>
        </w:rPr>
        <w:t>letting die</w:t>
      </w:r>
      <w:r>
        <w:rPr>
          <w:rFonts w:asciiTheme="majorBidi" w:hAnsiTheme="majorBidi" w:cstheme="majorBidi" w:hint="cs"/>
          <w:sz w:val="24"/>
          <w:rtl/>
        </w:rPr>
        <w:t xml:space="preserve"> אינו מכונן את האוטונומיה שלנו, אלא רק במקרים מסוימים מרחיב אותה. </w:t>
      </w:r>
    </w:p>
    <w:p w14:paraId="6595D6E6" w14:textId="664A70FC" w:rsidR="004210E9" w:rsidRDefault="009656F1" w:rsidP="007C1EBF">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מבחינה מתודולוגית אטען כי יש להוכיח את ההבחנה בין מעשה למחדל בכלל ובין </w:t>
      </w:r>
      <w:r>
        <w:rPr>
          <w:rFonts w:asciiTheme="majorBidi" w:hAnsiTheme="majorBidi" w:cstheme="majorBidi"/>
          <w:sz w:val="24"/>
        </w:rPr>
        <w:t xml:space="preserve">killing </w:t>
      </w:r>
      <w:r>
        <w:rPr>
          <w:rFonts w:asciiTheme="majorBidi" w:hAnsiTheme="majorBidi" w:cstheme="majorBidi" w:hint="cs"/>
          <w:sz w:val="24"/>
          <w:rtl/>
        </w:rPr>
        <w:t xml:space="preserve"> ל </w:t>
      </w:r>
      <w:r>
        <w:rPr>
          <w:rFonts w:asciiTheme="majorBidi" w:hAnsiTheme="majorBidi" w:cstheme="majorBidi"/>
          <w:sz w:val="24"/>
          <w:rtl/>
        </w:rPr>
        <w:t>–</w:t>
      </w:r>
      <w:r>
        <w:rPr>
          <w:rFonts w:asciiTheme="majorBidi" w:hAnsiTheme="majorBidi" w:cstheme="majorBidi" w:hint="cs"/>
          <w:sz w:val="24"/>
          <w:rtl/>
        </w:rPr>
        <w:t xml:space="preserve"> </w:t>
      </w:r>
      <w:r w:rsidR="0091169E">
        <w:rPr>
          <w:rFonts w:asciiTheme="majorBidi" w:hAnsiTheme="majorBidi" w:cstheme="majorBidi"/>
          <w:sz w:val="24"/>
        </w:rPr>
        <w:t>l</w:t>
      </w:r>
      <w:r>
        <w:rPr>
          <w:rFonts w:asciiTheme="majorBidi" w:hAnsiTheme="majorBidi" w:cstheme="majorBidi"/>
          <w:sz w:val="24"/>
        </w:rPr>
        <w:t>etting die</w:t>
      </w:r>
      <w:r>
        <w:rPr>
          <w:rFonts w:asciiTheme="majorBidi" w:hAnsiTheme="majorBidi" w:cstheme="majorBidi" w:hint="cs"/>
          <w:sz w:val="24"/>
          <w:rtl/>
        </w:rPr>
        <w:t xml:space="preserve"> בפרט בדרך שונה מהדרכים שבהם הלכו כותבים רבים בנושא זה. איני בוחן שני מקרים פרטיים של </w:t>
      </w:r>
      <w:r w:rsidR="0091169E">
        <w:rPr>
          <w:rFonts w:asciiTheme="majorBidi" w:hAnsiTheme="majorBidi" w:cstheme="majorBidi"/>
          <w:sz w:val="24"/>
        </w:rPr>
        <w:t>k</w:t>
      </w:r>
      <w:r>
        <w:rPr>
          <w:rFonts w:asciiTheme="majorBidi" w:hAnsiTheme="majorBidi" w:cstheme="majorBidi"/>
          <w:sz w:val="24"/>
        </w:rPr>
        <w:t xml:space="preserve">illing </w:t>
      </w:r>
      <w:r>
        <w:rPr>
          <w:rFonts w:asciiTheme="majorBidi" w:hAnsiTheme="majorBidi" w:cstheme="majorBidi" w:hint="cs"/>
          <w:sz w:val="24"/>
          <w:rtl/>
        </w:rPr>
        <w:t xml:space="preserve"> ו </w:t>
      </w:r>
      <w:r>
        <w:rPr>
          <w:rFonts w:asciiTheme="majorBidi" w:hAnsiTheme="majorBidi" w:cstheme="majorBidi"/>
          <w:sz w:val="24"/>
          <w:rtl/>
        </w:rPr>
        <w:t>–</w:t>
      </w:r>
      <w:r>
        <w:rPr>
          <w:rFonts w:asciiTheme="majorBidi" w:hAnsiTheme="majorBidi" w:cstheme="majorBidi" w:hint="cs"/>
          <w:sz w:val="24"/>
          <w:rtl/>
        </w:rPr>
        <w:t xml:space="preserve"> </w:t>
      </w:r>
      <w:r w:rsidR="0091169E">
        <w:rPr>
          <w:rFonts w:asciiTheme="majorBidi" w:hAnsiTheme="majorBidi" w:cstheme="majorBidi"/>
          <w:sz w:val="24"/>
        </w:rPr>
        <w:t>l</w:t>
      </w:r>
      <w:r>
        <w:rPr>
          <w:rFonts w:asciiTheme="majorBidi" w:hAnsiTheme="majorBidi" w:cstheme="majorBidi"/>
          <w:sz w:val="24"/>
        </w:rPr>
        <w:t>etting die</w:t>
      </w:r>
      <w:r>
        <w:rPr>
          <w:rFonts w:asciiTheme="majorBidi" w:hAnsiTheme="majorBidi" w:cstheme="majorBidi" w:hint="cs"/>
          <w:sz w:val="24"/>
          <w:rtl/>
        </w:rPr>
        <w:t xml:space="preserve"> ומחלץ מתוך כך מדוע האיסור על </w:t>
      </w:r>
      <w:r>
        <w:rPr>
          <w:rFonts w:asciiTheme="majorBidi" w:hAnsiTheme="majorBidi" w:cstheme="majorBidi"/>
          <w:sz w:val="24"/>
        </w:rPr>
        <w:t>killing</w:t>
      </w:r>
      <w:r>
        <w:rPr>
          <w:rFonts w:asciiTheme="majorBidi" w:hAnsiTheme="majorBidi" w:cstheme="majorBidi" w:hint="cs"/>
          <w:sz w:val="24"/>
        </w:rPr>
        <w:t xml:space="preserve"> </w:t>
      </w:r>
      <w:r>
        <w:rPr>
          <w:rFonts w:asciiTheme="majorBidi" w:hAnsiTheme="majorBidi" w:cstheme="majorBidi" w:hint="cs"/>
          <w:sz w:val="24"/>
          <w:rtl/>
        </w:rPr>
        <w:t xml:space="preserve">חמור יותר. נהפוך הוא. אני מנסה לבחון מה עומד בבסיס האיסור על </w:t>
      </w:r>
      <w:r w:rsidR="0091169E">
        <w:rPr>
          <w:rFonts w:asciiTheme="majorBidi" w:hAnsiTheme="majorBidi" w:cstheme="majorBidi"/>
          <w:sz w:val="24"/>
        </w:rPr>
        <w:t>k</w:t>
      </w:r>
      <w:r>
        <w:rPr>
          <w:rFonts w:asciiTheme="majorBidi" w:hAnsiTheme="majorBidi" w:cstheme="majorBidi"/>
          <w:sz w:val="24"/>
        </w:rPr>
        <w:t>illing</w:t>
      </w:r>
      <w:r>
        <w:rPr>
          <w:rFonts w:asciiTheme="majorBidi" w:hAnsiTheme="majorBidi" w:cstheme="majorBidi" w:hint="cs"/>
          <w:sz w:val="24"/>
          <w:rtl/>
        </w:rPr>
        <w:t xml:space="preserve"> ובבסיס האיסור על </w:t>
      </w:r>
      <w:r>
        <w:rPr>
          <w:rFonts w:asciiTheme="majorBidi" w:hAnsiTheme="majorBidi" w:cstheme="majorBidi"/>
          <w:sz w:val="24"/>
        </w:rPr>
        <w:t>letting die</w:t>
      </w:r>
      <w:r>
        <w:rPr>
          <w:rFonts w:asciiTheme="majorBidi" w:hAnsiTheme="majorBidi" w:cstheme="majorBidi" w:hint="cs"/>
          <w:sz w:val="24"/>
          <w:rtl/>
        </w:rPr>
        <w:t xml:space="preserve"> ודרך זו אני בוחן מדוע האיסור על </w:t>
      </w:r>
      <w:r>
        <w:rPr>
          <w:rFonts w:asciiTheme="majorBidi" w:hAnsiTheme="majorBidi" w:cstheme="majorBidi"/>
          <w:sz w:val="24"/>
        </w:rPr>
        <w:t xml:space="preserve">killing </w:t>
      </w:r>
      <w:r>
        <w:rPr>
          <w:rFonts w:asciiTheme="majorBidi" w:hAnsiTheme="majorBidi" w:cstheme="majorBidi" w:hint="cs"/>
          <w:sz w:val="24"/>
          <w:rtl/>
        </w:rPr>
        <w:t xml:space="preserve"> חמור יותר. במילים אחרות אני טוען כי את חומרת האיסור אין לגזור ממקרה פרט</w:t>
      </w:r>
      <w:r w:rsidR="008429FC">
        <w:rPr>
          <w:rFonts w:asciiTheme="majorBidi" w:hAnsiTheme="majorBidi" w:cstheme="majorBidi" w:hint="cs"/>
          <w:sz w:val="24"/>
          <w:rtl/>
        </w:rPr>
        <w:t xml:space="preserve">י אלא יש לגזור זאת מתוך האינטרסים והערכים המצויים בבסיס האיסורים הללו. </w:t>
      </w:r>
      <w:r w:rsidR="004210E9">
        <w:rPr>
          <w:rFonts w:asciiTheme="majorBidi" w:hAnsiTheme="majorBidi" w:cstheme="majorBidi" w:hint="cs"/>
          <w:sz w:val="24"/>
          <w:rtl/>
        </w:rPr>
        <w:t xml:space="preserve"> </w:t>
      </w:r>
    </w:p>
    <w:p w14:paraId="18167326" w14:textId="23E4DD57" w:rsidR="00D15ED8" w:rsidRDefault="00470C90" w:rsidP="009F3C66">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כדי להבין </w:t>
      </w:r>
      <w:r w:rsidR="008429FC">
        <w:rPr>
          <w:rFonts w:asciiTheme="majorBidi" w:hAnsiTheme="majorBidi" w:cstheme="majorBidi" w:hint="cs"/>
          <w:sz w:val="24"/>
          <w:rtl/>
        </w:rPr>
        <w:t>מה עומד בבסיס כל איסור</w:t>
      </w:r>
      <w:r w:rsidR="00017681">
        <w:rPr>
          <w:rFonts w:asciiTheme="majorBidi" w:hAnsiTheme="majorBidi" w:cstheme="majorBidi" w:hint="cs"/>
          <w:sz w:val="24"/>
          <w:rtl/>
        </w:rPr>
        <w:t xml:space="preserve"> אטען כי </w:t>
      </w:r>
      <w:r w:rsidR="008429FC">
        <w:rPr>
          <w:rFonts w:asciiTheme="majorBidi" w:hAnsiTheme="majorBidi" w:cstheme="majorBidi" w:hint="cs"/>
          <w:sz w:val="24"/>
          <w:rtl/>
        </w:rPr>
        <w:t>יש לשאול שתי שאלות עיקריות:</w:t>
      </w:r>
    </w:p>
    <w:p w14:paraId="0D772C35" w14:textId="193B2C8B" w:rsidR="008429FC" w:rsidRDefault="008429FC" w:rsidP="008429FC">
      <w:pPr>
        <w:pStyle w:val="hebrew"/>
        <w:numPr>
          <w:ilvl w:val="0"/>
          <w:numId w:val="6"/>
        </w:numPr>
        <w:spacing w:line="360" w:lineRule="auto"/>
        <w:ind w:right="-850"/>
        <w:rPr>
          <w:rFonts w:asciiTheme="majorBidi" w:hAnsiTheme="majorBidi" w:cstheme="majorBidi"/>
          <w:sz w:val="24"/>
        </w:rPr>
      </w:pPr>
      <w:r>
        <w:rPr>
          <w:rFonts w:asciiTheme="majorBidi" w:hAnsiTheme="majorBidi" w:cstheme="majorBidi" w:hint="cs"/>
          <w:sz w:val="24"/>
          <w:rtl/>
        </w:rPr>
        <w:t xml:space="preserve">מה היה קורה בעולם לו לא היה קיים כלל האיסור על </w:t>
      </w:r>
      <w:r>
        <w:rPr>
          <w:rFonts w:asciiTheme="majorBidi" w:hAnsiTheme="majorBidi" w:cstheme="majorBidi"/>
          <w:sz w:val="24"/>
        </w:rPr>
        <w:t>killing</w:t>
      </w:r>
      <w:r>
        <w:rPr>
          <w:rFonts w:asciiTheme="majorBidi" w:hAnsiTheme="majorBidi" w:cstheme="majorBidi" w:hint="cs"/>
          <w:sz w:val="24"/>
          <w:rtl/>
        </w:rPr>
        <w:t>?</w:t>
      </w:r>
    </w:p>
    <w:p w14:paraId="0E289881" w14:textId="50DD6CA1" w:rsidR="008429FC" w:rsidRDefault="008429FC" w:rsidP="008429FC">
      <w:pPr>
        <w:pStyle w:val="hebrew"/>
        <w:numPr>
          <w:ilvl w:val="0"/>
          <w:numId w:val="6"/>
        </w:numPr>
        <w:spacing w:line="360" w:lineRule="auto"/>
        <w:ind w:right="-850"/>
        <w:rPr>
          <w:rFonts w:asciiTheme="majorBidi" w:hAnsiTheme="majorBidi" w:cstheme="majorBidi"/>
          <w:sz w:val="24"/>
        </w:rPr>
      </w:pPr>
      <w:r>
        <w:rPr>
          <w:rFonts w:asciiTheme="majorBidi" w:hAnsiTheme="majorBidi" w:cstheme="majorBidi" w:hint="cs"/>
          <w:sz w:val="24"/>
          <w:rtl/>
        </w:rPr>
        <w:t>מה היה ק</w:t>
      </w:r>
      <w:r w:rsidR="0091169E">
        <w:rPr>
          <w:rFonts w:asciiTheme="majorBidi" w:hAnsiTheme="majorBidi" w:cstheme="majorBidi" w:hint="cs"/>
          <w:sz w:val="24"/>
          <w:rtl/>
        </w:rPr>
        <w:t>ו</w:t>
      </w:r>
      <w:r>
        <w:rPr>
          <w:rFonts w:asciiTheme="majorBidi" w:hAnsiTheme="majorBidi" w:cstheme="majorBidi" w:hint="cs"/>
          <w:sz w:val="24"/>
          <w:rtl/>
        </w:rPr>
        <w:t xml:space="preserve">רה בעולם לו היה קיים איסור על </w:t>
      </w:r>
      <w:r>
        <w:rPr>
          <w:rFonts w:asciiTheme="majorBidi" w:hAnsiTheme="majorBidi" w:cstheme="majorBidi"/>
          <w:sz w:val="24"/>
        </w:rPr>
        <w:t>killing</w:t>
      </w:r>
      <w:r>
        <w:rPr>
          <w:rFonts w:asciiTheme="majorBidi" w:hAnsiTheme="majorBidi" w:cstheme="majorBidi" w:hint="cs"/>
          <w:sz w:val="24"/>
          <w:rtl/>
        </w:rPr>
        <w:t xml:space="preserve"> אך לא היה קיים האיסור על </w:t>
      </w:r>
      <w:r>
        <w:rPr>
          <w:rFonts w:asciiTheme="majorBidi" w:hAnsiTheme="majorBidi" w:cstheme="majorBidi"/>
          <w:sz w:val="24"/>
        </w:rPr>
        <w:t>letting die</w:t>
      </w:r>
      <w:r>
        <w:rPr>
          <w:rFonts w:asciiTheme="majorBidi" w:hAnsiTheme="majorBidi" w:cstheme="majorBidi" w:hint="cs"/>
          <w:sz w:val="24"/>
          <w:rtl/>
        </w:rPr>
        <w:t>?</w:t>
      </w:r>
    </w:p>
    <w:p w14:paraId="60B18501" w14:textId="69472D73" w:rsidR="00017681" w:rsidRDefault="008429FC" w:rsidP="008429FC">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טענתי היא כי שתי השאלות הללו יבהירו לנו מה הייתה תמונת המצב ללא האיסור הרלוונטי. בלשון אחרת, שתי השאלות יבהירו לנו על מה בדיוק מגן כל אחד מן האיסורים הללו.</w:t>
      </w:r>
    </w:p>
    <w:p w14:paraId="28D2170C" w14:textId="77777777" w:rsidR="009F3C66" w:rsidRDefault="001021BB"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בהתייחס לשאלה הראשונה אראה כי ללא האיסור כנגד </w:t>
      </w:r>
      <w:r>
        <w:rPr>
          <w:rFonts w:asciiTheme="majorBidi" w:hAnsiTheme="majorBidi" w:cstheme="majorBidi"/>
          <w:sz w:val="24"/>
        </w:rPr>
        <w:t>killing</w:t>
      </w:r>
      <w:r>
        <w:rPr>
          <w:rFonts w:asciiTheme="majorBidi" w:hAnsiTheme="majorBidi" w:cstheme="majorBidi" w:hint="cs"/>
          <w:sz w:val="24"/>
          <w:rtl/>
        </w:rPr>
        <w:t xml:space="preserve"> קיים חשש שניפול לחיים של מגננה ופחד מפני פגיעות שונות שעלולות לגרום למוות. במצב זה אף אם אנשים היו מצליחים לשמור על חייהם עדיין קיים חשש שהם היו חיים בפחד ובאיום מתמיד מפני המוות. פחד זה היה גורר לפגיעה משמעותית באוטונומיה של האדם שכן במצב זה יקשה עליו לממש את שאיפותיו ולתכנן את חייו באופן סביר.  לעומת זאת בהתייחס לשאלה השנייה אראה כי אם היה קיים איסור על </w:t>
      </w:r>
      <w:r>
        <w:rPr>
          <w:rFonts w:asciiTheme="majorBidi" w:hAnsiTheme="majorBidi" w:cstheme="majorBidi"/>
          <w:sz w:val="24"/>
        </w:rPr>
        <w:t>killing</w:t>
      </w:r>
      <w:r>
        <w:rPr>
          <w:rFonts w:asciiTheme="majorBidi" w:hAnsiTheme="majorBidi" w:cstheme="majorBidi" w:hint="cs"/>
          <w:sz w:val="24"/>
          <w:rtl/>
        </w:rPr>
        <w:t xml:space="preserve"> אך לא היה קיים איסור על </w:t>
      </w:r>
      <w:r>
        <w:rPr>
          <w:rFonts w:asciiTheme="majorBidi" w:hAnsiTheme="majorBidi" w:cstheme="majorBidi"/>
          <w:sz w:val="24"/>
        </w:rPr>
        <w:t>letting die</w:t>
      </w:r>
      <w:r>
        <w:rPr>
          <w:rFonts w:asciiTheme="majorBidi" w:hAnsiTheme="majorBidi" w:cstheme="majorBidi" w:hint="cs"/>
          <w:sz w:val="24"/>
          <w:rtl/>
        </w:rPr>
        <w:t xml:space="preserve"> הרי שייתכן שלא היה מדובר בקיום אנושי אופטימלי, אך לבטח לא היינו מגיעים למצב הטבעי של הובס </w:t>
      </w:r>
      <w:r>
        <w:rPr>
          <w:rFonts w:asciiTheme="majorBidi" w:hAnsiTheme="majorBidi" w:cstheme="majorBidi"/>
          <w:sz w:val="24"/>
          <w:rtl/>
        </w:rPr>
        <w:t>–</w:t>
      </w:r>
      <w:r>
        <w:rPr>
          <w:rFonts w:asciiTheme="majorBidi" w:hAnsiTheme="majorBidi" w:cstheme="majorBidi" w:hint="cs"/>
          <w:sz w:val="24"/>
          <w:rtl/>
        </w:rPr>
        <w:t xml:space="preserve"> של מלחמת הכל בכל. במצב זה אמנם היה האדם צריך לחשוש מפני מצבים מסוכנים, אך הוא לא היה חי בפחד מתמיד שמא ימיתו אותו.</w:t>
      </w:r>
    </w:p>
    <w:p w14:paraId="74EB3D52" w14:textId="5640213A" w:rsidR="001021BB" w:rsidRPr="002761A9" w:rsidRDefault="009F3C66" w:rsidP="002761A9">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lastRenderedPageBreak/>
        <w:t xml:space="preserve">מטיעון זה עולה כי האיסור על </w:t>
      </w:r>
      <w:r>
        <w:rPr>
          <w:rFonts w:asciiTheme="majorBidi" w:hAnsiTheme="majorBidi" w:cstheme="majorBidi"/>
          <w:sz w:val="24"/>
        </w:rPr>
        <w:t xml:space="preserve">killing </w:t>
      </w:r>
      <w:r>
        <w:rPr>
          <w:rFonts w:asciiTheme="majorBidi" w:hAnsiTheme="majorBidi" w:cstheme="majorBidi" w:hint="cs"/>
          <w:sz w:val="24"/>
          <w:rtl/>
        </w:rPr>
        <w:t xml:space="preserve"> מבקש להגן על אינטרסים בסיסיים יותר ליכולתו של האדם וליכולתה של החברה לנהל חיים סבירים, מאשר האיסור כנגד </w:t>
      </w:r>
      <w:r>
        <w:rPr>
          <w:rFonts w:asciiTheme="majorBidi" w:hAnsiTheme="majorBidi" w:cstheme="majorBidi"/>
          <w:sz w:val="24"/>
        </w:rPr>
        <w:t>letting die</w:t>
      </w:r>
      <w:r>
        <w:rPr>
          <w:rFonts w:asciiTheme="majorBidi" w:hAnsiTheme="majorBidi" w:cstheme="majorBidi" w:hint="cs"/>
          <w:sz w:val="24"/>
          <w:rtl/>
        </w:rPr>
        <w:t xml:space="preserve">. במסגרת סעיף זה אצביע על ההבדלים שבין התיאוריה אותה אני מציע לבין </w:t>
      </w:r>
      <w:proofErr w:type="spellStart"/>
      <w:r>
        <w:rPr>
          <w:rFonts w:asciiTheme="majorBidi" w:hAnsiTheme="majorBidi" w:cstheme="majorBidi" w:hint="cs"/>
          <w:sz w:val="24"/>
          <w:rtl/>
        </w:rPr>
        <w:t>הרציונלים</w:t>
      </w:r>
      <w:proofErr w:type="spellEnd"/>
      <w:r>
        <w:rPr>
          <w:rFonts w:asciiTheme="majorBidi" w:hAnsiTheme="majorBidi" w:cstheme="majorBidi" w:hint="cs"/>
          <w:sz w:val="24"/>
          <w:rtl/>
        </w:rPr>
        <w:t xml:space="preserve"> האחרים שהוצגו לעיל.</w:t>
      </w:r>
      <w:r w:rsidR="001021BB" w:rsidRPr="002761A9">
        <w:rPr>
          <w:rFonts w:asciiTheme="majorBidi" w:hAnsiTheme="majorBidi" w:cstheme="majorBidi" w:hint="cs"/>
          <w:sz w:val="24"/>
          <w:rtl/>
        </w:rPr>
        <w:t xml:space="preserve"> </w:t>
      </w:r>
    </w:p>
    <w:p w14:paraId="2CEF0EE3" w14:textId="77777777" w:rsidR="001021BB" w:rsidRDefault="00FA37BB"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במסגרת הצגת הטיעון אראה שהוא עולה בקנה אחד עם תיאוריית מוסר של תועלתנות כלל, וכן עם תיאוריית מוסר</w:t>
      </w:r>
      <w:r w:rsidR="001021BB">
        <w:rPr>
          <w:rFonts w:asciiTheme="majorBidi" w:hAnsiTheme="majorBidi" w:cstheme="majorBidi" w:hint="cs"/>
          <w:sz w:val="24"/>
          <w:rtl/>
        </w:rPr>
        <w:t xml:space="preserve"> של האמנה החברתית </w:t>
      </w:r>
      <w:proofErr w:type="spellStart"/>
      <w:r w:rsidR="001021BB">
        <w:rPr>
          <w:rFonts w:asciiTheme="majorBidi" w:hAnsiTheme="majorBidi" w:cstheme="majorBidi" w:hint="cs"/>
          <w:sz w:val="24"/>
          <w:rtl/>
        </w:rPr>
        <w:t>ההובסיאנית</w:t>
      </w:r>
      <w:proofErr w:type="spellEnd"/>
      <w:r w:rsidR="001021BB">
        <w:rPr>
          <w:rFonts w:asciiTheme="majorBidi" w:hAnsiTheme="majorBidi" w:cstheme="majorBidi" w:hint="cs"/>
          <w:sz w:val="24"/>
          <w:rtl/>
        </w:rPr>
        <w:t xml:space="preserve"> </w:t>
      </w:r>
      <w:proofErr w:type="spellStart"/>
      <w:r w:rsidR="001021BB">
        <w:rPr>
          <w:rFonts w:asciiTheme="majorBidi" w:hAnsiTheme="majorBidi" w:cstheme="majorBidi" w:hint="cs"/>
          <w:sz w:val="24"/>
          <w:rtl/>
        </w:rPr>
        <w:t>ורולסיאנית</w:t>
      </w:r>
      <w:proofErr w:type="spellEnd"/>
      <w:r w:rsidR="001021BB">
        <w:rPr>
          <w:rFonts w:asciiTheme="majorBidi" w:hAnsiTheme="majorBidi" w:cstheme="majorBidi" w:hint="cs"/>
          <w:sz w:val="24"/>
          <w:rtl/>
        </w:rPr>
        <w:t>.</w:t>
      </w:r>
    </w:p>
    <w:p w14:paraId="6DF3E647" w14:textId="4154C7F9" w:rsidR="002C12EE" w:rsidRDefault="001021BB"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במסגרת פרק זה אראה </w:t>
      </w:r>
      <w:r w:rsidR="002C12EE">
        <w:rPr>
          <w:rFonts w:asciiTheme="majorBidi" w:hAnsiTheme="majorBidi" w:cstheme="majorBidi" w:hint="cs"/>
          <w:sz w:val="24"/>
          <w:rtl/>
        </w:rPr>
        <w:t xml:space="preserve">כיצד משפיעה התיאוריה שאני מציע על ההגדרה של </w:t>
      </w:r>
      <w:r w:rsidR="002C12EE">
        <w:rPr>
          <w:rFonts w:asciiTheme="majorBidi" w:hAnsiTheme="majorBidi" w:cstheme="majorBidi"/>
          <w:sz w:val="24"/>
        </w:rPr>
        <w:t xml:space="preserve">killing </w:t>
      </w:r>
      <w:r w:rsidR="002C12EE">
        <w:rPr>
          <w:rFonts w:asciiTheme="majorBidi" w:hAnsiTheme="majorBidi" w:cstheme="majorBidi" w:hint="cs"/>
          <w:sz w:val="24"/>
          <w:rtl/>
        </w:rPr>
        <w:t xml:space="preserve"> ושל </w:t>
      </w:r>
      <w:r w:rsidR="002C12EE">
        <w:rPr>
          <w:rFonts w:asciiTheme="majorBidi" w:hAnsiTheme="majorBidi" w:cstheme="majorBidi"/>
          <w:sz w:val="24"/>
        </w:rPr>
        <w:t>letting die</w:t>
      </w:r>
      <w:r w:rsidR="002C12EE">
        <w:rPr>
          <w:rFonts w:asciiTheme="majorBidi" w:hAnsiTheme="majorBidi" w:cstheme="majorBidi" w:hint="cs"/>
          <w:sz w:val="24"/>
          <w:rtl/>
        </w:rPr>
        <w:t xml:space="preserve"> וכיצד היא פותרת את הביקורות שהועלו כלפי התיאוריות האחרות שצוינו בפרקים הקודמים. </w:t>
      </w:r>
    </w:p>
    <w:p w14:paraId="1681D9F9" w14:textId="7547A3EE" w:rsidR="00017681" w:rsidRDefault="001021BB"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 </w:t>
      </w:r>
    </w:p>
    <w:p w14:paraId="5868D6F3" w14:textId="749DC352" w:rsidR="002761A9" w:rsidRPr="00470C90" w:rsidRDefault="002761A9" w:rsidP="001021BB">
      <w:pPr>
        <w:pStyle w:val="hebrew"/>
        <w:spacing w:line="360" w:lineRule="auto"/>
        <w:ind w:left="-566" w:right="-850" w:firstLine="0"/>
        <w:rPr>
          <w:rFonts w:asciiTheme="majorBidi" w:hAnsiTheme="majorBidi" w:cstheme="majorBidi"/>
          <w:b/>
          <w:bCs/>
          <w:sz w:val="24"/>
          <w:rtl/>
        </w:rPr>
      </w:pPr>
      <w:r w:rsidRPr="00470C90">
        <w:rPr>
          <w:rFonts w:asciiTheme="majorBidi" w:hAnsiTheme="majorBidi" w:cstheme="majorBidi" w:hint="cs"/>
          <w:b/>
          <w:bCs/>
          <w:sz w:val="24"/>
          <w:rtl/>
        </w:rPr>
        <w:t>שער שני</w:t>
      </w:r>
    </w:p>
    <w:p w14:paraId="635B1C92" w14:textId="73E2BF7E" w:rsidR="002761A9" w:rsidRPr="00BE5425" w:rsidRDefault="002761A9" w:rsidP="001021BB">
      <w:pPr>
        <w:pStyle w:val="hebrew"/>
        <w:spacing w:line="360" w:lineRule="auto"/>
        <w:ind w:left="-566" w:right="-850" w:firstLine="0"/>
        <w:rPr>
          <w:rFonts w:asciiTheme="majorBidi" w:hAnsiTheme="majorBidi" w:cstheme="majorBidi"/>
          <w:b/>
          <w:bCs/>
          <w:sz w:val="24"/>
          <w:rtl/>
        </w:rPr>
      </w:pPr>
      <w:r w:rsidRPr="00BE5425">
        <w:rPr>
          <w:rFonts w:asciiTheme="majorBidi" w:hAnsiTheme="majorBidi" w:cstheme="majorBidi" w:hint="cs"/>
          <w:b/>
          <w:bCs/>
          <w:sz w:val="24"/>
          <w:rtl/>
        </w:rPr>
        <w:t xml:space="preserve">פרק ה </w:t>
      </w:r>
      <w:r w:rsidRPr="00BE5425">
        <w:rPr>
          <w:rFonts w:asciiTheme="majorBidi" w:hAnsiTheme="majorBidi" w:cstheme="majorBidi"/>
          <w:b/>
          <w:bCs/>
          <w:sz w:val="24"/>
          <w:rtl/>
        </w:rPr>
        <w:t>–</w:t>
      </w:r>
      <w:r w:rsidRPr="00BE5425">
        <w:rPr>
          <w:rFonts w:asciiTheme="majorBidi" w:hAnsiTheme="majorBidi" w:cstheme="majorBidi" w:hint="cs"/>
          <w:b/>
          <w:bCs/>
          <w:sz w:val="24"/>
          <w:rtl/>
        </w:rPr>
        <w:t xml:space="preserve"> עמדת הפסיקה בנוגע להגדרת מעשה ומחדל</w:t>
      </w:r>
    </w:p>
    <w:p w14:paraId="2E2F0460" w14:textId="599D4AB5" w:rsidR="003A7942" w:rsidRDefault="002761A9"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במסגרת פרק זה אציג את עמדת הפסיקה בארצות הברית בנוגע להגדרת מעשה ומחדל. כפי שאראה, עמדת הפסיקה בארצות הברית אינה אחידה, שכן קיימים פסקי דין שהכפיפו את הגדרת מעשה ומחדל לעקרון התנועה הגופנית, ולעומת זאת קיימים פסקי דין שלא הכפיפו את הגדרת מעשה ומחדל לעיקרון זה. לפי פסקי הדין שהכפיפו את הגדרת מעשה ומחדל לעקרון התנועה הגופנית, מעשה הוא תנועה גופנית ואילו מחדל הוא היעדר תנועה גופנית, ובכל מקרה של היעדר תנועה גופנית (כגון עמידה במקום) הרי שיהיה צורך באיתור חובה לפעול. לעומת זאת, לפי פסקי דין שלא הכפיפו את ההגדרה לעקרון התנועה הגופנית, ייתכנו מקרים הכרוכים בתנועה גופנית שיסווג</w:t>
      </w:r>
      <w:r w:rsidR="0091169E">
        <w:rPr>
          <w:rFonts w:asciiTheme="majorBidi" w:hAnsiTheme="majorBidi" w:cstheme="majorBidi" w:hint="cs"/>
          <w:sz w:val="24"/>
          <w:rtl/>
        </w:rPr>
        <w:t>ו</w:t>
      </w:r>
      <w:r>
        <w:rPr>
          <w:rFonts w:asciiTheme="majorBidi" w:hAnsiTheme="majorBidi" w:cstheme="majorBidi" w:hint="cs"/>
          <w:sz w:val="24"/>
          <w:rtl/>
        </w:rPr>
        <w:t xml:space="preserve"> כמחדל ומנגד יתכנון מקרים שאינם כרוכים בתנועה גופנית אשר יסווגו כמעשה. בסיום הפרק אצביע על שורש המחלוקת בין פסקי הדין בהתייחס </w:t>
      </w:r>
      <w:proofErr w:type="spellStart"/>
      <w:r>
        <w:rPr>
          <w:rFonts w:asciiTheme="majorBidi" w:hAnsiTheme="majorBidi" w:cstheme="majorBidi" w:hint="cs"/>
          <w:sz w:val="24"/>
          <w:rtl/>
        </w:rPr>
        <w:t>לרציונלים</w:t>
      </w:r>
      <w:proofErr w:type="spellEnd"/>
      <w:r>
        <w:rPr>
          <w:rFonts w:asciiTheme="majorBidi" w:hAnsiTheme="majorBidi" w:cstheme="majorBidi" w:hint="cs"/>
          <w:sz w:val="24"/>
          <w:rtl/>
        </w:rPr>
        <w:t xml:space="preserve"> השונים שהוצגו לעיל.</w:t>
      </w:r>
    </w:p>
    <w:p w14:paraId="73F88C78" w14:textId="77777777" w:rsidR="003A7942" w:rsidRDefault="003A7942" w:rsidP="001021BB">
      <w:pPr>
        <w:pStyle w:val="hebrew"/>
        <w:spacing w:line="360" w:lineRule="auto"/>
        <w:ind w:left="-566" w:right="-850" w:firstLine="0"/>
        <w:rPr>
          <w:rFonts w:asciiTheme="majorBidi" w:hAnsiTheme="majorBidi" w:cstheme="majorBidi"/>
          <w:sz w:val="24"/>
          <w:rtl/>
        </w:rPr>
      </w:pPr>
    </w:p>
    <w:p w14:paraId="0B6651D7" w14:textId="5A76C308" w:rsidR="003A7942" w:rsidRPr="00BE5425" w:rsidRDefault="003A7942" w:rsidP="001021BB">
      <w:pPr>
        <w:pStyle w:val="hebrew"/>
        <w:spacing w:line="360" w:lineRule="auto"/>
        <w:ind w:left="-566" w:right="-850" w:firstLine="0"/>
        <w:rPr>
          <w:rFonts w:asciiTheme="majorBidi" w:hAnsiTheme="majorBidi" w:cstheme="majorBidi"/>
          <w:b/>
          <w:bCs/>
          <w:sz w:val="24"/>
          <w:rtl/>
        </w:rPr>
      </w:pPr>
      <w:r w:rsidRPr="00BE5425">
        <w:rPr>
          <w:rFonts w:asciiTheme="majorBidi" w:hAnsiTheme="majorBidi" w:cstheme="majorBidi" w:hint="cs"/>
          <w:b/>
          <w:bCs/>
          <w:sz w:val="24"/>
          <w:rtl/>
        </w:rPr>
        <w:t xml:space="preserve">פרק ו </w:t>
      </w:r>
      <w:r w:rsidRPr="00BE5425">
        <w:rPr>
          <w:rFonts w:asciiTheme="majorBidi" w:hAnsiTheme="majorBidi" w:cstheme="majorBidi"/>
          <w:b/>
          <w:bCs/>
          <w:sz w:val="24"/>
          <w:rtl/>
        </w:rPr>
        <w:t>–</w:t>
      </w:r>
      <w:r w:rsidRPr="00BE5425">
        <w:rPr>
          <w:rFonts w:asciiTheme="majorBidi" w:hAnsiTheme="majorBidi" w:cstheme="majorBidi" w:hint="cs"/>
          <w:b/>
          <w:bCs/>
          <w:sz w:val="24"/>
          <w:rtl/>
        </w:rPr>
        <w:t xml:space="preserve"> מקורות החובה לפעול היכולים לשמש כבסיס להטלת אחריות פלילית בעבירות מחדל</w:t>
      </w:r>
    </w:p>
    <w:p w14:paraId="1FF57F16" w14:textId="77777777" w:rsidR="00E34893" w:rsidRDefault="003A7942"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במסגרת פרק זה אדון בשאלה מהן החובות היכולות לספק תשתית להטלת אחריות פלילית ב</w:t>
      </w:r>
      <w:r w:rsidR="00E34893">
        <w:rPr>
          <w:rFonts w:asciiTheme="majorBidi" w:hAnsiTheme="majorBidi" w:cstheme="majorBidi" w:hint="cs"/>
          <w:sz w:val="24"/>
          <w:rtl/>
        </w:rPr>
        <w:t>עבירות מחדל</w:t>
      </w:r>
      <w:r>
        <w:rPr>
          <w:rFonts w:asciiTheme="majorBidi" w:hAnsiTheme="majorBidi" w:cstheme="majorBidi" w:hint="cs"/>
          <w:sz w:val="24"/>
          <w:rtl/>
        </w:rPr>
        <w:t>.</w:t>
      </w:r>
      <w:r w:rsidR="00E34893">
        <w:rPr>
          <w:rFonts w:asciiTheme="majorBidi" w:hAnsiTheme="majorBidi" w:cstheme="majorBidi" w:hint="cs"/>
          <w:sz w:val="24"/>
          <w:rtl/>
        </w:rPr>
        <w:t xml:space="preserve"> האם כל חובה המצויה בדין יכולה לשמש בסיס להרשעה בעבירת מחדל או שמא רק חובות </w:t>
      </w:r>
      <w:r w:rsidR="00E34893">
        <w:rPr>
          <w:rFonts w:asciiTheme="majorBidi" w:hAnsiTheme="majorBidi" w:cstheme="majorBidi" w:hint="cs"/>
          <w:sz w:val="24"/>
          <w:rtl/>
        </w:rPr>
        <w:lastRenderedPageBreak/>
        <w:t xml:space="preserve">ספציפיות וייחודיות יכולות לשמש בסיס להרשעה במחדל. במסגרת זאת אציג שלוש גישות ביחס לשאלה זו. </w:t>
      </w:r>
    </w:p>
    <w:p w14:paraId="1DB869C8" w14:textId="77777777" w:rsidR="00E34893" w:rsidRDefault="00E34893" w:rsidP="001021BB">
      <w:pPr>
        <w:pStyle w:val="hebrew"/>
        <w:spacing w:line="360" w:lineRule="auto"/>
        <w:ind w:left="-566" w:right="-850" w:firstLine="0"/>
        <w:rPr>
          <w:rFonts w:asciiTheme="majorBidi" w:hAnsiTheme="majorBidi" w:cstheme="majorBidi"/>
          <w:sz w:val="24"/>
          <w:rtl/>
        </w:rPr>
      </w:pPr>
      <w:r w:rsidRPr="00470C90">
        <w:rPr>
          <w:rFonts w:asciiTheme="majorBidi" w:hAnsiTheme="majorBidi" w:cstheme="majorBidi" w:hint="cs"/>
          <w:b/>
          <w:bCs/>
          <w:sz w:val="24"/>
          <w:rtl/>
        </w:rPr>
        <w:t>הגישה המרחיבה</w:t>
      </w:r>
      <w:r>
        <w:rPr>
          <w:rFonts w:asciiTheme="majorBidi" w:hAnsiTheme="majorBidi" w:cstheme="majorBidi" w:hint="cs"/>
          <w:sz w:val="24"/>
          <w:rtl/>
        </w:rPr>
        <w:t xml:space="preserve"> סבורה כי כל חובה בדין יכולה לשמש בסיס להרשעה בעבירת מחדל, בין אם מדובר בחובה מכוח הדין הפלילי ובין אם מדובר בחובה הנובעת מהדין האזרחי. </w:t>
      </w:r>
    </w:p>
    <w:p w14:paraId="49716A1B" w14:textId="77777777" w:rsidR="00E34893" w:rsidRDefault="00E34893" w:rsidP="001021BB">
      <w:pPr>
        <w:pStyle w:val="hebrew"/>
        <w:spacing w:line="360" w:lineRule="auto"/>
        <w:ind w:left="-566" w:right="-850" w:firstLine="0"/>
        <w:rPr>
          <w:rFonts w:asciiTheme="majorBidi" w:hAnsiTheme="majorBidi" w:cstheme="majorBidi"/>
          <w:sz w:val="24"/>
          <w:rtl/>
        </w:rPr>
      </w:pPr>
      <w:r w:rsidRPr="00470C90">
        <w:rPr>
          <w:rFonts w:asciiTheme="majorBidi" w:hAnsiTheme="majorBidi" w:cstheme="majorBidi" w:hint="cs"/>
          <w:b/>
          <w:bCs/>
          <w:sz w:val="24"/>
          <w:rtl/>
        </w:rPr>
        <w:t>הגישה המצמצמת</w:t>
      </w:r>
      <w:r>
        <w:rPr>
          <w:rFonts w:asciiTheme="majorBidi" w:hAnsiTheme="majorBidi" w:cstheme="majorBidi" w:hint="cs"/>
          <w:sz w:val="24"/>
          <w:rtl/>
        </w:rPr>
        <w:t xml:space="preserve"> סבורה כי רק חובות מסוימות יכולות לשמש כמקור חובה לצורך הרשעה בעבירות מחדל. לפי עמדה זו, החובות הספציפיות צריכות לצמוח מהקשר שבין הנאשם לקרבן או מהקשר שבין הנאשם למקור הסכנה או מכוח תפקיד. </w:t>
      </w:r>
    </w:p>
    <w:p w14:paraId="1CD15312" w14:textId="1DDA3D4A" w:rsidR="00F644FE" w:rsidRDefault="00E34893" w:rsidP="001021BB">
      <w:pPr>
        <w:pStyle w:val="hebrew"/>
        <w:spacing w:line="360" w:lineRule="auto"/>
        <w:ind w:left="-566" w:right="-850" w:firstLine="0"/>
        <w:rPr>
          <w:rFonts w:asciiTheme="majorBidi" w:hAnsiTheme="majorBidi" w:cstheme="majorBidi"/>
          <w:sz w:val="24"/>
          <w:rtl/>
        </w:rPr>
      </w:pPr>
      <w:r w:rsidRPr="00470C90">
        <w:rPr>
          <w:rFonts w:asciiTheme="majorBidi" w:hAnsiTheme="majorBidi" w:cstheme="majorBidi" w:hint="cs"/>
          <w:b/>
          <w:bCs/>
          <w:sz w:val="24"/>
          <w:rtl/>
        </w:rPr>
        <w:t>גישת הביניים</w:t>
      </w:r>
      <w:r>
        <w:rPr>
          <w:rFonts w:asciiTheme="majorBidi" w:hAnsiTheme="majorBidi" w:cstheme="majorBidi" w:hint="cs"/>
          <w:sz w:val="24"/>
          <w:rtl/>
        </w:rPr>
        <w:t xml:space="preserve"> </w:t>
      </w:r>
      <w:r w:rsidR="00470C90">
        <w:rPr>
          <w:rFonts w:asciiTheme="majorBidi" w:hAnsiTheme="majorBidi" w:cstheme="majorBidi" w:hint="cs"/>
          <w:sz w:val="24"/>
          <w:rtl/>
        </w:rPr>
        <w:t>סבורה כי</w:t>
      </w:r>
      <w:r>
        <w:rPr>
          <w:rFonts w:asciiTheme="majorBidi" w:hAnsiTheme="majorBidi" w:cstheme="majorBidi" w:hint="cs"/>
          <w:sz w:val="24"/>
          <w:rtl/>
        </w:rPr>
        <w:t xml:space="preserve"> רק חובות </w:t>
      </w:r>
      <w:r w:rsidR="00F644FE">
        <w:rPr>
          <w:rFonts w:asciiTheme="majorBidi" w:hAnsiTheme="majorBidi" w:cstheme="majorBidi" w:hint="cs"/>
          <w:sz w:val="24"/>
          <w:rtl/>
        </w:rPr>
        <w:t xml:space="preserve">שיצרו ציפייה חברתית לכך שיעמדו בהן, הן אלה שיכולות לשמש חובה לצורך הרשעה בעבירות מחדל. לעומת זאת, חובות שלא יצרו ציפייה חברתית כזו, אינן יכולות לשמש כמקור חובה לפעול לצורך הרשעה בעבירות מחדל. </w:t>
      </w:r>
    </w:p>
    <w:p w14:paraId="5CD93218" w14:textId="674B0C67" w:rsidR="002761A9" w:rsidRDefault="00F644FE" w:rsidP="001021BB">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בסיום הצגת הגישות השונות אציג את הקשר בינן לבין </w:t>
      </w:r>
      <w:proofErr w:type="spellStart"/>
      <w:r>
        <w:rPr>
          <w:rFonts w:asciiTheme="majorBidi" w:hAnsiTheme="majorBidi" w:cstheme="majorBidi" w:hint="cs"/>
          <w:sz w:val="24"/>
          <w:rtl/>
        </w:rPr>
        <w:t>הרציונלים</w:t>
      </w:r>
      <w:proofErr w:type="spellEnd"/>
      <w:r>
        <w:rPr>
          <w:rFonts w:asciiTheme="majorBidi" w:hAnsiTheme="majorBidi" w:cstheme="majorBidi" w:hint="cs"/>
          <w:sz w:val="24"/>
          <w:rtl/>
        </w:rPr>
        <w:t xml:space="preserve"> שהוצגו לעיל. </w:t>
      </w:r>
      <w:r w:rsidR="003A7942">
        <w:rPr>
          <w:rFonts w:asciiTheme="majorBidi" w:hAnsiTheme="majorBidi" w:cstheme="majorBidi" w:hint="cs"/>
          <w:sz w:val="24"/>
          <w:rtl/>
        </w:rPr>
        <w:t xml:space="preserve"> </w:t>
      </w:r>
      <w:r w:rsidR="002761A9">
        <w:rPr>
          <w:rFonts w:asciiTheme="majorBidi" w:hAnsiTheme="majorBidi" w:cstheme="majorBidi" w:hint="cs"/>
          <w:sz w:val="24"/>
          <w:rtl/>
        </w:rPr>
        <w:t xml:space="preserve"> </w:t>
      </w:r>
    </w:p>
    <w:p w14:paraId="5CC08FFA" w14:textId="4527AC60" w:rsidR="00F5761E" w:rsidRDefault="00F5761E" w:rsidP="001021BB">
      <w:pPr>
        <w:pStyle w:val="hebrew"/>
        <w:spacing w:line="360" w:lineRule="auto"/>
        <w:ind w:left="-566" w:right="-850" w:firstLine="0"/>
        <w:rPr>
          <w:rFonts w:asciiTheme="majorBidi" w:hAnsiTheme="majorBidi" w:cstheme="majorBidi"/>
          <w:sz w:val="24"/>
          <w:rtl/>
        </w:rPr>
      </w:pPr>
    </w:p>
    <w:p w14:paraId="41C92C41" w14:textId="5437D655" w:rsidR="00F644FE" w:rsidRPr="005C190D" w:rsidRDefault="00F644FE" w:rsidP="00F644FE">
      <w:pPr>
        <w:pStyle w:val="hebrew"/>
        <w:spacing w:line="360" w:lineRule="auto"/>
        <w:ind w:left="-566" w:right="-850" w:firstLine="0"/>
        <w:rPr>
          <w:rFonts w:asciiTheme="majorBidi" w:hAnsiTheme="majorBidi" w:cstheme="majorBidi"/>
          <w:b/>
          <w:bCs/>
          <w:sz w:val="24"/>
          <w:rtl/>
        </w:rPr>
      </w:pPr>
      <w:r w:rsidRPr="005C190D">
        <w:rPr>
          <w:rFonts w:asciiTheme="majorBidi" w:hAnsiTheme="majorBidi" w:cstheme="majorBidi" w:hint="cs"/>
          <w:b/>
          <w:bCs/>
          <w:sz w:val="24"/>
          <w:rtl/>
        </w:rPr>
        <w:t xml:space="preserve">פרק ז </w:t>
      </w:r>
      <w:r w:rsidRPr="005C190D">
        <w:rPr>
          <w:rFonts w:asciiTheme="majorBidi" w:hAnsiTheme="majorBidi" w:cstheme="majorBidi"/>
          <w:b/>
          <w:bCs/>
          <w:sz w:val="24"/>
          <w:rtl/>
        </w:rPr>
        <w:t>–</w:t>
      </w:r>
      <w:r w:rsidRPr="005C190D">
        <w:rPr>
          <w:rFonts w:asciiTheme="majorBidi" w:hAnsiTheme="majorBidi" w:cstheme="majorBidi" w:hint="cs"/>
          <w:b/>
          <w:bCs/>
          <w:sz w:val="24"/>
          <w:rtl/>
        </w:rPr>
        <w:t xml:space="preserve"> הבדלים ברמת הענישה בין מעשה לבין מחדל</w:t>
      </w:r>
    </w:p>
    <w:p w14:paraId="7D266BCB" w14:textId="2FE2E953" w:rsidR="00F644FE" w:rsidRDefault="00F644FE" w:rsidP="00F644FE">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בפרק זה אדון בשאלה האם צריכה להיות הבחנה ברמת הענישה </w:t>
      </w:r>
      <w:r w:rsidR="00BE5425">
        <w:rPr>
          <w:rFonts w:asciiTheme="majorBidi" w:hAnsiTheme="majorBidi" w:cstheme="majorBidi" w:hint="cs"/>
          <w:sz w:val="24"/>
          <w:rtl/>
        </w:rPr>
        <w:t xml:space="preserve">בין מקרה בו מעשה גרם לנזק לבין מחדל שגרם לאותו נזק כתוצאה מהפרת החובה לפעול? האם מקרה בו מציל נמנע מלהגיש עזרה לאדם הטובע בים, צריך להיענש באופן זהה לא' שהטביע את ב' במעשה, או שמא הענישה צריכה להיות פחותה יותר כיוון שהתנהגותו באה לידי ביטוי במחדל ולא במעשה. במסגרת זאת אציג מספר גישות לשאלת הענישה ואקשור אותן לחלוקה בין </w:t>
      </w:r>
      <w:proofErr w:type="spellStart"/>
      <w:r w:rsidR="00BE5425">
        <w:rPr>
          <w:rFonts w:asciiTheme="majorBidi" w:hAnsiTheme="majorBidi" w:cstheme="majorBidi" w:hint="cs"/>
          <w:sz w:val="24"/>
          <w:rtl/>
        </w:rPr>
        <w:t>רציונלים</w:t>
      </w:r>
      <w:proofErr w:type="spellEnd"/>
      <w:r w:rsidR="00BE5425">
        <w:rPr>
          <w:rFonts w:asciiTheme="majorBidi" w:hAnsiTheme="majorBidi" w:cstheme="majorBidi" w:hint="cs"/>
          <w:sz w:val="24"/>
          <w:rtl/>
        </w:rPr>
        <w:t xml:space="preserve"> מוסריים </w:t>
      </w:r>
      <w:proofErr w:type="spellStart"/>
      <w:r w:rsidR="00BE5425">
        <w:rPr>
          <w:rFonts w:asciiTheme="majorBidi" w:hAnsiTheme="majorBidi" w:cstheme="majorBidi" w:hint="cs"/>
          <w:sz w:val="24"/>
          <w:rtl/>
        </w:rPr>
        <w:t>לרציונלים</w:t>
      </w:r>
      <w:proofErr w:type="spellEnd"/>
      <w:r w:rsidR="00BE5425">
        <w:rPr>
          <w:rFonts w:asciiTheme="majorBidi" w:hAnsiTheme="majorBidi" w:cstheme="majorBidi" w:hint="cs"/>
          <w:sz w:val="24"/>
          <w:rtl/>
        </w:rPr>
        <w:t xml:space="preserve"> משפטיים. </w:t>
      </w:r>
    </w:p>
    <w:p w14:paraId="2F1DD97D" w14:textId="272D5D10" w:rsidR="005C190D" w:rsidRDefault="005C190D" w:rsidP="00F644FE">
      <w:pPr>
        <w:pStyle w:val="hebrew"/>
        <w:spacing w:line="360" w:lineRule="auto"/>
        <w:ind w:left="-566" w:right="-850" w:firstLine="0"/>
        <w:rPr>
          <w:rFonts w:asciiTheme="majorBidi" w:hAnsiTheme="majorBidi" w:cstheme="majorBidi"/>
          <w:sz w:val="24"/>
          <w:rtl/>
        </w:rPr>
      </w:pPr>
    </w:p>
    <w:p w14:paraId="53A29A41" w14:textId="50A452C5" w:rsidR="005C190D" w:rsidRDefault="005C190D" w:rsidP="005C190D">
      <w:pPr>
        <w:pStyle w:val="hebrew"/>
        <w:spacing w:line="360" w:lineRule="auto"/>
        <w:ind w:left="-566" w:right="-850" w:firstLine="0"/>
        <w:rPr>
          <w:rFonts w:asciiTheme="majorBidi" w:hAnsiTheme="majorBidi" w:cstheme="majorBidi"/>
          <w:sz w:val="24"/>
          <w:rtl/>
        </w:rPr>
      </w:pPr>
      <w:r w:rsidRPr="00470C90">
        <w:rPr>
          <w:rFonts w:asciiTheme="majorBidi" w:hAnsiTheme="majorBidi" w:cstheme="majorBidi" w:hint="cs"/>
          <w:b/>
          <w:bCs/>
          <w:sz w:val="24"/>
          <w:rtl/>
        </w:rPr>
        <w:t xml:space="preserve">פרק ח </w:t>
      </w:r>
      <w:r>
        <w:rPr>
          <w:rFonts w:asciiTheme="majorBidi" w:hAnsiTheme="majorBidi" w:cstheme="majorBidi"/>
          <w:sz w:val="24"/>
          <w:rtl/>
        </w:rPr>
        <w:t>–</w:t>
      </w:r>
      <w:r>
        <w:rPr>
          <w:rFonts w:asciiTheme="majorBidi" w:hAnsiTheme="majorBidi" w:cstheme="majorBidi" w:hint="cs"/>
          <w:sz w:val="24"/>
          <w:rtl/>
        </w:rPr>
        <w:t xml:space="preserve"> </w:t>
      </w:r>
      <w:r w:rsidRPr="005C190D">
        <w:rPr>
          <w:rFonts w:asciiTheme="majorBidi" w:hAnsiTheme="majorBidi" w:cstheme="majorBidi" w:hint="cs"/>
          <w:b/>
          <w:bCs/>
          <w:sz w:val="24"/>
          <w:rtl/>
        </w:rPr>
        <w:t>ההבחנה בין המתת חסד אקטיבית להמתת חסד פאסיבית והקשר</w:t>
      </w:r>
      <w:r w:rsidR="009832A5">
        <w:rPr>
          <w:rFonts w:asciiTheme="majorBidi" w:hAnsiTheme="majorBidi" w:cstheme="majorBidi" w:hint="cs"/>
          <w:b/>
          <w:bCs/>
          <w:sz w:val="24"/>
          <w:rtl/>
        </w:rPr>
        <w:t>ה</w:t>
      </w:r>
      <w:r w:rsidRPr="005C190D">
        <w:rPr>
          <w:rFonts w:asciiTheme="majorBidi" w:hAnsiTheme="majorBidi" w:cstheme="majorBidi" w:hint="cs"/>
          <w:b/>
          <w:bCs/>
          <w:sz w:val="24"/>
          <w:rtl/>
        </w:rPr>
        <w:t xml:space="preserve"> להבחנה בין מעשה למחדל במשפט הפלילי</w:t>
      </w:r>
    </w:p>
    <w:p w14:paraId="584299D5" w14:textId="61A3AC5A" w:rsidR="005C190D" w:rsidRDefault="005C190D" w:rsidP="005C190D">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במסגרת פרק זה אציג את העמדות השונות לשאלה האם יש לערוך הבחנה מבחינה מוסרית ומשפטית בין המתת חסד אקטיבית לבין המתת חסד פאסיבית. במסגרת זו אציג עמדה מורכבת לפיה גם אם אנו מקבלים את ההבחנה המוסרית והמשפטית בין מעשה שגרם לנזק לבין מחדל שגרם לנזק זהה, עדיין </w:t>
      </w:r>
      <w:r>
        <w:rPr>
          <w:rFonts w:asciiTheme="majorBidi" w:hAnsiTheme="majorBidi" w:cstheme="majorBidi" w:hint="cs"/>
          <w:sz w:val="24"/>
          <w:rtl/>
        </w:rPr>
        <w:lastRenderedPageBreak/>
        <w:t>אין לערוך הבחנה בין המתת חסד אקטיבית לבין המתה פאסיבית</w:t>
      </w:r>
      <w:r w:rsidR="005B6D57">
        <w:rPr>
          <w:rFonts w:asciiTheme="majorBidi" w:hAnsiTheme="majorBidi" w:cstheme="majorBidi" w:hint="cs"/>
          <w:sz w:val="24"/>
          <w:rtl/>
        </w:rPr>
        <w:t>, ואם המתה פאסיבית מותרת גם המתת חסד אקטיבית צריכה להיות מותרת.</w:t>
      </w:r>
    </w:p>
    <w:p w14:paraId="5C4535F2" w14:textId="76C5521E" w:rsidR="003B37B4" w:rsidRDefault="003B37B4" w:rsidP="00087E9C">
      <w:pPr>
        <w:pStyle w:val="hebrew"/>
        <w:spacing w:line="360" w:lineRule="auto"/>
        <w:ind w:left="-566" w:right="-850" w:firstLine="0"/>
        <w:rPr>
          <w:rFonts w:asciiTheme="majorBidi" w:hAnsiTheme="majorBidi" w:cstheme="majorBidi" w:hint="cs"/>
          <w:sz w:val="24"/>
          <w:rtl/>
        </w:rPr>
      </w:pPr>
    </w:p>
    <w:p w14:paraId="5E69F705" w14:textId="77777777" w:rsidR="00BA3D87" w:rsidRDefault="00087E9C" w:rsidP="00BA3D87">
      <w:pPr>
        <w:pStyle w:val="hebrew"/>
        <w:spacing w:line="360" w:lineRule="auto"/>
        <w:ind w:left="-566" w:right="-850" w:firstLine="0"/>
        <w:rPr>
          <w:rFonts w:asciiTheme="majorBidi" w:hAnsiTheme="majorBidi" w:cstheme="majorBidi"/>
          <w:b/>
          <w:bCs/>
          <w:sz w:val="24"/>
          <w:rtl/>
        </w:rPr>
      </w:pPr>
      <w:r w:rsidRPr="00463A24">
        <w:rPr>
          <w:rFonts w:asciiTheme="majorBidi" w:hAnsiTheme="majorBidi" w:cstheme="majorBidi"/>
          <w:b/>
          <w:bCs/>
          <w:sz w:val="24"/>
        </w:rPr>
        <w:t xml:space="preserve">Length &amp; schedule </w:t>
      </w:r>
    </w:p>
    <w:p w14:paraId="02A505EB" w14:textId="6BC4226F" w:rsidR="00087E9C" w:rsidRPr="00BA3D87" w:rsidRDefault="00087E9C" w:rsidP="00BA3D87">
      <w:pPr>
        <w:pStyle w:val="hebrew"/>
        <w:spacing w:line="360" w:lineRule="auto"/>
        <w:ind w:left="-566" w:right="-850" w:firstLine="0"/>
        <w:rPr>
          <w:rFonts w:asciiTheme="majorBidi" w:hAnsiTheme="majorBidi" w:cstheme="majorBidi"/>
          <w:b/>
          <w:bCs/>
          <w:sz w:val="24"/>
          <w:rtl/>
        </w:rPr>
      </w:pPr>
      <w:r>
        <w:rPr>
          <w:rFonts w:asciiTheme="majorBidi" w:hAnsiTheme="majorBidi" w:cstheme="majorBidi" w:hint="cs"/>
          <w:sz w:val="24"/>
          <w:rtl/>
        </w:rPr>
        <w:t xml:space="preserve">האורך המשוער של הספר הוא כ </w:t>
      </w:r>
      <w:r>
        <w:rPr>
          <w:rFonts w:asciiTheme="majorBidi" w:hAnsiTheme="majorBidi" w:cstheme="majorBidi"/>
          <w:sz w:val="24"/>
          <w:rtl/>
        </w:rPr>
        <w:t>–</w:t>
      </w:r>
      <w:r>
        <w:rPr>
          <w:rFonts w:asciiTheme="majorBidi" w:hAnsiTheme="majorBidi" w:cstheme="majorBidi" w:hint="cs"/>
          <w:sz w:val="24"/>
          <w:rtl/>
        </w:rPr>
        <w:t xml:space="preserve"> 120,000 מילים. אני סבור כי לאחר אישור ההצעה אוכל לסיים את כתיבת הספר בתוך כ </w:t>
      </w:r>
      <w:r>
        <w:rPr>
          <w:rFonts w:asciiTheme="majorBidi" w:hAnsiTheme="majorBidi" w:cstheme="majorBidi"/>
          <w:sz w:val="24"/>
          <w:rtl/>
        </w:rPr>
        <w:t>–</w:t>
      </w:r>
      <w:r>
        <w:rPr>
          <w:rFonts w:asciiTheme="majorBidi" w:hAnsiTheme="majorBidi" w:cstheme="majorBidi" w:hint="cs"/>
          <w:sz w:val="24"/>
          <w:rtl/>
        </w:rPr>
        <w:t xml:space="preserve"> 9 חודשים. </w:t>
      </w:r>
    </w:p>
    <w:p w14:paraId="4984B603" w14:textId="03475C3F" w:rsidR="00FC0ECB" w:rsidRDefault="00FC0ECB" w:rsidP="00087E9C">
      <w:pPr>
        <w:pStyle w:val="hebrew"/>
        <w:spacing w:line="360" w:lineRule="auto"/>
        <w:ind w:left="-566" w:right="-850" w:firstLine="0"/>
        <w:rPr>
          <w:rFonts w:asciiTheme="majorBidi" w:hAnsiTheme="majorBidi" w:cstheme="majorBidi" w:hint="cs"/>
          <w:sz w:val="24"/>
          <w:rtl/>
        </w:rPr>
      </w:pPr>
    </w:p>
    <w:p w14:paraId="63AA977B" w14:textId="7106C07C" w:rsidR="00FC0ECB" w:rsidRPr="00463A24" w:rsidRDefault="00FC0ECB" w:rsidP="00087E9C">
      <w:pPr>
        <w:pStyle w:val="hebrew"/>
        <w:spacing w:line="360" w:lineRule="auto"/>
        <w:ind w:left="-566" w:right="-850" w:firstLine="0"/>
        <w:rPr>
          <w:rFonts w:asciiTheme="majorBidi" w:hAnsiTheme="majorBidi" w:cstheme="majorBidi"/>
          <w:b/>
          <w:bCs/>
          <w:sz w:val="24"/>
        </w:rPr>
      </w:pPr>
      <w:r w:rsidRPr="00463A24">
        <w:rPr>
          <w:rFonts w:asciiTheme="majorBidi" w:hAnsiTheme="majorBidi" w:cstheme="majorBidi"/>
          <w:b/>
          <w:bCs/>
          <w:sz w:val="24"/>
        </w:rPr>
        <w:t>Market</w:t>
      </w:r>
    </w:p>
    <w:p w14:paraId="3AA14ACC" w14:textId="77777777" w:rsidR="00E4796F" w:rsidRDefault="00B043C9" w:rsidP="00087E9C">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הספר הוא מונוגרפיה משפטית העוסקת בהבחנה שבין מעשה למחדל במשפט הפלילי. לפיכך, הספר מיועד בראש ובראשונה לחוקרים בתחום המשפט הפלילי, </w:t>
      </w:r>
      <w:r w:rsidR="00066788">
        <w:rPr>
          <w:rFonts w:asciiTheme="majorBidi" w:hAnsiTheme="majorBidi" w:cstheme="majorBidi" w:hint="cs"/>
          <w:sz w:val="24"/>
          <w:rtl/>
        </w:rPr>
        <w:t xml:space="preserve">שופטים ועורכי דין. </w:t>
      </w:r>
    </w:p>
    <w:p w14:paraId="3D9CDAC5" w14:textId="7769F817" w:rsidR="00E4796F" w:rsidRDefault="00066788" w:rsidP="00087E9C">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כמו כן</w:t>
      </w:r>
      <w:r w:rsidR="00E4796F">
        <w:rPr>
          <w:rFonts w:asciiTheme="majorBidi" w:hAnsiTheme="majorBidi" w:cstheme="majorBidi" w:hint="cs"/>
          <w:sz w:val="24"/>
          <w:rtl/>
        </w:rPr>
        <w:t xml:space="preserve"> נושא ההבחנה שבין מעשה למחדל </w:t>
      </w:r>
      <w:r w:rsidR="008F6B7A">
        <w:rPr>
          <w:rFonts w:asciiTheme="majorBidi" w:hAnsiTheme="majorBidi" w:cstheme="majorBidi" w:hint="cs"/>
          <w:sz w:val="24"/>
          <w:rtl/>
        </w:rPr>
        <w:t xml:space="preserve">נלמד בכל בתי הספר למשפטים במסגרת קורס המבוא של דיני עונשין, </w:t>
      </w:r>
      <w:r w:rsidR="00E4796F">
        <w:rPr>
          <w:rFonts w:asciiTheme="majorBidi" w:hAnsiTheme="majorBidi" w:cstheme="majorBidi" w:hint="cs"/>
          <w:sz w:val="24"/>
          <w:rtl/>
        </w:rPr>
        <w:t xml:space="preserve">ולפיכך </w:t>
      </w:r>
      <w:r w:rsidR="008F6B7A">
        <w:rPr>
          <w:rFonts w:asciiTheme="majorBidi" w:hAnsiTheme="majorBidi" w:cstheme="majorBidi" w:hint="cs"/>
          <w:sz w:val="24"/>
          <w:rtl/>
        </w:rPr>
        <w:t xml:space="preserve">הספר </w:t>
      </w:r>
      <w:r>
        <w:rPr>
          <w:rFonts w:asciiTheme="majorBidi" w:hAnsiTheme="majorBidi" w:cstheme="majorBidi" w:hint="cs"/>
          <w:sz w:val="24"/>
          <w:rtl/>
        </w:rPr>
        <w:t xml:space="preserve">יכול להיות לעזר </w:t>
      </w:r>
      <w:r w:rsidR="008F6B7A">
        <w:rPr>
          <w:rFonts w:asciiTheme="majorBidi" w:hAnsiTheme="majorBidi" w:cstheme="majorBidi" w:hint="cs"/>
          <w:sz w:val="24"/>
          <w:rtl/>
        </w:rPr>
        <w:t xml:space="preserve">למרצים המעבירים קורס זה. </w:t>
      </w:r>
    </w:p>
    <w:p w14:paraId="2B134BBC" w14:textId="27A1AEE1" w:rsidR="00FC0ECB" w:rsidRDefault="00066788" w:rsidP="00087E9C">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מעבר לכך, כיוון שהספר מחבר בין שני תחומי חקר </w:t>
      </w:r>
      <w:r>
        <w:rPr>
          <w:rFonts w:asciiTheme="majorBidi" w:hAnsiTheme="majorBidi" w:cstheme="majorBidi"/>
          <w:sz w:val="24"/>
          <w:rtl/>
        </w:rPr>
        <w:t>–</w:t>
      </w:r>
      <w:r>
        <w:rPr>
          <w:rFonts w:asciiTheme="majorBidi" w:hAnsiTheme="majorBidi" w:cstheme="majorBidi" w:hint="cs"/>
          <w:sz w:val="24"/>
          <w:rtl/>
        </w:rPr>
        <w:t xml:space="preserve"> הפילוסופיה של המוסר והמשפט הפלילי </w:t>
      </w:r>
      <w:r>
        <w:rPr>
          <w:rFonts w:asciiTheme="majorBidi" w:hAnsiTheme="majorBidi" w:cstheme="majorBidi"/>
          <w:sz w:val="24"/>
          <w:rtl/>
        </w:rPr>
        <w:t>–</w:t>
      </w:r>
      <w:r>
        <w:rPr>
          <w:rFonts w:asciiTheme="majorBidi" w:hAnsiTheme="majorBidi" w:cstheme="majorBidi" w:hint="cs"/>
          <w:sz w:val="24"/>
          <w:rtl/>
        </w:rPr>
        <w:t xml:space="preserve"> הרי שהספר רלוונטי גם לחוקרים בתחום הפילוסופיה של המוסר וכן </w:t>
      </w:r>
      <w:proofErr w:type="spellStart"/>
      <w:r>
        <w:rPr>
          <w:rFonts w:asciiTheme="majorBidi" w:hAnsiTheme="majorBidi" w:cstheme="majorBidi" w:hint="cs"/>
          <w:sz w:val="24"/>
          <w:rtl/>
        </w:rPr>
        <w:t>לביואתיקנים</w:t>
      </w:r>
      <w:proofErr w:type="spellEnd"/>
      <w:r>
        <w:rPr>
          <w:rFonts w:asciiTheme="majorBidi" w:hAnsiTheme="majorBidi" w:cstheme="majorBidi" w:hint="cs"/>
          <w:sz w:val="24"/>
          <w:rtl/>
        </w:rPr>
        <w:t xml:space="preserve"> העוסקים בנושא של המתות חסד. </w:t>
      </w:r>
    </w:p>
    <w:p w14:paraId="00BEA7D0" w14:textId="77777777" w:rsidR="00BA3D87" w:rsidRDefault="00BA3D87" w:rsidP="00087E9C">
      <w:pPr>
        <w:pStyle w:val="hebrew"/>
        <w:spacing w:line="360" w:lineRule="auto"/>
        <w:ind w:left="-566" w:right="-850" w:firstLine="0"/>
        <w:rPr>
          <w:rFonts w:asciiTheme="majorBidi" w:hAnsiTheme="majorBidi" w:cstheme="majorBidi" w:hint="cs"/>
          <w:sz w:val="24"/>
          <w:rtl/>
        </w:rPr>
      </w:pPr>
    </w:p>
    <w:p w14:paraId="4AFC8A5D" w14:textId="78FB4877" w:rsidR="004C72E5" w:rsidRPr="005759EC" w:rsidRDefault="004C72E5" w:rsidP="00087E9C">
      <w:pPr>
        <w:pStyle w:val="hebrew"/>
        <w:spacing w:line="360" w:lineRule="auto"/>
        <w:ind w:left="-566" w:right="-850" w:firstLine="0"/>
        <w:rPr>
          <w:rFonts w:asciiTheme="majorBidi" w:hAnsiTheme="majorBidi" w:cstheme="majorBidi" w:hint="cs"/>
          <w:b/>
          <w:bCs/>
          <w:sz w:val="24"/>
          <w:rtl/>
        </w:rPr>
      </w:pPr>
      <w:r w:rsidRPr="005759EC">
        <w:rPr>
          <w:rFonts w:asciiTheme="majorBidi" w:hAnsiTheme="majorBidi" w:cstheme="majorBidi"/>
          <w:b/>
          <w:bCs/>
          <w:sz w:val="24"/>
        </w:rPr>
        <w:t>Competition</w:t>
      </w:r>
    </w:p>
    <w:p w14:paraId="082E9AF2" w14:textId="15145DAB" w:rsidR="004C72E5" w:rsidRDefault="00CC1ABE" w:rsidP="00087E9C">
      <w:pPr>
        <w:pStyle w:val="hebrew"/>
        <w:spacing w:line="360" w:lineRule="auto"/>
        <w:ind w:left="-566" w:right="-850" w:firstLine="0"/>
        <w:rPr>
          <w:rFonts w:asciiTheme="majorBidi" w:hAnsiTheme="majorBidi" w:cstheme="majorBidi"/>
          <w:sz w:val="24"/>
          <w:rtl/>
        </w:rPr>
      </w:pPr>
      <w:r w:rsidRPr="005B6D57">
        <w:rPr>
          <w:rFonts w:asciiTheme="majorBidi" w:hAnsiTheme="majorBidi" w:cstheme="majorBidi"/>
          <w:smallCaps/>
          <w:sz w:val="24"/>
        </w:rPr>
        <w:t xml:space="preserve">Killing and </w:t>
      </w:r>
      <w:r w:rsidR="001144D1" w:rsidRPr="005B6D57">
        <w:rPr>
          <w:rFonts w:asciiTheme="majorBidi" w:hAnsiTheme="majorBidi" w:cstheme="majorBidi"/>
          <w:smallCaps/>
          <w:sz w:val="24"/>
        </w:rPr>
        <w:t>L</w:t>
      </w:r>
      <w:r w:rsidRPr="005B6D57">
        <w:rPr>
          <w:rFonts w:asciiTheme="majorBidi" w:hAnsiTheme="majorBidi" w:cstheme="majorBidi"/>
          <w:smallCaps/>
          <w:sz w:val="24"/>
        </w:rPr>
        <w:t xml:space="preserve">etting </w:t>
      </w:r>
      <w:r w:rsidR="001144D1" w:rsidRPr="005B6D57">
        <w:rPr>
          <w:rFonts w:asciiTheme="majorBidi" w:hAnsiTheme="majorBidi" w:cstheme="majorBidi"/>
          <w:smallCaps/>
          <w:sz w:val="24"/>
        </w:rPr>
        <w:t>D</w:t>
      </w:r>
      <w:r w:rsidRPr="005B6D57">
        <w:rPr>
          <w:rFonts w:asciiTheme="majorBidi" w:hAnsiTheme="majorBidi" w:cstheme="majorBidi"/>
          <w:smallCaps/>
          <w:sz w:val="24"/>
        </w:rPr>
        <w:t>ie (</w:t>
      </w:r>
      <w:r w:rsidR="001144D1" w:rsidRPr="005B6D57">
        <w:rPr>
          <w:rFonts w:asciiTheme="majorBidi" w:hAnsiTheme="majorBidi" w:cstheme="majorBidi"/>
          <w:smallCaps/>
          <w:sz w:val="24"/>
        </w:rPr>
        <w:t>S</w:t>
      </w:r>
      <w:r w:rsidRPr="005B6D57">
        <w:rPr>
          <w:rFonts w:asciiTheme="majorBidi" w:hAnsiTheme="majorBidi" w:cstheme="majorBidi"/>
          <w:smallCaps/>
          <w:sz w:val="24"/>
        </w:rPr>
        <w:t xml:space="preserve">econd </w:t>
      </w:r>
      <w:r w:rsidR="001144D1" w:rsidRPr="005B6D57">
        <w:rPr>
          <w:rFonts w:asciiTheme="majorBidi" w:hAnsiTheme="majorBidi" w:cstheme="majorBidi"/>
          <w:smallCaps/>
          <w:sz w:val="24"/>
        </w:rPr>
        <w:t>E</w:t>
      </w:r>
      <w:r w:rsidRPr="005B6D57">
        <w:rPr>
          <w:rFonts w:asciiTheme="majorBidi" w:hAnsiTheme="majorBidi" w:cstheme="majorBidi"/>
          <w:smallCaps/>
          <w:sz w:val="24"/>
        </w:rPr>
        <w:t xml:space="preserve">dition) </w:t>
      </w:r>
      <w:r w:rsidR="001144D1" w:rsidRPr="005B6D57">
        <w:rPr>
          <w:rFonts w:asciiTheme="majorBidi" w:hAnsiTheme="majorBidi" w:cstheme="majorBidi"/>
          <w:smallCaps/>
          <w:sz w:val="24"/>
        </w:rPr>
        <w:t>E</w:t>
      </w:r>
      <w:r w:rsidRPr="005B6D57">
        <w:rPr>
          <w:rFonts w:asciiTheme="majorBidi" w:hAnsiTheme="majorBidi" w:cstheme="majorBidi"/>
          <w:smallCaps/>
          <w:sz w:val="24"/>
        </w:rPr>
        <w:t xml:space="preserve">dited by </w:t>
      </w:r>
      <w:r w:rsidR="001144D1" w:rsidRPr="005B6D57">
        <w:rPr>
          <w:rFonts w:asciiTheme="majorBidi" w:hAnsiTheme="majorBidi" w:cstheme="majorBidi"/>
          <w:smallCaps/>
          <w:sz w:val="24"/>
        </w:rPr>
        <w:t>B</w:t>
      </w:r>
      <w:r w:rsidRPr="005B6D57">
        <w:rPr>
          <w:rFonts w:asciiTheme="majorBidi" w:hAnsiTheme="majorBidi" w:cstheme="majorBidi"/>
          <w:smallCaps/>
          <w:sz w:val="24"/>
        </w:rPr>
        <w:t xml:space="preserve">onnie </w:t>
      </w:r>
      <w:r w:rsidR="001144D1" w:rsidRPr="005B6D57">
        <w:rPr>
          <w:rFonts w:asciiTheme="majorBidi" w:hAnsiTheme="majorBidi" w:cstheme="majorBidi"/>
          <w:smallCaps/>
          <w:sz w:val="24"/>
        </w:rPr>
        <w:t>S</w:t>
      </w:r>
      <w:r w:rsidRPr="005B6D57">
        <w:rPr>
          <w:rFonts w:asciiTheme="majorBidi" w:hAnsiTheme="majorBidi" w:cstheme="majorBidi"/>
          <w:smallCaps/>
          <w:sz w:val="24"/>
        </w:rPr>
        <w:t xml:space="preserve">teinbock and </w:t>
      </w:r>
      <w:r w:rsidR="001144D1" w:rsidRPr="005B6D57">
        <w:rPr>
          <w:rFonts w:asciiTheme="majorBidi" w:hAnsiTheme="majorBidi" w:cstheme="majorBidi"/>
          <w:smallCaps/>
          <w:sz w:val="24"/>
        </w:rPr>
        <w:t>A</w:t>
      </w:r>
      <w:r w:rsidRPr="005B6D57">
        <w:rPr>
          <w:rFonts w:asciiTheme="majorBidi" w:hAnsiTheme="majorBidi" w:cstheme="majorBidi"/>
          <w:smallCaps/>
          <w:sz w:val="24"/>
        </w:rPr>
        <w:t>lastair Norcross (1994</w:t>
      </w:r>
      <w:proofErr w:type="gramStart"/>
      <w:r w:rsidRPr="005B6D57">
        <w:rPr>
          <w:rFonts w:asciiTheme="majorBidi" w:hAnsiTheme="majorBidi" w:cstheme="majorBidi"/>
          <w:smallCaps/>
          <w:sz w:val="24"/>
        </w:rPr>
        <w:t xml:space="preserve">) </w:t>
      </w:r>
      <w:r>
        <w:rPr>
          <w:rFonts w:asciiTheme="majorBidi" w:hAnsiTheme="majorBidi" w:cstheme="majorBidi" w:hint="cs"/>
          <w:sz w:val="24"/>
          <w:rtl/>
        </w:rPr>
        <w:t xml:space="preserve"> המדובר</w:t>
      </w:r>
      <w:proofErr w:type="gramEnd"/>
      <w:r>
        <w:rPr>
          <w:rFonts w:asciiTheme="majorBidi" w:hAnsiTheme="majorBidi" w:cstheme="majorBidi" w:hint="cs"/>
          <w:sz w:val="24"/>
          <w:rtl/>
        </w:rPr>
        <w:t xml:space="preserve"> </w:t>
      </w:r>
      <w:r w:rsidR="001144D1">
        <w:rPr>
          <w:rFonts w:asciiTheme="majorBidi" w:hAnsiTheme="majorBidi" w:cstheme="majorBidi" w:hint="cs"/>
          <w:sz w:val="24"/>
          <w:rtl/>
        </w:rPr>
        <w:t>בספר הכולל מאמרים</w:t>
      </w:r>
      <w:r>
        <w:rPr>
          <w:rFonts w:asciiTheme="majorBidi" w:hAnsiTheme="majorBidi" w:cstheme="majorBidi" w:hint="cs"/>
          <w:sz w:val="24"/>
          <w:rtl/>
        </w:rPr>
        <w:t xml:space="preserve"> שכתבו כותבים שונים בנושא ההבחנה שבין </w:t>
      </w:r>
      <w:r>
        <w:rPr>
          <w:rFonts w:asciiTheme="majorBidi" w:hAnsiTheme="majorBidi" w:cstheme="majorBidi"/>
          <w:sz w:val="24"/>
        </w:rPr>
        <w:t xml:space="preserve">killing </w:t>
      </w:r>
      <w:r>
        <w:rPr>
          <w:rFonts w:asciiTheme="majorBidi" w:hAnsiTheme="majorBidi" w:cstheme="majorBidi" w:hint="cs"/>
          <w:sz w:val="24"/>
          <w:rtl/>
        </w:rPr>
        <w:t xml:space="preserve"> ל </w:t>
      </w:r>
      <w:r>
        <w:rPr>
          <w:rFonts w:asciiTheme="majorBidi" w:hAnsiTheme="majorBidi" w:cstheme="majorBidi"/>
          <w:sz w:val="24"/>
          <w:rtl/>
        </w:rPr>
        <w:t>–</w:t>
      </w:r>
      <w:r>
        <w:rPr>
          <w:rFonts w:asciiTheme="majorBidi" w:hAnsiTheme="majorBidi" w:cstheme="majorBidi" w:hint="cs"/>
          <w:sz w:val="24"/>
          <w:rtl/>
        </w:rPr>
        <w:t xml:space="preserve"> </w:t>
      </w:r>
      <w:r>
        <w:rPr>
          <w:rFonts w:asciiTheme="majorBidi" w:hAnsiTheme="majorBidi" w:cstheme="majorBidi"/>
          <w:sz w:val="24"/>
        </w:rPr>
        <w:t>letting die</w:t>
      </w:r>
      <w:r w:rsidR="00154CC3">
        <w:rPr>
          <w:rFonts w:asciiTheme="majorBidi" w:hAnsiTheme="majorBidi" w:cstheme="majorBidi" w:hint="cs"/>
          <w:sz w:val="24"/>
          <w:rtl/>
        </w:rPr>
        <w:t xml:space="preserve"> מבחינה מוסרית</w:t>
      </w:r>
      <w:r>
        <w:rPr>
          <w:rFonts w:asciiTheme="majorBidi" w:hAnsiTheme="majorBidi" w:cstheme="majorBidi" w:hint="cs"/>
          <w:sz w:val="24"/>
          <w:rtl/>
        </w:rPr>
        <w:t>. לעומת זאת</w:t>
      </w:r>
      <w:r w:rsidR="001144D1">
        <w:rPr>
          <w:rFonts w:asciiTheme="majorBidi" w:hAnsiTheme="majorBidi" w:cstheme="majorBidi" w:hint="cs"/>
          <w:sz w:val="24"/>
          <w:rtl/>
        </w:rPr>
        <w:t xml:space="preserve"> הספר שכתבתי עוסק כולו</w:t>
      </w:r>
      <w:r>
        <w:rPr>
          <w:rFonts w:asciiTheme="majorBidi" w:hAnsiTheme="majorBidi" w:cstheme="majorBidi" w:hint="cs"/>
          <w:sz w:val="24"/>
          <w:rtl/>
        </w:rPr>
        <w:t xml:space="preserve"> בהבחנה שבין מעשה למחדל במשפט הפלילי</w:t>
      </w:r>
      <w:r w:rsidR="001144D1">
        <w:rPr>
          <w:rFonts w:asciiTheme="majorBidi" w:hAnsiTheme="majorBidi" w:cstheme="majorBidi" w:hint="cs"/>
          <w:sz w:val="24"/>
          <w:rtl/>
        </w:rPr>
        <w:t xml:space="preserve">, </w:t>
      </w:r>
      <w:r w:rsidR="00154CC3">
        <w:rPr>
          <w:rFonts w:asciiTheme="majorBidi" w:hAnsiTheme="majorBidi" w:cstheme="majorBidi" w:hint="cs"/>
          <w:sz w:val="24"/>
          <w:rtl/>
        </w:rPr>
        <w:t xml:space="preserve">הוא </w:t>
      </w:r>
      <w:r w:rsidR="001144D1">
        <w:rPr>
          <w:rFonts w:asciiTheme="majorBidi" w:hAnsiTheme="majorBidi" w:cstheme="majorBidi" w:hint="cs"/>
          <w:sz w:val="24"/>
          <w:rtl/>
        </w:rPr>
        <w:t xml:space="preserve">מחבר בין הדיונים שנערכו בפילוסופיה של המוסר לבין המשפט הפלילי, וכן דן בהקשר זה בסוגיות מעשיות המעסיקות את בתי המשפט דבר יום ביומו. </w:t>
      </w:r>
    </w:p>
    <w:p w14:paraId="2F7AA49B" w14:textId="0A17CFFA" w:rsidR="008D7E51" w:rsidRDefault="00833349" w:rsidP="008D7E51">
      <w:pPr>
        <w:pStyle w:val="hebrew"/>
        <w:spacing w:line="360" w:lineRule="auto"/>
        <w:ind w:left="-566" w:right="-850" w:firstLine="0"/>
        <w:rPr>
          <w:rFonts w:asciiTheme="majorBidi" w:hAnsiTheme="majorBidi" w:cstheme="majorBidi"/>
          <w:sz w:val="24"/>
          <w:rtl/>
        </w:rPr>
      </w:pPr>
      <w:r w:rsidRPr="005B6D57">
        <w:rPr>
          <w:rFonts w:asciiTheme="majorBidi" w:hAnsiTheme="majorBidi" w:cstheme="majorBidi"/>
          <w:smallCaps/>
          <w:sz w:val="24"/>
        </w:rPr>
        <w:t xml:space="preserve">Michael S. Moore, </w:t>
      </w:r>
      <w:r w:rsidR="00EB5430" w:rsidRPr="005B6D57">
        <w:rPr>
          <w:rFonts w:asciiTheme="majorBidi" w:hAnsiTheme="majorBidi" w:cstheme="majorBidi"/>
          <w:smallCaps/>
          <w:sz w:val="24"/>
        </w:rPr>
        <w:t>A</w:t>
      </w:r>
      <w:r w:rsidRPr="005B6D57">
        <w:rPr>
          <w:rFonts w:asciiTheme="majorBidi" w:hAnsiTheme="majorBidi" w:cstheme="majorBidi"/>
          <w:smallCaps/>
          <w:sz w:val="24"/>
        </w:rPr>
        <w:t xml:space="preserve">ct and </w:t>
      </w:r>
      <w:r w:rsidR="00EB5430" w:rsidRPr="005B6D57">
        <w:rPr>
          <w:rFonts w:asciiTheme="majorBidi" w:hAnsiTheme="majorBidi" w:cstheme="majorBidi"/>
          <w:smallCaps/>
          <w:sz w:val="24"/>
        </w:rPr>
        <w:t>C</w:t>
      </w:r>
      <w:r w:rsidRPr="005B6D57">
        <w:rPr>
          <w:rFonts w:asciiTheme="majorBidi" w:hAnsiTheme="majorBidi" w:cstheme="majorBidi"/>
          <w:smallCaps/>
          <w:sz w:val="24"/>
        </w:rPr>
        <w:t xml:space="preserve">rime: </w:t>
      </w:r>
      <w:r w:rsidR="00EB5430" w:rsidRPr="005B6D57">
        <w:rPr>
          <w:rFonts w:asciiTheme="majorBidi" w:hAnsiTheme="majorBidi" w:cstheme="majorBidi"/>
          <w:smallCaps/>
          <w:sz w:val="24"/>
        </w:rPr>
        <w:t>T</w:t>
      </w:r>
      <w:r w:rsidRPr="005B6D57">
        <w:rPr>
          <w:rFonts w:asciiTheme="majorBidi" w:hAnsiTheme="majorBidi" w:cstheme="majorBidi"/>
          <w:smallCaps/>
          <w:sz w:val="24"/>
        </w:rPr>
        <w:t xml:space="preserve">he </w:t>
      </w:r>
      <w:r w:rsidR="00EB5430" w:rsidRPr="005B6D57">
        <w:rPr>
          <w:rFonts w:asciiTheme="majorBidi" w:hAnsiTheme="majorBidi" w:cstheme="majorBidi"/>
          <w:smallCaps/>
          <w:sz w:val="24"/>
        </w:rPr>
        <w:t>P</w:t>
      </w:r>
      <w:r w:rsidRPr="005B6D57">
        <w:rPr>
          <w:rFonts w:asciiTheme="majorBidi" w:hAnsiTheme="majorBidi" w:cstheme="majorBidi"/>
          <w:smallCaps/>
          <w:sz w:val="24"/>
        </w:rPr>
        <w:t xml:space="preserve">hilosophy of </w:t>
      </w:r>
      <w:r w:rsidR="00EB5430" w:rsidRPr="005B6D57">
        <w:rPr>
          <w:rFonts w:asciiTheme="majorBidi" w:hAnsiTheme="majorBidi" w:cstheme="majorBidi"/>
          <w:smallCaps/>
          <w:sz w:val="24"/>
        </w:rPr>
        <w:t>A</w:t>
      </w:r>
      <w:r w:rsidRPr="005B6D57">
        <w:rPr>
          <w:rFonts w:asciiTheme="majorBidi" w:hAnsiTheme="majorBidi" w:cstheme="majorBidi"/>
          <w:smallCaps/>
          <w:sz w:val="24"/>
        </w:rPr>
        <w:t xml:space="preserve">ction and its </w:t>
      </w:r>
      <w:r w:rsidR="00EB5430" w:rsidRPr="005B6D57">
        <w:rPr>
          <w:rFonts w:asciiTheme="majorBidi" w:hAnsiTheme="majorBidi" w:cstheme="majorBidi"/>
          <w:smallCaps/>
          <w:sz w:val="24"/>
        </w:rPr>
        <w:t>I</w:t>
      </w:r>
      <w:r w:rsidRPr="005B6D57">
        <w:rPr>
          <w:rFonts w:asciiTheme="majorBidi" w:hAnsiTheme="majorBidi" w:cstheme="majorBidi"/>
          <w:smallCaps/>
          <w:sz w:val="24"/>
        </w:rPr>
        <w:t xml:space="preserve">mplications for </w:t>
      </w:r>
      <w:r w:rsidR="00EB5430" w:rsidRPr="005B6D57">
        <w:rPr>
          <w:rFonts w:asciiTheme="majorBidi" w:hAnsiTheme="majorBidi" w:cstheme="majorBidi"/>
          <w:smallCaps/>
          <w:sz w:val="24"/>
        </w:rPr>
        <w:t>C</w:t>
      </w:r>
      <w:r w:rsidRPr="005B6D57">
        <w:rPr>
          <w:rFonts w:asciiTheme="majorBidi" w:hAnsiTheme="majorBidi" w:cstheme="majorBidi"/>
          <w:smallCaps/>
          <w:sz w:val="24"/>
        </w:rPr>
        <w:t xml:space="preserve">riminal </w:t>
      </w:r>
      <w:r w:rsidR="00EB5430" w:rsidRPr="005B6D57">
        <w:rPr>
          <w:rFonts w:asciiTheme="majorBidi" w:hAnsiTheme="majorBidi" w:cstheme="majorBidi"/>
          <w:smallCaps/>
          <w:sz w:val="24"/>
        </w:rPr>
        <w:t>L</w:t>
      </w:r>
      <w:r w:rsidRPr="005B6D57">
        <w:rPr>
          <w:rFonts w:asciiTheme="majorBidi" w:hAnsiTheme="majorBidi" w:cstheme="majorBidi"/>
          <w:smallCaps/>
          <w:sz w:val="24"/>
        </w:rPr>
        <w:t>aw (1993)</w:t>
      </w:r>
      <w:r>
        <w:rPr>
          <w:rFonts w:asciiTheme="majorBidi" w:hAnsiTheme="majorBidi" w:cstheme="majorBidi" w:hint="cs"/>
          <w:sz w:val="24"/>
          <w:rtl/>
        </w:rPr>
        <w:t>. הספר דן בפילוסופיה של המעשה ובהשלכותי</w:t>
      </w:r>
      <w:r w:rsidR="008C59FB">
        <w:rPr>
          <w:rFonts w:asciiTheme="majorBidi" w:hAnsiTheme="majorBidi" w:cstheme="majorBidi" w:hint="cs"/>
          <w:sz w:val="24"/>
          <w:rtl/>
        </w:rPr>
        <w:t>ה</w:t>
      </w:r>
      <w:r>
        <w:rPr>
          <w:rFonts w:asciiTheme="majorBidi" w:hAnsiTheme="majorBidi" w:cstheme="majorBidi" w:hint="cs"/>
          <w:sz w:val="24"/>
          <w:rtl/>
        </w:rPr>
        <w:t xml:space="preserve"> </w:t>
      </w:r>
      <w:r>
        <w:rPr>
          <w:rFonts w:asciiTheme="majorBidi" w:hAnsiTheme="majorBidi" w:cstheme="majorBidi" w:hint="cs"/>
          <w:sz w:val="24"/>
          <w:rtl/>
        </w:rPr>
        <w:lastRenderedPageBreak/>
        <w:t xml:space="preserve">למשפט הפלילי. במסגרת זו הוא דן </w:t>
      </w:r>
      <w:r w:rsidR="008C59FB">
        <w:rPr>
          <w:rFonts w:asciiTheme="majorBidi" w:hAnsiTheme="majorBidi" w:cstheme="majorBidi" w:hint="cs"/>
          <w:sz w:val="24"/>
          <w:rtl/>
        </w:rPr>
        <w:t>בחלק אחד של הספר בהבחנה שבין מעשה למחדל במשפט הפלילי</w:t>
      </w:r>
      <w:r w:rsidR="008D7E51">
        <w:rPr>
          <w:rFonts w:asciiTheme="majorBidi" w:hAnsiTheme="majorBidi" w:cstheme="majorBidi" w:hint="cs"/>
          <w:sz w:val="24"/>
          <w:rtl/>
        </w:rPr>
        <w:t xml:space="preserve"> בעיקר מפרספקטיבה של הבחנה סיבתית שבין מעשה למחדל.  </w:t>
      </w:r>
    </w:p>
    <w:p w14:paraId="6BCEADCD" w14:textId="2EC870BE" w:rsidR="008D7E51" w:rsidRDefault="00EB5430" w:rsidP="00EB5430">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בנוסף, </w:t>
      </w:r>
      <w:r w:rsidR="008D7E51">
        <w:rPr>
          <w:rFonts w:asciiTheme="majorBidi" w:hAnsiTheme="majorBidi" w:cstheme="majorBidi" w:hint="cs"/>
          <w:sz w:val="24"/>
          <w:rtl/>
        </w:rPr>
        <w:t xml:space="preserve">מאמרים רבים נכתבו </w:t>
      </w:r>
      <w:r w:rsidR="00050206">
        <w:rPr>
          <w:rFonts w:asciiTheme="majorBidi" w:hAnsiTheme="majorBidi" w:cstheme="majorBidi" w:hint="cs"/>
          <w:sz w:val="24"/>
          <w:rtl/>
        </w:rPr>
        <w:t xml:space="preserve">הן </w:t>
      </w:r>
      <w:r w:rsidR="008D7E51">
        <w:rPr>
          <w:rFonts w:asciiTheme="majorBidi" w:hAnsiTheme="majorBidi" w:cstheme="majorBidi" w:hint="cs"/>
          <w:sz w:val="24"/>
          <w:rtl/>
        </w:rPr>
        <w:t>במשפט הפלילי</w:t>
      </w:r>
      <w:r w:rsidR="00050206">
        <w:rPr>
          <w:rFonts w:asciiTheme="majorBidi" w:hAnsiTheme="majorBidi" w:cstheme="majorBidi" w:hint="cs"/>
          <w:sz w:val="24"/>
          <w:rtl/>
        </w:rPr>
        <w:t xml:space="preserve"> והן בפילוסופיה של המוסר</w:t>
      </w:r>
      <w:r w:rsidR="008D7E51">
        <w:rPr>
          <w:rFonts w:asciiTheme="majorBidi" w:hAnsiTheme="majorBidi" w:cstheme="majorBidi" w:hint="cs"/>
          <w:sz w:val="24"/>
          <w:rtl/>
        </w:rPr>
        <w:t xml:space="preserve"> אודות ההבחנה שבין מעשה למחדל, </w:t>
      </w:r>
      <w:r>
        <w:rPr>
          <w:rFonts w:asciiTheme="majorBidi" w:hAnsiTheme="majorBidi" w:cstheme="majorBidi" w:hint="cs"/>
          <w:sz w:val="24"/>
          <w:rtl/>
        </w:rPr>
        <w:t>ו</w:t>
      </w:r>
      <w:r w:rsidR="005759EC">
        <w:rPr>
          <w:rFonts w:asciiTheme="majorBidi" w:hAnsiTheme="majorBidi" w:cstheme="majorBidi" w:hint="cs"/>
          <w:sz w:val="24"/>
          <w:rtl/>
        </w:rPr>
        <w:t xml:space="preserve">בנוסף לכך </w:t>
      </w:r>
      <w:r>
        <w:rPr>
          <w:rFonts w:asciiTheme="majorBidi" w:hAnsiTheme="majorBidi" w:cstheme="majorBidi" w:hint="cs"/>
          <w:sz w:val="24"/>
          <w:rtl/>
        </w:rPr>
        <w:t xml:space="preserve">בכל </w:t>
      </w:r>
      <w:r>
        <w:rPr>
          <w:rFonts w:asciiTheme="majorBidi" w:hAnsiTheme="majorBidi" w:cstheme="majorBidi"/>
          <w:sz w:val="24"/>
        </w:rPr>
        <w:t>textbook</w:t>
      </w:r>
      <w:r>
        <w:rPr>
          <w:rFonts w:asciiTheme="majorBidi" w:hAnsiTheme="majorBidi" w:cstheme="majorBidi" w:hint="cs"/>
          <w:sz w:val="24"/>
          <w:rtl/>
        </w:rPr>
        <w:t xml:space="preserve"> בדיני עונשין קיים פרק העוסק במחדלים במשפט הפלילי</w:t>
      </w:r>
      <w:r w:rsidR="005759EC">
        <w:rPr>
          <w:rFonts w:asciiTheme="majorBidi" w:hAnsiTheme="majorBidi" w:cstheme="majorBidi" w:hint="cs"/>
          <w:sz w:val="24"/>
          <w:rtl/>
        </w:rPr>
        <w:t>.</w:t>
      </w:r>
      <w:r>
        <w:rPr>
          <w:rFonts w:asciiTheme="majorBidi" w:hAnsiTheme="majorBidi" w:cstheme="majorBidi" w:hint="cs"/>
          <w:sz w:val="24"/>
          <w:rtl/>
        </w:rPr>
        <w:t xml:space="preserve"> </w:t>
      </w:r>
      <w:r w:rsidR="005759EC">
        <w:rPr>
          <w:rFonts w:asciiTheme="majorBidi" w:hAnsiTheme="majorBidi" w:cstheme="majorBidi" w:hint="cs"/>
          <w:sz w:val="24"/>
          <w:rtl/>
        </w:rPr>
        <w:t>עם זאת לא נכתב ספר המתמקד כולו בהבחנה זו והמציג באופן מלא הן את הגישות ה</w:t>
      </w:r>
      <w:r w:rsidR="00FB29CD">
        <w:rPr>
          <w:rFonts w:asciiTheme="majorBidi" w:hAnsiTheme="majorBidi" w:cstheme="majorBidi" w:hint="cs"/>
          <w:sz w:val="24"/>
          <w:rtl/>
        </w:rPr>
        <w:t>סקפטיות ה</w:t>
      </w:r>
      <w:r w:rsidR="005759EC">
        <w:rPr>
          <w:rFonts w:asciiTheme="majorBidi" w:hAnsiTheme="majorBidi" w:cstheme="majorBidi" w:hint="cs"/>
          <w:sz w:val="24"/>
          <w:rtl/>
        </w:rPr>
        <w:t xml:space="preserve">חולקות על ההבחנה שבין מעשה למחדל והן את </w:t>
      </w:r>
      <w:proofErr w:type="spellStart"/>
      <w:r w:rsidR="005759EC">
        <w:rPr>
          <w:rFonts w:asciiTheme="majorBidi" w:hAnsiTheme="majorBidi" w:cstheme="majorBidi" w:hint="cs"/>
          <w:sz w:val="24"/>
          <w:rtl/>
        </w:rPr>
        <w:t>הרציונלים</w:t>
      </w:r>
      <w:proofErr w:type="spellEnd"/>
      <w:r w:rsidR="005759EC">
        <w:rPr>
          <w:rFonts w:asciiTheme="majorBidi" w:hAnsiTheme="majorBidi" w:cstheme="majorBidi" w:hint="cs"/>
          <w:sz w:val="24"/>
          <w:rtl/>
        </w:rPr>
        <w:t xml:space="preserve"> המשפטיים והמוסריים להבחנה תוך קשירתם לסוגיות המעשיות הנובעות מכך. </w:t>
      </w:r>
    </w:p>
    <w:p w14:paraId="37092D46" w14:textId="761AA64D" w:rsidR="006E7F7D" w:rsidRDefault="006E7F7D" w:rsidP="00EB5430">
      <w:pPr>
        <w:pStyle w:val="hebrew"/>
        <w:spacing w:line="360" w:lineRule="auto"/>
        <w:ind w:left="-566" w:right="-850" w:firstLine="0"/>
        <w:rPr>
          <w:rFonts w:asciiTheme="majorBidi" w:hAnsiTheme="majorBidi" w:cstheme="majorBidi"/>
          <w:sz w:val="24"/>
          <w:rtl/>
        </w:rPr>
      </w:pPr>
    </w:p>
    <w:p w14:paraId="776AC9EF" w14:textId="0B8FFFCB" w:rsidR="006E7F7D" w:rsidRPr="00BA3D87" w:rsidRDefault="006E7F7D" w:rsidP="00EB5430">
      <w:pPr>
        <w:pStyle w:val="hebrew"/>
        <w:spacing w:line="360" w:lineRule="auto"/>
        <w:ind w:left="-566" w:right="-850" w:firstLine="0"/>
        <w:rPr>
          <w:rFonts w:asciiTheme="majorBidi" w:hAnsiTheme="majorBidi" w:cstheme="majorBidi"/>
          <w:b/>
          <w:bCs/>
          <w:sz w:val="24"/>
          <w:rtl/>
        </w:rPr>
      </w:pPr>
      <w:r w:rsidRPr="00BA3D87">
        <w:rPr>
          <w:rFonts w:asciiTheme="majorBidi" w:hAnsiTheme="majorBidi" w:cstheme="majorBidi" w:hint="cs"/>
          <w:b/>
          <w:bCs/>
          <w:sz w:val="24"/>
          <w:rtl/>
        </w:rPr>
        <w:t>תקציר ביוגרפי</w:t>
      </w:r>
    </w:p>
    <w:p w14:paraId="2E54BBB4" w14:textId="4C516D93" w:rsidR="006E7F7D" w:rsidRDefault="006E7F7D" w:rsidP="00EB5430">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ד"ר רוני רוזנברג, </w:t>
      </w:r>
      <w:r w:rsidR="00A011E8">
        <w:rPr>
          <w:rFonts w:asciiTheme="majorBidi" w:hAnsiTheme="majorBidi" w:cstheme="majorBidi" w:hint="cs"/>
          <w:sz w:val="24"/>
          <w:rtl/>
        </w:rPr>
        <w:t xml:space="preserve">הוא מרצה וחוקר בתחום המשפט הפלילי המהותי וכן בפילוסופיה של המשפט הפלילי. </w:t>
      </w:r>
      <w:r>
        <w:rPr>
          <w:rFonts w:asciiTheme="majorBidi" w:hAnsiTheme="majorBidi" w:cstheme="majorBidi" w:hint="cs"/>
          <w:sz w:val="24"/>
          <w:rtl/>
        </w:rPr>
        <w:t>בעל תואר דוקטור</w:t>
      </w:r>
      <w:r w:rsidR="00A011E8">
        <w:rPr>
          <w:rFonts w:asciiTheme="majorBidi" w:hAnsiTheme="majorBidi" w:cstheme="majorBidi" w:hint="cs"/>
          <w:sz w:val="24"/>
          <w:rtl/>
        </w:rPr>
        <w:t xml:space="preserve"> (</w:t>
      </w:r>
      <w:r w:rsidR="00A011E8">
        <w:rPr>
          <w:rFonts w:asciiTheme="majorBidi" w:hAnsiTheme="majorBidi" w:cstheme="majorBidi" w:hint="cs"/>
          <w:sz w:val="24"/>
        </w:rPr>
        <w:t>P</w:t>
      </w:r>
      <w:r w:rsidR="00A011E8">
        <w:rPr>
          <w:rFonts w:asciiTheme="majorBidi" w:hAnsiTheme="majorBidi" w:cstheme="majorBidi"/>
          <w:sz w:val="24"/>
        </w:rPr>
        <w:t>h.D.</w:t>
      </w:r>
      <w:r w:rsidR="00A011E8">
        <w:rPr>
          <w:rFonts w:asciiTheme="majorBidi" w:hAnsiTheme="majorBidi" w:cstheme="majorBidi" w:hint="cs"/>
          <w:sz w:val="24"/>
          <w:rtl/>
        </w:rPr>
        <w:t>)</w:t>
      </w:r>
      <w:r>
        <w:rPr>
          <w:rFonts w:asciiTheme="majorBidi" w:hAnsiTheme="majorBidi" w:cstheme="majorBidi" w:hint="cs"/>
          <w:sz w:val="24"/>
          <w:rtl/>
        </w:rPr>
        <w:t xml:space="preserve"> מאוניברסיטת בר אילן משנת 2010. </w:t>
      </w:r>
      <w:r w:rsidR="005B6D57">
        <w:rPr>
          <w:rFonts w:asciiTheme="majorBidi" w:hAnsiTheme="majorBidi" w:cstheme="majorBidi" w:hint="cs"/>
          <w:sz w:val="24"/>
          <w:rtl/>
        </w:rPr>
        <w:t>בשנים</w:t>
      </w:r>
      <w:r>
        <w:rPr>
          <w:rFonts w:asciiTheme="majorBidi" w:hAnsiTheme="majorBidi" w:cstheme="majorBidi" w:hint="cs"/>
          <w:sz w:val="24"/>
          <w:rtl/>
        </w:rPr>
        <w:t xml:space="preserve"> 2017-2019 היה חוקר במכון למשפט פלילי על שם </w:t>
      </w:r>
      <w:proofErr w:type="spellStart"/>
      <w:r>
        <w:rPr>
          <w:rFonts w:asciiTheme="majorBidi" w:hAnsiTheme="majorBidi" w:cstheme="majorBidi" w:hint="cs"/>
          <w:sz w:val="24"/>
          <w:rtl/>
        </w:rPr>
        <w:t>טאובנשלג</w:t>
      </w:r>
      <w:proofErr w:type="spellEnd"/>
      <w:r>
        <w:rPr>
          <w:rFonts w:asciiTheme="majorBidi" w:hAnsiTheme="majorBidi" w:cstheme="majorBidi" w:hint="cs"/>
          <w:sz w:val="24"/>
          <w:rtl/>
        </w:rPr>
        <w:t xml:space="preserve"> בפקולטה למשפטים באוניברסיטת תל-אביב. פרסם </w:t>
      </w:r>
      <w:r w:rsidR="00BD2DB4">
        <w:rPr>
          <w:rFonts w:asciiTheme="majorBidi" w:hAnsiTheme="majorBidi" w:cstheme="majorBidi" w:hint="cs"/>
          <w:sz w:val="24"/>
          <w:rtl/>
        </w:rPr>
        <w:t xml:space="preserve">יותר מ </w:t>
      </w:r>
      <w:r w:rsidR="00BD2DB4">
        <w:rPr>
          <w:rFonts w:asciiTheme="majorBidi" w:hAnsiTheme="majorBidi" w:cstheme="majorBidi"/>
          <w:sz w:val="24"/>
          <w:rtl/>
        </w:rPr>
        <w:t>–</w:t>
      </w:r>
      <w:r w:rsidR="00BD2DB4">
        <w:rPr>
          <w:rFonts w:asciiTheme="majorBidi" w:hAnsiTheme="majorBidi" w:cstheme="majorBidi" w:hint="cs"/>
          <w:sz w:val="24"/>
          <w:rtl/>
        </w:rPr>
        <w:t xml:space="preserve"> 20 מאמרים בכתבי עת מובילים בישראל ובעולם בתחומי המשפט הפלילי. מאמריו צוטטו ב</w:t>
      </w:r>
      <w:r w:rsidR="000154A6">
        <w:rPr>
          <w:rFonts w:asciiTheme="majorBidi" w:hAnsiTheme="majorBidi" w:cstheme="majorBidi" w:hint="cs"/>
          <w:sz w:val="24"/>
          <w:rtl/>
        </w:rPr>
        <w:t xml:space="preserve">פסיקות של </w:t>
      </w:r>
      <w:r w:rsidR="00BD2DB4">
        <w:rPr>
          <w:rFonts w:asciiTheme="majorBidi" w:hAnsiTheme="majorBidi" w:cstheme="majorBidi" w:hint="cs"/>
          <w:sz w:val="24"/>
          <w:rtl/>
        </w:rPr>
        <w:t xml:space="preserve">בתי המשפט בישראל לרבות </w:t>
      </w:r>
      <w:r w:rsidR="000154A6">
        <w:rPr>
          <w:rFonts w:asciiTheme="majorBidi" w:hAnsiTheme="majorBidi" w:cstheme="majorBidi" w:hint="cs"/>
          <w:sz w:val="24"/>
          <w:rtl/>
        </w:rPr>
        <w:t>ב</w:t>
      </w:r>
      <w:r w:rsidR="00BD2DB4">
        <w:rPr>
          <w:rFonts w:asciiTheme="majorBidi" w:hAnsiTheme="majorBidi" w:cstheme="majorBidi" w:hint="cs"/>
          <w:sz w:val="24"/>
          <w:rtl/>
        </w:rPr>
        <w:t xml:space="preserve">פסיקות חשובות של בית המשפט העליון. </w:t>
      </w:r>
    </w:p>
    <w:p w14:paraId="32005600" w14:textId="6B45CBFE" w:rsidR="00A011E8" w:rsidRDefault="00A011E8" w:rsidP="00EB5430">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ד"ר רוזנברג היה העורך הראשי של כתב העת "מחקרי משפט" </w:t>
      </w:r>
      <w:r w:rsidR="0081042A">
        <w:rPr>
          <w:rFonts w:asciiTheme="majorBidi" w:hAnsiTheme="majorBidi" w:cstheme="majorBidi" w:hint="cs"/>
          <w:sz w:val="24"/>
          <w:rtl/>
        </w:rPr>
        <w:t xml:space="preserve">שהינו כתב העת הראשי </w:t>
      </w:r>
      <w:r>
        <w:rPr>
          <w:rFonts w:asciiTheme="majorBidi" w:hAnsiTheme="majorBidi" w:cstheme="majorBidi" w:hint="cs"/>
          <w:sz w:val="24"/>
          <w:rtl/>
        </w:rPr>
        <w:t>של הפקולטה למשפטים באוניברסיטת בר אילן</w:t>
      </w:r>
      <w:r w:rsidR="000154A6">
        <w:rPr>
          <w:rFonts w:asciiTheme="majorBidi" w:hAnsiTheme="majorBidi" w:cstheme="majorBidi" w:hint="cs"/>
          <w:sz w:val="24"/>
          <w:rtl/>
        </w:rPr>
        <w:t xml:space="preserve"> (2008-2010)</w:t>
      </w:r>
      <w:r>
        <w:rPr>
          <w:rFonts w:asciiTheme="majorBidi" w:hAnsiTheme="majorBidi" w:cstheme="majorBidi" w:hint="cs"/>
          <w:sz w:val="24"/>
          <w:rtl/>
        </w:rPr>
        <w:t xml:space="preserve">. </w:t>
      </w:r>
    </w:p>
    <w:p w14:paraId="35D76CF0" w14:textId="77777777" w:rsidR="00A011E8" w:rsidRDefault="00A011E8" w:rsidP="00EB5430">
      <w:pPr>
        <w:pStyle w:val="hebrew"/>
        <w:spacing w:line="360" w:lineRule="auto"/>
        <w:ind w:left="-566" w:right="-850" w:firstLine="0"/>
        <w:rPr>
          <w:rFonts w:asciiTheme="majorBidi" w:hAnsiTheme="majorBidi" w:cstheme="majorBidi"/>
          <w:sz w:val="24"/>
          <w:rtl/>
        </w:rPr>
      </w:pPr>
    </w:p>
    <w:p w14:paraId="606A764B" w14:textId="17F2F673" w:rsidR="00BD2DB4" w:rsidRDefault="000154A6" w:rsidP="00EB5430">
      <w:pPr>
        <w:pStyle w:val="hebrew"/>
        <w:spacing w:line="360" w:lineRule="auto"/>
        <w:ind w:left="-566" w:right="-850" w:firstLine="0"/>
        <w:rPr>
          <w:rFonts w:asciiTheme="majorBidi" w:hAnsiTheme="majorBidi" w:cstheme="majorBidi"/>
          <w:sz w:val="24"/>
          <w:rtl/>
        </w:rPr>
      </w:pPr>
      <w:r>
        <w:rPr>
          <w:rFonts w:asciiTheme="majorBidi" w:hAnsiTheme="majorBidi" w:cstheme="majorBidi" w:hint="cs"/>
          <w:sz w:val="24"/>
          <w:rtl/>
        </w:rPr>
        <w:t xml:space="preserve">ד"ר רוזנברג </w:t>
      </w:r>
      <w:r w:rsidR="00BD2DB4">
        <w:rPr>
          <w:rFonts w:asciiTheme="majorBidi" w:hAnsiTheme="majorBidi" w:cstheme="majorBidi" w:hint="cs"/>
          <w:sz w:val="24"/>
          <w:rtl/>
        </w:rPr>
        <w:t xml:space="preserve">שימש </w:t>
      </w:r>
      <w:r w:rsidR="00A011E8">
        <w:rPr>
          <w:rFonts w:asciiTheme="majorBidi" w:hAnsiTheme="majorBidi" w:cstheme="majorBidi" w:hint="cs"/>
          <w:sz w:val="24"/>
          <w:rtl/>
        </w:rPr>
        <w:t xml:space="preserve">כיועץ לוועדת לקידום מעמד האישה בכנסת ישראל בעניין התיקון לחוק למניעת הטרדה מינית וכן השתתף בדיונים בוועדת החוקה חוק ומשפט בעניין רפורמת עבירות ההמתה שעברה בישראל בשנת 2019. </w:t>
      </w:r>
    </w:p>
    <w:p w14:paraId="3C6D2CC6" w14:textId="77777777" w:rsidR="004C72E5" w:rsidRDefault="004C72E5" w:rsidP="00087E9C">
      <w:pPr>
        <w:pStyle w:val="hebrew"/>
        <w:spacing w:line="360" w:lineRule="auto"/>
        <w:ind w:left="-566" w:right="-850" w:firstLine="0"/>
        <w:rPr>
          <w:rFonts w:asciiTheme="majorBidi" w:hAnsiTheme="majorBidi" w:cstheme="majorBidi"/>
          <w:sz w:val="24"/>
          <w:rtl/>
        </w:rPr>
      </w:pPr>
    </w:p>
    <w:p w14:paraId="52B831DA" w14:textId="7F5D679C" w:rsidR="00087E9C" w:rsidRDefault="00087E9C" w:rsidP="00087E9C">
      <w:pPr>
        <w:pStyle w:val="hebrew"/>
        <w:spacing w:line="360" w:lineRule="auto"/>
        <w:ind w:left="-566" w:right="-850" w:firstLine="0"/>
        <w:rPr>
          <w:rFonts w:asciiTheme="majorBidi" w:hAnsiTheme="majorBidi" w:cstheme="majorBidi"/>
          <w:sz w:val="24"/>
          <w:rtl/>
        </w:rPr>
      </w:pPr>
    </w:p>
    <w:p w14:paraId="3D5CCFB2" w14:textId="77777777" w:rsidR="00087E9C" w:rsidRPr="003B37B4" w:rsidRDefault="00087E9C" w:rsidP="00087E9C">
      <w:pPr>
        <w:pStyle w:val="hebrew"/>
        <w:spacing w:line="360" w:lineRule="auto"/>
        <w:ind w:left="-566" w:right="-850" w:firstLine="0"/>
        <w:rPr>
          <w:rFonts w:asciiTheme="majorBidi" w:hAnsiTheme="majorBidi" w:cstheme="majorBidi"/>
          <w:sz w:val="24"/>
          <w:rtl/>
        </w:rPr>
      </w:pPr>
    </w:p>
    <w:p w14:paraId="107AB9C4" w14:textId="4F35510B" w:rsidR="003B37B4" w:rsidRDefault="003B37B4" w:rsidP="005C190D">
      <w:pPr>
        <w:pStyle w:val="hebrew"/>
        <w:spacing w:line="360" w:lineRule="auto"/>
        <w:ind w:left="-566" w:right="-850" w:firstLine="0"/>
        <w:rPr>
          <w:rFonts w:asciiTheme="majorBidi" w:hAnsiTheme="majorBidi" w:cstheme="majorBidi" w:hint="cs"/>
          <w:sz w:val="24"/>
          <w:rtl/>
        </w:rPr>
      </w:pPr>
    </w:p>
    <w:sectPr w:rsidR="003B37B4" w:rsidSect="002F5D27">
      <w:footerReference w:type="even" r:id="rId8"/>
      <w:footerReference w:type="default" r:id="rId9"/>
      <w:footerReference w:type="first" r:id="rId10"/>
      <w:endnotePr>
        <w:numFmt w:val="decimal"/>
      </w:endnotePr>
      <w:pgSz w:w="11906" w:h="16838" w:code="9"/>
      <w:pgMar w:top="2665" w:right="2665" w:bottom="4366" w:left="2665" w:header="2268" w:footer="2835"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4721" w14:textId="77777777" w:rsidR="001756A2" w:rsidRDefault="001756A2" w:rsidP="00301992">
      <w:pPr>
        <w:spacing w:line="240" w:lineRule="auto"/>
      </w:pPr>
      <w:r>
        <w:separator/>
      </w:r>
    </w:p>
  </w:endnote>
  <w:endnote w:type="continuationSeparator" w:id="0">
    <w:p w14:paraId="5F27D779" w14:textId="77777777" w:rsidR="001756A2" w:rsidRDefault="001756A2" w:rsidP="0030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77A9" w14:textId="26279BFD" w:rsidR="002F5D27" w:rsidRDefault="004A36D4" w:rsidP="002F5D27">
    <w:pPr>
      <w:pStyle w:val="a3"/>
      <w:jc w:val="left"/>
    </w:pPr>
    <w:r>
      <w:rPr>
        <w:rStyle w:val="a5"/>
      </w:rPr>
      <w:fldChar w:fldCharType="begin"/>
    </w:r>
    <w:r>
      <w:rPr>
        <w:rStyle w:val="a5"/>
      </w:rPr>
      <w:instrText xml:space="preserve"> PAGE </w:instrText>
    </w:r>
    <w:r>
      <w:rPr>
        <w:rStyle w:val="a5"/>
      </w:rPr>
      <w:fldChar w:fldCharType="separate"/>
    </w:r>
    <w:r>
      <w:rPr>
        <w:rStyle w:val="a5"/>
        <w:noProof/>
        <w:rtl/>
      </w:rPr>
      <w:t>4</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3935" w14:textId="3572C909" w:rsidR="002F5D27" w:rsidRPr="00BF6CDF" w:rsidRDefault="004A36D4" w:rsidP="002F5D27">
    <w:pPr>
      <w:pStyle w:val="a3"/>
      <w:jc w:val="right"/>
    </w:pPr>
    <w:r>
      <w:rPr>
        <w:rStyle w:val="a5"/>
      </w:rPr>
      <w:fldChar w:fldCharType="begin"/>
    </w:r>
    <w:r>
      <w:rPr>
        <w:rStyle w:val="a5"/>
      </w:rPr>
      <w:instrText xml:space="preserve"> PAGE </w:instrText>
    </w:r>
    <w:r>
      <w:rPr>
        <w:rStyle w:val="a5"/>
      </w:rPr>
      <w:fldChar w:fldCharType="separate"/>
    </w:r>
    <w:r>
      <w:rPr>
        <w:rStyle w:val="a5"/>
        <w:noProof/>
        <w:rtl/>
      </w:rPr>
      <w:t>21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7438" w14:textId="661D1CAE" w:rsidR="002F5D27" w:rsidRDefault="004A36D4" w:rsidP="002F5D27">
    <w:pPr>
      <w:pStyle w:val="a3"/>
      <w:tabs>
        <w:tab w:val="right" w:pos="6434"/>
      </w:tabs>
      <w:jc w:val="right"/>
      <w:rPr>
        <w:rStyle w:val="a5"/>
        <w:rtl/>
      </w:rPr>
    </w:pPr>
    <w:r>
      <w:rPr>
        <w:rStyle w:val="a5"/>
        <w:rtl/>
      </w:rPr>
      <w:fldChar w:fldCharType="begin"/>
    </w:r>
    <w:r>
      <w:rPr>
        <w:rStyle w:val="a5"/>
        <w:rtl/>
      </w:rPr>
      <w:instrText xml:space="preserve"> </w:instrText>
    </w:r>
    <w:r>
      <w:rPr>
        <w:rStyle w:val="a5"/>
      </w:rPr>
      <w:instrText>PAGE</w:instrText>
    </w:r>
    <w:r>
      <w:rPr>
        <w:rStyle w:val="a5"/>
        <w:rtl/>
      </w:rPr>
      <w:instrText xml:space="preserve"> </w:instrText>
    </w:r>
    <w:r>
      <w:rPr>
        <w:rStyle w:val="a5"/>
        <w:rtl/>
      </w:rPr>
      <w:fldChar w:fldCharType="separate"/>
    </w:r>
    <w:r>
      <w:rPr>
        <w:rStyle w:val="a5"/>
        <w:noProof/>
        <w:rtl/>
      </w:rPr>
      <w:t>3</w:t>
    </w:r>
    <w:r>
      <w:rPr>
        <w:rStyle w:val="a5"/>
        <w:rtl/>
      </w:rPr>
      <w:fldChar w:fldCharType="end"/>
    </w:r>
  </w:p>
  <w:p w14:paraId="4F5A682D" w14:textId="664FF825" w:rsidR="002F5D27" w:rsidRPr="00557F6F" w:rsidRDefault="004A36D4" w:rsidP="002F5D27">
    <w:pPr>
      <w:pStyle w:val="a3"/>
      <w:tabs>
        <w:tab w:val="right" w:pos="6434"/>
      </w:tabs>
      <w:rPr>
        <w:color w:val="FFFFFF"/>
      </w:rPr>
    </w:pPr>
    <w:r w:rsidRPr="00BA2D79">
      <w:rPr>
        <w:rStyle w:val="a5"/>
        <w:b/>
        <w:bCs/>
        <w:color w:val="FFFFFF"/>
      </w:rPr>
      <w:fldChar w:fldCharType="begin"/>
    </w:r>
    <w:r w:rsidRPr="00BA2D79">
      <w:rPr>
        <w:rStyle w:val="a5"/>
        <w:b/>
        <w:bCs/>
        <w:color w:val="FFFFFF"/>
      </w:rPr>
      <w:instrText xml:space="preserve"> FILENAME \* Lower\p \* MERGEFORMAT </w:instrText>
    </w:r>
    <w:r w:rsidRPr="00BA2D79">
      <w:rPr>
        <w:rStyle w:val="a5"/>
        <w:b/>
        <w:bCs/>
        <w:color w:val="FFFFFF"/>
      </w:rPr>
      <w:fldChar w:fldCharType="separate"/>
    </w:r>
    <w:r w:rsidRPr="00004704">
      <w:rPr>
        <w:rStyle w:val="a5"/>
        <w:noProof/>
        <w:color w:val="FFFFFF"/>
      </w:rPr>
      <w:t>z:\books\rosenberg\rosenberg-01.doc</w:t>
    </w:r>
    <w:r w:rsidRPr="00BA2D79">
      <w:rPr>
        <w:rStyle w:val="a5"/>
        <w:b/>
        <w:bCs/>
        <w:color w:val="FFFFFF"/>
      </w:rPr>
      <w:fldChar w:fldCharType="end"/>
    </w:r>
    <w:r w:rsidRPr="00BA2D79">
      <w:rPr>
        <w:rStyle w:val="a5"/>
        <w:bCs/>
        <w:i/>
        <w:color w:val="FFFFFF"/>
      </w:rPr>
      <w:t xml:space="preserve"> </w:t>
    </w:r>
    <w:r w:rsidRPr="00BA2D79">
      <w:rPr>
        <w:rStyle w:val="a5"/>
        <w:color w:val="FFFFFF"/>
      </w:rPr>
      <w:fldChar w:fldCharType="begin"/>
    </w:r>
    <w:r w:rsidRPr="00BA2D79">
      <w:rPr>
        <w:rStyle w:val="a5"/>
        <w:color w:val="FFFFFF"/>
      </w:rPr>
      <w:instrText xml:space="preserve"> SAVEDATE  \* MERGEFORMAT </w:instrText>
    </w:r>
    <w:r w:rsidRPr="00BA2D79">
      <w:rPr>
        <w:rStyle w:val="a5"/>
        <w:color w:val="FFFFFF"/>
      </w:rPr>
      <w:fldChar w:fldCharType="separate"/>
    </w:r>
    <w:r w:rsidR="00022CE5">
      <w:rPr>
        <w:rStyle w:val="a5"/>
        <w:noProof/>
        <w:color w:val="FFFFFF"/>
      </w:rPr>
      <w:t>1/16/2022 12:04:00 AM</w:t>
    </w:r>
    <w:r w:rsidRPr="00BA2D79">
      <w:rPr>
        <w:rStyle w:val="a5"/>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8DF7" w14:textId="77777777" w:rsidR="001756A2" w:rsidRDefault="001756A2" w:rsidP="00301992">
      <w:pPr>
        <w:spacing w:line="240" w:lineRule="auto"/>
      </w:pPr>
      <w:r>
        <w:separator/>
      </w:r>
    </w:p>
  </w:footnote>
  <w:footnote w:type="continuationSeparator" w:id="0">
    <w:p w14:paraId="77051433" w14:textId="77777777" w:rsidR="001756A2" w:rsidRDefault="001756A2" w:rsidP="003019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BD5"/>
    <w:multiLevelType w:val="hybridMultilevel"/>
    <w:tmpl w:val="BF04A33C"/>
    <w:lvl w:ilvl="0" w:tplc="B22AA7E6">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1" w15:restartNumberingAfterBreak="0">
    <w:nsid w:val="0FB53E75"/>
    <w:multiLevelType w:val="hybridMultilevel"/>
    <w:tmpl w:val="54129230"/>
    <w:lvl w:ilvl="0" w:tplc="F21E3114">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2" w15:restartNumberingAfterBreak="0">
    <w:nsid w:val="189533B3"/>
    <w:multiLevelType w:val="hybridMultilevel"/>
    <w:tmpl w:val="86004826"/>
    <w:lvl w:ilvl="0" w:tplc="BC22128A">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3" w15:restartNumberingAfterBreak="0">
    <w:nsid w:val="27B92C2B"/>
    <w:multiLevelType w:val="hybridMultilevel"/>
    <w:tmpl w:val="9878D9F2"/>
    <w:lvl w:ilvl="0" w:tplc="D576C5C4">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4" w15:restartNumberingAfterBreak="0">
    <w:nsid w:val="2E1F2388"/>
    <w:multiLevelType w:val="hybridMultilevel"/>
    <w:tmpl w:val="B8A4E342"/>
    <w:lvl w:ilvl="0" w:tplc="B80C3DCA">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5" w15:restartNumberingAfterBreak="0">
    <w:nsid w:val="4077501A"/>
    <w:multiLevelType w:val="hybridMultilevel"/>
    <w:tmpl w:val="13A62384"/>
    <w:lvl w:ilvl="0" w:tplc="984AF896">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6" w15:restartNumberingAfterBreak="0">
    <w:nsid w:val="450047B5"/>
    <w:multiLevelType w:val="hybridMultilevel"/>
    <w:tmpl w:val="9B26839E"/>
    <w:lvl w:ilvl="0" w:tplc="70E8D1D6">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7" w15:restartNumberingAfterBreak="0">
    <w:nsid w:val="48412784"/>
    <w:multiLevelType w:val="hybridMultilevel"/>
    <w:tmpl w:val="571C4C90"/>
    <w:lvl w:ilvl="0" w:tplc="AFCCAC2A">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8" w15:restartNumberingAfterBreak="0">
    <w:nsid w:val="49881D38"/>
    <w:multiLevelType w:val="hybridMultilevel"/>
    <w:tmpl w:val="3B7C73D6"/>
    <w:lvl w:ilvl="0" w:tplc="F5BA6DE4">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9" w15:restartNumberingAfterBreak="0">
    <w:nsid w:val="510A3106"/>
    <w:multiLevelType w:val="hybridMultilevel"/>
    <w:tmpl w:val="775A582C"/>
    <w:lvl w:ilvl="0" w:tplc="35EE7D9E">
      <w:start w:val="1"/>
      <w:numFmt w:val="decimal"/>
      <w:lvlText w:val="%1."/>
      <w:lvlJc w:val="left"/>
      <w:pPr>
        <w:ind w:left="-206"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num w:numId="1">
    <w:abstractNumId w:val="0"/>
  </w:num>
  <w:num w:numId="2">
    <w:abstractNumId w:val="9"/>
  </w:num>
  <w:num w:numId="3">
    <w:abstractNumId w:val="2"/>
  </w:num>
  <w:num w:numId="4">
    <w:abstractNumId w:val="5"/>
  </w:num>
  <w:num w:numId="5">
    <w:abstractNumId w:val="7"/>
  </w:num>
  <w:num w:numId="6">
    <w:abstractNumId w:val="8"/>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01992"/>
    <w:rsid w:val="000154A6"/>
    <w:rsid w:val="00017681"/>
    <w:rsid w:val="00021043"/>
    <w:rsid w:val="00022CE5"/>
    <w:rsid w:val="0003045C"/>
    <w:rsid w:val="00040C4C"/>
    <w:rsid w:val="00047C72"/>
    <w:rsid w:val="000501FE"/>
    <w:rsid w:val="00050206"/>
    <w:rsid w:val="000568F4"/>
    <w:rsid w:val="00066788"/>
    <w:rsid w:val="0006689F"/>
    <w:rsid w:val="00087E9C"/>
    <w:rsid w:val="000A09C7"/>
    <w:rsid w:val="000C189E"/>
    <w:rsid w:val="000C4836"/>
    <w:rsid w:val="000E3875"/>
    <w:rsid w:val="000F3209"/>
    <w:rsid w:val="001021BB"/>
    <w:rsid w:val="001144D1"/>
    <w:rsid w:val="001268F9"/>
    <w:rsid w:val="00154ABB"/>
    <w:rsid w:val="00154CC3"/>
    <w:rsid w:val="001551A6"/>
    <w:rsid w:val="001756A2"/>
    <w:rsid w:val="00181A6F"/>
    <w:rsid w:val="001865AA"/>
    <w:rsid w:val="001B019E"/>
    <w:rsid w:val="001B3F56"/>
    <w:rsid w:val="001D5A08"/>
    <w:rsid w:val="00231383"/>
    <w:rsid w:val="00233D4E"/>
    <w:rsid w:val="00237CC4"/>
    <w:rsid w:val="002464CE"/>
    <w:rsid w:val="00266C81"/>
    <w:rsid w:val="00274541"/>
    <w:rsid w:val="002761A9"/>
    <w:rsid w:val="00283DCC"/>
    <w:rsid w:val="002C12EE"/>
    <w:rsid w:val="002E3A64"/>
    <w:rsid w:val="002F5D27"/>
    <w:rsid w:val="00301992"/>
    <w:rsid w:val="00307591"/>
    <w:rsid w:val="0038717A"/>
    <w:rsid w:val="00393228"/>
    <w:rsid w:val="003A7942"/>
    <w:rsid w:val="003B37B4"/>
    <w:rsid w:val="003D140A"/>
    <w:rsid w:val="003D3830"/>
    <w:rsid w:val="003E7B2F"/>
    <w:rsid w:val="00401974"/>
    <w:rsid w:val="00411871"/>
    <w:rsid w:val="004210E9"/>
    <w:rsid w:val="00451E23"/>
    <w:rsid w:val="00452D6B"/>
    <w:rsid w:val="00463A24"/>
    <w:rsid w:val="004667D5"/>
    <w:rsid w:val="00470C90"/>
    <w:rsid w:val="004A36D4"/>
    <w:rsid w:val="004A6AB6"/>
    <w:rsid w:val="004C72E5"/>
    <w:rsid w:val="005062B3"/>
    <w:rsid w:val="00544CB2"/>
    <w:rsid w:val="00554017"/>
    <w:rsid w:val="005759EC"/>
    <w:rsid w:val="00576990"/>
    <w:rsid w:val="00580010"/>
    <w:rsid w:val="005A546C"/>
    <w:rsid w:val="005B1532"/>
    <w:rsid w:val="005B50F9"/>
    <w:rsid w:val="005B6D57"/>
    <w:rsid w:val="005C190D"/>
    <w:rsid w:val="005C65D7"/>
    <w:rsid w:val="005D4BD6"/>
    <w:rsid w:val="005F38C8"/>
    <w:rsid w:val="00633489"/>
    <w:rsid w:val="006373D7"/>
    <w:rsid w:val="00651E18"/>
    <w:rsid w:val="00666336"/>
    <w:rsid w:val="00696055"/>
    <w:rsid w:val="006A6170"/>
    <w:rsid w:val="006A6766"/>
    <w:rsid w:val="006E7F7D"/>
    <w:rsid w:val="006F2B63"/>
    <w:rsid w:val="00747472"/>
    <w:rsid w:val="00764269"/>
    <w:rsid w:val="00767B5F"/>
    <w:rsid w:val="00770AC2"/>
    <w:rsid w:val="007A1A40"/>
    <w:rsid w:val="007B3DDE"/>
    <w:rsid w:val="007C1EBF"/>
    <w:rsid w:val="007C4632"/>
    <w:rsid w:val="007C5DE8"/>
    <w:rsid w:val="007D0890"/>
    <w:rsid w:val="007F239D"/>
    <w:rsid w:val="00800CCB"/>
    <w:rsid w:val="00804684"/>
    <w:rsid w:val="0081042A"/>
    <w:rsid w:val="00811B7A"/>
    <w:rsid w:val="00811BB1"/>
    <w:rsid w:val="00833349"/>
    <w:rsid w:val="008429FC"/>
    <w:rsid w:val="00893813"/>
    <w:rsid w:val="008A66FA"/>
    <w:rsid w:val="008B0658"/>
    <w:rsid w:val="008C59FB"/>
    <w:rsid w:val="008D44E4"/>
    <w:rsid w:val="008D7E51"/>
    <w:rsid w:val="008E516C"/>
    <w:rsid w:val="008F6B7A"/>
    <w:rsid w:val="00910E4B"/>
    <w:rsid w:val="0091169E"/>
    <w:rsid w:val="009134DF"/>
    <w:rsid w:val="00914305"/>
    <w:rsid w:val="009165F5"/>
    <w:rsid w:val="00931F04"/>
    <w:rsid w:val="00941DDD"/>
    <w:rsid w:val="009501F4"/>
    <w:rsid w:val="0095331D"/>
    <w:rsid w:val="009656F1"/>
    <w:rsid w:val="0098328C"/>
    <w:rsid w:val="009832A5"/>
    <w:rsid w:val="00987307"/>
    <w:rsid w:val="009D040A"/>
    <w:rsid w:val="009D0DD3"/>
    <w:rsid w:val="009D39B0"/>
    <w:rsid w:val="009F3C66"/>
    <w:rsid w:val="009F76BF"/>
    <w:rsid w:val="00A00E6F"/>
    <w:rsid w:val="00A011E8"/>
    <w:rsid w:val="00A06ACD"/>
    <w:rsid w:val="00A30C8E"/>
    <w:rsid w:val="00A36DAB"/>
    <w:rsid w:val="00A4169B"/>
    <w:rsid w:val="00A530A2"/>
    <w:rsid w:val="00AA3214"/>
    <w:rsid w:val="00AD0272"/>
    <w:rsid w:val="00B043C9"/>
    <w:rsid w:val="00B35A49"/>
    <w:rsid w:val="00B444E9"/>
    <w:rsid w:val="00B567D9"/>
    <w:rsid w:val="00B659BB"/>
    <w:rsid w:val="00B709EB"/>
    <w:rsid w:val="00BA3D87"/>
    <w:rsid w:val="00BB521B"/>
    <w:rsid w:val="00BC409A"/>
    <w:rsid w:val="00BD2DB4"/>
    <w:rsid w:val="00BE5425"/>
    <w:rsid w:val="00C1061F"/>
    <w:rsid w:val="00C1070F"/>
    <w:rsid w:val="00C17E43"/>
    <w:rsid w:val="00C40EDE"/>
    <w:rsid w:val="00C46B3C"/>
    <w:rsid w:val="00C6563E"/>
    <w:rsid w:val="00C83343"/>
    <w:rsid w:val="00C9667A"/>
    <w:rsid w:val="00CC1ABE"/>
    <w:rsid w:val="00CD4364"/>
    <w:rsid w:val="00CE6270"/>
    <w:rsid w:val="00CF63DF"/>
    <w:rsid w:val="00D13233"/>
    <w:rsid w:val="00D13DFF"/>
    <w:rsid w:val="00D15ED8"/>
    <w:rsid w:val="00D20FB8"/>
    <w:rsid w:val="00D25945"/>
    <w:rsid w:val="00D36851"/>
    <w:rsid w:val="00D61D92"/>
    <w:rsid w:val="00D63B22"/>
    <w:rsid w:val="00D80367"/>
    <w:rsid w:val="00D85089"/>
    <w:rsid w:val="00D850F7"/>
    <w:rsid w:val="00D8608B"/>
    <w:rsid w:val="00E014ED"/>
    <w:rsid w:val="00E01B81"/>
    <w:rsid w:val="00E26489"/>
    <w:rsid w:val="00E34893"/>
    <w:rsid w:val="00E4796F"/>
    <w:rsid w:val="00E837CF"/>
    <w:rsid w:val="00EB5430"/>
    <w:rsid w:val="00EB589F"/>
    <w:rsid w:val="00EF4192"/>
    <w:rsid w:val="00F3435E"/>
    <w:rsid w:val="00F37DDD"/>
    <w:rsid w:val="00F5761E"/>
    <w:rsid w:val="00F6349A"/>
    <w:rsid w:val="00F644FE"/>
    <w:rsid w:val="00F67B04"/>
    <w:rsid w:val="00F731E9"/>
    <w:rsid w:val="00F81BC1"/>
    <w:rsid w:val="00F96EA9"/>
    <w:rsid w:val="00FA37BB"/>
    <w:rsid w:val="00FA609A"/>
    <w:rsid w:val="00FB29CD"/>
    <w:rsid w:val="00FB2FE9"/>
    <w:rsid w:val="00FC0ECB"/>
    <w:rsid w:val="00FC43C4"/>
    <w:rsid w:val="00FC5F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0826"/>
  <w15:docId w15:val="{6A99518D-7131-4FBA-AB5E-70B9122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992"/>
    <w:pPr>
      <w:widowControl w:val="0"/>
      <w:tabs>
        <w:tab w:val="left" w:pos="2040"/>
      </w:tabs>
      <w:bidi/>
      <w:adjustRightInd w:val="0"/>
      <w:spacing w:after="0" w:line="360" w:lineRule="auto"/>
      <w:jc w:val="center"/>
      <w:textAlignment w:val="baseline"/>
    </w:pPr>
    <w:rPr>
      <w:rFonts w:ascii="Times New Roman" w:eastAsia="Times New Roman" w:hAnsi="Times New Roman" w:cs="FrankRuehl"/>
      <w:sz w:val="20"/>
      <w:szCs w:val="24"/>
    </w:rPr>
  </w:style>
  <w:style w:type="paragraph" w:styleId="1">
    <w:name w:val="heading 1"/>
    <w:basedOn w:val="a"/>
    <w:next w:val="a"/>
    <w:link w:val="10"/>
    <w:uiPriority w:val="9"/>
    <w:qFormat/>
    <w:rsid w:val="004C72E5"/>
    <w:pPr>
      <w:keepNext/>
      <w:keepLines/>
      <w:widowControl/>
      <w:tabs>
        <w:tab w:val="clear" w:pos="2040"/>
      </w:tabs>
      <w:bidi w:val="0"/>
      <w:adjustRightInd/>
      <w:spacing w:before="360" w:after="40" w:line="240" w:lineRule="auto"/>
      <w:jc w:val="left"/>
      <w:textAlignment w:val="auto"/>
      <w:outlineLvl w:val="0"/>
    </w:pPr>
    <w:rPr>
      <w:rFonts w:asciiTheme="majorHAnsi" w:eastAsiaTheme="majorEastAsia" w:hAnsiTheme="majorHAnsi" w:cstheme="majorBidi"/>
      <w:color w:val="538135" w:themeColor="accent6" w:themeShade="BF"/>
      <w:sz w:val="40"/>
      <w:szCs w:val="40"/>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גופן ברירת המחדל של קטע פסקה תו תו תו Char תו תו תו Char תו"/>
    <w:basedOn w:val="a"/>
    <w:rsid w:val="00301992"/>
    <w:pPr>
      <w:widowControl/>
      <w:tabs>
        <w:tab w:val="clear" w:pos="2040"/>
      </w:tabs>
      <w:adjustRightInd/>
      <w:spacing w:line="240" w:lineRule="auto"/>
      <w:jc w:val="left"/>
      <w:textAlignment w:val="auto"/>
    </w:pPr>
    <w:rPr>
      <w:rFonts w:cs="Times New Roman"/>
      <w:sz w:val="24"/>
    </w:rPr>
  </w:style>
  <w:style w:type="paragraph" w:styleId="a3">
    <w:name w:val="footer"/>
    <w:aliases w:val="Footer"/>
    <w:basedOn w:val="a"/>
    <w:link w:val="a4"/>
    <w:rsid w:val="00301992"/>
    <w:pPr>
      <w:tabs>
        <w:tab w:val="clear" w:pos="2040"/>
        <w:tab w:val="center" w:pos="4153"/>
        <w:tab w:val="right" w:pos="8306"/>
      </w:tabs>
    </w:pPr>
    <w:rPr>
      <w:sz w:val="19"/>
    </w:rPr>
  </w:style>
  <w:style w:type="character" w:customStyle="1" w:styleId="a4">
    <w:name w:val="כותרת תחתונה תו"/>
    <w:aliases w:val="Footer תו"/>
    <w:basedOn w:val="a0"/>
    <w:link w:val="a3"/>
    <w:rsid w:val="00301992"/>
    <w:rPr>
      <w:rFonts w:ascii="Times New Roman" w:eastAsia="Times New Roman" w:hAnsi="Times New Roman" w:cs="FrankRuehl"/>
      <w:sz w:val="19"/>
      <w:szCs w:val="24"/>
    </w:rPr>
  </w:style>
  <w:style w:type="character" w:styleId="a5">
    <w:name w:val="page number"/>
    <w:aliases w:val="Page Number"/>
    <w:basedOn w:val="a0"/>
    <w:rsid w:val="00301992"/>
  </w:style>
  <w:style w:type="character" w:styleId="a6">
    <w:name w:val="footnote reference"/>
    <w:semiHidden/>
    <w:rsid w:val="00301992"/>
    <w:rPr>
      <w:rFonts w:ascii="FrankRuehl" w:hAnsi="FrankRuehl" w:cs="FrankRuehl"/>
      <w:position w:val="6"/>
      <w:sz w:val="20"/>
      <w:szCs w:val="20"/>
      <w:vertAlign w:val="baseline"/>
    </w:rPr>
  </w:style>
  <w:style w:type="paragraph" w:styleId="a7">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
    <w:basedOn w:val="a"/>
    <w:link w:val="a8"/>
    <w:rsid w:val="00301992"/>
    <w:pPr>
      <w:widowControl/>
      <w:tabs>
        <w:tab w:val="clear" w:pos="2040"/>
        <w:tab w:val="left" w:pos="397"/>
      </w:tabs>
      <w:spacing w:line="220" w:lineRule="exact"/>
      <w:ind w:left="397" w:hanging="397"/>
      <w:jc w:val="both"/>
    </w:pPr>
    <w:rPr>
      <w:sz w:val="18"/>
      <w:szCs w:val="22"/>
    </w:rPr>
  </w:style>
  <w:style w:type="character" w:customStyle="1" w:styleId="a8">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
    <w:basedOn w:val="a0"/>
    <w:link w:val="a7"/>
    <w:rsid w:val="00301992"/>
    <w:rPr>
      <w:rFonts w:ascii="Times New Roman" w:eastAsia="Times New Roman" w:hAnsi="Times New Roman" w:cs="FrankRuehl"/>
      <w:sz w:val="18"/>
    </w:rPr>
  </w:style>
  <w:style w:type="paragraph" w:customStyle="1" w:styleId="hebrew">
    <w:name w:val="hebrew"/>
    <w:basedOn w:val="a"/>
    <w:link w:val="hebrew0"/>
    <w:rsid w:val="00301992"/>
    <w:pPr>
      <w:widowControl/>
      <w:tabs>
        <w:tab w:val="left" w:pos="284"/>
      </w:tabs>
      <w:spacing w:line="280" w:lineRule="exact"/>
      <w:ind w:firstLine="284"/>
      <w:jc w:val="both"/>
    </w:pPr>
    <w:rPr>
      <w:sz w:val="19"/>
    </w:rPr>
  </w:style>
  <w:style w:type="character" w:customStyle="1" w:styleId="hebrew0">
    <w:name w:val="hebrew תו"/>
    <w:link w:val="hebrew"/>
    <w:rsid w:val="00301992"/>
    <w:rPr>
      <w:rFonts w:ascii="Times New Roman" w:eastAsia="Times New Roman" w:hAnsi="Times New Roman" w:cs="FrankRuehl"/>
      <w:sz w:val="19"/>
      <w:szCs w:val="24"/>
    </w:rPr>
  </w:style>
  <w:style w:type="paragraph" w:customStyle="1" w:styleId="title1">
    <w:name w:val="title1"/>
    <w:basedOn w:val="a"/>
    <w:link w:val="title10"/>
    <w:rsid w:val="00301992"/>
    <w:pPr>
      <w:tabs>
        <w:tab w:val="clear" w:pos="2040"/>
      </w:tabs>
      <w:spacing w:before="280" w:after="140" w:line="280" w:lineRule="exact"/>
      <w:ind w:left="284" w:hanging="284"/>
      <w:jc w:val="left"/>
    </w:pPr>
    <w:rPr>
      <w:i/>
      <w:sz w:val="22"/>
      <w:szCs w:val="28"/>
    </w:rPr>
  </w:style>
  <w:style w:type="character" w:customStyle="1" w:styleId="title10">
    <w:name w:val="title1 תו"/>
    <w:link w:val="title1"/>
    <w:rsid w:val="00301992"/>
    <w:rPr>
      <w:rFonts w:ascii="Times New Roman" w:eastAsia="Times New Roman" w:hAnsi="Times New Roman" w:cs="FrankRuehl"/>
      <w:i/>
      <w:szCs w:val="28"/>
    </w:rPr>
  </w:style>
  <w:style w:type="character" w:customStyle="1" w:styleId="10">
    <w:name w:val="כותרת 1 תו"/>
    <w:basedOn w:val="a0"/>
    <w:link w:val="1"/>
    <w:uiPriority w:val="9"/>
    <w:rsid w:val="004C72E5"/>
    <w:rPr>
      <w:rFonts w:asciiTheme="majorHAnsi" w:eastAsiaTheme="majorEastAsia" w:hAnsiTheme="majorHAnsi" w:cstheme="majorBidi"/>
      <w:color w:val="538135" w:themeColor="accent6" w:themeShade="BF"/>
      <w:sz w:val="40"/>
      <w:szCs w:val="4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E21-B70E-4B9E-83EB-DCC99733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13</Pages>
  <Words>3396</Words>
  <Characters>16985</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Rosenberg</dc:creator>
  <cp:keywords/>
  <dc:description/>
  <cp:lastModifiedBy>Roni Rosenberg</cp:lastModifiedBy>
  <cp:revision>6</cp:revision>
  <dcterms:created xsi:type="dcterms:W3CDTF">2022-01-11T15:59:00Z</dcterms:created>
  <dcterms:modified xsi:type="dcterms:W3CDTF">2022-01-16T10:21:00Z</dcterms:modified>
</cp:coreProperties>
</file>