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95DE" w14:textId="77777777" w:rsidR="00133B09" w:rsidRPr="00CE73E7" w:rsidRDefault="00133B09" w:rsidP="00133B09">
      <w:pPr>
        <w:pStyle w:val="Heading2"/>
        <w:rPr>
          <w:color w:val="000000"/>
          <w:lang w:val="en-US"/>
        </w:rPr>
      </w:pPr>
      <w:r w:rsidRPr="00CE73E7">
        <w:rPr>
          <w:rFonts w:ascii="Calibri Light" w:hAnsi="Calibri Light" w:cs="Calibri Light"/>
          <w:b/>
          <w:bCs/>
          <w:color w:val="2F5496"/>
          <w:szCs w:val="26"/>
          <w:lang w:val="en-US"/>
        </w:rPr>
        <w:t xml:space="preserve">The New Testament </w:t>
      </w:r>
      <w:r>
        <w:rPr>
          <w:rFonts w:ascii="Calibri Light" w:hAnsi="Calibri Light" w:cs="Calibri Light"/>
          <w:b/>
          <w:bCs/>
          <w:color w:val="2F5496"/>
          <w:szCs w:val="26"/>
          <w:lang w:val="en-US"/>
        </w:rPr>
        <w:t>- configuring</w:t>
      </w:r>
      <w:r w:rsidRPr="00CE73E7">
        <w:rPr>
          <w:rFonts w:ascii="Calibri Light" w:hAnsi="Calibri Light" w:cs="Calibri Light"/>
          <w:b/>
          <w:bCs/>
          <w:color w:val="2F5496"/>
          <w:szCs w:val="26"/>
          <w:lang w:val="en-US"/>
        </w:rPr>
        <w:t xml:space="preserve"> the beginnings of early Christianity</w:t>
      </w:r>
    </w:p>
    <w:p w14:paraId="55DA47E1" w14:textId="77777777" w:rsidR="00133B09" w:rsidRPr="00CE73E7" w:rsidRDefault="00133B09" w:rsidP="00133B09">
      <w:pPr>
        <w:pStyle w:val="NormalWeb"/>
        <w:spacing w:before="0" w:beforeAutospacing="0" w:after="0" w:afterAutospacing="0" w:line="259" w:lineRule="atLeast"/>
        <w:jc w:val="both"/>
        <w:rPr>
          <w:color w:val="000000"/>
          <w:lang w:val="en-US"/>
        </w:rPr>
      </w:pPr>
      <w:r w:rsidRPr="00CE73E7">
        <w:rPr>
          <w:color w:val="000000"/>
          <w:lang w:val="en-US"/>
        </w:rPr>
        <w:t> </w:t>
      </w:r>
    </w:p>
    <w:p w14:paraId="32046199" w14:textId="77777777" w:rsidR="00133B09" w:rsidRPr="00CE73E7" w:rsidRDefault="00133B09" w:rsidP="00133B09">
      <w:pPr>
        <w:pStyle w:val="NormalWeb"/>
        <w:spacing w:before="0" w:beforeAutospacing="0" w:after="0" w:afterAutospacing="0" w:line="259" w:lineRule="atLeast"/>
        <w:jc w:val="both"/>
        <w:rPr>
          <w:color w:val="000000"/>
          <w:lang w:val="en-US"/>
        </w:rPr>
      </w:pPr>
      <w:r w:rsidRPr="00CE73E7">
        <w:rPr>
          <w:color w:val="000000"/>
          <w:lang w:val="en-US"/>
        </w:rPr>
        <w:t xml:space="preserve">What </w:t>
      </w:r>
      <w:r>
        <w:rPr>
          <w:color w:val="000000"/>
          <w:lang w:val="en-US"/>
        </w:rPr>
        <w:t xml:space="preserve">design </w:t>
      </w:r>
      <w:r w:rsidRPr="00CE73E7">
        <w:rPr>
          <w:color w:val="000000"/>
          <w:lang w:val="en-US"/>
        </w:rPr>
        <w:t>of the beginnings of Christianity is conveyed to us in the text collection that is known to us today as the </w:t>
      </w:r>
      <w:r>
        <w:rPr>
          <w:color w:val="000000"/>
          <w:lang w:val="en-US"/>
        </w:rPr>
        <w:t>‘</w:t>
      </w:r>
      <w:r w:rsidRPr="00CE73E7">
        <w:rPr>
          <w:color w:val="000000"/>
          <w:lang w:val="en-US"/>
        </w:rPr>
        <w:t>New Testament</w:t>
      </w:r>
      <w:r>
        <w:rPr>
          <w:color w:val="000000"/>
          <w:lang w:val="en-US"/>
        </w:rPr>
        <w:t>’</w:t>
      </w:r>
      <w:r w:rsidRPr="00CE73E7">
        <w:rPr>
          <w:color w:val="000000"/>
          <w:lang w:val="en-US"/>
        </w:rPr>
        <w:t>?</w:t>
      </w:r>
    </w:p>
    <w:p w14:paraId="6D2102C5" w14:textId="685F609D" w:rsidR="00133B09" w:rsidRDefault="00133B09" w:rsidP="00133B09">
      <w:pPr>
        <w:pStyle w:val="NormalWeb"/>
        <w:spacing w:before="0" w:beforeAutospacing="0" w:after="0" w:afterAutospacing="0" w:line="259" w:lineRule="atLeast"/>
        <w:jc w:val="both"/>
        <w:rPr>
          <w:color w:val="000000"/>
          <w:lang w:val="en-US"/>
        </w:rPr>
      </w:pPr>
      <w:r w:rsidRPr="00CE73E7">
        <w:rPr>
          <w:color w:val="000000"/>
          <w:lang w:val="en-US"/>
        </w:rPr>
        <w:t>             </w:t>
      </w:r>
      <w:r>
        <w:rPr>
          <w:color w:val="000000"/>
          <w:lang w:val="en-US"/>
        </w:rPr>
        <w:t xml:space="preserve">In Irenaeus, but also all older NT manuscripts that we possess, the New Testament begins without preface – although prefaces to three individual gospels are preserved – straight with the first sub-collection of the Gospels. The order of the four Gospels within this sub-collection is less clear. Looking at Irenaeus, we have seen that he provides three different orderings, a </w:t>
      </w:r>
      <w:r w:rsidRPr="00CE73E7">
        <w:rPr>
          <w:color w:val="000000"/>
          <w:lang w:val="en-US"/>
        </w:rPr>
        <w:t>historical</w:t>
      </w:r>
      <w:r>
        <w:rPr>
          <w:color w:val="000000"/>
          <w:lang w:val="en-US"/>
        </w:rPr>
        <w:t>-chronological</w:t>
      </w:r>
      <w:r w:rsidRPr="00CE73E7">
        <w:rPr>
          <w:color w:val="000000"/>
          <w:lang w:val="en-US"/>
        </w:rPr>
        <w:t xml:space="preserve"> </w:t>
      </w:r>
      <w:r>
        <w:rPr>
          <w:color w:val="000000"/>
          <w:lang w:val="en-US"/>
        </w:rPr>
        <w:t xml:space="preserve">order </w:t>
      </w:r>
      <w:r w:rsidRPr="00CE73E7">
        <w:rPr>
          <w:color w:val="000000"/>
          <w:lang w:val="en-US"/>
        </w:rPr>
        <w:t>(</w:t>
      </w:r>
      <w:r w:rsidRPr="000611ED">
        <w:rPr>
          <w:i/>
          <w:color w:val="000000"/>
          <w:lang w:val="en-US"/>
        </w:rPr>
        <w:t>M</w:t>
      </w:r>
      <w:r>
        <w:rPr>
          <w:i/>
          <w:color w:val="000000"/>
          <w:lang w:val="en-US"/>
        </w:rPr>
        <w:t>att</w:t>
      </w:r>
      <w:r w:rsidRPr="00CE73E7">
        <w:rPr>
          <w:color w:val="000000"/>
          <w:lang w:val="en-US"/>
        </w:rPr>
        <w:t xml:space="preserve">, </w:t>
      </w:r>
      <w:r w:rsidRPr="000611ED">
        <w:rPr>
          <w:i/>
          <w:color w:val="000000"/>
          <w:lang w:val="en-US"/>
        </w:rPr>
        <w:t>Mk</w:t>
      </w:r>
      <w:r w:rsidRPr="00CE73E7">
        <w:rPr>
          <w:color w:val="000000"/>
          <w:lang w:val="en-US"/>
        </w:rPr>
        <w:t xml:space="preserve">, </w:t>
      </w:r>
      <w:r w:rsidRPr="000611ED">
        <w:rPr>
          <w:i/>
          <w:color w:val="000000"/>
          <w:lang w:val="en-US"/>
        </w:rPr>
        <w:t>Lk</w:t>
      </w:r>
      <w:r w:rsidRPr="00CE73E7">
        <w:rPr>
          <w:color w:val="000000"/>
          <w:lang w:val="en-US"/>
        </w:rPr>
        <w:t xml:space="preserve">, </w:t>
      </w:r>
      <w:r w:rsidRPr="000611ED">
        <w:rPr>
          <w:i/>
          <w:color w:val="000000"/>
          <w:lang w:val="en-US"/>
        </w:rPr>
        <w:t>Joh</w:t>
      </w:r>
      <w:r>
        <w:rPr>
          <w:i/>
          <w:color w:val="000000"/>
          <w:lang w:val="en-US"/>
        </w:rPr>
        <w:t>n</w:t>
      </w:r>
      <w:r w:rsidRPr="00CE73E7">
        <w:rPr>
          <w:color w:val="000000"/>
          <w:lang w:val="en-US"/>
        </w:rPr>
        <w:t>)</w:t>
      </w:r>
      <w:r>
        <w:rPr>
          <w:color w:val="000000"/>
          <w:lang w:val="en-US"/>
        </w:rPr>
        <w:t>,</w:t>
      </w:r>
      <w:r w:rsidRPr="00CE73E7">
        <w:rPr>
          <w:color w:val="000000"/>
          <w:lang w:val="en-US"/>
        </w:rPr>
        <w:t xml:space="preserve"> </w:t>
      </w:r>
      <w:r>
        <w:rPr>
          <w:color w:val="000000"/>
          <w:lang w:val="en-US"/>
        </w:rPr>
        <w:t xml:space="preserve">a </w:t>
      </w:r>
      <w:r w:rsidRPr="00CE73E7">
        <w:rPr>
          <w:color w:val="000000"/>
          <w:lang w:val="en-US"/>
        </w:rPr>
        <w:t xml:space="preserve">theological </w:t>
      </w:r>
      <w:r>
        <w:rPr>
          <w:color w:val="000000"/>
          <w:lang w:val="en-US"/>
        </w:rPr>
        <w:t xml:space="preserve">one </w:t>
      </w:r>
      <w:r w:rsidRPr="00CE73E7">
        <w:rPr>
          <w:color w:val="000000"/>
          <w:lang w:val="en-US"/>
        </w:rPr>
        <w:t>(</w:t>
      </w:r>
      <w:r>
        <w:rPr>
          <w:i/>
          <w:color w:val="000000"/>
          <w:lang w:val="en-US"/>
        </w:rPr>
        <w:t>John</w:t>
      </w:r>
      <w:r w:rsidRPr="00CE73E7">
        <w:rPr>
          <w:color w:val="000000"/>
          <w:lang w:val="en-US"/>
        </w:rPr>
        <w:t xml:space="preserve">, </w:t>
      </w:r>
      <w:r w:rsidRPr="000611ED">
        <w:rPr>
          <w:i/>
          <w:color w:val="000000"/>
          <w:lang w:val="en-US"/>
        </w:rPr>
        <w:t>Lk</w:t>
      </w:r>
      <w:r w:rsidRPr="00CE73E7">
        <w:rPr>
          <w:color w:val="000000"/>
          <w:lang w:val="en-US"/>
        </w:rPr>
        <w:t xml:space="preserve">, </w:t>
      </w:r>
      <w:r w:rsidRPr="000611ED">
        <w:rPr>
          <w:i/>
          <w:color w:val="000000"/>
          <w:lang w:val="en-US"/>
        </w:rPr>
        <w:t>M</w:t>
      </w:r>
      <w:r>
        <w:rPr>
          <w:i/>
          <w:color w:val="000000"/>
          <w:lang w:val="en-US"/>
        </w:rPr>
        <w:t>att</w:t>
      </w:r>
      <w:r w:rsidRPr="00CE73E7">
        <w:rPr>
          <w:color w:val="000000"/>
          <w:lang w:val="en-US"/>
        </w:rPr>
        <w:t xml:space="preserve">, </w:t>
      </w:r>
      <w:r w:rsidRPr="000611ED">
        <w:rPr>
          <w:i/>
          <w:color w:val="000000"/>
          <w:lang w:val="en-US"/>
        </w:rPr>
        <w:t>Mk</w:t>
      </w:r>
      <w:r w:rsidRPr="00CE73E7">
        <w:rPr>
          <w:color w:val="000000"/>
          <w:lang w:val="en-US"/>
        </w:rPr>
        <w:t xml:space="preserve">) </w:t>
      </w:r>
      <w:r>
        <w:rPr>
          <w:color w:val="000000"/>
          <w:lang w:val="en-US"/>
        </w:rPr>
        <w:t xml:space="preserve">and one which seemingly reflects the copy that he followed in book III of his </w:t>
      </w:r>
      <w:proofErr w:type="spellStart"/>
      <w:r>
        <w:rPr>
          <w:i/>
          <w:color w:val="000000"/>
          <w:lang w:val="en-US"/>
        </w:rPr>
        <w:t>Adversus</w:t>
      </w:r>
      <w:proofErr w:type="spellEnd"/>
      <w:r>
        <w:rPr>
          <w:i/>
          <w:color w:val="000000"/>
          <w:lang w:val="en-US"/>
        </w:rPr>
        <w:t xml:space="preserve"> </w:t>
      </w:r>
      <w:proofErr w:type="spellStart"/>
      <w:r>
        <w:rPr>
          <w:i/>
          <w:color w:val="000000"/>
          <w:lang w:val="en-US"/>
        </w:rPr>
        <w:t>haereses</w:t>
      </w:r>
      <w:proofErr w:type="spellEnd"/>
      <w:r>
        <w:rPr>
          <w:i/>
          <w:color w:val="000000"/>
          <w:lang w:val="en-US"/>
        </w:rPr>
        <w:t xml:space="preserve"> </w:t>
      </w:r>
      <w:r>
        <w:rPr>
          <w:color w:val="000000"/>
          <w:lang w:val="en-US"/>
        </w:rPr>
        <w:t>(</w:t>
      </w:r>
      <w:r>
        <w:rPr>
          <w:i/>
          <w:color w:val="000000"/>
          <w:lang w:val="en-US"/>
        </w:rPr>
        <w:t>Ma</w:t>
      </w:r>
      <w:r w:rsidR="00F734D6">
        <w:rPr>
          <w:i/>
          <w:color w:val="000000"/>
          <w:lang w:val="en-US"/>
        </w:rPr>
        <w:t>tt</w:t>
      </w:r>
      <w:r>
        <w:rPr>
          <w:color w:val="000000"/>
          <w:lang w:val="en-US"/>
        </w:rPr>
        <w:t xml:space="preserve">, </w:t>
      </w:r>
      <w:r>
        <w:rPr>
          <w:i/>
          <w:color w:val="000000"/>
          <w:lang w:val="en-US"/>
        </w:rPr>
        <w:t>Lk</w:t>
      </w:r>
      <w:r>
        <w:rPr>
          <w:color w:val="000000"/>
          <w:lang w:val="en-US"/>
        </w:rPr>
        <w:t xml:space="preserve">, </w:t>
      </w:r>
      <w:r>
        <w:rPr>
          <w:i/>
          <w:color w:val="000000"/>
          <w:lang w:val="en-US"/>
        </w:rPr>
        <w:t>Mk</w:t>
      </w:r>
      <w:r>
        <w:rPr>
          <w:color w:val="000000"/>
          <w:lang w:val="en-US"/>
        </w:rPr>
        <w:t xml:space="preserve">, </w:t>
      </w:r>
      <w:r>
        <w:rPr>
          <w:i/>
          <w:color w:val="000000"/>
          <w:lang w:val="en-US"/>
        </w:rPr>
        <w:t>John</w:t>
      </w:r>
      <w:r>
        <w:rPr>
          <w:color w:val="000000"/>
          <w:lang w:val="en-US"/>
        </w:rPr>
        <w:t>).</w:t>
      </w:r>
      <w:r w:rsidRPr="000611ED">
        <w:rPr>
          <w:rStyle w:val="FootnoteReference"/>
          <w:color w:val="000000"/>
          <w:lang w:val="en-US"/>
        </w:rPr>
        <w:footnoteReference w:id="1"/>
      </w:r>
      <w:r>
        <w:rPr>
          <w:i/>
          <w:color w:val="000000"/>
          <w:lang w:val="en-US"/>
        </w:rPr>
        <w:t xml:space="preserve"> </w:t>
      </w:r>
      <w:r>
        <w:rPr>
          <w:color w:val="000000"/>
          <w:lang w:val="en-US"/>
        </w:rPr>
        <w:t xml:space="preserve">This instability might be caused by the fact that Irenaeus might have been the first to combine the four Gospels in a physical collection (perhaps of several codices), though he might not have been satisfied or dogmatic with it. Even looking at the existing papyri and manuscript witnesses, they do not let us </w:t>
      </w:r>
      <w:r w:rsidRPr="00CE73E7">
        <w:rPr>
          <w:color w:val="000000"/>
          <w:lang w:val="en-US"/>
        </w:rPr>
        <w:t xml:space="preserve">determine </w:t>
      </w:r>
      <w:r>
        <w:rPr>
          <w:color w:val="000000"/>
          <w:lang w:val="en-US"/>
        </w:rPr>
        <w:t>a certain order of these Gospels that others would have followed</w:t>
      </w:r>
      <w:r w:rsidRPr="00CE73E7">
        <w:rPr>
          <w:color w:val="000000"/>
          <w:lang w:val="en-US"/>
        </w:rPr>
        <w:t>,</w:t>
      </w:r>
      <w:bookmarkStart w:id="0" w:name="_ftnref106"/>
      <w:bookmarkEnd w:id="0"/>
      <w:r w:rsidRPr="00094D5C">
        <w:rPr>
          <w:rStyle w:val="FootnoteReference"/>
        </w:rPr>
        <w:footnoteReference w:id="2"/>
      </w:r>
      <w:r w:rsidRPr="00CE73E7">
        <w:rPr>
          <w:color w:val="000000"/>
          <w:lang w:val="en-US"/>
        </w:rPr>
        <w:t xml:space="preserve"> even if the two oldest full cod</w:t>
      </w:r>
      <w:r>
        <w:rPr>
          <w:color w:val="000000"/>
          <w:lang w:val="en-US"/>
        </w:rPr>
        <w:t>ic</w:t>
      </w:r>
      <w:r w:rsidRPr="00CE73E7">
        <w:rPr>
          <w:color w:val="000000"/>
          <w:lang w:val="en-US"/>
        </w:rPr>
        <w:t xml:space="preserve">es offer </w:t>
      </w:r>
      <w:r>
        <w:rPr>
          <w:color w:val="000000"/>
          <w:lang w:val="en-US"/>
        </w:rPr>
        <w:t>Irenaeus’</w:t>
      </w:r>
      <w:r w:rsidRPr="00CE73E7">
        <w:rPr>
          <w:color w:val="000000"/>
          <w:lang w:val="en-US"/>
        </w:rPr>
        <w:t xml:space="preserve"> historical-chronological order,</w:t>
      </w:r>
      <w:bookmarkStart w:id="1" w:name="_ftnref107"/>
      <w:bookmarkEnd w:id="1"/>
      <w:r w:rsidRPr="00094D5C">
        <w:rPr>
          <w:rStyle w:val="FootnoteReference"/>
        </w:rPr>
        <w:footnoteReference w:id="3"/>
      </w:r>
      <w:r w:rsidRPr="00CE73E7">
        <w:rPr>
          <w:color w:val="000000"/>
          <w:lang w:val="en-US"/>
        </w:rPr>
        <w:t xml:space="preserve"> </w:t>
      </w:r>
      <w:r>
        <w:rPr>
          <w:color w:val="000000"/>
          <w:lang w:val="en-US"/>
        </w:rPr>
        <w:t xml:space="preserve">whereas others give them in </w:t>
      </w:r>
      <w:r w:rsidRPr="00CE73E7">
        <w:rPr>
          <w:color w:val="000000"/>
          <w:lang w:val="en-US"/>
        </w:rPr>
        <w:t>the theological-hierarchical order</w:t>
      </w:r>
      <w:r>
        <w:rPr>
          <w:color w:val="000000"/>
          <w:lang w:val="en-US"/>
        </w:rPr>
        <w:t>, but</w:t>
      </w:r>
      <w:r w:rsidRPr="00CE73E7">
        <w:rPr>
          <w:color w:val="000000"/>
          <w:lang w:val="en-US"/>
        </w:rPr>
        <w:t xml:space="preserve"> still other arrangements</w:t>
      </w:r>
      <w:r>
        <w:rPr>
          <w:color w:val="000000"/>
          <w:lang w:val="en-US"/>
        </w:rPr>
        <w:t xml:space="preserve"> can be found</w:t>
      </w:r>
      <w:r w:rsidRPr="00CE73E7">
        <w:rPr>
          <w:color w:val="000000"/>
          <w:lang w:val="en-US"/>
        </w:rPr>
        <w:t>,</w:t>
      </w:r>
      <w:bookmarkStart w:id="2" w:name="_ftnref108"/>
      <w:bookmarkEnd w:id="2"/>
      <w:r w:rsidRPr="00094D5C">
        <w:rPr>
          <w:rStyle w:val="FootnoteReference"/>
        </w:rPr>
        <w:footnoteReference w:id="4"/>
      </w:r>
      <w:r w:rsidRPr="00CE73E7">
        <w:rPr>
          <w:color w:val="000000"/>
          <w:lang w:val="en-US"/>
        </w:rPr>
        <w:t xml:space="preserve"> and </w:t>
      </w:r>
      <w:r>
        <w:rPr>
          <w:color w:val="000000"/>
          <w:lang w:val="en-US"/>
        </w:rPr>
        <w:t xml:space="preserve">they do not seem to have been fixed and were </w:t>
      </w:r>
      <w:r w:rsidRPr="00CE73E7">
        <w:rPr>
          <w:color w:val="000000"/>
          <w:lang w:val="en-US"/>
        </w:rPr>
        <w:t>already controversial in antiquity</w:t>
      </w:r>
      <w:bookmarkStart w:id="3" w:name="_ftnref109"/>
      <w:bookmarkEnd w:id="3"/>
      <w:r w:rsidRPr="00094D5C">
        <w:rPr>
          <w:rStyle w:val="FootnoteReference"/>
        </w:rPr>
        <w:footnoteReference w:id="5"/>
      </w:r>
      <w:r w:rsidRPr="000611ED">
        <w:rPr>
          <w:lang w:val="en-US"/>
        </w:rPr>
        <w:t xml:space="preserve"> </w:t>
      </w:r>
      <w:r w:rsidRPr="00CE73E7">
        <w:rPr>
          <w:color w:val="000000"/>
          <w:lang w:val="en-US"/>
        </w:rPr>
        <w:t xml:space="preserve">- </w:t>
      </w:r>
      <w:r>
        <w:rPr>
          <w:color w:val="000000"/>
          <w:lang w:val="en-US"/>
        </w:rPr>
        <w:t xml:space="preserve">in any case, however, </w:t>
      </w:r>
      <w:r w:rsidRPr="00CE73E7">
        <w:rPr>
          <w:color w:val="000000"/>
          <w:lang w:val="en-US"/>
        </w:rPr>
        <w:t>the fourfold biography of Jesus of Nazareth, with which the collection</w:t>
      </w:r>
      <w:r>
        <w:rPr>
          <w:color w:val="000000"/>
          <w:lang w:val="en-US"/>
        </w:rPr>
        <w:t xml:space="preserve"> of the New Testament</w:t>
      </w:r>
      <w:r w:rsidRPr="00CE73E7">
        <w:rPr>
          <w:color w:val="000000"/>
          <w:lang w:val="en-US"/>
        </w:rPr>
        <w:t xml:space="preserve"> begins</w:t>
      </w:r>
      <w:r>
        <w:rPr>
          <w:color w:val="000000"/>
          <w:lang w:val="en-US"/>
        </w:rPr>
        <w:t>,</w:t>
      </w:r>
      <w:r w:rsidRPr="00CE73E7">
        <w:rPr>
          <w:color w:val="000000"/>
          <w:lang w:val="en-US"/>
        </w:rPr>
        <w:t xml:space="preserve"> without the name of an </w:t>
      </w:r>
      <w:r>
        <w:rPr>
          <w:color w:val="000000"/>
          <w:lang w:val="en-US"/>
        </w:rPr>
        <w:t xml:space="preserve">author or </w:t>
      </w:r>
      <w:r w:rsidRPr="00CE73E7">
        <w:rPr>
          <w:color w:val="000000"/>
          <w:lang w:val="en-US"/>
        </w:rPr>
        <w:t xml:space="preserve">editor, makes it abundantly clear to the readership that it is primarily </w:t>
      </w:r>
      <w:r>
        <w:rPr>
          <w:color w:val="000000"/>
          <w:lang w:val="en-US"/>
        </w:rPr>
        <w:t xml:space="preserve">an assemblage of witnesses </w:t>
      </w:r>
      <w:r w:rsidRPr="00CE73E7">
        <w:rPr>
          <w:color w:val="000000"/>
          <w:lang w:val="en-US"/>
        </w:rPr>
        <w:t>about the protagonist of this biography. </w:t>
      </w:r>
      <w:r>
        <w:rPr>
          <w:color w:val="000000"/>
          <w:lang w:val="en-US"/>
        </w:rPr>
        <w:t xml:space="preserve">It is </w:t>
      </w:r>
      <w:r w:rsidRPr="00CE73E7">
        <w:rPr>
          <w:color w:val="000000"/>
          <w:lang w:val="en-US"/>
        </w:rPr>
        <w:t>Jesus</w:t>
      </w:r>
      <w:r>
        <w:rPr>
          <w:color w:val="000000"/>
          <w:lang w:val="en-US"/>
        </w:rPr>
        <w:t xml:space="preserve"> of Nazareth, especially the last year or years of his adult</w:t>
      </w:r>
      <w:r w:rsidRPr="00CE73E7">
        <w:rPr>
          <w:color w:val="000000"/>
          <w:lang w:val="en-US"/>
        </w:rPr>
        <w:t xml:space="preserve"> life</w:t>
      </w:r>
      <w:r>
        <w:rPr>
          <w:color w:val="000000"/>
          <w:lang w:val="en-US"/>
        </w:rPr>
        <w:t xml:space="preserve">, who is described and about whom the first sub-section brings together </w:t>
      </w:r>
      <w:r w:rsidRPr="00CE73E7">
        <w:rPr>
          <w:color w:val="000000"/>
          <w:lang w:val="en-US"/>
        </w:rPr>
        <w:t xml:space="preserve">four </w:t>
      </w:r>
      <w:r>
        <w:rPr>
          <w:color w:val="000000"/>
          <w:lang w:val="en-US"/>
        </w:rPr>
        <w:t xml:space="preserve">narratives that are </w:t>
      </w:r>
      <w:r w:rsidRPr="00CE73E7">
        <w:rPr>
          <w:color w:val="000000"/>
          <w:lang w:val="en-US"/>
        </w:rPr>
        <w:t>structurally and literarily similar, albeit with minor and major differences and contradictions. Th</w:t>
      </w:r>
      <w:r>
        <w:rPr>
          <w:color w:val="000000"/>
          <w:lang w:val="en-US"/>
        </w:rPr>
        <w:t>is opening sub-section dominates the New Testament, compared to which the rest of the New Testament seems like an addition which narrates what has happened after the death of the Protagonist.</w:t>
      </w:r>
      <w:r w:rsidRPr="00CE73E7">
        <w:rPr>
          <w:color w:val="000000"/>
          <w:lang w:val="en-US"/>
        </w:rPr>
        <w:t xml:space="preserve"> </w:t>
      </w:r>
      <w:r>
        <w:rPr>
          <w:color w:val="000000"/>
          <w:lang w:val="en-US"/>
        </w:rPr>
        <w:t xml:space="preserve">In this regard, Irenaeus’ collection is characterized by a massive shift compared to the balanced account of </w:t>
      </w:r>
      <w:proofErr w:type="spellStart"/>
      <w:r>
        <w:rPr>
          <w:color w:val="000000"/>
          <w:lang w:val="en-US"/>
        </w:rPr>
        <w:t>Marcion</w:t>
      </w:r>
      <w:proofErr w:type="spellEnd"/>
      <w:r>
        <w:rPr>
          <w:color w:val="000000"/>
          <w:lang w:val="en-US"/>
        </w:rPr>
        <w:t xml:space="preserve"> where the two sub-sections of the ‘</w:t>
      </w:r>
      <w:proofErr w:type="spellStart"/>
      <w:r>
        <w:rPr>
          <w:color w:val="000000"/>
          <w:lang w:val="en-US"/>
        </w:rPr>
        <w:t>Euangelion</w:t>
      </w:r>
      <w:proofErr w:type="spellEnd"/>
      <w:r>
        <w:rPr>
          <w:color w:val="000000"/>
          <w:lang w:val="en-US"/>
        </w:rPr>
        <w:t xml:space="preserve">’ or the </w:t>
      </w:r>
      <w:r w:rsidRPr="00EC0E84">
        <w:rPr>
          <w:i/>
          <w:color w:val="000000"/>
          <w:lang w:val="en-US"/>
        </w:rPr>
        <w:t>Gospel</w:t>
      </w:r>
      <w:r>
        <w:rPr>
          <w:color w:val="000000"/>
          <w:lang w:val="en-US"/>
        </w:rPr>
        <w:t xml:space="preserve"> and the ‘Apostolos’ or the </w:t>
      </w:r>
      <w:r w:rsidRPr="00EC0E84">
        <w:rPr>
          <w:i/>
          <w:color w:val="000000"/>
          <w:lang w:val="en-US"/>
        </w:rPr>
        <w:t>Letters of Paul</w:t>
      </w:r>
      <w:r>
        <w:rPr>
          <w:color w:val="000000"/>
          <w:lang w:val="en-US"/>
        </w:rPr>
        <w:t xml:space="preserve">, are roughly equal in length and weight. </w:t>
      </w:r>
    </w:p>
    <w:p w14:paraId="267437C1" w14:textId="77777777" w:rsidR="00133B09" w:rsidRPr="00CE73E7" w:rsidRDefault="00133B09" w:rsidP="00133B09">
      <w:pPr>
        <w:pStyle w:val="NormalWeb"/>
        <w:spacing w:before="0" w:beforeAutospacing="0" w:after="0" w:afterAutospacing="0" w:line="259" w:lineRule="atLeast"/>
        <w:ind w:firstLine="708"/>
        <w:jc w:val="both"/>
        <w:rPr>
          <w:color w:val="000000"/>
          <w:lang w:val="en-US"/>
        </w:rPr>
      </w:pPr>
      <w:r>
        <w:rPr>
          <w:color w:val="000000"/>
          <w:lang w:val="en-US"/>
        </w:rPr>
        <w:t>Irenaeus has, however, not only given more weight to Jesus as protagonist of the New Testament, the different orderings of the four narratives give, as we have already indicated, different answers to the questions of the beginnings of Christianity.</w:t>
      </w:r>
      <w:r w:rsidRPr="00CE73E7">
        <w:rPr>
          <w:color w:val="000000"/>
          <w:lang w:val="en-US"/>
        </w:rPr>
        <w:t xml:space="preserve"> </w:t>
      </w:r>
      <w:r>
        <w:rPr>
          <w:color w:val="000000"/>
          <w:lang w:val="en-US"/>
        </w:rPr>
        <w:t xml:space="preserve">It is not without </w:t>
      </w:r>
      <w:r w:rsidRPr="00CE73E7">
        <w:rPr>
          <w:color w:val="000000"/>
          <w:lang w:val="en-US"/>
        </w:rPr>
        <w:t>significance for the read</w:t>
      </w:r>
      <w:r>
        <w:rPr>
          <w:color w:val="000000"/>
          <w:lang w:val="en-US"/>
        </w:rPr>
        <w:t>ers</w:t>
      </w:r>
      <w:r w:rsidRPr="00CE73E7">
        <w:rPr>
          <w:color w:val="000000"/>
          <w:lang w:val="en-US"/>
        </w:rPr>
        <w:t xml:space="preserve"> and </w:t>
      </w:r>
      <w:r>
        <w:rPr>
          <w:color w:val="000000"/>
          <w:lang w:val="en-US"/>
        </w:rPr>
        <w:t xml:space="preserve">their </w:t>
      </w:r>
      <w:r w:rsidRPr="00CE73E7">
        <w:rPr>
          <w:color w:val="000000"/>
          <w:lang w:val="en-US"/>
        </w:rPr>
        <w:t>interpretation</w:t>
      </w:r>
      <w:r>
        <w:rPr>
          <w:color w:val="000000"/>
          <w:lang w:val="en-US"/>
        </w:rPr>
        <w:t xml:space="preserve"> which of the Gospels first introduces to Jesus’ life and what resulted from it</w:t>
      </w:r>
      <w:r w:rsidRPr="00CE73E7">
        <w:rPr>
          <w:color w:val="000000"/>
          <w:lang w:val="en-US"/>
        </w:rPr>
        <w:t>.</w:t>
      </w:r>
      <w:r>
        <w:rPr>
          <w:color w:val="000000"/>
          <w:lang w:val="en-US"/>
        </w:rPr>
        <w:t xml:space="preserve"> And w</w:t>
      </w:r>
      <w:r w:rsidRPr="00CE73E7">
        <w:rPr>
          <w:color w:val="000000"/>
          <w:lang w:val="en-US"/>
        </w:rPr>
        <w:t xml:space="preserve">hat does it mean for </w:t>
      </w:r>
      <w:r>
        <w:rPr>
          <w:color w:val="000000"/>
          <w:lang w:val="en-US"/>
        </w:rPr>
        <w:t xml:space="preserve">understanding </w:t>
      </w:r>
      <w:r w:rsidRPr="00CE73E7">
        <w:rPr>
          <w:color w:val="000000"/>
          <w:lang w:val="en-US"/>
        </w:rPr>
        <w:t xml:space="preserve">the beginnings of Christianity when one reads the New Testament with Irenaeus and Augustine through rather </w:t>
      </w:r>
      <w:r w:rsidRPr="00CE73E7">
        <w:rPr>
          <w:color w:val="000000"/>
          <w:lang w:val="en-US"/>
        </w:rPr>
        <w:lastRenderedPageBreak/>
        <w:t xml:space="preserve">historical glasses, in which the Gospels </w:t>
      </w:r>
      <w:r>
        <w:rPr>
          <w:color w:val="000000"/>
          <w:lang w:val="en-US"/>
        </w:rPr>
        <w:t xml:space="preserve">are given in the order of </w:t>
      </w:r>
      <w:r w:rsidRPr="00222638">
        <w:rPr>
          <w:i/>
          <w:color w:val="000000"/>
          <w:lang w:val="en-US"/>
        </w:rPr>
        <w:t>M</w:t>
      </w:r>
      <w:r>
        <w:rPr>
          <w:i/>
          <w:color w:val="000000"/>
          <w:lang w:val="en-US"/>
        </w:rPr>
        <w:t>att</w:t>
      </w:r>
      <w:r w:rsidRPr="00CE73E7">
        <w:rPr>
          <w:color w:val="000000"/>
          <w:lang w:val="en-US"/>
        </w:rPr>
        <w:t xml:space="preserve">, </w:t>
      </w:r>
      <w:r w:rsidRPr="00222638">
        <w:rPr>
          <w:i/>
          <w:color w:val="000000"/>
          <w:lang w:val="en-US"/>
        </w:rPr>
        <w:t>Mk</w:t>
      </w:r>
      <w:r w:rsidRPr="00CE73E7">
        <w:rPr>
          <w:color w:val="000000"/>
          <w:lang w:val="en-US"/>
        </w:rPr>
        <w:t xml:space="preserve">, </w:t>
      </w:r>
      <w:r w:rsidRPr="00222638">
        <w:rPr>
          <w:i/>
          <w:color w:val="000000"/>
          <w:lang w:val="en-US"/>
        </w:rPr>
        <w:t>Lk</w:t>
      </w:r>
      <w:r>
        <w:rPr>
          <w:color w:val="000000"/>
          <w:lang w:val="en-US"/>
        </w:rPr>
        <w:t xml:space="preserve"> and</w:t>
      </w:r>
      <w:r w:rsidRPr="00CE73E7">
        <w:rPr>
          <w:color w:val="000000"/>
          <w:lang w:val="en-US"/>
        </w:rPr>
        <w:t xml:space="preserve"> </w:t>
      </w:r>
      <w:r w:rsidRPr="00222638">
        <w:rPr>
          <w:i/>
          <w:color w:val="000000"/>
          <w:lang w:val="en-US"/>
        </w:rPr>
        <w:t>Joh</w:t>
      </w:r>
      <w:r>
        <w:rPr>
          <w:i/>
          <w:color w:val="000000"/>
          <w:lang w:val="en-US"/>
        </w:rPr>
        <w:t>n</w:t>
      </w:r>
      <w:r w:rsidRPr="00CE73E7">
        <w:rPr>
          <w:color w:val="000000"/>
          <w:lang w:val="en-US"/>
        </w:rPr>
        <w:t>, while not only Irenaeus</w:t>
      </w:r>
      <w:r>
        <w:rPr>
          <w:color w:val="000000"/>
          <w:lang w:val="en-US"/>
        </w:rPr>
        <w:t xml:space="preserve"> also suggested to start with </w:t>
      </w:r>
      <w:r w:rsidRPr="00222638">
        <w:rPr>
          <w:i/>
          <w:color w:val="000000"/>
          <w:lang w:val="en-US"/>
        </w:rPr>
        <w:t>John</w:t>
      </w:r>
      <w:r w:rsidRPr="00CE73E7">
        <w:rPr>
          <w:color w:val="000000"/>
          <w:lang w:val="en-US"/>
        </w:rPr>
        <w:t xml:space="preserve">, </w:t>
      </w:r>
      <w:r>
        <w:rPr>
          <w:color w:val="000000"/>
          <w:lang w:val="en-US"/>
        </w:rPr>
        <w:t xml:space="preserve">as apparently </w:t>
      </w:r>
      <w:r w:rsidRPr="00CE73E7">
        <w:rPr>
          <w:color w:val="000000"/>
          <w:lang w:val="en-US"/>
        </w:rPr>
        <w:t xml:space="preserve">Tertullian and presumably </w:t>
      </w:r>
      <w:r>
        <w:rPr>
          <w:color w:val="000000"/>
          <w:lang w:val="en-US"/>
        </w:rPr>
        <w:t>o</w:t>
      </w:r>
      <w:r w:rsidRPr="00CE73E7">
        <w:rPr>
          <w:color w:val="000000"/>
          <w:lang w:val="en-US"/>
        </w:rPr>
        <w:t xml:space="preserve">ther readers, such as some Valentinians, </w:t>
      </w:r>
      <w:r>
        <w:rPr>
          <w:color w:val="000000"/>
          <w:lang w:val="en-US"/>
        </w:rPr>
        <w:t xml:space="preserve">did who </w:t>
      </w:r>
      <w:r w:rsidRPr="00CE73E7">
        <w:rPr>
          <w:color w:val="000000"/>
          <w:lang w:val="en-US"/>
        </w:rPr>
        <w:t>also </w:t>
      </w:r>
      <w:proofErr w:type="gramStart"/>
      <w:r w:rsidRPr="00CE73E7">
        <w:rPr>
          <w:color w:val="000000"/>
          <w:lang w:val="en-US"/>
        </w:rPr>
        <w:t>preferred</w:t>
      </w:r>
      <w:proofErr w:type="gramEnd"/>
      <w:r w:rsidRPr="00CE73E7">
        <w:rPr>
          <w:color w:val="000000"/>
          <w:lang w:val="en-US"/>
        </w:rPr>
        <w:t> the theological-hierarchical order. </w:t>
      </w:r>
      <w:r>
        <w:rPr>
          <w:color w:val="000000"/>
          <w:lang w:val="en-US"/>
        </w:rPr>
        <w:t>Or w</w:t>
      </w:r>
      <w:r w:rsidRPr="00CE73E7">
        <w:rPr>
          <w:color w:val="000000"/>
          <w:lang w:val="en-US"/>
        </w:rPr>
        <w:t xml:space="preserve">hat </w:t>
      </w:r>
      <w:r>
        <w:rPr>
          <w:color w:val="000000"/>
          <w:lang w:val="en-US"/>
        </w:rPr>
        <w:t xml:space="preserve">results from the combination of the accounts of the two apostles </w:t>
      </w:r>
      <w:r w:rsidRPr="00222638">
        <w:rPr>
          <w:color w:val="000000"/>
          <w:lang w:val="en-US"/>
        </w:rPr>
        <w:t>John</w:t>
      </w:r>
      <w:r>
        <w:rPr>
          <w:i/>
          <w:color w:val="000000"/>
          <w:lang w:val="en-US"/>
        </w:rPr>
        <w:t xml:space="preserve"> </w:t>
      </w:r>
      <w:r w:rsidRPr="00CE73E7">
        <w:rPr>
          <w:color w:val="000000"/>
          <w:lang w:val="en-US"/>
        </w:rPr>
        <w:t xml:space="preserve">and </w:t>
      </w:r>
      <w:r w:rsidRPr="00222638">
        <w:rPr>
          <w:color w:val="000000"/>
          <w:lang w:val="en-US"/>
        </w:rPr>
        <w:t>Matthew</w:t>
      </w:r>
      <w:r>
        <w:rPr>
          <w:i/>
          <w:color w:val="000000"/>
          <w:lang w:val="en-US"/>
        </w:rPr>
        <w:t xml:space="preserve"> </w:t>
      </w:r>
      <w:r>
        <w:rPr>
          <w:color w:val="000000"/>
          <w:lang w:val="en-US"/>
        </w:rPr>
        <w:t xml:space="preserve">which are </w:t>
      </w:r>
      <w:r w:rsidRPr="00CE73E7">
        <w:rPr>
          <w:color w:val="000000"/>
          <w:lang w:val="en-US"/>
        </w:rPr>
        <w:t xml:space="preserve">followed by </w:t>
      </w:r>
      <w:r>
        <w:rPr>
          <w:color w:val="000000"/>
          <w:lang w:val="en-US"/>
        </w:rPr>
        <w:t xml:space="preserve">the writings of the pupils of the apostles Paul and Peter, </w:t>
      </w:r>
      <w:proofErr w:type="gramStart"/>
      <w:r w:rsidRPr="00222638">
        <w:rPr>
          <w:color w:val="000000"/>
          <w:lang w:val="en-US"/>
        </w:rPr>
        <w:t>Luke</w:t>
      </w:r>
      <w:proofErr w:type="gramEnd"/>
      <w:r w:rsidRPr="00CE73E7">
        <w:rPr>
          <w:color w:val="000000"/>
          <w:lang w:val="en-US"/>
        </w:rPr>
        <w:t xml:space="preserve"> and Mark, or in the reverse order </w:t>
      </w:r>
      <w:r>
        <w:rPr>
          <w:color w:val="000000"/>
          <w:lang w:val="en-US"/>
        </w:rPr>
        <w:t xml:space="preserve">of </w:t>
      </w:r>
      <w:r w:rsidRPr="00CE73E7">
        <w:rPr>
          <w:color w:val="000000"/>
          <w:lang w:val="en-US"/>
        </w:rPr>
        <w:t>Mark and Luke? Even if I cannot pursue these questions further at this point, one would wish that New Testament scholars would not only devote themselves</w:t>
      </w:r>
      <w:r>
        <w:rPr>
          <w:color w:val="000000"/>
          <w:lang w:val="en-US"/>
        </w:rPr>
        <w:t xml:space="preserve"> </w:t>
      </w:r>
      <w:r w:rsidRPr="00CE73E7">
        <w:rPr>
          <w:color w:val="000000"/>
          <w:lang w:val="en-US"/>
        </w:rPr>
        <w:t>to</w:t>
      </w:r>
      <w:r>
        <w:rPr>
          <w:color w:val="000000"/>
          <w:lang w:val="en-US"/>
        </w:rPr>
        <w:t xml:space="preserve"> studying </w:t>
      </w:r>
      <w:r w:rsidRPr="00CE73E7">
        <w:rPr>
          <w:color w:val="000000"/>
          <w:lang w:val="en-US"/>
        </w:rPr>
        <w:t>individual</w:t>
      </w:r>
      <w:r>
        <w:rPr>
          <w:color w:val="000000"/>
          <w:lang w:val="en-US"/>
        </w:rPr>
        <w:t xml:space="preserve"> </w:t>
      </w:r>
      <w:r w:rsidRPr="00CE73E7">
        <w:rPr>
          <w:color w:val="000000"/>
          <w:lang w:val="en-US"/>
        </w:rPr>
        <w:t xml:space="preserve">Gospels, but also to the </w:t>
      </w:r>
      <w:r>
        <w:rPr>
          <w:color w:val="000000"/>
          <w:lang w:val="en-US"/>
        </w:rPr>
        <w:t>earliest</w:t>
      </w:r>
      <w:r w:rsidRPr="00CE73E7">
        <w:rPr>
          <w:color w:val="000000"/>
          <w:lang w:val="en-US"/>
        </w:rPr>
        <w:t xml:space="preserve"> collections and their various arrangements.</w:t>
      </w:r>
    </w:p>
    <w:p w14:paraId="538BA813" w14:textId="77777777" w:rsidR="00133B09" w:rsidRPr="00CE73E7" w:rsidRDefault="00133B09" w:rsidP="00133B09">
      <w:pPr>
        <w:pStyle w:val="NormalWeb"/>
        <w:spacing w:before="0" w:beforeAutospacing="0" w:after="0" w:afterAutospacing="0" w:line="259" w:lineRule="atLeast"/>
        <w:jc w:val="both"/>
        <w:rPr>
          <w:color w:val="000000"/>
          <w:lang w:val="en-US"/>
        </w:rPr>
      </w:pPr>
      <w:r w:rsidRPr="00CE73E7">
        <w:rPr>
          <w:color w:val="000000"/>
          <w:lang w:val="en-US"/>
        </w:rPr>
        <w:t xml:space="preserve">              Instead, </w:t>
      </w:r>
      <w:r>
        <w:rPr>
          <w:color w:val="000000"/>
          <w:lang w:val="en-US"/>
        </w:rPr>
        <w:t xml:space="preserve">scholars of </w:t>
      </w:r>
      <w:r w:rsidRPr="00CE73E7">
        <w:rPr>
          <w:color w:val="000000"/>
          <w:lang w:val="en-US"/>
        </w:rPr>
        <w:t>New Testament studies</w:t>
      </w:r>
      <w:r>
        <w:rPr>
          <w:color w:val="000000"/>
          <w:lang w:val="en-US"/>
        </w:rPr>
        <w:t xml:space="preserve"> focus on</w:t>
      </w:r>
      <w:r w:rsidRPr="00CE73E7">
        <w:rPr>
          <w:color w:val="000000"/>
          <w:lang w:val="en-US"/>
        </w:rPr>
        <w:t xml:space="preserve"> </w:t>
      </w:r>
      <w:r>
        <w:rPr>
          <w:color w:val="000000"/>
          <w:lang w:val="en-US"/>
        </w:rPr>
        <w:t xml:space="preserve">minute </w:t>
      </w:r>
      <w:r w:rsidRPr="00CE73E7">
        <w:rPr>
          <w:color w:val="000000"/>
          <w:lang w:val="en-US"/>
        </w:rPr>
        <w:t>problems</w:t>
      </w:r>
      <w:r>
        <w:rPr>
          <w:color w:val="000000"/>
          <w:lang w:val="en-US"/>
        </w:rPr>
        <w:t>, perhaps</w:t>
      </w:r>
      <w:r w:rsidRPr="00CE73E7">
        <w:rPr>
          <w:color w:val="000000"/>
          <w:lang w:val="en-US"/>
        </w:rPr>
        <w:t xml:space="preserve"> because </w:t>
      </w:r>
      <w:r>
        <w:rPr>
          <w:color w:val="000000"/>
          <w:lang w:val="en-US"/>
        </w:rPr>
        <w:t xml:space="preserve">the explosion of monographs, encyclopedias, dictionaries, commentary series, articles and doctoral thesis are impossible to manage for any individual in this world. Even if methodological questions are raised and research topics dealt with that touch on different writings books of the New Testament, rarely is the New Testament seen as an entity or its sub-sections the object of a study. We only need to inspect </w:t>
      </w:r>
      <w:r w:rsidRPr="00CE73E7">
        <w:rPr>
          <w:color w:val="000000"/>
          <w:lang w:val="en-US"/>
        </w:rPr>
        <w:t xml:space="preserve">the structure of the annual meetings of the </w:t>
      </w:r>
      <w:r>
        <w:rPr>
          <w:color w:val="000000"/>
          <w:lang w:val="en-US"/>
        </w:rPr>
        <w:t>world greatest scholarly gathering, of the ‘</w:t>
      </w:r>
      <w:r w:rsidRPr="00CE73E7">
        <w:rPr>
          <w:color w:val="000000"/>
          <w:lang w:val="en-US"/>
        </w:rPr>
        <w:t>Society of Biblical Literature</w:t>
      </w:r>
      <w:r>
        <w:rPr>
          <w:color w:val="000000"/>
          <w:lang w:val="en-US"/>
        </w:rPr>
        <w:t>’</w:t>
      </w:r>
      <w:r w:rsidRPr="00CE73E7">
        <w:rPr>
          <w:color w:val="000000"/>
          <w:lang w:val="en-US"/>
        </w:rPr>
        <w:t xml:space="preserve">, </w:t>
      </w:r>
      <w:r>
        <w:rPr>
          <w:color w:val="000000"/>
          <w:lang w:val="en-US"/>
        </w:rPr>
        <w:t>to sense that New Testament Studies have become a field of over-</w:t>
      </w:r>
      <w:r w:rsidRPr="00CE73E7">
        <w:rPr>
          <w:color w:val="000000"/>
          <w:lang w:val="en-US"/>
        </w:rPr>
        <w:t>speciali</w:t>
      </w:r>
      <w:r>
        <w:rPr>
          <w:color w:val="000000"/>
          <w:lang w:val="en-US"/>
        </w:rPr>
        <w:t>sms, where in different sections</w:t>
      </w:r>
      <w:r w:rsidRPr="00CE73E7">
        <w:rPr>
          <w:color w:val="000000"/>
          <w:lang w:val="en-US"/>
        </w:rPr>
        <w:t xml:space="preserve"> individual </w:t>
      </w:r>
      <w:r w:rsidRPr="002E567A">
        <w:rPr>
          <w:i/>
          <w:color w:val="000000"/>
          <w:lang w:val="en-US"/>
        </w:rPr>
        <w:t>Gospels</w:t>
      </w:r>
      <w:r w:rsidRPr="00CE73E7">
        <w:rPr>
          <w:color w:val="000000"/>
          <w:lang w:val="en-US"/>
        </w:rPr>
        <w:t xml:space="preserve"> </w:t>
      </w:r>
      <w:r>
        <w:rPr>
          <w:color w:val="000000"/>
          <w:lang w:val="en-US"/>
        </w:rPr>
        <w:t xml:space="preserve">are dealt with, the different </w:t>
      </w:r>
      <w:r w:rsidRPr="002E567A">
        <w:rPr>
          <w:i/>
          <w:color w:val="000000"/>
          <w:lang w:val="en-US"/>
        </w:rPr>
        <w:t>Letters of Paul</w:t>
      </w:r>
      <w:r w:rsidRPr="00CE73E7">
        <w:rPr>
          <w:color w:val="000000"/>
          <w:lang w:val="en-US"/>
        </w:rPr>
        <w:t>, etc. </w:t>
      </w:r>
      <w:r>
        <w:rPr>
          <w:color w:val="000000"/>
          <w:lang w:val="en-US"/>
        </w:rPr>
        <w:t xml:space="preserve">There are </w:t>
      </w:r>
      <w:r w:rsidRPr="00CE73E7">
        <w:rPr>
          <w:color w:val="000000"/>
          <w:lang w:val="en-US"/>
        </w:rPr>
        <w:t xml:space="preserve">panels on the </w:t>
      </w:r>
      <w:r>
        <w:rPr>
          <w:color w:val="000000"/>
          <w:lang w:val="en-US"/>
        </w:rPr>
        <w:t>‘</w:t>
      </w:r>
      <w:r w:rsidRPr="00CE73E7">
        <w:rPr>
          <w:color w:val="000000"/>
          <w:lang w:val="en-US"/>
        </w:rPr>
        <w:t>Synoptic Question</w:t>
      </w:r>
      <w:r>
        <w:rPr>
          <w:color w:val="000000"/>
          <w:lang w:val="en-US"/>
        </w:rPr>
        <w:t>’</w:t>
      </w:r>
      <w:r w:rsidRPr="00CE73E7">
        <w:rPr>
          <w:color w:val="000000"/>
          <w:lang w:val="en-US"/>
        </w:rPr>
        <w:t xml:space="preserve">, </w:t>
      </w:r>
      <w:r>
        <w:rPr>
          <w:color w:val="000000"/>
          <w:lang w:val="en-US"/>
        </w:rPr>
        <w:t xml:space="preserve">on </w:t>
      </w:r>
      <w:r w:rsidRPr="00CE73E7">
        <w:rPr>
          <w:color w:val="000000"/>
          <w:lang w:val="en-US"/>
        </w:rPr>
        <w:t xml:space="preserve">methodological approaches, non-canonical writings and auxiliary sciences, </w:t>
      </w:r>
      <w:proofErr w:type="gramStart"/>
      <w:r>
        <w:rPr>
          <w:color w:val="000000"/>
          <w:lang w:val="en-US"/>
        </w:rPr>
        <w:t>yet,</w:t>
      </w:r>
      <w:proofErr w:type="gramEnd"/>
      <w:r>
        <w:rPr>
          <w:color w:val="000000"/>
          <w:lang w:val="en-US"/>
        </w:rPr>
        <w:t xml:space="preserve"> </w:t>
      </w:r>
      <w:r w:rsidRPr="00CE73E7">
        <w:rPr>
          <w:color w:val="000000"/>
          <w:lang w:val="en-US"/>
        </w:rPr>
        <w:t xml:space="preserve">there is no panel on the </w:t>
      </w:r>
      <w:r>
        <w:rPr>
          <w:color w:val="000000"/>
          <w:lang w:val="en-US"/>
        </w:rPr>
        <w:t>‘</w:t>
      </w:r>
      <w:r w:rsidRPr="00CE73E7">
        <w:rPr>
          <w:color w:val="000000"/>
          <w:lang w:val="en-US"/>
        </w:rPr>
        <w:t>Four Gospels</w:t>
      </w:r>
      <w:r>
        <w:rPr>
          <w:color w:val="000000"/>
          <w:lang w:val="en-US"/>
        </w:rPr>
        <w:t>’</w:t>
      </w:r>
      <w:r w:rsidRPr="00CE73E7">
        <w:rPr>
          <w:color w:val="000000"/>
          <w:lang w:val="en-US"/>
        </w:rPr>
        <w:t xml:space="preserve"> </w:t>
      </w:r>
      <w:r>
        <w:rPr>
          <w:color w:val="000000"/>
          <w:lang w:val="en-US"/>
        </w:rPr>
        <w:t>n</w:t>
      </w:r>
      <w:r w:rsidRPr="00CE73E7">
        <w:rPr>
          <w:color w:val="000000"/>
          <w:lang w:val="en-US"/>
        </w:rPr>
        <w:t xml:space="preserve">or </w:t>
      </w:r>
      <w:r>
        <w:rPr>
          <w:color w:val="000000"/>
          <w:lang w:val="en-US"/>
        </w:rPr>
        <w:t xml:space="preserve">on </w:t>
      </w:r>
      <w:r w:rsidRPr="00CE73E7">
        <w:rPr>
          <w:color w:val="000000"/>
          <w:lang w:val="en-US"/>
        </w:rPr>
        <w:t xml:space="preserve">the </w:t>
      </w:r>
      <w:r>
        <w:rPr>
          <w:color w:val="000000"/>
          <w:lang w:val="en-US"/>
        </w:rPr>
        <w:t>‘</w:t>
      </w:r>
      <w:r w:rsidRPr="00CE73E7">
        <w:rPr>
          <w:color w:val="000000"/>
          <w:lang w:val="en-US"/>
        </w:rPr>
        <w:t>New Testament as a collection</w:t>
      </w:r>
      <w:r>
        <w:rPr>
          <w:color w:val="000000"/>
          <w:lang w:val="en-US"/>
        </w:rPr>
        <w:t>’</w:t>
      </w:r>
      <w:r w:rsidRPr="00CE73E7">
        <w:rPr>
          <w:color w:val="000000"/>
          <w:lang w:val="en-US"/>
        </w:rPr>
        <w:t xml:space="preserve">, and so we are </w:t>
      </w:r>
      <w:r>
        <w:rPr>
          <w:color w:val="000000"/>
          <w:lang w:val="en-US"/>
        </w:rPr>
        <w:t xml:space="preserve">regrettably </w:t>
      </w:r>
      <w:r w:rsidRPr="00CE73E7">
        <w:rPr>
          <w:color w:val="000000"/>
          <w:lang w:val="en-US"/>
        </w:rPr>
        <w:t>lacking more comprehensible</w:t>
      </w:r>
      <w:r>
        <w:rPr>
          <w:color w:val="000000"/>
          <w:lang w:val="en-US"/>
        </w:rPr>
        <w:t xml:space="preserve"> approaches. Despite so many biblical commentary series, we do not have a single commentary that covers the four New Testament Gospels in a joint way, let alone one which would in addition comment on these together with further Gospels of the second and third centuries</w:t>
      </w:r>
      <w:r w:rsidRPr="00CE73E7">
        <w:rPr>
          <w:color w:val="000000"/>
          <w:lang w:val="en-US"/>
        </w:rPr>
        <w:t>.</w:t>
      </w:r>
    </w:p>
    <w:p w14:paraId="2FBBCD40" w14:textId="77777777" w:rsidR="00133B09" w:rsidRPr="00CE73E7" w:rsidRDefault="00133B09" w:rsidP="00133B09">
      <w:pPr>
        <w:pStyle w:val="NormalWeb"/>
        <w:spacing w:before="0" w:beforeAutospacing="0" w:after="0" w:afterAutospacing="0" w:line="259" w:lineRule="atLeast"/>
        <w:jc w:val="both"/>
        <w:rPr>
          <w:color w:val="000000"/>
          <w:lang w:val="en-US"/>
        </w:rPr>
      </w:pPr>
      <w:r w:rsidRPr="00CE73E7">
        <w:rPr>
          <w:color w:val="000000"/>
          <w:lang w:val="en-US"/>
        </w:rPr>
        <w:t xml:space="preserve">              In the introductory literature of the New Testament, the subject of the </w:t>
      </w:r>
      <w:r>
        <w:rPr>
          <w:color w:val="000000"/>
          <w:lang w:val="en-US"/>
        </w:rPr>
        <w:t>‘</w:t>
      </w:r>
      <w:r w:rsidRPr="00CE73E7">
        <w:rPr>
          <w:color w:val="000000"/>
          <w:lang w:val="en-US"/>
        </w:rPr>
        <w:t>New Testament</w:t>
      </w:r>
      <w:r>
        <w:rPr>
          <w:color w:val="000000"/>
          <w:lang w:val="en-US"/>
        </w:rPr>
        <w:t>’</w:t>
      </w:r>
      <w:r w:rsidRPr="00CE73E7">
        <w:rPr>
          <w:color w:val="000000"/>
          <w:lang w:val="en-US"/>
        </w:rPr>
        <w:t xml:space="preserve"> is regularly dealt with under the heading of </w:t>
      </w:r>
      <w:r>
        <w:rPr>
          <w:color w:val="000000"/>
          <w:lang w:val="en-US"/>
        </w:rPr>
        <w:t>‘</w:t>
      </w:r>
      <w:r w:rsidRPr="00CE73E7">
        <w:rPr>
          <w:color w:val="000000"/>
          <w:lang w:val="en-US"/>
        </w:rPr>
        <w:t>canon formation</w:t>
      </w:r>
      <w:r>
        <w:rPr>
          <w:color w:val="000000"/>
          <w:lang w:val="en-US"/>
        </w:rPr>
        <w:t>’</w:t>
      </w:r>
      <w:r w:rsidRPr="00CE73E7">
        <w:rPr>
          <w:color w:val="000000"/>
          <w:lang w:val="en-US"/>
        </w:rPr>
        <w:t>. </w:t>
      </w:r>
      <w:r>
        <w:rPr>
          <w:color w:val="000000"/>
          <w:lang w:val="en-US"/>
        </w:rPr>
        <w:t xml:space="preserve">The description of this formation is regularly </w:t>
      </w:r>
      <w:r w:rsidRPr="00CE73E7">
        <w:rPr>
          <w:color w:val="000000"/>
          <w:lang w:val="en-US"/>
        </w:rPr>
        <w:t xml:space="preserve">based on the </w:t>
      </w:r>
      <w:r>
        <w:rPr>
          <w:color w:val="000000"/>
          <w:lang w:val="en-US"/>
        </w:rPr>
        <w:t xml:space="preserve">assumption of an established and reliable dating of these </w:t>
      </w:r>
      <w:r w:rsidRPr="00F60A98">
        <w:rPr>
          <w:i/>
          <w:color w:val="000000"/>
          <w:lang w:val="en-US"/>
        </w:rPr>
        <w:t>Gospels</w:t>
      </w:r>
      <w:r>
        <w:rPr>
          <w:color w:val="000000"/>
          <w:lang w:val="en-US"/>
        </w:rPr>
        <w:t xml:space="preserve"> together with all other New Testament writings into the first century</w:t>
      </w:r>
      <w:r w:rsidRPr="00CE73E7">
        <w:rPr>
          <w:color w:val="000000"/>
          <w:lang w:val="en-US"/>
        </w:rPr>
        <w:t xml:space="preserve">. Even if a determination of the time when the individual writings were written is important - I have dedicated a monograph myself to the dating of the canonical </w:t>
      </w:r>
      <w:r w:rsidRPr="00F60A98">
        <w:rPr>
          <w:i/>
          <w:color w:val="000000"/>
          <w:lang w:val="en-US"/>
        </w:rPr>
        <w:t>Gospels</w:t>
      </w:r>
      <w:r>
        <w:rPr>
          <w:color w:val="000000"/>
          <w:lang w:val="en-US"/>
        </w:rPr>
        <w:t xml:space="preserve">, where I disagree with the </w:t>
      </w:r>
      <w:proofErr w:type="spellStart"/>
      <w:r w:rsidRPr="00222638">
        <w:rPr>
          <w:i/>
          <w:color w:val="000000"/>
          <w:lang w:val="en-US"/>
        </w:rPr>
        <w:t>opinio</w:t>
      </w:r>
      <w:proofErr w:type="spellEnd"/>
      <w:r w:rsidRPr="00222638">
        <w:rPr>
          <w:i/>
          <w:color w:val="000000"/>
          <w:lang w:val="en-US"/>
        </w:rPr>
        <w:t xml:space="preserve"> communis</w:t>
      </w:r>
      <w:r w:rsidRPr="00CE73E7">
        <w:rPr>
          <w:color w:val="000000"/>
          <w:lang w:val="en-US"/>
        </w:rPr>
        <w:t xml:space="preserve"> -,</w:t>
      </w:r>
      <w:bookmarkStart w:id="4" w:name="_ftnref110"/>
      <w:bookmarkEnd w:id="4"/>
      <w:r w:rsidRPr="00147743">
        <w:rPr>
          <w:rStyle w:val="FootnoteReference"/>
        </w:rPr>
        <w:footnoteReference w:id="6"/>
      </w:r>
      <w:r w:rsidRPr="00222638">
        <w:rPr>
          <w:lang w:val="en-US"/>
        </w:rPr>
        <w:t xml:space="preserve"> </w:t>
      </w:r>
      <w:r w:rsidRPr="00CE73E7">
        <w:rPr>
          <w:color w:val="000000"/>
          <w:lang w:val="en-US"/>
        </w:rPr>
        <w:t>it seems to me that a different approach is of greater importance</w:t>
      </w:r>
      <w:r>
        <w:rPr>
          <w:color w:val="000000"/>
          <w:lang w:val="en-US"/>
        </w:rPr>
        <w:t>, as I am trying to set out in this monograph here which deals with the Gospels as a collection within the wider collection of the New Testament</w:t>
      </w:r>
      <w:r w:rsidRPr="00CE73E7">
        <w:rPr>
          <w:color w:val="000000"/>
          <w:lang w:val="en-US"/>
        </w:rPr>
        <w:t>. Of course, it would be an asset for us if we knew when each of the canonical writings of the New Testament was </w:t>
      </w:r>
      <w:r>
        <w:rPr>
          <w:color w:val="000000"/>
          <w:lang w:val="en-US"/>
        </w:rPr>
        <w:t>created</w:t>
      </w:r>
      <w:r w:rsidRPr="00CE73E7">
        <w:rPr>
          <w:color w:val="000000"/>
          <w:lang w:val="en-US"/>
        </w:rPr>
        <w:t xml:space="preserve">, but as the scantiness and unreliability of the sources and the resulting variety of research opinions on the dating of these writings show, we often feel in </w:t>
      </w:r>
      <w:r>
        <w:rPr>
          <w:color w:val="000000"/>
          <w:lang w:val="en-US"/>
        </w:rPr>
        <w:t xml:space="preserve">the dark about them </w:t>
      </w:r>
      <w:r w:rsidRPr="00CE73E7">
        <w:rPr>
          <w:color w:val="000000"/>
          <w:lang w:val="en-US"/>
        </w:rPr>
        <w:t xml:space="preserve">and mostly </w:t>
      </w:r>
      <w:proofErr w:type="gramStart"/>
      <w:r w:rsidRPr="00CE73E7">
        <w:rPr>
          <w:color w:val="000000"/>
          <w:lang w:val="en-US"/>
        </w:rPr>
        <w:t>have to</w:t>
      </w:r>
      <w:proofErr w:type="gramEnd"/>
      <w:r w:rsidRPr="00CE73E7">
        <w:rPr>
          <w:color w:val="000000"/>
          <w:lang w:val="en-US"/>
        </w:rPr>
        <w:t xml:space="preserve"> refer to internal arguments.</w:t>
      </w:r>
    </w:p>
    <w:p w14:paraId="52BDDCC0" w14:textId="77777777" w:rsidR="00133B09" w:rsidRDefault="00133B09" w:rsidP="00133B09">
      <w:pPr>
        <w:pStyle w:val="NormalWeb"/>
        <w:spacing w:before="0" w:beforeAutospacing="0" w:after="0" w:afterAutospacing="0" w:line="259" w:lineRule="atLeast"/>
        <w:ind w:firstLine="720"/>
        <w:jc w:val="both"/>
        <w:rPr>
          <w:color w:val="000000"/>
          <w:lang w:val="en-US"/>
        </w:rPr>
      </w:pPr>
      <w:r w:rsidRPr="00CE73E7">
        <w:rPr>
          <w:color w:val="000000"/>
          <w:lang w:val="en-US"/>
        </w:rPr>
        <w:t xml:space="preserve">For a historical scholarship that consciously looks from the present into the past, it is of greater importance not when a text was presumably written and published, but from what point in time it appears visibly and </w:t>
      </w:r>
      <w:r>
        <w:rPr>
          <w:color w:val="000000"/>
          <w:lang w:val="en-US"/>
        </w:rPr>
        <w:t xml:space="preserve">has an impact on </w:t>
      </w:r>
      <w:r w:rsidRPr="00CE73E7">
        <w:rPr>
          <w:color w:val="000000"/>
          <w:lang w:val="en-US"/>
        </w:rPr>
        <w:t xml:space="preserve">history. Even if in this regard, as we will see with a view to the New Testament, there can also be different interpretations of the so-called sources and their assessments, we are nevertheless on less slippery ground in this discussion than in the determination of an </w:t>
      </w:r>
      <w:r>
        <w:rPr>
          <w:color w:val="000000"/>
          <w:lang w:val="en-US"/>
        </w:rPr>
        <w:t>‘</w:t>
      </w:r>
      <w:r w:rsidRPr="00CE73E7">
        <w:rPr>
          <w:color w:val="000000"/>
          <w:lang w:val="en-US"/>
        </w:rPr>
        <w:t>original</w:t>
      </w:r>
      <w:r>
        <w:rPr>
          <w:color w:val="000000"/>
          <w:lang w:val="en-US"/>
        </w:rPr>
        <w:t>’</w:t>
      </w:r>
      <w:r w:rsidRPr="00CE73E7">
        <w:rPr>
          <w:color w:val="000000"/>
          <w:lang w:val="en-US"/>
        </w:rPr>
        <w:t xml:space="preserve"> </w:t>
      </w:r>
      <w:r>
        <w:rPr>
          <w:color w:val="000000"/>
          <w:lang w:val="en-US"/>
        </w:rPr>
        <w:t>d</w:t>
      </w:r>
      <w:r w:rsidRPr="00CE73E7">
        <w:rPr>
          <w:color w:val="000000"/>
          <w:lang w:val="en-US"/>
        </w:rPr>
        <w:t xml:space="preserve">raft and </w:t>
      </w:r>
      <w:r>
        <w:rPr>
          <w:color w:val="000000"/>
          <w:lang w:val="en-US"/>
        </w:rPr>
        <w:t xml:space="preserve">its hypothetically </w:t>
      </w:r>
      <w:r w:rsidRPr="00CE73E7">
        <w:rPr>
          <w:color w:val="000000"/>
          <w:lang w:val="en-US"/>
        </w:rPr>
        <w:t xml:space="preserve">assumed </w:t>
      </w:r>
      <w:r>
        <w:rPr>
          <w:color w:val="000000"/>
          <w:lang w:val="en-US"/>
        </w:rPr>
        <w:t xml:space="preserve">‘Sitz </w:t>
      </w:r>
      <w:proofErr w:type="spellStart"/>
      <w:r>
        <w:rPr>
          <w:color w:val="000000"/>
          <w:lang w:val="en-US"/>
        </w:rPr>
        <w:t>im</w:t>
      </w:r>
      <w:proofErr w:type="spellEnd"/>
      <w:r>
        <w:rPr>
          <w:color w:val="000000"/>
          <w:lang w:val="en-US"/>
        </w:rPr>
        <w:t xml:space="preserve"> Leben’</w:t>
      </w:r>
      <w:r w:rsidRPr="00CE73E7">
        <w:rPr>
          <w:color w:val="000000"/>
          <w:lang w:val="en-US"/>
        </w:rPr>
        <w:t xml:space="preserve">. Especially in a retrospective approach, one first comes across the evidence of a work, and this - here the New Testament - is to be addressed as a separate </w:t>
      </w:r>
      <w:r>
        <w:rPr>
          <w:color w:val="000000"/>
          <w:lang w:val="en-US"/>
        </w:rPr>
        <w:t>agent</w:t>
      </w:r>
      <w:r w:rsidRPr="00CE73E7">
        <w:rPr>
          <w:color w:val="000000"/>
          <w:lang w:val="en-US"/>
        </w:rPr>
        <w:t xml:space="preserve"> and to be interpreted in this context. For this reason, the subject of this chapter is the </w:t>
      </w:r>
      <w:r>
        <w:rPr>
          <w:color w:val="000000"/>
          <w:lang w:val="en-US"/>
        </w:rPr>
        <w:t>‘</w:t>
      </w:r>
      <w:r w:rsidRPr="00CE73E7">
        <w:rPr>
          <w:color w:val="000000"/>
          <w:lang w:val="en-US"/>
        </w:rPr>
        <w:t>New Testament</w:t>
      </w:r>
      <w:r>
        <w:rPr>
          <w:color w:val="000000"/>
          <w:lang w:val="en-US"/>
        </w:rPr>
        <w:t>’</w:t>
      </w:r>
      <w:r w:rsidRPr="00CE73E7">
        <w:rPr>
          <w:color w:val="000000"/>
          <w:lang w:val="en-US"/>
        </w:rPr>
        <w:t xml:space="preserve"> as </w:t>
      </w:r>
      <w:r>
        <w:rPr>
          <w:color w:val="000000"/>
          <w:lang w:val="en-US"/>
        </w:rPr>
        <w:t>agent that is ‘</w:t>
      </w:r>
      <w:r w:rsidRPr="00D21680">
        <w:rPr>
          <w:color w:val="000000"/>
          <w:lang w:val="en-US"/>
        </w:rPr>
        <w:t>configuring the beginnings of early Christianity</w:t>
      </w:r>
      <w:r>
        <w:rPr>
          <w:color w:val="000000"/>
          <w:lang w:val="en-US"/>
        </w:rPr>
        <w:t>’.</w:t>
      </w:r>
    </w:p>
    <w:p w14:paraId="58CA9D0C" w14:textId="77777777" w:rsidR="00133B09" w:rsidRPr="00CE73E7" w:rsidRDefault="00133B09" w:rsidP="00133B09">
      <w:pPr>
        <w:pStyle w:val="NormalWeb"/>
        <w:spacing w:before="0" w:beforeAutospacing="0" w:after="0" w:afterAutospacing="0" w:line="259" w:lineRule="atLeast"/>
        <w:ind w:firstLine="720"/>
        <w:jc w:val="both"/>
        <w:rPr>
          <w:color w:val="000000"/>
          <w:lang w:val="en-US"/>
        </w:rPr>
      </w:pPr>
      <w:r w:rsidRPr="00CE73E7">
        <w:rPr>
          <w:color w:val="000000"/>
          <w:lang w:val="en-US"/>
        </w:rPr>
        <w:lastRenderedPageBreak/>
        <w:t xml:space="preserve">It is therefore necessary to explain how this collection </w:t>
      </w:r>
      <w:r>
        <w:rPr>
          <w:color w:val="000000"/>
          <w:lang w:val="en-US"/>
        </w:rPr>
        <w:t>was perceived</w:t>
      </w:r>
      <w:r w:rsidRPr="00CE73E7">
        <w:rPr>
          <w:color w:val="000000"/>
          <w:lang w:val="en-US"/>
        </w:rPr>
        <w:t xml:space="preserve"> at the time </w:t>
      </w:r>
      <w:r>
        <w:rPr>
          <w:color w:val="000000"/>
          <w:lang w:val="en-US"/>
        </w:rPr>
        <w:t>when it was being used first</w:t>
      </w:r>
      <w:r w:rsidRPr="00CE73E7">
        <w:rPr>
          <w:color w:val="000000"/>
          <w:lang w:val="en-US"/>
        </w:rPr>
        <w:t xml:space="preserve">, before one can turn to the considerably more difficult and perhaps also less illuminating questions of when and by whom this collection was created and when the individual sub-collections were brought together in it and finally, at what point in time and by whom the </w:t>
      </w:r>
      <w:r>
        <w:rPr>
          <w:color w:val="000000"/>
          <w:lang w:val="en-US"/>
        </w:rPr>
        <w:t>books</w:t>
      </w:r>
      <w:r w:rsidRPr="00CE73E7">
        <w:rPr>
          <w:color w:val="000000"/>
          <w:lang w:val="en-US"/>
        </w:rPr>
        <w:t xml:space="preserve"> were written before they were </w:t>
      </w:r>
      <w:r>
        <w:rPr>
          <w:color w:val="000000"/>
          <w:lang w:val="en-US"/>
        </w:rPr>
        <w:t xml:space="preserve">regarded </w:t>
      </w:r>
      <w:r w:rsidRPr="00CE73E7">
        <w:rPr>
          <w:color w:val="000000"/>
          <w:lang w:val="en-US"/>
        </w:rPr>
        <w:t>as a</w:t>
      </w:r>
      <w:r>
        <w:rPr>
          <w:color w:val="000000"/>
          <w:lang w:val="en-US"/>
        </w:rPr>
        <w:t xml:space="preserve"> somehow coherent entity </w:t>
      </w:r>
      <w:r w:rsidRPr="00CE73E7">
        <w:rPr>
          <w:color w:val="000000"/>
          <w:lang w:val="en-US"/>
        </w:rPr>
        <w:t>by a readership. </w:t>
      </w:r>
      <w:r>
        <w:rPr>
          <w:color w:val="000000"/>
          <w:lang w:val="en-US"/>
        </w:rPr>
        <w:t xml:space="preserve">And there is one more additional question to be answered when </w:t>
      </w:r>
      <w:r w:rsidRPr="00CE73E7">
        <w:rPr>
          <w:color w:val="000000"/>
          <w:lang w:val="en-US"/>
        </w:rPr>
        <w:t xml:space="preserve">determining the date of the drawing up </w:t>
      </w:r>
      <w:r>
        <w:rPr>
          <w:color w:val="000000"/>
          <w:lang w:val="en-US"/>
        </w:rPr>
        <w:t xml:space="preserve">of </w:t>
      </w:r>
      <w:r w:rsidRPr="00CE73E7">
        <w:rPr>
          <w:color w:val="000000"/>
          <w:lang w:val="en-US"/>
        </w:rPr>
        <w:t>individual writings</w:t>
      </w:r>
      <w:r>
        <w:rPr>
          <w:color w:val="000000"/>
          <w:lang w:val="en-US"/>
        </w:rPr>
        <w:t>.</w:t>
      </w:r>
      <w:r w:rsidRPr="00CE73E7">
        <w:rPr>
          <w:color w:val="000000"/>
          <w:lang w:val="en-US"/>
        </w:rPr>
        <w:t xml:space="preserve"> </w:t>
      </w:r>
      <w:r>
        <w:rPr>
          <w:color w:val="000000"/>
          <w:lang w:val="en-US"/>
        </w:rPr>
        <w:t>The earlier one places the origin of these writings like, for example, the Gospels, the more important the explanation becomes why a text that supposedly existed has remained in the dark and not left traces before it surfaced</w:t>
      </w:r>
      <w:r w:rsidRPr="00CE73E7">
        <w:rPr>
          <w:color w:val="000000"/>
          <w:lang w:val="en-US"/>
        </w:rPr>
        <w:t>. Th</w:t>
      </w:r>
      <w:r>
        <w:rPr>
          <w:color w:val="000000"/>
          <w:lang w:val="en-US"/>
        </w:rPr>
        <w:t>e answer to this</w:t>
      </w:r>
      <w:r w:rsidRPr="00CE73E7">
        <w:rPr>
          <w:color w:val="000000"/>
          <w:lang w:val="en-US"/>
        </w:rPr>
        <w:t xml:space="preserve"> question becomes </w:t>
      </w:r>
      <w:proofErr w:type="gramStart"/>
      <w:r w:rsidRPr="00CE73E7">
        <w:rPr>
          <w:color w:val="000000"/>
          <w:lang w:val="en-US"/>
        </w:rPr>
        <w:t>all the more</w:t>
      </w:r>
      <w:proofErr w:type="gramEnd"/>
      <w:r w:rsidRPr="00CE73E7">
        <w:rPr>
          <w:color w:val="000000"/>
          <w:lang w:val="en-US"/>
        </w:rPr>
        <w:t xml:space="preserve"> urgent, </w:t>
      </w:r>
      <w:r>
        <w:rPr>
          <w:color w:val="000000"/>
          <w:lang w:val="en-US"/>
        </w:rPr>
        <w:t xml:space="preserve">when the </w:t>
      </w:r>
      <w:r w:rsidRPr="00CE73E7">
        <w:rPr>
          <w:color w:val="000000"/>
          <w:lang w:val="en-US"/>
        </w:rPr>
        <w:t xml:space="preserve">time </w:t>
      </w:r>
      <w:r>
        <w:rPr>
          <w:color w:val="000000"/>
          <w:lang w:val="en-US"/>
        </w:rPr>
        <w:t xml:space="preserve">between </w:t>
      </w:r>
      <w:r w:rsidRPr="00CE73E7">
        <w:rPr>
          <w:color w:val="000000"/>
          <w:lang w:val="en-US"/>
        </w:rPr>
        <w:t xml:space="preserve">the presumed drafting </w:t>
      </w:r>
      <w:r>
        <w:rPr>
          <w:color w:val="000000"/>
          <w:lang w:val="en-US"/>
        </w:rPr>
        <w:t xml:space="preserve">to </w:t>
      </w:r>
      <w:r w:rsidRPr="00CE73E7">
        <w:rPr>
          <w:color w:val="000000"/>
          <w:lang w:val="en-US"/>
        </w:rPr>
        <w:t xml:space="preserve">the appearance </w:t>
      </w:r>
      <w:r>
        <w:rPr>
          <w:color w:val="000000"/>
          <w:lang w:val="en-US"/>
        </w:rPr>
        <w:t>in history spans over many decades</w:t>
      </w:r>
      <w:r w:rsidRPr="00CE73E7">
        <w:rPr>
          <w:color w:val="000000"/>
          <w:lang w:val="en-US"/>
        </w:rPr>
        <w:t>.</w:t>
      </w:r>
    </w:p>
    <w:p w14:paraId="6FF7B364" w14:textId="77777777" w:rsidR="00133B09" w:rsidRPr="00CE73E7" w:rsidRDefault="00133B09" w:rsidP="00133B09">
      <w:pPr>
        <w:pStyle w:val="NormalWeb"/>
        <w:spacing w:before="0" w:beforeAutospacing="0" w:after="0" w:afterAutospacing="0" w:line="259" w:lineRule="atLeast"/>
        <w:ind w:firstLine="720"/>
        <w:jc w:val="both"/>
        <w:rPr>
          <w:color w:val="000000"/>
          <w:lang w:val="en-US"/>
        </w:rPr>
      </w:pPr>
      <w:r>
        <w:rPr>
          <w:color w:val="000000"/>
          <w:lang w:val="en-US"/>
        </w:rPr>
        <w:t>Looking at</w:t>
      </w:r>
      <w:r w:rsidRPr="00CE73E7">
        <w:rPr>
          <w:color w:val="000000"/>
          <w:lang w:val="en-US"/>
        </w:rPr>
        <w:t xml:space="preserve"> the New Testament</w:t>
      </w:r>
      <w:r>
        <w:rPr>
          <w:color w:val="000000"/>
          <w:lang w:val="en-US"/>
        </w:rPr>
        <w:t xml:space="preserve"> as it can be grasped historically</w:t>
      </w:r>
      <w:r w:rsidRPr="00CE73E7">
        <w:rPr>
          <w:color w:val="000000"/>
          <w:lang w:val="en-US"/>
        </w:rPr>
        <w:t xml:space="preserve">, we will first have to consider </w:t>
      </w:r>
      <w:r>
        <w:rPr>
          <w:color w:val="000000"/>
          <w:lang w:val="en-US"/>
        </w:rPr>
        <w:t xml:space="preserve">the form in which </w:t>
      </w:r>
      <w:r w:rsidRPr="00CE73E7">
        <w:rPr>
          <w:color w:val="000000"/>
          <w:lang w:val="en-US"/>
        </w:rPr>
        <w:t xml:space="preserve">it </w:t>
      </w:r>
      <w:r>
        <w:rPr>
          <w:color w:val="000000"/>
          <w:lang w:val="en-US"/>
        </w:rPr>
        <w:t xml:space="preserve">made its appearance </w:t>
      </w:r>
      <w:r w:rsidRPr="00CE73E7">
        <w:rPr>
          <w:color w:val="000000"/>
          <w:lang w:val="en-US"/>
        </w:rPr>
        <w:t xml:space="preserve">and then go back retrospectively </w:t>
      </w:r>
      <w:proofErr w:type="gramStart"/>
      <w:r w:rsidRPr="00CE73E7">
        <w:rPr>
          <w:color w:val="000000"/>
          <w:lang w:val="en-US"/>
        </w:rPr>
        <w:t>in</w:t>
      </w:r>
      <w:r>
        <w:rPr>
          <w:color w:val="000000"/>
          <w:lang w:val="en-US"/>
        </w:rPr>
        <w:t xml:space="preserve"> </w:t>
      </w:r>
      <w:r w:rsidRPr="00CE73E7">
        <w:rPr>
          <w:color w:val="000000"/>
          <w:lang w:val="en-US"/>
        </w:rPr>
        <w:t>order</w:t>
      </w:r>
      <w:r>
        <w:rPr>
          <w:color w:val="000000"/>
          <w:lang w:val="en-US"/>
        </w:rPr>
        <w:t xml:space="preserve"> </w:t>
      </w:r>
      <w:r w:rsidRPr="00CE73E7">
        <w:rPr>
          <w:color w:val="000000"/>
          <w:lang w:val="en-US"/>
        </w:rPr>
        <w:t>to</w:t>
      </w:r>
      <w:proofErr w:type="gramEnd"/>
      <w:r w:rsidRPr="00CE73E7">
        <w:rPr>
          <w:color w:val="000000"/>
          <w:lang w:val="en-US"/>
        </w:rPr>
        <w:t xml:space="preserve"> determine</w:t>
      </w:r>
      <w:r>
        <w:rPr>
          <w:color w:val="000000"/>
          <w:lang w:val="en-US"/>
        </w:rPr>
        <w:t xml:space="preserve"> </w:t>
      </w:r>
      <w:r w:rsidRPr="00CE73E7">
        <w:rPr>
          <w:color w:val="000000"/>
          <w:lang w:val="en-US"/>
        </w:rPr>
        <w:t>its</w:t>
      </w:r>
      <w:r>
        <w:rPr>
          <w:color w:val="000000"/>
          <w:lang w:val="en-US"/>
        </w:rPr>
        <w:t xml:space="preserve"> </w:t>
      </w:r>
      <w:r w:rsidRPr="00CE73E7">
        <w:rPr>
          <w:color w:val="000000"/>
          <w:lang w:val="en-US"/>
        </w:rPr>
        <w:t xml:space="preserve">previous forms, whereby the historical perception </w:t>
      </w:r>
      <w:r>
        <w:rPr>
          <w:color w:val="000000"/>
          <w:lang w:val="en-US"/>
        </w:rPr>
        <w:t xml:space="preserve">of such forms </w:t>
      </w:r>
      <w:r w:rsidRPr="00CE73E7">
        <w:rPr>
          <w:color w:val="000000"/>
          <w:lang w:val="en-US"/>
        </w:rPr>
        <w:t>will always be discussed first before</w:t>
      </w:r>
      <w:r>
        <w:rPr>
          <w:color w:val="000000"/>
          <w:lang w:val="en-US"/>
        </w:rPr>
        <w:t xml:space="preserve"> we may search for potentially earlier layers</w:t>
      </w:r>
      <w:r w:rsidRPr="00CE73E7">
        <w:rPr>
          <w:color w:val="000000"/>
          <w:lang w:val="en-US"/>
        </w:rPr>
        <w:t>.</w:t>
      </w:r>
    </w:p>
    <w:p w14:paraId="0CAA01F6" w14:textId="77777777" w:rsidR="00133B09" w:rsidRPr="00CE73E7" w:rsidRDefault="00133B09" w:rsidP="00133B09">
      <w:pPr>
        <w:pStyle w:val="NormalWeb"/>
        <w:spacing w:before="0" w:beforeAutospacing="0" w:after="0" w:afterAutospacing="0" w:line="259" w:lineRule="atLeast"/>
        <w:ind w:firstLine="720"/>
        <w:jc w:val="both"/>
        <w:rPr>
          <w:color w:val="000000"/>
          <w:lang w:val="en-US"/>
        </w:rPr>
      </w:pPr>
      <w:r>
        <w:rPr>
          <w:color w:val="000000"/>
          <w:lang w:val="en-US"/>
        </w:rPr>
        <w:t xml:space="preserve">Research into the </w:t>
      </w:r>
      <w:r w:rsidRPr="00CE73E7">
        <w:rPr>
          <w:color w:val="000000"/>
          <w:lang w:val="en-US"/>
        </w:rPr>
        <w:t>phenomenon of the New Testament as a collection, as we know it today from the 28th edition of Nestle-Aland</w:t>
      </w:r>
      <w:r>
        <w:rPr>
          <w:color w:val="000000"/>
          <w:lang w:val="en-GB"/>
        </w:rPr>
        <w:t>’</w:t>
      </w:r>
      <w:r w:rsidRPr="00CE73E7">
        <w:rPr>
          <w:color w:val="000000"/>
          <w:lang w:val="en-US"/>
        </w:rPr>
        <w:t>s standard edition,</w:t>
      </w:r>
      <w:bookmarkStart w:id="5" w:name="_ftnref111"/>
      <w:bookmarkEnd w:id="5"/>
      <w:r>
        <w:rPr>
          <w:rStyle w:val="FootnoteReference"/>
          <w:color w:val="000000"/>
          <w:lang w:val="en-US"/>
        </w:rPr>
        <w:footnoteReference w:id="7"/>
      </w:r>
      <w:r w:rsidRPr="00CE73E7">
        <w:rPr>
          <w:color w:val="000000"/>
          <w:lang w:val="en-US"/>
        </w:rPr>
        <w:t xml:space="preserve"> leads us to the 5</w:t>
      </w:r>
      <w:r w:rsidRPr="00CE07B0">
        <w:rPr>
          <w:color w:val="000000"/>
          <w:vertAlign w:val="superscript"/>
          <w:lang w:val="en-US"/>
        </w:rPr>
        <w:t>th</w:t>
      </w:r>
      <w:r w:rsidRPr="00CE73E7">
        <w:rPr>
          <w:color w:val="000000"/>
          <w:lang w:val="en-US"/>
        </w:rPr>
        <w:t xml:space="preserve"> and 4</w:t>
      </w:r>
      <w:r w:rsidRPr="00CE07B0">
        <w:rPr>
          <w:color w:val="000000"/>
          <w:vertAlign w:val="superscript"/>
          <w:lang w:val="en-US"/>
        </w:rPr>
        <w:t>th</w:t>
      </w:r>
      <w:r w:rsidRPr="00CE73E7">
        <w:rPr>
          <w:color w:val="000000"/>
          <w:lang w:val="en-US"/>
        </w:rPr>
        <w:t xml:space="preserve"> centuries. The oldest complete edition of the New Testament </w:t>
      </w:r>
      <w:r>
        <w:rPr>
          <w:color w:val="000000"/>
          <w:lang w:val="en-US"/>
        </w:rPr>
        <w:t>can be found</w:t>
      </w:r>
      <w:r w:rsidRPr="00CE73E7">
        <w:rPr>
          <w:color w:val="000000"/>
          <w:lang w:val="en-US"/>
        </w:rPr>
        <w:t xml:space="preserve"> in the </w:t>
      </w:r>
      <w:r w:rsidRPr="00CE73E7">
        <w:rPr>
          <w:i/>
          <w:iCs/>
          <w:color w:val="000000"/>
          <w:lang w:val="en-US"/>
        </w:rPr>
        <w:t>Codex Sinaiticus </w:t>
      </w:r>
      <w:r w:rsidRPr="00CE73E7">
        <w:rPr>
          <w:color w:val="000000"/>
          <w:lang w:val="en-US"/>
        </w:rPr>
        <w:t>( </w:t>
      </w:r>
      <w:r>
        <w:rPr>
          <w:rFonts w:ascii="Arial" w:hAnsi="Arial" w:cs="Arial"/>
          <w:color w:val="000000"/>
          <w:rtl/>
          <w:lang w:bidi="he-IL"/>
        </w:rPr>
        <w:t>א</w:t>
      </w:r>
      <w:r>
        <w:rPr>
          <w:rFonts w:ascii="Arial" w:hAnsi="Arial" w:cs="Arial"/>
          <w:color w:val="000000"/>
          <w:lang w:val="en-US"/>
        </w:rPr>
        <w:t xml:space="preserve">, </w:t>
      </w:r>
      <w:r w:rsidRPr="00CE73E7">
        <w:rPr>
          <w:color w:val="000000"/>
          <w:lang w:val="en-US"/>
        </w:rPr>
        <w:t xml:space="preserve">01), which contains all 27 </w:t>
      </w:r>
      <w:r>
        <w:rPr>
          <w:color w:val="000000"/>
          <w:lang w:val="en-US"/>
        </w:rPr>
        <w:t>writings</w:t>
      </w:r>
      <w:r w:rsidRPr="00CE73E7">
        <w:rPr>
          <w:color w:val="000000"/>
          <w:lang w:val="en-US"/>
        </w:rPr>
        <w:t xml:space="preserve"> in its New Testament part and was probably produced in the 4</w:t>
      </w:r>
      <w:r w:rsidRPr="00A92C21">
        <w:rPr>
          <w:color w:val="000000"/>
          <w:vertAlign w:val="superscript"/>
          <w:lang w:val="en-US"/>
        </w:rPr>
        <w:t>th</w:t>
      </w:r>
      <w:r w:rsidRPr="00CE73E7">
        <w:rPr>
          <w:color w:val="000000"/>
          <w:lang w:val="en-US"/>
        </w:rPr>
        <w:t xml:space="preserve"> century.</w:t>
      </w:r>
      <w:bookmarkStart w:id="6" w:name="_ftnref112"/>
      <w:bookmarkEnd w:id="6"/>
      <w:r>
        <w:rPr>
          <w:rStyle w:val="FootnoteReference"/>
          <w:color w:val="000000"/>
          <w:lang w:val="en-US"/>
        </w:rPr>
        <w:footnoteReference w:id="8"/>
      </w:r>
      <w:r w:rsidRPr="00CE73E7">
        <w:rPr>
          <w:color w:val="000000"/>
          <w:lang w:val="en-US"/>
        </w:rPr>
        <w:t xml:space="preserve"> The order of the New Testament writings </w:t>
      </w:r>
      <w:r>
        <w:rPr>
          <w:color w:val="000000"/>
          <w:lang w:val="en-US"/>
        </w:rPr>
        <w:t xml:space="preserve">in this Codex is as follows: The </w:t>
      </w:r>
      <w:r w:rsidRPr="00447884">
        <w:rPr>
          <w:i/>
          <w:color w:val="000000"/>
          <w:lang w:val="en-US"/>
        </w:rPr>
        <w:t>Gospels</w:t>
      </w:r>
      <w:r w:rsidRPr="00CE73E7">
        <w:rPr>
          <w:color w:val="000000"/>
          <w:lang w:val="en-US"/>
        </w:rPr>
        <w:t xml:space="preserve"> (</w:t>
      </w:r>
      <w:r w:rsidRPr="00447884">
        <w:rPr>
          <w:i/>
          <w:color w:val="000000"/>
          <w:lang w:val="en-US"/>
        </w:rPr>
        <w:t>Matt</w:t>
      </w:r>
      <w:r w:rsidRPr="00CE73E7">
        <w:rPr>
          <w:color w:val="000000"/>
          <w:lang w:val="en-US"/>
        </w:rPr>
        <w:t xml:space="preserve">, </w:t>
      </w:r>
      <w:r w:rsidRPr="00447884">
        <w:rPr>
          <w:i/>
          <w:color w:val="000000"/>
          <w:lang w:val="en-US"/>
        </w:rPr>
        <w:t>Mk</w:t>
      </w:r>
      <w:r w:rsidRPr="00CE73E7">
        <w:rPr>
          <w:color w:val="000000"/>
          <w:lang w:val="en-US"/>
        </w:rPr>
        <w:t xml:space="preserve">, </w:t>
      </w:r>
      <w:r w:rsidRPr="00447884">
        <w:rPr>
          <w:i/>
          <w:color w:val="000000"/>
          <w:lang w:val="en-US"/>
        </w:rPr>
        <w:t>Lk</w:t>
      </w:r>
      <w:r w:rsidRPr="00CE73E7">
        <w:rPr>
          <w:color w:val="000000"/>
          <w:lang w:val="en-US"/>
        </w:rPr>
        <w:t xml:space="preserve">, </w:t>
      </w:r>
      <w:r w:rsidRPr="00447884">
        <w:rPr>
          <w:i/>
          <w:color w:val="000000"/>
          <w:lang w:val="en-US"/>
        </w:rPr>
        <w:t>Joh</w:t>
      </w:r>
      <w:r>
        <w:rPr>
          <w:i/>
          <w:color w:val="000000"/>
          <w:lang w:val="en-US"/>
        </w:rPr>
        <w:t>n</w:t>
      </w:r>
      <w:r w:rsidRPr="00CE73E7">
        <w:rPr>
          <w:color w:val="000000"/>
          <w:lang w:val="en-US"/>
        </w:rPr>
        <w:t xml:space="preserve">), </w:t>
      </w:r>
      <w:r w:rsidRPr="0010444F">
        <w:rPr>
          <w:i/>
          <w:color w:val="000000"/>
          <w:lang w:val="en-US"/>
        </w:rPr>
        <w:t>Paul’s Letter</w:t>
      </w:r>
      <w:r>
        <w:rPr>
          <w:i/>
          <w:color w:val="000000"/>
          <w:lang w:val="en-US"/>
        </w:rPr>
        <w:t>s</w:t>
      </w:r>
      <w:r w:rsidRPr="00CE73E7">
        <w:rPr>
          <w:color w:val="000000"/>
          <w:lang w:val="en-US"/>
        </w:rPr>
        <w:t xml:space="preserve"> (</w:t>
      </w:r>
      <w:r w:rsidRPr="0010444F">
        <w:rPr>
          <w:i/>
          <w:color w:val="000000"/>
          <w:lang w:val="en-US"/>
        </w:rPr>
        <w:t>Rom</w:t>
      </w:r>
      <w:r w:rsidRPr="00CE73E7">
        <w:rPr>
          <w:color w:val="000000"/>
          <w:lang w:val="en-US"/>
        </w:rPr>
        <w:t>, 1-2</w:t>
      </w:r>
      <w:r>
        <w:rPr>
          <w:color w:val="000000"/>
          <w:lang w:val="en-US"/>
        </w:rPr>
        <w:t xml:space="preserve"> </w:t>
      </w:r>
      <w:r w:rsidRPr="0010444F">
        <w:rPr>
          <w:i/>
          <w:color w:val="000000"/>
          <w:lang w:val="en-US"/>
        </w:rPr>
        <w:t>Cor</w:t>
      </w:r>
      <w:r w:rsidRPr="00CE73E7">
        <w:rPr>
          <w:color w:val="000000"/>
          <w:lang w:val="en-US"/>
        </w:rPr>
        <w:t xml:space="preserve">, </w:t>
      </w:r>
      <w:r w:rsidRPr="0010444F">
        <w:rPr>
          <w:i/>
          <w:color w:val="000000"/>
          <w:lang w:val="en-US"/>
        </w:rPr>
        <w:t>Gal</w:t>
      </w:r>
      <w:r w:rsidRPr="00CE73E7">
        <w:rPr>
          <w:color w:val="000000"/>
          <w:lang w:val="en-US"/>
        </w:rPr>
        <w:t xml:space="preserve">, </w:t>
      </w:r>
      <w:r w:rsidRPr="0010444F">
        <w:rPr>
          <w:i/>
          <w:color w:val="000000"/>
          <w:lang w:val="en-US"/>
        </w:rPr>
        <w:t>Eph</w:t>
      </w:r>
      <w:r w:rsidRPr="00CE73E7">
        <w:rPr>
          <w:color w:val="000000"/>
          <w:lang w:val="en-US"/>
        </w:rPr>
        <w:t xml:space="preserve">, </w:t>
      </w:r>
      <w:r w:rsidRPr="0010444F">
        <w:rPr>
          <w:i/>
          <w:color w:val="000000"/>
          <w:lang w:val="en-US"/>
        </w:rPr>
        <w:t>Phil</w:t>
      </w:r>
      <w:r w:rsidRPr="00CE73E7">
        <w:rPr>
          <w:color w:val="000000"/>
          <w:lang w:val="en-US"/>
        </w:rPr>
        <w:t xml:space="preserve">, </w:t>
      </w:r>
      <w:r w:rsidRPr="0010444F">
        <w:rPr>
          <w:i/>
          <w:color w:val="000000"/>
          <w:lang w:val="en-US"/>
        </w:rPr>
        <w:t>Col</w:t>
      </w:r>
      <w:r w:rsidRPr="00CE73E7">
        <w:rPr>
          <w:color w:val="000000"/>
          <w:lang w:val="en-US"/>
        </w:rPr>
        <w:t>, 1-2</w:t>
      </w:r>
      <w:r>
        <w:rPr>
          <w:color w:val="000000"/>
          <w:lang w:val="en-US"/>
        </w:rPr>
        <w:t xml:space="preserve"> </w:t>
      </w:r>
      <w:proofErr w:type="spellStart"/>
      <w:r w:rsidRPr="0010444F">
        <w:rPr>
          <w:i/>
          <w:color w:val="000000"/>
          <w:lang w:val="en-US"/>
        </w:rPr>
        <w:t>Thess</w:t>
      </w:r>
      <w:proofErr w:type="spellEnd"/>
      <w:r w:rsidRPr="00CE73E7">
        <w:rPr>
          <w:color w:val="000000"/>
          <w:lang w:val="en-US"/>
        </w:rPr>
        <w:t xml:space="preserve">, </w:t>
      </w:r>
      <w:r w:rsidRPr="0010444F">
        <w:rPr>
          <w:i/>
          <w:color w:val="000000"/>
          <w:lang w:val="en-US"/>
        </w:rPr>
        <w:t>Heb</w:t>
      </w:r>
      <w:r w:rsidRPr="00CE73E7">
        <w:rPr>
          <w:color w:val="000000"/>
          <w:lang w:val="en-US"/>
        </w:rPr>
        <w:t>, 1-2</w:t>
      </w:r>
      <w:r>
        <w:rPr>
          <w:color w:val="000000"/>
          <w:lang w:val="en-US"/>
        </w:rPr>
        <w:t xml:space="preserve"> </w:t>
      </w:r>
      <w:r w:rsidRPr="0010444F">
        <w:rPr>
          <w:i/>
          <w:color w:val="000000"/>
          <w:lang w:val="en-US"/>
        </w:rPr>
        <w:t>Tim</w:t>
      </w:r>
      <w:r w:rsidRPr="00CE73E7">
        <w:rPr>
          <w:color w:val="000000"/>
          <w:lang w:val="en-US"/>
        </w:rPr>
        <w:t xml:space="preserve">, </w:t>
      </w:r>
      <w:r w:rsidRPr="0010444F">
        <w:rPr>
          <w:i/>
          <w:color w:val="000000"/>
          <w:lang w:val="en-US"/>
        </w:rPr>
        <w:t>Tit</w:t>
      </w:r>
      <w:r w:rsidRPr="00CE73E7">
        <w:rPr>
          <w:color w:val="000000"/>
          <w:lang w:val="en-US"/>
        </w:rPr>
        <w:t xml:space="preserve">, </w:t>
      </w:r>
      <w:proofErr w:type="spellStart"/>
      <w:r w:rsidRPr="0010444F">
        <w:rPr>
          <w:i/>
          <w:color w:val="000000"/>
          <w:lang w:val="en-US"/>
        </w:rPr>
        <w:t>Philem</w:t>
      </w:r>
      <w:proofErr w:type="spellEnd"/>
      <w:r w:rsidRPr="00CE73E7">
        <w:rPr>
          <w:color w:val="000000"/>
          <w:lang w:val="en-US"/>
        </w:rPr>
        <w:t xml:space="preserve">), </w:t>
      </w:r>
      <w:r>
        <w:rPr>
          <w:color w:val="000000"/>
          <w:lang w:val="en-US"/>
        </w:rPr>
        <w:t xml:space="preserve">the </w:t>
      </w:r>
      <w:proofErr w:type="spellStart"/>
      <w:r w:rsidRPr="0010444F">
        <w:rPr>
          <w:i/>
          <w:color w:val="000000"/>
          <w:lang w:val="en-US"/>
        </w:rPr>
        <w:t>Praxapostolos</w:t>
      </w:r>
      <w:proofErr w:type="spellEnd"/>
      <w:r w:rsidRPr="00CE73E7">
        <w:rPr>
          <w:color w:val="000000"/>
          <w:lang w:val="en-US"/>
        </w:rPr>
        <w:t xml:space="preserve"> (</w:t>
      </w:r>
      <w:r w:rsidRPr="0010444F">
        <w:rPr>
          <w:i/>
          <w:color w:val="000000"/>
          <w:lang w:val="en-US"/>
        </w:rPr>
        <w:t>Acts</w:t>
      </w:r>
      <w:r w:rsidRPr="00CE73E7">
        <w:rPr>
          <w:color w:val="000000"/>
          <w:lang w:val="en-US"/>
        </w:rPr>
        <w:t xml:space="preserve">, </w:t>
      </w:r>
      <w:r w:rsidRPr="00DF4511">
        <w:rPr>
          <w:i/>
          <w:color w:val="000000"/>
          <w:lang w:val="en-US"/>
        </w:rPr>
        <w:t>James</w:t>
      </w:r>
      <w:r w:rsidRPr="00CE73E7">
        <w:rPr>
          <w:color w:val="000000"/>
          <w:lang w:val="en-US"/>
        </w:rPr>
        <w:t>, 1-2</w:t>
      </w:r>
      <w:r>
        <w:rPr>
          <w:color w:val="000000"/>
          <w:lang w:val="en-US"/>
        </w:rPr>
        <w:t xml:space="preserve"> </w:t>
      </w:r>
      <w:r w:rsidRPr="00DF4511">
        <w:rPr>
          <w:i/>
          <w:color w:val="000000"/>
          <w:lang w:val="en-US"/>
        </w:rPr>
        <w:t>Peter</w:t>
      </w:r>
      <w:r w:rsidRPr="00CE73E7">
        <w:rPr>
          <w:color w:val="000000"/>
          <w:lang w:val="en-US"/>
        </w:rPr>
        <w:t>, 1-3</w:t>
      </w:r>
      <w:r>
        <w:rPr>
          <w:color w:val="000000"/>
          <w:lang w:val="en-US"/>
        </w:rPr>
        <w:t xml:space="preserve"> </w:t>
      </w:r>
      <w:r w:rsidRPr="00DF4511">
        <w:rPr>
          <w:i/>
          <w:color w:val="000000"/>
          <w:lang w:val="en-US"/>
        </w:rPr>
        <w:t>Joh</w:t>
      </w:r>
      <w:r>
        <w:rPr>
          <w:i/>
          <w:color w:val="000000"/>
          <w:lang w:val="en-US"/>
        </w:rPr>
        <w:t>n</w:t>
      </w:r>
      <w:r w:rsidRPr="00CE73E7">
        <w:rPr>
          <w:color w:val="000000"/>
          <w:lang w:val="en-US"/>
        </w:rPr>
        <w:t xml:space="preserve">, </w:t>
      </w:r>
      <w:r w:rsidRPr="00DF4511">
        <w:rPr>
          <w:i/>
          <w:color w:val="000000"/>
          <w:lang w:val="en-US"/>
        </w:rPr>
        <w:t>Jude</w:t>
      </w:r>
      <w:r w:rsidRPr="00CE73E7">
        <w:rPr>
          <w:color w:val="000000"/>
          <w:lang w:val="en-US"/>
        </w:rPr>
        <w:t>) and </w:t>
      </w:r>
      <w:r w:rsidRPr="00DF4511">
        <w:rPr>
          <w:i/>
          <w:color w:val="000000"/>
          <w:lang w:val="en-US"/>
        </w:rPr>
        <w:t>Revelation</w:t>
      </w:r>
      <w:r w:rsidRPr="00CE73E7">
        <w:rPr>
          <w:color w:val="000000"/>
          <w:lang w:val="en-US"/>
        </w:rPr>
        <w:t>.</w:t>
      </w:r>
    </w:p>
    <w:p w14:paraId="7119ECF1" w14:textId="5C304AA6" w:rsidR="00133B09" w:rsidRPr="00CB7845" w:rsidRDefault="00133B09" w:rsidP="00EA6220">
      <w:pPr>
        <w:pStyle w:val="NormalWeb"/>
        <w:spacing w:before="120" w:beforeAutospacing="0" w:after="120" w:afterAutospacing="0"/>
        <w:ind w:left="1134"/>
        <w:jc w:val="both"/>
        <w:rPr>
          <w:color w:val="000000"/>
          <w:sz w:val="20"/>
          <w:szCs w:val="20"/>
          <w:lang w:val="en-US"/>
        </w:rPr>
      </w:pPr>
      <w:r w:rsidRPr="00CB7845">
        <w:rPr>
          <w:color w:val="000000"/>
          <w:sz w:val="20"/>
          <w:szCs w:val="20"/>
          <w:lang w:val="en-US"/>
        </w:rPr>
        <w:t>‘</w:t>
      </w:r>
      <w:r w:rsidR="00EA6220" w:rsidRPr="00CB7845">
        <w:rPr>
          <w:color w:val="000000"/>
          <w:sz w:val="20"/>
          <w:szCs w:val="20"/>
          <w:lang w:val="en-US"/>
        </w:rPr>
        <w:t xml:space="preserve">The other extant manuscript from the fourth </w:t>
      </w:r>
      <w:proofErr w:type="spellStart"/>
      <w:r w:rsidR="00EA6220" w:rsidRPr="00CB7845">
        <w:rPr>
          <w:color w:val="000000"/>
          <w:sz w:val="20"/>
          <w:szCs w:val="20"/>
          <w:lang w:val="en-US"/>
        </w:rPr>
        <w:t>centurz</w:t>
      </w:r>
      <w:proofErr w:type="spellEnd"/>
      <w:r w:rsidR="00EA6220" w:rsidRPr="00CB7845">
        <w:rPr>
          <w:color w:val="000000"/>
          <w:sz w:val="20"/>
          <w:szCs w:val="20"/>
          <w:lang w:val="en-US"/>
        </w:rPr>
        <w:t xml:space="preserve"> is the </w:t>
      </w:r>
      <w:r w:rsidRPr="00CB7845">
        <w:rPr>
          <w:iCs/>
          <w:color w:val="000000"/>
          <w:sz w:val="20"/>
          <w:szCs w:val="20"/>
          <w:lang w:val="en-US"/>
        </w:rPr>
        <w:t xml:space="preserve">Codex </w:t>
      </w:r>
      <w:proofErr w:type="spellStart"/>
      <w:r w:rsidRPr="00CB7845">
        <w:rPr>
          <w:iCs/>
          <w:color w:val="000000"/>
          <w:sz w:val="20"/>
          <w:szCs w:val="20"/>
          <w:lang w:val="en-US"/>
        </w:rPr>
        <w:t>Vaticanus</w:t>
      </w:r>
      <w:proofErr w:type="spellEnd"/>
      <w:r w:rsidRPr="00CB7845">
        <w:rPr>
          <w:i/>
          <w:iCs/>
          <w:color w:val="000000"/>
          <w:sz w:val="20"/>
          <w:szCs w:val="20"/>
          <w:lang w:val="en-US"/>
        </w:rPr>
        <w:t> </w:t>
      </w:r>
      <w:r w:rsidRPr="00CB7845">
        <w:rPr>
          <w:color w:val="000000"/>
          <w:sz w:val="20"/>
          <w:szCs w:val="20"/>
          <w:lang w:val="en-US"/>
        </w:rPr>
        <w:t>(B 03). The</w:t>
      </w:r>
      <w:r w:rsidR="003E3AC6" w:rsidRPr="00CB7845">
        <w:rPr>
          <w:color w:val="000000"/>
          <w:sz w:val="20"/>
          <w:szCs w:val="20"/>
          <w:lang w:val="en-US"/>
        </w:rPr>
        <w:t xml:space="preserve"> arrangement of the writings varies from the Codex</w:t>
      </w:r>
      <w:r w:rsidR="005B6592" w:rsidRPr="00CB7845">
        <w:rPr>
          <w:color w:val="000000"/>
          <w:sz w:val="20"/>
          <w:szCs w:val="20"/>
          <w:lang w:val="en-US"/>
        </w:rPr>
        <w:t xml:space="preserve"> </w:t>
      </w:r>
      <w:r w:rsidRPr="00CB7845">
        <w:rPr>
          <w:iCs/>
          <w:color w:val="000000"/>
          <w:sz w:val="20"/>
          <w:szCs w:val="20"/>
          <w:lang w:val="en-US"/>
        </w:rPr>
        <w:t>Sinaiticus</w:t>
      </w:r>
      <w:r w:rsidRPr="00CB7845">
        <w:rPr>
          <w:i/>
          <w:iCs/>
          <w:color w:val="000000"/>
          <w:sz w:val="20"/>
          <w:szCs w:val="20"/>
          <w:lang w:val="en-US"/>
        </w:rPr>
        <w:t> </w:t>
      </w:r>
      <w:r w:rsidRPr="00CB7845">
        <w:rPr>
          <w:color w:val="000000"/>
          <w:sz w:val="20"/>
          <w:szCs w:val="20"/>
          <w:lang w:val="en-US"/>
        </w:rPr>
        <w:t xml:space="preserve">in that the </w:t>
      </w:r>
      <w:proofErr w:type="spellStart"/>
      <w:r w:rsidR="005B6592" w:rsidRPr="00CB7845">
        <w:rPr>
          <w:color w:val="000000"/>
          <w:sz w:val="20"/>
          <w:szCs w:val="20"/>
          <w:lang w:val="en-US"/>
        </w:rPr>
        <w:t>Praxapostolos</w:t>
      </w:r>
      <w:proofErr w:type="spellEnd"/>
      <w:r w:rsidR="005B6592" w:rsidRPr="00CB7845">
        <w:rPr>
          <w:color w:val="000000"/>
          <w:sz w:val="20"/>
          <w:szCs w:val="20"/>
          <w:lang w:val="en-US"/>
        </w:rPr>
        <w:t xml:space="preserve"> is placed between the </w:t>
      </w:r>
      <w:proofErr w:type="spellStart"/>
      <w:r w:rsidR="005B6592" w:rsidRPr="00CB7845">
        <w:rPr>
          <w:color w:val="000000"/>
          <w:sz w:val="20"/>
          <w:szCs w:val="20"/>
          <w:lang w:val="en-US"/>
        </w:rPr>
        <w:t>Tetraeuangelion</w:t>
      </w:r>
      <w:proofErr w:type="spellEnd"/>
      <w:r w:rsidRPr="00CB7845">
        <w:rPr>
          <w:color w:val="000000"/>
          <w:sz w:val="20"/>
          <w:szCs w:val="20"/>
          <w:lang w:val="en-US"/>
        </w:rPr>
        <w:t xml:space="preserve"> and </w:t>
      </w:r>
      <w:proofErr w:type="spellStart"/>
      <w:r w:rsidR="00631B71" w:rsidRPr="00CB7845">
        <w:rPr>
          <w:color w:val="000000"/>
          <w:sz w:val="20"/>
          <w:szCs w:val="20"/>
          <w:lang w:val="en-US"/>
        </w:rPr>
        <w:t>and</w:t>
      </w:r>
      <w:proofErr w:type="spellEnd"/>
      <w:r w:rsidR="00631B71" w:rsidRPr="00CB7845">
        <w:rPr>
          <w:color w:val="000000"/>
          <w:sz w:val="20"/>
          <w:szCs w:val="20"/>
          <w:lang w:val="en-US"/>
        </w:rPr>
        <w:t xml:space="preserve"> the Corpus </w:t>
      </w:r>
      <w:proofErr w:type="spellStart"/>
      <w:r w:rsidR="00631B71" w:rsidRPr="00CB7845">
        <w:rPr>
          <w:color w:val="000000"/>
          <w:sz w:val="20"/>
          <w:szCs w:val="20"/>
          <w:lang w:val="en-US"/>
        </w:rPr>
        <w:t>Paulinum</w:t>
      </w:r>
      <w:proofErr w:type="spellEnd"/>
      <w:r w:rsidRPr="00CB7845">
        <w:rPr>
          <w:color w:val="000000"/>
          <w:sz w:val="20"/>
          <w:szCs w:val="20"/>
          <w:lang w:val="en-US"/>
        </w:rPr>
        <w:t xml:space="preserve">. The manuscript breaks off in the middle of the </w:t>
      </w:r>
      <w:r w:rsidR="00631B71" w:rsidRPr="00CB7845">
        <w:rPr>
          <w:color w:val="000000"/>
          <w:sz w:val="20"/>
          <w:szCs w:val="20"/>
          <w:lang w:val="en-US"/>
        </w:rPr>
        <w:t>L</w:t>
      </w:r>
      <w:r w:rsidRPr="00CB7845">
        <w:rPr>
          <w:color w:val="000000"/>
          <w:sz w:val="20"/>
          <w:szCs w:val="20"/>
          <w:lang w:val="en-US"/>
        </w:rPr>
        <w:t>etter to the Hebrews (H</w:t>
      </w:r>
      <w:r w:rsidR="00631B71" w:rsidRPr="00CB7845">
        <w:rPr>
          <w:color w:val="000000"/>
          <w:sz w:val="20"/>
          <w:szCs w:val="20"/>
          <w:lang w:val="en-US"/>
        </w:rPr>
        <w:t>e</w:t>
      </w:r>
      <w:r w:rsidRPr="00CB7845">
        <w:rPr>
          <w:color w:val="000000"/>
          <w:sz w:val="20"/>
          <w:szCs w:val="20"/>
          <w:lang w:val="en-US"/>
        </w:rPr>
        <w:t>b 9:14), which</w:t>
      </w:r>
      <w:r w:rsidR="00631B71" w:rsidRPr="00CB7845">
        <w:rPr>
          <w:color w:val="000000"/>
          <w:sz w:val="20"/>
          <w:szCs w:val="20"/>
          <w:lang w:val="en-US"/>
        </w:rPr>
        <w:t xml:space="preserve"> follows 2 Thessalonians</w:t>
      </w:r>
      <w:r w:rsidRPr="00CB7845">
        <w:rPr>
          <w:color w:val="000000"/>
          <w:sz w:val="20"/>
          <w:szCs w:val="20"/>
          <w:lang w:val="en-US"/>
        </w:rPr>
        <w:t>. </w:t>
      </w:r>
      <w:proofErr w:type="gramStart"/>
      <w:r w:rsidRPr="00CB7845">
        <w:rPr>
          <w:color w:val="000000"/>
          <w:sz w:val="20"/>
          <w:szCs w:val="20"/>
          <w:lang w:val="en-US"/>
        </w:rPr>
        <w:t>So</w:t>
      </w:r>
      <w:proofErr w:type="gramEnd"/>
      <w:r w:rsidRPr="00CB7845">
        <w:rPr>
          <w:color w:val="000000"/>
          <w:sz w:val="20"/>
          <w:szCs w:val="20"/>
          <w:lang w:val="en-US"/>
        </w:rPr>
        <w:t xml:space="preserve"> pastorals, the </w:t>
      </w:r>
      <w:r w:rsidR="00D300F4" w:rsidRPr="00CB7845">
        <w:rPr>
          <w:color w:val="000000"/>
          <w:sz w:val="20"/>
          <w:szCs w:val="20"/>
          <w:lang w:val="en-US"/>
        </w:rPr>
        <w:t xml:space="preserve">Letter to </w:t>
      </w:r>
      <w:r w:rsidRPr="00CB7845">
        <w:rPr>
          <w:color w:val="000000"/>
          <w:sz w:val="20"/>
          <w:szCs w:val="20"/>
          <w:lang w:val="en-US"/>
        </w:rPr>
        <w:t>Philemon</w:t>
      </w:r>
      <w:r w:rsidR="00D300F4" w:rsidRPr="00CB7845">
        <w:rPr>
          <w:color w:val="000000"/>
          <w:sz w:val="20"/>
          <w:szCs w:val="20"/>
          <w:lang w:val="en-US"/>
        </w:rPr>
        <w:t>,</w:t>
      </w:r>
      <w:r w:rsidRPr="00CB7845">
        <w:rPr>
          <w:color w:val="000000"/>
          <w:sz w:val="20"/>
          <w:szCs w:val="20"/>
          <w:lang w:val="en-US"/>
        </w:rPr>
        <w:t xml:space="preserve"> and the Revelation </w:t>
      </w:r>
      <w:r w:rsidR="00D300F4" w:rsidRPr="00CB7845">
        <w:rPr>
          <w:color w:val="000000"/>
          <w:sz w:val="20"/>
          <w:szCs w:val="20"/>
          <w:lang w:val="en-US"/>
        </w:rPr>
        <w:t xml:space="preserve">of John </w:t>
      </w:r>
      <w:r w:rsidRPr="00CB7845">
        <w:rPr>
          <w:color w:val="000000"/>
          <w:sz w:val="20"/>
          <w:szCs w:val="20"/>
          <w:lang w:val="en-US"/>
        </w:rPr>
        <w:t xml:space="preserve">are missing, due to </w:t>
      </w:r>
      <w:r w:rsidR="00D300F4" w:rsidRPr="00CB7845">
        <w:rPr>
          <w:color w:val="000000"/>
          <w:sz w:val="20"/>
          <w:szCs w:val="20"/>
          <w:lang w:val="en-US"/>
        </w:rPr>
        <w:t xml:space="preserve">the </w:t>
      </w:r>
      <w:r w:rsidRPr="00CB7845">
        <w:rPr>
          <w:color w:val="000000"/>
          <w:sz w:val="20"/>
          <w:szCs w:val="20"/>
          <w:lang w:val="en-US"/>
        </w:rPr>
        <w:t xml:space="preserve">loss </w:t>
      </w:r>
      <w:r w:rsidR="00CB7845" w:rsidRPr="00CB7845">
        <w:rPr>
          <w:color w:val="000000"/>
          <w:sz w:val="20"/>
          <w:szCs w:val="20"/>
          <w:lang w:val="en-US"/>
        </w:rPr>
        <w:t xml:space="preserve">of the last part of this </w:t>
      </w:r>
      <w:r w:rsidRPr="00CB7845">
        <w:rPr>
          <w:color w:val="000000"/>
          <w:sz w:val="20"/>
          <w:szCs w:val="20"/>
          <w:lang w:val="en-US"/>
        </w:rPr>
        <w:t>manuscript</w:t>
      </w:r>
      <w:bookmarkStart w:id="7" w:name="_ftnref113"/>
      <w:bookmarkEnd w:id="7"/>
      <w:r w:rsidR="00C96D46">
        <w:rPr>
          <w:color w:val="000000"/>
          <w:sz w:val="20"/>
          <w:szCs w:val="20"/>
          <w:lang w:val="en-GB"/>
        </w:rPr>
        <w:t>’.</w:t>
      </w:r>
      <w:r w:rsidRPr="00CB7845">
        <w:rPr>
          <w:rStyle w:val="FootnoteReference"/>
          <w:color w:val="000000"/>
          <w:sz w:val="20"/>
          <w:szCs w:val="20"/>
          <w:lang w:val="en-US"/>
        </w:rPr>
        <w:footnoteReference w:id="9"/>
      </w:r>
      <w:r w:rsidRPr="00CB7845">
        <w:rPr>
          <w:color w:val="000000"/>
          <w:sz w:val="20"/>
          <w:szCs w:val="20"/>
          <w:lang w:val="en-US"/>
        </w:rPr>
        <w:t xml:space="preserve"> </w:t>
      </w:r>
    </w:p>
    <w:p w14:paraId="0AA3CAB2" w14:textId="77777777" w:rsidR="00133B09" w:rsidRPr="00CE73E7" w:rsidRDefault="00133B09" w:rsidP="00133B09">
      <w:pPr>
        <w:pStyle w:val="NormalWeb"/>
        <w:spacing w:before="0" w:beforeAutospacing="0" w:after="0" w:afterAutospacing="0" w:line="259" w:lineRule="atLeast"/>
        <w:jc w:val="both"/>
        <w:rPr>
          <w:color w:val="000000"/>
          <w:lang w:val="en-US"/>
        </w:rPr>
      </w:pPr>
      <w:r>
        <w:rPr>
          <w:color w:val="000000"/>
          <w:lang w:val="en-US"/>
        </w:rPr>
        <w:t xml:space="preserve">The </w:t>
      </w:r>
      <w:r w:rsidRPr="00CE73E7">
        <w:rPr>
          <w:i/>
          <w:iCs/>
          <w:color w:val="000000"/>
          <w:lang w:val="en-US"/>
        </w:rPr>
        <w:t xml:space="preserve">Codex </w:t>
      </w:r>
      <w:proofErr w:type="spellStart"/>
      <w:r w:rsidRPr="00CE73E7">
        <w:rPr>
          <w:i/>
          <w:iCs/>
          <w:color w:val="000000"/>
          <w:lang w:val="en-US"/>
        </w:rPr>
        <w:t>Alexandrinus</w:t>
      </w:r>
      <w:proofErr w:type="spellEnd"/>
      <w:r w:rsidRPr="00CE73E7">
        <w:rPr>
          <w:i/>
          <w:iCs/>
          <w:color w:val="000000"/>
          <w:lang w:val="en-US"/>
        </w:rPr>
        <w:t> </w:t>
      </w:r>
      <w:r w:rsidRPr="00CE73E7">
        <w:rPr>
          <w:color w:val="000000"/>
          <w:lang w:val="en-US"/>
        </w:rPr>
        <w:t>(A</w:t>
      </w:r>
      <w:r>
        <w:rPr>
          <w:color w:val="000000"/>
          <w:lang w:val="en-US"/>
        </w:rPr>
        <w:t>,</w:t>
      </w:r>
      <w:r w:rsidRPr="00CE73E7">
        <w:rPr>
          <w:color w:val="000000"/>
          <w:lang w:val="en-US"/>
        </w:rPr>
        <w:t xml:space="preserve"> 02) and the </w:t>
      </w:r>
      <w:r w:rsidRPr="00CE73E7">
        <w:rPr>
          <w:i/>
          <w:iCs/>
          <w:color w:val="000000"/>
          <w:lang w:val="en-US"/>
        </w:rPr>
        <w:t xml:space="preserve">Codex </w:t>
      </w:r>
      <w:proofErr w:type="spellStart"/>
      <w:r w:rsidRPr="00CE73E7">
        <w:rPr>
          <w:i/>
          <w:iCs/>
          <w:color w:val="000000"/>
          <w:lang w:val="en-US"/>
        </w:rPr>
        <w:t>Ephraemi</w:t>
      </w:r>
      <w:proofErr w:type="spellEnd"/>
      <w:r w:rsidRPr="00CE73E7">
        <w:rPr>
          <w:i/>
          <w:iCs/>
          <w:color w:val="000000"/>
          <w:lang w:val="en-US"/>
        </w:rPr>
        <w:t xml:space="preserve"> </w:t>
      </w:r>
      <w:proofErr w:type="spellStart"/>
      <w:r w:rsidRPr="00CE73E7">
        <w:rPr>
          <w:i/>
          <w:iCs/>
          <w:color w:val="000000"/>
          <w:lang w:val="en-US"/>
        </w:rPr>
        <w:t>Rescriptus</w:t>
      </w:r>
      <w:proofErr w:type="spellEnd"/>
      <w:r w:rsidRPr="00CE73E7">
        <w:rPr>
          <w:i/>
          <w:iCs/>
          <w:color w:val="000000"/>
          <w:lang w:val="en-US"/>
        </w:rPr>
        <w:t> </w:t>
      </w:r>
      <w:r w:rsidRPr="00CE73E7">
        <w:rPr>
          <w:color w:val="000000"/>
          <w:lang w:val="en-US"/>
        </w:rPr>
        <w:t>(C</w:t>
      </w:r>
      <w:r>
        <w:rPr>
          <w:color w:val="000000"/>
          <w:lang w:val="en-US"/>
        </w:rPr>
        <w:t>,</w:t>
      </w:r>
      <w:r w:rsidRPr="00CE73E7">
        <w:rPr>
          <w:color w:val="000000"/>
          <w:lang w:val="en-US"/>
        </w:rPr>
        <w:t xml:space="preserve"> 04) </w:t>
      </w:r>
      <w:r>
        <w:rPr>
          <w:color w:val="000000"/>
          <w:lang w:val="en-US"/>
        </w:rPr>
        <w:t xml:space="preserve">are </w:t>
      </w:r>
      <w:r w:rsidRPr="00CE73E7">
        <w:rPr>
          <w:color w:val="000000"/>
          <w:lang w:val="en-US"/>
        </w:rPr>
        <w:t>manuscripts dated to the 5</w:t>
      </w:r>
      <w:r w:rsidRPr="00F020C7">
        <w:rPr>
          <w:color w:val="000000"/>
          <w:vertAlign w:val="superscript"/>
          <w:lang w:val="en-US"/>
        </w:rPr>
        <w:t>th</w:t>
      </w:r>
      <w:r w:rsidRPr="00CE73E7">
        <w:rPr>
          <w:color w:val="000000"/>
          <w:lang w:val="en-US"/>
        </w:rPr>
        <w:t> century which</w:t>
      </w:r>
      <w:r>
        <w:rPr>
          <w:color w:val="000000"/>
          <w:lang w:val="en-US"/>
        </w:rPr>
        <w:t xml:space="preserve"> originally</w:t>
      </w:r>
      <w:r w:rsidRPr="00CE73E7">
        <w:rPr>
          <w:color w:val="000000"/>
          <w:lang w:val="en-US"/>
        </w:rPr>
        <w:t xml:space="preserve"> contained all 27 scriptures that we now assign to the New Testament. The New Testament writings are available in the </w:t>
      </w:r>
      <w:r w:rsidRPr="00CE73E7">
        <w:rPr>
          <w:i/>
          <w:iCs/>
          <w:color w:val="000000"/>
          <w:lang w:val="en-US"/>
        </w:rPr>
        <w:t xml:space="preserve">Codex </w:t>
      </w:r>
      <w:proofErr w:type="spellStart"/>
      <w:r w:rsidRPr="00CE73E7">
        <w:rPr>
          <w:i/>
          <w:iCs/>
          <w:color w:val="000000"/>
          <w:lang w:val="en-US"/>
        </w:rPr>
        <w:t>Alexandrinus</w:t>
      </w:r>
      <w:proofErr w:type="spellEnd"/>
      <w:r w:rsidRPr="00CE73E7">
        <w:rPr>
          <w:i/>
          <w:iCs/>
          <w:color w:val="000000"/>
          <w:lang w:val="en-US"/>
        </w:rPr>
        <w:t> </w:t>
      </w:r>
      <w:r w:rsidRPr="00CE73E7">
        <w:rPr>
          <w:color w:val="000000"/>
          <w:lang w:val="en-US"/>
        </w:rPr>
        <w:t>as in the </w:t>
      </w:r>
      <w:r w:rsidRPr="00CE73E7">
        <w:rPr>
          <w:i/>
          <w:iCs/>
          <w:color w:val="000000"/>
          <w:lang w:val="en-US"/>
        </w:rPr>
        <w:t xml:space="preserve">Codex </w:t>
      </w:r>
      <w:proofErr w:type="spellStart"/>
      <w:r w:rsidRPr="00CE73E7">
        <w:rPr>
          <w:i/>
          <w:iCs/>
          <w:color w:val="000000"/>
          <w:lang w:val="en-US"/>
        </w:rPr>
        <w:t>Vaticanus</w:t>
      </w:r>
      <w:proofErr w:type="spellEnd"/>
      <w:r w:rsidRPr="00CE73E7">
        <w:rPr>
          <w:i/>
          <w:iCs/>
          <w:color w:val="000000"/>
          <w:lang w:val="en-US"/>
        </w:rPr>
        <w:t> </w:t>
      </w:r>
      <w:r w:rsidRPr="00CE73E7">
        <w:rPr>
          <w:color w:val="000000"/>
          <w:lang w:val="en-US"/>
        </w:rPr>
        <w:t>in the following order: </w:t>
      </w:r>
      <w:r w:rsidRPr="005A1EC3">
        <w:rPr>
          <w:i/>
          <w:color w:val="000000"/>
          <w:lang w:val="en-US"/>
        </w:rPr>
        <w:t>Gospels</w:t>
      </w:r>
      <w:r w:rsidRPr="00CE73E7">
        <w:rPr>
          <w:color w:val="000000"/>
          <w:lang w:val="en-US"/>
        </w:rPr>
        <w:t xml:space="preserve"> (</w:t>
      </w:r>
      <w:r w:rsidRPr="005A1EC3">
        <w:rPr>
          <w:i/>
          <w:color w:val="000000"/>
          <w:lang w:val="en-US"/>
        </w:rPr>
        <w:t>Matt</w:t>
      </w:r>
      <w:r w:rsidRPr="00CE73E7">
        <w:rPr>
          <w:color w:val="000000"/>
          <w:lang w:val="en-US"/>
        </w:rPr>
        <w:t xml:space="preserve">, </w:t>
      </w:r>
      <w:r w:rsidRPr="005A1EC3">
        <w:rPr>
          <w:i/>
          <w:color w:val="000000"/>
          <w:lang w:val="en-US"/>
        </w:rPr>
        <w:t>Mk</w:t>
      </w:r>
      <w:r w:rsidRPr="00CE73E7">
        <w:rPr>
          <w:color w:val="000000"/>
          <w:lang w:val="en-US"/>
        </w:rPr>
        <w:t xml:space="preserve">, </w:t>
      </w:r>
      <w:r w:rsidRPr="005A1EC3">
        <w:rPr>
          <w:i/>
          <w:color w:val="000000"/>
          <w:lang w:val="en-US"/>
        </w:rPr>
        <w:t>Lk</w:t>
      </w:r>
      <w:r w:rsidRPr="00CE73E7">
        <w:rPr>
          <w:color w:val="000000"/>
          <w:lang w:val="en-US"/>
        </w:rPr>
        <w:t xml:space="preserve">, </w:t>
      </w:r>
      <w:r w:rsidRPr="005A1EC3">
        <w:rPr>
          <w:i/>
          <w:color w:val="000000"/>
          <w:lang w:val="en-US"/>
        </w:rPr>
        <w:t>John</w:t>
      </w:r>
      <w:r w:rsidRPr="00CE73E7">
        <w:rPr>
          <w:color w:val="000000"/>
          <w:lang w:val="en-US"/>
        </w:rPr>
        <w:t xml:space="preserve">), </w:t>
      </w:r>
      <w:r>
        <w:rPr>
          <w:color w:val="000000"/>
          <w:lang w:val="en-US"/>
        </w:rPr>
        <w:t xml:space="preserve">the </w:t>
      </w:r>
      <w:proofErr w:type="spellStart"/>
      <w:r w:rsidRPr="005A1EC3">
        <w:rPr>
          <w:i/>
          <w:color w:val="000000"/>
          <w:lang w:val="en-US"/>
        </w:rPr>
        <w:t>Praxapostolos</w:t>
      </w:r>
      <w:proofErr w:type="spellEnd"/>
      <w:r w:rsidRPr="00CE73E7">
        <w:rPr>
          <w:color w:val="000000"/>
          <w:lang w:val="en-US"/>
        </w:rPr>
        <w:t xml:space="preserve"> (</w:t>
      </w:r>
      <w:r w:rsidRPr="005A1EC3">
        <w:rPr>
          <w:i/>
          <w:color w:val="000000"/>
          <w:lang w:val="en-US"/>
        </w:rPr>
        <w:t>Acts</w:t>
      </w:r>
      <w:r w:rsidRPr="00CE73E7">
        <w:rPr>
          <w:color w:val="000000"/>
          <w:lang w:val="en-US"/>
        </w:rPr>
        <w:t xml:space="preserve">, </w:t>
      </w:r>
      <w:r w:rsidRPr="005A1EC3">
        <w:rPr>
          <w:i/>
          <w:color w:val="000000"/>
          <w:lang w:val="en-US"/>
        </w:rPr>
        <w:t>James</w:t>
      </w:r>
      <w:r w:rsidRPr="00CE73E7">
        <w:rPr>
          <w:color w:val="000000"/>
          <w:lang w:val="en-US"/>
        </w:rPr>
        <w:t>, 1-2</w:t>
      </w:r>
      <w:r>
        <w:rPr>
          <w:color w:val="000000"/>
          <w:lang w:val="en-US"/>
        </w:rPr>
        <w:t xml:space="preserve"> </w:t>
      </w:r>
      <w:r w:rsidRPr="005A1EC3">
        <w:rPr>
          <w:i/>
          <w:color w:val="000000"/>
          <w:lang w:val="en-US"/>
        </w:rPr>
        <w:t>Peter</w:t>
      </w:r>
      <w:r w:rsidRPr="00CE73E7">
        <w:rPr>
          <w:color w:val="000000"/>
          <w:lang w:val="en-US"/>
        </w:rPr>
        <w:t>, 1-3</w:t>
      </w:r>
      <w:r>
        <w:rPr>
          <w:color w:val="000000"/>
          <w:lang w:val="en-US"/>
        </w:rPr>
        <w:t xml:space="preserve"> </w:t>
      </w:r>
      <w:r w:rsidRPr="005A1EC3">
        <w:rPr>
          <w:i/>
          <w:color w:val="000000"/>
          <w:lang w:val="en-US"/>
        </w:rPr>
        <w:t>John</w:t>
      </w:r>
      <w:r w:rsidRPr="00CE73E7">
        <w:rPr>
          <w:color w:val="000000"/>
          <w:lang w:val="en-US"/>
        </w:rPr>
        <w:t xml:space="preserve">, </w:t>
      </w:r>
      <w:r w:rsidRPr="005A1EC3">
        <w:rPr>
          <w:i/>
          <w:color w:val="000000"/>
          <w:lang w:val="en-US"/>
        </w:rPr>
        <w:t>Jude</w:t>
      </w:r>
      <w:r w:rsidRPr="00CE73E7">
        <w:rPr>
          <w:color w:val="000000"/>
          <w:lang w:val="en-US"/>
        </w:rPr>
        <w:t xml:space="preserve">), </w:t>
      </w:r>
      <w:r w:rsidRPr="00BF2007">
        <w:rPr>
          <w:i/>
          <w:color w:val="000000"/>
          <w:lang w:val="en-US"/>
        </w:rPr>
        <w:t>Paul’s Letters</w:t>
      </w:r>
      <w:r w:rsidRPr="00CE73E7">
        <w:rPr>
          <w:color w:val="000000"/>
          <w:lang w:val="en-US"/>
        </w:rPr>
        <w:t xml:space="preserve"> (</w:t>
      </w:r>
      <w:r w:rsidRPr="00BF2007">
        <w:rPr>
          <w:i/>
          <w:color w:val="000000"/>
          <w:lang w:val="en-US"/>
        </w:rPr>
        <w:t>Rom</w:t>
      </w:r>
      <w:r w:rsidRPr="00CE73E7">
        <w:rPr>
          <w:color w:val="000000"/>
          <w:lang w:val="en-US"/>
        </w:rPr>
        <w:t>, 1- 2</w:t>
      </w:r>
      <w:r>
        <w:rPr>
          <w:color w:val="000000"/>
          <w:lang w:val="en-US"/>
        </w:rPr>
        <w:t xml:space="preserve"> </w:t>
      </w:r>
      <w:r w:rsidRPr="00BF2007">
        <w:rPr>
          <w:i/>
          <w:color w:val="000000"/>
          <w:lang w:val="en-US"/>
        </w:rPr>
        <w:t>Cor</w:t>
      </w:r>
      <w:r w:rsidRPr="00CE73E7">
        <w:rPr>
          <w:color w:val="000000"/>
          <w:lang w:val="en-US"/>
        </w:rPr>
        <w:t xml:space="preserve">, </w:t>
      </w:r>
      <w:r w:rsidRPr="00BF2007">
        <w:rPr>
          <w:i/>
          <w:color w:val="000000"/>
          <w:lang w:val="en-US"/>
        </w:rPr>
        <w:t>Gal</w:t>
      </w:r>
      <w:r w:rsidRPr="00CE73E7">
        <w:rPr>
          <w:color w:val="000000"/>
          <w:lang w:val="en-US"/>
        </w:rPr>
        <w:t xml:space="preserve">, </w:t>
      </w:r>
      <w:r w:rsidRPr="00BF2007">
        <w:rPr>
          <w:i/>
          <w:color w:val="000000"/>
          <w:lang w:val="en-US"/>
        </w:rPr>
        <w:t>Eph</w:t>
      </w:r>
      <w:r w:rsidRPr="00CE73E7">
        <w:rPr>
          <w:color w:val="000000"/>
          <w:lang w:val="en-US"/>
        </w:rPr>
        <w:t xml:space="preserve">, </w:t>
      </w:r>
      <w:r w:rsidRPr="00BF2007">
        <w:rPr>
          <w:i/>
          <w:color w:val="000000"/>
          <w:lang w:val="en-US"/>
        </w:rPr>
        <w:t>Phil</w:t>
      </w:r>
      <w:r w:rsidRPr="00CE73E7">
        <w:rPr>
          <w:color w:val="000000"/>
          <w:lang w:val="en-US"/>
        </w:rPr>
        <w:t xml:space="preserve">, </w:t>
      </w:r>
      <w:r w:rsidRPr="00BF2007">
        <w:rPr>
          <w:i/>
          <w:color w:val="000000"/>
          <w:lang w:val="en-US"/>
        </w:rPr>
        <w:t>Col</w:t>
      </w:r>
      <w:r w:rsidRPr="00CE73E7">
        <w:rPr>
          <w:color w:val="000000"/>
          <w:lang w:val="en-US"/>
        </w:rPr>
        <w:t>, 1-2</w:t>
      </w:r>
      <w:r>
        <w:rPr>
          <w:color w:val="000000"/>
          <w:lang w:val="en-US"/>
        </w:rPr>
        <w:t xml:space="preserve"> </w:t>
      </w:r>
      <w:proofErr w:type="spellStart"/>
      <w:r w:rsidRPr="00BF2007">
        <w:rPr>
          <w:i/>
          <w:color w:val="000000"/>
          <w:lang w:val="en-US"/>
        </w:rPr>
        <w:t>Thess</w:t>
      </w:r>
      <w:proofErr w:type="spellEnd"/>
      <w:r w:rsidRPr="00CE73E7">
        <w:rPr>
          <w:color w:val="000000"/>
          <w:lang w:val="en-US"/>
        </w:rPr>
        <w:t xml:space="preserve">, </w:t>
      </w:r>
      <w:r w:rsidRPr="00BF2007">
        <w:rPr>
          <w:i/>
          <w:color w:val="000000"/>
          <w:lang w:val="en-US"/>
        </w:rPr>
        <w:t>Heb</w:t>
      </w:r>
      <w:r w:rsidRPr="00CE73E7">
        <w:rPr>
          <w:color w:val="000000"/>
          <w:lang w:val="en-US"/>
        </w:rPr>
        <w:t>, 1-2</w:t>
      </w:r>
      <w:r>
        <w:rPr>
          <w:color w:val="000000"/>
          <w:lang w:val="en-US"/>
        </w:rPr>
        <w:t xml:space="preserve"> </w:t>
      </w:r>
      <w:r w:rsidRPr="00BF2007">
        <w:rPr>
          <w:i/>
          <w:color w:val="000000"/>
          <w:lang w:val="en-US"/>
        </w:rPr>
        <w:t>Tim</w:t>
      </w:r>
      <w:r w:rsidRPr="00CE73E7">
        <w:rPr>
          <w:color w:val="000000"/>
          <w:lang w:val="en-US"/>
        </w:rPr>
        <w:t xml:space="preserve">, </w:t>
      </w:r>
      <w:r w:rsidRPr="00BF2007">
        <w:rPr>
          <w:i/>
          <w:color w:val="000000"/>
          <w:lang w:val="en-US"/>
        </w:rPr>
        <w:t>Tit</w:t>
      </w:r>
      <w:r w:rsidRPr="00CE73E7">
        <w:rPr>
          <w:color w:val="000000"/>
          <w:lang w:val="en-US"/>
        </w:rPr>
        <w:t xml:space="preserve">, </w:t>
      </w:r>
      <w:proofErr w:type="spellStart"/>
      <w:r w:rsidRPr="00BF2007">
        <w:rPr>
          <w:i/>
          <w:color w:val="000000"/>
          <w:lang w:val="en-US"/>
        </w:rPr>
        <w:t>Philem</w:t>
      </w:r>
      <w:proofErr w:type="spellEnd"/>
      <w:r w:rsidRPr="00CE73E7">
        <w:rPr>
          <w:color w:val="000000"/>
          <w:lang w:val="en-US"/>
        </w:rPr>
        <w:t>), and </w:t>
      </w:r>
      <w:r w:rsidRPr="00BF2007">
        <w:rPr>
          <w:i/>
          <w:color w:val="000000"/>
          <w:lang w:val="en-US"/>
        </w:rPr>
        <w:t>Revelation</w:t>
      </w:r>
      <w:r w:rsidRPr="00CE73E7">
        <w:rPr>
          <w:color w:val="000000"/>
          <w:lang w:val="en-US"/>
        </w:rPr>
        <w:t>.</w:t>
      </w:r>
    </w:p>
    <w:p w14:paraId="48A3CCEE" w14:textId="43ACB53F" w:rsidR="00133B09" w:rsidRPr="00CE73E7" w:rsidRDefault="00133B09" w:rsidP="00133B09">
      <w:pPr>
        <w:pStyle w:val="NormalWeb"/>
        <w:spacing w:before="120" w:beforeAutospacing="0" w:after="120" w:afterAutospacing="0"/>
        <w:ind w:left="1134"/>
        <w:jc w:val="both"/>
        <w:rPr>
          <w:color w:val="000000"/>
          <w:sz w:val="27"/>
          <w:szCs w:val="27"/>
          <w:lang w:val="en-US"/>
        </w:rPr>
      </w:pPr>
      <w:r>
        <w:rPr>
          <w:color w:val="000000"/>
          <w:lang w:val="en-US"/>
        </w:rPr>
        <w:t>‘</w:t>
      </w:r>
      <w:r w:rsidRPr="00CE73E7">
        <w:rPr>
          <w:color w:val="000000"/>
          <w:lang w:val="en-US"/>
        </w:rPr>
        <w:t xml:space="preserve">The fragmentary character of the Codex </w:t>
      </w:r>
      <w:proofErr w:type="spellStart"/>
      <w:r w:rsidRPr="00CE73E7">
        <w:rPr>
          <w:color w:val="000000"/>
          <w:lang w:val="en-US"/>
        </w:rPr>
        <w:t>Ephraemi</w:t>
      </w:r>
      <w:proofErr w:type="spellEnd"/>
      <w:r w:rsidR="00D60D58">
        <w:rPr>
          <w:color w:val="000000"/>
          <w:lang w:val="en-US"/>
        </w:rPr>
        <w:t xml:space="preserve"> does not permit a detailed reconstruction of the original sequence of writings. Its pa</w:t>
      </w:r>
      <w:r w:rsidR="0036496D">
        <w:rPr>
          <w:color w:val="000000"/>
          <w:lang w:val="en-US"/>
        </w:rPr>
        <w:t>ges had been detached, washed</w:t>
      </w:r>
      <w:r w:rsidRPr="00CE73E7">
        <w:rPr>
          <w:color w:val="000000"/>
          <w:lang w:val="en-US"/>
        </w:rPr>
        <w:t xml:space="preserve"> off, </w:t>
      </w:r>
      <w:r w:rsidR="0036496D">
        <w:rPr>
          <w:color w:val="000000"/>
          <w:lang w:val="en-US"/>
        </w:rPr>
        <w:t xml:space="preserve">reused for </w:t>
      </w:r>
      <w:r w:rsidRPr="00CE73E7">
        <w:rPr>
          <w:color w:val="000000"/>
          <w:lang w:val="en-US"/>
        </w:rPr>
        <w:t xml:space="preserve">the writings of the Syrian church father </w:t>
      </w:r>
      <w:proofErr w:type="spellStart"/>
      <w:r w:rsidRPr="00CE73E7">
        <w:rPr>
          <w:color w:val="000000"/>
          <w:lang w:val="en-US"/>
        </w:rPr>
        <w:t>Ephraem</w:t>
      </w:r>
      <w:proofErr w:type="spellEnd"/>
      <w:r w:rsidR="00C96D46">
        <w:rPr>
          <w:color w:val="000000"/>
          <w:lang w:val="en-US"/>
        </w:rPr>
        <w:t>,</w:t>
      </w:r>
      <w:r w:rsidRPr="00CE73E7">
        <w:rPr>
          <w:color w:val="000000"/>
          <w:lang w:val="en-US"/>
        </w:rPr>
        <w:t xml:space="preserve"> and </w:t>
      </w:r>
      <w:r w:rsidR="00C96D46">
        <w:rPr>
          <w:color w:val="000000"/>
          <w:lang w:val="en-US"/>
        </w:rPr>
        <w:t xml:space="preserve">then </w:t>
      </w:r>
      <w:r w:rsidRPr="00CE73E7">
        <w:rPr>
          <w:color w:val="000000"/>
          <w:lang w:val="en-US"/>
        </w:rPr>
        <w:t>rebound</w:t>
      </w:r>
      <w:bookmarkStart w:id="8" w:name="_ftnref114"/>
      <w:bookmarkEnd w:id="8"/>
      <w:r>
        <w:rPr>
          <w:color w:val="000000"/>
          <w:lang w:val="en-US"/>
        </w:rPr>
        <w:t>’</w:t>
      </w:r>
      <w:r w:rsidR="00C96D46">
        <w:rPr>
          <w:color w:val="000000"/>
          <w:lang w:val="en-US"/>
        </w:rPr>
        <w:t>.</w:t>
      </w:r>
      <w:r w:rsidR="00C96D46">
        <w:rPr>
          <w:rStyle w:val="FootnoteReference"/>
          <w:color w:val="000000"/>
          <w:lang w:val="en-US"/>
        </w:rPr>
        <w:footnoteReference w:id="10"/>
      </w:r>
      <w:r w:rsidRPr="00CE73E7">
        <w:rPr>
          <w:color w:val="000000"/>
          <w:sz w:val="27"/>
          <w:szCs w:val="27"/>
          <w:lang w:val="en-US"/>
        </w:rPr>
        <w:t xml:space="preserve"> </w:t>
      </w:r>
    </w:p>
    <w:p w14:paraId="4EF99E20" w14:textId="77777777" w:rsidR="00133B09" w:rsidRPr="00133B09" w:rsidRDefault="00133B09" w:rsidP="00133B09">
      <w:pPr>
        <w:pStyle w:val="NormalWeb"/>
        <w:spacing w:before="0" w:beforeAutospacing="0" w:after="0" w:afterAutospacing="0" w:line="259" w:lineRule="atLeast"/>
        <w:jc w:val="both"/>
        <w:rPr>
          <w:color w:val="000000"/>
          <w:lang w:val="en-US"/>
        </w:rPr>
      </w:pPr>
      <w:r w:rsidRPr="00CE73E7">
        <w:rPr>
          <w:color w:val="000000"/>
          <w:lang w:val="en-US"/>
        </w:rPr>
        <w:t xml:space="preserve">As this overview shows and as David </w:t>
      </w:r>
      <w:proofErr w:type="spellStart"/>
      <w:r w:rsidRPr="00CE73E7">
        <w:rPr>
          <w:color w:val="000000"/>
          <w:lang w:val="en-US"/>
        </w:rPr>
        <w:t>Trobisch</w:t>
      </w:r>
      <w:proofErr w:type="spellEnd"/>
      <w:r w:rsidRPr="00CE73E7">
        <w:rPr>
          <w:color w:val="000000"/>
          <w:lang w:val="en-US"/>
        </w:rPr>
        <w:t xml:space="preserve"> pointed out, the writings were not included as individual texts in the collections of the 5</w:t>
      </w:r>
      <w:r w:rsidRPr="00247CE2">
        <w:rPr>
          <w:color w:val="000000"/>
          <w:vertAlign w:val="superscript"/>
          <w:lang w:val="en-US"/>
        </w:rPr>
        <w:t>th</w:t>
      </w:r>
      <w:r w:rsidRPr="00CE73E7">
        <w:rPr>
          <w:color w:val="000000"/>
          <w:lang w:val="en-US"/>
        </w:rPr>
        <w:t> and 4</w:t>
      </w:r>
      <w:r w:rsidRPr="00247CE2">
        <w:rPr>
          <w:color w:val="000000"/>
          <w:vertAlign w:val="superscript"/>
          <w:lang w:val="en-US"/>
        </w:rPr>
        <w:t>th</w:t>
      </w:r>
      <w:r w:rsidRPr="00CE73E7">
        <w:rPr>
          <w:color w:val="000000"/>
          <w:lang w:val="en-US"/>
        </w:rPr>
        <w:t xml:space="preserve"> centuries, </w:t>
      </w:r>
      <w:r>
        <w:rPr>
          <w:color w:val="000000"/>
          <w:lang w:val="en-US"/>
        </w:rPr>
        <w:t>as otherwise</w:t>
      </w:r>
      <w:r w:rsidRPr="00CE73E7">
        <w:rPr>
          <w:color w:val="000000"/>
          <w:lang w:val="en-US"/>
        </w:rPr>
        <w:t xml:space="preserve"> </w:t>
      </w:r>
      <w:r>
        <w:rPr>
          <w:color w:val="000000"/>
          <w:lang w:val="en-US"/>
        </w:rPr>
        <w:t xml:space="preserve">one </w:t>
      </w:r>
      <w:r w:rsidRPr="00CE73E7">
        <w:rPr>
          <w:color w:val="000000"/>
          <w:lang w:val="en-US"/>
        </w:rPr>
        <w:t xml:space="preserve">would </w:t>
      </w:r>
      <w:r>
        <w:rPr>
          <w:color w:val="000000"/>
          <w:lang w:val="en-US"/>
        </w:rPr>
        <w:t xml:space="preserve">expect them to be not present according to the same sequence, but </w:t>
      </w:r>
      <w:r w:rsidRPr="00CE73E7">
        <w:rPr>
          <w:color w:val="000000"/>
          <w:lang w:val="en-US"/>
        </w:rPr>
        <w:t>in different combinations and in different order</w:t>
      </w:r>
      <w:r>
        <w:rPr>
          <w:color w:val="000000"/>
          <w:lang w:val="en-US"/>
        </w:rPr>
        <w:t xml:space="preserve">. However, as </w:t>
      </w:r>
      <w:proofErr w:type="spellStart"/>
      <w:r>
        <w:rPr>
          <w:color w:val="000000"/>
          <w:lang w:val="en-US"/>
        </w:rPr>
        <w:t>Trobisch</w:t>
      </w:r>
      <w:proofErr w:type="spellEnd"/>
      <w:r>
        <w:rPr>
          <w:color w:val="000000"/>
          <w:lang w:val="en-US"/>
        </w:rPr>
        <w:t xml:space="preserve"> rightly shows, they are present</w:t>
      </w:r>
      <w:r w:rsidRPr="00CE73E7">
        <w:rPr>
          <w:color w:val="000000"/>
          <w:lang w:val="en-US"/>
        </w:rPr>
        <w:t xml:space="preserve"> </w:t>
      </w:r>
      <w:r>
        <w:rPr>
          <w:color w:val="000000"/>
          <w:lang w:val="en-US"/>
        </w:rPr>
        <w:t xml:space="preserve">according to </w:t>
      </w:r>
      <w:r w:rsidRPr="00CE73E7">
        <w:rPr>
          <w:color w:val="000000"/>
          <w:lang w:val="en-US"/>
        </w:rPr>
        <w:t>pre-existing groups or blocks which, like the</w:t>
      </w:r>
      <w:r>
        <w:rPr>
          <w:color w:val="000000"/>
          <w:lang w:val="en-US"/>
        </w:rPr>
        <w:t xml:space="preserve"> </w:t>
      </w:r>
      <w:r>
        <w:rPr>
          <w:i/>
          <w:color w:val="000000"/>
          <w:lang w:val="en-US"/>
        </w:rPr>
        <w:t>Gospels</w:t>
      </w:r>
      <w:r>
        <w:rPr>
          <w:color w:val="000000"/>
          <w:lang w:val="en-US"/>
        </w:rPr>
        <w:t xml:space="preserve">, </w:t>
      </w:r>
      <w:r>
        <w:rPr>
          <w:i/>
          <w:color w:val="000000"/>
          <w:lang w:val="en-US"/>
        </w:rPr>
        <w:t>Paul’s Letters</w:t>
      </w:r>
      <w:r>
        <w:rPr>
          <w:color w:val="000000"/>
          <w:lang w:val="en-US"/>
        </w:rPr>
        <w:t xml:space="preserve"> and the</w:t>
      </w:r>
      <w:r w:rsidRPr="00CE73E7">
        <w:rPr>
          <w:color w:val="000000"/>
          <w:lang w:val="en-US"/>
        </w:rPr>
        <w:t> </w:t>
      </w:r>
      <w:proofErr w:type="spellStart"/>
      <w:r>
        <w:rPr>
          <w:i/>
          <w:color w:val="000000"/>
          <w:lang w:val="en-US"/>
        </w:rPr>
        <w:t>Praxapostolos</w:t>
      </w:r>
      <w:proofErr w:type="spellEnd"/>
      <w:r>
        <w:rPr>
          <w:color w:val="000000"/>
          <w:lang w:val="en-US"/>
        </w:rPr>
        <w:t xml:space="preserve"> had </w:t>
      </w:r>
      <w:r>
        <w:rPr>
          <w:color w:val="000000"/>
          <w:lang w:val="en-US"/>
        </w:rPr>
        <w:lastRenderedPageBreak/>
        <w:t xml:space="preserve">designations for these sub-groupings within the New Testament. Hence we are dealing with three or, if we want to take </w:t>
      </w:r>
      <w:r>
        <w:rPr>
          <w:i/>
          <w:color w:val="000000"/>
          <w:lang w:val="en-US"/>
        </w:rPr>
        <w:t>Revelation</w:t>
      </w:r>
      <w:r>
        <w:rPr>
          <w:color w:val="000000"/>
          <w:lang w:val="en-US"/>
        </w:rPr>
        <w:t xml:space="preserve"> as a block in its own right, four sub-groupings that make up the New Testament in these codices</w:t>
      </w:r>
      <w:r w:rsidRPr="00CE73E7">
        <w:rPr>
          <w:color w:val="000000"/>
          <w:lang w:val="en-US"/>
        </w:rPr>
        <w:t xml:space="preserve">: </w:t>
      </w:r>
      <w:r>
        <w:rPr>
          <w:color w:val="000000"/>
          <w:lang w:val="en-US"/>
        </w:rPr>
        <w:t xml:space="preserve">The </w:t>
      </w:r>
      <w:r w:rsidRPr="00421D80">
        <w:rPr>
          <w:i/>
          <w:color w:val="000000"/>
          <w:lang w:val="en-US"/>
        </w:rPr>
        <w:t>Gospels</w:t>
      </w:r>
      <w:r w:rsidRPr="00CE73E7">
        <w:rPr>
          <w:color w:val="000000"/>
          <w:lang w:val="en-US"/>
        </w:rPr>
        <w:t xml:space="preserve"> (e), </w:t>
      </w:r>
      <w:r w:rsidRPr="00421D80">
        <w:rPr>
          <w:i/>
          <w:color w:val="000000"/>
          <w:lang w:val="en-US"/>
        </w:rPr>
        <w:t>Paul’s Letters</w:t>
      </w:r>
      <w:r w:rsidRPr="00CE73E7">
        <w:rPr>
          <w:color w:val="000000"/>
          <w:lang w:val="en-US"/>
        </w:rPr>
        <w:t xml:space="preserve"> (p),</w:t>
      </w:r>
      <w:r>
        <w:rPr>
          <w:color w:val="000000"/>
          <w:lang w:val="en-US"/>
        </w:rPr>
        <w:t xml:space="preserve"> the</w:t>
      </w:r>
      <w:r w:rsidRPr="00CE73E7">
        <w:rPr>
          <w:color w:val="000000"/>
          <w:lang w:val="en-US"/>
        </w:rPr>
        <w:t xml:space="preserve"> </w:t>
      </w:r>
      <w:proofErr w:type="spellStart"/>
      <w:r w:rsidRPr="00F201BE">
        <w:rPr>
          <w:i/>
          <w:color w:val="000000"/>
          <w:lang w:val="en-US"/>
        </w:rPr>
        <w:t>Praxapostolos</w:t>
      </w:r>
      <w:proofErr w:type="spellEnd"/>
      <w:r w:rsidRPr="00CE73E7">
        <w:rPr>
          <w:color w:val="000000"/>
          <w:lang w:val="en-US"/>
        </w:rPr>
        <w:t xml:space="preserve"> (a) and </w:t>
      </w:r>
      <w:r w:rsidRPr="00F201BE">
        <w:rPr>
          <w:i/>
          <w:color w:val="000000"/>
          <w:lang w:val="en-US"/>
        </w:rPr>
        <w:t>Revelation</w:t>
      </w:r>
      <w:r w:rsidRPr="00CE73E7">
        <w:rPr>
          <w:color w:val="000000"/>
          <w:lang w:val="en-US"/>
        </w:rPr>
        <w:t xml:space="preserve"> (r).</w:t>
      </w:r>
      <w:bookmarkStart w:id="9" w:name="_ftnref115"/>
      <w:bookmarkEnd w:id="9"/>
      <w:r>
        <w:rPr>
          <w:rStyle w:val="FootnoteReference"/>
          <w:color w:val="000000"/>
          <w:lang w:val="en-US"/>
        </w:rPr>
        <w:footnoteReference w:id="11"/>
      </w:r>
      <w:r w:rsidRPr="00CE73E7">
        <w:rPr>
          <w:color w:val="000000"/>
          <w:lang w:val="en-US"/>
        </w:rPr>
        <w:t xml:space="preserve"> </w:t>
      </w:r>
      <w:r>
        <w:rPr>
          <w:color w:val="000000"/>
          <w:lang w:val="en-US"/>
        </w:rPr>
        <w:t xml:space="preserve">That we are, indeed, having to do with solid </w:t>
      </w:r>
      <w:r w:rsidRPr="00CE73E7">
        <w:rPr>
          <w:color w:val="000000"/>
          <w:lang w:val="en-US"/>
        </w:rPr>
        <w:t xml:space="preserve">building blocks </w:t>
      </w:r>
      <w:r>
        <w:rPr>
          <w:color w:val="000000"/>
          <w:lang w:val="en-US"/>
        </w:rPr>
        <w:t xml:space="preserve">that form the bigger collection is also reflected in the extant </w:t>
      </w:r>
      <w:r w:rsidRPr="00CE73E7">
        <w:rPr>
          <w:color w:val="000000"/>
          <w:lang w:val="en-US"/>
        </w:rPr>
        <w:t xml:space="preserve">New Testament papyri, </w:t>
      </w:r>
      <w:r>
        <w:rPr>
          <w:color w:val="000000"/>
          <w:lang w:val="en-US"/>
        </w:rPr>
        <w:t xml:space="preserve">in </w:t>
      </w:r>
      <w:r w:rsidRPr="00CE73E7">
        <w:rPr>
          <w:color w:val="000000"/>
          <w:lang w:val="en-US"/>
        </w:rPr>
        <w:t xml:space="preserve">other </w:t>
      </w:r>
      <w:r>
        <w:rPr>
          <w:color w:val="000000"/>
          <w:lang w:val="en-US"/>
        </w:rPr>
        <w:t xml:space="preserve">New Testament </w:t>
      </w:r>
      <w:r w:rsidRPr="00CE73E7">
        <w:rPr>
          <w:color w:val="000000"/>
          <w:lang w:val="en-US"/>
        </w:rPr>
        <w:t>codices and other external witnesses, especially Origen and Eusebius.</w:t>
      </w:r>
      <w:bookmarkStart w:id="10" w:name="_ftnref116"/>
      <w:bookmarkEnd w:id="10"/>
      <w:r>
        <w:rPr>
          <w:rStyle w:val="FootnoteReference"/>
          <w:color w:val="000000"/>
          <w:lang w:val="en-US"/>
        </w:rPr>
        <w:footnoteReference w:id="12"/>
      </w:r>
      <w:r w:rsidRPr="00CE73E7">
        <w:rPr>
          <w:color w:val="000000"/>
          <w:lang w:val="en-US"/>
        </w:rPr>
        <w:t xml:space="preserve"> </w:t>
      </w:r>
      <w:r w:rsidRPr="00133B09">
        <w:rPr>
          <w:color w:val="000000"/>
          <w:lang w:val="en-US"/>
        </w:rPr>
        <w:t>In response to criticism of this finding</w:t>
      </w:r>
      <w:bookmarkStart w:id="11" w:name="_ftnref117"/>
      <w:bookmarkEnd w:id="11"/>
      <w:r>
        <w:rPr>
          <w:rStyle w:val="FootnoteReference"/>
          <w:color w:val="000000"/>
          <w:lang w:val="en-US"/>
        </w:rPr>
        <w:footnoteReference w:id="13"/>
      </w:r>
      <w:r w:rsidRPr="00133B09">
        <w:rPr>
          <w:color w:val="000000"/>
          <w:lang w:val="en-US"/>
        </w:rPr>
        <w:t xml:space="preserve"> </w:t>
      </w:r>
      <w:proofErr w:type="spellStart"/>
      <w:r w:rsidRPr="00133B09">
        <w:rPr>
          <w:color w:val="000000"/>
          <w:lang w:val="en-US"/>
        </w:rPr>
        <w:t>Heilmann</w:t>
      </w:r>
      <w:proofErr w:type="spellEnd"/>
      <w:r w:rsidRPr="00133B09">
        <w:rPr>
          <w:color w:val="000000"/>
          <w:lang w:val="en-US"/>
        </w:rPr>
        <w:t xml:space="preserve"> states:</w:t>
      </w:r>
    </w:p>
    <w:p w14:paraId="59341F65" w14:textId="77777777" w:rsidR="00133B09" w:rsidRPr="00133B09" w:rsidRDefault="00133B09" w:rsidP="00133B09">
      <w:pPr>
        <w:pStyle w:val="NormalWeb"/>
        <w:spacing w:before="0" w:beforeAutospacing="0" w:after="0" w:afterAutospacing="0" w:line="259" w:lineRule="atLeast"/>
        <w:jc w:val="both"/>
        <w:rPr>
          <w:lang w:val="en-US"/>
        </w:rPr>
      </w:pPr>
      <w:r w:rsidRPr="00133B09">
        <w:rPr>
          <w:lang w:val="en-US"/>
        </w:rPr>
        <w:tab/>
      </w:r>
    </w:p>
    <w:p w14:paraId="3FA54381" w14:textId="77777777" w:rsidR="00133B09" w:rsidRDefault="00133B09" w:rsidP="00133B09">
      <w:pPr>
        <w:pStyle w:val="NormalWeb"/>
        <w:spacing w:before="0" w:beforeAutospacing="0" w:after="0" w:afterAutospacing="0" w:line="259" w:lineRule="atLeast"/>
        <w:ind w:left="708"/>
        <w:jc w:val="both"/>
        <w:rPr>
          <w:sz w:val="20"/>
          <w:szCs w:val="20"/>
          <w:lang w:val="en-US"/>
        </w:rPr>
      </w:pPr>
      <w:r w:rsidRPr="008057EF">
        <w:rPr>
          <w:sz w:val="20"/>
          <w:szCs w:val="20"/>
          <w:lang w:val="en-US"/>
        </w:rPr>
        <w:t>‘In addition to the q</w:t>
      </w:r>
      <w:r>
        <w:rPr>
          <w:sz w:val="20"/>
          <w:szCs w:val="20"/>
          <w:lang w:val="en-US"/>
        </w:rPr>
        <w:t xml:space="preserve">uestion of the order of the individual writings within the sub-collections, the survey of </w:t>
      </w:r>
      <w:proofErr w:type="spellStart"/>
      <w:r>
        <w:rPr>
          <w:sz w:val="20"/>
          <w:szCs w:val="20"/>
          <w:lang w:val="en-US"/>
        </w:rPr>
        <w:t>Trobisch</w:t>
      </w:r>
      <w:proofErr w:type="spellEnd"/>
      <w:r>
        <w:rPr>
          <w:sz w:val="20"/>
          <w:szCs w:val="20"/>
          <w:lang w:val="en-US"/>
        </w:rPr>
        <w:t xml:space="preserve"> clearly demonstrates the high consistency of the make of the sub-collections e, p, a, r across a long time span which is being manifest in the Greek manuscripts and also in some of the old translations ... </w:t>
      </w:r>
      <w:proofErr w:type="spellStart"/>
      <w:r>
        <w:rPr>
          <w:sz w:val="20"/>
          <w:szCs w:val="20"/>
          <w:lang w:val="en-US"/>
        </w:rPr>
        <w:t>Trobisch’s</w:t>
      </w:r>
      <w:proofErr w:type="spellEnd"/>
      <w:r>
        <w:rPr>
          <w:sz w:val="20"/>
          <w:szCs w:val="20"/>
          <w:lang w:val="en-US"/>
        </w:rPr>
        <w:t xml:space="preserve"> result remains valid that the </w:t>
      </w:r>
      <w:proofErr w:type="spellStart"/>
      <w:r>
        <w:rPr>
          <w:sz w:val="20"/>
          <w:szCs w:val="20"/>
          <w:lang w:val="en-US"/>
        </w:rPr>
        <w:t>organisation</w:t>
      </w:r>
      <w:proofErr w:type="spellEnd"/>
      <w:r>
        <w:rPr>
          <w:sz w:val="20"/>
          <w:szCs w:val="20"/>
          <w:lang w:val="en-US"/>
        </w:rPr>
        <w:t xml:space="preserve"> according to sub-collections in these big codices that were created independently of each other during the 4</w:t>
      </w:r>
      <w:r w:rsidRPr="00555239">
        <w:rPr>
          <w:sz w:val="20"/>
          <w:szCs w:val="20"/>
          <w:vertAlign w:val="superscript"/>
          <w:lang w:val="en-US"/>
        </w:rPr>
        <w:t>th</w:t>
      </w:r>
      <w:r>
        <w:rPr>
          <w:sz w:val="20"/>
          <w:szCs w:val="20"/>
          <w:lang w:val="en-US"/>
        </w:rPr>
        <w:t xml:space="preserve"> and the 5</w:t>
      </w:r>
      <w:r w:rsidRPr="00555239">
        <w:rPr>
          <w:sz w:val="20"/>
          <w:szCs w:val="20"/>
          <w:vertAlign w:val="superscript"/>
          <w:lang w:val="en-US"/>
        </w:rPr>
        <w:t>th</w:t>
      </w:r>
      <w:r>
        <w:rPr>
          <w:sz w:val="20"/>
          <w:szCs w:val="20"/>
          <w:lang w:val="en-US"/>
        </w:rPr>
        <w:t xml:space="preserve"> centuries must go back to an ancestor’.</w:t>
      </w:r>
      <w:r>
        <w:rPr>
          <w:rStyle w:val="FootnoteReference"/>
          <w:sz w:val="20"/>
          <w:szCs w:val="20"/>
          <w:lang w:val="en-US"/>
        </w:rPr>
        <w:footnoteReference w:id="14"/>
      </w:r>
    </w:p>
    <w:p w14:paraId="50D98346" w14:textId="77777777" w:rsidR="00D51648" w:rsidRPr="008057EF" w:rsidRDefault="00D51648" w:rsidP="00133B09">
      <w:pPr>
        <w:pStyle w:val="NormalWeb"/>
        <w:spacing w:before="0" w:beforeAutospacing="0" w:after="0" w:afterAutospacing="0" w:line="259" w:lineRule="atLeast"/>
        <w:ind w:left="708"/>
        <w:jc w:val="both"/>
        <w:rPr>
          <w:sz w:val="20"/>
          <w:szCs w:val="20"/>
          <w:lang w:val="en-US"/>
        </w:rPr>
      </w:pPr>
    </w:p>
    <w:p w14:paraId="421B6F39" w14:textId="77777777" w:rsidR="00133B09" w:rsidRPr="00CE73E7" w:rsidRDefault="00133B09" w:rsidP="00133B09">
      <w:pPr>
        <w:pStyle w:val="NormalWeb"/>
        <w:spacing w:before="0" w:beforeAutospacing="0" w:after="0" w:afterAutospacing="0" w:line="259" w:lineRule="atLeast"/>
        <w:jc w:val="both"/>
        <w:rPr>
          <w:color w:val="000000"/>
          <w:lang w:val="en-US"/>
        </w:rPr>
      </w:pPr>
      <w:r w:rsidRPr="00CE73E7">
        <w:rPr>
          <w:color w:val="000000"/>
          <w:lang w:val="en-US"/>
        </w:rPr>
        <w:t>If we follow Irenaeus again in his reading of this collection, </w:t>
      </w:r>
      <w:r>
        <w:rPr>
          <w:color w:val="000000"/>
          <w:lang w:val="en-US"/>
        </w:rPr>
        <w:t>the way he presents and makes use of the texts of this collection demonstrates that he</w:t>
      </w:r>
      <w:r w:rsidRPr="00CE73E7">
        <w:rPr>
          <w:color w:val="000000"/>
          <w:lang w:val="en-US"/>
        </w:rPr>
        <w:t xml:space="preserve"> perceived at least the </w:t>
      </w:r>
      <w:r w:rsidRPr="00E21E7D">
        <w:rPr>
          <w:i/>
          <w:color w:val="000000"/>
          <w:lang w:val="en-US"/>
        </w:rPr>
        <w:t>Gospels</w:t>
      </w:r>
      <w:r w:rsidRPr="00CE73E7">
        <w:rPr>
          <w:color w:val="000000"/>
          <w:lang w:val="en-US"/>
        </w:rPr>
        <w:t xml:space="preserve"> and </w:t>
      </w:r>
      <w:r w:rsidRPr="00FF7390">
        <w:rPr>
          <w:i/>
          <w:color w:val="000000"/>
          <w:lang w:val="en-US"/>
        </w:rPr>
        <w:t>Paul’s Letters</w:t>
      </w:r>
      <w:r>
        <w:rPr>
          <w:color w:val="000000"/>
          <w:lang w:val="en-US"/>
        </w:rPr>
        <w:t xml:space="preserve"> </w:t>
      </w:r>
      <w:r w:rsidRPr="00CE73E7">
        <w:rPr>
          <w:color w:val="000000"/>
          <w:lang w:val="en-US"/>
        </w:rPr>
        <w:t xml:space="preserve">as </w:t>
      </w:r>
      <w:r>
        <w:rPr>
          <w:color w:val="000000"/>
          <w:lang w:val="en-US"/>
        </w:rPr>
        <w:t>sub-</w:t>
      </w:r>
      <w:r w:rsidRPr="00CE73E7">
        <w:rPr>
          <w:color w:val="000000"/>
          <w:lang w:val="en-US"/>
        </w:rPr>
        <w:t>collections. </w:t>
      </w:r>
      <w:proofErr w:type="gramStart"/>
      <w:r w:rsidRPr="00CE73E7">
        <w:rPr>
          <w:color w:val="000000"/>
          <w:lang w:val="en-US"/>
        </w:rPr>
        <w:t>Certainly</w:t>
      </w:r>
      <w:proofErr w:type="gramEnd"/>
      <w:r w:rsidRPr="00CE73E7">
        <w:rPr>
          <w:color w:val="000000"/>
          <w:lang w:val="en-US"/>
        </w:rPr>
        <w:t xml:space="preserve"> we </w:t>
      </w:r>
      <w:r>
        <w:rPr>
          <w:color w:val="000000"/>
          <w:lang w:val="en-US"/>
        </w:rPr>
        <w:t>find, as shown,</w:t>
      </w:r>
      <w:r w:rsidRPr="00CE73E7">
        <w:rPr>
          <w:color w:val="000000"/>
          <w:lang w:val="en-US"/>
        </w:rPr>
        <w:t xml:space="preserve"> different orders in which the </w:t>
      </w:r>
      <w:r>
        <w:rPr>
          <w:color w:val="000000"/>
          <w:lang w:val="en-US"/>
        </w:rPr>
        <w:t xml:space="preserve">individual </w:t>
      </w:r>
      <w:r w:rsidRPr="0040357B">
        <w:rPr>
          <w:i/>
          <w:color w:val="000000"/>
          <w:lang w:val="en-US"/>
        </w:rPr>
        <w:t>Gospels</w:t>
      </w:r>
      <w:r w:rsidRPr="00CE73E7">
        <w:rPr>
          <w:color w:val="000000"/>
          <w:lang w:val="en-US"/>
        </w:rPr>
        <w:t xml:space="preserve"> were possibly available to</w:t>
      </w:r>
      <w:r>
        <w:rPr>
          <w:color w:val="000000"/>
          <w:lang w:val="en-US"/>
        </w:rPr>
        <w:t xml:space="preserve"> or ordered by</w:t>
      </w:r>
      <w:r w:rsidRPr="00CE73E7">
        <w:rPr>
          <w:color w:val="000000"/>
          <w:lang w:val="en-US"/>
        </w:rPr>
        <w:t xml:space="preserve"> him, but he too consciously understood these four </w:t>
      </w:r>
      <w:r w:rsidRPr="002A1C55">
        <w:rPr>
          <w:i/>
          <w:color w:val="000000"/>
          <w:lang w:val="en-US"/>
        </w:rPr>
        <w:t>Gospels</w:t>
      </w:r>
      <w:r w:rsidRPr="00CE73E7">
        <w:rPr>
          <w:color w:val="000000"/>
          <w:lang w:val="en-US"/>
        </w:rPr>
        <w:t xml:space="preserve"> as a unit, not only in the sense </w:t>
      </w:r>
      <w:r>
        <w:rPr>
          <w:color w:val="000000"/>
          <w:lang w:val="en-US"/>
        </w:rPr>
        <w:t>as</w:t>
      </w:r>
      <w:r w:rsidRPr="00CE73E7">
        <w:rPr>
          <w:color w:val="000000"/>
          <w:lang w:val="en-US"/>
        </w:rPr>
        <w:t xml:space="preserve"> Origen </w:t>
      </w:r>
      <w:r>
        <w:rPr>
          <w:color w:val="000000"/>
          <w:lang w:val="en-US"/>
        </w:rPr>
        <w:t xml:space="preserve">perceived them, namely </w:t>
      </w:r>
      <w:r w:rsidRPr="00CE73E7">
        <w:rPr>
          <w:color w:val="000000"/>
          <w:lang w:val="en-US"/>
        </w:rPr>
        <w:t>as a collection of spiritual writings, but also as a reflection of the historical beginnings of Christianity. According to his foreword to Book III of </w:t>
      </w:r>
      <w:proofErr w:type="spellStart"/>
      <w:r w:rsidRPr="00CE73E7">
        <w:rPr>
          <w:i/>
          <w:iCs/>
          <w:color w:val="000000"/>
          <w:lang w:val="en-US"/>
        </w:rPr>
        <w:t>Adversus</w:t>
      </w:r>
      <w:proofErr w:type="spellEnd"/>
      <w:r w:rsidRPr="00CE73E7">
        <w:rPr>
          <w:i/>
          <w:iCs/>
          <w:color w:val="000000"/>
          <w:lang w:val="en-US"/>
        </w:rPr>
        <w:t xml:space="preserve"> </w:t>
      </w:r>
      <w:proofErr w:type="spellStart"/>
      <w:r w:rsidRPr="00CE73E7">
        <w:rPr>
          <w:i/>
          <w:iCs/>
          <w:color w:val="000000"/>
          <w:lang w:val="en-US"/>
        </w:rPr>
        <w:t>haereses</w:t>
      </w:r>
      <w:proofErr w:type="spellEnd"/>
      <w:r w:rsidRPr="00CE73E7">
        <w:rPr>
          <w:color w:val="000000"/>
          <w:lang w:val="en-US"/>
        </w:rPr>
        <w:t xml:space="preserve">, </w:t>
      </w:r>
      <w:r>
        <w:rPr>
          <w:color w:val="000000"/>
          <w:lang w:val="en-US"/>
        </w:rPr>
        <w:t>Irenaeus</w:t>
      </w:r>
      <w:r w:rsidRPr="00CE73E7">
        <w:rPr>
          <w:color w:val="000000"/>
          <w:lang w:val="en-US"/>
        </w:rPr>
        <w:t xml:space="preserve"> </w:t>
      </w:r>
      <w:r>
        <w:rPr>
          <w:color w:val="000000"/>
          <w:lang w:val="en-US"/>
        </w:rPr>
        <w:t>regarded ‘t</w:t>
      </w:r>
      <w:r w:rsidRPr="00CE73E7">
        <w:rPr>
          <w:color w:val="000000"/>
          <w:lang w:val="en-US"/>
        </w:rPr>
        <w:t xml:space="preserve">he </w:t>
      </w:r>
      <w:r>
        <w:rPr>
          <w:color w:val="000000"/>
          <w:lang w:val="en-US"/>
        </w:rPr>
        <w:t>G</w:t>
      </w:r>
      <w:r w:rsidRPr="00CE73E7">
        <w:rPr>
          <w:color w:val="000000"/>
          <w:lang w:val="en-US"/>
        </w:rPr>
        <w:t>ospel</w:t>
      </w:r>
      <w:r>
        <w:rPr>
          <w:color w:val="000000"/>
          <w:lang w:val="en-US"/>
        </w:rPr>
        <w:t>’—the</w:t>
      </w:r>
      <w:r w:rsidRPr="00CE73E7">
        <w:rPr>
          <w:color w:val="000000"/>
          <w:lang w:val="en-US"/>
        </w:rPr>
        <w:t xml:space="preserve"> singular expresses the </w:t>
      </w:r>
      <w:r>
        <w:rPr>
          <w:color w:val="000000"/>
          <w:lang w:val="en-US"/>
        </w:rPr>
        <w:t>view</w:t>
      </w:r>
      <w:r w:rsidRPr="00CE73E7">
        <w:rPr>
          <w:color w:val="000000"/>
          <w:lang w:val="en-US"/>
        </w:rPr>
        <w:t xml:space="preserve"> of ​​</w:t>
      </w:r>
      <w:r>
        <w:rPr>
          <w:color w:val="000000"/>
          <w:lang w:val="en-US"/>
        </w:rPr>
        <w:t xml:space="preserve">the four </w:t>
      </w:r>
      <w:r>
        <w:rPr>
          <w:i/>
          <w:color w:val="000000"/>
          <w:lang w:val="en-US"/>
        </w:rPr>
        <w:t>Gospels</w:t>
      </w:r>
      <w:r>
        <w:rPr>
          <w:color w:val="000000"/>
          <w:lang w:val="en-US"/>
        </w:rPr>
        <w:t xml:space="preserve"> being one entity—</w:t>
      </w:r>
      <w:r w:rsidRPr="00CE73E7">
        <w:rPr>
          <w:color w:val="000000"/>
          <w:lang w:val="en-US"/>
        </w:rPr>
        <w:t xml:space="preserve">as a </w:t>
      </w:r>
      <w:r>
        <w:rPr>
          <w:color w:val="000000"/>
          <w:lang w:val="en-US"/>
        </w:rPr>
        <w:t>‘</w:t>
      </w:r>
      <w:r w:rsidRPr="00CE73E7">
        <w:rPr>
          <w:color w:val="000000"/>
          <w:lang w:val="en-US"/>
        </w:rPr>
        <w:t>mighty gift from the Lord to his apostles</w:t>
      </w:r>
      <w:r>
        <w:rPr>
          <w:color w:val="000000"/>
          <w:lang w:val="en-US"/>
        </w:rPr>
        <w:t>’</w:t>
      </w:r>
      <w:r w:rsidRPr="00CE73E7">
        <w:rPr>
          <w:color w:val="000000"/>
          <w:lang w:val="en-US"/>
        </w:rPr>
        <w:t xml:space="preserve">. As Irenaeus adds, he himself </w:t>
      </w:r>
      <w:r>
        <w:rPr>
          <w:color w:val="000000"/>
          <w:lang w:val="en-US"/>
        </w:rPr>
        <w:t>‘</w:t>
      </w:r>
      <w:r w:rsidRPr="00CE73E7">
        <w:rPr>
          <w:color w:val="000000"/>
          <w:lang w:val="en-US"/>
        </w:rPr>
        <w:t>learned the truth, that is, the doctrine of the Son of God</w:t>
      </w:r>
      <w:r>
        <w:rPr>
          <w:color w:val="000000"/>
          <w:lang w:val="en-US"/>
        </w:rPr>
        <w:t>’</w:t>
      </w:r>
      <w:r w:rsidRPr="00CE73E7">
        <w:rPr>
          <w:color w:val="000000"/>
          <w:lang w:val="en-US"/>
        </w:rPr>
        <w:t xml:space="preserve"> from these witnesses. For him, the collection of the </w:t>
      </w:r>
      <w:r w:rsidRPr="00C078AC">
        <w:rPr>
          <w:i/>
          <w:color w:val="000000"/>
          <w:lang w:val="en-US"/>
        </w:rPr>
        <w:t>Gospels</w:t>
      </w:r>
      <w:r w:rsidRPr="00CE73E7">
        <w:rPr>
          <w:color w:val="000000"/>
          <w:lang w:val="en-US"/>
        </w:rPr>
        <w:t xml:space="preserve"> is therefore a historical document for the purpose of catechetical pedagogy.</w:t>
      </w:r>
    </w:p>
    <w:p w14:paraId="3186C2DD" w14:textId="77777777" w:rsidR="00133B09" w:rsidRPr="00CE73E7" w:rsidRDefault="00133B09" w:rsidP="00133B09">
      <w:pPr>
        <w:pStyle w:val="NormalWeb"/>
        <w:spacing w:before="0" w:beforeAutospacing="0" w:after="0" w:afterAutospacing="0" w:line="259" w:lineRule="atLeast"/>
        <w:jc w:val="both"/>
        <w:rPr>
          <w:color w:val="000000"/>
          <w:lang w:val="en-US"/>
        </w:rPr>
      </w:pPr>
      <w:r w:rsidRPr="00CE73E7">
        <w:rPr>
          <w:color w:val="000000"/>
          <w:lang w:val="en-US"/>
        </w:rPr>
        <w:t>              Irenaeus sees the process of conveying the Lord</w:t>
      </w:r>
      <w:r>
        <w:rPr>
          <w:color w:val="000000"/>
          <w:lang w:val="en-US"/>
        </w:rPr>
        <w:t>’</w:t>
      </w:r>
      <w:r w:rsidRPr="00CE73E7">
        <w:rPr>
          <w:color w:val="000000"/>
          <w:lang w:val="en-US"/>
        </w:rPr>
        <w:t xml:space="preserve">s teaching in two stages. On the one hand, the apostles orally announced the </w:t>
      </w:r>
      <w:r>
        <w:rPr>
          <w:color w:val="000000"/>
          <w:lang w:val="en-US"/>
        </w:rPr>
        <w:t>‘</w:t>
      </w:r>
      <w:r w:rsidRPr="00CE73E7">
        <w:rPr>
          <w:color w:val="000000"/>
          <w:lang w:val="en-US"/>
        </w:rPr>
        <w:t>plan of salvation</w:t>
      </w:r>
      <w:r>
        <w:rPr>
          <w:color w:val="000000"/>
          <w:lang w:val="en-US"/>
        </w:rPr>
        <w:t>’</w:t>
      </w:r>
      <w:r w:rsidRPr="00CE73E7">
        <w:rPr>
          <w:color w:val="000000"/>
          <w:lang w:val="en-US"/>
        </w:rPr>
        <w:t xml:space="preserve"> to the public, </w:t>
      </w:r>
      <w:r>
        <w:rPr>
          <w:color w:val="000000"/>
          <w:lang w:val="en-US"/>
        </w:rPr>
        <w:t>‘</w:t>
      </w:r>
      <w:r w:rsidRPr="00CE73E7">
        <w:rPr>
          <w:color w:val="000000"/>
          <w:lang w:val="en-US"/>
        </w:rPr>
        <w:t xml:space="preserve">later, according to the will of God, they communicated it in </w:t>
      </w:r>
      <w:proofErr w:type="gramStart"/>
      <w:r w:rsidRPr="00CE73E7">
        <w:rPr>
          <w:color w:val="000000"/>
          <w:lang w:val="en-US"/>
        </w:rPr>
        <w:t>writings</w:t>
      </w:r>
      <w:r>
        <w:rPr>
          <w:color w:val="000000"/>
          <w:lang w:val="en-US"/>
        </w:rPr>
        <w:t>’</w:t>
      </w:r>
      <w:proofErr w:type="gramEnd"/>
      <w:r w:rsidRPr="00CE73E7">
        <w:rPr>
          <w:color w:val="000000"/>
          <w:lang w:val="en-US"/>
        </w:rPr>
        <w:t>.</w:t>
      </w:r>
      <w:bookmarkStart w:id="12" w:name="_ftnref119"/>
      <w:bookmarkEnd w:id="12"/>
      <w:r>
        <w:rPr>
          <w:rStyle w:val="FootnoteReference"/>
          <w:color w:val="000000"/>
          <w:lang w:val="en-US"/>
        </w:rPr>
        <w:footnoteReference w:id="15"/>
      </w:r>
      <w:r w:rsidRPr="00CE73E7">
        <w:rPr>
          <w:color w:val="000000"/>
          <w:lang w:val="en-US"/>
        </w:rPr>
        <w:t xml:space="preserve"> The written Gospels are therefore only the product of the oral apostolic transmission of the doctrine and the orally given doctrine by the Lord himself. Each of these levels is about catechetical doctrine, even if Irenaeus add</w:t>
      </w:r>
      <w:r>
        <w:rPr>
          <w:color w:val="000000"/>
          <w:lang w:val="en-US"/>
        </w:rPr>
        <w:t>s</w:t>
      </w:r>
      <w:r w:rsidRPr="00CE73E7">
        <w:rPr>
          <w:color w:val="000000"/>
          <w:lang w:val="en-US"/>
        </w:rPr>
        <w:t xml:space="preserve"> a historical reading to the last, </w:t>
      </w:r>
      <w:r>
        <w:rPr>
          <w:color w:val="000000"/>
          <w:lang w:val="en-US"/>
        </w:rPr>
        <w:t xml:space="preserve">the </w:t>
      </w:r>
      <w:r w:rsidRPr="00CE73E7">
        <w:rPr>
          <w:color w:val="000000"/>
          <w:lang w:val="en-US"/>
        </w:rPr>
        <w:t>written l</w:t>
      </w:r>
      <w:r>
        <w:rPr>
          <w:color w:val="000000"/>
          <w:lang w:val="en-US"/>
        </w:rPr>
        <w:t>ayer</w:t>
      </w:r>
      <w:r w:rsidRPr="00CE73E7">
        <w:rPr>
          <w:color w:val="000000"/>
          <w:lang w:val="en-US"/>
        </w:rPr>
        <w:t>.</w:t>
      </w:r>
    </w:p>
    <w:p w14:paraId="19EE5401" w14:textId="77777777" w:rsidR="00133B09" w:rsidRPr="00CE73E7" w:rsidRDefault="00133B09" w:rsidP="00133B09">
      <w:pPr>
        <w:pStyle w:val="NormalWeb"/>
        <w:spacing w:before="0" w:beforeAutospacing="0" w:after="0" w:afterAutospacing="0" w:line="259" w:lineRule="atLeast"/>
        <w:jc w:val="both"/>
        <w:rPr>
          <w:color w:val="000000"/>
          <w:lang w:val="en-US"/>
        </w:rPr>
      </w:pPr>
      <w:r w:rsidRPr="00CE73E7">
        <w:rPr>
          <w:color w:val="000000"/>
          <w:lang w:val="en-US"/>
        </w:rPr>
        <w:t xml:space="preserve">              The emphasis that the </w:t>
      </w:r>
      <w:r w:rsidRPr="00F47424">
        <w:rPr>
          <w:i/>
          <w:color w:val="000000"/>
          <w:lang w:val="en-US"/>
        </w:rPr>
        <w:t>Gospels</w:t>
      </w:r>
      <w:r w:rsidRPr="00CE73E7">
        <w:rPr>
          <w:color w:val="000000"/>
          <w:lang w:val="en-US"/>
        </w:rPr>
        <w:t xml:space="preserve"> were written down </w:t>
      </w:r>
      <w:r>
        <w:rPr>
          <w:color w:val="000000"/>
          <w:lang w:val="en-US"/>
        </w:rPr>
        <w:t>‘</w:t>
      </w:r>
      <w:r w:rsidRPr="00CE73E7">
        <w:rPr>
          <w:color w:val="000000"/>
          <w:lang w:val="en-US"/>
        </w:rPr>
        <w:t>according to the will of God</w:t>
      </w:r>
      <w:r>
        <w:rPr>
          <w:color w:val="000000"/>
          <w:lang w:val="en-US"/>
        </w:rPr>
        <w:t>’</w:t>
      </w:r>
      <w:r w:rsidRPr="00CE73E7">
        <w:rPr>
          <w:color w:val="000000"/>
          <w:lang w:val="en-US"/>
        </w:rPr>
        <w:t xml:space="preserve"> is explained by the defensive stance in which Irenaeus finds himself.</w:t>
      </w:r>
      <w:r>
        <w:rPr>
          <w:color w:val="000000"/>
          <w:lang w:val="en-US"/>
        </w:rPr>
        <w:t xml:space="preserve"> </w:t>
      </w:r>
      <w:r w:rsidRPr="00CE73E7">
        <w:rPr>
          <w:color w:val="000000"/>
          <w:lang w:val="en-US"/>
        </w:rPr>
        <w:t xml:space="preserve">For, as he himself immediately states, his Valentine opponents criticized that the apostles had already preached before they had even had perfect knowledge. From this it can be concluded that Irenaeus located at least one position of criticism of this collection in the camp of the </w:t>
      </w:r>
      <w:r w:rsidRPr="00CE73E7">
        <w:rPr>
          <w:color w:val="000000"/>
          <w:lang w:val="en-US"/>
        </w:rPr>
        <w:lastRenderedPageBreak/>
        <w:t>Valentinians. Maybe</w:t>
      </w:r>
      <w:r>
        <w:rPr>
          <w:color w:val="000000"/>
          <w:lang w:val="en-US"/>
        </w:rPr>
        <w:t xml:space="preserve"> pressed by the Valentinians,</w:t>
      </w:r>
      <w:r w:rsidRPr="00CE73E7">
        <w:rPr>
          <w:color w:val="000000"/>
          <w:lang w:val="en-US"/>
        </w:rPr>
        <w:t xml:space="preserve"> Irenaeus </w:t>
      </w:r>
      <w:r>
        <w:rPr>
          <w:color w:val="000000"/>
          <w:lang w:val="en-US"/>
        </w:rPr>
        <w:t xml:space="preserve">took </w:t>
      </w:r>
      <w:r w:rsidRPr="00C15225">
        <w:rPr>
          <w:i/>
          <w:color w:val="000000"/>
          <w:lang w:val="en-US"/>
        </w:rPr>
        <w:t>Matthew</w:t>
      </w:r>
      <w:r w:rsidRPr="00CE73E7">
        <w:rPr>
          <w:color w:val="000000"/>
          <w:lang w:val="en-US"/>
        </w:rPr>
        <w:t> </w:t>
      </w:r>
      <w:r>
        <w:rPr>
          <w:color w:val="000000"/>
          <w:lang w:val="en-US"/>
        </w:rPr>
        <w:t xml:space="preserve">to be </w:t>
      </w:r>
      <w:r w:rsidRPr="00CE73E7">
        <w:rPr>
          <w:color w:val="000000"/>
          <w:lang w:val="en-US"/>
        </w:rPr>
        <w:t xml:space="preserve">the historically oldest of the four </w:t>
      </w:r>
      <w:r w:rsidRPr="00C15225">
        <w:rPr>
          <w:i/>
          <w:color w:val="000000"/>
          <w:lang w:val="en-US"/>
        </w:rPr>
        <w:t>Gospels</w:t>
      </w:r>
      <w:r>
        <w:rPr>
          <w:color w:val="000000"/>
          <w:lang w:val="en-US"/>
        </w:rPr>
        <w:t xml:space="preserve">, in order to take </w:t>
      </w:r>
      <w:r w:rsidRPr="00C15225">
        <w:rPr>
          <w:i/>
          <w:color w:val="000000"/>
          <w:lang w:val="en-US"/>
        </w:rPr>
        <w:t>John</w:t>
      </w:r>
      <w:r w:rsidRPr="00CE73E7">
        <w:rPr>
          <w:color w:val="000000"/>
          <w:lang w:val="en-US"/>
        </w:rPr>
        <w:t> </w:t>
      </w:r>
      <w:r>
        <w:rPr>
          <w:color w:val="000000"/>
          <w:lang w:val="en-US"/>
        </w:rPr>
        <w:t>as the last one, because, according to Irenaeus, ‘</w:t>
      </w:r>
      <w:r w:rsidRPr="00CE73E7">
        <w:rPr>
          <w:color w:val="000000"/>
          <w:lang w:val="en-US"/>
        </w:rPr>
        <w:t xml:space="preserve">those who follow Valentinus, </w:t>
      </w:r>
      <w:r>
        <w:rPr>
          <w:color w:val="000000"/>
          <w:lang w:val="en-US"/>
        </w:rPr>
        <w:t xml:space="preserve">make </w:t>
      </w:r>
      <w:r w:rsidRPr="00CE73E7">
        <w:rPr>
          <w:color w:val="000000"/>
          <w:lang w:val="en-US"/>
        </w:rPr>
        <w:t>extensive use of the Gospel according to John</w:t>
      </w:r>
      <w:r>
        <w:rPr>
          <w:color w:val="000000"/>
          <w:lang w:val="en-US"/>
        </w:rPr>
        <w:t>’</w:t>
      </w:r>
      <w:bookmarkStart w:id="13" w:name="_ftnref120"/>
      <w:bookmarkEnd w:id="13"/>
      <w:r>
        <w:rPr>
          <w:color w:val="000000"/>
          <w:lang w:val="en-US"/>
        </w:rPr>
        <w:t>,</w:t>
      </w:r>
      <w:r>
        <w:rPr>
          <w:rStyle w:val="FootnoteReference"/>
          <w:color w:val="000000"/>
          <w:lang w:val="en-US"/>
        </w:rPr>
        <w:footnoteReference w:id="16"/>
      </w:r>
      <w:r>
        <w:rPr>
          <w:color w:val="000000"/>
          <w:lang w:val="en-US"/>
        </w:rPr>
        <w:t xml:space="preserve"> even though they </w:t>
      </w:r>
      <w:r w:rsidRPr="00CE73E7">
        <w:rPr>
          <w:color w:val="000000"/>
          <w:lang w:val="en-US"/>
        </w:rPr>
        <w:t xml:space="preserve">also recognized </w:t>
      </w:r>
      <w:r>
        <w:rPr>
          <w:color w:val="000000"/>
          <w:lang w:val="en-US"/>
        </w:rPr>
        <w:t>‘</w:t>
      </w:r>
      <w:r w:rsidRPr="00CE73E7">
        <w:rPr>
          <w:color w:val="000000"/>
          <w:lang w:val="en-US"/>
        </w:rPr>
        <w:t xml:space="preserve">the other </w:t>
      </w:r>
      <w:r>
        <w:rPr>
          <w:color w:val="000000"/>
          <w:lang w:val="en-US"/>
        </w:rPr>
        <w:t xml:space="preserve">scriptures’ without understanding </w:t>
      </w:r>
      <w:r w:rsidRPr="00CE73E7">
        <w:rPr>
          <w:color w:val="000000"/>
          <w:lang w:val="en-US"/>
        </w:rPr>
        <w:t>them correctly.</w:t>
      </w:r>
      <w:bookmarkStart w:id="14" w:name="_ftnref121"/>
      <w:bookmarkEnd w:id="14"/>
      <w:r>
        <w:rPr>
          <w:rStyle w:val="FootnoteReference"/>
          <w:color w:val="000000"/>
          <w:lang w:val="en-US"/>
        </w:rPr>
        <w:footnoteReference w:id="17"/>
      </w:r>
      <w:r w:rsidRPr="00CE73E7">
        <w:rPr>
          <w:color w:val="000000"/>
          <w:lang w:val="en-US"/>
        </w:rPr>
        <w:t xml:space="preserve"> This judgment of the Valentinians confirms that Irenaeus had a well-defined collection of writings in mind.</w:t>
      </w:r>
    </w:p>
    <w:p w14:paraId="67197B49" w14:textId="77777777" w:rsidR="00133B09" w:rsidRPr="00CE73E7" w:rsidRDefault="00133B09" w:rsidP="00133B09">
      <w:pPr>
        <w:pStyle w:val="NormalWeb"/>
        <w:spacing w:before="0" w:beforeAutospacing="0" w:after="0" w:afterAutospacing="0" w:line="259" w:lineRule="atLeast"/>
        <w:ind w:firstLine="720"/>
        <w:jc w:val="both"/>
        <w:rPr>
          <w:color w:val="000000"/>
          <w:lang w:val="en-US"/>
        </w:rPr>
      </w:pPr>
      <w:r w:rsidRPr="00CE73E7">
        <w:rPr>
          <w:color w:val="000000"/>
          <w:lang w:val="en-US"/>
        </w:rPr>
        <w:t xml:space="preserve">However, according to Irenaeus, the Valentinians were not the only ones who did not use the collection of the four </w:t>
      </w:r>
      <w:r w:rsidRPr="006C7A82">
        <w:rPr>
          <w:i/>
          <w:color w:val="000000"/>
          <w:lang w:val="en-US"/>
        </w:rPr>
        <w:t>Gospels</w:t>
      </w:r>
      <w:r w:rsidRPr="00CE73E7">
        <w:rPr>
          <w:color w:val="000000"/>
          <w:lang w:val="en-US"/>
        </w:rPr>
        <w:t xml:space="preserve"> in the way that he thought was right. In the first place he refers to the Ebionites who </w:t>
      </w:r>
      <w:r>
        <w:rPr>
          <w:color w:val="000000"/>
          <w:lang w:val="en-US"/>
        </w:rPr>
        <w:t>‘</w:t>
      </w:r>
      <w:r w:rsidRPr="00CE73E7">
        <w:rPr>
          <w:color w:val="000000"/>
          <w:lang w:val="en-US"/>
        </w:rPr>
        <w:t>exclusively</w:t>
      </w:r>
      <w:r>
        <w:rPr>
          <w:color w:val="000000"/>
          <w:lang w:val="en-US"/>
        </w:rPr>
        <w:t>’</w:t>
      </w:r>
      <w:r w:rsidRPr="00CE73E7">
        <w:rPr>
          <w:color w:val="000000"/>
          <w:lang w:val="en-US"/>
        </w:rPr>
        <w:t xml:space="preserve"> used </w:t>
      </w:r>
      <w:r>
        <w:rPr>
          <w:i/>
          <w:color w:val="000000"/>
          <w:lang w:val="en-US"/>
        </w:rPr>
        <w:t xml:space="preserve">Matthew </w:t>
      </w:r>
      <w:r w:rsidRPr="00CE73E7">
        <w:rPr>
          <w:color w:val="000000"/>
          <w:lang w:val="en-US"/>
        </w:rPr>
        <w:t>and would have also misinterpreted this text, whereby this group is mentioned here either because Irenaeus regarded them as the older heretics or because, according to him, they were the oldest misinterpret</w:t>
      </w:r>
      <w:r>
        <w:rPr>
          <w:color w:val="000000"/>
          <w:lang w:val="en-US"/>
        </w:rPr>
        <w:t>ing</w:t>
      </w:r>
      <w:r w:rsidRPr="00CE73E7">
        <w:rPr>
          <w:color w:val="000000"/>
          <w:lang w:val="en-US"/>
        </w:rPr>
        <w:t xml:space="preserve"> the four </w:t>
      </w:r>
      <w:r w:rsidRPr="00602521">
        <w:rPr>
          <w:i/>
          <w:color w:val="000000"/>
          <w:lang w:val="en-US"/>
        </w:rPr>
        <w:t>Gospels</w:t>
      </w:r>
      <w:r w:rsidRPr="00CE73E7">
        <w:rPr>
          <w:color w:val="000000"/>
          <w:lang w:val="en-US"/>
        </w:rPr>
        <w:t>.</w:t>
      </w:r>
      <w:bookmarkStart w:id="15" w:name="_ftnref122"/>
      <w:bookmarkEnd w:id="15"/>
      <w:r>
        <w:rPr>
          <w:rStyle w:val="FootnoteReference"/>
          <w:color w:val="000000"/>
          <w:lang w:val="en-US"/>
        </w:rPr>
        <w:footnoteReference w:id="18"/>
      </w:r>
      <w:r w:rsidRPr="00CE73E7">
        <w:rPr>
          <w:color w:val="000000"/>
          <w:lang w:val="en-US"/>
        </w:rPr>
        <w:t xml:space="preserve"> Surprisingly, however, the group of </w:t>
      </w:r>
      <w:proofErr w:type="spellStart"/>
      <w:r>
        <w:rPr>
          <w:color w:val="000000"/>
          <w:lang w:val="en-US"/>
        </w:rPr>
        <w:t>C</w:t>
      </w:r>
      <w:r w:rsidRPr="00CE73E7">
        <w:rPr>
          <w:color w:val="000000"/>
          <w:lang w:val="en-US"/>
        </w:rPr>
        <w:t>erinthians</w:t>
      </w:r>
      <w:proofErr w:type="spellEnd"/>
      <w:r w:rsidRPr="00CE73E7">
        <w:rPr>
          <w:color w:val="000000"/>
          <w:lang w:val="en-US"/>
        </w:rPr>
        <w:t xml:space="preserve"> who were not initially identified by name at this point and who would have preferred </w:t>
      </w:r>
      <w:r w:rsidRPr="00E842CB">
        <w:rPr>
          <w:i/>
          <w:color w:val="000000"/>
          <w:lang w:val="en-US"/>
        </w:rPr>
        <w:t>Mark</w:t>
      </w:r>
      <w:r w:rsidRPr="00CE73E7">
        <w:rPr>
          <w:color w:val="000000"/>
          <w:lang w:val="en-US"/>
        </w:rPr>
        <w:t xml:space="preserve"> does not follow, but is preceded by </w:t>
      </w:r>
      <w:proofErr w:type="spellStart"/>
      <w:r w:rsidRPr="00CE73E7">
        <w:rPr>
          <w:color w:val="000000"/>
          <w:lang w:val="en-US"/>
        </w:rPr>
        <w:t>Mar</w:t>
      </w:r>
      <w:r>
        <w:rPr>
          <w:color w:val="000000"/>
          <w:lang w:val="en-US"/>
        </w:rPr>
        <w:t>c</w:t>
      </w:r>
      <w:r w:rsidRPr="00CE73E7">
        <w:rPr>
          <w:color w:val="000000"/>
          <w:lang w:val="en-US"/>
        </w:rPr>
        <w:t>ion</w:t>
      </w:r>
      <w:proofErr w:type="spellEnd"/>
      <w:r w:rsidRPr="00CE73E7">
        <w:rPr>
          <w:color w:val="000000"/>
          <w:lang w:val="en-US"/>
        </w:rPr>
        <w:t xml:space="preserve">, who </w:t>
      </w:r>
      <w:r>
        <w:rPr>
          <w:color w:val="000000"/>
          <w:lang w:val="en-US"/>
        </w:rPr>
        <w:t xml:space="preserve">in the eyes of Irenaeus </w:t>
      </w:r>
      <w:r w:rsidRPr="00CE73E7">
        <w:rPr>
          <w:color w:val="000000"/>
          <w:lang w:val="en-US"/>
        </w:rPr>
        <w:t xml:space="preserve">circumcised </w:t>
      </w:r>
      <w:r w:rsidRPr="007A0B18">
        <w:rPr>
          <w:i/>
          <w:color w:val="000000"/>
          <w:lang w:val="en-US"/>
        </w:rPr>
        <w:t>Luke</w:t>
      </w:r>
      <w:r w:rsidRPr="00CE73E7">
        <w:rPr>
          <w:color w:val="000000"/>
          <w:lang w:val="en-US"/>
        </w:rPr>
        <w:t>.</w:t>
      </w:r>
    </w:p>
    <w:p w14:paraId="579B7FF3" w14:textId="137CF8A7" w:rsidR="00133B09" w:rsidRPr="00CE73E7" w:rsidRDefault="00133B09" w:rsidP="00133B09">
      <w:pPr>
        <w:pStyle w:val="NormalWeb"/>
        <w:spacing w:before="0" w:beforeAutospacing="0" w:after="0" w:afterAutospacing="0" w:line="259" w:lineRule="atLeast"/>
        <w:ind w:firstLine="720"/>
        <w:jc w:val="both"/>
        <w:rPr>
          <w:color w:val="000000"/>
          <w:lang w:val="en-US"/>
        </w:rPr>
      </w:pPr>
      <w:r w:rsidRPr="00CE73E7">
        <w:rPr>
          <w:color w:val="000000"/>
          <w:lang w:val="en-US"/>
        </w:rPr>
        <w:t xml:space="preserve">Not only according to Irenaeus, but also following the collection of the 27 </w:t>
      </w:r>
      <w:r>
        <w:rPr>
          <w:color w:val="000000"/>
          <w:lang w:val="en-US"/>
        </w:rPr>
        <w:t>writings</w:t>
      </w:r>
      <w:r w:rsidRPr="00CE73E7">
        <w:rPr>
          <w:color w:val="000000"/>
          <w:lang w:val="en-US"/>
        </w:rPr>
        <w:t xml:space="preserve">, the history of Christianity begins with the birth of Jesus, depending on the arrangement of the </w:t>
      </w:r>
      <w:r w:rsidRPr="002F422A">
        <w:rPr>
          <w:i/>
          <w:color w:val="000000"/>
          <w:lang w:val="en-US"/>
        </w:rPr>
        <w:t>Gospels</w:t>
      </w:r>
      <w:r w:rsidRPr="00CE73E7">
        <w:rPr>
          <w:color w:val="000000"/>
          <w:lang w:val="en-US"/>
        </w:rPr>
        <w:t xml:space="preserve"> in this collection, either following the two historical arrangements (</w:t>
      </w:r>
      <w:r w:rsidRPr="002F422A">
        <w:rPr>
          <w:i/>
          <w:color w:val="000000"/>
          <w:lang w:val="en-US"/>
        </w:rPr>
        <w:t>M</w:t>
      </w:r>
      <w:r>
        <w:rPr>
          <w:i/>
          <w:color w:val="000000"/>
          <w:lang w:val="en-US"/>
        </w:rPr>
        <w:t>att</w:t>
      </w:r>
      <w:r w:rsidRPr="00CE73E7">
        <w:rPr>
          <w:color w:val="000000"/>
          <w:lang w:val="en-US"/>
        </w:rPr>
        <w:t xml:space="preserve">, </w:t>
      </w:r>
      <w:r w:rsidRPr="002F422A">
        <w:rPr>
          <w:i/>
          <w:color w:val="000000"/>
          <w:lang w:val="en-US"/>
        </w:rPr>
        <w:t>Lk</w:t>
      </w:r>
      <w:r w:rsidRPr="00CE73E7">
        <w:rPr>
          <w:color w:val="000000"/>
          <w:lang w:val="en-US"/>
        </w:rPr>
        <w:t xml:space="preserve">, </w:t>
      </w:r>
      <w:r w:rsidRPr="002F422A">
        <w:rPr>
          <w:i/>
          <w:color w:val="000000"/>
          <w:lang w:val="en-US"/>
        </w:rPr>
        <w:t>Mk</w:t>
      </w:r>
      <w:r w:rsidRPr="00CE73E7">
        <w:rPr>
          <w:color w:val="000000"/>
          <w:lang w:val="en-US"/>
        </w:rPr>
        <w:t xml:space="preserve">, </w:t>
      </w:r>
      <w:r w:rsidRPr="002F422A">
        <w:rPr>
          <w:i/>
          <w:color w:val="000000"/>
          <w:lang w:val="en-US"/>
        </w:rPr>
        <w:t>Joh</w:t>
      </w:r>
      <w:r>
        <w:rPr>
          <w:i/>
          <w:color w:val="000000"/>
          <w:lang w:val="en-US"/>
        </w:rPr>
        <w:t>n</w:t>
      </w:r>
      <w:r w:rsidRPr="00CE73E7">
        <w:rPr>
          <w:color w:val="000000"/>
          <w:lang w:val="en-US"/>
        </w:rPr>
        <w:t xml:space="preserve">; 2. </w:t>
      </w:r>
      <w:r w:rsidRPr="002F422A">
        <w:rPr>
          <w:i/>
          <w:color w:val="000000"/>
          <w:lang w:val="en-US"/>
        </w:rPr>
        <w:t>M</w:t>
      </w:r>
      <w:r>
        <w:rPr>
          <w:i/>
          <w:color w:val="000000"/>
          <w:lang w:val="en-US"/>
        </w:rPr>
        <w:t>att</w:t>
      </w:r>
      <w:r w:rsidRPr="00CE73E7">
        <w:rPr>
          <w:color w:val="000000"/>
          <w:lang w:val="en-US"/>
        </w:rPr>
        <w:t xml:space="preserve">, </w:t>
      </w:r>
      <w:r w:rsidRPr="002F422A">
        <w:rPr>
          <w:i/>
          <w:color w:val="000000"/>
          <w:lang w:val="en-US"/>
        </w:rPr>
        <w:t>Mk</w:t>
      </w:r>
      <w:r w:rsidRPr="00CE73E7">
        <w:rPr>
          <w:color w:val="000000"/>
          <w:lang w:val="en-US"/>
        </w:rPr>
        <w:t xml:space="preserve">, </w:t>
      </w:r>
      <w:r w:rsidRPr="002F422A">
        <w:rPr>
          <w:i/>
          <w:color w:val="000000"/>
          <w:lang w:val="en-US"/>
        </w:rPr>
        <w:t>Lk</w:t>
      </w:r>
      <w:r w:rsidRPr="00CE73E7">
        <w:rPr>
          <w:color w:val="000000"/>
          <w:lang w:val="en-US"/>
        </w:rPr>
        <w:t xml:space="preserve">, </w:t>
      </w:r>
      <w:r w:rsidRPr="002F422A">
        <w:rPr>
          <w:i/>
          <w:color w:val="000000"/>
          <w:lang w:val="en-US"/>
        </w:rPr>
        <w:t>Joh</w:t>
      </w:r>
      <w:r>
        <w:rPr>
          <w:i/>
          <w:color w:val="000000"/>
          <w:lang w:val="en-US"/>
        </w:rPr>
        <w:t>n</w:t>
      </w:r>
      <w:r w:rsidRPr="00CE73E7">
        <w:rPr>
          <w:color w:val="000000"/>
          <w:lang w:val="en-US"/>
        </w:rPr>
        <w:t xml:space="preserve">) with the historical birth in Bethlehem, as described by </w:t>
      </w:r>
      <w:r w:rsidRPr="007C3003">
        <w:rPr>
          <w:i/>
          <w:color w:val="000000"/>
          <w:lang w:val="en-US"/>
        </w:rPr>
        <w:t>Matthew</w:t>
      </w:r>
      <w:r w:rsidRPr="00CE73E7">
        <w:rPr>
          <w:color w:val="000000"/>
          <w:lang w:val="en-US"/>
        </w:rPr>
        <w:t xml:space="preserve"> at the beginning of his Gospel and supported by </w:t>
      </w:r>
      <w:r w:rsidRPr="007C3003">
        <w:rPr>
          <w:i/>
          <w:color w:val="000000"/>
          <w:lang w:val="en-US"/>
        </w:rPr>
        <w:t>Luke</w:t>
      </w:r>
      <w:r w:rsidRPr="00CE73E7">
        <w:rPr>
          <w:color w:val="000000"/>
          <w:lang w:val="en-US"/>
        </w:rPr>
        <w:t>, or following the theological hierarchy (</w:t>
      </w:r>
      <w:r w:rsidRPr="007C3003">
        <w:rPr>
          <w:i/>
          <w:color w:val="000000"/>
          <w:lang w:val="en-US"/>
        </w:rPr>
        <w:t>John</w:t>
      </w:r>
      <w:r w:rsidRPr="00CE73E7">
        <w:rPr>
          <w:color w:val="000000"/>
          <w:lang w:val="en-US"/>
        </w:rPr>
        <w:t xml:space="preserve">, </w:t>
      </w:r>
      <w:r w:rsidRPr="007C3003">
        <w:rPr>
          <w:i/>
          <w:color w:val="000000"/>
          <w:lang w:val="en-US"/>
        </w:rPr>
        <w:t>Lk</w:t>
      </w:r>
      <w:r w:rsidRPr="00CE73E7">
        <w:rPr>
          <w:color w:val="000000"/>
          <w:lang w:val="en-US"/>
        </w:rPr>
        <w:t xml:space="preserve">, </w:t>
      </w:r>
      <w:r w:rsidRPr="007C3003">
        <w:rPr>
          <w:i/>
          <w:color w:val="000000"/>
          <w:lang w:val="en-US"/>
        </w:rPr>
        <w:t>M</w:t>
      </w:r>
      <w:r>
        <w:rPr>
          <w:i/>
          <w:color w:val="000000"/>
          <w:lang w:val="en-US"/>
        </w:rPr>
        <w:t>att</w:t>
      </w:r>
      <w:r w:rsidRPr="00CE73E7">
        <w:rPr>
          <w:color w:val="000000"/>
          <w:lang w:val="en-US"/>
        </w:rPr>
        <w:t xml:space="preserve">, </w:t>
      </w:r>
      <w:r w:rsidRPr="007C3003">
        <w:rPr>
          <w:i/>
          <w:color w:val="000000"/>
          <w:lang w:val="en-US"/>
        </w:rPr>
        <w:t>Mk</w:t>
      </w:r>
      <w:r w:rsidRPr="00CE73E7">
        <w:rPr>
          <w:color w:val="000000"/>
          <w:lang w:val="en-US"/>
        </w:rPr>
        <w:t xml:space="preserve">) with the salvation-historical </w:t>
      </w:r>
      <w:r>
        <w:rPr>
          <w:color w:val="000000"/>
          <w:lang w:val="en-US"/>
        </w:rPr>
        <w:t xml:space="preserve">placing of the Logos </w:t>
      </w:r>
      <w:r w:rsidRPr="00CE73E7">
        <w:rPr>
          <w:color w:val="000000"/>
          <w:lang w:val="en-US"/>
        </w:rPr>
        <w:t xml:space="preserve">before all times as described by </w:t>
      </w:r>
      <w:r w:rsidRPr="00616AFC">
        <w:rPr>
          <w:i/>
          <w:color w:val="000000"/>
          <w:lang w:val="en-US"/>
        </w:rPr>
        <w:t>John</w:t>
      </w:r>
      <w:r w:rsidRPr="00CE73E7">
        <w:rPr>
          <w:color w:val="000000"/>
          <w:lang w:val="en-US"/>
        </w:rPr>
        <w:t xml:space="preserve"> at the beginning of his </w:t>
      </w:r>
      <w:r>
        <w:rPr>
          <w:color w:val="000000"/>
          <w:lang w:val="en-US"/>
        </w:rPr>
        <w:t>G</w:t>
      </w:r>
      <w:r w:rsidRPr="00CE73E7">
        <w:rPr>
          <w:color w:val="000000"/>
          <w:lang w:val="en-US"/>
        </w:rPr>
        <w:t xml:space="preserve">ospel. If one takes this theological-hierarchical and salvation-historical </w:t>
      </w:r>
      <w:r>
        <w:rPr>
          <w:color w:val="000000"/>
          <w:lang w:val="en-US"/>
        </w:rPr>
        <w:t>order</w:t>
      </w:r>
      <w:r w:rsidRPr="00CE73E7">
        <w:rPr>
          <w:color w:val="000000"/>
          <w:lang w:val="en-US"/>
        </w:rPr>
        <w:t xml:space="preserve"> of the Gospels, the pre-existence and incarnation of Jesus Christ are emphasized, whereby the death of Christ, with which the collection of the </w:t>
      </w:r>
      <w:r w:rsidRPr="0075505E">
        <w:rPr>
          <w:i/>
          <w:color w:val="000000"/>
          <w:lang w:val="en-US"/>
        </w:rPr>
        <w:t>Gospels</w:t>
      </w:r>
      <w:r w:rsidRPr="00CE73E7">
        <w:rPr>
          <w:color w:val="000000"/>
          <w:lang w:val="en-US"/>
        </w:rPr>
        <w:t xml:space="preserve"> closes, leads either to the testimony of Paul or the </w:t>
      </w:r>
      <w:r>
        <w:rPr>
          <w:color w:val="000000"/>
          <w:lang w:val="en-US"/>
        </w:rPr>
        <w:t>A</w:t>
      </w:r>
      <w:r w:rsidRPr="00CE73E7">
        <w:rPr>
          <w:color w:val="000000"/>
          <w:lang w:val="en-US"/>
        </w:rPr>
        <w:t xml:space="preserve">scension of </w:t>
      </w:r>
      <w:r w:rsidRPr="0075505E">
        <w:rPr>
          <w:i/>
          <w:color w:val="000000"/>
          <w:lang w:val="en-US"/>
        </w:rPr>
        <w:t>Acts</w:t>
      </w:r>
      <w:r w:rsidRPr="00CE73E7">
        <w:rPr>
          <w:color w:val="000000"/>
          <w:lang w:val="en-US"/>
        </w:rPr>
        <w:t xml:space="preserve">. If one takes the historical </w:t>
      </w:r>
      <w:r>
        <w:rPr>
          <w:color w:val="000000"/>
          <w:lang w:val="en-US"/>
        </w:rPr>
        <w:t>order</w:t>
      </w:r>
      <w:r w:rsidRPr="00CE73E7">
        <w:rPr>
          <w:color w:val="000000"/>
          <w:lang w:val="en-US"/>
        </w:rPr>
        <w:t xml:space="preserve"> of the </w:t>
      </w:r>
      <w:r w:rsidRPr="008606D1">
        <w:rPr>
          <w:i/>
          <w:color w:val="000000"/>
          <w:lang w:val="en-US"/>
        </w:rPr>
        <w:t>Gospels</w:t>
      </w:r>
      <w:r w:rsidRPr="00CE73E7">
        <w:rPr>
          <w:color w:val="000000"/>
          <w:lang w:val="en-US"/>
        </w:rPr>
        <w:t xml:space="preserve">, a great line begins with them, from the birth of Jesus through his </w:t>
      </w:r>
      <w:r>
        <w:rPr>
          <w:color w:val="000000"/>
          <w:lang w:val="en-US"/>
        </w:rPr>
        <w:t>R</w:t>
      </w:r>
      <w:r w:rsidRPr="00CE73E7">
        <w:rPr>
          <w:color w:val="000000"/>
          <w:lang w:val="en-US"/>
        </w:rPr>
        <w:t xml:space="preserve">esurrection </w:t>
      </w:r>
      <w:proofErr w:type="spellStart"/>
      <w:r>
        <w:rPr>
          <w:color w:val="000000"/>
          <w:lang w:val="en-US"/>
        </w:rPr>
        <w:t>appearences</w:t>
      </w:r>
      <w:proofErr w:type="spellEnd"/>
      <w:r w:rsidRPr="00CE73E7">
        <w:rPr>
          <w:color w:val="000000"/>
          <w:lang w:val="en-US"/>
        </w:rPr>
        <w:t xml:space="preserve">, as they are first described in </w:t>
      </w:r>
      <w:r w:rsidRPr="008606D1">
        <w:rPr>
          <w:i/>
          <w:color w:val="000000"/>
          <w:lang w:val="en-US"/>
        </w:rPr>
        <w:t>Luke</w:t>
      </w:r>
      <w:r w:rsidRPr="00CE73E7">
        <w:rPr>
          <w:color w:val="000000"/>
          <w:lang w:val="en-US"/>
        </w:rPr>
        <w:t xml:space="preserve"> for the area of ​​Jerusalem and </w:t>
      </w:r>
      <w:r>
        <w:rPr>
          <w:color w:val="000000"/>
          <w:lang w:val="en-US"/>
        </w:rPr>
        <w:t xml:space="preserve">its </w:t>
      </w:r>
      <w:r w:rsidRPr="00CE73E7">
        <w:rPr>
          <w:color w:val="000000"/>
          <w:lang w:val="en-US"/>
        </w:rPr>
        <w:t xml:space="preserve">surrounding </w:t>
      </w:r>
      <w:r>
        <w:rPr>
          <w:color w:val="000000"/>
          <w:lang w:val="en-US"/>
        </w:rPr>
        <w:t xml:space="preserve">region, as described </w:t>
      </w:r>
      <w:r w:rsidRPr="00CE73E7">
        <w:rPr>
          <w:color w:val="000000"/>
          <w:lang w:val="en-US"/>
        </w:rPr>
        <w:t xml:space="preserve">in </w:t>
      </w:r>
      <w:r w:rsidRPr="00812093">
        <w:rPr>
          <w:i/>
          <w:color w:val="000000"/>
          <w:lang w:val="en-US"/>
        </w:rPr>
        <w:t>John</w:t>
      </w:r>
      <w:r w:rsidRPr="00CE73E7">
        <w:rPr>
          <w:color w:val="000000"/>
          <w:lang w:val="en-US"/>
        </w:rPr>
        <w:t xml:space="preserve"> 20, and then </w:t>
      </w:r>
      <w:r>
        <w:rPr>
          <w:color w:val="000000"/>
          <w:lang w:val="en-US"/>
        </w:rPr>
        <w:t xml:space="preserve">as in </w:t>
      </w:r>
      <w:r w:rsidRPr="00812093">
        <w:rPr>
          <w:i/>
          <w:color w:val="000000"/>
          <w:lang w:val="en-US"/>
        </w:rPr>
        <w:t>Matthew</w:t>
      </w:r>
      <w:r w:rsidRPr="00CE73E7">
        <w:rPr>
          <w:color w:val="000000"/>
          <w:lang w:val="en-US"/>
        </w:rPr>
        <w:t xml:space="preserve"> </w:t>
      </w:r>
      <w:r>
        <w:rPr>
          <w:color w:val="000000"/>
          <w:lang w:val="en-US"/>
        </w:rPr>
        <w:t xml:space="preserve">reported </w:t>
      </w:r>
      <w:r w:rsidRPr="00CE73E7">
        <w:rPr>
          <w:color w:val="000000"/>
          <w:lang w:val="en-US"/>
        </w:rPr>
        <w:t xml:space="preserve">for Galilee in </w:t>
      </w:r>
      <w:r w:rsidRPr="00DB2C71">
        <w:rPr>
          <w:i/>
          <w:color w:val="000000"/>
          <w:lang w:val="en-US"/>
        </w:rPr>
        <w:t>John</w:t>
      </w:r>
      <w:r w:rsidRPr="00CE73E7">
        <w:rPr>
          <w:color w:val="000000"/>
          <w:lang w:val="en-US"/>
        </w:rPr>
        <w:t xml:space="preserve"> 21. From there the collection leads in turn to either the testimony of Paul or the history of the early church in the </w:t>
      </w:r>
      <w:r w:rsidRPr="00DB2C71">
        <w:rPr>
          <w:i/>
          <w:color w:val="000000"/>
          <w:lang w:val="en-US"/>
        </w:rPr>
        <w:t>Acts of the Apostles</w:t>
      </w:r>
      <w:r w:rsidRPr="00CE73E7">
        <w:rPr>
          <w:color w:val="000000"/>
          <w:lang w:val="en-US"/>
        </w:rPr>
        <w:t xml:space="preserve"> with the added </w:t>
      </w:r>
      <w:r w:rsidRPr="00DB2C71">
        <w:rPr>
          <w:i/>
          <w:color w:val="000000"/>
          <w:lang w:val="en-US"/>
        </w:rPr>
        <w:t>Catholic Letters</w:t>
      </w:r>
      <w:r w:rsidRPr="00CE73E7">
        <w:rPr>
          <w:color w:val="000000"/>
          <w:lang w:val="en-US"/>
        </w:rPr>
        <w:t>. </w:t>
      </w:r>
      <w:r>
        <w:rPr>
          <w:color w:val="000000"/>
          <w:lang w:val="en-US"/>
        </w:rPr>
        <w:t xml:space="preserve">The entire collection, irrespective of the different order of the second and third sub-collections, </w:t>
      </w:r>
      <w:r w:rsidRPr="00CE73E7">
        <w:rPr>
          <w:color w:val="000000"/>
          <w:lang w:val="en-US"/>
        </w:rPr>
        <w:t>seem</w:t>
      </w:r>
      <w:r>
        <w:rPr>
          <w:color w:val="000000"/>
          <w:lang w:val="en-US"/>
        </w:rPr>
        <w:t>s</w:t>
      </w:r>
      <w:r w:rsidRPr="00CE73E7">
        <w:rPr>
          <w:color w:val="000000"/>
          <w:lang w:val="en-US"/>
        </w:rPr>
        <w:t xml:space="preserve"> to have closed with </w:t>
      </w:r>
      <w:r w:rsidRPr="00EC6AC4">
        <w:rPr>
          <w:i/>
          <w:color w:val="000000"/>
          <w:lang w:val="en-US"/>
        </w:rPr>
        <w:t>Revelation</w:t>
      </w:r>
      <w:r w:rsidRPr="00CE73E7">
        <w:rPr>
          <w:color w:val="000000"/>
          <w:lang w:val="en-US"/>
        </w:rPr>
        <w:t>.</w:t>
      </w:r>
    </w:p>
    <w:p w14:paraId="038884B8" w14:textId="77777777" w:rsidR="00133B09" w:rsidRPr="00CE73E7" w:rsidRDefault="00133B09" w:rsidP="00133B09">
      <w:pPr>
        <w:pStyle w:val="NormalWeb"/>
        <w:spacing w:before="0" w:beforeAutospacing="0" w:after="0" w:afterAutospacing="0" w:line="259" w:lineRule="atLeast"/>
        <w:ind w:firstLine="720"/>
        <w:jc w:val="both"/>
        <w:rPr>
          <w:color w:val="000000"/>
          <w:lang w:val="en-US"/>
        </w:rPr>
      </w:pPr>
      <w:r w:rsidRPr="00CE73E7">
        <w:rPr>
          <w:color w:val="000000"/>
          <w:lang w:val="en-US"/>
        </w:rPr>
        <w:t>Because of the contradictory significance that</w:t>
      </w:r>
      <w:r>
        <w:rPr>
          <w:color w:val="000000"/>
          <w:lang w:val="en-US"/>
        </w:rPr>
        <w:t xml:space="preserve"> the different ordering of the second and third sub-collections had,</w:t>
      </w:r>
      <w:r w:rsidRPr="00CE73E7">
        <w:rPr>
          <w:color w:val="000000"/>
          <w:lang w:val="en-US"/>
        </w:rPr>
        <w:t xml:space="preserve"> </w:t>
      </w:r>
      <w:r>
        <w:rPr>
          <w:color w:val="000000"/>
          <w:lang w:val="en-US"/>
        </w:rPr>
        <w:t xml:space="preserve">special attention is needed to </w:t>
      </w:r>
      <w:proofErr w:type="gramStart"/>
      <w:r>
        <w:rPr>
          <w:color w:val="000000"/>
          <w:lang w:val="en-US"/>
        </w:rPr>
        <w:t>both of them</w:t>
      </w:r>
      <w:proofErr w:type="gramEnd"/>
      <w:r>
        <w:rPr>
          <w:color w:val="000000"/>
          <w:lang w:val="en-US"/>
        </w:rPr>
        <w:t xml:space="preserve"> further below</w:t>
      </w:r>
      <w:r w:rsidRPr="00CE73E7">
        <w:rPr>
          <w:color w:val="000000"/>
          <w:lang w:val="en-US"/>
        </w:rPr>
        <w:t>.</w:t>
      </w:r>
    </w:p>
    <w:p w14:paraId="2FAF92BB" w14:textId="77777777" w:rsidR="00A91A2E" w:rsidRDefault="00A91A2E">
      <w:pPr>
        <w:rPr>
          <w:lang w:val="en-US"/>
        </w:rPr>
      </w:pPr>
    </w:p>
    <w:p w14:paraId="04A4E66E" w14:textId="77777777" w:rsidR="00A91A2E" w:rsidRDefault="00A91A2E">
      <w:pPr>
        <w:rPr>
          <w:lang w:val="en-US"/>
        </w:rPr>
      </w:pPr>
    </w:p>
    <w:p w14:paraId="540ACF59" w14:textId="77777777" w:rsidR="00D51648" w:rsidRPr="00D51648" w:rsidRDefault="00A91A2E" w:rsidP="00D51648">
      <w:pPr>
        <w:pStyle w:val="EndNoteBibliography"/>
        <w:spacing w:after="0"/>
        <w:ind w:left="720" w:hanging="720"/>
      </w:pPr>
      <w:r/>
      <w:r>
        <w:instrText xml:space="preserve"/>
      </w:r>
      <w:r/>
      <w:r w:rsidR="00D51648" w:rsidRPr="00D51648">
        <w:t xml:space="preserve">Bokedal, Tomas. 2014. </w:t>
      </w:r>
      <w:r w:rsidR="00D51648" w:rsidRPr="00D51648">
        <w:rPr>
          <w:i/>
        </w:rPr>
        <w:t>The Formation and Significance of the Christian Biblical Canon. A Study in Text, Ritual and Interpretation</w:t>
      </w:r>
      <w:r w:rsidR="00D51648" w:rsidRPr="00D51648">
        <w:t xml:space="preserve"> (Bloomsbury T &amp; T Clark: London [u.a.]).</w:t>
      </w:r>
    </w:p>
    <w:p w14:paraId="2786516E" w14:textId="77777777" w:rsidR="00D51648" w:rsidRPr="00D51648" w:rsidRDefault="00D51648" w:rsidP="00D51648">
      <w:pPr>
        <w:pStyle w:val="EndNoteBibliography"/>
        <w:spacing w:after="0"/>
        <w:ind w:left="720" w:hanging="720"/>
      </w:pPr>
      <w:r w:rsidRPr="00D51648">
        <w:t xml:space="preserve">Heilmann, Jan. 2018. 'Die These einer </w:t>
      </w:r>
      <w:r w:rsidRPr="00D51648">
        <w:rPr>
          <w:i/>
        </w:rPr>
        <w:t>editio princeps</w:t>
      </w:r>
      <w:r w:rsidRPr="00D51648">
        <w:t xml:space="preserve"> des Neuen Testaments im Spiegel der Forschungsdiskussion der letzten zwei Jahrzehnte.' in Jan Heilmann and Matthias Klinghardt (eds.), </w:t>
      </w:r>
      <w:r w:rsidRPr="00D51648">
        <w:rPr>
          <w:i/>
        </w:rPr>
        <w:t>Das Neue Testament und sein Text im 2. Jahrhundert</w:t>
      </w:r>
      <w:r w:rsidRPr="00D51648">
        <w:t xml:space="preserve"> (Francke: Tübingen).</w:t>
      </w:r>
    </w:p>
    <w:p w14:paraId="6ED342C6" w14:textId="77777777" w:rsidR="00D51648" w:rsidRPr="00D51648" w:rsidRDefault="00D51648" w:rsidP="00D51648">
      <w:pPr>
        <w:pStyle w:val="EndNoteBibliography"/>
        <w:spacing w:after="0"/>
        <w:ind w:left="720" w:hanging="720"/>
      </w:pPr>
      <w:r w:rsidRPr="00D51648">
        <w:t xml:space="preserve">Larson, Jason T. 2002. 'Rev. of David Trobisch, The  First Edition of the New Testament (Oxford, New York, 2000) ', </w:t>
      </w:r>
      <w:r w:rsidRPr="00D51648">
        <w:rPr>
          <w:i/>
        </w:rPr>
        <w:t>TC</w:t>
      </w:r>
      <w:r w:rsidRPr="00D51648">
        <w:t>, 6: s.p.</w:t>
      </w:r>
    </w:p>
    <w:p w14:paraId="60DF4FEE" w14:textId="77777777" w:rsidR="00D51648" w:rsidRPr="00D51648" w:rsidRDefault="00D51648" w:rsidP="00D51648">
      <w:pPr>
        <w:pStyle w:val="EndNoteBibliography"/>
        <w:spacing w:after="0"/>
        <w:ind w:left="720" w:hanging="720"/>
      </w:pPr>
      <w:r w:rsidRPr="00D51648">
        <w:t xml:space="preserve">Maurer, Alexander. 2002. 'Rez. zu David Trobisch, Die Endredaktion des Neuen Testaments. Eine Untersuchung zur Entstehung der christlichen Bibel, Novum Testamentum et Orbis Antiquus, 31 (Fribourg, Göttingen 1996)', </w:t>
      </w:r>
      <w:r w:rsidRPr="00D51648">
        <w:rPr>
          <w:i/>
        </w:rPr>
        <w:t>Theologische Literaturzeitung</w:t>
      </w:r>
      <w:r w:rsidRPr="00D51648">
        <w:t>, 127: 56-58.</w:t>
      </w:r>
    </w:p>
    <w:p w14:paraId="0F487C02" w14:textId="77777777" w:rsidR="00D51648" w:rsidRPr="00D51648" w:rsidRDefault="00D51648" w:rsidP="00D51648">
      <w:pPr>
        <w:pStyle w:val="EndNoteBibliography"/>
        <w:spacing w:after="0"/>
        <w:ind w:left="720" w:hanging="720"/>
      </w:pPr>
      <w:r w:rsidRPr="00D51648">
        <w:lastRenderedPageBreak/>
        <w:t xml:space="preserve">McNicol, Allan J. 2007. 'The importance of the Synoptic Problem for Interpreting the Gospels', </w:t>
      </w:r>
      <w:r w:rsidRPr="00D51648">
        <w:rPr>
          <w:i/>
        </w:rPr>
        <w:t>Kairos. Evangelical Journal of Theology</w:t>
      </w:r>
      <w:r w:rsidRPr="00D51648">
        <w:t>, 1: 13-24.</w:t>
      </w:r>
    </w:p>
    <w:p w14:paraId="7478BDB9" w14:textId="77777777" w:rsidR="00D51648" w:rsidRPr="00D51648" w:rsidRDefault="00D51648" w:rsidP="00D51648">
      <w:pPr>
        <w:pStyle w:val="EndNoteBibliography"/>
        <w:spacing w:after="0"/>
        <w:ind w:left="720" w:hanging="720"/>
      </w:pPr>
      <w:r w:rsidRPr="00D51648">
        <w:t xml:space="preserve">Nestle, Eberhard, Barbara Aland, and Kurt Aland. 2013. </w:t>
      </w:r>
      <w:r w:rsidRPr="00D51648">
        <w:rPr>
          <w:i/>
        </w:rPr>
        <w:t>Novum Testamentum Graece</w:t>
      </w:r>
      <w:r w:rsidRPr="00D51648">
        <w:t xml:space="preserve"> (Deutsche Bibelgesellschaft: Stuttgart).</w:t>
      </w:r>
    </w:p>
    <w:p w14:paraId="1A017284" w14:textId="77777777" w:rsidR="00D51648" w:rsidRPr="00D51648" w:rsidRDefault="00D51648" w:rsidP="00D51648">
      <w:pPr>
        <w:pStyle w:val="EndNoteBibliography"/>
        <w:spacing w:after="0"/>
        <w:ind w:left="720" w:hanging="720"/>
      </w:pPr>
      <w:r w:rsidRPr="00D51648">
        <w:t xml:space="preserve">Parker, D. C. 2002. 'Rev. of David Trobisch, The First Edition of the New Testament (New York, Oxford, 2002)', </w:t>
      </w:r>
      <w:r w:rsidRPr="00D51648">
        <w:rPr>
          <w:i/>
        </w:rPr>
        <w:t>Journal of Theological Studies n.s.</w:t>
      </w:r>
      <w:r w:rsidRPr="00D51648">
        <w:t>, 53: 298-305.</w:t>
      </w:r>
    </w:p>
    <w:p w14:paraId="5F43BD6D" w14:textId="77777777" w:rsidR="00D51648" w:rsidRPr="00D51648" w:rsidRDefault="00D51648" w:rsidP="00D51648">
      <w:pPr>
        <w:pStyle w:val="EndNoteBibliography"/>
        <w:spacing w:after="0"/>
        <w:ind w:left="720" w:hanging="720"/>
      </w:pPr>
      <w:r w:rsidRPr="00D51648">
        <w:t xml:space="preserve">Saydon, P.P. 1950. 'The Order of the Gospels', </w:t>
      </w:r>
      <w:r w:rsidRPr="00D51648">
        <w:rPr>
          <w:i/>
        </w:rPr>
        <w:t>Scripture</w:t>
      </w:r>
      <w:r w:rsidRPr="00D51648">
        <w:t>, 4: 196.</w:t>
      </w:r>
    </w:p>
    <w:p w14:paraId="1C5B8780" w14:textId="77777777" w:rsidR="00D51648" w:rsidRPr="00D51648" w:rsidRDefault="00D51648" w:rsidP="00D51648">
      <w:pPr>
        <w:pStyle w:val="EndNoteBibliography"/>
        <w:spacing w:after="0"/>
        <w:ind w:left="720" w:hanging="720"/>
      </w:pPr>
      <w:r w:rsidRPr="00D51648">
        <w:t xml:space="preserve">Schnelle, Udo. 2017. </w:t>
      </w:r>
      <w:r w:rsidRPr="00D51648">
        <w:rPr>
          <w:i/>
        </w:rPr>
        <w:t>Einleitung in das Neue Testament</w:t>
      </w:r>
      <w:r w:rsidRPr="00D51648">
        <w:t xml:space="preserve"> (Vandenhoeck &amp; Ruprecht: Göttingen Bristol).</w:t>
      </w:r>
    </w:p>
    <w:p w14:paraId="3A86BD22" w14:textId="77777777" w:rsidR="00D51648" w:rsidRPr="00D51648" w:rsidRDefault="00D51648" w:rsidP="00D51648">
      <w:pPr>
        <w:pStyle w:val="EndNoteBibliography"/>
        <w:spacing w:after="0"/>
        <w:ind w:left="720" w:hanging="720"/>
      </w:pPr>
      <w:r w:rsidRPr="00D51648">
        <w:t xml:space="preserve">Trobisch, David. 1996. </w:t>
      </w:r>
      <w:r w:rsidRPr="00D51648">
        <w:rPr>
          <w:i/>
        </w:rPr>
        <w:t>Die Endredaktion des Neuen Testaments: Eine Untersuchung zur Entstehung der christlichen Bibel</w:t>
      </w:r>
      <w:r w:rsidRPr="00D51648">
        <w:t xml:space="preserve"> (Universitäsverlag; Göttingen : Vandenhoek &amp; Ruprecht: Freiburg).</w:t>
      </w:r>
    </w:p>
    <w:p w14:paraId="08183829" w14:textId="77777777" w:rsidR="00D51648" w:rsidRPr="00D51648" w:rsidRDefault="00D51648" w:rsidP="00D51648">
      <w:pPr>
        <w:pStyle w:val="EndNoteBibliography"/>
        <w:spacing w:after="0"/>
        <w:ind w:left="720" w:hanging="720"/>
      </w:pPr>
      <w:r w:rsidRPr="00D51648">
        <w:t xml:space="preserve">———. 2000. </w:t>
      </w:r>
      <w:r w:rsidRPr="00D51648">
        <w:rPr>
          <w:i/>
        </w:rPr>
        <w:t>The First Edition of the New Testament</w:t>
      </w:r>
      <w:r w:rsidRPr="00D51648">
        <w:t xml:space="preserve"> (Oxford University Press Oxford).</w:t>
      </w:r>
    </w:p>
    <w:p w14:paraId="4322C9E1" w14:textId="77777777" w:rsidR="00D51648" w:rsidRPr="00D51648" w:rsidRDefault="00D51648" w:rsidP="00D51648">
      <w:pPr>
        <w:pStyle w:val="EndNoteBibliography"/>
        <w:ind w:left="720" w:hanging="720"/>
      </w:pPr>
      <w:r w:rsidRPr="00D51648">
        <w:t xml:space="preserve">Vinzent, Markus. 2014. </w:t>
      </w:r>
      <w:r w:rsidRPr="00D51648">
        <w:rPr>
          <w:i/>
        </w:rPr>
        <w:t>Marcion and the Dating of the Synoptic Gospels</w:t>
      </w:r>
      <w:r w:rsidRPr="00D51648">
        <w:t xml:space="preserve"> (Peeters: Leuven).</w:t>
      </w:r>
    </w:p>
    <w:p w14:paraId="0D4D3EBC" w14:textId="242F3C23" w:rsidR="00014644" w:rsidRPr="00133B09" w:rsidRDefault="00A91A2E">
      <w:pPr>
        <w:rPr>
          <w:lang w:val="en-US"/>
        </w:rPr>
      </w:pPr>
      <w:r>
        <w:rPr>
          <w:lang w:val="en-US"/>
        </w:rPr>
      </w:r>
    </w:p>
    <w:sectPr w:rsidR="00014644" w:rsidRPr="00133B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6D18" w14:textId="77777777" w:rsidR="009D520E" w:rsidRDefault="009D520E" w:rsidP="00133B09">
      <w:pPr>
        <w:spacing w:after="0" w:line="240" w:lineRule="auto"/>
      </w:pPr>
      <w:r>
        <w:separator/>
      </w:r>
    </w:p>
  </w:endnote>
  <w:endnote w:type="continuationSeparator" w:id="0">
    <w:p w14:paraId="48621023" w14:textId="77777777" w:rsidR="009D520E" w:rsidRDefault="009D520E" w:rsidP="0013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CE42" w14:textId="77777777" w:rsidR="009D520E" w:rsidRDefault="009D520E" w:rsidP="00133B09">
      <w:pPr>
        <w:spacing w:after="0" w:line="240" w:lineRule="auto"/>
      </w:pPr>
      <w:r>
        <w:separator/>
      </w:r>
    </w:p>
  </w:footnote>
  <w:footnote w:type="continuationSeparator" w:id="0">
    <w:p w14:paraId="38172F54" w14:textId="77777777" w:rsidR="009D520E" w:rsidRDefault="009D520E" w:rsidP="00133B09">
      <w:pPr>
        <w:spacing w:after="0" w:line="240" w:lineRule="auto"/>
      </w:pPr>
      <w:r>
        <w:continuationSeparator/>
      </w:r>
    </w:p>
  </w:footnote>
  <w:footnote w:id="1">
    <w:p w14:paraId="74E06F47" w14:textId="77777777" w:rsidR="00133B09" w:rsidRPr="00133B09" w:rsidRDefault="00133B09" w:rsidP="00133B09">
      <w:pPr>
        <w:pStyle w:val="FootnoteText"/>
        <w:rPr>
          <w:lang w:val="en-US"/>
        </w:rPr>
      </w:pPr>
      <w:r>
        <w:rPr>
          <w:rStyle w:val="FootnoteReference"/>
        </w:rPr>
        <w:footnoteRef/>
      </w:r>
      <w:r w:rsidRPr="00133B09">
        <w:rPr>
          <w:lang w:val="en-US"/>
        </w:rPr>
        <w:t xml:space="preserve"> See above, chapter 4,2.</w:t>
      </w:r>
    </w:p>
  </w:footnote>
  <w:footnote w:id="2">
    <w:p w14:paraId="6119DF04" w14:textId="6DE1C3CD" w:rsidR="00133B09" w:rsidRPr="00863FB9" w:rsidRDefault="00133B09" w:rsidP="00133B09">
      <w:pPr>
        <w:pStyle w:val="FootnoteText"/>
        <w:rPr>
          <w:kern w:val="0"/>
          <w:lang w:val="en-US"/>
        </w:rPr>
      </w:pPr>
      <w:r w:rsidRPr="00E54926">
        <w:rPr>
          <w:rStyle w:val="FootnoteReference"/>
          <w:kern w:val="0"/>
        </w:rPr>
        <w:footnoteRef/>
      </w:r>
      <w:r w:rsidRPr="00863FB9">
        <w:rPr>
          <w:kern w:val="0"/>
          <w:lang w:val="en-US"/>
        </w:rPr>
        <w:t xml:space="preserve"> ‘</w:t>
      </w:r>
      <w:r w:rsidRPr="00E54926">
        <w:rPr>
          <w:kern w:val="0"/>
          <w:lang w:val="en-GB"/>
        </w:rPr>
        <w:t>We have no evidence of the manner in which the original manuscripts of the Gospels, or the first copies, were collected and united into one book</w:t>
      </w:r>
      <w:r>
        <w:rPr>
          <w:kern w:val="0"/>
          <w:lang w:val="en-GB"/>
        </w:rPr>
        <w:t>’</w:t>
      </w:r>
      <w:r w:rsidRPr="00E54926">
        <w:rPr>
          <w:kern w:val="0"/>
          <w:lang w:val="en-GB"/>
        </w:rPr>
        <w:t xml:space="preserve">, so </w:t>
      </w:r>
      <w:r w:rsidRPr="00E54926">
        <w:rPr>
          <w:kern w:val="0"/>
        </w:rPr>
        <w:fldChar w:fldCharType="begin"/>
      </w:r>
      <w:r w:rsidR="00A91A2E">
        <w:rPr>
          <w:kern w:val="0"/>
          <w:lang w:val="en-GB"/>
        </w:rPr>
        <w:instrText xml:space="preserve"> ADDIN EN.CITE &lt;EndNote&gt;&lt;Cite&gt;&lt;Author&gt;Saydon&lt;/Author&gt;&lt;Year&gt;1950&lt;/Year&gt;&lt;RecNum&gt;5398&lt;/RecNum&gt;&lt;Pages&gt;190&lt;/Pages&gt;&lt;DisplayText&gt;(Saydon 1950: 190)&lt;/DisplayText&gt;&lt;record&gt;&lt;rec-number&gt;5398&lt;/rec-number&gt;&lt;foreign-keys&gt;&lt;key app="EN" db-id="watspfp2d2rp9se0avpvpv942sd5za2epre9" timestamp="1630668619"&gt;5398&lt;/key&gt;&lt;/foreign-keys&gt;&lt;ref-type name="Journal Article"&gt;17&lt;/ref-type&gt;&lt;contributors&gt;&lt;authors&gt;&lt;author&gt;Saydon, P.P.&lt;/author&gt;&lt;/authors&gt;&lt;/contributors&gt;&lt;titles&gt;&lt;title&gt;The Order of the Gospels&lt;/title&gt;&lt;secondary-title&gt;Scripture&lt;/secondary-title&gt;&lt;/titles&gt;&lt;periodical&gt;&lt;full-title&gt;Scripture&lt;/full-title&gt;&lt;/periodical&gt;&lt;pages&gt;196&lt;/pages&gt;&lt;volume&gt;4&lt;/volume&gt;&lt;number&gt;7&lt;/number&gt;&lt;dates&gt;&lt;year&gt;1950&lt;/year&gt;&lt;/dates&gt;&lt;urls&gt;&lt;/urls&gt;&lt;/record&gt;&lt;/Cite&gt;&lt;/EndNote&gt;</w:instrText>
      </w:r>
      <w:r w:rsidRPr="00E54926">
        <w:rPr>
          <w:kern w:val="0"/>
        </w:rPr>
        <w:fldChar w:fldCharType="separate"/>
      </w:r>
      <w:r w:rsidR="00A91A2E" w:rsidRPr="00A91A2E">
        <w:rPr>
          <w:noProof/>
          <w:kern w:val="0"/>
          <w:lang w:val="en-GB"/>
        </w:rPr>
        <w:t>(Saydon 1950: 190)</w:t>
      </w:r>
      <w:r w:rsidRPr="00E54926">
        <w:rPr>
          <w:kern w:val="0"/>
        </w:rPr>
        <w:fldChar w:fldCharType="end"/>
      </w:r>
    </w:p>
  </w:footnote>
  <w:footnote w:id="3">
    <w:p w14:paraId="388D8FC5" w14:textId="77777777" w:rsidR="00133B09" w:rsidRPr="00207399" w:rsidRDefault="00133B09" w:rsidP="00133B09">
      <w:pPr>
        <w:pStyle w:val="FootnoteText"/>
        <w:rPr>
          <w:kern w:val="0"/>
          <w:lang w:val="en-US"/>
        </w:rPr>
      </w:pPr>
      <w:r w:rsidRPr="00E54926">
        <w:rPr>
          <w:rStyle w:val="FootnoteReference"/>
          <w:kern w:val="0"/>
        </w:rPr>
        <w:footnoteRef/>
      </w:r>
      <w:r w:rsidRPr="00207399">
        <w:rPr>
          <w:kern w:val="0"/>
          <w:lang w:val="en-US"/>
        </w:rPr>
        <w:t xml:space="preserve"> </w:t>
      </w:r>
      <w:r w:rsidRPr="00207399">
        <w:rPr>
          <w:i/>
          <w:kern w:val="0"/>
          <w:lang w:val="en-US"/>
        </w:rPr>
        <w:t>Codex Sinaiticus</w:t>
      </w:r>
      <w:r w:rsidRPr="00207399">
        <w:rPr>
          <w:kern w:val="0"/>
          <w:lang w:val="en-US"/>
        </w:rPr>
        <w:t xml:space="preserve">, </w:t>
      </w:r>
      <w:r w:rsidRPr="00207399">
        <w:rPr>
          <w:i/>
          <w:kern w:val="0"/>
          <w:lang w:val="en-US"/>
        </w:rPr>
        <w:t xml:space="preserve">Codex </w:t>
      </w:r>
      <w:proofErr w:type="spellStart"/>
      <w:r w:rsidRPr="00207399">
        <w:rPr>
          <w:i/>
          <w:kern w:val="0"/>
          <w:lang w:val="en-US"/>
        </w:rPr>
        <w:t>Vaticanus</w:t>
      </w:r>
      <w:proofErr w:type="spellEnd"/>
      <w:r w:rsidRPr="00207399">
        <w:rPr>
          <w:kern w:val="0"/>
          <w:lang w:val="en-US"/>
        </w:rPr>
        <w:t xml:space="preserve">, </w:t>
      </w:r>
      <w:r w:rsidRPr="00207399">
        <w:rPr>
          <w:i/>
          <w:kern w:val="0"/>
          <w:lang w:val="en-US"/>
        </w:rPr>
        <w:t xml:space="preserve">Codex </w:t>
      </w:r>
      <w:proofErr w:type="spellStart"/>
      <w:r w:rsidRPr="00207399">
        <w:rPr>
          <w:i/>
          <w:kern w:val="0"/>
          <w:lang w:val="en-US"/>
        </w:rPr>
        <w:t>Alexandrinus</w:t>
      </w:r>
      <w:proofErr w:type="spellEnd"/>
      <w:r w:rsidRPr="00207399">
        <w:rPr>
          <w:kern w:val="0"/>
          <w:lang w:val="en-US"/>
        </w:rPr>
        <w:t>; the first two manuscripts deriv</w:t>
      </w:r>
      <w:r>
        <w:rPr>
          <w:kern w:val="0"/>
          <w:lang w:val="en-US"/>
        </w:rPr>
        <w:t>e presumably from the 4</w:t>
      </w:r>
      <w:r w:rsidRPr="00207399">
        <w:rPr>
          <w:kern w:val="0"/>
          <w:vertAlign w:val="superscript"/>
          <w:lang w:val="en-US"/>
        </w:rPr>
        <w:t>th</w:t>
      </w:r>
      <w:r>
        <w:rPr>
          <w:kern w:val="0"/>
          <w:lang w:val="en-US"/>
        </w:rPr>
        <w:t xml:space="preserve"> c., the third from the 5</w:t>
      </w:r>
      <w:r w:rsidRPr="00207399">
        <w:rPr>
          <w:kern w:val="0"/>
          <w:vertAlign w:val="superscript"/>
          <w:lang w:val="en-US"/>
        </w:rPr>
        <w:t>th</w:t>
      </w:r>
      <w:r>
        <w:rPr>
          <w:kern w:val="0"/>
          <w:lang w:val="en-US"/>
        </w:rPr>
        <w:t xml:space="preserve"> c.</w:t>
      </w:r>
      <w:r w:rsidRPr="00207399">
        <w:rPr>
          <w:kern w:val="0"/>
          <w:lang w:val="en-US"/>
        </w:rPr>
        <w:t xml:space="preserve"> T</w:t>
      </w:r>
      <w:r>
        <w:rPr>
          <w:kern w:val="0"/>
          <w:lang w:val="en-US"/>
        </w:rPr>
        <w:t xml:space="preserve">his sequence can also be found in the often consulted and important work by </w:t>
      </w:r>
      <w:r w:rsidRPr="00207399">
        <w:rPr>
          <w:kern w:val="0"/>
          <w:lang w:val="en-US"/>
        </w:rPr>
        <w:t>Augustin</w:t>
      </w:r>
      <w:r>
        <w:rPr>
          <w:kern w:val="0"/>
          <w:lang w:val="en-US"/>
        </w:rPr>
        <w:t>e</w:t>
      </w:r>
      <w:r w:rsidRPr="00207399">
        <w:rPr>
          <w:kern w:val="0"/>
          <w:lang w:val="en-US"/>
        </w:rPr>
        <w:t xml:space="preserve">, </w:t>
      </w:r>
      <w:r w:rsidRPr="00207399">
        <w:rPr>
          <w:i/>
          <w:kern w:val="0"/>
          <w:lang w:val="en-US"/>
        </w:rPr>
        <w:t xml:space="preserve">De </w:t>
      </w:r>
      <w:proofErr w:type="spellStart"/>
      <w:r w:rsidRPr="00207399">
        <w:rPr>
          <w:i/>
          <w:kern w:val="0"/>
          <w:lang w:val="en-US"/>
        </w:rPr>
        <w:t>consensu</w:t>
      </w:r>
      <w:proofErr w:type="spellEnd"/>
      <w:r w:rsidRPr="00207399">
        <w:rPr>
          <w:i/>
          <w:kern w:val="0"/>
          <w:lang w:val="en-US"/>
        </w:rPr>
        <w:t xml:space="preserve"> </w:t>
      </w:r>
      <w:proofErr w:type="spellStart"/>
      <w:r w:rsidRPr="00207399">
        <w:rPr>
          <w:i/>
          <w:kern w:val="0"/>
          <w:lang w:val="en-US"/>
        </w:rPr>
        <w:t>evangelistarum</w:t>
      </w:r>
      <w:proofErr w:type="spellEnd"/>
      <w:r w:rsidRPr="00207399">
        <w:rPr>
          <w:kern w:val="0"/>
          <w:lang w:val="en-US"/>
        </w:rPr>
        <w:t xml:space="preserve"> I 2,3.</w:t>
      </w:r>
    </w:p>
  </w:footnote>
  <w:footnote w:id="4">
    <w:p w14:paraId="29D140F3" w14:textId="150BD9DA" w:rsidR="00133B09" w:rsidRPr="002722A7" w:rsidRDefault="00133B09" w:rsidP="00133B09">
      <w:pPr>
        <w:pStyle w:val="FootnoteText"/>
        <w:rPr>
          <w:kern w:val="0"/>
          <w:lang w:val="en-US"/>
        </w:rPr>
      </w:pPr>
      <w:r w:rsidRPr="00E54926">
        <w:rPr>
          <w:rStyle w:val="FootnoteReference"/>
          <w:kern w:val="0"/>
        </w:rPr>
        <w:footnoteRef/>
      </w:r>
      <w:r w:rsidRPr="00207399">
        <w:rPr>
          <w:kern w:val="0"/>
          <w:lang w:val="en-US"/>
        </w:rPr>
        <w:t xml:space="preserve"> </w:t>
      </w:r>
      <w:r w:rsidRPr="00207399">
        <w:rPr>
          <w:i/>
          <w:kern w:val="0"/>
          <w:lang w:val="en-US"/>
        </w:rPr>
        <w:t xml:space="preserve">Codex </w:t>
      </w:r>
      <w:proofErr w:type="spellStart"/>
      <w:r w:rsidRPr="00207399">
        <w:rPr>
          <w:i/>
          <w:kern w:val="0"/>
          <w:lang w:val="en-US"/>
        </w:rPr>
        <w:t>Bezae</w:t>
      </w:r>
      <w:proofErr w:type="spellEnd"/>
      <w:r w:rsidRPr="00207399">
        <w:rPr>
          <w:kern w:val="0"/>
          <w:lang w:val="en-US"/>
        </w:rPr>
        <w:t xml:space="preserve"> and </w:t>
      </w:r>
      <w:r w:rsidRPr="00207399">
        <w:rPr>
          <w:i/>
          <w:kern w:val="0"/>
          <w:lang w:val="en-US"/>
        </w:rPr>
        <w:t xml:space="preserve">Codex </w:t>
      </w:r>
      <w:proofErr w:type="spellStart"/>
      <w:r w:rsidRPr="00207399">
        <w:rPr>
          <w:i/>
          <w:kern w:val="0"/>
          <w:lang w:val="en-US"/>
        </w:rPr>
        <w:t>Washingtonianus</w:t>
      </w:r>
      <w:proofErr w:type="spellEnd"/>
      <w:r w:rsidRPr="00207399">
        <w:rPr>
          <w:kern w:val="0"/>
          <w:lang w:val="en-US"/>
        </w:rPr>
        <w:t>, both likely from the 5</w:t>
      </w:r>
      <w:r w:rsidRPr="00207399">
        <w:rPr>
          <w:kern w:val="0"/>
          <w:vertAlign w:val="superscript"/>
          <w:lang w:val="en-US"/>
        </w:rPr>
        <w:t>th</w:t>
      </w:r>
      <w:r>
        <w:rPr>
          <w:kern w:val="0"/>
          <w:lang w:val="en-US"/>
        </w:rPr>
        <w:t xml:space="preserve"> c</w:t>
      </w:r>
      <w:r w:rsidRPr="00207399">
        <w:rPr>
          <w:kern w:val="0"/>
          <w:lang w:val="en-US"/>
        </w:rPr>
        <w:t xml:space="preserve">., </w:t>
      </w:r>
      <w:r>
        <w:rPr>
          <w:kern w:val="0"/>
          <w:lang w:val="en-US"/>
        </w:rPr>
        <w:t xml:space="preserve">offer the sequence </w:t>
      </w:r>
      <w:r w:rsidRPr="00207399">
        <w:rPr>
          <w:i/>
          <w:kern w:val="0"/>
          <w:lang w:val="en-US"/>
        </w:rPr>
        <w:t>M</w:t>
      </w:r>
      <w:r>
        <w:rPr>
          <w:i/>
          <w:kern w:val="0"/>
          <w:lang w:val="en-US"/>
        </w:rPr>
        <w:t>att</w:t>
      </w:r>
      <w:r w:rsidRPr="00207399">
        <w:rPr>
          <w:kern w:val="0"/>
          <w:lang w:val="en-US"/>
        </w:rPr>
        <w:t xml:space="preserve">, </w:t>
      </w:r>
      <w:r w:rsidRPr="00207399">
        <w:rPr>
          <w:i/>
          <w:kern w:val="0"/>
          <w:lang w:val="en-US"/>
        </w:rPr>
        <w:t>Joh</w:t>
      </w:r>
      <w:r>
        <w:rPr>
          <w:kern w:val="0"/>
          <w:lang w:val="en-US"/>
        </w:rPr>
        <w:t>n</w:t>
      </w:r>
      <w:r w:rsidRPr="00207399">
        <w:rPr>
          <w:kern w:val="0"/>
          <w:lang w:val="en-US"/>
        </w:rPr>
        <w:t xml:space="preserve">, </w:t>
      </w:r>
      <w:r w:rsidRPr="00207399">
        <w:rPr>
          <w:i/>
          <w:kern w:val="0"/>
          <w:lang w:val="en-US"/>
        </w:rPr>
        <w:t>Lk</w:t>
      </w:r>
      <w:r w:rsidRPr="00207399">
        <w:rPr>
          <w:kern w:val="0"/>
          <w:lang w:val="en-US"/>
        </w:rPr>
        <w:t xml:space="preserve">, </w:t>
      </w:r>
      <w:r w:rsidRPr="00207399">
        <w:rPr>
          <w:i/>
          <w:kern w:val="0"/>
          <w:lang w:val="en-US"/>
        </w:rPr>
        <w:t>Mk</w:t>
      </w:r>
      <w:r w:rsidRPr="00207399">
        <w:rPr>
          <w:kern w:val="0"/>
          <w:lang w:val="en-US"/>
        </w:rPr>
        <w:t xml:space="preserve">. The same sequence can be found in the old </w:t>
      </w:r>
      <w:proofErr w:type="spellStart"/>
      <w:r w:rsidRPr="00207399">
        <w:rPr>
          <w:kern w:val="0"/>
          <w:lang w:val="en-US"/>
        </w:rPr>
        <w:t>latin</w:t>
      </w:r>
      <w:proofErr w:type="spellEnd"/>
      <w:r w:rsidRPr="00207399">
        <w:rPr>
          <w:kern w:val="0"/>
          <w:lang w:val="en-US"/>
        </w:rPr>
        <w:t xml:space="preserve"> versions. In contrast to the two sequences, a Syriac version from the 5th c. gives </w:t>
      </w:r>
      <w:r w:rsidRPr="00207399">
        <w:rPr>
          <w:i/>
          <w:kern w:val="0"/>
          <w:lang w:val="en-US"/>
        </w:rPr>
        <w:t>M</w:t>
      </w:r>
      <w:r>
        <w:rPr>
          <w:i/>
          <w:kern w:val="0"/>
          <w:lang w:val="en-US"/>
        </w:rPr>
        <w:t>att</w:t>
      </w:r>
      <w:r w:rsidRPr="00207399">
        <w:rPr>
          <w:kern w:val="0"/>
          <w:lang w:val="en-US"/>
        </w:rPr>
        <w:t xml:space="preserve">, </w:t>
      </w:r>
      <w:r w:rsidRPr="00207399">
        <w:rPr>
          <w:i/>
          <w:kern w:val="0"/>
          <w:lang w:val="en-US"/>
        </w:rPr>
        <w:t>Mk</w:t>
      </w:r>
      <w:r w:rsidRPr="00207399">
        <w:rPr>
          <w:kern w:val="0"/>
          <w:lang w:val="en-US"/>
        </w:rPr>
        <w:t xml:space="preserve">, </w:t>
      </w:r>
      <w:r w:rsidRPr="00207399">
        <w:rPr>
          <w:i/>
          <w:kern w:val="0"/>
          <w:lang w:val="en-US"/>
        </w:rPr>
        <w:t>John</w:t>
      </w:r>
      <w:r w:rsidRPr="00207399">
        <w:rPr>
          <w:kern w:val="0"/>
          <w:lang w:val="en-US"/>
        </w:rPr>
        <w:t xml:space="preserve">, </w:t>
      </w:r>
      <w:r w:rsidRPr="00207399">
        <w:rPr>
          <w:i/>
          <w:kern w:val="0"/>
          <w:lang w:val="en-US"/>
        </w:rPr>
        <w:t>Lk</w:t>
      </w:r>
      <w:r w:rsidRPr="00207399">
        <w:rPr>
          <w:kern w:val="0"/>
          <w:lang w:val="en-US"/>
        </w:rPr>
        <w:t xml:space="preserve">, </w:t>
      </w:r>
      <w:r>
        <w:rPr>
          <w:kern w:val="0"/>
          <w:lang w:val="en-US"/>
        </w:rPr>
        <w:t xml:space="preserve">see </w:t>
      </w:r>
      <w:r w:rsidRPr="00E54926">
        <w:rPr>
          <w:kern w:val="0"/>
        </w:rPr>
        <w:fldChar w:fldCharType="begin"/>
      </w:r>
      <w:r w:rsidR="00A91A2E">
        <w:rPr>
          <w:kern w:val="0"/>
          <w:lang w:val="en-US"/>
        </w:rPr>
        <w:instrText xml:space="preserve"> ADDIN EN.CITE &lt;EndNote&gt;&lt;Cite&gt;&lt;Author&gt;Saydon&lt;/Author&gt;&lt;Year&gt;1950&lt;/Year&gt;&lt;RecNum&gt;5398&lt;/RecNum&gt;&lt;Pages&gt;190&lt;/Pages&gt;&lt;DisplayText&gt;(Saydon 1950: 190)&lt;/DisplayText&gt;&lt;record&gt;&lt;rec-number&gt;5398&lt;/rec-number&gt;&lt;foreign-keys&gt;&lt;key app="EN" db-id="watspfp2d2rp9se0avpvpv942sd5za2epre9" timestamp="1630668619"&gt;5398&lt;/key&gt;&lt;/foreign-keys&gt;&lt;ref-type name="Journal Article"&gt;17&lt;/ref-type&gt;&lt;contributors&gt;&lt;authors&gt;&lt;author&gt;Saydon, P.P.&lt;/author&gt;&lt;/authors&gt;&lt;/contributors&gt;&lt;titles&gt;&lt;title&gt;The Order of the Gospels&lt;/title&gt;&lt;secondary-title&gt;Scripture&lt;/secondary-title&gt;&lt;/titles&gt;&lt;periodical&gt;&lt;full-title&gt;Scripture&lt;/full-title&gt;&lt;/periodical&gt;&lt;pages&gt;196&lt;/pages&gt;&lt;volume&gt;4&lt;/volume&gt;&lt;number&gt;7&lt;/number&gt;&lt;dates&gt;&lt;year&gt;1950&lt;/year&gt;&lt;/dates&gt;&lt;urls&gt;&lt;/urls&gt;&lt;/record&gt;&lt;/Cite&gt;&lt;/EndNote&gt;</w:instrText>
      </w:r>
      <w:r w:rsidRPr="00E54926">
        <w:rPr>
          <w:kern w:val="0"/>
        </w:rPr>
        <w:fldChar w:fldCharType="separate"/>
      </w:r>
      <w:r w:rsidR="00A91A2E" w:rsidRPr="00A91A2E">
        <w:rPr>
          <w:noProof/>
          <w:kern w:val="0"/>
          <w:lang w:val="en-US"/>
        </w:rPr>
        <w:t>(Saydon 1950: 190)</w:t>
      </w:r>
      <w:r w:rsidRPr="00E54926">
        <w:rPr>
          <w:kern w:val="0"/>
        </w:rPr>
        <w:fldChar w:fldCharType="end"/>
      </w:r>
      <w:r w:rsidRPr="006F73F2">
        <w:rPr>
          <w:kern w:val="0"/>
          <w:lang w:val="en-US"/>
        </w:rPr>
        <w:t xml:space="preserve"> </w:t>
      </w:r>
      <w:r w:rsidRPr="002722A7">
        <w:rPr>
          <w:kern w:val="0"/>
          <w:lang w:val="en-US"/>
        </w:rPr>
        <w:t xml:space="preserve">In the </w:t>
      </w:r>
      <w:r w:rsidRPr="002722A7">
        <w:rPr>
          <w:i/>
          <w:kern w:val="0"/>
          <w:lang w:val="en-US"/>
        </w:rPr>
        <w:t xml:space="preserve">Canon </w:t>
      </w:r>
      <w:proofErr w:type="spellStart"/>
      <w:r w:rsidRPr="002722A7">
        <w:rPr>
          <w:i/>
          <w:kern w:val="0"/>
          <w:lang w:val="en-US"/>
        </w:rPr>
        <w:t>Muratori</w:t>
      </w:r>
      <w:proofErr w:type="spellEnd"/>
      <w:r w:rsidRPr="002722A7">
        <w:rPr>
          <w:kern w:val="0"/>
          <w:lang w:val="en-US"/>
        </w:rPr>
        <w:t>, though it is corrupt with text missing in the opening (t</w:t>
      </w:r>
      <w:r>
        <w:rPr>
          <w:kern w:val="0"/>
          <w:lang w:val="en-US"/>
        </w:rPr>
        <w:t xml:space="preserve">he dating of the </w:t>
      </w:r>
      <w:r>
        <w:rPr>
          <w:i/>
          <w:kern w:val="0"/>
          <w:lang w:val="en-US"/>
        </w:rPr>
        <w:t xml:space="preserve">Canon </w:t>
      </w:r>
      <w:r>
        <w:rPr>
          <w:kern w:val="0"/>
          <w:lang w:val="en-US"/>
        </w:rPr>
        <w:t>is disputed and given as 2</w:t>
      </w:r>
      <w:r w:rsidRPr="002722A7">
        <w:rPr>
          <w:kern w:val="0"/>
          <w:vertAlign w:val="superscript"/>
          <w:lang w:val="en-US"/>
        </w:rPr>
        <w:t>nd</w:t>
      </w:r>
      <w:r>
        <w:rPr>
          <w:kern w:val="0"/>
          <w:lang w:val="en-US"/>
        </w:rPr>
        <w:t xml:space="preserve"> c. or 4</w:t>
      </w:r>
      <w:r w:rsidRPr="002722A7">
        <w:rPr>
          <w:kern w:val="0"/>
          <w:vertAlign w:val="superscript"/>
          <w:lang w:val="en-US"/>
        </w:rPr>
        <w:t>th</w:t>
      </w:r>
      <w:r>
        <w:rPr>
          <w:kern w:val="0"/>
          <w:lang w:val="en-US"/>
        </w:rPr>
        <w:t xml:space="preserve"> c.</w:t>
      </w:r>
      <w:r w:rsidRPr="002722A7">
        <w:rPr>
          <w:kern w:val="0"/>
          <w:lang w:val="en-US"/>
        </w:rPr>
        <w:t xml:space="preserve">), </w:t>
      </w:r>
      <w:r>
        <w:rPr>
          <w:kern w:val="0"/>
          <w:lang w:val="en-US"/>
        </w:rPr>
        <w:t xml:space="preserve">offers in third place </w:t>
      </w:r>
      <w:r w:rsidRPr="002722A7">
        <w:rPr>
          <w:i/>
          <w:kern w:val="0"/>
          <w:lang w:val="en-US"/>
        </w:rPr>
        <w:t>Lk</w:t>
      </w:r>
      <w:r w:rsidRPr="002722A7">
        <w:rPr>
          <w:kern w:val="0"/>
          <w:lang w:val="en-US"/>
        </w:rPr>
        <w:t xml:space="preserve"> </w:t>
      </w:r>
      <w:r>
        <w:rPr>
          <w:kern w:val="0"/>
          <w:lang w:val="en-US"/>
        </w:rPr>
        <w:t>and in 4</w:t>
      </w:r>
      <w:r w:rsidRPr="002722A7">
        <w:rPr>
          <w:kern w:val="0"/>
          <w:vertAlign w:val="superscript"/>
          <w:lang w:val="en-US"/>
        </w:rPr>
        <w:t>th</w:t>
      </w:r>
      <w:r>
        <w:rPr>
          <w:kern w:val="0"/>
          <w:lang w:val="en-US"/>
        </w:rPr>
        <w:t xml:space="preserve"> </w:t>
      </w:r>
      <w:r w:rsidRPr="002722A7">
        <w:rPr>
          <w:i/>
          <w:kern w:val="0"/>
          <w:lang w:val="en-US"/>
        </w:rPr>
        <w:t>John</w:t>
      </w:r>
      <w:r>
        <w:rPr>
          <w:kern w:val="0"/>
          <w:lang w:val="en-US"/>
        </w:rPr>
        <w:t xml:space="preserve"> and one might assume that prior to these we have </w:t>
      </w:r>
      <w:r>
        <w:rPr>
          <w:i/>
          <w:kern w:val="0"/>
          <w:lang w:val="en-US"/>
        </w:rPr>
        <w:t>Matt</w:t>
      </w:r>
      <w:r>
        <w:rPr>
          <w:kern w:val="0"/>
          <w:lang w:val="en-US"/>
        </w:rPr>
        <w:t xml:space="preserve"> and </w:t>
      </w:r>
      <w:r>
        <w:rPr>
          <w:i/>
          <w:kern w:val="0"/>
          <w:lang w:val="en-US"/>
        </w:rPr>
        <w:t>Mk</w:t>
      </w:r>
      <w:r w:rsidRPr="002722A7">
        <w:rPr>
          <w:kern w:val="0"/>
          <w:lang w:val="en-US"/>
        </w:rPr>
        <w:t>.</w:t>
      </w:r>
    </w:p>
  </w:footnote>
  <w:footnote w:id="5">
    <w:p w14:paraId="5BB56F96" w14:textId="2B0F9842" w:rsidR="00133B09" w:rsidRPr="001E4BC1" w:rsidRDefault="00133B09" w:rsidP="00133B09">
      <w:pPr>
        <w:pStyle w:val="FootnoteText"/>
        <w:rPr>
          <w:kern w:val="0"/>
          <w:lang w:val="en-US"/>
        </w:rPr>
      </w:pPr>
      <w:r w:rsidRPr="001E4BC1">
        <w:rPr>
          <w:rStyle w:val="FootnoteReference"/>
          <w:kern w:val="0"/>
        </w:rPr>
        <w:footnoteRef/>
      </w:r>
      <w:r w:rsidRPr="00133B09">
        <w:rPr>
          <w:kern w:val="0"/>
          <w:lang w:val="en-US"/>
        </w:rPr>
        <w:t xml:space="preserve"> </w:t>
      </w:r>
      <w:proofErr w:type="spellStart"/>
      <w:r w:rsidRPr="00133B09">
        <w:rPr>
          <w:kern w:val="0"/>
          <w:lang w:val="en-US"/>
        </w:rPr>
        <w:t>Tert</w:t>
      </w:r>
      <w:proofErr w:type="spellEnd"/>
      <w:r w:rsidRPr="00133B09">
        <w:rPr>
          <w:kern w:val="0"/>
          <w:lang w:val="en-US"/>
        </w:rPr>
        <w:t xml:space="preserve">., </w:t>
      </w:r>
      <w:r w:rsidRPr="00133B09">
        <w:rPr>
          <w:i/>
          <w:kern w:val="0"/>
          <w:lang w:val="en-US"/>
        </w:rPr>
        <w:t>Adv. Marc.</w:t>
      </w:r>
      <w:r w:rsidRPr="00133B09">
        <w:rPr>
          <w:kern w:val="0"/>
          <w:lang w:val="en-US"/>
        </w:rPr>
        <w:t xml:space="preserve"> </w:t>
      </w:r>
      <w:r w:rsidRPr="002722A7">
        <w:rPr>
          <w:kern w:val="0"/>
          <w:lang w:val="en-US"/>
        </w:rPr>
        <w:t xml:space="preserve">IV 2 offers the sequence </w:t>
      </w:r>
      <w:r w:rsidRPr="002722A7">
        <w:rPr>
          <w:i/>
          <w:kern w:val="0"/>
          <w:lang w:val="en-US"/>
        </w:rPr>
        <w:t>John</w:t>
      </w:r>
      <w:r w:rsidRPr="002722A7">
        <w:rPr>
          <w:kern w:val="0"/>
          <w:lang w:val="en-US"/>
        </w:rPr>
        <w:t xml:space="preserve">, </w:t>
      </w:r>
      <w:r w:rsidRPr="002722A7">
        <w:rPr>
          <w:i/>
          <w:kern w:val="0"/>
          <w:lang w:val="en-US"/>
        </w:rPr>
        <w:t>Matt</w:t>
      </w:r>
      <w:r w:rsidRPr="002722A7">
        <w:rPr>
          <w:kern w:val="0"/>
          <w:lang w:val="en-US"/>
        </w:rPr>
        <w:t xml:space="preserve">, </w:t>
      </w:r>
      <w:r w:rsidRPr="002722A7">
        <w:rPr>
          <w:i/>
          <w:kern w:val="0"/>
          <w:lang w:val="en-US"/>
        </w:rPr>
        <w:t>Lk</w:t>
      </w:r>
      <w:r w:rsidRPr="002722A7">
        <w:rPr>
          <w:kern w:val="0"/>
          <w:lang w:val="en-US"/>
        </w:rPr>
        <w:t xml:space="preserve">, </w:t>
      </w:r>
      <w:r w:rsidRPr="002722A7">
        <w:rPr>
          <w:i/>
          <w:kern w:val="0"/>
          <w:lang w:val="en-US"/>
        </w:rPr>
        <w:t>Mk</w:t>
      </w:r>
      <w:r w:rsidRPr="002722A7">
        <w:rPr>
          <w:kern w:val="0"/>
          <w:lang w:val="en-US"/>
        </w:rPr>
        <w:t>; Origen in various places, for ex</w:t>
      </w:r>
      <w:r>
        <w:rPr>
          <w:kern w:val="0"/>
          <w:lang w:val="en-US"/>
        </w:rPr>
        <w:t xml:space="preserve">ample </w:t>
      </w:r>
      <w:proofErr w:type="spellStart"/>
      <w:r w:rsidRPr="002722A7">
        <w:rPr>
          <w:i/>
          <w:kern w:val="0"/>
          <w:lang w:val="en-US"/>
        </w:rPr>
        <w:t>Hom</w:t>
      </w:r>
      <w:proofErr w:type="spellEnd"/>
      <w:r w:rsidRPr="002722A7">
        <w:rPr>
          <w:i/>
          <w:kern w:val="0"/>
          <w:lang w:val="en-US"/>
        </w:rPr>
        <w:t>. in Jos.</w:t>
      </w:r>
      <w:r w:rsidRPr="002722A7">
        <w:rPr>
          <w:kern w:val="0"/>
          <w:lang w:val="en-US"/>
        </w:rPr>
        <w:t xml:space="preserve"> 7,1 </w:t>
      </w:r>
      <w:r>
        <w:rPr>
          <w:kern w:val="0"/>
          <w:lang w:val="en-US"/>
        </w:rPr>
        <w:t>a</w:t>
      </w:r>
      <w:r w:rsidRPr="002722A7">
        <w:rPr>
          <w:kern w:val="0"/>
          <w:lang w:val="en-US"/>
        </w:rPr>
        <w:t xml:space="preserve">nd </w:t>
      </w:r>
      <w:proofErr w:type="spellStart"/>
      <w:r w:rsidRPr="002722A7">
        <w:rPr>
          <w:i/>
          <w:kern w:val="0"/>
          <w:lang w:val="en-US"/>
        </w:rPr>
        <w:t>Hom</w:t>
      </w:r>
      <w:proofErr w:type="spellEnd"/>
      <w:r w:rsidRPr="002722A7">
        <w:rPr>
          <w:i/>
          <w:kern w:val="0"/>
          <w:lang w:val="en-US"/>
        </w:rPr>
        <w:t>. in Gen.</w:t>
      </w:r>
      <w:r w:rsidRPr="002722A7">
        <w:rPr>
          <w:kern w:val="0"/>
          <w:lang w:val="en-US"/>
        </w:rPr>
        <w:t xml:space="preserve"> 13,2</w:t>
      </w:r>
      <w:r>
        <w:rPr>
          <w:kern w:val="0"/>
          <w:lang w:val="en-US"/>
        </w:rPr>
        <w:t xml:space="preserve"> gives</w:t>
      </w:r>
      <w:r w:rsidRPr="002722A7">
        <w:rPr>
          <w:kern w:val="0"/>
          <w:lang w:val="en-US"/>
        </w:rPr>
        <w:t xml:space="preserve">: </w:t>
      </w:r>
      <w:r w:rsidRPr="002722A7">
        <w:rPr>
          <w:i/>
          <w:kern w:val="0"/>
          <w:lang w:val="en-US"/>
        </w:rPr>
        <w:t>M</w:t>
      </w:r>
      <w:r>
        <w:rPr>
          <w:i/>
          <w:kern w:val="0"/>
          <w:lang w:val="en-US"/>
        </w:rPr>
        <w:t>att</w:t>
      </w:r>
      <w:r w:rsidRPr="002722A7">
        <w:rPr>
          <w:kern w:val="0"/>
          <w:lang w:val="en-US"/>
        </w:rPr>
        <w:t xml:space="preserve">, </w:t>
      </w:r>
      <w:r w:rsidRPr="002722A7">
        <w:rPr>
          <w:i/>
          <w:kern w:val="0"/>
          <w:lang w:val="en-US"/>
        </w:rPr>
        <w:t>Mk</w:t>
      </w:r>
      <w:r w:rsidRPr="002722A7">
        <w:rPr>
          <w:kern w:val="0"/>
          <w:lang w:val="en-US"/>
        </w:rPr>
        <w:t xml:space="preserve">, </w:t>
      </w:r>
      <w:r w:rsidRPr="002722A7">
        <w:rPr>
          <w:i/>
          <w:kern w:val="0"/>
          <w:lang w:val="en-US"/>
        </w:rPr>
        <w:t>Lk</w:t>
      </w:r>
      <w:r w:rsidRPr="002722A7">
        <w:rPr>
          <w:kern w:val="0"/>
          <w:lang w:val="en-US"/>
        </w:rPr>
        <w:t xml:space="preserve">, </w:t>
      </w:r>
      <w:r w:rsidRPr="002722A7">
        <w:rPr>
          <w:i/>
          <w:kern w:val="0"/>
          <w:lang w:val="en-US"/>
        </w:rPr>
        <w:t>Joh</w:t>
      </w:r>
      <w:r>
        <w:rPr>
          <w:i/>
          <w:kern w:val="0"/>
          <w:lang w:val="en-US"/>
        </w:rPr>
        <w:t>n</w:t>
      </w:r>
      <w:r w:rsidRPr="002722A7">
        <w:rPr>
          <w:kern w:val="0"/>
          <w:lang w:val="en-US"/>
        </w:rPr>
        <w:t xml:space="preserve">, </w:t>
      </w:r>
      <w:r>
        <w:rPr>
          <w:kern w:val="0"/>
          <w:lang w:val="en-US"/>
        </w:rPr>
        <w:t xml:space="preserve">see </w:t>
      </w:r>
      <w:proofErr w:type="spellStart"/>
      <w:r w:rsidRPr="002722A7">
        <w:rPr>
          <w:kern w:val="0"/>
          <w:lang w:val="en-US"/>
        </w:rPr>
        <w:t>Euseb</w:t>
      </w:r>
      <w:proofErr w:type="spellEnd"/>
      <w:r w:rsidRPr="002722A7">
        <w:rPr>
          <w:kern w:val="0"/>
          <w:lang w:val="en-US"/>
        </w:rPr>
        <w:t xml:space="preserve">. </w:t>
      </w:r>
      <w:proofErr w:type="spellStart"/>
      <w:r w:rsidRPr="00133B09">
        <w:rPr>
          <w:kern w:val="0"/>
          <w:lang w:val="en-US"/>
        </w:rPr>
        <w:t>Caes</w:t>
      </w:r>
      <w:proofErr w:type="spellEnd"/>
      <w:r w:rsidRPr="00133B09">
        <w:rPr>
          <w:kern w:val="0"/>
          <w:lang w:val="en-US"/>
        </w:rPr>
        <w:t xml:space="preserve">., </w:t>
      </w:r>
      <w:r w:rsidRPr="00133B09">
        <w:rPr>
          <w:i/>
          <w:kern w:val="0"/>
          <w:lang w:val="en-US"/>
        </w:rPr>
        <w:t>Hist. eccl.</w:t>
      </w:r>
      <w:r w:rsidRPr="00133B09">
        <w:rPr>
          <w:kern w:val="0"/>
          <w:lang w:val="en-US"/>
        </w:rPr>
        <w:t xml:space="preserve"> VI 25. </w:t>
      </w:r>
      <w:r w:rsidRPr="00E324BA">
        <w:rPr>
          <w:kern w:val="0"/>
          <w:lang w:val="en-US"/>
        </w:rPr>
        <w:t xml:space="preserve">This sequence can also be found in </w:t>
      </w:r>
      <w:proofErr w:type="gramStart"/>
      <w:r w:rsidRPr="00E324BA">
        <w:rPr>
          <w:kern w:val="0"/>
          <w:lang w:val="en-US"/>
        </w:rPr>
        <w:t>a number of</w:t>
      </w:r>
      <w:proofErr w:type="gramEnd"/>
      <w:r w:rsidRPr="00E324BA">
        <w:rPr>
          <w:kern w:val="0"/>
          <w:lang w:val="en-US"/>
        </w:rPr>
        <w:t xml:space="preserve"> authors of </w:t>
      </w:r>
      <w:r>
        <w:rPr>
          <w:kern w:val="0"/>
          <w:lang w:val="en-US"/>
        </w:rPr>
        <w:t>the 4</w:t>
      </w:r>
      <w:r w:rsidRPr="00E324BA">
        <w:rPr>
          <w:kern w:val="0"/>
          <w:vertAlign w:val="superscript"/>
          <w:lang w:val="en-US"/>
        </w:rPr>
        <w:t>th</w:t>
      </w:r>
      <w:r>
        <w:rPr>
          <w:kern w:val="0"/>
          <w:lang w:val="en-US"/>
        </w:rPr>
        <w:t xml:space="preserve"> c., such as, for example, </w:t>
      </w:r>
      <w:r w:rsidRPr="00E324BA">
        <w:rPr>
          <w:kern w:val="0"/>
          <w:lang w:val="en-US"/>
        </w:rPr>
        <w:t>Athanasius, Gregor</w:t>
      </w:r>
      <w:r>
        <w:rPr>
          <w:kern w:val="0"/>
          <w:lang w:val="en-US"/>
        </w:rPr>
        <w:t xml:space="preserve">y </w:t>
      </w:r>
      <w:r w:rsidRPr="00E324BA">
        <w:rPr>
          <w:kern w:val="0"/>
          <w:lang w:val="en-US"/>
        </w:rPr>
        <w:t>Nazianz</w:t>
      </w:r>
      <w:r>
        <w:rPr>
          <w:kern w:val="0"/>
          <w:lang w:val="en-US"/>
        </w:rPr>
        <w:t>en</w:t>
      </w:r>
      <w:r w:rsidRPr="00E324BA">
        <w:rPr>
          <w:kern w:val="0"/>
          <w:lang w:val="en-US"/>
        </w:rPr>
        <w:t xml:space="preserve">, </w:t>
      </w:r>
      <w:proofErr w:type="spellStart"/>
      <w:r w:rsidRPr="00E324BA">
        <w:rPr>
          <w:kern w:val="0"/>
          <w:lang w:val="en-US"/>
        </w:rPr>
        <w:t>Amphilochius</w:t>
      </w:r>
      <w:proofErr w:type="spellEnd"/>
      <w:r w:rsidRPr="00E324BA">
        <w:rPr>
          <w:kern w:val="0"/>
          <w:lang w:val="en-US"/>
        </w:rPr>
        <w:t xml:space="preserve"> </w:t>
      </w:r>
      <w:r>
        <w:rPr>
          <w:kern w:val="0"/>
          <w:lang w:val="en-US"/>
        </w:rPr>
        <w:t>of</w:t>
      </w:r>
      <w:r w:rsidRPr="00E324BA">
        <w:rPr>
          <w:kern w:val="0"/>
          <w:lang w:val="en-US"/>
        </w:rPr>
        <w:t xml:space="preserve"> </w:t>
      </w:r>
      <w:proofErr w:type="spellStart"/>
      <w:r w:rsidRPr="00E324BA">
        <w:rPr>
          <w:kern w:val="0"/>
          <w:lang w:val="en-US"/>
        </w:rPr>
        <w:t>I</w:t>
      </w:r>
      <w:r>
        <w:rPr>
          <w:kern w:val="0"/>
          <w:lang w:val="en-US"/>
        </w:rPr>
        <w:t>k</w:t>
      </w:r>
      <w:r w:rsidRPr="00E324BA">
        <w:rPr>
          <w:kern w:val="0"/>
          <w:lang w:val="en-US"/>
        </w:rPr>
        <w:t>onium</w:t>
      </w:r>
      <w:proofErr w:type="spellEnd"/>
      <w:r>
        <w:rPr>
          <w:kern w:val="0"/>
          <w:lang w:val="en-US"/>
        </w:rPr>
        <w:t xml:space="preserve"> and others</w:t>
      </w:r>
      <w:r w:rsidRPr="00E324BA">
        <w:rPr>
          <w:kern w:val="0"/>
          <w:lang w:val="en-US"/>
        </w:rPr>
        <w:t xml:space="preserve">. </w:t>
      </w:r>
      <w:r w:rsidRPr="00133B09">
        <w:rPr>
          <w:kern w:val="0"/>
          <w:lang w:val="en-US"/>
        </w:rPr>
        <w:t xml:space="preserve">See on these and others </w:t>
      </w:r>
      <w:r w:rsidRPr="001E4BC1">
        <w:rPr>
          <w:kern w:val="0"/>
        </w:rPr>
        <w:fldChar w:fldCharType="begin"/>
      </w:r>
      <w:r w:rsidR="00A91A2E">
        <w:rPr>
          <w:kern w:val="0"/>
          <w:lang w:val="en-US"/>
        </w:rPr>
        <w:instrText xml:space="preserve"> ADDIN EN.CITE &lt;EndNote&gt;&lt;Cite&gt;&lt;Author&gt;Saydon&lt;/Author&gt;&lt;Year&gt;1950&lt;/Year&gt;&lt;RecNum&gt;5398&lt;/RecNum&gt;&lt;Pages&gt;191&lt;/Pages&gt;&lt;DisplayText&gt;(Saydon 1950: 191)&lt;/DisplayText&gt;&lt;record&gt;&lt;rec-number&gt;5398&lt;/rec-number&gt;&lt;foreign-keys&gt;&lt;key app="EN" db-id="watspfp2d2rp9se0avpvpv942sd5za2epre9" timestamp="1630668619"&gt;5398&lt;/key&gt;&lt;/foreign-keys&gt;&lt;ref-type name="Journal Article"&gt;17&lt;/ref-type&gt;&lt;contributors&gt;&lt;authors&gt;&lt;author&gt;Saydon, P.P.&lt;/author&gt;&lt;/authors&gt;&lt;/contributors&gt;&lt;titles&gt;&lt;title&gt;The Order of the Gospels&lt;/title&gt;&lt;secondary-title&gt;Scripture&lt;/secondary-title&gt;&lt;/titles&gt;&lt;periodical&gt;&lt;full-title&gt;Scripture&lt;/full-title&gt;&lt;/periodical&gt;&lt;pages&gt;196&lt;/pages&gt;&lt;volume&gt;4&lt;/volume&gt;&lt;number&gt;7&lt;/number&gt;&lt;dates&gt;&lt;year&gt;1950&lt;/year&gt;&lt;/dates&gt;&lt;urls&gt;&lt;/urls&gt;&lt;/record&gt;&lt;/Cite&gt;&lt;/EndNote&gt;</w:instrText>
      </w:r>
      <w:r w:rsidRPr="001E4BC1">
        <w:rPr>
          <w:kern w:val="0"/>
        </w:rPr>
        <w:fldChar w:fldCharType="separate"/>
      </w:r>
      <w:r w:rsidR="00A91A2E" w:rsidRPr="00A91A2E">
        <w:rPr>
          <w:noProof/>
          <w:kern w:val="0"/>
          <w:lang w:val="en-US"/>
        </w:rPr>
        <w:t>(Saydon 1950: 191)</w:t>
      </w:r>
      <w:r w:rsidRPr="001E4BC1">
        <w:rPr>
          <w:kern w:val="0"/>
        </w:rPr>
        <w:fldChar w:fldCharType="end"/>
      </w:r>
      <w:r w:rsidRPr="00133B09">
        <w:rPr>
          <w:kern w:val="0"/>
          <w:lang w:val="en-US"/>
        </w:rPr>
        <w:t xml:space="preserve"> </w:t>
      </w:r>
      <w:r w:rsidRPr="001F2025">
        <w:rPr>
          <w:kern w:val="0"/>
          <w:lang w:val="en-US"/>
        </w:rPr>
        <w:t xml:space="preserve">With regard to the different sequences, it is difficult to understand, how it can be claimed that </w:t>
      </w:r>
      <w:r w:rsidRPr="001F2025">
        <w:rPr>
          <w:i/>
          <w:kern w:val="0"/>
          <w:lang w:val="en-US"/>
        </w:rPr>
        <w:t xml:space="preserve">Matt </w:t>
      </w:r>
      <w:r w:rsidRPr="001F2025">
        <w:rPr>
          <w:kern w:val="0"/>
          <w:lang w:val="en-US"/>
        </w:rPr>
        <w:t xml:space="preserve">always came first, </w:t>
      </w:r>
      <w:r w:rsidRPr="001F2025">
        <w:rPr>
          <w:i/>
          <w:kern w:val="0"/>
          <w:lang w:val="en-US"/>
        </w:rPr>
        <w:t xml:space="preserve">pace </w:t>
      </w:r>
      <w:r w:rsidRPr="001E4BC1">
        <w:rPr>
          <w:kern w:val="0"/>
        </w:rPr>
        <w:fldChar w:fldCharType="begin"/>
      </w:r>
      <w:r w:rsidR="00A91A2E">
        <w:rPr>
          <w:kern w:val="0"/>
          <w:lang w:val="en-US"/>
        </w:rPr>
        <w:instrText xml:space="preserve"> ADDIN EN.CITE &lt;EndNote&gt;&lt;Cite&gt;&lt;Author&gt;McNicol&lt;/Author&gt;&lt;Year&gt;2007&lt;/Year&gt;&lt;RecNum&gt;5399&lt;/RecNum&gt;&lt;Pages&gt;15&lt;/Pages&gt;&lt;DisplayText&gt;(McNicol 2007: 15)&lt;/DisplayText&gt;&lt;record&gt;&lt;rec-number&gt;5399&lt;/rec-number&gt;&lt;foreign-keys&gt;&lt;key app="EN" db-id="watspfp2d2rp9se0avpvpv942sd5za2epre9" timestamp="1630668619"&gt;5399&lt;/key&gt;&lt;/foreign-keys&gt;&lt;ref-type name="Journal Article"&gt;17&lt;/ref-type&gt;&lt;contributors&gt;&lt;authors&gt;&lt;author&gt;McNicol, Allan J.&lt;/author&gt;&lt;/authors&gt;&lt;/contributors&gt;&lt;titles&gt;&lt;title&gt;The importance of the Synoptic Problem for Interpreting the Gospels&lt;/title&gt;&lt;secondary-title&gt;Kairos. Evangelical Journal of Theology&lt;/secondary-title&gt;&lt;/titles&gt;&lt;periodical&gt;&lt;full-title&gt;Kairos. Evangelical Journal of Theology&lt;/full-title&gt;&lt;/periodical&gt;&lt;pages&gt;13-24&lt;/pages&gt;&lt;volume&gt;1&lt;/volume&gt;&lt;number&gt;1&lt;/number&gt;&lt;dates&gt;&lt;year&gt;2007&lt;/year&gt;&lt;/dates&gt;&lt;urls&gt;&lt;/urls&gt;&lt;/record&gt;&lt;/Cite&gt;&lt;/EndNote&gt;</w:instrText>
      </w:r>
      <w:r w:rsidRPr="001E4BC1">
        <w:rPr>
          <w:kern w:val="0"/>
        </w:rPr>
        <w:fldChar w:fldCharType="separate"/>
      </w:r>
      <w:r w:rsidR="00A91A2E" w:rsidRPr="00A91A2E">
        <w:rPr>
          <w:noProof/>
          <w:kern w:val="0"/>
          <w:lang w:val="en-US"/>
        </w:rPr>
        <w:t>(McNicol 2007: 15)</w:t>
      </w:r>
      <w:r w:rsidRPr="001E4BC1">
        <w:rPr>
          <w:kern w:val="0"/>
        </w:rPr>
        <w:fldChar w:fldCharType="end"/>
      </w:r>
    </w:p>
  </w:footnote>
  <w:footnote w:id="6">
    <w:p w14:paraId="5A86A801" w14:textId="17A7D31D" w:rsidR="00133B09" w:rsidRPr="00E54926" w:rsidRDefault="00133B09" w:rsidP="00133B09">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sidR="00A91A2E">
        <w:rPr>
          <w:kern w:val="0"/>
          <w:lang w:val="en-GB"/>
        </w:rPr>
        <w:instrText xml:space="preserve"> ADDIN EN.CITE &lt;EndNote&gt;&lt;Cite&gt;&lt;Author&gt;Vinzent&lt;/Author&gt;&lt;Year&gt;2014&lt;/Year&gt;&lt;RecNum&gt;381&lt;/RecNum&gt;&lt;DisplayText&gt;(Vinzent 2014)&lt;/DisplayText&gt;&lt;record&gt;&lt;rec-number&gt;381&lt;/rec-number&gt;&lt;foreign-keys&gt;&lt;key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Pr="00E54926">
        <w:rPr>
          <w:kern w:val="0"/>
        </w:rPr>
        <w:fldChar w:fldCharType="separate"/>
      </w:r>
      <w:r w:rsidR="00A91A2E" w:rsidRPr="00A91A2E">
        <w:rPr>
          <w:noProof/>
          <w:kern w:val="0"/>
          <w:lang w:val="en-GB"/>
        </w:rPr>
        <w:t>(Vinzent 2014)</w:t>
      </w:r>
      <w:r w:rsidRPr="00E54926">
        <w:rPr>
          <w:kern w:val="0"/>
        </w:rPr>
        <w:fldChar w:fldCharType="end"/>
      </w:r>
    </w:p>
  </w:footnote>
  <w:footnote w:id="7">
    <w:p w14:paraId="7AE81862" w14:textId="382D06B0" w:rsidR="00133B09" w:rsidRPr="00133B09" w:rsidRDefault="00133B09" w:rsidP="00133B09">
      <w:pPr>
        <w:pStyle w:val="FootnoteText"/>
      </w:pPr>
      <w:r>
        <w:rPr>
          <w:rStyle w:val="FootnoteReference"/>
        </w:rPr>
        <w:footnoteRef/>
      </w:r>
      <w:r>
        <w:t xml:space="preserve"> </w:t>
      </w:r>
      <w:r>
        <w:fldChar w:fldCharType="begin"/>
      </w:r>
      <w:r w:rsidR="00A91A2E">
        <w:instrText xml:space="preserve"> ADDIN EN.CITE &lt;EndNote&gt;&lt;Cite&gt;&lt;Author&gt;Nestle&lt;/Author&gt;&lt;Year&gt;2013&lt;/Year&gt;&lt;RecNum&gt;5400&lt;/RecNum&gt;&lt;DisplayText&gt;(Nestle, Aland, and Aland 2013)&lt;/DisplayText&gt;&lt;record&gt;&lt;rec-number&gt;5400&lt;/rec-number&gt;&lt;foreign-keys&gt;&lt;key app="EN" db-id="watspfp2d2rp9se0avpvpv942sd5za2epre9" timestamp="1630668619"&gt;5400&lt;/key&gt;&lt;/foreign-keys&gt;&lt;ref-type name="Book"&gt;6&lt;/ref-type&gt;&lt;contributors&gt;&lt;authors&gt;&lt;author&gt;Nestle, Eberhard&lt;/author&gt;&lt;author&gt;Aland, Barbara&lt;/author&gt;&lt;author&gt;Aland, Kurt&lt;/author&gt;&lt;/authors&gt;&lt;/contributors&gt;&lt;titles&gt;&lt;title&gt;Novum Testamentum Graece&lt;/title&gt;&lt;/titles&gt;&lt;pages&gt;94, 890 S.&lt;/pages&gt;&lt;edition&gt;28. rev. Aufl., 2. korrigierter Dr. hrsg. vom Institut für Neutestamentliche Textforschung Münster/Westfalen unter der Leitung von Holger Strutwolf&lt;/edition&gt;&lt;dates&gt;&lt;year&gt;2013&lt;/year&gt;&lt;/dates&gt;&lt;pub-location&gt;Stuttgart&lt;/pub-location&gt;&lt;publisher&gt;Deutsche Bibelgesellschaft&lt;/publisher&gt;&lt;isbn&gt;978-3-438-05140-0&amp;#xD;978-3-438-05155-4&amp;#xD;978-3-438-05158-5&amp;#xD;978-3-438-05159-2&amp;#xD;978-3-438-05160-8&lt;/isbn&gt;&lt;accession-num&gt;409168653&lt;/accession-num&gt;&lt;label&gt;200887718 bc 2200&amp;#xD;201688794 bc 2203&amp;#xD;1&lt;/label&gt;&lt;urls&gt;&lt;/urls&gt;&lt;language&gt;grc ger eng&lt;/language&gt;&lt;/record&gt;&lt;/Cite&gt;&lt;/EndNote&gt;</w:instrText>
      </w:r>
      <w:r>
        <w:fldChar w:fldCharType="separate"/>
      </w:r>
      <w:r w:rsidR="00A91A2E">
        <w:rPr>
          <w:noProof/>
        </w:rPr>
        <w:t>(Nestle, Aland, and Aland 2013)</w:t>
      </w:r>
      <w:r>
        <w:fldChar w:fldCharType="end"/>
      </w:r>
    </w:p>
  </w:footnote>
  <w:footnote w:id="8">
    <w:p w14:paraId="34FC68A1" w14:textId="0B500DA7" w:rsidR="00133B09" w:rsidRDefault="00133B09" w:rsidP="00133B09">
      <w:pPr>
        <w:pStyle w:val="FootnoteText"/>
      </w:pPr>
      <w:r>
        <w:rPr>
          <w:rStyle w:val="FootnoteReference"/>
        </w:rPr>
        <w:footnoteRef/>
      </w:r>
      <w:r>
        <w:t xml:space="preserve"> </w:t>
      </w:r>
      <w:r>
        <w:fldChar w:fldCharType="begin"/>
      </w:r>
      <w:r w:rsidR="00A91A2E">
        <w:instrText xml:space="preserve"> ADDIN EN.CITE &lt;EndNote&gt;&lt;Cite&gt;&lt;Author&gt;Trobisch&lt;/Author&gt;&lt;Year&gt;2000&lt;/Year&gt;&lt;RecNum&gt;1805&lt;/RecNum&gt;&lt;DisplayText&gt;(Trobisch 2000; 1996: 39)&lt;/DisplayText&gt;&lt;record&gt;&lt;rec-number&gt;1805&lt;/rec-number&gt;&lt;foreign-keys&gt;&lt;key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Trobisch&lt;/Author&gt;&lt;Year&gt;1996&lt;/Year&gt;&lt;RecNum&gt;1896&lt;/RecNum&gt;&lt;Pages&gt;39&lt;/Pages&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fldChar w:fldCharType="separate"/>
      </w:r>
      <w:r w:rsidR="00A91A2E">
        <w:rPr>
          <w:noProof/>
        </w:rPr>
        <w:t>(Trobisch 2000; 1996: 39)</w:t>
      </w:r>
      <w:r>
        <w:fldChar w:fldCharType="end"/>
      </w:r>
    </w:p>
  </w:footnote>
  <w:footnote w:id="9">
    <w:p w14:paraId="5246BA3C" w14:textId="60F2F4BD" w:rsidR="00133B09" w:rsidRPr="003D5E3B" w:rsidRDefault="00133B09" w:rsidP="00133B09">
      <w:pPr>
        <w:pStyle w:val="FootnoteText"/>
        <w:rPr>
          <w:lang w:val="en-US"/>
        </w:rPr>
      </w:pPr>
      <w:r>
        <w:rPr>
          <w:rStyle w:val="FootnoteReference"/>
        </w:rPr>
        <w:footnoteRef/>
      </w:r>
      <w:r w:rsidRPr="00A91A2E">
        <w:rPr>
          <w:lang w:val="en-US"/>
        </w:rPr>
        <w:t xml:space="preserve"> </w:t>
      </w:r>
      <w:r>
        <w:fldChar w:fldCharType="begin"/>
      </w:r>
      <w:r w:rsidR="00A91A2E" w:rsidRPr="00A91A2E">
        <w:rPr>
          <w:lang w:val="en-US"/>
        </w:rPr>
        <w:instrText xml:space="preserve"> ADDIN EN.CITE &lt;EndNote&gt;&lt;Cite&gt;&lt;Author&gt;Trobisch&lt;/Author&gt;&lt;Year&gt;2000&lt;/Year&gt;&lt;RecNum&gt;1805&lt;/RecNum&gt;&lt;Pages&gt;24-25&lt;/Pages&gt;&lt;DisplayText&gt;(Trobisch 2000: 24-25; 1996: 39)&lt;/DisplayText&gt;&lt;record&gt;&lt;rec-number&gt;1805&lt;/rec-number&gt;&lt;foreign-keys&gt;&lt;key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Trobisch&lt;/Author&gt;&lt;Year&gt;1996&lt;/Year&gt;&lt;RecNum&gt;1896&lt;/RecNum&gt;&lt;Pages&gt;39&lt;/Pages&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fldChar w:fldCharType="separate"/>
      </w:r>
      <w:r w:rsidR="00A91A2E" w:rsidRPr="00A91A2E">
        <w:rPr>
          <w:noProof/>
          <w:lang w:val="en-US"/>
        </w:rPr>
        <w:t>(Trobisch 2000: 24-25; 1996: 39)</w:t>
      </w:r>
      <w:r>
        <w:fldChar w:fldCharType="end"/>
      </w:r>
      <w:r w:rsidR="00D51648">
        <w:t>.</w:t>
      </w:r>
      <w:r w:rsidRPr="00A91A2E">
        <w:rPr>
          <w:lang w:val="en-US"/>
        </w:rPr>
        <w:t xml:space="preserve"> </w:t>
      </w:r>
      <w:r w:rsidRPr="00CE73E7">
        <w:rPr>
          <w:color w:val="000000"/>
          <w:szCs w:val="20"/>
          <w:lang w:val="en-US"/>
        </w:rPr>
        <w:t>See also the concern with which David C. Parker (and JK Elliott before him) pointed out that we cannot be certain that the </w:t>
      </w:r>
      <w:r w:rsidRPr="00CE73E7">
        <w:rPr>
          <w:i/>
          <w:iCs/>
          <w:color w:val="000000"/>
          <w:szCs w:val="20"/>
          <w:lang w:val="en-US"/>
        </w:rPr>
        <w:t xml:space="preserve">Codex </w:t>
      </w:r>
      <w:proofErr w:type="spellStart"/>
      <w:r w:rsidRPr="00CE73E7">
        <w:rPr>
          <w:i/>
          <w:iCs/>
          <w:color w:val="000000"/>
          <w:szCs w:val="20"/>
          <w:lang w:val="en-US"/>
        </w:rPr>
        <w:t>Vaticanus</w:t>
      </w:r>
      <w:proofErr w:type="spellEnd"/>
      <w:r w:rsidRPr="00CE73E7">
        <w:rPr>
          <w:i/>
          <w:iCs/>
          <w:color w:val="000000"/>
          <w:szCs w:val="20"/>
          <w:lang w:val="en-US"/>
        </w:rPr>
        <w:t> </w:t>
      </w:r>
      <w:r w:rsidRPr="00CE73E7">
        <w:rPr>
          <w:color w:val="000000"/>
          <w:szCs w:val="20"/>
          <w:lang w:val="en-US"/>
        </w:rPr>
        <w:t>contained the revelation, according to </w:t>
      </w:r>
      <w:r>
        <w:rPr>
          <w:color w:val="000000"/>
          <w:szCs w:val="20"/>
          <w:lang w:val="en-US"/>
        </w:rPr>
        <w:fldChar w:fldCharType="begin"/>
      </w:r>
      <w:r w:rsidR="00A91A2E">
        <w:rPr>
          <w:color w:val="000000"/>
          <w:szCs w:val="20"/>
          <w:lang w:val="en-US"/>
        </w:rPr>
        <w:instrText xml:space="preserve"> ADDIN EN.CITE &lt;EndNote&gt;&lt;Cite&gt;&lt;Author&gt;Parker&lt;/Author&gt;&lt;Year&gt;2002&lt;/Year&gt;&lt;RecNum&gt;5401&lt;/RecNum&gt;&lt;Pages&gt;302&lt;/Pages&gt;&lt;DisplayText&gt;(Parker 2002: 302)&lt;/DisplayText&gt;&lt;record&gt;&lt;rec-number&gt;5401&lt;/rec-number&gt;&lt;foreign-keys&gt;&lt;key app="EN" db-id="watspfp2d2rp9se0avpvpv942sd5za2epre9" timestamp="1630668619"&gt;5401&lt;/key&gt;&lt;/foreign-keys&gt;&lt;ref-type name="Journal Article"&gt;17&lt;/ref-type&gt;&lt;contributors&gt;&lt;authors&gt;&lt;author&gt;Parker, D. C.&lt;/author&gt;&lt;/authors&gt;&lt;/contributors&gt;&lt;titles&gt;&lt;title&gt;Rev. of David Trobisch, The First Edition of the New Testament (New York, Oxford, 2002)&lt;/title&gt;&lt;secondary-title&gt;Journal of Theological Studies n.s.&lt;/secondary-title&gt;&lt;/titles&gt;&lt;periodical&gt;&lt;full-title&gt;Journal of Theological Studies n.s.&lt;/full-title&gt;&lt;/periodical&gt;&lt;pages&gt;298-305&lt;/pages&gt;&lt;volume&gt;53&lt;/volume&gt;&lt;dates&gt;&lt;year&gt;2002&lt;/year&gt;&lt;/dates&gt;&lt;urls&gt;&lt;/urls&gt;&lt;/record&gt;&lt;/Cite&gt;&lt;/EndNote&gt;</w:instrText>
      </w:r>
      <w:r>
        <w:rPr>
          <w:color w:val="000000"/>
          <w:szCs w:val="20"/>
          <w:lang w:val="en-US"/>
        </w:rPr>
        <w:fldChar w:fldCharType="separate"/>
      </w:r>
      <w:r w:rsidR="00A91A2E">
        <w:rPr>
          <w:noProof/>
          <w:color w:val="000000"/>
          <w:szCs w:val="20"/>
          <w:lang w:val="en-US"/>
        </w:rPr>
        <w:t>(Parker 2002: 302)</w:t>
      </w:r>
      <w:r>
        <w:rPr>
          <w:color w:val="000000"/>
          <w:szCs w:val="20"/>
          <w:lang w:val="en-US"/>
        </w:rPr>
        <w:fldChar w:fldCharType="end"/>
      </w:r>
    </w:p>
  </w:footnote>
  <w:footnote w:id="10">
    <w:p w14:paraId="53B1FDCA" w14:textId="7D3B3054" w:rsidR="00C96D46" w:rsidRPr="00C96D46" w:rsidRDefault="00C96D46">
      <w:pPr>
        <w:pStyle w:val="FootnoteText"/>
        <w:rPr>
          <w:lang w:val="en-US"/>
        </w:rPr>
      </w:pPr>
      <w:r>
        <w:rPr>
          <w:rStyle w:val="FootnoteReference"/>
        </w:rPr>
        <w:footnoteRef/>
      </w:r>
      <w:r w:rsidRPr="00C96D46">
        <w:rPr>
          <w:lang w:val="en-US"/>
        </w:rPr>
        <w:t xml:space="preserve"> </w:t>
      </w:r>
      <w:r w:rsidR="00D51648">
        <w:fldChar w:fldCharType="begin"/>
      </w:r>
      <w:r w:rsidR="00D51648">
        <w:rPr>
          <w:lang w:val="en-US"/>
        </w:rPr>
        <w:instrText xml:space="preserve"> ADDIN EN.CITE &lt;EndNote&gt;&lt;Cite&gt;&lt;Author&gt;Trobisch&lt;/Author&gt;&lt;Year&gt;2000&lt;/Year&gt;&lt;RecNum&gt;1805&lt;/RecNum&gt;&lt;Pages&gt;25&lt;/Pages&gt;&lt;DisplayText&gt;(Trobisch 2000: 25; 1996: 39)&lt;/DisplayText&gt;&lt;record&gt;&lt;rec-number&gt;1805&lt;/rec-number&gt;&lt;foreign-keys&gt;&lt;key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Trobisch&lt;/Author&gt;&lt;Year&gt;1996&lt;/Year&gt;&lt;RecNum&gt;1896&lt;/RecNum&gt;&lt;Pages&gt;39&lt;/Pages&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00D51648">
        <w:fldChar w:fldCharType="separate"/>
      </w:r>
      <w:r w:rsidR="00D51648" w:rsidRPr="00D51648">
        <w:rPr>
          <w:noProof/>
          <w:lang w:val="en-US"/>
        </w:rPr>
        <w:t>(Trobisch 2000: 25; 1996: 39)</w:t>
      </w:r>
      <w:r w:rsidR="00D51648">
        <w:fldChar w:fldCharType="end"/>
      </w:r>
    </w:p>
  </w:footnote>
  <w:footnote w:id="11">
    <w:p w14:paraId="7E637027" w14:textId="51CE1765" w:rsidR="00133B09" w:rsidRPr="000707D4" w:rsidRDefault="00133B09" w:rsidP="00133B09">
      <w:pPr>
        <w:pStyle w:val="FootnoteText"/>
        <w:rPr>
          <w:lang w:val="en-GB"/>
        </w:rPr>
      </w:pPr>
      <w:r>
        <w:rPr>
          <w:rStyle w:val="FootnoteReference"/>
        </w:rPr>
        <w:footnoteRef/>
      </w:r>
      <w:r w:rsidRPr="000707D4">
        <w:rPr>
          <w:lang w:val="en-US"/>
        </w:rPr>
        <w:t xml:space="preserve"> </w:t>
      </w:r>
      <w:r>
        <w:rPr>
          <w:lang w:val="en-GB"/>
        </w:rPr>
        <w:t xml:space="preserve">The abbreviations are derived from </w:t>
      </w:r>
      <w:r>
        <w:rPr>
          <w:lang w:val="en-GB"/>
        </w:rPr>
        <w:fldChar w:fldCharType="begin"/>
      </w:r>
      <w:r w:rsidR="00A91A2E">
        <w:rPr>
          <w:lang w:val="en-GB"/>
        </w:rPr>
        <w:instrText xml:space="preserve"> ADDIN EN.CITE &lt;EndNote&gt;&lt;Cite&gt;&lt;Author&gt;Nestle&lt;/Author&gt;&lt;Year&gt;2013&lt;/Year&gt;&lt;RecNum&gt;5400&lt;/RecNum&gt;&lt;Pages&gt;40*&lt;/Pages&gt;&lt;DisplayText&gt;(Nestle, Aland, and Aland 2013: 40*)&lt;/DisplayText&gt;&lt;record&gt;&lt;rec-number&gt;5400&lt;/rec-number&gt;&lt;foreign-keys&gt;&lt;key app="EN" db-id="watspfp2d2rp9se0avpvpv942sd5za2epre9" timestamp="1630668619"&gt;5400&lt;/key&gt;&lt;/foreign-keys&gt;&lt;ref-type name="Book"&gt;6&lt;/ref-type&gt;&lt;contributors&gt;&lt;authors&gt;&lt;author&gt;Nestle, Eberhard&lt;/author&gt;&lt;author&gt;Aland, Barbara&lt;/author&gt;&lt;author&gt;Aland, Kurt&lt;/author&gt;&lt;/authors&gt;&lt;/contributors&gt;&lt;titles&gt;&lt;title&gt;Novum Testamentum Graece&lt;/title&gt;&lt;/titles&gt;&lt;pages&gt;94, 890 S.&lt;/pages&gt;&lt;edition&gt;28. rev. Aufl., 2. korrigierter Dr. hrsg. vom Institut für Neutestamentliche Textforschung Münster/Westfalen unter der Leitung von Holger Strutwolf&lt;/edition&gt;&lt;dates&gt;&lt;year&gt;2013&lt;/year&gt;&lt;/dates&gt;&lt;pub-location&gt;Stuttgart&lt;/pub-location&gt;&lt;publisher&gt;Deutsche Bibelgesellschaft&lt;/publisher&gt;&lt;isbn&gt;978-3-438-05140-0&amp;#xD;978-3-438-05155-4&amp;#xD;978-3-438-05158-5&amp;#xD;978-3-438-05159-2&amp;#xD;978-3-438-05160-8&lt;/isbn&gt;&lt;accession-num&gt;409168653&lt;/accession-num&gt;&lt;label&gt;200887718 bc 2200&amp;#xD;201688794 bc 2203&amp;#xD;1&lt;/label&gt;&lt;urls&gt;&lt;/urls&gt;&lt;language&gt;grc ger eng&lt;/language&gt;&lt;/record&gt;&lt;/Cite&gt;&lt;/EndNote&gt;</w:instrText>
      </w:r>
      <w:r>
        <w:rPr>
          <w:lang w:val="en-GB"/>
        </w:rPr>
        <w:fldChar w:fldCharType="separate"/>
      </w:r>
      <w:r w:rsidR="00A91A2E">
        <w:rPr>
          <w:noProof/>
          <w:lang w:val="en-GB"/>
        </w:rPr>
        <w:t>(Nestle, Aland, and Aland 2013: 40*)</w:t>
      </w:r>
      <w:r>
        <w:rPr>
          <w:lang w:val="en-GB"/>
        </w:rPr>
        <w:fldChar w:fldCharType="end"/>
      </w:r>
    </w:p>
  </w:footnote>
  <w:footnote w:id="12">
    <w:p w14:paraId="47D278A3" w14:textId="6C6FCBF6" w:rsidR="00133B09" w:rsidRPr="00A91A2E" w:rsidRDefault="00133B09" w:rsidP="00133B09">
      <w:pPr>
        <w:pStyle w:val="FootnoteText"/>
        <w:rPr>
          <w:lang w:val="en-US"/>
        </w:rPr>
      </w:pPr>
      <w:r>
        <w:rPr>
          <w:rStyle w:val="FootnoteReference"/>
        </w:rPr>
        <w:footnoteRef/>
      </w:r>
      <w:r w:rsidRPr="00A91A2E">
        <w:rPr>
          <w:lang w:val="en-US"/>
        </w:rPr>
        <w:t xml:space="preserve"> </w:t>
      </w:r>
      <w:r w:rsidRPr="00A91A2E">
        <w:rPr>
          <w:color w:val="000000"/>
          <w:szCs w:val="20"/>
          <w:lang w:val="en-US"/>
        </w:rPr>
        <w:t xml:space="preserve">For evidence see </w:t>
      </w:r>
      <w:r>
        <w:rPr>
          <w:color w:val="000000"/>
          <w:szCs w:val="20"/>
          <w:lang w:val="en-US"/>
        </w:rPr>
        <w:fldChar w:fldCharType="begin"/>
      </w:r>
      <w:r w:rsidR="00A91A2E" w:rsidRPr="00A91A2E">
        <w:rPr>
          <w:color w:val="000000"/>
          <w:szCs w:val="20"/>
          <w:lang w:val="en-US"/>
        </w:rPr>
        <w:instrText xml:space="preserve"> ADDIN EN.CITE &lt;EndNote&gt;&lt;Cite&gt;&lt;Author&gt;Trobisch&lt;/Author&gt;&lt;Year&gt;1996&lt;/Year&gt;&lt;RecNum&gt;1896&lt;/RecNum&gt;&lt;Pages&gt;40-58&lt;/Pages&gt;&lt;DisplayText&gt;(Trobisch 1996: 40-58)&lt;/DisplayText&gt;&lt;record&gt;&lt;rec-number&gt;1896&lt;/rec-number&gt;&lt;foreign-keys&gt;&lt;key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Pr>
          <w:color w:val="000000"/>
          <w:szCs w:val="20"/>
          <w:lang w:val="en-US"/>
        </w:rPr>
        <w:fldChar w:fldCharType="separate"/>
      </w:r>
      <w:r w:rsidR="00A91A2E" w:rsidRPr="00A91A2E">
        <w:rPr>
          <w:noProof/>
          <w:color w:val="000000"/>
          <w:szCs w:val="20"/>
          <w:lang w:val="en-US"/>
        </w:rPr>
        <w:t>(Trobisch 1996: 40-58)</w:t>
      </w:r>
      <w:r>
        <w:rPr>
          <w:color w:val="000000"/>
          <w:szCs w:val="20"/>
          <w:lang w:val="en-US"/>
        </w:rPr>
        <w:fldChar w:fldCharType="end"/>
      </w:r>
      <w:r w:rsidRPr="00A91A2E">
        <w:rPr>
          <w:color w:val="000000"/>
          <w:szCs w:val="20"/>
          <w:lang w:val="en-US"/>
        </w:rPr>
        <w:t xml:space="preserve"> For the reception, criticism and discussion of </w:t>
      </w:r>
      <w:proofErr w:type="spellStart"/>
      <w:r w:rsidRPr="00A91A2E">
        <w:rPr>
          <w:color w:val="000000"/>
          <w:szCs w:val="20"/>
          <w:lang w:val="en-US"/>
        </w:rPr>
        <w:t>Trobisch’s</w:t>
      </w:r>
      <w:proofErr w:type="spellEnd"/>
      <w:r w:rsidRPr="00A91A2E">
        <w:rPr>
          <w:color w:val="000000"/>
          <w:szCs w:val="20"/>
          <w:lang w:val="en-US"/>
        </w:rPr>
        <w:t xml:space="preserve"> theses, see now </w:t>
      </w:r>
      <w:r>
        <w:rPr>
          <w:color w:val="000000"/>
          <w:szCs w:val="20"/>
          <w:lang w:val="en-US"/>
        </w:rPr>
        <w:fldChar w:fldCharType="begin"/>
      </w:r>
      <w:r w:rsidR="00A91A2E" w:rsidRPr="00A91A2E">
        <w:rPr>
          <w:color w:val="000000"/>
          <w:szCs w:val="20"/>
          <w:lang w:val="en-US"/>
        </w:rPr>
        <w:instrText xml:space="preserve"> ADDIN EN.CITE &lt;EndNote&gt;&lt;Cite&gt;&lt;Author&gt;Heilmann&lt;/Author&gt;&lt;Year&gt;2018&lt;/Year&gt;&lt;RecNum&gt;1807&lt;/RecNum&gt;&lt;DisplayText&gt;(Heilmann 2018)&lt;/DisplayText&gt;&lt;record&gt;&lt;rec-number&gt;1807&lt;/rec-number&gt;&lt;foreign-keys&gt;&lt;key app="EN" db-id="watspfp2d2rp9se0avpvpv942sd5za2epre9" timestamp="1611666992"&gt;1807&lt;/key&gt;&lt;/foreign-keys&gt;&lt;ref-type name="Book Section"&gt;5&lt;/ref-type&gt;&lt;contributors&gt;&lt;authors&gt;&lt;author&gt;Heilmann, Jan&lt;/author&gt;&lt;/authors&gt;&lt;secondary-authors&gt;&lt;author&gt;Heilmann, Jan&lt;/author&gt;&lt;author&gt;Klinghardt, Matthias&lt;/author&gt;&lt;/secondary-authors&gt;&lt;/contributors&gt;&lt;titles&gt;&lt;title&gt;&lt;style face="normal" font="default" size="100%"&gt;Die These einer &lt;/style&gt;&lt;style face="italic" font="default" size="100%"&gt;editio princeps&lt;/style&gt;&lt;style face="normal" font="default" size="100%"&gt; des Neuen Testaments im Spiegel der Forschungsdiskussion der letzten zwei Jahrzehnte&lt;/style&gt;&lt;/title&gt;&lt;secondary-title&gt;Das Neue Testament und sein Text im 2. Jahrhundert&lt;/secondary-title&gt;&lt;/titles&gt;&lt;pages&gt;21-56&lt;/pages&gt;&lt;dates&gt;&lt;year&gt;2018&lt;/year&gt;&lt;/dates&gt;&lt;pub-location&gt;Tübingen&lt;/pub-location&gt;&lt;publisher&gt;Francke&lt;/publisher&gt;&lt;urls&gt;&lt;/urls&gt;&lt;/record&gt;&lt;/Cite&gt;&lt;/EndNote&gt;</w:instrText>
      </w:r>
      <w:r>
        <w:rPr>
          <w:color w:val="000000"/>
          <w:szCs w:val="20"/>
          <w:lang w:val="en-US"/>
        </w:rPr>
        <w:fldChar w:fldCharType="separate"/>
      </w:r>
      <w:r w:rsidR="00A91A2E" w:rsidRPr="00A91A2E">
        <w:rPr>
          <w:noProof/>
          <w:color w:val="000000"/>
          <w:szCs w:val="20"/>
          <w:lang w:val="en-US"/>
        </w:rPr>
        <w:t>(</w:t>
      </w:r>
      <w:proofErr w:type="spellStart"/>
      <w:r w:rsidR="00A91A2E" w:rsidRPr="00A91A2E">
        <w:rPr>
          <w:noProof/>
          <w:color w:val="000000"/>
          <w:szCs w:val="20"/>
          <w:lang w:val="en-US"/>
        </w:rPr>
        <w:t>Heilmann</w:t>
      </w:r>
      <w:proofErr w:type="spellEnd"/>
      <w:r w:rsidR="00A91A2E" w:rsidRPr="00A91A2E">
        <w:rPr>
          <w:noProof/>
          <w:color w:val="000000"/>
          <w:szCs w:val="20"/>
          <w:lang w:val="en-US"/>
        </w:rPr>
        <w:t xml:space="preserve"> 2018)</w:t>
      </w:r>
      <w:r>
        <w:rPr>
          <w:color w:val="000000"/>
          <w:szCs w:val="20"/>
          <w:lang w:val="en-US"/>
        </w:rPr>
        <w:fldChar w:fldCharType="end"/>
      </w:r>
      <w:r w:rsidRPr="00A91A2E">
        <w:rPr>
          <w:color w:val="000000"/>
          <w:szCs w:val="20"/>
          <w:lang w:val="en-US"/>
        </w:rPr>
        <w:t xml:space="preserve"> </w:t>
      </w:r>
      <w:r w:rsidRPr="00CE73E7">
        <w:rPr>
          <w:color w:val="000000"/>
          <w:szCs w:val="20"/>
          <w:lang w:val="en-US"/>
        </w:rPr>
        <w:t xml:space="preserve">Despite </w:t>
      </w:r>
      <w:r>
        <w:rPr>
          <w:color w:val="000000"/>
          <w:szCs w:val="20"/>
          <w:lang w:val="en-US"/>
        </w:rPr>
        <w:t xml:space="preserve">sound </w:t>
      </w:r>
      <w:r w:rsidRPr="00CE73E7">
        <w:rPr>
          <w:color w:val="000000"/>
          <w:szCs w:val="20"/>
          <w:lang w:val="en-US"/>
        </w:rPr>
        <w:t xml:space="preserve">criticism of </w:t>
      </w:r>
      <w:proofErr w:type="spellStart"/>
      <w:r w:rsidRPr="00CE73E7">
        <w:rPr>
          <w:color w:val="000000"/>
          <w:szCs w:val="20"/>
          <w:lang w:val="en-US"/>
        </w:rPr>
        <w:t>Trobisch</w:t>
      </w:r>
      <w:r>
        <w:rPr>
          <w:color w:val="000000"/>
          <w:szCs w:val="20"/>
          <w:lang w:val="en-US"/>
        </w:rPr>
        <w:t>’</w:t>
      </w:r>
      <w:r w:rsidRPr="00CE73E7">
        <w:rPr>
          <w:color w:val="000000"/>
          <w:szCs w:val="20"/>
          <w:lang w:val="en-US"/>
        </w:rPr>
        <w:t>s</w:t>
      </w:r>
      <w:proofErr w:type="spellEnd"/>
      <w:r w:rsidRPr="00CE73E7">
        <w:rPr>
          <w:color w:val="000000"/>
          <w:szCs w:val="20"/>
          <w:lang w:val="en-US"/>
        </w:rPr>
        <w:t xml:space="preserve"> hypothesis of </w:t>
      </w:r>
      <w:r>
        <w:rPr>
          <w:color w:val="000000"/>
          <w:szCs w:val="20"/>
          <w:lang w:val="en-US"/>
        </w:rPr>
        <w:t xml:space="preserve">a </w:t>
      </w:r>
      <w:r w:rsidRPr="00CE73E7">
        <w:rPr>
          <w:color w:val="000000"/>
          <w:szCs w:val="20"/>
          <w:lang w:val="en-US"/>
        </w:rPr>
        <w:t>final editi</w:t>
      </w:r>
      <w:r>
        <w:rPr>
          <w:color w:val="000000"/>
          <w:szCs w:val="20"/>
          <w:lang w:val="en-US"/>
        </w:rPr>
        <w:t>on</w:t>
      </w:r>
      <w:r w:rsidRPr="00CE73E7">
        <w:rPr>
          <w:color w:val="000000"/>
          <w:szCs w:val="20"/>
          <w:lang w:val="en-US"/>
        </w:rPr>
        <w:t xml:space="preserve"> of the New Testament, the existence of the four </w:t>
      </w:r>
      <w:r>
        <w:rPr>
          <w:color w:val="000000"/>
          <w:szCs w:val="20"/>
          <w:lang w:val="en-US"/>
        </w:rPr>
        <w:t>sub/collections ha</w:t>
      </w:r>
      <w:r w:rsidRPr="00CE73E7">
        <w:rPr>
          <w:color w:val="000000"/>
          <w:szCs w:val="20"/>
          <w:lang w:val="en-US"/>
        </w:rPr>
        <w:t>s </w:t>
      </w:r>
      <w:r>
        <w:rPr>
          <w:color w:val="000000"/>
          <w:szCs w:val="20"/>
          <w:lang w:val="en-US"/>
        </w:rPr>
        <w:t xml:space="preserve">so far </w:t>
      </w:r>
      <w:r w:rsidRPr="00CE73E7">
        <w:rPr>
          <w:color w:val="000000"/>
          <w:szCs w:val="20"/>
          <w:lang w:val="en-US"/>
        </w:rPr>
        <w:t>not</w:t>
      </w:r>
      <w:r>
        <w:rPr>
          <w:color w:val="000000"/>
          <w:szCs w:val="20"/>
          <w:lang w:val="en-US"/>
        </w:rPr>
        <w:t xml:space="preserve"> been</w:t>
      </w:r>
      <w:r w:rsidRPr="00CE73E7">
        <w:rPr>
          <w:color w:val="000000"/>
          <w:szCs w:val="20"/>
          <w:lang w:val="en-US"/>
        </w:rPr>
        <w:t xml:space="preserve"> criticized by most researchers, see </w:t>
      </w:r>
      <w:r>
        <w:rPr>
          <w:color w:val="000000"/>
          <w:szCs w:val="20"/>
          <w:lang w:val="en-US"/>
        </w:rPr>
        <w:fldChar w:fldCharType="begin"/>
      </w:r>
      <w:r w:rsidR="00A91A2E">
        <w:rPr>
          <w:color w:val="000000"/>
          <w:szCs w:val="20"/>
          <w:lang w:val="en-US"/>
        </w:rPr>
        <w:instrText xml:space="preserve"> ADDIN EN.CITE &lt;EndNote&gt;&lt;Cite&gt;&lt;Author&gt;Maurer&lt;/Author&gt;&lt;Year&gt;2002&lt;/Year&gt;&lt;RecNum&gt;5402&lt;/RecNum&gt;&lt;DisplayText&gt;(Maurer 2002; Larson 2002)&lt;/DisplayText&gt;&lt;record&gt;&lt;rec-number&gt;5402&lt;/rec-number&gt;&lt;foreign-keys&gt;&lt;key app="EN" db-id="watspfp2d2rp9se0avpvpv942sd5za2epre9" timestamp="1630668619"&gt;5402&lt;/key&gt;&lt;/foreign-keys&gt;&lt;ref-type name="Journal Article"&gt;17&lt;/ref-type&gt;&lt;contributors&gt;&lt;authors&gt;&lt;author&gt;Maurer, Alexander&lt;/author&gt;&lt;/authors&gt;&lt;/contributors&gt;&lt;titles&gt;&lt;title&gt;Rez. zu David Trobisch, Die Endredaktion des Neuen Testaments. Eine Untersuchung zur Entstehung der christlichen Bibel, Novum Testamentum et Orbis Antiquus, 31 (Fribourg, Göttingen 1996)&lt;/title&gt;&lt;secondary-title&gt;Theologische Literaturzeitung&lt;/secondary-title&gt;&lt;/titles&gt;&lt;periodical&gt;&lt;full-title&gt;Theologische Literaturzeitung&lt;/full-title&gt;&lt;/periodical&gt;&lt;pages&gt;56-58&lt;/pages&gt;&lt;volume&gt;127&lt;/volume&gt;&lt;dates&gt;&lt;year&gt;2002&lt;/year&gt;&lt;/dates&gt;&lt;urls&gt;&lt;/urls&gt;&lt;/record&gt;&lt;/Cite&gt;&lt;Cite&gt;&lt;Author&gt;Larson&lt;/Author&gt;&lt;Year&gt;2002&lt;/Year&gt;&lt;RecNum&gt;5403&lt;/RecNum&gt;&lt;record&gt;&lt;rec-number&gt;5403&lt;/rec-number&gt;&lt;foreign-keys&gt;&lt;key app="EN" db-id="watspfp2d2rp9se0avpvpv942sd5za2epre9" timestamp="1630668619"&gt;5403&lt;/key&gt;&lt;/foreign-keys&gt;&lt;ref-type name="Journal Article"&gt;17&lt;/ref-type&gt;&lt;contributors&gt;&lt;authors&gt;&lt;author&gt;Larson, Jason T.&lt;/author&gt;&lt;/authors&gt;&lt;/contributors&gt;&lt;titles&gt;&lt;title&gt;Rev. of David Trobisch, The  First Edition of the New Testament (Oxford, New York, 2000) &lt;/title&gt;&lt;secondary-title&gt;TC&lt;/secondary-title&gt;&lt;/titles&gt;&lt;periodical&gt;&lt;full-title&gt;TC&lt;/full-title&gt;&lt;/periodical&gt;&lt;pages&gt;s.p.&lt;/pages&gt;&lt;volume&gt;6&lt;/volume&gt;&lt;dates&gt;&lt;year&gt;2002&lt;/year&gt;&lt;/dates&gt;&lt;urls&gt;&lt;related-urls&gt;&lt;url&gt;http://rosetta.reltech.org/TC/v06/Trobisch2001rev-x.html (21.10.2018)&lt;/url&gt;&lt;/related-urls&gt;&lt;/urls&gt;&lt;/record&gt;&lt;/Cite&gt;&lt;/EndNote&gt;</w:instrText>
      </w:r>
      <w:r>
        <w:rPr>
          <w:color w:val="000000"/>
          <w:szCs w:val="20"/>
          <w:lang w:val="en-US"/>
        </w:rPr>
        <w:fldChar w:fldCharType="separate"/>
      </w:r>
      <w:r w:rsidR="00A91A2E">
        <w:rPr>
          <w:noProof/>
          <w:color w:val="000000"/>
          <w:szCs w:val="20"/>
          <w:lang w:val="en-US"/>
        </w:rPr>
        <w:t>(Maurer 2002; Larson 2002)</w:t>
      </w:r>
      <w:r>
        <w:rPr>
          <w:color w:val="000000"/>
          <w:szCs w:val="20"/>
          <w:lang w:val="en-US"/>
        </w:rPr>
        <w:fldChar w:fldCharType="end"/>
      </w:r>
      <w:r w:rsidRPr="00A91A2E">
        <w:rPr>
          <w:color w:val="000000"/>
          <w:szCs w:val="20"/>
          <w:lang w:val="en-US"/>
        </w:rPr>
        <w:t xml:space="preserve"> </w:t>
      </w:r>
      <w:r w:rsidRPr="00CE73E7">
        <w:rPr>
          <w:color w:val="000000"/>
          <w:szCs w:val="20"/>
          <w:lang w:val="en-US"/>
        </w:rPr>
        <w:t xml:space="preserve">On the contrary, this part of </w:t>
      </w:r>
      <w:proofErr w:type="spellStart"/>
      <w:r w:rsidRPr="00CE73E7">
        <w:rPr>
          <w:color w:val="000000"/>
          <w:szCs w:val="20"/>
          <w:lang w:val="en-US"/>
        </w:rPr>
        <w:t>Trobisch</w:t>
      </w:r>
      <w:r>
        <w:rPr>
          <w:color w:val="000000"/>
          <w:szCs w:val="20"/>
          <w:lang w:val="en-US"/>
        </w:rPr>
        <w:t>’</w:t>
      </w:r>
      <w:r w:rsidRPr="00CE73E7">
        <w:rPr>
          <w:color w:val="000000"/>
          <w:szCs w:val="20"/>
          <w:lang w:val="en-US"/>
        </w:rPr>
        <w:t>s</w:t>
      </w:r>
      <w:proofErr w:type="spellEnd"/>
      <w:r w:rsidRPr="00CE73E7">
        <w:rPr>
          <w:color w:val="000000"/>
          <w:szCs w:val="20"/>
          <w:lang w:val="en-US"/>
        </w:rPr>
        <w:t xml:space="preserve"> argument was even taken up productively and further developed as an important building block for the history of the canon and more closely interlinked than </w:t>
      </w:r>
      <w:proofErr w:type="spellStart"/>
      <w:r w:rsidRPr="00CE73E7">
        <w:rPr>
          <w:color w:val="000000"/>
          <w:szCs w:val="20"/>
          <w:lang w:val="en-US"/>
        </w:rPr>
        <w:t>Trobisch</w:t>
      </w:r>
      <w:proofErr w:type="spellEnd"/>
      <w:r>
        <w:rPr>
          <w:color w:val="000000"/>
          <w:szCs w:val="20"/>
          <w:lang w:val="en-US"/>
        </w:rPr>
        <w:t xml:space="preserve"> did</w:t>
      </w:r>
      <w:r w:rsidRPr="00CE73E7">
        <w:rPr>
          <w:color w:val="000000"/>
          <w:szCs w:val="20"/>
          <w:lang w:val="en-US"/>
        </w:rPr>
        <w:t>, for example, with the findings on the four Gospels in Iren</w:t>
      </w:r>
      <w:r>
        <w:rPr>
          <w:color w:val="000000"/>
          <w:szCs w:val="20"/>
          <w:lang w:val="en-US"/>
        </w:rPr>
        <w:t>ae</w:t>
      </w:r>
      <w:r w:rsidRPr="00CE73E7">
        <w:rPr>
          <w:color w:val="000000"/>
          <w:szCs w:val="20"/>
          <w:lang w:val="en-US"/>
        </w:rPr>
        <w:t>us </w:t>
      </w:r>
      <w:r>
        <w:rPr>
          <w:color w:val="000000"/>
          <w:szCs w:val="20"/>
          <w:lang w:val="en-US"/>
        </w:rPr>
        <w:t xml:space="preserve">by </w:t>
      </w:r>
      <w:r>
        <w:rPr>
          <w:color w:val="000000"/>
          <w:szCs w:val="20"/>
          <w:lang w:val="en-US"/>
        </w:rPr>
        <w:fldChar w:fldCharType="begin"/>
      </w:r>
      <w:r w:rsidR="00A91A2E">
        <w:rPr>
          <w:color w:val="000000"/>
          <w:szCs w:val="20"/>
          <w:lang w:val="en-US"/>
        </w:rPr>
        <w:instrText xml:space="preserve"> ADDIN EN.CITE &lt;EndNote&gt;&lt;Cite&gt;&lt;Author&gt;Bokedal&lt;/Author&gt;&lt;Year&gt;2014&lt;/Year&gt;&lt;RecNum&gt;2485&lt;/RecNum&gt;&lt;DisplayText&gt;(Bokedal 2014)&lt;/DisplayText&gt;&lt;record&gt;&lt;rec-number&gt;2485&lt;/rec-number&gt;&lt;foreign-keys&gt;&lt;key app="EN" db-id="watspfp2d2rp9se0avpvpv942sd5za2epre9" timestamp="1620290606"&gt;2485&lt;/key&gt;&lt;/foreign-keys&gt;&lt;ref-type name="Book"&gt;6&lt;/ref-type&gt;&lt;contributors&gt;&lt;authors&gt;&lt;author&gt;Bokedal, Tomas&lt;/author&gt;&lt;/authors&gt;&lt;/contributors&gt;&lt;titles&gt;&lt;title&gt;The Formation and Significance of the Christian Biblical Canon. A Study in Text, Ritual and Interpretation&lt;/title&gt;&lt;/titles&gt;&lt;pages&gt;XVI, 421 S.&lt;/pages&gt;&lt;keywords&gt;&lt;keyword&gt;Bible Canon&lt;/keyword&gt;&lt;keyword&gt;Canon (Literature) History Kanon&lt;/keyword&gt;&lt;keyword&gt;220.12&lt;/keyword&gt;&lt;/keywords&gt;&lt;dates&gt;&lt;year&gt;2014&lt;/year&gt;&lt;/dates&gt;&lt;pub-location&gt;London [u.a.]&lt;/pub-location&gt;&lt;publisher&gt;Bloomsbury T &amp;amp; T Clark&lt;/publisher&gt;&lt;isbn&gt;978-0-567-37890-3&lt;/isbn&gt;&lt;accession-num&gt;397901062&lt;/accession-num&gt;&lt;label&gt;200712683 bc 6040&amp;#xD;1&lt;/label&gt;&lt;urls&gt;&lt;related-urls&gt;&lt;url&gt;DE-576;DE-21 http://swbplus.bsz-bw.de/bsz397901062inh.htm&lt;/url&gt;&lt;url&gt;DE-576;DE-21 http://swbplus.bsz-bw.de/bsz397901062kla.htm&lt;/url&gt;&lt;/related-urls&gt;&lt;/urls&gt;&lt;language&gt;eng&lt;/language&gt;&lt;/record&gt;&lt;/Cite&gt;&lt;/EndNote&gt;</w:instrText>
      </w:r>
      <w:r>
        <w:rPr>
          <w:color w:val="000000"/>
          <w:szCs w:val="20"/>
          <w:lang w:val="en-US"/>
        </w:rPr>
        <w:fldChar w:fldCharType="separate"/>
      </w:r>
      <w:r w:rsidR="00A91A2E">
        <w:rPr>
          <w:noProof/>
          <w:color w:val="000000"/>
          <w:szCs w:val="20"/>
          <w:lang w:val="en-US"/>
        </w:rPr>
        <w:t>(Bokedal 2014)</w:t>
      </w:r>
      <w:r>
        <w:rPr>
          <w:color w:val="000000"/>
          <w:szCs w:val="20"/>
          <w:lang w:val="en-US"/>
        </w:rPr>
        <w:fldChar w:fldCharType="end"/>
      </w:r>
      <w:r w:rsidRPr="00CE73E7">
        <w:rPr>
          <w:color w:val="000000"/>
          <w:szCs w:val="20"/>
          <w:lang w:val="en-US"/>
        </w:rPr>
        <w:t xml:space="preserve"> </w:t>
      </w:r>
      <w:r>
        <w:rPr>
          <w:color w:val="000000"/>
          <w:szCs w:val="20"/>
          <w:lang w:val="en-US"/>
        </w:rPr>
        <w:t xml:space="preserve">While </w:t>
      </w:r>
      <w:proofErr w:type="spellStart"/>
      <w:r w:rsidRPr="00CE73E7">
        <w:rPr>
          <w:color w:val="000000"/>
          <w:szCs w:val="20"/>
          <w:lang w:val="en-US"/>
        </w:rPr>
        <w:t>Schnelle</w:t>
      </w:r>
      <w:proofErr w:type="spellEnd"/>
      <w:r w:rsidRPr="00CE73E7">
        <w:rPr>
          <w:color w:val="000000"/>
          <w:szCs w:val="20"/>
          <w:lang w:val="en-US"/>
        </w:rPr>
        <w:t xml:space="preserve"> </w:t>
      </w:r>
      <w:r>
        <w:rPr>
          <w:color w:val="000000"/>
          <w:szCs w:val="20"/>
          <w:lang w:val="en-US"/>
        </w:rPr>
        <w:t xml:space="preserve">thought </w:t>
      </w:r>
      <w:r w:rsidRPr="00CE73E7">
        <w:rPr>
          <w:color w:val="000000"/>
          <w:szCs w:val="20"/>
          <w:lang w:val="en-US"/>
        </w:rPr>
        <w:t xml:space="preserve">that </w:t>
      </w:r>
      <w:proofErr w:type="spellStart"/>
      <w:r w:rsidRPr="00CE73E7">
        <w:rPr>
          <w:color w:val="000000"/>
          <w:szCs w:val="20"/>
          <w:lang w:val="en-US"/>
        </w:rPr>
        <w:t>Trobisch</w:t>
      </w:r>
      <w:proofErr w:type="spellEnd"/>
      <w:r w:rsidRPr="00CE73E7">
        <w:rPr>
          <w:color w:val="000000"/>
          <w:szCs w:val="20"/>
          <w:lang w:val="en-US"/>
        </w:rPr>
        <w:t xml:space="preserve"> had</w:t>
      </w:r>
      <w:r>
        <w:rPr>
          <w:color w:val="000000"/>
          <w:szCs w:val="20"/>
          <w:lang w:val="en-US"/>
        </w:rPr>
        <w:t xml:space="preserve"> neglected</w:t>
      </w:r>
      <w:r w:rsidRPr="00CE73E7">
        <w:rPr>
          <w:color w:val="000000"/>
          <w:szCs w:val="20"/>
          <w:lang w:val="en-US"/>
        </w:rPr>
        <w:t xml:space="preserve"> deviations </w:t>
      </w:r>
      <w:r>
        <w:rPr>
          <w:color w:val="000000"/>
          <w:szCs w:val="20"/>
          <w:lang w:val="en-US"/>
        </w:rPr>
        <w:t>in the order within the sub-collections and pushed these incorrectly aside as unimportant</w:t>
      </w:r>
      <w:r w:rsidRPr="00CE73E7">
        <w:rPr>
          <w:color w:val="000000"/>
          <w:szCs w:val="20"/>
          <w:lang w:val="en-US"/>
        </w:rPr>
        <w:t xml:space="preserve">, </w:t>
      </w:r>
      <w:proofErr w:type="spellStart"/>
      <w:r w:rsidRPr="00CE73E7">
        <w:rPr>
          <w:color w:val="000000"/>
          <w:szCs w:val="20"/>
          <w:lang w:val="en-US"/>
        </w:rPr>
        <w:t>Heilmann</w:t>
      </w:r>
      <w:proofErr w:type="spellEnd"/>
      <w:r w:rsidRPr="00CE73E7">
        <w:rPr>
          <w:color w:val="000000"/>
          <w:szCs w:val="20"/>
          <w:lang w:val="en-US"/>
        </w:rPr>
        <w:t xml:space="preserve"> shows that </w:t>
      </w:r>
      <w:proofErr w:type="spellStart"/>
      <w:r w:rsidRPr="00CE73E7">
        <w:rPr>
          <w:color w:val="000000"/>
          <w:szCs w:val="20"/>
          <w:lang w:val="en-US"/>
        </w:rPr>
        <w:t>Trobisch</w:t>
      </w:r>
      <w:proofErr w:type="spellEnd"/>
      <w:r w:rsidRPr="00CE73E7">
        <w:rPr>
          <w:color w:val="000000"/>
          <w:szCs w:val="20"/>
          <w:lang w:val="en-US"/>
        </w:rPr>
        <w:t xml:space="preserve"> </w:t>
      </w:r>
      <w:r>
        <w:rPr>
          <w:color w:val="000000"/>
          <w:szCs w:val="20"/>
          <w:lang w:val="en-US"/>
        </w:rPr>
        <w:t xml:space="preserve">had demonstrated that such deviations were not arbitrary, but went back and were explicable as conscious editorial decisions in the witnesses </w:t>
      </w:r>
      <w:r w:rsidRPr="00CE73E7">
        <w:rPr>
          <w:color w:val="000000"/>
          <w:szCs w:val="20"/>
          <w:lang w:val="en-US"/>
        </w:rPr>
        <w:t>P</w:t>
      </w:r>
      <w:r w:rsidRPr="00F91F93">
        <w:rPr>
          <w:color w:val="000000"/>
          <w:szCs w:val="20"/>
          <w:vertAlign w:val="superscript"/>
          <w:lang w:val="en-US"/>
        </w:rPr>
        <w:t>46</w:t>
      </w:r>
      <w:r w:rsidRPr="00CE73E7">
        <w:rPr>
          <w:color w:val="000000"/>
          <w:szCs w:val="20"/>
          <w:lang w:val="en-US"/>
        </w:rPr>
        <w:t>, D05, D06 and W032 and can be interpreted as editorial rearrangements of an </w:t>
      </w:r>
      <w:proofErr w:type="spellStart"/>
      <w:r w:rsidRPr="00CE73E7">
        <w:rPr>
          <w:i/>
          <w:iCs/>
          <w:color w:val="000000"/>
          <w:szCs w:val="20"/>
          <w:lang w:val="en-US"/>
        </w:rPr>
        <w:t>editio</w:t>
      </w:r>
      <w:proofErr w:type="spellEnd"/>
      <w:r w:rsidRPr="00CE73E7">
        <w:rPr>
          <w:i/>
          <w:iCs/>
          <w:color w:val="000000"/>
          <w:szCs w:val="20"/>
          <w:lang w:val="en-US"/>
        </w:rPr>
        <w:t xml:space="preserve"> princeps</w:t>
      </w:r>
      <w:r w:rsidRPr="00CE73E7">
        <w:rPr>
          <w:color w:val="000000"/>
          <w:szCs w:val="20"/>
          <w:lang w:val="en-US"/>
        </w:rPr>
        <w:t xml:space="preserve">, </w:t>
      </w:r>
      <w:r>
        <w:rPr>
          <w:color w:val="000000"/>
          <w:szCs w:val="20"/>
          <w:lang w:val="en-US"/>
        </w:rPr>
        <w:t xml:space="preserve">see </w:t>
      </w:r>
      <w:r>
        <w:rPr>
          <w:color w:val="000000"/>
          <w:szCs w:val="20"/>
          <w:lang w:val="en-US"/>
        </w:rPr>
        <w:fldChar w:fldCharType="begin"/>
      </w:r>
      <w:r w:rsidR="00A91A2E">
        <w:rPr>
          <w:color w:val="000000"/>
          <w:szCs w:val="20"/>
          <w:lang w:val="en-US"/>
        </w:rPr>
        <w:instrText xml:space="preserve"> ADDIN EN.CITE &lt;EndNote&gt;&lt;Cite&gt;&lt;Author&gt;Heilmann&lt;/Author&gt;&lt;Year&gt;2018&lt;/Year&gt;&lt;RecNum&gt;1807&lt;/RecNum&gt;&lt;Pages&gt;25&lt;/Pages&gt;&lt;DisplayText&gt;(Heilmann 2018: 25)&lt;/DisplayText&gt;&lt;record&gt;&lt;rec-number&gt;1807&lt;/rec-number&gt;&lt;foreign-keys&gt;&lt;key app="EN" db-id="watspfp2d2rp9se0avpvpv942sd5za2epre9" timestamp="1611666992"&gt;1807&lt;/key&gt;&lt;/foreign-keys&gt;&lt;ref-type name="Book Section"&gt;5&lt;/ref-type&gt;&lt;contributors&gt;&lt;authors&gt;&lt;author&gt;Heilmann, Jan&lt;/author&gt;&lt;/authors&gt;&lt;secondary-authors&gt;&lt;author&gt;Heilmann, Jan&lt;/author&gt;&lt;author&gt;Klinghardt, Matthias&lt;/author&gt;&lt;/secondary-authors&gt;&lt;/contributors&gt;&lt;titles&gt;&lt;title&gt;&lt;style face="normal" font="default" size="100%"&gt;Die These einer &lt;/style&gt;&lt;style face="italic" font="default" size="100%"&gt;editio princeps&lt;/style&gt;&lt;style face="normal" font="default" size="100%"&gt; des Neuen Testaments im Spiegel der Forschungsdiskussion der letzten zwei Jahrzehnte&lt;/style&gt;&lt;/title&gt;&lt;secondary-title&gt;Das Neue Testament und sein Text im 2. Jahrhundert&lt;/secondary-title&gt;&lt;/titles&gt;&lt;pages&gt;21-56&lt;/pages&gt;&lt;dates&gt;&lt;year&gt;2018&lt;/year&gt;&lt;/dates&gt;&lt;pub-location&gt;Tübingen&lt;/pub-location&gt;&lt;publisher&gt;Francke&lt;/publisher&gt;&lt;urls&gt;&lt;/urls&gt;&lt;/record&gt;&lt;/Cite&gt;&lt;/EndNote&gt;</w:instrText>
      </w:r>
      <w:r>
        <w:rPr>
          <w:color w:val="000000"/>
          <w:szCs w:val="20"/>
          <w:lang w:val="en-US"/>
        </w:rPr>
        <w:fldChar w:fldCharType="separate"/>
      </w:r>
      <w:r w:rsidR="00A91A2E">
        <w:rPr>
          <w:noProof/>
          <w:color w:val="000000"/>
          <w:szCs w:val="20"/>
          <w:lang w:val="en-US"/>
        </w:rPr>
        <w:t>(Heilmann 2018: 25)</w:t>
      </w:r>
      <w:r>
        <w:rPr>
          <w:color w:val="000000"/>
          <w:szCs w:val="20"/>
          <w:lang w:val="en-US"/>
        </w:rPr>
        <w:fldChar w:fldCharType="end"/>
      </w:r>
      <w:r w:rsidRPr="00CE73E7">
        <w:rPr>
          <w:color w:val="000000"/>
          <w:szCs w:val="20"/>
          <w:lang w:val="en-US"/>
        </w:rPr>
        <w:t xml:space="preserve"> </w:t>
      </w:r>
      <w:r w:rsidRPr="00A91A2E">
        <w:rPr>
          <w:color w:val="000000"/>
          <w:szCs w:val="20"/>
          <w:lang w:val="en-US"/>
        </w:rPr>
        <w:t>See for further arguments, ibid. 25-42; </w:t>
      </w:r>
      <w:r>
        <w:rPr>
          <w:color w:val="000000"/>
          <w:szCs w:val="20"/>
          <w:lang w:val="en-US"/>
        </w:rPr>
        <w:fldChar w:fldCharType="begin"/>
      </w:r>
      <w:r w:rsidR="00A91A2E" w:rsidRPr="00A91A2E">
        <w:rPr>
          <w:color w:val="000000"/>
          <w:szCs w:val="20"/>
          <w:lang w:val="en-US"/>
        </w:rPr>
        <w:instrText xml:space="preserve"> ADDIN EN.CITE &lt;EndNote&gt;&lt;Cite&gt;&lt;Author&gt;Schnelle&lt;/Author&gt;&lt;Year&gt;2017&lt;/Year&gt;&lt;RecNum&gt;2866&lt;/RecNum&gt;&lt;Pages&gt;440&lt;/Pages&gt;&lt;DisplayText&gt;(Schnelle 2017: 440)&lt;/DisplayText&gt;&lt;record&gt;&lt;rec-number&gt;2866&lt;/rec-number&gt;&lt;foreign-keys&gt;&lt;key app="EN" db-id="watspfp2d2rp9se0avpvpv942sd5za2epre9" timestamp="1626158744"&gt;2866&lt;/key&gt;&lt;/foreign-keys&gt;&lt;ref-type name="Book"&gt;6&lt;/ref-type&gt;&lt;contributors&gt;&lt;authors&gt;&lt;author&gt;Schnelle, Udo&lt;/author&gt;&lt;/authors&gt;&lt;/contributors&gt;&lt;titles&gt;&lt;title&gt;Einleitung in das Neue Testament&lt;/title&gt;&lt;secondary-title&gt;Utb&lt;/secondary-title&gt;&lt;/titles&gt;&lt;pages&gt;638 Seiten&lt;/pages&gt;&lt;number&gt;1830. Theologie, Religionswissenschaft&lt;/number&gt;&lt;edition&gt;9., durchgesehene Auflage&lt;/edition&gt;&lt;keywords&gt;&lt;keyword&gt;230&lt;/keyword&gt;&lt;keyword&gt;225.61&lt;/keyword&gt;&lt;/keywords&gt;&lt;dates&gt;&lt;year&gt;2017&lt;/year&gt;&lt;/dates&gt;&lt;pub-location&gt;Göttingen Bristol&lt;/pub-location&gt;&lt;publisher&gt;Vandenhoeck &amp;amp; Ruprecht&lt;/publisher&gt;&lt;isbn&gt;978-3-8252-4812-3&amp;#xD;3-8252-4812-7&lt;/isbn&gt;&lt;accession-num&gt;490455115&lt;/accession-num&gt;&lt;label&gt;200712675 bc 6030&lt;/label&gt;&lt;urls&gt;&lt;related-urls&gt;&lt;url&gt;B:DE-101 http://d-nb.info/1132349451/04&lt;/url&gt;&lt;url&gt;X:MVB http://deposit.d-nb.de/cgi-bin/dokserv?id=14951eff30554474a981ce88ac1bd506&amp;amp;prov=M&amp;amp;dok_var=1&amp;amp;dok_ext=htm&lt;/url&gt;&lt;url&gt;http://www.blickinsbuch.de/item/e6e8e786ece233d18ebd8e0cd3efb924&lt;/url&gt;&lt;/related-urls&gt;&lt;/urls&gt;&lt;language&gt;ger&lt;/language&gt;&lt;/record&gt;&lt;/Cite&gt;&lt;/EndNote&gt;</w:instrText>
      </w:r>
      <w:r>
        <w:rPr>
          <w:color w:val="000000"/>
          <w:szCs w:val="20"/>
          <w:lang w:val="en-US"/>
        </w:rPr>
        <w:fldChar w:fldCharType="separate"/>
      </w:r>
      <w:r w:rsidR="00A91A2E" w:rsidRPr="00A91A2E">
        <w:rPr>
          <w:noProof/>
          <w:color w:val="000000"/>
          <w:szCs w:val="20"/>
          <w:lang w:val="en-US"/>
        </w:rPr>
        <w:t>(</w:t>
      </w:r>
      <w:proofErr w:type="spellStart"/>
      <w:r w:rsidR="00A91A2E" w:rsidRPr="00A91A2E">
        <w:rPr>
          <w:noProof/>
          <w:color w:val="000000"/>
          <w:szCs w:val="20"/>
          <w:lang w:val="en-US"/>
        </w:rPr>
        <w:t>Schnelle</w:t>
      </w:r>
      <w:proofErr w:type="spellEnd"/>
      <w:r w:rsidR="00A91A2E" w:rsidRPr="00A91A2E">
        <w:rPr>
          <w:noProof/>
          <w:color w:val="000000"/>
          <w:szCs w:val="20"/>
          <w:lang w:val="en-US"/>
        </w:rPr>
        <w:t xml:space="preserve"> 2017: 440)</w:t>
      </w:r>
      <w:r>
        <w:rPr>
          <w:color w:val="000000"/>
          <w:szCs w:val="20"/>
          <w:lang w:val="en-US"/>
        </w:rPr>
        <w:fldChar w:fldCharType="end"/>
      </w:r>
    </w:p>
  </w:footnote>
  <w:footnote w:id="13">
    <w:p w14:paraId="706AD16A" w14:textId="42ACEF44" w:rsidR="00133B09" w:rsidRPr="00505170" w:rsidRDefault="00133B09" w:rsidP="00133B09">
      <w:pPr>
        <w:pStyle w:val="FootnoteText"/>
      </w:pPr>
      <w:r>
        <w:rPr>
          <w:rStyle w:val="FootnoteReference"/>
        </w:rPr>
        <w:footnoteRef/>
      </w:r>
      <w:r w:rsidRPr="00A91A2E">
        <w:rPr>
          <w:lang w:val="en-US"/>
        </w:rPr>
        <w:t xml:space="preserve"> </w:t>
      </w:r>
      <w:r>
        <w:rPr>
          <w:color w:val="000000"/>
          <w:szCs w:val="20"/>
          <w:lang w:val="en-US"/>
        </w:rPr>
        <w:fldChar w:fldCharType="begin"/>
      </w:r>
      <w:r w:rsidR="00A91A2E" w:rsidRPr="00A91A2E">
        <w:rPr>
          <w:color w:val="000000"/>
          <w:szCs w:val="20"/>
          <w:lang w:val="en-US"/>
        </w:rPr>
        <w:instrText xml:space="preserve"> ADDIN EN.CITE &lt;EndNote&gt;&lt;Cite&gt;&lt;Author&gt;Schnelle&lt;/Author&gt;&lt;Year&gt;2017&lt;/Year&gt;&lt;RecNum&gt;2866&lt;/RecNum&gt;</w:instrText>
      </w:r>
      <w:r w:rsidR="00A91A2E">
        <w:rPr>
          <w:color w:val="000000"/>
          <w:szCs w:val="20"/>
        </w:rPr>
        <w:instrText>&lt;Pages&gt;440&lt;/Pages&gt;&lt;DisplayText&gt;(Schnelle 2017: 440)&lt;/DisplayText&gt;&lt;record&gt;&lt;rec-number&gt;2866&lt;/rec-number&gt;&lt;foreign-keys&gt;&lt;key app="EN" db-id="watspfp2d2rp9se0avpvpv942sd5za2epre9" timestamp="1626158744"&gt;2866&lt;/key&gt;&lt;/foreign-keys&gt;&lt;ref-type name="Book"&gt;6&lt;/ref-type&gt;&lt;contributors&gt;&lt;authors&gt;&lt;author&gt;Schnelle, Udo&lt;/author&gt;&lt;/authors&gt;&lt;/contributors&gt;&lt;titles&gt;&lt;title&gt;Einleitung in das Neue Testament&lt;/title&gt;&lt;secondary-title&gt;Utb&lt;/secondary-title&gt;&lt;/titles&gt;&lt;pages&gt;638 Seiten&lt;/pages&gt;&lt;number&gt;1830. Theologie, Religionswissenschaft&lt;/number&gt;&lt;edition&gt;9., durchgesehene Auflage&lt;/edition&gt;&lt;keywords&gt;&lt;keyword&gt;230&lt;/keyword&gt;&lt;keyword&gt;225.61&lt;/keyword&gt;&lt;/keywords&gt;&lt;dates&gt;&lt;year&gt;2017&lt;/year&gt;&lt;/dates&gt;&lt;pub-location&gt;Göttingen Bristol&lt;/pub-location&gt;&lt;publisher&gt;Vandenhoeck &amp;amp; Ruprecht&lt;/publisher&gt;&lt;isbn&gt;978-3-8252-4812-3&amp;#xD;3-8252-4812-7&lt;/isbn&gt;&lt;accession-num&gt;490455115&lt;/accession-num&gt;&lt;label&gt;200712675 bc 6030&lt;/label&gt;&lt;urls&gt;&lt;related-urls&gt;&lt;url&gt;B:DE-101 http://d-nb.info/1132349451/04&lt;/url&gt;&lt;url&gt;X:MVB http://deposit.d-nb.de/cgi-bin/dokserv?id=14951eff30554474a981ce88ac1bd506&amp;amp;prov=M&amp;amp;dok_var=1&amp;amp;dok_ext=htm&lt;/url&gt;&lt;url&gt;http://www.blickinsbuch.de/item/e6e8e786ece233d18ebd8e0cd3efb924&lt;/url&gt;&lt;/related-urls&gt;&lt;/urls&gt;&lt;language&gt;ger&lt;/language&gt;&lt;/record&gt;&lt;/Cite&gt;&lt;/EndNote&gt;</w:instrText>
      </w:r>
      <w:r>
        <w:rPr>
          <w:color w:val="000000"/>
          <w:szCs w:val="20"/>
          <w:lang w:val="en-US"/>
        </w:rPr>
        <w:fldChar w:fldCharType="separate"/>
      </w:r>
      <w:r w:rsidR="00A91A2E" w:rsidRPr="00A91A2E">
        <w:rPr>
          <w:noProof/>
          <w:color w:val="000000"/>
          <w:szCs w:val="20"/>
        </w:rPr>
        <w:t>(Schnelle 2017: 440)</w:t>
      </w:r>
      <w:r>
        <w:rPr>
          <w:color w:val="000000"/>
          <w:szCs w:val="20"/>
          <w:lang w:val="en-US"/>
        </w:rPr>
        <w:fldChar w:fldCharType="end"/>
      </w:r>
    </w:p>
  </w:footnote>
  <w:footnote w:id="14">
    <w:p w14:paraId="4CF0C54B" w14:textId="748E4D3A" w:rsidR="00133B09" w:rsidRPr="00133B09" w:rsidRDefault="00133B09" w:rsidP="00133B09">
      <w:pPr>
        <w:pStyle w:val="FootnoteText"/>
      </w:pPr>
      <w:r>
        <w:rPr>
          <w:rStyle w:val="FootnoteReference"/>
        </w:rPr>
        <w:footnoteRef/>
      </w:r>
      <w:r>
        <w:t xml:space="preserve"> </w:t>
      </w:r>
      <w:r>
        <w:fldChar w:fldCharType="begin"/>
      </w:r>
      <w:r w:rsidR="00A91A2E">
        <w:instrText xml:space="preserve"> ADDIN EN.CITE &lt;EndNote&gt;&lt;Cite&gt;&lt;Author&gt;Heilmann&lt;/Author&gt;&lt;Year&gt;2018&lt;/Year&gt;&lt;RecNum&gt;1807&lt;/RecNum&gt;&lt;Pages&gt;27&lt;/Pages&gt;&lt;DisplayText&gt;(Heilmann 2018: 27)&lt;/DisplayText&gt;&lt;record&gt;&lt;rec-number&gt;1807&lt;/rec-number&gt;&lt;foreign-keys&gt;&lt;key app="EN" db-id="watspfp2d2rp9se0avpvpv942sd5za2epre9" timestamp="1611666992"&gt;1807&lt;/key&gt;&lt;/foreign-keys&gt;&lt;ref-type name="Book Section"&gt;5&lt;/ref-type&gt;&lt;contributors&gt;&lt;authors&gt;&lt;author&gt;Heilmann, Jan&lt;/author&gt;&lt;/authors&gt;&lt;secondary-authors&gt;&lt;author&gt;Heilmann, Jan&lt;/author&gt;&lt;author&gt;Klinghardt, Matthias&lt;/author&gt;&lt;/secondary-authors&gt;&lt;/contributors&gt;&lt;titles&gt;&lt;title&gt;&lt;style face="normal" font="default" size="100%"&gt;Die These einer &lt;/style&gt;&lt;style face="italic" font="default" size="100%"&gt;editio princeps&lt;/style&gt;&lt;style face="normal" font="default" size="100%"&gt; des Neuen Testaments im Spiegel der Forschungsdiskussion der letzten zwei Jahrzehnte&lt;/style&gt;&lt;/title&gt;&lt;secondary-title&gt;Das Neue Testament und sein Text im 2. Jahrhundert&lt;/secondary-title&gt;&lt;/titles&gt;&lt;pages&gt;21-56&lt;/pages&gt;&lt;dates&gt;&lt;year&gt;2018&lt;/year&gt;&lt;/dates&gt;&lt;pub-location&gt;Tübingen&lt;/pub-location&gt;&lt;publisher&gt;Francke&lt;/publisher&gt;&lt;urls&gt;&lt;/urls&gt;&lt;/record&gt;&lt;/Cite&gt;&lt;/EndNote&gt;</w:instrText>
      </w:r>
      <w:r>
        <w:fldChar w:fldCharType="separate"/>
      </w:r>
      <w:r w:rsidR="00A91A2E">
        <w:rPr>
          <w:noProof/>
        </w:rPr>
        <w:t>(Heilmann 2018: 27)</w:t>
      </w:r>
      <w:r>
        <w:fldChar w:fldCharType="end"/>
      </w:r>
    </w:p>
  </w:footnote>
  <w:footnote w:id="15">
    <w:p w14:paraId="4BCDBCC4" w14:textId="77777777" w:rsidR="00133B09" w:rsidRPr="008F24E8" w:rsidRDefault="00133B09" w:rsidP="00133B09">
      <w:pPr>
        <w:pStyle w:val="FootnoteText"/>
        <w:rPr>
          <w:lang w:val="nl-NL"/>
        </w:rPr>
      </w:pPr>
      <w:r>
        <w:rPr>
          <w:rStyle w:val="FootnoteReference"/>
        </w:rPr>
        <w:footnoteRef/>
      </w:r>
      <w:r w:rsidRPr="008F24E8">
        <w:rPr>
          <w:lang w:val="nl-NL"/>
        </w:rPr>
        <w:t xml:space="preserve"> </w:t>
      </w:r>
      <w:proofErr w:type="spellStart"/>
      <w:r w:rsidRPr="008F24E8">
        <w:rPr>
          <w:color w:val="000000"/>
          <w:szCs w:val="20"/>
          <w:lang w:val="nl-NL"/>
        </w:rPr>
        <w:t>Iren</w:t>
      </w:r>
      <w:proofErr w:type="spellEnd"/>
      <w:r w:rsidRPr="008F24E8">
        <w:rPr>
          <w:color w:val="000000"/>
          <w:szCs w:val="20"/>
          <w:lang w:val="nl-NL"/>
        </w:rPr>
        <w:t xml:space="preserve">., </w:t>
      </w:r>
      <w:r w:rsidRPr="008F24E8">
        <w:rPr>
          <w:i/>
          <w:color w:val="000000"/>
          <w:szCs w:val="20"/>
          <w:lang w:val="nl-NL"/>
        </w:rPr>
        <w:t xml:space="preserve">Adv. </w:t>
      </w:r>
      <w:proofErr w:type="spellStart"/>
      <w:proofErr w:type="gramStart"/>
      <w:r>
        <w:rPr>
          <w:i/>
          <w:color w:val="000000"/>
          <w:szCs w:val="20"/>
          <w:lang w:val="nl-NL"/>
        </w:rPr>
        <w:t>h</w:t>
      </w:r>
      <w:r w:rsidRPr="008F24E8">
        <w:rPr>
          <w:i/>
          <w:color w:val="000000"/>
          <w:szCs w:val="20"/>
          <w:lang w:val="nl-NL"/>
        </w:rPr>
        <w:t>aer</w:t>
      </w:r>
      <w:proofErr w:type="spellEnd"/>
      <w:proofErr w:type="gramEnd"/>
      <w:r w:rsidRPr="008F24E8">
        <w:rPr>
          <w:i/>
          <w:color w:val="000000"/>
          <w:szCs w:val="20"/>
          <w:lang w:val="nl-NL"/>
        </w:rPr>
        <w:t>.</w:t>
      </w:r>
      <w:r w:rsidRPr="008F24E8">
        <w:rPr>
          <w:color w:val="000000"/>
          <w:szCs w:val="20"/>
          <w:lang w:val="nl-NL"/>
        </w:rPr>
        <w:t> III 1.1.</w:t>
      </w:r>
    </w:p>
  </w:footnote>
  <w:footnote w:id="16">
    <w:p w14:paraId="2ECF81F9" w14:textId="77777777" w:rsidR="00133B09" w:rsidRPr="00627761" w:rsidRDefault="00133B09" w:rsidP="00133B09">
      <w:pPr>
        <w:pStyle w:val="FootnoteText"/>
        <w:rPr>
          <w:lang w:val="nl-NL"/>
        </w:rPr>
      </w:pPr>
      <w:r>
        <w:rPr>
          <w:rStyle w:val="FootnoteReference"/>
        </w:rPr>
        <w:footnoteRef/>
      </w:r>
      <w:r w:rsidRPr="008F24E8">
        <w:rPr>
          <w:lang w:val="nl-NL"/>
        </w:rPr>
        <w:t xml:space="preserve"> </w:t>
      </w:r>
      <w:proofErr w:type="spellStart"/>
      <w:r w:rsidRPr="008F24E8">
        <w:rPr>
          <w:color w:val="000000"/>
          <w:szCs w:val="20"/>
          <w:lang w:val="nl-NL"/>
        </w:rPr>
        <w:t>Iren</w:t>
      </w:r>
      <w:proofErr w:type="spellEnd"/>
      <w:r w:rsidRPr="008F24E8">
        <w:rPr>
          <w:color w:val="000000"/>
          <w:szCs w:val="20"/>
          <w:lang w:val="nl-NL"/>
        </w:rPr>
        <w:t xml:space="preserve">., </w:t>
      </w:r>
      <w:r w:rsidRPr="008F24E8">
        <w:rPr>
          <w:i/>
          <w:color w:val="000000"/>
          <w:szCs w:val="20"/>
          <w:lang w:val="nl-NL"/>
        </w:rPr>
        <w:t xml:space="preserve">Adv. </w:t>
      </w:r>
      <w:proofErr w:type="spellStart"/>
      <w:proofErr w:type="gramStart"/>
      <w:r w:rsidRPr="00627761">
        <w:rPr>
          <w:i/>
          <w:color w:val="000000"/>
          <w:szCs w:val="20"/>
          <w:lang w:val="nl-NL"/>
        </w:rPr>
        <w:t>haer</w:t>
      </w:r>
      <w:proofErr w:type="spellEnd"/>
      <w:proofErr w:type="gramEnd"/>
      <w:r w:rsidRPr="00627761">
        <w:rPr>
          <w:i/>
          <w:color w:val="000000"/>
          <w:szCs w:val="20"/>
          <w:lang w:val="nl-NL"/>
        </w:rPr>
        <w:t>.</w:t>
      </w:r>
      <w:r w:rsidRPr="00627761">
        <w:rPr>
          <w:color w:val="000000"/>
          <w:szCs w:val="20"/>
          <w:lang w:val="nl-NL"/>
        </w:rPr>
        <w:t> III 7.</w:t>
      </w:r>
    </w:p>
  </w:footnote>
  <w:footnote w:id="17">
    <w:p w14:paraId="69B9EDF8" w14:textId="77777777" w:rsidR="00133B09" w:rsidRPr="00602521" w:rsidRDefault="00133B09" w:rsidP="00133B09">
      <w:pPr>
        <w:pStyle w:val="FootnoteText"/>
        <w:rPr>
          <w:lang w:val="nl-NL"/>
        </w:rPr>
      </w:pPr>
      <w:r>
        <w:rPr>
          <w:rStyle w:val="FootnoteReference"/>
        </w:rPr>
        <w:footnoteRef/>
      </w:r>
      <w:r w:rsidRPr="00602521">
        <w:rPr>
          <w:lang w:val="nl-NL"/>
        </w:rPr>
        <w:t xml:space="preserve"> </w:t>
      </w:r>
      <w:proofErr w:type="spellStart"/>
      <w:r w:rsidRPr="00627761">
        <w:rPr>
          <w:color w:val="000000"/>
          <w:szCs w:val="20"/>
          <w:lang w:val="nl-NL"/>
        </w:rPr>
        <w:t>Iren</w:t>
      </w:r>
      <w:proofErr w:type="spellEnd"/>
      <w:r w:rsidRPr="00627761">
        <w:rPr>
          <w:color w:val="000000"/>
          <w:szCs w:val="20"/>
          <w:lang w:val="nl-NL"/>
        </w:rPr>
        <w:t xml:space="preserve">., </w:t>
      </w:r>
      <w:r w:rsidRPr="00CD5D9D">
        <w:rPr>
          <w:i/>
          <w:color w:val="000000"/>
          <w:szCs w:val="20"/>
          <w:lang w:val="nl-NL"/>
        </w:rPr>
        <w:t xml:space="preserve">Adv. </w:t>
      </w:r>
      <w:proofErr w:type="spellStart"/>
      <w:proofErr w:type="gramStart"/>
      <w:r w:rsidRPr="00602521">
        <w:rPr>
          <w:i/>
          <w:color w:val="000000"/>
          <w:szCs w:val="20"/>
          <w:lang w:val="nl-NL"/>
        </w:rPr>
        <w:t>haer</w:t>
      </w:r>
      <w:proofErr w:type="spellEnd"/>
      <w:proofErr w:type="gramEnd"/>
      <w:r w:rsidRPr="00602521">
        <w:rPr>
          <w:color w:val="000000"/>
          <w:szCs w:val="20"/>
          <w:lang w:val="nl-NL"/>
        </w:rPr>
        <w:t>. III 12.</w:t>
      </w:r>
    </w:p>
  </w:footnote>
  <w:footnote w:id="18">
    <w:p w14:paraId="1CEB2BFF" w14:textId="77777777" w:rsidR="00133B09" w:rsidRPr="00602521" w:rsidRDefault="00133B09" w:rsidP="00133B09">
      <w:pPr>
        <w:pStyle w:val="FootnoteText"/>
        <w:rPr>
          <w:lang w:val="en-GB"/>
        </w:rPr>
      </w:pPr>
      <w:r>
        <w:rPr>
          <w:rStyle w:val="FootnoteReference"/>
        </w:rPr>
        <w:footnoteRef/>
      </w:r>
      <w:r w:rsidRPr="00602521">
        <w:rPr>
          <w:lang w:val="nl-NL"/>
        </w:rPr>
        <w:t xml:space="preserve"> </w:t>
      </w:r>
      <w:proofErr w:type="spellStart"/>
      <w:r w:rsidRPr="00602521">
        <w:rPr>
          <w:color w:val="000000"/>
          <w:szCs w:val="20"/>
          <w:lang w:val="nl-NL"/>
        </w:rPr>
        <w:t>Iren</w:t>
      </w:r>
      <w:proofErr w:type="spellEnd"/>
      <w:r w:rsidRPr="00602521">
        <w:rPr>
          <w:color w:val="000000"/>
          <w:szCs w:val="20"/>
          <w:lang w:val="nl-NL"/>
        </w:rPr>
        <w:t xml:space="preserve">., Adv. </w:t>
      </w:r>
      <w:proofErr w:type="spellStart"/>
      <w:r w:rsidRPr="00856BF7">
        <w:rPr>
          <w:color w:val="000000"/>
          <w:szCs w:val="20"/>
          <w:lang w:val="en-US"/>
        </w:rPr>
        <w:t>Haer</w:t>
      </w:r>
      <w:proofErr w:type="spellEnd"/>
      <w:r w:rsidRPr="00856BF7">
        <w:rPr>
          <w:color w:val="000000"/>
          <w:szCs w:val="20"/>
          <w:lang w:val="en-US"/>
        </w:rPr>
        <w:t>. </w:t>
      </w:r>
      <w:r w:rsidRPr="00BD4ACD">
        <w:rPr>
          <w:color w:val="000000"/>
          <w:szCs w:val="20"/>
          <w:lang w:val="en-US"/>
        </w:rPr>
        <w:t>III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MHRA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381&lt;/item&gt;&lt;item&gt;1805&lt;/item&gt;&lt;item&gt;1807&lt;/item&gt;&lt;item&gt;1896&lt;/item&gt;&lt;item&gt;2485&lt;/item&gt;&lt;item&gt;2866&lt;/item&gt;&lt;item&gt;5398&lt;/item&gt;&lt;item&gt;5399&lt;/item&gt;&lt;item&gt;5400&lt;/item&gt;&lt;item&gt;5401&lt;/item&gt;&lt;item&gt;5402&lt;/item&gt;&lt;item&gt;5403&lt;/item&gt;&lt;/record-ids&gt;&lt;/item&gt;&lt;/Libraries&gt;"/>
  </w:docVars>
  <w:rsids>
    <w:rsidRoot w:val="00133B09"/>
    <w:rsid w:val="00014644"/>
    <w:rsid w:val="00133B09"/>
    <w:rsid w:val="0036496D"/>
    <w:rsid w:val="003E3AC6"/>
    <w:rsid w:val="005B6592"/>
    <w:rsid w:val="00631B71"/>
    <w:rsid w:val="00815DC3"/>
    <w:rsid w:val="009D520E"/>
    <w:rsid w:val="00A91A2E"/>
    <w:rsid w:val="00C96D46"/>
    <w:rsid w:val="00CB7845"/>
    <w:rsid w:val="00D300F4"/>
    <w:rsid w:val="00D51648"/>
    <w:rsid w:val="00D60D58"/>
    <w:rsid w:val="00E3218E"/>
    <w:rsid w:val="00EA6220"/>
    <w:rsid w:val="00F734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CC0C3"/>
  <w15:chartTrackingRefBased/>
  <w15:docId w15:val="{8E3CAB5A-0695-4C09-BA78-6044CE5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33B09"/>
    <w:pPr>
      <w:keepNext/>
      <w:keepLines/>
      <w:widowControl w:val="0"/>
      <w:suppressAutoHyphens/>
      <w:spacing w:before="40" w:after="0" w:line="240" w:lineRule="auto"/>
      <w:outlineLvl w:val="1"/>
    </w:pPr>
    <w:rPr>
      <w:rFonts w:asciiTheme="majorHAnsi" w:eastAsiaTheme="majorEastAsia" w:hAnsiTheme="majorHAnsi" w:cs="Mangal"/>
      <w:color w:val="2F5496" w:themeColor="accent1" w:themeShade="BF"/>
      <w:kern w:val="1"/>
      <w:sz w:val="26"/>
      <w:szCs w:val="23"/>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B09"/>
    <w:rPr>
      <w:rFonts w:asciiTheme="majorHAnsi" w:eastAsiaTheme="majorEastAsia" w:hAnsiTheme="majorHAnsi" w:cs="Mangal"/>
      <w:color w:val="2F5496" w:themeColor="accent1" w:themeShade="BF"/>
      <w:kern w:val="1"/>
      <w:sz w:val="26"/>
      <w:szCs w:val="23"/>
      <w:lang w:eastAsia="hi-IN" w:bidi="hi-IN"/>
    </w:rPr>
  </w:style>
  <w:style w:type="paragraph" w:styleId="FootnoteText">
    <w:name w:val="footnote text"/>
    <w:basedOn w:val="Normal"/>
    <w:link w:val="FootnoteTextChar"/>
    <w:uiPriority w:val="99"/>
    <w:unhideWhenUsed/>
    <w:rsid w:val="00133B09"/>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FootnoteTextChar">
    <w:name w:val="Footnote Text Char"/>
    <w:basedOn w:val="DefaultParagraphFont"/>
    <w:link w:val="FootnoteText"/>
    <w:uiPriority w:val="99"/>
    <w:rsid w:val="00133B09"/>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133B09"/>
    <w:rPr>
      <w:vertAlign w:val="superscript"/>
    </w:rPr>
  </w:style>
  <w:style w:type="paragraph" w:styleId="NormalWeb">
    <w:name w:val="Normal (Web)"/>
    <w:basedOn w:val="Normal"/>
    <w:uiPriority w:val="99"/>
    <w:unhideWhenUsed/>
    <w:rsid w:val="00133B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sid w:val="00133B09"/>
    <w:rPr>
      <w:sz w:val="16"/>
      <w:szCs w:val="16"/>
    </w:rPr>
  </w:style>
  <w:style w:type="paragraph" w:styleId="CommentText">
    <w:name w:val="annotation text"/>
    <w:basedOn w:val="Normal"/>
    <w:link w:val="CommentTextChar"/>
    <w:uiPriority w:val="99"/>
    <w:semiHidden/>
    <w:unhideWhenUsed/>
    <w:rsid w:val="00133B09"/>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CommentTextChar">
    <w:name w:val="Comment Text Char"/>
    <w:basedOn w:val="DefaultParagraphFont"/>
    <w:link w:val="CommentText"/>
    <w:uiPriority w:val="99"/>
    <w:semiHidden/>
    <w:rsid w:val="00133B09"/>
    <w:rPr>
      <w:rFonts w:ascii="Times New Roman" w:eastAsia="SimSun" w:hAnsi="Times New Roman" w:cs="Mangal"/>
      <w:kern w:val="1"/>
      <w:sz w:val="20"/>
      <w:szCs w:val="18"/>
      <w:lang w:eastAsia="hi-IN" w:bidi="hi-IN"/>
    </w:rPr>
  </w:style>
  <w:style w:type="paragraph" w:customStyle="1" w:styleId="EndNoteBibliographyTitle">
    <w:name w:val="EndNote Bibliography Title"/>
    <w:basedOn w:val="Normal"/>
    <w:link w:val="EndNoteBibliographyTitleChar"/>
    <w:rsid w:val="00A91A2E"/>
    <w:pPr>
      <w:spacing w:after="0"/>
      <w:jc w:val="center"/>
    </w:pPr>
    <w:rPr>
      <w:rFonts w:ascii="Calibri" w:hAnsi="Calibri" w:cs="Calibri"/>
      <w:noProof/>
      <w:lang w:val="en-US"/>
    </w:rPr>
  </w:style>
  <w:style w:type="character" w:customStyle="1" w:styleId="EndNoteBibliographyTitleChar">
    <w:name w:val="EndNote Bibliography Title Char"/>
    <w:basedOn w:val="FootnoteTextChar"/>
    <w:link w:val="EndNoteBibliographyTitle"/>
    <w:rsid w:val="00A91A2E"/>
    <w:rPr>
      <w:rFonts w:ascii="Calibri" w:eastAsia="SimSun" w:hAnsi="Calibri" w:cs="Calibri"/>
      <w:noProof/>
      <w:kern w:val="1"/>
      <w:sz w:val="20"/>
      <w:szCs w:val="18"/>
      <w:lang w:val="en-US" w:eastAsia="hi-IN" w:bidi="hi-IN"/>
    </w:rPr>
  </w:style>
  <w:style w:type="paragraph" w:customStyle="1" w:styleId="EndNoteBibliography">
    <w:name w:val="EndNote Bibliography"/>
    <w:basedOn w:val="Normal"/>
    <w:link w:val="EndNoteBibliographyChar"/>
    <w:rsid w:val="00A91A2E"/>
    <w:pPr>
      <w:spacing w:line="240" w:lineRule="auto"/>
    </w:pPr>
    <w:rPr>
      <w:rFonts w:ascii="Calibri" w:hAnsi="Calibri" w:cs="Calibri"/>
      <w:noProof/>
      <w:lang w:val="en-US"/>
    </w:rPr>
  </w:style>
  <w:style w:type="character" w:customStyle="1" w:styleId="EndNoteBibliographyChar">
    <w:name w:val="EndNote Bibliography Char"/>
    <w:basedOn w:val="FootnoteTextChar"/>
    <w:link w:val="EndNoteBibliography"/>
    <w:rsid w:val="00A91A2E"/>
    <w:rPr>
      <w:rFonts w:ascii="Calibri" w:eastAsia="SimSun" w:hAnsi="Calibri" w:cs="Calibri"/>
      <w:noProof/>
      <w:kern w:val="1"/>
      <w:sz w:val="20"/>
      <w:szCs w:val="1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2558</Words>
  <Characters>16122</Characters>
  <Application>Microsoft Office Word</Application>
  <DocSecurity>0</DocSecurity>
  <Lines>134</Lines>
  <Paragraphs>37</Paragraphs>
  <ScaleCrop>false</ScaleCrop>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Markus Vinzent</cp:lastModifiedBy>
  <cp:revision>14</cp:revision>
  <dcterms:created xsi:type="dcterms:W3CDTF">2022-01-21T13:32:00Z</dcterms:created>
  <dcterms:modified xsi:type="dcterms:W3CDTF">2022-01-21T19:00:00Z</dcterms:modified>
</cp:coreProperties>
</file>