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97D48" w14:textId="1690079B" w:rsidR="00AA0141" w:rsidRDefault="00401297" w:rsidP="00AA0141">
      <w:pPr>
        <w:pStyle w:val="Heading1"/>
      </w:pPr>
      <w:bookmarkStart w:id="0" w:name="_Toc89373858"/>
      <w:bookmarkStart w:id="1" w:name="_Toc89245933"/>
      <w:bookmarkStart w:id="2" w:name="_GoBack"/>
      <w:bookmarkEnd w:id="2"/>
      <w:r>
        <w:t>Further Empirical Analysi</w:t>
      </w:r>
      <w:r w:rsidR="00AA0141">
        <w:t>s</w:t>
      </w:r>
      <w:bookmarkEnd w:id="0"/>
      <w:bookmarkEnd w:id="1"/>
    </w:p>
    <w:p w14:paraId="22D48ED3" w14:textId="07C1D2E9" w:rsidR="00401297" w:rsidRDefault="00401297" w:rsidP="00034CF6">
      <w:r>
        <w:t>Part V documented</w:t>
      </w:r>
      <w:r w:rsidRPr="000243C3">
        <w:t xml:space="preserve"> a general lack of stakeholder protections in our large sample of deals in the time of Covid. </w:t>
      </w:r>
      <w:r>
        <w:t xml:space="preserve">These findings are consistent with </w:t>
      </w:r>
      <w:r w:rsidR="00034CF6">
        <w:t xml:space="preserve">the </w:t>
      </w:r>
      <w:r>
        <w:t xml:space="preserve">view that corporate leaders have incentives not to </w:t>
      </w:r>
      <w:r w:rsidR="00034CF6">
        <w:t xml:space="preserve">protect </w:t>
      </w:r>
      <w:r>
        <w:t xml:space="preserve">stakeholders beyond what </w:t>
      </w:r>
      <w:r w:rsidR="00034CF6">
        <w:t xml:space="preserve">would serve </w:t>
      </w:r>
      <w:r>
        <w:t>shareholder value. However, b</w:t>
      </w:r>
      <w:r w:rsidRPr="000243C3">
        <w:t xml:space="preserve">efore concluding that </w:t>
      </w:r>
      <w:r w:rsidR="00034CF6">
        <w:t xml:space="preserve">our findings are produced by such incentives, </w:t>
      </w:r>
      <w:r w:rsidRPr="000243C3">
        <w:t xml:space="preserve">we </w:t>
      </w:r>
      <w:r w:rsidR="00034CF6">
        <w:t xml:space="preserve">conduct in this Part a range of additional empirical tests to </w:t>
      </w:r>
      <w:r w:rsidRPr="000243C3">
        <w:t xml:space="preserve">consider </w:t>
      </w:r>
      <w:r w:rsidR="00034CF6">
        <w:t xml:space="preserve">whether our findings might be driven by some other factors. </w:t>
      </w:r>
    </w:p>
    <w:p w14:paraId="4F92B4AB" w14:textId="27B9D1AD" w:rsidR="004D3FAA" w:rsidRDefault="00401297" w:rsidP="00280CCE">
      <w:r w:rsidRPr="00D27FE2">
        <w:t xml:space="preserve">In </w:t>
      </w:r>
      <w:r w:rsidR="004D3FAA">
        <w:t xml:space="preserve">particular, we discuss below eight potential factors that could arguably bring about lack of stakeholder protections. </w:t>
      </w:r>
      <w:r w:rsidR="00EE5101">
        <w:t xml:space="preserve">In Sections </w:t>
      </w:r>
      <w:r>
        <w:t>A</w:t>
      </w:r>
      <w:r w:rsidRPr="00D27FE2">
        <w:t>-</w:t>
      </w:r>
      <w:r>
        <w:t>H,</w:t>
      </w:r>
      <w:r w:rsidRPr="00D27FE2">
        <w:t xml:space="preserve"> we examine </w:t>
      </w:r>
      <w:r w:rsidR="00EE5101">
        <w:t xml:space="preserve">in turn whether our findings could be driven by each of these factors by </w:t>
      </w:r>
      <w:r>
        <w:t>identifying</w:t>
      </w:r>
      <w:r w:rsidRPr="00D27FE2">
        <w:t xml:space="preserve"> subsets of our sample in which the </w:t>
      </w:r>
      <w:r w:rsidR="00371752">
        <w:t xml:space="preserve">considered factor was not present and examine whether they were characterized by more stakeholder protections. Our empirical analysis indicates that our findings </w:t>
      </w:r>
      <w:r w:rsidR="00280CCE">
        <w:t xml:space="preserve">could not be driven by any </w:t>
      </w:r>
      <w:r w:rsidR="001B1400">
        <w:t>o</w:t>
      </w:r>
      <w:r w:rsidR="00280CCE">
        <w:t xml:space="preserve">f the eight considered factors. </w:t>
      </w:r>
    </w:p>
    <w:p w14:paraId="4F77E73A" w14:textId="4C193189" w:rsidR="00401297" w:rsidRDefault="00401297" w:rsidP="00BC50FA">
      <w:r w:rsidRPr="00D27FE2">
        <w:t xml:space="preserve">In Section </w:t>
      </w:r>
      <w:r>
        <w:t>I,</w:t>
      </w:r>
      <w:r w:rsidRPr="00D27FE2">
        <w:t xml:space="preserve"> we extend our analysis beyond the sample </w:t>
      </w:r>
      <w:r w:rsidR="00371752">
        <w:t>of deals during the pandemic Covid</w:t>
      </w:r>
      <w:r w:rsidR="00280CCE">
        <w:t>.</w:t>
      </w:r>
      <w:r w:rsidR="001B1400">
        <w:t xml:space="preserve"> We do so t</w:t>
      </w:r>
      <w:r w:rsidR="00280CCE">
        <w:t xml:space="preserve">o examine </w:t>
      </w:r>
      <w:r w:rsidRPr="00D27FE2">
        <w:t>whether there was something special about the pandemic period that precluded corporate leaders from following pro-stakeholder inclinations</w:t>
      </w:r>
      <w:r>
        <w:t>, but</w:t>
      </w:r>
      <w:r w:rsidRPr="00D27FE2">
        <w:t xml:space="preserve"> can be expected to influence them in non-pandemic circumstances.</w:t>
      </w:r>
    </w:p>
    <w:p w14:paraId="222932C2" w14:textId="77777777" w:rsidR="00AA0141" w:rsidRDefault="00AA0141" w:rsidP="00AA0141">
      <w:pPr>
        <w:pStyle w:val="Heading2"/>
      </w:pPr>
      <w:bookmarkStart w:id="3" w:name="_Toc89373859"/>
      <w:bookmarkStart w:id="4" w:name="_Toc89245934"/>
      <w:r>
        <w:t>Deals without Distress</w:t>
      </w:r>
      <w:bookmarkEnd w:id="3"/>
      <w:bookmarkEnd w:id="4"/>
    </w:p>
    <w:p w14:paraId="218D0F33" w14:textId="4FD0FE5F" w:rsidR="00AA0141" w:rsidRDefault="00525A49" w:rsidP="00BC50FA">
      <w:r>
        <w:t xml:space="preserve">It might be argued that </w:t>
      </w:r>
      <w:r w:rsidR="00AA0141">
        <w:t xml:space="preserve">corporate leaders might have been unable to negotiate for stakeholder protections because, due to the pandemic, their companies were in financial distress. On this view, with </w:t>
      </w:r>
      <w:r w:rsidR="001B1400">
        <w:t xml:space="preserve">their </w:t>
      </w:r>
      <w:r w:rsidR="00AA0141">
        <w:t>back</w:t>
      </w:r>
      <w:r>
        <w:t>s</w:t>
      </w:r>
      <w:r w:rsidR="00AA0141">
        <w:t xml:space="preserve"> to the wall, corporate leaders of target companies were in no position to </w:t>
      </w:r>
      <w:r>
        <w:t xml:space="preserve">bargain </w:t>
      </w:r>
      <w:r w:rsidR="00AA0141">
        <w:t>for stakeholder protections; however, in regular times</w:t>
      </w:r>
      <w:r w:rsidR="00BC50FA">
        <w:t xml:space="preserve"> </w:t>
      </w:r>
      <w:r w:rsidR="00AA0141">
        <w:t xml:space="preserve">and without financial distress, </w:t>
      </w:r>
      <w:r w:rsidR="00BC50FA">
        <w:t xml:space="preserve">corporate leaders </w:t>
      </w:r>
      <w:r w:rsidR="00AA0141">
        <w:t xml:space="preserve">could be </w:t>
      </w:r>
      <w:r w:rsidR="00BC50FA">
        <w:t xml:space="preserve">expected </w:t>
      </w:r>
      <w:r w:rsidR="00AA0141">
        <w:t xml:space="preserve">to </w:t>
      </w:r>
      <w:r w:rsidR="00BC50FA">
        <w:t xml:space="preserve">protect </w:t>
      </w:r>
      <w:r w:rsidR="00FC5E04">
        <w:t>s</w:t>
      </w:r>
      <w:r w:rsidR="00AA0141">
        <w:t xml:space="preserve">takeholders. </w:t>
      </w:r>
    </w:p>
    <w:p w14:paraId="3B8CDF62" w14:textId="331A1A14" w:rsidR="00AA0141" w:rsidRDefault="00AA0141" w:rsidP="00D74634">
      <w:r>
        <w:t xml:space="preserve">With respect to this argument, it is worth pointing out </w:t>
      </w:r>
      <w:r w:rsidR="00BC50FA">
        <w:t xml:space="preserve">at the outset </w:t>
      </w:r>
      <w:r>
        <w:t>that</w:t>
      </w:r>
      <w:r w:rsidR="00BC50FA">
        <w:t xml:space="preserve">, </w:t>
      </w:r>
      <w:r>
        <w:t xml:space="preserve">notwithstanding any pressures </w:t>
      </w:r>
      <w:r w:rsidR="00BC50FA">
        <w:t xml:space="preserve">corporate leaders in our sample </w:t>
      </w:r>
      <w:r>
        <w:t xml:space="preserve">were facing, </w:t>
      </w:r>
      <w:r w:rsidR="00BC50FA">
        <w:t xml:space="preserve">they </w:t>
      </w:r>
      <w:r>
        <w:t xml:space="preserve">were able to obtain large gains for their shareholders as well as for themselves. Therefore, by accepting a somewhat lower premium </w:t>
      </w:r>
      <w:r w:rsidR="00F123B7">
        <w:t xml:space="preserve">for shareholders they would have been able to obtain </w:t>
      </w:r>
      <w:r>
        <w:t>in return</w:t>
      </w:r>
      <w:r w:rsidR="00F123B7">
        <w:t xml:space="preserve">, say, </w:t>
      </w:r>
      <w:r>
        <w:t>some financial payoffs to employees that</w:t>
      </w:r>
      <w:r w:rsidR="00F123B7">
        <w:t xml:space="preserve"> would </w:t>
      </w:r>
      <w:r>
        <w:t xml:space="preserve">lose their positions post-deal. </w:t>
      </w:r>
    </w:p>
    <w:p w14:paraId="266293DC" w14:textId="174D9CB0" w:rsidR="00AA0141" w:rsidRDefault="00AA0141" w:rsidP="00D04880">
      <w:pPr>
        <w:rPr>
          <w:sz w:val="22"/>
        </w:rPr>
      </w:pPr>
      <w:r>
        <w:t xml:space="preserve">In any event, to further test this argument, we identified a subset of companies in our sample that were </w:t>
      </w:r>
      <w:r w:rsidR="002B531F">
        <w:t xml:space="preserve">clearly </w:t>
      </w:r>
      <w:r>
        <w:t>in a position to bargain at the time of the deal. In particular, we identified two subsamples of deals in which corporate leaders seemed to be free from financial distress</w:t>
      </w:r>
      <w:r w:rsidR="002B531F">
        <w:t xml:space="preserve"> and thus to </w:t>
      </w:r>
      <w:r>
        <w:t>possess</w:t>
      </w:r>
      <w:r w:rsidR="002B531F">
        <w:t xml:space="preserve"> </w:t>
      </w:r>
      <w:r>
        <w:t>an unimpaired power</w:t>
      </w:r>
      <w:r w:rsidR="002B531F">
        <w:t xml:space="preserve"> </w:t>
      </w:r>
      <w:r>
        <w:t xml:space="preserve">to effectively bargain for stakeholder protections. </w:t>
      </w:r>
    </w:p>
    <w:p w14:paraId="2ECF2FEC" w14:textId="58774088" w:rsidR="00AA0141" w:rsidRDefault="00AA0141" w:rsidP="008556C7">
      <w:r w:rsidRPr="00506D0C">
        <w:t>First,</w:t>
      </w:r>
      <w:r>
        <w:t xml:space="preserve"> we identified public companies </w:t>
      </w:r>
      <w:r w:rsidR="00154547">
        <w:t>with</w:t>
      </w:r>
      <w:r>
        <w:t xml:space="preserve"> publicly traded bonds that at </w:t>
      </w:r>
      <w:r>
        <w:lastRenderedPageBreak/>
        <w:t xml:space="preserve">the time of announcing the </w:t>
      </w:r>
      <w:r w:rsidR="002B531F">
        <w:t xml:space="preserve">deal </w:t>
      </w:r>
      <w:r w:rsidR="00154547">
        <w:t>had</w:t>
      </w:r>
      <w:r>
        <w:t xml:space="preserve"> yields of less than 5%, </w:t>
      </w:r>
      <w:r>
        <w:br/>
        <w:t xml:space="preserve">which </w:t>
      </w:r>
      <w:r w:rsidR="00BF281E">
        <w:t xml:space="preserve">reflected </w:t>
      </w:r>
      <w:r>
        <w:t>the market</w:t>
      </w:r>
      <w:r w:rsidR="00BF281E">
        <w:t xml:space="preserve">’s not viewing </w:t>
      </w:r>
      <w:r>
        <w:t>these companies as facing financial distress.</w:t>
      </w:r>
      <w:r>
        <w:rPr>
          <w:rStyle w:val="FootnoteReference"/>
        </w:rPr>
        <w:footnoteReference w:id="2"/>
      </w:r>
      <w:r>
        <w:t xml:space="preserve"> </w:t>
      </w:r>
      <w:r w:rsidR="00BF281E">
        <w:t xml:space="preserve">Using </w:t>
      </w:r>
      <w:r w:rsidRPr="00464A7B">
        <w:t xml:space="preserve">data </w:t>
      </w:r>
      <w:r w:rsidR="00BF281E">
        <w:t xml:space="preserve">from </w:t>
      </w:r>
      <w:r w:rsidRPr="00464A7B">
        <w:t>the TRACE database,</w:t>
      </w:r>
      <w:r w:rsidR="00F91321" w:rsidRPr="00F91321">
        <w:rPr>
          <w:vertAlign w:val="superscript"/>
        </w:rPr>
        <w:footnoteReference w:id="3"/>
      </w:r>
      <w:r w:rsidRPr="00464A7B">
        <w:t xml:space="preserve"> </w:t>
      </w:r>
      <w:r w:rsidR="00BF281E">
        <w:t>w</w:t>
      </w:r>
      <w:r>
        <w:t xml:space="preserve">e identified 21 companies that met </w:t>
      </w:r>
      <w:r w:rsidR="00F91321">
        <w:t>this criterion</w:t>
      </w:r>
      <w:r>
        <w:t xml:space="preserve">. We </w:t>
      </w:r>
      <w:r w:rsidR="00F91321">
        <w:t xml:space="preserve">refer to these companies </w:t>
      </w:r>
      <w:r>
        <w:t>as the "</w:t>
      </w:r>
      <w:r w:rsidR="008B6075">
        <w:t>the L</w:t>
      </w:r>
      <w:r>
        <w:t>ow-</w:t>
      </w:r>
      <w:r w:rsidR="008B6075">
        <w:t>Y</w:t>
      </w:r>
      <w:r>
        <w:t xml:space="preserve">ield </w:t>
      </w:r>
      <w:r w:rsidR="008B6075">
        <w:t>S</w:t>
      </w:r>
      <w:r>
        <w:t>ubsample."</w:t>
      </w:r>
    </w:p>
    <w:p w14:paraId="5D6E31C5" w14:textId="521D7D23" w:rsidR="00AA0141" w:rsidRDefault="00AA0141" w:rsidP="008556C7">
      <w:pPr>
        <w:rPr>
          <w:rFonts w:eastAsiaTheme="minorHAnsi"/>
        </w:rPr>
      </w:pPr>
      <w:r>
        <w:t>Second</w:t>
      </w:r>
      <w:r w:rsidRPr="00506D0C">
        <w:t xml:space="preserve">, we </w:t>
      </w:r>
      <w:r>
        <w:t>identified</w:t>
      </w:r>
      <w:r w:rsidRPr="00506D0C">
        <w:t xml:space="preserve"> companies that had </w:t>
      </w:r>
      <w:r w:rsidR="00F91321">
        <w:t xml:space="preserve">enjoyed </w:t>
      </w:r>
      <w:r w:rsidRPr="00506D0C">
        <w:t xml:space="preserve">a significant increase in </w:t>
      </w:r>
      <w:r>
        <w:t>stock</w:t>
      </w:r>
      <w:r w:rsidRPr="00506D0C">
        <w:t xml:space="preserve"> price between the pre-pandemic date of January 1, 2020 and the </w:t>
      </w:r>
      <w:r w:rsidR="00F91321">
        <w:t xml:space="preserve">day preceding the announcement of the deal. </w:t>
      </w:r>
      <w:r w:rsidRPr="00506D0C">
        <w:t xml:space="preserve">Such increase in the target's market cap </w:t>
      </w:r>
      <w:r w:rsidR="00F72BF1">
        <w:t xml:space="preserve">could be viewed as reflecting </w:t>
      </w:r>
      <w:r w:rsidRPr="00506D0C">
        <w:t xml:space="preserve">the </w:t>
      </w:r>
      <w:r w:rsidR="00F72BF1">
        <w:t xml:space="preserve">market’s viewing the </w:t>
      </w:r>
      <w:r w:rsidR="00451CA2">
        <w:t>target</w:t>
      </w:r>
      <w:r w:rsidR="00F72BF1">
        <w:t xml:space="preserve"> as not being overall adversely affected by the pandemic. </w:t>
      </w:r>
      <w:r w:rsidRPr="00506D0C">
        <w:t xml:space="preserve">In particular, we identified 31 companies whose unaffected share price prior to the </w:t>
      </w:r>
      <w:r w:rsidR="00F72BF1">
        <w:t xml:space="preserve">deal’s </w:t>
      </w:r>
      <w:r w:rsidRPr="00506D0C">
        <w:t>announcement exceeded their stock price as of January 1, 2020 by at least 20%.</w:t>
      </w:r>
      <w:r>
        <w:rPr>
          <w:rStyle w:val="FootnoteReference"/>
        </w:rPr>
        <w:footnoteReference w:id="4"/>
      </w:r>
      <w:r>
        <w:t xml:space="preserve"> We </w:t>
      </w:r>
      <w:r w:rsidR="00F72BF1">
        <w:t xml:space="preserve">refer to these companies as </w:t>
      </w:r>
      <w:r>
        <w:t>the "</w:t>
      </w:r>
      <w:r w:rsidR="008B6075">
        <w:t>I</w:t>
      </w:r>
      <w:r>
        <w:t xml:space="preserve">ncreased </w:t>
      </w:r>
      <w:r w:rsidR="008B6075">
        <w:t>Market Cap S</w:t>
      </w:r>
      <w:r>
        <w:t>ubsample."</w:t>
      </w:r>
      <w:r w:rsidR="008B6075">
        <w:t xml:space="preserve"> </w:t>
      </w:r>
    </w:p>
    <w:p w14:paraId="677845E1" w14:textId="21EF2170" w:rsidR="00AA0141" w:rsidRDefault="00AA0141" w:rsidP="008C5A82">
      <w:pPr>
        <w:pStyle w:val="TablePlaceholder"/>
        <w:jc w:val="both"/>
      </w:pPr>
      <w:r>
        <w:tab/>
        <w:t>We found that</w:t>
      </w:r>
      <w:r w:rsidR="007352FA">
        <w:t xml:space="preserve">, in each of these two </w:t>
      </w:r>
      <w:r>
        <w:t>subsamples, stakeholder protections were generally lacking. In particular, focusing on employee protections, we f</w:t>
      </w:r>
      <w:r w:rsidR="007352FA">
        <w:t xml:space="preserve">ound </w:t>
      </w:r>
      <w:r>
        <w:t xml:space="preserve">that the vast majority of the deals </w:t>
      </w:r>
      <w:r w:rsidR="007352FA">
        <w:t xml:space="preserve">in each of the subsamples did not include any provisions that protect employees in any way from the risk of layoffs. </w:t>
      </w:r>
    </w:p>
    <w:p w14:paraId="6B14D55A" w14:textId="715B05CF" w:rsidR="00AA0141" w:rsidRDefault="00AA0141" w:rsidP="00D74634">
      <w:pPr>
        <w:pStyle w:val="TablePlaceholder"/>
        <w:jc w:val="both"/>
      </w:pPr>
      <w:r>
        <w:tab/>
      </w:r>
      <w:r w:rsidR="00017429">
        <w:t xml:space="preserve">Similarly, with respect to </w:t>
      </w:r>
      <w:r>
        <w:t>the treatment of other stakeholder groups, we f</w:t>
      </w:r>
      <w:r w:rsidR="00017429">
        <w:t xml:space="preserve">ound </w:t>
      </w:r>
      <w:r>
        <w:t xml:space="preserve">that none of the </w:t>
      </w:r>
      <w:r w:rsidR="00017429">
        <w:t xml:space="preserve">deals </w:t>
      </w:r>
      <w:r>
        <w:t xml:space="preserve">in the examined subsamples contained any </w:t>
      </w:r>
      <w:r w:rsidR="00017429">
        <w:t xml:space="preserve">materials provisions </w:t>
      </w:r>
      <w:r>
        <w:t xml:space="preserve">in favor of customers, suppliers, creditors or the environment. </w:t>
      </w:r>
      <w:r w:rsidR="00017429">
        <w:t xml:space="preserve">(Soft) pledges </w:t>
      </w:r>
      <w:r>
        <w:t xml:space="preserve">to retain the location of the target's headquarters </w:t>
      </w:r>
      <w:r w:rsidR="00017429">
        <w:t xml:space="preserve">post-deal </w:t>
      </w:r>
      <w:r>
        <w:t xml:space="preserve">were found </w:t>
      </w:r>
      <w:r w:rsidR="00017429">
        <w:t xml:space="preserve">only </w:t>
      </w:r>
      <w:r>
        <w:t xml:space="preserve">in 6% of </w:t>
      </w:r>
      <w:r w:rsidR="00017429">
        <w:t xml:space="preserve">the deals of </w:t>
      </w:r>
      <w:r>
        <w:t xml:space="preserve">the </w:t>
      </w:r>
      <w:r w:rsidR="003D735C">
        <w:t>Increased Market Cap Subsample</w:t>
      </w:r>
      <w:r>
        <w:t xml:space="preserve"> and in 19% of the </w:t>
      </w:r>
      <w:r w:rsidR="00017429">
        <w:t xml:space="preserve">deals of the </w:t>
      </w:r>
      <w:r w:rsidR="003D735C">
        <w:t>Low-Yield Subsample</w:t>
      </w:r>
      <w:r w:rsidR="00017429">
        <w:t xml:space="preserve">. </w:t>
      </w:r>
      <w:r w:rsidR="008B6075">
        <w:t xml:space="preserve">Also, (soft) pledges </w:t>
      </w:r>
      <w:r w:rsidR="008B6075" w:rsidRPr="008B6075">
        <w:t>local investment or philanthropic activities</w:t>
      </w:r>
      <w:r w:rsidR="00913B8F">
        <w:t xml:space="preserve"> were found in</w:t>
      </w:r>
      <w:r>
        <w:t xml:space="preserve"> </w:t>
      </w:r>
      <w:r w:rsidR="00913B8F">
        <w:t xml:space="preserve">5% of the deals of the Low-Yield Subsample and in none of the deals of the Increased Market Cap Subsamples. </w:t>
      </w:r>
    </w:p>
    <w:p w14:paraId="1949DE93" w14:textId="4C2F3EDE" w:rsidR="00AA0141" w:rsidRPr="00C65FCE" w:rsidRDefault="00AA0141" w:rsidP="00D74634">
      <w:r>
        <w:t>Th</w:t>
      </w:r>
      <w:r w:rsidR="00BC5D24">
        <w:t xml:space="preserve">us, the </w:t>
      </w:r>
      <w:r>
        <w:t xml:space="preserve">pattern we found in the </w:t>
      </w:r>
      <w:r w:rsidR="00BC5D24">
        <w:t xml:space="preserve">two subsamples does not support the argument that </w:t>
      </w:r>
      <w:r>
        <w:t xml:space="preserve">the lack of stakeholder protection identified in the preceding </w:t>
      </w:r>
      <w:r w:rsidR="00BC5D24">
        <w:t xml:space="preserve">was driven </w:t>
      </w:r>
      <w:r>
        <w:t xml:space="preserve">by companies whose bargaining position was </w:t>
      </w:r>
      <w:r w:rsidR="00BC5D24">
        <w:t xml:space="preserve">undermined by financial </w:t>
      </w:r>
      <w:r>
        <w:t>distress.</w:t>
      </w:r>
    </w:p>
    <w:p w14:paraId="41EC7110" w14:textId="77777777" w:rsidR="00AA0141" w:rsidRDefault="00AA0141" w:rsidP="00AA0141">
      <w:pPr>
        <w:pStyle w:val="Heading2"/>
      </w:pPr>
      <w:bookmarkStart w:id="5" w:name="_Toc89373860"/>
      <w:bookmarkStart w:id="6" w:name="_Toc89245935"/>
      <w:r>
        <w:lastRenderedPageBreak/>
        <w:t>Deals on the Way to Normalcy</w:t>
      </w:r>
      <w:bookmarkEnd w:id="5"/>
      <w:bookmarkEnd w:id="6"/>
    </w:p>
    <w:p w14:paraId="26BA4D7A" w14:textId="461ABAA0" w:rsidR="00AA0141" w:rsidRDefault="00BC5D24" w:rsidP="00D74634">
      <w:r>
        <w:t xml:space="preserve">It also might be argued that, </w:t>
      </w:r>
      <w:r w:rsidR="00AA0141">
        <w:t xml:space="preserve">even when corporate leaders did not face economic or financial distress, they were under unusual pressure due to the radical uncertainty caused by the pandemic. On this view, the uncertainty caused by the pandemic induced corporate leaders to “play it safe” and therefore </w:t>
      </w:r>
      <w:r>
        <w:t xml:space="preserve">rush into </w:t>
      </w:r>
      <w:r w:rsidR="00AA0141">
        <w:t>secur</w:t>
      </w:r>
      <w:r>
        <w:t xml:space="preserve">ing a </w:t>
      </w:r>
      <w:r w:rsidR="00AA0141">
        <w:t xml:space="preserve">deal without </w:t>
      </w:r>
      <w:r>
        <w:t>much bargaining</w:t>
      </w:r>
      <w:r w:rsidR="00AA0141">
        <w:t xml:space="preserve">. </w:t>
      </w:r>
    </w:p>
    <w:p w14:paraId="543B12EB" w14:textId="659D6BF6" w:rsidR="00AA0141" w:rsidRDefault="00BC5D24" w:rsidP="00D04880">
      <w:r>
        <w:t>T</w:t>
      </w:r>
      <w:r w:rsidR="00AA0141">
        <w:t xml:space="preserve">his </w:t>
      </w:r>
      <w:r>
        <w:t xml:space="preserve">argument </w:t>
      </w:r>
      <w:r w:rsidR="00AA0141">
        <w:t xml:space="preserve">is also in tension with the fact that corporate leaders in our sample </w:t>
      </w:r>
      <w:r w:rsidR="003646EE">
        <w:t xml:space="preserve">negotiated for and </w:t>
      </w:r>
      <w:r w:rsidR="00AA0141">
        <w:t xml:space="preserve">obtained large gains for shareholders and for themselves. Given that </w:t>
      </w:r>
      <w:r>
        <w:t xml:space="preserve">whatever </w:t>
      </w:r>
      <w:r w:rsidR="00AA0141">
        <w:t xml:space="preserve">uncertainty caused by pandemic did not preclude corporate leaders </w:t>
      </w:r>
      <w:r>
        <w:t xml:space="preserve">from </w:t>
      </w:r>
      <w:r w:rsidR="00AA0141">
        <w:t>obtain</w:t>
      </w:r>
      <w:r>
        <w:t>ing</w:t>
      </w:r>
      <w:r w:rsidR="00AA0141">
        <w:t xml:space="preserve"> significant value from the buyer, </w:t>
      </w:r>
      <w:r w:rsidR="00337EE2">
        <w:t xml:space="preserve">they should have been able to </w:t>
      </w:r>
      <w:r w:rsidR="00AA0141">
        <w:t>allocate</w:t>
      </w:r>
      <w:r w:rsidR="00337EE2">
        <w:t xml:space="preserve"> part of this gain to </w:t>
      </w:r>
      <w:r w:rsidR="00AA0141">
        <w:t xml:space="preserve">stakeholders. </w:t>
      </w:r>
    </w:p>
    <w:p w14:paraId="389E8472" w14:textId="08B3C426" w:rsidR="000500E4" w:rsidRDefault="00AA0141" w:rsidP="008556C7">
      <w:r>
        <w:t xml:space="preserve">In any event, to test this argument empirically, we examined the subset of deals that were </w:t>
      </w:r>
      <w:r w:rsidR="0038505B">
        <w:t>signed</w:t>
      </w:r>
      <w:r w:rsidR="00337EE2">
        <w:t xml:space="preserve"> </w:t>
      </w:r>
      <w:r>
        <w:t xml:space="preserve">after April 2021, when the </w:t>
      </w:r>
      <w:r w:rsidR="00337EE2">
        <w:t>broad vaccination among U</w:t>
      </w:r>
      <w:r w:rsidR="00770B2A">
        <w:t>.</w:t>
      </w:r>
      <w:r w:rsidR="00337EE2">
        <w:t>S</w:t>
      </w:r>
      <w:r w:rsidR="00770B2A">
        <w:t>.</w:t>
      </w:r>
      <w:r w:rsidR="00337EE2">
        <w:t xml:space="preserve"> adults </w:t>
      </w:r>
      <w:r>
        <w:t>remov</w:t>
      </w:r>
      <w:r w:rsidR="00770B2A">
        <w:t>ed</w:t>
      </w:r>
      <w:r>
        <w:t xml:space="preserve"> the threat of an unstoppable catastrophe. We identified a subset of </w:t>
      </w:r>
      <w:r w:rsidR="00A07C10">
        <w:t>45</w:t>
      </w:r>
      <w:r w:rsidR="00A07C10" w:rsidRPr="000E7F3D">
        <w:t xml:space="preserve"> </w:t>
      </w:r>
      <w:r w:rsidRPr="00FA78C8">
        <w:t>transactions</w:t>
      </w:r>
      <w:r>
        <w:t xml:space="preserve"> that were announced </w:t>
      </w:r>
      <w:r w:rsidR="003646EE">
        <w:t xml:space="preserve">during the seven-month period of </w:t>
      </w:r>
      <w:r w:rsidRPr="00FA78C8">
        <w:t xml:space="preserve">May 1, 2021 </w:t>
      </w:r>
      <w:r w:rsidR="003646EE">
        <w:t xml:space="preserve">- </w:t>
      </w:r>
      <w:r w:rsidR="00A07C10">
        <w:t xml:space="preserve">November </w:t>
      </w:r>
      <w:r w:rsidR="00A07C10" w:rsidRPr="00FA78C8">
        <w:t>3</w:t>
      </w:r>
      <w:r w:rsidR="00A07C10">
        <w:t>0</w:t>
      </w:r>
      <w:r w:rsidRPr="00FA78C8">
        <w:t>, 2021.</w:t>
      </w:r>
      <w:r>
        <w:t xml:space="preserve"> We</w:t>
      </w:r>
      <w:r w:rsidR="000500E4">
        <w:t xml:space="preserve"> refer to this subsamples of companies as “On Route to Normalcy </w:t>
      </w:r>
      <w:r w:rsidR="00770B2A">
        <w:t>S</w:t>
      </w:r>
      <w:r w:rsidR="000500E4">
        <w:t>ubsample.</w:t>
      </w:r>
      <w:r w:rsidR="00770B2A">
        <w:t>"</w:t>
      </w:r>
      <w:r w:rsidR="000500E4">
        <w:t xml:space="preserve"> </w:t>
      </w:r>
    </w:p>
    <w:p w14:paraId="499FA518" w14:textId="2BDCB435" w:rsidR="00AA0141" w:rsidRDefault="000500E4">
      <w:pPr>
        <w:rPr>
          <w:rFonts w:asciiTheme="majorBidi" w:hAnsiTheme="majorBidi" w:cstheme="majorBidi"/>
          <w:color w:val="000000" w:themeColor="text1"/>
          <w:sz w:val="22"/>
          <w:szCs w:val="22"/>
        </w:rPr>
      </w:pPr>
      <w:r>
        <w:t xml:space="preserve">We found that </w:t>
      </w:r>
      <w:r w:rsidR="00AA0141">
        <w:t xml:space="preserve">stakeholder protections were generally lacking in this subsample. In particular, </w:t>
      </w:r>
      <w:r w:rsidR="00AA0141">
        <w:rPr>
          <w:rFonts w:asciiTheme="majorBidi" w:hAnsiTheme="majorBidi" w:cstheme="majorBidi"/>
          <w:color w:val="000000" w:themeColor="text1"/>
          <w:szCs w:val="22"/>
        </w:rPr>
        <w:t xml:space="preserve">with regard to employee protections, </w:t>
      </w:r>
      <w:r w:rsidR="00AA0141" w:rsidRPr="00E62F90">
        <w:rPr>
          <w:rFonts w:asciiTheme="majorBidi" w:hAnsiTheme="majorBidi" w:cstheme="majorBidi"/>
          <w:color w:val="000000" w:themeColor="text1"/>
          <w:szCs w:val="22"/>
        </w:rPr>
        <w:t xml:space="preserve">we found that only </w:t>
      </w:r>
      <w:r w:rsidR="00343823" w:rsidRPr="00E62F90">
        <w:rPr>
          <w:rFonts w:asciiTheme="majorBidi" w:hAnsiTheme="majorBidi" w:cstheme="majorBidi"/>
          <w:color w:val="000000" w:themeColor="text1"/>
          <w:szCs w:val="22"/>
          <w:highlight w:val="yellow"/>
        </w:rPr>
        <w:t>XXX</w:t>
      </w:r>
      <w:r w:rsidR="00343823">
        <w:rPr>
          <w:rFonts w:asciiTheme="majorBidi" w:hAnsiTheme="majorBidi" w:cstheme="majorBidi"/>
          <w:color w:val="000000" w:themeColor="text1"/>
          <w:szCs w:val="22"/>
        </w:rPr>
        <w:t xml:space="preserve"> </w:t>
      </w:r>
      <w:r w:rsidR="00AA0141">
        <w:rPr>
          <w:rFonts w:asciiTheme="majorBidi" w:hAnsiTheme="majorBidi" w:cstheme="majorBidi"/>
          <w:color w:val="000000" w:themeColor="text1"/>
          <w:szCs w:val="22"/>
        </w:rPr>
        <w:t xml:space="preserve">of the deals </w:t>
      </w:r>
      <w:r w:rsidR="00343823">
        <w:rPr>
          <w:rFonts w:asciiTheme="majorBidi" w:hAnsiTheme="majorBidi" w:cstheme="majorBidi"/>
          <w:color w:val="000000" w:themeColor="text1"/>
          <w:szCs w:val="22"/>
        </w:rPr>
        <w:t xml:space="preserve">adopted any provisions to protect employees from the risk of layoffs – either by constraining post-deal layoffs of by providing any compensation to laid off employees. </w:t>
      </w:r>
    </w:p>
    <w:p w14:paraId="0C8D552D" w14:textId="56269511" w:rsidR="00AA0141" w:rsidRDefault="00AA0141">
      <w:r>
        <w:t xml:space="preserve">With regard to protections obtained for other stakeholder groups, we found that none of the </w:t>
      </w:r>
      <w:r w:rsidR="005E15B1">
        <w:t xml:space="preserve">deals in the considered subsample had </w:t>
      </w:r>
      <w:r>
        <w:t xml:space="preserve">any </w:t>
      </w:r>
      <w:r w:rsidR="005E15B1">
        <w:t xml:space="preserve">material provisions </w:t>
      </w:r>
      <w:r>
        <w:t>in favor of customers, suppliers, creditors or the environment.</w:t>
      </w:r>
      <w:r w:rsidR="005E15B1">
        <w:t xml:space="preserve"> Furthermore, (soft)</w:t>
      </w:r>
      <w:r w:rsidR="00322C6E">
        <w:t xml:space="preserve"> </w:t>
      </w:r>
      <w:r w:rsidR="005E15B1">
        <w:t xml:space="preserve">pledges </w:t>
      </w:r>
      <w:r>
        <w:t xml:space="preserve">to retain the location of the target's headquarters </w:t>
      </w:r>
      <w:r w:rsidR="005E15B1">
        <w:t xml:space="preserve">post-deal, and (soft) pledges </w:t>
      </w:r>
      <w:r>
        <w:t>in favor of local communities or society at large</w:t>
      </w:r>
      <w:r w:rsidR="005E15B1">
        <w:t xml:space="preserve">, were found in only 7% and 4%, respectively, of the subsample’s deals. </w:t>
      </w:r>
    </w:p>
    <w:p w14:paraId="25094F74" w14:textId="03680FD1" w:rsidR="00AA0141" w:rsidRPr="00A539D0" w:rsidRDefault="00A10382">
      <w:r>
        <w:t>Overall, t</w:t>
      </w:r>
      <w:r w:rsidR="00AA0141">
        <w:t xml:space="preserve">he pattern we found in the </w:t>
      </w:r>
      <w:r>
        <w:t xml:space="preserve">On Route to Normalcy Subsample </w:t>
      </w:r>
      <w:r w:rsidR="00AA0141">
        <w:t>is inconsistent with the hypothesis that our general findings are driven by deals concluded under conditions of radical uncertainty.</w:t>
      </w:r>
    </w:p>
    <w:p w14:paraId="7139E024" w14:textId="77777777" w:rsidR="00AA0141" w:rsidRPr="005C6B50" w:rsidRDefault="00AA0141" w:rsidP="00AA0141">
      <w:pPr>
        <w:pStyle w:val="Heading2"/>
      </w:pPr>
      <w:bookmarkStart w:id="7" w:name="_Toc89373861"/>
      <w:bookmarkStart w:id="8" w:name="_Toc89245936"/>
      <w:r w:rsidRPr="005C6B50">
        <w:t>Deals with Broad Shareholder Support</w:t>
      </w:r>
      <w:bookmarkEnd w:id="7"/>
      <w:bookmarkEnd w:id="8"/>
    </w:p>
    <w:p w14:paraId="55BF7D09" w14:textId="32B14A8C" w:rsidR="0053141E" w:rsidRDefault="0053141E" w:rsidP="00D74634">
      <w:pPr>
        <w:rPr>
          <w:rtl/>
        </w:rPr>
      </w:pPr>
      <w:r>
        <w:t xml:space="preserve">We next consider the potential argument that our findings </w:t>
      </w:r>
      <w:r w:rsidR="00E911E0">
        <w:t xml:space="preserve">regarding the general lack of </w:t>
      </w:r>
      <w:r>
        <w:t xml:space="preserve">stakeholder protections were driven by the need </w:t>
      </w:r>
      <w:r w:rsidR="00E911E0">
        <w:t xml:space="preserve">to obtain </w:t>
      </w:r>
      <w:r>
        <w:t>shareholder approval</w:t>
      </w:r>
      <w:r w:rsidR="00E911E0">
        <w:t xml:space="preserve"> for the deal</w:t>
      </w:r>
      <w:r>
        <w:t xml:space="preserve">. In particular, it might be argued that our findings are driven by corporate leaders' belief that shareholders would not have approved the </w:t>
      </w:r>
      <w:r w:rsidR="009A41ED">
        <w:t xml:space="preserve">proposed </w:t>
      </w:r>
      <w:r>
        <w:t xml:space="preserve">transaction </w:t>
      </w:r>
      <w:r w:rsidR="009A41ED">
        <w:t xml:space="preserve">had </w:t>
      </w:r>
      <w:r>
        <w:t xml:space="preserve">the leaders bargained for any meaningful stakeholder protections and a somewhat lower deal premium. </w:t>
      </w:r>
      <w:r w:rsidR="009A41ED">
        <w:t xml:space="preserve">On this view, </w:t>
      </w:r>
      <w:r>
        <w:t xml:space="preserve">even if corporate leaders were interested in obtaining benefits for stakeholders, they were prevented from doing so by the need to obtain </w:t>
      </w:r>
      <w:r>
        <w:lastRenderedPageBreak/>
        <w:t>shareholder approval</w:t>
      </w:r>
      <w:r>
        <w:rPr>
          <w:rFonts w:hint="cs"/>
          <w:rtl/>
        </w:rPr>
        <w:t>.</w:t>
      </w:r>
    </w:p>
    <w:p w14:paraId="2E2C9BBC" w14:textId="75659100" w:rsidR="0053141E" w:rsidRDefault="0053141E" w:rsidP="00D74634">
      <w:r>
        <w:t>To test this argument</w:t>
      </w:r>
      <w:r w:rsidR="009A41ED">
        <w:t xml:space="preserve"> empirically</w:t>
      </w:r>
      <w:r>
        <w:t xml:space="preserve">, we </w:t>
      </w:r>
      <w:r w:rsidR="00D74634">
        <w:t xml:space="preserve">identified </w:t>
      </w:r>
      <w:r>
        <w:t xml:space="preserve">a subset of deals in which </w:t>
      </w:r>
      <w:r w:rsidRPr="00EA3C11">
        <w:t xml:space="preserve">the </w:t>
      </w:r>
      <w:r w:rsidR="009A41ED">
        <w:t xml:space="preserve">shareholder </w:t>
      </w:r>
      <w:r w:rsidRPr="00EA3C11">
        <w:t xml:space="preserve">vote to approve the transaction exceeded the required threshold by a wide margin. In </w:t>
      </w:r>
      <w:r w:rsidR="00D74634">
        <w:t xml:space="preserve">such </w:t>
      </w:r>
      <w:r w:rsidRPr="00EA3C11">
        <w:t xml:space="preserve">cases, it was likely that corporate leaders would have been able to shift some of the surplus generated by the transaction to corporate stakeholders without </w:t>
      </w:r>
      <w:r w:rsidR="00985DBF">
        <w:t>risking</w:t>
      </w:r>
      <w:r w:rsidR="00D74634">
        <w:t xml:space="preserve"> the prospect of </w:t>
      </w:r>
      <w:r w:rsidRPr="00EA3C11">
        <w:t>shareholder approval</w:t>
      </w:r>
      <w:r>
        <w:t xml:space="preserve">. </w:t>
      </w:r>
    </w:p>
    <w:p w14:paraId="005F507F" w14:textId="317E8E46" w:rsidR="0053141E" w:rsidRDefault="0053141E" w:rsidP="00D04880">
      <w:r>
        <w:t xml:space="preserve">To </w:t>
      </w:r>
      <w:r w:rsidR="00D74634">
        <w:t xml:space="preserve">carry out this analysis, </w:t>
      </w:r>
      <w:r>
        <w:t xml:space="preserve">we collected data on the outcome of shareholder votes </w:t>
      </w:r>
      <w:r w:rsidR="00D74634">
        <w:t xml:space="preserve">on </w:t>
      </w:r>
      <w:r>
        <w:t>mergers from the ISS Voting Analytics Database.</w:t>
      </w:r>
      <w:r>
        <w:rPr>
          <w:rStyle w:val="FootnoteReference"/>
        </w:rPr>
        <w:footnoteReference w:id="5"/>
      </w:r>
      <w:r>
        <w:t xml:space="preserve"> </w:t>
      </w:r>
      <w:r w:rsidR="00985DBF">
        <w:t>We</w:t>
      </w:r>
      <w:r w:rsidR="00D74634">
        <w:t xml:space="preserve"> </w:t>
      </w:r>
      <w:r>
        <w:t>supplemented this data with voting results reported in 8-K forms that were filed with the SEC following the approval of the merger agreements by the shareholders of the target companies.</w:t>
      </w:r>
      <w:r>
        <w:rPr>
          <w:rStyle w:val="NoterefInText"/>
          <w:rFonts w:cstheme="minorBidi"/>
        </w:rPr>
        <w:footnoteReference w:id="6"/>
      </w:r>
      <w:r>
        <w:t xml:space="preserve"> We </w:t>
      </w:r>
      <w:r w:rsidR="00E21EA2">
        <w:t xml:space="preserve">were able to identify </w:t>
      </w:r>
      <w:r>
        <w:t>59 transactions in which the deal obtained support from more than 70% of the outstanding shares entitled to vote</w:t>
      </w:r>
      <w:r w:rsidR="00985DBF">
        <w:t>.</w:t>
      </w:r>
      <w:r w:rsidR="00E21EA2">
        <w:t xml:space="preserve">  We refer to these companies </w:t>
      </w:r>
      <w:r w:rsidR="008C122C">
        <w:t>as the “High-Shareholder-Support Subsample.”</w:t>
      </w:r>
    </w:p>
    <w:p w14:paraId="16ED81FA" w14:textId="22B881F7" w:rsidR="00BD4C4C" w:rsidRDefault="008C122C" w:rsidP="00D04880">
      <w:r>
        <w:t xml:space="preserve">Although corporate leaders were able to reduce premiums somewhat </w:t>
      </w:r>
      <w:r w:rsidR="00BD4C4C">
        <w:t>to shift surplus to stakeholders, w</w:t>
      </w:r>
      <w:r w:rsidR="0053141E">
        <w:t xml:space="preserve">e </w:t>
      </w:r>
      <w:r>
        <w:t xml:space="preserve">found a general lack of </w:t>
      </w:r>
      <w:r w:rsidR="0053141E">
        <w:t xml:space="preserve">stakeholder protections </w:t>
      </w:r>
      <w:r>
        <w:t xml:space="preserve">in this </w:t>
      </w:r>
      <w:r w:rsidR="00985DBF">
        <w:t>s</w:t>
      </w:r>
      <w:r>
        <w:t xml:space="preserve">ubsample. </w:t>
      </w:r>
      <w:r w:rsidR="00BD4C4C">
        <w:t xml:space="preserve">In particular, </w:t>
      </w:r>
      <w:r w:rsidR="00BD4C4C" w:rsidRPr="00E62F90">
        <w:rPr>
          <w:highlight w:val="yellow"/>
        </w:rPr>
        <w:t>XXX</w:t>
      </w:r>
      <w:r w:rsidR="00BD4C4C">
        <w:t>% of the companies</w:t>
      </w:r>
      <w:r w:rsidR="00985DBF">
        <w:t xml:space="preserve"> in this subsample </w:t>
      </w:r>
      <w:r w:rsidR="00BD4C4C">
        <w:t>did not include any provision that constrain post-deal layoffs or provide any compensation to employees laid off after the deal.</w:t>
      </w:r>
    </w:p>
    <w:p w14:paraId="55EADF19" w14:textId="4120D731" w:rsidR="0053141E" w:rsidRDefault="00C30FCB">
      <w:r>
        <w:t xml:space="preserve">As to other stakeholder groups, we found that </w:t>
      </w:r>
      <w:r w:rsidR="0053141E">
        <w:t xml:space="preserve">none of the </w:t>
      </w:r>
      <w:r>
        <w:t xml:space="preserve">deals in the High-Shareholder-Support Subsample involved any provisions in favor of </w:t>
      </w:r>
      <w:r w:rsidR="0053141E">
        <w:t xml:space="preserve">customers, suppliers, creditors or the environment. </w:t>
      </w:r>
      <w:r>
        <w:t xml:space="preserve">In addition, </w:t>
      </w:r>
      <w:r w:rsidR="00985DBF">
        <w:t>(</w:t>
      </w:r>
      <w:r>
        <w:t>soft</w:t>
      </w:r>
      <w:r w:rsidR="00985DBF">
        <w:t>)</w:t>
      </w:r>
      <w:r>
        <w:t xml:space="preserve"> pledges to retain </w:t>
      </w:r>
      <w:r w:rsidR="0053141E">
        <w:t xml:space="preserve">the location of the target's headquarters </w:t>
      </w:r>
      <w:r>
        <w:t xml:space="preserve">were found in only </w:t>
      </w:r>
      <w:r w:rsidR="0053141E">
        <w:t xml:space="preserve">15% of the transactions, and </w:t>
      </w:r>
      <w:r w:rsidR="00985DBF">
        <w:t>(</w:t>
      </w:r>
      <w:r>
        <w:t>soft</w:t>
      </w:r>
      <w:r w:rsidR="00985DBF">
        <w:t>)</w:t>
      </w:r>
      <w:r>
        <w:t xml:space="preserve"> pledges in connection with </w:t>
      </w:r>
      <w:r w:rsidR="0053141E">
        <w:t>local investment or philanthropic activities</w:t>
      </w:r>
      <w:r>
        <w:t xml:space="preserve"> were found in only 5% of the deals</w:t>
      </w:r>
      <w:r w:rsidR="0053141E">
        <w:t xml:space="preserve">. </w:t>
      </w:r>
    </w:p>
    <w:p w14:paraId="1BAF8885" w14:textId="3CDA4F04" w:rsidR="00AA0141" w:rsidRPr="00C65FCE" w:rsidRDefault="00A5783D">
      <w:r>
        <w:t xml:space="preserve">Thus, the data does not provide support to the view that the lack of stakeholder protections we documented was due to </w:t>
      </w:r>
      <w:r w:rsidR="00C30FCB">
        <w:t xml:space="preserve">the need to obtain shareholder approval of the deals. </w:t>
      </w:r>
    </w:p>
    <w:p w14:paraId="38151B40" w14:textId="77777777" w:rsidR="00AA0141" w:rsidRPr="005C6B50" w:rsidRDefault="00AA0141" w:rsidP="00AA0141">
      <w:pPr>
        <w:pStyle w:val="Heading2"/>
      </w:pPr>
      <w:bookmarkStart w:id="9" w:name="_Toc89373862"/>
      <w:bookmarkStart w:id="10" w:name="_Toc89245937"/>
      <w:r w:rsidRPr="00C65FCE">
        <w:t>Deals without a Revlon Shadow</w:t>
      </w:r>
      <w:bookmarkEnd w:id="9"/>
      <w:bookmarkEnd w:id="10"/>
    </w:p>
    <w:p w14:paraId="6592C696" w14:textId="742B7B9D" w:rsidR="003F7E68" w:rsidRDefault="003F7E68" w:rsidP="00D04880">
      <w:pPr>
        <w:suppressLineNumbers/>
        <w:tabs>
          <w:tab w:val="left" w:pos="0"/>
          <w:tab w:val="left" w:pos="440"/>
          <w:tab w:val="left" w:pos="620"/>
        </w:tabs>
        <w:ind w:firstLine="360"/>
      </w:pPr>
      <w:r>
        <w:t xml:space="preserve">We next turn to the potential argument that </w:t>
      </w:r>
      <w:r w:rsidR="00AA0141">
        <w:t xml:space="preserve">corporate leaders </w:t>
      </w:r>
      <w:r>
        <w:t xml:space="preserve">might have been </w:t>
      </w:r>
      <w:r w:rsidR="00AA0141">
        <w:t xml:space="preserve">deterred from seeking stakeholder protections by the concern that a court might review their decision under the Delaware </w:t>
      </w:r>
      <w:r w:rsidR="00AA0141" w:rsidRPr="00E62F90">
        <w:rPr>
          <w:i/>
          <w:iCs/>
        </w:rPr>
        <w:t>Revlon</w:t>
      </w:r>
      <w:r w:rsidR="00AA0141">
        <w:t xml:space="preserve"> doctrine.</w:t>
      </w:r>
      <w:r w:rsidR="004C0864">
        <w:rPr>
          <w:rStyle w:val="FootnoteReference"/>
        </w:rPr>
        <w:footnoteReference w:id="7"/>
      </w:r>
      <w:r w:rsidR="00AA0141">
        <w:t xml:space="preserve"> </w:t>
      </w:r>
      <w:r w:rsidR="00AA0141">
        <w:lastRenderedPageBreak/>
        <w:t xml:space="preserve">Under this doctrine, once a decision to sell the company has been reached, corporate leaders are </w:t>
      </w:r>
      <w:r>
        <w:t xml:space="preserve">required to seek to </w:t>
      </w:r>
      <w:r w:rsidR="00AA0141">
        <w:t>obtain the highest price for shareholders.</w:t>
      </w:r>
      <w:r w:rsidR="004C0864">
        <w:rPr>
          <w:rStyle w:val="FootnoteReference"/>
        </w:rPr>
        <w:footnoteReference w:id="8"/>
      </w:r>
      <w:r w:rsidR="00AA0141">
        <w:t xml:space="preserve">  </w:t>
      </w:r>
    </w:p>
    <w:p w14:paraId="750303CF" w14:textId="196F2D8E" w:rsidR="00AA0141" w:rsidRDefault="0039014B" w:rsidP="008C5A82">
      <w:pPr>
        <w:suppressLineNumbers/>
        <w:tabs>
          <w:tab w:val="left" w:pos="0"/>
          <w:tab w:val="left" w:pos="440"/>
          <w:tab w:val="left" w:pos="620"/>
        </w:tabs>
        <w:ind w:firstLine="360"/>
      </w:pPr>
      <w:r>
        <w:t>W</w:t>
      </w:r>
      <w:r w:rsidR="00AA0141">
        <w:t xml:space="preserve">e set out to test </w:t>
      </w:r>
      <w:r>
        <w:t xml:space="preserve">empirically </w:t>
      </w:r>
      <w:r w:rsidR="00AA0141">
        <w:t xml:space="preserve">this argument as well, </w:t>
      </w:r>
      <w:r>
        <w:t xml:space="preserve">and we do so </w:t>
      </w:r>
      <w:r w:rsidR="00AA0141">
        <w:t xml:space="preserve">by examining the subset of cases in which the Revlon doctrine could not apply. </w:t>
      </w:r>
      <w:r w:rsidR="00B36933">
        <w:t>Following earlier work on the effects of the Revlon doctrine,</w:t>
      </w:r>
      <w:r w:rsidR="004C0864">
        <w:rPr>
          <w:rStyle w:val="FootnoteReference"/>
        </w:rPr>
        <w:footnoteReference w:id="9"/>
      </w:r>
      <w:r w:rsidR="00B36933">
        <w:t xml:space="preserve"> </w:t>
      </w:r>
      <w:r w:rsidR="00AA0141">
        <w:t xml:space="preserve">we </w:t>
      </w:r>
      <w:r w:rsidR="000F3A9D">
        <w:t>identified a s</w:t>
      </w:r>
      <w:r w:rsidR="0041430C">
        <w:t xml:space="preserve">et </w:t>
      </w:r>
      <w:r w:rsidR="000F3A9D">
        <w:t xml:space="preserve">of companies </w:t>
      </w:r>
      <w:r w:rsidR="0041430C">
        <w:t xml:space="preserve">(“the Non-Revlon Subsample”) </w:t>
      </w:r>
      <w:r w:rsidR="000F3A9D">
        <w:t>whose acquisition coul</w:t>
      </w:r>
      <w:r w:rsidR="007668D2">
        <w:t xml:space="preserve">d </w:t>
      </w:r>
      <w:r w:rsidR="000F3A9D">
        <w:t xml:space="preserve">not have been subject to Revlon for one of two reasons: </w:t>
      </w:r>
      <w:r w:rsidR="007668D2">
        <w:t xml:space="preserve">(a) the company was incorporated in a state whose courts explicitly rejected the Revlon decision </w:t>
      </w:r>
      <w:r w:rsidR="007668D2" w:rsidRPr="007668D2">
        <w:t>(Indiana, Nevada, Pennsylvania</w:t>
      </w:r>
      <w:r w:rsidR="007668D2">
        <w:t>,</w:t>
      </w:r>
      <w:r w:rsidR="007668D2" w:rsidRPr="007668D2">
        <w:t xml:space="preserve"> </w:t>
      </w:r>
      <w:r w:rsidR="007668D2">
        <w:t xml:space="preserve">or </w:t>
      </w:r>
      <w:r w:rsidR="007668D2" w:rsidRPr="007668D2">
        <w:t>Ohio)</w:t>
      </w:r>
      <w:r w:rsidR="007668D2">
        <w:t xml:space="preserve">, or (b) the consideration paid </w:t>
      </w:r>
      <w:r w:rsidR="0041430C">
        <w:t xml:space="preserve">for the company was more than 50% in stock.  The </w:t>
      </w:r>
      <w:r w:rsidR="004C0864">
        <w:t>N</w:t>
      </w:r>
      <w:r w:rsidR="0041430C">
        <w:t xml:space="preserve">on-Revlon Subsample we put together includes 42 deals with an aggregate consideration exceeding $350 billion. </w:t>
      </w:r>
    </w:p>
    <w:p w14:paraId="0FB5FF68" w14:textId="39A22445" w:rsidR="00AA0141" w:rsidRDefault="00C45ED3" w:rsidP="008C5A82">
      <w:pPr>
        <w:suppressLineNumbers/>
        <w:tabs>
          <w:tab w:val="left" w:pos="0"/>
          <w:tab w:val="left" w:pos="440"/>
          <w:tab w:val="left" w:pos="620"/>
        </w:tabs>
        <w:ind w:firstLine="360"/>
      </w:pPr>
      <w:r>
        <w:t xml:space="preserve">In the deals of </w:t>
      </w:r>
      <w:r w:rsidR="00F274F1">
        <w:t xml:space="preserve">the Non-Revlon Subsample, the prospect of judicial intervention based on the Revlon doctrine could not have deterred corporate leaders from allocating to stakeholders some of the surplus produced by the transaction. Thus, this </w:t>
      </w:r>
      <w:r w:rsidR="00895266">
        <w:t>s</w:t>
      </w:r>
      <w:r w:rsidR="00F274F1">
        <w:t xml:space="preserve">ubsample provides a good setting for testing </w:t>
      </w:r>
      <w:r w:rsidR="00A86B0E">
        <w:t xml:space="preserve">the argument that </w:t>
      </w:r>
      <w:r w:rsidR="00F274F1">
        <w:t>our findings in Part</w:t>
      </w:r>
      <w:r w:rsidR="007165DD">
        <w:t xml:space="preserve"> </w:t>
      </w:r>
      <w:r w:rsidR="00895266">
        <w:t>V</w:t>
      </w:r>
      <w:r w:rsidR="00A86B0E">
        <w:t xml:space="preserve"> were driven by the threat of Revlon. </w:t>
      </w:r>
      <w:r w:rsidR="00F274F1">
        <w:t xml:space="preserve"> </w:t>
      </w:r>
      <w:r w:rsidR="00A86B0E">
        <w:t xml:space="preserve">We find that the evidence is inconsistent with this argument: deals in the Non-Revlon Subsample did not offer stakeholder materially </w:t>
      </w:r>
      <w:r w:rsidR="00895266">
        <w:t>stronger protections</w:t>
      </w:r>
      <w:r w:rsidR="00A86B0E">
        <w:t xml:space="preserve"> than other deals in our sample. </w:t>
      </w:r>
    </w:p>
    <w:p w14:paraId="5F62BDF4" w14:textId="322BA626" w:rsidR="006B7C1B" w:rsidRDefault="00A86B0E">
      <w:pPr>
        <w:suppressLineNumbers/>
        <w:tabs>
          <w:tab w:val="left" w:pos="0"/>
          <w:tab w:val="left" w:pos="440"/>
          <w:tab w:val="left" w:pos="620"/>
        </w:tabs>
        <w:ind w:firstLine="360"/>
      </w:pPr>
      <w:r>
        <w:t xml:space="preserve">With respect to </w:t>
      </w:r>
      <w:r w:rsidR="00AA0141">
        <w:t>employee protections, we f</w:t>
      </w:r>
      <w:r>
        <w:t xml:space="preserve">ound </w:t>
      </w:r>
      <w:r w:rsidR="006B7C1B">
        <w:t xml:space="preserve">the vast majority of the deals in the Non-Revlon Subsample offer employees no protections to mitigate the risk of layoffs, either by providing some compensation in the event of layoffs or some limits on the scale or pace of layoffs. Only one of the 42 deals provided any such protection. </w:t>
      </w:r>
    </w:p>
    <w:p w14:paraId="2B740325" w14:textId="47BED455" w:rsidR="00AA0141" w:rsidRDefault="005B5AF5">
      <w:pPr>
        <w:suppressLineNumbers/>
        <w:tabs>
          <w:tab w:val="left" w:pos="0"/>
          <w:tab w:val="left" w:pos="440"/>
          <w:tab w:val="left" w:pos="620"/>
        </w:tabs>
        <w:ind w:firstLine="360"/>
      </w:pPr>
      <w:r>
        <w:t xml:space="preserve">We also found that </w:t>
      </w:r>
      <w:r w:rsidR="00AA0141">
        <w:t xml:space="preserve">none of the </w:t>
      </w:r>
      <w:r>
        <w:t xml:space="preserve">transactions in the </w:t>
      </w:r>
      <w:r w:rsidR="00AA0141">
        <w:t xml:space="preserve">non-Revlon </w:t>
      </w:r>
      <w:r>
        <w:t xml:space="preserve">Subsample included any provisions </w:t>
      </w:r>
      <w:r w:rsidR="00AA0141">
        <w:t xml:space="preserve">in favor of customers, suppliers, creditors or the environment. Additionally, </w:t>
      </w:r>
      <w:r>
        <w:t xml:space="preserve">only a small minority of the deals in this </w:t>
      </w:r>
      <w:r w:rsidR="00895266">
        <w:t>s</w:t>
      </w:r>
      <w:r>
        <w:t xml:space="preserve">ubsample offered (soft) pledges to </w:t>
      </w:r>
      <w:r w:rsidR="00AA0141">
        <w:t xml:space="preserve">retain the location of the target's headquarters </w:t>
      </w:r>
      <w:r>
        <w:t xml:space="preserve">post-deal </w:t>
      </w:r>
      <w:r w:rsidRPr="00E62F90">
        <w:rPr>
          <w:highlight w:val="yellow"/>
        </w:rPr>
        <w:t>(</w:t>
      </w:r>
      <w:r w:rsidR="009F6CEA" w:rsidRPr="00E62F90">
        <w:rPr>
          <w:highlight w:val="yellow"/>
        </w:rPr>
        <w:t>XXX deals)</w:t>
      </w:r>
      <w:r w:rsidR="009F6CEA">
        <w:t xml:space="preserve"> or to retain some </w:t>
      </w:r>
      <w:r w:rsidR="00AA0141">
        <w:t>investment or</w:t>
      </w:r>
      <w:r w:rsidR="009F6CEA">
        <w:t xml:space="preserve"> philanthropic activities that benefit local communities </w:t>
      </w:r>
      <w:r w:rsidR="009F6CEA" w:rsidRPr="00E62F90">
        <w:rPr>
          <w:highlight w:val="yellow"/>
        </w:rPr>
        <w:t>(XXX)</w:t>
      </w:r>
      <w:r w:rsidR="009F6CEA">
        <w:t xml:space="preserve"> deals. Overall, the evidence does not support the argument that our findings in Part V were driven by corporate leaders that were interested in benefitting stakeholders but discouraged from doing so by</w:t>
      </w:r>
      <w:r w:rsidR="00895266">
        <w:t xml:space="preserve"> the</w:t>
      </w:r>
      <w:r w:rsidR="009F6CEA">
        <w:t xml:space="preserve"> Revlon</w:t>
      </w:r>
      <w:r w:rsidR="00895266">
        <w:t xml:space="preserve"> doctrine</w:t>
      </w:r>
      <w:r w:rsidR="009F6CEA">
        <w:t>.</w:t>
      </w:r>
    </w:p>
    <w:p w14:paraId="1CA95BFD" w14:textId="2582FA53" w:rsidR="00AA0141" w:rsidRPr="007222C6" w:rsidRDefault="00AA0141" w:rsidP="00AA0141">
      <w:pPr>
        <w:suppressLineNumbers/>
        <w:tabs>
          <w:tab w:val="left" w:pos="0"/>
          <w:tab w:val="left" w:pos="440"/>
          <w:tab w:val="left" w:pos="620"/>
        </w:tabs>
        <w:ind w:firstLine="360"/>
        <w:rPr>
          <w:rFonts w:eastAsia="SimSun"/>
          <w:kern w:val="0"/>
          <w:szCs w:val="24"/>
          <w:lang w:bidi="he-IL"/>
        </w:rPr>
      </w:pPr>
    </w:p>
    <w:p w14:paraId="283ABF92" w14:textId="2AF41D36" w:rsidR="00AA0141" w:rsidRPr="007222C6" w:rsidRDefault="00AA0141" w:rsidP="00AA0141">
      <w:pPr>
        <w:pStyle w:val="Heading2"/>
        <w:rPr>
          <w:rFonts w:eastAsia="SimSun"/>
          <w:lang w:bidi="he-IL"/>
        </w:rPr>
      </w:pPr>
      <w:bookmarkStart w:id="11" w:name="_Toc89373863"/>
      <w:bookmarkStart w:id="12" w:name="_Toc89245938"/>
      <w:r w:rsidRPr="007222C6">
        <w:rPr>
          <w:rFonts w:eastAsia="SimSun"/>
          <w:lang w:bidi="he-IL"/>
        </w:rPr>
        <w:lastRenderedPageBreak/>
        <w:t xml:space="preserve">Deals with a </w:t>
      </w:r>
      <w:proofErr w:type="spellStart"/>
      <w:r w:rsidRPr="007222C6">
        <w:rPr>
          <w:rFonts w:eastAsia="SimSun"/>
          <w:lang w:bidi="he-IL"/>
        </w:rPr>
        <w:t>Stakeholderist</w:t>
      </w:r>
      <w:proofErr w:type="spellEnd"/>
      <w:r w:rsidRPr="007222C6">
        <w:rPr>
          <w:rFonts w:eastAsia="SimSun"/>
          <w:lang w:bidi="he-IL"/>
        </w:rPr>
        <w:t xml:space="preserve"> Counsel</w:t>
      </w:r>
      <w:bookmarkEnd w:id="11"/>
      <w:bookmarkEnd w:id="12"/>
    </w:p>
    <w:p w14:paraId="70D40287" w14:textId="40C34AF4" w:rsidR="00AA0141" w:rsidRPr="00EE3477" w:rsidRDefault="00AA0141" w:rsidP="00636A8C">
      <w:pPr>
        <w:suppressLineNumbers/>
        <w:tabs>
          <w:tab w:val="left" w:pos="0"/>
          <w:tab w:val="left" w:pos="440"/>
          <w:tab w:val="left" w:pos="620"/>
        </w:tabs>
        <w:ind w:firstLine="360"/>
        <w:rPr>
          <w:rFonts w:eastAsia="SimSun"/>
          <w:kern w:val="0"/>
          <w:szCs w:val="24"/>
          <w:lang w:bidi="he-IL"/>
        </w:rPr>
      </w:pPr>
      <w:r w:rsidRPr="00EE3477">
        <w:rPr>
          <w:rFonts w:eastAsia="SimSun"/>
          <w:kern w:val="0"/>
          <w:szCs w:val="24"/>
          <w:lang w:bidi="he-IL"/>
        </w:rPr>
        <w:t xml:space="preserve">Next we would like to consider the </w:t>
      </w:r>
      <w:r w:rsidR="0039014B">
        <w:rPr>
          <w:rFonts w:eastAsia="SimSun"/>
          <w:kern w:val="0"/>
          <w:szCs w:val="24"/>
          <w:lang w:bidi="he-IL"/>
        </w:rPr>
        <w:t xml:space="preserve">argument that the lack of stakeholder protections </w:t>
      </w:r>
      <w:r w:rsidR="00966EB9">
        <w:rPr>
          <w:rFonts w:eastAsia="SimSun"/>
          <w:kern w:val="0"/>
          <w:szCs w:val="24"/>
          <w:lang w:bidi="he-IL"/>
        </w:rPr>
        <w:t xml:space="preserve">was due to the discouraging input that corporate leaders received from counsel. On this view, even though </w:t>
      </w:r>
      <w:r w:rsidRPr="00EE3477">
        <w:rPr>
          <w:rFonts w:eastAsia="SimSun"/>
          <w:kern w:val="0"/>
          <w:szCs w:val="24"/>
          <w:lang w:bidi="he-IL"/>
        </w:rPr>
        <w:t xml:space="preserve">corporate leaders </w:t>
      </w:r>
      <w:r w:rsidR="00966EB9">
        <w:rPr>
          <w:rFonts w:eastAsia="SimSun"/>
          <w:kern w:val="0"/>
          <w:szCs w:val="24"/>
          <w:lang w:bidi="he-IL"/>
        </w:rPr>
        <w:t xml:space="preserve">were interested in </w:t>
      </w:r>
      <w:r w:rsidR="00636A8C">
        <w:rPr>
          <w:rFonts w:eastAsia="SimSun"/>
          <w:kern w:val="0"/>
          <w:szCs w:val="24"/>
          <w:lang w:bidi="he-IL"/>
        </w:rPr>
        <w:t xml:space="preserve">benefitting stakeholders and accepting a somewhat lower premium for that purpose, they were discouraged by </w:t>
      </w:r>
      <w:r w:rsidR="007165DD">
        <w:rPr>
          <w:rFonts w:eastAsia="SimSun"/>
          <w:kern w:val="0"/>
          <w:szCs w:val="24"/>
          <w:lang w:bidi="he-IL"/>
        </w:rPr>
        <w:t xml:space="preserve">legal </w:t>
      </w:r>
      <w:r w:rsidR="00636A8C">
        <w:rPr>
          <w:rFonts w:eastAsia="SimSun"/>
          <w:kern w:val="0"/>
          <w:szCs w:val="24"/>
          <w:lang w:bidi="he-IL"/>
        </w:rPr>
        <w:t xml:space="preserve">counsel advising them or at least cautioning them against doing so. </w:t>
      </w:r>
    </w:p>
    <w:p w14:paraId="1071E19E" w14:textId="6BC201A2" w:rsidR="00AA0141" w:rsidRPr="00EE3477" w:rsidRDefault="00AA0141" w:rsidP="00616AA7">
      <w:pPr>
        <w:suppressLineNumbers/>
        <w:tabs>
          <w:tab w:val="left" w:pos="0"/>
          <w:tab w:val="left" w:pos="440"/>
          <w:tab w:val="left" w:pos="620"/>
        </w:tabs>
        <w:ind w:firstLine="360"/>
        <w:rPr>
          <w:rFonts w:eastAsia="SimSun"/>
          <w:kern w:val="0"/>
          <w:szCs w:val="24"/>
          <w:lang w:bidi="he-IL"/>
        </w:rPr>
      </w:pPr>
      <w:r w:rsidRPr="00EE3477">
        <w:rPr>
          <w:rFonts w:eastAsia="SimSun"/>
          <w:kern w:val="0"/>
          <w:szCs w:val="24"/>
          <w:lang w:bidi="he-IL"/>
        </w:rPr>
        <w:t>To explore whether this argument could drive our findings in the Part</w:t>
      </w:r>
      <w:r w:rsidR="007165DD">
        <w:rPr>
          <w:rFonts w:eastAsia="SimSun"/>
          <w:kern w:val="0"/>
          <w:szCs w:val="24"/>
          <w:lang w:bidi="he-IL"/>
        </w:rPr>
        <w:t xml:space="preserve"> </w:t>
      </w:r>
      <w:r w:rsidR="00636A8C">
        <w:rPr>
          <w:rFonts w:eastAsia="SimSun"/>
          <w:kern w:val="0"/>
          <w:szCs w:val="24"/>
          <w:lang w:bidi="he-IL"/>
        </w:rPr>
        <w:t>V</w:t>
      </w:r>
      <w:r w:rsidRPr="00EE3477">
        <w:rPr>
          <w:rFonts w:eastAsia="SimSun"/>
          <w:kern w:val="0"/>
          <w:szCs w:val="24"/>
          <w:lang w:bidi="he-IL"/>
        </w:rPr>
        <w:t xml:space="preserve">, we examine a </w:t>
      </w:r>
      <w:r w:rsidR="00636A8C">
        <w:rPr>
          <w:rFonts w:eastAsia="SimSun"/>
          <w:kern w:val="0"/>
          <w:szCs w:val="24"/>
          <w:lang w:bidi="he-IL"/>
        </w:rPr>
        <w:t xml:space="preserve">set </w:t>
      </w:r>
      <w:r w:rsidRPr="00EE3477">
        <w:rPr>
          <w:rFonts w:eastAsia="SimSun"/>
          <w:kern w:val="0"/>
          <w:szCs w:val="24"/>
          <w:lang w:bidi="he-IL"/>
        </w:rPr>
        <w:t xml:space="preserve">deals in which the target was advised by a law firm </w:t>
      </w:r>
      <w:r w:rsidR="00636A8C">
        <w:rPr>
          <w:rFonts w:eastAsia="SimSun"/>
          <w:kern w:val="0"/>
          <w:szCs w:val="24"/>
          <w:lang w:bidi="he-IL"/>
        </w:rPr>
        <w:t xml:space="preserve">strongly identified with </w:t>
      </w:r>
      <w:r w:rsidR="00CE12B2">
        <w:rPr>
          <w:rFonts w:eastAsia="SimSun"/>
          <w:kern w:val="0"/>
          <w:szCs w:val="24"/>
          <w:lang w:bidi="he-IL"/>
        </w:rPr>
        <w:t xml:space="preserve">advocacy </w:t>
      </w:r>
      <w:r w:rsidRPr="00CE12B2">
        <w:rPr>
          <w:rFonts w:eastAsia="SimSun"/>
          <w:kern w:val="0"/>
          <w:szCs w:val="24"/>
          <w:lang w:bidi="he-IL"/>
        </w:rPr>
        <w:t xml:space="preserve">for </w:t>
      </w:r>
      <w:proofErr w:type="spellStart"/>
      <w:r w:rsidRPr="00CE12B2">
        <w:rPr>
          <w:rFonts w:eastAsia="SimSun"/>
          <w:kern w:val="0"/>
          <w:szCs w:val="24"/>
          <w:lang w:bidi="he-IL"/>
        </w:rPr>
        <w:t>stakeholderism</w:t>
      </w:r>
      <w:proofErr w:type="spellEnd"/>
      <w:r w:rsidR="00CE12B2" w:rsidRPr="00CE12B2">
        <w:rPr>
          <w:rFonts w:eastAsia="SimSun"/>
          <w:kern w:val="0"/>
          <w:szCs w:val="24"/>
          <w:lang w:bidi="he-IL"/>
        </w:rPr>
        <w:t>:</w:t>
      </w:r>
      <w:r w:rsidR="000424D1" w:rsidRPr="00CE12B2">
        <w:rPr>
          <w:rFonts w:eastAsia="SimSun"/>
          <w:kern w:val="0"/>
          <w:szCs w:val="24"/>
          <w:lang w:bidi="he-IL"/>
        </w:rPr>
        <w:t xml:space="preserve"> </w:t>
      </w:r>
      <w:proofErr w:type="spellStart"/>
      <w:r w:rsidR="000424D1" w:rsidRPr="00CE12B2">
        <w:rPr>
          <w:rFonts w:eastAsia="SimSun"/>
          <w:kern w:val="0"/>
          <w:szCs w:val="24"/>
          <w:lang w:bidi="he-IL"/>
        </w:rPr>
        <w:t>Wachtell</w:t>
      </w:r>
      <w:proofErr w:type="spellEnd"/>
      <w:r w:rsidR="000424D1" w:rsidRPr="00CE12B2">
        <w:rPr>
          <w:rFonts w:eastAsia="SimSun"/>
          <w:kern w:val="0"/>
          <w:szCs w:val="24"/>
          <w:lang w:bidi="he-IL"/>
        </w:rPr>
        <w:t>, Lipton, Rosen &amp; Katz ("WLRK").</w:t>
      </w:r>
      <w:r w:rsidR="001E1D33" w:rsidRPr="00CE12B2">
        <w:rPr>
          <w:rFonts w:eastAsia="SimSun"/>
          <w:kern w:val="0"/>
          <w:szCs w:val="24"/>
          <w:lang w:bidi="he-IL"/>
        </w:rPr>
        <w:t xml:space="preserve"> </w:t>
      </w:r>
      <w:r w:rsidR="00E63C1B" w:rsidRPr="00CE12B2">
        <w:rPr>
          <w:rFonts w:eastAsia="SimSun"/>
          <w:kern w:val="0"/>
          <w:szCs w:val="24"/>
          <w:lang w:bidi="he-IL"/>
        </w:rPr>
        <w:t xml:space="preserve">WLRK’s founding partner and other senior </w:t>
      </w:r>
      <w:r w:rsidR="0082512E">
        <w:rPr>
          <w:rFonts w:eastAsia="SimSun"/>
          <w:kern w:val="0"/>
          <w:szCs w:val="24"/>
          <w:lang w:bidi="he-IL"/>
        </w:rPr>
        <w:t>partners</w:t>
      </w:r>
      <w:r w:rsidR="00E63C1B" w:rsidRPr="00CE12B2">
        <w:rPr>
          <w:rFonts w:eastAsia="SimSun"/>
          <w:kern w:val="0"/>
          <w:szCs w:val="24"/>
          <w:lang w:bidi="he-IL"/>
        </w:rPr>
        <w:t xml:space="preserve"> have written extensively in support for </w:t>
      </w:r>
      <w:proofErr w:type="spellStart"/>
      <w:r w:rsidR="0082512E" w:rsidRPr="00CE12B2">
        <w:rPr>
          <w:rFonts w:eastAsia="SimSun"/>
          <w:kern w:val="0"/>
          <w:szCs w:val="24"/>
          <w:lang w:bidi="he-IL"/>
        </w:rPr>
        <w:t>stakeholderism</w:t>
      </w:r>
      <w:proofErr w:type="spellEnd"/>
      <w:r w:rsidR="00CE12B2" w:rsidRPr="00CE12B2">
        <w:rPr>
          <w:rFonts w:eastAsia="SimSun"/>
          <w:kern w:val="0"/>
          <w:szCs w:val="24"/>
          <w:lang w:bidi="he-IL"/>
        </w:rPr>
        <w:t>,</w:t>
      </w:r>
      <w:r w:rsidR="00CE12B2" w:rsidRPr="00CE12B2">
        <w:rPr>
          <w:rStyle w:val="FootnoteReference"/>
          <w:rFonts w:eastAsia="SimSun"/>
          <w:kern w:val="0"/>
          <w:szCs w:val="24"/>
          <w:lang w:bidi="he-IL"/>
        </w:rPr>
        <w:footnoteReference w:id="10"/>
      </w:r>
      <w:r w:rsidR="00E63C1B" w:rsidRPr="00CE12B2">
        <w:rPr>
          <w:rFonts w:eastAsia="SimSun"/>
          <w:kern w:val="0"/>
          <w:szCs w:val="24"/>
          <w:lang w:bidi="he-IL"/>
        </w:rPr>
        <w:t xml:space="preserve"> developed for the </w:t>
      </w:r>
      <w:r w:rsidR="00FC0EC3" w:rsidRPr="00CE12B2">
        <w:rPr>
          <w:rFonts w:eastAsia="SimSun"/>
          <w:kern w:val="0"/>
          <w:szCs w:val="24"/>
          <w:lang w:bidi="he-IL"/>
        </w:rPr>
        <w:t xml:space="preserve">WORLD Economic Forum a </w:t>
      </w:r>
      <w:r w:rsidRPr="00CE12B2">
        <w:rPr>
          <w:rFonts w:eastAsia="SimSun"/>
          <w:kern w:val="0"/>
          <w:szCs w:val="24"/>
          <w:lang w:bidi="he-IL"/>
        </w:rPr>
        <w:t xml:space="preserve">“New Paradigm” </w:t>
      </w:r>
      <w:r w:rsidR="00FC0EC3" w:rsidRPr="00CE12B2">
        <w:rPr>
          <w:rFonts w:eastAsia="SimSun"/>
          <w:kern w:val="0"/>
          <w:szCs w:val="24"/>
          <w:lang w:bidi="he-IL"/>
        </w:rPr>
        <w:t xml:space="preserve">of </w:t>
      </w:r>
      <w:r w:rsidRPr="00CE12B2">
        <w:rPr>
          <w:rFonts w:eastAsia="SimSun"/>
          <w:kern w:val="0"/>
          <w:szCs w:val="24"/>
          <w:lang w:bidi="he-IL"/>
        </w:rPr>
        <w:t>“director-centric stakeholder governance</w:t>
      </w:r>
      <w:r w:rsidR="00FC0EC3" w:rsidRPr="00CE12B2">
        <w:rPr>
          <w:rFonts w:eastAsia="SimSun"/>
          <w:kern w:val="0"/>
          <w:szCs w:val="24"/>
          <w:lang w:bidi="he-IL"/>
        </w:rPr>
        <w:t>;</w:t>
      </w:r>
      <w:r w:rsidRPr="00CE12B2">
        <w:rPr>
          <w:rFonts w:eastAsia="SimSun"/>
          <w:kern w:val="0"/>
          <w:szCs w:val="24"/>
          <w:lang w:bidi="he-IL"/>
        </w:rPr>
        <w:t>”</w:t>
      </w:r>
      <w:r w:rsidR="00CE12B2" w:rsidRPr="00E62F90">
        <w:rPr>
          <w:rStyle w:val="FootnoteReference"/>
          <w:rFonts w:eastAsia="SimSun"/>
          <w:kern w:val="0"/>
          <w:szCs w:val="24"/>
          <w:lang w:bidi="he-IL"/>
        </w:rPr>
        <w:footnoteReference w:id="11"/>
      </w:r>
      <w:r w:rsidR="00FC0EC3" w:rsidRPr="00CE12B2">
        <w:rPr>
          <w:rFonts w:eastAsia="SimSun"/>
          <w:kern w:val="0"/>
          <w:szCs w:val="24"/>
          <w:lang w:bidi="he-IL"/>
        </w:rPr>
        <w:t xml:space="preserve"> </w:t>
      </w:r>
      <w:r w:rsidR="00CE12B2" w:rsidRPr="00CE12B2">
        <w:rPr>
          <w:rFonts w:eastAsia="SimSun"/>
          <w:kern w:val="0"/>
          <w:szCs w:val="24"/>
          <w:lang w:bidi="he-IL"/>
        </w:rPr>
        <w:t xml:space="preserve">issued a vast number of firm memos advocated </w:t>
      </w:r>
      <w:r w:rsidR="0082512E">
        <w:rPr>
          <w:rFonts w:eastAsia="SimSun"/>
          <w:kern w:val="0"/>
          <w:szCs w:val="24"/>
          <w:lang w:bidi="he-IL"/>
        </w:rPr>
        <w:t xml:space="preserve">for </w:t>
      </w:r>
      <w:proofErr w:type="spellStart"/>
      <w:r w:rsidR="00CE12B2" w:rsidRPr="00CE12B2">
        <w:rPr>
          <w:rFonts w:eastAsia="SimSun"/>
          <w:kern w:val="0"/>
          <w:szCs w:val="24"/>
          <w:lang w:bidi="he-IL"/>
        </w:rPr>
        <w:t>stakeholderism</w:t>
      </w:r>
      <w:proofErr w:type="spellEnd"/>
      <w:r w:rsidR="00FC0EC3" w:rsidRPr="00CE12B2">
        <w:rPr>
          <w:rFonts w:eastAsia="SimSun"/>
          <w:kern w:val="0"/>
          <w:szCs w:val="24"/>
          <w:lang w:bidi="he-IL"/>
        </w:rPr>
        <w:t>;</w:t>
      </w:r>
      <w:r w:rsidR="00CE12B2" w:rsidRPr="00E62F90">
        <w:rPr>
          <w:rStyle w:val="FootnoteReference"/>
          <w:rFonts w:eastAsia="SimSun"/>
          <w:kern w:val="0"/>
          <w:szCs w:val="24"/>
          <w:lang w:bidi="he-IL"/>
        </w:rPr>
        <w:footnoteReference w:id="12"/>
      </w:r>
      <w:r w:rsidR="00FC0EC3" w:rsidRPr="00CE12B2">
        <w:rPr>
          <w:rFonts w:eastAsia="SimSun"/>
          <w:kern w:val="0"/>
          <w:szCs w:val="24"/>
          <w:lang w:bidi="he-IL"/>
        </w:rPr>
        <w:t xml:space="preserve"> and stated </w:t>
      </w:r>
      <w:r w:rsidR="00616AA7" w:rsidRPr="00CE12B2">
        <w:rPr>
          <w:rFonts w:eastAsia="SimSun"/>
          <w:kern w:val="0"/>
          <w:szCs w:val="24"/>
          <w:lang w:bidi="he-IL"/>
        </w:rPr>
        <w:t xml:space="preserve">in such memos that </w:t>
      </w:r>
      <w:r w:rsidRPr="00CE12B2">
        <w:rPr>
          <w:rFonts w:eastAsia="SimSun"/>
          <w:kern w:val="0"/>
          <w:szCs w:val="24"/>
          <w:lang w:bidi="he-IL"/>
        </w:rPr>
        <w:t>state corporate law, and in particular Delaware law, enables corporate leaders to give significant weight to stakeholders.</w:t>
      </w:r>
      <w:r w:rsidR="00CE12B2" w:rsidRPr="00E62F90">
        <w:rPr>
          <w:rStyle w:val="FootnoteReference"/>
          <w:rFonts w:eastAsia="SimSun"/>
          <w:kern w:val="0"/>
          <w:szCs w:val="24"/>
          <w:lang w:bidi="he-IL"/>
        </w:rPr>
        <w:footnoteReference w:id="13"/>
      </w:r>
      <w:r w:rsidRPr="00CE12B2">
        <w:rPr>
          <w:rFonts w:eastAsia="SimSun"/>
          <w:kern w:val="0"/>
          <w:szCs w:val="24"/>
          <w:lang w:bidi="he-IL"/>
        </w:rPr>
        <w:t xml:space="preserve">  Therefore, </w:t>
      </w:r>
      <w:r w:rsidR="00616AA7" w:rsidRPr="00CE12B2">
        <w:rPr>
          <w:rFonts w:eastAsia="SimSun"/>
          <w:kern w:val="0"/>
          <w:szCs w:val="24"/>
          <w:lang w:bidi="he-IL"/>
        </w:rPr>
        <w:t xml:space="preserve">it is reasonable to expect that corporate leaders advised by WLRK were not discouraged from seeking stakeholder protections. </w:t>
      </w:r>
    </w:p>
    <w:p w14:paraId="7BE92583" w14:textId="608E7DF8" w:rsidR="00AA0141" w:rsidRPr="00EE3477" w:rsidRDefault="00AA0141" w:rsidP="00AE6B96">
      <w:pPr>
        <w:suppressLineNumbers/>
        <w:tabs>
          <w:tab w:val="left" w:pos="0"/>
          <w:tab w:val="left" w:pos="440"/>
          <w:tab w:val="left" w:pos="620"/>
        </w:tabs>
        <w:ind w:firstLine="360"/>
        <w:rPr>
          <w:rFonts w:eastAsia="SimSun"/>
          <w:kern w:val="0"/>
          <w:szCs w:val="24"/>
          <w:lang w:bidi="he-IL"/>
        </w:rPr>
      </w:pPr>
      <w:r w:rsidRPr="00EE3477">
        <w:rPr>
          <w:rFonts w:eastAsia="SimSun"/>
          <w:kern w:val="0"/>
          <w:szCs w:val="24"/>
          <w:lang w:bidi="he-IL"/>
        </w:rPr>
        <w:t xml:space="preserve">We identified </w:t>
      </w:r>
      <w:r w:rsidR="003F4DFF" w:rsidRPr="00EE3477">
        <w:rPr>
          <w:rFonts w:eastAsia="SimSun"/>
          <w:kern w:val="0"/>
          <w:szCs w:val="24"/>
          <w:lang w:bidi="he-IL"/>
        </w:rPr>
        <w:t>1</w:t>
      </w:r>
      <w:r w:rsidR="003F4DFF">
        <w:rPr>
          <w:rFonts w:eastAsia="SimSun"/>
          <w:kern w:val="0"/>
          <w:szCs w:val="24"/>
          <w:lang w:bidi="he-IL"/>
        </w:rPr>
        <w:t>7</w:t>
      </w:r>
      <w:r w:rsidR="003F4DFF" w:rsidRPr="00EE3477">
        <w:rPr>
          <w:rFonts w:eastAsia="SimSun"/>
          <w:kern w:val="0"/>
          <w:szCs w:val="24"/>
          <w:lang w:bidi="he-IL"/>
        </w:rPr>
        <w:t xml:space="preserve"> </w:t>
      </w:r>
      <w:r w:rsidRPr="00EE3477">
        <w:rPr>
          <w:rFonts w:eastAsia="SimSun"/>
          <w:kern w:val="0"/>
          <w:szCs w:val="24"/>
          <w:lang w:bidi="he-IL"/>
        </w:rPr>
        <w:t xml:space="preserve">deals in which WLRK </w:t>
      </w:r>
      <w:r w:rsidR="0085057B">
        <w:rPr>
          <w:rFonts w:eastAsia="SimSun"/>
          <w:kern w:val="0"/>
          <w:szCs w:val="24"/>
          <w:lang w:bidi="he-IL"/>
        </w:rPr>
        <w:t xml:space="preserve">served as </w:t>
      </w:r>
      <w:r w:rsidRPr="00EE3477">
        <w:rPr>
          <w:rFonts w:eastAsia="SimSun"/>
          <w:kern w:val="0"/>
          <w:szCs w:val="24"/>
          <w:lang w:bidi="he-IL"/>
        </w:rPr>
        <w:t>counsel</w:t>
      </w:r>
      <w:r w:rsidR="0085057B">
        <w:rPr>
          <w:rFonts w:eastAsia="SimSun"/>
          <w:kern w:val="0"/>
          <w:szCs w:val="24"/>
          <w:lang w:bidi="he-IL"/>
        </w:rPr>
        <w:t xml:space="preserve"> to the acquired company</w:t>
      </w:r>
      <w:r w:rsidR="00616AA7">
        <w:rPr>
          <w:rFonts w:eastAsia="SimSun"/>
          <w:kern w:val="0"/>
          <w:szCs w:val="24"/>
          <w:lang w:bidi="he-IL"/>
        </w:rPr>
        <w:t xml:space="preserve"> (“the WLR</w:t>
      </w:r>
      <w:r w:rsidR="00616AA7" w:rsidRPr="0082512E">
        <w:rPr>
          <w:rFonts w:eastAsia="SimSun"/>
          <w:kern w:val="0"/>
          <w:szCs w:val="24"/>
          <w:lang w:bidi="he-IL"/>
        </w:rPr>
        <w:t>K Subsample”)</w:t>
      </w:r>
      <w:r w:rsidRPr="0082512E">
        <w:rPr>
          <w:rFonts w:eastAsia="SimSun"/>
          <w:kern w:val="0"/>
          <w:szCs w:val="24"/>
          <w:lang w:bidi="he-IL"/>
        </w:rPr>
        <w:t xml:space="preserve">. Whereas these deals </w:t>
      </w:r>
      <w:r w:rsidR="0082512E" w:rsidRPr="0082512E">
        <w:rPr>
          <w:rFonts w:eastAsia="SimSun"/>
          <w:kern w:val="0"/>
          <w:szCs w:val="24"/>
          <w:lang w:bidi="he-IL"/>
        </w:rPr>
        <w:t>constituted about</w:t>
      </w:r>
      <w:r w:rsidRPr="0082512E">
        <w:rPr>
          <w:rFonts w:eastAsia="SimSun"/>
          <w:kern w:val="0"/>
          <w:szCs w:val="24"/>
          <w:lang w:bidi="he-IL"/>
        </w:rPr>
        <w:t xml:space="preserve"> </w:t>
      </w:r>
      <w:r w:rsidR="003F4DFF" w:rsidRPr="0082512E">
        <w:rPr>
          <w:rFonts w:eastAsia="SimSun"/>
          <w:kern w:val="0"/>
          <w:szCs w:val="24"/>
          <w:lang w:bidi="he-IL"/>
        </w:rPr>
        <w:t>15</w:t>
      </w:r>
      <w:r w:rsidRPr="0082512E">
        <w:rPr>
          <w:rFonts w:eastAsia="SimSun"/>
          <w:kern w:val="0"/>
          <w:szCs w:val="24"/>
          <w:lang w:bidi="he-IL"/>
        </w:rPr>
        <w:t xml:space="preserve">% of the sample, they </w:t>
      </w:r>
      <w:r w:rsidR="0085057B" w:rsidRPr="0082512E">
        <w:rPr>
          <w:rFonts w:eastAsia="SimSun"/>
          <w:kern w:val="0"/>
          <w:szCs w:val="24"/>
          <w:lang w:bidi="he-IL"/>
        </w:rPr>
        <w:t xml:space="preserve">were </w:t>
      </w:r>
      <w:r w:rsidR="00D814E3" w:rsidRPr="0082512E">
        <w:rPr>
          <w:rFonts w:eastAsia="SimSun"/>
          <w:kern w:val="0"/>
          <w:szCs w:val="24"/>
          <w:lang w:bidi="he-IL"/>
        </w:rPr>
        <w:t xml:space="preserve">on average </w:t>
      </w:r>
      <w:r w:rsidRPr="0082512E">
        <w:rPr>
          <w:rFonts w:eastAsia="SimSun"/>
          <w:kern w:val="0"/>
          <w:szCs w:val="24"/>
          <w:lang w:bidi="he-IL"/>
        </w:rPr>
        <w:t xml:space="preserve">significantly larger </w:t>
      </w:r>
      <w:r w:rsidR="00D814E3" w:rsidRPr="0082512E">
        <w:rPr>
          <w:rFonts w:eastAsia="SimSun"/>
          <w:kern w:val="0"/>
          <w:szCs w:val="24"/>
          <w:lang w:bidi="he-IL"/>
        </w:rPr>
        <w:t xml:space="preserve">and had an </w:t>
      </w:r>
      <w:r w:rsidRPr="0082512E">
        <w:rPr>
          <w:rFonts w:eastAsia="SimSun"/>
          <w:kern w:val="0"/>
          <w:szCs w:val="24"/>
          <w:lang w:bidi="he-IL"/>
        </w:rPr>
        <w:t>aggregate acquisition</w:t>
      </w:r>
      <w:r w:rsidRPr="00EE3477">
        <w:rPr>
          <w:rFonts w:eastAsia="SimSun"/>
          <w:kern w:val="0"/>
          <w:szCs w:val="24"/>
          <w:lang w:bidi="he-IL"/>
        </w:rPr>
        <w:t xml:space="preserve"> consideration exceeding $</w:t>
      </w:r>
      <w:r w:rsidR="003F4DFF" w:rsidRPr="00EE3477">
        <w:rPr>
          <w:rFonts w:eastAsia="SimSun"/>
          <w:kern w:val="0"/>
          <w:szCs w:val="24"/>
          <w:lang w:bidi="he-IL"/>
        </w:rPr>
        <w:t>1</w:t>
      </w:r>
      <w:r w:rsidR="003F4DFF">
        <w:rPr>
          <w:rFonts w:eastAsia="SimSun"/>
          <w:kern w:val="0"/>
          <w:szCs w:val="24"/>
          <w:lang w:bidi="he-IL"/>
        </w:rPr>
        <w:t>90</w:t>
      </w:r>
      <w:r w:rsidR="003F4DFF" w:rsidRPr="00EE3477">
        <w:rPr>
          <w:rFonts w:eastAsia="SimSun"/>
          <w:kern w:val="0"/>
          <w:szCs w:val="24"/>
          <w:lang w:bidi="he-IL"/>
        </w:rPr>
        <w:t xml:space="preserve"> </w:t>
      </w:r>
      <w:r w:rsidRPr="00EE3477">
        <w:rPr>
          <w:rFonts w:eastAsia="SimSun"/>
          <w:kern w:val="0"/>
          <w:szCs w:val="24"/>
          <w:lang w:bidi="he-IL"/>
        </w:rPr>
        <w:t xml:space="preserve">billion and representing about </w:t>
      </w:r>
      <w:r w:rsidR="003F4DFF" w:rsidRPr="00EE3477">
        <w:rPr>
          <w:rFonts w:eastAsia="SimSun"/>
          <w:kern w:val="0"/>
          <w:szCs w:val="24"/>
          <w:lang w:bidi="he-IL"/>
        </w:rPr>
        <w:t>2</w:t>
      </w:r>
      <w:r w:rsidR="003F4DFF">
        <w:rPr>
          <w:rFonts w:eastAsia="SimSun"/>
          <w:kern w:val="0"/>
          <w:szCs w:val="24"/>
          <w:lang w:bidi="he-IL"/>
        </w:rPr>
        <w:t>6</w:t>
      </w:r>
      <w:r w:rsidRPr="00EE3477">
        <w:rPr>
          <w:rFonts w:eastAsia="SimSun"/>
          <w:kern w:val="0"/>
          <w:szCs w:val="24"/>
          <w:lang w:bidi="he-IL"/>
        </w:rPr>
        <w:t xml:space="preserve">% of the total acquisition </w:t>
      </w:r>
      <w:r w:rsidR="00D814E3">
        <w:rPr>
          <w:rFonts w:eastAsia="SimSun"/>
          <w:kern w:val="0"/>
          <w:szCs w:val="24"/>
          <w:lang w:bidi="he-IL"/>
        </w:rPr>
        <w:t xml:space="preserve">consideration of our sample. </w:t>
      </w:r>
      <w:r w:rsidRPr="00EE3477">
        <w:rPr>
          <w:rFonts w:eastAsia="SimSun"/>
          <w:kern w:val="0"/>
          <w:szCs w:val="24"/>
          <w:lang w:bidi="he-IL"/>
        </w:rPr>
        <w:t xml:space="preserve">We then examined whether, given the presence of a stakeholder-oriented counsel, corporate leaders were </w:t>
      </w:r>
      <w:r w:rsidR="00AE6B96">
        <w:rPr>
          <w:rFonts w:eastAsia="SimSun"/>
          <w:kern w:val="0"/>
          <w:szCs w:val="24"/>
          <w:lang w:bidi="he-IL"/>
        </w:rPr>
        <w:t xml:space="preserve">more likely to negotiate for and include stakeholder protections in the deals of the WLRK Subsample. </w:t>
      </w:r>
    </w:p>
    <w:p w14:paraId="5119C5A8" w14:textId="4A38332F" w:rsidR="00AA0141" w:rsidRPr="007222C6" w:rsidRDefault="00AA0141" w:rsidP="00BC1EEE">
      <w:pPr>
        <w:suppressLineNumbers/>
        <w:tabs>
          <w:tab w:val="left" w:pos="0"/>
          <w:tab w:val="left" w:pos="440"/>
          <w:tab w:val="left" w:pos="620"/>
        </w:tabs>
        <w:ind w:firstLine="360"/>
        <w:rPr>
          <w:rFonts w:eastAsia="SimSun"/>
          <w:kern w:val="0"/>
          <w:szCs w:val="24"/>
          <w:lang w:bidi="he-IL"/>
        </w:rPr>
      </w:pPr>
      <w:r w:rsidRPr="00EE3477">
        <w:rPr>
          <w:rFonts w:eastAsia="SimSun"/>
          <w:kern w:val="0"/>
          <w:szCs w:val="24"/>
          <w:lang w:bidi="he-IL"/>
        </w:rPr>
        <w:t xml:space="preserve"> </w:t>
      </w:r>
      <w:r w:rsidR="00AE6B96">
        <w:rPr>
          <w:rFonts w:eastAsia="SimSun"/>
          <w:kern w:val="0"/>
          <w:szCs w:val="24"/>
          <w:lang w:bidi="he-IL"/>
        </w:rPr>
        <w:t xml:space="preserve">The analysis indicates that the deals in the </w:t>
      </w:r>
      <w:r w:rsidR="00EB0189">
        <w:rPr>
          <w:rFonts w:eastAsia="SimSun"/>
          <w:kern w:val="0"/>
          <w:szCs w:val="24"/>
          <w:lang w:bidi="he-IL"/>
        </w:rPr>
        <w:t xml:space="preserve">WLRK </w:t>
      </w:r>
      <w:r w:rsidR="0082512E">
        <w:rPr>
          <w:rFonts w:eastAsia="SimSun"/>
          <w:kern w:val="0"/>
          <w:szCs w:val="24"/>
          <w:lang w:bidi="he-IL"/>
        </w:rPr>
        <w:t>S</w:t>
      </w:r>
      <w:r w:rsidR="00EB0189">
        <w:rPr>
          <w:rFonts w:eastAsia="SimSun"/>
          <w:kern w:val="0"/>
          <w:szCs w:val="24"/>
          <w:lang w:bidi="he-IL"/>
        </w:rPr>
        <w:t>ubsample do not exhibit s</w:t>
      </w:r>
      <w:r w:rsidR="008C5A82">
        <w:rPr>
          <w:rFonts w:eastAsia="SimSun"/>
          <w:kern w:val="0"/>
          <w:szCs w:val="24"/>
          <w:lang w:bidi="he-IL"/>
        </w:rPr>
        <w:t xml:space="preserve">ubstantial </w:t>
      </w:r>
      <w:r w:rsidR="00EB0189">
        <w:rPr>
          <w:rFonts w:eastAsia="SimSun"/>
          <w:kern w:val="0"/>
          <w:szCs w:val="24"/>
          <w:lang w:bidi="he-IL"/>
        </w:rPr>
        <w:t xml:space="preserve">incidence of stakeholder protections. </w:t>
      </w:r>
      <w:r w:rsidRPr="00EE3477">
        <w:rPr>
          <w:rFonts w:eastAsia="SimSun"/>
          <w:kern w:val="0"/>
          <w:szCs w:val="24"/>
          <w:lang w:bidi="he-IL"/>
        </w:rPr>
        <w:t xml:space="preserve">None of the </w:t>
      </w:r>
      <w:r w:rsidR="00EB0189">
        <w:rPr>
          <w:rFonts w:eastAsia="SimSun"/>
          <w:kern w:val="0"/>
          <w:szCs w:val="24"/>
          <w:lang w:bidi="he-IL"/>
        </w:rPr>
        <w:t xml:space="preserve">deals in the WLRK </w:t>
      </w:r>
      <w:r w:rsidR="0082512E">
        <w:rPr>
          <w:rFonts w:eastAsia="SimSun"/>
          <w:kern w:val="0"/>
          <w:szCs w:val="24"/>
          <w:lang w:bidi="he-IL"/>
        </w:rPr>
        <w:t>S</w:t>
      </w:r>
      <w:r w:rsidR="00EB0189">
        <w:rPr>
          <w:rFonts w:eastAsia="SimSun"/>
          <w:kern w:val="0"/>
          <w:szCs w:val="24"/>
          <w:lang w:bidi="he-IL"/>
        </w:rPr>
        <w:t xml:space="preserve">ubsample included any protections to employees vis-à-vis the risk of layoffs. </w:t>
      </w:r>
      <w:r w:rsidR="008C5A82">
        <w:rPr>
          <w:rFonts w:eastAsia="SimSun"/>
          <w:kern w:val="0"/>
          <w:szCs w:val="24"/>
          <w:lang w:bidi="he-IL"/>
        </w:rPr>
        <w:t xml:space="preserve">Similarly, </w:t>
      </w:r>
      <w:r w:rsidRPr="00EE3477">
        <w:rPr>
          <w:rFonts w:eastAsia="SimSun"/>
          <w:kern w:val="0"/>
          <w:szCs w:val="24"/>
          <w:lang w:bidi="he-IL"/>
        </w:rPr>
        <w:t xml:space="preserve">none of the </w:t>
      </w:r>
      <w:r w:rsidR="008C5A82">
        <w:rPr>
          <w:rFonts w:eastAsia="SimSun"/>
          <w:kern w:val="0"/>
          <w:szCs w:val="24"/>
          <w:lang w:bidi="he-IL"/>
        </w:rPr>
        <w:t xml:space="preserve">deals in this Subsample </w:t>
      </w:r>
      <w:r w:rsidRPr="00EE3477">
        <w:rPr>
          <w:rFonts w:eastAsia="SimSun"/>
          <w:kern w:val="0"/>
          <w:szCs w:val="24"/>
          <w:lang w:bidi="he-IL"/>
        </w:rPr>
        <w:t xml:space="preserve">contained </w:t>
      </w:r>
      <w:r w:rsidR="008C5A82">
        <w:rPr>
          <w:rFonts w:eastAsia="SimSun"/>
          <w:kern w:val="0"/>
          <w:szCs w:val="24"/>
          <w:lang w:bidi="he-IL"/>
        </w:rPr>
        <w:t xml:space="preserve">provisions in </w:t>
      </w:r>
      <w:r w:rsidRPr="00EE3477">
        <w:rPr>
          <w:rFonts w:eastAsia="SimSun"/>
          <w:kern w:val="0"/>
          <w:szCs w:val="24"/>
          <w:lang w:bidi="he-IL"/>
        </w:rPr>
        <w:t>favor of customers, suppliers, creditors or the environment. A</w:t>
      </w:r>
      <w:r w:rsidR="008C5A82">
        <w:rPr>
          <w:rFonts w:eastAsia="SimSun"/>
          <w:kern w:val="0"/>
          <w:szCs w:val="24"/>
          <w:lang w:bidi="he-IL"/>
        </w:rPr>
        <w:t xml:space="preserve">nd the majority of the deals in the </w:t>
      </w:r>
      <w:r w:rsidR="00BC1EEE">
        <w:rPr>
          <w:rFonts w:eastAsia="SimSun"/>
          <w:kern w:val="0"/>
          <w:szCs w:val="24"/>
          <w:lang w:bidi="he-IL"/>
        </w:rPr>
        <w:t xml:space="preserve">WLRK Subsample did not even include </w:t>
      </w:r>
      <w:r w:rsidR="008C5A82">
        <w:rPr>
          <w:rFonts w:eastAsia="SimSun"/>
          <w:kern w:val="0"/>
          <w:szCs w:val="24"/>
          <w:lang w:bidi="he-IL"/>
        </w:rPr>
        <w:t xml:space="preserve">(soft) pledges to </w:t>
      </w:r>
      <w:r w:rsidR="00BC1EEE">
        <w:rPr>
          <w:rFonts w:eastAsia="SimSun"/>
          <w:kern w:val="0"/>
          <w:szCs w:val="24"/>
          <w:lang w:bidi="he-IL"/>
        </w:rPr>
        <w:t xml:space="preserve">retain, at least for some specified time, </w:t>
      </w:r>
      <w:r w:rsidR="008C5A82">
        <w:rPr>
          <w:rFonts w:eastAsia="SimSun"/>
          <w:kern w:val="0"/>
          <w:szCs w:val="24"/>
          <w:lang w:bidi="he-IL"/>
        </w:rPr>
        <w:t xml:space="preserve">investments or philanthropic activities in local communities or the </w:t>
      </w:r>
      <w:r w:rsidR="00BC1EEE">
        <w:rPr>
          <w:rFonts w:eastAsia="SimSun"/>
          <w:kern w:val="0"/>
          <w:szCs w:val="24"/>
          <w:lang w:bidi="he-IL"/>
        </w:rPr>
        <w:t xml:space="preserve">location of the company’s headquarters. Overall, the evidence does not support the argument that our findings in Part V were driven by the influence of counsel. </w:t>
      </w:r>
    </w:p>
    <w:p w14:paraId="64C0A235" w14:textId="77777777" w:rsidR="00AA0141" w:rsidRPr="007222C6" w:rsidRDefault="00AA0141" w:rsidP="00AA0141">
      <w:pPr>
        <w:pStyle w:val="Heading2"/>
        <w:rPr>
          <w:rFonts w:eastAsia="SimSun"/>
          <w:lang w:bidi="he-IL"/>
        </w:rPr>
      </w:pPr>
      <w:bookmarkStart w:id="13" w:name="_Toc89373864"/>
      <w:bookmarkStart w:id="14" w:name="_Toc89245939"/>
      <w:r>
        <w:rPr>
          <w:rFonts w:eastAsia="SimSun"/>
          <w:lang w:bidi="he-IL"/>
        </w:rPr>
        <w:lastRenderedPageBreak/>
        <w:t>Deals Governed by Constituency Statutes</w:t>
      </w:r>
      <w:bookmarkEnd w:id="13"/>
      <w:bookmarkEnd w:id="14"/>
    </w:p>
    <w:p w14:paraId="37BB9CB9" w14:textId="77777777" w:rsidR="00E62F90" w:rsidRPr="00EE3477" w:rsidRDefault="00E62F90" w:rsidP="00E62F90">
      <w:pPr>
        <w:rPr>
          <w:rFonts w:eastAsia="SimSun"/>
          <w:lang w:bidi="he-IL"/>
        </w:rPr>
      </w:pPr>
      <w:r w:rsidRPr="00EE3477">
        <w:rPr>
          <w:rFonts w:eastAsia="SimSun"/>
          <w:lang w:bidi="he-IL"/>
        </w:rPr>
        <w:t xml:space="preserve">It might be argued that, as long as the target is incorporated in Delaware, </w:t>
      </w:r>
      <w:r>
        <w:rPr>
          <w:rFonts w:eastAsia="SimSun"/>
          <w:lang w:bidi="he-IL"/>
        </w:rPr>
        <w:t xml:space="preserve">and </w:t>
      </w:r>
      <w:r w:rsidRPr="00833344">
        <w:rPr>
          <w:rFonts w:eastAsia="SimSun"/>
          <w:lang w:bidi="he-IL"/>
        </w:rPr>
        <w:t>regardless of the identity of the target’s counsel,</w:t>
      </w:r>
      <w:r>
        <w:rPr>
          <w:rFonts w:eastAsia="SimSun"/>
          <w:lang w:bidi="he-IL"/>
        </w:rPr>
        <w:t xml:space="preserve"> the target’s </w:t>
      </w:r>
      <w:r w:rsidRPr="00EE3477">
        <w:rPr>
          <w:rFonts w:eastAsia="SimSun"/>
          <w:lang w:bidi="he-IL"/>
        </w:rPr>
        <w:t xml:space="preserve">corporate leaders might be influenced by </w:t>
      </w:r>
      <w:r>
        <w:rPr>
          <w:rFonts w:eastAsia="SimSun"/>
          <w:lang w:bidi="he-IL"/>
        </w:rPr>
        <w:t xml:space="preserve">Delaware’s </w:t>
      </w:r>
      <w:r w:rsidRPr="00EE3477">
        <w:rPr>
          <w:rFonts w:eastAsia="SimSun"/>
          <w:lang w:bidi="he-IL"/>
        </w:rPr>
        <w:t xml:space="preserve">shareholder-focused approach. On this view, because a majority of the targets in our sample were incorporated in Delaware, Delaware’s pro-shareholders approach, or at least the perception </w:t>
      </w:r>
      <w:r>
        <w:rPr>
          <w:rFonts w:eastAsia="SimSun"/>
          <w:lang w:bidi="he-IL"/>
        </w:rPr>
        <w:t xml:space="preserve">by corporate leaders that is </w:t>
      </w:r>
      <w:r w:rsidRPr="00EE3477">
        <w:rPr>
          <w:rFonts w:eastAsia="SimSun"/>
          <w:lang w:bidi="he-IL"/>
        </w:rPr>
        <w:t xml:space="preserve">has such an approach, could </w:t>
      </w:r>
      <w:r>
        <w:rPr>
          <w:rFonts w:eastAsia="SimSun"/>
          <w:lang w:bidi="he-IL"/>
        </w:rPr>
        <w:t xml:space="preserve">drive </w:t>
      </w:r>
      <w:r w:rsidRPr="00EE3477">
        <w:rPr>
          <w:rFonts w:eastAsia="SimSun"/>
          <w:lang w:bidi="he-IL"/>
        </w:rPr>
        <w:t>our findings in Part</w:t>
      </w:r>
      <w:r>
        <w:rPr>
          <w:rFonts w:eastAsia="SimSun"/>
          <w:lang w:bidi="he-IL"/>
        </w:rPr>
        <w:t xml:space="preserve"> V</w:t>
      </w:r>
      <w:r w:rsidRPr="00EE3477">
        <w:rPr>
          <w:rFonts w:eastAsia="SimSun"/>
          <w:lang w:bidi="he-IL"/>
        </w:rPr>
        <w:t>.</w:t>
      </w:r>
    </w:p>
    <w:p w14:paraId="3378250C" w14:textId="77777777" w:rsidR="00E62F90" w:rsidRPr="00EE3477" w:rsidRDefault="00E62F90" w:rsidP="00E62F90">
      <w:pPr>
        <w:rPr>
          <w:rFonts w:eastAsia="SimSun"/>
          <w:lang w:bidi="he-IL"/>
        </w:rPr>
      </w:pPr>
      <w:r w:rsidRPr="00EE3477">
        <w:rPr>
          <w:rFonts w:eastAsia="SimSun"/>
          <w:lang w:bidi="he-IL"/>
        </w:rPr>
        <w:t xml:space="preserve">It is worth noting that, to the extent that Delaware incorporation provides </w:t>
      </w:r>
      <w:r>
        <w:rPr>
          <w:rFonts w:eastAsia="SimSun"/>
          <w:lang w:bidi="he-IL"/>
        </w:rPr>
        <w:t xml:space="preserve">a substantial </w:t>
      </w:r>
      <w:r w:rsidRPr="00EE3477">
        <w:rPr>
          <w:rFonts w:eastAsia="SimSun"/>
          <w:lang w:bidi="he-IL"/>
        </w:rPr>
        <w:t xml:space="preserve">impediment to stakeholder-favoring choices, that would by itself imply that </w:t>
      </w:r>
      <w:proofErr w:type="spellStart"/>
      <w:r w:rsidRPr="00EE3477">
        <w:rPr>
          <w:rFonts w:eastAsia="SimSun"/>
          <w:lang w:bidi="he-IL"/>
        </w:rPr>
        <w:t>stakeholderism</w:t>
      </w:r>
      <w:proofErr w:type="spellEnd"/>
      <w:r w:rsidRPr="00EE3477">
        <w:rPr>
          <w:rFonts w:eastAsia="SimSun"/>
          <w:lang w:bidi="he-IL"/>
        </w:rPr>
        <w:t xml:space="preserve"> cannot </w:t>
      </w:r>
      <w:r>
        <w:rPr>
          <w:rFonts w:eastAsia="SimSun"/>
          <w:lang w:bidi="he-IL"/>
        </w:rPr>
        <w:t xml:space="preserve">currently </w:t>
      </w:r>
      <w:r w:rsidRPr="00EE3477">
        <w:rPr>
          <w:rFonts w:eastAsia="SimSun"/>
          <w:lang w:bidi="he-IL"/>
        </w:rPr>
        <w:t>be relied on to produce substantial benefits to stakeholders of</w:t>
      </w:r>
      <w:r>
        <w:rPr>
          <w:rFonts w:eastAsia="SimSun"/>
          <w:lang w:bidi="he-IL"/>
        </w:rPr>
        <w:t xml:space="preserve"> most</w:t>
      </w:r>
      <w:r w:rsidRPr="00EE3477">
        <w:rPr>
          <w:rFonts w:eastAsia="SimSun"/>
          <w:lang w:bidi="he-IL"/>
        </w:rPr>
        <w:t xml:space="preserve"> U.S. companies</w:t>
      </w:r>
      <w:r>
        <w:rPr>
          <w:rFonts w:eastAsia="SimSun"/>
          <w:lang w:bidi="he-IL"/>
        </w:rPr>
        <w:t xml:space="preserve">. To the extent that Delaware incorporations can be expected to preclude corporate leaders from serving stakeholder interests, because </w:t>
      </w:r>
      <w:r w:rsidRPr="00EE3477">
        <w:rPr>
          <w:rFonts w:eastAsia="SimSun"/>
          <w:lang w:bidi="he-IL"/>
        </w:rPr>
        <w:t>a majority of U.S. public companies are currently incorporated in Delaware</w:t>
      </w:r>
      <w:r>
        <w:rPr>
          <w:rFonts w:eastAsia="SimSun"/>
          <w:lang w:bidi="he-IL"/>
        </w:rPr>
        <w:t xml:space="preserve">, the leaders of these companies should not be expected to make the kind of choices on which </w:t>
      </w:r>
      <w:proofErr w:type="spellStart"/>
      <w:r>
        <w:rPr>
          <w:rFonts w:eastAsia="SimSun"/>
          <w:lang w:bidi="he-IL"/>
        </w:rPr>
        <w:t>stakeholderists</w:t>
      </w:r>
      <w:proofErr w:type="spellEnd"/>
      <w:r>
        <w:rPr>
          <w:rFonts w:eastAsia="SimSun"/>
          <w:lang w:bidi="he-IL"/>
        </w:rPr>
        <w:t xml:space="preserve"> rely</w:t>
      </w:r>
      <w:r w:rsidRPr="00EE3477">
        <w:rPr>
          <w:rFonts w:eastAsia="SimSun"/>
          <w:lang w:bidi="he-IL"/>
        </w:rPr>
        <w:t xml:space="preserve">. </w:t>
      </w:r>
    </w:p>
    <w:p w14:paraId="23320DE9" w14:textId="77777777" w:rsidR="00E62F90" w:rsidRDefault="00E62F90" w:rsidP="00E62F90">
      <w:pPr>
        <w:rPr>
          <w:rFonts w:eastAsia="SimSun"/>
          <w:lang w:bidi="he-IL"/>
        </w:rPr>
      </w:pPr>
      <w:r w:rsidRPr="00EE3477">
        <w:rPr>
          <w:rFonts w:eastAsia="SimSun"/>
          <w:lang w:bidi="he-IL"/>
        </w:rPr>
        <w:t xml:space="preserve">In any event, to explore </w:t>
      </w:r>
      <w:r>
        <w:rPr>
          <w:rFonts w:eastAsia="SimSun"/>
          <w:lang w:bidi="he-IL"/>
        </w:rPr>
        <w:t xml:space="preserve">empirically the argument that Delaware incorporations drive Part V’s findings, </w:t>
      </w:r>
      <w:r w:rsidRPr="00EE3477">
        <w:rPr>
          <w:rFonts w:eastAsia="SimSun"/>
          <w:lang w:bidi="he-IL"/>
        </w:rPr>
        <w:t xml:space="preserve">we </w:t>
      </w:r>
      <w:r>
        <w:rPr>
          <w:rFonts w:eastAsia="SimSun"/>
          <w:lang w:bidi="he-IL"/>
        </w:rPr>
        <w:t xml:space="preserve">examined </w:t>
      </w:r>
      <w:r w:rsidRPr="00EE3477">
        <w:rPr>
          <w:rFonts w:eastAsia="SimSun"/>
          <w:lang w:bidi="he-IL"/>
        </w:rPr>
        <w:t>the subset of companies that were incorporated in states with constituency statutes. By adopting such statutes, these states made it patently clear t</w:t>
      </w:r>
      <w:r>
        <w:rPr>
          <w:rFonts w:eastAsia="SimSun"/>
          <w:lang w:bidi="he-IL"/>
        </w:rPr>
        <w:t xml:space="preserve">o corporate leaders that they do not share </w:t>
      </w:r>
      <w:r w:rsidRPr="00EE3477">
        <w:rPr>
          <w:rFonts w:eastAsia="SimSun"/>
          <w:lang w:bidi="he-IL"/>
        </w:rPr>
        <w:t>whatever shareholder</w:t>
      </w:r>
      <w:r>
        <w:rPr>
          <w:rFonts w:eastAsia="SimSun"/>
          <w:lang w:bidi="he-IL"/>
        </w:rPr>
        <w:t>-centric</w:t>
      </w:r>
      <w:r w:rsidRPr="00EE3477">
        <w:rPr>
          <w:rFonts w:eastAsia="SimSun"/>
          <w:lang w:bidi="he-IL"/>
        </w:rPr>
        <w:t xml:space="preserve"> approach characterizes Delaware law. </w:t>
      </w:r>
      <w:r>
        <w:rPr>
          <w:rFonts w:eastAsia="SimSun"/>
          <w:lang w:bidi="he-IL"/>
        </w:rPr>
        <w:t>We identified in our sample 12</w:t>
      </w:r>
      <w:r w:rsidRPr="00EE3477">
        <w:rPr>
          <w:rFonts w:eastAsia="SimSun"/>
          <w:lang w:bidi="he-IL"/>
        </w:rPr>
        <w:t xml:space="preserve"> </w:t>
      </w:r>
      <w:r>
        <w:rPr>
          <w:rFonts w:eastAsia="SimSun"/>
          <w:lang w:bidi="he-IL"/>
        </w:rPr>
        <w:t xml:space="preserve">acquisitions of companies incorporated in states with </w:t>
      </w:r>
      <w:r w:rsidRPr="00EE3477">
        <w:rPr>
          <w:rFonts w:eastAsia="SimSun"/>
          <w:lang w:bidi="he-IL"/>
        </w:rPr>
        <w:t>constituency statutes</w:t>
      </w:r>
      <w:r>
        <w:rPr>
          <w:rFonts w:eastAsia="SimSun"/>
          <w:lang w:bidi="he-IL"/>
        </w:rPr>
        <w:t xml:space="preserve"> (“the Constituency-Statutes Subsample”). </w:t>
      </w:r>
    </w:p>
    <w:p w14:paraId="524C613C" w14:textId="77777777" w:rsidR="00E62F90" w:rsidRDefault="00E62F90" w:rsidP="00E62F90">
      <w:pPr>
        <w:rPr>
          <w:rFonts w:eastAsia="SimSun"/>
          <w:lang w:bidi="he-IL"/>
        </w:rPr>
      </w:pPr>
      <w:r>
        <w:rPr>
          <w:rFonts w:eastAsia="SimSun"/>
          <w:lang w:bidi="he-IL"/>
        </w:rPr>
        <w:t xml:space="preserve">To the extent that Delaware incorporations drove Part V’s findings, we should expect stakeholders to receive more protections in the Constituency-Statutes Subsample than in our entire sample. We found, however, that </w:t>
      </w:r>
      <w:r w:rsidRPr="00EE3477">
        <w:rPr>
          <w:rFonts w:eastAsia="SimSun"/>
          <w:lang w:bidi="he-IL"/>
        </w:rPr>
        <w:t xml:space="preserve">stakeholder interests </w:t>
      </w:r>
      <w:r>
        <w:rPr>
          <w:rFonts w:eastAsia="SimSun"/>
          <w:lang w:bidi="he-IL"/>
        </w:rPr>
        <w:t xml:space="preserve">were not more protected in deals in the Constituency Statutes Subsample than in </w:t>
      </w:r>
      <w:r w:rsidRPr="00EE3477">
        <w:rPr>
          <w:rFonts w:eastAsia="SimSun"/>
          <w:lang w:bidi="he-IL"/>
        </w:rPr>
        <w:t xml:space="preserve">other subsets of our sample. </w:t>
      </w:r>
    </w:p>
    <w:p w14:paraId="573B2079" w14:textId="77777777" w:rsidR="00E62F90" w:rsidRDefault="00E62F90" w:rsidP="00E62F90">
      <w:pPr>
        <w:rPr>
          <w:rFonts w:eastAsia="SimSun"/>
          <w:lang w:bidi="he-IL"/>
        </w:rPr>
      </w:pPr>
      <w:r>
        <w:rPr>
          <w:rFonts w:eastAsia="SimSun"/>
          <w:lang w:bidi="he-IL"/>
        </w:rPr>
        <w:t xml:space="preserve">In particular, we found that none of the deals in the Constituency-Statutes Subsample did not provide employees with any protection against the risk of reduced employment; no deal included either provisions that provide some compensation to laid-off employees or provisions that limit the scale, timing, or pace of layoffs. In addition, none of the deals in the considered subsample included any protections for </w:t>
      </w:r>
      <w:r w:rsidRPr="00EE3477">
        <w:rPr>
          <w:rFonts w:eastAsia="SimSun"/>
          <w:lang w:bidi="he-IL"/>
        </w:rPr>
        <w:t>customers, suppliers, creditors or the environment</w:t>
      </w:r>
      <w:r>
        <w:rPr>
          <w:rFonts w:eastAsia="SimSun"/>
          <w:lang w:bidi="he-IL"/>
        </w:rPr>
        <w:t xml:space="preserve">. And only one of the deals included a (soft) pledge in </w:t>
      </w:r>
      <w:r w:rsidRPr="00EE3477">
        <w:rPr>
          <w:rFonts w:eastAsia="SimSun"/>
          <w:lang w:bidi="he-IL"/>
        </w:rPr>
        <w:t>favor of local communities</w:t>
      </w:r>
      <w:r>
        <w:rPr>
          <w:rFonts w:eastAsia="SimSun"/>
          <w:lang w:bidi="he-IL"/>
        </w:rPr>
        <w:t xml:space="preserve">. Thus, the evidence does not support the view that Part V’s general findings were driven by the large number of Delaware companies. </w:t>
      </w:r>
    </w:p>
    <w:p w14:paraId="1259AE75" w14:textId="77777777" w:rsidR="00E62F90" w:rsidRDefault="00E62F90" w:rsidP="00E62F90">
      <w:pPr>
        <w:pStyle w:val="Heading2"/>
        <w:rPr>
          <w:rFonts w:eastAsia="SimSun"/>
          <w:lang w:bidi="he-IL"/>
        </w:rPr>
      </w:pPr>
      <w:bookmarkStart w:id="15" w:name="_Toc89373865"/>
      <w:bookmarkStart w:id="16" w:name="_Toc89245940"/>
      <w:r>
        <w:rPr>
          <w:rFonts w:eastAsia="SimSun"/>
          <w:lang w:bidi="he-IL"/>
        </w:rPr>
        <w:t>Sales of Targets with High ESG Ratings</w:t>
      </w:r>
      <w:bookmarkEnd w:id="15"/>
      <w:bookmarkEnd w:id="16"/>
    </w:p>
    <w:p w14:paraId="15867295" w14:textId="77777777" w:rsidR="00E62F90" w:rsidRPr="004C40A8" w:rsidRDefault="00E62F90" w:rsidP="00E62F90">
      <w:pPr>
        <w:rPr>
          <w:rFonts w:eastAsia="SimSun"/>
        </w:rPr>
      </w:pPr>
      <w:r>
        <w:rPr>
          <w:rFonts w:eastAsia="SimSun"/>
        </w:rPr>
        <w:t xml:space="preserve">Another potential argument that we wish to consider is that Part V’s findings might have been due to targets </w:t>
      </w:r>
      <w:r w:rsidRPr="004C40A8">
        <w:rPr>
          <w:rFonts w:eastAsia="SimSun"/>
        </w:rPr>
        <w:t xml:space="preserve">in our sample being </w:t>
      </w:r>
      <w:r>
        <w:rPr>
          <w:rFonts w:eastAsia="SimSun"/>
        </w:rPr>
        <w:t xml:space="preserve">mostly </w:t>
      </w:r>
      <w:r>
        <w:rPr>
          <w:rFonts w:eastAsia="SimSun"/>
        </w:rPr>
        <w:lastRenderedPageBreak/>
        <w:t xml:space="preserve">companies that were much </w:t>
      </w:r>
      <w:r w:rsidRPr="004C40A8">
        <w:rPr>
          <w:rFonts w:eastAsia="SimSun"/>
        </w:rPr>
        <w:t xml:space="preserve">less stakeholder-oriented than other public companies. </w:t>
      </w:r>
      <w:r>
        <w:rPr>
          <w:rFonts w:eastAsia="SimSun"/>
        </w:rPr>
        <w:t xml:space="preserve">On this view, companies that are stakeholder-oriented should be expected to remain independent and be reluctant to be acquired, especially </w:t>
      </w:r>
      <w:r w:rsidRPr="004C40A8">
        <w:rPr>
          <w:rFonts w:eastAsia="SimSun"/>
        </w:rPr>
        <w:t xml:space="preserve">during </w:t>
      </w:r>
      <w:r>
        <w:rPr>
          <w:rFonts w:eastAsia="SimSun"/>
        </w:rPr>
        <w:t xml:space="preserve">a </w:t>
      </w:r>
      <w:r w:rsidRPr="004C40A8">
        <w:rPr>
          <w:rFonts w:eastAsia="SimSun"/>
        </w:rPr>
        <w:t>pandemic</w:t>
      </w:r>
      <w:r>
        <w:rPr>
          <w:rFonts w:eastAsia="SimSun"/>
        </w:rPr>
        <w:t xml:space="preserve">. Accordingly, due to self-selection, </w:t>
      </w:r>
      <w:r w:rsidRPr="004C40A8">
        <w:rPr>
          <w:rFonts w:eastAsia="SimSun"/>
        </w:rPr>
        <w:t>stakeholder-oriented companies were disproportionately absent from our sample</w:t>
      </w:r>
      <w:r>
        <w:rPr>
          <w:rFonts w:eastAsia="SimSun"/>
        </w:rPr>
        <w:t xml:space="preserve">, which consequently was not representative of the </w:t>
      </w:r>
      <w:proofErr w:type="spellStart"/>
      <w:r>
        <w:rPr>
          <w:rFonts w:eastAsia="SimSun"/>
        </w:rPr>
        <w:t>stakeholderist</w:t>
      </w:r>
      <w:proofErr w:type="spellEnd"/>
      <w:r>
        <w:rPr>
          <w:rFonts w:eastAsia="SimSun"/>
        </w:rPr>
        <w:t xml:space="preserve"> inclinations of companies in general, and this factor drove our findings regarding the lack of stakeholder protections. </w:t>
      </w:r>
    </w:p>
    <w:p w14:paraId="61E67AD2" w14:textId="77777777" w:rsidR="00E62F90" w:rsidRPr="004C40A8" w:rsidRDefault="00E62F90" w:rsidP="00E62F90">
      <w:pPr>
        <w:rPr>
          <w:rFonts w:eastAsia="SimSun"/>
        </w:rPr>
      </w:pPr>
      <w:r w:rsidRPr="004C40A8">
        <w:rPr>
          <w:rFonts w:eastAsia="SimSun"/>
        </w:rPr>
        <w:t xml:space="preserve">There are good reasons, however, not to expect </w:t>
      </w:r>
      <w:r>
        <w:rPr>
          <w:rFonts w:eastAsia="SimSun"/>
        </w:rPr>
        <w:t xml:space="preserve">companies that are stakeholder-oriented not to be generally unwilling to be acquired. When a sale of a company would produce substantial surplus, stakeholder-oriented corporate leaders should still be expected to agree to an acquisition; such leaders should just seek to ensure that, by adding adequate stakeholder protections, the division of surplus would be such that stakeholders share in the gains increase, or at least would not be made worse off. </w:t>
      </w:r>
    </w:p>
    <w:p w14:paraId="6202A912" w14:textId="77777777" w:rsidR="00E62F90" w:rsidRDefault="00E62F90" w:rsidP="00E62F90">
      <w:pPr>
        <w:rPr>
          <w:rFonts w:eastAsia="SimSun"/>
        </w:rPr>
      </w:pPr>
      <w:r w:rsidRPr="004C40A8">
        <w:rPr>
          <w:rFonts w:eastAsia="SimSun"/>
        </w:rPr>
        <w:t>In any event, to test th</w:t>
      </w:r>
      <w:r>
        <w:rPr>
          <w:rFonts w:eastAsia="SimSun"/>
        </w:rPr>
        <w:t xml:space="preserve">e considered argument empirically, </w:t>
      </w:r>
      <w:r w:rsidRPr="004C40A8">
        <w:rPr>
          <w:rFonts w:eastAsia="SimSun"/>
        </w:rPr>
        <w:t>we identified a set of companies in our sa</w:t>
      </w:r>
      <w:r>
        <w:rPr>
          <w:rFonts w:eastAsia="SimSun"/>
        </w:rPr>
        <w:t>mple that had relatively high ESG ratings.</w:t>
      </w:r>
      <w:r w:rsidRPr="004C40A8">
        <w:rPr>
          <w:rFonts w:eastAsia="SimSun"/>
        </w:rPr>
        <w:t xml:space="preserve"> </w:t>
      </w:r>
      <w:r>
        <w:rPr>
          <w:rFonts w:eastAsia="SimSun"/>
        </w:rPr>
        <w:t xml:space="preserve">To this end, we </w:t>
      </w:r>
      <w:r w:rsidRPr="004C40A8">
        <w:rPr>
          <w:rFonts w:eastAsia="SimSun"/>
        </w:rPr>
        <w:t>collected from</w:t>
      </w:r>
      <w:r>
        <w:rPr>
          <w:rFonts w:eastAsia="SimSun"/>
        </w:rPr>
        <w:t xml:space="preserve"> three different sources of ESG ratings -- </w:t>
      </w:r>
      <w:r w:rsidRPr="004C40A8">
        <w:rPr>
          <w:rFonts w:eastAsia="SimSun"/>
        </w:rPr>
        <w:t>the JUST Capital database</w:t>
      </w:r>
      <w:r>
        <w:rPr>
          <w:rFonts w:eastAsia="SimSun"/>
        </w:rPr>
        <w:t>,</w:t>
      </w:r>
      <w:r>
        <w:rPr>
          <w:rStyle w:val="FootnoteReference"/>
          <w:rFonts w:eastAsia="SimSun"/>
        </w:rPr>
        <w:footnoteReference w:id="14"/>
      </w:r>
      <w:r>
        <w:rPr>
          <w:rFonts w:eastAsia="SimSun"/>
        </w:rPr>
        <w:t xml:space="preserve"> </w:t>
      </w:r>
      <w:proofErr w:type="spellStart"/>
      <w:r w:rsidRPr="00043C4C">
        <w:t>Sustainalytics</w:t>
      </w:r>
      <w:proofErr w:type="spellEnd"/>
      <w:r>
        <w:t>,</w:t>
      </w:r>
      <w:r>
        <w:rPr>
          <w:rStyle w:val="FootnoteReference"/>
        </w:rPr>
        <w:footnoteReference w:id="15"/>
      </w:r>
      <w:r>
        <w:t xml:space="preserve"> and </w:t>
      </w:r>
      <w:r w:rsidRPr="00043C4C">
        <w:t>Employment Impact Data</w:t>
      </w:r>
      <w:r>
        <w:t>.</w:t>
      </w:r>
      <w:r>
        <w:rPr>
          <w:rStyle w:val="FootnoteReference"/>
          <w:rFonts w:eastAsia="SimSun"/>
        </w:rPr>
        <w:footnoteReference w:id="16"/>
      </w:r>
      <w:r w:rsidRPr="004C40A8">
        <w:rPr>
          <w:rFonts w:eastAsia="SimSun"/>
        </w:rPr>
        <w:t xml:space="preserve"> </w:t>
      </w:r>
      <w:r>
        <w:rPr>
          <w:rFonts w:eastAsia="SimSun"/>
        </w:rPr>
        <w:t xml:space="preserve">Our data provides metrics with respect to each company’s treatment of several stakeholder groups, and we have been able to find metrics with respect to the treatment of employees for a majority of the companies in our sample. Using this data, we calculated for each company whether its rating with respect to the treatment of employees was above-average or below-average in its industry. </w:t>
      </w:r>
    </w:p>
    <w:p w14:paraId="4B13FA76" w14:textId="77777777" w:rsidR="00CF6CE8" w:rsidRDefault="00E62F90" w:rsidP="00CF6CE8">
      <w:pPr>
        <w:rPr>
          <w:rFonts w:eastAsia="SimSun"/>
        </w:rPr>
      </w:pPr>
      <w:r>
        <w:rPr>
          <w:rFonts w:eastAsia="SimSun"/>
        </w:rPr>
        <w:t>Under the considered hypothesis, deals to acquire targets with above-</w:t>
      </w:r>
      <w:r>
        <w:rPr>
          <w:rFonts w:eastAsia="SimSun"/>
        </w:rPr>
        <w:lastRenderedPageBreak/>
        <w:t xml:space="preserve">average ratings with respect to employees should be expected to involve higher incidence of employee protections in their deal terms. Our analysis, however, indicates that this hypothesis is not supported by the data. In particular, in subsample of deals to acquire companies with above-average ratings with respect to employees that we have in our sample, deal terms still did not include provisions that protect employees against the risk of layoffs. Thus, the evidence does not support the view that Part V’s findings are driven by the substantial under-representation of stakeholder-oriented companies in our </w:t>
      </w:r>
      <w:r w:rsidR="00CF6CE8">
        <w:rPr>
          <w:rFonts w:eastAsia="SimSun"/>
        </w:rPr>
        <w:t xml:space="preserve">sample. </w:t>
      </w:r>
    </w:p>
    <w:p w14:paraId="388222F7" w14:textId="77777777" w:rsidR="00CF6CE8" w:rsidRDefault="00CF6CE8" w:rsidP="00CF6CE8">
      <w:pPr>
        <w:pStyle w:val="Heading2"/>
        <w:rPr>
          <w:rFonts w:eastAsia="SimSun"/>
        </w:rPr>
      </w:pPr>
      <w:bookmarkStart w:id="17" w:name="_Toc89373866"/>
      <w:bookmarkStart w:id="18" w:name="_Toc89245941"/>
      <w:r>
        <w:rPr>
          <w:rFonts w:eastAsia="SimSun"/>
        </w:rPr>
        <w:t>Sales to Buyers with Poor ESG Ratings</w:t>
      </w:r>
      <w:bookmarkEnd w:id="17"/>
      <w:bookmarkEnd w:id="18"/>
    </w:p>
    <w:p w14:paraId="7384388A" w14:textId="77777777" w:rsidR="00CF6CE8" w:rsidRPr="004C40A8" w:rsidRDefault="00CF6CE8" w:rsidP="00CF6CE8">
      <w:pPr>
        <w:rPr>
          <w:rFonts w:eastAsia="SimSun"/>
        </w:rPr>
      </w:pPr>
      <w:r>
        <w:rPr>
          <w:rFonts w:eastAsia="SimSun"/>
        </w:rPr>
        <w:t xml:space="preserve">Yet another potential argument is that the stakeholder orientation of corporate leaders might have been reflected in their choosing </w:t>
      </w:r>
      <w:r w:rsidRPr="004C40A8">
        <w:rPr>
          <w:rFonts w:eastAsia="SimSun"/>
        </w:rPr>
        <w:t>stakeholder-oriented buyers</w:t>
      </w:r>
      <w:r>
        <w:rPr>
          <w:rFonts w:eastAsia="SimSun"/>
        </w:rPr>
        <w:t xml:space="preserve"> in the first place. On this view, this selection of buyers made stakeholder protections completely unnecessary as the target’s corporate leaders had good basis for expecting stakeholders to fare well after the deal. </w:t>
      </w:r>
    </w:p>
    <w:p w14:paraId="327A0C08" w14:textId="77777777" w:rsidR="00CF6CE8" w:rsidRDefault="00CF6CE8" w:rsidP="00CF6CE8">
      <w:pPr>
        <w:rPr>
          <w:rFonts w:eastAsia="SimSun"/>
        </w:rPr>
      </w:pPr>
      <w:r>
        <w:rPr>
          <w:rFonts w:eastAsia="SimSun"/>
        </w:rPr>
        <w:t xml:space="preserve">At the level of theory, however, there </w:t>
      </w:r>
      <w:r w:rsidRPr="004C40A8">
        <w:rPr>
          <w:rFonts w:eastAsia="SimSun"/>
        </w:rPr>
        <w:t>are good reasons</w:t>
      </w:r>
      <w:r>
        <w:rPr>
          <w:rFonts w:eastAsia="SimSun"/>
        </w:rPr>
        <w:t xml:space="preserve"> not to expect stakeholder-oriented corporate leaders to sell only to buyers that are so stakeholder-oriented as to make stakeholder protections completely unnecessary. </w:t>
      </w:r>
      <w:r w:rsidRPr="004C40A8">
        <w:rPr>
          <w:rFonts w:eastAsia="SimSun"/>
        </w:rPr>
        <w:t xml:space="preserve">Sometimes a </w:t>
      </w:r>
      <w:r>
        <w:rPr>
          <w:rFonts w:eastAsia="SimSun"/>
        </w:rPr>
        <w:t xml:space="preserve">sale of a company to a given buyer that is not stakeholder-oriented could be expected to generate an especially large surplus, and in such a case </w:t>
      </w:r>
      <w:proofErr w:type="spellStart"/>
      <w:r>
        <w:rPr>
          <w:rFonts w:eastAsia="SimSun"/>
        </w:rPr>
        <w:t>stakeholderist</w:t>
      </w:r>
      <w:proofErr w:type="spellEnd"/>
      <w:r>
        <w:rPr>
          <w:rFonts w:eastAsia="SimSun"/>
        </w:rPr>
        <w:t xml:space="preserve"> corporate leaders should still be willing to sell the company. In such a case, the corporate leaders should just ensure, by including adequate stakeholder protection in the deal, that the division of the large surplus would be such that stakeholders would also be made better off or at least not worse off. </w:t>
      </w:r>
    </w:p>
    <w:p w14:paraId="0F2C592A" w14:textId="77777777" w:rsidR="00CF6CE8" w:rsidRDefault="00CF6CE8" w:rsidP="00CF6CE8">
      <w:pPr>
        <w:rPr>
          <w:rFonts w:eastAsia="SimSun"/>
        </w:rPr>
      </w:pPr>
      <w:r>
        <w:rPr>
          <w:rFonts w:eastAsia="SimSun"/>
        </w:rPr>
        <w:t xml:space="preserve">Indeed, the evidence in Section IV.A indicates that, in the deals in our sample, the choice of buyers was not by itself sufficient to exclude concerns that the deal would have significant adverse effect on stakeholders. Recall that the analysis in that Section documented that, based on communications by the acquired company and outside observers, many deals with the buyer chosen by corporate leaders were expected to pose substantial post-deal risks for employees and other stakeholders. </w:t>
      </w:r>
    </w:p>
    <w:p w14:paraId="336553F6" w14:textId="77777777" w:rsidR="00CF6CE8" w:rsidRDefault="00CF6CE8" w:rsidP="00CF6CE8">
      <w:pPr>
        <w:rPr>
          <w:rFonts w:eastAsia="SimSun"/>
        </w:rPr>
      </w:pPr>
      <w:r w:rsidRPr="004C40A8">
        <w:rPr>
          <w:rFonts w:eastAsia="SimSun"/>
        </w:rPr>
        <w:t>In any event, to test th</w:t>
      </w:r>
      <w:r>
        <w:rPr>
          <w:rFonts w:eastAsia="SimSun"/>
        </w:rPr>
        <w:t xml:space="preserve">e considered argument further empirically, we used the data we obtained with respect to company ratings regarding their treatment of employees, and we </w:t>
      </w:r>
      <w:r w:rsidRPr="004C40A8">
        <w:rPr>
          <w:rFonts w:eastAsia="SimSun"/>
        </w:rPr>
        <w:t xml:space="preserve">identified a subset of transactions in our sample that involved </w:t>
      </w:r>
      <w:r>
        <w:rPr>
          <w:rFonts w:eastAsia="SimSun"/>
        </w:rPr>
        <w:t xml:space="preserve">sales to </w:t>
      </w:r>
      <w:r w:rsidRPr="004C40A8">
        <w:rPr>
          <w:rFonts w:eastAsia="SimSun"/>
        </w:rPr>
        <w:t xml:space="preserve">buyers with </w:t>
      </w:r>
      <w:r>
        <w:rPr>
          <w:rFonts w:eastAsia="SimSun"/>
        </w:rPr>
        <w:t xml:space="preserve">below-average rating regarding employees. </w:t>
      </w:r>
      <w:r w:rsidRPr="004C40A8">
        <w:rPr>
          <w:rFonts w:eastAsia="SimSun"/>
        </w:rPr>
        <w:t>In such transactions, the buyer</w:t>
      </w:r>
      <w:r>
        <w:rPr>
          <w:rFonts w:eastAsia="SimSun"/>
        </w:rPr>
        <w:t xml:space="preserve">’s poor stakeholder record provided no basis for confidence that the deal would not pose substantial risks to stakeholders. Therefore, to the extent that Part V’s findings were driven by expectations that the chosen buyer would protect stakeholders on its own, the transactions in this subsample should be expected to include more protections </w:t>
      </w:r>
      <w:r>
        <w:rPr>
          <w:rFonts w:eastAsia="SimSun"/>
        </w:rPr>
        <w:lastRenderedPageBreak/>
        <w:t xml:space="preserve">for employees.  </w:t>
      </w:r>
    </w:p>
    <w:p w14:paraId="5152C494" w14:textId="77777777" w:rsidR="00CF6CE8" w:rsidRDefault="00CF6CE8" w:rsidP="00CF6CE8">
      <w:pPr>
        <w:rPr>
          <w:rFonts w:eastAsia="SimSun"/>
        </w:rPr>
      </w:pPr>
      <w:r>
        <w:rPr>
          <w:rFonts w:eastAsia="SimSun"/>
        </w:rPr>
        <w:t xml:space="preserve">Our examination of this subsample of sales to buyers with below-average rating for their employee treatment, however, does not support this hypothesis. We find that deals in this sample generally lacked employee protections against the risk of layoffs, either provisions to provide compensation to laid off employees or to constrain the scale, timing, or pace of such layoffs. The data is thus inconsistent with the view that Part V’s findings are driven by corporate leaders’ selecting such stakeholder-oriented buyers so as to make any stakeholder protections unnecessary. </w:t>
      </w:r>
    </w:p>
    <w:p w14:paraId="6F4C5527" w14:textId="77777777" w:rsidR="00CF6CE8" w:rsidRDefault="00CF6CE8" w:rsidP="00CF6CE8">
      <w:pPr>
        <w:pStyle w:val="Heading2"/>
        <w:rPr>
          <w:rFonts w:eastAsia="SimSun"/>
        </w:rPr>
      </w:pPr>
      <w:r w:rsidRPr="003769DB">
        <w:rPr>
          <w:rFonts w:eastAsia="SimSun"/>
        </w:rPr>
        <w:t xml:space="preserve">Deals </w:t>
      </w:r>
      <w:r>
        <w:rPr>
          <w:rFonts w:eastAsia="SimSun"/>
        </w:rPr>
        <w:t>d</w:t>
      </w:r>
      <w:r w:rsidRPr="003769DB">
        <w:rPr>
          <w:rFonts w:eastAsia="SimSun"/>
        </w:rPr>
        <w:t xml:space="preserve">uring </w:t>
      </w:r>
      <w:r>
        <w:rPr>
          <w:rFonts w:eastAsia="SimSun"/>
        </w:rPr>
        <w:t>t</w:t>
      </w:r>
      <w:r w:rsidRPr="003769DB">
        <w:rPr>
          <w:rFonts w:eastAsia="SimSun"/>
        </w:rPr>
        <w:t xml:space="preserve">he Year Preceding </w:t>
      </w:r>
      <w:r>
        <w:rPr>
          <w:rFonts w:eastAsia="SimSun"/>
        </w:rPr>
        <w:t>t</w:t>
      </w:r>
      <w:r w:rsidRPr="003769DB">
        <w:rPr>
          <w:rFonts w:eastAsia="SimSun"/>
        </w:rPr>
        <w:t>he Pandemic</w:t>
      </w:r>
    </w:p>
    <w:p w14:paraId="5E6BAEE1" w14:textId="77777777" w:rsidR="00CF6CE8" w:rsidRDefault="00CF6CE8" w:rsidP="00CF6CE8">
      <w:r>
        <w:rPr>
          <w:rFonts w:eastAsia="SimSun"/>
        </w:rPr>
        <w:t xml:space="preserve">In Sections A and B above we discussed the general lack of stakeholder protections in deals during the pandemic that did not involve firms in financial or economic distress or that occurred during the later period in which the economy was on its way to normalcy. It might be argued, however, that the Covid period had some other special aspects that precluded corporate leaders from serving stakeholders, and that </w:t>
      </w:r>
      <w:r>
        <w:t xml:space="preserve">behavior during the pandemic period is thus not informative with respect to behavior in other times. </w:t>
      </w:r>
    </w:p>
    <w:p w14:paraId="6420D55D" w14:textId="77777777" w:rsidR="00CF6CE8" w:rsidRDefault="00CF6CE8" w:rsidP="00CF6CE8">
      <w:r>
        <w:t>Therefore, to explore the argument that our findings are due to some factor that was special to the pandemic period, we extend the analysis in this Section by examining a sample of large deals that were announced during the year preceding the pandemic. During this period, stakeholder interests already received large support from corporate leaders and the Business Roundtable statement came out, and corporate decisions were not made against the background of a pandemic.</w:t>
      </w:r>
      <w:r>
        <w:rPr>
          <w:rStyle w:val="FootnoteReference"/>
        </w:rPr>
        <w:footnoteReference w:id="17"/>
      </w:r>
      <w:r>
        <w:t xml:space="preserve"> We were able to identify a set of 17</w:t>
      </w:r>
      <w:r w:rsidRPr="000E7F3D">
        <w:t xml:space="preserve"> </w:t>
      </w:r>
      <w:r w:rsidRPr="00FA78C8">
        <w:t>transactions</w:t>
      </w:r>
      <w:r>
        <w:t xml:space="preserve"> valued above $10 billion that were announced </w:t>
      </w:r>
      <w:r w:rsidRPr="00C41A4A">
        <w:t xml:space="preserve">between </w:t>
      </w:r>
      <w:r>
        <w:t>January</w:t>
      </w:r>
      <w:r w:rsidRPr="00FA78C8">
        <w:t xml:space="preserve"> 1, 20</w:t>
      </w:r>
      <w:r>
        <w:t>19</w:t>
      </w:r>
      <w:r w:rsidRPr="00FA78C8">
        <w:t xml:space="preserve"> and </w:t>
      </w:r>
      <w:r>
        <w:t>February 1</w:t>
      </w:r>
      <w:r w:rsidRPr="00FA78C8">
        <w:t>, 202</w:t>
      </w:r>
      <w:r>
        <w:t>0 (the "Pre-Covid Sample"). The aggregate value of the deals in this sample exceeds $</w:t>
      </w:r>
      <w:r w:rsidRPr="00CF6CE8">
        <w:rPr>
          <w:highlight w:val="yellow"/>
        </w:rPr>
        <w:t>XXX</w:t>
      </w:r>
      <w:r>
        <w:t xml:space="preserve">.  </w:t>
      </w:r>
    </w:p>
    <w:p w14:paraId="5AA632A4" w14:textId="77777777" w:rsidR="00CF6CE8" w:rsidRPr="00A74BFF" w:rsidRDefault="00CF6CE8" w:rsidP="00CF6CE8">
      <w:pPr>
        <w:rPr>
          <w:rFonts w:asciiTheme="majorBidi" w:hAnsiTheme="majorBidi" w:cstheme="majorBidi"/>
          <w:color w:val="000000" w:themeColor="text1"/>
          <w:szCs w:val="22"/>
        </w:rPr>
      </w:pPr>
      <w:r w:rsidRPr="00EE3477">
        <w:rPr>
          <w:rFonts w:eastAsia="SimSun"/>
          <w:lang w:bidi="he-IL"/>
        </w:rPr>
        <w:t xml:space="preserve">Our </w:t>
      </w:r>
      <w:r>
        <w:rPr>
          <w:rFonts w:eastAsia="SimSun"/>
          <w:lang w:bidi="he-IL"/>
        </w:rPr>
        <w:t xml:space="preserve">analysis of the </w:t>
      </w:r>
      <w:r w:rsidRPr="008556C7">
        <w:rPr>
          <w:rFonts w:eastAsia="SimSun"/>
          <w:lang w:bidi="he-IL"/>
        </w:rPr>
        <w:t xml:space="preserve">Pre-Covid </w:t>
      </w:r>
      <w:r>
        <w:rPr>
          <w:rFonts w:eastAsia="SimSun"/>
          <w:lang w:bidi="he-IL"/>
        </w:rPr>
        <w:t>Sample d</w:t>
      </w:r>
      <w:r w:rsidRPr="008556C7">
        <w:rPr>
          <w:rFonts w:eastAsia="SimSun"/>
          <w:lang w:bidi="he-IL"/>
        </w:rPr>
        <w:t xml:space="preserve">eals </w:t>
      </w:r>
      <w:r>
        <w:rPr>
          <w:rFonts w:eastAsia="SimSun"/>
          <w:lang w:bidi="he-IL"/>
        </w:rPr>
        <w:t xml:space="preserve">yields findings similar to the patterns found for the sample of deals during the pandemic. To begin, with respect to </w:t>
      </w:r>
      <w:r>
        <w:rPr>
          <w:rFonts w:asciiTheme="majorBidi" w:hAnsiTheme="majorBidi" w:cstheme="majorBidi"/>
          <w:color w:val="000000" w:themeColor="text1"/>
          <w:szCs w:val="22"/>
        </w:rPr>
        <w:t xml:space="preserve">employee protections, we found that </w:t>
      </w:r>
      <w:r w:rsidRPr="00EE3477">
        <w:rPr>
          <w:rFonts w:eastAsia="SimSun"/>
          <w:lang w:bidi="he-IL"/>
        </w:rPr>
        <w:t xml:space="preserve">none of the </w:t>
      </w:r>
      <w:r>
        <w:rPr>
          <w:rFonts w:eastAsia="SimSun"/>
          <w:lang w:bidi="he-IL"/>
        </w:rPr>
        <w:t xml:space="preserve">deals in the Pre-Covid Sample </w:t>
      </w:r>
      <w:r>
        <w:rPr>
          <w:rFonts w:asciiTheme="majorBidi" w:hAnsiTheme="majorBidi" w:cstheme="majorBidi"/>
          <w:color w:val="000000" w:themeColor="text1"/>
          <w:szCs w:val="22"/>
        </w:rPr>
        <w:t xml:space="preserve">included any provisions that provided employees with any protection against the risk of being laid off. In particular, we found no provisions providing compensation to laid off employees or provisions limiting in some way layoffs or their pace. </w:t>
      </w:r>
    </w:p>
    <w:p w14:paraId="34F19FF6" w14:textId="77777777" w:rsidR="00CF6CE8" w:rsidRPr="00CB38E2" w:rsidRDefault="00CF6CE8" w:rsidP="00CF6CE8">
      <w:pPr>
        <w:rPr>
          <w:rFonts w:eastAsia="SimSun"/>
          <w:lang w:bidi="he-IL"/>
        </w:rPr>
      </w:pPr>
      <w:r>
        <w:rPr>
          <w:rFonts w:eastAsia="SimSun"/>
          <w:lang w:bidi="he-IL"/>
        </w:rPr>
        <w:t xml:space="preserve">With respect to </w:t>
      </w:r>
      <w:r w:rsidRPr="00EE3477">
        <w:rPr>
          <w:rFonts w:eastAsia="SimSun"/>
          <w:lang w:bidi="he-IL"/>
        </w:rPr>
        <w:t>other stakeholder groups, we f</w:t>
      </w:r>
      <w:r>
        <w:rPr>
          <w:rFonts w:eastAsia="SimSun"/>
          <w:lang w:bidi="he-IL"/>
        </w:rPr>
        <w:t xml:space="preserve">ound </w:t>
      </w:r>
      <w:r w:rsidRPr="00EE3477">
        <w:rPr>
          <w:rFonts w:eastAsia="SimSun"/>
          <w:lang w:bidi="he-IL"/>
        </w:rPr>
        <w:t xml:space="preserve">that none of the </w:t>
      </w:r>
      <w:r>
        <w:rPr>
          <w:rFonts w:eastAsia="SimSun"/>
          <w:lang w:bidi="he-IL"/>
        </w:rPr>
        <w:t xml:space="preserve">deals in the Pre-Covid Sample included </w:t>
      </w:r>
      <w:r w:rsidRPr="00EE3477">
        <w:rPr>
          <w:rFonts w:eastAsia="SimSun"/>
          <w:lang w:bidi="he-IL"/>
        </w:rPr>
        <w:t xml:space="preserve">any </w:t>
      </w:r>
      <w:r>
        <w:rPr>
          <w:rFonts w:eastAsia="SimSun"/>
          <w:lang w:bidi="he-IL"/>
        </w:rPr>
        <w:t xml:space="preserve">provisions that protect </w:t>
      </w:r>
      <w:r w:rsidRPr="00EE3477">
        <w:rPr>
          <w:rFonts w:eastAsia="SimSun"/>
          <w:lang w:bidi="he-IL"/>
        </w:rPr>
        <w:t>customers, suppliers, creditors</w:t>
      </w:r>
      <w:r>
        <w:rPr>
          <w:rFonts w:eastAsia="SimSun"/>
          <w:lang w:bidi="he-IL"/>
        </w:rPr>
        <w:t>,</w:t>
      </w:r>
      <w:r w:rsidRPr="00EE3477">
        <w:rPr>
          <w:rFonts w:eastAsia="SimSun"/>
          <w:lang w:bidi="he-IL"/>
        </w:rPr>
        <w:t xml:space="preserve"> or the environment</w:t>
      </w:r>
      <w:r>
        <w:rPr>
          <w:rFonts w:eastAsia="SimSun"/>
          <w:lang w:bidi="he-IL"/>
        </w:rPr>
        <w:t xml:space="preserve">. And we found a (soft) pledge </w:t>
      </w:r>
      <w:r>
        <w:t xml:space="preserve">to retain the location of the target's headquarters in only one of the seventeen deals, and a (soft) pledge in favor of local communities in only one deal. </w:t>
      </w:r>
    </w:p>
    <w:p w14:paraId="63EDD6F7" w14:textId="349266CD" w:rsidR="00CB31E8" w:rsidRPr="00CB31E8" w:rsidRDefault="00CF6CE8" w:rsidP="00CF6CE8">
      <w:r>
        <w:lastRenderedPageBreak/>
        <w:t xml:space="preserve">Overall, whether the results for </w:t>
      </w:r>
      <w:r w:rsidRPr="00EE3477">
        <w:rPr>
          <w:rFonts w:eastAsia="SimSun"/>
          <w:lang w:bidi="he-IL"/>
        </w:rPr>
        <w:t xml:space="preserve">the </w:t>
      </w:r>
      <w:r>
        <w:rPr>
          <w:rFonts w:eastAsia="SimSun"/>
          <w:lang w:bidi="he-IL"/>
        </w:rPr>
        <w:t xml:space="preserve">deals in the Pre-Covid Sample </w:t>
      </w:r>
      <w:r>
        <w:t>are compared to our entire sample or to the Largest Deal Subsample, these results are consistent with the findings we documented in detail in our analysis of our analysis of deals in the time of Covid. The results of this Section are thus inconsistent with the argument that our findings are driven by some special factors of conditions induced by the pandemic</w:t>
      </w:r>
      <w:r>
        <w:rPr>
          <w:rFonts w:eastAsia="SimSun"/>
        </w:rPr>
        <w:t xml:space="preserve">. Rather, they are consistent with the view that, notwithstanding the peak support of </w:t>
      </w:r>
      <w:proofErr w:type="spellStart"/>
      <w:r>
        <w:rPr>
          <w:rFonts w:eastAsia="SimSun"/>
        </w:rPr>
        <w:t>stakeholderism</w:t>
      </w:r>
      <w:proofErr w:type="spellEnd"/>
      <w:r>
        <w:rPr>
          <w:rFonts w:eastAsia="SimSun"/>
        </w:rPr>
        <w:t xml:space="preserve"> expressed by corporate leaders in the last three years, corporate leaders have incentives, and thus should be expected, not </w:t>
      </w:r>
      <w:r w:rsidRPr="004C40A8">
        <w:rPr>
          <w:rFonts w:eastAsia="SimSun"/>
        </w:rPr>
        <w:t xml:space="preserve">to serve the interests of stakeholders beyond </w:t>
      </w:r>
      <w:r>
        <w:rPr>
          <w:rFonts w:eastAsia="SimSun"/>
        </w:rPr>
        <w:t xml:space="preserve">what would benefit </w:t>
      </w:r>
      <w:r w:rsidRPr="004C40A8">
        <w:rPr>
          <w:rFonts w:eastAsia="SimSun"/>
        </w:rPr>
        <w:t>shareholders.</w:t>
      </w:r>
    </w:p>
    <w:sectPr w:rsidR="00CB31E8" w:rsidRPr="00CB31E8" w:rsidSect="00D27291">
      <w:headerReference w:type="even" r:id="rId8"/>
      <w:headerReference w:type="default" r:id="rId9"/>
      <w:pgSz w:w="12240" w:h="15840" w:code="1"/>
      <w:pgMar w:top="2016" w:right="2448" w:bottom="2016" w:left="2448" w:header="1512"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3B639" w14:textId="77777777" w:rsidR="00EE48A2" w:rsidRDefault="00EE48A2">
      <w:r>
        <w:separator/>
      </w:r>
    </w:p>
  </w:endnote>
  <w:endnote w:type="continuationSeparator" w:id="0">
    <w:p w14:paraId="6560D6B6" w14:textId="77777777" w:rsidR="00EE48A2" w:rsidRDefault="00EE48A2">
      <w:r>
        <w:continuationSeparator/>
      </w:r>
    </w:p>
  </w:endnote>
  <w:endnote w:type="continuationNotice" w:id="1">
    <w:p w14:paraId="31C8EA9F" w14:textId="77777777" w:rsidR="00EE48A2" w:rsidRDefault="00EE4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irfield LH Medium">
    <w:altName w:val="Times New Roman"/>
    <w:panose1 w:val="00000000000000000000"/>
    <w:charset w:val="00"/>
    <w:family w:val="roman"/>
    <w:notTrueType/>
    <w:pitch w:val="variable"/>
    <w:sig w:usb0="00000003" w:usb1="00000000" w:usb2="00000000" w:usb3="00000000" w:csb0="00000001" w:csb1="00000000"/>
  </w:font>
  <w:font w:name="New Baskerville ITC Pro">
    <w:altName w:val="Cambria"/>
    <w:panose1 w:val="00000000000000000000"/>
    <w:charset w:val="00"/>
    <w:family w:val="roman"/>
    <w:notTrueType/>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ookman">
    <w:altName w:val="Bookman Old Style"/>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BB74A" w14:textId="77777777" w:rsidR="00EE48A2" w:rsidRPr="001651D9" w:rsidRDefault="00EE48A2" w:rsidP="00D27291">
      <w:pPr>
        <w:ind w:right="-1440" w:firstLine="0"/>
        <w:rPr>
          <w:strike/>
          <w:sz w:val="22"/>
        </w:rPr>
      </w:pPr>
      <w:r w:rsidRPr="001651D9">
        <w:rPr>
          <w:strike/>
          <w:sz w:val="22"/>
        </w:rPr>
        <w:t>—————————————————————————————————</w:t>
      </w:r>
    </w:p>
  </w:footnote>
  <w:footnote w:type="continuationSeparator" w:id="0">
    <w:p w14:paraId="3659E52B" w14:textId="77777777" w:rsidR="00EE48A2" w:rsidRDefault="00EE48A2">
      <w:r>
        <w:continuationSeparator/>
      </w:r>
    </w:p>
  </w:footnote>
  <w:footnote w:type="continuationNotice" w:id="1">
    <w:p w14:paraId="31EEA34D" w14:textId="77777777" w:rsidR="00EE48A2" w:rsidRDefault="00EE48A2"/>
  </w:footnote>
  <w:footnote w:id="2">
    <w:p w14:paraId="4480BF65" w14:textId="77777777" w:rsidR="00EB0189" w:rsidRDefault="00EB0189" w:rsidP="00AA0141">
      <w:pPr>
        <w:pStyle w:val="FootNote0"/>
      </w:pPr>
      <w:r>
        <w:rPr>
          <w:rStyle w:val="FootnoteReference"/>
        </w:rPr>
        <w:footnoteRef/>
      </w:r>
      <w:r>
        <w:t xml:space="preserve"> </w:t>
      </w:r>
      <w:r w:rsidRPr="00464A7B">
        <w:t xml:space="preserve">Yields reflect values as of the most recent transaction as of the trading day prior to the </w:t>
      </w:r>
      <w:r w:rsidRPr="00052A22">
        <w:t>announcement</w:t>
      </w:r>
      <w:r w:rsidRPr="00464A7B">
        <w:t xml:space="preserve"> date</w:t>
      </w:r>
      <w:r>
        <w:t xml:space="preserve"> of the deal</w:t>
      </w:r>
      <w:r w:rsidRPr="00464A7B">
        <w:t>. For companies in the sample that have multiple publicly traded corporate bonds, yields are provided for the bond with the largest outstanding issuance.</w:t>
      </w:r>
    </w:p>
  </w:footnote>
  <w:footnote w:id="3">
    <w:p w14:paraId="46AC782B" w14:textId="77777777" w:rsidR="00EB0189" w:rsidRPr="00E62F90" w:rsidRDefault="00EB0189" w:rsidP="00F91321">
      <w:pPr>
        <w:rPr>
          <w:sz w:val="20"/>
        </w:rPr>
      </w:pPr>
      <w:r w:rsidRPr="00E62F90">
        <w:rPr>
          <w:rStyle w:val="FootnoteReference"/>
          <w:sz w:val="20"/>
        </w:rPr>
        <w:footnoteRef/>
      </w:r>
      <w:r w:rsidRPr="00E62F90">
        <w:rPr>
          <w:sz w:val="20"/>
        </w:rPr>
        <w:t xml:space="preserve"> The TRACE program provides data on bond transactions for all broker-dealers that are FINRA member firms. The database consolidates transaction data for public and private corporate bonds, agency debt, and securitized products, including asset-backed securities and mortgage-backed securities.</w:t>
      </w:r>
    </w:p>
  </w:footnote>
  <w:footnote w:id="4">
    <w:p w14:paraId="7040336F" w14:textId="77777777" w:rsidR="00EB0189" w:rsidRDefault="00EB0189" w:rsidP="00AA0141">
      <w:pPr>
        <w:pStyle w:val="FootNote0"/>
      </w:pPr>
      <w:r>
        <w:rPr>
          <w:rStyle w:val="FootnoteReference"/>
        </w:rPr>
        <w:footnoteRef/>
      </w:r>
      <w:r>
        <w:t xml:space="preserve"> </w:t>
      </w:r>
      <w:r w:rsidRPr="00052A22">
        <w:t>Unaffected</w:t>
      </w:r>
      <w:r>
        <w:t xml:space="preserve"> share prices were obtained from the FactSet database. </w:t>
      </w:r>
      <w:r w:rsidRPr="003C3B31">
        <w:t xml:space="preserve">Information on stock prices on January 1, 2020 were obtained from </w:t>
      </w:r>
      <w:r>
        <w:t>the CRSP database.</w:t>
      </w:r>
    </w:p>
  </w:footnote>
  <w:footnote w:id="5">
    <w:p w14:paraId="24F8BCAE" w14:textId="77777777" w:rsidR="00EB0189" w:rsidRDefault="00EB0189" w:rsidP="0053141E">
      <w:pPr>
        <w:pStyle w:val="FootNote0"/>
      </w:pPr>
      <w:r>
        <w:rPr>
          <w:rStyle w:val="FootnoteReference"/>
        </w:rPr>
        <w:footnoteRef/>
      </w:r>
      <w:r>
        <w:t xml:space="preserve"> </w:t>
      </w:r>
      <w:r w:rsidRPr="001F0C43">
        <w:t xml:space="preserve">This database is </w:t>
      </w:r>
      <w:r w:rsidRPr="00052A22">
        <w:t>accessible</w:t>
      </w:r>
      <w:r>
        <w:t xml:space="preserve"> at https://www.issgovernance.com/esg/governance-data/voting-analytics/.</w:t>
      </w:r>
    </w:p>
  </w:footnote>
  <w:footnote w:id="6">
    <w:p w14:paraId="756B323B" w14:textId="03918C7C" w:rsidR="00EB0189" w:rsidRPr="001F0C43" w:rsidRDefault="00EB0189" w:rsidP="00E21EA2">
      <w:pPr>
        <w:pStyle w:val="FootNote0"/>
      </w:pPr>
      <w:r w:rsidRPr="001F0C43">
        <w:rPr>
          <w:rStyle w:val="FootnoteReference"/>
        </w:rPr>
        <w:footnoteRef/>
      </w:r>
      <w:r>
        <w:rPr>
          <w:rStyle w:val="FootnoteReference"/>
        </w:rPr>
        <w:t xml:space="preserve"> </w:t>
      </w:r>
      <w:r w:rsidRPr="00E62F90">
        <w:rPr>
          <w:sz w:val="22"/>
          <w:szCs w:val="22"/>
        </w:rPr>
        <w:t>We were able to obtain such data on 81 transactions, which constitute about 70% of the transactions in the entire sample.</w:t>
      </w:r>
      <w:r>
        <w:rPr>
          <w:vertAlign w:val="superscript"/>
        </w:rPr>
        <w:t xml:space="preserve"> </w:t>
      </w:r>
      <w:r w:rsidRPr="001F0C43">
        <w:t xml:space="preserve">The </w:t>
      </w:r>
      <w:r w:rsidRPr="00052A22">
        <w:t>transactions</w:t>
      </w:r>
      <w:r w:rsidRPr="001F0C43">
        <w:t xml:space="preserve"> for which we were unable to obtain data on the voting outcome were mostly tender offers or recent transactions, for which a shareholder meetings have not yet occurred.</w:t>
      </w:r>
    </w:p>
  </w:footnote>
  <w:footnote w:id="7">
    <w:p w14:paraId="7EE4CA96" w14:textId="1CB38B90" w:rsidR="004C0864" w:rsidRDefault="004C0864" w:rsidP="004C0864">
      <w:pPr>
        <w:pStyle w:val="FootnoteText"/>
      </w:pPr>
      <w:r>
        <w:rPr>
          <w:rStyle w:val="FootnoteReference"/>
        </w:rPr>
        <w:footnoteRef/>
      </w:r>
      <w:r>
        <w:t xml:space="preserve"> </w:t>
      </w:r>
      <w:r w:rsidRPr="009316CF">
        <w:t>Revlon, Inc. v. MacAndrews &amp; Forbes Holdings, Inc., 506 A.2d 173 (Del. 1986)</w:t>
      </w:r>
      <w:r>
        <w:t xml:space="preserve">. </w:t>
      </w:r>
    </w:p>
  </w:footnote>
  <w:footnote w:id="8">
    <w:p w14:paraId="5E254440" w14:textId="625408F3" w:rsidR="004C0864" w:rsidRDefault="004C0864">
      <w:pPr>
        <w:pStyle w:val="FootnoteText"/>
      </w:pPr>
      <w:r>
        <w:rPr>
          <w:rStyle w:val="FootnoteReference"/>
        </w:rPr>
        <w:footnoteRef/>
      </w:r>
      <w:r>
        <w:t xml:space="preserve"> </w:t>
      </w:r>
      <w:r w:rsidRPr="00E62F90">
        <w:rPr>
          <w:i/>
          <w:iCs/>
        </w:rPr>
        <w:t>Id.</w:t>
      </w:r>
      <w:r>
        <w:t xml:space="preserve">, at 182. </w:t>
      </w:r>
    </w:p>
  </w:footnote>
  <w:footnote w:id="9">
    <w:p w14:paraId="6AA4D3AE" w14:textId="20DBDF49" w:rsidR="004C0864" w:rsidRDefault="004C0864">
      <w:pPr>
        <w:pStyle w:val="FootnoteText"/>
      </w:pPr>
      <w:r>
        <w:rPr>
          <w:rStyle w:val="FootnoteReference"/>
        </w:rPr>
        <w:footnoteRef/>
      </w:r>
      <w:r>
        <w:t xml:space="preserve"> </w:t>
      </w:r>
      <w:r w:rsidRPr="007B58F1">
        <w:rPr>
          <w:color w:val="000000" w:themeColor="text1"/>
        </w:rPr>
        <w:t xml:space="preserve">Matthew D. Cain, Stephen B. McKeon &amp; Steven Davidoff Solomon, </w:t>
      </w:r>
      <w:r w:rsidRPr="007B58F1">
        <w:rPr>
          <w:i/>
          <w:color w:val="000000" w:themeColor="text1"/>
        </w:rPr>
        <w:t xml:space="preserve">Do </w:t>
      </w:r>
      <w:r w:rsidRPr="00F637E5">
        <w:rPr>
          <w:i/>
          <w:iCs/>
          <w:color w:val="000000" w:themeColor="text1"/>
          <w:szCs w:val="16"/>
        </w:rPr>
        <w:t>Takeover Laws Matter?</w:t>
      </w:r>
      <w:r>
        <w:rPr>
          <w:i/>
          <w:iCs/>
          <w:color w:val="000000" w:themeColor="text1"/>
          <w:szCs w:val="16"/>
        </w:rPr>
        <w:t xml:space="preserve"> </w:t>
      </w:r>
      <w:r w:rsidRPr="007B58F1">
        <w:rPr>
          <w:i/>
          <w:color w:val="000000" w:themeColor="text1"/>
        </w:rPr>
        <w:t xml:space="preserve">Evidence from </w:t>
      </w:r>
      <w:r w:rsidRPr="00F637E5">
        <w:rPr>
          <w:i/>
          <w:iCs/>
          <w:color w:val="000000" w:themeColor="text1"/>
          <w:szCs w:val="16"/>
        </w:rPr>
        <w:t>Five Decades</w:t>
      </w:r>
      <w:r w:rsidRPr="007B58F1">
        <w:rPr>
          <w:i/>
          <w:color w:val="000000" w:themeColor="text1"/>
        </w:rPr>
        <w:t xml:space="preserve"> of </w:t>
      </w:r>
      <w:r w:rsidRPr="00F637E5">
        <w:rPr>
          <w:i/>
          <w:iCs/>
          <w:color w:val="000000" w:themeColor="text1"/>
          <w:szCs w:val="16"/>
        </w:rPr>
        <w:t>Hostile Takeovers</w:t>
      </w:r>
      <w:r w:rsidRPr="007B58F1">
        <w:rPr>
          <w:color w:val="000000" w:themeColor="text1"/>
        </w:rPr>
        <w:t xml:space="preserve">, 124 </w:t>
      </w:r>
      <w:r w:rsidRPr="007B58F1">
        <w:rPr>
          <w:smallCaps/>
          <w:color w:val="000000" w:themeColor="text1"/>
        </w:rPr>
        <w:t>J. Fin. Econ</w:t>
      </w:r>
      <w:r w:rsidRPr="007B58F1">
        <w:rPr>
          <w:color w:val="000000" w:themeColor="text1"/>
        </w:rPr>
        <w:t>. 464, 4</w:t>
      </w:r>
      <w:r>
        <w:rPr>
          <w:color w:val="000000" w:themeColor="text1"/>
        </w:rPr>
        <w:t>69</w:t>
      </w:r>
      <w:r w:rsidRPr="007B58F1">
        <w:rPr>
          <w:color w:val="000000" w:themeColor="text1"/>
        </w:rPr>
        <w:t>–</w:t>
      </w:r>
      <w:r>
        <w:rPr>
          <w:color w:val="000000" w:themeColor="text1"/>
        </w:rPr>
        <w:t>70 tbl.2</w:t>
      </w:r>
      <w:r w:rsidRPr="007B58F1">
        <w:rPr>
          <w:color w:val="000000" w:themeColor="text1"/>
        </w:rPr>
        <w:t xml:space="preserve"> (2017)</w:t>
      </w:r>
      <w:r>
        <w:t>.</w:t>
      </w:r>
    </w:p>
  </w:footnote>
  <w:footnote w:id="10">
    <w:p w14:paraId="6CDDA886" w14:textId="3CD79F7A" w:rsidR="00CE12B2" w:rsidRDefault="00CE12B2">
      <w:pPr>
        <w:pStyle w:val="FootnoteText"/>
      </w:pPr>
      <w:r>
        <w:rPr>
          <w:rStyle w:val="FootnoteReference"/>
        </w:rPr>
        <w:footnoteRef/>
      </w:r>
      <w:r>
        <w:t xml:space="preserve"> </w:t>
      </w:r>
      <w:r w:rsidRPr="00BD3CE2">
        <w:rPr>
          <w:rFonts w:eastAsia="SimSun"/>
          <w:kern w:val="0"/>
          <w:szCs w:val="24"/>
          <w:highlight w:val="yellow"/>
          <w:lang w:bidi="he-IL"/>
        </w:rPr>
        <w:t>XXX SEE, E.G., ONE ARTICLE XXX;</w:t>
      </w:r>
    </w:p>
  </w:footnote>
  <w:footnote w:id="11">
    <w:p w14:paraId="460C2E52" w14:textId="33156F0E" w:rsidR="00CE12B2" w:rsidRDefault="00CE12B2">
      <w:pPr>
        <w:pStyle w:val="FootnoteText"/>
      </w:pPr>
      <w:r>
        <w:rPr>
          <w:rStyle w:val="FootnoteReference"/>
        </w:rPr>
        <w:footnoteRef/>
      </w:r>
      <w:r>
        <w:t xml:space="preserve"> </w:t>
      </w:r>
      <w:r w:rsidRPr="00BD3CE2">
        <w:rPr>
          <w:rFonts w:eastAsia="SimSun"/>
          <w:kern w:val="0"/>
          <w:szCs w:val="24"/>
          <w:highlight w:val="yellow"/>
          <w:lang w:bidi="he-IL"/>
        </w:rPr>
        <w:t xml:space="preserve">XXX SEE XXX; </w:t>
      </w:r>
    </w:p>
  </w:footnote>
  <w:footnote w:id="12">
    <w:p w14:paraId="14E2EDCB" w14:textId="2F9C68AE" w:rsidR="00CE12B2" w:rsidRDefault="00CE12B2">
      <w:pPr>
        <w:pStyle w:val="FootnoteText"/>
      </w:pPr>
      <w:r>
        <w:rPr>
          <w:rStyle w:val="FootnoteReference"/>
        </w:rPr>
        <w:footnoteRef/>
      </w:r>
      <w:r>
        <w:t xml:space="preserve"> </w:t>
      </w:r>
      <w:r w:rsidRPr="00BD3CE2">
        <w:rPr>
          <w:rFonts w:eastAsia="SimSun"/>
          <w:kern w:val="0"/>
          <w:szCs w:val="24"/>
          <w:highlight w:val="yellow"/>
          <w:lang w:bidi="he-IL"/>
        </w:rPr>
        <w:t>XXX SEE E.G., GIVE ONE EXAMPLE XXX</w:t>
      </w:r>
    </w:p>
  </w:footnote>
  <w:footnote w:id="13">
    <w:p w14:paraId="5BD8E48B" w14:textId="63870A3D" w:rsidR="00CE12B2" w:rsidRDefault="00CE12B2">
      <w:pPr>
        <w:pStyle w:val="FootnoteText"/>
      </w:pPr>
      <w:r>
        <w:rPr>
          <w:rStyle w:val="FootnoteReference"/>
        </w:rPr>
        <w:footnoteRef/>
      </w:r>
      <w:r>
        <w:t xml:space="preserve"> </w:t>
      </w:r>
      <w:r w:rsidRPr="00CE12B2">
        <w:t>XXX FT SEE , E.G., XXX</w:t>
      </w:r>
    </w:p>
  </w:footnote>
  <w:footnote w:id="14">
    <w:p w14:paraId="44DA1491" w14:textId="77777777" w:rsidR="00E62F90" w:rsidRDefault="00E62F90" w:rsidP="00E62F90">
      <w:pPr>
        <w:pStyle w:val="FootnoteText"/>
      </w:pPr>
      <w:r>
        <w:rPr>
          <w:rStyle w:val="FootnoteReference"/>
        </w:rPr>
        <w:footnoteRef/>
      </w:r>
      <w:r>
        <w:t xml:space="preserve"> </w:t>
      </w:r>
      <w:r>
        <w:rPr>
          <w:rFonts w:eastAsia="SimSun"/>
        </w:rPr>
        <w:t>T</w:t>
      </w:r>
      <w:r w:rsidRPr="004C40A8">
        <w:rPr>
          <w:rFonts w:eastAsia="SimSun"/>
        </w:rPr>
        <w:t>he JUST Capital database</w:t>
      </w:r>
      <w:r w:rsidRPr="0060581E">
        <w:t xml:space="preserve"> polls Americans on their priorities for capitalism and just business behavior and, based on such priorities, tracks, analyzes, and ranks companies across different stakeholder groups</w:t>
      </w:r>
      <w:r>
        <w:t>. F</w:t>
      </w:r>
      <w:r w:rsidRPr="008E090A">
        <w:t>or the most recent version</w:t>
      </w:r>
      <w:r>
        <w:t xml:space="preserve"> of the dataset methodology</w:t>
      </w:r>
      <w:r w:rsidRPr="008E090A">
        <w:t>, see</w:t>
      </w:r>
      <w:r>
        <w:t xml:space="preserve"> </w:t>
      </w:r>
      <w:hyperlink r:id="rId1" w:history="1">
        <w:r w:rsidRPr="0014402E">
          <w:rPr>
            <w:rStyle w:val="Hyperlink"/>
          </w:rPr>
          <w:t>https://justcapital.com/data/</w:t>
        </w:r>
      </w:hyperlink>
      <w:r>
        <w:t>. The data collected from Just Capital is for the period of XXX as of 2021.</w:t>
      </w:r>
    </w:p>
  </w:footnote>
  <w:footnote w:id="15">
    <w:p w14:paraId="7D53E5A0" w14:textId="77777777" w:rsidR="00E62F90" w:rsidRDefault="00E62F90" w:rsidP="00E62F90">
      <w:pPr>
        <w:pStyle w:val="FootnoteText"/>
      </w:pPr>
      <w:r>
        <w:rPr>
          <w:rStyle w:val="FootnoteReference"/>
        </w:rPr>
        <w:footnoteRef/>
      </w:r>
      <w:r>
        <w:t xml:space="preserve"> </w:t>
      </w:r>
      <w:proofErr w:type="spellStart"/>
      <w:r w:rsidRPr="0060581E">
        <w:t>Sustainalytics</w:t>
      </w:r>
      <w:proofErr w:type="spellEnd"/>
      <w:r w:rsidRPr="0060581E">
        <w:t>’ ESG Ratings measure how well companies proactively manage the environmental, social</w:t>
      </w:r>
      <w:r>
        <w:t xml:space="preserve"> </w:t>
      </w:r>
      <w:r w:rsidRPr="0060581E">
        <w:t xml:space="preserve">and governance issues that are the most material to their business. </w:t>
      </w:r>
      <w:r>
        <w:t>F</w:t>
      </w:r>
      <w:r w:rsidRPr="008E090A">
        <w:t>or the most recent version</w:t>
      </w:r>
      <w:r>
        <w:t xml:space="preserve"> of the dataset methodology</w:t>
      </w:r>
      <w:r w:rsidRPr="008E090A">
        <w:t xml:space="preserve">, see SUSTAINALYTICS, ESG RISK RATINGS--METHODOLOGY ABSTRACT: VERSION 2.1 (2021), </w:t>
      </w:r>
      <w:hyperlink r:id="rId2" w:history="1">
        <w:r w:rsidRPr="0014402E">
          <w:rPr>
            <w:rStyle w:val="Hyperlink"/>
          </w:rPr>
          <w:t>https://connect.sustainalytics.com/hubfs/INV/Methodology/Sustainalytics_ESG%20Ratings_Methodology%20Abstract.pdf</w:t>
        </w:r>
      </w:hyperlink>
      <w:r w:rsidRPr="008E090A">
        <w:t>.</w:t>
      </w:r>
      <w:r>
        <w:t xml:space="preserve"> The data collected from </w:t>
      </w:r>
      <w:proofErr w:type="spellStart"/>
      <w:r w:rsidRPr="0060581E">
        <w:t>Sustainalytics</w:t>
      </w:r>
      <w:proofErr w:type="spellEnd"/>
      <w:r>
        <w:t xml:space="preserve"> is as of 2017-2020. XXX KOBI, DATA IS AS OF WHEN YOU VISITED THE DATASET. THE DATA IS FOR THE PERIOD 2017-2020. XXX</w:t>
      </w:r>
    </w:p>
  </w:footnote>
  <w:footnote w:id="16">
    <w:p w14:paraId="169D1AFF" w14:textId="77777777" w:rsidR="00E62F90" w:rsidRDefault="00E62F90" w:rsidP="00E62F90">
      <w:pPr>
        <w:pStyle w:val="FootnoteText"/>
      </w:pPr>
      <w:r>
        <w:rPr>
          <w:rStyle w:val="FootnoteReference"/>
        </w:rPr>
        <w:footnoteRef/>
      </w:r>
      <w:r>
        <w:t xml:space="preserve"> </w:t>
      </w:r>
      <w:r w:rsidRPr="00660E0E">
        <w:t xml:space="preserve">Employment Impact Data </w:t>
      </w:r>
      <w:r>
        <w:t xml:space="preserve">is a </w:t>
      </w:r>
      <w:r w:rsidRPr="00E56275">
        <w:t xml:space="preserve">proprietary </w:t>
      </w:r>
      <w:r>
        <w:t xml:space="preserve">dataset created by the </w:t>
      </w:r>
      <w:r w:rsidRPr="00E56275">
        <w:t>Impact-Weighted Accounts Project</w:t>
      </w:r>
      <w:r>
        <w:t xml:space="preserve"> at Harvard Business School that </w:t>
      </w:r>
      <w:r w:rsidRPr="00E56275">
        <w:t>measures employment impact for a large sample of public U</w:t>
      </w:r>
      <w:r>
        <w:t>.</w:t>
      </w:r>
      <w:r w:rsidRPr="00E56275">
        <w:t>S</w:t>
      </w:r>
      <w:r>
        <w:t>.</w:t>
      </w:r>
      <w:r w:rsidRPr="00E56275">
        <w:t xml:space="preserve"> firms. </w:t>
      </w:r>
      <w:r>
        <w:t>The dataset</w:t>
      </w:r>
      <w:r w:rsidRPr="00E56275">
        <w:t xml:space="preserve"> attache</w:t>
      </w:r>
      <w:r>
        <w:t>s</w:t>
      </w:r>
      <w:r w:rsidRPr="00E56275">
        <w:t xml:space="preserve"> a dollar value to employment impact based on numerous dimensions (diversity, opportunity, wage quality, etc.). </w:t>
      </w:r>
      <w:r>
        <w:t xml:space="preserve">The data collected from </w:t>
      </w:r>
      <w:r w:rsidRPr="00043C4C">
        <w:t>Employment Impact Data</w:t>
      </w:r>
      <w:r>
        <w:t xml:space="preserve"> is as of 2017-2020. We are grateful to </w:t>
      </w:r>
      <w:r w:rsidRPr="00E56275">
        <w:t>Ethan Rouen</w:t>
      </w:r>
      <w:r>
        <w:t xml:space="preserve"> for providing us with access to this dataset.  XXX SAME AS IN PRIOR FOOTNOTE XXX</w:t>
      </w:r>
    </w:p>
  </w:footnote>
  <w:footnote w:id="17">
    <w:p w14:paraId="6F7E966B" w14:textId="77777777" w:rsidR="00CF6CE8" w:rsidRDefault="00CF6CE8" w:rsidP="00CF6CE8">
      <w:pPr>
        <w:pStyle w:val="FootNote0"/>
      </w:pPr>
      <w:r>
        <w:rPr>
          <w:rStyle w:val="FootnoteReference"/>
        </w:rPr>
        <w:footnoteRef/>
      </w:r>
      <w:r>
        <w:t xml:space="preserve"> </w:t>
      </w:r>
      <w:r>
        <w:rPr>
          <w:i/>
          <w:iCs/>
        </w:rPr>
        <w:t>See</w:t>
      </w:r>
      <w:r>
        <w:t xml:space="preserve"> </w:t>
      </w:r>
      <w:r>
        <w:rPr>
          <w:i/>
          <w:iCs/>
        </w:rPr>
        <w:t>supra</w:t>
      </w:r>
      <w:r>
        <w:t xml:space="preserve"> note </w:t>
      </w:r>
      <w:r>
        <w:fldChar w:fldCharType="begin"/>
      </w:r>
      <w:r>
        <w:instrText xml:space="preserve"> NOTEREF _Ref89179607 \h </w:instrText>
      </w:r>
      <w:r>
        <w:fldChar w:fldCharType="separate"/>
      </w:r>
      <w:r>
        <w:t>20</w:t>
      </w:r>
      <w:r>
        <w:fldChar w:fldCharType="end"/>
      </w:r>
      <w:r>
        <w:t>, and accompanying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C54F" w14:textId="71D906D3" w:rsidR="00EB0189" w:rsidRPr="00F46A96" w:rsidRDefault="00EB0189" w:rsidP="00F46A96">
    <w:pPr>
      <w:pStyle w:val="Header"/>
      <w:tabs>
        <w:tab w:val="clear" w:pos="4320"/>
        <w:tab w:val="clear" w:pos="8640"/>
        <w:tab w:val="left" w:pos="1440"/>
        <w:tab w:val="center" w:pos="3330"/>
        <w:tab w:val="right" w:pos="7344"/>
      </w:tabs>
      <w:ind w:firstLine="0"/>
      <w:rPr>
        <w:iCs/>
        <w:sz w:val="22"/>
      </w:rPr>
    </w:pPr>
    <w:r w:rsidRPr="000A581F">
      <w:rPr>
        <w:rStyle w:val="PageNumber"/>
        <w:sz w:val="22"/>
      </w:rPr>
      <w:fldChar w:fldCharType="begin"/>
    </w:r>
    <w:r w:rsidRPr="000A581F">
      <w:rPr>
        <w:rStyle w:val="PageNumber"/>
        <w:sz w:val="22"/>
      </w:rPr>
      <w:instrText xml:space="preserve"> PAGE </w:instrText>
    </w:r>
    <w:r w:rsidRPr="000A581F">
      <w:rPr>
        <w:rStyle w:val="PageNumber"/>
        <w:sz w:val="22"/>
      </w:rPr>
      <w:fldChar w:fldCharType="separate"/>
    </w:r>
    <w:r w:rsidR="003A4906">
      <w:rPr>
        <w:rStyle w:val="PageNumber"/>
        <w:noProof/>
        <w:sz w:val="22"/>
      </w:rPr>
      <w:t>68</w:t>
    </w:r>
    <w:r w:rsidRPr="000A581F">
      <w:rPr>
        <w:rStyle w:val="PageNumber"/>
        <w:sz w:val="22"/>
      </w:rPr>
      <w:fldChar w:fldCharType="end"/>
    </w:r>
    <w:r>
      <w:rPr>
        <w:rStyle w:val="PageNumber"/>
        <w:sz w:val="22"/>
      </w:rPr>
      <w:t xml:space="preserve">            </w:t>
    </w:r>
    <w:r>
      <w:rPr>
        <w:rStyle w:val="PageNumber"/>
        <w:sz w:val="22"/>
      </w:rPr>
      <w:tab/>
    </w:r>
    <w:r>
      <w:rPr>
        <w:i/>
        <w:sz w:val="22"/>
        <w:szCs w:val="22"/>
      </w:rPr>
      <w:t>Stakeholder Capitalism in the Time of Covid</w:t>
    </w:r>
  </w:p>
  <w:p w14:paraId="2A1953D3" w14:textId="77777777" w:rsidR="00EB0189" w:rsidRPr="005E3DC0" w:rsidRDefault="00EB0189" w:rsidP="00D27291">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D18C" w14:textId="2E8E579F" w:rsidR="00EB0189" w:rsidRPr="005E3DC0" w:rsidRDefault="00EB0189" w:rsidP="00F46A96">
    <w:pPr>
      <w:pStyle w:val="Header"/>
      <w:tabs>
        <w:tab w:val="clear" w:pos="4320"/>
        <w:tab w:val="clear" w:pos="8640"/>
        <w:tab w:val="left" w:pos="90"/>
        <w:tab w:val="left" w:pos="1350"/>
        <w:tab w:val="center" w:pos="4050"/>
        <w:tab w:val="right" w:pos="7290"/>
      </w:tabs>
      <w:ind w:firstLine="0"/>
      <w:rPr>
        <w:sz w:val="22"/>
      </w:rPr>
    </w:pPr>
    <w:r>
      <w:rPr>
        <w:i/>
        <w:sz w:val="22"/>
        <w:szCs w:val="22"/>
      </w:rPr>
      <w:tab/>
    </w:r>
    <w:r>
      <w:rPr>
        <w:i/>
        <w:sz w:val="22"/>
        <w:szCs w:val="22"/>
      </w:rPr>
      <w:tab/>
      <w:t xml:space="preserve">Stakeholder Capitalism in the Time of Covid         </w:t>
    </w:r>
    <w:r w:rsidRPr="000A581F">
      <w:rPr>
        <w:sz w:val="22"/>
        <w:szCs w:val="22"/>
      </w:rPr>
      <w:tab/>
    </w:r>
    <w:r w:rsidRPr="000A581F">
      <w:rPr>
        <w:rStyle w:val="PageNumber"/>
        <w:sz w:val="22"/>
        <w:szCs w:val="22"/>
      </w:rPr>
      <w:fldChar w:fldCharType="begin"/>
    </w:r>
    <w:r w:rsidRPr="000A581F">
      <w:rPr>
        <w:rStyle w:val="PageNumber"/>
        <w:sz w:val="22"/>
        <w:szCs w:val="22"/>
      </w:rPr>
      <w:instrText xml:space="preserve"> PAGE </w:instrText>
    </w:r>
    <w:r w:rsidRPr="000A581F">
      <w:rPr>
        <w:rStyle w:val="PageNumber"/>
        <w:sz w:val="22"/>
        <w:szCs w:val="22"/>
      </w:rPr>
      <w:fldChar w:fldCharType="separate"/>
    </w:r>
    <w:r w:rsidR="003A4906">
      <w:rPr>
        <w:rStyle w:val="PageNumber"/>
        <w:noProof/>
        <w:sz w:val="22"/>
        <w:szCs w:val="22"/>
      </w:rPr>
      <w:t>59</w:t>
    </w:r>
    <w:r w:rsidRPr="000A581F">
      <w:rPr>
        <w:rStyle w:val="PageNumbe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12057"/>
    <w:multiLevelType w:val="hybridMultilevel"/>
    <w:tmpl w:val="A1B8A34A"/>
    <w:lvl w:ilvl="0" w:tplc="943E8844">
      <w:start w:val="1"/>
      <w:numFmt w:val="upperLetter"/>
      <w:pStyle w:val="SubHead2"/>
      <w:lvlText w:val="%1."/>
      <w:lvlJc w:val="left"/>
      <w:pPr>
        <w:ind w:left="720" w:hanging="360"/>
      </w:pPr>
    </w:lvl>
    <w:lvl w:ilvl="1" w:tplc="C362428A">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B29BB"/>
    <w:multiLevelType w:val="hybridMultilevel"/>
    <w:tmpl w:val="7D824C14"/>
    <w:lvl w:ilvl="0" w:tplc="4AFAAFFE">
      <w:start w:val="1"/>
      <w:numFmt w:val="upperRoman"/>
      <w:pStyle w:val="TOCHeading1"/>
      <w:lvlText w:val="%1."/>
      <w:lvlJc w:val="left"/>
      <w:pPr>
        <w:ind w:left="2160" w:hanging="720"/>
      </w:pPr>
      <w:rPr>
        <w:rFonts w:hint="default"/>
        <w:b w:val="0"/>
      </w:rPr>
    </w:lvl>
    <w:lvl w:ilvl="1" w:tplc="471A2A28">
      <w:start w:val="1"/>
      <w:numFmt w:val="lowerLetter"/>
      <w:lvlText w:val="%2."/>
      <w:lvlJc w:val="left"/>
      <w:pPr>
        <w:ind w:left="2520" w:hanging="360"/>
      </w:pPr>
    </w:lvl>
    <w:lvl w:ilvl="2" w:tplc="9C0CDEFE" w:tentative="1">
      <w:start w:val="1"/>
      <w:numFmt w:val="lowerRoman"/>
      <w:lvlText w:val="%3."/>
      <w:lvlJc w:val="right"/>
      <w:pPr>
        <w:ind w:left="3240" w:hanging="180"/>
      </w:pPr>
    </w:lvl>
    <w:lvl w:ilvl="3" w:tplc="5DE0BACC" w:tentative="1">
      <w:start w:val="1"/>
      <w:numFmt w:val="decimal"/>
      <w:lvlText w:val="%4."/>
      <w:lvlJc w:val="left"/>
      <w:pPr>
        <w:ind w:left="3960" w:hanging="360"/>
      </w:pPr>
    </w:lvl>
    <w:lvl w:ilvl="4" w:tplc="9F56433C" w:tentative="1">
      <w:start w:val="1"/>
      <w:numFmt w:val="lowerLetter"/>
      <w:lvlText w:val="%5."/>
      <w:lvlJc w:val="left"/>
      <w:pPr>
        <w:ind w:left="4680" w:hanging="360"/>
      </w:pPr>
    </w:lvl>
    <w:lvl w:ilvl="5" w:tplc="A3300E66" w:tentative="1">
      <w:start w:val="1"/>
      <w:numFmt w:val="lowerRoman"/>
      <w:lvlText w:val="%6."/>
      <w:lvlJc w:val="right"/>
      <w:pPr>
        <w:ind w:left="5400" w:hanging="180"/>
      </w:pPr>
    </w:lvl>
    <w:lvl w:ilvl="6" w:tplc="B02AA764" w:tentative="1">
      <w:start w:val="1"/>
      <w:numFmt w:val="decimal"/>
      <w:lvlText w:val="%7."/>
      <w:lvlJc w:val="left"/>
      <w:pPr>
        <w:ind w:left="6120" w:hanging="360"/>
      </w:pPr>
    </w:lvl>
    <w:lvl w:ilvl="7" w:tplc="1778B8B2" w:tentative="1">
      <w:start w:val="1"/>
      <w:numFmt w:val="lowerLetter"/>
      <w:lvlText w:val="%8."/>
      <w:lvlJc w:val="left"/>
      <w:pPr>
        <w:ind w:left="6840" w:hanging="360"/>
      </w:pPr>
    </w:lvl>
    <w:lvl w:ilvl="8" w:tplc="0D864C50" w:tentative="1">
      <w:start w:val="1"/>
      <w:numFmt w:val="lowerRoman"/>
      <w:lvlText w:val="%9."/>
      <w:lvlJc w:val="right"/>
      <w:pPr>
        <w:ind w:left="7560" w:hanging="180"/>
      </w:pPr>
    </w:lvl>
  </w:abstractNum>
  <w:abstractNum w:abstractNumId="2" w15:restartNumberingAfterBreak="0">
    <w:nsid w:val="6C3A39FC"/>
    <w:multiLevelType w:val="multilevel"/>
    <w:tmpl w:val="6EBEECB0"/>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816567"/>
    <w:multiLevelType w:val="hybridMultilevel"/>
    <w:tmpl w:val="4EEE5B36"/>
    <w:lvl w:ilvl="0" w:tplc="EC54F088">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72480447"/>
    <w:multiLevelType w:val="multilevel"/>
    <w:tmpl w:val="CA1C52D6"/>
    <w:lvl w:ilvl="0">
      <w:start w:val="1"/>
      <w:numFmt w:val="upperRoman"/>
      <w:pStyle w:val="Heading1"/>
      <w:suff w:val="space"/>
      <w:lvlText w:val="%1."/>
      <w:lvlJc w:val="left"/>
      <w:pPr>
        <w:ind w:left="3870" w:firstLine="0"/>
      </w:pPr>
      <w:rPr>
        <w:rFonts w:hint="default"/>
        <w:b w:val="0"/>
      </w:rPr>
    </w:lvl>
    <w:lvl w:ilvl="1">
      <w:start w:val="1"/>
      <w:numFmt w:val="upperLetter"/>
      <w:pStyle w:val="Heading2"/>
      <w:suff w:val="space"/>
      <w:lvlText w:val="%2."/>
      <w:lvlJc w:val="left"/>
      <w:pPr>
        <w:ind w:left="3690" w:firstLine="0"/>
      </w:pPr>
      <w:rPr>
        <w:rFonts w:hint="default"/>
      </w:rPr>
    </w:lvl>
    <w:lvl w:ilvl="2">
      <w:start w:val="1"/>
      <w:numFmt w:val="decimal"/>
      <w:suff w:val="space"/>
      <w:lvlText w:val="%3."/>
      <w:lvlJc w:val="left"/>
      <w:pPr>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7D991F83"/>
    <w:multiLevelType w:val="hybridMultilevel"/>
    <w:tmpl w:val="4AF29CEA"/>
    <w:lvl w:ilvl="0" w:tplc="7B84DEE0">
      <w:start w:val="1"/>
      <w:numFmt w:val="lowerLetter"/>
      <w:pStyle w:val="LetteredList"/>
      <w:lvlText w:val="(%1)"/>
      <w:lvlJc w:val="left"/>
      <w:pPr>
        <w:tabs>
          <w:tab w:val="num" w:pos="1080"/>
        </w:tabs>
        <w:ind w:left="1080" w:hanging="360"/>
      </w:pPr>
      <w:rPr>
        <w:rFonts w:hint="default"/>
      </w:rPr>
    </w:lvl>
    <w:lvl w:ilvl="1" w:tplc="D1A2B1E0">
      <w:start w:val="1"/>
      <w:numFmt w:val="lowerLetter"/>
      <w:lvlText w:val="%2."/>
      <w:lvlJc w:val="left"/>
      <w:pPr>
        <w:tabs>
          <w:tab w:val="num" w:pos="1800"/>
        </w:tabs>
        <w:ind w:left="1800" w:hanging="360"/>
      </w:pPr>
    </w:lvl>
    <w:lvl w:ilvl="2" w:tplc="8FFA0552" w:tentative="1">
      <w:start w:val="1"/>
      <w:numFmt w:val="lowerRoman"/>
      <w:lvlText w:val="%3."/>
      <w:lvlJc w:val="right"/>
      <w:pPr>
        <w:tabs>
          <w:tab w:val="num" w:pos="2520"/>
        </w:tabs>
        <w:ind w:left="2520" w:hanging="180"/>
      </w:pPr>
    </w:lvl>
    <w:lvl w:ilvl="3" w:tplc="715421B8" w:tentative="1">
      <w:start w:val="1"/>
      <w:numFmt w:val="decimal"/>
      <w:lvlText w:val="%4."/>
      <w:lvlJc w:val="left"/>
      <w:pPr>
        <w:tabs>
          <w:tab w:val="num" w:pos="3240"/>
        </w:tabs>
        <w:ind w:left="3240" w:hanging="360"/>
      </w:pPr>
    </w:lvl>
    <w:lvl w:ilvl="4" w:tplc="15384B74" w:tentative="1">
      <w:start w:val="1"/>
      <w:numFmt w:val="lowerLetter"/>
      <w:lvlText w:val="%5."/>
      <w:lvlJc w:val="left"/>
      <w:pPr>
        <w:tabs>
          <w:tab w:val="num" w:pos="3960"/>
        </w:tabs>
        <w:ind w:left="3960" w:hanging="360"/>
      </w:pPr>
    </w:lvl>
    <w:lvl w:ilvl="5" w:tplc="F06AD712" w:tentative="1">
      <w:start w:val="1"/>
      <w:numFmt w:val="lowerRoman"/>
      <w:lvlText w:val="%6."/>
      <w:lvlJc w:val="right"/>
      <w:pPr>
        <w:tabs>
          <w:tab w:val="num" w:pos="4680"/>
        </w:tabs>
        <w:ind w:left="4680" w:hanging="180"/>
      </w:pPr>
    </w:lvl>
    <w:lvl w:ilvl="6" w:tplc="89FACD5A" w:tentative="1">
      <w:start w:val="1"/>
      <w:numFmt w:val="decimal"/>
      <w:lvlText w:val="%7."/>
      <w:lvlJc w:val="left"/>
      <w:pPr>
        <w:tabs>
          <w:tab w:val="num" w:pos="5400"/>
        </w:tabs>
        <w:ind w:left="5400" w:hanging="360"/>
      </w:pPr>
    </w:lvl>
    <w:lvl w:ilvl="7" w:tplc="7DA47B72" w:tentative="1">
      <w:start w:val="1"/>
      <w:numFmt w:val="lowerLetter"/>
      <w:lvlText w:val="%8."/>
      <w:lvlJc w:val="left"/>
      <w:pPr>
        <w:tabs>
          <w:tab w:val="num" w:pos="6120"/>
        </w:tabs>
        <w:ind w:left="6120" w:hanging="360"/>
      </w:pPr>
    </w:lvl>
    <w:lvl w:ilvl="8" w:tplc="268C47FC"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84"/>
    <w:rsid w:val="00002F6C"/>
    <w:rsid w:val="00005029"/>
    <w:rsid w:val="00005863"/>
    <w:rsid w:val="0000617A"/>
    <w:rsid w:val="000067D3"/>
    <w:rsid w:val="00006964"/>
    <w:rsid w:val="000100E5"/>
    <w:rsid w:val="000103AE"/>
    <w:rsid w:val="000107AD"/>
    <w:rsid w:val="00012C9D"/>
    <w:rsid w:val="00014300"/>
    <w:rsid w:val="000162E7"/>
    <w:rsid w:val="000170D1"/>
    <w:rsid w:val="000171FC"/>
    <w:rsid w:val="00017429"/>
    <w:rsid w:val="000203EE"/>
    <w:rsid w:val="00020834"/>
    <w:rsid w:val="000217AD"/>
    <w:rsid w:val="000239FF"/>
    <w:rsid w:val="00023D33"/>
    <w:rsid w:val="0002406E"/>
    <w:rsid w:val="00024699"/>
    <w:rsid w:val="00024951"/>
    <w:rsid w:val="00024ACA"/>
    <w:rsid w:val="000251B0"/>
    <w:rsid w:val="000256DB"/>
    <w:rsid w:val="00027C43"/>
    <w:rsid w:val="00030A1E"/>
    <w:rsid w:val="00030DF5"/>
    <w:rsid w:val="000312AF"/>
    <w:rsid w:val="00031738"/>
    <w:rsid w:val="00033600"/>
    <w:rsid w:val="00034CF6"/>
    <w:rsid w:val="00037E6E"/>
    <w:rsid w:val="000404E7"/>
    <w:rsid w:val="00040F3C"/>
    <w:rsid w:val="000424D1"/>
    <w:rsid w:val="00043575"/>
    <w:rsid w:val="00044244"/>
    <w:rsid w:val="000456FF"/>
    <w:rsid w:val="000473E9"/>
    <w:rsid w:val="000500E4"/>
    <w:rsid w:val="00051632"/>
    <w:rsid w:val="00052A22"/>
    <w:rsid w:val="000542A2"/>
    <w:rsid w:val="00054ACF"/>
    <w:rsid w:val="000554DE"/>
    <w:rsid w:val="000555F6"/>
    <w:rsid w:val="000556C4"/>
    <w:rsid w:val="0005642B"/>
    <w:rsid w:val="00056A7B"/>
    <w:rsid w:val="000578AF"/>
    <w:rsid w:val="00060787"/>
    <w:rsid w:val="000607AF"/>
    <w:rsid w:val="00061084"/>
    <w:rsid w:val="00061BF4"/>
    <w:rsid w:val="00062DA0"/>
    <w:rsid w:val="000633F6"/>
    <w:rsid w:val="00063686"/>
    <w:rsid w:val="00064547"/>
    <w:rsid w:val="000645E5"/>
    <w:rsid w:val="00064FAA"/>
    <w:rsid w:val="00065668"/>
    <w:rsid w:val="000657CC"/>
    <w:rsid w:val="00065838"/>
    <w:rsid w:val="000679A1"/>
    <w:rsid w:val="0007006B"/>
    <w:rsid w:val="00072B27"/>
    <w:rsid w:val="000738F5"/>
    <w:rsid w:val="00073E9B"/>
    <w:rsid w:val="00075BA0"/>
    <w:rsid w:val="000766C0"/>
    <w:rsid w:val="00076D5D"/>
    <w:rsid w:val="000775BC"/>
    <w:rsid w:val="00077797"/>
    <w:rsid w:val="00082596"/>
    <w:rsid w:val="00082798"/>
    <w:rsid w:val="00083BC9"/>
    <w:rsid w:val="0008412A"/>
    <w:rsid w:val="00086C6C"/>
    <w:rsid w:val="000905BE"/>
    <w:rsid w:val="0009221E"/>
    <w:rsid w:val="00092F38"/>
    <w:rsid w:val="00093769"/>
    <w:rsid w:val="0009425F"/>
    <w:rsid w:val="0009482F"/>
    <w:rsid w:val="00097D4C"/>
    <w:rsid w:val="000A0FDA"/>
    <w:rsid w:val="000A17E8"/>
    <w:rsid w:val="000A2097"/>
    <w:rsid w:val="000A31D8"/>
    <w:rsid w:val="000A61B9"/>
    <w:rsid w:val="000B0AB9"/>
    <w:rsid w:val="000B1CB9"/>
    <w:rsid w:val="000B1FFA"/>
    <w:rsid w:val="000B2A6E"/>
    <w:rsid w:val="000B30AC"/>
    <w:rsid w:val="000B32E7"/>
    <w:rsid w:val="000C0EC1"/>
    <w:rsid w:val="000C121F"/>
    <w:rsid w:val="000C195D"/>
    <w:rsid w:val="000C276F"/>
    <w:rsid w:val="000C2C50"/>
    <w:rsid w:val="000C35C2"/>
    <w:rsid w:val="000C3C49"/>
    <w:rsid w:val="000C3C9C"/>
    <w:rsid w:val="000C7A50"/>
    <w:rsid w:val="000D12D6"/>
    <w:rsid w:val="000D2559"/>
    <w:rsid w:val="000D5F3A"/>
    <w:rsid w:val="000D709F"/>
    <w:rsid w:val="000D7EC8"/>
    <w:rsid w:val="000D7FB3"/>
    <w:rsid w:val="000E0286"/>
    <w:rsid w:val="000E0F1F"/>
    <w:rsid w:val="000E2420"/>
    <w:rsid w:val="000E35B3"/>
    <w:rsid w:val="000E3802"/>
    <w:rsid w:val="000E4B72"/>
    <w:rsid w:val="000E64B8"/>
    <w:rsid w:val="000F051E"/>
    <w:rsid w:val="000F0A58"/>
    <w:rsid w:val="000F1EF3"/>
    <w:rsid w:val="000F3A9D"/>
    <w:rsid w:val="000F4485"/>
    <w:rsid w:val="000F455B"/>
    <w:rsid w:val="000F48A9"/>
    <w:rsid w:val="000F57C9"/>
    <w:rsid w:val="00100505"/>
    <w:rsid w:val="00102F5C"/>
    <w:rsid w:val="00102F76"/>
    <w:rsid w:val="00103F44"/>
    <w:rsid w:val="00104EE4"/>
    <w:rsid w:val="00106FEB"/>
    <w:rsid w:val="00110A9C"/>
    <w:rsid w:val="00111E5C"/>
    <w:rsid w:val="00112A28"/>
    <w:rsid w:val="001133A3"/>
    <w:rsid w:val="00115C08"/>
    <w:rsid w:val="00116B68"/>
    <w:rsid w:val="001178D1"/>
    <w:rsid w:val="001179DE"/>
    <w:rsid w:val="00120974"/>
    <w:rsid w:val="00123797"/>
    <w:rsid w:val="00127CE7"/>
    <w:rsid w:val="00130326"/>
    <w:rsid w:val="001323E9"/>
    <w:rsid w:val="00132F95"/>
    <w:rsid w:val="001342E3"/>
    <w:rsid w:val="00136825"/>
    <w:rsid w:val="00136EC4"/>
    <w:rsid w:val="00140722"/>
    <w:rsid w:val="0014214E"/>
    <w:rsid w:val="0014471F"/>
    <w:rsid w:val="00144DD4"/>
    <w:rsid w:val="001450EB"/>
    <w:rsid w:val="0014690D"/>
    <w:rsid w:val="00147C5F"/>
    <w:rsid w:val="00150247"/>
    <w:rsid w:val="00150ED9"/>
    <w:rsid w:val="00151206"/>
    <w:rsid w:val="00151EC1"/>
    <w:rsid w:val="00151F8F"/>
    <w:rsid w:val="001521B9"/>
    <w:rsid w:val="00152BE1"/>
    <w:rsid w:val="00153C04"/>
    <w:rsid w:val="00154547"/>
    <w:rsid w:val="00155BB6"/>
    <w:rsid w:val="0015635E"/>
    <w:rsid w:val="00157A6A"/>
    <w:rsid w:val="00157E29"/>
    <w:rsid w:val="001615A6"/>
    <w:rsid w:val="001616DA"/>
    <w:rsid w:val="00161E63"/>
    <w:rsid w:val="00162E6C"/>
    <w:rsid w:val="0016372C"/>
    <w:rsid w:val="00163DCC"/>
    <w:rsid w:val="00164464"/>
    <w:rsid w:val="00165A7A"/>
    <w:rsid w:val="00167B1F"/>
    <w:rsid w:val="001701BE"/>
    <w:rsid w:val="00170749"/>
    <w:rsid w:val="001716A7"/>
    <w:rsid w:val="0017224D"/>
    <w:rsid w:val="001730D8"/>
    <w:rsid w:val="00181350"/>
    <w:rsid w:val="00183011"/>
    <w:rsid w:val="0018502B"/>
    <w:rsid w:val="0018581A"/>
    <w:rsid w:val="00185DE6"/>
    <w:rsid w:val="00191230"/>
    <w:rsid w:val="001923E8"/>
    <w:rsid w:val="00193E67"/>
    <w:rsid w:val="001956B1"/>
    <w:rsid w:val="00197741"/>
    <w:rsid w:val="001A1482"/>
    <w:rsid w:val="001A34FC"/>
    <w:rsid w:val="001A3ADB"/>
    <w:rsid w:val="001A3CDB"/>
    <w:rsid w:val="001A4DE2"/>
    <w:rsid w:val="001A51AC"/>
    <w:rsid w:val="001A746D"/>
    <w:rsid w:val="001A767B"/>
    <w:rsid w:val="001A7742"/>
    <w:rsid w:val="001B1400"/>
    <w:rsid w:val="001B173C"/>
    <w:rsid w:val="001B29AB"/>
    <w:rsid w:val="001B5B57"/>
    <w:rsid w:val="001B69E1"/>
    <w:rsid w:val="001B6C6C"/>
    <w:rsid w:val="001B7D97"/>
    <w:rsid w:val="001C0DED"/>
    <w:rsid w:val="001C0F21"/>
    <w:rsid w:val="001C10F3"/>
    <w:rsid w:val="001C22DC"/>
    <w:rsid w:val="001C41E1"/>
    <w:rsid w:val="001C558B"/>
    <w:rsid w:val="001C59C2"/>
    <w:rsid w:val="001C773C"/>
    <w:rsid w:val="001D2307"/>
    <w:rsid w:val="001D2488"/>
    <w:rsid w:val="001D2DEB"/>
    <w:rsid w:val="001D72A3"/>
    <w:rsid w:val="001E055D"/>
    <w:rsid w:val="001E14D8"/>
    <w:rsid w:val="001E1D33"/>
    <w:rsid w:val="001E28D1"/>
    <w:rsid w:val="001E381D"/>
    <w:rsid w:val="001E5743"/>
    <w:rsid w:val="001E7EBF"/>
    <w:rsid w:val="001F0610"/>
    <w:rsid w:val="001F1528"/>
    <w:rsid w:val="001F16FD"/>
    <w:rsid w:val="001F4829"/>
    <w:rsid w:val="00200F00"/>
    <w:rsid w:val="00201E4B"/>
    <w:rsid w:val="00202FF7"/>
    <w:rsid w:val="00203860"/>
    <w:rsid w:val="00204502"/>
    <w:rsid w:val="002054B5"/>
    <w:rsid w:val="002062D3"/>
    <w:rsid w:val="00206AB2"/>
    <w:rsid w:val="002076DC"/>
    <w:rsid w:val="00207BCB"/>
    <w:rsid w:val="00210145"/>
    <w:rsid w:val="00210E85"/>
    <w:rsid w:val="002125E0"/>
    <w:rsid w:val="00212D9F"/>
    <w:rsid w:val="00213748"/>
    <w:rsid w:val="002170EF"/>
    <w:rsid w:val="00220BF2"/>
    <w:rsid w:val="00222AC3"/>
    <w:rsid w:val="00222B31"/>
    <w:rsid w:val="00222D4D"/>
    <w:rsid w:val="00222D7F"/>
    <w:rsid w:val="002251F9"/>
    <w:rsid w:val="00225DA0"/>
    <w:rsid w:val="00230FCD"/>
    <w:rsid w:val="0023287D"/>
    <w:rsid w:val="00233EF7"/>
    <w:rsid w:val="00234574"/>
    <w:rsid w:val="002350C9"/>
    <w:rsid w:val="002372B3"/>
    <w:rsid w:val="002401C3"/>
    <w:rsid w:val="00240406"/>
    <w:rsid w:val="00241335"/>
    <w:rsid w:val="00242604"/>
    <w:rsid w:val="00242815"/>
    <w:rsid w:val="002428C2"/>
    <w:rsid w:val="00242DD2"/>
    <w:rsid w:val="002430C6"/>
    <w:rsid w:val="002431F6"/>
    <w:rsid w:val="00243733"/>
    <w:rsid w:val="00243C07"/>
    <w:rsid w:val="002441E5"/>
    <w:rsid w:val="00245095"/>
    <w:rsid w:val="002455D1"/>
    <w:rsid w:val="00245887"/>
    <w:rsid w:val="002458CF"/>
    <w:rsid w:val="002470FA"/>
    <w:rsid w:val="00247FD9"/>
    <w:rsid w:val="00250FFD"/>
    <w:rsid w:val="002512C9"/>
    <w:rsid w:val="0025266B"/>
    <w:rsid w:val="002546AC"/>
    <w:rsid w:val="00256350"/>
    <w:rsid w:val="00256FB1"/>
    <w:rsid w:val="002570B0"/>
    <w:rsid w:val="002573F1"/>
    <w:rsid w:val="0025772C"/>
    <w:rsid w:val="0026005C"/>
    <w:rsid w:val="00260F4B"/>
    <w:rsid w:val="00261450"/>
    <w:rsid w:val="002636B8"/>
    <w:rsid w:val="002656E7"/>
    <w:rsid w:val="002670E3"/>
    <w:rsid w:val="002675F9"/>
    <w:rsid w:val="00270998"/>
    <w:rsid w:val="00272EBF"/>
    <w:rsid w:val="002731BD"/>
    <w:rsid w:val="0027356A"/>
    <w:rsid w:val="00275206"/>
    <w:rsid w:val="002757B9"/>
    <w:rsid w:val="002760E4"/>
    <w:rsid w:val="002761F4"/>
    <w:rsid w:val="00277C7C"/>
    <w:rsid w:val="00280CCE"/>
    <w:rsid w:val="00283327"/>
    <w:rsid w:val="002833A1"/>
    <w:rsid w:val="002835FE"/>
    <w:rsid w:val="00290D7D"/>
    <w:rsid w:val="002912EC"/>
    <w:rsid w:val="00291D1B"/>
    <w:rsid w:val="00294505"/>
    <w:rsid w:val="00294507"/>
    <w:rsid w:val="0029461C"/>
    <w:rsid w:val="0029468E"/>
    <w:rsid w:val="00294774"/>
    <w:rsid w:val="00296547"/>
    <w:rsid w:val="00296768"/>
    <w:rsid w:val="002977D6"/>
    <w:rsid w:val="002A063D"/>
    <w:rsid w:val="002A2E70"/>
    <w:rsid w:val="002A4755"/>
    <w:rsid w:val="002A4B90"/>
    <w:rsid w:val="002A6ACA"/>
    <w:rsid w:val="002A6FE8"/>
    <w:rsid w:val="002A7CC3"/>
    <w:rsid w:val="002B12C2"/>
    <w:rsid w:val="002B1851"/>
    <w:rsid w:val="002B531F"/>
    <w:rsid w:val="002B56E4"/>
    <w:rsid w:val="002B6D35"/>
    <w:rsid w:val="002B6DA5"/>
    <w:rsid w:val="002B7113"/>
    <w:rsid w:val="002B744C"/>
    <w:rsid w:val="002C08C9"/>
    <w:rsid w:val="002C11AB"/>
    <w:rsid w:val="002C168C"/>
    <w:rsid w:val="002C1EFB"/>
    <w:rsid w:val="002C2711"/>
    <w:rsid w:val="002C2969"/>
    <w:rsid w:val="002C298E"/>
    <w:rsid w:val="002C4DEA"/>
    <w:rsid w:val="002C578A"/>
    <w:rsid w:val="002C58D2"/>
    <w:rsid w:val="002D0D60"/>
    <w:rsid w:val="002D1CF4"/>
    <w:rsid w:val="002D24AA"/>
    <w:rsid w:val="002D2C59"/>
    <w:rsid w:val="002D2CA7"/>
    <w:rsid w:val="002D32E8"/>
    <w:rsid w:val="002D569E"/>
    <w:rsid w:val="002D5979"/>
    <w:rsid w:val="002D6958"/>
    <w:rsid w:val="002D6C00"/>
    <w:rsid w:val="002D7791"/>
    <w:rsid w:val="002D7B4C"/>
    <w:rsid w:val="002E0D84"/>
    <w:rsid w:val="002E15A6"/>
    <w:rsid w:val="002E1A2F"/>
    <w:rsid w:val="002E1C98"/>
    <w:rsid w:val="002E2B21"/>
    <w:rsid w:val="002E3028"/>
    <w:rsid w:val="002E4388"/>
    <w:rsid w:val="002E4B37"/>
    <w:rsid w:val="002E4CD8"/>
    <w:rsid w:val="002E5452"/>
    <w:rsid w:val="002E5476"/>
    <w:rsid w:val="002E6BE8"/>
    <w:rsid w:val="002F08AE"/>
    <w:rsid w:val="002F0B66"/>
    <w:rsid w:val="002F0F75"/>
    <w:rsid w:val="002F2094"/>
    <w:rsid w:val="002F3FA2"/>
    <w:rsid w:val="002F49F8"/>
    <w:rsid w:val="002F6239"/>
    <w:rsid w:val="002F68CF"/>
    <w:rsid w:val="002F758D"/>
    <w:rsid w:val="00300957"/>
    <w:rsid w:val="00300D77"/>
    <w:rsid w:val="003019BE"/>
    <w:rsid w:val="00302C8E"/>
    <w:rsid w:val="0030308F"/>
    <w:rsid w:val="003033C1"/>
    <w:rsid w:val="00305A91"/>
    <w:rsid w:val="00306E83"/>
    <w:rsid w:val="003073AC"/>
    <w:rsid w:val="00307C73"/>
    <w:rsid w:val="00311A88"/>
    <w:rsid w:val="0031376D"/>
    <w:rsid w:val="0031540B"/>
    <w:rsid w:val="00315919"/>
    <w:rsid w:val="00315EF6"/>
    <w:rsid w:val="00320DFF"/>
    <w:rsid w:val="003227CA"/>
    <w:rsid w:val="00322C6E"/>
    <w:rsid w:val="00324295"/>
    <w:rsid w:val="003264D2"/>
    <w:rsid w:val="00326BC8"/>
    <w:rsid w:val="0032719F"/>
    <w:rsid w:val="0033365F"/>
    <w:rsid w:val="00334545"/>
    <w:rsid w:val="00334BD9"/>
    <w:rsid w:val="00335EB9"/>
    <w:rsid w:val="00337434"/>
    <w:rsid w:val="003379DD"/>
    <w:rsid w:val="00337EE2"/>
    <w:rsid w:val="00341037"/>
    <w:rsid w:val="003412E2"/>
    <w:rsid w:val="00342957"/>
    <w:rsid w:val="00343823"/>
    <w:rsid w:val="00343D01"/>
    <w:rsid w:val="00344DA9"/>
    <w:rsid w:val="00347518"/>
    <w:rsid w:val="00347FE8"/>
    <w:rsid w:val="00351144"/>
    <w:rsid w:val="00352673"/>
    <w:rsid w:val="00353DE7"/>
    <w:rsid w:val="00355CF1"/>
    <w:rsid w:val="00356CC3"/>
    <w:rsid w:val="00357CA4"/>
    <w:rsid w:val="00357F23"/>
    <w:rsid w:val="003605AF"/>
    <w:rsid w:val="00363D2A"/>
    <w:rsid w:val="003646EE"/>
    <w:rsid w:val="00366C59"/>
    <w:rsid w:val="00367C83"/>
    <w:rsid w:val="003700E7"/>
    <w:rsid w:val="003711EF"/>
    <w:rsid w:val="00371752"/>
    <w:rsid w:val="00373901"/>
    <w:rsid w:val="00376801"/>
    <w:rsid w:val="00380D07"/>
    <w:rsid w:val="00381D1C"/>
    <w:rsid w:val="00383651"/>
    <w:rsid w:val="0038505B"/>
    <w:rsid w:val="0038561C"/>
    <w:rsid w:val="00386911"/>
    <w:rsid w:val="00386C39"/>
    <w:rsid w:val="003876C0"/>
    <w:rsid w:val="0038780F"/>
    <w:rsid w:val="00387B73"/>
    <w:rsid w:val="0039014B"/>
    <w:rsid w:val="00390B5F"/>
    <w:rsid w:val="00391799"/>
    <w:rsid w:val="00391B10"/>
    <w:rsid w:val="00391E7F"/>
    <w:rsid w:val="0039278E"/>
    <w:rsid w:val="00392D85"/>
    <w:rsid w:val="00394A56"/>
    <w:rsid w:val="00395C9E"/>
    <w:rsid w:val="00396DD7"/>
    <w:rsid w:val="003A0C4E"/>
    <w:rsid w:val="003A0F4E"/>
    <w:rsid w:val="003A163A"/>
    <w:rsid w:val="003A17B8"/>
    <w:rsid w:val="003A2C99"/>
    <w:rsid w:val="003A3472"/>
    <w:rsid w:val="003A4906"/>
    <w:rsid w:val="003A4C4E"/>
    <w:rsid w:val="003A58EB"/>
    <w:rsid w:val="003A6A1D"/>
    <w:rsid w:val="003A71F5"/>
    <w:rsid w:val="003A76AD"/>
    <w:rsid w:val="003A7C0D"/>
    <w:rsid w:val="003A7C35"/>
    <w:rsid w:val="003B02BF"/>
    <w:rsid w:val="003B0E17"/>
    <w:rsid w:val="003B13E5"/>
    <w:rsid w:val="003B1A44"/>
    <w:rsid w:val="003B2ADF"/>
    <w:rsid w:val="003B3076"/>
    <w:rsid w:val="003B4E43"/>
    <w:rsid w:val="003B56A3"/>
    <w:rsid w:val="003B6A9B"/>
    <w:rsid w:val="003B7AE6"/>
    <w:rsid w:val="003C006E"/>
    <w:rsid w:val="003C0E36"/>
    <w:rsid w:val="003C1431"/>
    <w:rsid w:val="003C175D"/>
    <w:rsid w:val="003C3D1A"/>
    <w:rsid w:val="003C3EE5"/>
    <w:rsid w:val="003C4216"/>
    <w:rsid w:val="003C5D4E"/>
    <w:rsid w:val="003C6AA5"/>
    <w:rsid w:val="003C6E84"/>
    <w:rsid w:val="003D044D"/>
    <w:rsid w:val="003D046A"/>
    <w:rsid w:val="003D1934"/>
    <w:rsid w:val="003D48B0"/>
    <w:rsid w:val="003D630A"/>
    <w:rsid w:val="003D6F40"/>
    <w:rsid w:val="003D735C"/>
    <w:rsid w:val="003D76E4"/>
    <w:rsid w:val="003E0AB0"/>
    <w:rsid w:val="003E354D"/>
    <w:rsid w:val="003E4692"/>
    <w:rsid w:val="003E4DA3"/>
    <w:rsid w:val="003E6D7F"/>
    <w:rsid w:val="003F4DFF"/>
    <w:rsid w:val="003F5F6F"/>
    <w:rsid w:val="003F7E68"/>
    <w:rsid w:val="004009F7"/>
    <w:rsid w:val="00400A96"/>
    <w:rsid w:val="00401297"/>
    <w:rsid w:val="004027A3"/>
    <w:rsid w:val="004027FC"/>
    <w:rsid w:val="004028FC"/>
    <w:rsid w:val="004033ED"/>
    <w:rsid w:val="00403CC0"/>
    <w:rsid w:val="00403CFD"/>
    <w:rsid w:val="00405278"/>
    <w:rsid w:val="00405B14"/>
    <w:rsid w:val="0040695F"/>
    <w:rsid w:val="00406A15"/>
    <w:rsid w:val="00406B8A"/>
    <w:rsid w:val="004101BE"/>
    <w:rsid w:val="00412CC1"/>
    <w:rsid w:val="00412EBB"/>
    <w:rsid w:val="0041430C"/>
    <w:rsid w:val="00414AC5"/>
    <w:rsid w:val="0041562E"/>
    <w:rsid w:val="00416428"/>
    <w:rsid w:val="004211A2"/>
    <w:rsid w:val="00421619"/>
    <w:rsid w:val="00421D3C"/>
    <w:rsid w:val="004225F9"/>
    <w:rsid w:val="0042295A"/>
    <w:rsid w:val="004234FC"/>
    <w:rsid w:val="004242C8"/>
    <w:rsid w:val="00426846"/>
    <w:rsid w:val="004276BA"/>
    <w:rsid w:val="0043047B"/>
    <w:rsid w:val="00431321"/>
    <w:rsid w:val="004320E7"/>
    <w:rsid w:val="00433246"/>
    <w:rsid w:val="00433585"/>
    <w:rsid w:val="004347C3"/>
    <w:rsid w:val="00434DF5"/>
    <w:rsid w:val="00440B50"/>
    <w:rsid w:val="00442DE6"/>
    <w:rsid w:val="00443EBC"/>
    <w:rsid w:val="004443D0"/>
    <w:rsid w:val="00444962"/>
    <w:rsid w:val="00446249"/>
    <w:rsid w:val="00446DC3"/>
    <w:rsid w:val="004473CB"/>
    <w:rsid w:val="0045057F"/>
    <w:rsid w:val="0045132A"/>
    <w:rsid w:val="00451BB8"/>
    <w:rsid w:val="00451CA2"/>
    <w:rsid w:val="004542E7"/>
    <w:rsid w:val="0045480E"/>
    <w:rsid w:val="0045536C"/>
    <w:rsid w:val="00457A00"/>
    <w:rsid w:val="0046052C"/>
    <w:rsid w:val="00461851"/>
    <w:rsid w:val="00462119"/>
    <w:rsid w:val="0046259B"/>
    <w:rsid w:val="004637B4"/>
    <w:rsid w:val="0046502D"/>
    <w:rsid w:val="00465499"/>
    <w:rsid w:val="00466167"/>
    <w:rsid w:val="00467701"/>
    <w:rsid w:val="004709C3"/>
    <w:rsid w:val="00471EC8"/>
    <w:rsid w:val="004720B8"/>
    <w:rsid w:val="00472278"/>
    <w:rsid w:val="00472EFD"/>
    <w:rsid w:val="00473B5D"/>
    <w:rsid w:val="00473BCB"/>
    <w:rsid w:val="004746A8"/>
    <w:rsid w:val="00480CBB"/>
    <w:rsid w:val="00481868"/>
    <w:rsid w:val="0048251E"/>
    <w:rsid w:val="00483045"/>
    <w:rsid w:val="00485A9F"/>
    <w:rsid w:val="00487ACD"/>
    <w:rsid w:val="004943D6"/>
    <w:rsid w:val="00494535"/>
    <w:rsid w:val="00494BCC"/>
    <w:rsid w:val="00497B91"/>
    <w:rsid w:val="004A11EE"/>
    <w:rsid w:val="004A1316"/>
    <w:rsid w:val="004A1916"/>
    <w:rsid w:val="004A2886"/>
    <w:rsid w:val="004A4233"/>
    <w:rsid w:val="004A5083"/>
    <w:rsid w:val="004A62E6"/>
    <w:rsid w:val="004A6E7F"/>
    <w:rsid w:val="004A73F2"/>
    <w:rsid w:val="004A7D87"/>
    <w:rsid w:val="004B0866"/>
    <w:rsid w:val="004B26F4"/>
    <w:rsid w:val="004B4068"/>
    <w:rsid w:val="004B4D18"/>
    <w:rsid w:val="004B7601"/>
    <w:rsid w:val="004B7AB1"/>
    <w:rsid w:val="004B7CBD"/>
    <w:rsid w:val="004C0455"/>
    <w:rsid w:val="004C0864"/>
    <w:rsid w:val="004C1D37"/>
    <w:rsid w:val="004C29E8"/>
    <w:rsid w:val="004C40A8"/>
    <w:rsid w:val="004C469C"/>
    <w:rsid w:val="004C5945"/>
    <w:rsid w:val="004C662C"/>
    <w:rsid w:val="004D01B9"/>
    <w:rsid w:val="004D03C4"/>
    <w:rsid w:val="004D104B"/>
    <w:rsid w:val="004D14CA"/>
    <w:rsid w:val="004D2290"/>
    <w:rsid w:val="004D2307"/>
    <w:rsid w:val="004D23FB"/>
    <w:rsid w:val="004D2D1A"/>
    <w:rsid w:val="004D3FAA"/>
    <w:rsid w:val="004D4B9F"/>
    <w:rsid w:val="004D640A"/>
    <w:rsid w:val="004D65EB"/>
    <w:rsid w:val="004D6A88"/>
    <w:rsid w:val="004E055E"/>
    <w:rsid w:val="004E0FA4"/>
    <w:rsid w:val="004E1086"/>
    <w:rsid w:val="004E17E6"/>
    <w:rsid w:val="004E186F"/>
    <w:rsid w:val="004E1931"/>
    <w:rsid w:val="004E2A22"/>
    <w:rsid w:val="004E2C50"/>
    <w:rsid w:val="004E3CAF"/>
    <w:rsid w:val="004E3D56"/>
    <w:rsid w:val="004E51D9"/>
    <w:rsid w:val="004E635A"/>
    <w:rsid w:val="004E6C89"/>
    <w:rsid w:val="004F0594"/>
    <w:rsid w:val="004F0C35"/>
    <w:rsid w:val="004F3F6B"/>
    <w:rsid w:val="004F4B2F"/>
    <w:rsid w:val="004F549D"/>
    <w:rsid w:val="004F6518"/>
    <w:rsid w:val="004F65E3"/>
    <w:rsid w:val="004F6FE2"/>
    <w:rsid w:val="004F7B84"/>
    <w:rsid w:val="005010E1"/>
    <w:rsid w:val="00501801"/>
    <w:rsid w:val="00501876"/>
    <w:rsid w:val="00503289"/>
    <w:rsid w:val="0050546D"/>
    <w:rsid w:val="00505CEF"/>
    <w:rsid w:val="00507FC8"/>
    <w:rsid w:val="00510C62"/>
    <w:rsid w:val="005120FB"/>
    <w:rsid w:val="00513F07"/>
    <w:rsid w:val="0051403C"/>
    <w:rsid w:val="00514896"/>
    <w:rsid w:val="005149B5"/>
    <w:rsid w:val="00515882"/>
    <w:rsid w:val="00515885"/>
    <w:rsid w:val="00520E21"/>
    <w:rsid w:val="005212C2"/>
    <w:rsid w:val="00522CE0"/>
    <w:rsid w:val="00523C51"/>
    <w:rsid w:val="005242F0"/>
    <w:rsid w:val="005253A4"/>
    <w:rsid w:val="00525A49"/>
    <w:rsid w:val="005262D4"/>
    <w:rsid w:val="00526680"/>
    <w:rsid w:val="005279AD"/>
    <w:rsid w:val="00527B12"/>
    <w:rsid w:val="005301AE"/>
    <w:rsid w:val="0053141E"/>
    <w:rsid w:val="0053203B"/>
    <w:rsid w:val="005329AE"/>
    <w:rsid w:val="00532CBD"/>
    <w:rsid w:val="00532F69"/>
    <w:rsid w:val="005330E2"/>
    <w:rsid w:val="00534B6D"/>
    <w:rsid w:val="0053676B"/>
    <w:rsid w:val="0053756C"/>
    <w:rsid w:val="00540198"/>
    <w:rsid w:val="005401D1"/>
    <w:rsid w:val="005407BB"/>
    <w:rsid w:val="00540BC0"/>
    <w:rsid w:val="005421CF"/>
    <w:rsid w:val="00542F0A"/>
    <w:rsid w:val="0054307C"/>
    <w:rsid w:val="00543E1D"/>
    <w:rsid w:val="00544DD5"/>
    <w:rsid w:val="00545926"/>
    <w:rsid w:val="00545E08"/>
    <w:rsid w:val="005466F0"/>
    <w:rsid w:val="00546D38"/>
    <w:rsid w:val="00547272"/>
    <w:rsid w:val="00547D6E"/>
    <w:rsid w:val="00551C1F"/>
    <w:rsid w:val="0055201D"/>
    <w:rsid w:val="0055325E"/>
    <w:rsid w:val="0055342B"/>
    <w:rsid w:val="00554133"/>
    <w:rsid w:val="0055436C"/>
    <w:rsid w:val="00554D3B"/>
    <w:rsid w:val="00557095"/>
    <w:rsid w:val="005619F8"/>
    <w:rsid w:val="00562C60"/>
    <w:rsid w:val="00563A96"/>
    <w:rsid w:val="00564621"/>
    <w:rsid w:val="00565935"/>
    <w:rsid w:val="00567DF2"/>
    <w:rsid w:val="00567F02"/>
    <w:rsid w:val="00571B90"/>
    <w:rsid w:val="00571C1B"/>
    <w:rsid w:val="00572B84"/>
    <w:rsid w:val="00572E69"/>
    <w:rsid w:val="00574615"/>
    <w:rsid w:val="00575FCC"/>
    <w:rsid w:val="005770AE"/>
    <w:rsid w:val="005775E3"/>
    <w:rsid w:val="005800E9"/>
    <w:rsid w:val="00580175"/>
    <w:rsid w:val="00580192"/>
    <w:rsid w:val="00580204"/>
    <w:rsid w:val="00581385"/>
    <w:rsid w:val="00581CA0"/>
    <w:rsid w:val="005820A2"/>
    <w:rsid w:val="00582F17"/>
    <w:rsid w:val="005835B6"/>
    <w:rsid w:val="00584343"/>
    <w:rsid w:val="005861CD"/>
    <w:rsid w:val="00587C31"/>
    <w:rsid w:val="00587E19"/>
    <w:rsid w:val="00591863"/>
    <w:rsid w:val="00591C41"/>
    <w:rsid w:val="0059225E"/>
    <w:rsid w:val="005929A3"/>
    <w:rsid w:val="0059485B"/>
    <w:rsid w:val="00594E3A"/>
    <w:rsid w:val="005957BE"/>
    <w:rsid w:val="00596CBE"/>
    <w:rsid w:val="005973F9"/>
    <w:rsid w:val="005A0B62"/>
    <w:rsid w:val="005A1745"/>
    <w:rsid w:val="005A237C"/>
    <w:rsid w:val="005A25AD"/>
    <w:rsid w:val="005A4541"/>
    <w:rsid w:val="005A4737"/>
    <w:rsid w:val="005A6A2D"/>
    <w:rsid w:val="005A6CC7"/>
    <w:rsid w:val="005B0594"/>
    <w:rsid w:val="005B07F2"/>
    <w:rsid w:val="005B4A79"/>
    <w:rsid w:val="005B4E27"/>
    <w:rsid w:val="005B5AF5"/>
    <w:rsid w:val="005B5D03"/>
    <w:rsid w:val="005B5E62"/>
    <w:rsid w:val="005B7AA0"/>
    <w:rsid w:val="005C1CCA"/>
    <w:rsid w:val="005C1D53"/>
    <w:rsid w:val="005C2867"/>
    <w:rsid w:val="005D1280"/>
    <w:rsid w:val="005D4B47"/>
    <w:rsid w:val="005D5E21"/>
    <w:rsid w:val="005D6176"/>
    <w:rsid w:val="005D6B5E"/>
    <w:rsid w:val="005D6FD7"/>
    <w:rsid w:val="005E088C"/>
    <w:rsid w:val="005E15B1"/>
    <w:rsid w:val="005E1DCB"/>
    <w:rsid w:val="005E2185"/>
    <w:rsid w:val="005E41AE"/>
    <w:rsid w:val="005E763A"/>
    <w:rsid w:val="005F0C70"/>
    <w:rsid w:val="005F1625"/>
    <w:rsid w:val="005F1F12"/>
    <w:rsid w:val="005F1FF4"/>
    <w:rsid w:val="005F22A8"/>
    <w:rsid w:val="005F5D47"/>
    <w:rsid w:val="005F6CA8"/>
    <w:rsid w:val="005F7104"/>
    <w:rsid w:val="006027A5"/>
    <w:rsid w:val="0060342A"/>
    <w:rsid w:val="00605356"/>
    <w:rsid w:val="0060681E"/>
    <w:rsid w:val="00606D07"/>
    <w:rsid w:val="006071A2"/>
    <w:rsid w:val="0060773D"/>
    <w:rsid w:val="00607C64"/>
    <w:rsid w:val="00610400"/>
    <w:rsid w:val="0061080F"/>
    <w:rsid w:val="00613394"/>
    <w:rsid w:val="00613740"/>
    <w:rsid w:val="00613B6F"/>
    <w:rsid w:val="00613D32"/>
    <w:rsid w:val="006140AE"/>
    <w:rsid w:val="006143C9"/>
    <w:rsid w:val="006168FB"/>
    <w:rsid w:val="00616AA7"/>
    <w:rsid w:val="0062095D"/>
    <w:rsid w:val="006211EA"/>
    <w:rsid w:val="00622611"/>
    <w:rsid w:val="00623FBD"/>
    <w:rsid w:val="00625113"/>
    <w:rsid w:val="0062588A"/>
    <w:rsid w:val="00626CAC"/>
    <w:rsid w:val="006300F1"/>
    <w:rsid w:val="00630D49"/>
    <w:rsid w:val="00631408"/>
    <w:rsid w:val="006333DD"/>
    <w:rsid w:val="006336BE"/>
    <w:rsid w:val="0063399F"/>
    <w:rsid w:val="00634742"/>
    <w:rsid w:val="00635D7E"/>
    <w:rsid w:val="006368CB"/>
    <w:rsid w:val="00636A8C"/>
    <w:rsid w:val="00636FDD"/>
    <w:rsid w:val="00637939"/>
    <w:rsid w:val="00637C36"/>
    <w:rsid w:val="00640975"/>
    <w:rsid w:val="006411AC"/>
    <w:rsid w:val="0064222C"/>
    <w:rsid w:val="00642879"/>
    <w:rsid w:val="00643837"/>
    <w:rsid w:val="00643DFC"/>
    <w:rsid w:val="00646486"/>
    <w:rsid w:val="00647916"/>
    <w:rsid w:val="00650A0F"/>
    <w:rsid w:val="00650AE3"/>
    <w:rsid w:val="00650C90"/>
    <w:rsid w:val="00650C9C"/>
    <w:rsid w:val="00650D09"/>
    <w:rsid w:val="00652C5F"/>
    <w:rsid w:val="00654A3C"/>
    <w:rsid w:val="00654B23"/>
    <w:rsid w:val="00654E66"/>
    <w:rsid w:val="006554D0"/>
    <w:rsid w:val="00655FB7"/>
    <w:rsid w:val="00656BF5"/>
    <w:rsid w:val="00660007"/>
    <w:rsid w:val="00661C55"/>
    <w:rsid w:val="0066270D"/>
    <w:rsid w:val="00662849"/>
    <w:rsid w:val="006646F0"/>
    <w:rsid w:val="0066494C"/>
    <w:rsid w:val="0066577A"/>
    <w:rsid w:val="00665938"/>
    <w:rsid w:val="00667545"/>
    <w:rsid w:val="00673350"/>
    <w:rsid w:val="00674DD6"/>
    <w:rsid w:val="00675641"/>
    <w:rsid w:val="00675AFC"/>
    <w:rsid w:val="00675C9C"/>
    <w:rsid w:val="00676A3B"/>
    <w:rsid w:val="006771D9"/>
    <w:rsid w:val="00680FE4"/>
    <w:rsid w:val="0068193B"/>
    <w:rsid w:val="00684AD1"/>
    <w:rsid w:val="00684B89"/>
    <w:rsid w:val="00684D9F"/>
    <w:rsid w:val="00685A21"/>
    <w:rsid w:val="00690519"/>
    <w:rsid w:val="00690EBA"/>
    <w:rsid w:val="00690F0E"/>
    <w:rsid w:val="00691A86"/>
    <w:rsid w:val="006940F3"/>
    <w:rsid w:val="00694AB6"/>
    <w:rsid w:val="0069629F"/>
    <w:rsid w:val="006A12B5"/>
    <w:rsid w:val="006A1FD7"/>
    <w:rsid w:val="006A2462"/>
    <w:rsid w:val="006A586F"/>
    <w:rsid w:val="006A63E4"/>
    <w:rsid w:val="006A68C4"/>
    <w:rsid w:val="006A69BD"/>
    <w:rsid w:val="006A71E1"/>
    <w:rsid w:val="006A7ED9"/>
    <w:rsid w:val="006B02C0"/>
    <w:rsid w:val="006B1904"/>
    <w:rsid w:val="006B2B92"/>
    <w:rsid w:val="006B2D9F"/>
    <w:rsid w:val="006B32B6"/>
    <w:rsid w:val="006B42AE"/>
    <w:rsid w:val="006B53E8"/>
    <w:rsid w:val="006B5604"/>
    <w:rsid w:val="006B5F20"/>
    <w:rsid w:val="006B67C2"/>
    <w:rsid w:val="006B734F"/>
    <w:rsid w:val="006B7A9F"/>
    <w:rsid w:val="006B7C1B"/>
    <w:rsid w:val="006C04E7"/>
    <w:rsid w:val="006C0FCE"/>
    <w:rsid w:val="006C51C6"/>
    <w:rsid w:val="006C64CE"/>
    <w:rsid w:val="006D2DE2"/>
    <w:rsid w:val="006D396E"/>
    <w:rsid w:val="006D57A5"/>
    <w:rsid w:val="006D5A2F"/>
    <w:rsid w:val="006D5FB4"/>
    <w:rsid w:val="006D796F"/>
    <w:rsid w:val="006D7F10"/>
    <w:rsid w:val="006E09A7"/>
    <w:rsid w:val="006E0ED2"/>
    <w:rsid w:val="006E10E9"/>
    <w:rsid w:val="006E1BB3"/>
    <w:rsid w:val="006E3055"/>
    <w:rsid w:val="006E3C7F"/>
    <w:rsid w:val="006E7115"/>
    <w:rsid w:val="006E79BD"/>
    <w:rsid w:val="006F20E0"/>
    <w:rsid w:val="006F21BE"/>
    <w:rsid w:val="006F2B25"/>
    <w:rsid w:val="006F629D"/>
    <w:rsid w:val="006F6B2F"/>
    <w:rsid w:val="006F7A65"/>
    <w:rsid w:val="006F7B2D"/>
    <w:rsid w:val="007034D5"/>
    <w:rsid w:val="00703BBD"/>
    <w:rsid w:val="007042E5"/>
    <w:rsid w:val="007047CC"/>
    <w:rsid w:val="00704D51"/>
    <w:rsid w:val="0070512C"/>
    <w:rsid w:val="007052AE"/>
    <w:rsid w:val="00710736"/>
    <w:rsid w:val="00712601"/>
    <w:rsid w:val="00712F15"/>
    <w:rsid w:val="00713A32"/>
    <w:rsid w:val="00713BC4"/>
    <w:rsid w:val="00713E09"/>
    <w:rsid w:val="00713EED"/>
    <w:rsid w:val="00714716"/>
    <w:rsid w:val="007165DD"/>
    <w:rsid w:val="00720287"/>
    <w:rsid w:val="007222C6"/>
    <w:rsid w:val="00722D4D"/>
    <w:rsid w:val="00723F14"/>
    <w:rsid w:val="007244E0"/>
    <w:rsid w:val="00724829"/>
    <w:rsid w:val="00724979"/>
    <w:rsid w:val="00726117"/>
    <w:rsid w:val="007261DC"/>
    <w:rsid w:val="00726DBB"/>
    <w:rsid w:val="0072712D"/>
    <w:rsid w:val="00727138"/>
    <w:rsid w:val="007278C5"/>
    <w:rsid w:val="00727DB4"/>
    <w:rsid w:val="00730E4F"/>
    <w:rsid w:val="00731C70"/>
    <w:rsid w:val="007352FA"/>
    <w:rsid w:val="007369FE"/>
    <w:rsid w:val="007370BE"/>
    <w:rsid w:val="007401B1"/>
    <w:rsid w:val="00740738"/>
    <w:rsid w:val="00740B91"/>
    <w:rsid w:val="00740D88"/>
    <w:rsid w:val="00742D49"/>
    <w:rsid w:val="00745560"/>
    <w:rsid w:val="0074643A"/>
    <w:rsid w:val="00746679"/>
    <w:rsid w:val="00746825"/>
    <w:rsid w:val="00746C3C"/>
    <w:rsid w:val="007470B8"/>
    <w:rsid w:val="00750B4E"/>
    <w:rsid w:val="00750DDB"/>
    <w:rsid w:val="0075246E"/>
    <w:rsid w:val="007525A9"/>
    <w:rsid w:val="00752FA7"/>
    <w:rsid w:val="00752FFC"/>
    <w:rsid w:val="0075481C"/>
    <w:rsid w:val="00754B2A"/>
    <w:rsid w:val="00754BCE"/>
    <w:rsid w:val="00760162"/>
    <w:rsid w:val="00761DD5"/>
    <w:rsid w:val="00762C0B"/>
    <w:rsid w:val="007637C8"/>
    <w:rsid w:val="0076496F"/>
    <w:rsid w:val="00764E85"/>
    <w:rsid w:val="007668D2"/>
    <w:rsid w:val="00766DEA"/>
    <w:rsid w:val="00767DCB"/>
    <w:rsid w:val="00767DD6"/>
    <w:rsid w:val="00770B1B"/>
    <w:rsid w:val="00770B2A"/>
    <w:rsid w:val="007714E5"/>
    <w:rsid w:val="00771543"/>
    <w:rsid w:val="00771FB4"/>
    <w:rsid w:val="007720B6"/>
    <w:rsid w:val="00772E50"/>
    <w:rsid w:val="007734B7"/>
    <w:rsid w:val="0077353C"/>
    <w:rsid w:val="00774F7F"/>
    <w:rsid w:val="0077549B"/>
    <w:rsid w:val="007754E4"/>
    <w:rsid w:val="00775ACA"/>
    <w:rsid w:val="0077723A"/>
    <w:rsid w:val="007806D8"/>
    <w:rsid w:val="00781E10"/>
    <w:rsid w:val="00781F65"/>
    <w:rsid w:val="00782CDE"/>
    <w:rsid w:val="00783689"/>
    <w:rsid w:val="00784324"/>
    <w:rsid w:val="007844CD"/>
    <w:rsid w:val="0078516D"/>
    <w:rsid w:val="00785B0A"/>
    <w:rsid w:val="00785DA2"/>
    <w:rsid w:val="00786D7E"/>
    <w:rsid w:val="0078759C"/>
    <w:rsid w:val="0079072E"/>
    <w:rsid w:val="00790817"/>
    <w:rsid w:val="00790D72"/>
    <w:rsid w:val="0079282C"/>
    <w:rsid w:val="00794777"/>
    <w:rsid w:val="007952DC"/>
    <w:rsid w:val="00797E7D"/>
    <w:rsid w:val="007A0519"/>
    <w:rsid w:val="007A0937"/>
    <w:rsid w:val="007A25E2"/>
    <w:rsid w:val="007A37D6"/>
    <w:rsid w:val="007A38D2"/>
    <w:rsid w:val="007A487C"/>
    <w:rsid w:val="007A5048"/>
    <w:rsid w:val="007A5B60"/>
    <w:rsid w:val="007A7EEC"/>
    <w:rsid w:val="007B051B"/>
    <w:rsid w:val="007B0664"/>
    <w:rsid w:val="007B0D23"/>
    <w:rsid w:val="007B2164"/>
    <w:rsid w:val="007B2954"/>
    <w:rsid w:val="007B3138"/>
    <w:rsid w:val="007B39FC"/>
    <w:rsid w:val="007B7384"/>
    <w:rsid w:val="007C1E97"/>
    <w:rsid w:val="007C28EE"/>
    <w:rsid w:val="007C4ECA"/>
    <w:rsid w:val="007C5D14"/>
    <w:rsid w:val="007C60A6"/>
    <w:rsid w:val="007C6D16"/>
    <w:rsid w:val="007D068B"/>
    <w:rsid w:val="007D0A05"/>
    <w:rsid w:val="007D25E3"/>
    <w:rsid w:val="007D3660"/>
    <w:rsid w:val="007D7EF6"/>
    <w:rsid w:val="007E041B"/>
    <w:rsid w:val="007E1037"/>
    <w:rsid w:val="007E6CAD"/>
    <w:rsid w:val="007E7ABA"/>
    <w:rsid w:val="007F1C29"/>
    <w:rsid w:val="007F1C3F"/>
    <w:rsid w:val="007F2692"/>
    <w:rsid w:val="007F68D1"/>
    <w:rsid w:val="00800F46"/>
    <w:rsid w:val="00801017"/>
    <w:rsid w:val="00802D3D"/>
    <w:rsid w:val="0080358B"/>
    <w:rsid w:val="00803BBB"/>
    <w:rsid w:val="00803D82"/>
    <w:rsid w:val="008045C9"/>
    <w:rsid w:val="008058E6"/>
    <w:rsid w:val="00805EC8"/>
    <w:rsid w:val="00807B81"/>
    <w:rsid w:val="00810546"/>
    <w:rsid w:val="0081064E"/>
    <w:rsid w:val="0081088F"/>
    <w:rsid w:val="00811A2D"/>
    <w:rsid w:val="00811E3E"/>
    <w:rsid w:val="00812A33"/>
    <w:rsid w:val="00813A14"/>
    <w:rsid w:val="00813A5B"/>
    <w:rsid w:val="00813B90"/>
    <w:rsid w:val="0081441F"/>
    <w:rsid w:val="008146C3"/>
    <w:rsid w:val="008214EB"/>
    <w:rsid w:val="00822C12"/>
    <w:rsid w:val="00822EE1"/>
    <w:rsid w:val="00823E25"/>
    <w:rsid w:val="008246F5"/>
    <w:rsid w:val="008248D6"/>
    <w:rsid w:val="00824FC1"/>
    <w:rsid w:val="0082512E"/>
    <w:rsid w:val="00825613"/>
    <w:rsid w:val="00827747"/>
    <w:rsid w:val="00831255"/>
    <w:rsid w:val="00831967"/>
    <w:rsid w:val="0083215A"/>
    <w:rsid w:val="00834C85"/>
    <w:rsid w:val="008358B4"/>
    <w:rsid w:val="008373ED"/>
    <w:rsid w:val="0084052C"/>
    <w:rsid w:val="00840A93"/>
    <w:rsid w:val="00843336"/>
    <w:rsid w:val="00844444"/>
    <w:rsid w:val="00845628"/>
    <w:rsid w:val="00847134"/>
    <w:rsid w:val="00850232"/>
    <w:rsid w:val="0085057B"/>
    <w:rsid w:val="00850EB9"/>
    <w:rsid w:val="00852B00"/>
    <w:rsid w:val="00853ABD"/>
    <w:rsid w:val="008541B3"/>
    <w:rsid w:val="00854796"/>
    <w:rsid w:val="008556C7"/>
    <w:rsid w:val="00855C9F"/>
    <w:rsid w:val="00856419"/>
    <w:rsid w:val="00856E72"/>
    <w:rsid w:val="00857191"/>
    <w:rsid w:val="00860C01"/>
    <w:rsid w:val="00861DE9"/>
    <w:rsid w:val="00862AC9"/>
    <w:rsid w:val="008630FA"/>
    <w:rsid w:val="00863507"/>
    <w:rsid w:val="008637F0"/>
    <w:rsid w:val="00863B2B"/>
    <w:rsid w:val="00863E17"/>
    <w:rsid w:val="00866B71"/>
    <w:rsid w:val="00867801"/>
    <w:rsid w:val="00867B9C"/>
    <w:rsid w:val="00867CD2"/>
    <w:rsid w:val="00871E57"/>
    <w:rsid w:val="0087301D"/>
    <w:rsid w:val="008752FB"/>
    <w:rsid w:val="008771C0"/>
    <w:rsid w:val="00877BB5"/>
    <w:rsid w:val="00877E7E"/>
    <w:rsid w:val="00883E32"/>
    <w:rsid w:val="00884B7D"/>
    <w:rsid w:val="00885838"/>
    <w:rsid w:val="00885B24"/>
    <w:rsid w:val="0088641E"/>
    <w:rsid w:val="0089012B"/>
    <w:rsid w:val="00890B70"/>
    <w:rsid w:val="00891577"/>
    <w:rsid w:val="00891C35"/>
    <w:rsid w:val="00892104"/>
    <w:rsid w:val="00893884"/>
    <w:rsid w:val="00894457"/>
    <w:rsid w:val="00895000"/>
    <w:rsid w:val="00895266"/>
    <w:rsid w:val="00895A00"/>
    <w:rsid w:val="00895DC3"/>
    <w:rsid w:val="00895DD1"/>
    <w:rsid w:val="008979B1"/>
    <w:rsid w:val="008A2BED"/>
    <w:rsid w:val="008A49B0"/>
    <w:rsid w:val="008A617C"/>
    <w:rsid w:val="008A79DA"/>
    <w:rsid w:val="008A7AC1"/>
    <w:rsid w:val="008B0694"/>
    <w:rsid w:val="008B19BC"/>
    <w:rsid w:val="008B1D5A"/>
    <w:rsid w:val="008B2306"/>
    <w:rsid w:val="008B2782"/>
    <w:rsid w:val="008B40C6"/>
    <w:rsid w:val="008B4189"/>
    <w:rsid w:val="008B52D0"/>
    <w:rsid w:val="008B6075"/>
    <w:rsid w:val="008B67EA"/>
    <w:rsid w:val="008B6BA4"/>
    <w:rsid w:val="008B7F1A"/>
    <w:rsid w:val="008C0D15"/>
    <w:rsid w:val="008C122C"/>
    <w:rsid w:val="008C2A17"/>
    <w:rsid w:val="008C4DA0"/>
    <w:rsid w:val="008C4E26"/>
    <w:rsid w:val="008C50F8"/>
    <w:rsid w:val="008C5A82"/>
    <w:rsid w:val="008C7056"/>
    <w:rsid w:val="008C78B8"/>
    <w:rsid w:val="008C79A4"/>
    <w:rsid w:val="008D0203"/>
    <w:rsid w:val="008D1B61"/>
    <w:rsid w:val="008D3BDF"/>
    <w:rsid w:val="008D4C37"/>
    <w:rsid w:val="008D5AD2"/>
    <w:rsid w:val="008D5F64"/>
    <w:rsid w:val="008D674F"/>
    <w:rsid w:val="008D71CB"/>
    <w:rsid w:val="008D7869"/>
    <w:rsid w:val="008E06D7"/>
    <w:rsid w:val="008E264B"/>
    <w:rsid w:val="008E3F6B"/>
    <w:rsid w:val="008E4437"/>
    <w:rsid w:val="008F0E69"/>
    <w:rsid w:val="008F1A46"/>
    <w:rsid w:val="008F228C"/>
    <w:rsid w:val="008F25F1"/>
    <w:rsid w:val="008F2C01"/>
    <w:rsid w:val="008F37E5"/>
    <w:rsid w:val="008F3DDB"/>
    <w:rsid w:val="008F3EE1"/>
    <w:rsid w:val="008F4332"/>
    <w:rsid w:val="008F544C"/>
    <w:rsid w:val="008F5686"/>
    <w:rsid w:val="008F569D"/>
    <w:rsid w:val="008F5906"/>
    <w:rsid w:val="008F6B16"/>
    <w:rsid w:val="009019DD"/>
    <w:rsid w:val="00901AC1"/>
    <w:rsid w:val="00901B15"/>
    <w:rsid w:val="00902A72"/>
    <w:rsid w:val="00902F75"/>
    <w:rsid w:val="00903937"/>
    <w:rsid w:val="00904D0B"/>
    <w:rsid w:val="00904FED"/>
    <w:rsid w:val="009065D5"/>
    <w:rsid w:val="009070B2"/>
    <w:rsid w:val="00907585"/>
    <w:rsid w:val="00907766"/>
    <w:rsid w:val="00913B8F"/>
    <w:rsid w:val="00914707"/>
    <w:rsid w:val="009212A7"/>
    <w:rsid w:val="0092282F"/>
    <w:rsid w:val="00927377"/>
    <w:rsid w:val="009308B2"/>
    <w:rsid w:val="00931114"/>
    <w:rsid w:val="009316CF"/>
    <w:rsid w:val="00931970"/>
    <w:rsid w:val="009339E8"/>
    <w:rsid w:val="00937642"/>
    <w:rsid w:val="00940851"/>
    <w:rsid w:val="00940962"/>
    <w:rsid w:val="00941C7C"/>
    <w:rsid w:val="00944436"/>
    <w:rsid w:val="00945E49"/>
    <w:rsid w:val="00945F73"/>
    <w:rsid w:val="00951FA5"/>
    <w:rsid w:val="00952343"/>
    <w:rsid w:val="009523C7"/>
    <w:rsid w:val="00952452"/>
    <w:rsid w:val="00953CD2"/>
    <w:rsid w:val="00954CC2"/>
    <w:rsid w:val="00955601"/>
    <w:rsid w:val="009574F7"/>
    <w:rsid w:val="00957BCF"/>
    <w:rsid w:val="00960F15"/>
    <w:rsid w:val="00960F2B"/>
    <w:rsid w:val="00960FDF"/>
    <w:rsid w:val="0096134C"/>
    <w:rsid w:val="00962680"/>
    <w:rsid w:val="00963225"/>
    <w:rsid w:val="00963885"/>
    <w:rsid w:val="009656A3"/>
    <w:rsid w:val="00965830"/>
    <w:rsid w:val="009667C2"/>
    <w:rsid w:val="00966A4F"/>
    <w:rsid w:val="00966EB9"/>
    <w:rsid w:val="00970E9C"/>
    <w:rsid w:val="00971D27"/>
    <w:rsid w:val="009734C7"/>
    <w:rsid w:val="009750FA"/>
    <w:rsid w:val="00977464"/>
    <w:rsid w:val="0098139D"/>
    <w:rsid w:val="00982310"/>
    <w:rsid w:val="00982B2F"/>
    <w:rsid w:val="00983179"/>
    <w:rsid w:val="00984D9E"/>
    <w:rsid w:val="00985874"/>
    <w:rsid w:val="00985DBF"/>
    <w:rsid w:val="00985F5E"/>
    <w:rsid w:val="0098622A"/>
    <w:rsid w:val="00992916"/>
    <w:rsid w:val="00992CAA"/>
    <w:rsid w:val="00993340"/>
    <w:rsid w:val="009947F7"/>
    <w:rsid w:val="00995DB5"/>
    <w:rsid w:val="00997B43"/>
    <w:rsid w:val="009A0091"/>
    <w:rsid w:val="009A0C8F"/>
    <w:rsid w:val="009A2401"/>
    <w:rsid w:val="009A3B8E"/>
    <w:rsid w:val="009A41ED"/>
    <w:rsid w:val="009A5960"/>
    <w:rsid w:val="009B0715"/>
    <w:rsid w:val="009B4354"/>
    <w:rsid w:val="009B6856"/>
    <w:rsid w:val="009B773E"/>
    <w:rsid w:val="009B7EB2"/>
    <w:rsid w:val="009C0702"/>
    <w:rsid w:val="009C08A8"/>
    <w:rsid w:val="009C0CCF"/>
    <w:rsid w:val="009C1215"/>
    <w:rsid w:val="009C30FA"/>
    <w:rsid w:val="009C4B40"/>
    <w:rsid w:val="009C4FFA"/>
    <w:rsid w:val="009C5D4F"/>
    <w:rsid w:val="009C5DC8"/>
    <w:rsid w:val="009C65AE"/>
    <w:rsid w:val="009C69B6"/>
    <w:rsid w:val="009C6B45"/>
    <w:rsid w:val="009C715F"/>
    <w:rsid w:val="009D01B3"/>
    <w:rsid w:val="009D0B5E"/>
    <w:rsid w:val="009D3DB7"/>
    <w:rsid w:val="009D47DE"/>
    <w:rsid w:val="009D6B71"/>
    <w:rsid w:val="009D75B1"/>
    <w:rsid w:val="009E04FB"/>
    <w:rsid w:val="009E13B5"/>
    <w:rsid w:val="009E14DF"/>
    <w:rsid w:val="009E266F"/>
    <w:rsid w:val="009E2F8B"/>
    <w:rsid w:val="009E325A"/>
    <w:rsid w:val="009E494A"/>
    <w:rsid w:val="009E49BA"/>
    <w:rsid w:val="009E4E0E"/>
    <w:rsid w:val="009E54AC"/>
    <w:rsid w:val="009E5CA0"/>
    <w:rsid w:val="009E6309"/>
    <w:rsid w:val="009E7EBB"/>
    <w:rsid w:val="009F06A9"/>
    <w:rsid w:val="009F23CA"/>
    <w:rsid w:val="009F2DB0"/>
    <w:rsid w:val="009F3EEB"/>
    <w:rsid w:val="009F4117"/>
    <w:rsid w:val="009F51BA"/>
    <w:rsid w:val="009F6121"/>
    <w:rsid w:val="009F63DC"/>
    <w:rsid w:val="009F6CEA"/>
    <w:rsid w:val="009F7867"/>
    <w:rsid w:val="00A001A0"/>
    <w:rsid w:val="00A0054F"/>
    <w:rsid w:val="00A00DA0"/>
    <w:rsid w:val="00A00FB0"/>
    <w:rsid w:val="00A01A47"/>
    <w:rsid w:val="00A02730"/>
    <w:rsid w:val="00A046CC"/>
    <w:rsid w:val="00A047D6"/>
    <w:rsid w:val="00A04863"/>
    <w:rsid w:val="00A05129"/>
    <w:rsid w:val="00A06B6F"/>
    <w:rsid w:val="00A07815"/>
    <w:rsid w:val="00A07C10"/>
    <w:rsid w:val="00A10382"/>
    <w:rsid w:val="00A10AA9"/>
    <w:rsid w:val="00A10BB5"/>
    <w:rsid w:val="00A1219E"/>
    <w:rsid w:val="00A12D4F"/>
    <w:rsid w:val="00A13237"/>
    <w:rsid w:val="00A136C7"/>
    <w:rsid w:val="00A146E9"/>
    <w:rsid w:val="00A14FB2"/>
    <w:rsid w:val="00A16549"/>
    <w:rsid w:val="00A16C1F"/>
    <w:rsid w:val="00A20130"/>
    <w:rsid w:val="00A20188"/>
    <w:rsid w:val="00A206FE"/>
    <w:rsid w:val="00A220D5"/>
    <w:rsid w:val="00A22A72"/>
    <w:rsid w:val="00A22D1B"/>
    <w:rsid w:val="00A25190"/>
    <w:rsid w:val="00A25D08"/>
    <w:rsid w:val="00A261FC"/>
    <w:rsid w:val="00A306AA"/>
    <w:rsid w:val="00A326B9"/>
    <w:rsid w:val="00A331F1"/>
    <w:rsid w:val="00A332C3"/>
    <w:rsid w:val="00A33785"/>
    <w:rsid w:val="00A35F51"/>
    <w:rsid w:val="00A3752F"/>
    <w:rsid w:val="00A3761B"/>
    <w:rsid w:val="00A40338"/>
    <w:rsid w:val="00A406EC"/>
    <w:rsid w:val="00A415F3"/>
    <w:rsid w:val="00A42ADA"/>
    <w:rsid w:val="00A42F43"/>
    <w:rsid w:val="00A43793"/>
    <w:rsid w:val="00A43AE1"/>
    <w:rsid w:val="00A44B02"/>
    <w:rsid w:val="00A46DD8"/>
    <w:rsid w:val="00A4792A"/>
    <w:rsid w:val="00A51519"/>
    <w:rsid w:val="00A52DB4"/>
    <w:rsid w:val="00A5355A"/>
    <w:rsid w:val="00A540BC"/>
    <w:rsid w:val="00A54A77"/>
    <w:rsid w:val="00A5500E"/>
    <w:rsid w:val="00A55588"/>
    <w:rsid w:val="00A55EC4"/>
    <w:rsid w:val="00A55EFF"/>
    <w:rsid w:val="00A5705B"/>
    <w:rsid w:val="00A5783D"/>
    <w:rsid w:val="00A608A0"/>
    <w:rsid w:val="00A61FB5"/>
    <w:rsid w:val="00A61FB7"/>
    <w:rsid w:val="00A6578D"/>
    <w:rsid w:val="00A658D0"/>
    <w:rsid w:val="00A65952"/>
    <w:rsid w:val="00A67105"/>
    <w:rsid w:val="00A67721"/>
    <w:rsid w:val="00A677E1"/>
    <w:rsid w:val="00A70A4C"/>
    <w:rsid w:val="00A71456"/>
    <w:rsid w:val="00A7192F"/>
    <w:rsid w:val="00A726E7"/>
    <w:rsid w:val="00A747F1"/>
    <w:rsid w:val="00A74FDE"/>
    <w:rsid w:val="00A75DCB"/>
    <w:rsid w:val="00A80CE7"/>
    <w:rsid w:val="00A80DE0"/>
    <w:rsid w:val="00A84893"/>
    <w:rsid w:val="00A85835"/>
    <w:rsid w:val="00A858C7"/>
    <w:rsid w:val="00A859B6"/>
    <w:rsid w:val="00A86B0E"/>
    <w:rsid w:val="00A90162"/>
    <w:rsid w:val="00A9147A"/>
    <w:rsid w:val="00A929CA"/>
    <w:rsid w:val="00A944EC"/>
    <w:rsid w:val="00A94F76"/>
    <w:rsid w:val="00A95A10"/>
    <w:rsid w:val="00A9799D"/>
    <w:rsid w:val="00AA0141"/>
    <w:rsid w:val="00AA036B"/>
    <w:rsid w:val="00AA1525"/>
    <w:rsid w:val="00AA17D0"/>
    <w:rsid w:val="00AA2F55"/>
    <w:rsid w:val="00AA30CC"/>
    <w:rsid w:val="00AA333B"/>
    <w:rsid w:val="00AA3A9A"/>
    <w:rsid w:val="00AA3AC2"/>
    <w:rsid w:val="00AA3E39"/>
    <w:rsid w:val="00AA5964"/>
    <w:rsid w:val="00AA7060"/>
    <w:rsid w:val="00AA7378"/>
    <w:rsid w:val="00AA7B10"/>
    <w:rsid w:val="00AB1833"/>
    <w:rsid w:val="00AB19B3"/>
    <w:rsid w:val="00AB1AF5"/>
    <w:rsid w:val="00AB1AFC"/>
    <w:rsid w:val="00AB1D91"/>
    <w:rsid w:val="00AB1DFE"/>
    <w:rsid w:val="00AB4D92"/>
    <w:rsid w:val="00AC0361"/>
    <w:rsid w:val="00AC2E08"/>
    <w:rsid w:val="00AC56EC"/>
    <w:rsid w:val="00AC59ED"/>
    <w:rsid w:val="00AC5E7C"/>
    <w:rsid w:val="00AC7D7D"/>
    <w:rsid w:val="00AD08C4"/>
    <w:rsid w:val="00AD261A"/>
    <w:rsid w:val="00AD4A70"/>
    <w:rsid w:val="00AD540E"/>
    <w:rsid w:val="00AD6108"/>
    <w:rsid w:val="00AE00C2"/>
    <w:rsid w:val="00AE0AE7"/>
    <w:rsid w:val="00AE1A7A"/>
    <w:rsid w:val="00AE1AC3"/>
    <w:rsid w:val="00AE229C"/>
    <w:rsid w:val="00AE2507"/>
    <w:rsid w:val="00AE3D10"/>
    <w:rsid w:val="00AE46E2"/>
    <w:rsid w:val="00AE4FA2"/>
    <w:rsid w:val="00AE5B25"/>
    <w:rsid w:val="00AE636D"/>
    <w:rsid w:val="00AE6B96"/>
    <w:rsid w:val="00AE7A5D"/>
    <w:rsid w:val="00AF049D"/>
    <w:rsid w:val="00AF06B9"/>
    <w:rsid w:val="00AF0AD2"/>
    <w:rsid w:val="00AF316A"/>
    <w:rsid w:val="00AF53DB"/>
    <w:rsid w:val="00AF7A64"/>
    <w:rsid w:val="00B00052"/>
    <w:rsid w:val="00B04676"/>
    <w:rsid w:val="00B04A6F"/>
    <w:rsid w:val="00B05922"/>
    <w:rsid w:val="00B05E10"/>
    <w:rsid w:val="00B060FA"/>
    <w:rsid w:val="00B07FCC"/>
    <w:rsid w:val="00B10129"/>
    <w:rsid w:val="00B1246B"/>
    <w:rsid w:val="00B12D51"/>
    <w:rsid w:val="00B130F5"/>
    <w:rsid w:val="00B13664"/>
    <w:rsid w:val="00B136EA"/>
    <w:rsid w:val="00B13A03"/>
    <w:rsid w:val="00B140FA"/>
    <w:rsid w:val="00B14EC3"/>
    <w:rsid w:val="00B15EE7"/>
    <w:rsid w:val="00B1649C"/>
    <w:rsid w:val="00B166A4"/>
    <w:rsid w:val="00B16C11"/>
    <w:rsid w:val="00B1789B"/>
    <w:rsid w:val="00B203B6"/>
    <w:rsid w:val="00B20C4E"/>
    <w:rsid w:val="00B220B4"/>
    <w:rsid w:val="00B2222E"/>
    <w:rsid w:val="00B2240B"/>
    <w:rsid w:val="00B24401"/>
    <w:rsid w:val="00B24856"/>
    <w:rsid w:val="00B265D6"/>
    <w:rsid w:val="00B27607"/>
    <w:rsid w:val="00B27B57"/>
    <w:rsid w:val="00B27E57"/>
    <w:rsid w:val="00B30746"/>
    <w:rsid w:val="00B310DE"/>
    <w:rsid w:val="00B31E60"/>
    <w:rsid w:val="00B323BB"/>
    <w:rsid w:val="00B3247F"/>
    <w:rsid w:val="00B326DB"/>
    <w:rsid w:val="00B34356"/>
    <w:rsid w:val="00B34644"/>
    <w:rsid w:val="00B3487C"/>
    <w:rsid w:val="00B36933"/>
    <w:rsid w:val="00B37AD2"/>
    <w:rsid w:val="00B37F0C"/>
    <w:rsid w:val="00B4072B"/>
    <w:rsid w:val="00B40D29"/>
    <w:rsid w:val="00B41C06"/>
    <w:rsid w:val="00B41F4B"/>
    <w:rsid w:val="00B428FE"/>
    <w:rsid w:val="00B43614"/>
    <w:rsid w:val="00B43C1F"/>
    <w:rsid w:val="00B45027"/>
    <w:rsid w:val="00B45B0B"/>
    <w:rsid w:val="00B45D28"/>
    <w:rsid w:val="00B46128"/>
    <w:rsid w:val="00B46845"/>
    <w:rsid w:val="00B4725A"/>
    <w:rsid w:val="00B47BC6"/>
    <w:rsid w:val="00B5079A"/>
    <w:rsid w:val="00B50B59"/>
    <w:rsid w:val="00B51A22"/>
    <w:rsid w:val="00B57494"/>
    <w:rsid w:val="00B61630"/>
    <w:rsid w:val="00B620DD"/>
    <w:rsid w:val="00B623EE"/>
    <w:rsid w:val="00B6259F"/>
    <w:rsid w:val="00B6269A"/>
    <w:rsid w:val="00B638E7"/>
    <w:rsid w:val="00B63A1D"/>
    <w:rsid w:val="00B6642E"/>
    <w:rsid w:val="00B664F2"/>
    <w:rsid w:val="00B668FD"/>
    <w:rsid w:val="00B67CA4"/>
    <w:rsid w:val="00B7085A"/>
    <w:rsid w:val="00B70A37"/>
    <w:rsid w:val="00B719A8"/>
    <w:rsid w:val="00B71ABE"/>
    <w:rsid w:val="00B7237C"/>
    <w:rsid w:val="00B72C70"/>
    <w:rsid w:val="00B736D8"/>
    <w:rsid w:val="00B74455"/>
    <w:rsid w:val="00B7473B"/>
    <w:rsid w:val="00B757A7"/>
    <w:rsid w:val="00B75F87"/>
    <w:rsid w:val="00B765C2"/>
    <w:rsid w:val="00B77D7A"/>
    <w:rsid w:val="00B77EA2"/>
    <w:rsid w:val="00B80C0D"/>
    <w:rsid w:val="00B822A7"/>
    <w:rsid w:val="00B82F66"/>
    <w:rsid w:val="00B853B4"/>
    <w:rsid w:val="00B86484"/>
    <w:rsid w:val="00B879C9"/>
    <w:rsid w:val="00B902FF"/>
    <w:rsid w:val="00B90833"/>
    <w:rsid w:val="00B90AEC"/>
    <w:rsid w:val="00B9221A"/>
    <w:rsid w:val="00B9329E"/>
    <w:rsid w:val="00B946F1"/>
    <w:rsid w:val="00B962D6"/>
    <w:rsid w:val="00B9687B"/>
    <w:rsid w:val="00B96A50"/>
    <w:rsid w:val="00B96DB3"/>
    <w:rsid w:val="00B96FA5"/>
    <w:rsid w:val="00B97BCF"/>
    <w:rsid w:val="00BA1B29"/>
    <w:rsid w:val="00BA1B7F"/>
    <w:rsid w:val="00BA25FC"/>
    <w:rsid w:val="00BA2950"/>
    <w:rsid w:val="00BA31F3"/>
    <w:rsid w:val="00BA390F"/>
    <w:rsid w:val="00BA5A35"/>
    <w:rsid w:val="00BA63CC"/>
    <w:rsid w:val="00BA751F"/>
    <w:rsid w:val="00BA7E72"/>
    <w:rsid w:val="00BB031C"/>
    <w:rsid w:val="00BB0D7D"/>
    <w:rsid w:val="00BB1165"/>
    <w:rsid w:val="00BB14DB"/>
    <w:rsid w:val="00BB197D"/>
    <w:rsid w:val="00BB219F"/>
    <w:rsid w:val="00BB24B7"/>
    <w:rsid w:val="00BB378B"/>
    <w:rsid w:val="00BB3ACA"/>
    <w:rsid w:val="00BB41CA"/>
    <w:rsid w:val="00BB487E"/>
    <w:rsid w:val="00BB609A"/>
    <w:rsid w:val="00BC082B"/>
    <w:rsid w:val="00BC0D01"/>
    <w:rsid w:val="00BC1EEE"/>
    <w:rsid w:val="00BC2C5F"/>
    <w:rsid w:val="00BC3244"/>
    <w:rsid w:val="00BC50FA"/>
    <w:rsid w:val="00BC5149"/>
    <w:rsid w:val="00BC5701"/>
    <w:rsid w:val="00BC5CCF"/>
    <w:rsid w:val="00BC5D24"/>
    <w:rsid w:val="00BC669E"/>
    <w:rsid w:val="00BC6F62"/>
    <w:rsid w:val="00BD0673"/>
    <w:rsid w:val="00BD075A"/>
    <w:rsid w:val="00BD1072"/>
    <w:rsid w:val="00BD14A8"/>
    <w:rsid w:val="00BD23BB"/>
    <w:rsid w:val="00BD3D3E"/>
    <w:rsid w:val="00BD4436"/>
    <w:rsid w:val="00BD4C4C"/>
    <w:rsid w:val="00BD64DB"/>
    <w:rsid w:val="00BD7C68"/>
    <w:rsid w:val="00BD7F15"/>
    <w:rsid w:val="00BE090C"/>
    <w:rsid w:val="00BE11BD"/>
    <w:rsid w:val="00BE1F44"/>
    <w:rsid w:val="00BE2217"/>
    <w:rsid w:val="00BE35E8"/>
    <w:rsid w:val="00BE38FC"/>
    <w:rsid w:val="00BE5611"/>
    <w:rsid w:val="00BE5971"/>
    <w:rsid w:val="00BE672B"/>
    <w:rsid w:val="00BE6C33"/>
    <w:rsid w:val="00BE77F4"/>
    <w:rsid w:val="00BF13C7"/>
    <w:rsid w:val="00BF2622"/>
    <w:rsid w:val="00BF281E"/>
    <w:rsid w:val="00BF4084"/>
    <w:rsid w:val="00BF4171"/>
    <w:rsid w:val="00BF5D1A"/>
    <w:rsid w:val="00BF6185"/>
    <w:rsid w:val="00C02841"/>
    <w:rsid w:val="00C04047"/>
    <w:rsid w:val="00C04C56"/>
    <w:rsid w:val="00C05E13"/>
    <w:rsid w:val="00C101C0"/>
    <w:rsid w:val="00C10B8F"/>
    <w:rsid w:val="00C1399E"/>
    <w:rsid w:val="00C1403B"/>
    <w:rsid w:val="00C15513"/>
    <w:rsid w:val="00C1597B"/>
    <w:rsid w:val="00C16BA5"/>
    <w:rsid w:val="00C22959"/>
    <w:rsid w:val="00C229F2"/>
    <w:rsid w:val="00C231A2"/>
    <w:rsid w:val="00C2378F"/>
    <w:rsid w:val="00C2447F"/>
    <w:rsid w:val="00C25BED"/>
    <w:rsid w:val="00C266CE"/>
    <w:rsid w:val="00C27B0B"/>
    <w:rsid w:val="00C30FCB"/>
    <w:rsid w:val="00C3141A"/>
    <w:rsid w:val="00C317F2"/>
    <w:rsid w:val="00C31831"/>
    <w:rsid w:val="00C322D8"/>
    <w:rsid w:val="00C34642"/>
    <w:rsid w:val="00C351E1"/>
    <w:rsid w:val="00C35380"/>
    <w:rsid w:val="00C35649"/>
    <w:rsid w:val="00C35E61"/>
    <w:rsid w:val="00C3660B"/>
    <w:rsid w:val="00C36B35"/>
    <w:rsid w:val="00C37C23"/>
    <w:rsid w:val="00C40F70"/>
    <w:rsid w:val="00C418D2"/>
    <w:rsid w:val="00C42A8E"/>
    <w:rsid w:val="00C42B69"/>
    <w:rsid w:val="00C42E2B"/>
    <w:rsid w:val="00C43BEC"/>
    <w:rsid w:val="00C43EE8"/>
    <w:rsid w:val="00C44426"/>
    <w:rsid w:val="00C45ED3"/>
    <w:rsid w:val="00C465EF"/>
    <w:rsid w:val="00C479D8"/>
    <w:rsid w:val="00C47ECB"/>
    <w:rsid w:val="00C504A6"/>
    <w:rsid w:val="00C517EC"/>
    <w:rsid w:val="00C52FAB"/>
    <w:rsid w:val="00C53498"/>
    <w:rsid w:val="00C54B3A"/>
    <w:rsid w:val="00C553F9"/>
    <w:rsid w:val="00C558C1"/>
    <w:rsid w:val="00C55B6E"/>
    <w:rsid w:val="00C57CE4"/>
    <w:rsid w:val="00C602E0"/>
    <w:rsid w:val="00C60A33"/>
    <w:rsid w:val="00C60B92"/>
    <w:rsid w:val="00C60F84"/>
    <w:rsid w:val="00C624C6"/>
    <w:rsid w:val="00C62F88"/>
    <w:rsid w:val="00C63B2B"/>
    <w:rsid w:val="00C6496C"/>
    <w:rsid w:val="00C6547E"/>
    <w:rsid w:val="00C65AD4"/>
    <w:rsid w:val="00C6609A"/>
    <w:rsid w:val="00C66C1A"/>
    <w:rsid w:val="00C677EB"/>
    <w:rsid w:val="00C719CE"/>
    <w:rsid w:val="00C71E13"/>
    <w:rsid w:val="00C72D0F"/>
    <w:rsid w:val="00C72E00"/>
    <w:rsid w:val="00C73F1A"/>
    <w:rsid w:val="00C7413D"/>
    <w:rsid w:val="00C741FA"/>
    <w:rsid w:val="00C74B34"/>
    <w:rsid w:val="00C76176"/>
    <w:rsid w:val="00C764D7"/>
    <w:rsid w:val="00C76617"/>
    <w:rsid w:val="00C80C6C"/>
    <w:rsid w:val="00C81588"/>
    <w:rsid w:val="00C81D72"/>
    <w:rsid w:val="00C825C5"/>
    <w:rsid w:val="00C832AF"/>
    <w:rsid w:val="00C8379C"/>
    <w:rsid w:val="00C844DD"/>
    <w:rsid w:val="00C85198"/>
    <w:rsid w:val="00C85846"/>
    <w:rsid w:val="00C86A0F"/>
    <w:rsid w:val="00C9015D"/>
    <w:rsid w:val="00C90C5D"/>
    <w:rsid w:val="00C90E9E"/>
    <w:rsid w:val="00C90F21"/>
    <w:rsid w:val="00C91B69"/>
    <w:rsid w:val="00C920B8"/>
    <w:rsid w:val="00C9295B"/>
    <w:rsid w:val="00C947DB"/>
    <w:rsid w:val="00C95417"/>
    <w:rsid w:val="00C97B16"/>
    <w:rsid w:val="00CA0146"/>
    <w:rsid w:val="00CA02D2"/>
    <w:rsid w:val="00CA153E"/>
    <w:rsid w:val="00CA23A2"/>
    <w:rsid w:val="00CA25E5"/>
    <w:rsid w:val="00CA2832"/>
    <w:rsid w:val="00CA5964"/>
    <w:rsid w:val="00CA6101"/>
    <w:rsid w:val="00CA74CE"/>
    <w:rsid w:val="00CA76E3"/>
    <w:rsid w:val="00CB15D4"/>
    <w:rsid w:val="00CB2B11"/>
    <w:rsid w:val="00CB31E8"/>
    <w:rsid w:val="00CB3507"/>
    <w:rsid w:val="00CB4AFE"/>
    <w:rsid w:val="00CB547A"/>
    <w:rsid w:val="00CC0357"/>
    <w:rsid w:val="00CC1319"/>
    <w:rsid w:val="00CC1CF7"/>
    <w:rsid w:val="00CC43A4"/>
    <w:rsid w:val="00CC5CAD"/>
    <w:rsid w:val="00CC68C6"/>
    <w:rsid w:val="00CC6ADB"/>
    <w:rsid w:val="00CC6BB6"/>
    <w:rsid w:val="00CC74F8"/>
    <w:rsid w:val="00CD019F"/>
    <w:rsid w:val="00CD08DE"/>
    <w:rsid w:val="00CD1610"/>
    <w:rsid w:val="00CD1BC5"/>
    <w:rsid w:val="00CD1F45"/>
    <w:rsid w:val="00CD3E18"/>
    <w:rsid w:val="00CD4DE4"/>
    <w:rsid w:val="00CD5948"/>
    <w:rsid w:val="00CD75AA"/>
    <w:rsid w:val="00CE015C"/>
    <w:rsid w:val="00CE12B2"/>
    <w:rsid w:val="00CE27AD"/>
    <w:rsid w:val="00CE51A6"/>
    <w:rsid w:val="00CE636B"/>
    <w:rsid w:val="00CE741D"/>
    <w:rsid w:val="00CE7B25"/>
    <w:rsid w:val="00CF0CB9"/>
    <w:rsid w:val="00CF0E65"/>
    <w:rsid w:val="00CF1122"/>
    <w:rsid w:val="00CF1683"/>
    <w:rsid w:val="00CF1CBD"/>
    <w:rsid w:val="00CF350C"/>
    <w:rsid w:val="00CF36C5"/>
    <w:rsid w:val="00CF497B"/>
    <w:rsid w:val="00CF4AEF"/>
    <w:rsid w:val="00CF5604"/>
    <w:rsid w:val="00CF632B"/>
    <w:rsid w:val="00CF6770"/>
    <w:rsid w:val="00CF6CE8"/>
    <w:rsid w:val="00CF6D50"/>
    <w:rsid w:val="00CF6DEB"/>
    <w:rsid w:val="00CF79C7"/>
    <w:rsid w:val="00D00152"/>
    <w:rsid w:val="00D01BD1"/>
    <w:rsid w:val="00D02342"/>
    <w:rsid w:val="00D02623"/>
    <w:rsid w:val="00D02F13"/>
    <w:rsid w:val="00D02FBB"/>
    <w:rsid w:val="00D04880"/>
    <w:rsid w:val="00D04C50"/>
    <w:rsid w:val="00D068FA"/>
    <w:rsid w:val="00D06B32"/>
    <w:rsid w:val="00D06BD8"/>
    <w:rsid w:val="00D06F27"/>
    <w:rsid w:val="00D102D2"/>
    <w:rsid w:val="00D11B3F"/>
    <w:rsid w:val="00D11D6F"/>
    <w:rsid w:val="00D11FE7"/>
    <w:rsid w:val="00D1202B"/>
    <w:rsid w:val="00D1229B"/>
    <w:rsid w:val="00D12B27"/>
    <w:rsid w:val="00D15E51"/>
    <w:rsid w:val="00D24475"/>
    <w:rsid w:val="00D25A7D"/>
    <w:rsid w:val="00D27291"/>
    <w:rsid w:val="00D27CBF"/>
    <w:rsid w:val="00D3034E"/>
    <w:rsid w:val="00D303EF"/>
    <w:rsid w:val="00D31AB8"/>
    <w:rsid w:val="00D31C59"/>
    <w:rsid w:val="00D33CAA"/>
    <w:rsid w:val="00D36C3B"/>
    <w:rsid w:val="00D41450"/>
    <w:rsid w:val="00D42818"/>
    <w:rsid w:val="00D42AE8"/>
    <w:rsid w:val="00D43851"/>
    <w:rsid w:val="00D43EE3"/>
    <w:rsid w:val="00D461A8"/>
    <w:rsid w:val="00D475FA"/>
    <w:rsid w:val="00D4776C"/>
    <w:rsid w:val="00D479A6"/>
    <w:rsid w:val="00D47B1F"/>
    <w:rsid w:val="00D51BBC"/>
    <w:rsid w:val="00D528B8"/>
    <w:rsid w:val="00D52F53"/>
    <w:rsid w:val="00D53929"/>
    <w:rsid w:val="00D54C29"/>
    <w:rsid w:val="00D5669C"/>
    <w:rsid w:val="00D568A1"/>
    <w:rsid w:val="00D6164A"/>
    <w:rsid w:val="00D624EE"/>
    <w:rsid w:val="00D62995"/>
    <w:rsid w:val="00D63382"/>
    <w:rsid w:val="00D645E4"/>
    <w:rsid w:val="00D6758A"/>
    <w:rsid w:val="00D67CB5"/>
    <w:rsid w:val="00D7023D"/>
    <w:rsid w:val="00D7055C"/>
    <w:rsid w:val="00D70BBD"/>
    <w:rsid w:val="00D70BEE"/>
    <w:rsid w:val="00D72B47"/>
    <w:rsid w:val="00D7350C"/>
    <w:rsid w:val="00D743CF"/>
    <w:rsid w:val="00D74634"/>
    <w:rsid w:val="00D748E8"/>
    <w:rsid w:val="00D75A7F"/>
    <w:rsid w:val="00D76217"/>
    <w:rsid w:val="00D768B4"/>
    <w:rsid w:val="00D7706B"/>
    <w:rsid w:val="00D80AE1"/>
    <w:rsid w:val="00D80C59"/>
    <w:rsid w:val="00D814E3"/>
    <w:rsid w:val="00D81DC0"/>
    <w:rsid w:val="00D82F53"/>
    <w:rsid w:val="00D8404A"/>
    <w:rsid w:val="00D84F9C"/>
    <w:rsid w:val="00D866FD"/>
    <w:rsid w:val="00D8789F"/>
    <w:rsid w:val="00D90571"/>
    <w:rsid w:val="00D90C5A"/>
    <w:rsid w:val="00D925C8"/>
    <w:rsid w:val="00D935BD"/>
    <w:rsid w:val="00D95175"/>
    <w:rsid w:val="00D95A32"/>
    <w:rsid w:val="00D95D9B"/>
    <w:rsid w:val="00DA06EB"/>
    <w:rsid w:val="00DA1332"/>
    <w:rsid w:val="00DA146F"/>
    <w:rsid w:val="00DA2D62"/>
    <w:rsid w:val="00DA434D"/>
    <w:rsid w:val="00DA4661"/>
    <w:rsid w:val="00DA667F"/>
    <w:rsid w:val="00DA6C39"/>
    <w:rsid w:val="00DA729F"/>
    <w:rsid w:val="00DB0B9B"/>
    <w:rsid w:val="00DB14C4"/>
    <w:rsid w:val="00DB2D4A"/>
    <w:rsid w:val="00DB2FB2"/>
    <w:rsid w:val="00DB3829"/>
    <w:rsid w:val="00DB4032"/>
    <w:rsid w:val="00DB4E68"/>
    <w:rsid w:val="00DB5A7E"/>
    <w:rsid w:val="00DB5AA0"/>
    <w:rsid w:val="00DB6797"/>
    <w:rsid w:val="00DB6A94"/>
    <w:rsid w:val="00DB709A"/>
    <w:rsid w:val="00DC00BB"/>
    <w:rsid w:val="00DC2427"/>
    <w:rsid w:val="00DC6854"/>
    <w:rsid w:val="00DC69CD"/>
    <w:rsid w:val="00DC6FC9"/>
    <w:rsid w:val="00DC7315"/>
    <w:rsid w:val="00DC7430"/>
    <w:rsid w:val="00DD08CC"/>
    <w:rsid w:val="00DD23EA"/>
    <w:rsid w:val="00DD2BC4"/>
    <w:rsid w:val="00DD39D9"/>
    <w:rsid w:val="00DD43F6"/>
    <w:rsid w:val="00DD67CE"/>
    <w:rsid w:val="00DD7683"/>
    <w:rsid w:val="00DD776F"/>
    <w:rsid w:val="00DD7985"/>
    <w:rsid w:val="00DE1DE6"/>
    <w:rsid w:val="00DE4A44"/>
    <w:rsid w:val="00DE52C9"/>
    <w:rsid w:val="00DE5822"/>
    <w:rsid w:val="00DE6DD8"/>
    <w:rsid w:val="00DE6F2B"/>
    <w:rsid w:val="00DE75FF"/>
    <w:rsid w:val="00DE7E41"/>
    <w:rsid w:val="00DF0F73"/>
    <w:rsid w:val="00DF260D"/>
    <w:rsid w:val="00DF299A"/>
    <w:rsid w:val="00DF5D40"/>
    <w:rsid w:val="00DF61D3"/>
    <w:rsid w:val="00DF667B"/>
    <w:rsid w:val="00DF68DF"/>
    <w:rsid w:val="00DF7255"/>
    <w:rsid w:val="00DF7F14"/>
    <w:rsid w:val="00E00DF8"/>
    <w:rsid w:val="00E01D85"/>
    <w:rsid w:val="00E065A2"/>
    <w:rsid w:val="00E06E50"/>
    <w:rsid w:val="00E0722B"/>
    <w:rsid w:val="00E10499"/>
    <w:rsid w:val="00E10618"/>
    <w:rsid w:val="00E10B0F"/>
    <w:rsid w:val="00E11C2A"/>
    <w:rsid w:val="00E12011"/>
    <w:rsid w:val="00E12984"/>
    <w:rsid w:val="00E13DB2"/>
    <w:rsid w:val="00E13F1D"/>
    <w:rsid w:val="00E1467F"/>
    <w:rsid w:val="00E15A97"/>
    <w:rsid w:val="00E1680D"/>
    <w:rsid w:val="00E16DFE"/>
    <w:rsid w:val="00E17722"/>
    <w:rsid w:val="00E177F7"/>
    <w:rsid w:val="00E17E3D"/>
    <w:rsid w:val="00E2040E"/>
    <w:rsid w:val="00E2082A"/>
    <w:rsid w:val="00E21EA2"/>
    <w:rsid w:val="00E22B3E"/>
    <w:rsid w:val="00E23B3B"/>
    <w:rsid w:val="00E251F7"/>
    <w:rsid w:val="00E26140"/>
    <w:rsid w:val="00E27C00"/>
    <w:rsid w:val="00E32D35"/>
    <w:rsid w:val="00E35C63"/>
    <w:rsid w:val="00E40FC4"/>
    <w:rsid w:val="00E412D2"/>
    <w:rsid w:val="00E4436D"/>
    <w:rsid w:val="00E44714"/>
    <w:rsid w:val="00E45297"/>
    <w:rsid w:val="00E45A13"/>
    <w:rsid w:val="00E463A0"/>
    <w:rsid w:val="00E51702"/>
    <w:rsid w:val="00E525E0"/>
    <w:rsid w:val="00E551ED"/>
    <w:rsid w:val="00E55774"/>
    <w:rsid w:val="00E57385"/>
    <w:rsid w:val="00E6053C"/>
    <w:rsid w:val="00E6209D"/>
    <w:rsid w:val="00E62504"/>
    <w:rsid w:val="00E62F90"/>
    <w:rsid w:val="00E63254"/>
    <w:rsid w:val="00E63C1B"/>
    <w:rsid w:val="00E65B8D"/>
    <w:rsid w:val="00E669EF"/>
    <w:rsid w:val="00E6715F"/>
    <w:rsid w:val="00E70095"/>
    <w:rsid w:val="00E70D42"/>
    <w:rsid w:val="00E71318"/>
    <w:rsid w:val="00E72C21"/>
    <w:rsid w:val="00E743F1"/>
    <w:rsid w:val="00E74849"/>
    <w:rsid w:val="00E74F93"/>
    <w:rsid w:val="00E75574"/>
    <w:rsid w:val="00E76E7D"/>
    <w:rsid w:val="00E773BA"/>
    <w:rsid w:val="00E77B57"/>
    <w:rsid w:val="00E80262"/>
    <w:rsid w:val="00E80EAC"/>
    <w:rsid w:val="00E81356"/>
    <w:rsid w:val="00E823C6"/>
    <w:rsid w:val="00E84580"/>
    <w:rsid w:val="00E84834"/>
    <w:rsid w:val="00E84DA5"/>
    <w:rsid w:val="00E867CA"/>
    <w:rsid w:val="00E86953"/>
    <w:rsid w:val="00E877D8"/>
    <w:rsid w:val="00E87E1A"/>
    <w:rsid w:val="00E90F8B"/>
    <w:rsid w:val="00E911E0"/>
    <w:rsid w:val="00E93C56"/>
    <w:rsid w:val="00E94075"/>
    <w:rsid w:val="00E94DE6"/>
    <w:rsid w:val="00E94E4B"/>
    <w:rsid w:val="00E954A0"/>
    <w:rsid w:val="00E96339"/>
    <w:rsid w:val="00E970B5"/>
    <w:rsid w:val="00E97717"/>
    <w:rsid w:val="00EA0C6D"/>
    <w:rsid w:val="00EA1609"/>
    <w:rsid w:val="00EA29A2"/>
    <w:rsid w:val="00EA3312"/>
    <w:rsid w:val="00EA42A3"/>
    <w:rsid w:val="00EA449F"/>
    <w:rsid w:val="00EA4A26"/>
    <w:rsid w:val="00EA51F7"/>
    <w:rsid w:val="00EA7E48"/>
    <w:rsid w:val="00EB0066"/>
    <w:rsid w:val="00EB0189"/>
    <w:rsid w:val="00EB0A43"/>
    <w:rsid w:val="00EB3A23"/>
    <w:rsid w:val="00EB66CE"/>
    <w:rsid w:val="00EB7552"/>
    <w:rsid w:val="00EB7694"/>
    <w:rsid w:val="00EC31E9"/>
    <w:rsid w:val="00EC3EDD"/>
    <w:rsid w:val="00EC43E0"/>
    <w:rsid w:val="00EC57B7"/>
    <w:rsid w:val="00EC5A12"/>
    <w:rsid w:val="00ED2809"/>
    <w:rsid w:val="00ED3866"/>
    <w:rsid w:val="00ED451C"/>
    <w:rsid w:val="00ED4F9D"/>
    <w:rsid w:val="00ED6248"/>
    <w:rsid w:val="00ED7480"/>
    <w:rsid w:val="00EE06DD"/>
    <w:rsid w:val="00EE20CC"/>
    <w:rsid w:val="00EE3477"/>
    <w:rsid w:val="00EE37A8"/>
    <w:rsid w:val="00EE48A2"/>
    <w:rsid w:val="00EE5101"/>
    <w:rsid w:val="00EE52E5"/>
    <w:rsid w:val="00EE56DA"/>
    <w:rsid w:val="00EE61B3"/>
    <w:rsid w:val="00EE7ED7"/>
    <w:rsid w:val="00EF0452"/>
    <w:rsid w:val="00EF0E5D"/>
    <w:rsid w:val="00EF0FC5"/>
    <w:rsid w:val="00EF103E"/>
    <w:rsid w:val="00EF117A"/>
    <w:rsid w:val="00EF1371"/>
    <w:rsid w:val="00EF1747"/>
    <w:rsid w:val="00EF189B"/>
    <w:rsid w:val="00EF1BE2"/>
    <w:rsid w:val="00EF23AF"/>
    <w:rsid w:val="00EF2D55"/>
    <w:rsid w:val="00EF2E7E"/>
    <w:rsid w:val="00EF39A8"/>
    <w:rsid w:val="00EF4BC8"/>
    <w:rsid w:val="00EF508B"/>
    <w:rsid w:val="00F03959"/>
    <w:rsid w:val="00F04509"/>
    <w:rsid w:val="00F04A74"/>
    <w:rsid w:val="00F05E9B"/>
    <w:rsid w:val="00F06673"/>
    <w:rsid w:val="00F06EF6"/>
    <w:rsid w:val="00F07D92"/>
    <w:rsid w:val="00F10340"/>
    <w:rsid w:val="00F11BC9"/>
    <w:rsid w:val="00F123B7"/>
    <w:rsid w:val="00F12D7B"/>
    <w:rsid w:val="00F143EF"/>
    <w:rsid w:val="00F14CD8"/>
    <w:rsid w:val="00F14E2C"/>
    <w:rsid w:val="00F15553"/>
    <w:rsid w:val="00F15C7D"/>
    <w:rsid w:val="00F1618B"/>
    <w:rsid w:val="00F172CC"/>
    <w:rsid w:val="00F1733B"/>
    <w:rsid w:val="00F20B19"/>
    <w:rsid w:val="00F219C4"/>
    <w:rsid w:val="00F21BF7"/>
    <w:rsid w:val="00F21C11"/>
    <w:rsid w:val="00F22B44"/>
    <w:rsid w:val="00F23216"/>
    <w:rsid w:val="00F2333D"/>
    <w:rsid w:val="00F235C9"/>
    <w:rsid w:val="00F25A03"/>
    <w:rsid w:val="00F25C99"/>
    <w:rsid w:val="00F26546"/>
    <w:rsid w:val="00F274F1"/>
    <w:rsid w:val="00F27558"/>
    <w:rsid w:val="00F27930"/>
    <w:rsid w:val="00F302C4"/>
    <w:rsid w:val="00F3143D"/>
    <w:rsid w:val="00F33428"/>
    <w:rsid w:val="00F348F8"/>
    <w:rsid w:val="00F351C0"/>
    <w:rsid w:val="00F36170"/>
    <w:rsid w:val="00F411AF"/>
    <w:rsid w:val="00F41329"/>
    <w:rsid w:val="00F41FEB"/>
    <w:rsid w:val="00F42DAE"/>
    <w:rsid w:val="00F42E60"/>
    <w:rsid w:val="00F43193"/>
    <w:rsid w:val="00F46A96"/>
    <w:rsid w:val="00F47100"/>
    <w:rsid w:val="00F4775E"/>
    <w:rsid w:val="00F47A54"/>
    <w:rsid w:val="00F47B09"/>
    <w:rsid w:val="00F47C21"/>
    <w:rsid w:val="00F512DB"/>
    <w:rsid w:val="00F51F75"/>
    <w:rsid w:val="00F5223F"/>
    <w:rsid w:val="00F5265F"/>
    <w:rsid w:val="00F533D3"/>
    <w:rsid w:val="00F53418"/>
    <w:rsid w:val="00F539D0"/>
    <w:rsid w:val="00F53F43"/>
    <w:rsid w:val="00F55646"/>
    <w:rsid w:val="00F56668"/>
    <w:rsid w:val="00F572AF"/>
    <w:rsid w:val="00F5792E"/>
    <w:rsid w:val="00F60A55"/>
    <w:rsid w:val="00F60D92"/>
    <w:rsid w:val="00F60E5B"/>
    <w:rsid w:val="00F61979"/>
    <w:rsid w:val="00F64F15"/>
    <w:rsid w:val="00F650B8"/>
    <w:rsid w:val="00F65F4E"/>
    <w:rsid w:val="00F71B36"/>
    <w:rsid w:val="00F72BF1"/>
    <w:rsid w:val="00F73263"/>
    <w:rsid w:val="00F7504C"/>
    <w:rsid w:val="00F75788"/>
    <w:rsid w:val="00F7668A"/>
    <w:rsid w:val="00F76DA9"/>
    <w:rsid w:val="00F7717F"/>
    <w:rsid w:val="00F77E84"/>
    <w:rsid w:val="00F8054D"/>
    <w:rsid w:val="00F82089"/>
    <w:rsid w:val="00F82C57"/>
    <w:rsid w:val="00F849A9"/>
    <w:rsid w:val="00F86144"/>
    <w:rsid w:val="00F87002"/>
    <w:rsid w:val="00F8798C"/>
    <w:rsid w:val="00F91321"/>
    <w:rsid w:val="00F915D5"/>
    <w:rsid w:val="00F91F61"/>
    <w:rsid w:val="00F942C7"/>
    <w:rsid w:val="00F94DDF"/>
    <w:rsid w:val="00F95F89"/>
    <w:rsid w:val="00FA00E2"/>
    <w:rsid w:val="00FA19ED"/>
    <w:rsid w:val="00FA1D9B"/>
    <w:rsid w:val="00FA1FF9"/>
    <w:rsid w:val="00FA430A"/>
    <w:rsid w:val="00FA67E7"/>
    <w:rsid w:val="00FA6B82"/>
    <w:rsid w:val="00FA6FB8"/>
    <w:rsid w:val="00FA7156"/>
    <w:rsid w:val="00FB0791"/>
    <w:rsid w:val="00FB1A62"/>
    <w:rsid w:val="00FB308A"/>
    <w:rsid w:val="00FB402D"/>
    <w:rsid w:val="00FB48F2"/>
    <w:rsid w:val="00FB57AC"/>
    <w:rsid w:val="00FB5B1B"/>
    <w:rsid w:val="00FB6B2C"/>
    <w:rsid w:val="00FB6F80"/>
    <w:rsid w:val="00FC0568"/>
    <w:rsid w:val="00FC0DFA"/>
    <w:rsid w:val="00FC0EC3"/>
    <w:rsid w:val="00FC0F4D"/>
    <w:rsid w:val="00FC245B"/>
    <w:rsid w:val="00FC27B6"/>
    <w:rsid w:val="00FC2B67"/>
    <w:rsid w:val="00FC370E"/>
    <w:rsid w:val="00FC3913"/>
    <w:rsid w:val="00FC3BEC"/>
    <w:rsid w:val="00FC4332"/>
    <w:rsid w:val="00FC4D19"/>
    <w:rsid w:val="00FC4EC3"/>
    <w:rsid w:val="00FC5D33"/>
    <w:rsid w:val="00FC5E04"/>
    <w:rsid w:val="00FC6903"/>
    <w:rsid w:val="00FC6C37"/>
    <w:rsid w:val="00FC6C85"/>
    <w:rsid w:val="00FC7026"/>
    <w:rsid w:val="00FC720C"/>
    <w:rsid w:val="00FD2B75"/>
    <w:rsid w:val="00FD3258"/>
    <w:rsid w:val="00FD5E31"/>
    <w:rsid w:val="00FD5E86"/>
    <w:rsid w:val="00FD5F3F"/>
    <w:rsid w:val="00FD6604"/>
    <w:rsid w:val="00FD6E70"/>
    <w:rsid w:val="00FE0EF8"/>
    <w:rsid w:val="00FE1531"/>
    <w:rsid w:val="00FE2A62"/>
    <w:rsid w:val="00FE2F16"/>
    <w:rsid w:val="00FE3A92"/>
    <w:rsid w:val="00FE70D9"/>
    <w:rsid w:val="00FE7609"/>
    <w:rsid w:val="00FF0E13"/>
    <w:rsid w:val="00FF22AA"/>
    <w:rsid w:val="00FF29CE"/>
    <w:rsid w:val="00FF3CB0"/>
    <w:rsid w:val="00FF4A32"/>
    <w:rsid w:val="00FF4E3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404A2"/>
  <w15:docId w15:val="{EB68148F-ED28-4E49-9806-1D5A6E98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07B"/>
    <w:pPr>
      <w:widowControl w:val="0"/>
      <w:ind w:firstLine="418"/>
      <w:jc w:val="both"/>
    </w:pPr>
    <w:rPr>
      <w:kern w:val="16"/>
      <w:sz w:val="24"/>
    </w:rPr>
  </w:style>
  <w:style w:type="paragraph" w:styleId="Heading1">
    <w:name w:val="heading 1"/>
    <w:basedOn w:val="Normal"/>
    <w:next w:val="Normal"/>
    <w:link w:val="Heading1Char"/>
    <w:qFormat/>
    <w:rsid w:val="00470963"/>
    <w:pPr>
      <w:keepNext/>
      <w:widowControl/>
      <w:numPr>
        <w:numId w:val="3"/>
      </w:numPr>
      <w:spacing w:before="200" w:after="240"/>
      <w:ind w:left="0"/>
      <w:jc w:val="center"/>
      <w:outlineLvl w:val="0"/>
    </w:pPr>
    <w:rPr>
      <w:smallCaps/>
      <w:kern w:val="28"/>
    </w:rPr>
  </w:style>
  <w:style w:type="paragraph" w:styleId="Heading2">
    <w:name w:val="heading 2"/>
    <w:basedOn w:val="Normal"/>
    <w:next w:val="Normal"/>
    <w:link w:val="Heading2Char"/>
    <w:qFormat/>
    <w:rsid w:val="00CC3907"/>
    <w:pPr>
      <w:keepNext/>
      <w:widowControl/>
      <w:numPr>
        <w:ilvl w:val="1"/>
        <w:numId w:val="3"/>
      </w:numPr>
      <w:spacing w:before="240" w:after="240"/>
      <w:ind w:left="0"/>
      <w:jc w:val="center"/>
      <w:outlineLvl w:val="1"/>
    </w:pPr>
    <w:rPr>
      <w:i/>
    </w:rPr>
  </w:style>
  <w:style w:type="paragraph" w:styleId="Heading3">
    <w:name w:val="heading 3"/>
    <w:basedOn w:val="Normal"/>
    <w:next w:val="Normal"/>
    <w:link w:val="Heading3Char"/>
    <w:qFormat/>
    <w:rsid w:val="001A746D"/>
    <w:pPr>
      <w:keepNext/>
      <w:widowControl/>
      <w:numPr>
        <w:numId w:val="4"/>
      </w:numPr>
      <w:spacing w:before="240" w:after="240"/>
      <w:ind w:left="270" w:hanging="234"/>
      <w:outlineLvl w:val="2"/>
    </w:pPr>
    <w:rPr>
      <w:rFonts w:ascii="Times New Roman Italic" w:eastAsia="SimHei" w:hAnsi="Times New Roman Italic"/>
      <w:i/>
    </w:rPr>
  </w:style>
  <w:style w:type="paragraph" w:styleId="Heading4">
    <w:name w:val="heading 4"/>
    <w:basedOn w:val="Normal"/>
    <w:next w:val="Normal"/>
    <w:link w:val="Heading4Char"/>
    <w:pPr>
      <w:keepNext/>
      <w:widowControl/>
      <w:numPr>
        <w:ilvl w:val="3"/>
        <w:numId w:val="3"/>
      </w:numPr>
      <w:outlineLvl w:val="3"/>
    </w:pPr>
  </w:style>
  <w:style w:type="paragraph" w:styleId="Heading5">
    <w:name w:val="heading 5"/>
    <w:next w:val="Normal"/>
    <w:link w:val="Heading5Char"/>
    <w:rsid w:val="005C7763"/>
    <w:pPr>
      <w:numPr>
        <w:ilvl w:val="4"/>
        <w:numId w:val="3"/>
      </w:numPr>
      <w:spacing w:before="240" w:after="60"/>
      <w:outlineLvl w:val="4"/>
    </w:pPr>
    <w:rPr>
      <w:rFonts w:ascii="CG Times" w:hAnsi="CG Times"/>
      <w:sz w:val="22"/>
    </w:rPr>
  </w:style>
  <w:style w:type="paragraph" w:styleId="Heading6">
    <w:name w:val="heading 6"/>
    <w:basedOn w:val="Normal"/>
    <w:next w:val="Normal"/>
    <w:link w:val="Heading6Char"/>
    <w:pPr>
      <w:numPr>
        <w:ilvl w:val="5"/>
        <w:numId w:val="3"/>
      </w:numPr>
      <w:spacing w:before="240" w:after="60"/>
      <w:outlineLvl w:val="5"/>
    </w:pPr>
    <w:rPr>
      <w:i/>
      <w:sz w:val="22"/>
    </w:rPr>
  </w:style>
  <w:style w:type="paragraph" w:styleId="Heading7">
    <w:name w:val="heading 7"/>
    <w:basedOn w:val="Normal"/>
    <w:next w:val="Normal"/>
    <w:link w:val="Heading7Char"/>
    <w:pPr>
      <w:numPr>
        <w:ilvl w:val="6"/>
        <w:numId w:val="3"/>
      </w:numPr>
      <w:spacing w:before="240" w:after="60"/>
      <w:outlineLvl w:val="6"/>
    </w:pPr>
    <w:rPr>
      <w:rFonts w:ascii="Arial" w:hAnsi="Arial"/>
      <w:sz w:val="20"/>
    </w:rPr>
  </w:style>
  <w:style w:type="paragraph" w:styleId="Heading8">
    <w:name w:val="heading 8"/>
    <w:basedOn w:val="Normal"/>
    <w:next w:val="Normal"/>
    <w:link w:val="Heading8Char"/>
    <w:pPr>
      <w:numPr>
        <w:ilvl w:val="7"/>
        <w:numId w:val="3"/>
      </w:numPr>
      <w:spacing w:before="240" w:after="60"/>
      <w:outlineLvl w:val="7"/>
    </w:pPr>
    <w:rPr>
      <w:rFonts w:ascii="Arial" w:hAnsi="Arial"/>
      <w:i/>
      <w:sz w:val="20"/>
    </w:rPr>
  </w:style>
  <w:style w:type="paragraph" w:styleId="Heading9">
    <w:name w:val="heading 9"/>
    <w:basedOn w:val="Normal"/>
    <w:next w:val="Normal"/>
    <w:link w:val="Heading9Char"/>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1"/>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header 3"/>
    <w:basedOn w:val="DefaultParagraphFont"/>
    <w:uiPriority w:val="99"/>
    <w:rPr>
      <w:vertAlign w:val="superscript"/>
    </w:rPr>
  </w:style>
  <w:style w:type="paragraph" w:styleId="FootnoteText">
    <w:name w:val="footnote text"/>
    <w:aliases w:val="FA,FA Fußnotentext,Footnote Text Char Char Char Char,Note de bas de page Car Car,טקסט הערות שוליים תו Char Char,תו תו תו תו,תו תו תו תו Char"/>
    <w:basedOn w:val="Normal"/>
    <w:link w:val="FootnoteTextChar"/>
    <w:uiPriority w:val="99"/>
    <w:rsid w:val="00870B12"/>
    <w:rPr>
      <w:sz w:val="20"/>
    </w:rPr>
  </w:style>
  <w:style w:type="paragraph" w:styleId="Header">
    <w:name w:val="header"/>
    <w:basedOn w:val="Normal"/>
    <w:link w:val="HeaderChar"/>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1"/>
      </w:numPr>
    </w:pPr>
  </w:style>
  <w:style w:type="paragraph" w:styleId="TOC1">
    <w:name w:val="toc 1"/>
    <w:basedOn w:val="Normal"/>
    <w:next w:val="Normal"/>
    <w:autoRedefine/>
    <w:uiPriority w:val="39"/>
    <w:qFormat/>
    <w:rsid w:val="00640975"/>
    <w:pPr>
      <w:tabs>
        <w:tab w:val="right" w:leader="dot" w:pos="7380"/>
      </w:tabs>
      <w:spacing w:line="276" w:lineRule="auto"/>
      <w:ind w:left="634" w:right="-36" w:hanging="720"/>
      <w:jc w:val="left"/>
    </w:pPr>
  </w:style>
  <w:style w:type="paragraph" w:styleId="TOC2">
    <w:name w:val="toc 2"/>
    <w:basedOn w:val="Normal"/>
    <w:next w:val="Normal"/>
    <w:autoRedefine/>
    <w:uiPriority w:val="39"/>
    <w:qFormat/>
    <w:rsid w:val="00677889"/>
    <w:pPr>
      <w:tabs>
        <w:tab w:val="left" w:pos="0"/>
        <w:tab w:val="right" w:leader="dot" w:pos="8010"/>
      </w:tabs>
      <w:spacing w:line="276" w:lineRule="auto"/>
      <w:ind w:left="1080" w:right="-60" w:hanging="720"/>
    </w:pPr>
    <w:rPr>
      <w:noProof/>
    </w:rPr>
  </w:style>
  <w:style w:type="paragraph" w:styleId="TOC3">
    <w:name w:val="toc 3"/>
    <w:basedOn w:val="TOC2"/>
    <w:next w:val="Normal"/>
    <w:autoRedefine/>
    <w:uiPriority w:val="39"/>
    <w:qFormat/>
    <w:rsid w:val="00C31831"/>
    <w:pPr>
      <w:tabs>
        <w:tab w:val="left" w:leader="dot" w:pos="0"/>
        <w:tab w:val="left" w:pos="1728"/>
      </w:tabs>
      <w:ind w:right="-45" w:hanging="270"/>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Heading2Char">
    <w:name w:val="Heading 2 Char"/>
    <w:link w:val="Heading2"/>
    <w:rsid w:val="00CC3907"/>
    <w:rPr>
      <w:i/>
      <w:kern w:val="16"/>
      <w:sz w:val="24"/>
    </w:rPr>
  </w:style>
  <w:style w:type="character" w:customStyle="1" w:styleId="FootnoteTextChar">
    <w:name w:val="Footnote Text Char"/>
    <w:aliases w:val="FA Char,FA Fußnotentext Char,Footnote Text Char Char Char Char Char,Note de bas de page Car Car Char,טקסט הערות שוליים תו Char Char Char,תו תו תו תו Char1,תו תו תו תו Char Char"/>
    <w:basedOn w:val="DefaultParagraphFont"/>
    <w:link w:val="FootnoteText"/>
    <w:uiPriority w:val="99"/>
    <w:rsid w:val="00F56DE1"/>
    <w:rPr>
      <w:rFonts w:ascii="CG Times" w:hAnsi="CG Times"/>
    </w:rPr>
  </w:style>
  <w:style w:type="paragraph" w:customStyle="1" w:styleId="GLJBody">
    <w:name w:val="GLJ Body"/>
    <w:basedOn w:val="Normal"/>
    <w:link w:val="GLJBodyChar"/>
    <w:rsid w:val="00F56DE1"/>
    <w:pPr>
      <w:widowControl/>
      <w:spacing w:line="480" w:lineRule="auto"/>
    </w:pPr>
    <w:rPr>
      <w:bCs/>
      <w:szCs w:val="24"/>
    </w:rPr>
  </w:style>
  <w:style w:type="paragraph" w:customStyle="1" w:styleId="GLJFootnote">
    <w:name w:val="GLJ Footnote"/>
    <w:basedOn w:val="FootnoteText"/>
    <w:rsid w:val="00F56DE1"/>
    <w:pPr>
      <w:widowControl/>
      <w:tabs>
        <w:tab w:val="left" w:pos="432"/>
      </w:tabs>
      <w:spacing w:before="240"/>
      <w:ind w:firstLine="720"/>
    </w:pPr>
    <w:rPr>
      <w:bCs/>
    </w:rPr>
  </w:style>
  <w:style w:type="character" w:customStyle="1" w:styleId="GLJBodyChar">
    <w:name w:val="GLJ Body Char"/>
    <w:link w:val="GLJBody"/>
    <w:rsid w:val="00F56DE1"/>
    <w:rPr>
      <w:bCs/>
      <w:sz w:val="24"/>
      <w:szCs w:val="24"/>
    </w:rPr>
  </w:style>
  <w:style w:type="character" w:customStyle="1" w:styleId="HeaderChar">
    <w:name w:val="Header Char"/>
    <w:basedOn w:val="DefaultParagraphFont"/>
    <w:link w:val="Header"/>
    <w:rsid w:val="00F56DE1"/>
    <w:rPr>
      <w:rFonts w:ascii="CG Times" w:hAnsi="CG Times"/>
      <w:sz w:val="24"/>
    </w:rPr>
  </w:style>
  <w:style w:type="character" w:customStyle="1" w:styleId="FooterChar">
    <w:name w:val="Footer Char"/>
    <w:basedOn w:val="DefaultParagraphFont"/>
    <w:link w:val="Footer"/>
    <w:uiPriority w:val="99"/>
    <w:rsid w:val="00F56DE1"/>
    <w:rPr>
      <w:rFonts w:ascii="CG Times" w:hAnsi="CG Times"/>
      <w:sz w:val="24"/>
    </w:rPr>
  </w:style>
  <w:style w:type="paragraph" w:styleId="BalloonText">
    <w:name w:val="Balloon Text"/>
    <w:basedOn w:val="Normal"/>
    <w:link w:val="BalloonTextChar"/>
    <w:uiPriority w:val="99"/>
    <w:semiHidden/>
    <w:unhideWhenUsed/>
    <w:rsid w:val="00F56DE1"/>
    <w:pPr>
      <w:widowControl/>
      <w:ind w:firstLine="720"/>
    </w:pPr>
    <w:rPr>
      <w:rFonts w:ascii="Tahoma" w:hAnsi="Tahoma" w:cs="Tahoma"/>
      <w:bCs/>
      <w:sz w:val="16"/>
      <w:szCs w:val="16"/>
    </w:rPr>
  </w:style>
  <w:style w:type="character" w:customStyle="1" w:styleId="BalloonTextChar">
    <w:name w:val="Balloon Text Char"/>
    <w:basedOn w:val="DefaultParagraphFont"/>
    <w:link w:val="BalloonText"/>
    <w:uiPriority w:val="99"/>
    <w:semiHidden/>
    <w:rsid w:val="00F56DE1"/>
    <w:rPr>
      <w:rFonts w:ascii="Tahoma" w:hAnsi="Tahoma" w:cs="Tahoma"/>
      <w:bCs/>
      <w:sz w:val="16"/>
      <w:szCs w:val="16"/>
    </w:rPr>
  </w:style>
  <w:style w:type="character" w:customStyle="1" w:styleId="CommentTextChar">
    <w:name w:val="Comment Text Char"/>
    <w:basedOn w:val="DefaultParagraphFont"/>
    <w:uiPriority w:val="99"/>
    <w:rsid w:val="00F56DE1"/>
    <w:rPr>
      <w:sz w:val="20"/>
      <w:szCs w:val="20"/>
    </w:rPr>
  </w:style>
  <w:style w:type="paragraph" w:styleId="CommentSubject">
    <w:name w:val="annotation subject"/>
    <w:basedOn w:val="CommentText"/>
    <w:next w:val="CommentText"/>
    <w:link w:val="CommentSubjectChar"/>
    <w:uiPriority w:val="99"/>
    <w:semiHidden/>
    <w:unhideWhenUsed/>
    <w:rsid w:val="00F56DE1"/>
    <w:pPr>
      <w:widowControl/>
      <w:spacing w:after="210"/>
      <w:ind w:firstLine="720"/>
    </w:pPr>
    <w:rPr>
      <w:b/>
    </w:rPr>
  </w:style>
  <w:style w:type="character" w:customStyle="1" w:styleId="CommentTextChar1">
    <w:name w:val="Comment Text Char1"/>
    <w:basedOn w:val="DefaultParagraphFont"/>
    <w:link w:val="CommentText"/>
    <w:rsid w:val="00F56DE1"/>
    <w:rPr>
      <w:rFonts w:ascii="CG Times" w:hAnsi="CG Times"/>
    </w:rPr>
  </w:style>
  <w:style w:type="character" w:customStyle="1" w:styleId="CommentSubjectChar">
    <w:name w:val="Comment Subject Char"/>
    <w:basedOn w:val="CommentTextChar1"/>
    <w:link w:val="CommentSubject"/>
    <w:uiPriority w:val="99"/>
    <w:semiHidden/>
    <w:rsid w:val="00F56DE1"/>
    <w:rPr>
      <w:rFonts w:ascii="CG Times" w:hAnsi="CG Times"/>
      <w:b/>
    </w:rPr>
  </w:style>
  <w:style w:type="paragraph" w:styleId="ListParagraph">
    <w:name w:val="List Paragraph"/>
    <w:basedOn w:val="Normal"/>
    <w:uiPriority w:val="34"/>
    <w:qFormat/>
    <w:rsid w:val="00F56DE1"/>
    <w:pPr>
      <w:widowControl/>
      <w:ind w:left="720" w:firstLine="0"/>
      <w:jc w:val="left"/>
    </w:pPr>
    <w:rPr>
      <w:rFonts w:ascii="Calibri" w:eastAsia="Calibri" w:hAnsi="Calibri" w:cs="Calibri"/>
      <w:sz w:val="22"/>
      <w:szCs w:val="22"/>
      <w:lang w:bidi="he-IL"/>
    </w:rPr>
  </w:style>
  <w:style w:type="character" w:styleId="FollowedHyperlink">
    <w:name w:val="FollowedHyperlink"/>
    <w:basedOn w:val="DefaultParagraphFont"/>
    <w:uiPriority w:val="99"/>
    <w:semiHidden/>
    <w:unhideWhenUsed/>
    <w:rsid w:val="00F56DE1"/>
    <w:rPr>
      <w:color w:val="954F72" w:themeColor="followedHyperlink"/>
      <w:u w:val="single"/>
    </w:rPr>
  </w:style>
  <w:style w:type="character" w:customStyle="1" w:styleId="apple-converted-space">
    <w:name w:val="apple-converted-space"/>
    <w:basedOn w:val="DefaultParagraphFont"/>
    <w:rsid w:val="00F56DE1"/>
  </w:style>
  <w:style w:type="character" w:customStyle="1" w:styleId="cosearchterm">
    <w:name w:val="co_searchterm"/>
    <w:basedOn w:val="DefaultParagraphFont"/>
    <w:rsid w:val="00F56DE1"/>
  </w:style>
  <w:style w:type="paragraph" w:customStyle="1" w:styleId="MediumGrid1-Accent21">
    <w:name w:val="Medium Grid 1 - Accent 21"/>
    <w:basedOn w:val="Normal"/>
    <w:uiPriority w:val="34"/>
    <w:qFormat/>
    <w:rsid w:val="00F56DE1"/>
    <w:pPr>
      <w:widowControl/>
      <w:spacing w:after="210"/>
      <w:ind w:left="720" w:firstLine="720"/>
    </w:pPr>
    <w:rPr>
      <w:bCs/>
      <w:szCs w:val="24"/>
    </w:rPr>
  </w:style>
  <w:style w:type="paragraph" w:customStyle="1" w:styleId="Paragraphtext">
    <w:name w:val="Paragraph text"/>
    <w:basedOn w:val="Normal"/>
    <w:link w:val="ParagraphtextChar"/>
    <w:rsid w:val="00F56DE1"/>
    <w:pPr>
      <w:widowControl/>
      <w:spacing w:after="200"/>
      <w:ind w:firstLine="720"/>
    </w:pPr>
    <w:rPr>
      <w:szCs w:val="24"/>
    </w:rPr>
  </w:style>
  <w:style w:type="character" w:customStyle="1" w:styleId="ParagraphtextChar">
    <w:name w:val="Paragraph text Char"/>
    <w:link w:val="Paragraphtext"/>
    <w:rsid w:val="00F56DE1"/>
    <w:rPr>
      <w:sz w:val="24"/>
      <w:szCs w:val="24"/>
    </w:rPr>
  </w:style>
  <w:style w:type="paragraph" w:customStyle="1" w:styleId="ExampleBlockCentered">
    <w:name w:val="Example Block Centered"/>
    <w:basedOn w:val="Paragraphtext"/>
    <w:link w:val="ExampleBlockCenteredChar"/>
    <w:rsid w:val="00F56DE1"/>
    <w:pPr>
      <w:ind w:left="720" w:right="950" w:firstLine="0"/>
    </w:pPr>
    <w:rPr>
      <w:iCs/>
    </w:rPr>
  </w:style>
  <w:style w:type="character" w:customStyle="1" w:styleId="ExampleBlockCenteredChar">
    <w:name w:val="Example Block Centered Char"/>
    <w:link w:val="ExampleBlockCentered"/>
    <w:rsid w:val="00F56DE1"/>
    <w:rPr>
      <w:iCs/>
      <w:sz w:val="24"/>
      <w:szCs w:val="24"/>
    </w:rPr>
  </w:style>
  <w:style w:type="paragraph" w:customStyle="1" w:styleId="ColorfulList-Accent11">
    <w:name w:val="Colorful List - Accent 11"/>
    <w:basedOn w:val="Normal"/>
    <w:uiPriority w:val="34"/>
    <w:qFormat/>
    <w:rsid w:val="00F56DE1"/>
    <w:pPr>
      <w:widowControl/>
      <w:spacing w:after="200" w:line="276" w:lineRule="auto"/>
      <w:ind w:left="720" w:firstLine="0"/>
      <w:contextualSpacing/>
      <w:jc w:val="left"/>
    </w:pPr>
    <w:rPr>
      <w:sz w:val="22"/>
      <w:szCs w:val="22"/>
      <w:lang w:bidi="he-IL"/>
    </w:rPr>
  </w:style>
  <w:style w:type="paragraph" w:customStyle="1" w:styleId="TableNote">
    <w:name w:val="Table Note"/>
    <w:basedOn w:val="Normal"/>
    <w:link w:val="TableNoteChar"/>
    <w:qFormat/>
    <w:rsid w:val="0023114E"/>
    <w:pPr>
      <w:keepNext/>
      <w:widowControl/>
      <w:spacing w:before="80" w:after="120"/>
      <w:ind w:firstLine="0"/>
      <w:contextualSpacing/>
    </w:pPr>
    <w:rPr>
      <w:rFonts w:eastAsia="Calibri"/>
      <w:sz w:val="16"/>
      <w:szCs w:val="16"/>
    </w:rPr>
  </w:style>
  <w:style w:type="character" w:customStyle="1" w:styleId="TableNoteChar">
    <w:name w:val="Table Note Char"/>
    <w:link w:val="TableNote"/>
    <w:rsid w:val="0023114E"/>
    <w:rPr>
      <w:rFonts w:eastAsia="Calibri"/>
      <w:sz w:val="16"/>
      <w:szCs w:val="16"/>
    </w:rPr>
  </w:style>
  <w:style w:type="paragraph" w:customStyle="1" w:styleId="TableTitle">
    <w:name w:val="Table Title"/>
    <w:basedOn w:val="Normal"/>
    <w:link w:val="TableTitleChar"/>
    <w:qFormat/>
    <w:rsid w:val="00A315A0"/>
    <w:pPr>
      <w:keepNext/>
      <w:widowControl/>
      <w:spacing w:before="240" w:after="120" w:line="276" w:lineRule="auto"/>
      <w:ind w:firstLine="0"/>
      <w:jc w:val="center"/>
    </w:pPr>
    <w:rPr>
      <w:rFonts w:eastAsia="Calibri"/>
      <w:i/>
      <w:szCs w:val="22"/>
    </w:rPr>
  </w:style>
  <w:style w:type="character" w:customStyle="1" w:styleId="TableTitleChar">
    <w:name w:val="Table Title Char"/>
    <w:link w:val="TableTitle"/>
    <w:rsid w:val="00A315A0"/>
    <w:rPr>
      <w:rFonts w:eastAsia="Calibri"/>
      <w:i/>
      <w:sz w:val="24"/>
      <w:szCs w:val="22"/>
    </w:rPr>
  </w:style>
  <w:style w:type="character" w:customStyle="1" w:styleId="Heading1Char">
    <w:name w:val="Heading 1 Char"/>
    <w:link w:val="Heading1"/>
    <w:rsid w:val="003D71B7"/>
    <w:rPr>
      <w:smallCaps/>
      <w:kern w:val="28"/>
      <w:sz w:val="24"/>
    </w:rPr>
  </w:style>
  <w:style w:type="character" w:customStyle="1" w:styleId="Heading3Char">
    <w:name w:val="Heading 3 Char"/>
    <w:link w:val="Heading3"/>
    <w:rsid w:val="001A746D"/>
    <w:rPr>
      <w:rFonts w:ascii="Times New Roman Italic" w:eastAsia="SimHei" w:hAnsi="Times New Roman Italic"/>
      <w:i/>
      <w:kern w:val="16"/>
      <w:sz w:val="24"/>
    </w:rPr>
  </w:style>
  <w:style w:type="character" w:customStyle="1" w:styleId="Heading4Char">
    <w:name w:val="Heading 4 Char"/>
    <w:link w:val="Heading4"/>
    <w:rsid w:val="00F56DE1"/>
    <w:rPr>
      <w:kern w:val="16"/>
      <w:sz w:val="24"/>
    </w:rPr>
  </w:style>
  <w:style w:type="paragraph" w:styleId="Title">
    <w:name w:val="Title"/>
    <w:basedOn w:val="Normal"/>
    <w:link w:val="TitleChar"/>
    <w:qFormat/>
    <w:rsid w:val="00F56DE1"/>
    <w:pPr>
      <w:widowControl/>
      <w:spacing w:after="210"/>
      <w:ind w:firstLine="0"/>
      <w:jc w:val="center"/>
    </w:pPr>
    <w:rPr>
      <w:rFonts w:eastAsiaTheme="majorEastAsia" w:cstheme="majorBidi"/>
      <w:bCs/>
      <w:smallCaps/>
      <w:sz w:val="28"/>
      <w:szCs w:val="24"/>
    </w:rPr>
  </w:style>
  <w:style w:type="character" w:customStyle="1" w:styleId="TitleChar">
    <w:name w:val="Title Char"/>
    <w:basedOn w:val="DefaultParagraphFont"/>
    <w:link w:val="Title"/>
    <w:rsid w:val="00F56DE1"/>
    <w:rPr>
      <w:rFonts w:eastAsiaTheme="majorEastAsia" w:cstheme="majorBidi"/>
      <w:bCs/>
      <w:smallCaps/>
      <w:sz w:val="28"/>
      <w:szCs w:val="24"/>
    </w:rPr>
  </w:style>
  <w:style w:type="character" w:styleId="Emphasis">
    <w:name w:val="Emphasis"/>
    <w:aliases w:val="XXXXXX"/>
    <w:uiPriority w:val="20"/>
    <w:qFormat/>
    <w:rsid w:val="00F56DE1"/>
    <w:rPr>
      <w:i/>
      <w:iCs/>
    </w:rPr>
  </w:style>
  <w:style w:type="paragraph" w:styleId="TOCHeading">
    <w:name w:val="TOC Heading"/>
    <w:basedOn w:val="Heading2"/>
    <w:next w:val="Normal"/>
    <w:autoRedefine/>
    <w:uiPriority w:val="39"/>
    <w:unhideWhenUsed/>
    <w:qFormat/>
    <w:rsid w:val="00F56DE1"/>
    <w:pPr>
      <w:keepLines/>
      <w:numPr>
        <w:numId w:val="0"/>
      </w:numPr>
      <w:tabs>
        <w:tab w:val="center" w:pos="3355"/>
        <w:tab w:val="left" w:pos="6648"/>
        <w:tab w:val="right" w:pos="6710"/>
      </w:tabs>
      <w:spacing w:before="480" w:after="200" w:line="360" w:lineRule="auto"/>
    </w:pPr>
    <w:rPr>
      <w:rFonts w:eastAsiaTheme="majorEastAsia" w:cstheme="majorBidi"/>
      <w:bCs/>
      <w:smallCaps/>
      <w:szCs w:val="24"/>
      <w:lang w:bidi="he-IL"/>
    </w:rPr>
  </w:style>
  <w:style w:type="paragraph" w:customStyle="1" w:styleId="Author">
    <w:name w:val="Author"/>
    <w:basedOn w:val="Normal"/>
    <w:next w:val="Normal"/>
    <w:rsid w:val="00F56DE1"/>
    <w:pPr>
      <w:keepNext/>
      <w:widowControl/>
      <w:suppressLineNumbers/>
      <w:tabs>
        <w:tab w:val="left" w:pos="0"/>
        <w:tab w:val="left" w:pos="317"/>
        <w:tab w:val="left" w:pos="619"/>
      </w:tabs>
      <w:suppressAutoHyphens/>
      <w:spacing w:before="240" w:after="280" w:line="240" w:lineRule="exact"/>
      <w:ind w:firstLine="720"/>
      <w:jc w:val="center"/>
    </w:pPr>
    <w:rPr>
      <w:rFonts w:ascii="Fairfield LH Medium" w:hAnsi="Fairfield LH Medium"/>
      <w:bCs/>
      <w:i/>
      <w:kern w:val="12"/>
      <w:sz w:val="23"/>
    </w:rPr>
  </w:style>
  <w:style w:type="character" w:customStyle="1" w:styleId="FootnoteReference1">
    <w:name w:val="Footnote Reference1"/>
    <w:rsid w:val="00F56DE1"/>
    <w:rPr>
      <w:color w:val="000000"/>
      <w:vertAlign w:val="superscript"/>
    </w:rPr>
  </w:style>
  <w:style w:type="paragraph" w:customStyle="1" w:styleId="FootNote0">
    <w:name w:val="_FootNote"/>
    <w:basedOn w:val="Normal"/>
    <w:link w:val="FootNoteChar"/>
    <w:qFormat/>
    <w:rsid w:val="006241E5"/>
    <w:pPr>
      <w:widowControl/>
    </w:pPr>
    <w:rPr>
      <w:rFonts w:eastAsia="Calibri" w:cs="Arial"/>
      <w:sz w:val="20"/>
    </w:rPr>
  </w:style>
  <w:style w:type="paragraph" w:customStyle="1" w:styleId="AuthorName">
    <w:name w:val="_AuthorName"/>
    <w:basedOn w:val="Normal"/>
    <w:next w:val="Normal"/>
    <w:rsid w:val="00F56DE1"/>
    <w:pPr>
      <w:keepNext/>
      <w:widowControl/>
      <w:suppressLineNumbers/>
      <w:suppressAutoHyphens/>
      <w:spacing w:after="360" w:line="240" w:lineRule="exact"/>
      <w:ind w:firstLine="0"/>
      <w:jc w:val="center"/>
    </w:pPr>
    <w:rPr>
      <w:rFonts w:ascii="New Baskerville ITC Pro" w:eastAsia="Calibri" w:hAnsi="New Baskerville ITC Pro" w:cs="Arial"/>
      <w:i/>
      <w:sz w:val="21"/>
      <w:szCs w:val="24"/>
    </w:rPr>
  </w:style>
  <w:style w:type="character" w:customStyle="1" w:styleId="NoterefInNote">
    <w:name w:val="_NoterefInNote"/>
    <w:qFormat/>
    <w:rsid w:val="00F56DE1"/>
    <w:rPr>
      <w:rFonts w:ascii="New Baskerville ITC Pro" w:eastAsia="Times New Roman" w:hAnsi="New Baskerville ITC Pro" w:cs="Times New Roman"/>
      <w:kern w:val="16"/>
      <w:sz w:val="17"/>
      <w:szCs w:val="17"/>
      <w:vertAlign w:val="baseline"/>
    </w:rPr>
  </w:style>
  <w:style w:type="character" w:customStyle="1" w:styleId="AuNoteRefInText">
    <w:name w:val="_AuNoteRefInText"/>
    <w:rsid w:val="00F56DE1"/>
    <w:rPr>
      <w:rFonts w:ascii="New Baskerville ITC Pro" w:eastAsia="Times New Roman" w:hAnsi="New Baskerville ITC Pro" w:cs="Times New Roman"/>
      <w:b w:val="0"/>
      <w:i w:val="0"/>
      <w:kern w:val="16"/>
      <w:sz w:val="21"/>
      <w:vertAlign w:val="baseline"/>
    </w:rPr>
  </w:style>
  <w:style w:type="character" w:customStyle="1" w:styleId="FootNoteChar">
    <w:name w:val="_FootNote Char"/>
    <w:basedOn w:val="DefaultParagraphFont"/>
    <w:link w:val="FootNote0"/>
    <w:rsid w:val="006241E5"/>
    <w:rPr>
      <w:rFonts w:eastAsia="Calibri" w:cs="Arial"/>
      <w:kern w:val="16"/>
    </w:rPr>
  </w:style>
  <w:style w:type="character" w:customStyle="1" w:styleId="EndnoteTextChar">
    <w:name w:val="Endnote Text Char"/>
    <w:basedOn w:val="DefaultParagraphFont"/>
    <w:link w:val="EndnoteText"/>
    <w:uiPriority w:val="99"/>
    <w:semiHidden/>
    <w:rsid w:val="00F56DE1"/>
    <w:rPr>
      <w:rFonts w:ascii="CG Times" w:hAnsi="CG Times"/>
    </w:rPr>
  </w:style>
  <w:style w:type="paragraph" w:customStyle="1" w:styleId="Pictures">
    <w:name w:val="Pictures"/>
    <w:basedOn w:val="TableTitle"/>
    <w:link w:val="PicturesChar"/>
    <w:rsid w:val="00F56DE1"/>
    <w:rPr>
      <w:rFonts w:cstheme="majorBidi"/>
      <w:noProof/>
    </w:rPr>
  </w:style>
  <w:style w:type="paragraph" w:customStyle="1" w:styleId="Document">
    <w:name w:val="_Document"/>
    <w:basedOn w:val="Journalfont"/>
    <w:qFormat/>
    <w:rsid w:val="00F56DE1"/>
    <w:pPr>
      <w:suppressLineNumbers/>
      <w:spacing w:before="40" w:after="40" w:line="240" w:lineRule="exact"/>
      <w:ind w:firstLine="418"/>
    </w:pPr>
  </w:style>
  <w:style w:type="character" w:customStyle="1" w:styleId="PicturesChar">
    <w:name w:val="Pictures Char"/>
    <w:basedOn w:val="TitleChar"/>
    <w:link w:val="Pictures"/>
    <w:rsid w:val="00F56DE1"/>
    <w:rPr>
      <w:rFonts w:eastAsia="Calibri" w:cstheme="majorBidi"/>
      <w:bCs w:val="0"/>
      <w:i/>
      <w:smallCaps w:val="0"/>
      <w:noProof/>
      <w:sz w:val="24"/>
      <w:szCs w:val="22"/>
    </w:rPr>
  </w:style>
  <w:style w:type="paragraph" w:customStyle="1" w:styleId="NoSpacing1">
    <w:name w:val="No Spacing1"/>
    <w:uiPriority w:val="1"/>
    <w:rsid w:val="00F56DE1"/>
    <w:rPr>
      <w:sz w:val="22"/>
      <w:szCs w:val="22"/>
    </w:rPr>
  </w:style>
  <w:style w:type="paragraph" w:customStyle="1" w:styleId="TOCHeading1">
    <w:name w:val="TOC Heading1"/>
    <w:basedOn w:val="Heading1"/>
    <w:next w:val="Normal"/>
    <w:uiPriority w:val="39"/>
    <w:semiHidden/>
    <w:unhideWhenUsed/>
    <w:rsid w:val="00F56DE1"/>
    <w:pPr>
      <w:keepLines/>
      <w:numPr>
        <w:numId w:val="2"/>
      </w:numPr>
      <w:tabs>
        <w:tab w:val="num" w:pos="1080"/>
      </w:tabs>
      <w:spacing w:before="480" w:after="210"/>
      <w:ind w:left="720" w:hanging="360"/>
      <w:jc w:val="left"/>
      <w:outlineLvl w:val="9"/>
    </w:pPr>
    <w:rPr>
      <w:rFonts w:ascii="Cambria" w:hAnsi="Cambria"/>
      <w:bCs/>
      <w:smallCaps w:val="0"/>
      <w:color w:val="365F91"/>
      <w:kern w:val="0"/>
      <w:sz w:val="28"/>
      <w:szCs w:val="28"/>
    </w:rPr>
  </w:style>
  <w:style w:type="paragraph" w:customStyle="1" w:styleId="ColorfulList-Accent12">
    <w:name w:val="Colorful List - Accent 12"/>
    <w:basedOn w:val="Normal"/>
    <w:uiPriority w:val="34"/>
    <w:rsid w:val="00F56DE1"/>
    <w:pPr>
      <w:widowControl/>
      <w:spacing w:after="210"/>
      <w:ind w:left="720" w:firstLine="720"/>
      <w:contextualSpacing/>
    </w:pPr>
    <w:rPr>
      <w:rFonts w:cs="Lucida Grande"/>
      <w:bCs/>
      <w:szCs w:val="24"/>
      <w:lang w:eastAsia="zh-CN"/>
    </w:rPr>
  </w:style>
  <w:style w:type="paragraph" w:customStyle="1" w:styleId="TOCHeading2">
    <w:name w:val="TOC Heading2"/>
    <w:basedOn w:val="Heading1"/>
    <w:next w:val="Normal"/>
    <w:uiPriority w:val="39"/>
    <w:semiHidden/>
    <w:unhideWhenUsed/>
    <w:rsid w:val="00F56DE1"/>
    <w:pPr>
      <w:keepLines/>
      <w:numPr>
        <w:numId w:val="0"/>
      </w:numPr>
      <w:spacing w:before="480" w:after="210"/>
      <w:ind w:left="720" w:hanging="720"/>
      <w:jc w:val="left"/>
      <w:outlineLvl w:val="9"/>
    </w:pPr>
    <w:rPr>
      <w:rFonts w:cs="Lucida Grande"/>
      <w:bCs/>
      <w:smallCaps w:val="0"/>
      <w:color w:val="365F91"/>
      <w:kern w:val="0"/>
      <w:sz w:val="28"/>
      <w:szCs w:val="28"/>
      <w:lang w:eastAsia="ja-JP"/>
    </w:rPr>
  </w:style>
  <w:style w:type="paragraph" w:customStyle="1" w:styleId="LBParagraphtext">
    <w:name w:val="LB_Paragraph text"/>
    <w:basedOn w:val="Normal"/>
    <w:link w:val="LBParagraphtextChar"/>
    <w:rsid w:val="00F56DE1"/>
    <w:pPr>
      <w:widowControl/>
      <w:spacing w:before="100" w:beforeAutospacing="1" w:after="100" w:afterAutospacing="1"/>
      <w:ind w:firstLine="720"/>
    </w:pPr>
    <w:rPr>
      <w:bCs/>
      <w:szCs w:val="24"/>
      <w:lang w:bidi="he-IL"/>
    </w:rPr>
  </w:style>
  <w:style w:type="character" w:customStyle="1" w:styleId="LBParagraphtextChar">
    <w:name w:val="LB_Paragraph text Char"/>
    <w:link w:val="LBParagraphtext"/>
    <w:rsid w:val="00F56DE1"/>
    <w:rPr>
      <w:bCs/>
      <w:sz w:val="24"/>
      <w:szCs w:val="24"/>
      <w:lang w:bidi="he-IL"/>
    </w:rPr>
  </w:style>
  <w:style w:type="paragraph" w:customStyle="1" w:styleId="LBExampleBlockCentered">
    <w:name w:val="LB_Example Block Centered"/>
    <w:basedOn w:val="LBParagraphtext"/>
    <w:link w:val="LBExampleBlockCenteredChar"/>
    <w:rsid w:val="00F56DE1"/>
    <w:pPr>
      <w:ind w:left="720" w:right="950" w:firstLine="0"/>
    </w:pPr>
    <w:rPr>
      <w:iCs/>
      <w:lang w:bidi="ar-SA"/>
    </w:rPr>
  </w:style>
  <w:style w:type="character" w:customStyle="1" w:styleId="LBExampleBlockCenteredChar">
    <w:name w:val="LB_Example Block Centered Char"/>
    <w:link w:val="LBExampleBlockCentered"/>
    <w:rsid w:val="00F56DE1"/>
    <w:rPr>
      <w:bCs/>
      <w:iCs/>
      <w:sz w:val="24"/>
      <w:szCs w:val="24"/>
    </w:rPr>
  </w:style>
  <w:style w:type="paragraph" w:customStyle="1" w:styleId="LBFooter">
    <w:name w:val="LB_Footer"/>
    <w:basedOn w:val="Header"/>
    <w:link w:val="LBFooterChar"/>
    <w:rsid w:val="00F56DE1"/>
    <w:pPr>
      <w:widowControl/>
      <w:ind w:firstLine="720"/>
      <w:jc w:val="center"/>
    </w:pPr>
    <w:rPr>
      <w:bCs/>
      <w:szCs w:val="24"/>
    </w:rPr>
  </w:style>
  <w:style w:type="character" w:customStyle="1" w:styleId="LBFooterChar">
    <w:name w:val="LB_Footer Char"/>
    <w:link w:val="LBFooter"/>
    <w:rsid w:val="00F56DE1"/>
    <w:rPr>
      <w:bCs/>
      <w:sz w:val="24"/>
      <w:szCs w:val="24"/>
    </w:rPr>
  </w:style>
  <w:style w:type="paragraph" w:customStyle="1" w:styleId="TOCHeading3">
    <w:name w:val="TOC Heading3"/>
    <w:basedOn w:val="Heading1"/>
    <w:next w:val="Normal"/>
    <w:uiPriority w:val="39"/>
    <w:semiHidden/>
    <w:unhideWhenUsed/>
    <w:rsid w:val="00F56DE1"/>
    <w:pPr>
      <w:keepLines/>
      <w:numPr>
        <w:numId w:val="0"/>
      </w:numPr>
      <w:spacing w:before="480" w:line="276" w:lineRule="auto"/>
      <w:ind w:left="720" w:hanging="720"/>
      <w:jc w:val="left"/>
      <w:outlineLvl w:val="9"/>
    </w:pPr>
    <w:rPr>
      <w:rFonts w:ascii="Cambria" w:eastAsia="MS Gothic" w:hAnsi="Cambria"/>
      <w:b/>
      <w:bCs/>
      <w:smallCaps w:val="0"/>
      <w:color w:val="365F91"/>
      <w:kern w:val="0"/>
      <w:sz w:val="28"/>
      <w:szCs w:val="28"/>
      <w:lang w:eastAsia="ja-JP"/>
    </w:rPr>
  </w:style>
  <w:style w:type="paragraph" w:customStyle="1" w:styleId="Journalfont">
    <w:name w:val="_Journal font"/>
    <w:link w:val="JournalfontChar"/>
    <w:rsid w:val="00F56DE1"/>
    <w:pPr>
      <w:jc w:val="both"/>
    </w:pPr>
    <w:rPr>
      <w:rFonts w:ascii="New Baskerville ITC Pro" w:hAnsi="New Baskerville ITC Pro"/>
      <w:kern w:val="16"/>
      <w:sz w:val="21"/>
    </w:rPr>
  </w:style>
  <w:style w:type="character" w:customStyle="1" w:styleId="JournalfontChar">
    <w:name w:val="_Journal font Char"/>
    <w:link w:val="Journalfont"/>
    <w:rsid w:val="00F56DE1"/>
    <w:rPr>
      <w:rFonts w:ascii="New Baskerville ITC Pro" w:hAnsi="New Baskerville ITC Pro"/>
      <w:kern w:val="16"/>
      <w:sz w:val="21"/>
    </w:rPr>
  </w:style>
  <w:style w:type="paragraph" w:customStyle="1" w:styleId="1stQuoteFN">
    <w:name w:val="_1stQuoteFN"/>
    <w:basedOn w:val="FootNote0"/>
    <w:next w:val="FootNote0"/>
    <w:link w:val="1stQuoteFNChar"/>
    <w:rsid w:val="00F56DE1"/>
    <w:pPr>
      <w:suppressLineNumbers/>
      <w:ind w:left="360" w:right="360"/>
    </w:pPr>
  </w:style>
  <w:style w:type="paragraph" w:customStyle="1" w:styleId="1stQuoteFNIndent">
    <w:name w:val="_1stQuoteFNIndent"/>
    <w:basedOn w:val="1stQuoteFN"/>
    <w:next w:val="FootNote0"/>
    <w:link w:val="1stQuoteFNIndentChar"/>
    <w:rsid w:val="00F56DE1"/>
  </w:style>
  <w:style w:type="paragraph" w:customStyle="1" w:styleId="1stQuoteTXT">
    <w:name w:val="_1stQuoteTXT"/>
    <w:basedOn w:val="Journalfont"/>
    <w:next w:val="Document"/>
    <w:rsid w:val="00F56DE1"/>
    <w:pPr>
      <w:spacing w:before="20" w:after="20" w:line="220" w:lineRule="exact"/>
      <w:ind w:left="418" w:right="418"/>
    </w:pPr>
  </w:style>
  <w:style w:type="paragraph" w:customStyle="1" w:styleId="1stQuoteTXTIndent">
    <w:name w:val="_1stQuoteTXTIndent"/>
    <w:basedOn w:val="1stQuoteTXT"/>
    <w:next w:val="Document"/>
    <w:rsid w:val="00F56DE1"/>
    <w:pPr>
      <w:ind w:firstLine="418"/>
    </w:pPr>
  </w:style>
  <w:style w:type="paragraph" w:customStyle="1" w:styleId="ArticleTitle0">
    <w:name w:val="_ArticleTitle"/>
    <w:basedOn w:val="Journalfont"/>
    <w:next w:val="Document"/>
    <w:rsid w:val="00F56DE1"/>
    <w:pPr>
      <w:keepNext/>
      <w:keepLines/>
      <w:suppressLineNumbers/>
      <w:suppressAutoHyphens/>
      <w:spacing w:before="40" w:after="240" w:line="280" w:lineRule="exact"/>
      <w:jc w:val="center"/>
    </w:pPr>
    <w:rPr>
      <w:caps/>
      <w:sz w:val="24"/>
      <w:szCs w:val="28"/>
    </w:rPr>
  </w:style>
  <w:style w:type="paragraph" w:customStyle="1" w:styleId="SectionHead">
    <w:name w:val="_SectionHead"/>
    <w:basedOn w:val="Journalfont"/>
    <w:next w:val="Document"/>
    <w:rsid w:val="00F56DE1"/>
    <w:pPr>
      <w:keepNext/>
      <w:keepLines/>
      <w:suppressLineNumbers/>
      <w:suppressAutoHyphens/>
      <w:spacing w:before="40" w:after="420" w:line="400" w:lineRule="exact"/>
      <w:jc w:val="center"/>
    </w:pPr>
    <w:rPr>
      <w:caps/>
      <w:sz w:val="36"/>
      <w:szCs w:val="28"/>
    </w:rPr>
  </w:style>
  <w:style w:type="paragraph" w:customStyle="1" w:styleId="Head1">
    <w:name w:val="_Head1"/>
    <w:basedOn w:val="Journalfont"/>
    <w:next w:val="Document"/>
    <w:rsid w:val="00F56DE1"/>
    <w:pPr>
      <w:keepNext/>
      <w:keepLines/>
      <w:suppressLineNumbers/>
      <w:spacing w:before="240" w:after="180" w:line="240" w:lineRule="exact"/>
      <w:jc w:val="center"/>
      <w:outlineLvl w:val="0"/>
    </w:pPr>
    <w:rPr>
      <w:smallCaps/>
    </w:rPr>
  </w:style>
  <w:style w:type="paragraph" w:customStyle="1" w:styleId="Head2">
    <w:name w:val="_Head2"/>
    <w:basedOn w:val="Journalfont"/>
    <w:next w:val="Document"/>
    <w:rsid w:val="00F56DE1"/>
    <w:pPr>
      <w:keepNext/>
      <w:keepLines/>
      <w:suppressLineNumbers/>
      <w:spacing w:before="240" w:after="120" w:line="240" w:lineRule="exact"/>
      <w:ind w:left="418" w:hanging="418"/>
      <w:jc w:val="left"/>
      <w:outlineLvl w:val="1"/>
    </w:pPr>
    <w:rPr>
      <w:i/>
    </w:rPr>
  </w:style>
  <w:style w:type="paragraph" w:customStyle="1" w:styleId="Head3">
    <w:name w:val="_Head3"/>
    <w:basedOn w:val="Journalfont"/>
    <w:next w:val="Document"/>
    <w:link w:val="Head3Char"/>
    <w:rsid w:val="00F56DE1"/>
    <w:pPr>
      <w:suppressLineNumbers/>
      <w:spacing w:before="40" w:after="40" w:line="240" w:lineRule="exact"/>
      <w:ind w:firstLine="418"/>
      <w:outlineLvl w:val="2"/>
    </w:pPr>
    <w:rPr>
      <w:rFonts w:cs="Courier New"/>
      <w:i/>
      <w:kern w:val="0"/>
    </w:rPr>
  </w:style>
  <w:style w:type="character" w:customStyle="1" w:styleId="Head3Char">
    <w:name w:val="_Head3 Char"/>
    <w:link w:val="Head3"/>
    <w:rsid w:val="00F56DE1"/>
    <w:rPr>
      <w:rFonts w:ascii="New Baskerville ITC Pro" w:hAnsi="New Baskerville ITC Pro" w:cs="Courier New"/>
      <w:i/>
      <w:sz w:val="21"/>
    </w:rPr>
  </w:style>
  <w:style w:type="paragraph" w:customStyle="1" w:styleId="Head4">
    <w:name w:val="_Head4"/>
    <w:basedOn w:val="Journalfont"/>
    <w:next w:val="Document"/>
    <w:link w:val="Head4Char"/>
    <w:rsid w:val="00F56DE1"/>
    <w:pPr>
      <w:ind w:firstLine="418"/>
      <w:outlineLvl w:val="3"/>
    </w:pPr>
    <w:rPr>
      <w:i/>
      <w:kern w:val="0"/>
    </w:rPr>
  </w:style>
  <w:style w:type="character" w:customStyle="1" w:styleId="Head4Char">
    <w:name w:val="_Head4 Char"/>
    <w:link w:val="Head4"/>
    <w:rsid w:val="00F56DE1"/>
    <w:rPr>
      <w:rFonts w:ascii="New Baskerville ITC Pro" w:hAnsi="New Baskerville ITC Pro"/>
      <w:i/>
      <w:sz w:val="21"/>
    </w:rPr>
  </w:style>
  <w:style w:type="character" w:customStyle="1" w:styleId="NoterefInText">
    <w:name w:val="_NoterefInText"/>
    <w:qFormat/>
    <w:rsid w:val="00F56DE1"/>
    <w:rPr>
      <w:rFonts w:ascii="New Baskerville ITC Pro" w:eastAsia="Times New Roman" w:hAnsi="New Baskerville ITC Pro" w:cs="Times New Roman"/>
      <w:kern w:val="16"/>
      <w:position w:val="0"/>
      <w:sz w:val="21"/>
      <w:szCs w:val="21"/>
      <w:vertAlign w:val="superscript"/>
    </w:rPr>
  </w:style>
  <w:style w:type="paragraph" w:customStyle="1" w:styleId="Bibliography">
    <w:name w:val="_Bibliography"/>
    <w:basedOn w:val="Journalfont"/>
    <w:rsid w:val="00F56DE1"/>
    <w:pPr>
      <w:spacing w:after="200" w:line="240" w:lineRule="exact"/>
      <w:ind w:left="720" w:hanging="720"/>
    </w:pPr>
  </w:style>
  <w:style w:type="paragraph" w:customStyle="1" w:styleId="toc10">
    <w:name w:val="_toc1"/>
    <w:basedOn w:val="Journalfont"/>
    <w:next w:val="Document"/>
    <w:rsid w:val="00F56DE1"/>
    <w:pPr>
      <w:widowControl w:val="0"/>
      <w:tabs>
        <w:tab w:val="right" w:leader="dot" w:pos="6725"/>
      </w:tabs>
      <w:spacing w:before="40" w:after="40" w:line="240" w:lineRule="exact"/>
      <w:ind w:left="317" w:hanging="317"/>
      <w:jc w:val="left"/>
    </w:pPr>
    <w:rPr>
      <w:smallCaps/>
    </w:rPr>
  </w:style>
  <w:style w:type="paragraph" w:customStyle="1" w:styleId="toc20">
    <w:name w:val="_toc2"/>
    <w:basedOn w:val="toc10"/>
    <w:next w:val="Document"/>
    <w:rsid w:val="00F56DE1"/>
    <w:pPr>
      <w:ind w:left="735"/>
    </w:pPr>
    <w:rPr>
      <w:smallCaps w:val="0"/>
    </w:rPr>
  </w:style>
  <w:style w:type="paragraph" w:customStyle="1" w:styleId="toc30">
    <w:name w:val="_toc3"/>
    <w:basedOn w:val="toc10"/>
    <w:next w:val="Document"/>
    <w:rsid w:val="00F56DE1"/>
    <w:pPr>
      <w:ind w:left="1152"/>
    </w:pPr>
    <w:rPr>
      <w:smallCaps w:val="0"/>
    </w:rPr>
  </w:style>
  <w:style w:type="paragraph" w:customStyle="1" w:styleId="toc40">
    <w:name w:val="_toc4"/>
    <w:basedOn w:val="toc10"/>
    <w:next w:val="Document"/>
    <w:rsid w:val="00F56DE1"/>
    <w:pPr>
      <w:ind w:left="1570"/>
    </w:pPr>
    <w:rPr>
      <w:smallCaps w:val="0"/>
    </w:rPr>
  </w:style>
  <w:style w:type="paragraph" w:customStyle="1" w:styleId="Figures">
    <w:name w:val="Figures"/>
    <w:basedOn w:val="TableTitle"/>
    <w:link w:val="FiguresChar"/>
    <w:rsid w:val="00F56DE1"/>
  </w:style>
  <w:style w:type="character" w:customStyle="1" w:styleId="FiguresChar">
    <w:name w:val="Figures Char"/>
    <w:basedOn w:val="TableTitleChar"/>
    <w:link w:val="Figures"/>
    <w:rsid w:val="00F56DE1"/>
    <w:rPr>
      <w:rFonts w:eastAsia="Calibri"/>
      <w:i/>
      <w:sz w:val="24"/>
      <w:szCs w:val="22"/>
    </w:rPr>
  </w:style>
  <w:style w:type="character" w:customStyle="1" w:styleId="1stQuoteFNChar">
    <w:name w:val="_1stQuoteFN Char"/>
    <w:basedOn w:val="FootNoteChar"/>
    <w:link w:val="1stQuoteFN"/>
    <w:rsid w:val="00F56DE1"/>
    <w:rPr>
      <w:rFonts w:eastAsia="Calibri" w:cs="Arial"/>
      <w:kern w:val="16"/>
    </w:rPr>
  </w:style>
  <w:style w:type="character" w:customStyle="1" w:styleId="1stQuoteFNIndentChar">
    <w:name w:val="_1stQuoteFNIndent Char"/>
    <w:basedOn w:val="1stQuoteFNChar"/>
    <w:link w:val="1stQuoteFNIndent"/>
    <w:rsid w:val="00F56DE1"/>
    <w:rPr>
      <w:rFonts w:eastAsia="Calibri" w:cs="Arial"/>
      <w:kern w:val="16"/>
    </w:rPr>
  </w:style>
  <w:style w:type="paragraph" w:styleId="NormalWeb">
    <w:name w:val="Normal (Web)"/>
    <w:basedOn w:val="Normal"/>
    <w:uiPriority w:val="99"/>
    <w:unhideWhenUsed/>
    <w:rsid w:val="00F56DE1"/>
    <w:pPr>
      <w:widowControl/>
      <w:spacing w:before="100" w:beforeAutospacing="1" w:after="100" w:afterAutospacing="1"/>
      <w:ind w:firstLine="0"/>
      <w:jc w:val="left"/>
    </w:pPr>
    <w:rPr>
      <w:szCs w:val="24"/>
      <w:lang w:bidi="he-IL"/>
    </w:rPr>
  </w:style>
  <w:style w:type="paragraph" w:styleId="Revision">
    <w:name w:val="Revision"/>
    <w:hidden/>
    <w:uiPriority w:val="99"/>
    <w:semiHidden/>
    <w:rsid w:val="00F56DE1"/>
    <w:rPr>
      <w:bCs/>
      <w:sz w:val="24"/>
      <w:szCs w:val="24"/>
    </w:rPr>
  </w:style>
  <w:style w:type="character" w:customStyle="1" w:styleId="UnresolvedMention1">
    <w:name w:val="Unresolved Mention1"/>
    <w:basedOn w:val="DefaultParagraphFont"/>
    <w:uiPriority w:val="99"/>
    <w:semiHidden/>
    <w:unhideWhenUsed/>
    <w:rsid w:val="00F56DE1"/>
    <w:rPr>
      <w:color w:val="605E5C"/>
      <w:shd w:val="clear" w:color="auto" w:fill="E1DFDD"/>
    </w:rPr>
  </w:style>
  <w:style w:type="character" w:customStyle="1" w:styleId="UnresolvedMention2">
    <w:name w:val="Unresolved Mention2"/>
    <w:basedOn w:val="DefaultParagraphFont"/>
    <w:uiPriority w:val="99"/>
    <w:semiHidden/>
    <w:unhideWhenUsed/>
    <w:rsid w:val="00F56DE1"/>
    <w:rPr>
      <w:color w:val="605E5C"/>
      <w:shd w:val="clear" w:color="auto" w:fill="E1DFDD"/>
    </w:rPr>
  </w:style>
  <w:style w:type="character" w:customStyle="1" w:styleId="m6122853002312797529gmail-ssrfcpassagedeactivated">
    <w:name w:val="m_6122853002312797529gmail-ssrfcpassagedeactivated"/>
    <w:basedOn w:val="DefaultParagraphFont"/>
    <w:rsid w:val="00F56DE1"/>
  </w:style>
  <w:style w:type="character" w:customStyle="1" w:styleId="UnresolvedMention3">
    <w:name w:val="Unresolved Mention3"/>
    <w:basedOn w:val="DefaultParagraphFont"/>
    <w:uiPriority w:val="99"/>
    <w:semiHidden/>
    <w:unhideWhenUsed/>
    <w:rsid w:val="00F56DE1"/>
    <w:rPr>
      <w:color w:val="605E5C"/>
      <w:shd w:val="clear" w:color="auto" w:fill="E1DFDD"/>
    </w:rPr>
  </w:style>
  <w:style w:type="character" w:customStyle="1" w:styleId="DocumentMapChar">
    <w:name w:val="Document Map Char"/>
    <w:basedOn w:val="DefaultParagraphFont"/>
    <w:link w:val="DocumentMap"/>
    <w:uiPriority w:val="99"/>
    <w:semiHidden/>
    <w:rsid w:val="00F56DE1"/>
    <w:rPr>
      <w:rFonts w:ascii="Tahoma" w:hAnsi="Tahoma"/>
      <w:sz w:val="24"/>
      <w:shd w:val="clear" w:color="auto" w:fill="000080"/>
    </w:rPr>
  </w:style>
  <w:style w:type="paragraph" w:styleId="NoSpacing">
    <w:name w:val="No Spacing"/>
    <w:aliases w:val="FootNote"/>
    <w:basedOn w:val="FootnoteText"/>
    <w:uiPriority w:val="1"/>
    <w:rsid w:val="00F56DE1"/>
    <w:pPr>
      <w:widowControl/>
      <w:ind w:firstLine="0"/>
    </w:pPr>
    <w:rPr>
      <w:rFonts w:eastAsiaTheme="minorHAnsi"/>
    </w:rPr>
  </w:style>
  <w:style w:type="character" w:customStyle="1" w:styleId="foottext">
    <w:name w:val="foot_text"/>
    <w:basedOn w:val="DefaultParagraphFont"/>
    <w:rsid w:val="00F56DE1"/>
  </w:style>
  <w:style w:type="character" w:customStyle="1" w:styleId="byline">
    <w:name w:val="byline"/>
    <w:basedOn w:val="DefaultParagraphFont"/>
    <w:rsid w:val="00F56DE1"/>
  </w:style>
  <w:style w:type="character" w:customStyle="1" w:styleId="ssleftalign">
    <w:name w:val="ss_leftalign"/>
    <w:basedOn w:val="DefaultParagraphFont"/>
    <w:rsid w:val="00F56DE1"/>
  </w:style>
  <w:style w:type="character" w:customStyle="1" w:styleId="Heading5Char">
    <w:name w:val="Heading 5 Char"/>
    <w:basedOn w:val="DefaultParagraphFont"/>
    <w:link w:val="Heading5"/>
    <w:rsid w:val="00F56DE1"/>
    <w:rPr>
      <w:rFonts w:ascii="CG Times" w:hAnsi="CG Times"/>
      <w:sz w:val="22"/>
    </w:rPr>
  </w:style>
  <w:style w:type="character" w:customStyle="1" w:styleId="Heading6Char">
    <w:name w:val="Heading 6 Char"/>
    <w:basedOn w:val="DefaultParagraphFont"/>
    <w:link w:val="Heading6"/>
    <w:rsid w:val="00F56DE1"/>
    <w:rPr>
      <w:i/>
      <w:kern w:val="16"/>
      <w:sz w:val="22"/>
    </w:rPr>
  </w:style>
  <w:style w:type="character" w:customStyle="1" w:styleId="Heading7Char">
    <w:name w:val="Heading 7 Char"/>
    <w:basedOn w:val="DefaultParagraphFont"/>
    <w:link w:val="Heading7"/>
    <w:rsid w:val="00F56DE1"/>
    <w:rPr>
      <w:rFonts w:ascii="Arial" w:hAnsi="Arial"/>
      <w:kern w:val="16"/>
    </w:rPr>
  </w:style>
  <w:style w:type="character" w:customStyle="1" w:styleId="Heading8Char">
    <w:name w:val="Heading 8 Char"/>
    <w:basedOn w:val="DefaultParagraphFont"/>
    <w:link w:val="Heading8"/>
    <w:rsid w:val="00F56DE1"/>
    <w:rPr>
      <w:rFonts w:ascii="Arial" w:hAnsi="Arial"/>
      <w:i/>
      <w:kern w:val="16"/>
    </w:rPr>
  </w:style>
  <w:style w:type="character" w:customStyle="1" w:styleId="Heading9Char">
    <w:name w:val="Heading 9 Char"/>
    <w:basedOn w:val="DefaultParagraphFont"/>
    <w:link w:val="Heading9"/>
    <w:rsid w:val="00F56DE1"/>
    <w:rPr>
      <w:rFonts w:ascii="Arial" w:hAnsi="Arial"/>
      <w:b/>
      <w:i/>
      <w:kern w:val="16"/>
      <w:sz w:val="18"/>
    </w:rPr>
  </w:style>
  <w:style w:type="character" w:customStyle="1" w:styleId="Subtitle1">
    <w:name w:val="Subtitle1"/>
    <w:basedOn w:val="DefaultParagraphFont"/>
    <w:rsid w:val="00F56DE1"/>
  </w:style>
  <w:style w:type="character" w:customStyle="1" w:styleId="colon-for-citation-subtitle">
    <w:name w:val="colon-for-citation-subtitle"/>
    <w:basedOn w:val="DefaultParagraphFont"/>
    <w:rsid w:val="00F56DE1"/>
  </w:style>
  <w:style w:type="table" w:styleId="TableGrid">
    <w:name w:val="Table Grid"/>
    <w:basedOn w:val="TableNormal"/>
    <w:uiPriority w:val="39"/>
    <w:rsid w:val="00F56DE1"/>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56DE1"/>
    <w:pPr>
      <w:autoSpaceDE w:val="0"/>
      <w:autoSpaceDN w:val="0"/>
      <w:adjustRightInd w:val="0"/>
      <w:spacing w:before="51"/>
      <w:ind w:left="386" w:firstLine="9"/>
      <w:jc w:val="left"/>
    </w:pPr>
    <w:rPr>
      <w:rFonts w:ascii="Arial" w:eastAsiaTheme="minorEastAsia" w:hAnsi="Arial" w:cs="Arial"/>
      <w:sz w:val="20"/>
      <w:lang w:bidi="he-IL"/>
    </w:rPr>
  </w:style>
  <w:style w:type="character" w:customStyle="1" w:styleId="BodyTextChar">
    <w:name w:val="Body Text Char"/>
    <w:basedOn w:val="DefaultParagraphFont"/>
    <w:link w:val="BodyText"/>
    <w:uiPriority w:val="1"/>
    <w:rsid w:val="00F56DE1"/>
    <w:rPr>
      <w:rFonts w:ascii="Arial" w:eastAsiaTheme="minorEastAsia" w:hAnsi="Arial" w:cs="Arial"/>
      <w:lang w:bidi="he-IL"/>
    </w:rPr>
  </w:style>
  <w:style w:type="paragraph" w:customStyle="1" w:styleId="TableParagraph">
    <w:name w:val="Table Paragraph"/>
    <w:basedOn w:val="Normal"/>
    <w:uiPriority w:val="1"/>
    <w:rsid w:val="00F56DE1"/>
    <w:pPr>
      <w:autoSpaceDE w:val="0"/>
      <w:autoSpaceDN w:val="0"/>
      <w:adjustRightInd w:val="0"/>
      <w:ind w:firstLine="0"/>
      <w:jc w:val="left"/>
    </w:pPr>
    <w:rPr>
      <w:rFonts w:eastAsiaTheme="minorEastAsia"/>
      <w:szCs w:val="24"/>
      <w:lang w:bidi="he-IL"/>
    </w:rPr>
  </w:style>
  <w:style w:type="character" w:styleId="Strong">
    <w:name w:val="Strong"/>
    <w:aliases w:val="RT Epigraph"/>
    <w:uiPriority w:val="22"/>
    <w:qFormat/>
    <w:rsid w:val="0077704B"/>
    <w:rPr>
      <w:rFonts w:asciiTheme="majorBidi" w:hAnsiTheme="majorBidi" w:cstheme="majorBidi"/>
      <w:spacing w:val="2"/>
      <w:sz w:val="18"/>
      <w:szCs w:val="18"/>
    </w:rPr>
  </w:style>
  <w:style w:type="paragraph" w:styleId="Subtitle">
    <w:name w:val="Subtitle"/>
    <w:aliases w:val="Long Quote"/>
    <w:basedOn w:val="Normal"/>
    <w:next w:val="Normal"/>
    <w:link w:val="SubtitleChar"/>
    <w:uiPriority w:val="11"/>
    <w:qFormat/>
    <w:rsid w:val="00B37F0C"/>
    <w:pPr>
      <w:spacing w:before="120" w:after="120"/>
      <w:ind w:left="547" w:right="590" w:firstLine="0"/>
    </w:pPr>
    <w:rPr>
      <w:sz w:val="21"/>
      <w:szCs w:val="21"/>
    </w:rPr>
  </w:style>
  <w:style w:type="character" w:customStyle="1" w:styleId="SubtitleChar">
    <w:name w:val="Subtitle Char"/>
    <w:aliases w:val="Long Quote Char"/>
    <w:basedOn w:val="DefaultParagraphFont"/>
    <w:link w:val="Subtitle"/>
    <w:uiPriority w:val="11"/>
    <w:rsid w:val="00B37F0C"/>
    <w:rPr>
      <w:kern w:val="16"/>
      <w:sz w:val="21"/>
      <w:szCs w:val="21"/>
    </w:rPr>
  </w:style>
  <w:style w:type="character" w:styleId="SubtleEmphasis">
    <w:name w:val="Subtle Emphasis"/>
    <w:aliases w:val="XXXXX"/>
    <w:basedOn w:val="DefaultParagraphFont"/>
    <w:uiPriority w:val="19"/>
    <w:qFormat/>
    <w:rsid w:val="00A70B06"/>
    <w:rPr>
      <w:i/>
      <w:iCs/>
      <w:color w:val="404040" w:themeColor="text1" w:themeTint="BF"/>
    </w:rPr>
  </w:style>
  <w:style w:type="character" w:styleId="IntenseEmphasis">
    <w:name w:val="Intense Emphasis"/>
    <w:aliases w:val="HEading 4"/>
    <w:uiPriority w:val="21"/>
    <w:qFormat/>
    <w:rsid w:val="005169B9"/>
    <w:rPr>
      <w:rFonts w:ascii="CG Times" w:hAnsi="CG Times"/>
      <w:sz w:val="24"/>
      <w:szCs w:val="24"/>
    </w:rPr>
  </w:style>
  <w:style w:type="character" w:customStyle="1" w:styleId="UnresolvedMention4">
    <w:name w:val="Unresolved Mention4"/>
    <w:basedOn w:val="DefaultParagraphFont"/>
    <w:uiPriority w:val="99"/>
    <w:semiHidden/>
    <w:unhideWhenUsed/>
    <w:rsid w:val="00BC2812"/>
    <w:rPr>
      <w:color w:val="605E5C"/>
      <w:shd w:val="clear" w:color="auto" w:fill="E1DFDD"/>
    </w:rPr>
  </w:style>
  <w:style w:type="character" w:customStyle="1" w:styleId="p">
    <w:name w:val="p"/>
    <w:basedOn w:val="DefaultParagraphFont"/>
    <w:rsid w:val="001B504C"/>
  </w:style>
  <w:style w:type="character" w:customStyle="1" w:styleId="UnresolvedMention5">
    <w:name w:val="Unresolved Mention5"/>
    <w:basedOn w:val="DefaultParagraphFont"/>
    <w:uiPriority w:val="99"/>
    <w:semiHidden/>
    <w:unhideWhenUsed/>
    <w:rsid w:val="00B67D00"/>
    <w:rPr>
      <w:color w:val="605E5C"/>
      <w:shd w:val="clear" w:color="auto" w:fill="E1DFDD"/>
    </w:rPr>
  </w:style>
  <w:style w:type="paragraph" w:customStyle="1" w:styleId="TableText">
    <w:name w:val="Table Text"/>
    <w:basedOn w:val="Normal"/>
    <w:link w:val="TableTextChar"/>
    <w:qFormat/>
    <w:rsid w:val="00725073"/>
    <w:pPr>
      <w:keepNext/>
      <w:widowControl/>
      <w:spacing w:before="100" w:beforeAutospacing="1" w:after="100" w:afterAutospacing="1"/>
      <w:ind w:firstLine="0"/>
      <w:contextualSpacing/>
      <w:jc w:val="center"/>
    </w:pPr>
    <w:rPr>
      <w:rFonts w:eastAsia="Calibri"/>
      <w:sz w:val="20"/>
      <w:szCs w:val="18"/>
    </w:rPr>
  </w:style>
  <w:style w:type="character" w:customStyle="1" w:styleId="TableTextChar">
    <w:name w:val="Table Text Char"/>
    <w:link w:val="TableText"/>
    <w:rsid w:val="00725073"/>
    <w:rPr>
      <w:rFonts w:eastAsia="Calibri"/>
      <w:szCs w:val="18"/>
    </w:rPr>
  </w:style>
  <w:style w:type="paragraph" w:customStyle="1" w:styleId="fj">
    <w:name w:val="fj"/>
    <w:basedOn w:val="Normal"/>
    <w:rsid w:val="00EC5233"/>
    <w:pPr>
      <w:widowControl/>
      <w:spacing w:before="100" w:beforeAutospacing="1" w:after="100" w:afterAutospacing="1"/>
      <w:ind w:firstLine="0"/>
      <w:jc w:val="left"/>
    </w:pPr>
    <w:rPr>
      <w:kern w:val="0"/>
      <w:szCs w:val="24"/>
      <w:lang w:bidi="he-IL"/>
    </w:rPr>
  </w:style>
  <w:style w:type="character" w:customStyle="1" w:styleId="UnresolvedMention6">
    <w:name w:val="Unresolved Mention6"/>
    <w:basedOn w:val="DefaultParagraphFont"/>
    <w:uiPriority w:val="99"/>
    <w:semiHidden/>
    <w:unhideWhenUsed/>
    <w:rsid w:val="00744585"/>
    <w:rPr>
      <w:color w:val="605E5C"/>
      <w:shd w:val="clear" w:color="auto" w:fill="E1DFDD"/>
    </w:rPr>
  </w:style>
  <w:style w:type="character" w:customStyle="1" w:styleId="UnresolvedMention7">
    <w:name w:val="Unresolved Mention7"/>
    <w:basedOn w:val="DefaultParagraphFont"/>
    <w:uiPriority w:val="99"/>
    <w:semiHidden/>
    <w:unhideWhenUsed/>
    <w:rsid w:val="00BE1FF3"/>
    <w:rPr>
      <w:color w:val="605E5C"/>
      <w:shd w:val="clear" w:color="auto" w:fill="E1DFDD"/>
    </w:rPr>
  </w:style>
  <w:style w:type="character" w:customStyle="1" w:styleId="UnresolvedMention8">
    <w:name w:val="Unresolved Mention8"/>
    <w:basedOn w:val="DefaultParagraphFont"/>
    <w:uiPriority w:val="99"/>
    <w:semiHidden/>
    <w:unhideWhenUsed/>
    <w:rsid w:val="001A67CC"/>
    <w:rPr>
      <w:color w:val="605E5C"/>
      <w:shd w:val="clear" w:color="auto" w:fill="E1DFDD"/>
    </w:rPr>
  </w:style>
  <w:style w:type="character" w:customStyle="1" w:styleId="UnresolvedMention9">
    <w:name w:val="Unresolved Mention9"/>
    <w:basedOn w:val="DefaultParagraphFont"/>
    <w:uiPriority w:val="99"/>
    <w:semiHidden/>
    <w:unhideWhenUsed/>
    <w:rsid w:val="00E06D56"/>
    <w:rPr>
      <w:color w:val="605E5C"/>
      <w:shd w:val="clear" w:color="auto" w:fill="E1DFDD"/>
    </w:rPr>
  </w:style>
  <w:style w:type="character" w:customStyle="1" w:styleId="UnresolvedMention10">
    <w:name w:val="Unresolved Mention10"/>
    <w:basedOn w:val="DefaultParagraphFont"/>
    <w:uiPriority w:val="99"/>
    <w:semiHidden/>
    <w:unhideWhenUsed/>
    <w:rsid w:val="007C6D16"/>
    <w:rPr>
      <w:color w:val="605E5C"/>
      <w:shd w:val="clear" w:color="auto" w:fill="E1DFDD"/>
    </w:rPr>
  </w:style>
  <w:style w:type="paragraph" w:styleId="Quote">
    <w:name w:val="Quote"/>
    <w:basedOn w:val="Normal"/>
    <w:next w:val="Normal"/>
    <w:link w:val="QuoteChar"/>
    <w:uiPriority w:val="29"/>
    <w:qFormat/>
    <w:rsid w:val="000100E5"/>
    <w:pPr>
      <w:ind w:left="720" w:right="864" w:firstLine="0"/>
    </w:pPr>
    <w:rPr>
      <w:sz w:val="21"/>
      <w:szCs w:val="21"/>
    </w:rPr>
  </w:style>
  <w:style w:type="character" w:customStyle="1" w:styleId="QuoteChar">
    <w:name w:val="Quote Char"/>
    <w:basedOn w:val="DefaultParagraphFont"/>
    <w:link w:val="Quote"/>
    <w:uiPriority w:val="29"/>
    <w:rsid w:val="000100E5"/>
    <w:rPr>
      <w:kern w:val="16"/>
      <w:sz w:val="21"/>
      <w:szCs w:val="21"/>
    </w:rPr>
  </w:style>
  <w:style w:type="character" w:customStyle="1" w:styleId="ssparacontent">
    <w:name w:val="ss_paracontent"/>
    <w:basedOn w:val="DefaultParagraphFont"/>
    <w:rsid w:val="002E5452"/>
  </w:style>
  <w:style w:type="character" w:customStyle="1" w:styleId="gmail-coconcept143">
    <w:name w:val="gmail-co_concept_1_43"/>
    <w:basedOn w:val="DefaultParagraphFont"/>
    <w:rsid w:val="0050546D"/>
  </w:style>
  <w:style w:type="paragraph" w:styleId="Caption">
    <w:name w:val="caption"/>
    <w:basedOn w:val="Normal"/>
    <w:next w:val="Normal"/>
    <w:uiPriority w:val="35"/>
    <w:unhideWhenUsed/>
    <w:qFormat/>
    <w:rsid w:val="00844444"/>
    <w:pPr>
      <w:spacing w:after="200"/>
    </w:pPr>
    <w:rPr>
      <w:i/>
      <w:iCs/>
      <w:color w:val="44546A" w:themeColor="text2"/>
      <w:sz w:val="18"/>
      <w:szCs w:val="18"/>
    </w:rPr>
  </w:style>
  <w:style w:type="paragraph" w:styleId="TableofFigures">
    <w:name w:val="table of figures"/>
    <w:basedOn w:val="Normal"/>
    <w:next w:val="Normal"/>
    <w:uiPriority w:val="99"/>
    <w:unhideWhenUsed/>
    <w:rsid w:val="00844444"/>
  </w:style>
  <w:style w:type="character" w:customStyle="1" w:styleId="UnresolvedMention11">
    <w:name w:val="Unresolved Mention11"/>
    <w:basedOn w:val="DefaultParagraphFont"/>
    <w:uiPriority w:val="99"/>
    <w:semiHidden/>
    <w:unhideWhenUsed/>
    <w:rsid w:val="00CC6ADB"/>
    <w:rPr>
      <w:color w:val="605E5C"/>
      <w:shd w:val="clear" w:color="auto" w:fill="E1DFDD"/>
    </w:rPr>
  </w:style>
  <w:style w:type="character" w:customStyle="1" w:styleId="markedcontent">
    <w:name w:val="markedcontent"/>
    <w:basedOn w:val="DefaultParagraphFont"/>
    <w:rsid w:val="00C479D8"/>
  </w:style>
  <w:style w:type="character" w:customStyle="1" w:styleId="UnresolvedMention12">
    <w:name w:val="Unresolved Mention12"/>
    <w:basedOn w:val="DefaultParagraphFont"/>
    <w:uiPriority w:val="99"/>
    <w:semiHidden/>
    <w:unhideWhenUsed/>
    <w:rsid w:val="009C4FFA"/>
    <w:rPr>
      <w:color w:val="605E5C"/>
      <w:shd w:val="clear" w:color="auto" w:fill="E1DFDD"/>
    </w:rPr>
  </w:style>
  <w:style w:type="character" w:customStyle="1" w:styleId="UnresolvedMention13">
    <w:name w:val="Unresolved Mention13"/>
    <w:basedOn w:val="DefaultParagraphFont"/>
    <w:uiPriority w:val="99"/>
    <w:semiHidden/>
    <w:unhideWhenUsed/>
    <w:rsid w:val="00B45B0B"/>
    <w:rPr>
      <w:color w:val="605E5C"/>
      <w:shd w:val="clear" w:color="auto" w:fill="E1DFDD"/>
    </w:rPr>
  </w:style>
  <w:style w:type="character" w:customStyle="1" w:styleId="UnresolvedMention14">
    <w:name w:val="Unresolved Mention14"/>
    <w:basedOn w:val="DefaultParagraphFont"/>
    <w:uiPriority w:val="99"/>
    <w:semiHidden/>
    <w:unhideWhenUsed/>
    <w:rsid w:val="00E94075"/>
    <w:rPr>
      <w:color w:val="605E5C"/>
      <w:shd w:val="clear" w:color="auto" w:fill="E1DFDD"/>
    </w:rPr>
  </w:style>
  <w:style w:type="paragraph" w:customStyle="1" w:styleId="CM21">
    <w:name w:val="CM21"/>
    <w:basedOn w:val="Normal"/>
    <w:next w:val="Normal"/>
    <w:uiPriority w:val="99"/>
    <w:rsid w:val="00977464"/>
    <w:pPr>
      <w:widowControl/>
      <w:autoSpaceDE w:val="0"/>
      <w:autoSpaceDN w:val="0"/>
      <w:adjustRightInd w:val="0"/>
      <w:ind w:firstLine="0"/>
      <w:jc w:val="left"/>
    </w:pPr>
    <w:rPr>
      <w:rFonts w:ascii="Bookman" w:hAnsi="Bookman"/>
      <w:kern w:val="0"/>
      <w:szCs w:val="24"/>
    </w:rPr>
  </w:style>
  <w:style w:type="paragraph" w:customStyle="1" w:styleId="CM16">
    <w:name w:val="CM16"/>
    <w:basedOn w:val="Normal"/>
    <w:next w:val="Normal"/>
    <w:uiPriority w:val="99"/>
    <w:rsid w:val="00977464"/>
    <w:pPr>
      <w:widowControl/>
      <w:autoSpaceDE w:val="0"/>
      <w:autoSpaceDN w:val="0"/>
      <w:adjustRightInd w:val="0"/>
      <w:spacing w:line="200" w:lineRule="atLeast"/>
      <w:ind w:firstLine="0"/>
      <w:jc w:val="left"/>
    </w:pPr>
    <w:rPr>
      <w:rFonts w:ascii="Bookman" w:hAnsi="Bookman"/>
      <w:kern w:val="0"/>
      <w:szCs w:val="24"/>
    </w:rPr>
  </w:style>
  <w:style w:type="character" w:customStyle="1" w:styleId="UnresolvedMention15">
    <w:name w:val="Unresolved Mention15"/>
    <w:basedOn w:val="DefaultParagraphFont"/>
    <w:uiPriority w:val="99"/>
    <w:semiHidden/>
    <w:unhideWhenUsed/>
    <w:rsid w:val="00977464"/>
    <w:rPr>
      <w:color w:val="605E5C"/>
      <w:shd w:val="clear" w:color="auto" w:fill="E1DFDD"/>
    </w:rPr>
  </w:style>
  <w:style w:type="paragraph" w:customStyle="1" w:styleId="TablePlaceholder">
    <w:name w:val="Table Placeholder"/>
    <w:basedOn w:val="Document"/>
    <w:qFormat/>
    <w:rsid w:val="00712601"/>
    <w:pPr>
      <w:widowControl w:val="0"/>
      <w:tabs>
        <w:tab w:val="left" w:pos="0"/>
        <w:tab w:val="left" w:pos="440"/>
        <w:tab w:val="left" w:pos="620"/>
      </w:tabs>
      <w:spacing w:before="0" w:after="0" w:line="240" w:lineRule="auto"/>
      <w:ind w:firstLine="0"/>
      <w:jc w:val="center"/>
    </w:pPr>
    <w:rPr>
      <w:rFonts w:ascii="Times New Roman" w:eastAsia="SimSun" w:hAnsi="Times New Roman"/>
      <w:kern w:val="0"/>
      <w:sz w:val="24"/>
      <w:szCs w:val="24"/>
      <w:lang w:bidi="he-IL"/>
    </w:rPr>
  </w:style>
  <w:style w:type="table" w:customStyle="1" w:styleId="TableGrid1">
    <w:name w:val="Table Grid1"/>
    <w:basedOn w:val="TableNormal"/>
    <w:next w:val="TableGrid"/>
    <w:uiPriority w:val="39"/>
    <w:rsid w:val="00C55B6E"/>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_SubHead2"/>
    <w:basedOn w:val="Journalfont"/>
    <w:next w:val="Document"/>
    <w:qFormat/>
    <w:rsid w:val="001178D1"/>
    <w:pPr>
      <w:keepNext/>
      <w:keepLines/>
      <w:widowControl w:val="0"/>
      <w:numPr>
        <w:numId w:val="9"/>
      </w:numPr>
      <w:suppressLineNumbers/>
      <w:suppressAutoHyphens/>
      <w:spacing w:before="220" w:after="120" w:line="260" w:lineRule="exact"/>
      <w:jc w:val="center"/>
    </w:pPr>
    <w:rPr>
      <w:rFonts w:ascii="Times New Roman" w:eastAsia="SimSun" w:hAnsi="Times New Roman"/>
      <w:i/>
      <w:iCs/>
      <w:kern w:val="0"/>
      <w:sz w:val="24"/>
      <w:szCs w:val="24"/>
      <w:lang w:bidi="he-IL"/>
    </w:rPr>
  </w:style>
  <w:style w:type="character" w:customStyle="1" w:styleId="UnresolvedMention16">
    <w:name w:val="Unresolved Mention16"/>
    <w:basedOn w:val="DefaultParagraphFont"/>
    <w:uiPriority w:val="99"/>
    <w:semiHidden/>
    <w:unhideWhenUsed/>
    <w:rsid w:val="0075481C"/>
    <w:rPr>
      <w:color w:val="605E5C"/>
      <w:shd w:val="clear" w:color="auto" w:fill="E1DFDD"/>
    </w:rPr>
  </w:style>
  <w:style w:type="character" w:customStyle="1" w:styleId="UnresolvedMention17">
    <w:name w:val="Unresolved Mention17"/>
    <w:basedOn w:val="DefaultParagraphFont"/>
    <w:uiPriority w:val="99"/>
    <w:semiHidden/>
    <w:unhideWhenUsed/>
    <w:rsid w:val="00AA7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10">
      <w:bodyDiv w:val="1"/>
      <w:marLeft w:val="0"/>
      <w:marRight w:val="0"/>
      <w:marTop w:val="0"/>
      <w:marBottom w:val="0"/>
      <w:divBdr>
        <w:top w:val="none" w:sz="0" w:space="0" w:color="auto"/>
        <w:left w:val="none" w:sz="0" w:space="0" w:color="auto"/>
        <w:bottom w:val="none" w:sz="0" w:space="0" w:color="auto"/>
        <w:right w:val="none" w:sz="0" w:space="0" w:color="auto"/>
      </w:divBdr>
    </w:div>
    <w:div w:id="6371741">
      <w:bodyDiv w:val="1"/>
      <w:marLeft w:val="0"/>
      <w:marRight w:val="0"/>
      <w:marTop w:val="0"/>
      <w:marBottom w:val="0"/>
      <w:divBdr>
        <w:top w:val="none" w:sz="0" w:space="0" w:color="auto"/>
        <w:left w:val="none" w:sz="0" w:space="0" w:color="auto"/>
        <w:bottom w:val="none" w:sz="0" w:space="0" w:color="auto"/>
        <w:right w:val="none" w:sz="0" w:space="0" w:color="auto"/>
      </w:divBdr>
    </w:div>
    <w:div w:id="34236797">
      <w:bodyDiv w:val="1"/>
      <w:marLeft w:val="0"/>
      <w:marRight w:val="0"/>
      <w:marTop w:val="0"/>
      <w:marBottom w:val="0"/>
      <w:divBdr>
        <w:top w:val="none" w:sz="0" w:space="0" w:color="auto"/>
        <w:left w:val="none" w:sz="0" w:space="0" w:color="auto"/>
        <w:bottom w:val="none" w:sz="0" w:space="0" w:color="auto"/>
        <w:right w:val="none" w:sz="0" w:space="0" w:color="auto"/>
      </w:divBdr>
    </w:div>
    <w:div w:id="49158582">
      <w:bodyDiv w:val="1"/>
      <w:marLeft w:val="0"/>
      <w:marRight w:val="0"/>
      <w:marTop w:val="0"/>
      <w:marBottom w:val="0"/>
      <w:divBdr>
        <w:top w:val="none" w:sz="0" w:space="0" w:color="auto"/>
        <w:left w:val="none" w:sz="0" w:space="0" w:color="auto"/>
        <w:bottom w:val="none" w:sz="0" w:space="0" w:color="auto"/>
        <w:right w:val="none" w:sz="0" w:space="0" w:color="auto"/>
      </w:divBdr>
    </w:div>
    <w:div w:id="96490655">
      <w:bodyDiv w:val="1"/>
      <w:marLeft w:val="0"/>
      <w:marRight w:val="0"/>
      <w:marTop w:val="0"/>
      <w:marBottom w:val="0"/>
      <w:divBdr>
        <w:top w:val="none" w:sz="0" w:space="0" w:color="auto"/>
        <w:left w:val="none" w:sz="0" w:space="0" w:color="auto"/>
        <w:bottom w:val="none" w:sz="0" w:space="0" w:color="auto"/>
        <w:right w:val="none" w:sz="0" w:space="0" w:color="auto"/>
      </w:divBdr>
    </w:div>
    <w:div w:id="120341567">
      <w:bodyDiv w:val="1"/>
      <w:marLeft w:val="0"/>
      <w:marRight w:val="0"/>
      <w:marTop w:val="0"/>
      <w:marBottom w:val="0"/>
      <w:divBdr>
        <w:top w:val="none" w:sz="0" w:space="0" w:color="auto"/>
        <w:left w:val="none" w:sz="0" w:space="0" w:color="auto"/>
        <w:bottom w:val="none" w:sz="0" w:space="0" w:color="auto"/>
        <w:right w:val="none" w:sz="0" w:space="0" w:color="auto"/>
      </w:divBdr>
    </w:div>
    <w:div w:id="121926853">
      <w:bodyDiv w:val="1"/>
      <w:marLeft w:val="0"/>
      <w:marRight w:val="0"/>
      <w:marTop w:val="0"/>
      <w:marBottom w:val="0"/>
      <w:divBdr>
        <w:top w:val="none" w:sz="0" w:space="0" w:color="auto"/>
        <w:left w:val="none" w:sz="0" w:space="0" w:color="auto"/>
        <w:bottom w:val="none" w:sz="0" w:space="0" w:color="auto"/>
        <w:right w:val="none" w:sz="0" w:space="0" w:color="auto"/>
      </w:divBdr>
    </w:div>
    <w:div w:id="123547651">
      <w:bodyDiv w:val="1"/>
      <w:marLeft w:val="0"/>
      <w:marRight w:val="0"/>
      <w:marTop w:val="0"/>
      <w:marBottom w:val="0"/>
      <w:divBdr>
        <w:top w:val="none" w:sz="0" w:space="0" w:color="auto"/>
        <w:left w:val="none" w:sz="0" w:space="0" w:color="auto"/>
        <w:bottom w:val="none" w:sz="0" w:space="0" w:color="auto"/>
        <w:right w:val="none" w:sz="0" w:space="0" w:color="auto"/>
      </w:divBdr>
    </w:div>
    <w:div w:id="131991806">
      <w:bodyDiv w:val="1"/>
      <w:marLeft w:val="0"/>
      <w:marRight w:val="0"/>
      <w:marTop w:val="0"/>
      <w:marBottom w:val="0"/>
      <w:divBdr>
        <w:top w:val="none" w:sz="0" w:space="0" w:color="auto"/>
        <w:left w:val="none" w:sz="0" w:space="0" w:color="auto"/>
        <w:bottom w:val="none" w:sz="0" w:space="0" w:color="auto"/>
        <w:right w:val="none" w:sz="0" w:space="0" w:color="auto"/>
      </w:divBdr>
    </w:div>
    <w:div w:id="141192327">
      <w:bodyDiv w:val="1"/>
      <w:marLeft w:val="0"/>
      <w:marRight w:val="0"/>
      <w:marTop w:val="0"/>
      <w:marBottom w:val="0"/>
      <w:divBdr>
        <w:top w:val="none" w:sz="0" w:space="0" w:color="auto"/>
        <w:left w:val="none" w:sz="0" w:space="0" w:color="auto"/>
        <w:bottom w:val="none" w:sz="0" w:space="0" w:color="auto"/>
        <w:right w:val="none" w:sz="0" w:space="0" w:color="auto"/>
      </w:divBdr>
    </w:div>
    <w:div w:id="171646020">
      <w:bodyDiv w:val="1"/>
      <w:marLeft w:val="0"/>
      <w:marRight w:val="0"/>
      <w:marTop w:val="0"/>
      <w:marBottom w:val="0"/>
      <w:divBdr>
        <w:top w:val="none" w:sz="0" w:space="0" w:color="auto"/>
        <w:left w:val="none" w:sz="0" w:space="0" w:color="auto"/>
        <w:bottom w:val="none" w:sz="0" w:space="0" w:color="auto"/>
        <w:right w:val="none" w:sz="0" w:space="0" w:color="auto"/>
      </w:divBdr>
    </w:div>
    <w:div w:id="177088023">
      <w:bodyDiv w:val="1"/>
      <w:marLeft w:val="0"/>
      <w:marRight w:val="0"/>
      <w:marTop w:val="0"/>
      <w:marBottom w:val="0"/>
      <w:divBdr>
        <w:top w:val="none" w:sz="0" w:space="0" w:color="auto"/>
        <w:left w:val="none" w:sz="0" w:space="0" w:color="auto"/>
        <w:bottom w:val="none" w:sz="0" w:space="0" w:color="auto"/>
        <w:right w:val="none" w:sz="0" w:space="0" w:color="auto"/>
      </w:divBdr>
    </w:div>
    <w:div w:id="195853380">
      <w:bodyDiv w:val="1"/>
      <w:marLeft w:val="0"/>
      <w:marRight w:val="0"/>
      <w:marTop w:val="0"/>
      <w:marBottom w:val="0"/>
      <w:divBdr>
        <w:top w:val="none" w:sz="0" w:space="0" w:color="auto"/>
        <w:left w:val="none" w:sz="0" w:space="0" w:color="auto"/>
        <w:bottom w:val="none" w:sz="0" w:space="0" w:color="auto"/>
        <w:right w:val="none" w:sz="0" w:space="0" w:color="auto"/>
      </w:divBdr>
    </w:div>
    <w:div w:id="196822402">
      <w:bodyDiv w:val="1"/>
      <w:marLeft w:val="0"/>
      <w:marRight w:val="0"/>
      <w:marTop w:val="0"/>
      <w:marBottom w:val="0"/>
      <w:divBdr>
        <w:top w:val="none" w:sz="0" w:space="0" w:color="auto"/>
        <w:left w:val="none" w:sz="0" w:space="0" w:color="auto"/>
        <w:bottom w:val="none" w:sz="0" w:space="0" w:color="auto"/>
        <w:right w:val="none" w:sz="0" w:space="0" w:color="auto"/>
      </w:divBdr>
    </w:div>
    <w:div w:id="198276806">
      <w:bodyDiv w:val="1"/>
      <w:marLeft w:val="0"/>
      <w:marRight w:val="0"/>
      <w:marTop w:val="0"/>
      <w:marBottom w:val="0"/>
      <w:divBdr>
        <w:top w:val="none" w:sz="0" w:space="0" w:color="auto"/>
        <w:left w:val="none" w:sz="0" w:space="0" w:color="auto"/>
        <w:bottom w:val="none" w:sz="0" w:space="0" w:color="auto"/>
        <w:right w:val="none" w:sz="0" w:space="0" w:color="auto"/>
      </w:divBdr>
    </w:div>
    <w:div w:id="199172181">
      <w:bodyDiv w:val="1"/>
      <w:marLeft w:val="0"/>
      <w:marRight w:val="0"/>
      <w:marTop w:val="0"/>
      <w:marBottom w:val="0"/>
      <w:divBdr>
        <w:top w:val="none" w:sz="0" w:space="0" w:color="auto"/>
        <w:left w:val="none" w:sz="0" w:space="0" w:color="auto"/>
        <w:bottom w:val="none" w:sz="0" w:space="0" w:color="auto"/>
        <w:right w:val="none" w:sz="0" w:space="0" w:color="auto"/>
      </w:divBdr>
    </w:div>
    <w:div w:id="202906826">
      <w:bodyDiv w:val="1"/>
      <w:marLeft w:val="0"/>
      <w:marRight w:val="0"/>
      <w:marTop w:val="0"/>
      <w:marBottom w:val="0"/>
      <w:divBdr>
        <w:top w:val="none" w:sz="0" w:space="0" w:color="auto"/>
        <w:left w:val="none" w:sz="0" w:space="0" w:color="auto"/>
        <w:bottom w:val="none" w:sz="0" w:space="0" w:color="auto"/>
        <w:right w:val="none" w:sz="0" w:space="0" w:color="auto"/>
      </w:divBdr>
    </w:div>
    <w:div w:id="207228476">
      <w:bodyDiv w:val="1"/>
      <w:marLeft w:val="0"/>
      <w:marRight w:val="0"/>
      <w:marTop w:val="0"/>
      <w:marBottom w:val="0"/>
      <w:divBdr>
        <w:top w:val="none" w:sz="0" w:space="0" w:color="auto"/>
        <w:left w:val="none" w:sz="0" w:space="0" w:color="auto"/>
        <w:bottom w:val="none" w:sz="0" w:space="0" w:color="auto"/>
        <w:right w:val="none" w:sz="0" w:space="0" w:color="auto"/>
      </w:divBdr>
    </w:div>
    <w:div w:id="209073476">
      <w:bodyDiv w:val="1"/>
      <w:marLeft w:val="0"/>
      <w:marRight w:val="0"/>
      <w:marTop w:val="0"/>
      <w:marBottom w:val="0"/>
      <w:divBdr>
        <w:top w:val="none" w:sz="0" w:space="0" w:color="auto"/>
        <w:left w:val="none" w:sz="0" w:space="0" w:color="auto"/>
        <w:bottom w:val="none" w:sz="0" w:space="0" w:color="auto"/>
        <w:right w:val="none" w:sz="0" w:space="0" w:color="auto"/>
      </w:divBdr>
    </w:div>
    <w:div w:id="215625531">
      <w:bodyDiv w:val="1"/>
      <w:marLeft w:val="0"/>
      <w:marRight w:val="0"/>
      <w:marTop w:val="0"/>
      <w:marBottom w:val="0"/>
      <w:divBdr>
        <w:top w:val="none" w:sz="0" w:space="0" w:color="auto"/>
        <w:left w:val="none" w:sz="0" w:space="0" w:color="auto"/>
        <w:bottom w:val="none" w:sz="0" w:space="0" w:color="auto"/>
        <w:right w:val="none" w:sz="0" w:space="0" w:color="auto"/>
      </w:divBdr>
    </w:div>
    <w:div w:id="217858867">
      <w:bodyDiv w:val="1"/>
      <w:marLeft w:val="0"/>
      <w:marRight w:val="0"/>
      <w:marTop w:val="0"/>
      <w:marBottom w:val="0"/>
      <w:divBdr>
        <w:top w:val="none" w:sz="0" w:space="0" w:color="auto"/>
        <w:left w:val="none" w:sz="0" w:space="0" w:color="auto"/>
        <w:bottom w:val="none" w:sz="0" w:space="0" w:color="auto"/>
        <w:right w:val="none" w:sz="0" w:space="0" w:color="auto"/>
      </w:divBdr>
    </w:div>
    <w:div w:id="221449718">
      <w:bodyDiv w:val="1"/>
      <w:marLeft w:val="0"/>
      <w:marRight w:val="0"/>
      <w:marTop w:val="0"/>
      <w:marBottom w:val="0"/>
      <w:divBdr>
        <w:top w:val="none" w:sz="0" w:space="0" w:color="auto"/>
        <w:left w:val="none" w:sz="0" w:space="0" w:color="auto"/>
        <w:bottom w:val="none" w:sz="0" w:space="0" w:color="auto"/>
        <w:right w:val="none" w:sz="0" w:space="0" w:color="auto"/>
      </w:divBdr>
    </w:div>
    <w:div w:id="227495608">
      <w:bodyDiv w:val="1"/>
      <w:marLeft w:val="0"/>
      <w:marRight w:val="0"/>
      <w:marTop w:val="0"/>
      <w:marBottom w:val="0"/>
      <w:divBdr>
        <w:top w:val="none" w:sz="0" w:space="0" w:color="auto"/>
        <w:left w:val="none" w:sz="0" w:space="0" w:color="auto"/>
        <w:bottom w:val="none" w:sz="0" w:space="0" w:color="auto"/>
        <w:right w:val="none" w:sz="0" w:space="0" w:color="auto"/>
      </w:divBdr>
    </w:div>
    <w:div w:id="237600656">
      <w:bodyDiv w:val="1"/>
      <w:marLeft w:val="0"/>
      <w:marRight w:val="0"/>
      <w:marTop w:val="0"/>
      <w:marBottom w:val="0"/>
      <w:divBdr>
        <w:top w:val="none" w:sz="0" w:space="0" w:color="auto"/>
        <w:left w:val="none" w:sz="0" w:space="0" w:color="auto"/>
        <w:bottom w:val="none" w:sz="0" w:space="0" w:color="auto"/>
        <w:right w:val="none" w:sz="0" w:space="0" w:color="auto"/>
      </w:divBdr>
    </w:div>
    <w:div w:id="245386344">
      <w:bodyDiv w:val="1"/>
      <w:marLeft w:val="0"/>
      <w:marRight w:val="0"/>
      <w:marTop w:val="0"/>
      <w:marBottom w:val="0"/>
      <w:divBdr>
        <w:top w:val="none" w:sz="0" w:space="0" w:color="auto"/>
        <w:left w:val="none" w:sz="0" w:space="0" w:color="auto"/>
        <w:bottom w:val="none" w:sz="0" w:space="0" w:color="auto"/>
        <w:right w:val="none" w:sz="0" w:space="0" w:color="auto"/>
      </w:divBdr>
    </w:div>
    <w:div w:id="262034021">
      <w:bodyDiv w:val="1"/>
      <w:marLeft w:val="0"/>
      <w:marRight w:val="0"/>
      <w:marTop w:val="0"/>
      <w:marBottom w:val="0"/>
      <w:divBdr>
        <w:top w:val="none" w:sz="0" w:space="0" w:color="auto"/>
        <w:left w:val="none" w:sz="0" w:space="0" w:color="auto"/>
        <w:bottom w:val="none" w:sz="0" w:space="0" w:color="auto"/>
        <w:right w:val="none" w:sz="0" w:space="0" w:color="auto"/>
      </w:divBdr>
    </w:div>
    <w:div w:id="263000373">
      <w:bodyDiv w:val="1"/>
      <w:marLeft w:val="0"/>
      <w:marRight w:val="0"/>
      <w:marTop w:val="0"/>
      <w:marBottom w:val="0"/>
      <w:divBdr>
        <w:top w:val="none" w:sz="0" w:space="0" w:color="auto"/>
        <w:left w:val="none" w:sz="0" w:space="0" w:color="auto"/>
        <w:bottom w:val="none" w:sz="0" w:space="0" w:color="auto"/>
        <w:right w:val="none" w:sz="0" w:space="0" w:color="auto"/>
      </w:divBdr>
    </w:div>
    <w:div w:id="269549862">
      <w:bodyDiv w:val="1"/>
      <w:marLeft w:val="0"/>
      <w:marRight w:val="0"/>
      <w:marTop w:val="0"/>
      <w:marBottom w:val="0"/>
      <w:divBdr>
        <w:top w:val="none" w:sz="0" w:space="0" w:color="auto"/>
        <w:left w:val="none" w:sz="0" w:space="0" w:color="auto"/>
        <w:bottom w:val="none" w:sz="0" w:space="0" w:color="auto"/>
        <w:right w:val="none" w:sz="0" w:space="0" w:color="auto"/>
      </w:divBdr>
    </w:div>
    <w:div w:id="338853434">
      <w:bodyDiv w:val="1"/>
      <w:marLeft w:val="0"/>
      <w:marRight w:val="0"/>
      <w:marTop w:val="0"/>
      <w:marBottom w:val="0"/>
      <w:divBdr>
        <w:top w:val="none" w:sz="0" w:space="0" w:color="auto"/>
        <w:left w:val="none" w:sz="0" w:space="0" w:color="auto"/>
        <w:bottom w:val="none" w:sz="0" w:space="0" w:color="auto"/>
        <w:right w:val="none" w:sz="0" w:space="0" w:color="auto"/>
      </w:divBdr>
    </w:div>
    <w:div w:id="343433824">
      <w:bodyDiv w:val="1"/>
      <w:marLeft w:val="0"/>
      <w:marRight w:val="0"/>
      <w:marTop w:val="0"/>
      <w:marBottom w:val="0"/>
      <w:divBdr>
        <w:top w:val="none" w:sz="0" w:space="0" w:color="auto"/>
        <w:left w:val="none" w:sz="0" w:space="0" w:color="auto"/>
        <w:bottom w:val="none" w:sz="0" w:space="0" w:color="auto"/>
        <w:right w:val="none" w:sz="0" w:space="0" w:color="auto"/>
      </w:divBdr>
    </w:div>
    <w:div w:id="352653278">
      <w:bodyDiv w:val="1"/>
      <w:marLeft w:val="0"/>
      <w:marRight w:val="0"/>
      <w:marTop w:val="0"/>
      <w:marBottom w:val="0"/>
      <w:divBdr>
        <w:top w:val="none" w:sz="0" w:space="0" w:color="auto"/>
        <w:left w:val="none" w:sz="0" w:space="0" w:color="auto"/>
        <w:bottom w:val="none" w:sz="0" w:space="0" w:color="auto"/>
        <w:right w:val="none" w:sz="0" w:space="0" w:color="auto"/>
      </w:divBdr>
    </w:div>
    <w:div w:id="355355404">
      <w:bodyDiv w:val="1"/>
      <w:marLeft w:val="0"/>
      <w:marRight w:val="0"/>
      <w:marTop w:val="0"/>
      <w:marBottom w:val="0"/>
      <w:divBdr>
        <w:top w:val="none" w:sz="0" w:space="0" w:color="auto"/>
        <w:left w:val="none" w:sz="0" w:space="0" w:color="auto"/>
        <w:bottom w:val="none" w:sz="0" w:space="0" w:color="auto"/>
        <w:right w:val="none" w:sz="0" w:space="0" w:color="auto"/>
      </w:divBdr>
    </w:div>
    <w:div w:id="360278523">
      <w:bodyDiv w:val="1"/>
      <w:marLeft w:val="0"/>
      <w:marRight w:val="0"/>
      <w:marTop w:val="0"/>
      <w:marBottom w:val="0"/>
      <w:divBdr>
        <w:top w:val="none" w:sz="0" w:space="0" w:color="auto"/>
        <w:left w:val="none" w:sz="0" w:space="0" w:color="auto"/>
        <w:bottom w:val="none" w:sz="0" w:space="0" w:color="auto"/>
        <w:right w:val="none" w:sz="0" w:space="0" w:color="auto"/>
      </w:divBdr>
    </w:div>
    <w:div w:id="361370593">
      <w:bodyDiv w:val="1"/>
      <w:marLeft w:val="0"/>
      <w:marRight w:val="0"/>
      <w:marTop w:val="0"/>
      <w:marBottom w:val="0"/>
      <w:divBdr>
        <w:top w:val="none" w:sz="0" w:space="0" w:color="auto"/>
        <w:left w:val="none" w:sz="0" w:space="0" w:color="auto"/>
        <w:bottom w:val="none" w:sz="0" w:space="0" w:color="auto"/>
        <w:right w:val="none" w:sz="0" w:space="0" w:color="auto"/>
      </w:divBdr>
    </w:div>
    <w:div w:id="365561969">
      <w:bodyDiv w:val="1"/>
      <w:marLeft w:val="0"/>
      <w:marRight w:val="0"/>
      <w:marTop w:val="0"/>
      <w:marBottom w:val="0"/>
      <w:divBdr>
        <w:top w:val="none" w:sz="0" w:space="0" w:color="auto"/>
        <w:left w:val="none" w:sz="0" w:space="0" w:color="auto"/>
        <w:bottom w:val="none" w:sz="0" w:space="0" w:color="auto"/>
        <w:right w:val="none" w:sz="0" w:space="0" w:color="auto"/>
      </w:divBdr>
    </w:div>
    <w:div w:id="368536010">
      <w:bodyDiv w:val="1"/>
      <w:marLeft w:val="0"/>
      <w:marRight w:val="0"/>
      <w:marTop w:val="0"/>
      <w:marBottom w:val="0"/>
      <w:divBdr>
        <w:top w:val="none" w:sz="0" w:space="0" w:color="auto"/>
        <w:left w:val="none" w:sz="0" w:space="0" w:color="auto"/>
        <w:bottom w:val="none" w:sz="0" w:space="0" w:color="auto"/>
        <w:right w:val="none" w:sz="0" w:space="0" w:color="auto"/>
      </w:divBdr>
    </w:div>
    <w:div w:id="373239906">
      <w:bodyDiv w:val="1"/>
      <w:marLeft w:val="0"/>
      <w:marRight w:val="0"/>
      <w:marTop w:val="0"/>
      <w:marBottom w:val="0"/>
      <w:divBdr>
        <w:top w:val="none" w:sz="0" w:space="0" w:color="auto"/>
        <w:left w:val="none" w:sz="0" w:space="0" w:color="auto"/>
        <w:bottom w:val="none" w:sz="0" w:space="0" w:color="auto"/>
        <w:right w:val="none" w:sz="0" w:space="0" w:color="auto"/>
      </w:divBdr>
    </w:div>
    <w:div w:id="376048930">
      <w:bodyDiv w:val="1"/>
      <w:marLeft w:val="0"/>
      <w:marRight w:val="0"/>
      <w:marTop w:val="0"/>
      <w:marBottom w:val="0"/>
      <w:divBdr>
        <w:top w:val="none" w:sz="0" w:space="0" w:color="auto"/>
        <w:left w:val="none" w:sz="0" w:space="0" w:color="auto"/>
        <w:bottom w:val="none" w:sz="0" w:space="0" w:color="auto"/>
        <w:right w:val="none" w:sz="0" w:space="0" w:color="auto"/>
      </w:divBdr>
    </w:div>
    <w:div w:id="378087636">
      <w:bodyDiv w:val="1"/>
      <w:marLeft w:val="0"/>
      <w:marRight w:val="0"/>
      <w:marTop w:val="0"/>
      <w:marBottom w:val="0"/>
      <w:divBdr>
        <w:top w:val="none" w:sz="0" w:space="0" w:color="auto"/>
        <w:left w:val="none" w:sz="0" w:space="0" w:color="auto"/>
        <w:bottom w:val="none" w:sz="0" w:space="0" w:color="auto"/>
        <w:right w:val="none" w:sz="0" w:space="0" w:color="auto"/>
      </w:divBdr>
    </w:div>
    <w:div w:id="381054060">
      <w:bodyDiv w:val="1"/>
      <w:marLeft w:val="0"/>
      <w:marRight w:val="0"/>
      <w:marTop w:val="0"/>
      <w:marBottom w:val="0"/>
      <w:divBdr>
        <w:top w:val="none" w:sz="0" w:space="0" w:color="auto"/>
        <w:left w:val="none" w:sz="0" w:space="0" w:color="auto"/>
        <w:bottom w:val="none" w:sz="0" w:space="0" w:color="auto"/>
        <w:right w:val="none" w:sz="0" w:space="0" w:color="auto"/>
      </w:divBdr>
    </w:div>
    <w:div w:id="387456599">
      <w:bodyDiv w:val="1"/>
      <w:marLeft w:val="0"/>
      <w:marRight w:val="0"/>
      <w:marTop w:val="0"/>
      <w:marBottom w:val="0"/>
      <w:divBdr>
        <w:top w:val="none" w:sz="0" w:space="0" w:color="auto"/>
        <w:left w:val="none" w:sz="0" w:space="0" w:color="auto"/>
        <w:bottom w:val="none" w:sz="0" w:space="0" w:color="auto"/>
        <w:right w:val="none" w:sz="0" w:space="0" w:color="auto"/>
      </w:divBdr>
    </w:div>
    <w:div w:id="400638391">
      <w:bodyDiv w:val="1"/>
      <w:marLeft w:val="0"/>
      <w:marRight w:val="0"/>
      <w:marTop w:val="0"/>
      <w:marBottom w:val="0"/>
      <w:divBdr>
        <w:top w:val="none" w:sz="0" w:space="0" w:color="auto"/>
        <w:left w:val="none" w:sz="0" w:space="0" w:color="auto"/>
        <w:bottom w:val="none" w:sz="0" w:space="0" w:color="auto"/>
        <w:right w:val="none" w:sz="0" w:space="0" w:color="auto"/>
      </w:divBdr>
    </w:div>
    <w:div w:id="402216008">
      <w:bodyDiv w:val="1"/>
      <w:marLeft w:val="0"/>
      <w:marRight w:val="0"/>
      <w:marTop w:val="0"/>
      <w:marBottom w:val="0"/>
      <w:divBdr>
        <w:top w:val="none" w:sz="0" w:space="0" w:color="auto"/>
        <w:left w:val="none" w:sz="0" w:space="0" w:color="auto"/>
        <w:bottom w:val="none" w:sz="0" w:space="0" w:color="auto"/>
        <w:right w:val="none" w:sz="0" w:space="0" w:color="auto"/>
      </w:divBdr>
    </w:div>
    <w:div w:id="406616764">
      <w:bodyDiv w:val="1"/>
      <w:marLeft w:val="0"/>
      <w:marRight w:val="0"/>
      <w:marTop w:val="0"/>
      <w:marBottom w:val="0"/>
      <w:divBdr>
        <w:top w:val="none" w:sz="0" w:space="0" w:color="auto"/>
        <w:left w:val="none" w:sz="0" w:space="0" w:color="auto"/>
        <w:bottom w:val="none" w:sz="0" w:space="0" w:color="auto"/>
        <w:right w:val="none" w:sz="0" w:space="0" w:color="auto"/>
      </w:divBdr>
    </w:div>
    <w:div w:id="427971007">
      <w:bodyDiv w:val="1"/>
      <w:marLeft w:val="0"/>
      <w:marRight w:val="0"/>
      <w:marTop w:val="0"/>
      <w:marBottom w:val="0"/>
      <w:divBdr>
        <w:top w:val="none" w:sz="0" w:space="0" w:color="auto"/>
        <w:left w:val="none" w:sz="0" w:space="0" w:color="auto"/>
        <w:bottom w:val="none" w:sz="0" w:space="0" w:color="auto"/>
        <w:right w:val="none" w:sz="0" w:space="0" w:color="auto"/>
      </w:divBdr>
      <w:divsChild>
        <w:div w:id="509293879">
          <w:marLeft w:val="0"/>
          <w:marRight w:val="0"/>
          <w:marTop w:val="0"/>
          <w:marBottom w:val="0"/>
          <w:divBdr>
            <w:top w:val="none" w:sz="0" w:space="0" w:color="auto"/>
            <w:left w:val="none" w:sz="0" w:space="0" w:color="auto"/>
            <w:bottom w:val="none" w:sz="0" w:space="0" w:color="auto"/>
            <w:right w:val="none" w:sz="0" w:space="0" w:color="auto"/>
          </w:divBdr>
          <w:divsChild>
            <w:div w:id="21401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2621">
      <w:bodyDiv w:val="1"/>
      <w:marLeft w:val="0"/>
      <w:marRight w:val="0"/>
      <w:marTop w:val="0"/>
      <w:marBottom w:val="0"/>
      <w:divBdr>
        <w:top w:val="none" w:sz="0" w:space="0" w:color="auto"/>
        <w:left w:val="none" w:sz="0" w:space="0" w:color="auto"/>
        <w:bottom w:val="none" w:sz="0" w:space="0" w:color="auto"/>
        <w:right w:val="none" w:sz="0" w:space="0" w:color="auto"/>
      </w:divBdr>
    </w:div>
    <w:div w:id="452334675">
      <w:bodyDiv w:val="1"/>
      <w:marLeft w:val="0"/>
      <w:marRight w:val="0"/>
      <w:marTop w:val="0"/>
      <w:marBottom w:val="0"/>
      <w:divBdr>
        <w:top w:val="none" w:sz="0" w:space="0" w:color="auto"/>
        <w:left w:val="none" w:sz="0" w:space="0" w:color="auto"/>
        <w:bottom w:val="none" w:sz="0" w:space="0" w:color="auto"/>
        <w:right w:val="none" w:sz="0" w:space="0" w:color="auto"/>
      </w:divBdr>
    </w:div>
    <w:div w:id="464279582">
      <w:bodyDiv w:val="1"/>
      <w:marLeft w:val="0"/>
      <w:marRight w:val="0"/>
      <w:marTop w:val="0"/>
      <w:marBottom w:val="0"/>
      <w:divBdr>
        <w:top w:val="none" w:sz="0" w:space="0" w:color="auto"/>
        <w:left w:val="none" w:sz="0" w:space="0" w:color="auto"/>
        <w:bottom w:val="none" w:sz="0" w:space="0" w:color="auto"/>
        <w:right w:val="none" w:sz="0" w:space="0" w:color="auto"/>
      </w:divBdr>
    </w:div>
    <w:div w:id="474419766">
      <w:bodyDiv w:val="1"/>
      <w:marLeft w:val="0"/>
      <w:marRight w:val="0"/>
      <w:marTop w:val="0"/>
      <w:marBottom w:val="0"/>
      <w:divBdr>
        <w:top w:val="none" w:sz="0" w:space="0" w:color="auto"/>
        <w:left w:val="none" w:sz="0" w:space="0" w:color="auto"/>
        <w:bottom w:val="none" w:sz="0" w:space="0" w:color="auto"/>
        <w:right w:val="none" w:sz="0" w:space="0" w:color="auto"/>
      </w:divBdr>
    </w:div>
    <w:div w:id="487676363">
      <w:bodyDiv w:val="1"/>
      <w:marLeft w:val="0"/>
      <w:marRight w:val="0"/>
      <w:marTop w:val="0"/>
      <w:marBottom w:val="0"/>
      <w:divBdr>
        <w:top w:val="none" w:sz="0" w:space="0" w:color="auto"/>
        <w:left w:val="none" w:sz="0" w:space="0" w:color="auto"/>
        <w:bottom w:val="none" w:sz="0" w:space="0" w:color="auto"/>
        <w:right w:val="none" w:sz="0" w:space="0" w:color="auto"/>
      </w:divBdr>
    </w:div>
    <w:div w:id="488639845">
      <w:bodyDiv w:val="1"/>
      <w:marLeft w:val="0"/>
      <w:marRight w:val="0"/>
      <w:marTop w:val="0"/>
      <w:marBottom w:val="0"/>
      <w:divBdr>
        <w:top w:val="none" w:sz="0" w:space="0" w:color="auto"/>
        <w:left w:val="none" w:sz="0" w:space="0" w:color="auto"/>
        <w:bottom w:val="none" w:sz="0" w:space="0" w:color="auto"/>
        <w:right w:val="none" w:sz="0" w:space="0" w:color="auto"/>
      </w:divBdr>
    </w:div>
    <w:div w:id="488979060">
      <w:bodyDiv w:val="1"/>
      <w:marLeft w:val="0"/>
      <w:marRight w:val="0"/>
      <w:marTop w:val="0"/>
      <w:marBottom w:val="0"/>
      <w:divBdr>
        <w:top w:val="none" w:sz="0" w:space="0" w:color="auto"/>
        <w:left w:val="none" w:sz="0" w:space="0" w:color="auto"/>
        <w:bottom w:val="none" w:sz="0" w:space="0" w:color="auto"/>
        <w:right w:val="none" w:sz="0" w:space="0" w:color="auto"/>
      </w:divBdr>
    </w:div>
    <w:div w:id="513888438">
      <w:bodyDiv w:val="1"/>
      <w:marLeft w:val="0"/>
      <w:marRight w:val="0"/>
      <w:marTop w:val="0"/>
      <w:marBottom w:val="0"/>
      <w:divBdr>
        <w:top w:val="none" w:sz="0" w:space="0" w:color="auto"/>
        <w:left w:val="none" w:sz="0" w:space="0" w:color="auto"/>
        <w:bottom w:val="none" w:sz="0" w:space="0" w:color="auto"/>
        <w:right w:val="none" w:sz="0" w:space="0" w:color="auto"/>
      </w:divBdr>
      <w:divsChild>
        <w:div w:id="2035108002">
          <w:marLeft w:val="0"/>
          <w:marRight w:val="0"/>
          <w:marTop w:val="0"/>
          <w:marBottom w:val="0"/>
          <w:divBdr>
            <w:top w:val="none" w:sz="0" w:space="0" w:color="auto"/>
            <w:left w:val="none" w:sz="0" w:space="0" w:color="auto"/>
            <w:bottom w:val="none" w:sz="0" w:space="0" w:color="auto"/>
            <w:right w:val="none" w:sz="0" w:space="0" w:color="auto"/>
          </w:divBdr>
        </w:div>
      </w:divsChild>
    </w:div>
    <w:div w:id="519710503">
      <w:bodyDiv w:val="1"/>
      <w:marLeft w:val="0"/>
      <w:marRight w:val="0"/>
      <w:marTop w:val="0"/>
      <w:marBottom w:val="0"/>
      <w:divBdr>
        <w:top w:val="none" w:sz="0" w:space="0" w:color="auto"/>
        <w:left w:val="none" w:sz="0" w:space="0" w:color="auto"/>
        <w:bottom w:val="none" w:sz="0" w:space="0" w:color="auto"/>
        <w:right w:val="none" w:sz="0" w:space="0" w:color="auto"/>
      </w:divBdr>
    </w:div>
    <w:div w:id="521749650">
      <w:bodyDiv w:val="1"/>
      <w:marLeft w:val="0"/>
      <w:marRight w:val="0"/>
      <w:marTop w:val="0"/>
      <w:marBottom w:val="0"/>
      <w:divBdr>
        <w:top w:val="none" w:sz="0" w:space="0" w:color="auto"/>
        <w:left w:val="none" w:sz="0" w:space="0" w:color="auto"/>
        <w:bottom w:val="none" w:sz="0" w:space="0" w:color="auto"/>
        <w:right w:val="none" w:sz="0" w:space="0" w:color="auto"/>
      </w:divBdr>
    </w:div>
    <w:div w:id="528026754">
      <w:bodyDiv w:val="1"/>
      <w:marLeft w:val="0"/>
      <w:marRight w:val="0"/>
      <w:marTop w:val="0"/>
      <w:marBottom w:val="0"/>
      <w:divBdr>
        <w:top w:val="none" w:sz="0" w:space="0" w:color="auto"/>
        <w:left w:val="none" w:sz="0" w:space="0" w:color="auto"/>
        <w:bottom w:val="none" w:sz="0" w:space="0" w:color="auto"/>
        <w:right w:val="none" w:sz="0" w:space="0" w:color="auto"/>
      </w:divBdr>
    </w:div>
    <w:div w:id="536740978">
      <w:bodyDiv w:val="1"/>
      <w:marLeft w:val="0"/>
      <w:marRight w:val="0"/>
      <w:marTop w:val="0"/>
      <w:marBottom w:val="0"/>
      <w:divBdr>
        <w:top w:val="none" w:sz="0" w:space="0" w:color="auto"/>
        <w:left w:val="none" w:sz="0" w:space="0" w:color="auto"/>
        <w:bottom w:val="none" w:sz="0" w:space="0" w:color="auto"/>
        <w:right w:val="none" w:sz="0" w:space="0" w:color="auto"/>
      </w:divBdr>
    </w:div>
    <w:div w:id="537474062">
      <w:bodyDiv w:val="1"/>
      <w:marLeft w:val="0"/>
      <w:marRight w:val="0"/>
      <w:marTop w:val="0"/>
      <w:marBottom w:val="0"/>
      <w:divBdr>
        <w:top w:val="none" w:sz="0" w:space="0" w:color="auto"/>
        <w:left w:val="none" w:sz="0" w:space="0" w:color="auto"/>
        <w:bottom w:val="none" w:sz="0" w:space="0" w:color="auto"/>
        <w:right w:val="none" w:sz="0" w:space="0" w:color="auto"/>
      </w:divBdr>
    </w:div>
    <w:div w:id="546526525">
      <w:bodyDiv w:val="1"/>
      <w:marLeft w:val="0"/>
      <w:marRight w:val="0"/>
      <w:marTop w:val="0"/>
      <w:marBottom w:val="0"/>
      <w:divBdr>
        <w:top w:val="none" w:sz="0" w:space="0" w:color="auto"/>
        <w:left w:val="none" w:sz="0" w:space="0" w:color="auto"/>
        <w:bottom w:val="none" w:sz="0" w:space="0" w:color="auto"/>
        <w:right w:val="none" w:sz="0" w:space="0" w:color="auto"/>
      </w:divBdr>
    </w:div>
    <w:div w:id="569582989">
      <w:bodyDiv w:val="1"/>
      <w:marLeft w:val="0"/>
      <w:marRight w:val="0"/>
      <w:marTop w:val="0"/>
      <w:marBottom w:val="0"/>
      <w:divBdr>
        <w:top w:val="none" w:sz="0" w:space="0" w:color="auto"/>
        <w:left w:val="none" w:sz="0" w:space="0" w:color="auto"/>
        <w:bottom w:val="none" w:sz="0" w:space="0" w:color="auto"/>
        <w:right w:val="none" w:sz="0" w:space="0" w:color="auto"/>
      </w:divBdr>
    </w:div>
    <w:div w:id="577134731">
      <w:bodyDiv w:val="1"/>
      <w:marLeft w:val="0"/>
      <w:marRight w:val="0"/>
      <w:marTop w:val="0"/>
      <w:marBottom w:val="0"/>
      <w:divBdr>
        <w:top w:val="none" w:sz="0" w:space="0" w:color="auto"/>
        <w:left w:val="none" w:sz="0" w:space="0" w:color="auto"/>
        <w:bottom w:val="none" w:sz="0" w:space="0" w:color="auto"/>
        <w:right w:val="none" w:sz="0" w:space="0" w:color="auto"/>
      </w:divBdr>
    </w:div>
    <w:div w:id="584537674">
      <w:bodyDiv w:val="1"/>
      <w:marLeft w:val="0"/>
      <w:marRight w:val="0"/>
      <w:marTop w:val="0"/>
      <w:marBottom w:val="0"/>
      <w:divBdr>
        <w:top w:val="none" w:sz="0" w:space="0" w:color="auto"/>
        <w:left w:val="none" w:sz="0" w:space="0" w:color="auto"/>
        <w:bottom w:val="none" w:sz="0" w:space="0" w:color="auto"/>
        <w:right w:val="none" w:sz="0" w:space="0" w:color="auto"/>
      </w:divBdr>
    </w:div>
    <w:div w:id="586036149">
      <w:bodyDiv w:val="1"/>
      <w:marLeft w:val="0"/>
      <w:marRight w:val="0"/>
      <w:marTop w:val="0"/>
      <w:marBottom w:val="0"/>
      <w:divBdr>
        <w:top w:val="none" w:sz="0" w:space="0" w:color="auto"/>
        <w:left w:val="none" w:sz="0" w:space="0" w:color="auto"/>
        <w:bottom w:val="none" w:sz="0" w:space="0" w:color="auto"/>
        <w:right w:val="none" w:sz="0" w:space="0" w:color="auto"/>
      </w:divBdr>
    </w:div>
    <w:div w:id="595558333">
      <w:bodyDiv w:val="1"/>
      <w:marLeft w:val="0"/>
      <w:marRight w:val="0"/>
      <w:marTop w:val="0"/>
      <w:marBottom w:val="0"/>
      <w:divBdr>
        <w:top w:val="none" w:sz="0" w:space="0" w:color="auto"/>
        <w:left w:val="none" w:sz="0" w:space="0" w:color="auto"/>
        <w:bottom w:val="none" w:sz="0" w:space="0" w:color="auto"/>
        <w:right w:val="none" w:sz="0" w:space="0" w:color="auto"/>
      </w:divBdr>
    </w:div>
    <w:div w:id="599336914">
      <w:bodyDiv w:val="1"/>
      <w:marLeft w:val="0"/>
      <w:marRight w:val="0"/>
      <w:marTop w:val="0"/>
      <w:marBottom w:val="0"/>
      <w:divBdr>
        <w:top w:val="none" w:sz="0" w:space="0" w:color="auto"/>
        <w:left w:val="none" w:sz="0" w:space="0" w:color="auto"/>
        <w:bottom w:val="none" w:sz="0" w:space="0" w:color="auto"/>
        <w:right w:val="none" w:sz="0" w:space="0" w:color="auto"/>
      </w:divBdr>
    </w:div>
    <w:div w:id="624893036">
      <w:bodyDiv w:val="1"/>
      <w:marLeft w:val="0"/>
      <w:marRight w:val="0"/>
      <w:marTop w:val="0"/>
      <w:marBottom w:val="0"/>
      <w:divBdr>
        <w:top w:val="none" w:sz="0" w:space="0" w:color="auto"/>
        <w:left w:val="none" w:sz="0" w:space="0" w:color="auto"/>
        <w:bottom w:val="none" w:sz="0" w:space="0" w:color="auto"/>
        <w:right w:val="none" w:sz="0" w:space="0" w:color="auto"/>
      </w:divBdr>
    </w:div>
    <w:div w:id="630745568">
      <w:bodyDiv w:val="1"/>
      <w:marLeft w:val="0"/>
      <w:marRight w:val="0"/>
      <w:marTop w:val="0"/>
      <w:marBottom w:val="0"/>
      <w:divBdr>
        <w:top w:val="none" w:sz="0" w:space="0" w:color="auto"/>
        <w:left w:val="none" w:sz="0" w:space="0" w:color="auto"/>
        <w:bottom w:val="none" w:sz="0" w:space="0" w:color="auto"/>
        <w:right w:val="none" w:sz="0" w:space="0" w:color="auto"/>
      </w:divBdr>
    </w:div>
    <w:div w:id="652637096">
      <w:bodyDiv w:val="1"/>
      <w:marLeft w:val="0"/>
      <w:marRight w:val="0"/>
      <w:marTop w:val="0"/>
      <w:marBottom w:val="0"/>
      <w:divBdr>
        <w:top w:val="none" w:sz="0" w:space="0" w:color="auto"/>
        <w:left w:val="none" w:sz="0" w:space="0" w:color="auto"/>
        <w:bottom w:val="none" w:sz="0" w:space="0" w:color="auto"/>
        <w:right w:val="none" w:sz="0" w:space="0" w:color="auto"/>
      </w:divBdr>
    </w:div>
    <w:div w:id="652952933">
      <w:bodyDiv w:val="1"/>
      <w:marLeft w:val="0"/>
      <w:marRight w:val="0"/>
      <w:marTop w:val="0"/>
      <w:marBottom w:val="0"/>
      <w:divBdr>
        <w:top w:val="none" w:sz="0" w:space="0" w:color="auto"/>
        <w:left w:val="none" w:sz="0" w:space="0" w:color="auto"/>
        <w:bottom w:val="none" w:sz="0" w:space="0" w:color="auto"/>
        <w:right w:val="none" w:sz="0" w:space="0" w:color="auto"/>
      </w:divBdr>
    </w:div>
    <w:div w:id="663169876">
      <w:bodyDiv w:val="1"/>
      <w:marLeft w:val="0"/>
      <w:marRight w:val="0"/>
      <w:marTop w:val="0"/>
      <w:marBottom w:val="0"/>
      <w:divBdr>
        <w:top w:val="none" w:sz="0" w:space="0" w:color="auto"/>
        <w:left w:val="none" w:sz="0" w:space="0" w:color="auto"/>
        <w:bottom w:val="none" w:sz="0" w:space="0" w:color="auto"/>
        <w:right w:val="none" w:sz="0" w:space="0" w:color="auto"/>
      </w:divBdr>
    </w:div>
    <w:div w:id="674184397">
      <w:bodyDiv w:val="1"/>
      <w:marLeft w:val="0"/>
      <w:marRight w:val="0"/>
      <w:marTop w:val="0"/>
      <w:marBottom w:val="0"/>
      <w:divBdr>
        <w:top w:val="none" w:sz="0" w:space="0" w:color="auto"/>
        <w:left w:val="none" w:sz="0" w:space="0" w:color="auto"/>
        <w:bottom w:val="none" w:sz="0" w:space="0" w:color="auto"/>
        <w:right w:val="none" w:sz="0" w:space="0" w:color="auto"/>
      </w:divBdr>
    </w:div>
    <w:div w:id="698630879">
      <w:bodyDiv w:val="1"/>
      <w:marLeft w:val="0"/>
      <w:marRight w:val="0"/>
      <w:marTop w:val="0"/>
      <w:marBottom w:val="0"/>
      <w:divBdr>
        <w:top w:val="none" w:sz="0" w:space="0" w:color="auto"/>
        <w:left w:val="none" w:sz="0" w:space="0" w:color="auto"/>
        <w:bottom w:val="none" w:sz="0" w:space="0" w:color="auto"/>
        <w:right w:val="none" w:sz="0" w:space="0" w:color="auto"/>
      </w:divBdr>
      <w:divsChild>
        <w:div w:id="1212159252">
          <w:marLeft w:val="0"/>
          <w:marRight w:val="0"/>
          <w:marTop w:val="0"/>
          <w:marBottom w:val="0"/>
          <w:divBdr>
            <w:top w:val="none" w:sz="0" w:space="0" w:color="auto"/>
            <w:left w:val="none" w:sz="0" w:space="0" w:color="auto"/>
            <w:bottom w:val="none" w:sz="0" w:space="0" w:color="auto"/>
            <w:right w:val="none" w:sz="0" w:space="0" w:color="auto"/>
          </w:divBdr>
        </w:div>
      </w:divsChild>
    </w:div>
    <w:div w:id="704525025">
      <w:bodyDiv w:val="1"/>
      <w:marLeft w:val="0"/>
      <w:marRight w:val="0"/>
      <w:marTop w:val="0"/>
      <w:marBottom w:val="0"/>
      <w:divBdr>
        <w:top w:val="none" w:sz="0" w:space="0" w:color="auto"/>
        <w:left w:val="none" w:sz="0" w:space="0" w:color="auto"/>
        <w:bottom w:val="none" w:sz="0" w:space="0" w:color="auto"/>
        <w:right w:val="none" w:sz="0" w:space="0" w:color="auto"/>
      </w:divBdr>
    </w:div>
    <w:div w:id="710954727">
      <w:bodyDiv w:val="1"/>
      <w:marLeft w:val="0"/>
      <w:marRight w:val="0"/>
      <w:marTop w:val="0"/>
      <w:marBottom w:val="0"/>
      <w:divBdr>
        <w:top w:val="none" w:sz="0" w:space="0" w:color="auto"/>
        <w:left w:val="none" w:sz="0" w:space="0" w:color="auto"/>
        <w:bottom w:val="none" w:sz="0" w:space="0" w:color="auto"/>
        <w:right w:val="none" w:sz="0" w:space="0" w:color="auto"/>
      </w:divBdr>
    </w:div>
    <w:div w:id="716465211">
      <w:bodyDiv w:val="1"/>
      <w:marLeft w:val="0"/>
      <w:marRight w:val="0"/>
      <w:marTop w:val="0"/>
      <w:marBottom w:val="0"/>
      <w:divBdr>
        <w:top w:val="none" w:sz="0" w:space="0" w:color="auto"/>
        <w:left w:val="none" w:sz="0" w:space="0" w:color="auto"/>
        <w:bottom w:val="none" w:sz="0" w:space="0" w:color="auto"/>
        <w:right w:val="none" w:sz="0" w:space="0" w:color="auto"/>
      </w:divBdr>
    </w:div>
    <w:div w:id="723867575">
      <w:bodyDiv w:val="1"/>
      <w:marLeft w:val="0"/>
      <w:marRight w:val="0"/>
      <w:marTop w:val="0"/>
      <w:marBottom w:val="0"/>
      <w:divBdr>
        <w:top w:val="none" w:sz="0" w:space="0" w:color="auto"/>
        <w:left w:val="none" w:sz="0" w:space="0" w:color="auto"/>
        <w:bottom w:val="none" w:sz="0" w:space="0" w:color="auto"/>
        <w:right w:val="none" w:sz="0" w:space="0" w:color="auto"/>
      </w:divBdr>
    </w:div>
    <w:div w:id="751122244">
      <w:bodyDiv w:val="1"/>
      <w:marLeft w:val="0"/>
      <w:marRight w:val="0"/>
      <w:marTop w:val="0"/>
      <w:marBottom w:val="0"/>
      <w:divBdr>
        <w:top w:val="none" w:sz="0" w:space="0" w:color="auto"/>
        <w:left w:val="none" w:sz="0" w:space="0" w:color="auto"/>
        <w:bottom w:val="none" w:sz="0" w:space="0" w:color="auto"/>
        <w:right w:val="none" w:sz="0" w:space="0" w:color="auto"/>
      </w:divBdr>
    </w:div>
    <w:div w:id="751203702">
      <w:bodyDiv w:val="1"/>
      <w:marLeft w:val="0"/>
      <w:marRight w:val="0"/>
      <w:marTop w:val="0"/>
      <w:marBottom w:val="0"/>
      <w:divBdr>
        <w:top w:val="none" w:sz="0" w:space="0" w:color="auto"/>
        <w:left w:val="none" w:sz="0" w:space="0" w:color="auto"/>
        <w:bottom w:val="none" w:sz="0" w:space="0" w:color="auto"/>
        <w:right w:val="none" w:sz="0" w:space="0" w:color="auto"/>
      </w:divBdr>
    </w:div>
    <w:div w:id="764039966">
      <w:bodyDiv w:val="1"/>
      <w:marLeft w:val="0"/>
      <w:marRight w:val="0"/>
      <w:marTop w:val="0"/>
      <w:marBottom w:val="0"/>
      <w:divBdr>
        <w:top w:val="none" w:sz="0" w:space="0" w:color="auto"/>
        <w:left w:val="none" w:sz="0" w:space="0" w:color="auto"/>
        <w:bottom w:val="none" w:sz="0" w:space="0" w:color="auto"/>
        <w:right w:val="none" w:sz="0" w:space="0" w:color="auto"/>
      </w:divBdr>
    </w:div>
    <w:div w:id="770197085">
      <w:bodyDiv w:val="1"/>
      <w:marLeft w:val="0"/>
      <w:marRight w:val="0"/>
      <w:marTop w:val="0"/>
      <w:marBottom w:val="0"/>
      <w:divBdr>
        <w:top w:val="none" w:sz="0" w:space="0" w:color="auto"/>
        <w:left w:val="none" w:sz="0" w:space="0" w:color="auto"/>
        <w:bottom w:val="none" w:sz="0" w:space="0" w:color="auto"/>
        <w:right w:val="none" w:sz="0" w:space="0" w:color="auto"/>
      </w:divBdr>
    </w:div>
    <w:div w:id="773523170">
      <w:bodyDiv w:val="1"/>
      <w:marLeft w:val="0"/>
      <w:marRight w:val="0"/>
      <w:marTop w:val="0"/>
      <w:marBottom w:val="0"/>
      <w:divBdr>
        <w:top w:val="none" w:sz="0" w:space="0" w:color="auto"/>
        <w:left w:val="none" w:sz="0" w:space="0" w:color="auto"/>
        <w:bottom w:val="none" w:sz="0" w:space="0" w:color="auto"/>
        <w:right w:val="none" w:sz="0" w:space="0" w:color="auto"/>
      </w:divBdr>
    </w:div>
    <w:div w:id="778599925">
      <w:bodyDiv w:val="1"/>
      <w:marLeft w:val="0"/>
      <w:marRight w:val="0"/>
      <w:marTop w:val="0"/>
      <w:marBottom w:val="0"/>
      <w:divBdr>
        <w:top w:val="none" w:sz="0" w:space="0" w:color="auto"/>
        <w:left w:val="none" w:sz="0" w:space="0" w:color="auto"/>
        <w:bottom w:val="none" w:sz="0" w:space="0" w:color="auto"/>
        <w:right w:val="none" w:sz="0" w:space="0" w:color="auto"/>
      </w:divBdr>
    </w:div>
    <w:div w:id="781193201">
      <w:bodyDiv w:val="1"/>
      <w:marLeft w:val="0"/>
      <w:marRight w:val="0"/>
      <w:marTop w:val="0"/>
      <w:marBottom w:val="0"/>
      <w:divBdr>
        <w:top w:val="none" w:sz="0" w:space="0" w:color="auto"/>
        <w:left w:val="none" w:sz="0" w:space="0" w:color="auto"/>
        <w:bottom w:val="none" w:sz="0" w:space="0" w:color="auto"/>
        <w:right w:val="none" w:sz="0" w:space="0" w:color="auto"/>
      </w:divBdr>
    </w:div>
    <w:div w:id="788282796">
      <w:bodyDiv w:val="1"/>
      <w:marLeft w:val="0"/>
      <w:marRight w:val="0"/>
      <w:marTop w:val="0"/>
      <w:marBottom w:val="0"/>
      <w:divBdr>
        <w:top w:val="none" w:sz="0" w:space="0" w:color="auto"/>
        <w:left w:val="none" w:sz="0" w:space="0" w:color="auto"/>
        <w:bottom w:val="none" w:sz="0" w:space="0" w:color="auto"/>
        <w:right w:val="none" w:sz="0" w:space="0" w:color="auto"/>
      </w:divBdr>
    </w:div>
    <w:div w:id="790051628">
      <w:bodyDiv w:val="1"/>
      <w:marLeft w:val="0"/>
      <w:marRight w:val="0"/>
      <w:marTop w:val="0"/>
      <w:marBottom w:val="0"/>
      <w:divBdr>
        <w:top w:val="none" w:sz="0" w:space="0" w:color="auto"/>
        <w:left w:val="none" w:sz="0" w:space="0" w:color="auto"/>
        <w:bottom w:val="none" w:sz="0" w:space="0" w:color="auto"/>
        <w:right w:val="none" w:sz="0" w:space="0" w:color="auto"/>
      </w:divBdr>
    </w:div>
    <w:div w:id="795677690">
      <w:bodyDiv w:val="1"/>
      <w:marLeft w:val="0"/>
      <w:marRight w:val="0"/>
      <w:marTop w:val="0"/>
      <w:marBottom w:val="0"/>
      <w:divBdr>
        <w:top w:val="none" w:sz="0" w:space="0" w:color="auto"/>
        <w:left w:val="none" w:sz="0" w:space="0" w:color="auto"/>
        <w:bottom w:val="none" w:sz="0" w:space="0" w:color="auto"/>
        <w:right w:val="none" w:sz="0" w:space="0" w:color="auto"/>
      </w:divBdr>
    </w:div>
    <w:div w:id="801777139">
      <w:bodyDiv w:val="1"/>
      <w:marLeft w:val="0"/>
      <w:marRight w:val="0"/>
      <w:marTop w:val="0"/>
      <w:marBottom w:val="0"/>
      <w:divBdr>
        <w:top w:val="none" w:sz="0" w:space="0" w:color="auto"/>
        <w:left w:val="none" w:sz="0" w:space="0" w:color="auto"/>
        <w:bottom w:val="none" w:sz="0" w:space="0" w:color="auto"/>
        <w:right w:val="none" w:sz="0" w:space="0" w:color="auto"/>
      </w:divBdr>
    </w:div>
    <w:div w:id="823397680">
      <w:bodyDiv w:val="1"/>
      <w:marLeft w:val="0"/>
      <w:marRight w:val="0"/>
      <w:marTop w:val="0"/>
      <w:marBottom w:val="0"/>
      <w:divBdr>
        <w:top w:val="none" w:sz="0" w:space="0" w:color="auto"/>
        <w:left w:val="none" w:sz="0" w:space="0" w:color="auto"/>
        <w:bottom w:val="none" w:sz="0" w:space="0" w:color="auto"/>
        <w:right w:val="none" w:sz="0" w:space="0" w:color="auto"/>
      </w:divBdr>
    </w:div>
    <w:div w:id="833492413">
      <w:bodyDiv w:val="1"/>
      <w:marLeft w:val="0"/>
      <w:marRight w:val="0"/>
      <w:marTop w:val="0"/>
      <w:marBottom w:val="0"/>
      <w:divBdr>
        <w:top w:val="none" w:sz="0" w:space="0" w:color="auto"/>
        <w:left w:val="none" w:sz="0" w:space="0" w:color="auto"/>
        <w:bottom w:val="none" w:sz="0" w:space="0" w:color="auto"/>
        <w:right w:val="none" w:sz="0" w:space="0" w:color="auto"/>
      </w:divBdr>
    </w:div>
    <w:div w:id="840580549">
      <w:bodyDiv w:val="1"/>
      <w:marLeft w:val="0"/>
      <w:marRight w:val="0"/>
      <w:marTop w:val="0"/>
      <w:marBottom w:val="0"/>
      <w:divBdr>
        <w:top w:val="none" w:sz="0" w:space="0" w:color="auto"/>
        <w:left w:val="none" w:sz="0" w:space="0" w:color="auto"/>
        <w:bottom w:val="none" w:sz="0" w:space="0" w:color="auto"/>
        <w:right w:val="none" w:sz="0" w:space="0" w:color="auto"/>
      </w:divBdr>
    </w:div>
    <w:div w:id="842208332">
      <w:bodyDiv w:val="1"/>
      <w:marLeft w:val="0"/>
      <w:marRight w:val="0"/>
      <w:marTop w:val="0"/>
      <w:marBottom w:val="0"/>
      <w:divBdr>
        <w:top w:val="none" w:sz="0" w:space="0" w:color="auto"/>
        <w:left w:val="none" w:sz="0" w:space="0" w:color="auto"/>
        <w:bottom w:val="none" w:sz="0" w:space="0" w:color="auto"/>
        <w:right w:val="none" w:sz="0" w:space="0" w:color="auto"/>
      </w:divBdr>
    </w:div>
    <w:div w:id="853689028">
      <w:bodyDiv w:val="1"/>
      <w:marLeft w:val="0"/>
      <w:marRight w:val="0"/>
      <w:marTop w:val="0"/>
      <w:marBottom w:val="0"/>
      <w:divBdr>
        <w:top w:val="none" w:sz="0" w:space="0" w:color="auto"/>
        <w:left w:val="none" w:sz="0" w:space="0" w:color="auto"/>
        <w:bottom w:val="none" w:sz="0" w:space="0" w:color="auto"/>
        <w:right w:val="none" w:sz="0" w:space="0" w:color="auto"/>
      </w:divBdr>
    </w:div>
    <w:div w:id="894968081">
      <w:bodyDiv w:val="1"/>
      <w:marLeft w:val="0"/>
      <w:marRight w:val="0"/>
      <w:marTop w:val="0"/>
      <w:marBottom w:val="0"/>
      <w:divBdr>
        <w:top w:val="none" w:sz="0" w:space="0" w:color="auto"/>
        <w:left w:val="none" w:sz="0" w:space="0" w:color="auto"/>
        <w:bottom w:val="none" w:sz="0" w:space="0" w:color="auto"/>
        <w:right w:val="none" w:sz="0" w:space="0" w:color="auto"/>
      </w:divBdr>
    </w:div>
    <w:div w:id="900677213">
      <w:bodyDiv w:val="1"/>
      <w:marLeft w:val="0"/>
      <w:marRight w:val="0"/>
      <w:marTop w:val="0"/>
      <w:marBottom w:val="0"/>
      <w:divBdr>
        <w:top w:val="none" w:sz="0" w:space="0" w:color="auto"/>
        <w:left w:val="none" w:sz="0" w:space="0" w:color="auto"/>
        <w:bottom w:val="none" w:sz="0" w:space="0" w:color="auto"/>
        <w:right w:val="none" w:sz="0" w:space="0" w:color="auto"/>
      </w:divBdr>
    </w:div>
    <w:div w:id="905190920">
      <w:bodyDiv w:val="1"/>
      <w:marLeft w:val="0"/>
      <w:marRight w:val="0"/>
      <w:marTop w:val="0"/>
      <w:marBottom w:val="0"/>
      <w:divBdr>
        <w:top w:val="none" w:sz="0" w:space="0" w:color="auto"/>
        <w:left w:val="none" w:sz="0" w:space="0" w:color="auto"/>
        <w:bottom w:val="none" w:sz="0" w:space="0" w:color="auto"/>
        <w:right w:val="none" w:sz="0" w:space="0" w:color="auto"/>
      </w:divBdr>
    </w:div>
    <w:div w:id="932127023">
      <w:bodyDiv w:val="1"/>
      <w:marLeft w:val="0"/>
      <w:marRight w:val="0"/>
      <w:marTop w:val="0"/>
      <w:marBottom w:val="0"/>
      <w:divBdr>
        <w:top w:val="none" w:sz="0" w:space="0" w:color="auto"/>
        <w:left w:val="none" w:sz="0" w:space="0" w:color="auto"/>
        <w:bottom w:val="none" w:sz="0" w:space="0" w:color="auto"/>
        <w:right w:val="none" w:sz="0" w:space="0" w:color="auto"/>
      </w:divBdr>
    </w:div>
    <w:div w:id="942422145">
      <w:bodyDiv w:val="1"/>
      <w:marLeft w:val="0"/>
      <w:marRight w:val="0"/>
      <w:marTop w:val="0"/>
      <w:marBottom w:val="0"/>
      <w:divBdr>
        <w:top w:val="none" w:sz="0" w:space="0" w:color="auto"/>
        <w:left w:val="none" w:sz="0" w:space="0" w:color="auto"/>
        <w:bottom w:val="none" w:sz="0" w:space="0" w:color="auto"/>
        <w:right w:val="none" w:sz="0" w:space="0" w:color="auto"/>
      </w:divBdr>
    </w:div>
    <w:div w:id="950747927">
      <w:bodyDiv w:val="1"/>
      <w:marLeft w:val="0"/>
      <w:marRight w:val="0"/>
      <w:marTop w:val="0"/>
      <w:marBottom w:val="0"/>
      <w:divBdr>
        <w:top w:val="none" w:sz="0" w:space="0" w:color="auto"/>
        <w:left w:val="none" w:sz="0" w:space="0" w:color="auto"/>
        <w:bottom w:val="none" w:sz="0" w:space="0" w:color="auto"/>
        <w:right w:val="none" w:sz="0" w:space="0" w:color="auto"/>
      </w:divBdr>
    </w:div>
    <w:div w:id="957177031">
      <w:bodyDiv w:val="1"/>
      <w:marLeft w:val="0"/>
      <w:marRight w:val="0"/>
      <w:marTop w:val="0"/>
      <w:marBottom w:val="0"/>
      <w:divBdr>
        <w:top w:val="none" w:sz="0" w:space="0" w:color="auto"/>
        <w:left w:val="none" w:sz="0" w:space="0" w:color="auto"/>
        <w:bottom w:val="none" w:sz="0" w:space="0" w:color="auto"/>
        <w:right w:val="none" w:sz="0" w:space="0" w:color="auto"/>
      </w:divBdr>
    </w:div>
    <w:div w:id="959607886">
      <w:bodyDiv w:val="1"/>
      <w:marLeft w:val="0"/>
      <w:marRight w:val="0"/>
      <w:marTop w:val="0"/>
      <w:marBottom w:val="0"/>
      <w:divBdr>
        <w:top w:val="none" w:sz="0" w:space="0" w:color="auto"/>
        <w:left w:val="none" w:sz="0" w:space="0" w:color="auto"/>
        <w:bottom w:val="none" w:sz="0" w:space="0" w:color="auto"/>
        <w:right w:val="none" w:sz="0" w:space="0" w:color="auto"/>
      </w:divBdr>
    </w:div>
    <w:div w:id="969897130">
      <w:bodyDiv w:val="1"/>
      <w:marLeft w:val="0"/>
      <w:marRight w:val="0"/>
      <w:marTop w:val="0"/>
      <w:marBottom w:val="0"/>
      <w:divBdr>
        <w:top w:val="none" w:sz="0" w:space="0" w:color="auto"/>
        <w:left w:val="none" w:sz="0" w:space="0" w:color="auto"/>
        <w:bottom w:val="none" w:sz="0" w:space="0" w:color="auto"/>
        <w:right w:val="none" w:sz="0" w:space="0" w:color="auto"/>
      </w:divBdr>
    </w:div>
    <w:div w:id="970093742">
      <w:bodyDiv w:val="1"/>
      <w:marLeft w:val="0"/>
      <w:marRight w:val="0"/>
      <w:marTop w:val="0"/>
      <w:marBottom w:val="0"/>
      <w:divBdr>
        <w:top w:val="none" w:sz="0" w:space="0" w:color="auto"/>
        <w:left w:val="none" w:sz="0" w:space="0" w:color="auto"/>
        <w:bottom w:val="none" w:sz="0" w:space="0" w:color="auto"/>
        <w:right w:val="none" w:sz="0" w:space="0" w:color="auto"/>
      </w:divBdr>
    </w:div>
    <w:div w:id="982268801">
      <w:bodyDiv w:val="1"/>
      <w:marLeft w:val="0"/>
      <w:marRight w:val="0"/>
      <w:marTop w:val="0"/>
      <w:marBottom w:val="0"/>
      <w:divBdr>
        <w:top w:val="none" w:sz="0" w:space="0" w:color="auto"/>
        <w:left w:val="none" w:sz="0" w:space="0" w:color="auto"/>
        <w:bottom w:val="none" w:sz="0" w:space="0" w:color="auto"/>
        <w:right w:val="none" w:sz="0" w:space="0" w:color="auto"/>
      </w:divBdr>
    </w:div>
    <w:div w:id="984042046">
      <w:bodyDiv w:val="1"/>
      <w:marLeft w:val="0"/>
      <w:marRight w:val="0"/>
      <w:marTop w:val="0"/>
      <w:marBottom w:val="0"/>
      <w:divBdr>
        <w:top w:val="none" w:sz="0" w:space="0" w:color="auto"/>
        <w:left w:val="none" w:sz="0" w:space="0" w:color="auto"/>
        <w:bottom w:val="none" w:sz="0" w:space="0" w:color="auto"/>
        <w:right w:val="none" w:sz="0" w:space="0" w:color="auto"/>
      </w:divBdr>
    </w:div>
    <w:div w:id="986279912">
      <w:bodyDiv w:val="1"/>
      <w:marLeft w:val="0"/>
      <w:marRight w:val="0"/>
      <w:marTop w:val="0"/>
      <w:marBottom w:val="0"/>
      <w:divBdr>
        <w:top w:val="none" w:sz="0" w:space="0" w:color="auto"/>
        <w:left w:val="none" w:sz="0" w:space="0" w:color="auto"/>
        <w:bottom w:val="none" w:sz="0" w:space="0" w:color="auto"/>
        <w:right w:val="none" w:sz="0" w:space="0" w:color="auto"/>
      </w:divBdr>
    </w:div>
    <w:div w:id="1016154367">
      <w:bodyDiv w:val="1"/>
      <w:marLeft w:val="0"/>
      <w:marRight w:val="0"/>
      <w:marTop w:val="0"/>
      <w:marBottom w:val="0"/>
      <w:divBdr>
        <w:top w:val="none" w:sz="0" w:space="0" w:color="auto"/>
        <w:left w:val="none" w:sz="0" w:space="0" w:color="auto"/>
        <w:bottom w:val="none" w:sz="0" w:space="0" w:color="auto"/>
        <w:right w:val="none" w:sz="0" w:space="0" w:color="auto"/>
      </w:divBdr>
    </w:div>
    <w:div w:id="1024672582">
      <w:bodyDiv w:val="1"/>
      <w:marLeft w:val="0"/>
      <w:marRight w:val="0"/>
      <w:marTop w:val="0"/>
      <w:marBottom w:val="0"/>
      <w:divBdr>
        <w:top w:val="none" w:sz="0" w:space="0" w:color="auto"/>
        <w:left w:val="none" w:sz="0" w:space="0" w:color="auto"/>
        <w:bottom w:val="none" w:sz="0" w:space="0" w:color="auto"/>
        <w:right w:val="none" w:sz="0" w:space="0" w:color="auto"/>
      </w:divBdr>
    </w:div>
    <w:div w:id="1031951260">
      <w:bodyDiv w:val="1"/>
      <w:marLeft w:val="0"/>
      <w:marRight w:val="0"/>
      <w:marTop w:val="0"/>
      <w:marBottom w:val="0"/>
      <w:divBdr>
        <w:top w:val="none" w:sz="0" w:space="0" w:color="auto"/>
        <w:left w:val="none" w:sz="0" w:space="0" w:color="auto"/>
        <w:bottom w:val="none" w:sz="0" w:space="0" w:color="auto"/>
        <w:right w:val="none" w:sz="0" w:space="0" w:color="auto"/>
      </w:divBdr>
    </w:div>
    <w:div w:id="1042285120">
      <w:bodyDiv w:val="1"/>
      <w:marLeft w:val="0"/>
      <w:marRight w:val="0"/>
      <w:marTop w:val="0"/>
      <w:marBottom w:val="0"/>
      <w:divBdr>
        <w:top w:val="none" w:sz="0" w:space="0" w:color="auto"/>
        <w:left w:val="none" w:sz="0" w:space="0" w:color="auto"/>
        <w:bottom w:val="none" w:sz="0" w:space="0" w:color="auto"/>
        <w:right w:val="none" w:sz="0" w:space="0" w:color="auto"/>
      </w:divBdr>
    </w:div>
    <w:div w:id="1043363779">
      <w:bodyDiv w:val="1"/>
      <w:marLeft w:val="0"/>
      <w:marRight w:val="0"/>
      <w:marTop w:val="0"/>
      <w:marBottom w:val="0"/>
      <w:divBdr>
        <w:top w:val="none" w:sz="0" w:space="0" w:color="auto"/>
        <w:left w:val="none" w:sz="0" w:space="0" w:color="auto"/>
        <w:bottom w:val="none" w:sz="0" w:space="0" w:color="auto"/>
        <w:right w:val="none" w:sz="0" w:space="0" w:color="auto"/>
      </w:divBdr>
    </w:div>
    <w:div w:id="1053507782">
      <w:bodyDiv w:val="1"/>
      <w:marLeft w:val="0"/>
      <w:marRight w:val="0"/>
      <w:marTop w:val="0"/>
      <w:marBottom w:val="0"/>
      <w:divBdr>
        <w:top w:val="none" w:sz="0" w:space="0" w:color="auto"/>
        <w:left w:val="none" w:sz="0" w:space="0" w:color="auto"/>
        <w:bottom w:val="none" w:sz="0" w:space="0" w:color="auto"/>
        <w:right w:val="none" w:sz="0" w:space="0" w:color="auto"/>
      </w:divBdr>
    </w:div>
    <w:div w:id="1085806584">
      <w:bodyDiv w:val="1"/>
      <w:marLeft w:val="0"/>
      <w:marRight w:val="0"/>
      <w:marTop w:val="0"/>
      <w:marBottom w:val="0"/>
      <w:divBdr>
        <w:top w:val="none" w:sz="0" w:space="0" w:color="auto"/>
        <w:left w:val="none" w:sz="0" w:space="0" w:color="auto"/>
        <w:bottom w:val="none" w:sz="0" w:space="0" w:color="auto"/>
        <w:right w:val="none" w:sz="0" w:space="0" w:color="auto"/>
      </w:divBdr>
    </w:div>
    <w:div w:id="1115516632">
      <w:bodyDiv w:val="1"/>
      <w:marLeft w:val="0"/>
      <w:marRight w:val="0"/>
      <w:marTop w:val="0"/>
      <w:marBottom w:val="0"/>
      <w:divBdr>
        <w:top w:val="none" w:sz="0" w:space="0" w:color="auto"/>
        <w:left w:val="none" w:sz="0" w:space="0" w:color="auto"/>
        <w:bottom w:val="none" w:sz="0" w:space="0" w:color="auto"/>
        <w:right w:val="none" w:sz="0" w:space="0" w:color="auto"/>
      </w:divBdr>
    </w:div>
    <w:div w:id="1125586249">
      <w:bodyDiv w:val="1"/>
      <w:marLeft w:val="0"/>
      <w:marRight w:val="0"/>
      <w:marTop w:val="0"/>
      <w:marBottom w:val="0"/>
      <w:divBdr>
        <w:top w:val="none" w:sz="0" w:space="0" w:color="auto"/>
        <w:left w:val="none" w:sz="0" w:space="0" w:color="auto"/>
        <w:bottom w:val="none" w:sz="0" w:space="0" w:color="auto"/>
        <w:right w:val="none" w:sz="0" w:space="0" w:color="auto"/>
      </w:divBdr>
    </w:div>
    <w:div w:id="1132871865">
      <w:bodyDiv w:val="1"/>
      <w:marLeft w:val="0"/>
      <w:marRight w:val="0"/>
      <w:marTop w:val="0"/>
      <w:marBottom w:val="0"/>
      <w:divBdr>
        <w:top w:val="none" w:sz="0" w:space="0" w:color="auto"/>
        <w:left w:val="none" w:sz="0" w:space="0" w:color="auto"/>
        <w:bottom w:val="none" w:sz="0" w:space="0" w:color="auto"/>
        <w:right w:val="none" w:sz="0" w:space="0" w:color="auto"/>
      </w:divBdr>
    </w:div>
    <w:div w:id="1137601721">
      <w:bodyDiv w:val="1"/>
      <w:marLeft w:val="0"/>
      <w:marRight w:val="0"/>
      <w:marTop w:val="0"/>
      <w:marBottom w:val="0"/>
      <w:divBdr>
        <w:top w:val="none" w:sz="0" w:space="0" w:color="auto"/>
        <w:left w:val="none" w:sz="0" w:space="0" w:color="auto"/>
        <w:bottom w:val="none" w:sz="0" w:space="0" w:color="auto"/>
        <w:right w:val="none" w:sz="0" w:space="0" w:color="auto"/>
      </w:divBdr>
    </w:div>
    <w:div w:id="1154024278">
      <w:bodyDiv w:val="1"/>
      <w:marLeft w:val="0"/>
      <w:marRight w:val="0"/>
      <w:marTop w:val="0"/>
      <w:marBottom w:val="0"/>
      <w:divBdr>
        <w:top w:val="none" w:sz="0" w:space="0" w:color="auto"/>
        <w:left w:val="none" w:sz="0" w:space="0" w:color="auto"/>
        <w:bottom w:val="none" w:sz="0" w:space="0" w:color="auto"/>
        <w:right w:val="none" w:sz="0" w:space="0" w:color="auto"/>
      </w:divBdr>
    </w:div>
    <w:div w:id="1156611534">
      <w:bodyDiv w:val="1"/>
      <w:marLeft w:val="0"/>
      <w:marRight w:val="0"/>
      <w:marTop w:val="0"/>
      <w:marBottom w:val="0"/>
      <w:divBdr>
        <w:top w:val="none" w:sz="0" w:space="0" w:color="auto"/>
        <w:left w:val="none" w:sz="0" w:space="0" w:color="auto"/>
        <w:bottom w:val="none" w:sz="0" w:space="0" w:color="auto"/>
        <w:right w:val="none" w:sz="0" w:space="0" w:color="auto"/>
      </w:divBdr>
    </w:div>
    <w:div w:id="1170295380">
      <w:bodyDiv w:val="1"/>
      <w:marLeft w:val="0"/>
      <w:marRight w:val="0"/>
      <w:marTop w:val="0"/>
      <w:marBottom w:val="0"/>
      <w:divBdr>
        <w:top w:val="none" w:sz="0" w:space="0" w:color="auto"/>
        <w:left w:val="none" w:sz="0" w:space="0" w:color="auto"/>
        <w:bottom w:val="none" w:sz="0" w:space="0" w:color="auto"/>
        <w:right w:val="none" w:sz="0" w:space="0" w:color="auto"/>
      </w:divBdr>
    </w:div>
    <w:div w:id="1178034843">
      <w:bodyDiv w:val="1"/>
      <w:marLeft w:val="0"/>
      <w:marRight w:val="0"/>
      <w:marTop w:val="0"/>
      <w:marBottom w:val="0"/>
      <w:divBdr>
        <w:top w:val="none" w:sz="0" w:space="0" w:color="auto"/>
        <w:left w:val="none" w:sz="0" w:space="0" w:color="auto"/>
        <w:bottom w:val="none" w:sz="0" w:space="0" w:color="auto"/>
        <w:right w:val="none" w:sz="0" w:space="0" w:color="auto"/>
      </w:divBdr>
    </w:div>
    <w:div w:id="1178085156">
      <w:bodyDiv w:val="1"/>
      <w:marLeft w:val="0"/>
      <w:marRight w:val="0"/>
      <w:marTop w:val="0"/>
      <w:marBottom w:val="0"/>
      <w:divBdr>
        <w:top w:val="none" w:sz="0" w:space="0" w:color="auto"/>
        <w:left w:val="none" w:sz="0" w:space="0" w:color="auto"/>
        <w:bottom w:val="none" w:sz="0" w:space="0" w:color="auto"/>
        <w:right w:val="none" w:sz="0" w:space="0" w:color="auto"/>
      </w:divBdr>
    </w:div>
    <w:div w:id="1185556739">
      <w:bodyDiv w:val="1"/>
      <w:marLeft w:val="0"/>
      <w:marRight w:val="0"/>
      <w:marTop w:val="0"/>
      <w:marBottom w:val="0"/>
      <w:divBdr>
        <w:top w:val="none" w:sz="0" w:space="0" w:color="auto"/>
        <w:left w:val="none" w:sz="0" w:space="0" w:color="auto"/>
        <w:bottom w:val="none" w:sz="0" w:space="0" w:color="auto"/>
        <w:right w:val="none" w:sz="0" w:space="0" w:color="auto"/>
      </w:divBdr>
    </w:div>
    <w:div w:id="1185945211">
      <w:bodyDiv w:val="1"/>
      <w:marLeft w:val="0"/>
      <w:marRight w:val="0"/>
      <w:marTop w:val="0"/>
      <w:marBottom w:val="0"/>
      <w:divBdr>
        <w:top w:val="none" w:sz="0" w:space="0" w:color="auto"/>
        <w:left w:val="none" w:sz="0" w:space="0" w:color="auto"/>
        <w:bottom w:val="none" w:sz="0" w:space="0" w:color="auto"/>
        <w:right w:val="none" w:sz="0" w:space="0" w:color="auto"/>
      </w:divBdr>
    </w:div>
    <w:div w:id="1229681626">
      <w:bodyDiv w:val="1"/>
      <w:marLeft w:val="0"/>
      <w:marRight w:val="0"/>
      <w:marTop w:val="0"/>
      <w:marBottom w:val="0"/>
      <w:divBdr>
        <w:top w:val="none" w:sz="0" w:space="0" w:color="auto"/>
        <w:left w:val="none" w:sz="0" w:space="0" w:color="auto"/>
        <w:bottom w:val="none" w:sz="0" w:space="0" w:color="auto"/>
        <w:right w:val="none" w:sz="0" w:space="0" w:color="auto"/>
      </w:divBdr>
    </w:div>
    <w:div w:id="1230732059">
      <w:bodyDiv w:val="1"/>
      <w:marLeft w:val="0"/>
      <w:marRight w:val="0"/>
      <w:marTop w:val="0"/>
      <w:marBottom w:val="0"/>
      <w:divBdr>
        <w:top w:val="none" w:sz="0" w:space="0" w:color="auto"/>
        <w:left w:val="none" w:sz="0" w:space="0" w:color="auto"/>
        <w:bottom w:val="none" w:sz="0" w:space="0" w:color="auto"/>
        <w:right w:val="none" w:sz="0" w:space="0" w:color="auto"/>
      </w:divBdr>
    </w:div>
    <w:div w:id="1233662859">
      <w:bodyDiv w:val="1"/>
      <w:marLeft w:val="0"/>
      <w:marRight w:val="0"/>
      <w:marTop w:val="0"/>
      <w:marBottom w:val="0"/>
      <w:divBdr>
        <w:top w:val="none" w:sz="0" w:space="0" w:color="auto"/>
        <w:left w:val="none" w:sz="0" w:space="0" w:color="auto"/>
        <w:bottom w:val="none" w:sz="0" w:space="0" w:color="auto"/>
        <w:right w:val="none" w:sz="0" w:space="0" w:color="auto"/>
      </w:divBdr>
    </w:div>
    <w:div w:id="1243831581">
      <w:bodyDiv w:val="1"/>
      <w:marLeft w:val="0"/>
      <w:marRight w:val="0"/>
      <w:marTop w:val="0"/>
      <w:marBottom w:val="0"/>
      <w:divBdr>
        <w:top w:val="none" w:sz="0" w:space="0" w:color="auto"/>
        <w:left w:val="none" w:sz="0" w:space="0" w:color="auto"/>
        <w:bottom w:val="none" w:sz="0" w:space="0" w:color="auto"/>
        <w:right w:val="none" w:sz="0" w:space="0" w:color="auto"/>
      </w:divBdr>
    </w:div>
    <w:div w:id="1245649930">
      <w:bodyDiv w:val="1"/>
      <w:marLeft w:val="0"/>
      <w:marRight w:val="0"/>
      <w:marTop w:val="0"/>
      <w:marBottom w:val="0"/>
      <w:divBdr>
        <w:top w:val="none" w:sz="0" w:space="0" w:color="auto"/>
        <w:left w:val="none" w:sz="0" w:space="0" w:color="auto"/>
        <w:bottom w:val="none" w:sz="0" w:space="0" w:color="auto"/>
        <w:right w:val="none" w:sz="0" w:space="0" w:color="auto"/>
      </w:divBdr>
    </w:div>
    <w:div w:id="1251425708">
      <w:bodyDiv w:val="1"/>
      <w:marLeft w:val="0"/>
      <w:marRight w:val="0"/>
      <w:marTop w:val="0"/>
      <w:marBottom w:val="0"/>
      <w:divBdr>
        <w:top w:val="none" w:sz="0" w:space="0" w:color="auto"/>
        <w:left w:val="none" w:sz="0" w:space="0" w:color="auto"/>
        <w:bottom w:val="none" w:sz="0" w:space="0" w:color="auto"/>
        <w:right w:val="none" w:sz="0" w:space="0" w:color="auto"/>
      </w:divBdr>
    </w:div>
    <w:div w:id="1252734197">
      <w:bodyDiv w:val="1"/>
      <w:marLeft w:val="0"/>
      <w:marRight w:val="0"/>
      <w:marTop w:val="0"/>
      <w:marBottom w:val="0"/>
      <w:divBdr>
        <w:top w:val="none" w:sz="0" w:space="0" w:color="auto"/>
        <w:left w:val="none" w:sz="0" w:space="0" w:color="auto"/>
        <w:bottom w:val="none" w:sz="0" w:space="0" w:color="auto"/>
        <w:right w:val="none" w:sz="0" w:space="0" w:color="auto"/>
      </w:divBdr>
    </w:div>
    <w:div w:id="1293171694">
      <w:bodyDiv w:val="1"/>
      <w:marLeft w:val="0"/>
      <w:marRight w:val="0"/>
      <w:marTop w:val="0"/>
      <w:marBottom w:val="0"/>
      <w:divBdr>
        <w:top w:val="none" w:sz="0" w:space="0" w:color="auto"/>
        <w:left w:val="none" w:sz="0" w:space="0" w:color="auto"/>
        <w:bottom w:val="none" w:sz="0" w:space="0" w:color="auto"/>
        <w:right w:val="none" w:sz="0" w:space="0" w:color="auto"/>
      </w:divBdr>
    </w:div>
    <w:div w:id="1294673567">
      <w:bodyDiv w:val="1"/>
      <w:marLeft w:val="0"/>
      <w:marRight w:val="0"/>
      <w:marTop w:val="0"/>
      <w:marBottom w:val="0"/>
      <w:divBdr>
        <w:top w:val="none" w:sz="0" w:space="0" w:color="auto"/>
        <w:left w:val="none" w:sz="0" w:space="0" w:color="auto"/>
        <w:bottom w:val="none" w:sz="0" w:space="0" w:color="auto"/>
        <w:right w:val="none" w:sz="0" w:space="0" w:color="auto"/>
      </w:divBdr>
    </w:div>
    <w:div w:id="1307474567">
      <w:bodyDiv w:val="1"/>
      <w:marLeft w:val="0"/>
      <w:marRight w:val="0"/>
      <w:marTop w:val="0"/>
      <w:marBottom w:val="0"/>
      <w:divBdr>
        <w:top w:val="none" w:sz="0" w:space="0" w:color="auto"/>
        <w:left w:val="none" w:sz="0" w:space="0" w:color="auto"/>
        <w:bottom w:val="none" w:sz="0" w:space="0" w:color="auto"/>
        <w:right w:val="none" w:sz="0" w:space="0" w:color="auto"/>
      </w:divBdr>
    </w:div>
    <w:div w:id="1315717941">
      <w:bodyDiv w:val="1"/>
      <w:marLeft w:val="0"/>
      <w:marRight w:val="0"/>
      <w:marTop w:val="0"/>
      <w:marBottom w:val="0"/>
      <w:divBdr>
        <w:top w:val="none" w:sz="0" w:space="0" w:color="auto"/>
        <w:left w:val="none" w:sz="0" w:space="0" w:color="auto"/>
        <w:bottom w:val="none" w:sz="0" w:space="0" w:color="auto"/>
        <w:right w:val="none" w:sz="0" w:space="0" w:color="auto"/>
      </w:divBdr>
    </w:div>
    <w:div w:id="1331713844">
      <w:bodyDiv w:val="1"/>
      <w:marLeft w:val="0"/>
      <w:marRight w:val="0"/>
      <w:marTop w:val="0"/>
      <w:marBottom w:val="0"/>
      <w:divBdr>
        <w:top w:val="none" w:sz="0" w:space="0" w:color="auto"/>
        <w:left w:val="none" w:sz="0" w:space="0" w:color="auto"/>
        <w:bottom w:val="none" w:sz="0" w:space="0" w:color="auto"/>
        <w:right w:val="none" w:sz="0" w:space="0" w:color="auto"/>
      </w:divBdr>
    </w:div>
    <w:div w:id="1342781691">
      <w:bodyDiv w:val="1"/>
      <w:marLeft w:val="0"/>
      <w:marRight w:val="0"/>
      <w:marTop w:val="0"/>
      <w:marBottom w:val="0"/>
      <w:divBdr>
        <w:top w:val="none" w:sz="0" w:space="0" w:color="auto"/>
        <w:left w:val="none" w:sz="0" w:space="0" w:color="auto"/>
        <w:bottom w:val="none" w:sz="0" w:space="0" w:color="auto"/>
        <w:right w:val="none" w:sz="0" w:space="0" w:color="auto"/>
      </w:divBdr>
    </w:div>
    <w:div w:id="1370258306">
      <w:bodyDiv w:val="1"/>
      <w:marLeft w:val="0"/>
      <w:marRight w:val="0"/>
      <w:marTop w:val="0"/>
      <w:marBottom w:val="0"/>
      <w:divBdr>
        <w:top w:val="none" w:sz="0" w:space="0" w:color="auto"/>
        <w:left w:val="none" w:sz="0" w:space="0" w:color="auto"/>
        <w:bottom w:val="none" w:sz="0" w:space="0" w:color="auto"/>
        <w:right w:val="none" w:sz="0" w:space="0" w:color="auto"/>
      </w:divBdr>
    </w:div>
    <w:div w:id="1372534340">
      <w:bodyDiv w:val="1"/>
      <w:marLeft w:val="0"/>
      <w:marRight w:val="0"/>
      <w:marTop w:val="0"/>
      <w:marBottom w:val="0"/>
      <w:divBdr>
        <w:top w:val="none" w:sz="0" w:space="0" w:color="auto"/>
        <w:left w:val="none" w:sz="0" w:space="0" w:color="auto"/>
        <w:bottom w:val="none" w:sz="0" w:space="0" w:color="auto"/>
        <w:right w:val="none" w:sz="0" w:space="0" w:color="auto"/>
      </w:divBdr>
    </w:div>
    <w:div w:id="1373574424">
      <w:bodyDiv w:val="1"/>
      <w:marLeft w:val="0"/>
      <w:marRight w:val="0"/>
      <w:marTop w:val="0"/>
      <w:marBottom w:val="0"/>
      <w:divBdr>
        <w:top w:val="none" w:sz="0" w:space="0" w:color="auto"/>
        <w:left w:val="none" w:sz="0" w:space="0" w:color="auto"/>
        <w:bottom w:val="none" w:sz="0" w:space="0" w:color="auto"/>
        <w:right w:val="none" w:sz="0" w:space="0" w:color="auto"/>
      </w:divBdr>
    </w:div>
    <w:div w:id="1379358623">
      <w:bodyDiv w:val="1"/>
      <w:marLeft w:val="0"/>
      <w:marRight w:val="0"/>
      <w:marTop w:val="0"/>
      <w:marBottom w:val="0"/>
      <w:divBdr>
        <w:top w:val="none" w:sz="0" w:space="0" w:color="auto"/>
        <w:left w:val="none" w:sz="0" w:space="0" w:color="auto"/>
        <w:bottom w:val="none" w:sz="0" w:space="0" w:color="auto"/>
        <w:right w:val="none" w:sz="0" w:space="0" w:color="auto"/>
      </w:divBdr>
    </w:div>
    <w:div w:id="1381397821">
      <w:bodyDiv w:val="1"/>
      <w:marLeft w:val="0"/>
      <w:marRight w:val="0"/>
      <w:marTop w:val="0"/>
      <w:marBottom w:val="0"/>
      <w:divBdr>
        <w:top w:val="none" w:sz="0" w:space="0" w:color="auto"/>
        <w:left w:val="none" w:sz="0" w:space="0" w:color="auto"/>
        <w:bottom w:val="none" w:sz="0" w:space="0" w:color="auto"/>
        <w:right w:val="none" w:sz="0" w:space="0" w:color="auto"/>
      </w:divBdr>
    </w:div>
    <w:div w:id="1396734560">
      <w:bodyDiv w:val="1"/>
      <w:marLeft w:val="0"/>
      <w:marRight w:val="0"/>
      <w:marTop w:val="0"/>
      <w:marBottom w:val="0"/>
      <w:divBdr>
        <w:top w:val="none" w:sz="0" w:space="0" w:color="auto"/>
        <w:left w:val="none" w:sz="0" w:space="0" w:color="auto"/>
        <w:bottom w:val="none" w:sz="0" w:space="0" w:color="auto"/>
        <w:right w:val="none" w:sz="0" w:space="0" w:color="auto"/>
      </w:divBdr>
    </w:div>
    <w:div w:id="1397243724">
      <w:bodyDiv w:val="1"/>
      <w:marLeft w:val="0"/>
      <w:marRight w:val="0"/>
      <w:marTop w:val="0"/>
      <w:marBottom w:val="0"/>
      <w:divBdr>
        <w:top w:val="none" w:sz="0" w:space="0" w:color="auto"/>
        <w:left w:val="none" w:sz="0" w:space="0" w:color="auto"/>
        <w:bottom w:val="none" w:sz="0" w:space="0" w:color="auto"/>
        <w:right w:val="none" w:sz="0" w:space="0" w:color="auto"/>
      </w:divBdr>
    </w:div>
    <w:div w:id="1425956458">
      <w:bodyDiv w:val="1"/>
      <w:marLeft w:val="0"/>
      <w:marRight w:val="0"/>
      <w:marTop w:val="0"/>
      <w:marBottom w:val="0"/>
      <w:divBdr>
        <w:top w:val="none" w:sz="0" w:space="0" w:color="auto"/>
        <w:left w:val="none" w:sz="0" w:space="0" w:color="auto"/>
        <w:bottom w:val="none" w:sz="0" w:space="0" w:color="auto"/>
        <w:right w:val="none" w:sz="0" w:space="0" w:color="auto"/>
      </w:divBdr>
    </w:div>
    <w:div w:id="1437170549">
      <w:bodyDiv w:val="1"/>
      <w:marLeft w:val="0"/>
      <w:marRight w:val="0"/>
      <w:marTop w:val="0"/>
      <w:marBottom w:val="0"/>
      <w:divBdr>
        <w:top w:val="none" w:sz="0" w:space="0" w:color="auto"/>
        <w:left w:val="none" w:sz="0" w:space="0" w:color="auto"/>
        <w:bottom w:val="none" w:sz="0" w:space="0" w:color="auto"/>
        <w:right w:val="none" w:sz="0" w:space="0" w:color="auto"/>
      </w:divBdr>
    </w:div>
    <w:div w:id="1445074528">
      <w:bodyDiv w:val="1"/>
      <w:marLeft w:val="0"/>
      <w:marRight w:val="0"/>
      <w:marTop w:val="0"/>
      <w:marBottom w:val="0"/>
      <w:divBdr>
        <w:top w:val="none" w:sz="0" w:space="0" w:color="auto"/>
        <w:left w:val="none" w:sz="0" w:space="0" w:color="auto"/>
        <w:bottom w:val="none" w:sz="0" w:space="0" w:color="auto"/>
        <w:right w:val="none" w:sz="0" w:space="0" w:color="auto"/>
      </w:divBdr>
    </w:div>
    <w:div w:id="1468859660">
      <w:bodyDiv w:val="1"/>
      <w:marLeft w:val="0"/>
      <w:marRight w:val="0"/>
      <w:marTop w:val="0"/>
      <w:marBottom w:val="0"/>
      <w:divBdr>
        <w:top w:val="none" w:sz="0" w:space="0" w:color="auto"/>
        <w:left w:val="none" w:sz="0" w:space="0" w:color="auto"/>
        <w:bottom w:val="none" w:sz="0" w:space="0" w:color="auto"/>
        <w:right w:val="none" w:sz="0" w:space="0" w:color="auto"/>
      </w:divBdr>
    </w:div>
    <w:div w:id="1495802773">
      <w:bodyDiv w:val="1"/>
      <w:marLeft w:val="0"/>
      <w:marRight w:val="0"/>
      <w:marTop w:val="0"/>
      <w:marBottom w:val="0"/>
      <w:divBdr>
        <w:top w:val="none" w:sz="0" w:space="0" w:color="auto"/>
        <w:left w:val="none" w:sz="0" w:space="0" w:color="auto"/>
        <w:bottom w:val="none" w:sz="0" w:space="0" w:color="auto"/>
        <w:right w:val="none" w:sz="0" w:space="0" w:color="auto"/>
      </w:divBdr>
    </w:div>
    <w:div w:id="1500119431">
      <w:bodyDiv w:val="1"/>
      <w:marLeft w:val="0"/>
      <w:marRight w:val="0"/>
      <w:marTop w:val="0"/>
      <w:marBottom w:val="0"/>
      <w:divBdr>
        <w:top w:val="none" w:sz="0" w:space="0" w:color="auto"/>
        <w:left w:val="none" w:sz="0" w:space="0" w:color="auto"/>
        <w:bottom w:val="none" w:sz="0" w:space="0" w:color="auto"/>
        <w:right w:val="none" w:sz="0" w:space="0" w:color="auto"/>
      </w:divBdr>
    </w:div>
    <w:div w:id="1506821678">
      <w:bodyDiv w:val="1"/>
      <w:marLeft w:val="0"/>
      <w:marRight w:val="0"/>
      <w:marTop w:val="0"/>
      <w:marBottom w:val="0"/>
      <w:divBdr>
        <w:top w:val="none" w:sz="0" w:space="0" w:color="auto"/>
        <w:left w:val="none" w:sz="0" w:space="0" w:color="auto"/>
        <w:bottom w:val="none" w:sz="0" w:space="0" w:color="auto"/>
        <w:right w:val="none" w:sz="0" w:space="0" w:color="auto"/>
      </w:divBdr>
    </w:div>
    <w:div w:id="1517963571">
      <w:bodyDiv w:val="1"/>
      <w:marLeft w:val="0"/>
      <w:marRight w:val="0"/>
      <w:marTop w:val="0"/>
      <w:marBottom w:val="0"/>
      <w:divBdr>
        <w:top w:val="none" w:sz="0" w:space="0" w:color="auto"/>
        <w:left w:val="none" w:sz="0" w:space="0" w:color="auto"/>
        <w:bottom w:val="none" w:sz="0" w:space="0" w:color="auto"/>
        <w:right w:val="none" w:sz="0" w:space="0" w:color="auto"/>
      </w:divBdr>
    </w:div>
    <w:div w:id="1522472348">
      <w:bodyDiv w:val="1"/>
      <w:marLeft w:val="0"/>
      <w:marRight w:val="0"/>
      <w:marTop w:val="0"/>
      <w:marBottom w:val="0"/>
      <w:divBdr>
        <w:top w:val="none" w:sz="0" w:space="0" w:color="auto"/>
        <w:left w:val="none" w:sz="0" w:space="0" w:color="auto"/>
        <w:bottom w:val="none" w:sz="0" w:space="0" w:color="auto"/>
        <w:right w:val="none" w:sz="0" w:space="0" w:color="auto"/>
      </w:divBdr>
    </w:div>
    <w:div w:id="1526333639">
      <w:bodyDiv w:val="1"/>
      <w:marLeft w:val="0"/>
      <w:marRight w:val="0"/>
      <w:marTop w:val="0"/>
      <w:marBottom w:val="0"/>
      <w:divBdr>
        <w:top w:val="none" w:sz="0" w:space="0" w:color="auto"/>
        <w:left w:val="none" w:sz="0" w:space="0" w:color="auto"/>
        <w:bottom w:val="none" w:sz="0" w:space="0" w:color="auto"/>
        <w:right w:val="none" w:sz="0" w:space="0" w:color="auto"/>
      </w:divBdr>
    </w:div>
    <w:div w:id="1535315094">
      <w:bodyDiv w:val="1"/>
      <w:marLeft w:val="0"/>
      <w:marRight w:val="0"/>
      <w:marTop w:val="0"/>
      <w:marBottom w:val="0"/>
      <w:divBdr>
        <w:top w:val="none" w:sz="0" w:space="0" w:color="auto"/>
        <w:left w:val="none" w:sz="0" w:space="0" w:color="auto"/>
        <w:bottom w:val="none" w:sz="0" w:space="0" w:color="auto"/>
        <w:right w:val="none" w:sz="0" w:space="0" w:color="auto"/>
      </w:divBdr>
    </w:div>
    <w:div w:id="1548301632">
      <w:bodyDiv w:val="1"/>
      <w:marLeft w:val="0"/>
      <w:marRight w:val="0"/>
      <w:marTop w:val="0"/>
      <w:marBottom w:val="0"/>
      <w:divBdr>
        <w:top w:val="none" w:sz="0" w:space="0" w:color="auto"/>
        <w:left w:val="none" w:sz="0" w:space="0" w:color="auto"/>
        <w:bottom w:val="none" w:sz="0" w:space="0" w:color="auto"/>
        <w:right w:val="none" w:sz="0" w:space="0" w:color="auto"/>
      </w:divBdr>
    </w:div>
    <w:div w:id="1561861791">
      <w:bodyDiv w:val="1"/>
      <w:marLeft w:val="0"/>
      <w:marRight w:val="0"/>
      <w:marTop w:val="0"/>
      <w:marBottom w:val="0"/>
      <w:divBdr>
        <w:top w:val="none" w:sz="0" w:space="0" w:color="auto"/>
        <w:left w:val="none" w:sz="0" w:space="0" w:color="auto"/>
        <w:bottom w:val="none" w:sz="0" w:space="0" w:color="auto"/>
        <w:right w:val="none" w:sz="0" w:space="0" w:color="auto"/>
      </w:divBdr>
    </w:div>
    <w:div w:id="1573543199">
      <w:bodyDiv w:val="1"/>
      <w:marLeft w:val="0"/>
      <w:marRight w:val="0"/>
      <w:marTop w:val="0"/>
      <w:marBottom w:val="0"/>
      <w:divBdr>
        <w:top w:val="none" w:sz="0" w:space="0" w:color="auto"/>
        <w:left w:val="none" w:sz="0" w:space="0" w:color="auto"/>
        <w:bottom w:val="none" w:sz="0" w:space="0" w:color="auto"/>
        <w:right w:val="none" w:sz="0" w:space="0" w:color="auto"/>
      </w:divBdr>
    </w:div>
    <w:div w:id="1586650080">
      <w:bodyDiv w:val="1"/>
      <w:marLeft w:val="0"/>
      <w:marRight w:val="0"/>
      <w:marTop w:val="0"/>
      <w:marBottom w:val="0"/>
      <w:divBdr>
        <w:top w:val="none" w:sz="0" w:space="0" w:color="auto"/>
        <w:left w:val="none" w:sz="0" w:space="0" w:color="auto"/>
        <w:bottom w:val="none" w:sz="0" w:space="0" w:color="auto"/>
        <w:right w:val="none" w:sz="0" w:space="0" w:color="auto"/>
      </w:divBdr>
    </w:div>
    <w:div w:id="1587420971">
      <w:bodyDiv w:val="1"/>
      <w:marLeft w:val="0"/>
      <w:marRight w:val="0"/>
      <w:marTop w:val="0"/>
      <w:marBottom w:val="0"/>
      <w:divBdr>
        <w:top w:val="none" w:sz="0" w:space="0" w:color="auto"/>
        <w:left w:val="none" w:sz="0" w:space="0" w:color="auto"/>
        <w:bottom w:val="none" w:sz="0" w:space="0" w:color="auto"/>
        <w:right w:val="none" w:sz="0" w:space="0" w:color="auto"/>
      </w:divBdr>
    </w:div>
    <w:div w:id="1601058555">
      <w:bodyDiv w:val="1"/>
      <w:marLeft w:val="0"/>
      <w:marRight w:val="0"/>
      <w:marTop w:val="0"/>
      <w:marBottom w:val="0"/>
      <w:divBdr>
        <w:top w:val="none" w:sz="0" w:space="0" w:color="auto"/>
        <w:left w:val="none" w:sz="0" w:space="0" w:color="auto"/>
        <w:bottom w:val="none" w:sz="0" w:space="0" w:color="auto"/>
        <w:right w:val="none" w:sz="0" w:space="0" w:color="auto"/>
      </w:divBdr>
    </w:div>
    <w:div w:id="1618296601">
      <w:bodyDiv w:val="1"/>
      <w:marLeft w:val="0"/>
      <w:marRight w:val="0"/>
      <w:marTop w:val="0"/>
      <w:marBottom w:val="0"/>
      <w:divBdr>
        <w:top w:val="none" w:sz="0" w:space="0" w:color="auto"/>
        <w:left w:val="none" w:sz="0" w:space="0" w:color="auto"/>
        <w:bottom w:val="none" w:sz="0" w:space="0" w:color="auto"/>
        <w:right w:val="none" w:sz="0" w:space="0" w:color="auto"/>
      </w:divBdr>
    </w:div>
    <w:div w:id="1622496533">
      <w:bodyDiv w:val="1"/>
      <w:marLeft w:val="0"/>
      <w:marRight w:val="0"/>
      <w:marTop w:val="0"/>
      <w:marBottom w:val="0"/>
      <w:divBdr>
        <w:top w:val="none" w:sz="0" w:space="0" w:color="auto"/>
        <w:left w:val="none" w:sz="0" w:space="0" w:color="auto"/>
        <w:bottom w:val="none" w:sz="0" w:space="0" w:color="auto"/>
        <w:right w:val="none" w:sz="0" w:space="0" w:color="auto"/>
      </w:divBdr>
    </w:div>
    <w:div w:id="1623267159">
      <w:bodyDiv w:val="1"/>
      <w:marLeft w:val="0"/>
      <w:marRight w:val="0"/>
      <w:marTop w:val="0"/>
      <w:marBottom w:val="0"/>
      <w:divBdr>
        <w:top w:val="none" w:sz="0" w:space="0" w:color="auto"/>
        <w:left w:val="none" w:sz="0" w:space="0" w:color="auto"/>
        <w:bottom w:val="none" w:sz="0" w:space="0" w:color="auto"/>
        <w:right w:val="none" w:sz="0" w:space="0" w:color="auto"/>
      </w:divBdr>
    </w:div>
    <w:div w:id="1634404667">
      <w:bodyDiv w:val="1"/>
      <w:marLeft w:val="0"/>
      <w:marRight w:val="0"/>
      <w:marTop w:val="0"/>
      <w:marBottom w:val="0"/>
      <w:divBdr>
        <w:top w:val="none" w:sz="0" w:space="0" w:color="auto"/>
        <w:left w:val="none" w:sz="0" w:space="0" w:color="auto"/>
        <w:bottom w:val="none" w:sz="0" w:space="0" w:color="auto"/>
        <w:right w:val="none" w:sz="0" w:space="0" w:color="auto"/>
      </w:divBdr>
    </w:div>
    <w:div w:id="1636907202">
      <w:bodyDiv w:val="1"/>
      <w:marLeft w:val="0"/>
      <w:marRight w:val="0"/>
      <w:marTop w:val="0"/>
      <w:marBottom w:val="0"/>
      <w:divBdr>
        <w:top w:val="none" w:sz="0" w:space="0" w:color="auto"/>
        <w:left w:val="none" w:sz="0" w:space="0" w:color="auto"/>
        <w:bottom w:val="none" w:sz="0" w:space="0" w:color="auto"/>
        <w:right w:val="none" w:sz="0" w:space="0" w:color="auto"/>
      </w:divBdr>
    </w:div>
    <w:div w:id="1651253552">
      <w:bodyDiv w:val="1"/>
      <w:marLeft w:val="0"/>
      <w:marRight w:val="0"/>
      <w:marTop w:val="0"/>
      <w:marBottom w:val="0"/>
      <w:divBdr>
        <w:top w:val="none" w:sz="0" w:space="0" w:color="auto"/>
        <w:left w:val="none" w:sz="0" w:space="0" w:color="auto"/>
        <w:bottom w:val="none" w:sz="0" w:space="0" w:color="auto"/>
        <w:right w:val="none" w:sz="0" w:space="0" w:color="auto"/>
      </w:divBdr>
    </w:div>
    <w:div w:id="1655258409">
      <w:bodyDiv w:val="1"/>
      <w:marLeft w:val="0"/>
      <w:marRight w:val="0"/>
      <w:marTop w:val="0"/>
      <w:marBottom w:val="0"/>
      <w:divBdr>
        <w:top w:val="none" w:sz="0" w:space="0" w:color="auto"/>
        <w:left w:val="none" w:sz="0" w:space="0" w:color="auto"/>
        <w:bottom w:val="none" w:sz="0" w:space="0" w:color="auto"/>
        <w:right w:val="none" w:sz="0" w:space="0" w:color="auto"/>
      </w:divBdr>
    </w:div>
    <w:div w:id="1665160957">
      <w:bodyDiv w:val="1"/>
      <w:marLeft w:val="0"/>
      <w:marRight w:val="0"/>
      <w:marTop w:val="0"/>
      <w:marBottom w:val="0"/>
      <w:divBdr>
        <w:top w:val="none" w:sz="0" w:space="0" w:color="auto"/>
        <w:left w:val="none" w:sz="0" w:space="0" w:color="auto"/>
        <w:bottom w:val="none" w:sz="0" w:space="0" w:color="auto"/>
        <w:right w:val="none" w:sz="0" w:space="0" w:color="auto"/>
      </w:divBdr>
    </w:div>
    <w:div w:id="1686439470">
      <w:bodyDiv w:val="1"/>
      <w:marLeft w:val="0"/>
      <w:marRight w:val="0"/>
      <w:marTop w:val="0"/>
      <w:marBottom w:val="0"/>
      <w:divBdr>
        <w:top w:val="none" w:sz="0" w:space="0" w:color="auto"/>
        <w:left w:val="none" w:sz="0" w:space="0" w:color="auto"/>
        <w:bottom w:val="none" w:sz="0" w:space="0" w:color="auto"/>
        <w:right w:val="none" w:sz="0" w:space="0" w:color="auto"/>
      </w:divBdr>
    </w:div>
    <w:div w:id="1715278091">
      <w:bodyDiv w:val="1"/>
      <w:marLeft w:val="0"/>
      <w:marRight w:val="0"/>
      <w:marTop w:val="0"/>
      <w:marBottom w:val="0"/>
      <w:divBdr>
        <w:top w:val="none" w:sz="0" w:space="0" w:color="auto"/>
        <w:left w:val="none" w:sz="0" w:space="0" w:color="auto"/>
        <w:bottom w:val="none" w:sz="0" w:space="0" w:color="auto"/>
        <w:right w:val="none" w:sz="0" w:space="0" w:color="auto"/>
      </w:divBdr>
    </w:div>
    <w:div w:id="1717509502">
      <w:bodyDiv w:val="1"/>
      <w:marLeft w:val="0"/>
      <w:marRight w:val="0"/>
      <w:marTop w:val="0"/>
      <w:marBottom w:val="0"/>
      <w:divBdr>
        <w:top w:val="none" w:sz="0" w:space="0" w:color="auto"/>
        <w:left w:val="none" w:sz="0" w:space="0" w:color="auto"/>
        <w:bottom w:val="none" w:sz="0" w:space="0" w:color="auto"/>
        <w:right w:val="none" w:sz="0" w:space="0" w:color="auto"/>
      </w:divBdr>
    </w:div>
    <w:div w:id="1728146152">
      <w:bodyDiv w:val="1"/>
      <w:marLeft w:val="0"/>
      <w:marRight w:val="0"/>
      <w:marTop w:val="0"/>
      <w:marBottom w:val="0"/>
      <w:divBdr>
        <w:top w:val="none" w:sz="0" w:space="0" w:color="auto"/>
        <w:left w:val="none" w:sz="0" w:space="0" w:color="auto"/>
        <w:bottom w:val="none" w:sz="0" w:space="0" w:color="auto"/>
        <w:right w:val="none" w:sz="0" w:space="0" w:color="auto"/>
      </w:divBdr>
    </w:div>
    <w:div w:id="1732922056">
      <w:bodyDiv w:val="1"/>
      <w:marLeft w:val="0"/>
      <w:marRight w:val="0"/>
      <w:marTop w:val="0"/>
      <w:marBottom w:val="0"/>
      <w:divBdr>
        <w:top w:val="none" w:sz="0" w:space="0" w:color="auto"/>
        <w:left w:val="none" w:sz="0" w:space="0" w:color="auto"/>
        <w:bottom w:val="none" w:sz="0" w:space="0" w:color="auto"/>
        <w:right w:val="none" w:sz="0" w:space="0" w:color="auto"/>
      </w:divBdr>
    </w:div>
    <w:div w:id="1740247029">
      <w:bodyDiv w:val="1"/>
      <w:marLeft w:val="0"/>
      <w:marRight w:val="0"/>
      <w:marTop w:val="0"/>
      <w:marBottom w:val="0"/>
      <w:divBdr>
        <w:top w:val="none" w:sz="0" w:space="0" w:color="auto"/>
        <w:left w:val="none" w:sz="0" w:space="0" w:color="auto"/>
        <w:bottom w:val="none" w:sz="0" w:space="0" w:color="auto"/>
        <w:right w:val="none" w:sz="0" w:space="0" w:color="auto"/>
      </w:divBdr>
    </w:div>
    <w:div w:id="1747143666">
      <w:bodyDiv w:val="1"/>
      <w:marLeft w:val="0"/>
      <w:marRight w:val="0"/>
      <w:marTop w:val="0"/>
      <w:marBottom w:val="0"/>
      <w:divBdr>
        <w:top w:val="none" w:sz="0" w:space="0" w:color="auto"/>
        <w:left w:val="none" w:sz="0" w:space="0" w:color="auto"/>
        <w:bottom w:val="none" w:sz="0" w:space="0" w:color="auto"/>
        <w:right w:val="none" w:sz="0" w:space="0" w:color="auto"/>
      </w:divBdr>
    </w:div>
    <w:div w:id="1778713717">
      <w:bodyDiv w:val="1"/>
      <w:marLeft w:val="0"/>
      <w:marRight w:val="0"/>
      <w:marTop w:val="0"/>
      <w:marBottom w:val="0"/>
      <w:divBdr>
        <w:top w:val="none" w:sz="0" w:space="0" w:color="auto"/>
        <w:left w:val="none" w:sz="0" w:space="0" w:color="auto"/>
        <w:bottom w:val="none" w:sz="0" w:space="0" w:color="auto"/>
        <w:right w:val="none" w:sz="0" w:space="0" w:color="auto"/>
      </w:divBdr>
    </w:div>
    <w:div w:id="1784958621">
      <w:bodyDiv w:val="1"/>
      <w:marLeft w:val="0"/>
      <w:marRight w:val="0"/>
      <w:marTop w:val="0"/>
      <w:marBottom w:val="0"/>
      <w:divBdr>
        <w:top w:val="none" w:sz="0" w:space="0" w:color="auto"/>
        <w:left w:val="none" w:sz="0" w:space="0" w:color="auto"/>
        <w:bottom w:val="none" w:sz="0" w:space="0" w:color="auto"/>
        <w:right w:val="none" w:sz="0" w:space="0" w:color="auto"/>
      </w:divBdr>
    </w:div>
    <w:div w:id="1786391202">
      <w:bodyDiv w:val="1"/>
      <w:marLeft w:val="0"/>
      <w:marRight w:val="0"/>
      <w:marTop w:val="0"/>
      <w:marBottom w:val="0"/>
      <w:divBdr>
        <w:top w:val="none" w:sz="0" w:space="0" w:color="auto"/>
        <w:left w:val="none" w:sz="0" w:space="0" w:color="auto"/>
        <w:bottom w:val="none" w:sz="0" w:space="0" w:color="auto"/>
        <w:right w:val="none" w:sz="0" w:space="0" w:color="auto"/>
      </w:divBdr>
    </w:div>
    <w:div w:id="1791128428">
      <w:bodyDiv w:val="1"/>
      <w:marLeft w:val="0"/>
      <w:marRight w:val="0"/>
      <w:marTop w:val="0"/>
      <w:marBottom w:val="0"/>
      <w:divBdr>
        <w:top w:val="none" w:sz="0" w:space="0" w:color="auto"/>
        <w:left w:val="none" w:sz="0" w:space="0" w:color="auto"/>
        <w:bottom w:val="none" w:sz="0" w:space="0" w:color="auto"/>
        <w:right w:val="none" w:sz="0" w:space="0" w:color="auto"/>
      </w:divBdr>
    </w:div>
    <w:div w:id="1796411098">
      <w:bodyDiv w:val="1"/>
      <w:marLeft w:val="0"/>
      <w:marRight w:val="0"/>
      <w:marTop w:val="0"/>
      <w:marBottom w:val="0"/>
      <w:divBdr>
        <w:top w:val="none" w:sz="0" w:space="0" w:color="auto"/>
        <w:left w:val="none" w:sz="0" w:space="0" w:color="auto"/>
        <w:bottom w:val="none" w:sz="0" w:space="0" w:color="auto"/>
        <w:right w:val="none" w:sz="0" w:space="0" w:color="auto"/>
      </w:divBdr>
    </w:div>
    <w:div w:id="1812794790">
      <w:bodyDiv w:val="1"/>
      <w:marLeft w:val="0"/>
      <w:marRight w:val="0"/>
      <w:marTop w:val="0"/>
      <w:marBottom w:val="0"/>
      <w:divBdr>
        <w:top w:val="none" w:sz="0" w:space="0" w:color="auto"/>
        <w:left w:val="none" w:sz="0" w:space="0" w:color="auto"/>
        <w:bottom w:val="none" w:sz="0" w:space="0" w:color="auto"/>
        <w:right w:val="none" w:sz="0" w:space="0" w:color="auto"/>
      </w:divBdr>
    </w:div>
    <w:div w:id="1822233335">
      <w:bodyDiv w:val="1"/>
      <w:marLeft w:val="0"/>
      <w:marRight w:val="0"/>
      <w:marTop w:val="0"/>
      <w:marBottom w:val="0"/>
      <w:divBdr>
        <w:top w:val="none" w:sz="0" w:space="0" w:color="auto"/>
        <w:left w:val="none" w:sz="0" w:space="0" w:color="auto"/>
        <w:bottom w:val="none" w:sz="0" w:space="0" w:color="auto"/>
        <w:right w:val="none" w:sz="0" w:space="0" w:color="auto"/>
      </w:divBdr>
    </w:div>
    <w:div w:id="1843470418">
      <w:bodyDiv w:val="1"/>
      <w:marLeft w:val="0"/>
      <w:marRight w:val="0"/>
      <w:marTop w:val="0"/>
      <w:marBottom w:val="0"/>
      <w:divBdr>
        <w:top w:val="none" w:sz="0" w:space="0" w:color="auto"/>
        <w:left w:val="none" w:sz="0" w:space="0" w:color="auto"/>
        <w:bottom w:val="none" w:sz="0" w:space="0" w:color="auto"/>
        <w:right w:val="none" w:sz="0" w:space="0" w:color="auto"/>
      </w:divBdr>
    </w:div>
    <w:div w:id="1846820987">
      <w:bodyDiv w:val="1"/>
      <w:marLeft w:val="0"/>
      <w:marRight w:val="0"/>
      <w:marTop w:val="0"/>
      <w:marBottom w:val="0"/>
      <w:divBdr>
        <w:top w:val="none" w:sz="0" w:space="0" w:color="auto"/>
        <w:left w:val="none" w:sz="0" w:space="0" w:color="auto"/>
        <w:bottom w:val="none" w:sz="0" w:space="0" w:color="auto"/>
        <w:right w:val="none" w:sz="0" w:space="0" w:color="auto"/>
      </w:divBdr>
    </w:div>
    <w:div w:id="1863977785">
      <w:bodyDiv w:val="1"/>
      <w:marLeft w:val="0"/>
      <w:marRight w:val="0"/>
      <w:marTop w:val="0"/>
      <w:marBottom w:val="0"/>
      <w:divBdr>
        <w:top w:val="none" w:sz="0" w:space="0" w:color="auto"/>
        <w:left w:val="none" w:sz="0" w:space="0" w:color="auto"/>
        <w:bottom w:val="none" w:sz="0" w:space="0" w:color="auto"/>
        <w:right w:val="none" w:sz="0" w:space="0" w:color="auto"/>
      </w:divBdr>
    </w:div>
    <w:div w:id="1866555568">
      <w:bodyDiv w:val="1"/>
      <w:marLeft w:val="0"/>
      <w:marRight w:val="0"/>
      <w:marTop w:val="0"/>
      <w:marBottom w:val="0"/>
      <w:divBdr>
        <w:top w:val="none" w:sz="0" w:space="0" w:color="auto"/>
        <w:left w:val="none" w:sz="0" w:space="0" w:color="auto"/>
        <w:bottom w:val="none" w:sz="0" w:space="0" w:color="auto"/>
        <w:right w:val="none" w:sz="0" w:space="0" w:color="auto"/>
      </w:divBdr>
    </w:div>
    <w:div w:id="1885410367">
      <w:bodyDiv w:val="1"/>
      <w:marLeft w:val="0"/>
      <w:marRight w:val="0"/>
      <w:marTop w:val="0"/>
      <w:marBottom w:val="0"/>
      <w:divBdr>
        <w:top w:val="none" w:sz="0" w:space="0" w:color="auto"/>
        <w:left w:val="none" w:sz="0" w:space="0" w:color="auto"/>
        <w:bottom w:val="none" w:sz="0" w:space="0" w:color="auto"/>
        <w:right w:val="none" w:sz="0" w:space="0" w:color="auto"/>
      </w:divBdr>
    </w:div>
    <w:div w:id="1893807645">
      <w:bodyDiv w:val="1"/>
      <w:marLeft w:val="0"/>
      <w:marRight w:val="0"/>
      <w:marTop w:val="0"/>
      <w:marBottom w:val="0"/>
      <w:divBdr>
        <w:top w:val="none" w:sz="0" w:space="0" w:color="auto"/>
        <w:left w:val="none" w:sz="0" w:space="0" w:color="auto"/>
        <w:bottom w:val="none" w:sz="0" w:space="0" w:color="auto"/>
        <w:right w:val="none" w:sz="0" w:space="0" w:color="auto"/>
      </w:divBdr>
    </w:div>
    <w:div w:id="1894656587">
      <w:bodyDiv w:val="1"/>
      <w:marLeft w:val="0"/>
      <w:marRight w:val="0"/>
      <w:marTop w:val="0"/>
      <w:marBottom w:val="0"/>
      <w:divBdr>
        <w:top w:val="none" w:sz="0" w:space="0" w:color="auto"/>
        <w:left w:val="none" w:sz="0" w:space="0" w:color="auto"/>
        <w:bottom w:val="none" w:sz="0" w:space="0" w:color="auto"/>
        <w:right w:val="none" w:sz="0" w:space="0" w:color="auto"/>
      </w:divBdr>
    </w:div>
    <w:div w:id="1898934870">
      <w:bodyDiv w:val="1"/>
      <w:marLeft w:val="0"/>
      <w:marRight w:val="0"/>
      <w:marTop w:val="0"/>
      <w:marBottom w:val="0"/>
      <w:divBdr>
        <w:top w:val="none" w:sz="0" w:space="0" w:color="auto"/>
        <w:left w:val="none" w:sz="0" w:space="0" w:color="auto"/>
        <w:bottom w:val="none" w:sz="0" w:space="0" w:color="auto"/>
        <w:right w:val="none" w:sz="0" w:space="0" w:color="auto"/>
      </w:divBdr>
    </w:div>
    <w:div w:id="1910916428">
      <w:bodyDiv w:val="1"/>
      <w:marLeft w:val="0"/>
      <w:marRight w:val="0"/>
      <w:marTop w:val="0"/>
      <w:marBottom w:val="0"/>
      <w:divBdr>
        <w:top w:val="none" w:sz="0" w:space="0" w:color="auto"/>
        <w:left w:val="none" w:sz="0" w:space="0" w:color="auto"/>
        <w:bottom w:val="none" w:sz="0" w:space="0" w:color="auto"/>
        <w:right w:val="none" w:sz="0" w:space="0" w:color="auto"/>
      </w:divBdr>
    </w:div>
    <w:div w:id="1928953754">
      <w:bodyDiv w:val="1"/>
      <w:marLeft w:val="0"/>
      <w:marRight w:val="0"/>
      <w:marTop w:val="0"/>
      <w:marBottom w:val="0"/>
      <w:divBdr>
        <w:top w:val="none" w:sz="0" w:space="0" w:color="auto"/>
        <w:left w:val="none" w:sz="0" w:space="0" w:color="auto"/>
        <w:bottom w:val="none" w:sz="0" w:space="0" w:color="auto"/>
        <w:right w:val="none" w:sz="0" w:space="0" w:color="auto"/>
      </w:divBdr>
    </w:div>
    <w:div w:id="1941257909">
      <w:bodyDiv w:val="1"/>
      <w:marLeft w:val="0"/>
      <w:marRight w:val="0"/>
      <w:marTop w:val="0"/>
      <w:marBottom w:val="0"/>
      <w:divBdr>
        <w:top w:val="none" w:sz="0" w:space="0" w:color="auto"/>
        <w:left w:val="none" w:sz="0" w:space="0" w:color="auto"/>
        <w:bottom w:val="none" w:sz="0" w:space="0" w:color="auto"/>
        <w:right w:val="none" w:sz="0" w:space="0" w:color="auto"/>
      </w:divBdr>
    </w:div>
    <w:div w:id="1951550204">
      <w:bodyDiv w:val="1"/>
      <w:marLeft w:val="0"/>
      <w:marRight w:val="0"/>
      <w:marTop w:val="0"/>
      <w:marBottom w:val="0"/>
      <w:divBdr>
        <w:top w:val="none" w:sz="0" w:space="0" w:color="auto"/>
        <w:left w:val="none" w:sz="0" w:space="0" w:color="auto"/>
        <w:bottom w:val="none" w:sz="0" w:space="0" w:color="auto"/>
        <w:right w:val="none" w:sz="0" w:space="0" w:color="auto"/>
      </w:divBdr>
    </w:div>
    <w:div w:id="1990866915">
      <w:bodyDiv w:val="1"/>
      <w:marLeft w:val="0"/>
      <w:marRight w:val="0"/>
      <w:marTop w:val="0"/>
      <w:marBottom w:val="0"/>
      <w:divBdr>
        <w:top w:val="none" w:sz="0" w:space="0" w:color="auto"/>
        <w:left w:val="none" w:sz="0" w:space="0" w:color="auto"/>
        <w:bottom w:val="none" w:sz="0" w:space="0" w:color="auto"/>
        <w:right w:val="none" w:sz="0" w:space="0" w:color="auto"/>
      </w:divBdr>
    </w:div>
    <w:div w:id="1999380683">
      <w:bodyDiv w:val="1"/>
      <w:marLeft w:val="0"/>
      <w:marRight w:val="0"/>
      <w:marTop w:val="0"/>
      <w:marBottom w:val="0"/>
      <w:divBdr>
        <w:top w:val="none" w:sz="0" w:space="0" w:color="auto"/>
        <w:left w:val="none" w:sz="0" w:space="0" w:color="auto"/>
        <w:bottom w:val="none" w:sz="0" w:space="0" w:color="auto"/>
        <w:right w:val="none" w:sz="0" w:space="0" w:color="auto"/>
      </w:divBdr>
    </w:div>
    <w:div w:id="2025983188">
      <w:bodyDiv w:val="1"/>
      <w:marLeft w:val="0"/>
      <w:marRight w:val="0"/>
      <w:marTop w:val="0"/>
      <w:marBottom w:val="0"/>
      <w:divBdr>
        <w:top w:val="none" w:sz="0" w:space="0" w:color="auto"/>
        <w:left w:val="none" w:sz="0" w:space="0" w:color="auto"/>
        <w:bottom w:val="none" w:sz="0" w:space="0" w:color="auto"/>
        <w:right w:val="none" w:sz="0" w:space="0" w:color="auto"/>
      </w:divBdr>
    </w:div>
    <w:div w:id="2033220036">
      <w:bodyDiv w:val="1"/>
      <w:marLeft w:val="0"/>
      <w:marRight w:val="0"/>
      <w:marTop w:val="0"/>
      <w:marBottom w:val="0"/>
      <w:divBdr>
        <w:top w:val="none" w:sz="0" w:space="0" w:color="auto"/>
        <w:left w:val="none" w:sz="0" w:space="0" w:color="auto"/>
        <w:bottom w:val="none" w:sz="0" w:space="0" w:color="auto"/>
        <w:right w:val="none" w:sz="0" w:space="0" w:color="auto"/>
      </w:divBdr>
    </w:div>
    <w:div w:id="2038190706">
      <w:bodyDiv w:val="1"/>
      <w:marLeft w:val="0"/>
      <w:marRight w:val="0"/>
      <w:marTop w:val="0"/>
      <w:marBottom w:val="0"/>
      <w:divBdr>
        <w:top w:val="none" w:sz="0" w:space="0" w:color="auto"/>
        <w:left w:val="none" w:sz="0" w:space="0" w:color="auto"/>
        <w:bottom w:val="none" w:sz="0" w:space="0" w:color="auto"/>
        <w:right w:val="none" w:sz="0" w:space="0" w:color="auto"/>
      </w:divBdr>
    </w:div>
    <w:div w:id="2050496486">
      <w:bodyDiv w:val="1"/>
      <w:marLeft w:val="0"/>
      <w:marRight w:val="0"/>
      <w:marTop w:val="0"/>
      <w:marBottom w:val="0"/>
      <w:divBdr>
        <w:top w:val="none" w:sz="0" w:space="0" w:color="auto"/>
        <w:left w:val="none" w:sz="0" w:space="0" w:color="auto"/>
        <w:bottom w:val="none" w:sz="0" w:space="0" w:color="auto"/>
        <w:right w:val="none" w:sz="0" w:space="0" w:color="auto"/>
      </w:divBdr>
    </w:div>
    <w:div w:id="2058310767">
      <w:bodyDiv w:val="1"/>
      <w:marLeft w:val="0"/>
      <w:marRight w:val="0"/>
      <w:marTop w:val="0"/>
      <w:marBottom w:val="0"/>
      <w:divBdr>
        <w:top w:val="none" w:sz="0" w:space="0" w:color="auto"/>
        <w:left w:val="none" w:sz="0" w:space="0" w:color="auto"/>
        <w:bottom w:val="none" w:sz="0" w:space="0" w:color="auto"/>
        <w:right w:val="none" w:sz="0" w:space="0" w:color="auto"/>
      </w:divBdr>
    </w:div>
    <w:div w:id="2060861305">
      <w:bodyDiv w:val="1"/>
      <w:marLeft w:val="0"/>
      <w:marRight w:val="0"/>
      <w:marTop w:val="0"/>
      <w:marBottom w:val="0"/>
      <w:divBdr>
        <w:top w:val="none" w:sz="0" w:space="0" w:color="auto"/>
        <w:left w:val="none" w:sz="0" w:space="0" w:color="auto"/>
        <w:bottom w:val="none" w:sz="0" w:space="0" w:color="auto"/>
        <w:right w:val="none" w:sz="0" w:space="0" w:color="auto"/>
      </w:divBdr>
    </w:div>
    <w:div w:id="2068450636">
      <w:bodyDiv w:val="1"/>
      <w:marLeft w:val="0"/>
      <w:marRight w:val="0"/>
      <w:marTop w:val="0"/>
      <w:marBottom w:val="0"/>
      <w:divBdr>
        <w:top w:val="none" w:sz="0" w:space="0" w:color="auto"/>
        <w:left w:val="none" w:sz="0" w:space="0" w:color="auto"/>
        <w:bottom w:val="none" w:sz="0" w:space="0" w:color="auto"/>
        <w:right w:val="none" w:sz="0" w:space="0" w:color="auto"/>
      </w:divBdr>
    </w:div>
    <w:div w:id="2075618487">
      <w:bodyDiv w:val="1"/>
      <w:marLeft w:val="0"/>
      <w:marRight w:val="0"/>
      <w:marTop w:val="0"/>
      <w:marBottom w:val="0"/>
      <w:divBdr>
        <w:top w:val="none" w:sz="0" w:space="0" w:color="auto"/>
        <w:left w:val="none" w:sz="0" w:space="0" w:color="auto"/>
        <w:bottom w:val="none" w:sz="0" w:space="0" w:color="auto"/>
        <w:right w:val="none" w:sz="0" w:space="0" w:color="auto"/>
      </w:divBdr>
    </w:div>
    <w:div w:id="2086687826">
      <w:bodyDiv w:val="1"/>
      <w:marLeft w:val="0"/>
      <w:marRight w:val="0"/>
      <w:marTop w:val="0"/>
      <w:marBottom w:val="0"/>
      <w:divBdr>
        <w:top w:val="none" w:sz="0" w:space="0" w:color="auto"/>
        <w:left w:val="none" w:sz="0" w:space="0" w:color="auto"/>
        <w:bottom w:val="none" w:sz="0" w:space="0" w:color="auto"/>
        <w:right w:val="none" w:sz="0" w:space="0" w:color="auto"/>
      </w:divBdr>
    </w:div>
    <w:div w:id="2098086838">
      <w:bodyDiv w:val="1"/>
      <w:marLeft w:val="0"/>
      <w:marRight w:val="0"/>
      <w:marTop w:val="0"/>
      <w:marBottom w:val="0"/>
      <w:divBdr>
        <w:top w:val="none" w:sz="0" w:space="0" w:color="auto"/>
        <w:left w:val="none" w:sz="0" w:space="0" w:color="auto"/>
        <w:bottom w:val="none" w:sz="0" w:space="0" w:color="auto"/>
        <w:right w:val="none" w:sz="0" w:space="0" w:color="auto"/>
      </w:divBdr>
    </w:div>
    <w:div w:id="2104447266">
      <w:bodyDiv w:val="1"/>
      <w:marLeft w:val="0"/>
      <w:marRight w:val="0"/>
      <w:marTop w:val="0"/>
      <w:marBottom w:val="0"/>
      <w:divBdr>
        <w:top w:val="none" w:sz="0" w:space="0" w:color="auto"/>
        <w:left w:val="none" w:sz="0" w:space="0" w:color="auto"/>
        <w:bottom w:val="none" w:sz="0" w:space="0" w:color="auto"/>
        <w:right w:val="none" w:sz="0" w:space="0" w:color="auto"/>
      </w:divBdr>
    </w:div>
    <w:div w:id="2113240568">
      <w:bodyDiv w:val="1"/>
      <w:marLeft w:val="0"/>
      <w:marRight w:val="0"/>
      <w:marTop w:val="0"/>
      <w:marBottom w:val="0"/>
      <w:divBdr>
        <w:top w:val="none" w:sz="0" w:space="0" w:color="auto"/>
        <w:left w:val="none" w:sz="0" w:space="0" w:color="auto"/>
        <w:bottom w:val="none" w:sz="0" w:space="0" w:color="auto"/>
        <w:right w:val="none" w:sz="0" w:space="0" w:color="auto"/>
      </w:divBdr>
    </w:div>
    <w:div w:id="2115786236">
      <w:bodyDiv w:val="1"/>
      <w:marLeft w:val="0"/>
      <w:marRight w:val="0"/>
      <w:marTop w:val="0"/>
      <w:marBottom w:val="0"/>
      <w:divBdr>
        <w:top w:val="none" w:sz="0" w:space="0" w:color="auto"/>
        <w:left w:val="none" w:sz="0" w:space="0" w:color="auto"/>
        <w:bottom w:val="none" w:sz="0" w:space="0" w:color="auto"/>
        <w:right w:val="none" w:sz="0" w:space="0" w:color="auto"/>
      </w:divBdr>
    </w:div>
    <w:div w:id="2135516563">
      <w:bodyDiv w:val="1"/>
      <w:marLeft w:val="0"/>
      <w:marRight w:val="0"/>
      <w:marTop w:val="0"/>
      <w:marBottom w:val="0"/>
      <w:divBdr>
        <w:top w:val="none" w:sz="0" w:space="0" w:color="auto"/>
        <w:left w:val="none" w:sz="0" w:space="0" w:color="auto"/>
        <w:bottom w:val="none" w:sz="0" w:space="0" w:color="auto"/>
        <w:right w:val="none" w:sz="0" w:space="0" w:color="auto"/>
      </w:divBdr>
    </w:div>
    <w:div w:id="21435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connect.sustainalytics.com/hubfs/INV/Methodology/Sustainalytics_ESG%20Ratings_Methodology%20Abstract.pdf" TargetMode="External"/><Relationship Id="rId1" Type="http://schemas.openxmlformats.org/officeDocument/2006/relationships/hyperlink" Target="https://justcapital.com/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DBA26-B914-4CC6-A6F8-F30F0A53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3922</Words>
  <Characters>21654</Characters>
  <Application>Microsoft Office Word</Application>
  <DocSecurity>0</DocSecurity>
  <Lines>698</Lines>
  <Paragraphs>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Tallarita</dc:creator>
  <cp:lastModifiedBy>Susan</cp:lastModifiedBy>
  <cp:revision>2</cp:revision>
  <cp:lastPrinted>2021-08-04T10:19:00Z</cp:lastPrinted>
  <dcterms:created xsi:type="dcterms:W3CDTF">2022-02-05T16:41:00Z</dcterms:created>
  <dcterms:modified xsi:type="dcterms:W3CDTF">2022-02-05T16:41:00Z</dcterms:modified>
</cp:coreProperties>
</file>