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F48E" w14:textId="77777777" w:rsidR="00F255EE" w:rsidRDefault="00F255EE" w:rsidP="00F255EE">
      <w:pPr>
        <w:spacing w:line="360" w:lineRule="auto"/>
        <w:jc w:val="center"/>
        <w:rPr>
          <w:b/>
          <w:bCs/>
          <w:sz w:val="24"/>
          <w:szCs w:val="24"/>
        </w:rPr>
      </w:pPr>
    </w:p>
    <w:p w14:paraId="1BE2A80E" w14:textId="77777777" w:rsidR="00F255EE" w:rsidRDefault="00F255EE" w:rsidP="00F255EE">
      <w:pPr>
        <w:spacing w:line="360" w:lineRule="auto"/>
        <w:jc w:val="center"/>
        <w:rPr>
          <w:b/>
          <w:bCs/>
          <w:sz w:val="24"/>
          <w:szCs w:val="24"/>
        </w:rPr>
      </w:pPr>
    </w:p>
    <w:p w14:paraId="44A331D0" w14:textId="78556C7D" w:rsidR="001A5EBC" w:rsidRDefault="001A5EBC" w:rsidP="00393BA2">
      <w:pPr>
        <w:spacing w:line="360" w:lineRule="auto"/>
        <w:jc w:val="center"/>
        <w:rPr>
          <w:b/>
          <w:bCs/>
          <w:sz w:val="28"/>
          <w:szCs w:val="28"/>
          <w:rtl/>
        </w:rPr>
      </w:pPr>
      <w:r w:rsidRPr="00C54C6D">
        <w:rPr>
          <w:b/>
          <w:bCs/>
          <w:sz w:val="28"/>
          <w:szCs w:val="28"/>
        </w:rPr>
        <w:t xml:space="preserve">Shaming in Rabbinical Court </w:t>
      </w:r>
      <w:commentRangeStart w:id="0"/>
      <w:r w:rsidRPr="00C54C6D">
        <w:rPr>
          <w:b/>
          <w:bCs/>
          <w:sz w:val="28"/>
          <w:szCs w:val="28"/>
        </w:rPr>
        <w:t>Rulings</w:t>
      </w:r>
      <w:commentRangeEnd w:id="0"/>
      <w:r>
        <w:rPr>
          <w:rStyle w:val="ac"/>
          <w:rtl/>
        </w:rPr>
        <w:commentReference w:id="0"/>
      </w:r>
      <w:r w:rsidR="00B42F71">
        <w:rPr>
          <w:rFonts w:hint="cs"/>
          <w:b/>
          <w:bCs/>
          <w:sz w:val="28"/>
          <w:szCs w:val="28"/>
          <w:rtl/>
        </w:rPr>
        <w:t xml:space="preserve"> </w:t>
      </w:r>
    </w:p>
    <w:p w14:paraId="4700758A" w14:textId="77777777" w:rsidR="00393BA2" w:rsidRDefault="001A5EBC" w:rsidP="00393BA2">
      <w:pPr>
        <w:spacing w:line="360" w:lineRule="auto"/>
        <w:jc w:val="center"/>
        <w:rPr>
          <w:b/>
          <w:bCs/>
          <w:sz w:val="28"/>
          <w:szCs w:val="28"/>
        </w:rPr>
      </w:pPr>
      <w:proofErr w:type="gramStart"/>
      <w:r>
        <w:rPr>
          <w:b/>
          <w:bCs/>
          <w:sz w:val="28"/>
          <w:szCs w:val="28"/>
        </w:rPr>
        <w:t>:</w:t>
      </w:r>
      <w:r w:rsidR="00F255EE" w:rsidRPr="00C54C6D">
        <w:rPr>
          <w:b/>
          <w:bCs/>
          <w:sz w:val="28"/>
          <w:szCs w:val="28"/>
        </w:rPr>
        <w:t>A</w:t>
      </w:r>
      <w:proofErr w:type="gramEnd"/>
      <w:r w:rsidR="00F255EE" w:rsidRPr="00C54C6D">
        <w:rPr>
          <w:b/>
          <w:bCs/>
          <w:sz w:val="28"/>
          <w:szCs w:val="28"/>
        </w:rPr>
        <w:t xml:space="preserve"> Modern Commentary on Medieval Rabbinic</w:t>
      </w:r>
    </w:p>
    <w:p w14:paraId="6155EAF7" w14:textId="4EA606F8" w:rsidR="00F255EE" w:rsidRPr="00393BA2" w:rsidRDefault="00F255EE" w:rsidP="00393BA2">
      <w:pPr>
        <w:spacing w:line="360" w:lineRule="auto"/>
        <w:jc w:val="center"/>
        <w:rPr>
          <w:b/>
          <w:bCs/>
          <w:sz w:val="28"/>
          <w:szCs w:val="28"/>
          <w:rtl/>
        </w:rPr>
      </w:pPr>
      <w:r w:rsidRPr="00C54C6D">
        <w:rPr>
          <w:b/>
          <w:bCs/>
          <w:sz w:val="28"/>
          <w:szCs w:val="28"/>
        </w:rPr>
        <w:t>Sanctions in Divorce Cases</w:t>
      </w:r>
      <w:r w:rsidRPr="00C54C6D">
        <w:rPr>
          <w:rStyle w:val="a9"/>
          <w:b/>
          <w:bCs/>
          <w:sz w:val="24"/>
          <w:szCs w:val="24"/>
        </w:rPr>
        <w:endnoteReference w:id="1"/>
      </w:r>
    </w:p>
    <w:p w14:paraId="3823E351" w14:textId="77777777" w:rsidR="00F255EE" w:rsidRPr="00C54C6D" w:rsidRDefault="00F255EE" w:rsidP="00F255EE">
      <w:pPr>
        <w:pStyle w:val="PB"/>
        <w:jc w:val="both"/>
        <w:rPr>
          <w:b/>
          <w:bCs/>
          <w:sz w:val="22"/>
          <w:szCs w:val="22"/>
          <w:lang w:bidi="he-IL"/>
        </w:rPr>
      </w:pPr>
      <w:r w:rsidRPr="00C54C6D">
        <w:rPr>
          <w:b/>
          <w:bCs/>
          <w:sz w:val="22"/>
          <w:szCs w:val="22"/>
          <w:lang w:bidi="he-IL"/>
        </w:rPr>
        <w:t xml:space="preserve">Aliza </w:t>
      </w:r>
      <w:proofErr w:type="spellStart"/>
      <w:r w:rsidRPr="00C54C6D">
        <w:rPr>
          <w:b/>
          <w:bCs/>
          <w:sz w:val="22"/>
          <w:szCs w:val="22"/>
          <w:lang w:bidi="he-IL"/>
        </w:rPr>
        <w:t>Bazak</w:t>
      </w:r>
      <w:proofErr w:type="spellEnd"/>
    </w:p>
    <w:p w14:paraId="53D46F3E" w14:textId="77777777" w:rsidR="00F255EE" w:rsidRPr="00C54C6D" w:rsidRDefault="00F255EE" w:rsidP="00F255EE">
      <w:pPr>
        <w:pStyle w:val="PB"/>
        <w:jc w:val="both"/>
        <w:rPr>
          <w:sz w:val="22"/>
          <w:szCs w:val="22"/>
          <w:lang w:bidi="he-IL"/>
        </w:rPr>
      </w:pPr>
      <w:r>
        <w:rPr>
          <w:sz w:val="22"/>
          <w:szCs w:val="22"/>
          <w:lang w:bidi="he-IL"/>
        </w:rPr>
        <w:t>Faculty of Law</w:t>
      </w:r>
      <w:r w:rsidRPr="00C54C6D">
        <w:rPr>
          <w:sz w:val="22"/>
          <w:szCs w:val="22"/>
          <w:lang w:bidi="he-IL"/>
        </w:rPr>
        <w:t>, Tel Aviv University</w:t>
      </w:r>
    </w:p>
    <w:p w14:paraId="17BC8F0B" w14:textId="77777777" w:rsidR="00F255EE" w:rsidRPr="00C54C6D" w:rsidRDefault="00F255EE" w:rsidP="00F255EE">
      <w:pPr>
        <w:pStyle w:val="PB"/>
        <w:jc w:val="both"/>
        <w:rPr>
          <w:sz w:val="22"/>
          <w:szCs w:val="22"/>
          <w:rtl/>
          <w:lang w:bidi="he-IL"/>
        </w:rPr>
      </w:pPr>
    </w:p>
    <w:p w14:paraId="37C85397" w14:textId="77777777" w:rsidR="00F255EE" w:rsidRPr="00C54C6D" w:rsidRDefault="00F255EE" w:rsidP="00F255EE">
      <w:pPr>
        <w:pStyle w:val="PB"/>
        <w:jc w:val="both"/>
        <w:rPr>
          <w:b/>
          <w:bCs/>
          <w:sz w:val="22"/>
          <w:szCs w:val="22"/>
          <w:lang w:bidi="he-IL"/>
        </w:rPr>
      </w:pPr>
      <w:r w:rsidRPr="00C54C6D">
        <w:rPr>
          <w:b/>
          <w:bCs/>
          <w:sz w:val="22"/>
          <w:szCs w:val="22"/>
          <w:lang w:bidi="he-IL"/>
        </w:rPr>
        <w:t>Introduction</w:t>
      </w:r>
    </w:p>
    <w:p w14:paraId="1B3BA358" w14:textId="77777777" w:rsidR="00F255EE" w:rsidRPr="00C54C6D" w:rsidRDefault="00F255EE" w:rsidP="00F255EE">
      <w:pPr>
        <w:pStyle w:val="PB"/>
        <w:jc w:val="both"/>
        <w:rPr>
          <w:rtl/>
        </w:rPr>
      </w:pPr>
      <w:r w:rsidRPr="00C54C6D">
        <w:t>Jewish law treats the knotty issue of women whose husbands refuse to grant them a divorce (</w:t>
      </w:r>
      <w:proofErr w:type="spellStart"/>
      <w:r w:rsidRPr="00C54C6D">
        <w:rPr>
          <w:i/>
          <w:iCs/>
        </w:rPr>
        <w:t>mesoravot</w:t>
      </w:r>
      <w:proofErr w:type="spellEnd"/>
      <w:r w:rsidRPr="00C54C6D">
        <w:rPr>
          <w:i/>
          <w:iCs/>
        </w:rPr>
        <w:t xml:space="preserve"> get</w:t>
      </w:r>
      <w:r w:rsidRPr="00C54C6D">
        <w:t xml:space="preserve">) and suggests various mechanisms for addressing this problem. If the court orders him to grant a divorce and he resists, it has various means to pressure him at its disposal. In addition to extreme measures, such as imprisonment, and other legal maneuvers that facilitate the unilateral termination of a marriage, there are court-imposed economic or social sanctions that restrict his civil rights. These sanctions are based on the </w:t>
      </w:r>
      <w:proofErr w:type="spellStart"/>
      <w:r w:rsidRPr="00C54C6D">
        <w:rPr>
          <w:i/>
          <w:iCs/>
        </w:rPr>
        <w:t>harḥakot</w:t>
      </w:r>
      <w:proofErr w:type="spellEnd"/>
      <w:r w:rsidRPr="00C54C6D">
        <w:rPr>
          <w:i/>
          <w:iCs/>
        </w:rPr>
        <w:t xml:space="preserve"> de-</w:t>
      </w:r>
      <w:proofErr w:type="spellStart"/>
      <w:r w:rsidRPr="00C54C6D">
        <w:rPr>
          <w:i/>
          <w:iCs/>
        </w:rPr>
        <w:t>rabbenu</w:t>
      </w:r>
      <w:proofErr w:type="spellEnd"/>
      <w:r w:rsidRPr="00C54C6D">
        <w:rPr>
          <w:i/>
          <w:iCs/>
        </w:rPr>
        <w:t xml:space="preserve"> tam, </w:t>
      </w:r>
      <w:r w:rsidRPr="00C54C6D">
        <w:t xml:space="preserve">which are sanctions defined by leading twelfth-century rabbinic authority </w:t>
      </w:r>
      <w:proofErr w:type="spellStart"/>
      <w:r w:rsidRPr="00C54C6D">
        <w:t>Rabbenu</w:t>
      </w:r>
      <w:proofErr w:type="spellEnd"/>
      <w:r w:rsidRPr="00C54C6D">
        <w:t xml:space="preserve"> Tam</w:t>
      </w:r>
      <w:r w:rsidRPr="00C54C6D">
        <w:rPr>
          <w:i/>
          <w:iCs/>
        </w:rPr>
        <w:t xml:space="preserve"> (</w:t>
      </w:r>
      <w:proofErr w:type="spellStart"/>
      <w:r w:rsidRPr="00C54C6D">
        <w:rPr>
          <w:i/>
          <w:iCs/>
        </w:rPr>
        <w:t>Sefer</w:t>
      </w:r>
      <w:proofErr w:type="spellEnd"/>
      <w:r w:rsidRPr="00C54C6D">
        <w:rPr>
          <w:i/>
          <w:iCs/>
        </w:rPr>
        <w:t xml:space="preserve"> </w:t>
      </w:r>
      <w:proofErr w:type="spellStart"/>
      <w:r w:rsidRPr="00C54C6D">
        <w:rPr>
          <w:i/>
          <w:iCs/>
        </w:rPr>
        <w:t>hayashar</w:t>
      </w:r>
      <w:proofErr w:type="spellEnd"/>
      <w:r w:rsidRPr="00C54C6D">
        <w:rPr>
          <w:i/>
          <w:iCs/>
        </w:rPr>
        <w:t>, “</w:t>
      </w:r>
      <w:proofErr w:type="spellStart"/>
      <w:r w:rsidRPr="00C54C6D">
        <w:t>Teshuvot</w:t>
      </w:r>
      <w:proofErr w:type="spellEnd"/>
      <w:r w:rsidRPr="00C54C6D">
        <w:rPr>
          <w:i/>
          <w:iCs/>
        </w:rPr>
        <w:t xml:space="preserve">,” </w:t>
      </w:r>
      <w:r w:rsidRPr="00C54C6D">
        <w:t>chap</w:t>
      </w:r>
      <w:r w:rsidRPr="00C54C6D">
        <w:rPr>
          <w:i/>
          <w:iCs/>
        </w:rPr>
        <w:t>.</w:t>
      </w:r>
      <w:r w:rsidRPr="00C54C6D">
        <w:t xml:space="preserve"> 24) and prescribe the husband’s excommunication (</w:t>
      </w:r>
      <w:proofErr w:type="spellStart"/>
      <w:r w:rsidRPr="00C54C6D">
        <w:rPr>
          <w:i/>
          <w:iCs/>
        </w:rPr>
        <w:t>niddui</w:t>
      </w:r>
      <w:proofErr w:type="spellEnd"/>
      <w:r w:rsidRPr="00C54C6D">
        <w:t>) and ostracism (</w:t>
      </w:r>
      <w:proofErr w:type="spellStart"/>
      <w:r w:rsidRPr="00C54C6D">
        <w:rPr>
          <w:i/>
          <w:iCs/>
        </w:rPr>
        <w:t>ḥerem</w:t>
      </w:r>
      <w:proofErr w:type="spellEnd"/>
      <w:r w:rsidRPr="00C54C6D">
        <w:t>).</w:t>
      </w:r>
    </w:p>
    <w:p w14:paraId="59F6387D" w14:textId="77777777" w:rsidR="00F255EE" w:rsidRPr="00C54C6D" w:rsidRDefault="00C479F7" w:rsidP="00F255EE">
      <w:pPr>
        <w:pStyle w:val="PB"/>
        <w:jc w:val="both"/>
      </w:pPr>
      <w:r>
        <w:rPr>
          <w:lang w:bidi="he-IL"/>
        </w:rPr>
        <w:t xml:space="preserve">    </w:t>
      </w:r>
      <w:commentRangeStart w:id="1"/>
      <w:r w:rsidR="00F255EE" w:rsidRPr="00C54C6D">
        <w:rPr>
          <w:lang w:bidi="he-IL"/>
        </w:rPr>
        <w:t>In this article</w:t>
      </w:r>
      <w:commentRangeEnd w:id="1"/>
      <w:r w:rsidR="00113D6D">
        <w:rPr>
          <w:rStyle w:val="ac"/>
          <w:rFonts w:asciiTheme="minorHAnsi" w:eastAsiaTheme="minorHAnsi" w:hAnsiTheme="minorHAnsi" w:cstheme="minorBidi"/>
          <w:rtl/>
          <w:lang w:eastAsia="en-US" w:bidi="he-IL"/>
        </w:rPr>
        <w:commentReference w:id="1"/>
      </w:r>
      <w:r w:rsidR="00F255EE" w:rsidRPr="00C54C6D">
        <w:rPr>
          <w:lang w:bidi="he-IL"/>
        </w:rPr>
        <w:t>,</w:t>
      </w:r>
      <w:r w:rsidR="00F255EE" w:rsidRPr="00C54C6D">
        <w:rPr>
          <w:rFonts w:hint="cs"/>
          <w:rtl/>
          <w:lang w:bidi="he-IL"/>
        </w:rPr>
        <w:t xml:space="preserve"> </w:t>
      </w:r>
      <w:r w:rsidR="00F255EE" w:rsidRPr="00C54C6D">
        <w:t xml:space="preserve">I will analyze the various interpretations and implementations of these sanctions from the twelfth century to the present. Then I will focus on the contemporary practice of shaming and explore whether it can be considered an outgrowth of </w:t>
      </w:r>
      <w:proofErr w:type="spellStart"/>
      <w:r w:rsidR="00F255EE" w:rsidRPr="00C54C6D">
        <w:t>Rabbenu</w:t>
      </w:r>
      <w:proofErr w:type="spellEnd"/>
      <w:r w:rsidR="00F255EE" w:rsidRPr="00C54C6D">
        <w:t xml:space="preserve"> Tam’s regulations. My question is whether the use of shaming to enforce divorces is an appropriate implementation of the medieval rabbinic sanctions.</w:t>
      </w:r>
    </w:p>
    <w:p w14:paraId="55E2053A" w14:textId="77777777" w:rsidR="00F255EE" w:rsidRPr="00C54C6D" w:rsidRDefault="00C479F7" w:rsidP="00C479F7">
      <w:pPr>
        <w:pStyle w:val="PB"/>
        <w:jc w:val="both"/>
        <w:rPr>
          <w:lang w:bidi="he-IL"/>
        </w:rPr>
      </w:pPr>
      <w:r>
        <w:rPr>
          <w:lang w:bidi="he-IL"/>
        </w:rPr>
        <w:t xml:space="preserve">   </w:t>
      </w:r>
      <w:r w:rsidR="00F255EE" w:rsidRPr="00C54C6D">
        <w:rPr>
          <w:lang w:bidi="he-IL"/>
        </w:rPr>
        <w:t xml:space="preserve">The case of Oded </w:t>
      </w:r>
      <w:proofErr w:type="spellStart"/>
      <w:r w:rsidR="00F255EE" w:rsidRPr="00C54C6D">
        <w:rPr>
          <w:lang w:bidi="he-IL"/>
        </w:rPr>
        <w:t>Gez</w:t>
      </w:r>
      <w:proofErr w:type="spellEnd"/>
      <w:r w:rsidR="00F255EE" w:rsidRPr="00C54C6D">
        <w:rPr>
          <w:lang w:bidi="he-IL"/>
        </w:rPr>
        <w:t xml:space="preserve"> was one of the most difficult ever heard by the rabbinical courts in Israel. The saga of </w:t>
      </w:r>
      <w:proofErr w:type="spellStart"/>
      <w:r w:rsidR="00F255EE" w:rsidRPr="00C54C6D">
        <w:rPr>
          <w:lang w:bidi="he-IL"/>
        </w:rPr>
        <w:t>Gez</w:t>
      </w:r>
      <w:proofErr w:type="spellEnd"/>
      <w:r w:rsidR="00F255EE" w:rsidRPr="00C54C6D">
        <w:rPr>
          <w:lang w:bidi="he-IL"/>
        </w:rPr>
        <w:t>, a well-known recalcitrant husband un</w:t>
      </w:r>
      <w:bookmarkStart w:id="2" w:name="currpara"/>
      <w:bookmarkEnd w:id="2"/>
      <w:r w:rsidR="00F255EE" w:rsidRPr="00C54C6D">
        <w:rPr>
          <w:lang w:bidi="he-IL"/>
        </w:rPr>
        <w:t xml:space="preserve">willing to provide a Jewish bill of divorce (a </w:t>
      </w:r>
      <w:r w:rsidR="00F255EE" w:rsidRPr="00C54C6D">
        <w:rPr>
          <w:i/>
          <w:iCs/>
          <w:lang w:bidi="he-IL"/>
        </w:rPr>
        <w:t xml:space="preserve">get) </w:t>
      </w:r>
      <w:r w:rsidR="00F255EE" w:rsidRPr="00C54C6D">
        <w:rPr>
          <w:lang w:bidi="he-IL"/>
        </w:rPr>
        <w:t xml:space="preserve">to his wife, began in the rabbinical court in </w:t>
      </w:r>
      <w:proofErr w:type="spellStart"/>
      <w:r w:rsidR="00F255EE" w:rsidRPr="00C54C6D">
        <w:rPr>
          <w:lang w:bidi="he-IL"/>
        </w:rPr>
        <w:t>Petach</w:t>
      </w:r>
      <w:proofErr w:type="spellEnd"/>
      <w:r w:rsidR="00F255EE" w:rsidRPr="00C54C6D">
        <w:rPr>
          <w:lang w:bidi="he-IL"/>
        </w:rPr>
        <w:t xml:space="preserve"> </w:t>
      </w:r>
      <w:proofErr w:type="spellStart"/>
      <w:r w:rsidR="00F255EE" w:rsidRPr="00C54C6D">
        <w:rPr>
          <w:lang w:bidi="he-IL"/>
        </w:rPr>
        <w:t>Tikva</w:t>
      </w:r>
      <w:proofErr w:type="spellEnd"/>
      <w:r w:rsidR="00F255EE" w:rsidRPr="00C54C6D">
        <w:rPr>
          <w:rStyle w:val="a9"/>
          <w:lang w:bidi="he-IL"/>
        </w:rPr>
        <w:endnoteReference w:id="2"/>
      </w:r>
      <w:r w:rsidR="00F255EE" w:rsidRPr="00C54C6D">
        <w:rPr>
          <w:lang w:bidi="he-IL"/>
        </w:rPr>
        <w:t>, was referred to the Supreme Rabbinical Court in Jerusalem</w:t>
      </w:r>
      <w:r w:rsidR="00F255EE" w:rsidRPr="00C54C6D">
        <w:rPr>
          <w:rStyle w:val="a9"/>
          <w:lang w:bidi="he-IL"/>
        </w:rPr>
        <w:endnoteReference w:id="3"/>
      </w:r>
      <w:r w:rsidR="00F255EE" w:rsidRPr="00C54C6D">
        <w:rPr>
          <w:lang w:bidi="he-IL"/>
        </w:rPr>
        <w:t>, and then sent back to the district rabbinical court in Haifa</w:t>
      </w:r>
      <w:r w:rsidR="00F255EE" w:rsidRPr="00C54C6D">
        <w:rPr>
          <w:rStyle w:val="a9"/>
          <w:lang w:bidi="he-IL"/>
        </w:rPr>
        <w:endnoteReference w:id="4"/>
      </w:r>
      <w:r w:rsidR="00F255EE" w:rsidRPr="00C54C6D">
        <w:rPr>
          <w:lang w:bidi="he-IL"/>
        </w:rPr>
        <w:t xml:space="preserve">. From the very start, the rabbis who dealt with the case suspected that </w:t>
      </w:r>
      <w:proofErr w:type="spellStart"/>
      <w:r w:rsidR="00F255EE" w:rsidRPr="00C54C6D">
        <w:rPr>
          <w:lang w:bidi="he-IL"/>
        </w:rPr>
        <w:t>Gez</w:t>
      </w:r>
      <w:proofErr w:type="spellEnd"/>
      <w:r w:rsidR="00F255EE" w:rsidRPr="00C54C6D">
        <w:rPr>
          <w:lang w:bidi="he-IL"/>
        </w:rPr>
        <w:t xml:space="preserve"> was an obstinate type who was willing to go very far in making his wife’s life miserable, even at the cost of great misery to himself. They had no idea how right they were. When all their efforts to get him to grant a divorce failed, the court invoked a new sanction—“shaming.”</w:t>
      </w:r>
      <w:r w:rsidR="00F255EE" w:rsidRPr="00C54C6D">
        <w:rPr>
          <w:rStyle w:val="a9"/>
          <w:lang w:bidi="he-IL"/>
        </w:rPr>
        <w:endnoteReference w:id="5"/>
      </w:r>
    </w:p>
    <w:p w14:paraId="30151EBD" w14:textId="7DAB9113" w:rsidR="00F255EE" w:rsidRPr="00C54C6D" w:rsidRDefault="00C479F7" w:rsidP="00F36DD9">
      <w:pPr>
        <w:pStyle w:val="PB"/>
        <w:jc w:val="both"/>
        <w:rPr>
          <w:lang w:bidi="he-IL"/>
        </w:rPr>
      </w:pPr>
      <w:r>
        <w:rPr>
          <w:lang w:bidi="he-IL"/>
        </w:rPr>
        <w:t xml:space="preserve">   </w:t>
      </w:r>
      <w:r w:rsidR="00F255EE" w:rsidRPr="00C54C6D">
        <w:rPr>
          <w:lang w:bidi="he-IL"/>
        </w:rPr>
        <w:t xml:space="preserve">The use of shaming represents an updating of </w:t>
      </w:r>
      <w:proofErr w:type="spellStart"/>
      <w:r w:rsidR="00F255EE" w:rsidRPr="00C54C6D">
        <w:rPr>
          <w:lang w:bidi="he-IL"/>
        </w:rPr>
        <w:t>Rabbenu</w:t>
      </w:r>
      <w:proofErr w:type="spellEnd"/>
      <w:r w:rsidR="00F255EE" w:rsidRPr="00C54C6D">
        <w:rPr>
          <w:lang w:bidi="he-IL"/>
        </w:rPr>
        <w:t xml:space="preserve"> Tam’s sanctions to </w:t>
      </w:r>
      <w:commentRangeStart w:id="3"/>
      <w:r w:rsidR="00F255EE" w:rsidRPr="00841BBE">
        <w:rPr>
          <w:highlight w:val="green"/>
          <w:lang w:bidi="he-IL"/>
        </w:rPr>
        <w:t>suit the era</w:t>
      </w:r>
      <w:commentRangeEnd w:id="3"/>
      <w:r w:rsidR="00113D6D">
        <w:rPr>
          <w:rStyle w:val="ac"/>
          <w:rFonts w:asciiTheme="minorHAnsi" w:eastAsiaTheme="minorHAnsi" w:hAnsiTheme="minorHAnsi" w:cstheme="minorBidi"/>
          <w:rtl/>
          <w:lang w:eastAsia="en-US" w:bidi="he-IL"/>
        </w:rPr>
        <w:commentReference w:id="3"/>
      </w:r>
      <w:r w:rsidR="00F255EE" w:rsidRPr="00C54C6D">
        <w:rPr>
          <w:lang w:bidi="he-IL"/>
        </w:rPr>
        <w:t xml:space="preserve"> of social media. Within two days after the Court issued its ruling, there was almost no one in Israel who had not heard the name of the Ph.D. in physics from Bar-</w:t>
      </w:r>
      <w:proofErr w:type="spellStart"/>
      <w:r w:rsidR="00F255EE" w:rsidRPr="00C54C6D">
        <w:rPr>
          <w:lang w:bidi="he-IL"/>
        </w:rPr>
        <w:t>Ilan</w:t>
      </w:r>
      <w:proofErr w:type="spellEnd"/>
      <w:r w:rsidR="00F255EE" w:rsidRPr="00C54C6D">
        <w:rPr>
          <w:lang w:bidi="he-IL"/>
        </w:rPr>
        <w:t xml:space="preserve"> University. When the judges threatened to tighten the screws on </w:t>
      </w:r>
      <w:proofErr w:type="spellStart"/>
      <w:r w:rsidR="00F255EE" w:rsidRPr="00C54C6D">
        <w:rPr>
          <w:lang w:bidi="he-IL"/>
        </w:rPr>
        <w:t>Gez</w:t>
      </w:r>
      <w:proofErr w:type="spellEnd"/>
      <w:r w:rsidR="00F255EE" w:rsidRPr="00C54C6D">
        <w:rPr>
          <w:lang w:bidi="he-IL"/>
        </w:rPr>
        <w:t xml:space="preserve">, he fled from Israel just before he was to be arrested and sent to jail. The Chief Rabbinate’s division that deals with </w:t>
      </w:r>
      <w:r w:rsidR="00F255EE" w:rsidRPr="00C54C6D">
        <w:rPr>
          <w:i/>
          <w:iCs/>
          <w:lang w:bidi="he-IL"/>
        </w:rPr>
        <w:t>agunot—</w:t>
      </w:r>
      <w:r w:rsidR="00F255EE" w:rsidRPr="00C54C6D">
        <w:rPr>
          <w:lang w:bidi="he-IL"/>
        </w:rPr>
        <w:t xml:space="preserve">“chained” women whose husband has vanished, or is unwilling to grant them a divorce—launched a transcontinental pursuit </w:t>
      </w:r>
      <w:commentRangeStart w:id="4"/>
      <w:r w:rsidR="00F255EE" w:rsidRPr="00841BBE">
        <w:rPr>
          <w:highlight w:val="green"/>
          <w:lang w:bidi="he-IL"/>
        </w:rPr>
        <w:t>after him</w:t>
      </w:r>
      <w:commentRangeEnd w:id="4"/>
      <w:r w:rsidR="00113D6D">
        <w:rPr>
          <w:rStyle w:val="ac"/>
          <w:rFonts w:asciiTheme="minorHAnsi" w:eastAsiaTheme="minorHAnsi" w:hAnsiTheme="minorHAnsi" w:cstheme="minorBidi"/>
          <w:lang w:eastAsia="en-US" w:bidi="he-IL"/>
        </w:rPr>
        <w:commentReference w:id="4"/>
      </w:r>
      <w:r w:rsidR="00F255EE" w:rsidRPr="00841BBE">
        <w:rPr>
          <w:highlight w:val="green"/>
          <w:lang w:bidi="he-IL"/>
        </w:rPr>
        <w:t>.</w:t>
      </w:r>
      <w:r w:rsidR="00F255EE" w:rsidRPr="00C54C6D">
        <w:rPr>
          <w:lang w:bidi="he-IL"/>
        </w:rPr>
        <w:t xml:space="preserve"> In order to </w:t>
      </w:r>
      <w:r w:rsidR="00F255EE" w:rsidRPr="00C54C6D">
        <w:rPr>
          <w:lang w:bidi="he-IL"/>
        </w:rPr>
        <w:lastRenderedPageBreak/>
        <w:t>understand the drama and the dilemmas involved, we should pause briefly and return to where it all started.</w:t>
      </w:r>
    </w:p>
    <w:p w14:paraId="3548F607" w14:textId="77777777" w:rsidR="00F255EE" w:rsidRPr="00C54C6D" w:rsidRDefault="00C479F7" w:rsidP="00F255EE">
      <w:pPr>
        <w:pStyle w:val="PB"/>
        <w:jc w:val="both"/>
        <w:rPr>
          <w:lang w:bidi="he-IL"/>
        </w:rPr>
      </w:pPr>
      <w:r>
        <w:rPr>
          <w:lang w:bidi="he-IL"/>
        </w:rPr>
        <w:t xml:space="preserve">   </w:t>
      </w:r>
      <w:r w:rsidR="00F255EE" w:rsidRPr="00C54C6D">
        <w:rPr>
          <w:lang w:bidi="he-IL"/>
        </w:rPr>
        <w:t>It is sad and tragic, but it happens: A couple’s relationship falls apart and the partners decide to divorce. Jewish law sees the family as a sanctified institution, based on both a religious covenant and a contract between husband and wife. However, Jewish law is far from the Catholic approach that no man may put asunder what God has joined together. Instead, it endeavors to provide the parties a practical way of untying the knot when one or both of them have concluded that the relationship has no future.</w:t>
      </w:r>
      <w:r w:rsidR="00F255EE" w:rsidRPr="00C54C6D">
        <w:rPr>
          <w:rStyle w:val="a9"/>
          <w:lang w:bidi="he-IL"/>
        </w:rPr>
        <w:endnoteReference w:id="6"/>
      </w:r>
    </w:p>
    <w:p w14:paraId="4B133B51" w14:textId="63C2D520" w:rsidR="00F255EE" w:rsidRPr="00C54C6D" w:rsidRDefault="00C479F7" w:rsidP="00F255EE">
      <w:pPr>
        <w:pStyle w:val="PB"/>
        <w:jc w:val="both"/>
        <w:rPr>
          <w:u w:val="double"/>
        </w:rPr>
      </w:pPr>
      <w:r>
        <w:rPr>
          <w:lang w:bidi="he-IL"/>
        </w:rPr>
        <w:t xml:space="preserve">   </w:t>
      </w:r>
      <w:r w:rsidR="00F255EE" w:rsidRPr="00C54C6D">
        <w:rPr>
          <w:lang w:bidi="he-IL"/>
        </w:rPr>
        <w:t xml:space="preserve">The halakhic method for severing the sacred knot is a special religious ceremony in which the husband gives the wife a writ of divorce. The Torah calls this writ </w:t>
      </w:r>
      <w:proofErr w:type="spellStart"/>
      <w:r w:rsidR="00F255EE" w:rsidRPr="00C54C6D">
        <w:rPr>
          <w:i/>
          <w:iCs/>
          <w:lang w:bidi="he-IL"/>
        </w:rPr>
        <w:t>sefer</w:t>
      </w:r>
      <w:proofErr w:type="spellEnd"/>
      <w:r w:rsidR="00F255EE" w:rsidRPr="00C54C6D">
        <w:rPr>
          <w:i/>
          <w:iCs/>
          <w:lang w:bidi="he-IL"/>
        </w:rPr>
        <w:t xml:space="preserve"> </w:t>
      </w:r>
      <w:proofErr w:type="spellStart"/>
      <w:r w:rsidR="00F255EE" w:rsidRPr="00C54C6D">
        <w:rPr>
          <w:i/>
          <w:iCs/>
          <w:lang w:bidi="he-IL"/>
        </w:rPr>
        <w:t>keritut</w:t>
      </w:r>
      <w:proofErr w:type="spellEnd"/>
      <w:r w:rsidR="00F255EE" w:rsidRPr="00C54C6D">
        <w:rPr>
          <w:i/>
          <w:iCs/>
          <w:lang w:bidi="he-IL"/>
        </w:rPr>
        <w:t>.</w:t>
      </w:r>
      <w:r w:rsidR="00F255EE" w:rsidRPr="00C54C6D">
        <w:rPr>
          <w:rStyle w:val="a9"/>
          <w:lang w:bidi="he-IL"/>
        </w:rPr>
        <w:endnoteReference w:id="7"/>
      </w:r>
      <w:r w:rsidR="00F255EE" w:rsidRPr="00C54C6D">
        <w:rPr>
          <w:lang w:bidi="he-IL"/>
        </w:rPr>
        <w:t xml:space="preserve"> (“bill of divorcement”); the Talmudic texts call it a </w:t>
      </w:r>
      <w:r w:rsidR="00F255EE" w:rsidRPr="00C54C6D">
        <w:rPr>
          <w:i/>
          <w:iCs/>
          <w:lang w:bidi="he-IL"/>
        </w:rPr>
        <w:t>get</w:t>
      </w:r>
      <w:r w:rsidR="00F255EE" w:rsidRPr="00C54C6D">
        <w:rPr>
          <w:lang w:bidi="he-IL"/>
        </w:rPr>
        <w:t>.</w:t>
      </w:r>
      <w:r w:rsidR="00F255EE" w:rsidRPr="00C54C6D">
        <w:rPr>
          <w:rStyle w:val="a9"/>
          <w:lang w:bidi="he-IL"/>
        </w:rPr>
        <w:endnoteReference w:id="8"/>
      </w:r>
      <w:r w:rsidR="00F255EE" w:rsidRPr="00C54C6D">
        <w:rPr>
          <w:lang w:bidi="he-IL"/>
        </w:rPr>
        <w:t xml:space="preserve"> </w:t>
      </w:r>
      <w:r w:rsidR="00F255EE" w:rsidRPr="00C54C6D">
        <w:t xml:space="preserve">According to the Talmud the husband must give the </w:t>
      </w:r>
      <w:r w:rsidR="00F255EE" w:rsidRPr="00C54C6D">
        <w:rPr>
          <w:i/>
          <w:iCs/>
        </w:rPr>
        <w:t>get</w:t>
      </w:r>
      <w:r w:rsidR="00F255EE" w:rsidRPr="00C54C6D">
        <w:t xml:space="preserve"> of his own free will otherwise it is deemed a “forced </w:t>
      </w:r>
      <w:r w:rsidR="00F255EE" w:rsidRPr="00C54C6D">
        <w:rPr>
          <w:i/>
          <w:iCs/>
        </w:rPr>
        <w:t>get</w:t>
      </w:r>
      <w:r w:rsidR="00F255EE" w:rsidRPr="00C54C6D">
        <w:t>” and is invalid.</w:t>
      </w:r>
      <w:r w:rsidR="00F255EE" w:rsidRPr="00C54C6D">
        <w:rPr>
          <w:rStyle w:val="a9"/>
        </w:rPr>
        <w:endnoteReference w:id="9"/>
      </w:r>
      <w:r w:rsidR="00F255EE" w:rsidRPr="00C54C6D">
        <w:t xml:space="preserve"> </w:t>
      </w:r>
    </w:p>
    <w:p w14:paraId="3BD764EC" w14:textId="77777777" w:rsidR="00F255EE" w:rsidRPr="00C54C6D" w:rsidRDefault="00C479F7" w:rsidP="00F255EE">
      <w:pPr>
        <w:pStyle w:val="PB"/>
        <w:jc w:val="both"/>
        <w:rPr>
          <w:lang w:bidi="he-IL"/>
        </w:rPr>
      </w:pPr>
      <w:r>
        <w:rPr>
          <w:lang w:bidi="he-IL"/>
        </w:rPr>
        <w:t xml:space="preserve">   </w:t>
      </w:r>
      <w:r w:rsidR="00F255EE" w:rsidRPr="00C54C6D">
        <w:rPr>
          <w:lang w:bidi="he-IL"/>
        </w:rPr>
        <w:t>But Jewish law recognizes various circumstances in which the court can order the husband to divorce his wife; There is a first list of such grounds in the Mishnah,</w:t>
      </w:r>
      <w:r w:rsidR="00F255EE" w:rsidRPr="00C54C6D">
        <w:rPr>
          <w:rStyle w:val="a9"/>
          <w:lang w:bidi="he-IL"/>
        </w:rPr>
        <w:endnoteReference w:id="10"/>
      </w:r>
      <w:r w:rsidR="00F255EE" w:rsidRPr="00C54C6D">
        <w:rPr>
          <w:lang w:bidi="he-IL"/>
        </w:rPr>
        <w:t xml:space="preserve"> a supplementary list in the Talmud that is inferred from it,</w:t>
      </w:r>
      <w:r w:rsidR="00F255EE" w:rsidRPr="00C54C6D">
        <w:rPr>
          <w:rStyle w:val="a9"/>
          <w:lang w:bidi="he-IL"/>
        </w:rPr>
        <w:endnoteReference w:id="11"/>
      </w:r>
      <w:r w:rsidR="00F255EE" w:rsidRPr="00C54C6D">
        <w:rPr>
          <w:lang w:bidi="he-IL"/>
        </w:rPr>
        <w:t xml:space="preserve"> and a list based on “estimation,” meaning situations where, in the court’s assessment, a rational and normal woman would not be willing to continue the marriage.</w:t>
      </w:r>
      <w:r w:rsidR="00F255EE" w:rsidRPr="00C54C6D">
        <w:rPr>
          <w:rStyle w:val="a9"/>
          <w:lang w:bidi="he-IL"/>
        </w:rPr>
        <w:endnoteReference w:id="12"/>
      </w:r>
      <w:r w:rsidR="00F255EE" w:rsidRPr="00C54C6D">
        <w:rPr>
          <w:lang w:bidi="he-IL"/>
        </w:rPr>
        <w:t xml:space="preserve"> In the Middle Ages, some authorities took the fact of living apart for a protracted period—a year</w:t>
      </w:r>
      <w:r w:rsidR="00F255EE" w:rsidRPr="00C54C6D">
        <w:rPr>
          <w:rStyle w:val="a9"/>
          <w:lang w:bidi="he-IL"/>
        </w:rPr>
        <w:endnoteReference w:id="13"/>
      </w:r>
      <w:r w:rsidR="00F255EE" w:rsidRPr="00C54C6D">
        <w:rPr>
          <w:lang w:bidi="he-IL"/>
        </w:rPr>
        <w:t xml:space="preserve"> or a year and a half</w:t>
      </w:r>
      <w:r w:rsidR="00F255EE" w:rsidRPr="00C54C6D">
        <w:rPr>
          <w:rStyle w:val="a9"/>
          <w:lang w:bidi="he-IL"/>
        </w:rPr>
        <w:endnoteReference w:id="14"/>
      </w:r>
      <w:r w:rsidR="00F255EE" w:rsidRPr="00C54C6D">
        <w:rPr>
          <w:rFonts w:hint="cs"/>
          <w:rtl/>
          <w:lang w:bidi="he-IL"/>
        </w:rPr>
        <w:t>:</w:t>
      </w:r>
      <w:r w:rsidR="00F255EE" w:rsidRPr="00C54C6D">
        <w:rPr>
          <w:lang w:bidi="he-IL"/>
        </w:rPr>
        <w:t>—as a good indication that the relationship is dead.</w:t>
      </w:r>
      <w:r w:rsidR="00F255EE" w:rsidRPr="00C54C6D">
        <w:rPr>
          <w:rStyle w:val="a9"/>
          <w:lang w:bidi="he-IL"/>
        </w:rPr>
        <w:endnoteReference w:id="15"/>
      </w:r>
    </w:p>
    <w:p w14:paraId="51478B0C" w14:textId="77777777" w:rsidR="00F255EE" w:rsidRPr="00C54C6D" w:rsidRDefault="00F255EE" w:rsidP="00F255EE">
      <w:pPr>
        <w:pStyle w:val="PB"/>
        <w:jc w:val="both"/>
        <w:rPr>
          <w:b/>
          <w:bCs/>
          <w:lang w:bidi="he-IL"/>
        </w:rPr>
      </w:pPr>
      <w:r w:rsidRPr="00C54C6D">
        <w:rPr>
          <w:b/>
          <w:bCs/>
          <w:lang w:bidi="he-IL"/>
        </w:rPr>
        <w:t xml:space="preserve">What happens when the husband refuses to divorce his wife? How can the rabbis enable a wife to exit the marriage bond when the husband imposes difficulties? </w:t>
      </w:r>
    </w:p>
    <w:p w14:paraId="76CCC50E" w14:textId="037DB4AE" w:rsidR="00F255EE" w:rsidRPr="00343909" w:rsidRDefault="00C479F7" w:rsidP="00343909">
      <w:pPr>
        <w:pStyle w:val="PB"/>
        <w:jc w:val="both"/>
        <w:rPr>
          <w:i/>
          <w:iCs/>
          <w:lang w:bidi="he-IL"/>
        </w:rPr>
      </w:pPr>
      <w:r>
        <w:t xml:space="preserve">   </w:t>
      </w:r>
      <w:r w:rsidR="00343909">
        <w:t xml:space="preserve">  </w:t>
      </w:r>
      <w:r w:rsidR="00343909" w:rsidRPr="00C54C6D">
        <w:t>The Talmud defines two levels of compulsion, depending on the circumstances</w:t>
      </w:r>
      <w:r w:rsidR="00343909">
        <w:t>.</w:t>
      </w:r>
      <w:r w:rsidR="00343909" w:rsidRPr="00C54C6D">
        <w:rPr>
          <w:rStyle w:val="a9"/>
        </w:rPr>
        <w:endnoteReference w:id="16"/>
      </w:r>
      <w:r w:rsidR="00343909" w:rsidRPr="00C54C6D">
        <w:t xml:space="preserve"> If the court has ruled that the husband must</w:t>
      </w:r>
      <w:r w:rsidR="00343909" w:rsidRPr="00C54C6D">
        <w:rPr>
          <w:i/>
          <w:iCs/>
        </w:rPr>
        <w:t xml:space="preserve"> </w:t>
      </w:r>
      <w:r w:rsidR="00343909" w:rsidRPr="00C54C6D">
        <w:t xml:space="preserve">divorce his wife (the Talmudic term is </w:t>
      </w:r>
      <w:proofErr w:type="spellStart"/>
      <w:r w:rsidR="00343909" w:rsidRPr="00C54C6D">
        <w:rPr>
          <w:i/>
          <w:iCs/>
        </w:rPr>
        <w:t>kofin</w:t>
      </w:r>
      <w:proofErr w:type="spellEnd"/>
      <w:r w:rsidR="00343909" w:rsidRPr="00C54C6D">
        <w:rPr>
          <w:i/>
          <w:iCs/>
        </w:rPr>
        <w:t xml:space="preserve"> </w:t>
      </w:r>
      <w:proofErr w:type="spellStart"/>
      <w:r w:rsidR="00343909" w:rsidRPr="00C54C6D">
        <w:rPr>
          <w:i/>
          <w:iCs/>
        </w:rPr>
        <w:t>legaresh</w:t>
      </w:r>
      <w:proofErr w:type="spellEnd"/>
      <w:r w:rsidR="00343909" w:rsidRPr="00C54C6D">
        <w:t xml:space="preserve"> and in the court ruling, (</w:t>
      </w:r>
      <w:proofErr w:type="spellStart"/>
      <w:r w:rsidR="00343909" w:rsidRPr="00C54C6D">
        <w:rPr>
          <w:i/>
          <w:iCs/>
        </w:rPr>
        <w:t>kfiyat</w:t>
      </w:r>
      <w:proofErr w:type="spellEnd"/>
      <w:r w:rsidR="00343909" w:rsidRPr="00C54C6D">
        <w:rPr>
          <w:i/>
          <w:iCs/>
        </w:rPr>
        <w:t xml:space="preserve"> get</w:t>
      </w:r>
      <w:r w:rsidR="00343909" w:rsidRPr="00C54C6D">
        <w:t>) and he refuses, he can be flogged until he agrees to do so. Later, flogging was no longer practiced and was replaced by imprisonment.</w:t>
      </w:r>
      <w:r w:rsidR="00343909" w:rsidRPr="00C54C6D">
        <w:rPr>
          <w:rStyle w:val="a9"/>
        </w:rPr>
        <w:endnoteReference w:id="17"/>
      </w:r>
    </w:p>
    <w:p w14:paraId="28B09C0E" w14:textId="77777777" w:rsidR="00F255EE" w:rsidRPr="00C54C6D" w:rsidRDefault="00C479F7" w:rsidP="00F255EE">
      <w:pPr>
        <w:pStyle w:val="PB"/>
        <w:jc w:val="both"/>
        <w:rPr>
          <w:lang w:bidi="he-IL"/>
        </w:rPr>
      </w:pPr>
      <w:r>
        <w:rPr>
          <w:lang w:bidi="he-IL"/>
        </w:rPr>
        <w:t xml:space="preserve">   </w:t>
      </w:r>
      <w:r w:rsidR="00F255EE" w:rsidRPr="00C54C6D">
        <w:rPr>
          <w:lang w:bidi="he-IL"/>
        </w:rPr>
        <w:t xml:space="preserve">But when the court ruling is phrased only as </w:t>
      </w:r>
      <w:commentRangeStart w:id="8"/>
      <w:r w:rsidR="00F255EE" w:rsidRPr="00841BBE">
        <w:rPr>
          <w:highlight w:val="green"/>
          <w:lang w:bidi="he-IL"/>
        </w:rPr>
        <w:t>a directive</w:t>
      </w:r>
      <w:commentRangeEnd w:id="8"/>
      <w:r w:rsidR="0094439A">
        <w:rPr>
          <w:rStyle w:val="ac"/>
          <w:rFonts w:asciiTheme="minorHAnsi" w:eastAsiaTheme="minorHAnsi" w:hAnsiTheme="minorHAnsi" w:cstheme="minorBidi"/>
          <w:lang w:eastAsia="en-US" w:bidi="he-IL"/>
        </w:rPr>
        <w:commentReference w:id="8"/>
      </w:r>
      <w:r w:rsidR="00F255EE" w:rsidRPr="00C54C6D">
        <w:rPr>
          <w:lang w:bidi="he-IL"/>
        </w:rPr>
        <w:t xml:space="preserve">, such as “he will divorce her and pay her </w:t>
      </w:r>
      <w:proofErr w:type="spellStart"/>
      <w:r w:rsidR="00F255EE" w:rsidRPr="00C54C6D">
        <w:rPr>
          <w:i/>
          <w:iCs/>
          <w:lang w:bidi="he-IL"/>
        </w:rPr>
        <w:t>ketubbah</w:t>
      </w:r>
      <w:proofErr w:type="spellEnd"/>
      <w:r w:rsidR="00F255EE" w:rsidRPr="00C54C6D">
        <w:rPr>
          <w:lang w:bidi="he-IL"/>
        </w:rPr>
        <w:t>”</w:t>
      </w:r>
      <w:r w:rsidR="00F255EE" w:rsidRPr="00C54C6D">
        <w:rPr>
          <w:i/>
          <w:iCs/>
          <w:lang w:bidi="he-IL"/>
        </w:rPr>
        <w:t xml:space="preserve"> </w:t>
      </w:r>
      <w:r w:rsidR="00F255EE" w:rsidRPr="00C54C6D">
        <w:rPr>
          <w:lang w:bidi="he-IL"/>
        </w:rPr>
        <w:t>(marriage settlement), and in court ruling is phrased</w:t>
      </w:r>
      <w:r w:rsidR="00F255EE" w:rsidRPr="00C54C6D">
        <w:rPr>
          <w:i/>
          <w:iCs/>
          <w:lang w:bidi="he-IL"/>
        </w:rPr>
        <w:t>: "</w:t>
      </w:r>
      <w:proofErr w:type="spellStart"/>
      <w:r w:rsidR="00F255EE" w:rsidRPr="00C54C6D">
        <w:rPr>
          <w:i/>
          <w:iCs/>
          <w:lang w:bidi="he-IL"/>
        </w:rPr>
        <w:t>chiuv</w:t>
      </w:r>
      <w:proofErr w:type="spellEnd"/>
      <w:r w:rsidR="00F255EE" w:rsidRPr="00C54C6D">
        <w:rPr>
          <w:i/>
          <w:iCs/>
          <w:lang w:bidi="he-IL"/>
        </w:rPr>
        <w:t xml:space="preserve"> get</w:t>
      </w:r>
      <w:r w:rsidR="00F255EE" w:rsidRPr="00C54C6D">
        <w:rPr>
          <w:lang w:bidi="he-IL"/>
        </w:rPr>
        <w:t>,” physical force is not employed</w:t>
      </w:r>
      <w:r w:rsidR="00F255EE" w:rsidRPr="00C54C6D">
        <w:rPr>
          <w:rStyle w:val="a9"/>
          <w:lang w:bidi="he-IL"/>
        </w:rPr>
        <w:endnoteReference w:id="18"/>
      </w:r>
      <w:r w:rsidR="00F255EE" w:rsidRPr="00C54C6D">
        <w:rPr>
          <w:lang w:bidi="he-IL"/>
        </w:rPr>
        <w:t xml:space="preserve">. But according to </w:t>
      </w:r>
      <w:proofErr w:type="spellStart"/>
      <w:r w:rsidR="00F255EE" w:rsidRPr="00C54C6D">
        <w:rPr>
          <w:lang w:bidi="he-IL"/>
        </w:rPr>
        <w:t>Rabbenu</w:t>
      </w:r>
      <w:proofErr w:type="spellEnd"/>
      <w:r w:rsidR="00F255EE" w:rsidRPr="00C54C6D">
        <w:rPr>
          <w:lang w:bidi="he-IL"/>
        </w:rPr>
        <w:t xml:space="preserve"> Tam, the court can employ various other means, known collectively as </w:t>
      </w:r>
      <w:proofErr w:type="spellStart"/>
      <w:r w:rsidR="00F255EE" w:rsidRPr="00C54C6D">
        <w:rPr>
          <w:color w:val="000000"/>
          <w:lang w:bidi="he-IL"/>
        </w:rPr>
        <w:t>Rabbenu</w:t>
      </w:r>
      <w:proofErr w:type="spellEnd"/>
      <w:r w:rsidR="00F255EE" w:rsidRPr="00C54C6D">
        <w:rPr>
          <w:color w:val="000000"/>
          <w:lang w:bidi="he-IL"/>
        </w:rPr>
        <w:t xml:space="preserve"> Tam’s Sanctions</w:t>
      </w:r>
      <w:r w:rsidR="00F255EE" w:rsidRPr="00C54C6D">
        <w:rPr>
          <w:lang w:bidi="he-IL"/>
        </w:rPr>
        <w:t>.</w:t>
      </w:r>
      <w:r w:rsidR="00F255EE" w:rsidRPr="00C54C6D">
        <w:rPr>
          <w:rStyle w:val="a9"/>
          <w:lang w:bidi="he-IL"/>
        </w:rPr>
        <w:endnoteReference w:id="19"/>
      </w:r>
      <w:r w:rsidR="00F255EE" w:rsidRPr="00C54C6D">
        <w:rPr>
          <w:lang w:bidi="he-IL"/>
        </w:rPr>
        <w:t xml:space="preserve"> In brief, these consist of social penalties imposed on the </w:t>
      </w:r>
      <w:r w:rsidR="00F255EE" w:rsidRPr="00C54C6D">
        <w:rPr>
          <w:color w:val="000000"/>
          <w:lang w:bidi="he-IL"/>
        </w:rPr>
        <w:t>recalcitrant husband</w:t>
      </w:r>
      <w:r w:rsidR="00F255EE" w:rsidRPr="00C54C6D">
        <w:rPr>
          <w:lang w:bidi="he-IL"/>
        </w:rPr>
        <w:t>.</w:t>
      </w:r>
      <w:r w:rsidR="00F255EE" w:rsidRPr="00C54C6D">
        <w:rPr>
          <w:rStyle w:val="a9"/>
          <w:lang w:bidi="he-IL"/>
        </w:rPr>
        <w:endnoteReference w:id="20"/>
      </w:r>
    </w:p>
    <w:p w14:paraId="1A5F8334" w14:textId="7C852CAE" w:rsidR="00F255EE" w:rsidRPr="00C54C6D" w:rsidRDefault="00F255EE" w:rsidP="00F255EE">
      <w:pPr>
        <w:pStyle w:val="PB"/>
        <w:jc w:val="both"/>
        <w:rPr>
          <w:lang w:bidi="he-IL"/>
        </w:rPr>
      </w:pPr>
      <w:proofErr w:type="spellStart"/>
      <w:r w:rsidRPr="00C54C6D">
        <w:rPr>
          <w:lang w:bidi="he-IL"/>
        </w:rPr>
        <w:t>Rabbenu</w:t>
      </w:r>
      <w:proofErr w:type="spellEnd"/>
      <w:r w:rsidRPr="00C54C6D">
        <w:rPr>
          <w:lang w:bidi="he-IL"/>
        </w:rPr>
        <w:t xml:space="preserve"> Tam defined a number of ways to ostracize the </w:t>
      </w:r>
      <w:r w:rsidRPr="00C54C6D">
        <w:rPr>
          <w:color w:val="000000"/>
          <w:lang w:bidi="he-IL"/>
        </w:rPr>
        <w:t>recalcitrant husband</w:t>
      </w:r>
      <w:r w:rsidRPr="00C54C6D">
        <w:rPr>
          <w:lang w:bidi="he-IL"/>
        </w:rPr>
        <w:t xml:space="preserve"> and exclude him from all social intercourse.</w:t>
      </w:r>
      <w:r w:rsidRPr="00C54C6D">
        <w:rPr>
          <w:rStyle w:val="a9"/>
          <w:lang w:bidi="he-IL"/>
        </w:rPr>
        <w:endnoteReference w:id="21"/>
      </w:r>
      <w:r w:rsidRPr="00C54C6D">
        <w:rPr>
          <w:lang w:bidi="he-IL"/>
        </w:rPr>
        <w:t xml:space="preserve"> The court is to issue a decree, supported by “a strict oath, that no one speak with him, do business with him, host him, serve him food or drink, accompany him and associate with him, or visit him when he is ill, along with other sanctions the court might deem appropriate.</w:t>
      </w:r>
      <w:r w:rsidR="00CF696D" w:rsidRPr="0094439A">
        <w:rPr>
          <w:lang w:bidi="he-IL"/>
        </w:rPr>
        <w:t>”</w:t>
      </w:r>
      <w:r w:rsidRPr="00C54C6D">
        <w:rPr>
          <w:rStyle w:val="a9"/>
          <w:lang w:bidi="he-IL"/>
        </w:rPr>
        <w:endnoteReference w:id="22"/>
      </w:r>
      <w:r w:rsidRPr="00C54C6D">
        <w:rPr>
          <w:lang w:bidi="he-IL"/>
        </w:rPr>
        <w:t>This was later expanded to include not circumcising h</w:t>
      </w:r>
      <w:r w:rsidR="00214325">
        <w:rPr>
          <w:lang w:bidi="he-IL"/>
        </w:rPr>
        <w:t xml:space="preserve">is sons, not burying him (which </w:t>
      </w:r>
      <w:r w:rsidRPr="00C54C6D">
        <w:rPr>
          <w:lang w:bidi="he-IL"/>
        </w:rPr>
        <w:t>are not customary today),</w:t>
      </w:r>
      <w:r w:rsidRPr="00C54C6D">
        <w:rPr>
          <w:rStyle w:val="a9"/>
          <w:lang w:bidi="he-IL"/>
        </w:rPr>
        <w:endnoteReference w:id="23"/>
      </w:r>
      <w:r w:rsidRPr="00C54C6D">
        <w:rPr>
          <w:lang w:bidi="he-IL"/>
        </w:rPr>
        <w:t xml:space="preserve"> not calling him to the Torah, or other issues with respect to prayer,</w:t>
      </w:r>
      <w:r w:rsidRPr="00C54C6D">
        <w:rPr>
          <w:rStyle w:val="a9"/>
          <w:lang w:bidi="he-IL"/>
        </w:rPr>
        <w:endnoteReference w:id="24"/>
      </w:r>
      <w:r w:rsidRPr="00C54C6D">
        <w:rPr>
          <w:lang w:bidi="he-IL"/>
        </w:rPr>
        <w:t xml:space="preserve"> along with other sanctions the court might deem appropriate.</w:t>
      </w:r>
      <w:r w:rsidRPr="00C54C6D">
        <w:rPr>
          <w:rStyle w:val="a9"/>
          <w:lang w:bidi="he-IL"/>
        </w:rPr>
        <w:endnoteReference w:id="25"/>
      </w:r>
    </w:p>
    <w:p w14:paraId="3DCE354F" w14:textId="2ADFE8B3" w:rsidR="00E449D2" w:rsidRDefault="00C479F7" w:rsidP="00E449D2">
      <w:pPr>
        <w:pStyle w:val="PB"/>
        <w:jc w:val="both"/>
        <w:rPr>
          <w:lang w:bidi="he-IL"/>
        </w:rPr>
      </w:pPr>
      <w:r>
        <w:rPr>
          <w:lang w:bidi="he-IL"/>
        </w:rPr>
        <w:t xml:space="preserve">   </w:t>
      </w:r>
      <w:r w:rsidR="00F255EE" w:rsidRPr="00C54C6D">
        <w:rPr>
          <w:lang w:bidi="he-IL"/>
        </w:rPr>
        <w:t xml:space="preserve">To modern eyes, this is tantamount to a ban or ostracism, but </w:t>
      </w:r>
      <w:proofErr w:type="spellStart"/>
      <w:r w:rsidR="00F255EE" w:rsidRPr="00C54C6D">
        <w:rPr>
          <w:lang w:bidi="he-IL"/>
        </w:rPr>
        <w:t>Rabbenu</w:t>
      </w:r>
      <w:proofErr w:type="spellEnd"/>
      <w:r w:rsidR="00F255EE" w:rsidRPr="00C54C6D">
        <w:rPr>
          <w:lang w:bidi="he-IL"/>
        </w:rPr>
        <w:t xml:space="preserve"> Tam himself cautioned that the sanctions he prescribes do not include full excommunication. Here we should note that the terms </w:t>
      </w:r>
      <w:r w:rsidR="00F255EE" w:rsidRPr="00C54C6D">
        <w:rPr>
          <w:i/>
          <w:iCs/>
          <w:lang w:bidi="he-IL"/>
        </w:rPr>
        <w:t xml:space="preserve">ban </w:t>
      </w:r>
      <w:r w:rsidR="00F255EE" w:rsidRPr="00C54C6D">
        <w:rPr>
          <w:lang w:bidi="he-IL"/>
        </w:rPr>
        <w:t xml:space="preserve">and </w:t>
      </w:r>
      <w:r w:rsidR="00F255EE" w:rsidRPr="00C54C6D">
        <w:rPr>
          <w:i/>
          <w:iCs/>
          <w:lang w:bidi="he-IL"/>
        </w:rPr>
        <w:t>excommunication</w:t>
      </w:r>
      <w:r w:rsidR="00F255EE" w:rsidRPr="00C54C6D">
        <w:rPr>
          <w:lang w:bidi="he-IL"/>
        </w:rPr>
        <w:t xml:space="preserve"> have been given diverse definitions and interpretations over the generations. </w:t>
      </w:r>
      <w:commentRangeStart w:id="11"/>
      <w:r w:rsidR="00F255EE" w:rsidRPr="00C54C6D">
        <w:rPr>
          <w:lang w:bidi="he-IL"/>
        </w:rPr>
        <w:t xml:space="preserve">It is possible that </w:t>
      </w:r>
      <w:commentRangeEnd w:id="11"/>
      <w:r w:rsidR="00DC59E1">
        <w:rPr>
          <w:rStyle w:val="ac"/>
          <w:rFonts w:asciiTheme="minorHAnsi" w:eastAsiaTheme="minorHAnsi" w:hAnsiTheme="minorHAnsi" w:cstheme="minorBidi"/>
          <w:rtl/>
          <w:lang w:eastAsia="en-US" w:bidi="he-IL"/>
        </w:rPr>
        <w:commentReference w:id="11"/>
      </w:r>
      <w:proofErr w:type="spellStart"/>
      <w:r w:rsidR="00F255EE" w:rsidRPr="00C54C6D">
        <w:rPr>
          <w:lang w:bidi="he-IL"/>
        </w:rPr>
        <w:t>Rabbenu</w:t>
      </w:r>
      <w:proofErr w:type="spellEnd"/>
      <w:r w:rsidR="00F255EE" w:rsidRPr="00C54C6D">
        <w:rPr>
          <w:lang w:bidi="he-IL"/>
        </w:rPr>
        <w:t xml:space="preserve"> Tam’s </w:t>
      </w:r>
    </w:p>
    <w:p w14:paraId="535EE185" w14:textId="679994E3" w:rsidR="00E449D2" w:rsidRDefault="00F255EE" w:rsidP="00E449D2">
      <w:pPr>
        <w:pStyle w:val="PB"/>
        <w:jc w:val="both"/>
        <w:rPr>
          <w:lang w:bidi="he-IL"/>
        </w:rPr>
      </w:pPr>
      <w:r w:rsidRPr="00C54C6D">
        <w:rPr>
          <w:lang w:bidi="he-IL"/>
        </w:rPr>
        <w:t>Sanctions were meant as a mild interdict, rather than a strict ban based on compulsion and proscription</w:t>
      </w:r>
      <w:r w:rsidR="00B33FD2">
        <w:rPr>
          <w:lang w:bidi="he-IL"/>
        </w:rPr>
        <w:t>.</w:t>
      </w:r>
      <w:r w:rsidRPr="00C54C6D">
        <w:rPr>
          <w:lang w:bidi="he-IL"/>
        </w:rPr>
        <w:t xml:space="preserve"> </w:t>
      </w:r>
      <w:commentRangeStart w:id="12"/>
      <w:r w:rsidRPr="00C54C6D">
        <w:rPr>
          <w:lang w:bidi="he-IL"/>
        </w:rPr>
        <w:t>which would mean his total exclusion from Jewish society.</w:t>
      </w:r>
      <w:commentRangeEnd w:id="12"/>
      <w:r w:rsidR="00CF696D">
        <w:rPr>
          <w:rStyle w:val="ac"/>
          <w:rFonts w:asciiTheme="minorHAnsi" w:eastAsiaTheme="minorHAnsi" w:hAnsiTheme="minorHAnsi" w:cstheme="minorBidi"/>
          <w:lang w:eastAsia="en-US" w:bidi="he-IL"/>
        </w:rPr>
        <w:commentReference w:id="12"/>
      </w:r>
    </w:p>
    <w:p w14:paraId="4B13B51D" w14:textId="3E421CC8" w:rsidR="00E449D2" w:rsidRDefault="00C479F7" w:rsidP="00E449D2">
      <w:pPr>
        <w:pStyle w:val="af"/>
        <w:ind w:left="0"/>
        <w:rPr>
          <w:rFonts w:hint="cs"/>
          <w:rtl/>
        </w:rPr>
      </w:pPr>
      <w:r>
        <w:lastRenderedPageBreak/>
        <w:t xml:space="preserve"> </w:t>
      </w:r>
    </w:p>
    <w:p w14:paraId="2B2A6E63" w14:textId="39B8A265" w:rsidR="00E449D2" w:rsidRDefault="00E449D2" w:rsidP="00E449D2">
      <w:pPr>
        <w:pStyle w:val="af"/>
        <w:ind w:left="0"/>
      </w:pPr>
      <w:r>
        <w:rPr>
          <w:rFonts w:hint="cs"/>
          <w:rtl/>
        </w:rPr>
        <w:t xml:space="preserve">במדינת ישראל חלים חוקי המשפט העברי על ענייני המעמד האישי </w:t>
      </w:r>
      <w:r>
        <w:rPr>
          <w:rStyle w:val="af0"/>
        </w:rPr>
        <w:footnoteReference w:id="1"/>
      </w:r>
    </w:p>
    <w:p w14:paraId="4E1800A3" w14:textId="0EE678F7" w:rsidR="00E449D2" w:rsidRPr="00A50584" w:rsidRDefault="00E449D2" w:rsidP="00B33FD2">
      <w:pPr>
        <w:pStyle w:val="af"/>
        <w:ind w:left="0"/>
        <w:rPr>
          <w:rtl/>
        </w:rPr>
      </w:pPr>
      <w:r w:rsidRPr="00BD2105">
        <w:rPr>
          <w:rFonts w:hint="cs"/>
          <w:rtl/>
        </w:rPr>
        <w:t xml:space="preserve">במהלך השנים נוספו בחקיקה תיקונים שונים </w:t>
      </w:r>
      <w:r>
        <w:rPr>
          <w:rFonts w:hint="cs"/>
          <w:rtl/>
        </w:rPr>
        <w:t>הבאים לתת מענה לבעיות של סרבנות גט ועגינות שעלו מן השטח ונוצרו בעקבות פניה מתוך המערכת הרבנית עצמה</w:t>
      </w:r>
      <w:r w:rsidR="00B33FD2">
        <w:rPr>
          <w:rFonts w:hint="cs"/>
          <w:rtl/>
        </w:rPr>
        <w:t xml:space="preserve"> (</w:t>
      </w:r>
      <w:r w:rsidRPr="00F614B1">
        <w:rPr>
          <w:rFonts w:hint="cs"/>
          <w:rtl/>
        </w:rPr>
        <w:t xml:space="preserve">היועמ"ש של בתי הדין הרבנים; </w:t>
      </w:r>
      <w:r>
        <w:rPr>
          <w:rFonts w:hint="cs"/>
          <w:rtl/>
        </w:rPr>
        <w:t xml:space="preserve">הרבניים הראשיים, רבנים בתפקידי מפתח ברחבי העולם; או </w:t>
      </w:r>
      <w:r w:rsidRPr="00F614B1">
        <w:rPr>
          <w:rFonts w:hint="cs"/>
          <w:rtl/>
        </w:rPr>
        <w:t>פסיקה של בתי הדין הרבניי</w:t>
      </w:r>
      <w:r>
        <w:rPr>
          <w:rFonts w:hint="cs"/>
          <w:rtl/>
        </w:rPr>
        <w:t>ם</w:t>
      </w:r>
      <w:r w:rsidR="00B33FD2">
        <w:rPr>
          <w:rFonts w:hint="cs"/>
          <w:rtl/>
        </w:rPr>
        <w:t>).</w:t>
      </w:r>
    </w:p>
    <w:p w14:paraId="7FB60C3B" w14:textId="31BFEA3F" w:rsidR="00B33FD2" w:rsidRDefault="00C479F7" w:rsidP="00E449D2">
      <w:pPr>
        <w:pStyle w:val="PB"/>
        <w:jc w:val="both"/>
        <w:rPr>
          <w:lang w:bidi="he-IL"/>
        </w:rPr>
      </w:pPr>
      <w:r>
        <w:rPr>
          <w:lang w:bidi="he-IL"/>
        </w:rPr>
        <w:t xml:space="preserve">  </w:t>
      </w:r>
      <w:r w:rsidR="00F255EE" w:rsidRPr="00C54C6D">
        <w:rPr>
          <w:lang w:bidi="he-IL"/>
        </w:rPr>
        <w:t xml:space="preserve">Eight centuries after </w:t>
      </w:r>
      <w:proofErr w:type="spellStart"/>
      <w:r w:rsidR="00F255EE" w:rsidRPr="00C54C6D">
        <w:rPr>
          <w:color w:val="000000"/>
          <w:lang w:bidi="he-IL"/>
        </w:rPr>
        <w:t>Rabbenu</w:t>
      </w:r>
      <w:proofErr w:type="spellEnd"/>
      <w:r w:rsidR="00F255EE" w:rsidRPr="00C54C6D">
        <w:rPr>
          <w:color w:val="000000"/>
          <w:lang w:bidi="he-IL"/>
        </w:rPr>
        <w:t xml:space="preserve"> Tam’s Sanctions</w:t>
      </w:r>
      <w:r w:rsidR="00F255EE" w:rsidRPr="00C54C6D">
        <w:rPr>
          <w:lang w:bidi="he-IL"/>
        </w:rPr>
        <w:t xml:space="preserve"> were formulated an attempt is being made to adapt them to the reality of our generation. In 1995,</w:t>
      </w:r>
    </w:p>
    <w:p w14:paraId="2A1C276A" w14:textId="77777777" w:rsidR="00B33FD2" w:rsidRDefault="00B33FD2" w:rsidP="00B33FD2">
      <w:pPr>
        <w:pStyle w:val="a5"/>
        <w:jc w:val="both"/>
        <w:rPr>
          <w:rtl/>
        </w:rPr>
      </w:pPr>
      <w:r>
        <w:rPr>
          <w:rFonts w:hint="cs"/>
          <w:rtl/>
        </w:rPr>
        <w:t xml:space="preserve">בעקבות הידברות בין הרבנים הראשיים, מנהל בתי הדין הרבניים דאז </w:t>
      </w:r>
      <w:r>
        <w:rPr>
          <w:rtl/>
        </w:rPr>
        <w:t>–</w:t>
      </w:r>
      <w:r>
        <w:rPr>
          <w:rFonts w:hint="cs"/>
          <w:rtl/>
        </w:rPr>
        <w:t xml:space="preserve"> הרב בן דהאן, וחוקר המשפט העברי- ד"ר </w:t>
      </w:r>
      <w:proofErr w:type="spellStart"/>
      <w:r>
        <w:rPr>
          <w:rFonts w:hint="cs"/>
          <w:rtl/>
        </w:rPr>
        <w:t>ויינרוט</w:t>
      </w:r>
      <w:proofErr w:type="spellEnd"/>
      <w:r>
        <w:rPr>
          <w:rFonts w:hint="cs"/>
          <w:rtl/>
        </w:rPr>
        <w:t xml:space="preserve"> </w:t>
      </w:r>
    </w:p>
    <w:p w14:paraId="633F9334" w14:textId="49A7F31D" w:rsidR="00F255EE" w:rsidRPr="00C54C6D" w:rsidRDefault="00F255EE" w:rsidP="00E449D2">
      <w:pPr>
        <w:pStyle w:val="PB"/>
        <w:jc w:val="both"/>
        <w:rPr>
          <w:rtl/>
          <w:lang w:bidi="he-IL"/>
        </w:rPr>
      </w:pPr>
      <w:r w:rsidRPr="00C54C6D">
        <w:rPr>
          <w:lang w:bidi="he-IL"/>
        </w:rPr>
        <w:t xml:space="preserve"> new penalties were defined on the basis of the original enactment. Since then, there have been no fewer than </w:t>
      </w:r>
      <w:proofErr w:type="spellStart"/>
      <w:r w:rsidRPr="00C54C6D">
        <w:rPr>
          <w:lang w:bidi="he-IL"/>
        </w:rPr>
        <w:t>seven</w:t>
      </w:r>
      <w:r w:rsidR="00B33FD2">
        <w:rPr>
          <w:lang w:bidi="he-IL"/>
        </w:rPr>
        <w:t>eight</w:t>
      </w:r>
      <w:proofErr w:type="spellEnd"/>
      <w:r w:rsidR="00B33FD2" w:rsidRPr="00B33FD2">
        <w:rPr>
          <w:rStyle w:val="ac"/>
        </w:rPr>
        <w:t xml:space="preserve"> </w:t>
      </w:r>
      <w:r w:rsidRPr="00C54C6D">
        <w:rPr>
          <w:lang w:bidi="he-IL"/>
        </w:rPr>
        <w:t xml:space="preserve">different amendments to Israel law and halakhic precedents, a good indication of the great need to update and adapt the law and </w:t>
      </w:r>
      <w:proofErr w:type="spellStart"/>
      <w:r w:rsidRPr="00C54C6D">
        <w:rPr>
          <w:lang w:bidi="he-IL"/>
        </w:rPr>
        <w:t>halakhah</w:t>
      </w:r>
      <w:proofErr w:type="spellEnd"/>
      <w:r w:rsidRPr="00C54C6D">
        <w:rPr>
          <w:lang w:bidi="he-IL"/>
        </w:rPr>
        <w:t xml:space="preserve"> to the challenges of modern life</w:t>
      </w:r>
      <w:r w:rsidR="005D162C">
        <w:rPr>
          <w:lang w:bidi="he-IL"/>
        </w:rPr>
        <w:t>.</w:t>
      </w:r>
    </w:p>
    <w:p w14:paraId="18FF22CF" w14:textId="77777777" w:rsidR="00F255EE" w:rsidRPr="00C54C6D" w:rsidRDefault="00F255EE" w:rsidP="00F255EE">
      <w:pPr>
        <w:pStyle w:val="PB"/>
        <w:jc w:val="both"/>
        <w:rPr>
          <w:b/>
          <w:bCs/>
          <w:lang w:bidi="he-IL"/>
        </w:rPr>
      </w:pPr>
      <w:r w:rsidRPr="00C54C6D">
        <w:rPr>
          <w:b/>
          <w:bCs/>
          <w:lang w:bidi="he-IL"/>
        </w:rPr>
        <w:t xml:space="preserve">Why have </w:t>
      </w:r>
      <w:proofErr w:type="spellStart"/>
      <w:r w:rsidRPr="00C54C6D">
        <w:rPr>
          <w:b/>
          <w:bCs/>
          <w:lang w:bidi="he-IL"/>
        </w:rPr>
        <w:t>Rabbenu</w:t>
      </w:r>
      <w:proofErr w:type="spellEnd"/>
      <w:r w:rsidRPr="00C54C6D">
        <w:rPr>
          <w:b/>
          <w:bCs/>
          <w:lang w:bidi="he-IL"/>
        </w:rPr>
        <w:t xml:space="preserve"> Tam’s sanctions been altered from their original format? I believe that two significant new features of our current way of life are responsible: </w:t>
      </w:r>
    </w:p>
    <w:p w14:paraId="0EE72EC7" w14:textId="77777777" w:rsidR="00F255EE" w:rsidRPr="00C54C6D" w:rsidRDefault="00F255EE" w:rsidP="00F255EE">
      <w:pPr>
        <w:pStyle w:val="PB"/>
        <w:jc w:val="both"/>
        <w:rPr>
          <w:lang w:bidi="he-IL"/>
        </w:rPr>
      </w:pPr>
      <w:r w:rsidRPr="00C54C6D">
        <w:t xml:space="preserve">The first factor is modern modes of transportation. </w:t>
      </w:r>
      <w:r w:rsidRPr="00C54C6D">
        <w:rPr>
          <w:lang w:bidi="he-IL"/>
        </w:rPr>
        <w:t xml:space="preserve">In the past, when a husband was ostracized by his community, leaving home and moving to a distant place where no one knew him and he would not be shunned required a long and arduous journey and many dangers. These difficulties constituted a strong incentive for him to comply with the court’s ruling and divorce his wife. Today it is much easier for a </w:t>
      </w:r>
      <w:r w:rsidRPr="00C54C6D">
        <w:rPr>
          <w:color w:val="000000"/>
          <w:lang w:bidi="he-IL"/>
        </w:rPr>
        <w:t>recalcitrant husband</w:t>
      </w:r>
      <w:r w:rsidRPr="00C54C6D">
        <w:rPr>
          <w:lang w:bidi="he-IL"/>
        </w:rPr>
        <w:t xml:space="preserve"> to fly off to a country where he is unknown and will not be shunned.</w:t>
      </w:r>
    </w:p>
    <w:p w14:paraId="55FA3805" w14:textId="77777777" w:rsidR="00F255EE" w:rsidRPr="00C54C6D" w:rsidRDefault="00C479F7" w:rsidP="00F255EE">
      <w:pPr>
        <w:pStyle w:val="PB"/>
        <w:jc w:val="both"/>
      </w:pPr>
      <w:r>
        <w:t xml:space="preserve">   </w:t>
      </w:r>
      <w:r w:rsidR="00F255EE" w:rsidRPr="00C54C6D">
        <w:t>The second modern development is the role that society plays in the life of an individual. The collective no longer exerts the same force as in the past. In the legal arena, the focus is on protecting individuals’ and minorities’ rights to dignity, liberty, well-being, and freedom of expression and protest. Social pressure is simply not as important as it once was. In fact those who reject societal norms are often admired.</w:t>
      </w:r>
    </w:p>
    <w:p w14:paraId="7B440CB4" w14:textId="1BFF891B" w:rsidR="00F255EE" w:rsidRDefault="00F255EE" w:rsidP="00F255EE">
      <w:pPr>
        <w:pStyle w:val="PB"/>
        <w:jc w:val="both"/>
        <w:rPr>
          <w:lang w:bidi="he-IL"/>
        </w:rPr>
      </w:pPr>
      <w:r w:rsidRPr="00C54C6D">
        <w:rPr>
          <w:color w:val="000000"/>
          <w:lang w:bidi="he-IL"/>
        </w:rPr>
        <w:t xml:space="preserve"> </w:t>
      </w:r>
      <w:r w:rsidR="00C479F7">
        <w:rPr>
          <w:color w:val="000000"/>
          <w:lang w:bidi="he-IL"/>
        </w:rPr>
        <w:t xml:space="preserve">  </w:t>
      </w:r>
      <w:r w:rsidRPr="00C54C6D">
        <w:rPr>
          <w:color w:val="000000"/>
          <w:lang w:bidi="he-IL"/>
        </w:rPr>
        <w:t xml:space="preserve">Hence, </w:t>
      </w:r>
      <w:proofErr w:type="spellStart"/>
      <w:r w:rsidRPr="00C54C6D">
        <w:rPr>
          <w:color w:val="000000"/>
          <w:lang w:bidi="he-IL"/>
        </w:rPr>
        <w:t>Rabbenu</w:t>
      </w:r>
      <w:proofErr w:type="spellEnd"/>
      <w:r w:rsidRPr="00C54C6D">
        <w:rPr>
          <w:color w:val="000000"/>
          <w:lang w:bidi="he-IL"/>
        </w:rPr>
        <w:t xml:space="preserve"> Tam’s Sanctions</w:t>
      </w:r>
      <w:r w:rsidRPr="00C54C6D">
        <w:rPr>
          <w:lang w:bidi="he-IL"/>
        </w:rPr>
        <w:t xml:space="preserve"> have taken on new forms in recent decades, The first new development was an amendment passed by the Knesset in 1995, which gave rabbinical courts the authority to impose restraining orders on a </w:t>
      </w:r>
      <w:r w:rsidRPr="00C54C6D">
        <w:rPr>
          <w:color w:val="000000"/>
          <w:lang w:bidi="he-IL"/>
        </w:rPr>
        <w:t xml:space="preserve">recalcitrant husband: these could bar </w:t>
      </w:r>
      <w:r w:rsidRPr="00C54C6D">
        <w:rPr>
          <w:lang w:bidi="he-IL"/>
        </w:rPr>
        <w:t>him from leaving the country; prevent him from receiving or renewing a passport; suspend his driver’s license; disqualify him from gainful employment in almost any job in the public and private sectors; and restrict his dealings with banks.</w:t>
      </w:r>
      <w:r w:rsidRPr="00C54C6D">
        <w:rPr>
          <w:rStyle w:val="a9"/>
          <w:lang w:bidi="he-IL"/>
        </w:rPr>
        <w:endnoteReference w:id="26"/>
      </w:r>
    </w:p>
    <w:p w14:paraId="09B3047E" w14:textId="6092F6BF" w:rsidR="00D535D6" w:rsidRPr="00D535D6" w:rsidRDefault="00D535D6" w:rsidP="00D535D6">
      <w:pPr>
        <w:pStyle w:val="a5"/>
        <w:jc w:val="both"/>
        <w:rPr>
          <w:highlight w:val="cyan"/>
          <w:rtl/>
        </w:rPr>
      </w:pPr>
      <w:r>
        <w:rPr>
          <w:rFonts w:hint="cs"/>
          <w:rtl/>
        </w:rPr>
        <w:t xml:space="preserve">סנקציות אלה וכל ציוני הדרך בחקיקה שאציין להלן מתבססים על הרחקות דרבנו תם ויונקות את כוחן מן המילים הנזכרות בסופן: "ועוד יוסיפו חומר ברצונם על כל אדם אם לא יגרש". </w:t>
      </w:r>
      <w:r>
        <w:rPr>
          <w:rStyle w:val="af0"/>
          <w:rtl/>
        </w:rPr>
        <w:footnoteReference w:id="2"/>
      </w:r>
      <w:r>
        <w:rPr>
          <w:rFonts w:hint="cs"/>
          <w:rtl/>
        </w:rPr>
        <w:t xml:space="preserve"> מילים אלה מייפות את כוחם של הדיינים בכל הדורות לנקוט בדרכים שונות שעל-פי אומדן דעתם יהוו לחץ שאיננו נכנס לגדר כפיית גט אבל עשוי להביא למתן הגט,</w:t>
      </w:r>
      <w:r>
        <w:rPr>
          <w:rStyle w:val="af0"/>
          <w:rtl/>
        </w:rPr>
        <w:footnoteReference w:id="3"/>
      </w:r>
      <w:r>
        <w:rPr>
          <w:rFonts w:hint="cs"/>
          <w:rtl/>
        </w:rPr>
        <w:t xml:space="preserve"> </w:t>
      </w:r>
    </w:p>
    <w:p w14:paraId="7CA83D03" w14:textId="77777777" w:rsidR="00F255EE" w:rsidRPr="00C54C6D" w:rsidRDefault="00C479F7" w:rsidP="00F255EE">
      <w:pPr>
        <w:pStyle w:val="PB"/>
        <w:jc w:val="both"/>
        <w:rPr>
          <w:lang w:bidi="he-IL"/>
        </w:rPr>
      </w:pPr>
      <w:r>
        <w:rPr>
          <w:lang w:bidi="he-IL"/>
        </w:rPr>
        <w:lastRenderedPageBreak/>
        <w:t xml:space="preserve">   </w:t>
      </w:r>
      <w:r w:rsidR="00F255EE" w:rsidRPr="00C54C6D">
        <w:rPr>
          <w:lang w:bidi="he-IL"/>
        </w:rPr>
        <w:t xml:space="preserve">We can see that these restrictions continue two aspects of the medieval sanctions, in that they isolate and shame the </w:t>
      </w:r>
      <w:r w:rsidR="00F255EE" w:rsidRPr="00C54C6D">
        <w:rPr>
          <w:color w:val="000000"/>
          <w:lang w:bidi="he-IL"/>
        </w:rPr>
        <w:t>recalcitrant husband</w:t>
      </w:r>
      <w:r w:rsidR="00F255EE" w:rsidRPr="00C54C6D">
        <w:rPr>
          <w:lang w:bidi="he-IL"/>
        </w:rPr>
        <w:t xml:space="preserve">. They constrict his freedom in precisely the domains where modern society has made it easier for him to defy the court. They impede his mobility (by barring him from leaving the country and depriving him of his passport and driver’s license). They restore a measure of social control by not allowing him to hold a job, and restrict his dealings with banks. By these means he is returned, to the extent possible, to the situation of a </w:t>
      </w:r>
      <w:r w:rsidR="00F255EE" w:rsidRPr="00C54C6D">
        <w:rPr>
          <w:color w:val="000000"/>
          <w:lang w:bidi="he-IL"/>
        </w:rPr>
        <w:t>recalcitrant husband</w:t>
      </w:r>
      <w:r w:rsidR="00F255EE" w:rsidRPr="00C54C6D">
        <w:rPr>
          <w:lang w:bidi="he-IL"/>
        </w:rPr>
        <w:t xml:space="preserve"> in medieval society.</w:t>
      </w:r>
    </w:p>
    <w:p w14:paraId="5D39A462" w14:textId="77777777" w:rsidR="00F255EE" w:rsidRPr="00C54C6D" w:rsidRDefault="00C479F7" w:rsidP="009E7502">
      <w:pPr>
        <w:pStyle w:val="PB"/>
        <w:jc w:val="both"/>
        <w:rPr>
          <w:lang w:bidi="he-IL"/>
        </w:rPr>
      </w:pPr>
      <w:bookmarkStart w:id="13" w:name="here"/>
      <w:r>
        <w:rPr>
          <w:lang w:bidi="he-IL"/>
        </w:rPr>
        <w:t xml:space="preserve">   </w:t>
      </w:r>
      <w:r w:rsidR="00F255EE" w:rsidRPr="00C54C6D">
        <w:rPr>
          <w:lang w:bidi="he-IL"/>
        </w:rPr>
        <w:t xml:space="preserve">The second major development came </w:t>
      </w:r>
      <w:bookmarkEnd w:id="13"/>
      <w:r w:rsidR="00F255EE" w:rsidRPr="00C54C6D">
        <w:rPr>
          <w:lang w:bidi="he-IL"/>
        </w:rPr>
        <w:t xml:space="preserve">in 2016. The Supreme Rabbinical Court ruled that public shaming of the </w:t>
      </w:r>
      <w:r w:rsidR="00F255EE" w:rsidRPr="00C54C6D">
        <w:rPr>
          <w:color w:val="000000"/>
          <w:lang w:bidi="he-IL"/>
        </w:rPr>
        <w:t>recalcitrant husband</w:t>
      </w:r>
      <w:r w:rsidR="00F255EE" w:rsidRPr="00C54C6D">
        <w:rPr>
          <w:lang w:bidi="he-IL"/>
        </w:rPr>
        <w:t xml:space="preserve"> Dr. Oded </w:t>
      </w:r>
      <w:proofErr w:type="spellStart"/>
      <w:r w:rsidR="00F255EE" w:rsidRPr="00C54C6D">
        <w:rPr>
          <w:lang w:bidi="he-IL"/>
        </w:rPr>
        <w:t>Gez</w:t>
      </w:r>
      <w:proofErr w:type="spellEnd"/>
      <w:r w:rsidR="00F255EE" w:rsidRPr="00C54C6D">
        <w:rPr>
          <w:lang w:bidi="he-IL"/>
        </w:rPr>
        <w:t xml:space="preserve"> was permissible</w:t>
      </w:r>
      <w:r w:rsidR="009E7502" w:rsidRPr="00C54C6D">
        <w:rPr>
          <w:lang w:bidi="he-IL"/>
        </w:rPr>
        <w:t>.</w:t>
      </w:r>
      <w:r w:rsidR="00F255EE" w:rsidRPr="00C54C6D">
        <w:rPr>
          <w:rStyle w:val="a9"/>
          <w:lang w:bidi="he-IL"/>
        </w:rPr>
        <w:endnoteReference w:id="27"/>
      </w:r>
      <w:r w:rsidR="00F255EE" w:rsidRPr="00C54C6D">
        <w:rPr>
          <w:lang w:bidi="he-IL"/>
        </w:rPr>
        <w:t xml:space="preserve"> The court allowed his wife to publish his name and picture, called on his employer to fire him, and asked the public to refrain from giving him honors in the synagogue and elsewhere. The court stated that these sanctions, and the accompanying shaming, derived from </w:t>
      </w:r>
      <w:proofErr w:type="spellStart"/>
      <w:r w:rsidR="00F255EE" w:rsidRPr="00C54C6D">
        <w:rPr>
          <w:color w:val="000000"/>
          <w:lang w:bidi="he-IL"/>
        </w:rPr>
        <w:t>Rabbenu</w:t>
      </w:r>
      <w:proofErr w:type="spellEnd"/>
      <w:r w:rsidR="00F255EE" w:rsidRPr="00C54C6D">
        <w:rPr>
          <w:color w:val="000000"/>
          <w:lang w:bidi="he-IL"/>
        </w:rPr>
        <w:t xml:space="preserve"> Tam’s Sanctions</w:t>
      </w:r>
      <w:r w:rsidR="00F255EE" w:rsidRPr="00C54C6D">
        <w:rPr>
          <w:lang w:bidi="he-IL"/>
        </w:rPr>
        <w:t xml:space="preserve">. When the shaming order was published, </w:t>
      </w:r>
      <w:proofErr w:type="spellStart"/>
      <w:r w:rsidR="00F255EE" w:rsidRPr="00C54C6D">
        <w:rPr>
          <w:lang w:bidi="he-IL"/>
        </w:rPr>
        <w:t>Gez</w:t>
      </w:r>
      <w:proofErr w:type="spellEnd"/>
      <w:r w:rsidR="00F255EE" w:rsidRPr="00C54C6D">
        <w:rPr>
          <w:lang w:bidi="he-IL"/>
        </w:rPr>
        <w:t xml:space="preserve"> fled the country using a forged passport, but was eventually arrested in Belgium for extradition to Israel. I will return to the end of this episode later.</w:t>
      </w:r>
    </w:p>
    <w:p w14:paraId="07642D08" w14:textId="177A0436" w:rsidR="00F255EE" w:rsidRDefault="00C479F7" w:rsidP="00F255EE">
      <w:pPr>
        <w:pStyle w:val="PB"/>
        <w:jc w:val="both"/>
        <w:rPr>
          <w:lang w:bidi="he-IL"/>
        </w:rPr>
      </w:pPr>
      <w:r>
        <w:rPr>
          <w:lang w:bidi="he-IL"/>
        </w:rPr>
        <w:t xml:space="preserve">   </w:t>
      </w:r>
      <w:proofErr w:type="gramStart"/>
      <w:r w:rsidR="00F255EE" w:rsidRPr="00C54C6D">
        <w:rPr>
          <w:lang w:bidi="he-IL"/>
        </w:rPr>
        <w:t>Also</w:t>
      </w:r>
      <w:proofErr w:type="gramEnd"/>
      <w:r w:rsidR="00F255EE" w:rsidRPr="00C54C6D">
        <w:rPr>
          <w:lang w:bidi="he-IL"/>
        </w:rPr>
        <w:t xml:space="preserve"> in 2016 the Knesset passed a law that deprives imprisoned </w:t>
      </w:r>
      <w:r w:rsidR="00F255EE" w:rsidRPr="00C54C6D">
        <w:rPr>
          <w:color w:val="000000"/>
          <w:lang w:bidi="he-IL"/>
        </w:rPr>
        <w:t>recalcitrant husband</w:t>
      </w:r>
      <w:r w:rsidR="00F255EE" w:rsidRPr="00C54C6D">
        <w:rPr>
          <w:lang w:bidi="he-IL"/>
        </w:rPr>
        <w:t>s of certain privileges, most of them related to religious observance: assignment to the “Torah-observant” wing of the prison; participation in Torah study programs there; being served food that adheres to the most stringent standards of kashrut (</w:t>
      </w:r>
      <w:proofErr w:type="spellStart"/>
      <w:r w:rsidR="00F255EE" w:rsidRPr="00C54C6D">
        <w:rPr>
          <w:lang w:bidi="he-IL"/>
        </w:rPr>
        <w:t>glatt</w:t>
      </w:r>
      <w:proofErr w:type="spellEnd"/>
      <w:r w:rsidR="00F255EE" w:rsidRPr="00C54C6D">
        <w:rPr>
          <w:lang w:bidi="he-IL"/>
        </w:rPr>
        <w:t>); and possession of writing implements and cellphones.</w:t>
      </w:r>
      <w:r w:rsidR="00F255EE" w:rsidRPr="00C54C6D">
        <w:rPr>
          <w:rStyle w:val="a9"/>
          <w:lang w:bidi="he-IL"/>
        </w:rPr>
        <w:endnoteReference w:id="28"/>
      </w:r>
    </w:p>
    <w:p w14:paraId="3F004311" w14:textId="1B5D7467" w:rsidR="00D535D6" w:rsidRPr="00C54C6D" w:rsidRDefault="00D535D6" w:rsidP="00D535D6">
      <w:pPr>
        <w:pStyle w:val="a5"/>
      </w:pPr>
      <w:r w:rsidRPr="002C743A">
        <w:rPr>
          <w:rStyle w:val="ac"/>
          <w:rFonts w:hint="cs"/>
          <w:sz w:val="20"/>
          <w:szCs w:val="20"/>
          <w:rtl/>
        </w:rPr>
        <w:t>ציון דרך זה הגיע</w:t>
      </w:r>
      <w:r w:rsidRPr="001F786C">
        <w:rPr>
          <w:rStyle w:val="ac"/>
          <w:rFonts w:hint="cs"/>
          <w:rtl/>
        </w:rPr>
        <w:t xml:space="preserve"> </w:t>
      </w:r>
      <w:r w:rsidRPr="001F786C">
        <w:rPr>
          <w:rFonts w:hint="cs"/>
          <w:rtl/>
        </w:rPr>
        <w:t>בעקבות פסיקה של בית הדין הגדול</w:t>
      </w:r>
      <w:r>
        <w:rPr>
          <w:rFonts w:hint="cs"/>
          <w:rtl/>
        </w:rPr>
        <w:t xml:space="preserve"> </w:t>
      </w:r>
      <w:r w:rsidRPr="001F786C">
        <w:rPr>
          <w:rFonts w:hint="cs"/>
          <w:rtl/>
        </w:rPr>
        <w:t>שדן בעניינו של אסיר סרבן גט והביע מורת רוח  מן התופעה שסרבני גט דורשים הטבות על רקע דתי ונענים בחיוב על ידי שירות בתי הסוהר על אף שהם ממשיכים לסרב לתת גט לנשותיהם, בניגוד לפסק דין שחייב אותם לעשות כן</w:t>
      </w:r>
      <w:r w:rsidR="00D22236">
        <w:rPr>
          <w:rFonts w:hint="cs"/>
          <w:rtl/>
        </w:rPr>
        <w:t>.</w:t>
      </w:r>
      <w:r>
        <w:rPr>
          <w:rStyle w:val="af0"/>
          <w:rtl/>
        </w:rPr>
        <w:footnoteReference w:id="4"/>
      </w:r>
    </w:p>
    <w:p w14:paraId="6744763E" w14:textId="77777777" w:rsidR="00D22236" w:rsidRDefault="00C479F7" w:rsidP="00F255EE">
      <w:pPr>
        <w:pStyle w:val="PB"/>
        <w:jc w:val="both"/>
        <w:rPr>
          <w:lang w:bidi="he-IL"/>
        </w:rPr>
      </w:pPr>
      <w:r>
        <w:rPr>
          <w:lang w:bidi="he-IL"/>
        </w:rPr>
        <w:t xml:space="preserve">   </w:t>
      </w:r>
      <w:r w:rsidR="00F255EE" w:rsidRPr="00C54C6D">
        <w:rPr>
          <w:lang w:bidi="he-IL"/>
        </w:rPr>
        <w:t xml:space="preserve">Next, religious court rulings began to impose restrictions on family members who assist and encourage a </w:t>
      </w:r>
      <w:r w:rsidR="00F255EE" w:rsidRPr="00C54C6D">
        <w:rPr>
          <w:color w:val="000000"/>
          <w:lang w:bidi="he-IL"/>
        </w:rPr>
        <w:t>recalcitrant husband</w:t>
      </w:r>
      <w:r w:rsidR="00F255EE" w:rsidRPr="00C54C6D">
        <w:rPr>
          <w:lang w:bidi="he-IL"/>
        </w:rPr>
        <w:t xml:space="preserve"> (in the case before the court, his parents), including a ban on their leaving Israel and incarceration.</w:t>
      </w:r>
      <w:r w:rsidR="00F255EE" w:rsidRPr="00C54C6D">
        <w:rPr>
          <w:rStyle w:val="a9"/>
          <w:lang w:bidi="he-IL"/>
        </w:rPr>
        <w:endnoteReference w:id="29"/>
      </w:r>
      <w:r w:rsidR="00F255EE" w:rsidRPr="00C54C6D">
        <w:rPr>
          <w:lang w:bidi="he-IL"/>
        </w:rPr>
        <w:t xml:space="preserve"> After this,</w:t>
      </w:r>
    </w:p>
    <w:p w14:paraId="27D9F3CA" w14:textId="77777777" w:rsidR="00D22236" w:rsidRDefault="00D22236" w:rsidP="00D22236">
      <w:pPr>
        <w:pStyle w:val="a5"/>
        <w:rPr>
          <w:rtl/>
        </w:rPr>
      </w:pPr>
      <w:r w:rsidRPr="00A41C1C">
        <w:rPr>
          <w:rFonts w:cs="Arial" w:hint="cs"/>
          <w:rtl/>
        </w:rPr>
        <w:t>בעקבות</w:t>
      </w:r>
      <w:r w:rsidRPr="00A41C1C">
        <w:rPr>
          <w:rFonts w:cs="Arial"/>
          <w:rtl/>
        </w:rPr>
        <w:t xml:space="preserve"> </w:t>
      </w:r>
      <w:r w:rsidRPr="00A41C1C">
        <w:rPr>
          <w:rFonts w:cs="Arial" w:hint="cs"/>
          <w:rtl/>
        </w:rPr>
        <w:t>פנייה</w:t>
      </w:r>
      <w:r w:rsidRPr="00A41C1C">
        <w:rPr>
          <w:rFonts w:cs="Arial"/>
          <w:rtl/>
        </w:rPr>
        <w:t xml:space="preserve"> </w:t>
      </w:r>
      <w:r w:rsidRPr="00A41C1C">
        <w:rPr>
          <w:rFonts w:cs="Arial" w:hint="cs"/>
          <w:rtl/>
        </w:rPr>
        <w:t>של</w:t>
      </w:r>
      <w:r w:rsidRPr="00A41C1C">
        <w:rPr>
          <w:rFonts w:cs="Arial"/>
          <w:rtl/>
        </w:rPr>
        <w:t xml:space="preserve"> </w:t>
      </w:r>
      <w:r w:rsidRPr="00A41C1C">
        <w:rPr>
          <w:rFonts w:cs="Arial" w:hint="cs"/>
          <w:rtl/>
        </w:rPr>
        <w:t>היועץ</w:t>
      </w:r>
      <w:r w:rsidRPr="00A41C1C">
        <w:rPr>
          <w:rFonts w:cs="Arial"/>
          <w:rtl/>
        </w:rPr>
        <w:t xml:space="preserve"> </w:t>
      </w:r>
      <w:r w:rsidRPr="00A41C1C">
        <w:rPr>
          <w:rFonts w:cs="Arial" w:hint="cs"/>
          <w:rtl/>
        </w:rPr>
        <w:t>המשפטי</w:t>
      </w:r>
      <w:r w:rsidRPr="00A41C1C">
        <w:rPr>
          <w:rFonts w:cs="Arial"/>
          <w:rtl/>
        </w:rPr>
        <w:t xml:space="preserve"> </w:t>
      </w:r>
      <w:r w:rsidRPr="00A41C1C">
        <w:rPr>
          <w:rFonts w:cs="Arial" w:hint="cs"/>
          <w:rtl/>
        </w:rPr>
        <w:t>של</w:t>
      </w:r>
      <w:r w:rsidRPr="00A41C1C">
        <w:rPr>
          <w:rFonts w:cs="Arial"/>
          <w:rtl/>
        </w:rPr>
        <w:t xml:space="preserve"> </w:t>
      </w:r>
      <w:r w:rsidRPr="00A41C1C">
        <w:rPr>
          <w:rFonts w:cs="Arial" w:hint="cs"/>
          <w:rtl/>
        </w:rPr>
        <w:t>בתי</w:t>
      </w:r>
      <w:r w:rsidRPr="00A41C1C">
        <w:rPr>
          <w:rFonts w:cs="Arial"/>
          <w:rtl/>
        </w:rPr>
        <w:t xml:space="preserve"> </w:t>
      </w:r>
      <w:r w:rsidRPr="00A41C1C">
        <w:rPr>
          <w:rFonts w:cs="Arial" w:hint="cs"/>
          <w:rtl/>
        </w:rPr>
        <w:t>הדין</w:t>
      </w:r>
      <w:r w:rsidRPr="00A41C1C">
        <w:rPr>
          <w:rFonts w:cs="Arial"/>
          <w:rtl/>
        </w:rPr>
        <w:t xml:space="preserve"> </w:t>
      </w:r>
      <w:r w:rsidRPr="00A41C1C">
        <w:rPr>
          <w:rFonts w:cs="Arial" w:hint="cs"/>
          <w:rtl/>
        </w:rPr>
        <w:t>הרבניים</w:t>
      </w:r>
      <w:r w:rsidRPr="00A41C1C">
        <w:rPr>
          <w:rFonts w:cs="Arial"/>
          <w:rtl/>
        </w:rPr>
        <w:t xml:space="preserve">, </w:t>
      </w:r>
      <w:r w:rsidRPr="00A41C1C">
        <w:rPr>
          <w:rFonts w:cs="Arial" w:hint="cs"/>
          <w:rtl/>
        </w:rPr>
        <w:t>הרב</w:t>
      </w:r>
      <w:r w:rsidRPr="00A41C1C">
        <w:rPr>
          <w:rFonts w:cs="Arial"/>
          <w:rtl/>
        </w:rPr>
        <w:t xml:space="preserve"> </w:t>
      </w:r>
      <w:r w:rsidRPr="00A41C1C">
        <w:rPr>
          <w:rFonts w:cs="Arial" w:hint="cs"/>
          <w:rtl/>
        </w:rPr>
        <w:t>שמעון</w:t>
      </w:r>
      <w:r w:rsidRPr="00A41C1C">
        <w:rPr>
          <w:rFonts w:cs="Arial"/>
          <w:rtl/>
        </w:rPr>
        <w:t xml:space="preserve"> </w:t>
      </w:r>
      <w:r w:rsidRPr="00A41C1C">
        <w:rPr>
          <w:rFonts w:cs="Arial" w:hint="cs"/>
          <w:rtl/>
        </w:rPr>
        <w:t>יעקובי</w:t>
      </w:r>
      <w:r>
        <w:rPr>
          <w:rFonts w:hint="cs"/>
          <w:rtl/>
        </w:rPr>
        <w:t>.</w:t>
      </w:r>
    </w:p>
    <w:p w14:paraId="29202ED3" w14:textId="4879073C" w:rsidR="00F255EE" w:rsidRPr="00C54C6D" w:rsidRDefault="00F255EE" w:rsidP="00D22236">
      <w:pPr>
        <w:pStyle w:val="PB"/>
        <w:jc w:val="right"/>
        <w:rPr>
          <w:lang w:bidi="he-IL"/>
        </w:rPr>
      </w:pPr>
      <w:r w:rsidRPr="00C54C6D">
        <w:rPr>
          <w:lang w:bidi="he-IL"/>
        </w:rPr>
        <w:t xml:space="preserve"> the Attorney General gave his backing to the rabbinical courts and decided that if the </w:t>
      </w:r>
      <w:r w:rsidRPr="00C54C6D">
        <w:rPr>
          <w:color w:val="000000"/>
          <w:lang w:bidi="he-IL"/>
        </w:rPr>
        <w:t>recalcitrant husband</w:t>
      </w:r>
      <w:r w:rsidRPr="00C54C6D">
        <w:rPr>
          <w:rStyle w:val="a9"/>
          <w:lang w:bidi="he-IL"/>
        </w:rPr>
        <w:endnoteReference w:id="30"/>
      </w:r>
      <w:r w:rsidRPr="00C54C6D">
        <w:rPr>
          <w:lang w:bidi="he-IL"/>
        </w:rPr>
        <w:t xml:space="preserve"> or other persons are dominant forces behind his intransigence they can be the object of a criminal investigation.</w:t>
      </w:r>
      <w:r w:rsidRPr="00C54C6D">
        <w:rPr>
          <w:rStyle w:val="a9"/>
          <w:lang w:bidi="he-IL"/>
        </w:rPr>
        <w:endnoteReference w:id="31"/>
      </w:r>
    </w:p>
    <w:p w14:paraId="505DC3C9" w14:textId="77777777" w:rsidR="00D22236" w:rsidRDefault="00C479F7" w:rsidP="009E7502">
      <w:pPr>
        <w:pStyle w:val="PB"/>
        <w:jc w:val="both"/>
        <w:rPr>
          <w:lang w:bidi="he-IL"/>
        </w:rPr>
      </w:pPr>
      <w:r>
        <w:rPr>
          <w:lang w:bidi="he-IL"/>
        </w:rPr>
        <w:t xml:space="preserve">   </w:t>
      </w:r>
      <w:r w:rsidR="00F255EE" w:rsidRPr="00C54C6D">
        <w:rPr>
          <w:lang w:bidi="he-IL"/>
        </w:rPr>
        <w:t>In 2018 the Knesset passed a law that authorizes the rabbinical courts to provide remedies to “chained women” all over the world, even if neither partner is an Israeli citizen.</w:t>
      </w:r>
      <w:r w:rsidR="00F255EE" w:rsidRPr="00C54C6D">
        <w:rPr>
          <w:rStyle w:val="a9"/>
          <w:lang w:bidi="he-IL"/>
        </w:rPr>
        <w:endnoteReference w:id="32"/>
      </w:r>
      <w:r w:rsidR="00F255EE" w:rsidRPr="00C54C6D">
        <w:rPr>
          <w:lang w:bidi="he-IL"/>
        </w:rPr>
        <w:t xml:space="preserve"> This law views the State of Israel as the nation-state of the Jewish people, empowered to enforce restraining orders imposed on </w:t>
      </w:r>
      <w:r w:rsidR="00F255EE" w:rsidRPr="00C54C6D">
        <w:rPr>
          <w:color w:val="000000"/>
          <w:lang w:bidi="he-IL"/>
        </w:rPr>
        <w:t>recalcitrant husband</w:t>
      </w:r>
      <w:r w:rsidR="00F255EE" w:rsidRPr="00C54C6D">
        <w:rPr>
          <w:lang w:bidi="he-IL"/>
        </w:rPr>
        <w:t>s outside its borders.</w:t>
      </w:r>
      <w:r w:rsidR="00F255EE" w:rsidRPr="00C54C6D">
        <w:rPr>
          <w:rStyle w:val="a9"/>
          <w:lang w:bidi="he-IL"/>
        </w:rPr>
        <w:endnoteReference w:id="33"/>
      </w:r>
    </w:p>
    <w:p w14:paraId="16B7EB6D" w14:textId="77777777" w:rsidR="00D22236" w:rsidRDefault="00D22236" w:rsidP="00D22236">
      <w:pPr>
        <w:pStyle w:val="a5"/>
      </w:pPr>
      <w:r>
        <w:rPr>
          <w:rFonts w:hint="cs"/>
          <w:rtl/>
        </w:rPr>
        <w:t>חקיקה זו באה כתוצאה מפנייה של הרב פסח גולדשמידט נשיא ארגון רבני אירופה (</w:t>
      </w:r>
      <w:r>
        <w:rPr>
          <w:rFonts w:hint="cs"/>
        </w:rPr>
        <w:t>CER</w:t>
      </w:r>
      <w:r>
        <w:rPr>
          <w:rFonts w:hint="cs"/>
          <w:rtl/>
        </w:rPr>
        <w:t xml:space="preserve">) ורבה של מוסקבה </w:t>
      </w:r>
      <w:r w:rsidRPr="002B5454">
        <w:rPr>
          <w:rFonts w:hint="cs"/>
          <w:rtl/>
        </w:rPr>
        <w:t>שהצביע על תופעה הולכת ומתרחבת של  סרבני גט יהודים ברחבי העולם הנפרדים מנשותיהן באופן אזרחי בלבד ואינם נותנים להן גט.</w:t>
      </w:r>
      <w:r>
        <w:rPr>
          <w:rFonts w:hint="cs"/>
          <w:rtl/>
        </w:rPr>
        <w:t xml:space="preserve"> הוא התריע על כך שבשל העדר סמכות שיפוט לבית הדין המקומי בחו"ל לאכוף את פסקי הדין לחיוב או כפיית גט, נשים רבות בעולם נותרות עגונות ללא אפשרות להינשא מחדש. </w:t>
      </w:r>
    </w:p>
    <w:p w14:paraId="2B2071BB" w14:textId="77777777" w:rsidR="00D22236" w:rsidRDefault="00D22236" w:rsidP="00D22236">
      <w:pPr>
        <w:pStyle w:val="PB"/>
        <w:jc w:val="right"/>
        <w:rPr>
          <w:lang w:bidi="he-IL"/>
        </w:rPr>
      </w:pPr>
    </w:p>
    <w:p w14:paraId="17EB9EF3" w14:textId="5BBB1F77" w:rsidR="0052651A" w:rsidRDefault="0052651A" w:rsidP="0052651A">
      <w:pPr>
        <w:pStyle w:val="PB"/>
        <w:jc w:val="right"/>
        <w:rPr>
          <w:rtl/>
          <w:lang w:bidi="he-IL"/>
        </w:rPr>
      </w:pPr>
      <w:r>
        <w:rPr>
          <w:rFonts w:hint="cs"/>
          <w:rtl/>
          <w:lang w:bidi="he-IL"/>
        </w:rPr>
        <w:t>ההתפתחות הבאה</w:t>
      </w:r>
    </w:p>
    <w:p w14:paraId="52B120DB" w14:textId="426D1452" w:rsidR="00F255EE" w:rsidRDefault="00F255EE" w:rsidP="009E7502">
      <w:pPr>
        <w:pStyle w:val="PB"/>
        <w:jc w:val="both"/>
        <w:rPr>
          <w:lang w:bidi="he-IL"/>
        </w:rPr>
      </w:pPr>
      <w:r w:rsidRPr="00C54C6D">
        <w:rPr>
          <w:lang w:bidi="he-IL"/>
        </w:rPr>
        <w:t xml:space="preserve"> </w:t>
      </w:r>
      <w:r w:rsidRPr="00BF4B68">
        <w:rPr>
          <w:highlight w:val="green"/>
          <w:lang w:bidi="he-IL"/>
        </w:rPr>
        <w:t>on this front</w:t>
      </w:r>
      <w:r w:rsidRPr="00C54C6D">
        <w:rPr>
          <w:lang w:bidi="he-IL"/>
        </w:rPr>
        <w:t xml:space="preserve"> is the 2019 bill proposal to revoke</w:t>
      </w:r>
      <w:r w:rsidR="009E7502" w:rsidRPr="009E7502">
        <w:rPr>
          <w:lang w:bidi="he-IL"/>
        </w:rPr>
        <w:t xml:space="preserve"> </w:t>
      </w:r>
      <w:r w:rsidR="009E7502" w:rsidRPr="00C54C6D">
        <w:rPr>
          <w:lang w:bidi="he-IL"/>
        </w:rPr>
        <w:t>of the right</w:t>
      </w:r>
      <w:r w:rsidR="005F1A32">
        <w:rPr>
          <w:lang w:bidi="he-IL"/>
        </w:rPr>
        <w:t xml:space="preserve"> of </w:t>
      </w:r>
      <w:r w:rsidRPr="00C54C6D">
        <w:rPr>
          <w:color w:val="000000"/>
          <w:lang w:bidi="he-IL"/>
        </w:rPr>
        <w:t>recalcitrant husband</w:t>
      </w:r>
      <w:r w:rsidRPr="00C54C6D">
        <w:rPr>
          <w:lang w:bidi="he-IL"/>
        </w:rPr>
        <w:t>s to use a credit card.</w:t>
      </w:r>
      <w:r w:rsidRPr="00C54C6D">
        <w:rPr>
          <w:rStyle w:val="a9"/>
          <w:lang w:bidi="he-IL"/>
        </w:rPr>
        <w:endnoteReference w:id="34"/>
      </w:r>
      <w:r w:rsidR="00A637D3" w:rsidRPr="00A637D3">
        <w:rPr>
          <w:lang w:bidi="he-IL"/>
        </w:rPr>
        <w:t xml:space="preserve"> </w:t>
      </w:r>
      <w:r w:rsidR="00A637D3" w:rsidRPr="007B139D">
        <w:rPr>
          <w:highlight w:val="yellow"/>
          <w:lang w:bidi="he-IL"/>
        </w:rPr>
        <w:t>The most recent development</w:t>
      </w:r>
      <w:r w:rsidR="00CC7BA3" w:rsidRPr="007B139D">
        <w:rPr>
          <w:highlight w:val="yellow"/>
          <w:lang w:bidi="he-IL"/>
        </w:rPr>
        <w:t xml:space="preserve"> on this front is </w:t>
      </w:r>
    </w:p>
    <w:p w14:paraId="3B4E35A7" w14:textId="210AD8CF" w:rsidR="0052651A" w:rsidRDefault="0052651A" w:rsidP="0052651A">
      <w:pPr>
        <w:pStyle w:val="a5"/>
        <w:rPr>
          <w:rtl/>
        </w:rPr>
      </w:pPr>
      <w:r>
        <w:rPr>
          <w:rFonts w:hint="cs"/>
          <w:rtl/>
        </w:rPr>
        <w:t>רישום של הסרבן ברשימה של סרבני גט במרשתת של בתי הדין הרבניים, והטלת עיצומים כספיים על הסרבן לטובת האישה (ולא רק לאוצר המדינה כפי שנעשה עד היום).</w:t>
      </w:r>
      <w:r>
        <w:rPr>
          <w:rStyle w:val="af0"/>
          <w:rtl/>
        </w:rPr>
        <w:footnoteReference w:id="5"/>
      </w:r>
    </w:p>
    <w:p w14:paraId="50DC355E" w14:textId="77777777" w:rsidR="00F255EE" w:rsidRPr="00C54C6D" w:rsidRDefault="00C479F7" w:rsidP="00C479F7">
      <w:pPr>
        <w:pStyle w:val="PB"/>
        <w:jc w:val="both"/>
      </w:pPr>
      <w:r>
        <w:t xml:space="preserve">   </w:t>
      </w:r>
      <w:r w:rsidR="00F255EE" w:rsidRPr="00C54C6D">
        <w:t xml:space="preserve">Although I believe that all these innovations maintain the original intent of </w:t>
      </w:r>
      <w:proofErr w:type="spellStart"/>
      <w:r w:rsidR="00F255EE" w:rsidRPr="00C54C6D">
        <w:t>Rabbenu</w:t>
      </w:r>
      <w:proofErr w:type="spellEnd"/>
      <w:r w:rsidR="00F255EE" w:rsidRPr="00C54C6D">
        <w:t xml:space="preserve"> Tam’s sanctions—which is to isolate and shame the recalcitrant husband—</w:t>
      </w:r>
      <w:commentRangeStart w:id="15"/>
      <w:r w:rsidR="00F255EE" w:rsidRPr="004C33CA">
        <w:rPr>
          <w:highlight w:val="green"/>
        </w:rPr>
        <w:t>in this article</w:t>
      </w:r>
      <w:commentRangeEnd w:id="15"/>
      <w:r w:rsidR="004C33CA">
        <w:rPr>
          <w:rStyle w:val="ac"/>
          <w:rFonts w:asciiTheme="minorHAnsi" w:eastAsiaTheme="minorHAnsi" w:hAnsiTheme="minorHAnsi" w:cstheme="minorBidi"/>
          <w:lang w:eastAsia="en-US" w:bidi="he-IL"/>
        </w:rPr>
        <w:commentReference w:id="15"/>
      </w:r>
      <w:r w:rsidR="00F255EE" w:rsidRPr="00C54C6D">
        <w:t xml:space="preserve"> I want to focus on shaming. Shaming is the most powerful form of these sanctions, a classic product of the technological advances of the early </w:t>
      </w:r>
      <w:r>
        <w:t>twenty-</w:t>
      </w:r>
      <w:r w:rsidR="005F1A32">
        <w:t>first</w:t>
      </w:r>
      <w:r>
        <w:t xml:space="preserve"> </w:t>
      </w:r>
      <w:r w:rsidR="00F255EE" w:rsidRPr="00C54C6D">
        <w:t>century.</w:t>
      </w:r>
      <w:r w:rsidR="00F255EE" w:rsidRPr="00C54C6D">
        <w:rPr>
          <w:rtl/>
          <w:lang w:bidi="he-IL"/>
        </w:rPr>
        <w:t xml:space="preserve"> </w:t>
      </w:r>
      <w:r w:rsidR="00F255EE" w:rsidRPr="002B5454">
        <w:t>Shaming</w:t>
      </w:r>
      <w:r w:rsidR="00F255EE" w:rsidRPr="00C54C6D">
        <w:t xml:space="preserve"> stretches </w:t>
      </w:r>
      <w:proofErr w:type="spellStart"/>
      <w:r w:rsidR="00F255EE" w:rsidRPr="00C54C6D">
        <w:t>Rabbenu</w:t>
      </w:r>
      <w:proofErr w:type="spellEnd"/>
      <w:r w:rsidR="00F255EE" w:rsidRPr="00C54C6D">
        <w:t xml:space="preserve"> Tam’s Sanctions to the extreme, has a vast and immediate effect, creates a strong impression and remains etched in the public’s mind forever, but in addition to its advantages it also has many disadvantages.</w:t>
      </w:r>
    </w:p>
    <w:p w14:paraId="2AF839D5" w14:textId="77777777" w:rsidR="00F255EE" w:rsidRPr="00C54C6D" w:rsidRDefault="00C479F7" w:rsidP="00F255EE">
      <w:pPr>
        <w:pStyle w:val="PB"/>
        <w:jc w:val="both"/>
      </w:pPr>
      <w:r>
        <w:rPr>
          <w:lang w:bidi="he-IL"/>
        </w:rPr>
        <w:t xml:space="preserve">   </w:t>
      </w:r>
      <w:r w:rsidR="00AC3E6B">
        <w:rPr>
          <w:lang w:bidi="he-IL"/>
        </w:rPr>
        <w:t xml:space="preserve">When </w:t>
      </w:r>
      <w:r w:rsidR="00F255EE" w:rsidRPr="00C54C6D">
        <w:rPr>
          <w:lang w:bidi="he-IL"/>
        </w:rPr>
        <w:t>the rabbin</w:t>
      </w:r>
      <w:r w:rsidR="00F255EE">
        <w:rPr>
          <w:lang w:bidi="he-IL"/>
        </w:rPr>
        <w:t xml:space="preserve">ical court ruling that Oded </w:t>
      </w:r>
      <w:proofErr w:type="spellStart"/>
      <w:r w:rsidR="00F255EE">
        <w:rPr>
          <w:lang w:bidi="he-IL"/>
        </w:rPr>
        <w:t>Gez</w:t>
      </w:r>
      <w:proofErr w:type="spellEnd"/>
      <w:r w:rsidR="00F255EE">
        <w:rPr>
          <w:lang w:bidi="he-IL"/>
        </w:rPr>
        <w:t xml:space="preserve"> should be publicly </w:t>
      </w:r>
      <w:r w:rsidR="00F255EE" w:rsidRPr="00C54C6D">
        <w:rPr>
          <w:lang w:bidi="he-IL"/>
        </w:rPr>
        <w:t xml:space="preserve">shamed spread -through </w:t>
      </w:r>
      <w:r>
        <w:rPr>
          <w:lang w:bidi="he-IL"/>
        </w:rPr>
        <w:t xml:space="preserve">the electronic and print media, </w:t>
      </w:r>
      <w:r w:rsidR="00F255EE" w:rsidRPr="00C54C6D">
        <w:rPr>
          <w:lang w:bidi="he-IL"/>
        </w:rPr>
        <w:t>one newspaper published two opinion pieces that</w:t>
      </w:r>
      <w:r>
        <w:rPr>
          <w:lang w:bidi="he-IL"/>
        </w:rPr>
        <w:t xml:space="preserve"> presented opposing viewpoints. </w:t>
      </w:r>
      <w:r w:rsidR="00F255EE" w:rsidRPr="00C54C6D">
        <w:rPr>
          <w:lang w:bidi="he-IL"/>
        </w:rPr>
        <w:t>I will review them as an introduction to my discussion of the pros and cons of the use of this weapon in the war against spouses who refuse to grant a divorce.</w:t>
      </w:r>
    </w:p>
    <w:p w14:paraId="0FCF5C53" w14:textId="77777777" w:rsidR="00F255EE" w:rsidRPr="00C54C6D" w:rsidRDefault="00C479F7" w:rsidP="00C479F7">
      <w:pPr>
        <w:pStyle w:val="PB"/>
        <w:jc w:val="both"/>
        <w:rPr>
          <w:lang w:bidi="he-IL"/>
        </w:rPr>
      </w:pPr>
      <w:r>
        <w:rPr>
          <w:lang w:bidi="he-IL"/>
        </w:rPr>
        <w:t xml:space="preserve">   </w:t>
      </w:r>
      <w:r w:rsidR="00F255EE" w:rsidRPr="00C54C6D">
        <w:rPr>
          <w:lang w:bidi="he-IL"/>
        </w:rPr>
        <w:t xml:space="preserve">Rabbi Yuval </w:t>
      </w:r>
      <w:proofErr w:type="spellStart"/>
      <w:r w:rsidR="00F255EE" w:rsidRPr="00C54C6D">
        <w:rPr>
          <w:lang w:bidi="he-IL"/>
        </w:rPr>
        <w:t>Cherlow</w:t>
      </w:r>
      <w:proofErr w:type="spellEnd"/>
      <w:r w:rsidR="00F255EE" w:rsidRPr="00C54C6D">
        <w:rPr>
          <w:lang w:bidi="he-IL"/>
        </w:rPr>
        <w:t xml:space="preserve">, a yeshiva dean, thought that shaming is not an appropriate interpretation of </w:t>
      </w:r>
      <w:proofErr w:type="spellStart"/>
      <w:r w:rsidR="00F255EE" w:rsidRPr="00C54C6D">
        <w:rPr>
          <w:lang w:bidi="he-IL"/>
        </w:rPr>
        <w:t>Rabbenu</w:t>
      </w:r>
      <w:proofErr w:type="spellEnd"/>
      <w:r w:rsidR="00F255EE" w:rsidRPr="00C54C6D">
        <w:rPr>
          <w:lang w:bidi="he-IL"/>
        </w:rPr>
        <w:t xml:space="preserve"> Tam’s Sanctions. </w:t>
      </w:r>
      <w:r w:rsidR="00F255EE" w:rsidRPr="00C54C6D">
        <w:t xml:space="preserve">His </w:t>
      </w:r>
      <w:r w:rsidR="00F255EE" w:rsidRPr="00C54C6D">
        <w:rPr>
          <w:lang w:bidi="he-IL"/>
        </w:rPr>
        <w:t>concern was that their revival could be dangerous and unsuitable</w:t>
      </w:r>
      <w:r>
        <w:rPr>
          <w:lang w:bidi="he-IL"/>
        </w:rPr>
        <w:t xml:space="preserve"> </w:t>
      </w:r>
      <w:r w:rsidRPr="00F531BA">
        <w:rPr>
          <w:lang w:bidi="he-IL"/>
        </w:rPr>
        <w:t>at present</w:t>
      </w:r>
      <w:r w:rsidR="00F255EE" w:rsidRPr="00C54C6D">
        <w:rPr>
          <w:lang w:bidi="he-IL"/>
        </w:rPr>
        <w:t xml:space="preserve">. He warned that we must be vigilant that its damage does not exceed its benefits. He compared the use of shaming based on the </w:t>
      </w:r>
      <w:r w:rsidR="00F255EE" w:rsidRPr="00C54C6D">
        <w:rPr>
          <w:rFonts w:ascii="Assistant" w:hAnsi="Assistant"/>
          <w:color w:val="000000"/>
          <w:shd w:val="clear" w:color="auto" w:fill="FFFFFF"/>
        </w:rPr>
        <w:t>sanction</w:t>
      </w:r>
      <w:r w:rsidR="00F255EE" w:rsidRPr="00C54C6D">
        <w:rPr>
          <w:lang w:bidi="he-IL"/>
        </w:rPr>
        <w:t>s to driving in reverse, which is subject to three rules: First, it must be essential: you may drive in reverse only when it is impossible to drive forwards. Second, the extent of the need to do so: Even when you have to back up, you can do so only as far as is unavoidable. You can’t say that because you had to back up to leave a parking space, you can continue to drive in reverse until you reach your destination; Third, because you are doing something irregular, you must keep looking in the rearview mirror and make sure you are doing everything necessary to avoid danger.</w:t>
      </w:r>
      <w:r w:rsidR="00F255EE" w:rsidRPr="00C54C6D">
        <w:rPr>
          <w:rStyle w:val="a9"/>
          <w:lang w:bidi="he-IL"/>
        </w:rPr>
        <w:endnoteReference w:id="35"/>
      </w:r>
    </w:p>
    <w:p w14:paraId="21159B9E" w14:textId="77777777" w:rsidR="00F255EE" w:rsidRPr="00C54C6D" w:rsidRDefault="00C479F7" w:rsidP="00F255EE">
      <w:pPr>
        <w:pStyle w:val="PB"/>
        <w:jc w:val="both"/>
        <w:rPr>
          <w:lang w:bidi="he-IL"/>
        </w:rPr>
      </w:pPr>
      <w:r>
        <w:rPr>
          <w:lang w:bidi="he-IL"/>
        </w:rPr>
        <w:t xml:space="preserve">   </w:t>
      </w:r>
      <w:r w:rsidR="00F255EE" w:rsidRPr="00C54C6D">
        <w:rPr>
          <w:lang w:bidi="he-IL"/>
        </w:rPr>
        <w:t xml:space="preserve">The opposite viewpoint was argued by Dr. Yehuda </w:t>
      </w:r>
      <w:proofErr w:type="spellStart"/>
      <w:r w:rsidR="00F255EE" w:rsidRPr="00C54C6D">
        <w:rPr>
          <w:lang w:bidi="he-IL"/>
        </w:rPr>
        <w:t>Yifrach</w:t>
      </w:r>
      <w:proofErr w:type="spellEnd"/>
      <w:r w:rsidR="00F255EE" w:rsidRPr="00C54C6D">
        <w:rPr>
          <w:lang w:bidi="he-IL"/>
        </w:rPr>
        <w:t xml:space="preserve"> (the legal affairs editor of the </w:t>
      </w:r>
      <w:r w:rsidR="00F255EE" w:rsidRPr="00C54C6D">
        <w:rPr>
          <w:i/>
          <w:iCs/>
          <w:lang w:bidi="he-IL"/>
        </w:rPr>
        <w:t>Makor Rishon</w:t>
      </w:r>
      <w:r w:rsidR="00F255EE" w:rsidRPr="00C54C6D">
        <w:rPr>
          <w:lang w:bidi="he-IL"/>
        </w:rPr>
        <w:t xml:space="preserve"> newspaper), who wrote that </w:t>
      </w:r>
      <w:proofErr w:type="spellStart"/>
      <w:r w:rsidR="00F255EE" w:rsidRPr="00C54C6D">
        <w:rPr>
          <w:lang w:bidi="he-IL"/>
        </w:rPr>
        <w:t>Rabbenu</w:t>
      </w:r>
      <w:proofErr w:type="spellEnd"/>
      <w:r w:rsidR="00F255EE" w:rsidRPr="00C54C6D">
        <w:rPr>
          <w:lang w:bidi="he-IL"/>
        </w:rPr>
        <w:t xml:space="preserve"> Tam was “smiling in his grave” because his sanctions had again become relevant and enforceable. An antiquated halakhic remedy (</w:t>
      </w:r>
      <w:proofErr w:type="spellStart"/>
      <w:r w:rsidR="00F255EE" w:rsidRPr="00C54C6D">
        <w:rPr>
          <w:color w:val="000000"/>
          <w:lang w:bidi="he-IL"/>
        </w:rPr>
        <w:t>Rabbenu</w:t>
      </w:r>
      <w:proofErr w:type="spellEnd"/>
      <w:r w:rsidR="00F255EE" w:rsidRPr="00C54C6D">
        <w:rPr>
          <w:color w:val="000000"/>
          <w:lang w:bidi="he-IL"/>
        </w:rPr>
        <w:t xml:space="preserve"> Tam’s Sanctions</w:t>
      </w:r>
      <w:r w:rsidR="00F255EE" w:rsidRPr="00C54C6D">
        <w:rPr>
          <w:lang w:bidi="he-IL"/>
        </w:rPr>
        <w:t>) had deteriorated into an anachronistic and almost toothless tool in the modern world, in which the power of the community was much weaker than in the past.</w:t>
      </w:r>
      <w:r w:rsidR="00F255EE" w:rsidRPr="00C54C6D">
        <w:rPr>
          <w:rStyle w:val="a9"/>
          <w:lang w:bidi="he-IL"/>
        </w:rPr>
        <w:endnoteReference w:id="36"/>
      </w:r>
      <w:r w:rsidR="00F255EE" w:rsidRPr="00C54C6D">
        <w:rPr>
          <w:lang w:bidi="he-IL"/>
        </w:rPr>
        <w:t xml:space="preserve"> But the advent of social networks had turned the situation on its head. Anyone who failed to see the post on Facebook or WhatsApp would soon encounter it on the major television channels. Later in the article, </w:t>
      </w:r>
      <w:proofErr w:type="spellStart"/>
      <w:r w:rsidR="00F255EE" w:rsidRPr="00C54C6D">
        <w:rPr>
          <w:lang w:bidi="he-IL"/>
        </w:rPr>
        <w:t>Yifrach</w:t>
      </w:r>
      <w:proofErr w:type="spellEnd"/>
      <w:r w:rsidR="00F255EE" w:rsidRPr="00C54C6D">
        <w:rPr>
          <w:lang w:bidi="he-IL"/>
        </w:rPr>
        <w:t xml:space="preserve"> noted that shaming is an excellent tool for extreme cases. </w:t>
      </w:r>
    </w:p>
    <w:p w14:paraId="54FFD078" w14:textId="77777777" w:rsidR="00F255EE" w:rsidRPr="00C54C6D" w:rsidRDefault="00D34893" w:rsidP="00F255EE">
      <w:pPr>
        <w:pStyle w:val="PB"/>
        <w:jc w:val="both"/>
      </w:pPr>
      <w:r>
        <w:t xml:space="preserve">   </w:t>
      </w:r>
      <w:r w:rsidR="00F255EE" w:rsidRPr="00C54C6D">
        <w:t>What, in fact, are the advantages and disadvantages of this incredibly powerful tool?</w:t>
      </w:r>
    </w:p>
    <w:p w14:paraId="74ED5DCA" w14:textId="77777777" w:rsidR="00F255EE" w:rsidRPr="00C54C6D" w:rsidRDefault="00F255EE" w:rsidP="00F255EE">
      <w:pPr>
        <w:pStyle w:val="PB"/>
        <w:jc w:val="both"/>
      </w:pPr>
      <w:r w:rsidRPr="00C54C6D">
        <w:t>The advantages are clear:</w:t>
      </w:r>
    </w:p>
    <w:p w14:paraId="5133F230" w14:textId="77777777" w:rsidR="00F255EE" w:rsidRPr="00C54C6D" w:rsidRDefault="00F255EE" w:rsidP="00F255EE">
      <w:pPr>
        <w:pStyle w:val="PB"/>
        <w:jc w:val="both"/>
      </w:pPr>
      <w:r w:rsidRPr="00C54C6D">
        <w:lastRenderedPageBreak/>
        <w:t xml:space="preserve">First it breathes new life into a tool that had become outdated and transforms it into an instrument relevant for the technological generation. In the contemporary context, public shaming can cause offenders to change their behavior, </w:t>
      </w:r>
    </w:p>
    <w:p w14:paraId="50DEF32E" w14:textId="77777777" w:rsidR="00F255EE" w:rsidRPr="00C54C6D" w:rsidRDefault="00F255EE" w:rsidP="00F255EE">
      <w:pPr>
        <w:pStyle w:val="PB"/>
        <w:jc w:val="both"/>
      </w:pPr>
      <w:r w:rsidRPr="00C54C6D">
        <w:t>Second, the punishment reflects society’s values. By shaming recalcitrant husbands, society proclaims its abhorrence of a man who refuses to give his wife a divorce.</w:t>
      </w:r>
    </w:p>
    <w:p w14:paraId="1423FA17" w14:textId="77777777" w:rsidR="00F255EE" w:rsidRPr="00C54C6D" w:rsidRDefault="00F255EE" w:rsidP="00F255EE">
      <w:pPr>
        <w:pStyle w:val="PB"/>
        <w:jc w:val="both"/>
      </w:pPr>
      <w:r w:rsidRPr="00C54C6D">
        <w:t>Third, it adds a new weapon to the armory that can be employed against recalcitrant husbands.</w:t>
      </w:r>
    </w:p>
    <w:p w14:paraId="433DF7AE" w14:textId="77777777" w:rsidR="00F255EE" w:rsidRPr="00C54C6D" w:rsidRDefault="00F255EE" w:rsidP="00F255EE">
      <w:pPr>
        <w:pStyle w:val="PB"/>
        <w:jc w:val="both"/>
        <w:rPr>
          <w:lang w:bidi="he-IL"/>
        </w:rPr>
      </w:pPr>
      <w:r w:rsidRPr="00C54C6D">
        <w:t xml:space="preserve">Fourth, given its intense power, public shaming can deter potential </w:t>
      </w:r>
      <w:r w:rsidRPr="00C54C6D">
        <w:rPr>
          <w:color w:val="000000"/>
        </w:rPr>
        <w:t>recalcitrant husband</w:t>
      </w:r>
      <w:r w:rsidRPr="00C54C6D">
        <w:t>s from taking this route.</w:t>
      </w:r>
    </w:p>
    <w:p w14:paraId="3B53B84F" w14:textId="77777777" w:rsidR="00F255EE" w:rsidRPr="00C54C6D" w:rsidRDefault="00F255EE" w:rsidP="00F255EE">
      <w:pPr>
        <w:pStyle w:val="PB"/>
        <w:jc w:val="both"/>
      </w:pPr>
      <w:r w:rsidRPr="00C54C6D">
        <w:t xml:space="preserve">Fifth, as Dr. Yehuda </w:t>
      </w:r>
      <w:proofErr w:type="spellStart"/>
      <w:r w:rsidRPr="00C54C6D">
        <w:t>Zoldan</w:t>
      </w:r>
      <w:proofErr w:type="spellEnd"/>
      <w:r w:rsidRPr="00C54C6D">
        <w:t xml:space="preserve"> has written, public exposure of such despicable behavior can be of special benefit to the weaker links in a society, who lack the power and means to deal with those abusing them. During the delicate process of divorce, even wealthy women find themselves in such a disempowered state.</w:t>
      </w:r>
      <w:r w:rsidRPr="00C54C6D">
        <w:rPr>
          <w:rStyle w:val="a9"/>
        </w:rPr>
        <w:endnoteReference w:id="37"/>
      </w:r>
    </w:p>
    <w:p w14:paraId="15D29055" w14:textId="77777777" w:rsidR="00F255EE" w:rsidRPr="00C54C6D" w:rsidRDefault="00F255EE" w:rsidP="00F255EE">
      <w:pPr>
        <w:pStyle w:val="PB"/>
        <w:jc w:val="both"/>
      </w:pPr>
      <w:r w:rsidRPr="00C54C6D">
        <w:t>Sixth and last, publicizing these men’s cruelty does not violate the Torah prohibition against defamation, which applies only to ugly and unwarranted gossip. Shaming is “warranted gossip” that usually produces a remedy to the situation, because of the immense power of public pressure.</w:t>
      </w:r>
    </w:p>
    <w:p w14:paraId="49F7DA5B" w14:textId="77777777" w:rsidR="00F255EE" w:rsidRPr="00C54C6D" w:rsidRDefault="00D34893" w:rsidP="00F255EE">
      <w:pPr>
        <w:pStyle w:val="PB"/>
        <w:jc w:val="both"/>
        <w:rPr>
          <w:lang w:bidi="he-IL"/>
        </w:rPr>
      </w:pPr>
      <w:r>
        <w:rPr>
          <w:lang w:bidi="he-IL"/>
        </w:rPr>
        <w:t xml:space="preserve">   </w:t>
      </w:r>
      <w:r w:rsidR="00F255EE" w:rsidRPr="00C54C6D">
        <w:rPr>
          <w:lang w:bidi="he-IL"/>
        </w:rPr>
        <w:t>But public shaming also has many drawbacks:</w:t>
      </w:r>
    </w:p>
    <w:p w14:paraId="16B44B63" w14:textId="25E736E2" w:rsidR="00F255EE" w:rsidRPr="00C54C6D" w:rsidRDefault="00F255EE" w:rsidP="00F7225C">
      <w:pPr>
        <w:pStyle w:val="PB"/>
        <w:jc w:val="both"/>
      </w:pPr>
      <w:r w:rsidRPr="00C54C6D">
        <w:t>Its target may be driven to commit suicide, as often happens in incidents of shaming that do not involve a recalcitrant husband.</w:t>
      </w:r>
      <w:r w:rsidR="00F7225C">
        <w:t xml:space="preserve"> </w:t>
      </w:r>
      <w:r w:rsidRPr="00C54C6D">
        <w:t>Second, it transfers a heavy responsibility to society. But it is not clear whether society deserves such responsibility, given that we all are aware of the masses’ deplorable eagerness to turn out for the modern equivalent of public hangings.</w:t>
      </w:r>
    </w:p>
    <w:p w14:paraId="1DBCCBBD" w14:textId="77777777" w:rsidR="00F255EE" w:rsidRPr="00C54C6D" w:rsidRDefault="00D34893" w:rsidP="00C479F7">
      <w:pPr>
        <w:pStyle w:val="PB"/>
        <w:jc w:val="both"/>
        <w:rPr>
          <w:lang w:bidi="he-IL"/>
        </w:rPr>
      </w:pPr>
      <w:r>
        <w:t xml:space="preserve">   </w:t>
      </w:r>
      <w:r w:rsidR="00F255EE" w:rsidRPr="00C54C6D">
        <w:t>Third, it is possible that shaming does not correspond with the gradual movement from minor to major sanctions that guides Jewish law and rabbinical courts when they are confronted by recalcitrant husbands</w:t>
      </w:r>
      <w:r w:rsidR="00C479F7">
        <w:t>.</w:t>
      </w:r>
      <w:r w:rsidR="00F255EE" w:rsidRPr="00C54C6D">
        <w:rPr>
          <w:rStyle w:val="a9"/>
        </w:rPr>
        <w:endnoteReference w:id="38"/>
      </w:r>
      <w:r w:rsidR="00F255EE" w:rsidRPr="00C54C6D">
        <w:t xml:space="preserve"> Staining a person’s name is in many ways more severe than physical punishment, whether this is flogging, as in the past, or incarceration, as practiced today. I even think that </w:t>
      </w:r>
      <w:proofErr w:type="spellStart"/>
      <w:r w:rsidR="00F255EE" w:rsidRPr="00C54C6D">
        <w:t>Rabbenu</w:t>
      </w:r>
      <w:proofErr w:type="spellEnd"/>
      <w:r w:rsidR="00F255EE" w:rsidRPr="00C54C6D">
        <w:t xml:space="preserve"> Tam himself saw excommunication as a more severe punishm</w:t>
      </w:r>
      <w:r w:rsidR="00C479F7">
        <w:t>ent than flogging. In the same r</w:t>
      </w:r>
      <w:r w:rsidR="00F255EE" w:rsidRPr="00C54C6D">
        <w:t xml:space="preserve">esponsum quoted earlier, he warns against any punishment in the </w:t>
      </w:r>
      <w:r w:rsidR="00F255EE" w:rsidRPr="00E2017D">
        <w:t>case</w:t>
      </w:r>
      <w:r w:rsidR="00C479F7" w:rsidRPr="00E2017D">
        <w:t xml:space="preserve"> on which he was consulted</w:t>
      </w:r>
      <w:r w:rsidR="00F255EE" w:rsidRPr="00C54C6D">
        <w:t>. Quote: “Should someone say, ‘we will not compel them with whips, but we will compel them with bans and excommunications’—that is not the way … for it is more severe than flogging</w:t>
      </w:r>
      <w:r w:rsidR="00F255EE" w:rsidRPr="00C54C6D">
        <w:rPr>
          <w:b/>
          <w:bCs/>
        </w:rPr>
        <w:t>.</w:t>
      </w:r>
      <w:r w:rsidR="00F255EE" w:rsidRPr="00C54C6D">
        <w:t>”</w:t>
      </w:r>
      <w:r w:rsidR="00F255EE" w:rsidRPr="00C54C6D">
        <w:rPr>
          <w:rStyle w:val="a9"/>
        </w:rPr>
        <w:endnoteReference w:id="39"/>
      </w:r>
      <w:r w:rsidR="00F255EE" w:rsidRPr="00C54C6D">
        <w:t xml:space="preserve"> In other words, the social penalty is far worse than the physical punishment.</w:t>
      </w:r>
      <w:r w:rsidR="00F255EE" w:rsidRPr="00C54C6D">
        <w:rPr>
          <w:rStyle w:val="a9"/>
          <w:lang w:bidi="he-IL"/>
        </w:rPr>
        <w:endnoteReference w:id="40"/>
      </w:r>
    </w:p>
    <w:p w14:paraId="6EE0E308" w14:textId="77777777" w:rsidR="00F255EE" w:rsidRPr="00C54C6D" w:rsidRDefault="00D34893" w:rsidP="00F255EE">
      <w:pPr>
        <w:pStyle w:val="PB"/>
        <w:jc w:val="both"/>
      </w:pPr>
      <w:r>
        <w:t xml:space="preserve">   </w:t>
      </w:r>
      <w:r w:rsidR="00F255EE" w:rsidRPr="00C54C6D">
        <w:t>Fourth, it is possible that shaming may be counterproductive: the husband may remain intransigent because he feels that he has nothing more to lose. He has been deprived of his reputation and his job, he has been ostracized by society, his wife is no longer interested in him, and he has been pilloried in public view. He has lost his entire world. And if he has nothing left to lose, why should he sign the divorce papers and free his wife?!</w:t>
      </w:r>
    </w:p>
    <w:p w14:paraId="44728DC9" w14:textId="77777777" w:rsidR="00F255EE" w:rsidRPr="00C54C6D" w:rsidRDefault="00D34893" w:rsidP="00F255EE">
      <w:pPr>
        <w:pStyle w:val="PB"/>
        <w:jc w:val="both"/>
        <w:rPr>
          <w:rtl/>
          <w:lang w:bidi="he-IL"/>
        </w:rPr>
      </w:pPr>
      <w:r>
        <w:t xml:space="preserve">   </w:t>
      </w:r>
      <w:r w:rsidR="00F255EE" w:rsidRPr="00C54C6D">
        <w:t xml:space="preserve">Fifth, it is unclear whether public shaming is an appropriate implementation of </w:t>
      </w:r>
      <w:proofErr w:type="spellStart"/>
      <w:r w:rsidR="00F255EE" w:rsidRPr="00C54C6D">
        <w:rPr>
          <w:color w:val="000000"/>
        </w:rPr>
        <w:t>Rabbenu</w:t>
      </w:r>
      <w:proofErr w:type="spellEnd"/>
      <w:r w:rsidR="00F255EE" w:rsidRPr="00C54C6D">
        <w:rPr>
          <w:color w:val="000000"/>
        </w:rPr>
        <w:t xml:space="preserve"> Tam’s Sanctions</w:t>
      </w:r>
      <w:r w:rsidR="00F255EE" w:rsidRPr="00C54C6D">
        <w:t>, even though they have been cited as its halakhic justification.</w:t>
      </w:r>
      <w:r w:rsidR="00F255EE" w:rsidRPr="00C54C6D">
        <w:rPr>
          <w:rStyle w:val="a9"/>
        </w:rPr>
        <w:endnoteReference w:id="41"/>
      </w:r>
      <w:r w:rsidR="00F255EE" w:rsidRPr="00C54C6D">
        <w:t xml:space="preserve"> </w:t>
      </w:r>
      <w:proofErr w:type="spellStart"/>
      <w:r w:rsidR="00F255EE" w:rsidRPr="00C54C6D">
        <w:t>Rabbenu</w:t>
      </w:r>
      <w:proofErr w:type="spellEnd"/>
      <w:r w:rsidR="00F255EE" w:rsidRPr="00C54C6D">
        <w:t xml:space="preserve"> Tam warned that his sanctions must not be extended into excommunication. Isn’t shaming tantamount to social excommunication today? In the fifteenth century, Rabbi Joseph Colon (known as the </w:t>
      </w:r>
      <w:proofErr w:type="spellStart"/>
      <w:r w:rsidR="00F255EE" w:rsidRPr="00C54C6D">
        <w:rPr>
          <w:i/>
          <w:iCs/>
        </w:rPr>
        <w:t>Maharik</w:t>
      </w:r>
      <w:proofErr w:type="spellEnd"/>
      <w:r w:rsidR="00F255EE" w:rsidRPr="00C54C6D">
        <w:t xml:space="preserve">) explained that after the sanctions have achieved their objective, the culprit is to be welcomed back to the fold, </w:t>
      </w:r>
      <w:r w:rsidR="00F255EE" w:rsidRPr="00C54C6D">
        <w:lastRenderedPageBreak/>
        <w:t>fully healed of his blemish.</w:t>
      </w:r>
      <w:r w:rsidR="00F255EE" w:rsidRPr="00C54C6D">
        <w:rPr>
          <w:rStyle w:val="a9"/>
        </w:rPr>
        <w:endnoteReference w:id="42"/>
      </w:r>
      <w:r w:rsidR="00F255EE" w:rsidRPr="00C54C6D">
        <w:t xml:space="preserve"> But can the status quo ante be restored today, after a person has been subjected to public shaming? Will Bar-</w:t>
      </w:r>
      <w:proofErr w:type="spellStart"/>
      <w:r w:rsidR="00F255EE" w:rsidRPr="00C54C6D">
        <w:t>Ilan</w:t>
      </w:r>
      <w:proofErr w:type="spellEnd"/>
      <w:r w:rsidR="00F255EE" w:rsidRPr="00C54C6D">
        <w:t xml:space="preserve"> University rehire Dr. </w:t>
      </w:r>
      <w:proofErr w:type="spellStart"/>
      <w:r w:rsidR="00F255EE" w:rsidRPr="00C54C6D">
        <w:t>Gez</w:t>
      </w:r>
      <w:proofErr w:type="spellEnd"/>
      <w:r w:rsidR="00F255EE" w:rsidRPr="00C54C6D">
        <w:t>? Will other institutions give him a job?!</w:t>
      </w:r>
    </w:p>
    <w:p w14:paraId="79B636CD" w14:textId="77777777" w:rsidR="00F255EE" w:rsidRPr="00C54C6D" w:rsidRDefault="00B42628" w:rsidP="00F255EE">
      <w:pPr>
        <w:pStyle w:val="PB"/>
        <w:jc w:val="both"/>
      </w:pPr>
      <w:r>
        <w:t xml:space="preserve">   </w:t>
      </w:r>
      <w:r w:rsidR="00F255EE" w:rsidRPr="00C54C6D">
        <w:t>Another concern relates to slander, humiliation, and libel—not in the legal sense but in the moral sense. The Jewish legal texts take a grave view of embarrassing people in public, which they compare to murder.</w:t>
      </w:r>
      <w:r w:rsidR="00F255EE" w:rsidRPr="00C54C6D">
        <w:rPr>
          <w:rStyle w:val="a9"/>
        </w:rPr>
        <w:endnoteReference w:id="43"/>
      </w:r>
    </w:p>
    <w:p w14:paraId="5E614E0F" w14:textId="77777777" w:rsidR="00F255EE" w:rsidRPr="00C54C6D" w:rsidRDefault="00B42628" w:rsidP="00F255EE">
      <w:pPr>
        <w:pStyle w:val="PB"/>
        <w:jc w:val="both"/>
      </w:pPr>
      <w:r>
        <w:t xml:space="preserve">   </w:t>
      </w:r>
      <w:r w:rsidR="00F255EE" w:rsidRPr="00C54C6D">
        <w:t xml:space="preserve">In addition, shaming cannot prevent a person from running away. By the time shaming is employed, the conditions usually already exist for imprisoning the offender. Rabbi </w:t>
      </w:r>
      <w:proofErr w:type="spellStart"/>
      <w:r w:rsidR="00F255EE" w:rsidRPr="00C54C6D">
        <w:t>Maimon</w:t>
      </w:r>
      <w:proofErr w:type="spellEnd"/>
      <w:r w:rsidR="00F255EE" w:rsidRPr="00C54C6D">
        <w:t xml:space="preserve">, head of the rabbinical court’s special Unit to Release Agunot, told an interviewer that in retrospect it was clear that </w:t>
      </w:r>
      <w:proofErr w:type="spellStart"/>
      <w:r w:rsidR="00F255EE" w:rsidRPr="00C54C6D">
        <w:t>Gez</w:t>
      </w:r>
      <w:proofErr w:type="spellEnd"/>
      <w:r w:rsidR="00F255EE" w:rsidRPr="00C54C6D">
        <w:t xml:space="preserve"> could have been sent to jail before the shaming sanction was imposed.</w:t>
      </w:r>
      <w:r w:rsidR="00F255EE" w:rsidRPr="00C54C6D">
        <w:rPr>
          <w:rStyle w:val="a9"/>
        </w:rPr>
        <w:endnoteReference w:id="44"/>
      </w:r>
    </w:p>
    <w:p w14:paraId="55FC6B64" w14:textId="77777777" w:rsidR="00F255EE" w:rsidRPr="00C54C6D" w:rsidRDefault="00B42628" w:rsidP="00C479F7">
      <w:pPr>
        <w:pStyle w:val="PB"/>
        <w:jc w:val="both"/>
      </w:pPr>
      <w:r>
        <w:t xml:space="preserve">   </w:t>
      </w:r>
      <w:r w:rsidR="00F255EE" w:rsidRPr="00C54C6D">
        <w:t xml:space="preserve">Eighth, the unbearable lightness of shaming a person today and the mass circulation of his disgrace mean that it is effectively impossible to maintain control of the publicity and delete it later. In most cases it is also impossible to reinstate the </w:t>
      </w:r>
      <w:r w:rsidR="00F255EE" w:rsidRPr="00C54C6D">
        <w:rPr>
          <w:color w:val="000000"/>
        </w:rPr>
        <w:t>recalcitrant husband</w:t>
      </w:r>
      <w:r w:rsidR="00C479F7">
        <w:rPr>
          <w:color w:val="000000"/>
        </w:rPr>
        <w:t xml:space="preserve"> to his former position</w:t>
      </w:r>
      <w:r w:rsidR="00F255EE" w:rsidRPr="00C54C6D">
        <w:t>. Those who have personal grievances with him, or feel they can derive some benefit the situation, without reference to the divorce issue, can and do take advantage of his public disgrace.</w:t>
      </w:r>
    </w:p>
    <w:p w14:paraId="4FB0C247" w14:textId="77777777" w:rsidR="00F255EE" w:rsidRPr="00C54C6D" w:rsidRDefault="00B42628" w:rsidP="00F255EE">
      <w:pPr>
        <w:pStyle w:val="PB"/>
        <w:jc w:val="both"/>
      </w:pPr>
      <w:r>
        <w:t xml:space="preserve">   </w:t>
      </w:r>
      <w:r w:rsidR="00F255EE" w:rsidRPr="00C54C6D">
        <w:t>An additional disadvantage in implementing shaming procedures against recalcitrant husbands is that in many cases shaming the husband has caused him to perform counter-shaming against his wife, so that a campaign of mutual shaming is ultimately performed which also harms the wife and the couple’s children, as Advocate Katz- Peled demonstrated in her lecture on this topic.</w:t>
      </w:r>
      <w:r w:rsidR="00F255EE" w:rsidRPr="00C54C6D">
        <w:rPr>
          <w:rStyle w:val="a9"/>
        </w:rPr>
        <w:endnoteReference w:id="45"/>
      </w:r>
      <w:r w:rsidR="00F255EE" w:rsidRPr="00C54C6D">
        <w:rPr>
          <w:rStyle w:val="a9"/>
          <w:rtl/>
        </w:rPr>
        <w:t xml:space="preserve"> </w:t>
      </w:r>
    </w:p>
    <w:p w14:paraId="4B1A0DA9" w14:textId="77777777" w:rsidR="00F255EE" w:rsidRPr="00C54C6D" w:rsidRDefault="00B42628" w:rsidP="00F255EE">
      <w:pPr>
        <w:pStyle w:val="PB"/>
        <w:jc w:val="both"/>
      </w:pPr>
      <w:r>
        <w:t xml:space="preserve">   </w:t>
      </w:r>
      <w:r w:rsidR="00F255EE" w:rsidRPr="00C54C6D">
        <w:t>Finally, shaming accustoms the public to the use of a devastating tool that has far-reaching ramifications. The public may not distinguish between public shaming as a result of a court order and the use of shaming in other circumstances where the public sees fit. Even when it stems from a court order, its use dilutes our sensitivity to the damage that shaming causes.</w:t>
      </w:r>
    </w:p>
    <w:p w14:paraId="418AED80" w14:textId="77777777" w:rsidR="00F255EE" w:rsidRPr="00C54C6D" w:rsidRDefault="00F255EE" w:rsidP="00F255EE">
      <w:pPr>
        <w:pStyle w:val="PB"/>
        <w:jc w:val="both"/>
        <w:rPr>
          <w:b/>
          <w:bCs/>
          <w:lang w:bidi="he-IL"/>
        </w:rPr>
      </w:pPr>
      <w:r w:rsidRPr="00C54C6D">
        <w:rPr>
          <w:b/>
          <w:bCs/>
          <w:lang w:bidi="he-IL"/>
        </w:rPr>
        <w:t>Perhaps the bottom line relates to the effectiveness of shaming. Does it indeed procure the intended result?</w:t>
      </w:r>
    </w:p>
    <w:p w14:paraId="09C630EE" w14:textId="77777777" w:rsidR="00F255EE" w:rsidRPr="00C54C6D" w:rsidRDefault="00F255EE" w:rsidP="00F255EE">
      <w:pPr>
        <w:pStyle w:val="PB"/>
        <w:jc w:val="both"/>
        <w:rPr>
          <w:lang w:bidi="he-IL"/>
        </w:rPr>
      </w:pPr>
      <w:r w:rsidRPr="00C54C6D">
        <w:rPr>
          <w:lang w:bidi="he-IL"/>
        </w:rPr>
        <w:t xml:space="preserve">And here I would argue that we cannot point to a single case of shaming that has induced a recalcitrant husband to grant his wife a divorce. </w:t>
      </w:r>
    </w:p>
    <w:p w14:paraId="134FBD61" w14:textId="77777777" w:rsidR="00F255EE" w:rsidRPr="00C54C6D" w:rsidRDefault="00F255EE" w:rsidP="00F255EE">
      <w:pPr>
        <w:pStyle w:val="PB"/>
        <w:jc w:val="both"/>
        <w:rPr>
          <w:lang w:bidi="he-IL"/>
        </w:rPr>
      </w:pPr>
      <w:r w:rsidRPr="00C54C6D">
        <w:rPr>
          <w:lang w:bidi="he-IL"/>
        </w:rPr>
        <w:t>Let us return for a moment to the example I provided earlier:</w:t>
      </w:r>
    </w:p>
    <w:p w14:paraId="7520FE70" w14:textId="1EF1E11C" w:rsidR="00F255EE" w:rsidRPr="00C54C6D" w:rsidRDefault="00F255EE" w:rsidP="00F255EE">
      <w:pPr>
        <w:pStyle w:val="PB"/>
        <w:jc w:val="both"/>
        <w:rPr>
          <w:lang w:bidi="he-IL"/>
        </w:rPr>
      </w:pPr>
      <w:r w:rsidRPr="00C54C6D">
        <w:rPr>
          <w:lang w:bidi="he-IL"/>
        </w:rPr>
        <w:t xml:space="preserve">In the case of Dr. </w:t>
      </w:r>
      <w:proofErr w:type="spellStart"/>
      <w:r w:rsidRPr="00C54C6D">
        <w:rPr>
          <w:lang w:bidi="he-IL"/>
        </w:rPr>
        <w:t>Gez</w:t>
      </w:r>
      <w:proofErr w:type="spellEnd"/>
      <w:r w:rsidRPr="00C54C6D">
        <w:rPr>
          <w:lang w:bidi="he-IL"/>
        </w:rPr>
        <w:t>, when he fled the country he was quoted as saying that even if he were give</w:t>
      </w:r>
      <w:r w:rsidR="008E0334">
        <w:rPr>
          <w:lang w:bidi="he-IL"/>
        </w:rPr>
        <w:t>n</w:t>
      </w:r>
      <w:r w:rsidRPr="00C54C6D">
        <w:rPr>
          <w:lang w:bidi="he-IL"/>
        </w:rPr>
        <w:t xml:space="preserve"> 5,000 lashes he would not grant his wife a divorce.</w:t>
      </w:r>
      <w:r w:rsidRPr="00C54C6D">
        <w:rPr>
          <w:rStyle w:val="a9"/>
          <w:lang w:bidi="he-IL"/>
        </w:rPr>
        <w:endnoteReference w:id="46"/>
      </w:r>
      <w:r w:rsidRPr="00C54C6D">
        <w:rPr>
          <w:lang w:bidi="he-IL"/>
        </w:rPr>
        <w:t xml:space="preserve"> In parallel to the shaming process, and far from the public eye, the Haifa rabbinical court, headed by Rabbi </w:t>
      </w:r>
      <w:proofErr w:type="spellStart"/>
      <w:r w:rsidRPr="00C54C6D">
        <w:rPr>
          <w:lang w:bidi="he-IL"/>
        </w:rPr>
        <w:t>Shloush</w:t>
      </w:r>
      <w:proofErr w:type="spellEnd"/>
      <w:r w:rsidRPr="00C54C6D">
        <w:rPr>
          <w:lang w:bidi="he-IL"/>
        </w:rPr>
        <w:t>, looked for another halakhic solution to dissolve or annul the marriage without the husband’s consent or presence. In a precedential ruling, the judges invalidated the couple’s wedding ceremony (</w:t>
      </w:r>
      <w:r w:rsidRPr="00C54C6D">
        <w:rPr>
          <w:i/>
          <w:iCs/>
          <w:lang w:bidi="he-IL"/>
        </w:rPr>
        <w:t>kiddushin</w:t>
      </w:r>
      <w:r w:rsidRPr="00C54C6D">
        <w:rPr>
          <w:lang w:bidi="he-IL"/>
        </w:rPr>
        <w:t>) after finding grounds to disqualify one of the required two witnesses.</w:t>
      </w:r>
      <w:r w:rsidRPr="00C54C6D">
        <w:rPr>
          <w:rStyle w:val="a9"/>
          <w:lang w:bidi="he-IL"/>
        </w:rPr>
        <w:endnoteReference w:id="47"/>
      </w:r>
      <w:r w:rsidRPr="00C54C6D">
        <w:rPr>
          <w:lang w:bidi="he-IL"/>
        </w:rPr>
        <w:t xml:space="preserve"> The court ruled that the </w:t>
      </w:r>
      <w:r w:rsidRPr="00C54C6D">
        <w:rPr>
          <w:i/>
          <w:iCs/>
          <w:lang w:bidi="he-IL"/>
        </w:rPr>
        <w:t>kiddushin</w:t>
      </w:r>
      <w:r w:rsidRPr="00C54C6D">
        <w:rPr>
          <w:lang w:bidi="he-IL"/>
        </w:rPr>
        <w:t xml:space="preserve"> had never taken effect and recognized the wife as unmarried. It was not the shaming that freed her, but the court’s decision. </w:t>
      </w:r>
    </w:p>
    <w:p w14:paraId="0DCE047A" w14:textId="77777777" w:rsidR="00F255EE" w:rsidRPr="00C54C6D" w:rsidRDefault="004F302C" w:rsidP="00F255EE">
      <w:pPr>
        <w:pStyle w:val="PB"/>
        <w:jc w:val="both"/>
        <w:rPr>
          <w:lang w:bidi="he-IL"/>
        </w:rPr>
      </w:pPr>
      <w:r>
        <w:rPr>
          <w:lang w:bidi="he-IL"/>
        </w:rPr>
        <w:t xml:space="preserve">   </w:t>
      </w:r>
      <w:r w:rsidR="00F255EE" w:rsidRPr="00C54C6D">
        <w:rPr>
          <w:lang w:bidi="he-IL"/>
        </w:rPr>
        <w:t xml:space="preserve">During the same year that the court allowed the public shaming of Dr. </w:t>
      </w:r>
      <w:proofErr w:type="spellStart"/>
      <w:r w:rsidR="00F255EE" w:rsidRPr="00C54C6D">
        <w:rPr>
          <w:lang w:bidi="he-IL"/>
        </w:rPr>
        <w:t>Gez</w:t>
      </w:r>
      <w:proofErr w:type="spellEnd"/>
      <w:r w:rsidR="00F255EE" w:rsidRPr="00C54C6D">
        <w:rPr>
          <w:lang w:bidi="he-IL"/>
        </w:rPr>
        <w:t xml:space="preserve">, the identical remedy was prescribed in the case of a </w:t>
      </w:r>
      <w:r w:rsidR="00F255EE" w:rsidRPr="00C54C6D">
        <w:rPr>
          <w:color w:val="000000"/>
          <w:lang w:bidi="he-IL"/>
        </w:rPr>
        <w:t>recalcitrant husband</w:t>
      </w:r>
      <w:r w:rsidR="00F255EE" w:rsidRPr="00C54C6D">
        <w:rPr>
          <w:lang w:bidi="he-IL"/>
        </w:rPr>
        <w:t xml:space="preserve"> named Sharon Ben Haim.</w:t>
      </w:r>
      <w:r w:rsidR="00F255EE" w:rsidRPr="00C54C6D">
        <w:rPr>
          <w:rStyle w:val="a9"/>
          <w:lang w:bidi="he-IL"/>
        </w:rPr>
        <w:endnoteReference w:id="48"/>
      </w:r>
      <w:r w:rsidR="00F255EE" w:rsidRPr="00C54C6D">
        <w:rPr>
          <w:lang w:bidi="he-IL"/>
        </w:rPr>
        <w:t xml:space="preserve"> He and Dr. </w:t>
      </w:r>
      <w:proofErr w:type="spellStart"/>
      <w:r w:rsidR="00F255EE" w:rsidRPr="00C54C6D">
        <w:rPr>
          <w:lang w:bidi="he-IL"/>
        </w:rPr>
        <w:t>Gez</w:t>
      </w:r>
      <w:proofErr w:type="spellEnd"/>
      <w:r w:rsidR="00F255EE" w:rsidRPr="00C54C6D">
        <w:rPr>
          <w:lang w:bidi="he-IL"/>
        </w:rPr>
        <w:t xml:space="preserve"> unsuccessfully petitioned the High Court of Justice against the shaming imposed against them, on the grounds that it deprived them of their freedom.</w:t>
      </w:r>
      <w:r w:rsidR="00F255EE" w:rsidRPr="00C54C6D">
        <w:rPr>
          <w:rStyle w:val="a9"/>
          <w:lang w:bidi="he-IL"/>
        </w:rPr>
        <w:endnoteReference w:id="49"/>
      </w:r>
      <w:r w:rsidR="00F255EE" w:rsidRPr="00C54C6D">
        <w:rPr>
          <w:lang w:bidi="he-IL"/>
        </w:rPr>
        <w:t xml:space="preserve"> For years Mr. Ben Haim continued to refuse to divorce his wife. In this case, </w:t>
      </w:r>
      <w:r w:rsidR="00F255EE" w:rsidRPr="00C54C6D">
        <w:rPr>
          <w:lang w:bidi="he-IL"/>
        </w:rPr>
        <w:lastRenderedPageBreak/>
        <w:t>too, the shaming order issued by the rabbinical court in Israel did not move him to submit.</w:t>
      </w:r>
      <w:r w:rsidR="00F255EE" w:rsidRPr="00C54C6D">
        <w:rPr>
          <w:rStyle w:val="a9"/>
          <w:lang w:bidi="he-IL"/>
        </w:rPr>
        <w:endnoteReference w:id="50"/>
      </w:r>
      <w:r w:rsidR="00F255EE" w:rsidRPr="00C54C6D">
        <w:rPr>
          <w:lang w:bidi="he-IL"/>
        </w:rPr>
        <w:t xml:space="preserve"> </w:t>
      </w:r>
    </w:p>
    <w:p w14:paraId="425219DE" w14:textId="2D8E9DB8" w:rsidR="00F255EE" w:rsidRDefault="004F302C" w:rsidP="0014313D">
      <w:pPr>
        <w:pStyle w:val="PB"/>
        <w:jc w:val="both"/>
        <w:rPr>
          <w:lang w:bidi="he-IL"/>
        </w:rPr>
      </w:pPr>
      <w:r>
        <w:rPr>
          <w:lang w:bidi="he-IL"/>
        </w:rPr>
        <w:t xml:space="preserve">   </w:t>
      </w:r>
      <w:r w:rsidR="00F255EE" w:rsidRPr="00C54C6D">
        <w:rPr>
          <w:lang w:bidi="he-IL"/>
        </w:rPr>
        <w:t xml:space="preserve">In another case in 2018, the shaming ordered by the rabbinical court against </w:t>
      </w:r>
      <w:r w:rsidR="00F255EE" w:rsidRPr="00C54C6D">
        <w:rPr>
          <w:color w:val="000000"/>
          <w:lang w:bidi="he-IL"/>
        </w:rPr>
        <w:t>recalcitrant husband</w:t>
      </w:r>
      <w:r w:rsidR="00F255EE" w:rsidRPr="00C54C6D">
        <w:rPr>
          <w:lang w:bidi="he-IL"/>
        </w:rPr>
        <w:t xml:space="preserve"> </w:t>
      </w:r>
      <w:proofErr w:type="spellStart"/>
      <w:r w:rsidR="00F255EE" w:rsidRPr="00C54C6D">
        <w:rPr>
          <w:lang w:bidi="he-IL"/>
        </w:rPr>
        <w:t>Yaron</w:t>
      </w:r>
      <w:proofErr w:type="spellEnd"/>
      <w:r w:rsidR="00F255EE" w:rsidRPr="00C54C6D">
        <w:rPr>
          <w:lang w:bidi="he-IL"/>
        </w:rPr>
        <w:t xml:space="preserve"> </w:t>
      </w:r>
      <w:proofErr w:type="spellStart"/>
      <w:r w:rsidR="00F255EE" w:rsidRPr="00C54C6D">
        <w:rPr>
          <w:lang w:bidi="he-IL"/>
        </w:rPr>
        <w:t>Attias</w:t>
      </w:r>
      <w:proofErr w:type="spellEnd"/>
      <w:r w:rsidR="00F255EE" w:rsidRPr="00C54C6D">
        <w:rPr>
          <w:lang w:bidi="he-IL"/>
        </w:rPr>
        <w:t>, as well as the suspension of his driver’s license, proved ineffective</w:t>
      </w:r>
      <w:r w:rsidR="00C479F7">
        <w:rPr>
          <w:lang w:bidi="he-IL"/>
        </w:rPr>
        <w:t>.</w:t>
      </w:r>
      <w:r w:rsidR="00F255EE" w:rsidRPr="00C54C6D">
        <w:rPr>
          <w:rStyle w:val="a9"/>
          <w:lang w:bidi="he-IL"/>
        </w:rPr>
        <w:endnoteReference w:id="51"/>
      </w:r>
      <w:r w:rsidR="00F255EE" w:rsidRPr="00C54C6D">
        <w:rPr>
          <w:lang w:bidi="he-IL"/>
        </w:rPr>
        <w:t xml:space="preserve"> What finally impelled </w:t>
      </w:r>
      <w:proofErr w:type="spellStart"/>
      <w:r w:rsidR="00F255EE" w:rsidRPr="00C54C6D">
        <w:rPr>
          <w:lang w:bidi="he-IL"/>
        </w:rPr>
        <w:t>Attias</w:t>
      </w:r>
      <w:proofErr w:type="spellEnd"/>
      <w:r w:rsidR="00F255EE" w:rsidRPr="00C54C6D">
        <w:rPr>
          <w:lang w:bidi="he-IL"/>
        </w:rPr>
        <w:t xml:space="preserve"> to grant the divorc</w:t>
      </w:r>
      <w:r w:rsidR="00C479F7">
        <w:rPr>
          <w:lang w:bidi="he-IL"/>
        </w:rPr>
        <w:t xml:space="preserve">e was his arrest and subsequent </w:t>
      </w:r>
      <w:r w:rsidR="00F255EE" w:rsidRPr="00C54C6D">
        <w:rPr>
          <w:lang w:bidi="he-IL"/>
        </w:rPr>
        <w:t xml:space="preserve">developments.  The rabbinical court discovered that </w:t>
      </w:r>
      <w:proofErr w:type="spellStart"/>
      <w:r w:rsidR="00F255EE" w:rsidRPr="00C54C6D">
        <w:rPr>
          <w:lang w:bidi="he-IL"/>
        </w:rPr>
        <w:t>Attias</w:t>
      </w:r>
      <w:proofErr w:type="spellEnd"/>
      <w:r w:rsidR="00F255EE" w:rsidRPr="00C54C6D">
        <w:rPr>
          <w:lang w:bidi="he-IL"/>
        </w:rPr>
        <w:t xml:space="preserve"> had been driving his car despite the suspension of his license and sentenced him to a short jail term for contempt of court. Once again, what produced the desired result was not the shaming, but the rabbinical court’s threat, after the shaming, that if </w:t>
      </w:r>
      <w:proofErr w:type="spellStart"/>
      <w:r w:rsidR="00F255EE" w:rsidRPr="00C54C6D">
        <w:rPr>
          <w:lang w:bidi="he-IL"/>
        </w:rPr>
        <w:t>Attias</w:t>
      </w:r>
      <w:proofErr w:type="spellEnd"/>
      <w:r w:rsidR="00F255EE" w:rsidRPr="00C54C6D">
        <w:rPr>
          <w:lang w:bidi="he-IL"/>
        </w:rPr>
        <w:t xml:space="preserve"> continued his intransigence it would rule that he must grant a divorce and he would be imprisoned for as long as he refused to do so.</w:t>
      </w:r>
      <w:r w:rsidR="00F255EE" w:rsidRPr="00C54C6D">
        <w:rPr>
          <w:rStyle w:val="a9"/>
          <w:lang w:bidi="he-IL"/>
        </w:rPr>
        <w:endnoteReference w:id="52"/>
      </w:r>
      <w:r w:rsidR="00F255EE" w:rsidRPr="00C54C6D">
        <w:rPr>
          <w:lang w:bidi="he-IL"/>
        </w:rPr>
        <w:t xml:space="preserve"> It can, of course, be argued that the continued pressure of the shaming and </w:t>
      </w:r>
      <w:proofErr w:type="spellStart"/>
      <w:r w:rsidR="00F255EE" w:rsidRPr="00C54C6D">
        <w:rPr>
          <w:lang w:bidi="he-IL"/>
        </w:rPr>
        <w:t>Attias’s</w:t>
      </w:r>
      <w:proofErr w:type="spellEnd"/>
      <w:r w:rsidR="00F255EE" w:rsidRPr="00C54C6D">
        <w:rPr>
          <w:lang w:bidi="he-IL"/>
        </w:rPr>
        <w:t xml:space="preserve"> jailing for contempt of court together wore him down and thus played a part in persuading him to grant the divorce. But the main factor, as mentioned, was his fear of prolonged incarceration as a result of the court’s decision that he must grant the divorce.</w:t>
      </w:r>
      <w:r w:rsidR="0014313D">
        <w:rPr>
          <w:lang w:bidi="he-IL"/>
        </w:rPr>
        <w:t xml:space="preserve"> </w:t>
      </w:r>
      <w:r w:rsidR="00F255EE" w:rsidRPr="00C54C6D">
        <w:rPr>
          <w:lang w:bidi="he-IL"/>
        </w:rPr>
        <w:t>Similar cases have ended in the same way.</w:t>
      </w:r>
      <w:r w:rsidR="0014313D">
        <w:rPr>
          <w:lang w:bidi="he-IL"/>
        </w:rPr>
        <w:t xml:space="preserve"> </w:t>
      </w:r>
      <w:proofErr w:type="gramStart"/>
      <w:r w:rsidR="00F255EE" w:rsidRPr="00C54C6D">
        <w:rPr>
          <w:lang w:bidi="he-IL"/>
        </w:rPr>
        <w:t>So</w:t>
      </w:r>
      <w:proofErr w:type="gramEnd"/>
      <w:r w:rsidR="00F255EE" w:rsidRPr="00C54C6D">
        <w:rPr>
          <w:lang w:bidi="he-IL"/>
        </w:rPr>
        <w:t xml:space="preserve"> another problem with shaming is that it has not proven to be very effective.</w:t>
      </w:r>
    </w:p>
    <w:p w14:paraId="53457874" w14:textId="1F247C21" w:rsidR="0052651A" w:rsidRPr="00C54C6D" w:rsidRDefault="0052651A" w:rsidP="0052651A">
      <w:pPr>
        <w:pStyle w:val="PB"/>
        <w:jc w:val="right"/>
        <w:rPr>
          <w:rtl/>
          <w:lang w:bidi="he-IL"/>
        </w:rPr>
      </w:pPr>
      <w:proofErr w:type="spellStart"/>
      <w:r>
        <w:rPr>
          <w:rFonts w:hint="cs"/>
          <w:rtl/>
        </w:rPr>
        <w:t>בניגוד</w:t>
      </w:r>
      <w:proofErr w:type="spellEnd"/>
      <w:r>
        <w:rPr>
          <w:rFonts w:hint="cs"/>
          <w:rtl/>
        </w:rPr>
        <w:t xml:space="preserve"> </w:t>
      </w:r>
      <w:proofErr w:type="spellStart"/>
      <w:r>
        <w:rPr>
          <w:rFonts w:hint="cs"/>
          <w:rtl/>
        </w:rPr>
        <w:t>לחו"ל</w:t>
      </w:r>
      <w:proofErr w:type="spellEnd"/>
      <w:r>
        <w:rPr>
          <w:rFonts w:hint="cs"/>
          <w:rtl/>
        </w:rPr>
        <w:t xml:space="preserve">, </w:t>
      </w:r>
      <w:proofErr w:type="spellStart"/>
      <w:r>
        <w:rPr>
          <w:rFonts w:hint="cs"/>
          <w:rtl/>
        </w:rPr>
        <w:t>ששם</w:t>
      </w:r>
      <w:proofErr w:type="spellEnd"/>
      <w:r>
        <w:rPr>
          <w:rFonts w:hint="cs"/>
          <w:rtl/>
        </w:rPr>
        <w:t xml:space="preserve"> </w:t>
      </w:r>
      <w:proofErr w:type="spellStart"/>
      <w:r w:rsidRPr="005A597B">
        <w:rPr>
          <w:rFonts w:hint="cs"/>
          <w:rtl/>
        </w:rPr>
        <w:t>ככל</w:t>
      </w:r>
      <w:proofErr w:type="spellEnd"/>
      <w:r w:rsidRPr="005A597B">
        <w:rPr>
          <w:rFonts w:hint="cs"/>
          <w:rtl/>
        </w:rPr>
        <w:t xml:space="preserve"> </w:t>
      </w:r>
      <w:proofErr w:type="spellStart"/>
      <w:r w:rsidRPr="005A597B">
        <w:rPr>
          <w:rFonts w:hint="cs"/>
          <w:rtl/>
        </w:rPr>
        <w:t>נראה</w:t>
      </w:r>
      <w:proofErr w:type="spellEnd"/>
      <w:r w:rsidRPr="005A597B">
        <w:rPr>
          <w:rFonts w:hint="cs"/>
          <w:rtl/>
        </w:rPr>
        <w:t xml:space="preserve">, </w:t>
      </w:r>
      <w:proofErr w:type="spellStart"/>
      <w:r w:rsidRPr="005A597B">
        <w:rPr>
          <w:rFonts w:hint="cs"/>
          <w:rtl/>
        </w:rPr>
        <w:t>התמונה</w:t>
      </w:r>
      <w:proofErr w:type="spellEnd"/>
      <w:r w:rsidRPr="005A597B">
        <w:rPr>
          <w:rFonts w:hint="cs"/>
          <w:rtl/>
        </w:rPr>
        <w:t xml:space="preserve"> </w:t>
      </w:r>
      <w:proofErr w:type="spellStart"/>
      <w:r w:rsidRPr="005A597B">
        <w:rPr>
          <w:rFonts w:hint="cs"/>
          <w:rtl/>
        </w:rPr>
        <w:t>שונה</w:t>
      </w:r>
      <w:proofErr w:type="spellEnd"/>
      <w:r w:rsidRPr="005A597B">
        <w:rPr>
          <w:rFonts w:hint="cs"/>
          <w:rtl/>
        </w:rPr>
        <w:t>.</w:t>
      </w:r>
      <w:r>
        <w:rPr>
          <w:rStyle w:val="af0"/>
          <w:rtl/>
          <w:lang w:bidi="he-IL"/>
        </w:rPr>
        <w:footnoteReference w:id="6"/>
      </w:r>
    </w:p>
    <w:p w14:paraId="62B7429F" w14:textId="77777777" w:rsidR="00F255EE" w:rsidRPr="00C54C6D" w:rsidRDefault="00F255EE" w:rsidP="00F255EE">
      <w:pPr>
        <w:pStyle w:val="PB"/>
        <w:jc w:val="both"/>
        <w:rPr>
          <w:b/>
          <w:bCs/>
        </w:rPr>
      </w:pPr>
      <w:r w:rsidRPr="00C54C6D">
        <w:rPr>
          <w:b/>
          <w:bCs/>
        </w:rPr>
        <w:t>In this situation, is it worthwhile to employ shaming against recalcitrant husbands?</w:t>
      </w:r>
    </w:p>
    <w:p w14:paraId="2B83B9F6" w14:textId="77777777" w:rsidR="00F255EE" w:rsidRPr="00C54C6D" w:rsidRDefault="004F302C" w:rsidP="00F255EE">
      <w:pPr>
        <w:pStyle w:val="PB"/>
        <w:jc w:val="both"/>
        <w:rPr>
          <w:rtl/>
          <w:lang w:bidi="he-IL"/>
        </w:rPr>
      </w:pPr>
      <w:r>
        <w:rPr>
          <w:lang w:bidi="he-IL"/>
        </w:rPr>
        <w:t xml:space="preserve">   </w:t>
      </w:r>
      <w:r w:rsidR="00F255EE" w:rsidRPr="00C54C6D">
        <w:rPr>
          <w:lang w:bidi="he-IL"/>
        </w:rPr>
        <w:t>Shaming as a means of exerting pressure to put an end to some undesirable activity was employed in antiquity on many matters. The Talmud, for example, notes the practice of shaming a father who did not support his young children.</w:t>
      </w:r>
      <w:r w:rsidR="00F255EE" w:rsidRPr="00C54C6D">
        <w:rPr>
          <w:rStyle w:val="a9"/>
          <w:lang w:bidi="he-IL"/>
        </w:rPr>
        <w:endnoteReference w:id="53"/>
      </w:r>
      <w:r w:rsidR="00F255EE" w:rsidRPr="00C54C6D">
        <w:rPr>
          <w:lang w:bidi="he-IL"/>
        </w:rPr>
        <w:t xml:space="preserve"> or a wife who rebelled against her husband.</w:t>
      </w:r>
      <w:r w:rsidR="00F255EE" w:rsidRPr="00C54C6D">
        <w:rPr>
          <w:rStyle w:val="a9"/>
          <w:lang w:bidi="he-IL"/>
        </w:rPr>
        <w:endnoteReference w:id="54"/>
      </w:r>
      <w:r w:rsidR="00F255EE" w:rsidRPr="00C54C6D">
        <w:rPr>
          <w:lang w:bidi="he-IL"/>
        </w:rPr>
        <w:t xml:space="preserve"> </w:t>
      </w:r>
      <w:proofErr w:type="spellStart"/>
      <w:r w:rsidR="00F255EE" w:rsidRPr="00C54C6D">
        <w:rPr>
          <w:lang w:bidi="he-IL"/>
        </w:rPr>
        <w:t>Libson</w:t>
      </w:r>
      <w:proofErr w:type="spellEnd"/>
      <w:r w:rsidR="00F255EE" w:rsidRPr="00C54C6D">
        <w:rPr>
          <w:lang w:bidi="he-IL"/>
        </w:rPr>
        <w:t xml:space="preserve"> has demonstrated that ostracism and excommunication were used for various purposes.</w:t>
      </w:r>
      <w:r w:rsidR="00F255EE" w:rsidRPr="00C54C6D">
        <w:rPr>
          <w:rStyle w:val="a9"/>
          <w:lang w:bidi="he-IL"/>
        </w:rPr>
        <w:endnoteReference w:id="55"/>
      </w:r>
      <w:r w:rsidR="00F255EE" w:rsidRPr="00C54C6D">
        <w:rPr>
          <w:lang w:bidi="he-IL"/>
        </w:rPr>
        <w:t xml:space="preserve"> Grossman referred to the custom of delaying the public reading of the Torah in the synagogue and first announcing the names of debtors, as an incentive to get them to pay up.</w:t>
      </w:r>
      <w:r w:rsidR="00F255EE" w:rsidRPr="00C54C6D">
        <w:rPr>
          <w:rStyle w:val="a9"/>
          <w:lang w:bidi="he-IL"/>
        </w:rPr>
        <w:endnoteReference w:id="56"/>
      </w:r>
      <w:r w:rsidR="00F255EE" w:rsidRPr="00C54C6D">
        <w:rPr>
          <w:lang w:bidi="he-IL"/>
        </w:rPr>
        <w:t xml:space="preserve"> </w:t>
      </w:r>
    </w:p>
    <w:p w14:paraId="7781D0EE" w14:textId="77777777" w:rsidR="00F255EE" w:rsidRPr="00C54C6D" w:rsidRDefault="004F302C" w:rsidP="00F255EE">
      <w:pPr>
        <w:pStyle w:val="PB"/>
        <w:jc w:val="both"/>
        <w:rPr>
          <w:lang w:bidi="he-IL"/>
        </w:rPr>
      </w:pPr>
      <w:r>
        <w:rPr>
          <w:lang w:bidi="he-IL"/>
        </w:rPr>
        <w:t xml:space="preserve">   </w:t>
      </w:r>
      <w:r w:rsidR="00F255EE" w:rsidRPr="00C54C6D">
        <w:rPr>
          <w:lang w:bidi="he-IL"/>
        </w:rPr>
        <w:t xml:space="preserve">In our own day, the government uses shaming to highlight regulatory problems, as shown by Dr. </w:t>
      </w:r>
      <w:proofErr w:type="spellStart"/>
      <w:r w:rsidR="00F255EE" w:rsidRPr="00C54C6D">
        <w:rPr>
          <w:lang w:bidi="he-IL"/>
        </w:rPr>
        <w:t>Yadin</w:t>
      </w:r>
      <w:proofErr w:type="spellEnd"/>
      <w:r w:rsidR="00F255EE" w:rsidRPr="00C54C6D">
        <w:rPr>
          <w:lang w:bidi="he-IL"/>
        </w:rPr>
        <w:t>.</w:t>
      </w:r>
      <w:r w:rsidR="00F255EE" w:rsidRPr="00C54C6D">
        <w:rPr>
          <w:rStyle w:val="a9"/>
          <w:lang w:bidi="he-IL"/>
        </w:rPr>
        <w:endnoteReference w:id="57"/>
      </w:r>
      <w:r w:rsidR="00F255EE" w:rsidRPr="00C54C6D">
        <w:rPr>
          <w:lang w:bidi="he-IL"/>
        </w:rPr>
        <w:t xml:space="preserve"> The Environmental Protection Ministry issues “red lists” of the worst polluters.</w:t>
      </w:r>
      <w:r w:rsidR="00F255EE" w:rsidRPr="00C54C6D">
        <w:rPr>
          <w:rStyle w:val="a9"/>
          <w:lang w:bidi="he-IL"/>
        </w:rPr>
        <w:endnoteReference w:id="58"/>
      </w:r>
      <w:r w:rsidR="00F255EE" w:rsidRPr="00C54C6D">
        <w:rPr>
          <w:lang w:bidi="he-IL"/>
        </w:rPr>
        <w:t xml:space="preserve"> The Finance Ministry publishes an annual ranking of insurance and pension companies (in various categories, including time to answer phone call). The Health Ministry has announced that it will publish a ranking of restaurant hygiene, highlighting the filthiest eating places. It has also begun publishing data about hospitals where exposure to infection is greatest. </w:t>
      </w:r>
      <w:r w:rsidR="00F255EE" w:rsidRPr="00C54C6D">
        <w:rPr>
          <w:rStyle w:val="il"/>
          <w:rFonts w:ascii="Georgia" w:hAnsi="Georgia"/>
          <w:color w:val="222222"/>
          <w:sz w:val="20"/>
          <w:szCs w:val="20"/>
          <w:shd w:val="clear" w:color="auto" w:fill="FFFFFF"/>
        </w:rPr>
        <w:t>Prof</w:t>
      </w:r>
      <w:r w:rsidR="00F255EE" w:rsidRPr="00C54C6D">
        <w:rPr>
          <w:rFonts w:ascii="Georgia" w:hAnsi="Georgia"/>
          <w:color w:val="222222"/>
          <w:sz w:val="20"/>
          <w:szCs w:val="20"/>
          <w:shd w:val="clear" w:color="auto" w:fill="FFFFFF"/>
        </w:rPr>
        <w:t>.</w:t>
      </w:r>
      <w:r w:rsidR="00F255EE" w:rsidRPr="00C54C6D">
        <w:rPr>
          <w:lang w:bidi="he-IL"/>
        </w:rPr>
        <w:t xml:space="preserve"> Shinar has written about shaming in the banking industry. </w:t>
      </w:r>
      <w:r w:rsidR="00F255EE" w:rsidRPr="00C54C6D">
        <w:rPr>
          <w:rStyle w:val="a9"/>
          <w:lang w:bidi="he-IL"/>
        </w:rPr>
        <w:endnoteReference w:id="59"/>
      </w:r>
    </w:p>
    <w:p w14:paraId="4A392E00" w14:textId="77777777" w:rsidR="00F255EE" w:rsidRPr="00C54C6D" w:rsidRDefault="004F302C" w:rsidP="00F255EE">
      <w:pPr>
        <w:pStyle w:val="PB"/>
        <w:jc w:val="both"/>
        <w:rPr>
          <w:lang w:bidi="he-IL"/>
        </w:rPr>
      </w:pPr>
      <w:r>
        <w:rPr>
          <w:lang w:bidi="he-IL"/>
        </w:rPr>
        <w:lastRenderedPageBreak/>
        <w:t xml:space="preserve">   </w:t>
      </w:r>
      <w:r w:rsidR="00F255EE" w:rsidRPr="00C54C6D">
        <w:rPr>
          <w:lang w:bidi="he-IL"/>
        </w:rPr>
        <w:t>To return to our topic, the impression is that an increasing number of rabbinical courts are employing shaming as a way to deal with recalcitrant husbands.</w:t>
      </w:r>
      <w:r w:rsidR="00F255EE" w:rsidRPr="00C54C6D">
        <w:rPr>
          <w:rStyle w:val="a9"/>
          <w:lang w:bidi="he-IL"/>
        </w:rPr>
        <w:endnoteReference w:id="60"/>
      </w:r>
      <w:r w:rsidR="00F255EE" w:rsidRPr="00C54C6D">
        <w:rPr>
          <w:lang w:bidi="he-IL"/>
        </w:rPr>
        <w:t xml:space="preserve"> However, some courts refrain from invoking it, for one of two opposing reasons. Some are concerned that the tool is so powerful and aggressive that it may be deemed compulsion of the sort that invalidates a subsequent </w:t>
      </w:r>
      <w:r w:rsidR="00F255EE" w:rsidRPr="00C54C6D">
        <w:rPr>
          <w:i/>
          <w:iCs/>
          <w:lang w:bidi="he-IL"/>
        </w:rPr>
        <w:t>get</w:t>
      </w:r>
      <w:r w:rsidR="00F255EE" w:rsidRPr="00C54C6D">
        <w:rPr>
          <w:lang w:bidi="he-IL"/>
        </w:rPr>
        <w:t xml:space="preserve">. Conversely, other courts are afraid that shaming is no longer effective, because the public has become inured to the daily reports of sexual misconduct, corruption, theft, and other severe actions, so that the refusal to grant a divorce is no longer shocking. </w:t>
      </w:r>
      <w:r w:rsidR="00F255EE" w:rsidRPr="00C54C6D">
        <w:rPr>
          <w:color w:val="000000"/>
          <w:lang w:bidi="he-IL"/>
        </w:rPr>
        <w:t>Recalcitrant husbands, too,</w:t>
      </w:r>
      <w:r w:rsidR="00F255EE" w:rsidRPr="00C54C6D">
        <w:rPr>
          <w:lang w:bidi="he-IL"/>
        </w:rPr>
        <w:t xml:space="preserve"> may believe that their refusal vanishes among all the other negative phenomena people are hearing about.</w:t>
      </w:r>
    </w:p>
    <w:p w14:paraId="0EA69370" w14:textId="77777777" w:rsidR="00F255EE" w:rsidRPr="00C54C6D" w:rsidRDefault="004F302C" w:rsidP="00F255EE">
      <w:pPr>
        <w:pStyle w:val="PB"/>
        <w:jc w:val="both"/>
        <w:rPr>
          <w:lang w:bidi="he-IL"/>
        </w:rPr>
      </w:pPr>
      <w:r>
        <w:rPr>
          <w:lang w:bidi="he-IL"/>
        </w:rPr>
        <w:t xml:space="preserve">   </w:t>
      </w:r>
      <w:r w:rsidR="00F255EE" w:rsidRPr="00C54C6D">
        <w:rPr>
          <w:lang w:bidi="he-IL"/>
        </w:rPr>
        <w:t>On the other hand, those who support the use of shaming hold that precisely today, when individuals document their every action out of a desire to be loved and admired, and when many people want to establish as many relationships as possible, even if only online, this tool can be very effective, because people have become very sensitive to the way they are seen in public and will do everything to avoid disgrace.</w:t>
      </w:r>
    </w:p>
    <w:p w14:paraId="2772F692" w14:textId="77777777" w:rsidR="00F255EE" w:rsidRPr="00C54C6D" w:rsidRDefault="004F302C" w:rsidP="00F255EE">
      <w:pPr>
        <w:pStyle w:val="PB"/>
        <w:jc w:val="both"/>
        <w:rPr>
          <w:lang w:bidi="he-IL"/>
        </w:rPr>
      </w:pPr>
      <w:r>
        <w:rPr>
          <w:lang w:bidi="he-IL"/>
        </w:rPr>
        <w:t xml:space="preserve">   </w:t>
      </w:r>
      <w:r w:rsidR="00F255EE" w:rsidRPr="00C54C6D">
        <w:rPr>
          <w:lang w:bidi="he-IL"/>
        </w:rPr>
        <w:t xml:space="preserve">The Chief Rabbi and several rabbinical judges with whom I spoke about this issue say that the answer is complex. They weigh the use of shaming as a function of the details of each case and the </w:t>
      </w:r>
      <w:r w:rsidR="00F255EE" w:rsidRPr="00C54C6D">
        <w:rPr>
          <w:color w:val="000000"/>
          <w:lang w:bidi="he-IL"/>
        </w:rPr>
        <w:t>recalcitrant husband’s personality</w:t>
      </w:r>
      <w:r w:rsidR="00F255EE" w:rsidRPr="00C54C6D">
        <w:rPr>
          <w:lang w:bidi="he-IL"/>
        </w:rPr>
        <w:t>.</w:t>
      </w:r>
      <w:r w:rsidR="00F255EE" w:rsidRPr="00C54C6D">
        <w:rPr>
          <w:rStyle w:val="a9"/>
          <w:lang w:bidi="he-IL"/>
        </w:rPr>
        <w:endnoteReference w:id="61"/>
      </w:r>
      <w:r w:rsidR="00F255EE" w:rsidRPr="00C54C6D">
        <w:rPr>
          <w:lang w:bidi="he-IL"/>
        </w:rPr>
        <w:t xml:space="preserve"> Some </w:t>
      </w:r>
      <w:r w:rsidR="00F255EE" w:rsidRPr="00C54C6D">
        <w:rPr>
          <w:color w:val="000000"/>
          <w:lang w:bidi="he-IL"/>
        </w:rPr>
        <w:t>recalcitrant husband</w:t>
      </w:r>
      <w:r w:rsidR="00F255EE" w:rsidRPr="00C54C6D">
        <w:rPr>
          <w:lang w:bidi="he-IL"/>
        </w:rPr>
        <w:t xml:space="preserve">s are likely to be affected by shaming, but others will become even more intransigent. Another rabbinical judge said that the success of shaming depends on the nature of the husband’s social group. It can be effective against members of closed groups—like the Ultraorthodox today. Such individuals are bound more strongly by the community’s authority, more sensitive to social norms, and more concerned with how they are perceived by their neighbors. It is also possible that individuals abroad who are dependent on the Jewish community in many areas of life would feel threatened by shaming, making it more effective against them. Obviously, an ethical and involved community will make life harder for a </w:t>
      </w:r>
      <w:r w:rsidR="00F255EE" w:rsidRPr="00C54C6D">
        <w:rPr>
          <w:color w:val="000000"/>
          <w:lang w:bidi="he-IL"/>
        </w:rPr>
        <w:t>recalcitrant husband</w:t>
      </w:r>
      <w:r w:rsidR="00F255EE" w:rsidRPr="00C54C6D">
        <w:rPr>
          <w:lang w:bidi="he-IL"/>
        </w:rPr>
        <w:t xml:space="preserve"> than a society that pays less attention to individuals’ ethics and tend to maintain a hands-off attitude towards what other people do.</w:t>
      </w:r>
    </w:p>
    <w:p w14:paraId="006A1270" w14:textId="77777777" w:rsidR="00F255EE" w:rsidRPr="00C54C6D" w:rsidRDefault="00F255EE" w:rsidP="00F255EE">
      <w:pPr>
        <w:pStyle w:val="PB"/>
        <w:jc w:val="both"/>
        <w:rPr>
          <w:b/>
          <w:bCs/>
        </w:rPr>
      </w:pPr>
      <w:r w:rsidRPr="00C54C6D">
        <w:rPr>
          <w:b/>
          <w:bCs/>
        </w:rPr>
        <w:t xml:space="preserve">To conclude, the key question in the discussion of whether shaming should be employed against recalcitrant husbands is the one I began with: Is shaming an appropriate interpretation of </w:t>
      </w:r>
      <w:proofErr w:type="spellStart"/>
      <w:r w:rsidRPr="00C54C6D">
        <w:rPr>
          <w:b/>
          <w:bCs/>
        </w:rPr>
        <w:t>Rabbenu</w:t>
      </w:r>
      <w:proofErr w:type="spellEnd"/>
      <w:r w:rsidRPr="00C54C6D">
        <w:rPr>
          <w:b/>
          <w:bCs/>
        </w:rPr>
        <w:t xml:space="preserve"> Tam’s Sanctions?</w:t>
      </w:r>
    </w:p>
    <w:p w14:paraId="00520C89" w14:textId="77777777" w:rsidR="00F255EE" w:rsidRPr="00C54C6D" w:rsidRDefault="00F255EE" w:rsidP="00F255EE">
      <w:pPr>
        <w:pStyle w:val="PB"/>
        <w:jc w:val="both"/>
      </w:pPr>
      <w:r w:rsidRPr="00C54C6D">
        <w:t xml:space="preserve">On the one hand, I have shown that shaming embodies two elements of </w:t>
      </w:r>
      <w:proofErr w:type="spellStart"/>
      <w:r w:rsidRPr="00C54C6D">
        <w:t>Rabbenu</w:t>
      </w:r>
      <w:proofErr w:type="spellEnd"/>
      <w:r w:rsidRPr="00C54C6D">
        <w:t xml:space="preserve"> Tam’s Sanctions. On the other hand, it is unclear whether shaming complies with the conditions </w:t>
      </w:r>
      <w:proofErr w:type="spellStart"/>
      <w:r w:rsidRPr="00C54C6D">
        <w:t>Rabbenu</w:t>
      </w:r>
      <w:proofErr w:type="spellEnd"/>
      <w:r w:rsidRPr="00C54C6D">
        <w:t xml:space="preserve"> Tam set for the use of his sanctions. In particular, he held that they can be imposed because they are less severe than compulsion.</w:t>
      </w:r>
      <w:r w:rsidRPr="00C54C6D">
        <w:rPr>
          <w:rStyle w:val="a9"/>
        </w:rPr>
        <w:endnoteReference w:id="62"/>
      </w:r>
      <w:r w:rsidRPr="00C54C6D">
        <w:t xml:space="preserve"> Various explanations of this statement have been offered, some of them by </w:t>
      </w:r>
      <w:proofErr w:type="spellStart"/>
      <w:r w:rsidRPr="00C54C6D">
        <w:t>Rabbenu</w:t>
      </w:r>
      <w:proofErr w:type="spellEnd"/>
      <w:r w:rsidRPr="00C54C6D">
        <w:t xml:space="preserve"> Tam himself and others by rabbis and rabbinical courts that imposed them later:</w:t>
      </w:r>
    </w:p>
    <w:p w14:paraId="2D7F9A0F" w14:textId="47F1F95E" w:rsidR="00F255EE" w:rsidRPr="00C54C6D" w:rsidRDefault="004F302C" w:rsidP="00C27AD7">
      <w:pPr>
        <w:pStyle w:val="PB"/>
        <w:jc w:val="both"/>
      </w:pPr>
      <w:r>
        <w:t xml:space="preserve">   </w:t>
      </w:r>
      <w:r w:rsidR="00F255EE" w:rsidRPr="00C54C6D">
        <w:t xml:space="preserve">They are less than compulsion because they leave the husband with a choice—he can grant the divorce or decide not </w:t>
      </w:r>
      <w:r w:rsidR="00C479F7" w:rsidRPr="00C62661">
        <w:t>to</w:t>
      </w:r>
      <w:r w:rsidR="00C479F7">
        <w:t xml:space="preserve"> </w:t>
      </w:r>
      <w:r w:rsidR="00F255EE" w:rsidRPr="00C54C6D">
        <w:t>do so.</w:t>
      </w:r>
      <w:r w:rsidR="00F255EE" w:rsidRPr="00C54C6D">
        <w:rPr>
          <w:rStyle w:val="a9"/>
        </w:rPr>
        <w:endnoteReference w:id="63"/>
      </w:r>
      <w:r w:rsidR="00F255EE" w:rsidRPr="00C54C6D">
        <w:t xml:space="preserve"> They do not cause physical distress, unlike flogging and incarceration,</w:t>
      </w:r>
      <w:r w:rsidR="00F255EE" w:rsidRPr="00C54C6D">
        <w:rPr>
          <w:rStyle w:val="a9"/>
        </w:rPr>
        <w:endnoteReference w:id="64"/>
      </w:r>
      <w:r w:rsidR="00541F23">
        <w:t xml:space="preserve"> </w:t>
      </w:r>
      <w:r w:rsidR="00F255EE" w:rsidRPr="00C54C6D">
        <w:t>They do not impair mobility, since the man can move to a different place where he is not known and will not be shunned.</w:t>
      </w:r>
      <w:r w:rsidR="00F255EE" w:rsidRPr="00C54C6D">
        <w:rPr>
          <w:rStyle w:val="a9"/>
        </w:rPr>
        <w:endnoteReference w:id="65"/>
      </w:r>
      <w:r w:rsidR="00F255EE" w:rsidRPr="00C54C6D">
        <w:t xml:space="preserve"> The pressure is indirect (exerted by society) rather than direct (on the husband).</w:t>
      </w:r>
      <w:r w:rsidR="00F255EE" w:rsidRPr="00C54C6D">
        <w:rPr>
          <w:rStyle w:val="a9"/>
        </w:rPr>
        <w:endnoteReference w:id="66"/>
      </w:r>
      <w:r w:rsidR="00F255EE" w:rsidRPr="00C54C6D">
        <w:t xml:space="preserve"> The husband is not penalized, but only subjected to pressure;</w:t>
      </w:r>
      <w:r w:rsidR="00F255EE" w:rsidRPr="00C54C6D">
        <w:rPr>
          <w:rStyle w:val="a9"/>
        </w:rPr>
        <w:endnoteReference w:id="67"/>
      </w:r>
      <w:r w:rsidR="00F255EE" w:rsidRPr="00C54C6D">
        <w:t>The sanctions deny the man benefits only in the social realm, and in fact are addressed to the public rather than to him</w:t>
      </w:r>
      <w:commentRangeStart w:id="27"/>
      <w:r w:rsidR="00F255EE" w:rsidRPr="00C479F7">
        <w:rPr>
          <w:highlight w:val="green"/>
        </w:rPr>
        <w:t>.</w:t>
      </w:r>
      <w:r w:rsidR="00F255EE" w:rsidRPr="00C479F7">
        <w:rPr>
          <w:rStyle w:val="a9"/>
          <w:highlight w:val="green"/>
        </w:rPr>
        <w:endnoteReference w:id="68"/>
      </w:r>
      <w:r w:rsidR="00F255EE" w:rsidRPr="00C479F7">
        <w:rPr>
          <w:highlight w:val="green"/>
        </w:rPr>
        <w:t xml:space="preserve"> </w:t>
      </w:r>
      <w:r w:rsidR="00F255EE" w:rsidRPr="00C479F7">
        <w:rPr>
          <w:rStyle w:val="a9"/>
          <w:highlight w:val="green"/>
        </w:rPr>
        <w:endnoteReference w:id="69"/>
      </w:r>
      <w:r w:rsidR="00F255EE" w:rsidRPr="00C54C6D">
        <w:t xml:space="preserve"> </w:t>
      </w:r>
      <w:commentRangeEnd w:id="27"/>
      <w:r w:rsidR="00586F63">
        <w:rPr>
          <w:rStyle w:val="ac"/>
          <w:rFonts w:asciiTheme="minorHAnsi" w:eastAsiaTheme="minorHAnsi" w:hAnsiTheme="minorHAnsi" w:cstheme="minorBidi"/>
          <w:lang w:eastAsia="en-US" w:bidi="he-IL"/>
        </w:rPr>
        <w:commentReference w:id="27"/>
      </w:r>
      <w:r w:rsidR="00F255EE" w:rsidRPr="00C54C6D">
        <w:t>Finally, when they achieve their objective, the sanctions are withdrawn and the previous situation is restored.</w:t>
      </w:r>
      <w:r w:rsidR="00F255EE" w:rsidRPr="00C54C6D">
        <w:rPr>
          <w:rStyle w:val="a9"/>
        </w:rPr>
        <w:endnoteReference w:id="70"/>
      </w:r>
    </w:p>
    <w:p w14:paraId="1345F3B0" w14:textId="10954408" w:rsidR="00F255EE" w:rsidRPr="00C54C6D" w:rsidRDefault="004F302C" w:rsidP="00C479F7">
      <w:pPr>
        <w:pStyle w:val="PB"/>
        <w:jc w:val="both"/>
        <w:rPr>
          <w:lang w:bidi="he-IL"/>
        </w:rPr>
      </w:pPr>
      <w:r>
        <w:rPr>
          <w:lang w:bidi="he-IL"/>
        </w:rPr>
        <w:lastRenderedPageBreak/>
        <w:t xml:space="preserve">   </w:t>
      </w:r>
      <w:r w:rsidR="00F255EE" w:rsidRPr="00C54C6D">
        <w:rPr>
          <w:lang w:bidi="he-IL"/>
        </w:rPr>
        <w:t>Do these conditions also apply to public shaming? Do they leave the</w:t>
      </w:r>
      <w:r w:rsidR="00586F63">
        <w:rPr>
          <w:lang w:bidi="he-IL"/>
        </w:rPr>
        <w:t xml:space="preserve"> rec</w:t>
      </w:r>
      <w:r w:rsidR="006E7CAB">
        <w:rPr>
          <w:lang w:bidi="he-IL"/>
        </w:rPr>
        <w:t>a</w:t>
      </w:r>
      <w:r w:rsidR="00586F63">
        <w:rPr>
          <w:lang w:bidi="he-IL"/>
        </w:rPr>
        <w:t>lcitrant</w:t>
      </w:r>
      <w:r w:rsidR="00F255EE" w:rsidRPr="00C54C6D">
        <w:rPr>
          <w:lang w:bidi="he-IL"/>
        </w:rPr>
        <w:t xml:space="preserve"> </w:t>
      </w:r>
      <w:r w:rsidR="00F255EE" w:rsidRPr="006E7CAB">
        <w:rPr>
          <w:lang w:bidi="he-IL"/>
        </w:rPr>
        <w:t>husband</w:t>
      </w:r>
      <w:r w:rsidR="00F255EE" w:rsidRPr="00C54C6D">
        <w:rPr>
          <w:lang w:bidi="he-IL"/>
        </w:rPr>
        <w:t xml:space="preserve"> a choice in the matter? Do they enable the husband to move to a different place, given the universal reach of the internet today? Will the status quo ante be restored after he divorces his wife? </w:t>
      </w:r>
      <w:r w:rsidR="00F255EE" w:rsidRPr="00C54C6D">
        <w:rPr>
          <w:color w:val="000000"/>
          <w:lang w:bidi="he-IL"/>
        </w:rPr>
        <w:t xml:space="preserve">We would think that the answer to all these questions is “no.” Hence shaming would not be an appropriate implementation of </w:t>
      </w:r>
      <w:proofErr w:type="spellStart"/>
      <w:r w:rsidR="00F255EE" w:rsidRPr="00C54C6D">
        <w:rPr>
          <w:color w:val="000000"/>
          <w:lang w:bidi="he-IL"/>
        </w:rPr>
        <w:t>Rabbenu</w:t>
      </w:r>
      <w:proofErr w:type="spellEnd"/>
      <w:r w:rsidR="00F255EE" w:rsidRPr="00C54C6D">
        <w:rPr>
          <w:color w:val="000000"/>
          <w:lang w:bidi="he-IL"/>
        </w:rPr>
        <w:t xml:space="preserve"> Tam’s Sanctions. But reality suggests otherwise:</w:t>
      </w:r>
      <w:r w:rsidR="00F255EE" w:rsidRPr="00C54C6D">
        <w:rPr>
          <w:lang w:bidi="he-IL"/>
        </w:rPr>
        <w:t xml:space="preserve"> Shaming does not deprive the man of a choice in the matter, for we repeatedly see that </w:t>
      </w:r>
      <w:r w:rsidR="00F255EE" w:rsidRPr="00C54C6D">
        <w:rPr>
          <w:color w:val="000000"/>
          <w:lang w:bidi="he-IL"/>
        </w:rPr>
        <w:t>recalcitrant husband</w:t>
      </w:r>
      <w:r w:rsidR="00F255EE" w:rsidRPr="00C54C6D">
        <w:rPr>
          <w:lang w:bidi="he-IL"/>
        </w:rPr>
        <w:t xml:space="preserve">s continue in their stubborn refusal, despite the extensive and severe disgrace to which they are exposed. </w:t>
      </w:r>
    </w:p>
    <w:p w14:paraId="4FA76353" w14:textId="4285AB8F" w:rsidR="008B338B" w:rsidRDefault="008966DF" w:rsidP="00536141">
      <w:pPr>
        <w:pStyle w:val="PB"/>
        <w:jc w:val="both"/>
        <w:rPr>
          <w:lang w:bidi="he-IL"/>
        </w:rPr>
      </w:pPr>
      <w:r>
        <w:rPr>
          <w:lang w:bidi="he-IL"/>
        </w:rPr>
        <w:t xml:space="preserve">   </w:t>
      </w:r>
      <w:r w:rsidR="00F255EE" w:rsidRPr="00C54C6D">
        <w:rPr>
          <w:lang w:bidi="he-IL"/>
        </w:rPr>
        <w:t xml:space="preserve">Rabbi </w:t>
      </w:r>
      <w:proofErr w:type="spellStart"/>
      <w:r w:rsidR="00F255EE" w:rsidRPr="00C54C6D">
        <w:rPr>
          <w:lang w:bidi="he-IL"/>
        </w:rPr>
        <w:t>Yavetz</w:t>
      </w:r>
      <w:proofErr w:type="spellEnd"/>
      <w:r w:rsidR="00F255EE" w:rsidRPr="00C54C6D">
        <w:rPr>
          <w:lang w:bidi="he-IL"/>
        </w:rPr>
        <w:t xml:space="preserve"> proposed that in order to preserve the husband’s free choice, without surrendering the important tool of shaming, the shaming should start small, in terms of geography, and be expanded gradually.</w:t>
      </w:r>
      <w:r w:rsidR="00F255EE" w:rsidRPr="00C54C6D">
        <w:rPr>
          <w:rStyle w:val="a9"/>
          <w:lang w:bidi="he-IL"/>
        </w:rPr>
        <w:endnoteReference w:id="71"/>
      </w:r>
      <w:r w:rsidR="00F255EE" w:rsidRPr="00C54C6D">
        <w:rPr>
          <w:lang w:bidi="he-IL"/>
        </w:rPr>
        <w:t xml:space="preserve"> To begin with, the husband should be shamed where he lives. If he then moves somewhere else, he should first be allowed a free choice there. In this manner, every time he relocates to a place where he is not shunned, he has an opportunity to rethink his behavior. Rabbi </w:t>
      </w:r>
      <w:proofErr w:type="spellStart"/>
      <w:r w:rsidR="00F255EE" w:rsidRPr="00C54C6D">
        <w:rPr>
          <w:lang w:bidi="he-IL"/>
        </w:rPr>
        <w:t>Shlomo</w:t>
      </w:r>
      <w:proofErr w:type="spellEnd"/>
      <w:r w:rsidR="00F255EE" w:rsidRPr="00C54C6D">
        <w:rPr>
          <w:lang w:bidi="he-IL"/>
        </w:rPr>
        <w:t xml:space="preserve"> </w:t>
      </w:r>
      <w:proofErr w:type="spellStart"/>
      <w:r w:rsidR="00F255EE" w:rsidRPr="00C54C6D">
        <w:rPr>
          <w:lang w:bidi="he-IL"/>
        </w:rPr>
        <w:t>Dichovsky</w:t>
      </w:r>
      <w:proofErr w:type="spellEnd"/>
      <w:r w:rsidR="00F255EE" w:rsidRPr="00C54C6D">
        <w:rPr>
          <w:lang w:bidi="he-IL"/>
        </w:rPr>
        <w:t xml:space="preserve"> (a retired rabbinical judge and former director-general of the Israeli rabbinical courts) countered that this is not necessary. Shaming allows the man to retain his free choice even though the disgrace expands rapidly, because there will always be places to which he can escape where people will not know that he is supposed to be shunned.</w:t>
      </w:r>
      <w:r w:rsidR="00F255EE" w:rsidRPr="00C54C6D">
        <w:rPr>
          <w:rStyle w:val="a9"/>
          <w:lang w:bidi="he-IL"/>
        </w:rPr>
        <w:endnoteReference w:id="72"/>
      </w:r>
      <w:r w:rsidR="00F255EE" w:rsidRPr="00C54C6D">
        <w:rPr>
          <w:lang w:bidi="he-IL"/>
        </w:rPr>
        <w:t xml:space="preserve"> We can add that although shaming in geographical waves looks good on paper, it is impractical, because today it is difficult if not impossible to control the spread of information. Nevertheless, it may not be a bad idea to try it. Perhaps instead of expanding geographically, shaming can be cranked up step by step with regard to the information published. Shaming need not start with all the gory details. The first stage could simply be publicizing the court’s decision that the husband should grant a divorce. The full account of the circumstances and harsher shaming might be held back until after all lesser efforts have failed and the husband has already been sent to jail.</w:t>
      </w:r>
    </w:p>
    <w:p w14:paraId="0EF04750" w14:textId="77777777" w:rsidR="00B73434" w:rsidRPr="00250285" w:rsidRDefault="00B73434" w:rsidP="00B73434">
      <w:pPr>
        <w:pStyle w:val="a5"/>
        <w:jc w:val="both"/>
        <w:rPr>
          <w:rtl/>
        </w:rPr>
      </w:pPr>
      <w:r w:rsidRPr="00250285">
        <w:rPr>
          <w:rFonts w:hint="cs"/>
          <w:rtl/>
        </w:rPr>
        <w:t xml:space="preserve">שכן </w:t>
      </w:r>
      <w:proofErr w:type="spellStart"/>
      <w:r w:rsidRPr="00250285">
        <w:rPr>
          <w:rFonts w:hint="cs"/>
          <w:rtl/>
        </w:rPr>
        <w:t>השיימינג</w:t>
      </w:r>
      <w:proofErr w:type="spellEnd"/>
      <w:r w:rsidRPr="00250285">
        <w:rPr>
          <w:rFonts w:hint="cs"/>
          <w:rtl/>
        </w:rPr>
        <w:t xml:space="preserve"> נמשך במקרים לא מעטים, גם לאחר שהבעל כבר הוכנס לכלא מכוח כפיית גט. </w:t>
      </w:r>
    </w:p>
    <w:p w14:paraId="1D137806" w14:textId="5943A4FF" w:rsidR="00B73434" w:rsidRPr="004B4D10" w:rsidRDefault="004B4D10" w:rsidP="004B4D10">
      <w:pPr>
        <w:pStyle w:val="a5"/>
        <w:jc w:val="both"/>
        <w:rPr>
          <w:highlight w:val="cyan"/>
        </w:rPr>
      </w:pPr>
      <w:r>
        <w:rPr>
          <w:rFonts w:hint="cs"/>
          <w:rtl/>
        </w:rPr>
        <w:t xml:space="preserve">     </w:t>
      </w:r>
      <w:r w:rsidR="00B73434" w:rsidRPr="00250285">
        <w:rPr>
          <w:rFonts w:hint="cs"/>
          <w:rtl/>
        </w:rPr>
        <w:t xml:space="preserve">סוגיה נוספת שרלוונטית לשאלה האם </w:t>
      </w:r>
      <w:proofErr w:type="spellStart"/>
      <w:r w:rsidR="00B73434" w:rsidRPr="00250285">
        <w:rPr>
          <w:rFonts w:hint="cs"/>
          <w:rtl/>
        </w:rPr>
        <w:t>שיימינג</w:t>
      </w:r>
      <w:proofErr w:type="spellEnd"/>
      <w:r w:rsidR="00B73434" w:rsidRPr="00250285">
        <w:rPr>
          <w:rFonts w:hint="cs"/>
          <w:rtl/>
        </w:rPr>
        <w:t xml:space="preserve"> הוא אינטרפרטציה ראויה ל'הרחקות </w:t>
      </w:r>
      <w:proofErr w:type="spellStart"/>
      <w:r w:rsidR="00B73434" w:rsidRPr="00250285">
        <w:rPr>
          <w:rFonts w:hint="cs"/>
          <w:rtl/>
        </w:rPr>
        <w:t>דרבינו</w:t>
      </w:r>
      <w:proofErr w:type="spellEnd"/>
      <w:r w:rsidR="00B73434" w:rsidRPr="00250285">
        <w:rPr>
          <w:rFonts w:hint="cs"/>
          <w:rtl/>
        </w:rPr>
        <w:t xml:space="preserve"> תם' או שמא הוא חורג מהן ושייך לגדר כפיית גט? -נוגעת לביזיון הנגרם לסרבן כתוצאה מן </w:t>
      </w:r>
      <w:proofErr w:type="spellStart"/>
      <w:r w:rsidR="00B73434" w:rsidRPr="00250285">
        <w:rPr>
          <w:rFonts w:hint="cs"/>
          <w:rtl/>
        </w:rPr>
        <w:t>השיימינג</w:t>
      </w:r>
      <w:proofErr w:type="spellEnd"/>
      <w:r w:rsidR="00B73434" w:rsidRPr="00250285">
        <w:rPr>
          <w:rFonts w:hint="cs"/>
          <w:rtl/>
        </w:rPr>
        <w:t xml:space="preserve">. לפי הרב משה זילברמן, דיין וסגן מנהל בית דין באמריקה- השאלה אם ההרחקות מאפשרות ביזוי של הבעל </w:t>
      </w:r>
      <w:r w:rsidR="00B73434" w:rsidRPr="003034AB">
        <w:rPr>
          <w:rFonts w:hint="cs"/>
          <w:rtl/>
        </w:rPr>
        <w:t>או לאו, נוגעת, לבירור הגרסה הנכונה בדברי</w:t>
      </w:r>
      <w:r w:rsidR="00B73434" w:rsidRPr="00250285">
        <w:rPr>
          <w:rFonts w:hint="cs"/>
          <w:rtl/>
        </w:rPr>
        <w:t xml:space="preserve"> </w:t>
      </w:r>
      <w:proofErr w:type="spellStart"/>
      <w:r w:rsidR="00B73434" w:rsidRPr="00250285">
        <w:rPr>
          <w:rFonts w:hint="cs"/>
          <w:rtl/>
        </w:rPr>
        <w:t>הרשב"א</w:t>
      </w:r>
      <w:proofErr w:type="spellEnd"/>
      <w:r w:rsidR="00B73434" w:rsidRPr="00250285">
        <w:rPr>
          <w:rFonts w:hint="cs"/>
          <w:rtl/>
        </w:rPr>
        <w:t xml:space="preserve"> שבהן מוזכרות ההרחקות. על-פי גרס</w:t>
      </w:r>
      <w:r w:rsidR="00B73434">
        <w:rPr>
          <w:rFonts w:hint="cs"/>
          <w:rtl/>
        </w:rPr>
        <w:t xml:space="preserve">ה אחת בדברי </w:t>
      </w:r>
      <w:proofErr w:type="spellStart"/>
      <w:r w:rsidR="00B73434" w:rsidRPr="00250285">
        <w:rPr>
          <w:rFonts w:hint="cs"/>
          <w:rtl/>
        </w:rPr>
        <w:t>הרשב"א</w:t>
      </w:r>
      <w:proofErr w:type="spellEnd"/>
      <w:r w:rsidR="00B73434" w:rsidRPr="004A444B">
        <w:rPr>
          <w:rStyle w:val="af0"/>
          <w:rtl/>
        </w:rPr>
        <w:footnoteReference w:id="7"/>
      </w:r>
      <w:r w:rsidR="00B73434" w:rsidRPr="004A444B">
        <w:rPr>
          <w:rFonts w:hint="cs"/>
          <w:rtl/>
        </w:rPr>
        <w:t xml:space="preserve"> </w:t>
      </w:r>
      <w:r w:rsidR="00B73434" w:rsidRPr="00250285">
        <w:rPr>
          <w:rFonts w:hint="cs"/>
          <w:rtl/>
        </w:rPr>
        <w:t xml:space="preserve">כשנוקטים הרחקות </w:t>
      </w:r>
      <w:proofErr w:type="spellStart"/>
      <w:r w:rsidR="00B73434" w:rsidRPr="00250285">
        <w:rPr>
          <w:rFonts w:hint="cs"/>
          <w:rtl/>
        </w:rPr>
        <w:t>דרבינו</w:t>
      </w:r>
      <w:proofErr w:type="spellEnd"/>
      <w:r w:rsidR="00B73434" w:rsidRPr="00250285">
        <w:rPr>
          <w:rFonts w:hint="cs"/>
          <w:rtl/>
        </w:rPr>
        <w:t xml:space="preserve"> תם, "</w:t>
      </w:r>
      <w:proofErr w:type="spellStart"/>
      <w:r w:rsidR="00B73434" w:rsidRPr="00250285">
        <w:rPr>
          <w:rFonts w:hint="cs"/>
          <w:rtl/>
        </w:rPr>
        <w:t>יכולין</w:t>
      </w:r>
      <w:proofErr w:type="spellEnd"/>
      <w:r w:rsidR="00B73434" w:rsidRPr="00250285">
        <w:rPr>
          <w:rFonts w:hint="cs"/>
          <w:rtl/>
        </w:rPr>
        <w:t xml:space="preserve"> בית דין לאיים עליו בדברים בלבד שלא ינדוהו </w:t>
      </w:r>
      <w:r w:rsidR="00B73434" w:rsidRPr="003B1F5E">
        <w:rPr>
          <w:rFonts w:hint="cs"/>
          <w:b/>
          <w:bCs/>
          <w:rtl/>
        </w:rPr>
        <w:t>ולא יבזוהו</w:t>
      </w:r>
      <w:r w:rsidR="00B73434" w:rsidRPr="00250285">
        <w:rPr>
          <w:rFonts w:hint="cs"/>
          <w:rtl/>
        </w:rPr>
        <w:t xml:space="preserve"> ולא יצערו אותו בגופו" - </w:t>
      </w:r>
      <w:r w:rsidR="00B73434">
        <w:rPr>
          <w:rFonts w:hint="cs"/>
          <w:rtl/>
        </w:rPr>
        <w:t xml:space="preserve">נראה </w:t>
      </w:r>
      <w:proofErr w:type="spellStart"/>
      <w:r w:rsidR="00B73434">
        <w:rPr>
          <w:rFonts w:hint="cs"/>
          <w:rtl/>
        </w:rPr>
        <w:t>ששיימינג</w:t>
      </w:r>
      <w:proofErr w:type="spellEnd"/>
      <w:r w:rsidR="00B73434">
        <w:rPr>
          <w:rFonts w:hint="cs"/>
          <w:rtl/>
        </w:rPr>
        <w:t xml:space="preserve"> </w:t>
      </w:r>
      <w:r w:rsidR="00B73434" w:rsidRPr="00250285">
        <w:rPr>
          <w:rFonts w:hint="cs"/>
          <w:rtl/>
        </w:rPr>
        <w:t>חמור מהרחקות דרבנו תם בשל הב</w:t>
      </w:r>
      <w:r w:rsidR="00B73434">
        <w:rPr>
          <w:rFonts w:hint="cs"/>
          <w:rtl/>
        </w:rPr>
        <w:t>י</w:t>
      </w:r>
      <w:r w:rsidR="00B73434" w:rsidRPr="00250285">
        <w:rPr>
          <w:rFonts w:hint="cs"/>
          <w:rtl/>
        </w:rPr>
        <w:t>זיון הנגרם לבעל, ולא ניתן לנקוט אותו מכוחן. אב</w:t>
      </w:r>
      <w:r w:rsidR="00B73434">
        <w:rPr>
          <w:rFonts w:hint="cs"/>
          <w:rtl/>
        </w:rPr>
        <w:t xml:space="preserve">ל לפי </w:t>
      </w:r>
      <w:r w:rsidR="00B73434" w:rsidRPr="00250285">
        <w:rPr>
          <w:rFonts w:hint="cs"/>
          <w:rtl/>
        </w:rPr>
        <w:t xml:space="preserve">גרסה </w:t>
      </w:r>
      <w:r w:rsidR="00B73434">
        <w:rPr>
          <w:rFonts w:hint="cs"/>
          <w:rtl/>
        </w:rPr>
        <w:t xml:space="preserve">אחרת </w:t>
      </w:r>
      <w:r w:rsidR="00B73434" w:rsidRPr="00250285">
        <w:rPr>
          <w:rFonts w:hint="cs"/>
          <w:rtl/>
        </w:rPr>
        <w:t xml:space="preserve">בדברי </w:t>
      </w:r>
      <w:proofErr w:type="spellStart"/>
      <w:r w:rsidR="00B73434" w:rsidRPr="00250285">
        <w:rPr>
          <w:rFonts w:hint="cs"/>
          <w:rtl/>
        </w:rPr>
        <w:t>הרשב"א</w:t>
      </w:r>
      <w:proofErr w:type="spellEnd"/>
      <w:r w:rsidR="00A653A7">
        <w:rPr>
          <w:rStyle w:val="af0"/>
          <w:rtl/>
        </w:rPr>
        <w:footnoteReference w:id="8"/>
      </w:r>
      <w:r w:rsidR="00A653A7">
        <w:rPr>
          <w:rFonts w:hint="cs"/>
          <w:rtl/>
        </w:rPr>
        <w:t xml:space="preserve">- </w:t>
      </w:r>
      <w:r w:rsidR="00B73434">
        <w:rPr>
          <w:rFonts w:hint="cs"/>
          <w:rtl/>
        </w:rPr>
        <w:t>ה</w:t>
      </w:r>
      <w:r w:rsidR="00B73434" w:rsidRPr="00250285">
        <w:rPr>
          <w:rFonts w:hint="cs"/>
          <w:rtl/>
        </w:rPr>
        <w:t>ה</w:t>
      </w:r>
      <w:r w:rsidR="00B73434">
        <w:rPr>
          <w:rFonts w:hint="cs"/>
          <w:rtl/>
        </w:rPr>
        <w:t xml:space="preserve">רחקות </w:t>
      </w:r>
      <w:r w:rsidR="00B73434" w:rsidRPr="00250285">
        <w:rPr>
          <w:rFonts w:hint="cs"/>
          <w:rtl/>
        </w:rPr>
        <w:t>אינ</w:t>
      </w:r>
      <w:r w:rsidR="00B73434">
        <w:rPr>
          <w:rFonts w:hint="cs"/>
          <w:rtl/>
        </w:rPr>
        <w:t>ן</w:t>
      </w:r>
      <w:r w:rsidR="00B73434" w:rsidRPr="00250285">
        <w:rPr>
          <w:rFonts w:hint="cs"/>
          <w:rtl/>
        </w:rPr>
        <w:t xml:space="preserve"> כוללות אזהרה שלא לבזות את הבעל</w:t>
      </w:r>
      <w:r w:rsidR="00B73434">
        <w:rPr>
          <w:rFonts w:hint="cs"/>
          <w:rtl/>
        </w:rPr>
        <w:t xml:space="preserve"> אלא רק הוראה ש"</w:t>
      </w:r>
      <w:r w:rsidR="00B73434" w:rsidRPr="00250285">
        <w:rPr>
          <w:rFonts w:hint="cs"/>
          <w:rtl/>
        </w:rPr>
        <w:t>לא ינדה ולא יכה ולא יצער אותו בגופו ובממונו</w:t>
      </w:r>
      <w:r w:rsidR="00B73434">
        <w:rPr>
          <w:rFonts w:hint="cs"/>
          <w:rtl/>
        </w:rPr>
        <w:t xml:space="preserve">"- ואז </w:t>
      </w:r>
      <w:proofErr w:type="spellStart"/>
      <w:r w:rsidR="00B73434" w:rsidRPr="00250285">
        <w:rPr>
          <w:rFonts w:hint="cs"/>
          <w:rtl/>
        </w:rPr>
        <w:t>השיימינג</w:t>
      </w:r>
      <w:proofErr w:type="spellEnd"/>
      <w:r w:rsidR="00B73434" w:rsidRPr="00250285">
        <w:rPr>
          <w:rFonts w:hint="cs"/>
          <w:rtl/>
        </w:rPr>
        <w:t xml:space="preserve"> אפשרי</w:t>
      </w:r>
      <w:r w:rsidR="00B73434">
        <w:rPr>
          <w:rFonts w:hint="cs"/>
          <w:rtl/>
        </w:rPr>
        <w:t>.</w:t>
      </w:r>
      <w:r w:rsidR="00A653A7">
        <w:rPr>
          <w:rStyle w:val="af0"/>
          <w:rtl/>
        </w:rPr>
        <w:footnoteReference w:id="9"/>
      </w:r>
    </w:p>
    <w:p w14:paraId="5BBAC06A" w14:textId="77777777" w:rsidR="00F255EE" w:rsidRPr="00C54C6D" w:rsidRDefault="008966DF" w:rsidP="00F255EE">
      <w:pPr>
        <w:pStyle w:val="PB"/>
        <w:jc w:val="both"/>
        <w:rPr>
          <w:lang w:bidi="he-IL"/>
        </w:rPr>
      </w:pPr>
      <w:r>
        <w:rPr>
          <w:lang w:bidi="he-IL"/>
        </w:rPr>
        <w:t xml:space="preserve">   </w:t>
      </w:r>
      <w:r w:rsidR="00F255EE" w:rsidRPr="00C54C6D">
        <w:rPr>
          <w:lang w:bidi="he-IL"/>
        </w:rPr>
        <w:t xml:space="preserve">In sum, having traced the different interpretations of </w:t>
      </w:r>
      <w:proofErr w:type="spellStart"/>
      <w:r w:rsidR="00F255EE" w:rsidRPr="00C54C6D">
        <w:rPr>
          <w:lang w:bidi="he-IL"/>
        </w:rPr>
        <w:t>Rabbenu</w:t>
      </w:r>
      <w:proofErr w:type="spellEnd"/>
      <w:r w:rsidR="00F255EE" w:rsidRPr="00C54C6D">
        <w:rPr>
          <w:lang w:bidi="he-IL"/>
        </w:rPr>
        <w:t xml:space="preserve"> Tam’s Sa</w:t>
      </w:r>
      <w:r w:rsidR="00C479F7">
        <w:rPr>
          <w:lang w:bidi="he-IL"/>
        </w:rPr>
        <w:t>n</w:t>
      </w:r>
      <w:r w:rsidR="00F255EE" w:rsidRPr="00C54C6D">
        <w:rPr>
          <w:lang w:bidi="he-IL"/>
        </w:rPr>
        <w:t xml:space="preserve">ctions, we can say that the authorities’ accurate interpretation of the changes worked by time have produced important and effective sanctions to help women overcome recalcitrant husbands. It seems, however, that shaming requires additional thought. This could help us find modes of shaming that are appropriate to our day. It is the task of contemporary </w:t>
      </w:r>
      <w:r w:rsidR="00F255EE" w:rsidRPr="00C54C6D">
        <w:rPr>
          <w:lang w:bidi="he-IL"/>
        </w:rPr>
        <w:lastRenderedPageBreak/>
        <w:t>legal and rabbinic authorities to address this challenge. The many advantages and significant potential of shaming requires that they do so.</w:t>
      </w:r>
    </w:p>
    <w:p w14:paraId="26749453" w14:textId="77777777" w:rsidR="00F255EE" w:rsidRDefault="008966DF" w:rsidP="00F255EE">
      <w:pPr>
        <w:pStyle w:val="PB"/>
        <w:jc w:val="both"/>
        <w:rPr>
          <w:lang w:bidi="he-IL"/>
        </w:rPr>
      </w:pPr>
      <w:r>
        <w:rPr>
          <w:lang w:bidi="he-IL"/>
        </w:rPr>
        <w:t xml:space="preserve">   </w:t>
      </w:r>
      <w:r w:rsidR="00F255EE" w:rsidRPr="00C54C6D">
        <w:rPr>
          <w:lang w:bidi="he-IL"/>
        </w:rPr>
        <w:t xml:space="preserve">If we are talking about exegesis, the fact that Hebrew has adopted the English word “shaming” means that the two languages, taken together, fully express the substance of the process. The English word “shame” invokes the disgrace, while its homophony with the Hebrew </w:t>
      </w:r>
      <w:proofErr w:type="spellStart"/>
      <w:r w:rsidR="00F255EE" w:rsidRPr="00C54C6D">
        <w:rPr>
          <w:i/>
          <w:iCs/>
          <w:lang w:bidi="he-IL"/>
        </w:rPr>
        <w:t>sheim</w:t>
      </w:r>
      <w:proofErr w:type="spellEnd"/>
      <w:r w:rsidR="00F255EE" w:rsidRPr="00C54C6D">
        <w:rPr>
          <w:i/>
          <w:iCs/>
          <w:lang w:bidi="he-IL"/>
        </w:rPr>
        <w:t>,</w:t>
      </w:r>
      <w:r w:rsidR="00F255EE" w:rsidRPr="00C54C6D">
        <w:rPr>
          <w:lang w:bidi="he-IL"/>
        </w:rPr>
        <w:t xml:space="preserve"> which means “name,” emphasizes that the victim’s reputation is indelibly stained.</w:t>
      </w:r>
    </w:p>
    <w:p w14:paraId="59F27568" w14:textId="77777777" w:rsidR="00A418D2" w:rsidRDefault="00A418D2" w:rsidP="00536141">
      <w:pPr>
        <w:pStyle w:val="a7"/>
        <w:jc w:val="center"/>
        <w:rPr>
          <w:rFonts w:asciiTheme="majorBidi" w:hAnsiTheme="majorBidi" w:cstheme="majorBidi" w:hint="cs"/>
          <w:sz w:val="24"/>
          <w:szCs w:val="24"/>
          <w:u w:val="single"/>
        </w:rPr>
      </w:pPr>
    </w:p>
    <w:p w14:paraId="3CD6B230" w14:textId="77777777" w:rsidR="00536141" w:rsidRDefault="00536141" w:rsidP="00536141">
      <w:pPr>
        <w:pStyle w:val="a7"/>
        <w:jc w:val="center"/>
        <w:rPr>
          <w:rFonts w:asciiTheme="majorBidi" w:hAnsiTheme="majorBidi" w:cstheme="majorBidi"/>
          <w:sz w:val="24"/>
          <w:szCs w:val="24"/>
          <w:u w:val="single"/>
          <w:rtl/>
        </w:rPr>
      </w:pPr>
      <w:commentRangeStart w:id="33"/>
      <w:r w:rsidRPr="000643A2">
        <w:rPr>
          <w:rFonts w:asciiTheme="majorBidi" w:hAnsiTheme="majorBidi" w:cstheme="majorBidi"/>
          <w:sz w:val="24"/>
          <w:szCs w:val="24"/>
          <w:u w:val="single"/>
        </w:rPr>
        <w:t>Appendix</w:t>
      </w:r>
    </w:p>
    <w:p w14:paraId="0A9FE77E" w14:textId="693B4ACF" w:rsidR="00D927EF" w:rsidRDefault="00536141" w:rsidP="00D927EF">
      <w:pPr>
        <w:pStyle w:val="a7"/>
        <w:jc w:val="center"/>
        <w:rPr>
          <w:rFonts w:asciiTheme="majorBidi" w:hAnsiTheme="majorBidi" w:cstheme="majorBidi"/>
          <w:sz w:val="24"/>
          <w:szCs w:val="24"/>
          <w:rtl/>
        </w:rPr>
      </w:pPr>
      <w:r>
        <w:rPr>
          <w:rFonts w:asciiTheme="majorBidi" w:hAnsiTheme="majorBidi" w:cstheme="majorBidi" w:hint="cs"/>
          <w:sz w:val="24"/>
          <w:szCs w:val="24"/>
          <w:u w:val="single"/>
          <w:rtl/>
        </w:rPr>
        <w:t>חלקים מהרחקות דרבנו תם שאינם נוהגים היום</w:t>
      </w:r>
      <w:commentRangeEnd w:id="33"/>
      <w:r w:rsidR="006B136C">
        <w:rPr>
          <w:rStyle w:val="ac"/>
          <w:rtl/>
        </w:rPr>
        <w:commentReference w:id="33"/>
      </w:r>
      <w:r w:rsidR="003034AB">
        <w:rPr>
          <w:rFonts w:asciiTheme="majorBidi" w:hAnsiTheme="majorBidi" w:cstheme="majorBidi" w:hint="cs"/>
          <w:sz w:val="24"/>
          <w:szCs w:val="24"/>
          <w:rtl/>
        </w:rPr>
        <w:t xml:space="preserve"> בישראל</w:t>
      </w:r>
    </w:p>
    <w:p w14:paraId="22B1E528" w14:textId="27F2DF07" w:rsidR="004B4D10" w:rsidRPr="004B4D10" w:rsidRDefault="004B4D10" w:rsidP="004B4D10">
      <w:pPr>
        <w:pStyle w:val="a5"/>
        <w:rPr>
          <w:rFonts w:hint="cs"/>
          <w:rtl/>
        </w:rPr>
      </w:pPr>
      <w:r>
        <w:rPr>
          <w:rFonts w:hint="cs"/>
          <w:rtl/>
        </w:rPr>
        <w:t>הרחקות דרבנו תם כוללות סנקציות נוספות, כגון: עיכוב  קבורתו של הסרבן וקבורת קרוביו ועיכוב מילת ילדיו שאינן נוהגות כמעט בישראל בעת הזו.</w:t>
      </w:r>
    </w:p>
    <w:p w14:paraId="29DC754E" w14:textId="77777777" w:rsidR="00F6383B" w:rsidRDefault="00D927EF" w:rsidP="009B4A17">
      <w:pPr>
        <w:pStyle w:val="a7"/>
        <w:jc w:val="both"/>
        <w:rPr>
          <w:rFonts w:hint="cs"/>
          <w:sz w:val="24"/>
          <w:szCs w:val="24"/>
          <w:rtl/>
        </w:rPr>
      </w:pPr>
      <w:r w:rsidRPr="009B4A17">
        <w:rPr>
          <w:rFonts w:asciiTheme="majorBidi" w:hAnsiTheme="majorBidi" w:cstheme="majorBidi"/>
          <w:sz w:val="24"/>
          <w:szCs w:val="24"/>
        </w:rPr>
        <w:t xml:space="preserve">Rabbi Binyamin </w:t>
      </w:r>
      <w:proofErr w:type="spellStart"/>
      <w:r w:rsidRPr="009B4A17">
        <w:rPr>
          <w:rFonts w:asciiTheme="majorBidi" w:hAnsiTheme="majorBidi" w:cstheme="majorBidi"/>
          <w:sz w:val="24"/>
          <w:szCs w:val="24"/>
        </w:rPr>
        <w:t>Zeev</w:t>
      </w:r>
      <w:proofErr w:type="spellEnd"/>
      <w:r w:rsidRPr="009B4A17">
        <w:rPr>
          <w:rFonts w:asciiTheme="majorBidi" w:hAnsiTheme="majorBidi" w:cstheme="majorBidi"/>
          <w:sz w:val="24"/>
          <w:szCs w:val="24"/>
        </w:rPr>
        <w:t xml:space="preserve">, </w:t>
      </w:r>
      <w:r w:rsidR="00BC1F66" w:rsidRPr="009B4A17">
        <w:rPr>
          <w:rFonts w:asciiTheme="majorBidi" w:hAnsiTheme="majorBidi" w:cstheme="majorBidi"/>
          <w:sz w:val="24"/>
          <w:szCs w:val="24"/>
        </w:rPr>
        <w:t>(</w:t>
      </w:r>
      <w:r w:rsidRPr="009B4A17">
        <w:rPr>
          <w:rFonts w:asciiTheme="majorBidi" w:hAnsiTheme="majorBidi" w:cstheme="majorBidi"/>
          <w:sz w:val="24"/>
          <w:szCs w:val="24"/>
        </w:rPr>
        <w:t xml:space="preserve">Binyamin </w:t>
      </w:r>
      <w:proofErr w:type="spellStart"/>
      <w:r w:rsidRPr="009B4A17">
        <w:rPr>
          <w:rFonts w:asciiTheme="majorBidi" w:hAnsiTheme="majorBidi" w:cstheme="majorBidi"/>
          <w:sz w:val="24"/>
          <w:szCs w:val="24"/>
        </w:rPr>
        <w:t>Zeev</w:t>
      </w:r>
      <w:proofErr w:type="spellEnd"/>
      <w:r w:rsidRPr="009B4A17">
        <w:rPr>
          <w:rFonts w:asciiTheme="majorBidi" w:hAnsiTheme="majorBidi" w:cstheme="majorBidi"/>
          <w:sz w:val="24"/>
          <w:szCs w:val="24"/>
        </w:rPr>
        <w:t xml:space="preserve"> responsa, 88</w:t>
      </w:r>
      <w:r w:rsidR="00BC1F66" w:rsidRPr="009B4A17">
        <w:rPr>
          <w:rFonts w:asciiTheme="majorBidi" w:hAnsiTheme="majorBidi" w:cstheme="majorBidi"/>
          <w:sz w:val="24"/>
          <w:szCs w:val="24"/>
        </w:rPr>
        <w:t>)</w:t>
      </w:r>
      <w:r w:rsidRPr="009B4A17">
        <w:rPr>
          <w:rFonts w:asciiTheme="majorBidi" w:hAnsiTheme="majorBidi" w:cstheme="majorBidi"/>
          <w:sz w:val="24"/>
          <w:szCs w:val="24"/>
        </w:rPr>
        <w:t xml:space="preserve"> rules on the basis of an “Old Pamphlet in the name of </w:t>
      </w:r>
      <w:proofErr w:type="spellStart"/>
      <w:r w:rsidRPr="009B4A17">
        <w:rPr>
          <w:rFonts w:asciiTheme="majorBidi" w:hAnsiTheme="majorBidi" w:cstheme="majorBidi"/>
          <w:sz w:val="24"/>
          <w:szCs w:val="24"/>
        </w:rPr>
        <w:t>Rabbeinu</w:t>
      </w:r>
      <w:proofErr w:type="spellEnd"/>
      <w:r w:rsidRPr="009B4A17">
        <w:rPr>
          <w:rFonts w:asciiTheme="majorBidi" w:hAnsiTheme="majorBidi" w:cstheme="majorBidi"/>
          <w:sz w:val="24"/>
          <w:szCs w:val="24"/>
        </w:rPr>
        <w:t xml:space="preserve"> Yom Tov” that a husband who breaches the decision of rabbinic regulation and does not divorce his wife notwithstanding the obligation to do so, “is forced to divorce … as </w:t>
      </w:r>
      <w:proofErr w:type="spellStart"/>
      <w:r w:rsidRPr="009B4A17">
        <w:rPr>
          <w:rFonts w:asciiTheme="majorBidi" w:hAnsiTheme="majorBidi" w:cstheme="majorBidi"/>
          <w:sz w:val="24"/>
          <w:szCs w:val="24"/>
        </w:rPr>
        <w:t>Rabeinu</w:t>
      </w:r>
      <w:proofErr w:type="spellEnd"/>
      <w:r w:rsidRPr="009B4A17">
        <w:rPr>
          <w:rFonts w:asciiTheme="majorBidi" w:hAnsiTheme="majorBidi" w:cstheme="majorBidi"/>
          <w:sz w:val="24"/>
          <w:szCs w:val="24"/>
        </w:rPr>
        <w:t xml:space="preserve"> Tam ruled... They will not circumcise his son and not teach him Torah and not bury him if he does not divorce his wife.” Based on this the Rema rules in his comments on the Shulchan </w:t>
      </w:r>
      <w:proofErr w:type="spellStart"/>
      <w:r w:rsidRPr="009B4A17">
        <w:rPr>
          <w:rFonts w:asciiTheme="majorBidi" w:hAnsiTheme="majorBidi" w:cstheme="majorBidi"/>
          <w:sz w:val="24"/>
          <w:szCs w:val="24"/>
        </w:rPr>
        <w:t>Aruch</w:t>
      </w:r>
      <w:proofErr w:type="spellEnd"/>
      <w:r w:rsidRPr="009B4A17">
        <w:rPr>
          <w:rFonts w:asciiTheme="majorBidi" w:hAnsiTheme="majorBidi" w:cstheme="majorBidi"/>
          <w:sz w:val="24"/>
          <w:szCs w:val="24"/>
        </w:rPr>
        <w:t>, Even Ha-</w:t>
      </w:r>
      <w:proofErr w:type="spellStart"/>
      <w:r w:rsidRPr="009B4A17">
        <w:rPr>
          <w:rFonts w:asciiTheme="majorBidi" w:hAnsiTheme="majorBidi" w:cstheme="majorBidi"/>
          <w:sz w:val="24"/>
          <w:szCs w:val="24"/>
        </w:rPr>
        <w:t>Ezer</w:t>
      </w:r>
      <w:proofErr w:type="spellEnd"/>
      <w:r w:rsidRPr="009B4A17">
        <w:rPr>
          <w:rFonts w:asciiTheme="majorBidi" w:hAnsiTheme="majorBidi" w:cstheme="majorBidi"/>
          <w:sz w:val="24"/>
          <w:szCs w:val="24"/>
        </w:rPr>
        <w:t xml:space="preserve">, 154.21 that the RTDR can be implemented on a husband does not comply with the instruction of the Sages to grant an obligatory </w:t>
      </w:r>
      <w:r w:rsidRPr="009B4A17">
        <w:rPr>
          <w:rFonts w:asciiTheme="majorBidi" w:hAnsiTheme="majorBidi" w:cstheme="majorBidi"/>
          <w:i/>
          <w:iCs/>
          <w:sz w:val="24"/>
          <w:szCs w:val="24"/>
        </w:rPr>
        <w:t xml:space="preserve">get.  </w:t>
      </w:r>
      <w:r w:rsidRPr="009B4A17">
        <w:rPr>
          <w:rFonts w:asciiTheme="majorBidi" w:hAnsiTheme="majorBidi" w:cstheme="majorBidi"/>
          <w:sz w:val="24"/>
          <w:szCs w:val="24"/>
        </w:rPr>
        <w:t xml:space="preserve">The court can impose the decree on all of Israel not to grant him any advantages/favors with him </w:t>
      </w:r>
      <w:r w:rsidRPr="009B4A17">
        <w:rPr>
          <w:rFonts w:asciiTheme="majorBidi" w:hAnsiTheme="majorBidi" w:cstheme="majorBidi"/>
          <w:i/>
          <w:iCs/>
          <w:sz w:val="24"/>
          <w:szCs w:val="24"/>
        </w:rPr>
        <w:t>or circumcise his son or bury him, until he divorces.</w:t>
      </w:r>
      <w:r w:rsidR="00E30D5A" w:rsidRPr="009B4A17">
        <w:rPr>
          <w:sz w:val="24"/>
          <w:szCs w:val="24"/>
        </w:rPr>
        <w:t xml:space="preserve"> </w:t>
      </w:r>
    </w:p>
    <w:p w14:paraId="1A3EE133" w14:textId="64CF0D80" w:rsidR="00E30D5A" w:rsidRDefault="00F6383B" w:rsidP="003749AD">
      <w:pPr>
        <w:pStyle w:val="a7"/>
        <w:jc w:val="both"/>
        <w:rPr>
          <w:rFonts w:asciiTheme="majorBidi" w:hAnsiTheme="majorBidi" w:cstheme="majorBidi"/>
          <w:sz w:val="24"/>
          <w:szCs w:val="24"/>
          <w:rtl/>
        </w:rPr>
      </w:pPr>
      <w:r w:rsidRPr="00F6383B">
        <w:rPr>
          <w:rFonts w:asciiTheme="majorBidi" w:hAnsiTheme="majorBidi" w:cstheme="majorBidi"/>
          <w:sz w:val="24"/>
          <w:szCs w:val="24"/>
        </w:rPr>
        <w:t xml:space="preserve">           </w:t>
      </w:r>
      <w:r w:rsidR="00E30D5A" w:rsidRPr="00F6383B">
        <w:rPr>
          <w:rFonts w:asciiTheme="majorBidi" w:hAnsiTheme="majorBidi" w:cstheme="majorBidi"/>
          <w:sz w:val="24"/>
          <w:szCs w:val="24"/>
        </w:rPr>
        <w:t xml:space="preserve">These measures can be adopted on the grounds, as noted earlier, that he breached a ruling or regulation decreed by the Sages as learned from the </w:t>
      </w:r>
      <w:proofErr w:type="spellStart"/>
      <w:r w:rsidR="00E30D5A" w:rsidRPr="00F6383B">
        <w:rPr>
          <w:rFonts w:asciiTheme="majorBidi" w:hAnsiTheme="majorBidi" w:cstheme="majorBidi"/>
          <w:sz w:val="24"/>
          <w:szCs w:val="24"/>
        </w:rPr>
        <w:t>Nimukei</w:t>
      </w:r>
      <w:proofErr w:type="spellEnd"/>
      <w:r w:rsidR="00E30D5A" w:rsidRPr="00F6383B">
        <w:rPr>
          <w:rFonts w:asciiTheme="majorBidi" w:hAnsiTheme="majorBidi" w:cstheme="majorBidi"/>
          <w:sz w:val="24"/>
          <w:szCs w:val="24"/>
        </w:rPr>
        <w:t xml:space="preserve"> Yosef on </w:t>
      </w:r>
      <w:proofErr w:type="spellStart"/>
      <w:r w:rsidR="00E30D5A" w:rsidRPr="00F6383B">
        <w:rPr>
          <w:rFonts w:asciiTheme="majorBidi" w:hAnsiTheme="majorBidi" w:cstheme="majorBidi"/>
          <w:sz w:val="24"/>
          <w:szCs w:val="24"/>
        </w:rPr>
        <w:t>Bava</w:t>
      </w:r>
      <w:proofErr w:type="spellEnd"/>
      <w:r w:rsidR="00E30D5A" w:rsidRPr="00F6383B">
        <w:rPr>
          <w:rFonts w:asciiTheme="majorBidi" w:hAnsiTheme="majorBidi" w:cstheme="majorBidi"/>
          <w:sz w:val="24"/>
          <w:szCs w:val="24"/>
        </w:rPr>
        <w:t xml:space="preserve"> Kama (</w:t>
      </w:r>
      <w:proofErr w:type="spellStart"/>
      <w:r w:rsidR="00E30D5A" w:rsidRPr="00F6383B">
        <w:rPr>
          <w:rFonts w:asciiTheme="majorBidi" w:hAnsiTheme="majorBidi" w:cstheme="majorBidi"/>
          <w:sz w:val="24"/>
          <w:szCs w:val="24"/>
        </w:rPr>
        <w:t>ch.</w:t>
      </w:r>
      <w:proofErr w:type="spellEnd"/>
      <w:r w:rsidR="00E30D5A" w:rsidRPr="00F6383B">
        <w:rPr>
          <w:rFonts w:asciiTheme="majorBidi" w:hAnsiTheme="majorBidi" w:cstheme="majorBidi"/>
          <w:sz w:val="24"/>
          <w:szCs w:val="24"/>
        </w:rPr>
        <w:t xml:space="preserve"> </w:t>
      </w:r>
      <w:proofErr w:type="spellStart"/>
      <w:r w:rsidR="00E30D5A" w:rsidRPr="00F6383B">
        <w:rPr>
          <w:rFonts w:asciiTheme="majorBidi" w:hAnsiTheme="majorBidi" w:cstheme="majorBidi"/>
          <w:sz w:val="24"/>
          <w:szCs w:val="24"/>
        </w:rPr>
        <w:t>Hagozel</w:t>
      </w:r>
      <w:proofErr w:type="spellEnd"/>
      <w:r w:rsidR="00E30D5A" w:rsidRPr="00F6383B">
        <w:rPr>
          <w:rFonts w:asciiTheme="majorBidi" w:hAnsiTheme="majorBidi" w:cstheme="majorBidi"/>
          <w:sz w:val="24"/>
          <w:szCs w:val="24"/>
        </w:rPr>
        <w:t xml:space="preserve"> </w:t>
      </w:r>
      <w:proofErr w:type="spellStart"/>
      <w:r w:rsidR="00E30D5A" w:rsidRPr="00F6383B">
        <w:rPr>
          <w:rFonts w:asciiTheme="majorBidi" w:hAnsiTheme="majorBidi" w:cstheme="majorBidi"/>
          <w:sz w:val="24"/>
          <w:szCs w:val="24"/>
        </w:rPr>
        <w:t>Uma’achil</w:t>
      </w:r>
      <w:proofErr w:type="spellEnd"/>
      <w:r w:rsidR="00E30D5A" w:rsidRPr="00F6383B">
        <w:rPr>
          <w:rFonts w:asciiTheme="majorBidi" w:hAnsiTheme="majorBidi" w:cstheme="majorBidi"/>
          <w:sz w:val="24"/>
          <w:szCs w:val="24"/>
        </w:rPr>
        <w:t xml:space="preserve">, 4.2)  in the opening, where the Rif is presented in the name of </w:t>
      </w:r>
      <w:proofErr w:type="spellStart"/>
      <w:r w:rsidR="00E30D5A" w:rsidRPr="00471BD6">
        <w:rPr>
          <w:rFonts w:asciiTheme="majorBidi" w:hAnsiTheme="majorBidi" w:cstheme="majorBidi"/>
          <w:sz w:val="24"/>
          <w:szCs w:val="24"/>
        </w:rPr>
        <w:t>Rav</w:t>
      </w:r>
      <w:proofErr w:type="spellEnd"/>
      <w:r w:rsidR="00E30D5A" w:rsidRPr="00471BD6">
        <w:rPr>
          <w:rFonts w:asciiTheme="majorBidi" w:hAnsiTheme="majorBidi" w:cstheme="majorBidi"/>
          <w:sz w:val="24"/>
          <w:szCs w:val="24"/>
        </w:rPr>
        <w:t xml:space="preserve"> </w:t>
      </w:r>
      <w:proofErr w:type="spellStart"/>
      <w:r w:rsidR="00E30D5A" w:rsidRPr="00471BD6">
        <w:rPr>
          <w:rFonts w:asciiTheme="majorBidi" w:hAnsiTheme="majorBidi" w:cstheme="majorBidi"/>
          <w:sz w:val="24"/>
          <w:szCs w:val="24"/>
        </w:rPr>
        <w:t>Paltoi</w:t>
      </w:r>
      <w:proofErr w:type="spellEnd"/>
      <w:r w:rsidR="00E30D5A" w:rsidRPr="00471BD6">
        <w:rPr>
          <w:rFonts w:asciiTheme="majorBidi" w:hAnsiTheme="majorBidi" w:cstheme="majorBidi"/>
          <w:sz w:val="24"/>
          <w:szCs w:val="24"/>
        </w:rPr>
        <w:t xml:space="preserve"> Gaon:</w:t>
      </w:r>
      <w:r w:rsidR="00E30D5A" w:rsidRPr="00F6383B">
        <w:rPr>
          <w:rFonts w:asciiTheme="majorBidi" w:hAnsiTheme="majorBidi" w:cstheme="majorBidi"/>
          <w:sz w:val="24"/>
          <w:szCs w:val="24"/>
        </w:rPr>
        <w:t xml:space="preserve"> “That a man who was found liable in judgment and refuses to comply,  and violates the rabbinic court’s decree, Jewish communities are written to [in the following manner]: So and so was found liable in judgment and refused to comply, and we have excommunicated him, so he not pray in ten or dine in three, and you may not circumcise his son or bury his dead, and you should remove his sons from school, and not teach them Torah, etc. until he accepts judgment</w:t>
      </w:r>
      <w:r w:rsidR="00F25328">
        <w:rPr>
          <w:rFonts w:asciiTheme="majorBidi" w:hAnsiTheme="majorBidi" w:cstheme="majorBidi"/>
          <w:sz w:val="24"/>
          <w:szCs w:val="24"/>
        </w:rPr>
        <w:t>.</w:t>
      </w:r>
      <w:r w:rsidR="00D927EF" w:rsidRPr="00F6383B">
        <w:rPr>
          <w:rFonts w:asciiTheme="majorBidi" w:hAnsiTheme="majorBidi" w:cstheme="majorBidi"/>
          <w:i/>
          <w:iCs/>
          <w:sz w:val="24"/>
          <w:szCs w:val="24"/>
        </w:rPr>
        <w:t>”</w:t>
      </w:r>
    </w:p>
    <w:p w14:paraId="42DBD38B" w14:textId="005D4965" w:rsidR="003749AD" w:rsidRDefault="003749AD" w:rsidP="003749AD">
      <w:pPr>
        <w:pStyle w:val="a7"/>
        <w:jc w:val="right"/>
        <w:rPr>
          <w:rFonts w:asciiTheme="majorBidi" w:hAnsiTheme="majorBidi" w:cstheme="majorBidi"/>
          <w:sz w:val="24"/>
          <w:szCs w:val="24"/>
        </w:rPr>
      </w:pPr>
      <w:r w:rsidRPr="00BC1B78">
        <w:rPr>
          <w:rFonts w:asciiTheme="majorBidi" w:hAnsiTheme="majorBidi" w:cstheme="majorBidi"/>
          <w:sz w:val="24"/>
          <w:szCs w:val="24"/>
          <w:highlight w:val="yellow"/>
        </w:rPr>
        <w:t xml:space="preserve">      </w:t>
      </w:r>
      <w:r w:rsidRPr="00BC1B78">
        <w:rPr>
          <w:rFonts w:asciiTheme="majorBidi" w:hAnsiTheme="majorBidi" w:cstheme="majorBidi"/>
          <w:sz w:val="24"/>
          <w:szCs w:val="24"/>
        </w:rPr>
        <w:t xml:space="preserve"> </w:t>
      </w:r>
      <w:r w:rsidR="00D927EF" w:rsidRPr="00BC1B78">
        <w:rPr>
          <w:rFonts w:asciiTheme="majorBidi" w:hAnsiTheme="majorBidi" w:cstheme="majorBidi"/>
          <w:sz w:val="24"/>
          <w:szCs w:val="24"/>
          <w:highlight w:val="yellow"/>
        </w:rPr>
        <w:t xml:space="preserve">This responsum of </w:t>
      </w:r>
      <w:proofErr w:type="spellStart"/>
      <w:r w:rsidR="00D927EF" w:rsidRPr="00BC1B78">
        <w:rPr>
          <w:rFonts w:asciiTheme="majorBidi" w:hAnsiTheme="majorBidi" w:cstheme="majorBidi"/>
          <w:sz w:val="24"/>
          <w:szCs w:val="24"/>
          <w:highlight w:val="yellow"/>
        </w:rPr>
        <w:t>Rav</w:t>
      </w:r>
      <w:proofErr w:type="spellEnd"/>
      <w:r w:rsidR="00D927EF" w:rsidRPr="00BC1B78">
        <w:rPr>
          <w:rFonts w:asciiTheme="majorBidi" w:hAnsiTheme="majorBidi" w:cstheme="majorBidi"/>
          <w:sz w:val="24"/>
          <w:szCs w:val="24"/>
          <w:highlight w:val="yellow"/>
        </w:rPr>
        <w:t xml:space="preserve"> </w:t>
      </w:r>
      <w:proofErr w:type="spellStart"/>
      <w:r w:rsidR="00D927EF" w:rsidRPr="00BC1B78">
        <w:rPr>
          <w:rFonts w:asciiTheme="majorBidi" w:hAnsiTheme="majorBidi" w:cstheme="majorBidi"/>
          <w:sz w:val="24"/>
          <w:szCs w:val="24"/>
          <w:highlight w:val="yellow"/>
        </w:rPr>
        <w:t>Paltoi</w:t>
      </w:r>
      <w:proofErr w:type="spellEnd"/>
      <w:r w:rsidR="00D927EF" w:rsidRPr="00BC1B78">
        <w:rPr>
          <w:rFonts w:asciiTheme="majorBidi" w:hAnsiTheme="majorBidi" w:cstheme="majorBidi"/>
          <w:sz w:val="24"/>
          <w:szCs w:val="24"/>
          <w:highlight w:val="yellow"/>
        </w:rPr>
        <w:t xml:space="preserve"> Gaon is mentioned (according to Rabbi </w:t>
      </w:r>
      <w:proofErr w:type="spellStart"/>
      <w:r w:rsidR="00D927EF" w:rsidRPr="00BC1B78">
        <w:rPr>
          <w:rFonts w:asciiTheme="majorBidi" w:hAnsiTheme="majorBidi" w:cstheme="majorBidi"/>
          <w:sz w:val="24"/>
          <w:szCs w:val="24"/>
          <w:highlight w:val="yellow"/>
        </w:rPr>
        <w:t>Ovadiah</w:t>
      </w:r>
      <w:proofErr w:type="spellEnd"/>
      <w:r w:rsidR="00D927EF" w:rsidRPr="00BC1B78">
        <w:rPr>
          <w:rFonts w:asciiTheme="majorBidi" w:hAnsiTheme="majorBidi" w:cstheme="majorBidi"/>
          <w:sz w:val="24"/>
          <w:szCs w:val="24"/>
          <w:highlight w:val="yellow"/>
        </w:rPr>
        <w:t xml:space="preserve"> Yosef, </w:t>
      </w:r>
      <w:proofErr w:type="spellStart"/>
      <w:r w:rsidR="00D927EF" w:rsidRPr="00BC1B78">
        <w:rPr>
          <w:rFonts w:asciiTheme="majorBidi" w:hAnsiTheme="majorBidi" w:cstheme="majorBidi"/>
          <w:sz w:val="24"/>
          <w:szCs w:val="24"/>
          <w:highlight w:val="yellow"/>
        </w:rPr>
        <w:t>Yabi’a</w:t>
      </w:r>
      <w:proofErr w:type="spellEnd"/>
      <w:r w:rsidR="00D927EF" w:rsidRPr="00BC1B78">
        <w:rPr>
          <w:rFonts w:asciiTheme="majorBidi" w:hAnsiTheme="majorBidi" w:cstheme="majorBidi"/>
          <w:sz w:val="24"/>
          <w:szCs w:val="24"/>
          <w:highlight w:val="yellow"/>
        </w:rPr>
        <w:t xml:space="preserve"> Omer Responsa, Even Ha-</w:t>
      </w:r>
      <w:proofErr w:type="spellStart"/>
      <w:r w:rsidR="00D927EF" w:rsidRPr="00BC1B78">
        <w:rPr>
          <w:rFonts w:asciiTheme="majorBidi" w:hAnsiTheme="majorBidi" w:cstheme="majorBidi"/>
          <w:sz w:val="24"/>
          <w:szCs w:val="24"/>
          <w:highlight w:val="yellow"/>
        </w:rPr>
        <w:t>Ezer</w:t>
      </w:r>
      <w:proofErr w:type="spellEnd"/>
      <w:r w:rsidR="00D927EF" w:rsidRPr="00BC1B78">
        <w:rPr>
          <w:rFonts w:asciiTheme="majorBidi" w:hAnsiTheme="majorBidi" w:cstheme="majorBidi"/>
          <w:sz w:val="24"/>
          <w:szCs w:val="24"/>
          <w:highlight w:val="yellow"/>
        </w:rPr>
        <w:t>, 25) in the old Geonim responsa (</w:t>
      </w:r>
      <w:proofErr w:type="spellStart"/>
      <w:r w:rsidR="00D927EF" w:rsidRPr="00BC1B78">
        <w:rPr>
          <w:rFonts w:asciiTheme="majorBidi" w:hAnsiTheme="majorBidi" w:cstheme="majorBidi"/>
          <w:sz w:val="24"/>
          <w:szCs w:val="24"/>
          <w:highlight w:val="yellow"/>
        </w:rPr>
        <w:t>Mantoba</w:t>
      </w:r>
      <w:proofErr w:type="spellEnd"/>
      <w:r w:rsidR="00D927EF" w:rsidRPr="00BC1B78">
        <w:rPr>
          <w:rFonts w:asciiTheme="majorBidi" w:hAnsiTheme="majorBidi" w:cstheme="majorBidi"/>
          <w:sz w:val="24"/>
          <w:szCs w:val="24"/>
          <w:highlight w:val="yellow"/>
        </w:rPr>
        <w:t xml:space="preserve"> press, 41), in </w:t>
      </w:r>
      <w:proofErr w:type="spellStart"/>
      <w:r w:rsidR="00D927EF" w:rsidRPr="00BC1B78">
        <w:rPr>
          <w:rFonts w:asciiTheme="majorBidi" w:hAnsiTheme="majorBidi" w:cstheme="majorBidi"/>
          <w:sz w:val="24"/>
          <w:szCs w:val="24"/>
          <w:highlight w:val="yellow"/>
        </w:rPr>
        <w:t>Hageonim</w:t>
      </w:r>
      <w:proofErr w:type="spellEnd"/>
      <w:r w:rsidR="00D927EF" w:rsidRPr="00BC1B78">
        <w:rPr>
          <w:rFonts w:asciiTheme="majorBidi" w:hAnsiTheme="majorBidi" w:cstheme="majorBidi"/>
          <w:sz w:val="24"/>
          <w:szCs w:val="24"/>
          <w:highlight w:val="yellow"/>
        </w:rPr>
        <w:t xml:space="preserve"> </w:t>
      </w:r>
      <w:proofErr w:type="spellStart"/>
      <w:r w:rsidR="00D927EF" w:rsidRPr="00BC1B78">
        <w:rPr>
          <w:rFonts w:asciiTheme="majorBidi" w:hAnsiTheme="majorBidi" w:cstheme="majorBidi"/>
          <w:sz w:val="24"/>
          <w:szCs w:val="24"/>
          <w:highlight w:val="yellow"/>
        </w:rPr>
        <w:t>Shaarei</w:t>
      </w:r>
      <w:proofErr w:type="spellEnd"/>
      <w:r w:rsidR="00D927EF" w:rsidRPr="00BC1B78">
        <w:rPr>
          <w:rFonts w:asciiTheme="majorBidi" w:hAnsiTheme="majorBidi" w:cstheme="majorBidi"/>
          <w:sz w:val="24"/>
          <w:szCs w:val="24"/>
          <w:highlight w:val="yellow"/>
        </w:rPr>
        <w:t xml:space="preserve"> Tzedek responsa (4.14, 75a), in </w:t>
      </w:r>
      <w:proofErr w:type="spellStart"/>
      <w:r w:rsidR="00D927EF" w:rsidRPr="00BC1B78">
        <w:rPr>
          <w:rFonts w:asciiTheme="majorBidi" w:hAnsiTheme="majorBidi" w:cstheme="majorBidi"/>
          <w:sz w:val="24"/>
          <w:szCs w:val="24"/>
          <w:highlight w:val="yellow"/>
        </w:rPr>
        <w:t>Hageonim</w:t>
      </w:r>
      <w:proofErr w:type="spellEnd"/>
      <w:r w:rsidR="00D927EF" w:rsidRPr="00BC1B78">
        <w:rPr>
          <w:rFonts w:asciiTheme="majorBidi" w:hAnsiTheme="majorBidi" w:cstheme="majorBidi"/>
          <w:sz w:val="24"/>
          <w:szCs w:val="24"/>
          <w:highlight w:val="yellow"/>
        </w:rPr>
        <w:t xml:space="preserve"> responsa (</w:t>
      </w:r>
      <w:proofErr w:type="spellStart"/>
      <w:r w:rsidR="00D927EF" w:rsidRPr="00BC1B78">
        <w:rPr>
          <w:rFonts w:asciiTheme="majorBidi" w:hAnsiTheme="majorBidi" w:cstheme="majorBidi"/>
          <w:sz w:val="24"/>
          <w:szCs w:val="24"/>
          <w:highlight w:val="yellow"/>
        </w:rPr>
        <w:t>Musafiya</w:t>
      </w:r>
      <w:proofErr w:type="spellEnd"/>
      <w:r w:rsidR="00D927EF" w:rsidRPr="00BC1B78">
        <w:rPr>
          <w:rFonts w:asciiTheme="majorBidi" w:hAnsiTheme="majorBidi" w:cstheme="majorBidi"/>
          <w:sz w:val="24"/>
          <w:szCs w:val="24"/>
          <w:highlight w:val="yellow"/>
        </w:rPr>
        <w:t xml:space="preserve">, 10), in </w:t>
      </w:r>
      <w:proofErr w:type="spellStart"/>
      <w:r w:rsidR="00D927EF" w:rsidRPr="00BC1B78">
        <w:rPr>
          <w:rFonts w:asciiTheme="majorBidi" w:hAnsiTheme="majorBidi" w:cstheme="majorBidi"/>
          <w:sz w:val="24"/>
          <w:szCs w:val="24"/>
          <w:highlight w:val="yellow"/>
        </w:rPr>
        <w:t>Orchot</w:t>
      </w:r>
      <w:proofErr w:type="spellEnd"/>
      <w:r w:rsidR="00D927EF" w:rsidRPr="00BC1B78">
        <w:rPr>
          <w:rFonts w:asciiTheme="majorBidi" w:hAnsiTheme="majorBidi" w:cstheme="majorBidi"/>
          <w:sz w:val="24"/>
          <w:szCs w:val="24"/>
          <w:highlight w:val="yellow"/>
        </w:rPr>
        <w:t xml:space="preserve"> Haim, 2 (</w:t>
      </w:r>
      <w:proofErr w:type="spellStart"/>
      <w:r w:rsidR="00D927EF" w:rsidRPr="00BC1B78">
        <w:rPr>
          <w:rFonts w:asciiTheme="majorBidi" w:hAnsiTheme="majorBidi" w:cstheme="majorBidi"/>
          <w:sz w:val="24"/>
          <w:szCs w:val="24"/>
          <w:highlight w:val="yellow"/>
        </w:rPr>
        <w:t>Hilchot</w:t>
      </w:r>
      <w:proofErr w:type="spellEnd"/>
      <w:r w:rsidR="00D927EF" w:rsidRPr="00BC1B78">
        <w:rPr>
          <w:rFonts w:asciiTheme="majorBidi" w:hAnsiTheme="majorBidi" w:cstheme="majorBidi"/>
          <w:sz w:val="24"/>
          <w:szCs w:val="24"/>
          <w:highlight w:val="yellow"/>
        </w:rPr>
        <w:t xml:space="preserve"> </w:t>
      </w:r>
      <w:proofErr w:type="spellStart"/>
      <w:r w:rsidR="00D927EF" w:rsidRPr="00BC1B78">
        <w:rPr>
          <w:rFonts w:asciiTheme="majorBidi" w:hAnsiTheme="majorBidi" w:cstheme="majorBidi"/>
          <w:sz w:val="24"/>
          <w:szCs w:val="24"/>
          <w:highlight w:val="yellow"/>
        </w:rPr>
        <w:t>Shevu’ot</w:t>
      </w:r>
      <w:proofErr w:type="spellEnd"/>
      <w:r w:rsidR="00D927EF" w:rsidRPr="00BC1B78">
        <w:rPr>
          <w:rFonts w:asciiTheme="majorBidi" w:hAnsiTheme="majorBidi" w:cstheme="majorBidi"/>
          <w:sz w:val="24"/>
          <w:szCs w:val="24"/>
          <w:highlight w:val="yellow"/>
        </w:rPr>
        <w:t xml:space="preserve">, 17, 504). </w:t>
      </w:r>
    </w:p>
    <w:p w14:paraId="15D54A89" w14:textId="77777777" w:rsidR="00C422B0" w:rsidRPr="003749AD" w:rsidRDefault="00C422B0" w:rsidP="003749AD">
      <w:pPr>
        <w:pStyle w:val="a7"/>
        <w:jc w:val="right"/>
        <w:rPr>
          <w:rFonts w:asciiTheme="majorBidi" w:hAnsiTheme="majorBidi" w:cstheme="majorBidi" w:hint="cs"/>
          <w:sz w:val="24"/>
          <w:szCs w:val="24"/>
        </w:rPr>
      </w:pPr>
    </w:p>
    <w:p w14:paraId="537CA3F1" w14:textId="0CF2AEAF" w:rsidR="00536141" w:rsidRPr="00423209" w:rsidRDefault="003749AD" w:rsidP="00437137">
      <w:pPr>
        <w:pStyle w:val="PB"/>
        <w:jc w:val="both"/>
        <w:rPr>
          <w:highlight w:val="yellow"/>
          <w:lang w:bidi="he-IL"/>
        </w:rPr>
      </w:pPr>
      <w:r>
        <w:rPr>
          <w:lang w:bidi="he-IL"/>
        </w:rPr>
        <w:t xml:space="preserve">      </w:t>
      </w:r>
      <w:r w:rsidR="00536141">
        <w:rPr>
          <w:lang w:bidi="he-IL"/>
        </w:rPr>
        <w:t xml:space="preserve">Notwithstanding the capacity to impose the measures on a recalcitrant husband, Rabbi </w:t>
      </w:r>
      <w:proofErr w:type="spellStart"/>
      <w:r w:rsidR="00536141">
        <w:rPr>
          <w:lang w:bidi="he-IL"/>
        </w:rPr>
        <w:t>Ovadiah</w:t>
      </w:r>
      <w:proofErr w:type="spellEnd"/>
      <w:r w:rsidR="00536141">
        <w:rPr>
          <w:lang w:bidi="he-IL"/>
        </w:rPr>
        <w:t xml:space="preserve"> Yosef ruled in </w:t>
      </w:r>
      <w:proofErr w:type="spellStart"/>
      <w:r w:rsidR="00536141">
        <w:rPr>
          <w:lang w:bidi="he-IL"/>
        </w:rPr>
        <w:t>Yabi’a</w:t>
      </w:r>
      <w:proofErr w:type="spellEnd"/>
      <w:r w:rsidR="00536141">
        <w:rPr>
          <w:lang w:bidi="he-IL"/>
        </w:rPr>
        <w:t xml:space="preserve"> Omer Responsa, 8, Even Ha-</w:t>
      </w:r>
      <w:proofErr w:type="spellStart"/>
      <w:r w:rsidR="00536141">
        <w:rPr>
          <w:lang w:bidi="he-IL"/>
        </w:rPr>
        <w:t>Ezer</w:t>
      </w:r>
      <w:proofErr w:type="spellEnd"/>
      <w:r w:rsidR="00536141">
        <w:rPr>
          <w:lang w:bidi="he-IL"/>
        </w:rPr>
        <w:t xml:space="preserve">, 25 that one should not remove the sons of the refuser from school in our day or avoid burying his sons or circumcising them, for two main reasons: a) These measures are perceived as strange acts in our times; b) as in </w:t>
      </w:r>
      <w:proofErr w:type="spellStart"/>
      <w:r w:rsidR="00536141">
        <w:rPr>
          <w:lang w:bidi="he-IL"/>
        </w:rPr>
        <w:t>Rivash’s</w:t>
      </w:r>
      <w:proofErr w:type="spellEnd"/>
      <w:r w:rsidR="00536141">
        <w:rPr>
          <w:lang w:bidi="he-IL"/>
        </w:rPr>
        <w:t xml:space="preserve"> response, 173 adopting these measures is only possible in cases where decrees of the Geonim were not complied with, since owing to their status, breaching their words was akin to breaching the words of the Sanhedrin while refrain from complying with contemporary rabbinic courts is not attributed the same degree of severity, and therefor does not accommodate these drastic measures</w:t>
      </w:r>
      <w:r w:rsidR="00536141" w:rsidRPr="0074119B">
        <w:rPr>
          <w:lang w:bidi="he-IL"/>
        </w:rPr>
        <w:t>.  In contrast, non-compliance with rulings of contemporary rabbinic courts is not considered similarly severe and does not allow taking such dramatic steps</w:t>
      </w:r>
      <w:r w:rsidR="00536141" w:rsidRPr="00E46968">
        <w:rPr>
          <w:lang w:bidi="he-IL"/>
        </w:rPr>
        <w:t xml:space="preserve"> </w:t>
      </w:r>
      <w:r w:rsidR="00536141">
        <w:rPr>
          <w:lang w:bidi="he-IL"/>
        </w:rPr>
        <w:t>"</w:t>
      </w:r>
      <w:r w:rsidR="00536141" w:rsidRPr="00E46968">
        <w:rPr>
          <w:lang w:bidi="he-IL"/>
        </w:rPr>
        <w:t>our banning is as their rebuke</w:t>
      </w:r>
      <w:r w:rsidR="001E219B">
        <w:rPr>
          <w:lang w:bidi="he-IL"/>
        </w:rPr>
        <w:t>.</w:t>
      </w:r>
      <w:r w:rsidR="00536141" w:rsidRPr="00E46968">
        <w:rPr>
          <w:lang w:bidi="he-IL"/>
        </w:rPr>
        <w:t>”</w:t>
      </w:r>
      <w:r w:rsidR="001E219B">
        <w:rPr>
          <w:lang w:bidi="he-IL"/>
        </w:rPr>
        <w:t xml:space="preserve"> </w:t>
      </w:r>
      <w:r w:rsidR="00536141">
        <w:rPr>
          <w:lang w:bidi="he-IL"/>
        </w:rPr>
        <w:t xml:space="preserve">Therefore, in contemporary times, we can only impose the RTDR in the manners mentioned in </w:t>
      </w:r>
      <w:proofErr w:type="spellStart"/>
      <w:r w:rsidR="00536141">
        <w:rPr>
          <w:lang w:bidi="he-IL"/>
        </w:rPr>
        <w:t>Rabeinu</w:t>
      </w:r>
      <w:proofErr w:type="spellEnd"/>
      <w:r w:rsidR="00536141">
        <w:rPr>
          <w:lang w:bidi="he-IL"/>
        </w:rPr>
        <w:t xml:space="preserve"> Tam and </w:t>
      </w:r>
      <w:proofErr w:type="spellStart"/>
      <w:r w:rsidR="00536141">
        <w:rPr>
          <w:lang w:bidi="he-IL"/>
        </w:rPr>
        <w:t>Maharik</w:t>
      </w:r>
      <w:proofErr w:type="spellEnd"/>
      <w:r w:rsidR="00536141">
        <w:rPr>
          <w:lang w:bidi="he-IL"/>
        </w:rPr>
        <w:t xml:space="preserve"> responsa and which </w:t>
      </w:r>
      <w:r w:rsidR="00536141">
        <w:rPr>
          <w:lang w:bidi="he-IL"/>
        </w:rPr>
        <w:lastRenderedPageBreak/>
        <w:t>include matters of prayer such as not allowing him to participate in a minyan, recite mourner’s prayer (</w:t>
      </w:r>
      <w:proofErr w:type="spellStart"/>
      <w:r w:rsidR="00536141" w:rsidRPr="00E21C61">
        <w:rPr>
          <w:i/>
          <w:iCs/>
          <w:lang w:bidi="he-IL"/>
        </w:rPr>
        <w:t>kadish</w:t>
      </w:r>
      <w:proofErr w:type="spellEnd"/>
      <w:r w:rsidR="00536141" w:rsidRPr="00E21C61">
        <w:rPr>
          <w:i/>
          <w:iCs/>
          <w:lang w:bidi="he-IL"/>
        </w:rPr>
        <w:t>),</w:t>
      </w:r>
      <w:r w:rsidR="00536141" w:rsidRPr="00E21C61">
        <w:rPr>
          <w:lang w:bidi="he-IL"/>
        </w:rPr>
        <w:t xml:space="preserve"> etc.</w:t>
      </w:r>
    </w:p>
    <w:p w14:paraId="6EE16EDD" w14:textId="1087288A" w:rsidR="00E21C61" w:rsidRDefault="00536141" w:rsidP="00437137">
      <w:pPr>
        <w:pStyle w:val="PB"/>
        <w:jc w:val="both"/>
        <w:rPr>
          <w:lang w:bidi="he-IL"/>
        </w:rPr>
      </w:pPr>
      <w:r w:rsidRPr="00E21C61">
        <w:rPr>
          <w:lang w:bidi="he-IL"/>
        </w:rPr>
        <w:t xml:space="preserve">  </w:t>
      </w:r>
      <w:r w:rsidR="00E21C61">
        <w:rPr>
          <w:lang w:bidi="he-IL"/>
        </w:rPr>
        <w:t xml:space="preserve">      </w:t>
      </w:r>
      <w:r w:rsidRPr="0074119B">
        <w:rPr>
          <w:lang w:bidi="he-IL"/>
        </w:rPr>
        <w:t xml:space="preserve">we can say that the words of Rabbi </w:t>
      </w:r>
      <w:proofErr w:type="spellStart"/>
      <w:r w:rsidRPr="0074119B">
        <w:rPr>
          <w:lang w:bidi="he-IL"/>
        </w:rPr>
        <w:t>Ovadiah</w:t>
      </w:r>
      <w:proofErr w:type="spellEnd"/>
      <w:r w:rsidRPr="0074119B">
        <w:rPr>
          <w:lang w:bidi="he-IL"/>
        </w:rPr>
        <w:t xml:space="preserve"> Yosef reflect the general mindset in Rabbinic courts and indeed in recent decades, the option delaying circumcision or burial, or removing his children from school in these cases is rarely discussed and contrary to the frequent use made of 1995 sanctions in appropriate cases, and contrary to the increasing use of shaming against get refusers, rabbinic courts avoid the measures of delaying circumcision and burial and removing the refuser’s children from school, in cases where the get is obligatory). And this, as I understood from senior rabbinic judges in our day, primarily because they are not considered effective pressure tactics against these recalcitrant husbands who by the time they can be obligated to give a get, are often separated from their families and do not care whether their sons are circumcised, their relatives buried, or their children in school.  Therefore, employing such means will not be effective at all and will not achieve the target.   These steps are rarely taken and when these measures are imposed it is usually in cases where a get can be forced, and not in cases of obligatory gets.  For</w:t>
      </w:r>
      <w:r w:rsidR="006D4F29">
        <w:rPr>
          <w:lang w:bidi="he-IL"/>
        </w:rPr>
        <w:t xml:space="preserve"> </w:t>
      </w:r>
      <w:r w:rsidRPr="0074119B">
        <w:rPr>
          <w:lang w:bidi="he-IL"/>
        </w:rPr>
        <w:t>example</w:t>
      </w:r>
      <w:r w:rsidRPr="00BC1B78">
        <w:rPr>
          <w:lang w:bidi="he-IL"/>
        </w:rPr>
        <w:t xml:space="preserve">. </w:t>
      </w:r>
      <w:r w:rsidR="00E21C61" w:rsidRPr="00E21C61">
        <w:rPr>
          <w:lang w:bidi="he-IL"/>
        </w:rPr>
        <w:t xml:space="preserve"> </w:t>
      </w:r>
      <w:r w:rsidR="00E21C61" w:rsidRPr="0074119B">
        <w:rPr>
          <w:lang w:bidi="he-IL"/>
        </w:rPr>
        <w:t>sixteen years ago</w:t>
      </w:r>
      <w:r w:rsidR="00E21C61">
        <w:rPr>
          <w:lang w:bidi="he-IL"/>
        </w:rPr>
        <w:t>, t</w:t>
      </w:r>
      <w:r w:rsidRPr="0074119B">
        <w:rPr>
          <w:lang w:bidi="he-IL"/>
        </w:rPr>
        <w:t xml:space="preserve">he rabbinic court issued an arrest warrant against a husband to force a get. Section 2 there stated: “The rabbinic court orders that after his ‘hundred and twenty’ [i.e., upon death] he will not be given a burial lot within the graveyard or outside it. The rabbinic court is taking such a serious measure based on the words of </w:t>
      </w:r>
      <w:proofErr w:type="spellStart"/>
      <w:r w:rsidRPr="0074119B">
        <w:rPr>
          <w:lang w:bidi="he-IL"/>
        </w:rPr>
        <w:t>Rabbeinu</w:t>
      </w:r>
      <w:proofErr w:type="spellEnd"/>
      <w:r w:rsidRPr="0074119B">
        <w:rPr>
          <w:lang w:bidi="he-IL"/>
        </w:rPr>
        <w:t xml:space="preserve"> Tam in answer 24 of </w:t>
      </w:r>
      <w:proofErr w:type="spellStart"/>
      <w:r w:rsidRPr="0074119B">
        <w:rPr>
          <w:lang w:bidi="he-IL"/>
        </w:rPr>
        <w:t>Sefer</w:t>
      </w:r>
      <w:proofErr w:type="spellEnd"/>
      <w:r w:rsidRPr="0074119B">
        <w:rPr>
          <w:lang w:bidi="he-IL"/>
        </w:rPr>
        <w:t xml:space="preserve"> </w:t>
      </w:r>
      <w:proofErr w:type="spellStart"/>
      <w:r w:rsidRPr="0074119B">
        <w:rPr>
          <w:lang w:bidi="he-IL"/>
        </w:rPr>
        <w:t>Hayashar</w:t>
      </w:r>
      <w:proofErr w:type="spellEnd"/>
      <w:r w:rsidRPr="0074119B">
        <w:rPr>
          <w:lang w:bidi="he-IL"/>
        </w:rPr>
        <w:t xml:space="preserve"> allowing the taking of this measure </w:t>
      </w:r>
      <w:r w:rsidRPr="00ED0669">
        <w:rPr>
          <w:b/>
          <w:bCs/>
          <w:lang w:bidi="he-IL"/>
        </w:rPr>
        <w:t>even where there is no coercion</w:t>
      </w:r>
      <w:r w:rsidRPr="0074119B">
        <w:rPr>
          <w:lang w:bidi="he-IL"/>
        </w:rPr>
        <w:t xml:space="preserve"> and all the more so where there is coercion. The rabbinic court once again calls upon the husband to consider his path.” Also written there, already a year earlier (4th Heshvan, 5765) it was ruled that the husband must give a get and that he can even be coerced to do so.</w:t>
      </w:r>
      <w:r w:rsidR="00BC1B78">
        <w:rPr>
          <w:rStyle w:val="af0"/>
          <w:lang w:bidi="he-IL"/>
        </w:rPr>
        <w:footnoteReference w:id="10"/>
      </w:r>
    </w:p>
    <w:p w14:paraId="13A2D5C8" w14:textId="77777777" w:rsidR="00D8758E" w:rsidRDefault="00E21C61" w:rsidP="00437137">
      <w:pPr>
        <w:pStyle w:val="PB"/>
        <w:jc w:val="both"/>
        <w:rPr>
          <w:lang w:bidi="he-IL"/>
        </w:rPr>
      </w:pPr>
      <w:r>
        <w:rPr>
          <w:lang w:bidi="he-IL"/>
        </w:rPr>
        <w:t xml:space="preserve">      </w:t>
      </w:r>
      <w:r w:rsidR="00536141" w:rsidRPr="0074119B">
        <w:rPr>
          <w:lang w:bidi="he-IL"/>
        </w:rPr>
        <w:t xml:space="preserve"> In another case, published in 2019, Chief Rabbi David Lau ruled that the burial of a get refuser’s mother can be delayed until he gives a get to his wife. The husband apparently gave a commitment to give the get which led to this delay being lifted. Some reports tell of the husband providing a financial guarantee committing him to give a get after his mother is buried, and according to others no guarantee was given, only a commitment to give a get.  Either way, after the burial, the husband who has already returned back to the United States where he lives, said that the get is deposited with an American rabbinic court, however ultimately it appears he did not deposit the get. </w:t>
      </w:r>
    </w:p>
    <w:p w14:paraId="6FAA2698" w14:textId="677D33A0" w:rsidR="00536141" w:rsidRDefault="00D8758E" w:rsidP="00437137">
      <w:pPr>
        <w:pStyle w:val="PB"/>
        <w:jc w:val="both"/>
        <w:rPr>
          <w:lang w:bidi="he-IL"/>
        </w:rPr>
      </w:pPr>
      <w:r>
        <w:rPr>
          <w:lang w:bidi="he-IL"/>
        </w:rPr>
        <w:t xml:space="preserve">       </w:t>
      </w:r>
      <w:r w:rsidR="00536141" w:rsidRPr="0074119B">
        <w:rPr>
          <w:lang w:bidi="he-IL"/>
        </w:rPr>
        <w:t xml:space="preserve">The third case I will mention occurred recently (3/12/2020). In Jerusalem DRC 1/1068491, a chained woman named </w:t>
      </w:r>
      <w:proofErr w:type="spellStart"/>
      <w:r w:rsidR="00536141" w:rsidRPr="0074119B">
        <w:rPr>
          <w:lang w:bidi="he-IL"/>
        </w:rPr>
        <w:t>Esti</w:t>
      </w:r>
      <w:proofErr w:type="spellEnd"/>
      <w:r w:rsidR="00536141" w:rsidRPr="0074119B">
        <w:rPr>
          <w:lang w:bidi="he-IL"/>
        </w:rPr>
        <w:t xml:space="preserve"> Sompo (short for </w:t>
      </w:r>
      <w:proofErr w:type="spellStart"/>
      <w:r w:rsidR="00536141" w:rsidRPr="0074119B">
        <w:rPr>
          <w:lang w:bidi="he-IL"/>
        </w:rPr>
        <w:t>Sompanlinski</w:t>
      </w:r>
      <w:proofErr w:type="spellEnd"/>
      <w:r w:rsidR="00536141" w:rsidRPr="0074119B">
        <w:rPr>
          <w:lang w:bidi="he-IL"/>
        </w:rPr>
        <w:t xml:space="preserve">) appealed to the Jerusalem regional Rabbinic Beit Din and the </w:t>
      </w:r>
      <w:proofErr w:type="spellStart"/>
      <w:r w:rsidR="00536141" w:rsidRPr="0074119B">
        <w:rPr>
          <w:lang w:bidi="he-IL"/>
        </w:rPr>
        <w:t>hevra</w:t>
      </w:r>
      <w:proofErr w:type="spellEnd"/>
      <w:r w:rsidR="00536141" w:rsidRPr="0074119B">
        <w:rPr>
          <w:lang w:bidi="he-IL"/>
        </w:rPr>
        <w:t xml:space="preserve"> Kadisha asking that her husband’s famous grandfather, Rabbi </w:t>
      </w:r>
      <w:proofErr w:type="spellStart"/>
      <w:r w:rsidR="00536141" w:rsidRPr="0074119B">
        <w:rPr>
          <w:lang w:bidi="he-IL"/>
        </w:rPr>
        <w:t>Aharon</w:t>
      </w:r>
      <w:proofErr w:type="spellEnd"/>
      <w:r w:rsidR="00536141" w:rsidRPr="0074119B">
        <w:rPr>
          <w:lang w:bidi="he-IL"/>
        </w:rPr>
        <w:t xml:space="preserve"> </w:t>
      </w:r>
      <w:proofErr w:type="spellStart"/>
      <w:r w:rsidR="00536141" w:rsidRPr="0074119B">
        <w:rPr>
          <w:lang w:bidi="he-IL"/>
        </w:rPr>
        <w:t>Hadash</w:t>
      </w:r>
      <w:proofErr w:type="spellEnd"/>
      <w:r w:rsidR="00536141" w:rsidRPr="0074119B">
        <w:rPr>
          <w:lang w:bidi="he-IL"/>
        </w:rPr>
        <w:t xml:space="preserve">, among the senior Lithuanian Rabbis who served over fifty years as the spiritual supervisor of Mir Yeshiva, have his burial delayed. This appeal was aimed at increasing the pressure on her recalcitrant husband (who was the oldest grandson of Rabbi </w:t>
      </w:r>
      <w:proofErr w:type="spellStart"/>
      <w:r w:rsidR="00536141" w:rsidRPr="0074119B">
        <w:rPr>
          <w:lang w:bidi="he-IL"/>
        </w:rPr>
        <w:t>Hadash</w:t>
      </w:r>
      <w:proofErr w:type="spellEnd"/>
      <w:r w:rsidR="00536141" w:rsidRPr="0074119B">
        <w:rPr>
          <w:lang w:bidi="he-IL"/>
        </w:rPr>
        <w:t xml:space="preserve">) to give her a get and end her suffering. In requesting this injunction, she noted Rabbi Lau’s ruling when sitting as President of the Chief Rabbinic Court a year ago, noted above, who delayed the burial of the American refuser who chained his wife for 10 years. According to various </w:t>
      </w:r>
      <w:r w:rsidR="00536141" w:rsidRPr="0074119B">
        <w:rPr>
          <w:lang w:bidi="he-IL"/>
        </w:rPr>
        <w:lastRenderedPageBreak/>
        <w:t>sources</w:t>
      </w:r>
      <w:r w:rsidR="00BC1B78">
        <w:rPr>
          <w:rStyle w:val="af0"/>
          <w:lang w:bidi="he-IL"/>
        </w:rPr>
        <w:footnoteReference w:id="11"/>
      </w:r>
      <w:r w:rsidR="00536141">
        <w:rPr>
          <w:lang w:bidi="he-IL"/>
        </w:rPr>
        <w:t xml:space="preserve"> and according to interviews she gave, the injunction request was preceded by a rabbinic court ruling ordering the shaming of a get refuser. This ruling did not lead to the get being granted, and the woman’s request to delay the burial was rejected. We can assume that this case was more complex and it was harder to accede to the request, as aside from the assessment that there was a low likelihood that burial delays would be an effective means to pressure the husband to give a get, as it was not clear if the refuser who was residing in Gibraltar in an unknown location and living a very different lifestyle than his grandfather would care about his grandfather’s burial.  He certainly did not care about what would happen to his name, his wife, and his children. One might surmise there was an additional problem here. The person whose burial was to be delayed was a more distant relation than even the level mentioned in the Binyamin </w:t>
      </w:r>
      <w:proofErr w:type="spellStart"/>
      <w:r w:rsidR="00536141">
        <w:rPr>
          <w:lang w:bidi="he-IL"/>
        </w:rPr>
        <w:t>Zeev</w:t>
      </w:r>
      <w:proofErr w:type="spellEnd"/>
      <w:r w:rsidR="00536141">
        <w:rPr>
          <w:lang w:bidi="he-IL"/>
        </w:rPr>
        <w:t xml:space="preserve"> responsa, as this was the grandfather of the refuser and not his father, wife, or children. </w:t>
      </w:r>
    </w:p>
    <w:p w14:paraId="6D979173" w14:textId="74CAA713" w:rsidR="00536141" w:rsidRDefault="00D8758E" w:rsidP="00536141">
      <w:pPr>
        <w:pStyle w:val="PB"/>
        <w:jc w:val="both"/>
        <w:rPr>
          <w:lang w:bidi="he-IL"/>
        </w:rPr>
      </w:pPr>
      <w:r>
        <w:rPr>
          <w:lang w:bidi="he-IL"/>
        </w:rPr>
        <w:t xml:space="preserve">             </w:t>
      </w:r>
      <w:r w:rsidR="00536141">
        <w:rPr>
          <w:lang w:bidi="he-IL"/>
        </w:rPr>
        <w:t xml:space="preserve">It’s important to note that the delaying circumcision of the refuser’s son, postponing burial, or removing his children from school are not measures that those who fight for chained women’s rights are comfortable with and who are genuinely interested that as many legal tools as possible be used.  Not only are the prohibitions of not delaying burial and circumcision central commandments, but also since these methods raise two primary problems: 1) Avoiding burial or circumcision, and removing children from school are contrary to Torah commandments (circumcision; the prohibition on delaying burial, the commandment of teaching Torah and educating children (Deuteronomy 11:19; Mishna Kiddushin chap. 1, Mishna 7: “The commandments of the father towards the son”); 2) Avoiding burying his relatives, circumcising his children, and removing them from school harms the innocent – victims of the refuser – through no fault of their own.  The first question has been given a number of answers in jurisprudence. The first I will note is by Rabbi </w:t>
      </w:r>
      <w:proofErr w:type="spellStart"/>
      <w:r w:rsidR="00536141">
        <w:rPr>
          <w:lang w:bidi="he-IL"/>
        </w:rPr>
        <w:t>Ovadiah</w:t>
      </w:r>
      <w:proofErr w:type="spellEnd"/>
      <w:r w:rsidR="00536141">
        <w:rPr>
          <w:lang w:bidi="he-IL"/>
        </w:rPr>
        <w:t xml:space="preserve"> Yosef in </w:t>
      </w:r>
      <w:proofErr w:type="spellStart"/>
      <w:r w:rsidR="00536141">
        <w:rPr>
          <w:lang w:bidi="he-IL"/>
        </w:rPr>
        <w:t>Yabia</w:t>
      </w:r>
      <w:proofErr w:type="spellEnd"/>
      <w:r w:rsidR="00536141">
        <w:rPr>
          <w:lang w:bidi="he-IL"/>
        </w:rPr>
        <w:t xml:space="preserve"> Omer Responsa, Even Ha-</w:t>
      </w:r>
      <w:proofErr w:type="spellStart"/>
      <w:r w:rsidR="00536141">
        <w:rPr>
          <w:lang w:bidi="he-IL"/>
        </w:rPr>
        <w:t>Ezer</w:t>
      </w:r>
      <w:proofErr w:type="spellEnd"/>
      <w:r w:rsidR="00536141">
        <w:rPr>
          <w:lang w:bidi="he-IL"/>
        </w:rPr>
        <w:t xml:space="preserve">, 25. As we learn from the </w:t>
      </w:r>
      <w:proofErr w:type="spellStart"/>
      <w:r w:rsidR="00536141">
        <w:rPr>
          <w:lang w:bidi="he-IL"/>
        </w:rPr>
        <w:t>Yevamot</w:t>
      </w:r>
      <w:proofErr w:type="spellEnd"/>
      <w:r w:rsidR="00536141">
        <w:rPr>
          <w:lang w:bidi="he-IL"/>
        </w:rPr>
        <w:t xml:space="preserve"> 90b, the Sages have the authority to nullify a Torah commandment, to preserve Torah fulfillment in its entirety.  Delaying the commandments of circumcision and burial can prevent the chaining of a woman, “To safeguard the matter, the rabbinic court has the authority to uproot a positive commandment as is said in </w:t>
      </w:r>
      <w:proofErr w:type="spellStart"/>
      <w:r w:rsidR="00536141">
        <w:rPr>
          <w:lang w:bidi="he-IL"/>
        </w:rPr>
        <w:t>Yevamot</w:t>
      </w:r>
      <w:proofErr w:type="spellEnd"/>
      <w:r w:rsidR="00536141">
        <w:rPr>
          <w:lang w:bidi="he-IL"/>
        </w:rPr>
        <w:t xml:space="preserve"> 90b that the rabbinic court lashes and punishes not based on the Torah but in order to guard the Torah.” Likewise, the </w:t>
      </w:r>
      <w:proofErr w:type="spellStart"/>
      <w:r w:rsidR="00536141">
        <w:rPr>
          <w:lang w:bidi="he-IL"/>
        </w:rPr>
        <w:t>Rashba</w:t>
      </w:r>
      <w:proofErr w:type="spellEnd"/>
      <w:r w:rsidR="00536141">
        <w:rPr>
          <w:lang w:bidi="he-IL"/>
        </w:rPr>
        <w:t xml:space="preserve"> in the response, attributed to the </w:t>
      </w:r>
      <w:proofErr w:type="spellStart"/>
      <w:r w:rsidR="00536141">
        <w:rPr>
          <w:lang w:bidi="he-IL"/>
        </w:rPr>
        <w:t>Ramban</w:t>
      </w:r>
      <w:proofErr w:type="spellEnd"/>
      <w:r w:rsidR="00536141">
        <w:rPr>
          <w:lang w:bidi="he-IL"/>
        </w:rPr>
        <w:t>, 244, was questioned about practically applying the measures of postponing burial, circumcision etc. and responded that to guard the matter they can uproot a law of Torah to protect the Torah</w:t>
      </w:r>
      <w:r w:rsidR="00B42785">
        <w:rPr>
          <w:lang w:bidi="he-IL"/>
        </w:rPr>
        <w:t xml:space="preserve">, </w:t>
      </w:r>
      <w:r w:rsidR="00536141">
        <w:rPr>
          <w:lang w:bidi="he-IL"/>
        </w:rPr>
        <w:t>citing the aforementioned source (</w:t>
      </w:r>
      <w:proofErr w:type="spellStart"/>
      <w:r w:rsidR="00536141">
        <w:rPr>
          <w:lang w:bidi="he-IL"/>
        </w:rPr>
        <w:t>Yevamot</w:t>
      </w:r>
      <w:proofErr w:type="spellEnd"/>
      <w:r w:rsidR="00536141">
        <w:rPr>
          <w:lang w:bidi="he-IL"/>
        </w:rPr>
        <w:t xml:space="preserve"> 90b), a rabbinic court can lash and punish to protect the Torah. </w:t>
      </w:r>
      <w:r w:rsidR="00536141" w:rsidRPr="00D8758E">
        <w:rPr>
          <w:lang w:bidi="he-IL"/>
        </w:rPr>
        <w:t xml:space="preserve">A second solution to this question can be found in the words of Rabbi Eliyahu </w:t>
      </w:r>
      <w:proofErr w:type="spellStart"/>
      <w:r w:rsidR="00536141" w:rsidRPr="00D8758E">
        <w:rPr>
          <w:lang w:bidi="he-IL"/>
        </w:rPr>
        <w:t>Alfandari</w:t>
      </w:r>
      <w:proofErr w:type="spellEnd"/>
      <w:r w:rsidR="00536141" w:rsidRPr="00D8758E">
        <w:rPr>
          <w:lang w:bidi="he-IL"/>
        </w:rPr>
        <w:t xml:space="preserve"> in Seder Eliyahu Rabbah </w:t>
      </w:r>
      <w:proofErr w:type="spellStart"/>
      <w:r w:rsidR="00536141" w:rsidRPr="00D8758E">
        <w:rPr>
          <w:lang w:bidi="he-IL"/>
        </w:rPr>
        <w:t>Vezuta</w:t>
      </w:r>
      <w:proofErr w:type="spellEnd"/>
      <w:r w:rsidR="00536141" w:rsidRPr="00D8758E">
        <w:rPr>
          <w:lang w:bidi="he-IL"/>
        </w:rPr>
        <w:t>, 13 (1995) which explains that circumcision and burial can be avoided since the RTDR are directed towards the community, and it can determine its own conduct towards the recalcitrant husband and does not require the permission of the sages to withhold advantages from him</w:t>
      </w:r>
      <w:commentRangeStart w:id="34"/>
      <w:r w:rsidR="00536141" w:rsidRPr="00D8758E">
        <w:rPr>
          <w:lang w:bidi="he-IL"/>
        </w:rPr>
        <w:t>: “We ourselves fence our paths with stone not to confer any benefit to that man. And we have no need for the sages to permit us to do so, but we may do it ourselves. For though we are commanded by the Torah to not deny favor to our friends, as it says ‘Love your fellow as yourself’ and ‘You shall not stand on your fellow’s blood,’ this is when he is your fellow in commandments, but one who did not do good among his people, to chain a daughter of Israel, the commandment protects us to push him away so that he returns from his bad ways and to save the poor woman he is oppressing.”</w:t>
      </w:r>
      <w:r w:rsidR="00536141">
        <w:rPr>
          <w:lang w:bidi="he-IL"/>
        </w:rPr>
        <w:t xml:space="preserve"> </w:t>
      </w:r>
      <w:commentRangeEnd w:id="34"/>
      <w:r w:rsidR="00586120">
        <w:rPr>
          <w:rStyle w:val="ac"/>
          <w:rFonts w:asciiTheme="minorHAnsi" w:eastAsiaTheme="minorHAnsi" w:hAnsiTheme="minorHAnsi" w:cstheme="minorBidi"/>
          <w:lang w:eastAsia="en-US" w:bidi="he-IL"/>
        </w:rPr>
        <w:commentReference w:id="34"/>
      </w:r>
      <w:r w:rsidR="00536141">
        <w:rPr>
          <w:lang w:bidi="he-IL"/>
        </w:rPr>
        <w:t xml:space="preserve">Avoiding </w:t>
      </w:r>
      <w:r w:rsidR="00536141">
        <w:rPr>
          <w:lang w:bidi="he-IL"/>
        </w:rPr>
        <w:lastRenderedPageBreak/>
        <w:t>circumcision and burial and the like can save a woman from being chained, the husband from the sin of refusal, and also society from conduct unbecoming, as when society denies rights from the refuser, it avoids observing the commandment of “Love your fellow” and “You shall not ignore [your fellow]” towards the refuser, but it manages to prevent chaining.</w:t>
      </w:r>
    </w:p>
    <w:p w14:paraId="6AB3C8E8" w14:textId="10EA53A2" w:rsidR="00536141" w:rsidRDefault="00536141" w:rsidP="00536141">
      <w:pPr>
        <w:pStyle w:val="PB"/>
        <w:jc w:val="both"/>
        <w:rPr>
          <w:lang w:bidi="he-IL"/>
        </w:rPr>
      </w:pPr>
      <w:r>
        <w:rPr>
          <w:lang w:bidi="he-IL"/>
        </w:rPr>
        <w:t xml:space="preserve">     A third answer to this question is that burial and circumcision are not cancelled, only delayed until the husband gives the get, as the </w:t>
      </w:r>
      <w:proofErr w:type="spellStart"/>
      <w:r>
        <w:rPr>
          <w:lang w:bidi="he-IL"/>
        </w:rPr>
        <w:t>Maharshal</w:t>
      </w:r>
      <w:proofErr w:type="spellEnd"/>
      <w:r>
        <w:rPr>
          <w:lang w:bidi="he-IL"/>
        </w:rPr>
        <w:t xml:space="preserve"> states in Yam Shel </w:t>
      </w:r>
      <w:proofErr w:type="spellStart"/>
      <w:r>
        <w:rPr>
          <w:lang w:bidi="he-IL"/>
        </w:rPr>
        <w:t>Shlomo</w:t>
      </w:r>
      <w:proofErr w:type="spellEnd"/>
      <w:r>
        <w:rPr>
          <w:lang w:bidi="he-IL"/>
        </w:rPr>
        <w:t xml:space="preserve"> on </w:t>
      </w:r>
      <w:proofErr w:type="spellStart"/>
      <w:r>
        <w:rPr>
          <w:lang w:bidi="he-IL"/>
        </w:rPr>
        <w:t>Bava</w:t>
      </w:r>
      <w:proofErr w:type="spellEnd"/>
      <w:r>
        <w:rPr>
          <w:lang w:bidi="he-IL"/>
        </w:rPr>
        <w:t xml:space="preserve"> Kama, </w:t>
      </w:r>
      <w:proofErr w:type="spellStart"/>
      <w:r>
        <w:rPr>
          <w:lang w:bidi="he-IL"/>
        </w:rPr>
        <w:t>ch.</w:t>
      </w:r>
      <w:proofErr w:type="spellEnd"/>
      <w:r>
        <w:rPr>
          <w:lang w:bidi="he-IL"/>
        </w:rPr>
        <w:t xml:space="preserve"> 10, p. 112b, section 13: </w:t>
      </w:r>
      <w:r w:rsidR="00B42785">
        <w:rPr>
          <w:lang w:bidi="he-IL"/>
        </w:rPr>
        <w:t>“</w:t>
      </w:r>
      <w:r>
        <w:rPr>
          <w:lang w:bidi="he-IL"/>
        </w:rPr>
        <w:t xml:space="preserve">And I saw strange things in this answer of Rabbi </w:t>
      </w:r>
      <w:proofErr w:type="spellStart"/>
      <w:r>
        <w:rPr>
          <w:lang w:bidi="he-IL"/>
        </w:rPr>
        <w:t>Paltoi</w:t>
      </w:r>
      <w:proofErr w:type="spellEnd"/>
      <w:r>
        <w:rPr>
          <w:lang w:bidi="he-IL"/>
        </w:rPr>
        <w:t xml:space="preserve"> Gaon who wrote that these commandments can be avoided as</w:t>
      </w:r>
      <w:r w:rsidR="00B42785">
        <w:rPr>
          <w:lang w:bidi="he-IL"/>
        </w:rPr>
        <w:t xml:space="preserve"> </w:t>
      </w:r>
      <w:r>
        <w:rPr>
          <w:lang w:bidi="he-IL"/>
        </w:rPr>
        <w:t xml:space="preserve">He is forced in these, until he repents, and then circumcision and burial occurs”. The same emerges from the </w:t>
      </w:r>
      <w:proofErr w:type="spellStart"/>
      <w:r>
        <w:rPr>
          <w:lang w:bidi="he-IL"/>
        </w:rPr>
        <w:t>Maharshal</w:t>
      </w:r>
      <w:proofErr w:type="spellEnd"/>
      <w:r>
        <w:rPr>
          <w:lang w:bidi="he-IL"/>
        </w:rPr>
        <w:t xml:space="preserve">, Yam Shel </w:t>
      </w:r>
      <w:proofErr w:type="spellStart"/>
      <w:r>
        <w:rPr>
          <w:lang w:bidi="he-IL"/>
        </w:rPr>
        <w:t>Shlomo</w:t>
      </w:r>
      <w:proofErr w:type="spellEnd"/>
      <w:r>
        <w:rPr>
          <w:lang w:bidi="he-IL"/>
        </w:rPr>
        <w:t xml:space="preserve">, </w:t>
      </w:r>
      <w:proofErr w:type="spellStart"/>
      <w:r>
        <w:rPr>
          <w:lang w:bidi="he-IL"/>
        </w:rPr>
        <w:t>Bava</w:t>
      </w:r>
      <w:proofErr w:type="spellEnd"/>
      <w:r>
        <w:rPr>
          <w:lang w:bidi="he-IL"/>
        </w:rPr>
        <w:t xml:space="preserve"> Kama chapter 10, 112b, sec. 13 mentioned below.</w:t>
      </w:r>
    </w:p>
    <w:p w14:paraId="0E2F6E49" w14:textId="0BCC5175" w:rsidR="00536141" w:rsidRDefault="00536141" w:rsidP="00536141">
      <w:pPr>
        <w:pStyle w:val="PB"/>
        <w:jc w:val="both"/>
        <w:rPr>
          <w:lang w:bidi="he-IL"/>
        </w:rPr>
      </w:pPr>
      <w:r>
        <w:rPr>
          <w:lang w:bidi="he-IL"/>
        </w:rPr>
        <w:t xml:space="preserve"> </w:t>
      </w:r>
      <w:r w:rsidR="00586120">
        <w:rPr>
          <w:lang w:bidi="he-IL"/>
        </w:rPr>
        <w:t xml:space="preserve">     </w:t>
      </w:r>
      <w:r>
        <w:rPr>
          <w:lang w:bidi="he-IL"/>
        </w:rPr>
        <w:t xml:space="preserve">The second central problem created by avoiding circumcising the son of a recalcitrant husband, delaying the burial of his relatives, or removing his sons from school as noted, is that innocent people are harmed through no fault of their own.   And indeed, it is for this reason that there were jurists who argued that this instruction should not be followed. The aforementioned </w:t>
      </w:r>
      <w:proofErr w:type="spellStart"/>
      <w:r>
        <w:rPr>
          <w:lang w:bidi="he-IL"/>
        </w:rPr>
        <w:t>Maharshal</w:t>
      </w:r>
      <w:proofErr w:type="spellEnd"/>
      <w:r>
        <w:rPr>
          <w:lang w:bidi="he-IL"/>
        </w:rPr>
        <w:t xml:space="preserve"> states this explicitly: “And I also saw strange things in this answer of Rabbi </w:t>
      </w:r>
      <w:proofErr w:type="spellStart"/>
      <w:r>
        <w:rPr>
          <w:lang w:bidi="he-IL"/>
        </w:rPr>
        <w:t>Paltoi</w:t>
      </w:r>
      <w:proofErr w:type="spellEnd"/>
      <w:r>
        <w:rPr>
          <w:lang w:bidi="he-IL"/>
        </w:rPr>
        <w:t xml:space="preserve"> Gaon, who wrote: </w:t>
      </w:r>
      <w:r w:rsidR="00471BD6">
        <w:rPr>
          <w:lang w:bidi="he-IL"/>
        </w:rPr>
        <w:t>'</w:t>
      </w:r>
      <w:r>
        <w:rPr>
          <w:lang w:bidi="he-IL"/>
        </w:rPr>
        <w:t>The child is removed from the school,</w:t>
      </w:r>
      <w:r w:rsidR="00471BD6">
        <w:rPr>
          <w:lang w:bidi="he-IL"/>
        </w:rPr>
        <w:t>'</w:t>
      </w:r>
      <w:r>
        <w:rPr>
          <w:lang w:bidi="he-IL"/>
        </w:rPr>
        <w:t xml:space="preserve"> God forbid, where the whole world is not maintained but by children, we should cancel this?! And it is one thing to speak of circumcision where the main commandment is on the father, and it is his honor, as well as to bury his dead, he is tasked with not delaying the burial, and it is his honor, he is forced in these until he repents, and then circumcision and burial happens, but the Torah study of babes … it is absolutely simple that there is no reason for this: “Even what he wrote to remove his wife from the synagogue is not clear. If he sinned, what sin did she commit? ... Not to shame a daughter of Israel! ... It is simple that we do not do this to her, and to remove his sons from the </w:t>
      </w:r>
      <w:proofErr w:type="spellStart"/>
      <w:r>
        <w:rPr>
          <w:lang w:bidi="he-IL"/>
        </w:rPr>
        <w:t>beit</w:t>
      </w:r>
      <w:proofErr w:type="spellEnd"/>
      <w:r>
        <w:rPr>
          <w:lang w:bidi="he-IL"/>
        </w:rPr>
        <w:t xml:space="preserve"> midrash, or from the yeshivah, God forbid</w:t>
      </w:r>
      <w:r w:rsidR="00C46D6C">
        <w:rPr>
          <w:lang w:bidi="he-IL"/>
        </w:rPr>
        <w:t>.</w:t>
      </w:r>
      <w:r>
        <w:rPr>
          <w:lang w:bidi="he-IL"/>
        </w:rPr>
        <w:t xml:space="preserve">”  The </w:t>
      </w:r>
      <w:proofErr w:type="spellStart"/>
      <w:r>
        <w:rPr>
          <w:lang w:bidi="he-IL"/>
        </w:rPr>
        <w:t>Maharshal</w:t>
      </w:r>
      <w:proofErr w:type="spellEnd"/>
      <w:r>
        <w:rPr>
          <w:lang w:bidi="he-IL"/>
        </w:rPr>
        <w:t xml:space="preserve"> adds that this was his policy in practice and that he did not remove the sons of one who was excommunicated from the yeshiva despite the instructions of “an elder in his generation of stature” and he did not obey it: “And so once a case came to me in my youth that one sage who was an elder in his generation of stature, that ordered me to remove the son of the excommunicate from the yeshiva and I took no heed at all from him.” </w:t>
      </w:r>
    </w:p>
    <w:p w14:paraId="616B0A9E" w14:textId="47839452" w:rsidR="00F255EE" w:rsidRDefault="00586120" w:rsidP="00A418D2">
      <w:pPr>
        <w:pStyle w:val="PB"/>
        <w:jc w:val="both"/>
        <w:rPr>
          <w:lang w:bidi="he-IL"/>
        </w:rPr>
      </w:pPr>
      <w:r>
        <w:rPr>
          <w:lang w:bidi="he-IL"/>
        </w:rPr>
        <w:t xml:space="preserve">      </w:t>
      </w:r>
      <w:r w:rsidR="00536141">
        <w:rPr>
          <w:lang w:bidi="he-IL"/>
        </w:rPr>
        <w:t xml:space="preserve">So, various jurists did not obey these rulings due to harm to other people through no fault of their own. The question remains in force regarding those who believe that we should prevent his son’s circumcision, remove him from school, and delay the burial of his relatives – how will they explain the harm to his innocent relatives?! One of the senior rabbinic judges I consulted with offered a wonderful explanation: The RTDR are imposed on society, and society has the power to make many decisions regarding its own affairs – some of them even regarding the life and death of a person. For instance, society can decide whether to depart for a war of </w:t>
      </w:r>
      <w:commentRangeStart w:id="35"/>
      <w:r w:rsidR="00536141">
        <w:rPr>
          <w:lang w:bidi="he-IL"/>
        </w:rPr>
        <w:t>authority or a war of mitzvah</w:t>
      </w:r>
      <w:commentRangeEnd w:id="35"/>
      <w:r w:rsidR="006A5E7C">
        <w:rPr>
          <w:rStyle w:val="ac"/>
          <w:rFonts w:asciiTheme="minorHAnsi" w:eastAsiaTheme="minorHAnsi" w:hAnsiTheme="minorHAnsi" w:cstheme="minorBidi"/>
          <w:lang w:eastAsia="en-US" w:bidi="he-IL"/>
        </w:rPr>
        <w:commentReference w:id="35"/>
      </w:r>
      <w:r w:rsidR="00536141">
        <w:rPr>
          <w:lang w:bidi="he-IL"/>
        </w:rPr>
        <w:t xml:space="preserve">, even though some people will die in battle and not return home. And if this is so regarding life and death, then this is certainly the case when it comes to the chaining of a woman. Rabbinic courts sometimes operate at the behest of all of Israel (=as the voice of the community) who are tasked from the outset by one duty or another like those laid out </w:t>
      </w:r>
      <w:r w:rsidR="00536141" w:rsidRPr="009F1E64">
        <w:rPr>
          <w:lang w:bidi="he-IL"/>
        </w:rPr>
        <w:t xml:space="preserve">in the </w:t>
      </w:r>
      <w:proofErr w:type="spellStart"/>
      <w:r w:rsidR="00536141" w:rsidRPr="009F1E64">
        <w:rPr>
          <w:lang w:bidi="he-IL"/>
        </w:rPr>
        <w:t>Hatam</w:t>
      </w:r>
      <w:proofErr w:type="spellEnd"/>
      <w:r w:rsidR="00536141" w:rsidRPr="009F1E64">
        <w:rPr>
          <w:lang w:bidi="he-IL"/>
        </w:rPr>
        <w:t xml:space="preserve"> </w:t>
      </w:r>
      <w:proofErr w:type="spellStart"/>
      <w:r w:rsidR="00536141" w:rsidRPr="009F1E64">
        <w:rPr>
          <w:lang w:bidi="he-IL"/>
        </w:rPr>
        <w:t>Sofer</w:t>
      </w:r>
      <w:proofErr w:type="spellEnd"/>
      <w:r w:rsidR="00536141" w:rsidRPr="009F1E64">
        <w:rPr>
          <w:lang w:bidi="he-IL"/>
        </w:rPr>
        <w:t xml:space="preserve"> responsa, </w:t>
      </w:r>
      <w:proofErr w:type="spellStart"/>
      <w:r w:rsidR="00536141" w:rsidRPr="009F1E64">
        <w:rPr>
          <w:lang w:bidi="he-IL"/>
        </w:rPr>
        <w:t>Hoshen</w:t>
      </w:r>
      <w:proofErr w:type="spellEnd"/>
      <w:r w:rsidR="00536141" w:rsidRPr="009F1E64">
        <w:rPr>
          <w:lang w:bidi="he-IL"/>
        </w:rPr>
        <w:t xml:space="preserve"> </w:t>
      </w:r>
      <w:proofErr w:type="spellStart"/>
      <w:r w:rsidR="00536141" w:rsidRPr="009F1E64">
        <w:rPr>
          <w:lang w:bidi="he-IL"/>
        </w:rPr>
        <w:t>Mishpat</w:t>
      </w:r>
      <w:proofErr w:type="spellEnd"/>
      <w:r w:rsidR="00536141" w:rsidRPr="009F1E64">
        <w:rPr>
          <w:lang w:bidi="he-IL"/>
        </w:rPr>
        <w:t>, 177, 3.</w:t>
      </w:r>
    </w:p>
    <w:p w14:paraId="1B72242D" w14:textId="77777777" w:rsidR="0054497F" w:rsidRPr="000651AF" w:rsidRDefault="0054497F" w:rsidP="0054497F">
      <w:pPr>
        <w:pStyle w:val="a5"/>
        <w:jc w:val="both"/>
        <w:rPr>
          <w:rtl/>
        </w:rPr>
      </w:pPr>
      <w:r w:rsidRPr="000651AF">
        <w:rPr>
          <w:rFonts w:hint="cs"/>
          <w:rtl/>
        </w:rPr>
        <w:t xml:space="preserve">בניגוד למדינת ישראל, שבה לא נמצא כמעט פסקי דין לחיוב גט שבהם מצויה אזהרה לסרבן שאם לא ייתן גט לאשתו הוא או קרביו לא ייקברו בקבר ישראל, נמצא פסקי דין כאלה בדרום אפריקה, אנגליה, ובמקומות נוספים. הרב </w:t>
      </w:r>
      <w:proofErr w:type="spellStart"/>
      <w:r w:rsidRPr="000651AF">
        <w:rPr>
          <w:rFonts w:hint="cs"/>
          <w:rtl/>
        </w:rPr>
        <w:t>קורצאג</w:t>
      </w:r>
      <w:proofErr w:type="spellEnd"/>
      <w:r w:rsidRPr="000651AF">
        <w:rPr>
          <w:rFonts w:hint="cs"/>
          <w:rtl/>
        </w:rPr>
        <w:t xml:space="preserve">, אב"ד בדימוס מדרום אפריקה, שלזכותו ניתן לזקוף תיקונים חשובים לטובת עגונות ומסורבות גט שנעשו בחוק הגירושין האזרחי בדרום אפריקה, טען בשיחה עמי, שסנקציה זו מביאה במקרים לא מעטים למתן </w:t>
      </w:r>
      <w:r w:rsidRPr="000651AF">
        <w:rPr>
          <w:rFonts w:hint="cs"/>
          <w:rtl/>
        </w:rPr>
        <w:lastRenderedPageBreak/>
        <w:t xml:space="preserve">הגט, ואף האיום שתוטל סנקציה זו מביא פעמים רבות לתוצאה זו, שכן סרבני גט ברחבי העולם מייחסים חשיבות רבה לקבורה בקבר ישראל. </w:t>
      </w:r>
    </w:p>
    <w:p w14:paraId="04E2865A" w14:textId="77777777" w:rsidR="0054497F" w:rsidRPr="000651AF" w:rsidRDefault="0054497F" w:rsidP="0054497F">
      <w:pPr>
        <w:pStyle w:val="a5"/>
        <w:jc w:val="both"/>
        <w:rPr>
          <w:rtl/>
        </w:rPr>
      </w:pPr>
      <w:r w:rsidRPr="000651AF">
        <w:rPr>
          <w:rFonts w:hint="cs"/>
          <w:rtl/>
        </w:rPr>
        <w:t xml:space="preserve">בכנס הדיינים סיפר הרב </w:t>
      </w:r>
      <w:proofErr w:type="spellStart"/>
      <w:r w:rsidRPr="000651AF">
        <w:rPr>
          <w:rFonts w:hint="cs"/>
          <w:rtl/>
        </w:rPr>
        <w:t>קורצטאג</w:t>
      </w:r>
      <w:proofErr w:type="spellEnd"/>
      <w:r w:rsidRPr="000651AF">
        <w:rPr>
          <w:rFonts w:hint="cs"/>
          <w:rtl/>
        </w:rPr>
        <w:t xml:space="preserve"> שבית דינו הטיל חרם על סרבן גט שחתם על הסכמה על בוררות בפני בית הדין בעניינים הכספיים שהיו במחלוקת ביניהם,. אבל מאוחר יותר סירב לעמוד בהתחייבויות אלה. </w:t>
      </w:r>
    </w:p>
    <w:p w14:paraId="0148E06C" w14:textId="77777777" w:rsidR="0054497F" w:rsidRPr="000651AF" w:rsidRDefault="0054497F" w:rsidP="0054497F">
      <w:pPr>
        <w:pStyle w:val="a5"/>
        <w:jc w:val="both"/>
        <w:rPr>
          <w:rtl/>
        </w:rPr>
      </w:pPr>
      <w:r w:rsidRPr="000651AF">
        <w:rPr>
          <w:rFonts w:hint="cs"/>
          <w:rtl/>
        </w:rPr>
        <w:t xml:space="preserve">הרב </w:t>
      </w:r>
      <w:proofErr w:type="spellStart"/>
      <w:r w:rsidRPr="000651AF">
        <w:rPr>
          <w:rFonts w:hint="cs"/>
          <w:rtl/>
        </w:rPr>
        <w:t>קורצטאג</w:t>
      </w:r>
      <w:proofErr w:type="spellEnd"/>
      <w:r w:rsidRPr="000651AF">
        <w:rPr>
          <w:rFonts w:hint="cs"/>
          <w:rtl/>
        </w:rPr>
        <w:t xml:space="preserve"> ובית דינו אמרו לו שאם לא יעמוד בהסכמים אלה ולא ינהג על-פי מה שפסק בית הדין יהיה עליו חרם שלא ולא ייקבר בבית קברות יהודי.</w:t>
      </w:r>
    </w:p>
    <w:p w14:paraId="1DDDFB43" w14:textId="1C731260" w:rsidR="0054497F" w:rsidRPr="00C54C6D" w:rsidRDefault="0054497F" w:rsidP="000651AF">
      <w:pPr>
        <w:pStyle w:val="a5"/>
        <w:jc w:val="both"/>
        <w:rPr>
          <w:rtl/>
        </w:rPr>
      </w:pPr>
      <w:r w:rsidRPr="000651AF">
        <w:rPr>
          <w:rFonts w:hint="cs"/>
          <w:rtl/>
        </w:rPr>
        <w:t xml:space="preserve">שם המשפחה שלו היה: "טיילור"(=שמשמעותו 'חייט') ו"עשינו לו חרם מחויט לפי המידות שלו", מספר הרב </w:t>
      </w:r>
      <w:proofErr w:type="spellStart"/>
      <w:r w:rsidRPr="000651AF">
        <w:rPr>
          <w:rFonts w:hint="cs"/>
          <w:rtl/>
        </w:rPr>
        <w:t>קורצטאג</w:t>
      </w:r>
      <w:proofErr w:type="spellEnd"/>
      <w:r w:rsidRPr="000651AF">
        <w:rPr>
          <w:rFonts w:hint="cs"/>
          <w:rtl/>
        </w:rPr>
        <w:t>. "שלחנו את המכתב ביום חמישי, ואמרנו לו שאם לא ייתן גט , החרם יפורסם. ביום ראשון הגיע עורך הדין שלהם עם צו שאני מוזמן לבית המשפט לעצור את החרם....השופט היה גוי. אנחנו טענו שכמו שכשאדם חבר באגודה או מועדון יש כללים שאם הוא רוצה להיות חבר במועדון הוא חייב לעמוד בהם, כך גם אם הוא רוצה להיות חבר ב'מועדון היהודי', הוא חייב לשמור על הכללים. השופט קיבל את עמדתנו, אמר שיש לנו רשות להחרים ופסק גם הוצאות משפט נגדו....נמצא שבית המשפט נתן לנו רשות להטיל חרם על מישהו. מכל העולם ביקשו שנשלח להם את הפסיקה".</w:t>
      </w:r>
      <w:r w:rsidRPr="000651AF">
        <w:rPr>
          <w:rStyle w:val="af0"/>
          <w:rtl/>
        </w:rPr>
        <w:footnoteReference w:id="12"/>
      </w:r>
      <w:r w:rsidRPr="000651AF">
        <w:rPr>
          <w:rFonts w:hint="cs"/>
          <w:rtl/>
        </w:rPr>
        <w:t xml:space="preserve"> הקביעה לפיה זכותה של קהילה להחליט להוקיע ולבייש את אחד מן העמיתים בה במקרה שהוא עובר על הכללים המנחים את הליכותיה או ערכיה, זכתה, א"כ, להכרה גם בערכאות של גויים והיא נזכרת במאמרים משפטיים רבים.</w:t>
      </w:r>
      <w:r w:rsidRPr="000651AF">
        <w:rPr>
          <w:rStyle w:val="af0"/>
          <w:rtl/>
        </w:rPr>
        <w:footnoteReference w:id="13"/>
      </w:r>
    </w:p>
    <w:sectPr w:rsidR="0054497F" w:rsidRPr="00C54C6D" w:rsidSect="000F09DD">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עליזה בזק" w:date="2022-01-23T23:20:00Z" w:initials="עב">
    <w:p w14:paraId="701E16FC" w14:textId="77777777" w:rsidR="001A5EBC" w:rsidRDefault="001A5EBC" w:rsidP="001A5EBC">
      <w:pPr>
        <w:pStyle w:val="a5"/>
        <w:rPr>
          <w:rtl/>
        </w:rPr>
      </w:pPr>
      <w:r>
        <w:rPr>
          <w:rStyle w:val="ac"/>
        </w:rPr>
        <w:annotationRef/>
      </w:r>
      <w:r>
        <w:t>In Israel</w:t>
      </w:r>
    </w:p>
  </w:comment>
  <w:comment w:id="1" w:author="עליזה בזק" w:date="2022-01-12T10:34:00Z" w:initials="עב">
    <w:p w14:paraId="60F2F7FA" w14:textId="44D0A62E" w:rsidR="00113D6D" w:rsidRDefault="00113D6D">
      <w:pPr>
        <w:pStyle w:val="a5"/>
      </w:pPr>
      <w:r>
        <w:rPr>
          <w:rStyle w:val="ac"/>
        </w:rPr>
        <w:annotationRef/>
      </w:r>
      <w:r>
        <w:rPr>
          <w:rFonts w:hint="cs"/>
          <w:rtl/>
        </w:rPr>
        <w:t>לשנות מילים אלה</w:t>
      </w:r>
    </w:p>
  </w:comment>
  <w:comment w:id="3" w:author="עליזה בזק" w:date="2022-01-12T10:37:00Z" w:initials="עב">
    <w:p w14:paraId="1384018A" w14:textId="1C885239" w:rsidR="00113D6D" w:rsidRDefault="00113D6D">
      <w:pPr>
        <w:pStyle w:val="a5"/>
      </w:pPr>
      <w:r>
        <w:rPr>
          <w:rStyle w:val="ac"/>
        </w:rPr>
        <w:annotationRef/>
      </w:r>
      <w:r>
        <w:rPr>
          <w:rFonts w:hint="cs"/>
          <w:rtl/>
        </w:rPr>
        <w:t>לשנות ביטוי זה</w:t>
      </w:r>
    </w:p>
  </w:comment>
  <w:comment w:id="4" w:author="עליזה בזק" w:date="2022-01-12T10:38:00Z" w:initials="עב">
    <w:p w14:paraId="34C71A17" w14:textId="2752AD58" w:rsidR="00113D6D" w:rsidRDefault="00113D6D">
      <w:pPr>
        <w:pStyle w:val="a5"/>
        <w:rPr>
          <w:rtl/>
        </w:rPr>
      </w:pPr>
      <w:r>
        <w:rPr>
          <w:rStyle w:val="ac"/>
        </w:rPr>
        <w:annotationRef/>
      </w:r>
      <w:r>
        <w:rPr>
          <w:rFonts w:hint="cs"/>
          <w:rtl/>
        </w:rPr>
        <w:t>לשנות מילים אלה</w:t>
      </w:r>
    </w:p>
  </w:comment>
  <w:comment w:id="8" w:author="עליזה בזק" w:date="2022-01-12T10:46:00Z" w:initials="עב">
    <w:p w14:paraId="2B329A8D" w14:textId="5A3CBC67" w:rsidR="0094439A" w:rsidRDefault="0094439A">
      <w:pPr>
        <w:pStyle w:val="a5"/>
        <w:rPr>
          <w:rtl/>
        </w:rPr>
      </w:pPr>
      <w:r>
        <w:rPr>
          <w:rStyle w:val="ac"/>
        </w:rPr>
        <w:annotationRef/>
      </w:r>
      <w:r>
        <w:rPr>
          <w:rFonts w:hint="cs"/>
          <w:rtl/>
        </w:rPr>
        <w:t xml:space="preserve">האם בביטוי זה-האנגלית כאן מספיק טובה </w:t>
      </w:r>
    </w:p>
  </w:comment>
  <w:comment w:id="11" w:author="עליזה בזק" w:date="2021-12-22T11:04:00Z" w:initials="עב">
    <w:p w14:paraId="4CE5E0B6" w14:textId="3B711B67" w:rsidR="00DC59E1" w:rsidRDefault="00DC59E1">
      <w:pPr>
        <w:pStyle w:val="a5"/>
      </w:pPr>
      <w:r>
        <w:rPr>
          <w:rStyle w:val="ac"/>
        </w:rPr>
        <w:annotationRef/>
      </w:r>
      <w:r>
        <w:rPr>
          <w:rFonts w:hint="cs"/>
          <w:rtl/>
        </w:rPr>
        <w:t>להוריד מילים אלה</w:t>
      </w:r>
    </w:p>
  </w:comment>
  <w:comment w:id="12" w:author="עליזה בזק" w:date="2022-01-05T10:59:00Z" w:initials="עב">
    <w:p w14:paraId="1C10182F" w14:textId="551861B3" w:rsidR="00CF696D" w:rsidRDefault="00CF696D" w:rsidP="007B1FC3">
      <w:pPr>
        <w:pStyle w:val="a5"/>
        <w:rPr>
          <w:rtl/>
        </w:rPr>
      </w:pPr>
      <w:r>
        <w:rPr>
          <w:rStyle w:val="ac"/>
        </w:rPr>
        <w:annotationRef/>
      </w:r>
      <w:r>
        <w:rPr>
          <w:rFonts w:hint="cs"/>
          <w:rtl/>
        </w:rPr>
        <w:t>גם מילים אלה להוריד</w:t>
      </w:r>
    </w:p>
  </w:comment>
  <w:comment w:id="15" w:author="עליזה בזק" w:date="2021-12-22T12:25:00Z" w:initials="עב">
    <w:p w14:paraId="759258FE" w14:textId="166BC2E1" w:rsidR="004C33CA" w:rsidRDefault="004C33CA">
      <w:pPr>
        <w:pStyle w:val="a5"/>
        <w:rPr>
          <w:rtl/>
        </w:rPr>
      </w:pPr>
      <w:r>
        <w:rPr>
          <w:rStyle w:val="ac"/>
        </w:rPr>
        <w:annotationRef/>
      </w:r>
      <w:r w:rsidR="00A0554F">
        <w:rPr>
          <w:rFonts w:hint="cs"/>
          <w:rtl/>
        </w:rPr>
        <w:t>לשנות מילים א</w:t>
      </w:r>
      <w:r w:rsidR="00775098">
        <w:rPr>
          <w:rFonts w:hint="cs"/>
          <w:rtl/>
        </w:rPr>
        <w:t>לה</w:t>
      </w:r>
      <w:r w:rsidR="00E465FC">
        <w:rPr>
          <w:rFonts w:hint="cs"/>
          <w:rtl/>
        </w:rPr>
        <w:t xml:space="preserve"> או להוריד אותן בכלל</w:t>
      </w:r>
      <w:r w:rsidR="00775098">
        <w:rPr>
          <w:rFonts w:hint="cs"/>
          <w:rtl/>
        </w:rPr>
        <w:t>.</w:t>
      </w:r>
    </w:p>
  </w:comment>
  <w:comment w:id="27" w:author="עליזה בזק" w:date="2022-01-12T12:17:00Z" w:initials="עב">
    <w:p w14:paraId="7DAA8CFF" w14:textId="336262AA" w:rsidR="00586F63" w:rsidRDefault="00586F63">
      <w:pPr>
        <w:pStyle w:val="a5"/>
        <w:rPr>
          <w:rtl/>
        </w:rPr>
      </w:pPr>
      <w:r>
        <w:rPr>
          <w:rStyle w:val="ac"/>
        </w:rPr>
        <w:annotationRef/>
      </w:r>
      <w:r w:rsidR="00FC5EC8">
        <w:rPr>
          <w:rFonts w:hint="cs"/>
          <w:rtl/>
        </w:rPr>
        <w:t>האם בסדר מספור של שתי הערות?</w:t>
      </w:r>
    </w:p>
  </w:comment>
  <w:comment w:id="33" w:author="עליזה בזק" w:date="2022-01-20T12:07:00Z" w:initials="עב">
    <w:p w14:paraId="0A8E1A16" w14:textId="4C7FB022" w:rsidR="006B136C" w:rsidRDefault="006B136C">
      <w:pPr>
        <w:pStyle w:val="a5"/>
      </w:pPr>
      <w:r>
        <w:rPr>
          <w:rStyle w:val="ac"/>
        </w:rPr>
        <w:annotationRef/>
      </w:r>
      <w:r>
        <w:rPr>
          <w:rFonts w:hint="cs"/>
          <w:rtl/>
        </w:rPr>
        <w:t xml:space="preserve">נספח זה עבר </w:t>
      </w:r>
      <w:proofErr w:type="spellStart"/>
      <w:r>
        <w:rPr>
          <w:rFonts w:hint="cs"/>
          <w:rtl/>
        </w:rPr>
        <w:t>מה"ש</w:t>
      </w:r>
      <w:proofErr w:type="spellEnd"/>
      <w:r>
        <w:rPr>
          <w:rFonts w:hint="cs"/>
          <w:rtl/>
        </w:rPr>
        <w:t xml:space="preserve"> 23 ויש לערוך ולקצר אותו</w:t>
      </w:r>
    </w:p>
  </w:comment>
  <w:comment w:id="34" w:author="עליזה בזק" w:date="2022-01-20T12:01:00Z" w:initials="עב">
    <w:p w14:paraId="4F4607CF" w14:textId="2D1D6649" w:rsidR="00586120" w:rsidRDefault="00586120">
      <w:pPr>
        <w:pStyle w:val="a5"/>
        <w:rPr>
          <w:rtl/>
        </w:rPr>
      </w:pPr>
      <w:r>
        <w:rPr>
          <w:rStyle w:val="ac"/>
        </w:rPr>
        <w:annotationRef/>
      </w:r>
      <w:r>
        <w:rPr>
          <w:rFonts w:hint="cs"/>
          <w:rtl/>
        </w:rPr>
        <w:t>נראה שאפשר להוריד ציטוט זה</w:t>
      </w:r>
    </w:p>
  </w:comment>
  <w:comment w:id="35" w:author="עליזה בזק" w:date="2022-01-21T10:34:00Z" w:initials="עב">
    <w:p w14:paraId="77AF6CB6" w14:textId="57651613" w:rsidR="006A5E7C" w:rsidRDefault="006A5E7C">
      <w:pPr>
        <w:pStyle w:val="a5"/>
        <w:rPr>
          <w:rtl/>
        </w:rPr>
      </w:pPr>
      <w:r>
        <w:rPr>
          <w:rStyle w:val="ac"/>
        </w:rPr>
        <w:annotationRef/>
      </w:r>
      <w:r>
        <w:rPr>
          <w:rFonts w:hint="cs"/>
          <w:rtl/>
        </w:rPr>
        <w:t>האם זה התרגום המתאים ל"מלחמת רשות" ו"מלחמת מצוה"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1E16FC" w15:done="0"/>
  <w15:commentEx w15:paraId="60F2F7FA" w15:done="0"/>
  <w15:commentEx w15:paraId="1384018A" w15:done="0"/>
  <w15:commentEx w15:paraId="34C71A17" w15:done="0"/>
  <w15:commentEx w15:paraId="2B329A8D" w15:done="0"/>
  <w15:commentEx w15:paraId="4CE5E0B6" w15:done="0"/>
  <w15:commentEx w15:paraId="1C10182F" w15:done="0"/>
  <w15:commentEx w15:paraId="759258FE" w15:done="0"/>
  <w15:commentEx w15:paraId="7DAA8CFF" w15:done="0"/>
  <w15:commentEx w15:paraId="0A8E1A16" w15:done="0"/>
  <w15:commentEx w15:paraId="4F4607CF" w15:done="0"/>
  <w15:commentEx w15:paraId="77AF6C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69B" w16cex:dateUtc="2022-01-23T21:20:00Z"/>
  <w16cex:commentExtensible w16cex:durableId="25892D45" w16cex:dateUtc="2022-01-12T08:34:00Z"/>
  <w16cex:commentExtensible w16cex:durableId="25892DDE" w16cex:dateUtc="2022-01-12T08:37:00Z"/>
  <w16cex:commentExtensible w16cex:durableId="25892E32" w16cex:dateUtc="2022-01-12T08:38:00Z"/>
  <w16cex:commentExtensible w16cex:durableId="25893009" w16cex:dateUtc="2022-01-12T08:46:00Z"/>
  <w16cex:commentExtensible w16cex:durableId="256D84AE" w16cex:dateUtc="2021-12-22T09:04:00Z"/>
  <w16cex:commentExtensible w16cex:durableId="257FF897" w16cex:dateUtc="2022-01-05T08:59:00Z"/>
  <w16cex:commentExtensible w16cex:durableId="256D97A0" w16cex:dateUtc="2021-12-22T10:25:00Z"/>
  <w16cex:commentExtensible w16cex:durableId="2589455F" w16cex:dateUtc="2022-01-12T10:17:00Z"/>
  <w16cex:commentExtensible w16cex:durableId="2593CEF0" w16cex:dateUtc="2022-01-20T10:07:00Z"/>
  <w16cex:commentExtensible w16cex:durableId="2593CD83" w16cex:dateUtc="2022-01-20T10:01:00Z"/>
  <w16cex:commentExtensible w16cex:durableId="25950ABE" w16cex:dateUtc="2022-01-21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1E16FC" w16cid:durableId="259BC69B"/>
  <w16cid:commentId w16cid:paraId="60F2F7FA" w16cid:durableId="25892D45"/>
  <w16cid:commentId w16cid:paraId="1384018A" w16cid:durableId="25892DDE"/>
  <w16cid:commentId w16cid:paraId="34C71A17" w16cid:durableId="25892E32"/>
  <w16cid:commentId w16cid:paraId="2B329A8D" w16cid:durableId="25893009"/>
  <w16cid:commentId w16cid:paraId="4CE5E0B6" w16cid:durableId="256D84AE"/>
  <w16cid:commentId w16cid:paraId="1C10182F" w16cid:durableId="257FF897"/>
  <w16cid:commentId w16cid:paraId="759258FE" w16cid:durableId="256D97A0"/>
  <w16cid:commentId w16cid:paraId="7DAA8CFF" w16cid:durableId="2589455F"/>
  <w16cid:commentId w16cid:paraId="0A8E1A16" w16cid:durableId="2593CEF0"/>
  <w16cid:commentId w16cid:paraId="4F4607CF" w16cid:durableId="2593CD83"/>
  <w16cid:commentId w16cid:paraId="77AF6CB6" w16cid:durableId="25950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223D" w14:textId="77777777" w:rsidR="007E7B02" w:rsidRDefault="007E7B02" w:rsidP="00F255EE">
      <w:pPr>
        <w:spacing w:after="0" w:line="240" w:lineRule="auto"/>
      </w:pPr>
      <w:r>
        <w:separator/>
      </w:r>
    </w:p>
  </w:endnote>
  <w:endnote w:type="continuationSeparator" w:id="0">
    <w:p w14:paraId="21B46400" w14:textId="77777777" w:rsidR="007E7B02" w:rsidRDefault="007E7B02" w:rsidP="00F255EE">
      <w:pPr>
        <w:spacing w:after="0" w:line="240" w:lineRule="auto"/>
      </w:pPr>
      <w:r>
        <w:continuationSeparator/>
      </w:r>
    </w:p>
  </w:endnote>
  <w:endnote w:id="1">
    <w:p w14:paraId="647348B7" w14:textId="77777777" w:rsidR="00F255EE" w:rsidRPr="00286599" w:rsidRDefault="00F255EE" w:rsidP="00F255EE">
      <w:pPr>
        <w:autoSpaceDE w:val="0"/>
        <w:autoSpaceDN w:val="0"/>
        <w:bidi w:val="0"/>
        <w:adjustRightInd w:val="0"/>
        <w:spacing w:after="0" w:line="240" w:lineRule="auto"/>
        <w:jc w:val="both"/>
        <w:rPr>
          <w:rFonts w:asciiTheme="majorBidi" w:hAnsiTheme="majorBidi" w:cstheme="majorBidi"/>
          <w:b/>
          <w:bCs/>
          <w:sz w:val="20"/>
          <w:szCs w:val="20"/>
        </w:rPr>
      </w:pPr>
      <w:r w:rsidRPr="00286599">
        <w:rPr>
          <w:rFonts w:asciiTheme="majorBidi" w:hAnsiTheme="majorBidi" w:cstheme="majorBidi"/>
          <w:b/>
          <w:bCs/>
          <w:sz w:val="20"/>
          <w:szCs w:val="20"/>
        </w:rPr>
        <w:t>Notes</w:t>
      </w:r>
    </w:p>
    <w:p w14:paraId="35B97BBC" w14:textId="77777777" w:rsidR="00F255EE" w:rsidRPr="00286599" w:rsidRDefault="00F255EE" w:rsidP="00F255EE">
      <w:pPr>
        <w:autoSpaceDE w:val="0"/>
        <w:autoSpaceDN w:val="0"/>
        <w:bidi w:val="0"/>
        <w:adjustRightInd w:val="0"/>
        <w:spacing w:after="0" w:line="240" w:lineRule="auto"/>
        <w:jc w:val="both"/>
        <w:rPr>
          <w:rFonts w:asciiTheme="majorBidi" w:hAnsiTheme="majorBidi" w:cstheme="majorBidi"/>
          <w:sz w:val="20"/>
          <w:szCs w:val="20"/>
        </w:rPr>
      </w:pPr>
    </w:p>
    <w:p w14:paraId="27CC9A50" w14:textId="77777777" w:rsidR="00F255EE" w:rsidRPr="00286599" w:rsidRDefault="00F255EE" w:rsidP="00F255EE">
      <w:pPr>
        <w:autoSpaceDE w:val="0"/>
        <w:autoSpaceDN w:val="0"/>
        <w:bidi w:val="0"/>
        <w:adjustRightInd w:val="0"/>
        <w:spacing w:after="0" w:line="240" w:lineRule="auto"/>
        <w:jc w:val="both"/>
        <w:rPr>
          <w:rStyle w:val="a9"/>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This article is based on a lecture delivered by the author, </w:t>
      </w:r>
      <w:r w:rsidRPr="00286599">
        <w:rPr>
          <w:rFonts w:asciiTheme="majorBidi" w:hAnsiTheme="majorBidi" w:cstheme="majorBidi" w:hint="cs"/>
          <w:sz w:val="20"/>
          <w:szCs w:val="20"/>
          <w:rtl/>
        </w:rPr>
        <w:t>“</w:t>
      </w:r>
      <w:r w:rsidRPr="00286599">
        <w:rPr>
          <w:rFonts w:asciiTheme="majorBidi" w:hAnsiTheme="majorBidi" w:cstheme="majorBidi"/>
          <w:sz w:val="20"/>
          <w:szCs w:val="20"/>
        </w:rPr>
        <w:t>Shaming in Rabbinical Court Rulings: A Modern Commentary on Medieval Rabbinic Sanctions in Divorce Cases,” at the British Association for Jewish Studies (BAJS) Conference at Oxford University, “What is Commentary?” July 21-24, 2019.</w:t>
      </w:r>
    </w:p>
    <w:p w14:paraId="6F48BFAF" w14:textId="77777777" w:rsidR="00F255EE" w:rsidRPr="00286599" w:rsidRDefault="00F255EE" w:rsidP="00F255EE">
      <w:pPr>
        <w:pStyle w:val="a7"/>
        <w:tabs>
          <w:tab w:val="right" w:pos="6804"/>
        </w:tabs>
        <w:jc w:val="right"/>
        <w:rPr>
          <w:rFonts w:asciiTheme="majorBidi" w:hAnsiTheme="majorBidi" w:cstheme="majorBidi"/>
        </w:rPr>
      </w:pPr>
    </w:p>
  </w:endnote>
  <w:endnote w:id="2">
    <w:p w14:paraId="54EE877F" w14:textId="77777777" w:rsidR="00F255EE" w:rsidRPr="00286599" w:rsidRDefault="00F255EE" w:rsidP="00F255EE">
      <w:pPr>
        <w:pStyle w:val="a7"/>
        <w:bidi w:val="0"/>
        <w:jc w:val="both"/>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Petah Tikvah DRC </w:t>
      </w:r>
      <w:r w:rsidRPr="00286599">
        <w:rPr>
          <w:rFonts w:asciiTheme="majorBidi" w:hAnsiTheme="majorBidi" w:cstheme="majorBidi" w:hint="cs"/>
          <w:rtl/>
        </w:rPr>
        <w:t>907872/1</w:t>
      </w:r>
      <w:r w:rsidRPr="00286599">
        <w:rPr>
          <w:rFonts w:asciiTheme="majorBidi" w:hAnsiTheme="majorBidi" w:cstheme="majorBidi"/>
        </w:rPr>
        <w:t>.</w:t>
      </w:r>
    </w:p>
    <w:p w14:paraId="5DD0F4C4" w14:textId="77777777" w:rsidR="00F255EE" w:rsidRPr="00286599" w:rsidRDefault="00F255EE" w:rsidP="00F255EE">
      <w:pPr>
        <w:pStyle w:val="a7"/>
        <w:jc w:val="right"/>
        <w:rPr>
          <w:rFonts w:asciiTheme="majorBidi" w:hAnsiTheme="majorBidi" w:cstheme="majorBidi"/>
        </w:rPr>
      </w:pPr>
    </w:p>
  </w:endnote>
  <w:endnote w:id="3">
    <w:p w14:paraId="344AF70B" w14:textId="77777777" w:rsidR="00F255EE" w:rsidRPr="00286599" w:rsidRDefault="00F255EE" w:rsidP="00F255EE">
      <w:pPr>
        <w:pStyle w:val="a7"/>
        <w:jc w:val="right"/>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GRC 975433/1.</w:t>
      </w:r>
    </w:p>
  </w:endnote>
  <w:endnote w:id="4">
    <w:p w14:paraId="3AF433CB" w14:textId="77777777" w:rsidR="00F255EE" w:rsidRPr="00286599" w:rsidRDefault="00F255EE" w:rsidP="00F255EE">
      <w:pPr>
        <w:pStyle w:val="a7"/>
        <w:bidi w:val="0"/>
        <w:jc w:val="both"/>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Haifa DRC </w:t>
      </w:r>
      <w:r w:rsidRPr="00286599">
        <w:rPr>
          <w:rFonts w:asciiTheme="majorBidi" w:hAnsiTheme="majorBidi" w:cstheme="majorBidi" w:hint="cs"/>
          <w:rtl/>
        </w:rPr>
        <w:t>907872/1</w:t>
      </w:r>
      <w:r w:rsidRPr="00286599">
        <w:rPr>
          <w:rFonts w:asciiTheme="majorBidi" w:hAnsiTheme="majorBidi" w:cstheme="majorBidi"/>
        </w:rPr>
        <w:t>.</w:t>
      </w:r>
    </w:p>
    <w:p w14:paraId="4573C192" w14:textId="77777777" w:rsidR="00F255EE" w:rsidRPr="00286599" w:rsidRDefault="00F255EE" w:rsidP="00F255EE">
      <w:pPr>
        <w:pStyle w:val="a7"/>
        <w:jc w:val="right"/>
        <w:rPr>
          <w:rFonts w:asciiTheme="majorBidi" w:hAnsiTheme="majorBidi" w:cstheme="majorBidi"/>
          <w:highlight w:val="yellow"/>
        </w:rPr>
      </w:pPr>
      <w:r w:rsidRPr="00286599">
        <w:rPr>
          <w:rFonts w:asciiTheme="majorBidi" w:hAnsiTheme="majorBidi" w:cstheme="majorBidi"/>
        </w:rPr>
        <w:t xml:space="preserve"> </w:t>
      </w:r>
    </w:p>
  </w:endnote>
  <w:endnote w:id="5">
    <w:p w14:paraId="04D5DB2E" w14:textId="77777777" w:rsidR="00F255EE" w:rsidRPr="00286599" w:rsidRDefault="00F255EE" w:rsidP="00F255EE">
      <w:pPr>
        <w:pStyle w:val="a7"/>
        <w:jc w:val="right"/>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GRC 975433/1.</w:t>
      </w:r>
    </w:p>
  </w:endnote>
  <w:endnote w:id="6">
    <w:p w14:paraId="1B461EB9" w14:textId="77777777" w:rsidR="00F255EE" w:rsidRPr="00286599" w:rsidRDefault="00F255EE" w:rsidP="00F255EE">
      <w:pPr>
        <w:pStyle w:val="a7"/>
        <w:jc w:val="right"/>
        <w:rPr>
          <w:rFonts w:asciiTheme="majorBidi" w:hAnsiTheme="majorBidi" w:cstheme="majorBidi"/>
          <w:rtl/>
        </w:rPr>
      </w:pPr>
      <w:r w:rsidRPr="00286599">
        <w:rPr>
          <w:rStyle w:val="a9"/>
          <w:rFonts w:asciiTheme="majorBidi" w:hAnsiTheme="majorBidi" w:cstheme="majorBidi"/>
        </w:rPr>
        <w:endnoteRef/>
      </w:r>
      <w:r w:rsidRPr="00286599">
        <w:rPr>
          <w:rFonts w:asciiTheme="majorBidi" w:hAnsiTheme="majorBidi" w:cstheme="majorBidi"/>
        </w:rPr>
        <w:t xml:space="preserve">   Zilberg, </w:t>
      </w:r>
      <w:r w:rsidRPr="00286599">
        <w:rPr>
          <w:rFonts w:asciiTheme="majorBidi" w:hAnsiTheme="majorBidi" w:cstheme="majorBidi"/>
          <w:i/>
          <w:iCs/>
        </w:rPr>
        <w:t>Personal Status in Israel,</w:t>
      </w:r>
      <w:r w:rsidRPr="00286599">
        <w:rPr>
          <w:rFonts w:asciiTheme="majorBidi" w:hAnsiTheme="majorBidi" w:cstheme="majorBidi"/>
        </w:rPr>
        <w:t xml:space="preserve"> 102-103; </w:t>
      </w:r>
      <w:r w:rsidRPr="00286599">
        <w:rPr>
          <w:rFonts w:asciiTheme="majorBidi" w:hAnsiTheme="majorBidi" w:cstheme="majorBidi"/>
          <w:lang w:val="en-CA"/>
        </w:rPr>
        <w:t>Schereschewsky</w:t>
      </w:r>
      <w:r w:rsidRPr="00286599">
        <w:rPr>
          <w:rFonts w:asciiTheme="majorBidi" w:hAnsiTheme="majorBidi" w:cstheme="majorBidi"/>
        </w:rPr>
        <w:t xml:space="preserve">, </w:t>
      </w:r>
      <w:r w:rsidRPr="00286599">
        <w:rPr>
          <w:rFonts w:asciiTheme="majorBidi" w:hAnsiTheme="majorBidi" w:cstheme="majorBidi"/>
          <w:i/>
          <w:iCs/>
        </w:rPr>
        <w:t>Family Law</w:t>
      </w:r>
      <w:r w:rsidRPr="00286599">
        <w:rPr>
          <w:rFonts w:asciiTheme="majorBidi" w:hAnsiTheme="majorBidi" w:cstheme="majorBidi"/>
        </w:rPr>
        <w:t xml:space="preserve">, 280-281. </w:t>
      </w:r>
    </w:p>
  </w:endnote>
  <w:endnote w:id="7">
    <w:p w14:paraId="6C155CB9" w14:textId="77777777" w:rsidR="00F255EE" w:rsidRDefault="00F255EE" w:rsidP="00F255EE">
      <w:pPr>
        <w:pStyle w:val="a7"/>
        <w:jc w:val="right"/>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Deuteronomy 24:1.</w:t>
      </w:r>
    </w:p>
    <w:p w14:paraId="0A9303EC" w14:textId="77777777" w:rsidR="00F255EE" w:rsidRPr="00286599" w:rsidRDefault="00F255EE" w:rsidP="00F255EE">
      <w:pPr>
        <w:pStyle w:val="a7"/>
        <w:jc w:val="right"/>
        <w:rPr>
          <w:rFonts w:asciiTheme="majorBidi" w:hAnsiTheme="majorBidi" w:cstheme="majorBidi"/>
          <w:rtl/>
        </w:rPr>
      </w:pPr>
      <w:r w:rsidRPr="00286599">
        <w:rPr>
          <w:rFonts w:asciiTheme="majorBidi" w:hAnsiTheme="majorBidi" w:cstheme="majorBidi"/>
        </w:rPr>
        <w:t xml:space="preserve"> </w:t>
      </w:r>
    </w:p>
  </w:endnote>
  <w:endnote w:id="8">
    <w:p w14:paraId="450A18A0" w14:textId="77777777" w:rsidR="00F255EE" w:rsidRDefault="00F255EE" w:rsidP="00F255EE">
      <w:pPr>
        <w:pStyle w:val="a7"/>
        <w:jc w:val="right"/>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Maimonides, </w:t>
      </w:r>
      <w:r w:rsidRPr="00286599">
        <w:rPr>
          <w:rFonts w:asciiTheme="majorBidi" w:hAnsiTheme="majorBidi" w:cstheme="majorBidi"/>
          <w:i/>
          <w:iCs/>
        </w:rPr>
        <w:t>Commentary on the Mishna</w:t>
      </w:r>
      <w:r w:rsidRPr="00286599">
        <w:rPr>
          <w:rFonts w:asciiTheme="majorBidi" w:hAnsiTheme="majorBidi" w:cstheme="majorBidi"/>
        </w:rPr>
        <w:t>, Gittin, chapter 5, mishna 2.</w:t>
      </w:r>
    </w:p>
    <w:p w14:paraId="2F5F8C31" w14:textId="77777777" w:rsidR="00F255EE" w:rsidRPr="00286599" w:rsidRDefault="00F255EE" w:rsidP="00F255EE">
      <w:pPr>
        <w:pStyle w:val="a7"/>
        <w:jc w:val="right"/>
        <w:rPr>
          <w:rFonts w:asciiTheme="majorBidi" w:hAnsiTheme="majorBidi" w:cstheme="majorBidi"/>
          <w:rtl/>
        </w:rPr>
      </w:pPr>
      <w:r w:rsidRPr="00286599">
        <w:rPr>
          <w:rStyle w:val="a9"/>
          <w:rFonts w:asciiTheme="majorBidi" w:hAnsiTheme="majorBidi" w:cstheme="majorBidi"/>
        </w:rPr>
        <w:t xml:space="preserve"> </w:t>
      </w:r>
    </w:p>
  </w:endnote>
  <w:endnote w:id="9">
    <w:p w14:paraId="7F91F403" w14:textId="02A5B8DA" w:rsidR="00F255EE" w:rsidRPr="00286599" w:rsidRDefault="00F255EE" w:rsidP="00F255EE">
      <w:pPr>
        <w:spacing w:line="240" w:lineRule="auto"/>
        <w:jc w:val="right"/>
        <w:rPr>
          <w:rFonts w:asciiTheme="majorBidi" w:hAnsiTheme="majorBidi" w:cstheme="majorBidi"/>
          <w:sz w:val="20"/>
          <w:szCs w:val="20"/>
          <w:rtl/>
        </w:rPr>
      </w:pPr>
      <w:r w:rsidRPr="00286599">
        <w:rPr>
          <w:rStyle w:val="a9"/>
          <w:sz w:val="20"/>
          <w:szCs w:val="20"/>
        </w:rPr>
        <w:endnoteRef/>
      </w:r>
      <w:r w:rsidRPr="00286599">
        <w:rPr>
          <w:rFonts w:asciiTheme="majorBidi" w:hAnsiTheme="majorBidi" w:cstheme="majorBidi"/>
          <w:sz w:val="20"/>
          <w:szCs w:val="20"/>
        </w:rPr>
        <w:t xml:space="preserve">  Gittin 88b; Mishne Torah, Divorce Laws, 5:20; Tur Shulhan Aruch Even ha’Ezer,</w:t>
      </w:r>
      <w:r w:rsidRPr="00286599">
        <w:rPr>
          <w:rFonts w:asciiTheme="majorBidi" w:hAnsiTheme="majorBidi" w:cstheme="majorBidi"/>
          <w:i/>
          <w:iCs/>
          <w:sz w:val="20"/>
          <w:szCs w:val="20"/>
        </w:rPr>
        <w:t xml:space="preserve"> </w:t>
      </w:r>
      <w:r w:rsidRPr="00286599">
        <w:rPr>
          <w:rFonts w:asciiTheme="majorBidi" w:hAnsiTheme="majorBidi" w:cstheme="majorBidi"/>
          <w:sz w:val="20"/>
          <w:szCs w:val="20"/>
        </w:rPr>
        <w:t xml:space="preserve">134.5-7; Tur Shulhan Aruch Even ha’Ezer, 154.21.  A </w:t>
      </w:r>
      <w:r w:rsidRPr="00286599">
        <w:rPr>
          <w:rFonts w:asciiTheme="majorBidi" w:hAnsiTheme="majorBidi" w:cstheme="majorBidi"/>
          <w:i/>
          <w:iCs/>
          <w:sz w:val="20"/>
          <w:szCs w:val="20"/>
        </w:rPr>
        <w:t xml:space="preserve">get </w:t>
      </w:r>
      <w:r w:rsidRPr="00286599">
        <w:rPr>
          <w:rFonts w:asciiTheme="majorBidi" w:hAnsiTheme="majorBidi" w:cstheme="majorBidi"/>
          <w:sz w:val="20"/>
          <w:szCs w:val="20"/>
        </w:rPr>
        <w:t xml:space="preserve">can be classified as coerced if physical or economic force is imposed on the recalcitrant husband which are not aligned with directives of Jewish law.  See Kaplan and Perry, “Tort Liability,” 773-869; Rabbi Uriel Lavi, “Arranging a </w:t>
      </w:r>
      <w:r w:rsidRPr="00286599">
        <w:rPr>
          <w:rFonts w:asciiTheme="majorBidi" w:hAnsiTheme="majorBidi" w:cstheme="majorBidi"/>
          <w:i/>
          <w:iCs/>
          <w:sz w:val="20"/>
          <w:szCs w:val="20"/>
        </w:rPr>
        <w:t>Get,</w:t>
      </w:r>
      <w:r w:rsidRPr="00286599">
        <w:rPr>
          <w:rFonts w:asciiTheme="majorBidi" w:hAnsiTheme="majorBidi" w:cstheme="majorBidi"/>
          <w:sz w:val="20"/>
          <w:szCs w:val="20"/>
        </w:rPr>
        <w:t>” 160-162; Dykowski, “Financial Enforcement,”173-179; Rabbi Yosef Goldberg, “</w:t>
      </w:r>
      <w:proofErr w:type="spellStart"/>
      <w:r w:rsidRPr="00286599">
        <w:rPr>
          <w:rFonts w:asciiTheme="majorBidi" w:hAnsiTheme="majorBidi" w:cstheme="majorBidi"/>
          <w:sz w:val="20"/>
          <w:szCs w:val="20"/>
        </w:rPr>
        <w:t>Rabbeinu</w:t>
      </w:r>
      <w:proofErr w:type="spellEnd"/>
      <w:r w:rsidRPr="00286599">
        <w:rPr>
          <w:rFonts w:asciiTheme="majorBidi" w:hAnsiTheme="majorBidi" w:cstheme="majorBidi"/>
          <w:sz w:val="20"/>
          <w:szCs w:val="20"/>
        </w:rPr>
        <w:t xml:space="preserve"> Tam</w:t>
      </w:r>
      <w:r w:rsidR="00B07285" w:rsidRPr="00286599">
        <w:rPr>
          <w:rFonts w:asciiTheme="majorBidi" w:hAnsiTheme="majorBidi" w:cstheme="majorBidi"/>
          <w:sz w:val="20"/>
          <w:szCs w:val="20"/>
        </w:rPr>
        <w:t>”</w:t>
      </w:r>
      <w:r w:rsidRPr="00286599">
        <w:rPr>
          <w:rFonts w:asciiTheme="majorBidi" w:hAnsiTheme="majorBidi" w:cstheme="majorBidi"/>
          <w:sz w:val="20"/>
          <w:szCs w:val="20"/>
        </w:rPr>
        <w:t>, 265 onwards.</w:t>
      </w:r>
    </w:p>
  </w:endnote>
  <w:endnote w:id="10">
    <w:p w14:paraId="1D4B0A7B" w14:textId="77777777" w:rsidR="00F255EE" w:rsidRPr="00286599" w:rsidRDefault="00F255EE" w:rsidP="00F255EE">
      <w:pPr>
        <w:bidi w:val="0"/>
        <w:spacing w:after="0" w:line="240" w:lineRule="auto"/>
        <w:jc w:val="both"/>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Assistant" w:hAnsi="Assistant" w:cs="Assistant"/>
          <w:color w:val="333333"/>
          <w:sz w:val="20"/>
          <w:szCs w:val="20"/>
          <w:shd w:val="clear" w:color="auto" w:fill="FFFFFF"/>
        </w:rPr>
        <w:t xml:space="preserve"> </w:t>
      </w:r>
      <w:r w:rsidRPr="00286599">
        <w:rPr>
          <w:rFonts w:asciiTheme="majorBidi" w:hAnsiTheme="majorBidi" w:cstheme="majorBidi"/>
          <w:sz w:val="20"/>
          <w:szCs w:val="20"/>
        </w:rPr>
        <w:t>The central list of claims for compelling a husband to grant a divorce is found in Mishna Ketubot, chap. 7, mishna 10, which is mentioned in Ketubot 77a; Tur Shulhan Aruch,</w:t>
      </w:r>
      <w:r>
        <w:rPr>
          <w:rFonts w:asciiTheme="majorBidi" w:hAnsiTheme="majorBidi" w:cstheme="majorBidi"/>
          <w:sz w:val="20"/>
          <w:szCs w:val="20"/>
        </w:rPr>
        <w:t xml:space="preserve"> </w:t>
      </w:r>
      <w:r w:rsidRPr="00286599">
        <w:rPr>
          <w:rFonts w:asciiTheme="majorBidi" w:hAnsiTheme="majorBidi" w:cstheme="majorBidi"/>
          <w:sz w:val="20"/>
          <w:szCs w:val="20"/>
        </w:rPr>
        <w:t>Even ha’Ezer, 154.1-20.</w:t>
      </w:r>
    </w:p>
    <w:p w14:paraId="62DDE008" w14:textId="77777777" w:rsidR="00F255EE" w:rsidRPr="00286599" w:rsidRDefault="00F255EE" w:rsidP="00F255EE">
      <w:pPr>
        <w:bidi w:val="0"/>
        <w:spacing w:after="0" w:line="240" w:lineRule="auto"/>
        <w:jc w:val="both"/>
        <w:rPr>
          <w:rFonts w:asciiTheme="majorBidi" w:hAnsiTheme="majorBidi" w:cstheme="majorBidi"/>
          <w:sz w:val="20"/>
          <w:szCs w:val="20"/>
        </w:rPr>
      </w:pPr>
    </w:p>
  </w:endnote>
  <w:endnote w:id="11">
    <w:p w14:paraId="74E87A74" w14:textId="13A06733" w:rsidR="00F255EE" w:rsidRPr="00286599" w:rsidRDefault="00F255EE" w:rsidP="00234D3F">
      <w:pPr>
        <w:bidi w:val="0"/>
        <w:spacing w:after="0" w:line="240" w:lineRule="auto"/>
        <w:jc w:val="both"/>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bookmarkStart w:id="5" w:name="_Hlk79405819"/>
      <w:r w:rsidRPr="00286599">
        <w:rPr>
          <w:rFonts w:asciiTheme="majorBidi" w:hAnsiTheme="majorBidi" w:cstheme="majorBidi"/>
          <w:sz w:val="20"/>
          <w:szCs w:val="20"/>
        </w:rPr>
        <w:t>PT Gittin chap. 9, halacha 9</w:t>
      </w:r>
      <w:r w:rsidR="00234D3F">
        <w:rPr>
          <w:rFonts w:asciiTheme="majorBidi" w:hAnsiTheme="majorBidi" w:cstheme="majorBidi"/>
          <w:sz w:val="20"/>
          <w:szCs w:val="20"/>
        </w:rPr>
        <w:t>;</w:t>
      </w:r>
      <w:r w:rsidRPr="00286599">
        <w:rPr>
          <w:rFonts w:asciiTheme="majorBidi" w:hAnsiTheme="majorBidi" w:cstheme="majorBidi"/>
          <w:sz w:val="20"/>
          <w:szCs w:val="20"/>
        </w:rPr>
        <w:t xml:space="preserve"> Rosh in Ketubot chap. 7, </w:t>
      </w:r>
      <w:proofErr w:type="spellStart"/>
      <w:r w:rsidRPr="00286599">
        <w:rPr>
          <w:rFonts w:asciiTheme="majorBidi" w:hAnsiTheme="majorBidi" w:cstheme="majorBidi"/>
          <w:sz w:val="20"/>
          <w:szCs w:val="20"/>
        </w:rPr>
        <w:t>siman</w:t>
      </w:r>
      <w:proofErr w:type="spellEnd"/>
      <w:r w:rsidRPr="00286599">
        <w:rPr>
          <w:rFonts w:asciiTheme="majorBidi" w:hAnsiTheme="majorBidi" w:cstheme="majorBidi"/>
          <w:sz w:val="20"/>
          <w:szCs w:val="20"/>
        </w:rPr>
        <w:t xml:space="preserve"> 29</w:t>
      </w:r>
      <w:r>
        <w:rPr>
          <w:rFonts w:asciiTheme="majorBidi" w:hAnsiTheme="majorBidi" w:cstheme="majorBidi"/>
          <w:sz w:val="20"/>
          <w:szCs w:val="20"/>
        </w:rPr>
        <w:t xml:space="preserve">; </w:t>
      </w:r>
      <w:r w:rsidRPr="00286599">
        <w:rPr>
          <w:rFonts w:asciiTheme="majorBidi" w:hAnsiTheme="majorBidi" w:cstheme="majorBidi"/>
          <w:sz w:val="20"/>
          <w:szCs w:val="20"/>
        </w:rPr>
        <w:t>the</w:t>
      </w:r>
      <w:r w:rsidR="004319FF">
        <w:rPr>
          <w:rFonts w:asciiTheme="majorBidi" w:hAnsiTheme="majorBidi" w:cstheme="majorBidi"/>
          <w:sz w:val="20"/>
          <w:szCs w:val="20"/>
        </w:rPr>
        <w:t xml:space="preserve"> </w:t>
      </w:r>
      <w:r w:rsidR="004319FF" w:rsidRPr="00286599">
        <w:rPr>
          <w:rFonts w:asciiTheme="majorBidi" w:hAnsiTheme="majorBidi" w:cstheme="majorBidi"/>
          <w:sz w:val="20"/>
          <w:szCs w:val="20"/>
        </w:rPr>
        <w:t>Rosh</w:t>
      </w:r>
      <w:r w:rsidRPr="00286599">
        <w:rPr>
          <w:rFonts w:asciiTheme="majorBidi" w:hAnsiTheme="majorBidi" w:cstheme="majorBidi"/>
          <w:sz w:val="20"/>
          <w:szCs w:val="20"/>
        </w:rPr>
        <w:t xml:space="preserve"> Responsa, 42.1</w:t>
      </w:r>
      <w:r>
        <w:rPr>
          <w:rFonts w:asciiTheme="majorBidi" w:hAnsiTheme="majorBidi" w:cstheme="majorBidi"/>
          <w:sz w:val="20"/>
          <w:szCs w:val="20"/>
        </w:rPr>
        <w:t xml:space="preserve">; </w:t>
      </w:r>
      <w:r w:rsidRPr="00286599">
        <w:rPr>
          <w:rFonts w:asciiTheme="majorBidi" w:hAnsiTheme="majorBidi" w:cstheme="majorBidi"/>
          <w:sz w:val="20"/>
          <w:szCs w:val="20"/>
        </w:rPr>
        <w:t>the</w:t>
      </w:r>
      <w:r w:rsidR="004319FF" w:rsidRPr="00286599">
        <w:rPr>
          <w:rFonts w:asciiTheme="majorBidi" w:hAnsiTheme="majorBidi" w:cstheme="majorBidi"/>
          <w:sz w:val="20"/>
          <w:szCs w:val="20"/>
        </w:rPr>
        <w:t xml:space="preserve"> </w:t>
      </w:r>
      <w:proofErr w:type="spellStart"/>
      <w:r w:rsidR="004319FF" w:rsidRPr="00286599">
        <w:rPr>
          <w:rFonts w:asciiTheme="majorBidi" w:hAnsiTheme="majorBidi" w:cstheme="majorBidi"/>
          <w:sz w:val="20"/>
          <w:szCs w:val="20"/>
        </w:rPr>
        <w:t>Tashbez</w:t>
      </w:r>
      <w:proofErr w:type="spellEnd"/>
      <w:r w:rsidRPr="00286599">
        <w:rPr>
          <w:rFonts w:asciiTheme="majorBidi" w:hAnsiTheme="majorBidi" w:cstheme="majorBidi"/>
          <w:sz w:val="20"/>
          <w:szCs w:val="20"/>
        </w:rPr>
        <w:t xml:space="preserve"> Responsa, 2, 8</w:t>
      </w:r>
      <w:r>
        <w:rPr>
          <w:rFonts w:asciiTheme="majorBidi" w:hAnsiTheme="majorBidi" w:cstheme="majorBidi"/>
          <w:sz w:val="20"/>
          <w:szCs w:val="20"/>
        </w:rPr>
        <w:t xml:space="preserve">; </w:t>
      </w:r>
      <w:r w:rsidRPr="00286599">
        <w:rPr>
          <w:rFonts w:asciiTheme="majorBidi" w:hAnsiTheme="majorBidi" w:cstheme="majorBidi"/>
          <w:sz w:val="20"/>
          <w:szCs w:val="20"/>
        </w:rPr>
        <w:t xml:space="preserve">The </w:t>
      </w:r>
      <w:proofErr w:type="spellStart"/>
      <w:r w:rsidRPr="00286599">
        <w:rPr>
          <w:rFonts w:asciiTheme="majorBidi" w:hAnsiTheme="majorBidi" w:cstheme="majorBidi"/>
          <w:sz w:val="20"/>
          <w:szCs w:val="20"/>
        </w:rPr>
        <w:t>Maharit</w:t>
      </w:r>
      <w:proofErr w:type="spellEnd"/>
      <w:r w:rsidR="004319FF" w:rsidRPr="004319FF">
        <w:rPr>
          <w:rFonts w:asciiTheme="majorBidi" w:hAnsiTheme="majorBidi" w:cstheme="majorBidi"/>
          <w:sz w:val="20"/>
          <w:szCs w:val="20"/>
        </w:rPr>
        <w:t xml:space="preserve"> Responsa</w:t>
      </w:r>
      <w:r w:rsidR="004319FF">
        <w:rPr>
          <w:rFonts w:asciiTheme="majorBidi" w:hAnsiTheme="majorBidi" w:cstheme="majorBidi"/>
          <w:sz w:val="20"/>
          <w:szCs w:val="20"/>
        </w:rPr>
        <w:t xml:space="preserve"> </w:t>
      </w:r>
      <w:r w:rsidRPr="00286599">
        <w:rPr>
          <w:rFonts w:asciiTheme="majorBidi" w:hAnsiTheme="majorBidi" w:cstheme="majorBidi"/>
          <w:sz w:val="20"/>
          <w:szCs w:val="20"/>
        </w:rPr>
        <w:t>, 1, 113: Rabbi Alexandri Hacohen (Maharzach), Sefer Hagudah</w:t>
      </w:r>
      <w:r>
        <w:rPr>
          <w:rFonts w:asciiTheme="majorBidi" w:hAnsiTheme="majorBidi" w:cstheme="majorBidi"/>
          <w:sz w:val="20"/>
          <w:szCs w:val="20"/>
        </w:rPr>
        <w:t xml:space="preserve">, </w:t>
      </w:r>
      <w:r w:rsidRPr="00286599">
        <w:rPr>
          <w:rFonts w:asciiTheme="majorBidi" w:hAnsiTheme="majorBidi" w:cstheme="majorBidi"/>
          <w:sz w:val="20"/>
          <w:szCs w:val="20"/>
        </w:rPr>
        <w:t>Yevamot 65b; Rabbi Eliezer Waldenberg, Tzitz Eliezer Responsa, 6, 42, Orhot Hamishpatim, 3</w:t>
      </w:r>
      <w:r>
        <w:rPr>
          <w:rFonts w:asciiTheme="majorBidi" w:hAnsiTheme="majorBidi" w:cstheme="majorBidi"/>
          <w:sz w:val="20"/>
          <w:szCs w:val="20"/>
        </w:rPr>
        <w:t>;</w:t>
      </w:r>
      <w:r w:rsidRPr="00862AB7">
        <w:rPr>
          <w:rFonts w:asciiTheme="majorBidi" w:hAnsiTheme="majorBidi" w:cstheme="majorBidi"/>
          <w:sz w:val="20"/>
          <w:szCs w:val="20"/>
        </w:rPr>
        <w:t xml:space="preserve"> </w:t>
      </w:r>
      <w:r w:rsidRPr="00286599">
        <w:rPr>
          <w:rFonts w:asciiTheme="majorBidi" w:hAnsiTheme="majorBidi" w:cstheme="majorBidi"/>
          <w:sz w:val="20"/>
          <w:szCs w:val="20"/>
        </w:rPr>
        <w:t xml:space="preserve">Rabbi Waldenberg in </w:t>
      </w:r>
      <w:r w:rsidRPr="00286599">
        <w:rPr>
          <w:rFonts w:asciiTheme="majorBidi" w:hAnsiTheme="majorBidi" w:cstheme="majorBidi"/>
          <w:i/>
          <w:iCs/>
          <w:sz w:val="20"/>
          <w:szCs w:val="20"/>
        </w:rPr>
        <w:t>Piskei Din Rabaniyim</w:t>
      </w:r>
      <w:r w:rsidRPr="00286599">
        <w:rPr>
          <w:rFonts w:asciiTheme="majorBidi" w:hAnsiTheme="majorBidi" w:cstheme="majorBidi"/>
          <w:sz w:val="20"/>
          <w:szCs w:val="20"/>
        </w:rPr>
        <w:t>, 8, 216, conclusion 4</w:t>
      </w:r>
      <w:r>
        <w:rPr>
          <w:rFonts w:asciiTheme="majorBidi" w:hAnsiTheme="majorBidi" w:cstheme="majorBidi"/>
          <w:sz w:val="20"/>
          <w:szCs w:val="20"/>
        </w:rPr>
        <w:t xml:space="preserve">; </w:t>
      </w:r>
      <w:r w:rsidRPr="00286599">
        <w:rPr>
          <w:rFonts w:asciiTheme="majorBidi" w:hAnsiTheme="majorBidi" w:cstheme="majorBidi"/>
          <w:sz w:val="20"/>
          <w:szCs w:val="20"/>
        </w:rPr>
        <w:t>Warhaftig, “A Collection of Rulings,” 79-81</w:t>
      </w:r>
      <w:r>
        <w:rPr>
          <w:rFonts w:asciiTheme="majorBidi" w:hAnsiTheme="majorBidi" w:cstheme="majorBidi"/>
          <w:sz w:val="20"/>
          <w:szCs w:val="20"/>
        </w:rPr>
        <w:t>;</w:t>
      </w:r>
      <w:r w:rsidRPr="00286599">
        <w:rPr>
          <w:rFonts w:asciiTheme="majorBidi" w:hAnsiTheme="majorBidi" w:cstheme="majorBidi"/>
          <w:sz w:val="20"/>
          <w:szCs w:val="20"/>
        </w:rPr>
        <w:t xml:space="preserve"> Elizur, “Rosh’s Approach,” 125-153</w:t>
      </w:r>
      <w:r>
        <w:rPr>
          <w:rFonts w:asciiTheme="majorBidi" w:hAnsiTheme="majorBidi" w:cstheme="majorBidi"/>
          <w:sz w:val="20"/>
          <w:szCs w:val="20"/>
        </w:rPr>
        <w:t xml:space="preserve">; </w:t>
      </w:r>
      <w:r w:rsidRPr="00286599">
        <w:rPr>
          <w:rFonts w:asciiTheme="majorBidi" w:hAnsiTheme="majorBidi" w:cstheme="majorBidi"/>
          <w:sz w:val="20"/>
          <w:szCs w:val="20"/>
        </w:rPr>
        <w:t>Sh</w:t>
      </w:r>
      <w:r w:rsidR="00E73E33">
        <w:rPr>
          <w:rFonts w:asciiTheme="majorBidi" w:hAnsiTheme="majorBidi" w:cstheme="majorBidi"/>
          <w:sz w:val="20"/>
          <w:szCs w:val="20"/>
        </w:rPr>
        <w:t xml:space="preserve">ochetman, “Infidelity,” 256-302; </w:t>
      </w:r>
      <w:r w:rsidR="00E73E33" w:rsidRPr="00E73E33">
        <w:rPr>
          <w:rFonts w:asciiTheme="majorBidi" w:hAnsiTheme="majorBidi" w:cstheme="majorBidi"/>
          <w:sz w:val="20"/>
          <w:szCs w:val="20"/>
        </w:rPr>
        <w:t>Halprin Kaddari demonstrates, “Infidelity,” 298-300; 305</w:t>
      </w:r>
      <w:r w:rsidR="001C220B">
        <w:rPr>
          <w:rFonts w:asciiTheme="majorBidi" w:hAnsiTheme="majorBidi" w:cstheme="majorBidi"/>
          <w:sz w:val="20"/>
          <w:szCs w:val="20"/>
        </w:rPr>
        <w:t>.</w:t>
      </w:r>
    </w:p>
    <w:bookmarkEnd w:id="5"/>
  </w:endnote>
  <w:endnote w:id="12">
    <w:p w14:paraId="15AEB565" w14:textId="70F4A560" w:rsidR="00F255EE" w:rsidRPr="00286599" w:rsidRDefault="00F255EE" w:rsidP="00F255EE">
      <w:pPr>
        <w:bidi w:val="0"/>
        <w:spacing w:after="0" w:line="240" w:lineRule="auto"/>
        <w:jc w:val="both"/>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The approach of Maimonides (Mishne Torah, Hilchot Ishut, 14.8) according to which the claim “he is repulsive to me” is sufficient to coerce a </w:t>
      </w:r>
      <w:r w:rsidRPr="00286599">
        <w:rPr>
          <w:rFonts w:asciiTheme="majorBidi" w:hAnsiTheme="majorBidi" w:cstheme="majorBidi"/>
          <w:i/>
          <w:iCs/>
          <w:sz w:val="20"/>
          <w:szCs w:val="20"/>
        </w:rPr>
        <w:t xml:space="preserve">get </w:t>
      </w:r>
      <w:r w:rsidRPr="00286599">
        <w:rPr>
          <w:rFonts w:asciiTheme="majorBidi" w:hAnsiTheme="majorBidi" w:cstheme="majorBidi"/>
          <w:sz w:val="20"/>
          <w:szCs w:val="20"/>
        </w:rPr>
        <w:t xml:space="preserve">was not accepted as halacha, since the majority of </w:t>
      </w:r>
      <w:r w:rsidRPr="00286599">
        <w:rPr>
          <w:rFonts w:asciiTheme="majorBidi" w:hAnsiTheme="majorBidi" w:cstheme="majorBidi"/>
          <w:i/>
          <w:iCs/>
          <w:sz w:val="20"/>
          <w:szCs w:val="20"/>
        </w:rPr>
        <w:t>Rishonim</w:t>
      </w:r>
      <w:r w:rsidRPr="00286599">
        <w:rPr>
          <w:rFonts w:asciiTheme="majorBidi" w:hAnsiTheme="majorBidi" w:cstheme="majorBidi"/>
          <w:sz w:val="20"/>
          <w:szCs w:val="20"/>
        </w:rPr>
        <w:t>, and at their head Rabbeinu Tam dispute this view and compel divorce only for “concrete proven grounds</w:t>
      </w:r>
      <w:proofErr w:type="gramStart"/>
      <w:r w:rsidRPr="00286599">
        <w:rPr>
          <w:rFonts w:asciiTheme="majorBidi" w:hAnsiTheme="majorBidi" w:cstheme="majorBidi"/>
          <w:sz w:val="20"/>
          <w:szCs w:val="20"/>
        </w:rPr>
        <w:t>.”</w:t>
      </w:r>
      <w:r w:rsidR="00F80634">
        <w:rPr>
          <w:rFonts w:asciiTheme="majorBidi" w:hAnsiTheme="majorBidi" w:cstheme="majorBidi"/>
          <w:sz w:val="20"/>
          <w:szCs w:val="20"/>
        </w:rPr>
        <w:t>(</w:t>
      </w:r>
      <w:proofErr w:type="gramEnd"/>
      <w:r w:rsidR="00F80634" w:rsidRPr="00F80634">
        <w:rPr>
          <w:rFonts w:asciiTheme="majorBidi" w:hAnsiTheme="majorBidi" w:cstheme="majorBidi"/>
          <w:i/>
          <w:iCs/>
          <w:sz w:val="20"/>
          <w:szCs w:val="20"/>
        </w:rPr>
        <w:t xml:space="preserve"> </w:t>
      </w:r>
      <w:proofErr w:type="spellStart"/>
      <w:r w:rsidR="00F80634" w:rsidRPr="00286599">
        <w:rPr>
          <w:rFonts w:asciiTheme="majorBidi" w:hAnsiTheme="majorBidi" w:cstheme="majorBidi"/>
          <w:i/>
          <w:iCs/>
          <w:sz w:val="20"/>
          <w:szCs w:val="20"/>
        </w:rPr>
        <w:t>amatla</w:t>
      </w:r>
      <w:proofErr w:type="spellEnd"/>
      <w:r w:rsidR="00F80634" w:rsidRPr="00286599">
        <w:rPr>
          <w:rFonts w:asciiTheme="majorBidi" w:hAnsiTheme="majorBidi" w:cstheme="majorBidi"/>
          <w:i/>
          <w:iCs/>
          <w:sz w:val="20"/>
          <w:szCs w:val="20"/>
        </w:rPr>
        <w:t xml:space="preserve"> </w:t>
      </w:r>
      <w:proofErr w:type="spellStart"/>
      <w:r w:rsidR="00F80634" w:rsidRPr="00286599">
        <w:rPr>
          <w:rFonts w:asciiTheme="majorBidi" w:hAnsiTheme="majorBidi" w:cstheme="majorBidi"/>
          <w:i/>
          <w:iCs/>
          <w:sz w:val="20"/>
          <w:szCs w:val="20"/>
        </w:rPr>
        <w:t>mevoreret</w:t>
      </w:r>
      <w:proofErr w:type="spellEnd"/>
      <w:r w:rsidR="00F80634">
        <w:rPr>
          <w:rFonts w:asciiTheme="majorBidi" w:hAnsiTheme="majorBidi" w:cstheme="majorBidi"/>
          <w:i/>
          <w:iCs/>
          <w:sz w:val="20"/>
          <w:szCs w:val="20"/>
        </w:rPr>
        <w:t>)</w:t>
      </w:r>
      <w:r w:rsidRPr="00286599">
        <w:rPr>
          <w:rFonts w:asciiTheme="majorBidi" w:hAnsiTheme="majorBidi" w:cstheme="majorBidi"/>
          <w:sz w:val="20"/>
          <w:szCs w:val="20"/>
        </w:rPr>
        <w:t xml:space="preserve"> </w:t>
      </w:r>
      <w:r w:rsidRPr="00877E94">
        <w:rPr>
          <w:rFonts w:asciiTheme="majorBidi" w:hAnsiTheme="majorBidi" w:cstheme="majorBidi"/>
          <w:sz w:val="20"/>
          <w:szCs w:val="20"/>
        </w:rPr>
        <w:t>This is the prevailing procedure today in most rabbinic courts.</w:t>
      </w:r>
      <w:r w:rsidRPr="00286599">
        <w:rPr>
          <w:rFonts w:asciiTheme="majorBidi" w:hAnsiTheme="majorBidi" w:cstheme="majorBidi"/>
          <w:sz w:val="20"/>
          <w:szCs w:val="20"/>
        </w:rPr>
        <w:t xml:space="preserve"> See RC 965171/1</w:t>
      </w:r>
      <w:r w:rsidRPr="00A618F1">
        <w:rPr>
          <w:rFonts w:asciiTheme="majorBidi" w:hAnsiTheme="majorBidi" w:cstheme="majorBidi"/>
          <w:sz w:val="20"/>
          <w:szCs w:val="20"/>
        </w:rPr>
        <w:t>.</w:t>
      </w:r>
    </w:p>
  </w:endnote>
  <w:endnote w:id="13">
    <w:p w14:paraId="6A71A3E7" w14:textId="77777777" w:rsidR="00F255EE" w:rsidRPr="00286599" w:rsidRDefault="00F255EE" w:rsidP="00F255EE">
      <w:pPr>
        <w:pStyle w:val="a7"/>
        <w:bidi w:val="0"/>
        <w:jc w:val="both"/>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Rabeinu Yerucham, Meisharim, native 23, part 8.</w:t>
      </w:r>
    </w:p>
  </w:endnote>
  <w:endnote w:id="14">
    <w:p w14:paraId="24A9C84F" w14:textId="77777777" w:rsidR="00F255EE" w:rsidRPr="00286599" w:rsidRDefault="00F255EE" w:rsidP="00F255EE">
      <w:pPr>
        <w:pStyle w:val="a7"/>
        <w:jc w:val="right"/>
        <w:rPr>
          <w:rFonts w:asciiTheme="majorBidi" w:hAnsiTheme="majorBidi" w:cstheme="majorBidi"/>
          <w:rtl/>
        </w:rPr>
      </w:pPr>
      <w:r w:rsidRPr="00286599">
        <w:rPr>
          <w:rStyle w:val="a9"/>
          <w:rFonts w:asciiTheme="majorBidi" w:hAnsiTheme="majorBidi" w:cstheme="majorBidi"/>
        </w:rPr>
        <w:endnoteRef/>
      </w:r>
      <w:r w:rsidRPr="00286599">
        <w:rPr>
          <w:rFonts w:asciiTheme="majorBidi" w:hAnsiTheme="majorBidi" w:cstheme="majorBidi"/>
        </w:rPr>
        <w:t xml:space="preserve"> Rabbi Haim Falaji, Hayim Veshalom Responsa, 2, 112.</w:t>
      </w:r>
    </w:p>
  </w:endnote>
  <w:endnote w:id="15">
    <w:p w14:paraId="20764E0D" w14:textId="23364FA3" w:rsidR="00F255EE" w:rsidRPr="00286599" w:rsidRDefault="00F255EE" w:rsidP="00F255EE">
      <w:pPr>
        <w:bidi w:val="0"/>
        <w:spacing w:after="0" w:line="240" w:lineRule="auto"/>
        <w:jc w:val="both"/>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See GRC 382/54 mentioned in Haifa DRC </w:t>
      </w:r>
      <w:r w:rsidRPr="00286599">
        <w:rPr>
          <w:rFonts w:asciiTheme="majorBidi" w:hAnsiTheme="majorBidi" w:cstheme="majorBidi" w:hint="cs"/>
          <w:sz w:val="20"/>
          <w:szCs w:val="20"/>
          <w:rtl/>
        </w:rPr>
        <w:t>1073218/</w:t>
      </w:r>
      <w:proofErr w:type="gramStart"/>
      <w:r w:rsidRPr="00286599">
        <w:rPr>
          <w:rFonts w:asciiTheme="majorBidi" w:hAnsiTheme="majorBidi" w:cstheme="majorBidi" w:hint="cs"/>
          <w:sz w:val="20"/>
          <w:szCs w:val="20"/>
          <w:rtl/>
        </w:rPr>
        <w:t>1</w:t>
      </w:r>
      <w:r w:rsidRPr="00286599">
        <w:rPr>
          <w:rFonts w:asciiTheme="majorBidi" w:hAnsiTheme="majorBidi" w:cstheme="majorBidi"/>
          <w:sz w:val="20"/>
          <w:szCs w:val="20"/>
        </w:rPr>
        <w:t>,:</w:t>
      </w:r>
      <w:proofErr w:type="gramEnd"/>
      <w:r w:rsidRPr="00286599">
        <w:rPr>
          <w:rFonts w:asciiTheme="majorBidi" w:hAnsiTheme="majorBidi" w:cstheme="majorBidi"/>
          <w:sz w:val="20"/>
          <w:szCs w:val="20"/>
        </w:rPr>
        <w:t xml:space="preserve"> “Absent any chance for reconciliation and domestic harmony, the rabbinic court has no choice but to impose divorce on both parties</w:t>
      </w:r>
      <w:bookmarkStart w:id="6" w:name="_Hlk70457225"/>
      <w:r w:rsidRPr="00286599">
        <w:rPr>
          <w:rFonts w:asciiTheme="majorBidi" w:hAnsiTheme="majorBidi" w:cstheme="majorBidi"/>
          <w:sz w:val="20"/>
          <w:szCs w:val="20"/>
        </w:rPr>
        <w:t xml:space="preserve">. </w:t>
      </w:r>
      <w:r w:rsidRPr="00286599">
        <w:rPr>
          <w:rFonts w:asciiTheme="majorBidi" w:hAnsiTheme="majorBidi" w:cstheme="majorBidi"/>
          <w:i/>
          <w:iCs/>
          <w:sz w:val="20"/>
          <w:szCs w:val="20"/>
        </w:rPr>
        <w:t>The issue is not one-sided blame, but the factual determination that the marriage reached its end and there is no purpose to deal with artificially reviving dead corpses it</w:t>
      </w:r>
      <w:bookmarkEnd w:id="6"/>
      <w:r w:rsidR="00FC5EC8">
        <w:rPr>
          <w:rFonts w:asciiTheme="majorBidi" w:hAnsiTheme="majorBidi" w:cstheme="majorBidi"/>
          <w:i/>
          <w:iCs/>
          <w:sz w:val="20"/>
          <w:szCs w:val="20"/>
        </w:rPr>
        <w:t>"</w:t>
      </w:r>
      <w:r w:rsidRPr="00286599">
        <w:rPr>
          <w:rFonts w:asciiTheme="majorBidi" w:hAnsiTheme="majorBidi" w:cstheme="majorBidi"/>
          <w:sz w:val="20"/>
          <w:szCs w:val="20"/>
        </w:rPr>
        <w:t xml:space="preserve">. Also see the appeal of GRC </w:t>
      </w:r>
      <w:r w:rsidRPr="00286599">
        <w:rPr>
          <w:rFonts w:asciiTheme="majorBidi" w:hAnsiTheme="majorBidi" w:cstheme="majorBidi" w:hint="cs"/>
          <w:sz w:val="20"/>
          <w:szCs w:val="20"/>
          <w:rtl/>
        </w:rPr>
        <w:t>810538/2</w:t>
      </w:r>
      <w:r w:rsidRPr="00286599">
        <w:rPr>
          <w:rFonts w:asciiTheme="majorBidi" w:hAnsiTheme="majorBidi" w:cstheme="majorBidi"/>
          <w:sz w:val="20"/>
          <w:szCs w:val="20"/>
        </w:rPr>
        <w:t xml:space="preserve"> (published in </w:t>
      </w:r>
      <w:proofErr w:type="spellStart"/>
      <w:r w:rsidRPr="00286599">
        <w:rPr>
          <w:rFonts w:asciiTheme="majorBidi" w:hAnsiTheme="majorBidi" w:cstheme="majorBidi"/>
          <w:sz w:val="20"/>
          <w:szCs w:val="20"/>
        </w:rPr>
        <w:t>Nevo</w:t>
      </w:r>
      <w:proofErr w:type="spellEnd"/>
      <w:r w:rsidRPr="00286599">
        <w:rPr>
          <w:rFonts w:asciiTheme="majorBidi" w:hAnsiTheme="majorBidi" w:cstheme="majorBidi"/>
          <w:sz w:val="20"/>
          <w:szCs w:val="20"/>
        </w:rPr>
        <w:t xml:space="preserve">, </w:t>
      </w:r>
      <w:r w:rsidRPr="00286599">
        <w:rPr>
          <w:rFonts w:asciiTheme="majorBidi" w:hAnsiTheme="majorBidi" w:cstheme="majorBidi" w:hint="cs"/>
          <w:sz w:val="20"/>
          <w:szCs w:val="20"/>
          <w:rtl/>
        </w:rPr>
        <w:t>28/4/2011</w:t>
      </w:r>
      <w:r w:rsidR="00606995">
        <w:rPr>
          <w:rFonts w:asciiTheme="majorBidi" w:hAnsiTheme="majorBidi" w:cstheme="majorBidi"/>
          <w:sz w:val="20"/>
          <w:szCs w:val="20"/>
        </w:rPr>
        <w:t>;</w:t>
      </w:r>
      <w:r w:rsidRPr="00286599">
        <w:rPr>
          <w:rFonts w:asciiTheme="majorBidi" w:hAnsiTheme="majorBidi" w:cstheme="majorBidi"/>
          <w:sz w:val="20"/>
          <w:szCs w:val="20"/>
        </w:rPr>
        <w:t xml:space="preserve"> </w:t>
      </w:r>
      <w:proofErr w:type="spellStart"/>
      <w:r w:rsidRPr="00286599">
        <w:rPr>
          <w:rFonts w:asciiTheme="majorBidi" w:hAnsiTheme="majorBidi" w:cstheme="majorBidi"/>
          <w:sz w:val="20"/>
          <w:szCs w:val="20"/>
        </w:rPr>
        <w:t>Weistreich</w:t>
      </w:r>
      <w:proofErr w:type="spellEnd"/>
      <w:r w:rsidRPr="00286599">
        <w:rPr>
          <w:rFonts w:asciiTheme="majorBidi" w:hAnsiTheme="majorBidi" w:cstheme="majorBidi"/>
          <w:sz w:val="20"/>
          <w:szCs w:val="20"/>
        </w:rPr>
        <w:t xml:space="preserve">, </w:t>
      </w:r>
      <w:r w:rsidRPr="00286599">
        <w:rPr>
          <w:rFonts w:asciiTheme="majorBidi" w:hAnsiTheme="majorBidi" w:cstheme="majorBidi"/>
          <w:i/>
          <w:iCs/>
          <w:sz w:val="20"/>
          <w:szCs w:val="20"/>
        </w:rPr>
        <w:t xml:space="preserve">Right to Divorce, </w:t>
      </w:r>
      <w:r w:rsidRPr="00286599">
        <w:rPr>
          <w:rFonts w:asciiTheme="majorBidi" w:hAnsiTheme="majorBidi" w:cstheme="majorBidi"/>
          <w:sz w:val="20"/>
          <w:szCs w:val="20"/>
        </w:rPr>
        <w:t xml:space="preserve">11-95, for an in-depth study of the “dead marriage” claim including its roots, developments and revival in the modern period as a claim for obligating a </w:t>
      </w:r>
      <w:r w:rsidRPr="00286599">
        <w:rPr>
          <w:rFonts w:asciiTheme="majorBidi" w:hAnsiTheme="majorBidi" w:cstheme="majorBidi"/>
          <w:i/>
          <w:iCs/>
          <w:sz w:val="20"/>
          <w:szCs w:val="20"/>
        </w:rPr>
        <w:t>get</w:t>
      </w:r>
      <w:r w:rsidRPr="00286599">
        <w:rPr>
          <w:rFonts w:asciiTheme="majorBidi" w:hAnsiTheme="majorBidi" w:cstheme="majorBidi"/>
          <w:sz w:val="20"/>
          <w:szCs w:val="20"/>
        </w:rPr>
        <w:t xml:space="preserve"> in rabbinic rulings</w:t>
      </w:r>
      <w:r w:rsidR="00606995">
        <w:rPr>
          <w:rFonts w:asciiTheme="majorBidi" w:hAnsiTheme="majorBidi" w:cstheme="majorBidi"/>
          <w:sz w:val="20"/>
          <w:szCs w:val="20"/>
        </w:rPr>
        <w:t>;</w:t>
      </w:r>
      <w:r w:rsidRPr="00286599">
        <w:rPr>
          <w:rFonts w:asciiTheme="majorBidi" w:hAnsiTheme="majorBidi" w:cstheme="majorBidi"/>
          <w:sz w:val="20"/>
          <w:szCs w:val="20"/>
        </w:rPr>
        <w:t xml:space="preserve">  Hacohen “Rescuing the Oppressed,” 35-41; 68-71</w:t>
      </w:r>
      <w:r>
        <w:rPr>
          <w:rFonts w:asciiTheme="majorBidi" w:hAnsiTheme="majorBidi" w:cstheme="majorBidi"/>
          <w:sz w:val="20"/>
          <w:szCs w:val="20"/>
        </w:rPr>
        <w:t>;</w:t>
      </w:r>
      <w:r w:rsidRPr="00286599">
        <w:rPr>
          <w:rFonts w:asciiTheme="majorBidi" w:hAnsiTheme="majorBidi" w:cstheme="majorBidi"/>
          <w:sz w:val="20"/>
          <w:szCs w:val="20"/>
        </w:rPr>
        <w:t xml:space="preserve"> Zilberger and Redziner “Revival,” 134-135; Ibid. 115 note 5, who cite many examples demonstrating that Rabbeinu Yeruham’s approach is increasingly referenced in divorce discussions in Rabbinic courts and mark an important and dominant claim; Ibid. 117, note 17:  In several rabbinic rulings it is even designated as a “custom of the rabbinic court.”</w:t>
      </w:r>
    </w:p>
  </w:endnote>
  <w:endnote w:id="16">
    <w:p w14:paraId="0889273E" w14:textId="7599E8F8" w:rsidR="00343909" w:rsidRPr="00286599" w:rsidRDefault="00343909" w:rsidP="00343909">
      <w:pPr>
        <w:bidi w:val="0"/>
        <w:spacing w:after="0" w:line="240" w:lineRule="auto"/>
        <w:jc w:val="both"/>
        <w:rPr>
          <w:rFonts w:asciiTheme="majorBidi" w:hAnsiTheme="majorBidi" w:cstheme="majorBidi"/>
          <w:sz w:val="20"/>
          <w:szCs w:val="20"/>
        </w:rPr>
      </w:pPr>
      <w:r w:rsidRPr="00286599">
        <w:rPr>
          <w:rStyle w:val="a9"/>
          <w:rFonts w:asciiTheme="majorBidi" w:hAnsiTheme="majorBidi" w:cstheme="majorBidi"/>
          <w:sz w:val="20"/>
          <w:szCs w:val="20"/>
        </w:rPr>
        <w:endnoteRef/>
      </w:r>
      <w:bookmarkStart w:id="7" w:name="_Hlk78889210"/>
      <w:r w:rsidRPr="00286599">
        <w:rPr>
          <w:rFonts w:asciiTheme="majorBidi" w:hAnsiTheme="majorBidi" w:cstheme="majorBidi"/>
          <w:sz w:val="20"/>
          <w:szCs w:val="20"/>
        </w:rPr>
        <w:t>.</w:t>
      </w:r>
      <w:bookmarkEnd w:id="7"/>
    </w:p>
  </w:endnote>
  <w:endnote w:id="17">
    <w:p w14:paraId="10B33990" w14:textId="7911E8F1" w:rsidR="00343909" w:rsidRPr="00286599" w:rsidRDefault="00343909" w:rsidP="00A618F1">
      <w:pPr>
        <w:bidi w:val="0"/>
        <w:spacing w:after="0" w:line="240" w:lineRule="auto"/>
        <w:jc w:val="both"/>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On converting flogging to prison sentences, see Hacohen, “Rescuing the Oppressed,”43, on the words of </w:t>
      </w:r>
      <w:proofErr w:type="spellStart"/>
      <w:r w:rsidRPr="00286599">
        <w:rPr>
          <w:rFonts w:asciiTheme="majorBidi" w:hAnsiTheme="majorBidi" w:cstheme="majorBidi"/>
          <w:sz w:val="20"/>
          <w:szCs w:val="20"/>
        </w:rPr>
        <w:t>Dykowski</w:t>
      </w:r>
      <w:proofErr w:type="spellEnd"/>
      <w:r w:rsidRPr="00286599">
        <w:rPr>
          <w:rFonts w:asciiTheme="majorBidi" w:hAnsiTheme="majorBidi" w:cstheme="majorBidi"/>
          <w:sz w:val="20"/>
          <w:szCs w:val="20"/>
        </w:rPr>
        <w:t xml:space="preserve"> in GRC </w:t>
      </w:r>
      <w:r w:rsidRPr="00286599">
        <w:rPr>
          <w:rFonts w:asciiTheme="majorBidi" w:hAnsiTheme="majorBidi" w:cstheme="majorBidi" w:hint="cs"/>
          <w:sz w:val="20"/>
          <w:szCs w:val="20"/>
          <w:rtl/>
        </w:rPr>
        <w:t>8455-64-18455</w:t>
      </w:r>
      <w:r w:rsidR="00A618F1">
        <w:rPr>
          <w:rFonts w:asciiTheme="majorBidi" w:hAnsiTheme="majorBidi" w:cstheme="majorBidi"/>
          <w:sz w:val="20"/>
          <w:szCs w:val="20"/>
        </w:rPr>
        <w:t>.</w:t>
      </w:r>
    </w:p>
    <w:p w14:paraId="46B3FA17" w14:textId="77777777" w:rsidR="00343909" w:rsidRPr="00286599" w:rsidRDefault="00343909" w:rsidP="00343909">
      <w:pPr>
        <w:bidi w:val="0"/>
        <w:spacing w:after="0" w:line="240" w:lineRule="auto"/>
        <w:jc w:val="both"/>
        <w:rPr>
          <w:rFonts w:asciiTheme="majorBidi" w:hAnsiTheme="majorBidi" w:cstheme="majorBidi"/>
          <w:sz w:val="20"/>
          <w:szCs w:val="20"/>
          <w:rtl/>
        </w:rPr>
      </w:pPr>
    </w:p>
  </w:endnote>
  <w:endnote w:id="18">
    <w:p w14:paraId="64DF3592" w14:textId="3F225F62" w:rsidR="00F255EE" w:rsidRPr="00C54C6D" w:rsidRDefault="00F255EE" w:rsidP="00F255EE">
      <w:pPr>
        <w:spacing w:line="240" w:lineRule="auto"/>
        <w:jc w:val="right"/>
        <w:rPr>
          <w:rFonts w:asciiTheme="majorBidi" w:hAnsiTheme="majorBidi" w:cstheme="majorBidi"/>
          <w:color w:val="000000" w:themeColor="text1"/>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color w:val="000000" w:themeColor="text1"/>
          <w:sz w:val="20"/>
          <w:szCs w:val="20"/>
        </w:rPr>
        <w:t xml:space="preserve"> </w:t>
      </w:r>
      <w:r w:rsidRPr="00C54C6D">
        <w:rPr>
          <w:rFonts w:asciiTheme="majorBidi" w:hAnsiTheme="majorBidi" w:cstheme="majorBidi"/>
          <w:sz w:val="20"/>
          <w:szCs w:val="20"/>
        </w:rPr>
        <w:t xml:space="preserve">see Rabbi </w:t>
      </w:r>
      <w:proofErr w:type="spellStart"/>
      <w:r w:rsidRPr="00C54C6D">
        <w:rPr>
          <w:rFonts w:asciiTheme="majorBidi" w:hAnsiTheme="majorBidi" w:cstheme="majorBidi"/>
          <w:sz w:val="20"/>
          <w:szCs w:val="20"/>
        </w:rPr>
        <w:t>Shaul</w:t>
      </w:r>
      <w:proofErr w:type="spellEnd"/>
      <w:r w:rsidRPr="00C54C6D">
        <w:rPr>
          <w:rFonts w:asciiTheme="majorBidi" w:hAnsiTheme="majorBidi" w:cstheme="majorBidi"/>
          <w:sz w:val="20"/>
          <w:szCs w:val="20"/>
        </w:rPr>
        <w:t xml:space="preserve"> </w:t>
      </w:r>
      <w:proofErr w:type="spellStart"/>
      <w:r w:rsidRPr="00C54C6D">
        <w:rPr>
          <w:rFonts w:asciiTheme="majorBidi" w:hAnsiTheme="majorBidi" w:cstheme="majorBidi"/>
          <w:sz w:val="20"/>
          <w:szCs w:val="20"/>
        </w:rPr>
        <w:t>Yisraeli</w:t>
      </w:r>
      <w:proofErr w:type="spellEnd"/>
      <w:r w:rsidRPr="00C54C6D">
        <w:rPr>
          <w:rFonts w:asciiTheme="majorBidi" w:hAnsiTheme="majorBidi" w:cstheme="majorBidi"/>
          <w:sz w:val="20"/>
          <w:szCs w:val="20"/>
        </w:rPr>
        <w:t xml:space="preserve">, “Coercion and Will,” 32-38; Warhaftig, “Coercing a </w:t>
      </w:r>
      <w:r w:rsidRPr="00C54C6D">
        <w:rPr>
          <w:rFonts w:asciiTheme="majorBidi" w:hAnsiTheme="majorBidi" w:cstheme="majorBidi"/>
          <w:i/>
          <w:iCs/>
          <w:sz w:val="20"/>
          <w:szCs w:val="20"/>
        </w:rPr>
        <w:t>Get</w:t>
      </w:r>
      <w:r w:rsidRPr="00C54C6D">
        <w:rPr>
          <w:rFonts w:asciiTheme="majorBidi" w:hAnsiTheme="majorBidi" w:cstheme="majorBidi"/>
          <w:sz w:val="20"/>
          <w:szCs w:val="20"/>
        </w:rPr>
        <w:t>,” 172-</w:t>
      </w:r>
      <w:r w:rsidRPr="00A932E9">
        <w:rPr>
          <w:rFonts w:asciiTheme="majorBidi" w:hAnsiTheme="majorBidi" w:cstheme="majorBidi"/>
          <w:sz w:val="20"/>
          <w:szCs w:val="20"/>
        </w:rPr>
        <w:t>175</w:t>
      </w:r>
      <w:r w:rsidR="00A932E9" w:rsidRPr="00A932E9">
        <w:rPr>
          <w:rFonts w:asciiTheme="majorBidi" w:hAnsiTheme="majorBidi" w:cstheme="majorBidi"/>
          <w:sz w:val="20"/>
          <w:szCs w:val="20"/>
        </w:rPr>
        <w:t>;</w:t>
      </w:r>
      <w:r w:rsidR="00A932E9" w:rsidRPr="00A932E9">
        <w:rPr>
          <w:rFonts w:asciiTheme="majorBidi" w:hAnsiTheme="majorBidi" w:cstheme="majorBidi"/>
          <w:color w:val="000000" w:themeColor="text1"/>
          <w:sz w:val="20"/>
          <w:szCs w:val="20"/>
        </w:rPr>
        <w:t xml:space="preserve"> See Halperin </w:t>
      </w:r>
      <w:proofErr w:type="spellStart"/>
      <w:r w:rsidR="00A932E9" w:rsidRPr="00A932E9">
        <w:rPr>
          <w:rFonts w:asciiTheme="majorBidi" w:hAnsiTheme="majorBidi" w:cstheme="majorBidi"/>
          <w:color w:val="000000" w:themeColor="text1"/>
          <w:sz w:val="20"/>
          <w:szCs w:val="20"/>
        </w:rPr>
        <w:t>Kaddari</w:t>
      </w:r>
      <w:proofErr w:type="spellEnd"/>
      <w:r w:rsidR="001C220B" w:rsidRPr="00E73E33">
        <w:rPr>
          <w:rFonts w:asciiTheme="majorBidi" w:hAnsiTheme="majorBidi" w:cstheme="majorBidi"/>
          <w:sz w:val="20"/>
          <w:szCs w:val="20"/>
        </w:rPr>
        <w:t>, “Infidelity”</w:t>
      </w:r>
      <w:r w:rsidR="00A932E9" w:rsidRPr="00A932E9">
        <w:rPr>
          <w:rFonts w:asciiTheme="majorBidi" w:hAnsiTheme="majorBidi" w:cstheme="majorBidi"/>
          <w:color w:val="000000" w:themeColor="text1"/>
          <w:sz w:val="20"/>
          <w:szCs w:val="20"/>
        </w:rPr>
        <w:t>, 298-300</w:t>
      </w:r>
      <w:r w:rsidR="00A932E9" w:rsidRPr="00A932E9">
        <w:rPr>
          <w:rFonts w:asciiTheme="majorBidi" w:hAnsiTheme="majorBidi" w:cstheme="majorBidi"/>
          <w:sz w:val="20"/>
          <w:szCs w:val="20"/>
        </w:rPr>
        <w:t>.</w:t>
      </w:r>
      <w:r w:rsidR="00A932E9">
        <w:rPr>
          <w:rFonts w:asciiTheme="majorBidi" w:hAnsiTheme="majorBidi" w:cstheme="majorBidi"/>
          <w:sz w:val="20"/>
          <w:szCs w:val="20"/>
        </w:rPr>
        <w:t xml:space="preserve"> </w:t>
      </w:r>
    </w:p>
  </w:endnote>
  <w:endnote w:id="19">
    <w:p w14:paraId="621717C0" w14:textId="789E2B14" w:rsidR="00F255EE" w:rsidRPr="00286599" w:rsidRDefault="00F255EE" w:rsidP="00F255EE">
      <w:pPr>
        <w:spacing w:line="240" w:lineRule="auto"/>
        <w:jc w:val="right"/>
        <w:rPr>
          <w:rFonts w:asciiTheme="majorBidi" w:hAnsiTheme="majorBidi" w:cstheme="majorBidi"/>
          <w:sz w:val="20"/>
          <w:szCs w:val="20"/>
          <w:rtl/>
        </w:rPr>
      </w:pPr>
      <w:r w:rsidRPr="00C54C6D">
        <w:rPr>
          <w:rStyle w:val="a9"/>
          <w:rFonts w:asciiTheme="majorBidi" w:hAnsiTheme="majorBidi" w:cstheme="majorBidi"/>
          <w:sz w:val="20"/>
          <w:szCs w:val="20"/>
        </w:rPr>
        <w:endnoteRef/>
      </w:r>
      <w:r w:rsidRPr="00C54C6D">
        <w:rPr>
          <w:rFonts w:asciiTheme="majorBidi" w:hAnsiTheme="majorBidi" w:cstheme="majorBidi"/>
          <w:sz w:val="20"/>
          <w:szCs w:val="20"/>
        </w:rPr>
        <w:t xml:space="preserve"> There are rabbinic courts that enforce Rabbeinu Tam’s Distancing Rules [RTDR] even absent a ruling “it is obligatory to give a get” (</w:t>
      </w:r>
      <w:r w:rsidRPr="00C54C6D">
        <w:rPr>
          <w:rFonts w:asciiTheme="majorBidi" w:hAnsiTheme="majorBidi" w:cstheme="majorBidi"/>
          <w:i/>
          <w:iCs/>
          <w:sz w:val="20"/>
          <w:szCs w:val="20"/>
        </w:rPr>
        <w:t>chiyuv get</w:t>
      </w:r>
      <w:r w:rsidRPr="00C54C6D">
        <w:rPr>
          <w:rFonts w:asciiTheme="majorBidi" w:hAnsiTheme="majorBidi" w:cstheme="majorBidi"/>
          <w:sz w:val="20"/>
          <w:szCs w:val="20"/>
        </w:rPr>
        <w:t>) but only determining it is “proper” that the husband divorce her (</w:t>
      </w:r>
      <w:r w:rsidRPr="00C54C6D">
        <w:rPr>
          <w:rFonts w:asciiTheme="majorBidi" w:hAnsiTheme="majorBidi" w:cstheme="majorBidi"/>
          <w:i/>
          <w:iCs/>
          <w:sz w:val="20"/>
          <w:szCs w:val="20"/>
        </w:rPr>
        <w:t>raauy sheyegaresh</w:t>
      </w:r>
      <w:r w:rsidRPr="00C54C6D">
        <w:rPr>
          <w:rFonts w:asciiTheme="majorBidi" w:hAnsiTheme="majorBidi" w:cstheme="majorBidi"/>
          <w:sz w:val="20"/>
          <w:szCs w:val="20"/>
        </w:rPr>
        <w:t>) or a “</w:t>
      </w:r>
      <w:r w:rsidRPr="00C54C6D">
        <w:rPr>
          <w:rFonts w:asciiTheme="majorBidi" w:hAnsiTheme="majorBidi" w:cstheme="majorBidi"/>
          <w:i/>
          <w:iCs/>
          <w:sz w:val="20"/>
          <w:szCs w:val="20"/>
        </w:rPr>
        <w:t>mitzva”</w:t>
      </w:r>
      <w:r w:rsidRPr="00C54C6D">
        <w:rPr>
          <w:rFonts w:asciiTheme="majorBidi" w:hAnsiTheme="majorBidi" w:cstheme="majorBidi"/>
          <w:sz w:val="20"/>
          <w:szCs w:val="20"/>
        </w:rPr>
        <w:t xml:space="preserve"> for him to </w:t>
      </w:r>
      <w:r w:rsidRPr="00DF0DC9">
        <w:rPr>
          <w:rFonts w:asciiTheme="majorBidi" w:hAnsiTheme="majorBidi" w:cstheme="majorBidi"/>
          <w:sz w:val="20"/>
          <w:szCs w:val="20"/>
        </w:rPr>
        <w:t>divorce.  This option – to impose</w:t>
      </w:r>
      <w:r w:rsidRPr="00C54C6D">
        <w:rPr>
          <w:rFonts w:asciiTheme="majorBidi" w:hAnsiTheme="majorBidi" w:cstheme="majorBidi"/>
          <w:sz w:val="20"/>
          <w:szCs w:val="20"/>
        </w:rPr>
        <w:t xml:space="preserve"> the RTDR even absent a ruling obligating a </w:t>
      </w:r>
      <w:r w:rsidRPr="00C54C6D">
        <w:rPr>
          <w:rFonts w:asciiTheme="majorBidi" w:hAnsiTheme="majorBidi" w:cstheme="majorBidi"/>
          <w:i/>
          <w:iCs/>
          <w:sz w:val="20"/>
          <w:szCs w:val="20"/>
        </w:rPr>
        <w:t>get</w:t>
      </w:r>
      <w:r w:rsidRPr="00C54C6D">
        <w:rPr>
          <w:rFonts w:asciiTheme="majorBidi" w:hAnsiTheme="majorBidi" w:cstheme="majorBidi"/>
          <w:sz w:val="20"/>
          <w:szCs w:val="20"/>
        </w:rPr>
        <w:t xml:space="preserve"> is also mentioned in Rabbinical Courts Jurisdiction (Marriage and Divorce) Law, clause 1</w:t>
      </w:r>
      <w:proofErr w:type="gramStart"/>
      <w:r w:rsidRPr="00C54C6D">
        <w:rPr>
          <w:rFonts w:asciiTheme="majorBidi" w:hAnsiTheme="majorBidi" w:cstheme="majorBidi"/>
          <w:sz w:val="20"/>
          <w:szCs w:val="20"/>
        </w:rPr>
        <w:t xml:space="preserve">b.  </w:t>
      </w:r>
      <w:r w:rsidRPr="00692D5E">
        <w:rPr>
          <w:rFonts w:asciiTheme="majorBidi" w:hAnsiTheme="majorBidi" w:cstheme="majorBidi"/>
          <w:sz w:val="20"/>
          <w:szCs w:val="20"/>
        </w:rPr>
        <w:t>.</w:t>
      </w:r>
      <w:proofErr w:type="gramEnd"/>
      <w:r w:rsidRPr="00286599">
        <w:rPr>
          <w:rFonts w:asciiTheme="majorBidi" w:hAnsiTheme="majorBidi" w:cstheme="majorBidi"/>
          <w:sz w:val="20"/>
          <w:szCs w:val="20"/>
        </w:rPr>
        <w:t xml:space="preserve"> According to the Gra (Even Ha-Ezer, 154.67) the ability to impose the </w:t>
      </w:r>
      <w:r w:rsidRPr="00286599">
        <w:rPr>
          <w:rFonts w:asciiTheme="majorBidi" w:hAnsiTheme="majorBidi" w:cstheme="majorBidi"/>
          <w:i/>
          <w:iCs/>
          <w:sz w:val="20"/>
          <w:szCs w:val="20"/>
        </w:rPr>
        <w:t>harhakot</w:t>
      </w:r>
      <w:r w:rsidRPr="00286599">
        <w:rPr>
          <w:rFonts w:asciiTheme="majorBidi" w:hAnsiTheme="majorBidi" w:cstheme="majorBidi"/>
          <w:sz w:val="20"/>
          <w:szCs w:val="20"/>
        </w:rPr>
        <w:t xml:space="preserve"> even where there is no legal requirement to divorce is grounded in the factor that the husband breached rabbinic regulation</w:t>
      </w:r>
      <w:r w:rsidR="00A618F1">
        <w:rPr>
          <w:rFonts w:asciiTheme="majorBidi" w:hAnsiTheme="majorBidi" w:cstheme="majorBidi"/>
          <w:sz w:val="20"/>
          <w:szCs w:val="20"/>
        </w:rPr>
        <w:t>.</w:t>
      </w:r>
      <w:r w:rsidRPr="00286599">
        <w:rPr>
          <w:rFonts w:asciiTheme="majorBidi" w:hAnsiTheme="majorBidi" w:cstheme="majorBidi"/>
          <w:sz w:val="20"/>
          <w:szCs w:val="20"/>
        </w:rPr>
        <w:t xml:space="preserve">  see Rabbi </w:t>
      </w:r>
      <w:proofErr w:type="spellStart"/>
      <w:r w:rsidRPr="00286599">
        <w:rPr>
          <w:rFonts w:asciiTheme="majorBidi" w:hAnsiTheme="majorBidi" w:cstheme="majorBidi"/>
          <w:sz w:val="20"/>
          <w:szCs w:val="20"/>
        </w:rPr>
        <w:t>Hagai</w:t>
      </w:r>
      <w:proofErr w:type="spellEnd"/>
      <w:r w:rsidRPr="00286599">
        <w:rPr>
          <w:rFonts w:asciiTheme="majorBidi" w:hAnsiTheme="majorBidi" w:cstheme="majorBidi"/>
          <w:sz w:val="20"/>
          <w:szCs w:val="20"/>
        </w:rPr>
        <w:t xml:space="preserve"> </w:t>
      </w:r>
      <w:proofErr w:type="spellStart"/>
      <w:r w:rsidRPr="00286599">
        <w:rPr>
          <w:rFonts w:asciiTheme="majorBidi" w:hAnsiTheme="majorBidi" w:cstheme="majorBidi"/>
          <w:sz w:val="20"/>
          <w:szCs w:val="20"/>
        </w:rPr>
        <w:t>Isirer</w:t>
      </w:r>
      <w:proofErr w:type="spellEnd"/>
      <w:r w:rsidRPr="00286599">
        <w:rPr>
          <w:rFonts w:asciiTheme="majorBidi" w:hAnsiTheme="majorBidi" w:cstheme="majorBidi"/>
          <w:sz w:val="20"/>
          <w:szCs w:val="20"/>
        </w:rPr>
        <w:t xml:space="preserve">, “Obligatory </w:t>
      </w:r>
      <w:r w:rsidRPr="00286599">
        <w:rPr>
          <w:rFonts w:asciiTheme="majorBidi" w:hAnsiTheme="majorBidi" w:cstheme="majorBidi"/>
          <w:i/>
          <w:iCs/>
          <w:sz w:val="20"/>
          <w:szCs w:val="20"/>
        </w:rPr>
        <w:t>Get</w:t>
      </w:r>
      <w:r w:rsidRPr="00286599">
        <w:rPr>
          <w:rFonts w:asciiTheme="majorBidi" w:hAnsiTheme="majorBidi" w:cstheme="majorBidi"/>
          <w:sz w:val="20"/>
          <w:szCs w:val="20"/>
        </w:rPr>
        <w:t xml:space="preserve">,” 117-118; Rabbi Yitzhak Meir </w:t>
      </w:r>
      <w:proofErr w:type="spellStart"/>
      <w:r w:rsidRPr="00286599">
        <w:rPr>
          <w:rFonts w:asciiTheme="majorBidi" w:hAnsiTheme="majorBidi" w:cstheme="majorBidi"/>
          <w:sz w:val="20"/>
          <w:szCs w:val="20"/>
        </w:rPr>
        <w:t>Yaabetz</w:t>
      </w:r>
      <w:proofErr w:type="spellEnd"/>
      <w:r w:rsidRPr="00286599">
        <w:rPr>
          <w:rFonts w:asciiTheme="majorBidi" w:hAnsiTheme="majorBidi" w:cstheme="majorBidi"/>
          <w:sz w:val="20"/>
          <w:szCs w:val="20"/>
        </w:rPr>
        <w:t>, “Conducting Shaming,” 310</w:t>
      </w:r>
      <w:r w:rsidR="00A618F1">
        <w:rPr>
          <w:rFonts w:asciiTheme="majorBidi" w:hAnsiTheme="majorBidi" w:cstheme="majorBidi"/>
          <w:sz w:val="20"/>
          <w:szCs w:val="20"/>
        </w:rPr>
        <w:t>.</w:t>
      </w:r>
      <w:r w:rsidRPr="00DC7C87">
        <w:rPr>
          <w:rFonts w:asciiTheme="majorBidi" w:hAnsiTheme="majorBidi" w:cstheme="majorBidi"/>
          <w:sz w:val="20"/>
          <w:szCs w:val="20"/>
        </w:rPr>
        <w:t xml:space="preserve"> </w:t>
      </w:r>
    </w:p>
  </w:endnote>
  <w:endnote w:id="20">
    <w:p w14:paraId="2AF7084D" w14:textId="77777777" w:rsidR="00F255EE" w:rsidRPr="00286599" w:rsidRDefault="00F255EE" w:rsidP="00F255EE">
      <w:pPr>
        <w:spacing w:line="240" w:lineRule="auto"/>
        <w:jc w:val="right"/>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Rabeinu Tam, </w:t>
      </w:r>
      <w:r w:rsidRPr="00286599">
        <w:rPr>
          <w:rFonts w:asciiTheme="majorBidi" w:hAnsiTheme="majorBidi" w:cstheme="majorBidi"/>
          <w:i/>
          <w:iCs/>
          <w:sz w:val="20"/>
          <w:szCs w:val="20"/>
        </w:rPr>
        <w:t>Sefer Hayashar</w:t>
      </w:r>
      <w:r w:rsidRPr="00286599">
        <w:rPr>
          <w:rFonts w:asciiTheme="majorBidi" w:hAnsiTheme="majorBidi" w:cstheme="majorBidi"/>
          <w:sz w:val="20"/>
          <w:szCs w:val="20"/>
        </w:rPr>
        <w:t xml:space="preserve">, </w:t>
      </w:r>
      <w:r w:rsidRPr="00286599">
        <w:rPr>
          <w:rFonts w:asciiTheme="majorBidi" w:hAnsiTheme="majorBidi" w:cstheme="majorBidi"/>
          <w:i/>
          <w:iCs/>
          <w:sz w:val="20"/>
          <w:szCs w:val="20"/>
        </w:rPr>
        <w:t>Helek Teshuvot</w:t>
      </w:r>
      <w:r w:rsidRPr="00286599">
        <w:rPr>
          <w:rFonts w:asciiTheme="majorBidi" w:hAnsiTheme="majorBidi" w:cstheme="majorBidi"/>
          <w:sz w:val="20"/>
          <w:szCs w:val="20"/>
        </w:rPr>
        <w:t>, 24, Vienna, first edition, 1811.</w:t>
      </w:r>
    </w:p>
  </w:endnote>
  <w:endnote w:id="21">
    <w:p w14:paraId="62064CDC" w14:textId="77777777" w:rsidR="00F255EE" w:rsidRPr="00286599" w:rsidRDefault="00F255EE" w:rsidP="00F255EE">
      <w:pPr>
        <w:bidi w:val="0"/>
        <w:spacing w:after="0" w:line="240" w:lineRule="auto"/>
        <w:jc w:val="both"/>
        <w:rPr>
          <w:rFonts w:asciiTheme="majorBidi" w:hAnsiTheme="majorBidi" w:cstheme="majorBidi"/>
          <w:sz w:val="20"/>
          <w:szCs w:val="20"/>
          <w:rtl/>
        </w:rPr>
      </w:pPr>
      <w:r w:rsidRPr="009F1E64">
        <w:rPr>
          <w:rStyle w:val="a9"/>
          <w:rFonts w:asciiTheme="majorBidi" w:hAnsiTheme="majorBidi" w:cstheme="majorBidi"/>
          <w:sz w:val="20"/>
          <w:szCs w:val="20"/>
        </w:rPr>
        <w:endnoteRef/>
      </w:r>
      <w:r w:rsidRPr="009F1E64">
        <w:rPr>
          <w:rFonts w:asciiTheme="majorBidi" w:hAnsiTheme="majorBidi" w:cstheme="majorBidi"/>
          <w:sz w:val="20"/>
          <w:szCs w:val="20"/>
        </w:rPr>
        <w:t xml:space="preserve"> On this issue see Rabbi Hagai Isirer (above note 19), 117.</w:t>
      </w:r>
      <w:r w:rsidRPr="00286599">
        <w:rPr>
          <w:rFonts w:asciiTheme="majorBidi" w:hAnsiTheme="majorBidi" w:cstheme="majorBidi"/>
          <w:sz w:val="20"/>
          <w:szCs w:val="20"/>
          <w:rtl/>
        </w:rPr>
        <w:t xml:space="preserve"> </w:t>
      </w:r>
    </w:p>
  </w:endnote>
  <w:endnote w:id="22">
    <w:p w14:paraId="26BF7A6D" w14:textId="0D98456E" w:rsidR="00F255EE" w:rsidRPr="000D3D12" w:rsidRDefault="00F255EE" w:rsidP="00F255EE">
      <w:pPr>
        <w:jc w:val="both"/>
        <w:rPr>
          <w:rFonts w:asciiTheme="majorBidi" w:hAnsiTheme="majorBidi" w:cstheme="majorBidi"/>
          <w:sz w:val="20"/>
          <w:szCs w:val="20"/>
          <w:highlight w:val="yellow"/>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Rabeinu Tam,</w:t>
      </w:r>
      <w:r w:rsidRPr="00286599">
        <w:rPr>
          <w:rFonts w:asciiTheme="majorBidi" w:hAnsiTheme="majorBidi" w:cstheme="majorBidi"/>
          <w:color w:val="000000" w:themeColor="text1"/>
          <w:sz w:val="20"/>
          <w:szCs w:val="20"/>
        </w:rPr>
        <w:t xml:space="preserve"> above n. 20</w:t>
      </w:r>
      <w:r w:rsidRPr="00286599">
        <w:rPr>
          <w:rFonts w:asciiTheme="majorBidi" w:hAnsiTheme="majorBidi" w:cstheme="majorBidi"/>
          <w:sz w:val="20"/>
          <w:szCs w:val="20"/>
        </w:rPr>
        <w:t>; Maharik Responsa, 102, 135; Mahara Biton, Lehem Rav responsa,</w:t>
      </w:r>
      <w:r>
        <w:rPr>
          <w:rFonts w:asciiTheme="majorBidi" w:hAnsiTheme="majorBidi" w:cstheme="majorBidi"/>
          <w:sz w:val="20"/>
          <w:szCs w:val="20"/>
        </w:rPr>
        <w:t xml:space="preserve"> 31</w:t>
      </w:r>
      <w:r w:rsidRPr="00286599">
        <w:rPr>
          <w:rFonts w:asciiTheme="majorBidi" w:hAnsiTheme="majorBidi" w:cstheme="majorBidi"/>
          <w:i/>
          <w:iCs/>
          <w:sz w:val="20"/>
          <w:szCs w:val="20"/>
        </w:rPr>
        <w:t xml:space="preserve">; </w:t>
      </w:r>
      <w:r w:rsidRPr="00286599">
        <w:rPr>
          <w:rFonts w:asciiTheme="majorBidi" w:hAnsiTheme="majorBidi" w:cstheme="majorBidi"/>
          <w:sz w:val="20"/>
          <w:szCs w:val="20"/>
        </w:rPr>
        <w:t xml:space="preserve">Rema, Even Ha-Ezer, 154.21; the Gra, ibid. 67; Rabbi Ovadiah Yosef, Yabia Omer Responsa, 8, Even Ha-Ezer, 25, which notes many jurists who applied the RTDR from the </w:t>
      </w:r>
      <w:proofErr w:type="spellStart"/>
      <w:r w:rsidRPr="00286599">
        <w:rPr>
          <w:rFonts w:asciiTheme="majorBidi" w:hAnsiTheme="majorBidi" w:cstheme="majorBidi"/>
          <w:i/>
          <w:iCs/>
          <w:sz w:val="20"/>
          <w:szCs w:val="20"/>
        </w:rPr>
        <w:t>Rishonim</w:t>
      </w:r>
      <w:proofErr w:type="spellEnd"/>
      <w:r w:rsidRPr="00286599">
        <w:rPr>
          <w:rFonts w:asciiTheme="majorBidi" w:hAnsiTheme="majorBidi" w:cstheme="majorBidi"/>
          <w:sz w:val="20"/>
          <w:szCs w:val="20"/>
        </w:rPr>
        <w:t xml:space="preserve"> to the last </w:t>
      </w:r>
      <w:proofErr w:type="spellStart"/>
      <w:r w:rsidRPr="00286599">
        <w:rPr>
          <w:rFonts w:asciiTheme="majorBidi" w:hAnsiTheme="majorBidi" w:cstheme="majorBidi"/>
          <w:i/>
          <w:iCs/>
          <w:sz w:val="20"/>
          <w:szCs w:val="20"/>
        </w:rPr>
        <w:t>Acharonim</w:t>
      </w:r>
      <w:proofErr w:type="spellEnd"/>
      <w:r w:rsidRPr="00286599">
        <w:rPr>
          <w:rFonts w:asciiTheme="majorBidi" w:hAnsiTheme="majorBidi" w:cstheme="majorBidi"/>
          <w:sz w:val="20"/>
          <w:szCs w:val="20"/>
        </w:rPr>
        <w:t xml:space="preserve"> in modern jurisprudence </w:t>
      </w:r>
    </w:p>
  </w:endnote>
  <w:endnote w:id="23">
    <w:p w14:paraId="62AE6EBE" w14:textId="76CDDD07" w:rsidR="00536141" w:rsidRPr="009676A9" w:rsidRDefault="00F255EE" w:rsidP="00D927EF">
      <w:pPr>
        <w:pStyle w:val="a7"/>
        <w:jc w:val="both"/>
        <w:rPr>
          <w:rFonts w:asciiTheme="majorBidi" w:hAnsiTheme="majorBidi" w:cstheme="majorBidi"/>
          <w:sz w:val="24"/>
          <w:szCs w:val="24"/>
          <w:u w:val="single"/>
          <w:rtl/>
        </w:rPr>
      </w:pPr>
      <w:r w:rsidRPr="009676A9">
        <w:rPr>
          <w:rStyle w:val="a9"/>
          <w:rFonts w:asciiTheme="majorBidi" w:hAnsiTheme="majorBidi" w:cstheme="majorBidi"/>
        </w:rPr>
        <w:endnoteRef/>
      </w:r>
      <w:r w:rsidRPr="009676A9">
        <w:rPr>
          <w:rFonts w:asciiTheme="majorBidi" w:hAnsiTheme="majorBidi" w:cstheme="majorBidi"/>
        </w:rPr>
        <w:t xml:space="preserve"> </w:t>
      </w:r>
      <w:bookmarkStart w:id="9" w:name="_Hlk79139480"/>
      <w:r w:rsidR="009676A9" w:rsidRPr="009676A9">
        <w:rPr>
          <w:rFonts w:asciiTheme="majorBidi" w:hAnsiTheme="majorBidi" w:cstheme="majorBidi"/>
        </w:rPr>
        <w:t xml:space="preserve">See </w:t>
      </w:r>
      <w:r w:rsidRPr="009676A9">
        <w:rPr>
          <w:rFonts w:asciiTheme="majorBidi" w:hAnsiTheme="majorBidi" w:cstheme="majorBidi"/>
        </w:rPr>
        <w:t>Rabbi Binyamin Zeev, Binyamin Zeev responsa, 88</w:t>
      </w:r>
      <w:r w:rsidR="00AE3114" w:rsidRPr="009676A9">
        <w:rPr>
          <w:rFonts w:asciiTheme="majorBidi" w:hAnsiTheme="majorBidi" w:cstheme="majorBidi"/>
        </w:rPr>
        <w:t xml:space="preserve">; </w:t>
      </w:r>
      <w:r w:rsidRPr="009676A9">
        <w:rPr>
          <w:rFonts w:asciiTheme="majorBidi" w:hAnsiTheme="majorBidi" w:cstheme="majorBidi"/>
        </w:rPr>
        <w:t>Rema in his comments on the Shulchan Aruch,</w:t>
      </w:r>
      <w:r w:rsidR="00AE3114" w:rsidRPr="009676A9">
        <w:rPr>
          <w:rFonts w:asciiTheme="majorBidi" w:hAnsiTheme="majorBidi" w:cstheme="majorBidi"/>
        </w:rPr>
        <w:t xml:space="preserve"> </w:t>
      </w:r>
      <w:r w:rsidRPr="009676A9">
        <w:rPr>
          <w:rFonts w:asciiTheme="majorBidi" w:hAnsiTheme="majorBidi" w:cstheme="majorBidi"/>
        </w:rPr>
        <w:t>Even Ha-Ezer, 154.21</w:t>
      </w:r>
      <w:r w:rsidR="00AE3114" w:rsidRPr="009676A9">
        <w:rPr>
          <w:rFonts w:asciiTheme="majorBidi" w:hAnsiTheme="majorBidi" w:cstheme="majorBidi"/>
        </w:rPr>
        <w:t>;</w:t>
      </w:r>
      <w:r w:rsidR="00F63D0E" w:rsidRPr="009676A9">
        <w:rPr>
          <w:rFonts w:asciiTheme="majorBidi" w:hAnsiTheme="majorBidi" w:cstheme="majorBidi"/>
        </w:rPr>
        <w:t xml:space="preserve"> Rabbi Ovadiah Yosef</w:t>
      </w:r>
      <w:r w:rsidR="00AE3114" w:rsidRPr="009676A9">
        <w:rPr>
          <w:rFonts w:asciiTheme="majorBidi" w:hAnsiTheme="majorBidi" w:cstheme="majorBidi"/>
        </w:rPr>
        <w:t>,</w:t>
      </w:r>
      <w:r w:rsidR="00F63D0E" w:rsidRPr="009676A9">
        <w:rPr>
          <w:rFonts w:asciiTheme="majorBidi" w:hAnsiTheme="majorBidi" w:cstheme="majorBidi"/>
        </w:rPr>
        <w:t xml:space="preserve"> Yabi’a Omer Responsa, 8, Even Ha-</w:t>
      </w:r>
      <w:proofErr w:type="spellStart"/>
      <w:r w:rsidR="00F63D0E" w:rsidRPr="009676A9">
        <w:rPr>
          <w:rFonts w:asciiTheme="majorBidi" w:hAnsiTheme="majorBidi" w:cstheme="majorBidi"/>
        </w:rPr>
        <w:t>Ezer</w:t>
      </w:r>
      <w:proofErr w:type="spellEnd"/>
      <w:r w:rsidR="00F63D0E" w:rsidRPr="009676A9">
        <w:rPr>
          <w:rFonts w:asciiTheme="majorBidi" w:hAnsiTheme="majorBidi" w:cstheme="majorBidi"/>
        </w:rPr>
        <w:t>, 25</w:t>
      </w:r>
      <w:r w:rsidR="00AE3114" w:rsidRPr="009676A9">
        <w:rPr>
          <w:rFonts w:asciiTheme="majorBidi" w:hAnsiTheme="majorBidi" w:cstheme="majorBidi"/>
        </w:rPr>
        <w:t>;</w:t>
      </w:r>
      <w:r w:rsidR="00536141" w:rsidRPr="009676A9">
        <w:rPr>
          <w:rFonts w:asciiTheme="majorBidi" w:hAnsiTheme="majorBidi" w:cstheme="majorBidi"/>
          <w:b/>
          <w:bCs/>
        </w:rPr>
        <w:t xml:space="preserve"> </w:t>
      </w:r>
      <w:r w:rsidR="00536141" w:rsidRPr="009676A9">
        <w:rPr>
          <w:rFonts w:asciiTheme="majorBidi" w:hAnsiTheme="majorBidi" w:cstheme="majorBidi"/>
          <w:b/>
          <w:bCs/>
          <w:u w:val="single"/>
        </w:rPr>
        <w:t>Appendix</w:t>
      </w:r>
    </w:p>
    <w:p w14:paraId="2C2A07E5" w14:textId="4C39DBB4" w:rsidR="00F255EE" w:rsidRPr="009676A9" w:rsidRDefault="00F255EE" w:rsidP="00D927EF">
      <w:pPr>
        <w:pStyle w:val="a5"/>
        <w:bidi w:val="0"/>
        <w:jc w:val="both"/>
        <w:rPr>
          <w:rFonts w:asciiTheme="majorBidi" w:hAnsiTheme="majorBidi" w:cstheme="majorBidi"/>
          <w:rtl/>
        </w:rPr>
      </w:pPr>
    </w:p>
    <w:bookmarkEnd w:id="9"/>
  </w:endnote>
  <w:endnote w:id="24">
    <w:p w14:paraId="637DB13C" w14:textId="6032CB2D" w:rsidR="00F255EE" w:rsidRPr="00286599" w:rsidRDefault="00F255EE" w:rsidP="00F255EE">
      <w:pPr>
        <w:bidi w:val="0"/>
        <w:spacing w:after="0" w:line="240" w:lineRule="auto"/>
        <w:jc w:val="both"/>
        <w:rPr>
          <w:rFonts w:asciiTheme="majorBidi" w:hAnsiTheme="majorBidi" w:cstheme="majorBidi"/>
          <w:sz w:val="20"/>
          <w:szCs w:val="20"/>
          <w:rtl/>
        </w:rPr>
      </w:pPr>
      <w:r w:rsidRPr="00286599">
        <w:rPr>
          <w:rStyle w:val="a9"/>
          <w:sz w:val="20"/>
          <w:szCs w:val="20"/>
        </w:rPr>
        <w:endnoteRef/>
      </w:r>
      <w:r w:rsidRPr="00286599">
        <w:rPr>
          <w:sz w:val="20"/>
          <w:szCs w:val="20"/>
        </w:rPr>
        <w:t xml:space="preserve"> </w:t>
      </w:r>
      <w:r w:rsidRPr="00286599">
        <w:rPr>
          <w:rFonts w:asciiTheme="majorBidi" w:hAnsiTheme="majorBidi" w:cstheme="majorBidi"/>
          <w:sz w:val="20"/>
          <w:szCs w:val="20"/>
        </w:rPr>
        <w:t xml:space="preserve"> </w:t>
      </w:r>
      <w:bookmarkStart w:id="10" w:name="_Hlk79144119"/>
      <w:r w:rsidRPr="00286599">
        <w:rPr>
          <w:rFonts w:asciiTheme="majorBidi" w:hAnsiTheme="majorBidi" w:cstheme="majorBidi"/>
          <w:sz w:val="20"/>
          <w:szCs w:val="20"/>
        </w:rPr>
        <w:t>Rabbi Ovadiah Yosef, Yabia Omer Responsa, 7, Even Ha-</w:t>
      </w:r>
      <w:proofErr w:type="spellStart"/>
      <w:r w:rsidRPr="00286599">
        <w:rPr>
          <w:rFonts w:asciiTheme="majorBidi" w:hAnsiTheme="majorBidi" w:cstheme="majorBidi"/>
          <w:sz w:val="20"/>
          <w:szCs w:val="20"/>
        </w:rPr>
        <w:t>Ezer</w:t>
      </w:r>
      <w:proofErr w:type="spellEnd"/>
      <w:r w:rsidRPr="00286599">
        <w:rPr>
          <w:rFonts w:asciiTheme="majorBidi" w:hAnsiTheme="majorBidi" w:cstheme="majorBidi"/>
          <w:sz w:val="20"/>
          <w:szCs w:val="20"/>
        </w:rPr>
        <w:t>, 23</w:t>
      </w:r>
      <w:r w:rsidR="00AF26F9">
        <w:rPr>
          <w:rFonts w:asciiTheme="majorBidi" w:hAnsiTheme="majorBidi" w:cstheme="majorBidi"/>
          <w:sz w:val="20"/>
          <w:szCs w:val="20"/>
        </w:rPr>
        <w:t xml:space="preserve">, </w:t>
      </w:r>
      <w:proofErr w:type="spellStart"/>
      <w:r w:rsidRPr="00C91388">
        <w:rPr>
          <w:rFonts w:asciiTheme="majorBidi" w:hAnsiTheme="majorBidi" w:cstheme="majorBidi"/>
          <w:sz w:val="20"/>
          <w:szCs w:val="20"/>
        </w:rPr>
        <w:t>Yabia</w:t>
      </w:r>
      <w:proofErr w:type="spellEnd"/>
      <w:r w:rsidRPr="00C91388">
        <w:rPr>
          <w:rFonts w:asciiTheme="majorBidi" w:hAnsiTheme="majorBidi" w:cstheme="majorBidi"/>
          <w:sz w:val="20"/>
          <w:szCs w:val="20"/>
        </w:rPr>
        <w:t xml:space="preserve"> Omer ibid. 8, Even Ha-</w:t>
      </w:r>
      <w:proofErr w:type="spellStart"/>
      <w:r w:rsidRPr="00C91388">
        <w:rPr>
          <w:rFonts w:asciiTheme="majorBidi" w:hAnsiTheme="majorBidi" w:cstheme="majorBidi"/>
          <w:sz w:val="20"/>
          <w:szCs w:val="20"/>
        </w:rPr>
        <w:t>Ezer</w:t>
      </w:r>
      <w:proofErr w:type="spellEnd"/>
      <w:r w:rsidRPr="00C91388">
        <w:rPr>
          <w:rFonts w:asciiTheme="majorBidi" w:hAnsiTheme="majorBidi" w:cstheme="majorBidi"/>
          <w:sz w:val="20"/>
          <w:szCs w:val="20"/>
        </w:rPr>
        <w:t xml:space="preserve">, 25; Appeal to Great </w:t>
      </w:r>
      <w:proofErr w:type="spellStart"/>
      <w:r w:rsidRPr="00C91388">
        <w:rPr>
          <w:rFonts w:asciiTheme="majorBidi" w:hAnsiTheme="majorBidi" w:cstheme="majorBidi"/>
          <w:sz w:val="20"/>
          <w:szCs w:val="20"/>
        </w:rPr>
        <w:t>Rabbincal</w:t>
      </w:r>
      <w:proofErr w:type="spellEnd"/>
      <w:r w:rsidRPr="00C91388">
        <w:rPr>
          <w:rFonts w:asciiTheme="majorBidi" w:hAnsiTheme="majorBidi" w:cstheme="majorBidi"/>
          <w:sz w:val="20"/>
          <w:szCs w:val="20"/>
        </w:rPr>
        <w:t xml:space="preserve"> Court </w:t>
      </w:r>
      <w:r w:rsidRPr="00C91388">
        <w:rPr>
          <w:rFonts w:asciiTheme="majorBidi" w:hAnsiTheme="majorBidi" w:cstheme="majorBidi" w:hint="cs"/>
          <w:sz w:val="20"/>
          <w:szCs w:val="20"/>
          <w:rtl/>
        </w:rPr>
        <w:t>975433/</w:t>
      </w:r>
      <w:proofErr w:type="gramStart"/>
      <w:r w:rsidRPr="00C91388">
        <w:rPr>
          <w:rFonts w:asciiTheme="majorBidi" w:hAnsiTheme="majorBidi" w:cstheme="majorBidi" w:hint="cs"/>
          <w:sz w:val="20"/>
          <w:szCs w:val="20"/>
          <w:rtl/>
        </w:rPr>
        <w:t>1</w:t>
      </w:r>
      <w:r w:rsidRPr="00C91388">
        <w:rPr>
          <w:rFonts w:asciiTheme="majorBidi" w:hAnsiTheme="majorBidi" w:cstheme="majorBidi"/>
          <w:sz w:val="20"/>
          <w:szCs w:val="20"/>
        </w:rPr>
        <w:t xml:space="preserve"> </w:t>
      </w:r>
      <w:r w:rsidR="00AF26F9">
        <w:rPr>
          <w:rFonts w:asciiTheme="majorBidi" w:hAnsiTheme="majorBidi" w:cstheme="majorBidi"/>
          <w:sz w:val="20"/>
          <w:szCs w:val="20"/>
        </w:rPr>
        <w:t>.</w:t>
      </w:r>
      <w:proofErr w:type="gramEnd"/>
    </w:p>
    <w:bookmarkEnd w:id="10"/>
  </w:endnote>
  <w:endnote w:id="25">
    <w:p w14:paraId="68052ADA" w14:textId="73351150" w:rsidR="00F255EE" w:rsidRDefault="00F255EE" w:rsidP="00AF26F9">
      <w:pPr>
        <w:bidi w:val="0"/>
        <w:spacing w:after="0" w:line="240" w:lineRule="auto"/>
        <w:jc w:val="both"/>
        <w:rPr>
          <w:rFonts w:asciiTheme="majorBidi" w:hAnsiTheme="majorBidi" w:cstheme="majorBidi"/>
          <w:sz w:val="20"/>
          <w:szCs w:val="20"/>
          <w:highlight w:val="yellow"/>
        </w:rPr>
      </w:pPr>
      <w:r w:rsidRPr="00286599">
        <w:rPr>
          <w:rStyle w:val="a9"/>
          <w:sz w:val="20"/>
          <w:szCs w:val="20"/>
        </w:rPr>
        <w:endnoteRef/>
      </w:r>
      <w:r w:rsidRPr="00286599">
        <w:rPr>
          <w:sz w:val="20"/>
          <w:szCs w:val="20"/>
        </w:rPr>
        <w:t xml:space="preserve"> </w:t>
      </w:r>
      <w:r w:rsidR="00AF26F9" w:rsidRPr="002348AB">
        <w:rPr>
          <w:rFonts w:ascii="Times New Roman" w:hAnsi="Times New Roman" w:cs="Times New Roman"/>
          <w:sz w:val="20"/>
          <w:szCs w:val="20"/>
          <w:rtl/>
        </w:rPr>
        <w:t xml:space="preserve">ראו </w:t>
      </w:r>
      <w:r w:rsidR="00AF26F9">
        <w:rPr>
          <w:rFonts w:ascii="Times New Roman" w:hAnsi="Times New Roman" w:cs="Times New Roman" w:hint="cs"/>
          <w:sz w:val="20"/>
          <w:szCs w:val="20"/>
          <w:rtl/>
        </w:rPr>
        <w:t xml:space="preserve">לעיל </w:t>
      </w:r>
      <w:proofErr w:type="spellStart"/>
      <w:r w:rsidR="00AF26F9">
        <w:rPr>
          <w:rFonts w:ascii="Times New Roman" w:hAnsi="Times New Roman" w:cs="Times New Roman" w:hint="cs"/>
          <w:sz w:val="20"/>
          <w:szCs w:val="20"/>
          <w:rtl/>
        </w:rPr>
        <w:t>ה"ש</w:t>
      </w:r>
      <w:proofErr w:type="spellEnd"/>
    </w:p>
    <w:p w14:paraId="68475F4B" w14:textId="55E6319B" w:rsidR="007123D8" w:rsidRPr="002348AB" w:rsidRDefault="007123D8" w:rsidP="00FF3802">
      <w:pPr>
        <w:bidi w:val="0"/>
        <w:spacing w:after="0" w:line="240" w:lineRule="auto"/>
        <w:rPr>
          <w:rFonts w:ascii="Times New Roman" w:hAnsi="Times New Roman" w:cs="Times New Roman"/>
          <w:sz w:val="20"/>
          <w:szCs w:val="20"/>
          <w:highlight w:val="yellow"/>
          <w:rtl/>
        </w:rPr>
      </w:pPr>
    </w:p>
  </w:endnote>
  <w:endnote w:id="26">
    <w:p w14:paraId="2949E828" w14:textId="77777777" w:rsidR="00F255EE" w:rsidRPr="00286599" w:rsidRDefault="00F255EE" w:rsidP="00F255EE">
      <w:pPr>
        <w:pStyle w:val="a7"/>
        <w:jc w:val="right"/>
        <w:rPr>
          <w:rFonts w:asciiTheme="majorBidi" w:hAnsiTheme="majorBidi" w:cstheme="majorBidi"/>
          <w:rtl/>
        </w:rPr>
      </w:pPr>
      <w:r w:rsidRPr="007123D8">
        <w:rPr>
          <w:rStyle w:val="a9"/>
          <w:rFonts w:asciiTheme="majorBidi" w:hAnsiTheme="majorBidi" w:cstheme="majorBidi"/>
        </w:rPr>
        <w:endnoteRef/>
      </w:r>
      <w:r w:rsidRPr="007123D8">
        <w:rPr>
          <w:rFonts w:asciiTheme="majorBidi" w:hAnsiTheme="majorBidi" w:cstheme="majorBidi"/>
        </w:rPr>
        <w:t xml:space="preserve">  Rabbinical Courts Law (Execution of Divorce Judgments), 1995</w:t>
      </w:r>
      <w:r w:rsidRPr="00286599">
        <w:rPr>
          <w:rFonts w:asciiTheme="majorBidi" w:hAnsiTheme="majorBidi" w:cstheme="majorBidi"/>
        </w:rPr>
        <w:t>.</w:t>
      </w:r>
    </w:p>
  </w:endnote>
  <w:endnote w:id="27">
    <w:p w14:paraId="135BFCC8" w14:textId="77777777" w:rsidR="00F255EE" w:rsidRPr="00286599" w:rsidRDefault="00F255EE" w:rsidP="00F255EE">
      <w:pPr>
        <w:pStyle w:val="a7"/>
        <w:bidi w:val="0"/>
        <w:jc w:val="both"/>
        <w:rPr>
          <w:rFonts w:asciiTheme="majorBidi" w:hAnsiTheme="majorBidi" w:cstheme="majorBidi"/>
          <w:rtl/>
        </w:rPr>
      </w:pPr>
      <w:r w:rsidRPr="00286599">
        <w:rPr>
          <w:rStyle w:val="a9"/>
          <w:rFonts w:asciiTheme="majorBidi" w:hAnsiTheme="majorBidi" w:cstheme="majorBidi"/>
        </w:rPr>
        <w:endnoteRef/>
      </w:r>
      <w:r w:rsidRPr="00286599">
        <w:rPr>
          <w:rFonts w:asciiTheme="majorBidi" w:hAnsiTheme="majorBidi" w:cstheme="majorBidi"/>
        </w:rPr>
        <w:t xml:space="preserve">  Great Rabbinical Court </w:t>
      </w:r>
      <w:r w:rsidRPr="00286599">
        <w:rPr>
          <w:rFonts w:asciiTheme="majorBidi" w:hAnsiTheme="majorBidi" w:cstheme="majorBidi" w:hint="cs"/>
          <w:rtl/>
        </w:rPr>
        <w:t>975433/1</w:t>
      </w:r>
      <w:r w:rsidRPr="00286599">
        <w:rPr>
          <w:rFonts w:asciiTheme="majorBidi" w:hAnsiTheme="majorBidi" w:cstheme="majorBidi"/>
        </w:rPr>
        <w:t>.</w:t>
      </w:r>
    </w:p>
  </w:endnote>
  <w:endnote w:id="28">
    <w:p w14:paraId="4AFD4B9D" w14:textId="77777777" w:rsidR="00F255EE" w:rsidRPr="00286599" w:rsidRDefault="00F255EE" w:rsidP="00F255EE">
      <w:pPr>
        <w:bidi w:val="0"/>
        <w:spacing w:after="0" w:line="240" w:lineRule="auto"/>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Rabbinical Courts Law (Execution of Divorce Judgments), 1995, (Amendment no. 8), 2017.</w:t>
      </w:r>
    </w:p>
  </w:endnote>
  <w:endnote w:id="29">
    <w:p w14:paraId="724AA065" w14:textId="7B09F7C6" w:rsidR="00F255EE" w:rsidRPr="00E92F95" w:rsidRDefault="00F255EE" w:rsidP="00AF26F9">
      <w:pPr>
        <w:bidi w:val="0"/>
        <w:spacing w:after="0" w:line="240" w:lineRule="auto"/>
        <w:jc w:val="both"/>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bookmarkStart w:id="14" w:name="_Hlk79664468"/>
      <w:r w:rsidRPr="00286599">
        <w:rPr>
          <w:rFonts w:asciiTheme="majorBidi" w:hAnsiTheme="majorBidi" w:cstheme="majorBidi"/>
          <w:sz w:val="20"/>
          <w:szCs w:val="20"/>
        </w:rPr>
        <w:t xml:space="preserve">Tel Aviv-Yafo DRC </w:t>
      </w:r>
      <w:r w:rsidRPr="00286599">
        <w:rPr>
          <w:rFonts w:asciiTheme="majorBidi" w:hAnsiTheme="majorBidi" w:cstheme="majorBidi" w:hint="cs"/>
          <w:sz w:val="20"/>
          <w:szCs w:val="20"/>
          <w:rtl/>
        </w:rPr>
        <w:t>927170/6 (2016)</w:t>
      </w:r>
      <w:r w:rsidRPr="00286599">
        <w:rPr>
          <w:rFonts w:asciiTheme="majorBidi" w:hAnsiTheme="majorBidi" w:cstheme="majorBidi"/>
          <w:sz w:val="20"/>
          <w:szCs w:val="20"/>
        </w:rPr>
        <w:t xml:space="preserve">. </w:t>
      </w:r>
    </w:p>
    <w:p w14:paraId="33F84525" w14:textId="339CEE94" w:rsidR="00F255EE" w:rsidRPr="00286599" w:rsidRDefault="00F255EE" w:rsidP="00421597">
      <w:pPr>
        <w:bidi w:val="0"/>
        <w:spacing w:after="0" w:line="240" w:lineRule="auto"/>
        <w:rPr>
          <w:rFonts w:asciiTheme="majorBidi" w:hAnsiTheme="majorBidi" w:cstheme="majorBidi"/>
          <w:color w:val="0000FF"/>
          <w:sz w:val="20"/>
          <w:szCs w:val="20"/>
          <w:u w:val="single"/>
        </w:rPr>
      </w:pPr>
      <w:r w:rsidRPr="00E92F95">
        <w:rPr>
          <w:rFonts w:asciiTheme="majorBidi" w:hAnsiTheme="majorBidi" w:cstheme="majorBidi"/>
          <w:sz w:val="20"/>
          <w:szCs w:val="20"/>
        </w:rPr>
        <w:t xml:space="preserve"> The question of whether a sanction can be imposed on a third party by force of the contempt Ordinance was already decided by the Supreme Court in 1980 in the “Taxi Case” (CA 371/78 Hadar Taxis Ltd. v. Biton, ruling 232(4)</w:t>
      </w:r>
      <w:r w:rsidRPr="00286599">
        <w:rPr>
          <w:rFonts w:asciiTheme="majorBidi" w:hAnsiTheme="majorBidi" w:cstheme="majorBidi"/>
          <w:sz w:val="20"/>
          <w:szCs w:val="20"/>
        </w:rPr>
        <w:t>34 (24/6/1980)</w:t>
      </w:r>
      <w:r w:rsidR="00AF26F9">
        <w:rPr>
          <w:rFonts w:asciiTheme="majorBidi" w:hAnsiTheme="majorBidi" w:cstheme="majorBidi"/>
          <w:sz w:val="20"/>
          <w:szCs w:val="20"/>
        </w:rPr>
        <w:t>.</w:t>
      </w:r>
      <w:r w:rsidRPr="00286599">
        <w:rPr>
          <w:rFonts w:asciiTheme="majorBidi" w:hAnsiTheme="majorBidi" w:cstheme="majorBidi"/>
          <w:sz w:val="20"/>
          <w:szCs w:val="20"/>
        </w:rPr>
        <w:t xml:space="preserve"> Imposing sanctions against third parties is permitted in Jewish Law, as demonstrated by Nahon, “Contempt of Court,”</w:t>
      </w:r>
      <w:hyperlink r:id="rId1" w:history="1">
        <w:r w:rsidRPr="00286599">
          <w:rPr>
            <w:rStyle w:val="Hyperlink"/>
            <w:rFonts w:asciiTheme="majorBidi" w:hAnsiTheme="majorBidi" w:cstheme="majorBidi"/>
            <w:sz w:val="20"/>
            <w:szCs w:val="20"/>
          </w:rPr>
          <w:t>http://www.daat.ac.il/mishpat-ivri/skirot/skira.asp?id=285</w:t>
        </w:r>
      </w:hyperlink>
      <w:bookmarkEnd w:id="14"/>
    </w:p>
  </w:endnote>
  <w:endnote w:id="30">
    <w:p w14:paraId="5681590F" w14:textId="77777777" w:rsidR="00F255EE" w:rsidRPr="00286599" w:rsidRDefault="00F255EE" w:rsidP="00F255EE">
      <w:pPr>
        <w:pStyle w:val="a7"/>
        <w:bidi w:val="0"/>
        <w:jc w:val="both"/>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General Attorney Guideline No. 2.24 – Policy of prosecution and punishment for non-compliance with a judicial order of the Rabbinical Court for granting or receiving a divorce, Sections 9-13.</w:t>
      </w:r>
    </w:p>
    <w:p w14:paraId="3B426C44" w14:textId="77777777" w:rsidR="00F255EE" w:rsidRPr="00286599" w:rsidRDefault="00F255EE" w:rsidP="00F255EE">
      <w:pPr>
        <w:pStyle w:val="a7"/>
        <w:bidi w:val="0"/>
        <w:jc w:val="both"/>
        <w:rPr>
          <w:color w:val="0000FF"/>
          <w:u w:val="single"/>
          <w:rtl/>
        </w:rPr>
      </w:pPr>
      <w:r w:rsidRPr="00286599">
        <w:rPr>
          <w:rFonts w:asciiTheme="majorBidi" w:hAnsiTheme="majorBidi" w:cstheme="majorBidi"/>
        </w:rPr>
        <w:t xml:space="preserve"> </w:t>
      </w:r>
      <w:hyperlink r:id="rId2" w:history="1">
        <w:r w:rsidRPr="00286599">
          <w:rPr>
            <w:rStyle w:val="Hyperlink"/>
            <w:rFonts w:asciiTheme="majorBidi" w:hAnsiTheme="majorBidi" w:cstheme="majorBidi"/>
          </w:rPr>
          <w:t>http://www.justice.gov.il/Units/StateAttorney/Guidelines/02/24.pdf</w:t>
        </w:r>
      </w:hyperlink>
    </w:p>
  </w:endnote>
  <w:endnote w:id="31">
    <w:p w14:paraId="7E40420B" w14:textId="140FB7CD" w:rsidR="00F255EE" w:rsidRDefault="00F255EE" w:rsidP="00F255EE">
      <w:pPr>
        <w:pStyle w:val="a7"/>
        <w:bidi w:val="0"/>
        <w:jc w:val="both"/>
        <w:rPr>
          <w:rFonts w:asciiTheme="majorBidi" w:hAnsiTheme="majorBidi" w:cstheme="majorBidi"/>
          <w:color w:val="0000FF"/>
          <w:u w:val="single"/>
        </w:rPr>
      </w:pPr>
      <w:r w:rsidRPr="00286599">
        <w:rPr>
          <w:rStyle w:val="a9"/>
          <w:rFonts w:asciiTheme="majorBidi" w:hAnsiTheme="majorBidi" w:cstheme="majorBidi"/>
        </w:rPr>
        <w:endnoteRef/>
      </w:r>
      <w:r w:rsidRPr="00286599">
        <w:rPr>
          <w:rFonts w:asciiTheme="majorBidi" w:hAnsiTheme="majorBidi" w:cstheme="majorBidi"/>
        </w:rPr>
        <w:t xml:space="preserve">General Attorney Guidline No. 2.24 – Policy of prosecution and punishment for non-compliance with a judicial order of the Rabbinical Court for granting or receiving a divorce, Sections 14-17. </w:t>
      </w:r>
      <w:hyperlink r:id="rId3" w:history="1">
        <w:r w:rsidRPr="00286599">
          <w:rPr>
            <w:rStyle w:val="Hyperlink"/>
            <w:rFonts w:asciiTheme="majorBidi" w:hAnsiTheme="majorBidi" w:cstheme="majorBidi"/>
          </w:rPr>
          <w:t>http://www.justice.gov.il/Units/StateAttorney/Guidelines/02/24.pdf</w:t>
        </w:r>
      </w:hyperlink>
    </w:p>
    <w:p w14:paraId="3A0AE24E" w14:textId="77777777" w:rsidR="00421597" w:rsidRPr="00286599" w:rsidRDefault="00421597" w:rsidP="00421597">
      <w:pPr>
        <w:pStyle w:val="a7"/>
        <w:bidi w:val="0"/>
        <w:jc w:val="both"/>
        <w:rPr>
          <w:rFonts w:asciiTheme="majorBidi" w:hAnsiTheme="majorBidi" w:cstheme="majorBidi"/>
          <w:color w:val="0000FF"/>
          <w:u w:val="single"/>
          <w:rtl/>
        </w:rPr>
      </w:pPr>
    </w:p>
  </w:endnote>
  <w:endnote w:id="32">
    <w:p w14:paraId="21AB3D80" w14:textId="77777777" w:rsidR="00421597" w:rsidRDefault="00F255EE" w:rsidP="00F255EE">
      <w:pPr>
        <w:pStyle w:val="a7"/>
        <w:jc w:val="right"/>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Rabbinical Courts (Marriage and Divorce) Judgment Law (Amendment No. 4 and Temporary</w:t>
      </w:r>
    </w:p>
    <w:p w14:paraId="02329BEE" w14:textId="41632859" w:rsidR="00F255EE" w:rsidRPr="00286599" w:rsidRDefault="00F255EE" w:rsidP="00F255EE">
      <w:pPr>
        <w:pStyle w:val="a7"/>
        <w:jc w:val="right"/>
        <w:rPr>
          <w:rFonts w:asciiTheme="majorBidi" w:hAnsiTheme="majorBidi" w:cstheme="majorBidi"/>
        </w:rPr>
      </w:pPr>
      <w:r w:rsidRPr="00286599">
        <w:rPr>
          <w:rFonts w:asciiTheme="majorBidi" w:hAnsiTheme="majorBidi" w:cstheme="majorBidi"/>
        </w:rPr>
        <w:t xml:space="preserve">Order),2018.                                                                                                                                                                                                                                      </w:t>
      </w:r>
    </w:p>
  </w:endnote>
  <w:endnote w:id="33">
    <w:p w14:paraId="6A94BDB8" w14:textId="77777777" w:rsidR="00F255EE" w:rsidRPr="00286599" w:rsidRDefault="00F255EE" w:rsidP="00F255EE">
      <w:pPr>
        <w:pStyle w:val="a7"/>
        <w:jc w:val="right"/>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Rabbinical Courts (Marriage and Divorce) Judgment Bill (Amendment No. 4) (International Jurisdiction in Divorce Claim), 2018.</w:t>
      </w:r>
    </w:p>
  </w:endnote>
  <w:endnote w:id="34">
    <w:p w14:paraId="673F27E4" w14:textId="77777777" w:rsidR="00F255EE" w:rsidRPr="00286599" w:rsidRDefault="00F255EE" w:rsidP="00F255EE">
      <w:pPr>
        <w:pStyle w:val="a7"/>
        <w:bidi w:val="0"/>
        <w:jc w:val="both"/>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The bill Rabbinical Courts (Execution of Divorce Judgments) (Amendment – Restriction of the Use of Credit Cards for Refusal to Divorce), 2018 (</w:t>
      </w:r>
      <w:r w:rsidRPr="00286599">
        <w:rPr>
          <w:rFonts w:asciiTheme="majorBidi" w:hAnsiTheme="majorBidi" w:cstheme="majorBidi" w:hint="cs"/>
          <w:rtl/>
        </w:rPr>
        <w:t>/5068/20</w:t>
      </w:r>
      <w:r w:rsidRPr="00286599">
        <w:rPr>
          <w:rFonts w:asciiTheme="majorBidi" w:hAnsiTheme="majorBidi" w:cstheme="majorBidi"/>
        </w:rPr>
        <w:t>P)</w:t>
      </w:r>
      <w:r w:rsidRPr="00286599">
        <w:rPr>
          <w:rFonts w:asciiTheme="majorBidi" w:hAnsiTheme="majorBidi" w:cstheme="majorBidi" w:hint="cs"/>
          <w:rtl/>
        </w:rPr>
        <w:t>.</w:t>
      </w:r>
    </w:p>
    <w:p w14:paraId="7CEA43D2" w14:textId="77777777" w:rsidR="00F255EE" w:rsidRPr="00286599" w:rsidRDefault="00F255EE" w:rsidP="00F255EE">
      <w:pPr>
        <w:pStyle w:val="a7"/>
        <w:rPr>
          <w:rFonts w:asciiTheme="majorBidi" w:hAnsiTheme="majorBidi" w:cstheme="majorBidi"/>
        </w:rPr>
      </w:pPr>
    </w:p>
  </w:endnote>
  <w:endnote w:id="35">
    <w:p w14:paraId="4238C201" w14:textId="4E9891F8" w:rsidR="00F255EE" w:rsidRDefault="00F255EE" w:rsidP="00F255EE">
      <w:pPr>
        <w:pStyle w:val="a7"/>
        <w:jc w:val="right"/>
        <w:rPr>
          <w:rFonts w:asciiTheme="majorBidi" w:hAnsiTheme="majorBidi" w:cstheme="majorBidi"/>
          <w:rtl/>
        </w:rPr>
      </w:pPr>
      <w:r w:rsidRPr="00286599">
        <w:rPr>
          <w:rStyle w:val="a9"/>
          <w:rFonts w:asciiTheme="majorBidi" w:hAnsiTheme="majorBidi" w:cstheme="majorBidi"/>
        </w:rPr>
        <w:endnoteRef/>
      </w:r>
      <w:r w:rsidRPr="00286599">
        <w:rPr>
          <w:rFonts w:asciiTheme="majorBidi" w:hAnsiTheme="majorBidi" w:cstheme="majorBidi"/>
        </w:rPr>
        <w:t xml:space="preserve"> Rabbi Yuval </w:t>
      </w:r>
      <w:proofErr w:type="spellStart"/>
      <w:r w:rsidRPr="00286599">
        <w:rPr>
          <w:rFonts w:asciiTheme="majorBidi" w:hAnsiTheme="majorBidi" w:cstheme="majorBidi"/>
        </w:rPr>
        <w:t>Cherlo</w:t>
      </w:r>
      <w:proofErr w:type="spellEnd"/>
      <w:r w:rsidRPr="00286599">
        <w:rPr>
          <w:rFonts w:asciiTheme="majorBidi" w:hAnsiTheme="majorBidi" w:cstheme="majorBidi"/>
        </w:rPr>
        <w:t>, "</w:t>
      </w:r>
      <w:proofErr w:type="spellStart"/>
      <w:r w:rsidRPr="00286599">
        <w:rPr>
          <w:rFonts w:asciiTheme="majorBidi" w:hAnsiTheme="majorBidi" w:cstheme="majorBidi"/>
        </w:rPr>
        <w:t>Halachik</w:t>
      </w:r>
      <w:proofErr w:type="spellEnd"/>
      <w:r w:rsidRPr="00286599">
        <w:rPr>
          <w:rFonts w:asciiTheme="majorBidi" w:hAnsiTheme="majorBidi" w:cstheme="majorBidi"/>
        </w:rPr>
        <w:t xml:space="preserve"> Compass,” 4-5.</w:t>
      </w:r>
    </w:p>
    <w:p w14:paraId="4E24A372" w14:textId="77777777" w:rsidR="00421597" w:rsidRPr="00286599" w:rsidRDefault="00421597" w:rsidP="00F255EE">
      <w:pPr>
        <w:pStyle w:val="a7"/>
        <w:jc w:val="right"/>
        <w:rPr>
          <w:rFonts w:asciiTheme="majorBidi" w:hAnsiTheme="majorBidi" w:cstheme="majorBidi"/>
          <w:rtl/>
        </w:rPr>
      </w:pPr>
    </w:p>
  </w:endnote>
  <w:endnote w:id="36">
    <w:p w14:paraId="16777DCD" w14:textId="77777777" w:rsidR="00F255EE" w:rsidRPr="00286599" w:rsidRDefault="00F255EE" w:rsidP="00F255EE">
      <w:pPr>
        <w:bidi w:val="0"/>
        <w:spacing w:after="0" w:line="240" w:lineRule="auto"/>
        <w:jc w:val="both"/>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proofErr w:type="spellStart"/>
      <w:r w:rsidRPr="00286599">
        <w:rPr>
          <w:rFonts w:asciiTheme="majorBidi" w:hAnsiTheme="majorBidi" w:cstheme="majorBidi"/>
          <w:sz w:val="20"/>
          <w:szCs w:val="20"/>
        </w:rPr>
        <w:t>Yifrach</w:t>
      </w:r>
      <w:proofErr w:type="spellEnd"/>
      <w:r w:rsidRPr="00286599">
        <w:rPr>
          <w:rFonts w:asciiTheme="majorBidi" w:hAnsiTheme="majorBidi" w:cstheme="majorBidi"/>
          <w:sz w:val="20"/>
          <w:szCs w:val="20"/>
        </w:rPr>
        <w:t xml:space="preserve">, "Cursed </w:t>
      </w:r>
      <w:proofErr w:type="spellStart"/>
      <w:r w:rsidRPr="00286599">
        <w:rPr>
          <w:rFonts w:asciiTheme="majorBidi" w:hAnsiTheme="majorBidi" w:cstheme="majorBidi"/>
          <w:sz w:val="20"/>
          <w:szCs w:val="20"/>
        </w:rPr>
        <w:t>Villians</w:t>
      </w:r>
      <w:proofErr w:type="spellEnd"/>
      <w:r w:rsidRPr="00286599">
        <w:rPr>
          <w:rFonts w:asciiTheme="majorBidi" w:hAnsiTheme="majorBidi" w:cstheme="majorBidi"/>
          <w:sz w:val="20"/>
          <w:szCs w:val="20"/>
        </w:rPr>
        <w:t>,” 8-9.</w:t>
      </w:r>
    </w:p>
    <w:p w14:paraId="0121E85C" w14:textId="77777777" w:rsidR="00F255EE" w:rsidRPr="00286599" w:rsidRDefault="00F255EE" w:rsidP="00F255EE">
      <w:pPr>
        <w:pStyle w:val="a7"/>
        <w:jc w:val="right"/>
        <w:rPr>
          <w:rFonts w:asciiTheme="majorBidi" w:hAnsiTheme="majorBidi" w:cstheme="majorBidi"/>
          <w:rtl/>
        </w:rPr>
      </w:pPr>
    </w:p>
  </w:endnote>
  <w:endnote w:id="37">
    <w:p w14:paraId="0CDBBE75" w14:textId="77777777" w:rsidR="00F255EE" w:rsidRPr="00286599" w:rsidRDefault="00F255EE" w:rsidP="00F255EE">
      <w:pPr>
        <w:jc w:val="right"/>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proofErr w:type="spellStart"/>
      <w:r w:rsidRPr="00286599">
        <w:rPr>
          <w:rFonts w:asciiTheme="majorBidi" w:hAnsiTheme="majorBidi" w:cstheme="majorBidi"/>
          <w:sz w:val="20"/>
          <w:szCs w:val="20"/>
        </w:rPr>
        <w:t>Zoldan</w:t>
      </w:r>
      <w:proofErr w:type="spellEnd"/>
      <w:r w:rsidRPr="00286599">
        <w:rPr>
          <w:rFonts w:asciiTheme="majorBidi" w:hAnsiTheme="majorBidi" w:cstheme="majorBidi"/>
          <w:sz w:val="20"/>
          <w:szCs w:val="20"/>
        </w:rPr>
        <w:t xml:space="preserve">, “Public Shaming,” 295.                                                                                                    </w:t>
      </w:r>
    </w:p>
  </w:endnote>
  <w:endnote w:id="38">
    <w:p w14:paraId="65264859" w14:textId="25A01FA4" w:rsidR="00F255EE" w:rsidRPr="00286599" w:rsidRDefault="00F255EE" w:rsidP="00F255EE">
      <w:pPr>
        <w:pStyle w:val="a7"/>
        <w:jc w:val="both"/>
        <w:rPr>
          <w:rFonts w:asciiTheme="majorBidi" w:hAnsiTheme="majorBidi" w:cstheme="majorBidi" w:hint="cs"/>
          <w:rtl/>
        </w:rPr>
      </w:pPr>
      <w:r w:rsidRPr="00286599">
        <w:rPr>
          <w:rStyle w:val="a9"/>
          <w:rFonts w:asciiTheme="majorBidi" w:hAnsiTheme="majorBidi" w:cstheme="majorBidi"/>
        </w:rPr>
        <w:endnoteRef/>
      </w:r>
      <w:r w:rsidRPr="00286599">
        <w:rPr>
          <w:rFonts w:asciiTheme="majorBidi" w:hAnsiTheme="majorBidi" w:cstheme="majorBidi"/>
        </w:rPr>
        <w:t xml:space="preserve">  Zilberger and Radziner, “Dead Marriage Claim,” 68-113, n. 2 which references Unger and Almagor-Lotan, </w:t>
      </w:r>
      <w:r w:rsidRPr="00286599">
        <w:rPr>
          <w:rFonts w:asciiTheme="majorBidi" w:hAnsiTheme="majorBidi" w:cstheme="majorBidi"/>
          <w:i/>
          <w:iCs/>
        </w:rPr>
        <w:t>Get Refusal in Israel</w:t>
      </w:r>
      <w:r w:rsidRPr="00286599">
        <w:rPr>
          <w:rFonts w:asciiTheme="majorBidi" w:hAnsiTheme="majorBidi" w:cstheme="majorBidi"/>
        </w:rPr>
        <w:t xml:space="preserve">, 4; 7; </w:t>
      </w:r>
      <w:proofErr w:type="gramStart"/>
      <w:r w:rsidRPr="00286599">
        <w:rPr>
          <w:rFonts w:asciiTheme="majorBidi" w:hAnsiTheme="majorBidi" w:cstheme="majorBidi"/>
        </w:rPr>
        <w:t>11</w:t>
      </w:r>
      <w:r w:rsidR="004A0050">
        <w:rPr>
          <w:rFonts w:asciiTheme="majorBidi" w:hAnsiTheme="majorBidi" w:cstheme="majorBidi"/>
        </w:rPr>
        <w:t>;</w:t>
      </w:r>
      <w:r w:rsidRPr="00286599">
        <w:rPr>
          <w:rFonts w:asciiTheme="majorBidi" w:hAnsiTheme="majorBidi" w:cstheme="majorBidi"/>
        </w:rPr>
        <w:t xml:space="preserve">  Halperin</w:t>
      </w:r>
      <w:proofErr w:type="gramEnd"/>
      <w:r w:rsidRPr="00286599">
        <w:rPr>
          <w:rFonts w:asciiTheme="majorBidi" w:hAnsiTheme="majorBidi" w:cstheme="majorBidi"/>
        </w:rPr>
        <w:t xml:space="preserve"> </w:t>
      </w:r>
      <w:proofErr w:type="spellStart"/>
      <w:r w:rsidRPr="00286599">
        <w:rPr>
          <w:rFonts w:asciiTheme="majorBidi" w:hAnsiTheme="majorBidi" w:cstheme="majorBidi"/>
        </w:rPr>
        <w:t>Kaddari</w:t>
      </w:r>
      <w:proofErr w:type="spellEnd"/>
      <w:r w:rsidRPr="00286599">
        <w:rPr>
          <w:rFonts w:asciiTheme="majorBidi" w:hAnsiTheme="majorBidi" w:cstheme="majorBidi"/>
        </w:rPr>
        <w:t>, Goldstein and Horowitz, “Women and Family,” 77-78</w:t>
      </w:r>
      <w:r w:rsidR="002B7A1B">
        <w:rPr>
          <w:rFonts w:asciiTheme="majorBidi" w:hAnsiTheme="majorBidi" w:cstheme="majorBidi"/>
        </w:rPr>
        <w:t>.</w:t>
      </w:r>
      <w:r w:rsidRPr="00286599">
        <w:rPr>
          <w:rFonts w:asciiTheme="majorBidi" w:hAnsiTheme="majorBidi" w:cstheme="majorBidi"/>
        </w:rPr>
        <w:t xml:space="preserve"> </w:t>
      </w:r>
    </w:p>
    <w:p w14:paraId="08B26C5E" w14:textId="77777777" w:rsidR="00F255EE" w:rsidRPr="00286599" w:rsidRDefault="00F255EE" w:rsidP="00F255EE">
      <w:pPr>
        <w:pStyle w:val="a7"/>
        <w:jc w:val="both"/>
        <w:rPr>
          <w:rFonts w:asciiTheme="majorBidi" w:hAnsiTheme="majorBidi" w:cstheme="majorBidi"/>
          <w:rtl/>
        </w:rPr>
      </w:pPr>
    </w:p>
  </w:endnote>
  <w:endnote w:id="39">
    <w:p w14:paraId="3FF40ED7" w14:textId="77777777" w:rsidR="00F255EE" w:rsidRPr="00286599" w:rsidRDefault="00F255EE" w:rsidP="00F255EE">
      <w:pPr>
        <w:pStyle w:val="a7"/>
        <w:tabs>
          <w:tab w:val="right" w:pos="9029"/>
        </w:tabs>
        <w:jc w:val="right"/>
        <w:rPr>
          <w:rFonts w:asciiTheme="majorBidi" w:hAnsiTheme="majorBidi" w:cstheme="majorBidi"/>
          <w:rtl/>
        </w:rPr>
      </w:pPr>
      <w:r w:rsidRPr="00286599">
        <w:rPr>
          <w:rStyle w:val="a9"/>
          <w:rFonts w:asciiTheme="majorBidi" w:hAnsiTheme="majorBidi" w:cstheme="majorBidi"/>
        </w:rPr>
        <w:endnoteRef/>
      </w:r>
      <w:r w:rsidRPr="00286599">
        <w:rPr>
          <w:rFonts w:asciiTheme="majorBidi" w:hAnsiTheme="majorBidi" w:cstheme="majorBidi"/>
        </w:rPr>
        <w:t xml:space="preserve">  </w:t>
      </w:r>
      <w:proofErr w:type="spellStart"/>
      <w:r w:rsidRPr="00286599">
        <w:rPr>
          <w:rFonts w:asciiTheme="majorBidi" w:hAnsiTheme="majorBidi" w:cstheme="majorBidi"/>
        </w:rPr>
        <w:t>Rabeinu</w:t>
      </w:r>
      <w:proofErr w:type="spellEnd"/>
      <w:r w:rsidRPr="00286599">
        <w:rPr>
          <w:rFonts w:asciiTheme="majorBidi" w:hAnsiTheme="majorBidi" w:cstheme="majorBidi"/>
        </w:rPr>
        <w:t xml:space="preserve"> Tam, </w:t>
      </w:r>
      <w:r w:rsidRPr="00286599">
        <w:rPr>
          <w:rFonts w:asciiTheme="majorBidi" w:hAnsiTheme="majorBidi" w:cstheme="majorBidi"/>
          <w:color w:val="000000" w:themeColor="text1"/>
        </w:rPr>
        <w:t>above n. 20.</w:t>
      </w:r>
    </w:p>
  </w:endnote>
  <w:endnote w:id="40">
    <w:p w14:paraId="10EA2CE5" w14:textId="77777777" w:rsidR="00F255EE" w:rsidRPr="00286599" w:rsidRDefault="00F255EE" w:rsidP="00F255EE">
      <w:pPr>
        <w:bidi w:val="0"/>
        <w:spacing w:after="0" w:line="240" w:lineRule="auto"/>
        <w:rPr>
          <w:rFonts w:asciiTheme="majorBidi" w:hAnsiTheme="majorBidi" w:cstheme="majorBidi"/>
          <w:sz w:val="20"/>
          <w:szCs w:val="20"/>
        </w:rPr>
      </w:pPr>
      <w:r w:rsidRPr="00286599">
        <w:rPr>
          <w:rFonts w:asciiTheme="majorBidi" w:hAnsiTheme="majorBidi" w:cstheme="majorBidi"/>
          <w:sz w:val="20"/>
          <w:szCs w:val="20"/>
        </w:rPr>
        <w:t xml:space="preserve">                                 </w:t>
      </w:r>
    </w:p>
    <w:p w14:paraId="323B4642" w14:textId="344493AB" w:rsidR="00C422B0" w:rsidRDefault="00F255EE" w:rsidP="00C422B0">
      <w:pPr>
        <w:bidi w:val="0"/>
        <w:spacing w:after="0" w:line="240" w:lineRule="auto"/>
        <w:jc w:val="both"/>
        <w:rPr>
          <w:rFonts w:asciiTheme="majorBidi" w:hAnsiTheme="majorBidi" w:cstheme="majorBidi"/>
          <w:i/>
          <w:iCs/>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hint="cs"/>
          <w:sz w:val="20"/>
          <w:szCs w:val="20"/>
          <w:rtl/>
        </w:rPr>
        <w:t xml:space="preserve"> </w:t>
      </w:r>
      <w:r w:rsidRPr="00286599">
        <w:rPr>
          <w:rFonts w:asciiTheme="majorBidi" w:hAnsiTheme="majorBidi" w:cstheme="majorBidi"/>
          <w:sz w:val="20"/>
          <w:szCs w:val="20"/>
        </w:rPr>
        <w:t xml:space="preserve"> </w:t>
      </w:r>
      <w:bookmarkStart w:id="16" w:name="_Hlk79310912"/>
      <w:r w:rsidRPr="00286599">
        <w:rPr>
          <w:rFonts w:asciiTheme="majorBidi" w:hAnsiTheme="majorBidi" w:cstheme="majorBidi"/>
          <w:sz w:val="20"/>
          <w:szCs w:val="20"/>
        </w:rPr>
        <w:t xml:space="preserve">The position expressed here, does not reflect the dominant halachic view or the current policy among rabbinic courts in practice. </w:t>
      </w:r>
      <w:r w:rsidR="00AF26F9">
        <w:rPr>
          <w:rFonts w:asciiTheme="majorBidi" w:hAnsiTheme="majorBidi" w:cstheme="majorBidi"/>
          <w:sz w:val="20"/>
          <w:szCs w:val="20"/>
        </w:rPr>
        <w:t>T</w:t>
      </w:r>
      <w:r w:rsidRPr="00286599">
        <w:rPr>
          <w:rFonts w:asciiTheme="majorBidi" w:hAnsiTheme="majorBidi" w:cstheme="majorBidi"/>
          <w:sz w:val="20"/>
          <w:szCs w:val="20"/>
        </w:rPr>
        <w:t xml:space="preserve">hey hold fast to the view that physical coercion is more severe than RTDR which allows them to be employed even when Jewish Law does not allow the coercion of a get. </w:t>
      </w:r>
      <w:r w:rsidRPr="00286599">
        <w:rPr>
          <w:rFonts w:asciiTheme="majorBidi" w:hAnsiTheme="majorBidi" w:cstheme="majorBidi"/>
          <w:i/>
          <w:iCs/>
          <w:sz w:val="20"/>
          <w:szCs w:val="20"/>
        </w:rPr>
        <w:t>However, I find support for my position in a minority view expressed by four jurists</w:t>
      </w:r>
      <w:r>
        <w:rPr>
          <w:rFonts w:asciiTheme="majorBidi" w:hAnsiTheme="majorBidi" w:cstheme="majorBidi"/>
          <w:i/>
          <w:iCs/>
          <w:sz w:val="20"/>
          <w:szCs w:val="20"/>
        </w:rPr>
        <w:t>.</w:t>
      </w:r>
      <w:r w:rsidRPr="00286599">
        <w:rPr>
          <w:rFonts w:asciiTheme="majorBidi" w:hAnsiTheme="majorBidi" w:cstheme="majorBidi"/>
          <w:i/>
          <w:iCs/>
          <w:sz w:val="20"/>
          <w:szCs w:val="20"/>
        </w:rPr>
        <w:t xml:space="preserve"> Three of these rabbinic figures</w:t>
      </w:r>
      <w:r>
        <w:rPr>
          <w:rFonts w:asciiTheme="majorBidi" w:hAnsiTheme="majorBidi" w:cstheme="majorBidi"/>
          <w:i/>
          <w:iCs/>
          <w:sz w:val="20"/>
          <w:szCs w:val="20"/>
        </w:rPr>
        <w:t xml:space="preserve"> </w:t>
      </w:r>
      <w:r w:rsidRPr="00286599">
        <w:rPr>
          <w:rFonts w:asciiTheme="majorBidi" w:hAnsiTheme="majorBidi" w:cstheme="majorBidi"/>
          <w:i/>
          <w:iCs/>
          <w:sz w:val="20"/>
          <w:szCs w:val="20"/>
        </w:rPr>
        <w:t>maintain the reason Rabbeinu Tam applied the distancing rules even when circumstances do not allow forcing a get but only obligating it is since the RTDR were deemed less harsh than coercion</w:t>
      </w:r>
      <w:r>
        <w:rPr>
          <w:rFonts w:asciiTheme="majorBidi" w:hAnsiTheme="majorBidi" w:cstheme="majorBidi"/>
          <w:i/>
          <w:iCs/>
          <w:sz w:val="20"/>
          <w:szCs w:val="20"/>
        </w:rPr>
        <w:t>. They determine</w:t>
      </w:r>
      <w:r w:rsidRPr="00286599">
        <w:rPr>
          <w:rFonts w:asciiTheme="majorBidi" w:hAnsiTheme="majorBidi" w:cstheme="majorBidi"/>
          <w:i/>
          <w:iCs/>
          <w:sz w:val="20"/>
          <w:szCs w:val="20"/>
        </w:rPr>
        <w:t xml:space="preserve"> </w:t>
      </w:r>
      <w:r w:rsidRPr="00182D46">
        <w:rPr>
          <w:rFonts w:asciiTheme="majorBidi" w:hAnsiTheme="majorBidi" w:cstheme="majorBidi"/>
          <w:i/>
          <w:iCs/>
          <w:sz w:val="20"/>
          <w:szCs w:val="20"/>
        </w:rPr>
        <w:t>RTDR</w:t>
      </w:r>
      <w:r w:rsidRPr="00286599">
        <w:rPr>
          <w:rFonts w:asciiTheme="majorBidi" w:hAnsiTheme="majorBidi" w:cstheme="majorBidi"/>
          <w:i/>
          <w:iCs/>
          <w:sz w:val="20"/>
          <w:szCs w:val="20"/>
        </w:rPr>
        <w:t xml:space="preserve"> should not be implemented in later generations as the situation was now reversed and the RTDR deemed more severe than coercion</w:t>
      </w:r>
      <w:r w:rsidRPr="00AF26F9">
        <w:rPr>
          <w:rFonts w:asciiTheme="majorBidi" w:hAnsiTheme="majorBidi" w:cstheme="majorBidi"/>
          <w:i/>
          <w:iCs/>
          <w:sz w:val="20"/>
          <w:szCs w:val="20"/>
        </w:rPr>
        <w:t>)</w:t>
      </w:r>
      <w:r w:rsidRPr="00286599">
        <w:rPr>
          <w:rFonts w:asciiTheme="majorBidi" w:hAnsiTheme="majorBidi" w:cstheme="majorBidi"/>
          <w:i/>
          <w:iCs/>
          <w:sz w:val="20"/>
          <w:szCs w:val="20"/>
        </w:rPr>
        <w:t>.  This position was initially expressed by Mahari Ben Lev responsa, 2, 79; 3, 102</w:t>
      </w:r>
      <w:r w:rsidRPr="00F31E34">
        <w:rPr>
          <w:rFonts w:asciiTheme="majorBidi" w:hAnsiTheme="majorBidi" w:cstheme="majorBidi"/>
          <w:i/>
          <w:iCs/>
          <w:sz w:val="20"/>
          <w:szCs w:val="20"/>
        </w:rPr>
        <w:t>:</w:t>
      </w:r>
      <w:r w:rsidRPr="00286599">
        <w:rPr>
          <w:rFonts w:asciiTheme="majorBidi" w:hAnsiTheme="majorBidi" w:cstheme="majorBidi"/>
          <w:i/>
          <w:iCs/>
          <w:sz w:val="20"/>
          <w:szCs w:val="20"/>
        </w:rPr>
        <w:t xml:space="preserve"> “we do not impose harhakot as Rabbeinu Tam and the Smak and Mahari Kolon wrote…it may be that the reason is because in these generations distancing is deemed </w:t>
      </w:r>
      <w:proofErr w:type="gramStart"/>
      <w:r w:rsidRPr="00286599">
        <w:rPr>
          <w:rFonts w:asciiTheme="majorBidi" w:hAnsiTheme="majorBidi" w:cstheme="majorBidi"/>
          <w:i/>
          <w:iCs/>
          <w:sz w:val="20"/>
          <w:szCs w:val="20"/>
        </w:rPr>
        <w:t>more harsh</w:t>
      </w:r>
      <w:proofErr w:type="gramEnd"/>
      <w:r w:rsidRPr="00286599">
        <w:rPr>
          <w:rFonts w:asciiTheme="majorBidi" w:hAnsiTheme="majorBidi" w:cstheme="majorBidi"/>
          <w:i/>
          <w:iCs/>
          <w:sz w:val="20"/>
          <w:szCs w:val="20"/>
        </w:rPr>
        <w:t xml:space="preserve"> than excommunication … And wherever we do not force with lashes and excommunication – we also do not impose distancing measures.”</w:t>
      </w:r>
      <w:r w:rsidR="00C422B0" w:rsidRPr="00C422B0">
        <w:rPr>
          <w:rFonts w:asciiTheme="majorBidi" w:hAnsiTheme="majorBidi" w:cstheme="majorBidi"/>
          <w:i/>
          <w:iCs/>
          <w:sz w:val="20"/>
          <w:szCs w:val="20"/>
        </w:rPr>
        <w:t xml:space="preserve"> </w:t>
      </w:r>
    </w:p>
    <w:p w14:paraId="02C8F80E" w14:textId="39977415" w:rsidR="00F255EE" w:rsidRPr="00FC5C86" w:rsidRDefault="00F255EE" w:rsidP="00C422B0">
      <w:pPr>
        <w:bidi w:val="0"/>
        <w:spacing w:line="240" w:lineRule="auto"/>
        <w:jc w:val="both"/>
        <w:rPr>
          <w:rFonts w:asciiTheme="majorBidi" w:hAnsiTheme="majorBidi" w:cstheme="majorBidi"/>
          <w:i/>
          <w:iCs/>
          <w:sz w:val="20"/>
          <w:szCs w:val="20"/>
        </w:rPr>
      </w:pPr>
      <w:r w:rsidRPr="00286599">
        <w:rPr>
          <w:rFonts w:asciiTheme="majorBidi" w:hAnsiTheme="majorBidi" w:cstheme="majorBidi"/>
          <w:sz w:val="20"/>
          <w:szCs w:val="20"/>
        </w:rPr>
        <w:t>Rabbi Shabtai Meir Hacohen (Shach) in Gvurat Anashim, 72 mentions the view of</w:t>
      </w:r>
      <w:r>
        <w:rPr>
          <w:rFonts w:asciiTheme="majorBidi" w:hAnsiTheme="majorBidi" w:cstheme="majorBidi"/>
          <w:sz w:val="20"/>
          <w:szCs w:val="20"/>
        </w:rPr>
        <w:t xml:space="preserve"> Mahari Ben Lev and there ruled</w:t>
      </w:r>
      <w:r w:rsidRPr="00DF0CFE">
        <w:rPr>
          <w:rFonts w:asciiTheme="majorBidi" w:hAnsiTheme="majorBidi" w:cstheme="majorBidi"/>
          <w:sz w:val="20"/>
          <w:szCs w:val="20"/>
        </w:rPr>
        <w:t xml:space="preserve">: “it is good to be </w:t>
      </w:r>
      <w:proofErr w:type="gramStart"/>
      <w:r w:rsidRPr="00DF0CFE">
        <w:rPr>
          <w:rFonts w:asciiTheme="majorBidi" w:hAnsiTheme="majorBidi" w:cstheme="majorBidi"/>
          <w:sz w:val="20"/>
          <w:szCs w:val="20"/>
        </w:rPr>
        <w:t>stringent”(</w:t>
      </w:r>
      <w:proofErr w:type="gramEnd"/>
      <w:r w:rsidRPr="00DF0CFE">
        <w:rPr>
          <w:rFonts w:asciiTheme="majorBidi" w:hAnsiTheme="majorBidi" w:cstheme="majorBidi"/>
          <w:sz w:val="20"/>
          <w:szCs w:val="20"/>
        </w:rPr>
        <w:t>= and not impose the RTDR)</w:t>
      </w:r>
      <w:r w:rsidRPr="00286599">
        <w:rPr>
          <w:rFonts w:asciiTheme="majorBidi" w:hAnsiTheme="majorBidi" w:cstheme="majorBidi"/>
          <w:sz w:val="20"/>
          <w:szCs w:val="20"/>
          <w:rtl/>
        </w:rPr>
        <w:t xml:space="preserve"> </w:t>
      </w:r>
      <w:r w:rsidRPr="00286599">
        <w:rPr>
          <w:rFonts w:asciiTheme="majorBidi" w:hAnsiTheme="majorBidi" w:cstheme="majorBidi"/>
          <w:sz w:val="20"/>
          <w:szCs w:val="20"/>
        </w:rPr>
        <w:t>; The Pitchei Teshuvah, Even Ha-Ezer, 154.30</w:t>
      </w:r>
      <w:r w:rsidRPr="00DF0CFE">
        <w:rPr>
          <w:rFonts w:asciiTheme="majorBidi" w:hAnsiTheme="majorBidi" w:cstheme="majorBidi"/>
          <w:sz w:val="20"/>
          <w:szCs w:val="20"/>
        </w:rPr>
        <w:t>, also mentions the Shach (ibid.) quoting the Maharibal: “Presently the distancing measures are considered as excommunication, we should not impose any distancing measures against him, only we say to him that we can call him a criminal. And he wrote that it is good to be stringent.”</w:t>
      </w:r>
    </w:p>
    <w:p w14:paraId="72E0E0AA" w14:textId="1D96002A" w:rsidR="00F255EE" w:rsidRPr="00286599" w:rsidRDefault="00F255EE" w:rsidP="00F255EE">
      <w:pPr>
        <w:bidi w:val="0"/>
        <w:spacing w:line="240" w:lineRule="auto"/>
        <w:jc w:val="both"/>
        <w:rPr>
          <w:rFonts w:asciiTheme="majorBidi" w:hAnsiTheme="majorBidi" w:cstheme="majorBidi"/>
          <w:i/>
          <w:iCs/>
          <w:sz w:val="20"/>
          <w:szCs w:val="20"/>
          <w:rtl/>
        </w:rPr>
      </w:pPr>
      <w:r w:rsidRPr="00286599">
        <w:rPr>
          <w:rFonts w:asciiTheme="majorBidi" w:hAnsiTheme="majorBidi" w:cstheme="majorBidi"/>
          <w:sz w:val="20"/>
          <w:szCs w:val="20"/>
        </w:rPr>
        <w:t xml:space="preserve">The fourth figure, </w:t>
      </w:r>
      <w:r w:rsidRPr="00286599">
        <w:rPr>
          <w:rFonts w:asciiTheme="majorBidi" w:hAnsiTheme="majorBidi" w:cstheme="majorBidi"/>
          <w:i/>
          <w:iCs/>
          <w:sz w:val="20"/>
          <w:szCs w:val="20"/>
        </w:rPr>
        <w:t xml:space="preserve">, Rabbi Eliyah Alfandari, Seder Eliyahu Rabbah Uzuta, </w:t>
      </w:r>
      <w:r w:rsidRPr="00286599">
        <w:rPr>
          <w:rFonts w:asciiTheme="majorBidi" w:hAnsiTheme="majorBidi" w:cstheme="majorBidi"/>
          <w:sz w:val="20"/>
          <w:szCs w:val="20"/>
        </w:rPr>
        <w:t>13, claims that even in Rabbeinu Tam’s time, the RTDR were deemed more severe than lashes and excommunication</w:t>
      </w:r>
      <w:r>
        <w:rPr>
          <w:rFonts w:asciiTheme="majorBidi" w:hAnsiTheme="majorBidi" w:cstheme="majorBidi"/>
          <w:i/>
          <w:iCs/>
          <w:sz w:val="20"/>
          <w:szCs w:val="20"/>
        </w:rPr>
        <w:t xml:space="preserve">: </w:t>
      </w:r>
      <w:r w:rsidRPr="00286599">
        <w:rPr>
          <w:rFonts w:asciiTheme="majorBidi" w:hAnsiTheme="majorBidi" w:cstheme="majorBidi"/>
          <w:sz w:val="20"/>
          <w:szCs w:val="20"/>
        </w:rPr>
        <w:t>“</w:t>
      </w:r>
      <w:r w:rsidRPr="00286599">
        <w:rPr>
          <w:rFonts w:asciiTheme="majorBidi" w:hAnsiTheme="majorBidi" w:cstheme="majorBidi"/>
          <w:i/>
          <w:iCs/>
          <w:sz w:val="20"/>
          <w:szCs w:val="20"/>
        </w:rPr>
        <w:t>it is more coercive to force a man with distancing measures than excommunication,</w:t>
      </w:r>
      <w:r w:rsidRPr="00286599">
        <w:rPr>
          <w:rFonts w:asciiTheme="majorBidi" w:hAnsiTheme="majorBidi" w:cstheme="majorBidi"/>
          <w:sz w:val="20"/>
          <w:szCs w:val="20"/>
          <w:u w:val="single"/>
        </w:rPr>
        <w:t xml:space="preserve"> </w:t>
      </w:r>
      <w:r w:rsidRPr="00286599">
        <w:rPr>
          <w:rFonts w:asciiTheme="majorBidi" w:hAnsiTheme="majorBidi" w:cstheme="majorBidi"/>
          <w:i/>
          <w:iCs/>
          <w:sz w:val="20"/>
          <w:szCs w:val="20"/>
        </w:rPr>
        <w:t xml:space="preserve">for who could tolerate that people not engage in transactions with them and not confer him any benefits, and there is no doubt that one who is distanced in this way, will immediately be coerced and will do what is asked of him against his will, to be spared the suffering produced by the harhakah </w:t>
      </w:r>
      <w:r w:rsidRPr="00286599">
        <w:rPr>
          <w:rFonts w:asciiTheme="majorBidi" w:hAnsiTheme="majorBidi" w:cstheme="majorBidi"/>
          <w:sz w:val="20"/>
          <w:szCs w:val="20"/>
        </w:rPr>
        <w:t xml:space="preserve">, </w:t>
      </w:r>
      <w:r w:rsidRPr="00286599">
        <w:rPr>
          <w:rFonts w:asciiTheme="majorBidi" w:hAnsiTheme="majorBidi" w:cstheme="majorBidi"/>
          <w:i/>
          <w:iCs/>
          <w:sz w:val="20"/>
          <w:szCs w:val="20"/>
        </w:rPr>
        <w:t>as people always suffered from being isolated more than being whipped or banned</w:t>
      </w:r>
      <w:r w:rsidR="00DB0D4B" w:rsidRPr="00DB0D4B">
        <w:rPr>
          <w:rFonts w:asciiTheme="majorBidi" w:hAnsiTheme="majorBidi" w:cstheme="majorBidi"/>
          <w:sz w:val="20"/>
          <w:szCs w:val="20"/>
        </w:rPr>
        <w:t>.”</w:t>
      </w:r>
      <w:r w:rsidRPr="00DB0D4B">
        <w:rPr>
          <w:rFonts w:asciiTheme="majorBidi" w:hAnsiTheme="majorBidi" w:cstheme="majorBidi"/>
          <w:i/>
          <w:iCs/>
          <w:sz w:val="20"/>
          <w:szCs w:val="20"/>
        </w:rPr>
        <w:t xml:space="preserve"> </w:t>
      </w:r>
      <w:r w:rsidRPr="00DB0D4B">
        <w:rPr>
          <w:rFonts w:asciiTheme="majorBidi" w:hAnsiTheme="majorBidi" w:cstheme="majorBidi"/>
          <w:sz w:val="20"/>
          <w:szCs w:val="20"/>
        </w:rPr>
        <w:t>and nevertheless Rabbeinu Tam enacted them because they are not coercion for two other reasons.”</w:t>
      </w:r>
    </w:p>
    <w:bookmarkEnd w:id="16"/>
  </w:endnote>
  <w:endnote w:id="41">
    <w:p w14:paraId="00D15AEA" w14:textId="77777777" w:rsidR="00C61AE0" w:rsidRDefault="00F255EE" w:rsidP="00E96EDB">
      <w:pPr>
        <w:bidi w:val="0"/>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See Appeal to GRC </w:t>
      </w:r>
      <w:r w:rsidRPr="00286599">
        <w:rPr>
          <w:rFonts w:asciiTheme="majorBidi" w:hAnsiTheme="majorBidi" w:cstheme="majorBidi" w:hint="cs"/>
          <w:sz w:val="20"/>
          <w:szCs w:val="20"/>
          <w:rtl/>
        </w:rPr>
        <w:t>975433</w:t>
      </w:r>
      <w:r w:rsidR="00C61AE0">
        <w:rPr>
          <w:rFonts w:asciiTheme="majorBidi" w:hAnsiTheme="majorBidi" w:cstheme="majorBidi"/>
          <w:sz w:val="20"/>
          <w:szCs w:val="20"/>
        </w:rPr>
        <w:t xml:space="preserve">; </w:t>
      </w:r>
    </w:p>
    <w:p w14:paraId="3817C0B6" w14:textId="6FDFB460" w:rsidR="00F255EE" w:rsidRPr="00DB0D4B" w:rsidRDefault="00C61AE0" w:rsidP="00DB0D4B">
      <w:pPr>
        <w:bidi w:val="0"/>
        <w:rPr>
          <w:rFonts w:asciiTheme="majorBidi" w:hAnsiTheme="majorBidi" w:cstheme="majorBidi"/>
          <w:sz w:val="20"/>
          <w:szCs w:val="20"/>
        </w:rPr>
      </w:pPr>
      <w:bookmarkStart w:id="17" w:name="_Hlk95339897"/>
      <w:r w:rsidRPr="00C61AE0">
        <w:rPr>
          <w:rFonts w:hint="cs"/>
          <w:rtl/>
        </w:rPr>
        <w:t>תזכיר חוק בתי דין רבניים (קיום פסקי דין של גירושין) (תיקון מס' 9), התשפ"ב-2021</w:t>
      </w:r>
      <w:bookmarkEnd w:id="17"/>
    </w:p>
  </w:endnote>
  <w:endnote w:id="42">
    <w:p w14:paraId="0248E6B4" w14:textId="2B2AA83F" w:rsidR="00F255EE" w:rsidRPr="00FD328A" w:rsidRDefault="00F255EE" w:rsidP="00F255EE">
      <w:pPr>
        <w:bidi w:val="0"/>
        <w:spacing w:after="0" w:line="240" w:lineRule="auto"/>
        <w:jc w:val="both"/>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Appeal to GRC </w:t>
      </w:r>
      <w:r w:rsidRPr="00286599">
        <w:rPr>
          <w:rFonts w:asciiTheme="majorBidi" w:hAnsiTheme="majorBidi" w:cstheme="majorBidi" w:hint="cs"/>
          <w:sz w:val="20"/>
          <w:szCs w:val="20"/>
          <w:rtl/>
        </w:rPr>
        <w:t>975433/1</w:t>
      </w:r>
      <w:r w:rsidRPr="00286599">
        <w:rPr>
          <w:rFonts w:asciiTheme="majorBidi" w:hAnsiTheme="majorBidi" w:cstheme="majorBidi"/>
          <w:sz w:val="20"/>
          <w:szCs w:val="20"/>
        </w:rPr>
        <w:t xml:space="preserve">. The Great Rabbinical Court ruled in the matter of Oded Guez that after the shaming achieves its purpose and the </w:t>
      </w:r>
      <w:r w:rsidRPr="00286599">
        <w:rPr>
          <w:rFonts w:asciiTheme="majorBidi" w:hAnsiTheme="majorBidi" w:cstheme="majorBidi"/>
          <w:i/>
          <w:iCs/>
          <w:sz w:val="20"/>
          <w:szCs w:val="20"/>
        </w:rPr>
        <w:t>get</w:t>
      </w:r>
      <w:r w:rsidRPr="00286599">
        <w:rPr>
          <w:rFonts w:asciiTheme="majorBidi" w:hAnsiTheme="majorBidi" w:cstheme="majorBidi"/>
          <w:sz w:val="20"/>
          <w:szCs w:val="20"/>
        </w:rPr>
        <w:t xml:space="preserve"> is given, the shaming measures will be ended</w:t>
      </w:r>
      <w:r w:rsidRPr="008264C8">
        <w:rPr>
          <w:rFonts w:asciiTheme="majorBidi" w:hAnsiTheme="majorBidi" w:cstheme="majorBidi"/>
          <w:sz w:val="20"/>
          <w:szCs w:val="20"/>
        </w:rPr>
        <w:t xml:space="preserve"> “</w:t>
      </w:r>
      <w:r w:rsidRPr="00286599">
        <w:rPr>
          <w:rFonts w:asciiTheme="majorBidi" w:hAnsiTheme="majorBidi" w:cstheme="majorBidi"/>
          <w:sz w:val="20"/>
          <w:szCs w:val="20"/>
        </w:rPr>
        <w:t>and he will be</w:t>
      </w:r>
      <w:r>
        <w:rPr>
          <w:rFonts w:asciiTheme="majorBidi" w:hAnsiTheme="majorBidi" w:cstheme="majorBidi"/>
          <w:sz w:val="20"/>
          <w:szCs w:val="20"/>
        </w:rPr>
        <w:t xml:space="preserve"> </w:t>
      </w:r>
      <w:r w:rsidRPr="00286599">
        <w:rPr>
          <w:rFonts w:asciiTheme="majorBidi" w:hAnsiTheme="majorBidi" w:cstheme="majorBidi"/>
          <w:sz w:val="20"/>
          <w:szCs w:val="20"/>
        </w:rPr>
        <w:t>healed”</w:t>
      </w:r>
      <w:r>
        <w:rPr>
          <w:rFonts w:asciiTheme="majorBidi" w:hAnsiTheme="majorBidi" w:cstheme="majorBidi"/>
          <w:sz w:val="20"/>
          <w:szCs w:val="20"/>
        </w:rPr>
        <w:t xml:space="preserve"> </w:t>
      </w:r>
      <w:r w:rsidRPr="00286599">
        <w:rPr>
          <w:rFonts w:asciiTheme="majorBidi" w:hAnsiTheme="majorBidi" w:cstheme="majorBidi"/>
          <w:sz w:val="20"/>
          <w:szCs w:val="20"/>
        </w:rPr>
        <w:t>(“</w:t>
      </w:r>
      <w:r w:rsidRPr="00286599">
        <w:rPr>
          <w:rFonts w:asciiTheme="majorBidi" w:hAnsiTheme="majorBidi" w:cstheme="majorBidi"/>
          <w:i/>
          <w:iCs/>
          <w:sz w:val="20"/>
          <w:szCs w:val="20"/>
        </w:rPr>
        <w:t>veshav verafa lo</w:t>
      </w:r>
      <w:r w:rsidRPr="00286599">
        <w:rPr>
          <w:rFonts w:asciiTheme="majorBidi" w:hAnsiTheme="majorBidi" w:cstheme="majorBidi"/>
          <w:sz w:val="20"/>
          <w:szCs w:val="20"/>
        </w:rPr>
        <w:t xml:space="preserve">”). This concept </w:t>
      </w:r>
      <w:r w:rsidRPr="006E2B40">
        <w:rPr>
          <w:rFonts w:asciiTheme="majorBidi" w:hAnsiTheme="majorBidi" w:cstheme="majorBidi"/>
          <w:sz w:val="20"/>
          <w:szCs w:val="20"/>
        </w:rPr>
        <w:t xml:space="preserve">according to which after </w:t>
      </w:r>
      <w:r w:rsidR="00DB0D4B">
        <w:rPr>
          <w:rFonts w:asciiTheme="majorBidi" w:hAnsiTheme="majorBidi" w:cstheme="majorBidi"/>
          <w:sz w:val="20"/>
          <w:szCs w:val="20"/>
        </w:rPr>
        <w:t xml:space="preserve">he </w:t>
      </w:r>
      <w:r w:rsidRPr="006E2B40">
        <w:rPr>
          <w:rFonts w:asciiTheme="majorBidi" w:hAnsiTheme="majorBidi" w:cstheme="majorBidi"/>
          <w:sz w:val="20"/>
          <w:szCs w:val="20"/>
        </w:rPr>
        <w:t xml:space="preserve">gives a </w:t>
      </w:r>
      <w:r w:rsidRPr="006E2B40">
        <w:rPr>
          <w:rFonts w:asciiTheme="majorBidi" w:hAnsiTheme="majorBidi" w:cstheme="majorBidi"/>
          <w:i/>
          <w:iCs/>
          <w:sz w:val="20"/>
          <w:szCs w:val="20"/>
        </w:rPr>
        <w:t>get</w:t>
      </w:r>
      <w:r w:rsidR="00DB0D4B">
        <w:rPr>
          <w:rFonts w:asciiTheme="majorBidi" w:hAnsiTheme="majorBidi" w:cstheme="majorBidi"/>
          <w:i/>
          <w:iCs/>
          <w:sz w:val="20"/>
          <w:szCs w:val="20"/>
        </w:rPr>
        <w:t>,</w:t>
      </w:r>
      <w:r w:rsidRPr="006E2B40">
        <w:rPr>
          <w:rFonts w:asciiTheme="majorBidi" w:hAnsiTheme="majorBidi" w:cstheme="majorBidi"/>
          <w:i/>
          <w:iCs/>
          <w:sz w:val="20"/>
          <w:szCs w:val="20"/>
        </w:rPr>
        <w:t xml:space="preserve"> </w:t>
      </w:r>
      <w:r w:rsidRPr="006E2B40">
        <w:rPr>
          <w:rFonts w:asciiTheme="majorBidi" w:hAnsiTheme="majorBidi" w:cstheme="majorBidi"/>
          <w:sz w:val="20"/>
          <w:szCs w:val="20"/>
        </w:rPr>
        <w:t>things will return to their prior state and all the restrictions will be lifted,</w:t>
      </w:r>
      <w:r w:rsidRPr="00286599">
        <w:rPr>
          <w:rFonts w:asciiTheme="majorBidi" w:hAnsiTheme="majorBidi" w:cstheme="majorBidi"/>
          <w:sz w:val="20"/>
          <w:szCs w:val="20"/>
        </w:rPr>
        <w:t xml:space="preserve"> is based on the Maharik’s responsa, 102, in reference to one who refuses to release his deceased brother’s wife from levirate marriage (</w:t>
      </w:r>
      <w:r w:rsidR="00DB0D4B">
        <w:rPr>
          <w:rFonts w:asciiTheme="majorBidi" w:hAnsiTheme="majorBidi" w:cstheme="majorBidi"/>
          <w:i/>
          <w:iCs/>
          <w:sz w:val="20"/>
          <w:szCs w:val="20"/>
        </w:rPr>
        <w:t>chalaza</w:t>
      </w:r>
      <w:r w:rsidR="00DB0D4B">
        <w:rPr>
          <w:rFonts w:asciiTheme="majorBidi" w:hAnsiTheme="majorBidi" w:cstheme="majorBidi"/>
          <w:sz w:val="20"/>
          <w:szCs w:val="20"/>
        </w:rPr>
        <w:t>)</w:t>
      </w:r>
      <w:r w:rsidR="00441BC3">
        <w:rPr>
          <w:rFonts w:asciiTheme="majorBidi" w:hAnsiTheme="majorBidi" w:cstheme="majorBidi"/>
          <w:sz w:val="20"/>
          <w:szCs w:val="20"/>
        </w:rPr>
        <w:t>.</w:t>
      </w:r>
      <w:r w:rsidRPr="00286599">
        <w:rPr>
          <w:rFonts w:asciiTheme="majorBidi" w:hAnsiTheme="majorBidi" w:cstheme="majorBidi"/>
          <w:sz w:val="20"/>
          <w:szCs w:val="20"/>
        </w:rPr>
        <w:t xml:space="preserve"> According to the Maharik, if Rabeinu Tam imposed RTDR for the divorce claim “he is repulsive to me,” the RTDR certainly can apply to a levirate bond which is a lesser prohibition</w:t>
      </w:r>
      <w:r w:rsidR="00E3670E">
        <w:rPr>
          <w:rFonts w:asciiTheme="majorBidi" w:hAnsiTheme="majorBidi" w:cstheme="majorBidi"/>
          <w:sz w:val="20"/>
          <w:szCs w:val="20"/>
        </w:rPr>
        <w:t>;</w:t>
      </w:r>
      <w:r w:rsidRPr="00286599">
        <w:rPr>
          <w:rFonts w:asciiTheme="majorBidi" w:hAnsiTheme="majorBidi" w:cstheme="majorBidi"/>
          <w:sz w:val="20"/>
          <w:szCs w:val="20"/>
        </w:rPr>
        <w:t xml:space="preserve"> Rabbi </w:t>
      </w:r>
      <w:proofErr w:type="spellStart"/>
      <w:r w:rsidRPr="00286599">
        <w:rPr>
          <w:rFonts w:asciiTheme="majorBidi" w:hAnsiTheme="majorBidi" w:cstheme="majorBidi"/>
          <w:sz w:val="20"/>
          <w:szCs w:val="20"/>
        </w:rPr>
        <w:t>Ovadiah</w:t>
      </w:r>
      <w:proofErr w:type="spellEnd"/>
      <w:r w:rsidRPr="00286599">
        <w:rPr>
          <w:rFonts w:asciiTheme="majorBidi" w:hAnsiTheme="majorBidi" w:cstheme="majorBidi"/>
          <w:sz w:val="20"/>
          <w:szCs w:val="20"/>
        </w:rPr>
        <w:t xml:space="preserve"> Yosef, Yabia Omer Responsa, Even Ha-</w:t>
      </w:r>
      <w:proofErr w:type="spellStart"/>
      <w:r w:rsidRPr="00286599">
        <w:rPr>
          <w:rFonts w:asciiTheme="majorBidi" w:hAnsiTheme="majorBidi" w:cstheme="majorBidi"/>
          <w:sz w:val="20"/>
          <w:szCs w:val="20"/>
        </w:rPr>
        <w:t>Ezer</w:t>
      </w:r>
      <w:proofErr w:type="spellEnd"/>
      <w:r w:rsidRPr="00286599">
        <w:rPr>
          <w:rFonts w:asciiTheme="majorBidi" w:hAnsiTheme="majorBidi" w:cstheme="majorBidi"/>
          <w:sz w:val="20"/>
          <w:szCs w:val="20"/>
        </w:rPr>
        <w:t>, 8, 25</w:t>
      </w:r>
      <w:r w:rsidR="00DB0D4B">
        <w:rPr>
          <w:rFonts w:asciiTheme="majorBidi" w:hAnsiTheme="majorBidi" w:cstheme="majorBidi"/>
          <w:sz w:val="20"/>
          <w:szCs w:val="20"/>
        </w:rPr>
        <w:t>.</w:t>
      </w:r>
    </w:p>
  </w:endnote>
  <w:endnote w:id="43">
    <w:p w14:paraId="41C74009" w14:textId="77777777" w:rsidR="00F255EE" w:rsidRPr="00286599" w:rsidRDefault="00F255EE" w:rsidP="00F255EE">
      <w:pPr>
        <w:bidi w:val="0"/>
        <w:spacing w:after="0" w:line="240" w:lineRule="auto"/>
        <w:jc w:val="both"/>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Cf. Bava Metzia 58b; Sefer Hassidim, Jerusalem (1957), Margaliyot ed., 54; Rabeinu Yonah, Shaarei Teshuvah, 3. 139; Yehudah Zoldan, “Public Shaming,” 295-297, regarding the severity of shaming a person in Jewish sources.</w:t>
      </w:r>
    </w:p>
    <w:p w14:paraId="13F07F67" w14:textId="77777777" w:rsidR="00F255EE" w:rsidRPr="00286599" w:rsidRDefault="00F255EE" w:rsidP="00F255EE">
      <w:pPr>
        <w:pStyle w:val="a7"/>
        <w:jc w:val="right"/>
        <w:rPr>
          <w:rFonts w:asciiTheme="majorBidi" w:hAnsiTheme="majorBidi" w:cstheme="majorBidi"/>
          <w:rtl/>
        </w:rPr>
      </w:pPr>
    </w:p>
  </w:endnote>
  <w:endnote w:id="44">
    <w:p w14:paraId="0C544CA4" w14:textId="77777777" w:rsidR="00F255EE" w:rsidRPr="00286599" w:rsidRDefault="00F255EE" w:rsidP="00F255EE">
      <w:pPr>
        <w:bidi w:val="0"/>
        <w:spacing w:after="0" w:line="240" w:lineRule="auto"/>
        <w:jc w:val="both"/>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Rat, “Until He Says” in </w:t>
      </w:r>
      <w:r w:rsidRPr="00286599">
        <w:rPr>
          <w:rFonts w:asciiTheme="majorBidi" w:hAnsiTheme="majorBidi" w:cstheme="majorBidi"/>
          <w:i/>
          <w:iCs/>
          <w:sz w:val="20"/>
          <w:szCs w:val="20"/>
        </w:rPr>
        <w:t>Makor Rishon</w:t>
      </w:r>
      <w:r w:rsidRPr="00286599">
        <w:rPr>
          <w:rFonts w:asciiTheme="majorBidi" w:hAnsiTheme="majorBidi" w:cstheme="majorBidi"/>
          <w:sz w:val="20"/>
          <w:szCs w:val="20"/>
        </w:rPr>
        <w:t xml:space="preserve"> 25 (November </w:t>
      </w:r>
      <w:r w:rsidRPr="00286599">
        <w:rPr>
          <w:rFonts w:asciiTheme="majorBidi" w:hAnsiTheme="majorBidi" w:cstheme="majorBidi" w:hint="cs"/>
          <w:sz w:val="20"/>
          <w:szCs w:val="20"/>
          <w:rtl/>
        </w:rPr>
        <w:t>24</w:t>
      </w:r>
      <w:r w:rsidRPr="00286599">
        <w:rPr>
          <w:rFonts w:asciiTheme="majorBidi" w:hAnsiTheme="majorBidi" w:cstheme="majorBidi"/>
          <w:sz w:val="20"/>
          <w:szCs w:val="20"/>
        </w:rPr>
        <w:t>, 2017</w:t>
      </w:r>
      <w:r>
        <w:rPr>
          <w:rFonts w:asciiTheme="majorBidi" w:hAnsiTheme="majorBidi" w:cstheme="majorBidi"/>
          <w:sz w:val="20"/>
          <w:szCs w:val="20"/>
        </w:rPr>
        <w:t>.</w:t>
      </w:r>
    </w:p>
  </w:endnote>
  <w:endnote w:id="45">
    <w:p w14:paraId="190CE83A" w14:textId="1E854431" w:rsidR="00F255EE" w:rsidRPr="00104086" w:rsidRDefault="00F255EE" w:rsidP="00F255EE">
      <w:pPr>
        <w:shd w:val="clear" w:color="auto" w:fill="FFFFFF"/>
        <w:jc w:val="right"/>
        <w:rPr>
          <w:rFonts w:asciiTheme="majorBidi" w:hAnsiTheme="majorBidi" w:cstheme="majorBidi"/>
          <w:color w:val="1155CC"/>
          <w:sz w:val="20"/>
          <w:szCs w:val="20"/>
          <w:u w:val="single"/>
          <w:rtl/>
        </w:rPr>
      </w:pPr>
      <w:r w:rsidRPr="00286599">
        <w:rPr>
          <w:rStyle w:val="a9"/>
          <w:sz w:val="20"/>
          <w:szCs w:val="20"/>
        </w:rPr>
        <w:endnoteRef/>
      </w:r>
      <w:r w:rsidRPr="00286599">
        <w:rPr>
          <w:sz w:val="20"/>
          <w:szCs w:val="20"/>
        </w:rPr>
        <w:t xml:space="preserve">  </w:t>
      </w:r>
      <w:r w:rsidRPr="00286599">
        <w:rPr>
          <w:rFonts w:asciiTheme="majorBidi" w:hAnsiTheme="majorBidi" w:cstheme="majorBidi"/>
          <w:sz w:val="20"/>
          <w:szCs w:val="20"/>
        </w:rPr>
        <w:t xml:space="preserve">See the conference summary on shaming organized by Professor Zeidman on July 2-3, 2017 at the IDC in </w:t>
      </w:r>
      <w:proofErr w:type="spellStart"/>
      <w:r w:rsidRPr="00286599">
        <w:rPr>
          <w:rFonts w:asciiTheme="majorBidi" w:hAnsiTheme="majorBidi" w:cstheme="majorBidi"/>
          <w:sz w:val="20"/>
          <w:szCs w:val="20"/>
        </w:rPr>
        <w:t>Herzliyah</w:t>
      </w:r>
      <w:proofErr w:type="spellEnd"/>
      <w:r w:rsidR="00441BC3">
        <w:rPr>
          <w:rFonts w:asciiTheme="majorBidi" w:hAnsiTheme="majorBidi" w:cstheme="majorBidi"/>
          <w:sz w:val="20"/>
          <w:szCs w:val="20"/>
        </w:rPr>
        <w:t>.</w:t>
      </w:r>
      <w:r w:rsidRPr="00286599">
        <w:rPr>
          <w:rFonts w:asciiTheme="majorBidi" w:hAnsiTheme="majorBidi" w:cstheme="majorBidi"/>
          <w:sz w:val="20"/>
          <w:szCs w:val="20"/>
        </w:rPr>
        <w:t xml:space="preserve"> </w:t>
      </w:r>
      <w:hyperlink r:id="rId4" w:tgtFrame="_blank" w:history="1">
        <w:r w:rsidRPr="00286599">
          <w:rPr>
            <w:rStyle w:val="Hyperlink"/>
            <w:rFonts w:asciiTheme="majorBidi" w:hAnsiTheme="majorBidi" w:cstheme="majorBidi"/>
            <w:color w:val="1155CC"/>
            <w:sz w:val="20"/>
            <w:szCs w:val="20"/>
          </w:rPr>
          <w:t>https://www.idc.ac.il/he/whatsup/pages/shyming-conference.aspx</w:t>
        </w:r>
      </w:hyperlink>
    </w:p>
  </w:endnote>
  <w:endnote w:id="46">
    <w:p w14:paraId="1F35B8D6" w14:textId="77777777" w:rsidR="00F255EE" w:rsidRPr="00286599" w:rsidRDefault="00F255EE" w:rsidP="00F255EE">
      <w:pPr>
        <w:pStyle w:val="a7"/>
        <w:jc w:val="right"/>
        <w:rPr>
          <w:rFonts w:asciiTheme="majorBidi" w:eastAsia="Times New Roman" w:hAnsiTheme="majorBidi" w:cstheme="majorBidi"/>
          <w:color w:val="1B2E3E"/>
          <w:bdr w:val="none" w:sz="0" w:space="0" w:color="auto" w:frame="1"/>
          <w:rtl/>
        </w:rPr>
      </w:pPr>
      <w:bookmarkStart w:id="18" w:name="_Hlk79315831"/>
      <w:r w:rsidRPr="00286599">
        <w:rPr>
          <w:rStyle w:val="a9"/>
          <w:rFonts w:asciiTheme="majorBidi" w:hAnsiTheme="majorBidi" w:cstheme="majorBidi"/>
        </w:rPr>
        <w:endnoteRef/>
      </w:r>
      <w:r w:rsidRPr="00286599">
        <w:rPr>
          <w:rFonts w:asciiTheme="majorBidi" w:hAnsiTheme="majorBidi" w:cstheme="majorBidi"/>
        </w:rPr>
        <w:t xml:space="preserve">   Ifergen, “Gaz: </w:t>
      </w:r>
      <w:bookmarkStart w:id="19" w:name="_Hlk70882358"/>
      <w:r w:rsidRPr="00286599">
        <w:rPr>
          <w:rFonts w:asciiTheme="majorBidi" w:hAnsiTheme="majorBidi" w:cstheme="majorBidi"/>
        </w:rPr>
        <w:t xml:space="preserve">Even if I am Condemned to 5000 Lashes I will Not Give a </w:t>
      </w:r>
      <w:r w:rsidRPr="00286599">
        <w:rPr>
          <w:rFonts w:asciiTheme="majorBidi" w:hAnsiTheme="majorBidi" w:cstheme="majorBidi"/>
          <w:i/>
          <w:iCs/>
        </w:rPr>
        <w:t>Get</w:t>
      </w:r>
      <w:r w:rsidRPr="00286599">
        <w:rPr>
          <w:rFonts w:asciiTheme="majorBidi" w:hAnsiTheme="majorBidi" w:cstheme="majorBidi"/>
        </w:rPr>
        <w:t xml:space="preserve">.” </w:t>
      </w:r>
      <w:bookmarkEnd w:id="19"/>
      <w:r w:rsidRPr="00286599">
        <w:rPr>
          <w:rFonts w:asciiTheme="majorBidi" w:hAnsiTheme="majorBidi" w:cstheme="majorBidi"/>
          <w:i/>
          <w:iCs/>
        </w:rPr>
        <w:t xml:space="preserve">Mako Magazine </w:t>
      </w:r>
      <w:bookmarkEnd w:id="18"/>
      <w:r w:rsidRPr="00286599">
        <w:rPr>
          <w:rFonts w:asciiTheme="majorBidi" w:hAnsiTheme="majorBidi" w:cstheme="majorBidi"/>
        </w:rPr>
        <w:t xml:space="preserve">(September 22, 2016). </w:t>
      </w:r>
    </w:p>
    <w:p w14:paraId="6B00B352" w14:textId="77777777" w:rsidR="00F255EE" w:rsidRPr="00286599" w:rsidRDefault="00F255EE" w:rsidP="00F255EE">
      <w:pPr>
        <w:pStyle w:val="a7"/>
        <w:rPr>
          <w:rFonts w:asciiTheme="majorBidi" w:eastAsia="Times New Roman" w:hAnsiTheme="majorBidi" w:cstheme="majorBidi"/>
          <w:color w:val="1B2E3E"/>
          <w:bdr w:val="none" w:sz="0" w:space="0" w:color="auto" w:frame="1"/>
          <w:rtl/>
        </w:rPr>
      </w:pPr>
    </w:p>
  </w:endnote>
  <w:endnote w:id="47">
    <w:p w14:paraId="14EC38DE" w14:textId="77777777" w:rsidR="00F255EE" w:rsidRPr="00286599" w:rsidRDefault="00F255EE" w:rsidP="00F255EE">
      <w:pPr>
        <w:pStyle w:val="a7"/>
        <w:bidi w:val="0"/>
        <w:jc w:val="both"/>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Haifa DRC </w:t>
      </w:r>
      <w:r w:rsidRPr="00286599">
        <w:rPr>
          <w:rFonts w:asciiTheme="majorBidi" w:hAnsiTheme="majorBidi" w:cstheme="majorBidi" w:hint="cs"/>
          <w:rtl/>
        </w:rPr>
        <w:t>907872/1</w:t>
      </w:r>
      <w:r w:rsidRPr="00286599">
        <w:rPr>
          <w:rFonts w:asciiTheme="majorBidi" w:hAnsiTheme="majorBidi" w:cstheme="majorBidi"/>
        </w:rPr>
        <w:t xml:space="preserve"> (2018).</w:t>
      </w:r>
    </w:p>
    <w:p w14:paraId="454E5BAA" w14:textId="77777777" w:rsidR="00F255EE" w:rsidRPr="00286599" w:rsidRDefault="00F255EE" w:rsidP="00F255EE">
      <w:pPr>
        <w:pStyle w:val="a7"/>
        <w:jc w:val="right"/>
        <w:rPr>
          <w:rFonts w:asciiTheme="majorBidi" w:hAnsiTheme="majorBidi" w:cstheme="majorBidi"/>
          <w:rtl/>
        </w:rPr>
      </w:pPr>
    </w:p>
  </w:endnote>
  <w:endnote w:id="48">
    <w:p w14:paraId="6A1F5961" w14:textId="77777777" w:rsidR="00F255EE" w:rsidRPr="00286599" w:rsidRDefault="00F255EE" w:rsidP="00F255EE">
      <w:pPr>
        <w:jc w:val="right"/>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Haifa DRC 1078402/11(2017).</w:t>
      </w:r>
      <w:r w:rsidRPr="00286599">
        <w:rPr>
          <w:rFonts w:asciiTheme="majorBidi" w:hAnsiTheme="majorBidi" w:cs="Times New Roman"/>
          <w:sz w:val="20"/>
          <w:szCs w:val="20"/>
          <w:rtl/>
        </w:rPr>
        <w:t xml:space="preserve">  </w:t>
      </w:r>
    </w:p>
  </w:endnote>
  <w:endnote w:id="49">
    <w:p w14:paraId="4FB4C929" w14:textId="77777777" w:rsidR="00F255EE" w:rsidRPr="00286599" w:rsidRDefault="00F255EE" w:rsidP="00F255EE">
      <w:pPr>
        <w:pStyle w:val="PB"/>
        <w:rPr>
          <w:rFonts w:asciiTheme="majorBidi" w:hAnsiTheme="majorBidi" w:cstheme="majorBidi"/>
          <w:sz w:val="20"/>
          <w:szCs w:val="20"/>
          <w:lang w:bidi="he-I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HCJ 5185/13 Anonymous v. Chief Rabbinic Court of Jerusalem; HCJ </w:t>
      </w:r>
      <w:r w:rsidRPr="00286599">
        <w:rPr>
          <w:rFonts w:asciiTheme="majorBidi" w:hAnsiTheme="majorBidi" w:cstheme="majorBidi" w:hint="cs"/>
          <w:sz w:val="20"/>
          <w:szCs w:val="20"/>
          <w:rtl/>
        </w:rPr>
        <w:t>1031/16</w:t>
      </w:r>
      <w:r w:rsidRPr="00286599">
        <w:rPr>
          <w:rFonts w:asciiTheme="majorBidi" w:hAnsiTheme="majorBidi" w:cstheme="majorBidi"/>
          <w:sz w:val="20"/>
          <w:szCs w:val="20"/>
          <w:rtl/>
        </w:rPr>
        <w:t xml:space="preserve"> </w:t>
      </w:r>
      <w:r w:rsidRPr="00286599">
        <w:rPr>
          <w:rFonts w:asciiTheme="majorBidi" w:hAnsiTheme="majorBidi" w:cstheme="majorBidi"/>
          <w:sz w:val="20"/>
          <w:szCs w:val="20"/>
        </w:rPr>
        <w:t>Oded Guez v. Great Rabbinical Court in Jerusalem (2016).</w:t>
      </w:r>
    </w:p>
  </w:endnote>
  <w:endnote w:id="50">
    <w:p w14:paraId="65960B73" w14:textId="77777777" w:rsidR="00F255EE" w:rsidRPr="00286599" w:rsidRDefault="00F255EE" w:rsidP="00F255EE">
      <w:pPr>
        <w:pStyle w:val="PB"/>
        <w:jc w:val="both"/>
        <w:rPr>
          <w:rFonts w:asciiTheme="majorBidi" w:hAnsiTheme="majorBidi" w:cstheme="majorBidi"/>
          <w:sz w:val="20"/>
          <w:szCs w:val="20"/>
          <w:lang w:bidi="he-I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r w:rsidRPr="00286599">
        <w:rPr>
          <w:rFonts w:asciiTheme="majorBidi" w:hAnsiTheme="majorBidi" w:cstheme="majorBidi"/>
          <w:sz w:val="20"/>
          <w:szCs w:val="20"/>
          <w:lang w:bidi="he-IL"/>
        </w:rPr>
        <w:t xml:space="preserve"> </w:t>
      </w:r>
      <w:r w:rsidRPr="00286599">
        <w:rPr>
          <w:rFonts w:asciiTheme="majorBidi" w:hAnsiTheme="majorBidi" w:cstheme="majorBidi"/>
          <w:sz w:val="20"/>
          <w:szCs w:val="20"/>
        </w:rPr>
        <w:t>Tragically, and despite the efforts of a private rabbinical court, the case remains open.</w:t>
      </w:r>
      <w:r w:rsidRPr="00286599">
        <w:rPr>
          <w:rFonts w:asciiTheme="majorBidi" w:hAnsiTheme="majorBidi" w:cstheme="majorBidi"/>
          <w:sz w:val="20"/>
          <w:szCs w:val="20"/>
          <w:rtl/>
          <w:lang w:bidi="he-IL"/>
        </w:rPr>
        <w:t xml:space="preserve"> </w:t>
      </w:r>
    </w:p>
  </w:endnote>
  <w:endnote w:id="51">
    <w:p w14:paraId="484227A6" w14:textId="7995D454" w:rsidR="00F255EE" w:rsidRPr="00286599" w:rsidRDefault="00F255EE" w:rsidP="00F255EE">
      <w:pPr>
        <w:bidi w:val="0"/>
        <w:spacing w:after="0" w:line="240" w:lineRule="auto"/>
        <w:jc w:val="both"/>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r w:rsidRPr="00286599">
        <w:rPr>
          <w:rFonts w:asciiTheme="majorBidi" w:hAnsiTheme="majorBidi" w:cstheme="majorBidi" w:hint="cs"/>
          <w:sz w:val="20"/>
          <w:szCs w:val="20"/>
          <w:rtl/>
        </w:rPr>
        <w:t xml:space="preserve"> </w:t>
      </w:r>
      <w:r>
        <w:rPr>
          <w:rFonts w:asciiTheme="majorBidi" w:hAnsiTheme="majorBidi" w:cstheme="majorBidi"/>
          <w:sz w:val="20"/>
          <w:szCs w:val="20"/>
        </w:rPr>
        <w:t xml:space="preserve">Haifa DRC </w:t>
      </w:r>
      <w:r w:rsidRPr="00286599">
        <w:rPr>
          <w:rFonts w:asciiTheme="majorBidi" w:hAnsiTheme="majorBidi" w:cstheme="majorBidi" w:hint="cs"/>
          <w:sz w:val="20"/>
          <w:szCs w:val="20"/>
          <w:rtl/>
        </w:rPr>
        <w:t>1078402/1</w:t>
      </w:r>
      <w:r w:rsidRPr="00286599">
        <w:rPr>
          <w:rFonts w:asciiTheme="majorBidi" w:hAnsiTheme="majorBidi" w:cstheme="majorBidi"/>
          <w:sz w:val="20"/>
          <w:szCs w:val="20"/>
        </w:rPr>
        <w:t xml:space="preserve">. Also see Sheleg, “There is No Guarantor for Divorce,” 14; Rabbi David Stav, “Not a Solution,” 795 </w:t>
      </w:r>
      <w:hyperlink r:id="rId5" w:history="1">
        <w:r w:rsidRPr="00286599">
          <w:rPr>
            <w:rStyle w:val="Hyperlink"/>
            <w:rFonts w:asciiTheme="majorBidi" w:hAnsiTheme="majorBidi" w:cstheme="majorBidi"/>
            <w:sz w:val="20"/>
            <w:szCs w:val="20"/>
          </w:rPr>
          <w:t>https://www.inn.co.il/news/373932</w:t>
        </w:r>
      </w:hyperlink>
      <w:r w:rsidRPr="00DB0D4B">
        <w:rPr>
          <w:rFonts w:asciiTheme="majorBidi" w:hAnsiTheme="majorBidi" w:cstheme="majorBidi"/>
          <w:sz w:val="20"/>
          <w:szCs w:val="20"/>
        </w:rPr>
        <w:t xml:space="preserve">: Shaming will not bring salvation for the problem of </w:t>
      </w:r>
      <w:r w:rsidRPr="00DB0D4B">
        <w:rPr>
          <w:rFonts w:asciiTheme="majorBidi" w:hAnsiTheme="majorBidi" w:cstheme="majorBidi"/>
          <w:i/>
          <w:iCs/>
          <w:sz w:val="20"/>
          <w:szCs w:val="20"/>
        </w:rPr>
        <w:t xml:space="preserve">get </w:t>
      </w:r>
      <w:r w:rsidRPr="00DB0D4B">
        <w:rPr>
          <w:rFonts w:asciiTheme="majorBidi" w:hAnsiTheme="majorBidi" w:cstheme="majorBidi"/>
          <w:sz w:val="20"/>
          <w:szCs w:val="20"/>
        </w:rPr>
        <w:t>refusal. Get coercion needs to be ruled more often, along with encouraging the use of premarital agreements of the Zohar organization.</w:t>
      </w:r>
      <w:r w:rsidRPr="00286599">
        <w:rPr>
          <w:rFonts w:asciiTheme="majorBidi" w:hAnsiTheme="majorBidi" w:cstheme="majorBidi"/>
          <w:sz w:val="20"/>
          <w:szCs w:val="20"/>
        </w:rPr>
        <w:t xml:space="preserve"> </w:t>
      </w:r>
    </w:p>
  </w:endnote>
  <w:endnote w:id="52">
    <w:p w14:paraId="2CF7E239" w14:textId="77777777" w:rsidR="00F255EE" w:rsidRPr="00C54C6D" w:rsidRDefault="00F255EE" w:rsidP="00F255EE">
      <w:pPr>
        <w:bidi w:val="0"/>
        <w:spacing w:after="0" w:line="240" w:lineRule="auto"/>
        <w:jc w:val="both"/>
        <w:rPr>
          <w:rFonts w:asciiTheme="majorBidi" w:hAnsiTheme="majorBidi" w:cstheme="majorBidi"/>
          <w:sz w:val="20"/>
          <w:szCs w:val="20"/>
          <w:rtl/>
        </w:rPr>
      </w:pPr>
      <w:bookmarkStart w:id="20" w:name="_Hlk79316520"/>
      <w:r w:rsidRPr="00286599">
        <w:rPr>
          <w:rStyle w:val="a9"/>
          <w:rFonts w:asciiTheme="majorBidi" w:hAnsiTheme="majorBidi" w:cstheme="majorBidi"/>
          <w:sz w:val="20"/>
          <w:szCs w:val="20"/>
        </w:rPr>
        <w:endnoteRef/>
      </w:r>
      <w:r>
        <w:rPr>
          <w:rFonts w:asciiTheme="majorBidi" w:hAnsiTheme="majorBidi" w:cstheme="majorBidi"/>
          <w:sz w:val="20"/>
          <w:szCs w:val="20"/>
        </w:rPr>
        <w:t xml:space="preserve">  Haifa DRC </w:t>
      </w:r>
      <w:r w:rsidRPr="00286599">
        <w:rPr>
          <w:rFonts w:asciiTheme="majorBidi" w:hAnsiTheme="majorBidi" w:cstheme="majorBidi" w:hint="cs"/>
          <w:sz w:val="20"/>
          <w:szCs w:val="20"/>
          <w:rtl/>
        </w:rPr>
        <w:t>1078402/1</w:t>
      </w:r>
      <w:r w:rsidRPr="00286599">
        <w:rPr>
          <w:rFonts w:asciiTheme="majorBidi" w:hAnsiTheme="majorBidi" w:cstheme="majorBidi"/>
          <w:sz w:val="20"/>
          <w:szCs w:val="20"/>
        </w:rPr>
        <w:t xml:space="preserve">. The </w:t>
      </w:r>
      <w:r w:rsidRPr="00286599">
        <w:rPr>
          <w:rFonts w:asciiTheme="majorBidi" w:hAnsiTheme="majorBidi" w:cstheme="majorBidi"/>
          <w:i/>
          <w:iCs/>
          <w:sz w:val="20"/>
          <w:szCs w:val="20"/>
        </w:rPr>
        <w:t>get</w:t>
      </w:r>
      <w:r w:rsidRPr="00286599">
        <w:rPr>
          <w:rFonts w:asciiTheme="majorBidi" w:hAnsiTheme="majorBidi" w:cstheme="majorBidi"/>
          <w:sz w:val="20"/>
          <w:szCs w:val="20"/>
        </w:rPr>
        <w:t xml:space="preserve"> was given on Sunday (3/6/18), after Supreme Court President Hayut signed an arrest warrant issued by the rabbinic court on the previous Thursday (31/5/2018) against Atias on the authority of the ruling “a </w:t>
      </w:r>
      <w:r w:rsidRPr="00286599">
        <w:rPr>
          <w:rFonts w:asciiTheme="majorBidi" w:hAnsiTheme="majorBidi" w:cstheme="majorBidi"/>
          <w:i/>
          <w:iCs/>
          <w:sz w:val="20"/>
          <w:szCs w:val="20"/>
        </w:rPr>
        <w:t>get</w:t>
      </w:r>
      <w:r w:rsidRPr="00286599">
        <w:rPr>
          <w:rFonts w:asciiTheme="majorBidi" w:hAnsiTheme="majorBidi" w:cstheme="majorBidi"/>
          <w:sz w:val="20"/>
          <w:szCs w:val="20"/>
        </w:rPr>
        <w:t xml:space="preserve"> is coerced”</w:t>
      </w:r>
      <w:r>
        <w:rPr>
          <w:rFonts w:asciiTheme="majorBidi" w:hAnsiTheme="majorBidi" w:cstheme="majorBidi"/>
          <w:sz w:val="20"/>
          <w:szCs w:val="20"/>
        </w:rPr>
        <w:t>.</w:t>
      </w:r>
      <w:r w:rsidRPr="00286599">
        <w:rPr>
          <w:rFonts w:asciiTheme="majorBidi" w:hAnsiTheme="majorBidi" w:cstheme="majorBidi"/>
          <w:sz w:val="20"/>
          <w:szCs w:val="20"/>
        </w:rPr>
        <w:t xml:space="preserve"> </w:t>
      </w:r>
      <w:r w:rsidRPr="00DB0D4B">
        <w:rPr>
          <w:rFonts w:asciiTheme="majorBidi" w:hAnsiTheme="majorBidi" w:cstheme="majorBidi"/>
          <w:sz w:val="20"/>
          <w:szCs w:val="20"/>
        </w:rPr>
        <w:t xml:space="preserve">The Supreme Court President wrote: “I have concluded that there is no room for intervening in a decision of the rabbinic court which exercised its authority. The defendant refrained from complying with the rabbinic court ruling for a long period, which instructed him to give a </w:t>
      </w:r>
      <w:r w:rsidRPr="00DB0D4B">
        <w:rPr>
          <w:rFonts w:asciiTheme="majorBidi" w:hAnsiTheme="majorBidi" w:cstheme="majorBidi"/>
          <w:i/>
          <w:iCs/>
          <w:sz w:val="20"/>
          <w:szCs w:val="20"/>
        </w:rPr>
        <w:t>get</w:t>
      </w:r>
      <w:r w:rsidRPr="00DB0D4B">
        <w:rPr>
          <w:rFonts w:asciiTheme="majorBidi" w:hAnsiTheme="majorBidi" w:cstheme="majorBidi"/>
          <w:sz w:val="20"/>
          <w:szCs w:val="20"/>
        </w:rPr>
        <w:t>. ”</w:t>
      </w:r>
      <w:r w:rsidRPr="00C54C6D">
        <w:rPr>
          <w:rFonts w:asciiTheme="majorBidi" w:hAnsiTheme="majorBidi" w:cstheme="majorBidi"/>
          <w:sz w:val="20"/>
          <w:szCs w:val="20"/>
        </w:rPr>
        <w:t xml:space="preserve">  </w:t>
      </w:r>
    </w:p>
    <w:bookmarkEnd w:id="20"/>
  </w:endnote>
  <w:endnote w:id="53">
    <w:p w14:paraId="3CAE7328" w14:textId="77777777" w:rsidR="00F255EE" w:rsidRPr="00286599" w:rsidRDefault="00F255EE" w:rsidP="00F255EE">
      <w:pPr>
        <w:pStyle w:val="a7"/>
        <w:bidi w:val="0"/>
        <w:jc w:val="both"/>
        <w:rPr>
          <w:rFonts w:asciiTheme="majorBidi" w:hAnsiTheme="majorBidi" w:cstheme="majorBidi"/>
        </w:rPr>
      </w:pPr>
      <w:r w:rsidRPr="00C54C6D">
        <w:rPr>
          <w:rStyle w:val="a9"/>
          <w:rFonts w:asciiTheme="majorBidi" w:hAnsiTheme="majorBidi" w:cstheme="majorBidi"/>
        </w:rPr>
        <w:endnoteRef/>
      </w:r>
      <w:r w:rsidRPr="00C54C6D">
        <w:rPr>
          <w:rFonts w:asciiTheme="majorBidi" w:hAnsiTheme="majorBidi" w:cstheme="majorBidi"/>
        </w:rPr>
        <w:t xml:space="preserve"> Ketubot 49b; Mishne Torah, Hilchot Ishut, 12.14; Shulchan Aruch, Even Ha-Ezer, 71.1.</w:t>
      </w:r>
    </w:p>
    <w:p w14:paraId="0B84A631" w14:textId="77777777" w:rsidR="00F255EE" w:rsidRDefault="00F255EE" w:rsidP="00F255EE">
      <w:pPr>
        <w:pStyle w:val="a7"/>
        <w:jc w:val="right"/>
        <w:rPr>
          <w:rFonts w:asciiTheme="majorBidi" w:hAnsiTheme="majorBidi" w:cstheme="majorBidi"/>
          <w:rtl/>
        </w:rPr>
      </w:pPr>
    </w:p>
    <w:p w14:paraId="7AE86569" w14:textId="77777777" w:rsidR="00F255EE" w:rsidRPr="00043E27" w:rsidRDefault="00F255EE" w:rsidP="00F255EE">
      <w:pPr>
        <w:pStyle w:val="a7"/>
        <w:rPr>
          <w:rFonts w:asciiTheme="majorBidi" w:hAnsiTheme="majorBidi" w:cstheme="majorBidi"/>
          <w:rtl/>
        </w:rPr>
      </w:pPr>
    </w:p>
  </w:endnote>
  <w:endnote w:id="54">
    <w:p w14:paraId="40877584" w14:textId="77777777" w:rsidR="00F255EE" w:rsidRPr="00286599" w:rsidRDefault="00F255EE" w:rsidP="00F255EE">
      <w:pPr>
        <w:jc w:val="right"/>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proofErr w:type="spellStart"/>
      <w:r w:rsidRPr="00286599">
        <w:rPr>
          <w:rFonts w:asciiTheme="majorBidi" w:hAnsiTheme="majorBidi" w:cstheme="majorBidi"/>
          <w:sz w:val="20"/>
          <w:szCs w:val="20"/>
        </w:rPr>
        <w:t>Ketubot</w:t>
      </w:r>
      <w:proofErr w:type="spellEnd"/>
      <w:r w:rsidRPr="00286599">
        <w:rPr>
          <w:rFonts w:asciiTheme="majorBidi" w:hAnsiTheme="majorBidi" w:cstheme="majorBidi"/>
          <w:sz w:val="20"/>
          <w:szCs w:val="20"/>
        </w:rPr>
        <w:t xml:space="preserve"> 73b; </w:t>
      </w:r>
      <w:proofErr w:type="spellStart"/>
      <w:r w:rsidRPr="00286599">
        <w:rPr>
          <w:rFonts w:asciiTheme="majorBidi" w:hAnsiTheme="majorBidi" w:cstheme="majorBidi"/>
          <w:sz w:val="20"/>
          <w:szCs w:val="20"/>
        </w:rPr>
        <w:t>Mishne</w:t>
      </w:r>
      <w:proofErr w:type="spellEnd"/>
      <w:r w:rsidRPr="00286599">
        <w:rPr>
          <w:rFonts w:asciiTheme="majorBidi" w:hAnsiTheme="majorBidi" w:cstheme="majorBidi"/>
          <w:sz w:val="20"/>
          <w:szCs w:val="20"/>
        </w:rPr>
        <w:t xml:space="preserve"> Torah, Hilchot Ishuht, 14.9; Shulchan Aruch, Even Ha-Ezer, 77.2. </w:t>
      </w:r>
      <w:r w:rsidRPr="00286599">
        <w:rPr>
          <w:rFonts w:asciiTheme="majorBidi" w:hAnsiTheme="majorBidi" w:cstheme="majorBidi"/>
          <w:sz w:val="20"/>
          <w:szCs w:val="20"/>
          <w:rtl/>
        </w:rPr>
        <w:t xml:space="preserve"> </w:t>
      </w:r>
    </w:p>
  </w:endnote>
  <w:endnote w:id="55">
    <w:p w14:paraId="27B412E9" w14:textId="195DD913" w:rsidR="00F255EE" w:rsidRPr="00286599" w:rsidRDefault="00F255EE" w:rsidP="00F255EE">
      <w:pPr>
        <w:bidi w:val="0"/>
        <w:spacing w:after="0" w:line="240" w:lineRule="auto"/>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proofErr w:type="spellStart"/>
      <w:r w:rsidRPr="00286599">
        <w:rPr>
          <w:rFonts w:asciiTheme="majorBidi" w:hAnsiTheme="majorBidi" w:cstheme="majorBidi"/>
          <w:sz w:val="20"/>
          <w:szCs w:val="20"/>
        </w:rPr>
        <w:t>Libson</w:t>
      </w:r>
      <w:proofErr w:type="spellEnd"/>
      <w:r w:rsidRPr="00286599">
        <w:rPr>
          <w:rFonts w:asciiTheme="majorBidi" w:hAnsiTheme="majorBidi" w:cstheme="majorBidi"/>
          <w:sz w:val="20"/>
          <w:szCs w:val="20"/>
        </w:rPr>
        <w:t>, “Excommunication Claims,” 292-342.</w:t>
      </w:r>
    </w:p>
  </w:endnote>
  <w:endnote w:id="56">
    <w:p w14:paraId="424632D6" w14:textId="77777777" w:rsidR="00F255EE" w:rsidRPr="00286599" w:rsidRDefault="00F255EE" w:rsidP="00F255EE">
      <w:pPr>
        <w:bidi w:val="0"/>
        <w:spacing w:after="0" w:line="240" w:lineRule="auto"/>
        <w:jc w:val="both"/>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r>
        <w:rPr>
          <w:rFonts w:asciiTheme="majorBidi" w:hAnsiTheme="majorBidi" w:cstheme="majorBidi"/>
          <w:sz w:val="20"/>
          <w:szCs w:val="20"/>
        </w:rPr>
        <w:t xml:space="preserve"> </w:t>
      </w:r>
      <w:r w:rsidRPr="00286599">
        <w:rPr>
          <w:rFonts w:asciiTheme="majorBidi" w:hAnsiTheme="majorBidi" w:cstheme="majorBidi"/>
          <w:sz w:val="20"/>
          <w:szCs w:val="20"/>
        </w:rPr>
        <w:t>Grossman, “Delaying Prayer,” 211-219.</w:t>
      </w:r>
    </w:p>
  </w:endnote>
  <w:endnote w:id="57">
    <w:p w14:paraId="1A190C71" w14:textId="77777777" w:rsidR="00F255EE" w:rsidRPr="00286599" w:rsidRDefault="00F255EE" w:rsidP="00234D3F">
      <w:pPr>
        <w:bidi w:val="0"/>
        <w:spacing w:after="0" w:line="240" w:lineRule="auto"/>
        <w:jc w:val="both"/>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Yadin, “Regulatory </w:t>
      </w:r>
      <w:r w:rsidR="00E73E33">
        <w:rPr>
          <w:rFonts w:asciiTheme="majorBidi" w:hAnsiTheme="majorBidi" w:cstheme="majorBidi"/>
          <w:sz w:val="20"/>
          <w:szCs w:val="20"/>
        </w:rPr>
        <w:t>Contract,” 27-68, especially 42</w:t>
      </w:r>
      <w:r w:rsidRPr="00286599">
        <w:rPr>
          <w:rFonts w:asciiTheme="majorBidi" w:hAnsiTheme="majorBidi" w:cstheme="majorBidi"/>
          <w:sz w:val="20"/>
          <w:szCs w:val="20"/>
        </w:rPr>
        <w:t>; Yadi</w:t>
      </w:r>
      <w:r w:rsidR="00234D3F">
        <w:rPr>
          <w:rFonts w:asciiTheme="majorBidi" w:hAnsiTheme="majorBidi" w:cstheme="majorBidi"/>
          <w:sz w:val="20"/>
          <w:szCs w:val="20"/>
        </w:rPr>
        <w:t>n, “Expressive Space,” 1, 31-48</w:t>
      </w:r>
      <w:r w:rsidRPr="00286599">
        <w:rPr>
          <w:rFonts w:asciiTheme="majorBidi" w:hAnsiTheme="majorBidi" w:cstheme="majorBidi"/>
          <w:sz w:val="20"/>
          <w:szCs w:val="20"/>
        </w:rPr>
        <w:t>. Also see</w:t>
      </w:r>
      <w:r>
        <w:rPr>
          <w:rFonts w:asciiTheme="majorBidi" w:hAnsiTheme="majorBidi" w:cstheme="majorBidi"/>
          <w:sz w:val="20"/>
          <w:szCs w:val="20"/>
        </w:rPr>
        <w:t xml:space="preserve"> </w:t>
      </w:r>
      <w:r w:rsidRPr="00286599">
        <w:rPr>
          <w:rFonts w:asciiTheme="majorBidi" w:hAnsiTheme="majorBidi" w:cstheme="majorBidi"/>
          <w:sz w:val="20"/>
          <w:szCs w:val="20"/>
        </w:rPr>
        <w:t>Yadin, “Regulatory Shaming,” 407; 29-31;40-41; Yadin, “Shaming Big Pharma,” 131; Yadin, “E-Regulations,” 101-152.</w:t>
      </w:r>
    </w:p>
  </w:endnote>
  <w:endnote w:id="58">
    <w:p w14:paraId="4DFF1694" w14:textId="77777777" w:rsidR="00F255EE" w:rsidRDefault="00F255EE" w:rsidP="00F255EE">
      <w:pPr>
        <w:pStyle w:val="a7"/>
        <w:jc w:val="right"/>
        <w:rPr>
          <w:rFonts w:asciiTheme="majorBidi" w:hAnsiTheme="majorBidi" w:cstheme="majorBidi"/>
        </w:rPr>
      </w:pPr>
      <w:r w:rsidRPr="00286599">
        <w:rPr>
          <w:rStyle w:val="a9"/>
          <w:rFonts w:asciiTheme="majorBidi" w:hAnsiTheme="majorBidi" w:cstheme="majorBidi"/>
        </w:rPr>
        <w:endnoteRef/>
      </w:r>
      <w:hyperlink r:id="rId6" w:history="1">
        <w:r w:rsidRPr="00254107">
          <w:rPr>
            <w:rStyle w:val="Hyperlink"/>
            <w:rFonts w:asciiTheme="majorBidi" w:hAnsiTheme="majorBidi" w:cstheme="majorBidi"/>
          </w:rPr>
          <w:t>www.sviva.gov.il/subjectsEnv/BusinessLicensingIndustry/EnvironmentalRatingPublicCompanies/Pages/Enviromental-Impact-Index2016-GIS.aspx</w:t>
        </w:r>
      </w:hyperlink>
    </w:p>
    <w:p w14:paraId="4E120933" w14:textId="77777777" w:rsidR="00F255EE" w:rsidRPr="001656F2" w:rsidRDefault="00F255EE" w:rsidP="00F255EE">
      <w:pPr>
        <w:pStyle w:val="a7"/>
        <w:jc w:val="right"/>
        <w:rPr>
          <w:rFonts w:asciiTheme="majorBidi" w:hAnsiTheme="majorBidi" w:cstheme="majorBidi"/>
          <w:rtl/>
        </w:rPr>
      </w:pPr>
    </w:p>
  </w:endnote>
  <w:endnote w:id="59">
    <w:p w14:paraId="24F7D6C6" w14:textId="405D692C" w:rsidR="00F255EE" w:rsidRPr="00286599" w:rsidRDefault="00F255EE" w:rsidP="00C479F7">
      <w:pPr>
        <w:jc w:val="right"/>
        <w:rPr>
          <w:rFonts w:asciiTheme="majorBidi" w:hAnsiTheme="majorBidi" w:cstheme="majorBidi" w:hint="cs"/>
          <w:sz w:val="20"/>
          <w:szCs w:val="20"/>
          <w:rtl/>
        </w:rPr>
      </w:pPr>
      <w:bookmarkStart w:id="21" w:name="_Hlk79317684"/>
      <w:r w:rsidRPr="00286599">
        <w:rPr>
          <w:rStyle w:val="a9"/>
          <w:rFonts w:asciiTheme="majorBidi" w:hAnsiTheme="majorBidi" w:cstheme="majorBidi"/>
          <w:b/>
          <w:bCs/>
          <w:sz w:val="20"/>
          <w:szCs w:val="20"/>
        </w:rPr>
        <w:endnoteRef/>
      </w:r>
      <w:r w:rsidRPr="00286599">
        <w:rPr>
          <w:rFonts w:asciiTheme="majorBidi" w:hAnsiTheme="majorBidi" w:cstheme="majorBidi"/>
          <w:sz w:val="20"/>
          <w:szCs w:val="20"/>
        </w:rPr>
        <w:t xml:space="preserve">  </w:t>
      </w:r>
      <w:proofErr w:type="spellStart"/>
      <w:r w:rsidRPr="00286599">
        <w:rPr>
          <w:rFonts w:asciiTheme="majorBidi" w:hAnsiTheme="majorBidi" w:cstheme="majorBidi"/>
          <w:sz w:val="20"/>
          <w:szCs w:val="20"/>
        </w:rPr>
        <w:t>Flatto</w:t>
      </w:r>
      <w:proofErr w:type="spellEnd"/>
      <w:r w:rsidRPr="00286599">
        <w:rPr>
          <w:rFonts w:asciiTheme="majorBidi" w:hAnsiTheme="majorBidi" w:cstheme="majorBidi"/>
          <w:sz w:val="20"/>
          <w:szCs w:val="20"/>
        </w:rPr>
        <w:t xml:space="preserve">-Shinar, “Regulatory Shaming,” 44. </w:t>
      </w:r>
      <w:bookmarkEnd w:id="21"/>
    </w:p>
  </w:endnote>
  <w:endnote w:id="60">
    <w:p w14:paraId="52F73D53" w14:textId="32653567" w:rsidR="00F255EE" w:rsidRPr="00286599" w:rsidRDefault="00F255EE" w:rsidP="00F255EE">
      <w:pPr>
        <w:pStyle w:val="a7"/>
        <w:bidi w:val="0"/>
        <w:jc w:val="both"/>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This orientation stands in opposition with the orientation that was customary about 25 years ago in the policy of rabbinic courts which was deterred from implementing even the RTDR (prior to shaming). See Beeri, “Distancing Rules,” 18-19, 93-95</w:t>
      </w:r>
      <w:r w:rsidR="00DB0D4B">
        <w:rPr>
          <w:rFonts w:asciiTheme="majorBidi" w:hAnsiTheme="majorBidi" w:cstheme="majorBidi"/>
        </w:rPr>
        <w:t>.</w:t>
      </w:r>
    </w:p>
    <w:p w14:paraId="71F8795C" w14:textId="77777777" w:rsidR="00F255EE" w:rsidRPr="00286599" w:rsidRDefault="00F255EE" w:rsidP="00F255EE">
      <w:pPr>
        <w:pStyle w:val="a7"/>
        <w:jc w:val="right"/>
        <w:rPr>
          <w:rFonts w:asciiTheme="majorBidi" w:hAnsiTheme="majorBidi" w:cstheme="majorBidi"/>
        </w:rPr>
      </w:pPr>
      <w:bookmarkStart w:id="22" w:name="_Hlk60144105"/>
    </w:p>
    <w:bookmarkStart w:id="23" w:name="_Hlk95340297"/>
    <w:bookmarkEnd w:id="22"/>
  </w:endnote>
  <w:endnote w:id="61">
    <w:p w14:paraId="6454A0F3" w14:textId="7BD37742" w:rsidR="00F255EE" w:rsidRPr="00286599" w:rsidRDefault="00F255EE" w:rsidP="00DB0D4B">
      <w:pPr>
        <w:spacing w:line="240" w:lineRule="auto"/>
        <w:jc w:val="right"/>
        <w:rPr>
          <w:rFonts w:asciiTheme="majorBidi" w:hAnsiTheme="majorBidi" w:cstheme="majorBidi" w:hint="cs"/>
          <w:sz w:val="20"/>
          <w:szCs w:val="20"/>
          <w:rtl/>
        </w:rPr>
      </w:pPr>
      <w:bookmarkStart w:id="24" w:name="_Hlk95340297"/>
      <w:r w:rsidRPr="00485DC8">
        <w:rPr>
          <w:rStyle w:val="a9"/>
          <w:rFonts w:asciiTheme="majorBidi" w:hAnsiTheme="majorBidi" w:cstheme="majorBidi"/>
          <w:sz w:val="20"/>
          <w:szCs w:val="20"/>
          <w:highlight w:val="yellow"/>
        </w:rPr>
        <w:endnoteRef/>
      </w:r>
      <w:r w:rsidRPr="00436ED9">
        <w:rPr>
          <w:rFonts w:asciiTheme="majorBidi" w:hAnsiTheme="majorBidi" w:cstheme="majorBidi"/>
          <w:sz w:val="20"/>
          <w:szCs w:val="20"/>
        </w:rPr>
        <w:t xml:space="preserve">  </w:t>
      </w:r>
      <w:bookmarkEnd w:id="24"/>
    </w:p>
  </w:endnote>
  <w:endnote w:id="62">
    <w:p w14:paraId="33F4BF03" w14:textId="1EF843F6" w:rsidR="00DF0CFE" w:rsidRPr="0068784F" w:rsidRDefault="00F255EE" w:rsidP="00875312">
      <w:pPr>
        <w:bidi w:val="0"/>
        <w:spacing w:after="0" w:line="240" w:lineRule="auto"/>
        <w:jc w:val="both"/>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hint="cs"/>
          <w:b/>
          <w:bCs/>
          <w:sz w:val="20"/>
          <w:szCs w:val="20"/>
          <w:rtl/>
        </w:rPr>
        <w:t xml:space="preserve"> </w:t>
      </w:r>
      <w:bookmarkStart w:id="25" w:name="_Hlk95398927"/>
      <w:r w:rsidRPr="00286599">
        <w:rPr>
          <w:rFonts w:asciiTheme="majorBidi" w:hAnsiTheme="majorBidi" w:cstheme="majorBidi"/>
          <w:sz w:val="20"/>
          <w:szCs w:val="20"/>
        </w:rPr>
        <w:t xml:space="preserve">This seems to be the plain meaning of Rabeinu Tam, </w:t>
      </w:r>
      <w:r w:rsidRPr="00286599">
        <w:rPr>
          <w:rFonts w:asciiTheme="majorBidi" w:hAnsiTheme="majorBidi" w:cstheme="majorBidi"/>
          <w:color w:val="000000" w:themeColor="text1"/>
          <w:sz w:val="20"/>
          <w:szCs w:val="20"/>
        </w:rPr>
        <w:t>above n. 20</w:t>
      </w:r>
      <w:r w:rsidRPr="008E790F">
        <w:rPr>
          <w:rFonts w:asciiTheme="majorBidi" w:hAnsiTheme="majorBidi" w:cstheme="majorBidi"/>
          <w:sz w:val="20"/>
          <w:szCs w:val="20"/>
        </w:rPr>
        <w:t xml:space="preserve">, which explains that one can enact the RTDR in cases where the husband was obligated to give a get but did not, for “[in the </w:t>
      </w:r>
      <w:r w:rsidRPr="008E790F">
        <w:rPr>
          <w:rFonts w:asciiTheme="majorBidi" w:hAnsiTheme="majorBidi" w:cstheme="majorBidi"/>
          <w:i/>
          <w:iCs/>
          <w:sz w:val="20"/>
          <w:szCs w:val="20"/>
        </w:rPr>
        <w:t>harhakot</w:t>
      </w:r>
      <w:r w:rsidRPr="008E790F">
        <w:rPr>
          <w:rFonts w:asciiTheme="majorBidi" w:hAnsiTheme="majorBidi" w:cstheme="majorBidi"/>
          <w:sz w:val="20"/>
          <w:szCs w:val="20"/>
        </w:rPr>
        <w:t>] there is no coercion on him, for a few reasons</w:t>
      </w:r>
      <w:r w:rsidRPr="00230341">
        <w:rPr>
          <w:rFonts w:asciiTheme="majorBidi" w:hAnsiTheme="majorBidi" w:cstheme="majorBidi"/>
          <w:b/>
          <w:bCs/>
          <w:sz w:val="20"/>
          <w:szCs w:val="20"/>
        </w:rPr>
        <w:t xml:space="preserve">: </w:t>
      </w:r>
      <w:r w:rsidRPr="00230341">
        <w:rPr>
          <w:rFonts w:asciiTheme="majorBidi" w:hAnsiTheme="majorBidi" w:cstheme="majorBidi"/>
          <w:sz w:val="20"/>
          <w:szCs w:val="20"/>
        </w:rPr>
        <w:t>1. In spite of the RTDR he still has a choice</w:t>
      </w:r>
      <w:r w:rsidRPr="00217671">
        <w:rPr>
          <w:rFonts w:asciiTheme="majorBidi" w:hAnsiTheme="majorBidi" w:cstheme="majorBidi"/>
          <w:sz w:val="20"/>
          <w:szCs w:val="20"/>
        </w:rPr>
        <w:t xml:space="preserve">; 2. </w:t>
      </w:r>
      <w:r w:rsidRPr="00230341">
        <w:rPr>
          <w:rFonts w:asciiTheme="majorBidi" w:hAnsiTheme="majorBidi" w:cstheme="majorBidi"/>
          <w:sz w:val="20"/>
          <w:szCs w:val="20"/>
        </w:rPr>
        <w:t>The RTDR are not a physical punishment of lashes; 3. They are not imposed on the husband but on the community</w:t>
      </w:r>
      <w:r w:rsidRPr="00875312">
        <w:rPr>
          <w:rFonts w:asciiTheme="majorBidi" w:hAnsiTheme="majorBidi" w:cstheme="majorBidi"/>
          <w:sz w:val="20"/>
          <w:szCs w:val="20"/>
        </w:rPr>
        <w:t>. These</w:t>
      </w:r>
      <w:r w:rsidRPr="00603E97">
        <w:rPr>
          <w:rFonts w:asciiTheme="majorBidi" w:hAnsiTheme="majorBidi" w:cstheme="majorBidi"/>
          <w:sz w:val="20"/>
          <w:szCs w:val="20"/>
        </w:rPr>
        <w:t xml:space="preserve"> explanations demonstrate that the pressure the RTDR impose on the recalcitrant husband are lighter, and therefore are not considered coercion of the type to transform the </w:t>
      </w:r>
      <w:r w:rsidRPr="00603E97">
        <w:rPr>
          <w:rFonts w:asciiTheme="majorBidi" w:hAnsiTheme="majorBidi" w:cstheme="majorBidi"/>
          <w:i/>
          <w:iCs/>
          <w:sz w:val="20"/>
          <w:szCs w:val="20"/>
        </w:rPr>
        <w:t>get</w:t>
      </w:r>
      <w:r w:rsidRPr="00603E97">
        <w:rPr>
          <w:rFonts w:asciiTheme="majorBidi" w:hAnsiTheme="majorBidi" w:cstheme="majorBidi"/>
          <w:sz w:val="20"/>
          <w:szCs w:val="20"/>
        </w:rPr>
        <w:t xml:space="preserve"> into a coerced </w:t>
      </w:r>
      <w:r w:rsidRPr="00603E97">
        <w:rPr>
          <w:rFonts w:asciiTheme="majorBidi" w:hAnsiTheme="majorBidi" w:cstheme="majorBidi"/>
          <w:i/>
          <w:iCs/>
          <w:sz w:val="20"/>
          <w:szCs w:val="20"/>
        </w:rPr>
        <w:t xml:space="preserve">get </w:t>
      </w:r>
      <w:r w:rsidRPr="00603E97">
        <w:rPr>
          <w:rFonts w:asciiTheme="majorBidi" w:hAnsiTheme="majorBidi" w:cstheme="majorBidi"/>
          <w:sz w:val="20"/>
          <w:szCs w:val="20"/>
        </w:rPr>
        <w:t xml:space="preserve">and invalidate it, rather are viewed only as a pressure tactic to cause him to give a </w:t>
      </w:r>
      <w:r w:rsidRPr="00603E97">
        <w:rPr>
          <w:rFonts w:asciiTheme="majorBidi" w:hAnsiTheme="majorBidi" w:cstheme="majorBidi"/>
          <w:i/>
          <w:iCs/>
          <w:sz w:val="20"/>
          <w:szCs w:val="20"/>
        </w:rPr>
        <w:t>get</w:t>
      </w:r>
      <w:r w:rsidRPr="00603E97">
        <w:rPr>
          <w:rFonts w:asciiTheme="majorBidi" w:hAnsiTheme="majorBidi" w:cstheme="majorBidi"/>
          <w:sz w:val="20"/>
          <w:szCs w:val="20"/>
        </w:rPr>
        <w:t>.</w:t>
      </w:r>
      <w:r w:rsidRPr="00286599">
        <w:rPr>
          <w:rFonts w:asciiTheme="majorBidi" w:hAnsiTheme="majorBidi" w:cstheme="majorBidi"/>
          <w:sz w:val="20"/>
          <w:szCs w:val="20"/>
        </w:rPr>
        <w:t xml:space="preserve"> This concept also emerges from the words of the Mordechai on Gittin, Hagahot Mordechai, 456; 469; Maharik responsa, 135; and ibid., 102; Binyamin Zeev responsa, 88; The Shulchan Aruch an</w:t>
      </w:r>
      <w:r>
        <w:rPr>
          <w:rFonts w:asciiTheme="majorBidi" w:hAnsiTheme="majorBidi" w:cstheme="majorBidi"/>
          <w:sz w:val="20"/>
          <w:szCs w:val="20"/>
        </w:rPr>
        <w:t>d the Rema, Even Ha-</w:t>
      </w:r>
      <w:proofErr w:type="spellStart"/>
      <w:r>
        <w:rPr>
          <w:rFonts w:asciiTheme="majorBidi" w:hAnsiTheme="majorBidi" w:cstheme="majorBidi"/>
          <w:sz w:val="20"/>
          <w:szCs w:val="20"/>
        </w:rPr>
        <w:t>Ezer</w:t>
      </w:r>
      <w:proofErr w:type="spellEnd"/>
      <w:r>
        <w:rPr>
          <w:rFonts w:asciiTheme="majorBidi" w:hAnsiTheme="majorBidi" w:cstheme="majorBidi"/>
          <w:sz w:val="20"/>
          <w:szCs w:val="20"/>
        </w:rPr>
        <w:t>, 154.2.</w:t>
      </w:r>
      <w:r w:rsidR="00875312">
        <w:rPr>
          <w:rFonts w:asciiTheme="majorBidi" w:hAnsiTheme="majorBidi" w:cstheme="majorBidi"/>
          <w:i/>
          <w:iCs/>
          <w:sz w:val="20"/>
          <w:szCs w:val="20"/>
        </w:rPr>
        <w:t xml:space="preserve"> and </w:t>
      </w:r>
      <w:r w:rsidRPr="00E04D4A">
        <w:rPr>
          <w:rFonts w:asciiTheme="majorBidi" w:hAnsiTheme="majorBidi" w:cstheme="majorBidi"/>
          <w:sz w:val="20"/>
          <w:szCs w:val="20"/>
        </w:rPr>
        <w:t xml:space="preserve"> </w:t>
      </w:r>
      <w:r w:rsidRPr="00E04D4A">
        <w:rPr>
          <w:rFonts w:asciiTheme="majorBidi" w:hAnsiTheme="majorBidi" w:cstheme="majorBidi"/>
          <w:i/>
          <w:iCs/>
          <w:sz w:val="20"/>
          <w:szCs w:val="20"/>
        </w:rPr>
        <w:t>is expressed most strongly in the Mahari Ben Lev responsa, 2, 79; 3, 102</w:t>
      </w:r>
      <w:r w:rsidR="00DF0CFE" w:rsidRPr="00DF0CFE">
        <w:rPr>
          <w:rFonts w:asciiTheme="majorBidi" w:hAnsiTheme="majorBidi" w:cstheme="majorBidi"/>
          <w:i/>
          <w:iCs/>
          <w:sz w:val="20"/>
          <w:szCs w:val="20"/>
        </w:rPr>
        <w:t>;</w:t>
      </w:r>
      <w:r w:rsidR="00DF0CFE" w:rsidRPr="00DF0CFE">
        <w:rPr>
          <w:rFonts w:asciiTheme="majorBidi" w:hAnsiTheme="majorBidi" w:cstheme="majorBidi"/>
          <w:sz w:val="20"/>
          <w:szCs w:val="20"/>
        </w:rPr>
        <w:t xml:space="preserve"> Rabbi Shabtai Meir Hacohen (</w:t>
      </w:r>
      <w:proofErr w:type="spellStart"/>
      <w:r w:rsidR="00DF0CFE" w:rsidRPr="00DF0CFE">
        <w:rPr>
          <w:rFonts w:asciiTheme="majorBidi" w:hAnsiTheme="majorBidi" w:cstheme="majorBidi"/>
          <w:sz w:val="20"/>
          <w:szCs w:val="20"/>
        </w:rPr>
        <w:t>Shach</w:t>
      </w:r>
      <w:proofErr w:type="spellEnd"/>
      <w:r w:rsidR="00DF0CFE" w:rsidRPr="00DF0CFE">
        <w:rPr>
          <w:rFonts w:asciiTheme="majorBidi" w:hAnsiTheme="majorBidi" w:cstheme="majorBidi"/>
          <w:sz w:val="20"/>
          <w:szCs w:val="20"/>
        </w:rPr>
        <w:t xml:space="preserve">) in </w:t>
      </w:r>
      <w:proofErr w:type="spellStart"/>
      <w:r w:rsidR="00DF0CFE" w:rsidRPr="00DF0CFE">
        <w:rPr>
          <w:rFonts w:asciiTheme="majorBidi" w:hAnsiTheme="majorBidi" w:cstheme="majorBidi"/>
          <w:sz w:val="20"/>
          <w:szCs w:val="20"/>
        </w:rPr>
        <w:t>Gvurat</w:t>
      </w:r>
      <w:proofErr w:type="spellEnd"/>
      <w:r w:rsidR="00DF0CFE" w:rsidRPr="00DF0CFE">
        <w:rPr>
          <w:rFonts w:asciiTheme="majorBidi" w:hAnsiTheme="majorBidi" w:cstheme="majorBidi"/>
          <w:sz w:val="20"/>
          <w:szCs w:val="20"/>
        </w:rPr>
        <w:t xml:space="preserve"> </w:t>
      </w:r>
      <w:proofErr w:type="spellStart"/>
      <w:r w:rsidR="00DF0CFE" w:rsidRPr="00DF0CFE">
        <w:rPr>
          <w:rFonts w:asciiTheme="majorBidi" w:hAnsiTheme="majorBidi" w:cstheme="majorBidi"/>
          <w:sz w:val="20"/>
          <w:szCs w:val="20"/>
        </w:rPr>
        <w:t>Anashim</w:t>
      </w:r>
      <w:proofErr w:type="spellEnd"/>
      <w:r w:rsidR="00DF0CFE" w:rsidRPr="00DF0CFE">
        <w:rPr>
          <w:rFonts w:asciiTheme="majorBidi" w:hAnsiTheme="majorBidi" w:cstheme="majorBidi"/>
          <w:sz w:val="20"/>
          <w:szCs w:val="20"/>
        </w:rPr>
        <w:t>, 72</w:t>
      </w:r>
      <w:r w:rsidR="00DF0CFE" w:rsidRPr="00B94C95">
        <w:rPr>
          <w:rFonts w:asciiTheme="majorBidi" w:hAnsiTheme="majorBidi" w:cstheme="majorBidi"/>
          <w:sz w:val="20"/>
          <w:szCs w:val="20"/>
        </w:rPr>
        <w:t xml:space="preserve">; </w:t>
      </w:r>
      <w:r w:rsidR="00B94C95" w:rsidRPr="00B94C95">
        <w:rPr>
          <w:rFonts w:asciiTheme="majorBidi" w:hAnsiTheme="majorBidi" w:cstheme="majorBidi"/>
          <w:sz w:val="20"/>
          <w:szCs w:val="20"/>
        </w:rPr>
        <w:t xml:space="preserve">The </w:t>
      </w:r>
      <w:proofErr w:type="spellStart"/>
      <w:r w:rsidR="00B94C95" w:rsidRPr="00B94C95">
        <w:rPr>
          <w:rFonts w:asciiTheme="majorBidi" w:hAnsiTheme="majorBidi" w:cstheme="majorBidi"/>
          <w:sz w:val="20"/>
          <w:szCs w:val="20"/>
        </w:rPr>
        <w:t>Pitchei</w:t>
      </w:r>
      <w:proofErr w:type="spellEnd"/>
      <w:r w:rsidR="00B94C95" w:rsidRPr="00B94C95">
        <w:rPr>
          <w:rFonts w:asciiTheme="majorBidi" w:hAnsiTheme="majorBidi" w:cstheme="majorBidi"/>
          <w:sz w:val="20"/>
          <w:szCs w:val="20"/>
        </w:rPr>
        <w:t xml:space="preserve"> </w:t>
      </w:r>
      <w:proofErr w:type="spellStart"/>
      <w:r w:rsidR="00B94C95" w:rsidRPr="00B94C95">
        <w:rPr>
          <w:rFonts w:asciiTheme="majorBidi" w:hAnsiTheme="majorBidi" w:cstheme="majorBidi"/>
          <w:sz w:val="20"/>
          <w:szCs w:val="20"/>
        </w:rPr>
        <w:t>Teshuvah</w:t>
      </w:r>
      <w:proofErr w:type="spellEnd"/>
      <w:r w:rsidR="00B94C95" w:rsidRPr="00B94C95">
        <w:rPr>
          <w:rFonts w:asciiTheme="majorBidi" w:hAnsiTheme="majorBidi" w:cstheme="majorBidi"/>
          <w:sz w:val="20"/>
          <w:szCs w:val="20"/>
        </w:rPr>
        <w:t>, Even Ha-</w:t>
      </w:r>
      <w:proofErr w:type="spellStart"/>
      <w:r w:rsidR="00B94C95" w:rsidRPr="00B94C95">
        <w:rPr>
          <w:rFonts w:asciiTheme="majorBidi" w:hAnsiTheme="majorBidi" w:cstheme="majorBidi"/>
          <w:sz w:val="20"/>
          <w:szCs w:val="20"/>
        </w:rPr>
        <w:t>Ezer</w:t>
      </w:r>
      <w:proofErr w:type="spellEnd"/>
      <w:r w:rsidR="00B94C95" w:rsidRPr="00B94C95">
        <w:rPr>
          <w:rFonts w:asciiTheme="majorBidi" w:hAnsiTheme="majorBidi" w:cstheme="majorBidi"/>
          <w:sz w:val="20"/>
          <w:szCs w:val="20"/>
        </w:rPr>
        <w:t>, 154.30</w:t>
      </w:r>
      <w:r w:rsidR="00B94C95" w:rsidRPr="0068784F">
        <w:rPr>
          <w:rFonts w:asciiTheme="majorBidi" w:hAnsiTheme="majorBidi" w:cstheme="majorBidi"/>
          <w:sz w:val="20"/>
          <w:szCs w:val="20"/>
        </w:rPr>
        <w:t>. See</w:t>
      </w:r>
      <w:r w:rsidR="00B94C95" w:rsidRPr="0068784F">
        <w:rPr>
          <w:rFonts w:asciiTheme="majorBidi" w:hAnsiTheme="majorBidi" w:cstheme="majorBidi"/>
          <w:color w:val="000000" w:themeColor="text1"/>
          <w:sz w:val="20"/>
          <w:szCs w:val="20"/>
        </w:rPr>
        <w:t xml:space="preserve"> above n.40.</w:t>
      </w:r>
      <w:r w:rsidR="00B94C95" w:rsidRPr="0068784F">
        <w:rPr>
          <w:rFonts w:asciiTheme="majorBidi" w:hAnsiTheme="majorBidi" w:cstheme="majorBidi"/>
          <w:sz w:val="20"/>
          <w:szCs w:val="20"/>
        </w:rPr>
        <w:t xml:space="preserve"> </w:t>
      </w:r>
      <w:r w:rsidR="00DF0CFE" w:rsidRPr="0068784F">
        <w:rPr>
          <w:rFonts w:asciiTheme="majorBidi" w:hAnsiTheme="majorBidi" w:cstheme="majorBidi"/>
          <w:sz w:val="20"/>
          <w:szCs w:val="20"/>
        </w:rPr>
        <w:t xml:space="preserve"> </w:t>
      </w:r>
    </w:p>
    <w:bookmarkEnd w:id="25"/>
    <w:p w14:paraId="72DC4E51" w14:textId="77777777" w:rsidR="00F255EE" w:rsidRPr="00286599" w:rsidRDefault="00F255EE" w:rsidP="00F255EE">
      <w:pPr>
        <w:pStyle w:val="a7"/>
        <w:rPr>
          <w:rFonts w:asciiTheme="majorBidi" w:hAnsiTheme="majorBidi" w:cstheme="majorBidi" w:hint="cs"/>
          <w:b/>
          <w:bCs/>
          <w:rtl/>
        </w:rPr>
      </w:pPr>
    </w:p>
  </w:endnote>
  <w:endnote w:id="63">
    <w:p w14:paraId="08B5797B" w14:textId="77777777" w:rsidR="00F255EE" w:rsidRPr="00286599" w:rsidRDefault="00F255EE" w:rsidP="00F255EE">
      <w:pPr>
        <w:jc w:val="right"/>
        <w:rPr>
          <w:rFonts w:asciiTheme="majorBidi" w:hAnsiTheme="majorBidi" w:cstheme="majorBidi"/>
          <w:sz w:val="20"/>
          <w:szCs w:val="20"/>
          <w:rtl/>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proofErr w:type="spellStart"/>
      <w:r w:rsidRPr="00286599">
        <w:rPr>
          <w:rFonts w:asciiTheme="majorBidi" w:hAnsiTheme="majorBidi" w:cstheme="majorBidi"/>
          <w:sz w:val="20"/>
          <w:szCs w:val="20"/>
        </w:rPr>
        <w:t>Rabbeinu</w:t>
      </w:r>
      <w:proofErr w:type="spellEnd"/>
      <w:r w:rsidRPr="00286599">
        <w:rPr>
          <w:rFonts w:asciiTheme="majorBidi" w:hAnsiTheme="majorBidi" w:cstheme="majorBidi"/>
          <w:sz w:val="20"/>
          <w:szCs w:val="20"/>
        </w:rPr>
        <w:t xml:space="preserve"> Tam,</w:t>
      </w:r>
      <w:r w:rsidRPr="00286599">
        <w:rPr>
          <w:rFonts w:asciiTheme="majorBidi" w:hAnsiTheme="majorBidi" w:cstheme="majorBidi"/>
          <w:color w:val="000000" w:themeColor="text1"/>
          <w:sz w:val="20"/>
          <w:szCs w:val="20"/>
        </w:rPr>
        <w:t xml:space="preserve"> above n. 20</w:t>
      </w:r>
      <w:r w:rsidRPr="00286599">
        <w:rPr>
          <w:rFonts w:asciiTheme="majorBidi" w:hAnsiTheme="majorBidi" w:cstheme="majorBidi"/>
          <w:sz w:val="20"/>
          <w:szCs w:val="20"/>
        </w:rPr>
        <w:t>: “</w:t>
      </w:r>
      <w:r>
        <w:rPr>
          <w:rFonts w:asciiTheme="majorBidi" w:hAnsiTheme="majorBidi" w:cstheme="majorBidi"/>
          <w:sz w:val="20"/>
          <w:szCs w:val="20"/>
        </w:rPr>
        <w:t>T</w:t>
      </w:r>
      <w:r w:rsidRPr="00286599">
        <w:rPr>
          <w:rFonts w:asciiTheme="majorBidi" w:hAnsiTheme="majorBidi" w:cstheme="majorBidi"/>
          <w:sz w:val="20"/>
          <w:szCs w:val="20"/>
        </w:rPr>
        <w:t>here is no coercion on him in this</w:t>
      </w:r>
      <w:r>
        <w:rPr>
          <w:rFonts w:asciiTheme="majorBidi" w:hAnsiTheme="majorBidi" w:cstheme="majorBidi"/>
          <w:sz w:val="20"/>
          <w:szCs w:val="20"/>
        </w:rPr>
        <w:t xml:space="preserve"> since</w:t>
      </w:r>
      <w:r w:rsidRPr="00286599">
        <w:rPr>
          <w:rFonts w:asciiTheme="majorBidi" w:hAnsiTheme="majorBidi" w:cstheme="majorBidi"/>
          <w:sz w:val="20"/>
          <w:szCs w:val="20"/>
        </w:rPr>
        <w:t xml:space="preserve"> if he wishes, he can make it so…”</w:t>
      </w:r>
    </w:p>
  </w:endnote>
  <w:endnote w:id="64">
    <w:p w14:paraId="3502277F" w14:textId="77777777" w:rsidR="00F255EE" w:rsidRPr="007E3482" w:rsidRDefault="00F255EE" w:rsidP="00F255EE">
      <w:pPr>
        <w:pStyle w:val="a7"/>
        <w:jc w:val="both"/>
        <w:rPr>
          <w:rFonts w:asciiTheme="majorBidi" w:hAnsiTheme="majorBidi" w:cstheme="majorBidi"/>
        </w:rPr>
      </w:pPr>
      <w:bookmarkStart w:id="26" w:name="_Hlk79320842"/>
      <w:r w:rsidRPr="00286599">
        <w:rPr>
          <w:rStyle w:val="a9"/>
          <w:rFonts w:asciiTheme="majorBidi" w:hAnsiTheme="majorBidi" w:cstheme="majorBidi"/>
        </w:rPr>
        <w:endnoteRef/>
      </w:r>
      <w:r w:rsidRPr="00286599">
        <w:rPr>
          <w:rFonts w:asciiTheme="majorBidi" w:hAnsiTheme="majorBidi" w:cstheme="majorBidi"/>
        </w:rPr>
        <w:t xml:space="preserve">  Rabbeinu Tam, ibid.: </w:t>
      </w:r>
      <w:r w:rsidRPr="00286599">
        <w:rPr>
          <w:rFonts w:asciiTheme="majorBidi" w:hAnsiTheme="majorBidi" w:cstheme="majorBidi"/>
          <w:i/>
          <w:iCs/>
        </w:rPr>
        <w:t xml:space="preserve">“And there is no coercion </w:t>
      </w:r>
      <w:r w:rsidRPr="00C533C4">
        <w:rPr>
          <w:rFonts w:asciiTheme="majorBidi" w:hAnsiTheme="majorBidi" w:cstheme="majorBidi"/>
          <w:i/>
          <w:iCs/>
        </w:rPr>
        <w:t>on him in this</w:t>
      </w:r>
      <w:r w:rsidRPr="00286599">
        <w:rPr>
          <w:rFonts w:asciiTheme="majorBidi" w:hAnsiTheme="majorBidi" w:cstheme="majorBidi"/>
          <w:i/>
          <w:iCs/>
        </w:rPr>
        <w:t xml:space="preserve"> … And he will not be stricken on his body from this </w:t>
      </w:r>
      <w:r w:rsidRPr="00422B4A">
        <w:rPr>
          <w:rFonts w:asciiTheme="majorBidi" w:hAnsiTheme="majorBidi" w:cstheme="majorBidi"/>
          <w:i/>
          <w:iCs/>
        </w:rPr>
        <w:t>banning</w:t>
      </w:r>
      <w:r w:rsidRPr="00422B4A">
        <w:rPr>
          <w:rFonts w:asciiTheme="majorBidi" w:hAnsiTheme="majorBidi" w:cstheme="majorBidi"/>
        </w:rPr>
        <w:t xml:space="preserve">”; </w:t>
      </w:r>
      <w:r w:rsidRPr="00422B4A">
        <w:rPr>
          <w:rFonts w:asciiTheme="majorBidi" w:hAnsiTheme="majorBidi" w:cstheme="majorBidi"/>
          <w:lang w:val="en-CA"/>
        </w:rPr>
        <w:t xml:space="preserve"> Maharik, Responsa, 102, 135: </w:t>
      </w:r>
      <w:r w:rsidRPr="00286599">
        <w:rPr>
          <w:rFonts w:asciiTheme="majorBidi" w:hAnsiTheme="majorBidi" w:cstheme="majorBidi"/>
          <w:i/>
          <w:iCs/>
        </w:rPr>
        <w:t>“</w:t>
      </w:r>
      <w:r w:rsidRPr="00422B4A">
        <w:rPr>
          <w:rFonts w:asciiTheme="majorBidi" w:hAnsiTheme="majorBidi" w:cstheme="majorBidi"/>
          <w:lang w:val="en-CA"/>
        </w:rPr>
        <w:t>…</w:t>
      </w:r>
      <w:r w:rsidRPr="00422B4A">
        <w:rPr>
          <w:rFonts w:asciiTheme="majorBidi" w:hAnsiTheme="majorBidi" w:cstheme="majorBidi"/>
          <w:i/>
          <w:iCs/>
          <w:lang w:val="en-CA"/>
        </w:rPr>
        <w:t>and he will not be lashed for this excommunication</w:t>
      </w:r>
      <w:r w:rsidRPr="00422B4A">
        <w:rPr>
          <w:rFonts w:asciiTheme="majorBidi" w:hAnsiTheme="majorBidi" w:cstheme="majorBidi"/>
          <w:lang w:val="en-CA"/>
        </w:rPr>
        <w:t xml:space="preserve"> </w:t>
      </w:r>
      <w:r w:rsidRPr="00DB0D4B">
        <w:rPr>
          <w:rFonts w:asciiTheme="majorBidi" w:hAnsiTheme="majorBidi" w:cstheme="majorBidi"/>
          <w:lang w:val="en-CA"/>
        </w:rPr>
        <w:t>rather we will separate ourselves from him</w:t>
      </w:r>
      <w:r w:rsidRPr="00422B4A">
        <w:rPr>
          <w:rFonts w:asciiTheme="majorBidi" w:hAnsiTheme="majorBidi" w:cstheme="majorBidi"/>
          <w:lang w:val="en-CA"/>
        </w:rPr>
        <w:t>”; Benyamin Zeev Responsa, 88: “</w:t>
      </w:r>
      <w:r w:rsidRPr="00422B4A">
        <w:rPr>
          <w:rFonts w:asciiTheme="majorBidi" w:hAnsiTheme="majorBidi" w:cstheme="majorBidi"/>
          <w:i/>
          <w:iCs/>
          <w:lang w:val="en-CA"/>
        </w:rPr>
        <w:t>It may be learnt from Rabbeinu Tam’s response that if he is not actually forced by imprisonment to give a get, but we refrain from helping him, it does not constitute coercion.”</w:t>
      </w:r>
      <w:r w:rsidRPr="00422B4A">
        <w:rPr>
          <w:rFonts w:asciiTheme="majorBidi" w:hAnsiTheme="majorBidi" w:cstheme="majorBidi"/>
          <w:lang w:val="en-CA"/>
        </w:rPr>
        <w:t>; Rabbi Eliyahu Alfandari, Seder Eliyahu Rabba U’Zuta, 13: “Rabbeinu Tam prohibited excommunication and permitted distancing, for grounds specified by Rabbeinu Ta</w:t>
      </w:r>
      <w:r w:rsidRPr="00286599">
        <w:rPr>
          <w:rFonts w:asciiTheme="majorBidi" w:hAnsiTheme="majorBidi" w:cstheme="majorBidi"/>
          <w:lang w:val="en-CA"/>
        </w:rPr>
        <w:t>m himself</w:t>
      </w:r>
      <w:r>
        <w:rPr>
          <w:rFonts w:asciiTheme="majorBidi" w:hAnsiTheme="majorBidi" w:cstheme="majorBidi"/>
          <w:lang w:val="en-CA"/>
        </w:rPr>
        <w:t>:</w:t>
      </w:r>
      <w:r w:rsidRPr="00286599">
        <w:rPr>
          <w:rFonts w:asciiTheme="majorBidi" w:hAnsiTheme="majorBidi" w:cstheme="majorBidi"/>
          <w:i/>
          <w:iCs/>
          <w:lang w:val="en-CA"/>
        </w:rPr>
        <w:t xml:space="preserve"> excommunication oppresses the husband’s body, like a smiting rod,</w:t>
      </w:r>
      <w:r>
        <w:rPr>
          <w:rFonts w:asciiTheme="majorBidi" w:hAnsiTheme="majorBidi" w:cstheme="majorBidi"/>
          <w:i/>
          <w:iCs/>
          <w:lang w:val="en-CA"/>
        </w:rPr>
        <w:t xml:space="preserve"> while</w:t>
      </w:r>
      <w:r w:rsidRPr="00286599">
        <w:rPr>
          <w:rFonts w:asciiTheme="majorBidi" w:hAnsiTheme="majorBidi" w:cstheme="majorBidi"/>
          <w:i/>
          <w:iCs/>
          <w:lang w:val="en-CA"/>
        </w:rPr>
        <w:t xml:space="preserve"> this distancing does not oppress the husband’s body</w:t>
      </w:r>
      <w:r w:rsidRPr="00286599">
        <w:rPr>
          <w:rFonts w:asciiTheme="majorBidi" w:hAnsiTheme="majorBidi" w:cstheme="majorBidi"/>
          <w:lang w:val="en-CA"/>
        </w:rPr>
        <w:t xml:space="preserve"> </w:t>
      </w:r>
      <w:r w:rsidRPr="0048112C">
        <w:rPr>
          <w:rFonts w:asciiTheme="majorBidi" w:hAnsiTheme="majorBidi" w:cstheme="majorBidi"/>
          <w:lang w:val="en-CA"/>
        </w:rPr>
        <w:t>rather we ourselves avoid conferring benefits upon that man”;</w:t>
      </w:r>
      <w:r w:rsidRPr="00286599">
        <w:rPr>
          <w:rFonts w:asciiTheme="majorBidi" w:hAnsiTheme="majorBidi" w:cstheme="majorBidi"/>
          <w:lang w:val="en-CA"/>
        </w:rPr>
        <w:t xml:space="preserve"> Biur HaGra, Ibid, 67: </w:t>
      </w:r>
      <w:r w:rsidRPr="00286599">
        <w:rPr>
          <w:rFonts w:asciiTheme="majorBidi" w:hAnsiTheme="majorBidi" w:cstheme="majorBidi"/>
          <w:i/>
          <w:iCs/>
          <w:lang w:val="en-CA"/>
        </w:rPr>
        <w:t>“and so long as we do not act on his body, it is not considered oppression</w:t>
      </w:r>
      <w:r>
        <w:rPr>
          <w:rFonts w:asciiTheme="majorBidi" w:hAnsiTheme="majorBidi" w:cstheme="majorBidi"/>
          <w:lang w:val="en-CA"/>
        </w:rPr>
        <w:t>.</w:t>
      </w:r>
      <w:r w:rsidRPr="00286599">
        <w:rPr>
          <w:rFonts w:asciiTheme="majorBidi" w:hAnsiTheme="majorBidi" w:cstheme="majorBidi"/>
          <w:lang w:val="en-CA"/>
        </w:rPr>
        <w:t xml:space="preserve">” </w:t>
      </w:r>
    </w:p>
    <w:bookmarkEnd w:id="26"/>
    <w:p w14:paraId="2EB1F560" w14:textId="77777777" w:rsidR="00F255EE" w:rsidRPr="00286599" w:rsidRDefault="00F255EE" w:rsidP="00F255EE">
      <w:pPr>
        <w:pStyle w:val="a7"/>
        <w:jc w:val="right"/>
        <w:rPr>
          <w:rFonts w:asciiTheme="majorBidi" w:hAnsiTheme="majorBidi" w:cstheme="majorBidi"/>
          <w:rtl/>
          <w:lang w:val="en-CA"/>
        </w:rPr>
      </w:pPr>
    </w:p>
  </w:endnote>
  <w:endnote w:id="65">
    <w:p w14:paraId="7C1F2D3A" w14:textId="6A900420" w:rsidR="00F255EE" w:rsidRPr="00286599" w:rsidRDefault="00F255EE" w:rsidP="00F255EE">
      <w:pPr>
        <w:jc w:val="both"/>
        <w:rPr>
          <w:rFonts w:asciiTheme="majorBidi" w:hAnsiTheme="majorBidi" w:cstheme="majorBidi" w:hint="cs"/>
          <w:sz w:val="20"/>
          <w:szCs w:val="20"/>
          <w:rtl/>
        </w:rPr>
      </w:pPr>
      <w:r w:rsidRPr="00286599">
        <w:rPr>
          <w:rStyle w:val="a9"/>
          <w:sz w:val="20"/>
          <w:szCs w:val="20"/>
        </w:rPr>
        <w:endnoteRef/>
      </w:r>
      <w:r w:rsidRPr="00286599">
        <w:rPr>
          <w:rFonts w:asciiTheme="majorBidi" w:hAnsiTheme="majorBidi" w:cstheme="majorBidi"/>
          <w:sz w:val="20"/>
          <w:szCs w:val="20"/>
        </w:rPr>
        <w:t xml:space="preserve"> Maharik Responsa, 135 explains that imposing the RTDR on the recalcitrant husband is possible </w:t>
      </w:r>
      <w:r w:rsidRPr="00F30F63">
        <w:rPr>
          <w:rFonts w:asciiTheme="majorBidi" w:hAnsiTheme="majorBidi" w:cstheme="majorBidi"/>
          <w:sz w:val="20"/>
          <w:szCs w:val="20"/>
        </w:rPr>
        <w:t>even in cases wherein by law it is not possible to coerce him to divorce</w:t>
      </w:r>
      <w:r w:rsidRPr="00286599">
        <w:rPr>
          <w:rFonts w:asciiTheme="majorBidi" w:hAnsiTheme="majorBidi" w:cstheme="majorBidi"/>
          <w:sz w:val="20"/>
          <w:szCs w:val="20"/>
        </w:rPr>
        <w:t xml:space="preserve">, since “If he wishes he will find himself a place.”  This is also mentioned in the Beit Yosef, Even Ha-Ezer, 154, </w:t>
      </w:r>
      <w:r w:rsidRPr="00CA0D3D">
        <w:rPr>
          <w:rFonts w:asciiTheme="majorBidi" w:hAnsiTheme="majorBidi" w:cstheme="majorBidi"/>
          <w:sz w:val="20"/>
          <w:szCs w:val="20"/>
        </w:rPr>
        <w:t>in the name of Rabbi Meir Hacohen</w:t>
      </w:r>
      <w:r w:rsidR="0048112C">
        <w:rPr>
          <w:rFonts w:asciiTheme="majorBidi" w:hAnsiTheme="majorBidi" w:cstheme="majorBidi"/>
          <w:sz w:val="20"/>
          <w:szCs w:val="20"/>
        </w:rPr>
        <w:t>;</w:t>
      </w:r>
      <w:r w:rsidRPr="00286599">
        <w:rPr>
          <w:rFonts w:asciiTheme="majorBidi" w:hAnsiTheme="majorBidi" w:cstheme="majorBidi"/>
          <w:sz w:val="20"/>
          <w:szCs w:val="20"/>
        </w:rPr>
        <w:t xml:space="preserve"> </w:t>
      </w:r>
      <w:proofErr w:type="spellStart"/>
      <w:r w:rsidRPr="00286599">
        <w:rPr>
          <w:rFonts w:asciiTheme="majorBidi" w:hAnsiTheme="majorBidi" w:cstheme="majorBidi"/>
          <w:sz w:val="20"/>
          <w:szCs w:val="20"/>
        </w:rPr>
        <w:t>Maharshadam</w:t>
      </w:r>
      <w:proofErr w:type="spellEnd"/>
      <w:r w:rsidRPr="00286599">
        <w:rPr>
          <w:rFonts w:asciiTheme="majorBidi" w:hAnsiTheme="majorBidi" w:cstheme="majorBidi"/>
          <w:sz w:val="20"/>
          <w:szCs w:val="20"/>
        </w:rPr>
        <w:t xml:space="preserve"> responsa, </w:t>
      </w:r>
      <w:proofErr w:type="spellStart"/>
      <w:r w:rsidRPr="00286599">
        <w:rPr>
          <w:rFonts w:asciiTheme="majorBidi" w:hAnsiTheme="majorBidi" w:cstheme="majorBidi"/>
          <w:sz w:val="20"/>
          <w:szCs w:val="20"/>
        </w:rPr>
        <w:t>Yoreh</w:t>
      </w:r>
      <w:proofErr w:type="spellEnd"/>
      <w:r w:rsidRPr="00286599">
        <w:rPr>
          <w:rFonts w:asciiTheme="majorBidi" w:hAnsiTheme="majorBidi" w:cstheme="majorBidi"/>
          <w:sz w:val="20"/>
          <w:szCs w:val="20"/>
        </w:rPr>
        <w:t xml:space="preserve"> De’ah, 132: “There is no compulsion since he can go elsewhere.”</w:t>
      </w:r>
      <w:r>
        <w:rPr>
          <w:rFonts w:asciiTheme="majorBidi" w:hAnsiTheme="majorBidi" w:cstheme="majorBidi"/>
          <w:sz w:val="20"/>
          <w:szCs w:val="20"/>
        </w:rPr>
        <w:t>;</w:t>
      </w:r>
      <w:r w:rsidRPr="00286599">
        <w:rPr>
          <w:rFonts w:asciiTheme="majorBidi" w:hAnsiTheme="majorBidi" w:cstheme="majorBidi"/>
          <w:sz w:val="20"/>
          <w:szCs w:val="20"/>
        </w:rPr>
        <w:t xml:space="preserve"> Bi’ur HaGra ibid., 67</w:t>
      </w:r>
      <w:r w:rsidRPr="00286599">
        <w:rPr>
          <w:rFonts w:asciiTheme="majorBidi" w:hAnsiTheme="majorBidi" w:cstheme="majorBidi"/>
          <w:b/>
          <w:bCs/>
          <w:sz w:val="20"/>
          <w:szCs w:val="20"/>
        </w:rPr>
        <w:t xml:space="preserve">: </w:t>
      </w:r>
      <w:r w:rsidRPr="00286599">
        <w:rPr>
          <w:rFonts w:asciiTheme="majorBidi" w:hAnsiTheme="majorBidi" w:cstheme="majorBidi"/>
          <w:sz w:val="20"/>
          <w:szCs w:val="20"/>
        </w:rPr>
        <w:t>“And in any event –</w:t>
      </w:r>
      <w:r w:rsidRPr="00286599">
        <w:rPr>
          <w:rFonts w:asciiTheme="majorBidi" w:hAnsiTheme="majorBidi" w:cstheme="majorBidi"/>
          <w:i/>
          <w:iCs/>
          <w:sz w:val="20"/>
          <w:szCs w:val="20"/>
        </w:rPr>
        <w:t>he can be saved from RTDR by going to another town</w:t>
      </w:r>
      <w:r w:rsidRPr="00286599">
        <w:rPr>
          <w:rFonts w:asciiTheme="majorBidi" w:hAnsiTheme="majorBidi" w:cstheme="majorBidi"/>
          <w:b/>
          <w:bCs/>
          <w:sz w:val="20"/>
          <w:szCs w:val="20"/>
        </w:rPr>
        <w:t>.”;</w:t>
      </w:r>
      <w:r w:rsidRPr="00286599">
        <w:rPr>
          <w:rFonts w:asciiTheme="majorBidi" w:hAnsiTheme="majorBidi" w:cstheme="majorBidi"/>
          <w:sz w:val="20"/>
          <w:szCs w:val="20"/>
        </w:rPr>
        <w:t xml:space="preserve"> Rabbi Ovadiah Yosef, Yabia Omer Responsa, 8, Even Ha-Ezer, 25 points to various jurists who viewed the refuser’s freedom of mobility as an indication that he is not being forced to give a get when subject to </w:t>
      </w:r>
      <w:r w:rsidRPr="00286599">
        <w:rPr>
          <w:rFonts w:asciiTheme="majorBidi" w:hAnsiTheme="majorBidi" w:cstheme="majorBidi"/>
          <w:i/>
          <w:iCs/>
          <w:sz w:val="20"/>
          <w:szCs w:val="20"/>
        </w:rPr>
        <w:t>RTDR;</w:t>
      </w:r>
      <w:r w:rsidRPr="00286599">
        <w:rPr>
          <w:rFonts w:asciiTheme="majorBidi" w:hAnsiTheme="majorBidi" w:cstheme="majorBidi"/>
          <w:sz w:val="20"/>
          <w:szCs w:val="20"/>
        </w:rPr>
        <w:t xml:space="preserve"> Rabbi Yosef Goldberg</w:t>
      </w:r>
      <w:r w:rsidR="00ED0208">
        <w:rPr>
          <w:rFonts w:asciiTheme="majorBidi" w:hAnsiTheme="majorBidi" w:cstheme="majorBidi"/>
          <w:sz w:val="20"/>
          <w:szCs w:val="20"/>
        </w:rPr>
        <w:t xml:space="preserve">, </w:t>
      </w:r>
      <w:r w:rsidR="00ED0208" w:rsidRPr="00ED0208">
        <w:rPr>
          <w:rFonts w:asciiTheme="majorBidi" w:hAnsiTheme="majorBidi" w:cstheme="majorBidi"/>
          <w:sz w:val="20"/>
          <w:szCs w:val="20"/>
        </w:rPr>
        <w:t>“Distancing Rules,” 265-334</w:t>
      </w:r>
      <w:r w:rsidRPr="001120B1">
        <w:rPr>
          <w:rFonts w:asciiTheme="majorBidi" w:hAnsiTheme="majorBidi" w:cstheme="majorBidi"/>
          <w:sz w:val="20"/>
          <w:szCs w:val="20"/>
        </w:rPr>
        <w:t>, considered freedom of movement to be a necessary condition to avoid coercion which is why he thought</w:t>
      </w:r>
      <w:r w:rsidRPr="00286599">
        <w:rPr>
          <w:rFonts w:asciiTheme="majorBidi" w:hAnsiTheme="majorBidi" w:cstheme="majorBidi"/>
          <w:sz w:val="20"/>
          <w:szCs w:val="20"/>
        </w:rPr>
        <w:t xml:space="preserve"> a sweeping injunction against leaving the country should not be imposed in every case of refusal, as if the refuser is required to travel abroad </w:t>
      </w:r>
      <w:r w:rsidR="00436ED9">
        <w:rPr>
          <w:rFonts w:asciiTheme="majorBidi" w:hAnsiTheme="majorBidi" w:cstheme="majorBidi"/>
          <w:sz w:val="20"/>
          <w:szCs w:val="20"/>
        </w:rPr>
        <w:t xml:space="preserve">for work </w:t>
      </w:r>
      <w:r w:rsidRPr="00286599">
        <w:rPr>
          <w:rFonts w:asciiTheme="majorBidi" w:hAnsiTheme="majorBidi" w:cstheme="majorBidi"/>
          <w:sz w:val="20"/>
          <w:szCs w:val="20"/>
        </w:rPr>
        <w:t xml:space="preserve">or for the sake of his health, such a denial by virtue of the 1995 sanctions based on the </w:t>
      </w:r>
      <w:r w:rsidRPr="00286599">
        <w:rPr>
          <w:rFonts w:asciiTheme="majorBidi" w:hAnsiTheme="majorBidi" w:cstheme="majorBidi"/>
          <w:i/>
          <w:iCs/>
          <w:sz w:val="20"/>
          <w:szCs w:val="20"/>
        </w:rPr>
        <w:t>RTDR</w:t>
      </w:r>
      <w:r w:rsidRPr="00286599">
        <w:rPr>
          <w:rFonts w:asciiTheme="majorBidi" w:hAnsiTheme="majorBidi" w:cstheme="majorBidi"/>
          <w:sz w:val="20"/>
          <w:szCs w:val="20"/>
        </w:rPr>
        <w:t xml:space="preserve"> become coercive in these specific circumstances and void the get. </w:t>
      </w:r>
    </w:p>
  </w:endnote>
  <w:endnote w:id="66">
    <w:p w14:paraId="5317039A" w14:textId="31FB3484" w:rsidR="00F255EE" w:rsidRPr="00286599" w:rsidRDefault="00F255EE" w:rsidP="003F61D6">
      <w:pPr>
        <w:jc w:val="both"/>
        <w:rPr>
          <w:rFonts w:asciiTheme="majorBidi" w:hAnsiTheme="majorBidi" w:cstheme="majorBidi"/>
          <w:sz w:val="20"/>
          <w:szCs w:val="20"/>
          <w:rtl/>
        </w:rPr>
      </w:pPr>
      <w:r w:rsidRPr="00286599">
        <w:rPr>
          <w:rFonts w:asciiTheme="majorBidi" w:hAnsiTheme="majorBidi" w:cstheme="majorBidi"/>
          <w:b/>
          <w:bCs/>
          <w:sz w:val="20"/>
          <w:szCs w:val="20"/>
          <w:rtl/>
        </w:rPr>
        <w:t xml:space="preserve"> </w:t>
      </w:r>
      <w:r w:rsidRPr="00286599">
        <w:rPr>
          <w:rFonts w:asciiTheme="majorBidi" w:hAnsiTheme="majorBidi" w:cstheme="majorBidi"/>
          <w:sz w:val="20"/>
          <w:szCs w:val="20"/>
        </w:rPr>
        <w:t xml:space="preserve"> </w:t>
      </w: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Rabbeinu Tam,</w:t>
      </w:r>
      <w:r w:rsidRPr="00286599">
        <w:rPr>
          <w:rFonts w:asciiTheme="majorBidi" w:hAnsiTheme="majorBidi" w:cstheme="majorBidi"/>
          <w:color w:val="000000" w:themeColor="text1"/>
          <w:sz w:val="20"/>
          <w:szCs w:val="20"/>
        </w:rPr>
        <w:t xml:space="preserve"> above n. 20</w:t>
      </w:r>
      <w:r w:rsidRPr="00286599">
        <w:rPr>
          <w:rFonts w:asciiTheme="majorBidi" w:hAnsiTheme="majorBidi" w:cstheme="majorBidi"/>
          <w:sz w:val="20"/>
          <w:szCs w:val="20"/>
        </w:rPr>
        <w:t xml:space="preserve"> : “Decree a severe oath </w:t>
      </w:r>
      <w:r w:rsidRPr="00286599">
        <w:rPr>
          <w:rFonts w:asciiTheme="majorBidi" w:hAnsiTheme="majorBidi" w:cstheme="majorBidi"/>
          <w:i/>
          <w:iCs/>
          <w:sz w:val="20"/>
          <w:szCs w:val="20"/>
        </w:rPr>
        <w:t>on each and every man and woman of Israel that they not be permitted to speak with him</w:t>
      </w:r>
      <w:r w:rsidRPr="00286599">
        <w:rPr>
          <w:rFonts w:asciiTheme="majorBidi" w:hAnsiTheme="majorBidi" w:cstheme="majorBidi"/>
          <w:b/>
          <w:bCs/>
          <w:sz w:val="20"/>
          <w:szCs w:val="20"/>
        </w:rPr>
        <w:t xml:space="preserve"> …</w:t>
      </w:r>
      <w:r w:rsidRPr="00286599">
        <w:rPr>
          <w:rFonts w:asciiTheme="majorBidi" w:hAnsiTheme="majorBidi" w:cstheme="majorBidi"/>
          <w:sz w:val="20"/>
          <w:szCs w:val="20"/>
        </w:rPr>
        <w:t xml:space="preserve">, rather </w:t>
      </w:r>
      <w:r w:rsidRPr="00286599">
        <w:rPr>
          <w:rFonts w:asciiTheme="majorBidi" w:hAnsiTheme="majorBidi" w:cstheme="majorBidi"/>
          <w:i/>
          <w:iCs/>
          <w:sz w:val="20"/>
          <w:szCs w:val="20"/>
        </w:rPr>
        <w:t>we will separate ourselves from him</w:t>
      </w:r>
      <w:r w:rsidRPr="00286599">
        <w:rPr>
          <w:rFonts w:asciiTheme="majorBidi" w:hAnsiTheme="majorBidi" w:cstheme="majorBidi"/>
          <w:sz w:val="20"/>
          <w:szCs w:val="20"/>
        </w:rPr>
        <w:t>.”; Maharik Responsa, 135: “</w:t>
      </w:r>
      <w:r w:rsidRPr="00286599">
        <w:rPr>
          <w:rFonts w:asciiTheme="majorBidi" w:hAnsiTheme="majorBidi" w:cstheme="majorBidi"/>
          <w:i/>
          <w:iCs/>
          <w:sz w:val="20"/>
          <w:szCs w:val="20"/>
        </w:rPr>
        <w:t>That each person shall not be permitted to speak</w:t>
      </w:r>
      <w:r w:rsidRPr="00286599">
        <w:rPr>
          <w:rFonts w:asciiTheme="majorBidi" w:hAnsiTheme="majorBidi" w:cstheme="majorBidi"/>
          <w:sz w:val="20"/>
          <w:szCs w:val="20"/>
        </w:rPr>
        <w:t xml:space="preserve">…”; Knesset Hagedolah, 154; Beit Yosef, Even Ha-Ezer, 154 in the name of Rabbi Meir Hacohen; Rabbi Eliyahu Alfandari, Seder Eliyahu Rabbah Vezuta, 13 </w:t>
      </w:r>
      <w:r w:rsidRPr="00C55A18">
        <w:rPr>
          <w:rFonts w:asciiTheme="majorBidi" w:hAnsiTheme="majorBidi" w:cstheme="majorBidi"/>
          <w:sz w:val="20"/>
          <w:szCs w:val="20"/>
        </w:rPr>
        <w:t xml:space="preserve">brings it as the first of two arguments why </w:t>
      </w:r>
      <w:r w:rsidRPr="00C55A18">
        <w:rPr>
          <w:rFonts w:asciiTheme="majorBidi" w:hAnsiTheme="majorBidi" w:cstheme="majorBidi"/>
          <w:i/>
          <w:iCs/>
          <w:sz w:val="20"/>
          <w:szCs w:val="20"/>
        </w:rPr>
        <w:t>harhakot</w:t>
      </w:r>
      <w:r w:rsidRPr="00C55A18">
        <w:rPr>
          <w:rFonts w:asciiTheme="majorBidi" w:hAnsiTheme="majorBidi" w:cstheme="majorBidi"/>
          <w:sz w:val="20"/>
          <w:szCs w:val="20"/>
        </w:rPr>
        <w:t xml:space="preserve"> are not like excommunication, and are therefore not considered coercion:</w:t>
      </w:r>
      <w:r w:rsidRPr="00286599">
        <w:rPr>
          <w:rFonts w:asciiTheme="majorBidi" w:hAnsiTheme="majorBidi" w:cstheme="majorBidi"/>
          <w:sz w:val="20"/>
          <w:szCs w:val="20"/>
        </w:rPr>
        <w:t xml:space="preserve"> As opposed to banning which afflicts the body of the husband, with </w:t>
      </w:r>
      <w:r w:rsidRPr="00286599">
        <w:rPr>
          <w:rFonts w:asciiTheme="majorBidi" w:hAnsiTheme="majorBidi" w:cstheme="majorBidi"/>
          <w:i/>
          <w:iCs/>
          <w:sz w:val="20"/>
          <w:szCs w:val="20"/>
        </w:rPr>
        <w:t>RTDR</w:t>
      </w:r>
      <w:r w:rsidRPr="00286599">
        <w:rPr>
          <w:rFonts w:asciiTheme="majorBidi" w:hAnsiTheme="majorBidi" w:cstheme="majorBidi"/>
          <w:sz w:val="20"/>
          <w:szCs w:val="20"/>
        </w:rPr>
        <w:t>, “</w:t>
      </w:r>
      <w:r w:rsidRPr="00286599">
        <w:rPr>
          <w:rFonts w:asciiTheme="majorBidi" w:hAnsiTheme="majorBidi" w:cstheme="majorBidi"/>
          <w:i/>
          <w:iCs/>
          <w:sz w:val="20"/>
          <w:szCs w:val="20"/>
        </w:rPr>
        <w:t>We ourselves fence our paths with stone not to benefit that man</w:t>
      </w:r>
      <w:r w:rsidR="00CA0D3D" w:rsidRPr="00286599">
        <w:rPr>
          <w:rFonts w:asciiTheme="majorBidi" w:hAnsiTheme="majorBidi" w:cstheme="majorBidi"/>
          <w:sz w:val="20"/>
          <w:szCs w:val="20"/>
        </w:rPr>
        <w:t>”</w:t>
      </w:r>
      <w:r w:rsidRPr="00286599">
        <w:rPr>
          <w:rFonts w:asciiTheme="majorBidi" w:hAnsiTheme="majorBidi" w:cstheme="majorBidi"/>
          <w:sz w:val="20"/>
          <w:szCs w:val="20"/>
        </w:rPr>
        <w:t xml:space="preserve">. </w:t>
      </w:r>
    </w:p>
  </w:endnote>
  <w:endnote w:id="67">
    <w:p w14:paraId="34F21CC3" w14:textId="77777777" w:rsidR="00F255EE" w:rsidRPr="00286599" w:rsidRDefault="00F255EE" w:rsidP="00F255EE">
      <w:pPr>
        <w:pStyle w:val="a7"/>
        <w:jc w:val="right"/>
        <w:rPr>
          <w:rFonts w:asciiTheme="majorBidi" w:hAnsiTheme="majorBidi" w:cstheme="majorBidi"/>
          <w:b/>
          <w:bCs/>
          <w:rtl/>
        </w:rPr>
      </w:pPr>
      <w:r w:rsidRPr="00286599">
        <w:rPr>
          <w:rStyle w:val="a9"/>
        </w:rPr>
        <w:endnoteRef/>
      </w:r>
      <w:r>
        <w:rPr>
          <w:rFonts w:asciiTheme="majorBidi" w:hAnsiTheme="majorBidi" w:cstheme="majorBidi" w:hint="cs"/>
          <w:lang w:val="en-CA"/>
        </w:rPr>
        <w:t>S</w:t>
      </w:r>
      <w:r w:rsidRPr="00286599">
        <w:rPr>
          <w:rFonts w:asciiTheme="majorBidi" w:hAnsiTheme="majorBidi" w:cstheme="majorBidi"/>
          <w:lang w:val="en-CA"/>
        </w:rPr>
        <w:t xml:space="preserve">ee </w:t>
      </w:r>
      <w:proofErr w:type="spellStart"/>
      <w:r w:rsidRPr="00286599">
        <w:rPr>
          <w:rFonts w:asciiTheme="majorBidi" w:hAnsiTheme="majorBidi" w:cstheme="majorBidi"/>
        </w:rPr>
        <w:t>Zoldan</w:t>
      </w:r>
      <w:proofErr w:type="spellEnd"/>
      <w:r w:rsidRPr="00286599">
        <w:rPr>
          <w:rFonts w:asciiTheme="majorBidi" w:hAnsiTheme="majorBidi" w:cstheme="majorBidi"/>
        </w:rPr>
        <w:t>, “Public Shaming</w:t>
      </w:r>
      <w:r>
        <w:rPr>
          <w:rFonts w:asciiTheme="majorBidi" w:hAnsiTheme="majorBidi" w:cstheme="majorBidi"/>
          <w:lang w:val="en-CA"/>
        </w:rPr>
        <w:t>, 294-306</w:t>
      </w:r>
    </w:p>
    <w:p w14:paraId="47463B4F" w14:textId="77777777" w:rsidR="00F255EE" w:rsidRPr="00286599" w:rsidRDefault="00F255EE" w:rsidP="00F255EE">
      <w:pPr>
        <w:pStyle w:val="a7"/>
        <w:jc w:val="right"/>
        <w:rPr>
          <w:rFonts w:asciiTheme="majorBidi" w:hAnsiTheme="majorBidi" w:cstheme="majorBidi"/>
          <w:lang w:val="en-CA"/>
        </w:rPr>
      </w:pPr>
      <w:r w:rsidRPr="00286599">
        <w:t xml:space="preserve"> </w:t>
      </w:r>
      <w:r w:rsidRPr="00286599">
        <w:rPr>
          <w:rFonts w:asciiTheme="majorBidi" w:hAnsiTheme="majorBidi" w:cstheme="majorBidi"/>
          <w:rtl/>
        </w:rPr>
        <w:t xml:space="preserve"> </w:t>
      </w:r>
    </w:p>
  </w:endnote>
  <w:endnote w:id="68">
    <w:p w14:paraId="6C5E10B3" w14:textId="2E6A4870" w:rsidR="00F255EE" w:rsidRPr="00286599" w:rsidRDefault="00F255EE" w:rsidP="00C55A18">
      <w:pPr>
        <w:pStyle w:val="a7"/>
        <w:bidi w:val="0"/>
        <w:jc w:val="both"/>
        <w:rPr>
          <w:rFonts w:asciiTheme="majorBidi" w:hAnsiTheme="majorBidi" w:cstheme="majorBidi"/>
          <w:rtl/>
        </w:rPr>
      </w:pPr>
      <w:r w:rsidRPr="00286599">
        <w:rPr>
          <w:rStyle w:val="a9"/>
          <w:rFonts w:asciiTheme="majorBidi" w:hAnsiTheme="majorBidi" w:cstheme="majorBidi"/>
        </w:rPr>
        <w:endnoteRef/>
      </w:r>
      <w:r w:rsidRPr="00286599">
        <w:rPr>
          <w:rFonts w:asciiTheme="majorBidi" w:hAnsiTheme="majorBidi" w:cstheme="majorBidi"/>
        </w:rPr>
        <w:t xml:space="preserve"> </w:t>
      </w:r>
      <w:r>
        <w:rPr>
          <w:rFonts w:asciiTheme="majorBidi" w:hAnsiTheme="majorBidi" w:cstheme="majorBidi"/>
        </w:rPr>
        <w:t>D</w:t>
      </w:r>
      <w:r w:rsidRPr="00286599">
        <w:rPr>
          <w:rFonts w:asciiTheme="majorBidi" w:hAnsiTheme="majorBidi" w:cstheme="majorBidi"/>
        </w:rPr>
        <w:t xml:space="preserve">enying benefits is feature of all the </w:t>
      </w:r>
      <w:r w:rsidRPr="00286599">
        <w:rPr>
          <w:rFonts w:asciiTheme="majorBidi" w:hAnsiTheme="majorBidi" w:cstheme="majorBidi"/>
          <w:i/>
          <w:iCs/>
        </w:rPr>
        <w:t>RTDR</w:t>
      </w:r>
      <w:r w:rsidRPr="00286599">
        <w:rPr>
          <w:rFonts w:asciiTheme="majorBidi" w:hAnsiTheme="majorBidi" w:cstheme="majorBidi"/>
        </w:rPr>
        <w:t>– not to speak with him, not to negotiate with him, conduct business with him, etc.</w:t>
      </w:r>
      <w:r w:rsidR="00AD5DD6">
        <w:rPr>
          <w:rFonts w:asciiTheme="majorBidi" w:hAnsiTheme="majorBidi" w:cstheme="majorBidi"/>
        </w:rPr>
        <w:t>:</w:t>
      </w:r>
      <w:r w:rsidRPr="00286599">
        <w:rPr>
          <w:rFonts w:asciiTheme="majorBidi" w:hAnsiTheme="majorBidi" w:cstheme="majorBidi"/>
        </w:rPr>
        <w:t xml:space="preserve"> Mordecai on Gittin, Hagahot Mordechi, 456; 469: “Rabbeinu Tam also said that if a man betrothed a woman and she does not wish it, he should not be forced to divorce but if he is caught for tax or something else, they can tell him we will not help you to leave your captivity until you inasmuch as  divorce that this is not coercion, as nothing is done to him, only people avoid helping him.” “Denial of a favor” is emphasized and stressed in particular in the Maharik responsa, 135, which describes the RTDR and adds the prohibition not to “profit him anything”</w:t>
      </w:r>
      <w:r w:rsidRPr="00286599">
        <w:rPr>
          <w:rFonts w:asciiTheme="majorBidi" w:hAnsiTheme="majorBidi" w:cstheme="majorBidi"/>
          <w:i/>
          <w:iCs/>
        </w:rPr>
        <w:t xml:space="preserve"> (leharvico)</w:t>
      </w:r>
      <w:r w:rsidRPr="00286599">
        <w:rPr>
          <w:rFonts w:asciiTheme="majorBidi" w:hAnsiTheme="majorBidi" w:cstheme="majorBidi"/>
        </w:rPr>
        <w:t xml:space="preserve">; Binyamin </w:t>
      </w:r>
      <w:proofErr w:type="spellStart"/>
      <w:r w:rsidRPr="00286599">
        <w:rPr>
          <w:rFonts w:asciiTheme="majorBidi" w:hAnsiTheme="majorBidi" w:cstheme="majorBidi"/>
        </w:rPr>
        <w:t>Zeev</w:t>
      </w:r>
      <w:proofErr w:type="spellEnd"/>
      <w:r w:rsidRPr="00286599">
        <w:rPr>
          <w:rFonts w:asciiTheme="majorBidi" w:hAnsiTheme="majorBidi" w:cstheme="majorBidi"/>
        </w:rPr>
        <w:t xml:space="preserve"> responsa, 88</w:t>
      </w:r>
      <w:r w:rsidRPr="0048112C">
        <w:rPr>
          <w:rFonts w:asciiTheme="majorBidi" w:hAnsiTheme="majorBidi" w:cstheme="majorBidi"/>
          <w:b/>
          <w:bCs/>
        </w:rPr>
        <w:t>:</w:t>
      </w:r>
      <w:r w:rsidRPr="0048112C">
        <w:rPr>
          <w:rFonts w:asciiTheme="majorBidi" w:hAnsiTheme="majorBidi" w:cstheme="majorBidi"/>
        </w:rPr>
        <w:t xml:space="preserve"> “…</w:t>
      </w:r>
      <w:r w:rsidRPr="00286599">
        <w:rPr>
          <w:rFonts w:asciiTheme="majorBidi" w:hAnsiTheme="majorBidi" w:cstheme="majorBidi"/>
          <w:i/>
          <w:iCs/>
        </w:rPr>
        <w:t>if they stand aside and do not help him, this is not coercion</w:t>
      </w:r>
      <w:r>
        <w:rPr>
          <w:rFonts w:asciiTheme="majorBidi" w:hAnsiTheme="majorBidi" w:cstheme="majorBidi"/>
        </w:rPr>
        <w:t>”</w:t>
      </w:r>
      <w:r w:rsidRPr="00286599">
        <w:rPr>
          <w:rFonts w:asciiTheme="majorBidi" w:hAnsiTheme="majorBidi" w:cstheme="majorBidi"/>
          <w:i/>
          <w:iCs/>
        </w:rPr>
        <w:t>; Knesset Hagedolah, Even Ha-Ezer, 154 in the name of Binyamin Zeev:</w:t>
      </w:r>
      <w:r w:rsidRPr="00286599">
        <w:rPr>
          <w:rFonts w:asciiTheme="majorBidi" w:hAnsiTheme="majorBidi" w:cstheme="majorBidi"/>
        </w:rPr>
        <w:t xml:space="preserve"> …</w:t>
      </w:r>
      <w:r w:rsidRPr="00286599">
        <w:rPr>
          <w:rFonts w:asciiTheme="majorBidi" w:hAnsiTheme="majorBidi" w:cstheme="majorBidi"/>
          <w:i/>
          <w:iCs/>
        </w:rPr>
        <w:t>and not confer any favors upon him”; Rabbi Eliyahu Alfandari, Seder Eliyahu Rabbah Vezuta, 13: “We ourselves fence our paths with stone to not benefit that man</w:t>
      </w:r>
      <w:r w:rsidRPr="00286599">
        <w:rPr>
          <w:rFonts w:asciiTheme="majorBidi" w:hAnsiTheme="majorBidi" w:cstheme="majorBidi"/>
        </w:rPr>
        <w:t>…“</w:t>
      </w:r>
      <w:r w:rsidRPr="00286599">
        <w:rPr>
          <w:rFonts w:asciiTheme="majorBidi" w:hAnsiTheme="majorBidi" w:cstheme="majorBidi"/>
          <w:i/>
          <w:iCs/>
        </w:rPr>
        <w:t xml:space="preserve"> and one of the reasons the distancing measures</w:t>
      </w:r>
      <w:r w:rsidR="0048112C">
        <w:rPr>
          <w:rFonts w:asciiTheme="majorBidi" w:hAnsiTheme="majorBidi" w:cstheme="majorBidi"/>
          <w:i/>
          <w:iCs/>
        </w:rPr>
        <w:t xml:space="preserve"> </w:t>
      </w:r>
      <w:r w:rsidRPr="00286599">
        <w:rPr>
          <w:rFonts w:asciiTheme="majorBidi" w:hAnsiTheme="majorBidi" w:cstheme="majorBidi"/>
          <w:i/>
          <w:iCs/>
        </w:rPr>
        <w:t>are not considered coercion is that “excommunication is considered an active evil, while distancing [</w:t>
      </w:r>
      <w:proofErr w:type="spellStart"/>
      <w:r w:rsidRPr="00286599">
        <w:rPr>
          <w:rFonts w:asciiTheme="majorBidi" w:hAnsiTheme="majorBidi" w:cstheme="majorBidi"/>
          <w:i/>
          <w:iCs/>
        </w:rPr>
        <w:t>harhakah</w:t>
      </w:r>
      <w:proofErr w:type="spellEnd"/>
      <w:r w:rsidRPr="00286599">
        <w:rPr>
          <w:rFonts w:asciiTheme="majorBidi" w:hAnsiTheme="majorBidi" w:cstheme="majorBidi"/>
          <w:i/>
          <w:iCs/>
        </w:rPr>
        <w:t>] is denying benefits</w:t>
      </w:r>
      <w:r w:rsidR="00D828CA">
        <w:rPr>
          <w:rFonts w:asciiTheme="majorBidi" w:hAnsiTheme="majorBidi" w:cstheme="majorBidi"/>
          <w:i/>
          <w:iCs/>
        </w:rPr>
        <w:t>.</w:t>
      </w:r>
      <w:r w:rsidRPr="00286599">
        <w:rPr>
          <w:rFonts w:asciiTheme="majorBidi" w:hAnsiTheme="majorBidi" w:cstheme="majorBidi"/>
          <w:i/>
          <w:iCs/>
        </w:rPr>
        <w:t xml:space="preserve">”; Rema on Shulchan </w:t>
      </w:r>
      <w:proofErr w:type="spellStart"/>
      <w:r w:rsidRPr="00286599">
        <w:rPr>
          <w:rFonts w:asciiTheme="majorBidi" w:hAnsiTheme="majorBidi" w:cstheme="majorBidi"/>
          <w:i/>
          <w:iCs/>
        </w:rPr>
        <w:t>Aruch</w:t>
      </w:r>
      <w:proofErr w:type="spellEnd"/>
      <w:r w:rsidRPr="00286599">
        <w:rPr>
          <w:rFonts w:asciiTheme="majorBidi" w:hAnsiTheme="majorBidi" w:cstheme="majorBidi"/>
          <w:i/>
          <w:iCs/>
        </w:rPr>
        <w:t>, Even Ha-</w:t>
      </w:r>
      <w:proofErr w:type="spellStart"/>
      <w:r w:rsidRPr="00286599">
        <w:rPr>
          <w:rFonts w:asciiTheme="majorBidi" w:hAnsiTheme="majorBidi" w:cstheme="majorBidi"/>
          <w:i/>
          <w:iCs/>
        </w:rPr>
        <w:t>Ezer</w:t>
      </w:r>
      <w:proofErr w:type="spellEnd"/>
      <w:r w:rsidRPr="00286599">
        <w:rPr>
          <w:rFonts w:asciiTheme="majorBidi" w:hAnsiTheme="majorBidi" w:cstheme="majorBidi"/>
          <w:i/>
          <w:iCs/>
        </w:rPr>
        <w:t xml:space="preserve">, </w:t>
      </w:r>
      <w:proofErr w:type="spellStart"/>
      <w:r w:rsidRPr="00286599">
        <w:rPr>
          <w:rFonts w:asciiTheme="majorBidi" w:hAnsiTheme="majorBidi" w:cstheme="majorBidi"/>
          <w:i/>
          <w:iCs/>
        </w:rPr>
        <w:t>Gittin</w:t>
      </w:r>
      <w:proofErr w:type="spellEnd"/>
      <w:r w:rsidRPr="00286599">
        <w:rPr>
          <w:rFonts w:asciiTheme="majorBidi" w:hAnsiTheme="majorBidi" w:cstheme="majorBidi"/>
          <w:i/>
          <w:iCs/>
        </w:rPr>
        <w:t>, 154, 21</w:t>
      </w:r>
      <w:r w:rsidR="00C55A18">
        <w:rPr>
          <w:rFonts w:asciiTheme="majorBidi" w:hAnsiTheme="majorBidi" w:cstheme="majorBidi"/>
        </w:rPr>
        <w:t xml:space="preserve">; </w:t>
      </w:r>
      <w:proofErr w:type="spellStart"/>
      <w:r w:rsidRPr="00286599">
        <w:rPr>
          <w:rFonts w:asciiTheme="majorBidi" w:hAnsiTheme="majorBidi" w:cstheme="majorBidi"/>
          <w:i/>
          <w:iCs/>
        </w:rPr>
        <w:t>Darchei</w:t>
      </w:r>
      <w:proofErr w:type="spellEnd"/>
      <w:r w:rsidRPr="00286599">
        <w:rPr>
          <w:rFonts w:asciiTheme="majorBidi" w:hAnsiTheme="majorBidi" w:cstheme="majorBidi"/>
          <w:i/>
          <w:iCs/>
        </w:rPr>
        <w:t xml:space="preserve"> Moshe Ha-</w:t>
      </w:r>
      <w:proofErr w:type="spellStart"/>
      <w:r w:rsidRPr="00286599">
        <w:rPr>
          <w:rFonts w:asciiTheme="majorBidi" w:hAnsiTheme="majorBidi" w:cstheme="majorBidi"/>
          <w:i/>
          <w:iCs/>
        </w:rPr>
        <w:t>Aroch</w:t>
      </w:r>
      <w:proofErr w:type="spellEnd"/>
      <w:r w:rsidRPr="00286599">
        <w:rPr>
          <w:rFonts w:asciiTheme="majorBidi" w:hAnsiTheme="majorBidi" w:cstheme="majorBidi"/>
          <w:i/>
          <w:iCs/>
        </w:rPr>
        <w:t xml:space="preserve"> on Even Ha-Ezer, 154:</w:t>
      </w:r>
      <w:r w:rsidRPr="00CA7180">
        <w:rPr>
          <w:rFonts w:asciiTheme="majorBidi" w:hAnsiTheme="majorBidi" w:cstheme="majorBidi"/>
          <w:i/>
          <w:iCs/>
        </w:rPr>
        <w:t xml:space="preserve"> </w:t>
      </w:r>
      <w:r w:rsidRPr="00286599">
        <w:rPr>
          <w:rFonts w:asciiTheme="majorBidi" w:hAnsiTheme="majorBidi" w:cstheme="majorBidi"/>
          <w:i/>
          <w:iCs/>
        </w:rPr>
        <w:t>“And so, Binyamin Zeev wrote … for this is not coercion as he is only not done favors</w:t>
      </w:r>
      <w:r w:rsidR="0048112C">
        <w:rPr>
          <w:rFonts w:asciiTheme="majorBidi" w:hAnsiTheme="majorBidi" w:cstheme="majorBidi"/>
          <w:i/>
          <w:iCs/>
        </w:rPr>
        <w:t>;</w:t>
      </w:r>
      <w:r w:rsidRPr="00286599">
        <w:rPr>
          <w:rFonts w:asciiTheme="majorBidi" w:hAnsiTheme="majorBidi" w:cstheme="majorBidi"/>
        </w:rPr>
        <w:t xml:space="preserve"> Haifa DRC </w:t>
      </w:r>
      <w:r w:rsidRPr="00286599">
        <w:rPr>
          <w:rFonts w:asciiTheme="majorBidi" w:hAnsiTheme="majorBidi" w:cstheme="majorBidi" w:hint="cs"/>
          <w:rtl/>
        </w:rPr>
        <w:t>1078402/1</w:t>
      </w:r>
      <w:r w:rsidRPr="00286599">
        <w:rPr>
          <w:rFonts w:asciiTheme="majorBidi" w:hAnsiTheme="majorBidi" w:cstheme="majorBidi"/>
        </w:rPr>
        <w:t xml:space="preserve">, the Rabbinical Court imposed </w:t>
      </w:r>
      <w:proofErr w:type="spellStart"/>
      <w:r w:rsidRPr="00286599">
        <w:rPr>
          <w:rFonts w:asciiTheme="majorBidi" w:hAnsiTheme="majorBidi" w:cstheme="majorBidi"/>
          <w:i/>
          <w:iCs/>
        </w:rPr>
        <w:t>harhakot</w:t>
      </w:r>
      <w:proofErr w:type="spellEnd"/>
      <w:r w:rsidRPr="00286599">
        <w:rPr>
          <w:rFonts w:asciiTheme="majorBidi" w:hAnsiTheme="majorBidi" w:cstheme="majorBidi"/>
          <w:i/>
          <w:iCs/>
        </w:rPr>
        <w:t xml:space="preserve"> </w:t>
      </w:r>
      <w:r w:rsidRPr="00286599">
        <w:rPr>
          <w:rFonts w:asciiTheme="majorBidi" w:hAnsiTheme="majorBidi" w:cstheme="majorBidi"/>
        </w:rPr>
        <w:t xml:space="preserve">on </w:t>
      </w:r>
      <w:proofErr w:type="spellStart"/>
      <w:r w:rsidRPr="00286599">
        <w:rPr>
          <w:rFonts w:asciiTheme="majorBidi" w:hAnsiTheme="majorBidi" w:cstheme="majorBidi"/>
        </w:rPr>
        <w:t>Atias</w:t>
      </w:r>
      <w:proofErr w:type="spellEnd"/>
      <w:r>
        <w:rPr>
          <w:rFonts w:asciiTheme="majorBidi" w:hAnsiTheme="majorBidi" w:cstheme="majorBidi"/>
        </w:rPr>
        <w:t xml:space="preserve"> and adds</w:t>
      </w:r>
      <w:r w:rsidR="00D828CA">
        <w:rPr>
          <w:rFonts w:asciiTheme="majorBidi" w:hAnsiTheme="majorBidi" w:cstheme="majorBidi"/>
        </w:rPr>
        <w:t>:</w:t>
      </w:r>
      <w:r w:rsidRPr="00286599">
        <w:rPr>
          <w:rFonts w:asciiTheme="majorBidi" w:hAnsiTheme="majorBidi" w:cstheme="majorBidi"/>
        </w:rPr>
        <w:t xml:space="preserve"> </w:t>
      </w:r>
      <w:r w:rsidRPr="00AC71F5">
        <w:rPr>
          <w:rFonts w:asciiTheme="majorBidi" w:hAnsiTheme="majorBidi" w:cstheme="majorBidi"/>
        </w:rPr>
        <w:t>“</w:t>
      </w:r>
      <w:r w:rsidRPr="00286599">
        <w:rPr>
          <w:rFonts w:asciiTheme="majorBidi" w:hAnsiTheme="majorBidi" w:cstheme="majorBidi"/>
          <w:i/>
          <w:iCs/>
        </w:rPr>
        <w:t>the public is not obligated to care for his wellbeing</w:t>
      </w:r>
      <w:r w:rsidRPr="00286599">
        <w:rPr>
          <w:rFonts w:asciiTheme="majorBidi" w:hAnsiTheme="majorBidi" w:cstheme="majorBidi"/>
        </w:rPr>
        <w:t>.”</w:t>
      </w:r>
    </w:p>
    <w:p w14:paraId="6FB39C69" w14:textId="77777777" w:rsidR="00F255EE" w:rsidRPr="00286599" w:rsidRDefault="00F255EE" w:rsidP="00F255EE">
      <w:pPr>
        <w:pStyle w:val="a7"/>
        <w:jc w:val="right"/>
        <w:rPr>
          <w:rFonts w:asciiTheme="majorBidi" w:hAnsiTheme="majorBidi" w:cstheme="majorBidi"/>
          <w:b/>
          <w:bCs/>
        </w:rPr>
      </w:pPr>
      <w:r w:rsidRPr="00286599">
        <w:rPr>
          <w:rFonts w:asciiTheme="majorBidi" w:hAnsiTheme="majorBidi" w:cstheme="majorBidi"/>
          <w:b/>
          <w:bCs/>
        </w:rPr>
        <w:t xml:space="preserve"> </w:t>
      </w:r>
    </w:p>
  </w:endnote>
  <w:endnote w:id="69">
    <w:p w14:paraId="734344C0" w14:textId="5809FB23" w:rsidR="0048112C" w:rsidRPr="006C48E5" w:rsidRDefault="00F255EE" w:rsidP="0048112C">
      <w:pPr>
        <w:pStyle w:val="a7"/>
        <w:bidi w:val="0"/>
        <w:jc w:val="both"/>
        <w:rPr>
          <w:rFonts w:asciiTheme="majorBidi" w:hAnsiTheme="majorBidi" w:cstheme="majorBidi"/>
        </w:rPr>
      </w:pPr>
      <w:r w:rsidRPr="00286599">
        <w:rPr>
          <w:rStyle w:val="a9"/>
          <w:rFonts w:asciiTheme="majorBidi" w:hAnsiTheme="majorBidi" w:cstheme="majorBidi"/>
        </w:rPr>
        <w:endnoteRef/>
      </w:r>
      <w:r w:rsidRPr="00286599">
        <w:rPr>
          <w:rFonts w:asciiTheme="majorBidi" w:hAnsiTheme="majorBidi" w:cstheme="majorBidi"/>
        </w:rPr>
        <w:t xml:space="preserve">  </w:t>
      </w:r>
      <w:bookmarkStart w:id="28" w:name="_Hlk78885639"/>
      <w:r w:rsidRPr="00286599">
        <w:rPr>
          <w:rFonts w:asciiTheme="majorBidi" w:hAnsiTheme="majorBidi" w:cstheme="majorBidi"/>
        </w:rPr>
        <w:t>By contrast see Rabbi Yosef Goldberg (above note 6</w:t>
      </w:r>
      <w:r w:rsidR="00B916EE">
        <w:rPr>
          <w:rFonts w:asciiTheme="majorBidi" w:hAnsiTheme="majorBidi" w:cstheme="majorBidi"/>
        </w:rPr>
        <w:t>5</w:t>
      </w:r>
      <w:r w:rsidRPr="00286599">
        <w:rPr>
          <w:rFonts w:asciiTheme="majorBidi" w:hAnsiTheme="majorBidi" w:cstheme="majorBidi"/>
        </w:rPr>
        <w:t>), 237, 238, and 260, esp. 265 where he states that sometimes denial of benefits is considered coercion, e.g., where denial of a favor to this particular</w:t>
      </w:r>
      <w:r>
        <w:rPr>
          <w:rFonts w:asciiTheme="majorBidi" w:hAnsiTheme="majorBidi" w:cstheme="majorBidi"/>
        </w:rPr>
        <w:t xml:space="preserve"> </w:t>
      </w:r>
      <w:r w:rsidRPr="00286599">
        <w:rPr>
          <w:rFonts w:asciiTheme="majorBidi" w:hAnsiTheme="majorBidi" w:cstheme="majorBidi"/>
        </w:rPr>
        <w:t>person is pressure he cannot bear, that particular distance rule cannot be applied to him, since denying the benefit constitutes coercion and is forbidden: “</w:t>
      </w:r>
      <w:r w:rsidRPr="00286599">
        <w:rPr>
          <w:rFonts w:asciiTheme="majorBidi" w:hAnsiTheme="majorBidi" w:cstheme="majorBidi"/>
          <w:i/>
          <w:iCs/>
        </w:rPr>
        <w:t>And one going through the RTDR will see that they are rights given to any man coming to live in his city, then every man coming to live in the city has the right to circumcise his sons and bury his dead and speak with the residents and engage in transactions with them, etc. and when they come to take this from him, they are taking rights he possessed, and this would be coercion if he could not flee to another place</w:t>
      </w:r>
      <w:r w:rsidRPr="00286599">
        <w:rPr>
          <w:rFonts w:asciiTheme="majorBidi" w:hAnsiTheme="majorBidi" w:cstheme="majorBidi"/>
        </w:rPr>
        <w:t xml:space="preserve">. </w:t>
      </w:r>
      <w:proofErr w:type="gramStart"/>
      <w:r w:rsidR="00872A06">
        <w:rPr>
          <w:rFonts w:asciiTheme="majorBidi" w:hAnsiTheme="majorBidi" w:cstheme="majorBidi"/>
        </w:rPr>
        <w:t>H</w:t>
      </w:r>
      <w:r w:rsidRPr="00603BA0">
        <w:rPr>
          <w:rFonts w:asciiTheme="majorBidi" w:hAnsiTheme="majorBidi" w:cstheme="majorBidi"/>
        </w:rPr>
        <w:t>owever</w:t>
      </w:r>
      <w:proofErr w:type="gramEnd"/>
      <w:r w:rsidRPr="00603BA0">
        <w:rPr>
          <w:rFonts w:asciiTheme="majorBidi" w:hAnsiTheme="majorBidi" w:cstheme="majorBidi"/>
        </w:rPr>
        <w:t xml:space="preserve"> the Rema did not expressly treat the situation of denying a benefit that was not yet in his hands – whether this is considered coercing a get or not</w:t>
      </w:r>
      <w:r w:rsidR="00872A06">
        <w:rPr>
          <w:rFonts w:asciiTheme="majorBidi" w:hAnsiTheme="majorBidi" w:cstheme="majorBidi"/>
        </w:rPr>
        <w:t xml:space="preserve">. </w:t>
      </w:r>
      <w:r w:rsidRPr="00603BA0">
        <w:rPr>
          <w:rFonts w:asciiTheme="majorBidi" w:hAnsiTheme="majorBidi" w:cstheme="majorBidi"/>
        </w:rPr>
        <w:t>this issue requires further study</w:t>
      </w:r>
      <w:r w:rsidR="0048112C" w:rsidRPr="00872A06">
        <w:rPr>
          <w:rFonts w:asciiTheme="majorBidi" w:hAnsiTheme="majorBidi" w:cstheme="majorBidi"/>
        </w:rPr>
        <w:t>.”</w:t>
      </w:r>
    </w:p>
    <w:bookmarkEnd w:id="28"/>
    <w:p w14:paraId="665FA138" w14:textId="77777777" w:rsidR="00F255EE" w:rsidRPr="00286599" w:rsidRDefault="00F255EE" w:rsidP="00F255EE">
      <w:pPr>
        <w:pStyle w:val="a7"/>
        <w:jc w:val="right"/>
        <w:rPr>
          <w:rFonts w:asciiTheme="majorBidi" w:hAnsiTheme="majorBidi" w:cstheme="majorBidi" w:hint="cs"/>
          <w:b/>
          <w:bCs/>
          <w:rtl/>
        </w:rPr>
      </w:pPr>
    </w:p>
  </w:endnote>
  <w:endnote w:id="70">
    <w:p w14:paraId="7DB8E12B" w14:textId="77777777" w:rsidR="00F255EE" w:rsidRPr="00286599" w:rsidRDefault="00F255EE" w:rsidP="00F255EE">
      <w:pPr>
        <w:jc w:val="right"/>
        <w:rPr>
          <w:rFonts w:asciiTheme="majorBidi" w:hAnsiTheme="majorBidi" w:cstheme="majorBidi"/>
          <w:sz w:val="20"/>
          <w:szCs w:val="20"/>
        </w:rPr>
      </w:pPr>
      <w:r w:rsidRPr="00286599">
        <w:rPr>
          <w:rStyle w:val="a9"/>
          <w:rFonts w:asciiTheme="majorBidi" w:hAnsiTheme="majorBidi" w:cstheme="majorBidi"/>
          <w:sz w:val="20"/>
          <w:szCs w:val="20"/>
        </w:rPr>
        <w:endnoteRef/>
      </w:r>
      <w:r w:rsidRPr="00286599">
        <w:rPr>
          <w:rFonts w:asciiTheme="majorBidi" w:hAnsiTheme="majorBidi" w:cstheme="majorBidi"/>
          <w:sz w:val="20"/>
          <w:szCs w:val="20"/>
        </w:rPr>
        <w:t xml:space="preserve"> </w:t>
      </w:r>
      <w:bookmarkStart w:id="29" w:name="_Hlk78887395"/>
      <w:r w:rsidRPr="00286599">
        <w:rPr>
          <w:rFonts w:asciiTheme="majorBidi" w:hAnsiTheme="majorBidi" w:cstheme="majorBidi"/>
          <w:sz w:val="20"/>
          <w:szCs w:val="20"/>
        </w:rPr>
        <w:t xml:space="preserve">Mahari Ben Lev responsa, 2, 18, explains that according to Rabbeinu Tam “We will separate ourselves from him in every manner until he divorces and </w:t>
      </w:r>
      <w:r w:rsidRPr="00286599">
        <w:rPr>
          <w:rFonts w:asciiTheme="majorBidi" w:hAnsiTheme="majorBidi" w:cstheme="majorBidi"/>
          <w:i/>
          <w:iCs/>
          <w:sz w:val="20"/>
          <w:szCs w:val="20"/>
        </w:rPr>
        <w:t>he shall repent and be healed</w:t>
      </w:r>
      <w:r>
        <w:rPr>
          <w:rFonts w:asciiTheme="majorBidi" w:hAnsiTheme="majorBidi" w:cstheme="majorBidi"/>
          <w:sz w:val="20"/>
          <w:szCs w:val="20"/>
        </w:rPr>
        <w:t>.</w:t>
      </w:r>
      <w:r w:rsidRPr="00286599">
        <w:rPr>
          <w:rFonts w:asciiTheme="majorBidi" w:hAnsiTheme="majorBidi" w:cstheme="majorBidi"/>
          <w:sz w:val="20"/>
          <w:szCs w:val="20"/>
        </w:rPr>
        <w:t xml:space="preserve">” Also, Mahari Ben Lev, 2, 79: “until he divorces, and </w:t>
      </w:r>
      <w:r w:rsidRPr="00286599">
        <w:rPr>
          <w:rFonts w:asciiTheme="majorBidi" w:hAnsiTheme="majorBidi" w:cstheme="majorBidi"/>
          <w:i/>
          <w:iCs/>
          <w:sz w:val="20"/>
          <w:szCs w:val="20"/>
        </w:rPr>
        <w:t>he shall repent and be healed”</w:t>
      </w:r>
      <w:r w:rsidRPr="00286599">
        <w:rPr>
          <w:rFonts w:asciiTheme="majorBidi" w:hAnsiTheme="majorBidi" w:cstheme="majorBidi"/>
          <w:sz w:val="20"/>
          <w:szCs w:val="20"/>
        </w:rPr>
        <w:t>. One hundred years prior, we find the phrase “</w:t>
      </w:r>
      <w:r w:rsidRPr="00286599">
        <w:rPr>
          <w:rFonts w:asciiTheme="majorBidi" w:hAnsiTheme="majorBidi" w:cstheme="majorBidi"/>
          <w:i/>
          <w:iCs/>
          <w:sz w:val="20"/>
          <w:szCs w:val="20"/>
        </w:rPr>
        <w:t>and he shall repent and be healed</w:t>
      </w:r>
      <w:r w:rsidRPr="00286599">
        <w:rPr>
          <w:rFonts w:asciiTheme="majorBidi" w:hAnsiTheme="majorBidi" w:cstheme="majorBidi"/>
          <w:sz w:val="20"/>
          <w:szCs w:val="20"/>
        </w:rPr>
        <w:t>” in the Maharik responsa, 102, concerning a man who was banished for his refusal to perform a levirate marriage (and free his sister-in-law).   And the condition is that the moment the refusal to perform the leviratate</w:t>
      </w:r>
      <w:r>
        <w:rPr>
          <w:rFonts w:asciiTheme="majorBidi" w:hAnsiTheme="majorBidi" w:cstheme="majorBidi"/>
          <w:sz w:val="20"/>
          <w:szCs w:val="20"/>
        </w:rPr>
        <w:t xml:space="preserve"> </w:t>
      </w:r>
      <w:r w:rsidRPr="00286599">
        <w:rPr>
          <w:rFonts w:asciiTheme="majorBidi" w:hAnsiTheme="majorBidi" w:cstheme="majorBidi"/>
          <w:sz w:val="20"/>
          <w:szCs w:val="20"/>
        </w:rPr>
        <w:t>marriage ends, the excommunication ceases, and all matters resume their prior state “</w:t>
      </w:r>
      <w:r w:rsidRPr="00286599">
        <w:rPr>
          <w:rFonts w:asciiTheme="majorBidi" w:hAnsiTheme="majorBidi" w:cstheme="majorBidi"/>
          <w:i/>
          <w:iCs/>
          <w:sz w:val="20"/>
          <w:szCs w:val="20"/>
        </w:rPr>
        <w:t>and he shall repent and be healed”</w:t>
      </w:r>
      <w:r w:rsidRPr="00286599">
        <w:rPr>
          <w:rFonts w:asciiTheme="majorBidi" w:hAnsiTheme="majorBidi" w:cstheme="majorBidi"/>
          <w:sz w:val="20"/>
          <w:szCs w:val="20"/>
        </w:rPr>
        <w:t>.</w:t>
      </w:r>
      <w:r>
        <w:rPr>
          <w:rFonts w:asciiTheme="majorBidi" w:hAnsiTheme="majorBidi" w:cstheme="majorBidi"/>
          <w:sz w:val="20"/>
          <w:szCs w:val="20"/>
        </w:rPr>
        <w:t xml:space="preserve"> </w:t>
      </w:r>
      <w:r w:rsidRPr="00286599">
        <w:rPr>
          <w:rFonts w:asciiTheme="majorBidi" w:hAnsiTheme="majorBidi" w:cstheme="majorBidi"/>
          <w:sz w:val="20"/>
          <w:szCs w:val="20"/>
        </w:rPr>
        <w:t>Likewise, in GRC of Oded Guez</w:t>
      </w:r>
      <w:r>
        <w:rPr>
          <w:rFonts w:asciiTheme="majorBidi" w:hAnsiTheme="majorBidi" w:cstheme="majorBidi"/>
          <w:sz w:val="20"/>
          <w:szCs w:val="20"/>
        </w:rPr>
        <w:t>:</w:t>
      </w:r>
      <w:r w:rsidRPr="00286599">
        <w:rPr>
          <w:rFonts w:asciiTheme="majorBidi" w:hAnsiTheme="majorBidi" w:cstheme="majorBidi"/>
          <w:sz w:val="20"/>
          <w:szCs w:val="20"/>
        </w:rPr>
        <w:t xml:space="preserve"> once the shaming achieves its target, and the get is issued, everything will return to its prior state: “we will remove all the limitations from him </w:t>
      </w:r>
      <w:r w:rsidRPr="00286599">
        <w:rPr>
          <w:rFonts w:asciiTheme="majorBidi" w:hAnsiTheme="majorBidi" w:cstheme="majorBidi"/>
          <w:i/>
          <w:iCs/>
          <w:sz w:val="20"/>
          <w:szCs w:val="20"/>
        </w:rPr>
        <w:t>and he shall repent and be healed.”</w:t>
      </w:r>
    </w:p>
    <w:bookmarkEnd w:id="29"/>
  </w:endnote>
  <w:endnote w:id="71">
    <w:p w14:paraId="38A32A2E" w14:textId="77777777" w:rsidR="00F255EE" w:rsidRPr="00473CB6" w:rsidRDefault="00F255EE" w:rsidP="00F255EE">
      <w:pPr>
        <w:pStyle w:val="a7"/>
        <w:jc w:val="right"/>
        <w:rPr>
          <w:rFonts w:asciiTheme="majorBidi" w:hAnsiTheme="majorBidi" w:cstheme="majorBidi"/>
          <w:rtl/>
        </w:rPr>
      </w:pPr>
      <w:r w:rsidRPr="00286599">
        <w:rPr>
          <w:rStyle w:val="a9"/>
          <w:rFonts w:asciiTheme="majorBidi" w:hAnsiTheme="majorBidi" w:cstheme="majorBidi"/>
        </w:rPr>
        <w:endnoteRef/>
      </w:r>
      <w:r w:rsidRPr="00286599">
        <w:rPr>
          <w:rFonts w:asciiTheme="majorBidi" w:hAnsiTheme="majorBidi" w:cstheme="majorBidi"/>
        </w:rPr>
        <w:t>Rabbi Yitzhak Me</w:t>
      </w:r>
      <w:r>
        <w:rPr>
          <w:rFonts w:asciiTheme="majorBidi" w:hAnsiTheme="majorBidi" w:cstheme="majorBidi"/>
        </w:rPr>
        <w:t xml:space="preserve">ir Yavetz, “Using Shaming,” 312.                                                                                                                                                                                                                                                                                                                           </w:t>
      </w:r>
    </w:p>
  </w:endnote>
  <w:endnote w:id="72">
    <w:p w14:paraId="6695EE6A" w14:textId="77777777" w:rsidR="00F255EE" w:rsidRPr="00286599" w:rsidRDefault="00F255EE" w:rsidP="00F255EE">
      <w:pPr>
        <w:pStyle w:val="a7"/>
        <w:jc w:val="right"/>
        <w:rPr>
          <w:rFonts w:asciiTheme="majorBidi" w:hAnsiTheme="majorBidi" w:cstheme="majorBidi"/>
        </w:rPr>
      </w:pPr>
      <w:r w:rsidRPr="00286599">
        <w:rPr>
          <w:rStyle w:val="a9"/>
          <w:rFonts w:asciiTheme="majorBidi" w:hAnsiTheme="majorBidi" w:cstheme="majorBidi"/>
        </w:rPr>
        <w:endnoteRef/>
      </w:r>
      <w:r>
        <w:rPr>
          <w:rFonts w:asciiTheme="majorBidi" w:hAnsiTheme="majorBidi" w:cstheme="majorBidi"/>
        </w:rPr>
        <w:t xml:space="preserve"> </w:t>
      </w:r>
      <w:r w:rsidRPr="00286599">
        <w:rPr>
          <w:rFonts w:asciiTheme="majorBidi" w:hAnsiTheme="majorBidi" w:cstheme="majorBidi"/>
        </w:rPr>
        <w:t>Ibid., 311, note 4.</w:t>
      </w:r>
    </w:p>
    <w:p w14:paraId="20E85232" w14:textId="77777777" w:rsidR="00F255EE" w:rsidRPr="00286599" w:rsidRDefault="00F255EE" w:rsidP="00F255EE">
      <w:pPr>
        <w:pStyle w:val="a7"/>
        <w:jc w:val="right"/>
        <w:rPr>
          <w:rFonts w:asciiTheme="majorBidi" w:hAnsiTheme="majorBidi" w:cstheme="majorBidi"/>
        </w:rPr>
      </w:pPr>
    </w:p>
    <w:p w14:paraId="0BA5FB0B" w14:textId="77777777" w:rsidR="00F255EE" w:rsidRPr="00872A06" w:rsidRDefault="00F255EE" w:rsidP="00F255EE">
      <w:pPr>
        <w:pStyle w:val="a7"/>
        <w:jc w:val="right"/>
        <w:rPr>
          <w:rFonts w:asciiTheme="majorBidi" w:hAnsiTheme="majorBidi" w:cstheme="majorBidi"/>
          <w:b/>
          <w:bCs/>
          <w:sz w:val="24"/>
          <w:szCs w:val="24"/>
        </w:rPr>
      </w:pPr>
      <w:r w:rsidRPr="00872A06">
        <w:rPr>
          <w:rFonts w:asciiTheme="majorBidi" w:hAnsiTheme="majorBidi" w:cstheme="majorBidi"/>
          <w:b/>
          <w:bCs/>
          <w:sz w:val="24"/>
          <w:szCs w:val="24"/>
        </w:rPr>
        <w:t>References</w:t>
      </w:r>
    </w:p>
    <w:p w14:paraId="799C9548" w14:textId="77777777" w:rsidR="00F255EE" w:rsidRPr="00286599" w:rsidRDefault="00F255EE" w:rsidP="00F255EE">
      <w:pPr>
        <w:pStyle w:val="a7"/>
        <w:jc w:val="right"/>
        <w:rPr>
          <w:rFonts w:asciiTheme="majorBidi" w:hAnsiTheme="majorBidi" w:cstheme="majorBidi"/>
          <w:rtl/>
          <w:lang w:val="en-CA"/>
        </w:rPr>
      </w:pPr>
    </w:p>
    <w:p w14:paraId="0717E585" w14:textId="77777777" w:rsidR="00F255EE" w:rsidRPr="00286599" w:rsidRDefault="00F255EE" w:rsidP="00F255EE">
      <w:pPr>
        <w:spacing w:line="360" w:lineRule="auto"/>
        <w:jc w:val="right"/>
        <w:rPr>
          <w:rFonts w:asciiTheme="majorBidi" w:hAnsiTheme="majorBidi" w:cstheme="majorBidi"/>
          <w:sz w:val="20"/>
          <w:szCs w:val="20"/>
          <w:lang w:val="en-CA"/>
        </w:rPr>
      </w:pPr>
      <w:r w:rsidRPr="00286599">
        <w:rPr>
          <w:rFonts w:asciiTheme="majorBidi" w:hAnsiTheme="majorBidi" w:cstheme="majorBidi"/>
          <w:sz w:val="20"/>
          <w:szCs w:val="20"/>
          <w:lang w:val="en-CA"/>
        </w:rPr>
        <w:t xml:space="preserve">Beeri, Avraham. “Rabbeinu Tam’s Distancing Rules: Innovative Approaches in Methods for Coercing a Husband to Divorce His Wife.” </w:t>
      </w:r>
      <w:r w:rsidRPr="00286599">
        <w:rPr>
          <w:rFonts w:asciiTheme="majorBidi" w:hAnsiTheme="majorBidi" w:cstheme="majorBidi"/>
          <w:i/>
          <w:iCs/>
          <w:sz w:val="20"/>
          <w:szCs w:val="20"/>
          <w:lang w:val="en-CA"/>
        </w:rPr>
        <w:t xml:space="preserve">Shnaton ha’Mishpat ha’Ivri </w:t>
      </w:r>
      <w:r w:rsidRPr="00286599">
        <w:rPr>
          <w:rFonts w:asciiTheme="majorBidi" w:hAnsiTheme="majorBidi" w:cstheme="majorBidi"/>
          <w:sz w:val="20"/>
          <w:szCs w:val="20"/>
          <w:lang w:val="en-CA"/>
        </w:rPr>
        <w:t xml:space="preserve">18-19, (1991-1993): 93-95. (Hebrew). </w:t>
      </w:r>
    </w:p>
    <w:p w14:paraId="3ACCC442" w14:textId="77777777" w:rsidR="00F255EE" w:rsidRPr="00286599" w:rsidRDefault="00F255EE" w:rsidP="00F255EE">
      <w:pPr>
        <w:pStyle w:val="a3"/>
        <w:spacing w:line="360" w:lineRule="auto"/>
        <w:rPr>
          <w:rFonts w:asciiTheme="majorBidi" w:hAnsiTheme="majorBidi" w:cstheme="majorBidi"/>
          <w:lang w:bidi="he-IL"/>
        </w:rPr>
      </w:pPr>
      <w:r w:rsidRPr="00286599">
        <w:rPr>
          <w:rFonts w:asciiTheme="majorBidi" w:hAnsiTheme="majorBidi" w:cstheme="majorBidi"/>
          <w:lang w:bidi="he-IL"/>
        </w:rPr>
        <w:t>Cherlo, Yuval. “Moral Compass in Favor of Shaming.”</w:t>
      </w:r>
      <w:r w:rsidRPr="00286599">
        <w:rPr>
          <w:rFonts w:asciiTheme="majorBidi" w:hAnsiTheme="majorBidi" w:cstheme="majorBidi"/>
          <w:b/>
          <w:bCs/>
          <w:i/>
          <w:iCs/>
        </w:rPr>
        <w:t xml:space="preserve"> </w:t>
      </w:r>
      <w:r w:rsidRPr="00286599">
        <w:rPr>
          <w:rFonts w:asciiTheme="majorBidi" w:hAnsiTheme="majorBidi" w:cstheme="majorBidi"/>
          <w:i/>
          <w:iCs/>
        </w:rPr>
        <w:t>Shabbat</w:t>
      </w:r>
      <w:r w:rsidRPr="00286599">
        <w:rPr>
          <w:rFonts w:asciiTheme="majorBidi" w:hAnsiTheme="majorBidi" w:cstheme="majorBidi"/>
        </w:rPr>
        <w:t xml:space="preserve"> </w:t>
      </w:r>
      <w:r w:rsidRPr="00286599">
        <w:rPr>
          <w:rFonts w:asciiTheme="majorBidi" w:hAnsiTheme="majorBidi" w:cstheme="majorBidi"/>
          <w:i/>
          <w:iCs/>
        </w:rPr>
        <w:t xml:space="preserve">Makor Rishon </w:t>
      </w:r>
      <w:r w:rsidRPr="00286599">
        <w:rPr>
          <w:rFonts w:asciiTheme="majorBidi" w:hAnsiTheme="majorBidi" w:cstheme="majorBidi"/>
          <w:rtl/>
          <w:lang w:bidi="he-IL"/>
        </w:rPr>
        <w:t>968</w:t>
      </w:r>
      <w:r w:rsidRPr="00286599">
        <w:rPr>
          <w:rFonts w:asciiTheme="majorBidi" w:hAnsiTheme="majorBidi" w:cstheme="majorBidi"/>
          <w:lang w:bidi="he-IL"/>
        </w:rPr>
        <w:t xml:space="preserve">, (2016): 4 (Hebrew) </w:t>
      </w:r>
    </w:p>
    <w:p w14:paraId="5C91E081" w14:textId="77777777" w:rsidR="00F255EE" w:rsidRPr="00286599" w:rsidRDefault="00F255EE" w:rsidP="00F255EE">
      <w:pPr>
        <w:pStyle w:val="a3"/>
        <w:spacing w:line="360" w:lineRule="auto"/>
        <w:rPr>
          <w:rFonts w:asciiTheme="majorBidi" w:hAnsiTheme="majorBidi" w:cstheme="majorBidi"/>
          <w:lang w:bidi="he-IL"/>
        </w:rPr>
      </w:pPr>
      <w:r w:rsidRPr="00286599">
        <w:rPr>
          <w:rFonts w:asciiTheme="majorBidi" w:hAnsiTheme="majorBidi" w:cstheme="majorBidi"/>
        </w:rPr>
        <w:t xml:space="preserve">Dykowski, Shlomo. “Monetary Enforcement Measures against Recalcitrant Husbands.” </w:t>
      </w:r>
      <w:r w:rsidRPr="00286599">
        <w:rPr>
          <w:rFonts w:asciiTheme="majorBidi" w:hAnsiTheme="majorBidi" w:cstheme="majorBidi"/>
          <w:i/>
          <w:iCs/>
        </w:rPr>
        <w:t>Tehumin</w:t>
      </w:r>
      <w:r w:rsidRPr="00286599">
        <w:rPr>
          <w:rFonts w:asciiTheme="majorBidi" w:hAnsiTheme="majorBidi" w:cstheme="majorBidi"/>
        </w:rPr>
        <w:t xml:space="preserve"> 26, (2015): 173-179. (Hebrew).</w:t>
      </w:r>
    </w:p>
    <w:p w14:paraId="635EAE78"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Elizur, Tehila. “The Rosh’s Approach to Coercing Divorce Following a Husband’s Violence:  A Renewed Study in light of the Original Form of the Rosh Responsa.” </w:t>
      </w:r>
      <w:r w:rsidRPr="00286599">
        <w:rPr>
          <w:rFonts w:asciiTheme="majorBidi" w:hAnsiTheme="majorBidi" w:cstheme="majorBidi"/>
          <w:i/>
          <w:iCs/>
          <w:sz w:val="20"/>
          <w:szCs w:val="20"/>
        </w:rPr>
        <w:t xml:space="preserve">Dine Israel </w:t>
      </w:r>
      <w:r w:rsidRPr="00286599">
        <w:rPr>
          <w:rFonts w:asciiTheme="majorBidi" w:hAnsiTheme="majorBidi" w:cstheme="majorBidi"/>
          <w:sz w:val="20"/>
          <w:szCs w:val="20"/>
        </w:rPr>
        <w:t>29, (2013): 125-153. (Hebrew).</w:t>
      </w:r>
    </w:p>
    <w:p w14:paraId="42582A3A"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Flatto-Shinar, Ruth. “Regulatory Shaming: Is Shaming a Suitable Enforcement Tool in Banking?” </w:t>
      </w:r>
      <w:r w:rsidRPr="00286599">
        <w:rPr>
          <w:rFonts w:asciiTheme="majorBidi" w:hAnsiTheme="majorBidi" w:cstheme="majorBidi"/>
          <w:i/>
          <w:iCs/>
          <w:sz w:val="20"/>
          <w:szCs w:val="20"/>
        </w:rPr>
        <w:t>Mishpat ve’Asakim</w:t>
      </w:r>
      <w:r w:rsidRPr="00286599">
        <w:rPr>
          <w:rFonts w:asciiTheme="majorBidi" w:hAnsiTheme="majorBidi" w:cstheme="majorBidi"/>
          <w:sz w:val="20"/>
          <w:szCs w:val="20"/>
        </w:rPr>
        <w:t xml:space="preserve"> 23, (2019): 1-44. (Hebrew).</w:t>
      </w:r>
    </w:p>
    <w:p w14:paraId="4B58DDD8"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Goldberg, Yosef. “On Rabbeinu Tam’s Distancing Rules.” </w:t>
      </w:r>
      <w:r w:rsidRPr="00286599">
        <w:rPr>
          <w:rFonts w:asciiTheme="majorBidi" w:hAnsiTheme="majorBidi" w:cstheme="majorBidi"/>
          <w:i/>
          <w:iCs/>
          <w:sz w:val="20"/>
          <w:szCs w:val="20"/>
        </w:rPr>
        <w:t>A Coerced Get: Halachot and Rules in Laws of Will and Coercion in Giving a Get.</w:t>
      </w:r>
      <w:r w:rsidRPr="00286599">
        <w:rPr>
          <w:rFonts w:asciiTheme="majorBidi" w:hAnsiTheme="majorBidi" w:cstheme="majorBidi"/>
          <w:sz w:val="20"/>
          <w:szCs w:val="20"/>
        </w:rPr>
        <w:t xml:space="preserve"> Jerusalem: Mechon Sha’ar ha’Mishpat, 2003. (Hebrew)</w:t>
      </w:r>
    </w:p>
    <w:p w14:paraId="2B437B17"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Grossman, Avraham. “The Origins and Foundations of the Custom of Delaying Prayer.” </w:t>
      </w:r>
      <w:r w:rsidRPr="00286599">
        <w:rPr>
          <w:rFonts w:asciiTheme="majorBidi" w:hAnsiTheme="majorBidi" w:cstheme="majorBidi"/>
          <w:i/>
          <w:iCs/>
          <w:sz w:val="20"/>
          <w:szCs w:val="20"/>
        </w:rPr>
        <w:t>Studies of the Open University in the History and Culture of Israel</w:t>
      </w:r>
      <w:r w:rsidRPr="00286599">
        <w:rPr>
          <w:rFonts w:asciiTheme="majorBidi" w:hAnsiTheme="majorBidi" w:cstheme="majorBidi"/>
          <w:sz w:val="20"/>
          <w:szCs w:val="20"/>
        </w:rPr>
        <w:t xml:space="preserve"> 1, (1982): 211-219. (Hebrew).</w:t>
      </w:r>
    </w:p>
    <w:p w14:paraId="56D5F01B"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Hacohen, Aviad, “Rescuing the Oppressed from the Hands of His Oppressor: On the Halachik and Judicial Operations of Rabbi Shlomo Dykowski.” </w:t>
      </w:r>
      <w:r w:rsidRPr="00286599">
        <w:rPr>
          <w:rFonts w:asciiTheme="majorBidi" w:hAnsiTheme="majorBidi" w:cstheme="majorBidi"/>
          <w:i/>
          <w:iCs/>
          <w:sz w:val="20"/>
          <w:szCs w:val="20"/>
        </w:rPr>
        <w:t>Mishpaha</w:t>
      </w:r>
      <w:r w:rsidRPr="00286599">
        <w:rPr>
          <w:rFonts w:asciiTheme="majorBidi" w:hAnsiTheme="majorBidi" w:cstheme="majorBidi"/>
          <w:i/>
          <w:iCs/>
          <w:sz w:val="20"/>
          <w:szCs w:val="20"/>
          <w:rtl/>
        </w:rPr>
        <w:t xml:space="preserve"> </w:t>
      </w:r>
      <w:r w:rsidRPr="00286599">
        <w:rPr>
          <w:rFonts w:asciiTheme="majorBidi" w:hAnsiTheme="majorBidi" w:cstheme="majorBidi"/>
          <w:i/>
          <w:iCs/>
          <w:sz w:val="20"/>
          <w:szCs w:val="20"/>
        </w:rPr>
        <w:t>ba’Mishpat</w:t>
      </w:r>
      <w:r w:rsidRPr="00286599">
        <w:rPr>
          <w:rFonts w:asciiTheme="majorBidi" w:hAnsiTheme="majorBidi" w:cstheme="majorBidi"/>
          <w:sz w:val="20"/>
          <w:szCs w:val="20"/>
        </w:rPr>
        <w:t xml:space="preserve"> 6-7, (2013-2014): 9-84, 35-41, 68-71.(Hebrew) </w:t>
      </w:r>
    </w:p>
    <w:p w14:paraId="686911F9"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Halprin Kaddari, Ruth. “Infidelity as Grounds for Coercing a Get.” Mehkerei</w:t>
      </w:r>
      <w:r w:rsidRPr="00286599">
        <w:rPr>
          <w:rFonts w:asciiTheme="majorBidi" w:hAnsiTheme="majorBidi" w:cstheme="majorBidi"/>
          <w:sz w:val="20"/>
          <w:szCs w:val="20"/>
          <w:rtl/>
        </w:rPr>
        <w:t xml:space="preserve"> </w:t>
      </w:r>
      <w:r w:rsidRPr="00286599">
        <w:rPr>
          <w:rFonts w:asciiTheme="majorBidi" w:hAnsiTheme="majorBidi" w:cstheme="majorBidi"/>
          <w:sz w:val="20"/>
          <w:szCs w:val="20"/>
        </w:rPr>
        <w:t>Mishpat 7, (1989): 297-327. (Hebrew).</w:t>
      </w:r>
    </w:p>
    <w:p w14:paraId="21E37951"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Halprin Kaddari, Ruth, Ariella Gornshtein and Keren Horowitz.  </w:t>
      </w:r>
      <w:r w:rsidRPr="00286599">
        <w:rPr>
          <w:rFonts w:asciiTheme="majorBidi" w:hAnsiTheme="majorBidi" w:cstheme="majorBidi"/>
          <w:i/>
          <w:iCs/>
          <w:sz w:val="20"/>
          <w:szCs w:val="20"/>
        </w:rPr>
        <w:t>Women and Family in Israel: Statistical Bi-Annual</w:t>
      </w:r>
      <w:r w:rsidRPr="00286599">
        <w:rPr>
          <w:rFonts w:asciiTheme="majorBidi" w:hAnsiTheme="majorBidi" w:cstheme="majorBidi"/>
          <w:sz w:val="20"/>
          <w:szCs w:val="20"/>
        </w:rPr>
        <w:t xml:space="preserve"> (2016). (Hebrew).</w:t>
      </w:r>
    </w:p>
    <w:p w14:paraId="2EB1D592"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Ifergen, Shimon. “Gaz: Even if I am Condemned to 5000 Lashes I will Not Give a Get.” </w:t>
      </w:r>
      <w:r w:rsidRPr="00286599">
        <w:rPr>
          <w:rFonts w:asciiTheme="majorBidi" w:hAnsiTheme="majorBidi" w:cstheme="majorBidi"/>
          <w:i/>
          <w:iCs/>
          <w:sz w:val="20"/>
          <w:szCs w:val="20"/>
        </w:rPr>
        <w:t>Magazine Mako</w:t>
      </w:r>
      <w:r w:rsidRPr="00286599">
        <w:rPr>
          <w:rFonts w:asciiTheme="majorBidi" w:hAnsiTheme="majorBidi" w:cstheme="majorBidi"/>
          <w:sz w:val="20"/>
          <w:szCs w:val="20"/>
        </w:rPr>
        <w:t xml:space="preserve"> (2016).(Hebrew)</w:t>
      </w:r>
    </w:p>
    <w:p w14:paraId="775AFDE7"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Iserer, Hagai. “The Obligatory </w:t>
      </w:r>
      <w:r w:rsidRPr="00286599">
        <w:rPr>
          <w:rFonts w:asciiTheme="majorBidi" w:hAnsiTheme="majorBidi" w:cstheme="majorBidi"/>
          <w:i/>
          <w:iCs/>
          <w:sz w:val="20"/>
          <w:szCs w:val="20"/>
        </w:rPr>
        <w:t>Get</w:t>
      </w:r>
      <w:r w:rsidRPr="00286599">
        <w:rPr>
          <w:rFonts w:asciiTheme="majorBidi" w:hAnsiTheme="majorBidi" w:cstheme="majorBidi"/>
          <w:sz w:val="20"/>
          <w:szCs w:val="20"/>
        </w:rPr>
        <w:t xml:space="preserve"> and Alimony for the Rebellious Wife (</w:t>
      </w:r>
      <w:r w:rsidRPr="00286599">
        <w:rPr>
          <w:rFonts w:asciiTheme="majorBidi" w:hAnsiTheme="majorBidi" w:cstheme="majorBidi"/>
          <w:i/>
          <w:iCs/>
          <w:sz w:val="20"/>
          <w:szCs w:val="20"/>
        </w:rPr>
        <w:t>Moredet Me’is Alai</w:t>
      </w:r>
      <w:r w:rsidRPr="00286599">
        <w:rPr>
          <w:rFonts w:asciiTheme="majorBidi" w:hAnsiTheme="majorBidi" w:cstheme="majorBidi"/>
          <w:sz w:val="20"/>
          <w:szCs w:val="20"/>
        </w:rPr>
        <w:t xml:space="preserve">).” </w:t>
      </w:r>
      <w:r w:rsidRPr="00286599">
        <w:rPr>
          <w:rFonts w:asciiTheme="majorBidi" w:hAnsiTheme="majorBidi" w:cstheme="majorBidi"/>
          <w:i/>
          <w:iCs/>
          <w:sz w:val="20"/>
          <w:szCs w:val="20"/>
        </w:rPr>
        <w:t>Shurat ha’Dinadin: Ma’amarim u’Psakim</w:t>
      </w:r>
      <w:r w:rsidRPr="00286599">
        <w:rPr>
          <w:rFonts w:asciiTheme="majorBidi" w:hAnsiTheme="majorBidi" w:cstheme="majorBidi"/>
          <w:sz w:val="20"/>
          <w:szCs w:val="20"/>
        </w:rPr>
        <w:t xml:space="preserve"> 2, (1993): 64-118. (Hebrew). </w:t>
      </w:r>
    </w:p>
    <w:p w14:paraId="78CB8C23" w14:textId="77777777" w:rsidR="00F255EE" w:rsidRPr="00286599" w:rsidRDefault="00F255EE" w:rsidP="00F255EE">
      <w:pPr>
        <w:spacing w:line="360" w:lineRule="auto"/>
        <w:jc w:val="right"/>
        <w:rPr>
          <w:rFonts w:asciiTheme="majorBidi" w:hAnsiTheme="majorBidi" w:cstheme="majorBidi"/>
          <w:sz w:val="20"/>
          <w:szCs w:val="20"/>
          <w:lang w:val="en-CA"/>
        </w:rPr>
      </w:pPr>
      <w:r w:rsidRPr="00286599">
        <w:rPr>
          <w:rFonts w:asciiTheme="majorBidi" w:hAnsiTheme="majorBidi" w:cstheme="majorBidi"/>
          <w:sz w:val="20"/>
          <w:szCs w:val="20"/>
          <w:lang w:val="en-CA"/>
        </w:rPr>
        <w:t xml:space="preserve">Kaplan, Yehiel, and Ronen Perry. “On Tort Liability of Recalcitrant Husbands.” </w:t>
      </w:r>
      <w:r w:rsidRPr="00286599">
        <w:rPr>
          <w:rFonts w:asciiTheme="majorBidi" w:hAnsiTheme="majorBidi" w:cstheme="majorBidi"/>
          <w:i/>
          <w:iCs/>
          <w:sz w:val="20"/>
          <w:szCs w:val="20"/>
          <w:lang w:val="en-CA"/>
        </w:rPr>
        <w:t xml:space="preserve">Inyunei Mishpat </w:t>
      </w:r>
      <w:r w:rsidRPr="00286599">
        <w:rPr>
          <w:rFonts w:asciiTheme="majorBidi" w:hAnsiTheme="majorBidi" w:cstheme="majorBidi"/>
          <w:sz w:val="20"/>
          <w:szCs w:val="20"/>
          <w:lang w:val="en-CA"/>
        </w:rPr>
        <w:t>28, (2005): 773-869. (Hebrew).</w:t>
      </w:r>
    </w:p>
    <w:p w14:paraId="33CC196B"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lang w:val="en-CA"/>
        </w:rPr>
        <w:t>Lavi, Uriel. “</w:t>
      </w:r>
      <w:r w:rsidRPr="00286599">
        <w:rPr>
          <w:rFonts w:asciiTheme="majorBidi" w:hAnsiTheme="majorBidi" w:cstheme="majorBidi"/>
          <w:sz w:val="20"/>
          <w:szCs w:val="20"/>
        </w:rPr>
        <w:t xml:space="preserve">Arranging a </w:t>
      </w:r>
      <w:r w:rsidRPr="00286599">
        <w:rPr>
          <w:rFonts w:asciiTheme="majorBidi" w:hAnsiTheme="majorBidi" w:cstheme="majorBidi"/>
          <w:i/>
          <w:iCs/>
          <w:sz w:val="20"/>
          <w:szCs w:val="20"/>
        </w:rPr>
        <w:t>Get</w:t>
      </w:r>
      <w:r w:rsidRPr="00286599">
        <w:rPr>
          <w:rFonts w:asciiTheme="majorBidi" w:hAnsiTheme="majorBidi" w:cstheme="majorBidi"/>
          <w:sz w:val="20"/>
          <w:szCs w:val="20"/>
        </w:rPr>
        <w:t xml:space="preserve"> after Imposing Monetary Compensation on the Husband.” </w:t>
      </w:r>
      <w:r w:rsidRPr="00286599">
        <w:rPr>
          <w:rFonts w:asciiTheme="majorBidi" w:hAnsiTheme="majorBidi" w:cstheme="majorBidi"/>
          <w:i/>
          <w:iCs/>
          <w:sz w:val="20"/>
          <w:szCs w:val="20"/>
        </w:rPr>
        <w:t xml:space="preserve">Tehumin </w:t>
      </w:r>
      <w:r w:rsidRPr="00286599">
        <w:rPr>
          <w:rFonts w:asciiTheme="majorBidi" w:hAnsiTheme="majorBidi" w:cstheme="majorBidi"/>
          <w:sz w:val="20"/>
          <w:szCs w:val="20"/>
        </w:rPr>
        <w:t>26, (2005): 160-172. (Hebrew).</w:t>
      </w:r>
    </w:p>
    <w:p w14:paraId="37F7FDB5"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Libson, Gideon. “For What do We Excommunicate: Excommunication Claims in Israel and Babylon in the Period of the Mishna and the Talmud.” </w:t>
      </w:r>
      <w:r w:rsidRPr="00286599">
        <w:rPr>
          <w:rFonts w:asciiTheme="majorBidi" w:hAnsiTheme="majorBidi" w:cstheme="majorBidi"/>
          <w:i/>
          <w:iCs/>
          <w:sz w:val="20"/>
          <w:szCs w:val="20"/>
        </w:rPr>
        <w:t xml:space="preserve">Jewish Law Annual </w:t>
      </w:r>
      <w:r w:rsidRPr="00286599">
        <w:rPr>
          <w:rFonts w:asciiTheme="majorBidi" w:hAnsiTheme="majorBidi" w:cstheme="majorBidi"/>
          <w:sz w:val="20"/>
          <w:szCs w:val="20"/>
        </w:rPr>
        <w:t>2, (1974): 292-342. (Hebrew).</w:t>
      </w:r>
    </w:p>
    <w:p w14:paraId="3FCCC871"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Nahon, Emanuel. “Contempt of Court and Aiding Breach of Judicial Orders by a Third Party.” </w:t>
      </w:r>
      <w:r w:rsidRPr="00286599">
        <w:rPr>
          <w:rFonts w:asciiTheme="majorBidi" w:hAnsiTheme="majorBidi" w:cstheme="majorBidi"/>
          <w:i/>
          <w:iCs/>
          <w:sz w:val="20"/>
          <w:szCs w:val="20"/>
        </w:rPr>
        <w:t xml:space="preserve">The Weekly Torah Portion: Legal Studies in the Torah Portion </w:t>
      </w:r>
      <w:r w:rsidRPr="00286599">
        <w:rPr>
          <w:rFonts w:asciiTheme="majorBidi" w:hAnsiTheme="majorBidi" w:cstheme="majorBidi"/>
          <w:sz w:val="20"/>
          <w:szCs w:val="20"/>
        </w:rPr>
        <w:t>475, (2016) : 1-4 (Hebrew).</w:t>
      </w:r>
    </w:p>
    <w:p w14:paraId="2E328007" w14:textId="77777777" w:rsidR="00F255EE" w:rsidRPr="00286599" w:rsidRDefault="00F25328" w:rsidP="00F255EE">
      <w:pPr>
        <w:spacing w:line="360" w:lineRule="auto"/>
        <w:jc w:val="right"/>
        <w:rPr>
          <w:rFonts w:asciiTheme="majorBidi" w:hAnsiTheme="majorBidi" w:cstheme="majorBidi"/>
          <w:sz w:val="20"/>
          <w:szCs w:val="20"/>
          <w:rtl/>
        </w:rPr>
      </w:pPr>
      <w:hyperlink r:id="rId7" w:history="1">
        <w:r w:rsidR="00F255EE" w:rsidRPr="00286599">
          <w:rPr>
            <w:rStyle w:val="Hyperlink"/>
            <w:rFonts w:asciiTheme="majorBidi" w:hAnsiTheme="majorBidi" w:cstheme="majorBidi"/>
            <w:sz w:val="20"/>
            <w:szCs w:val="20"/>
          </w:rPr>
          <w:t>http://www.daat.ac.il/mishpat-ivri/skirot/skira.asp?id=285</w:t>
        </w:r>
      </w:hyperlink>
    </w:p>
    <w:p w14:paraId="62665260" w14:textId="77777777" w:rsidR="00F255EE" w:rsidRPr="00286599" w:rsidRDefault="00F255EE" w:rsidP="00F255EE">
      <w:pPr>
        <w:spacing w:line="360" w:lineRule="auto"/>
        <w:jc w:val="right"/>
        <w:rPr>
          <w:rStyle w:val="Hyperlink"/>
          <w:rFonts w:asciiTheme="majorBidi" w:hAnsiTheme="majorBidi" w:cstheme="majorBidi"/>
          <w:sz w:val="20"/>
          <w:szCs w:val="20"/>
        </w:rPr>
      </w:pPr>
      <w:r w:rsidRPr="00286599">
        <w:rPr>
          <w:rStyle w:val="Hyperlink"/>
          <w:rFonts w:asciiTheme="majorBidi" w:hAnsiTheme="majorBidi" w:cstheme="majorBidi"/>
          <w:sz w:val="20"/>
          <w:szCs w:val="20"/>
        </w:rPr>
        <w:t xml:space="preserve">Rat, Riki. “Until He Says I Will It.” </w:t>
      </w:r>
      <w:r w:rsidRPr="00286599">
        <w:rPr>
          <w:rStyle w:val="Hyperlink"/>
          <w:rFonts w:asciiTheme="majorBidi" w:hAnsiTheme="majorBidi" w:cstheme="majorBidi"/>
          <w:i/>
          <w:iCs/>
          <w:sz w:val="20"/>
          <w:szCs w:val="20"/>
        </w:rPr>
        <w:t>Makor Rishon</w:t>
      </w:r>
      <w:r w:rsidRPr="00286599">
        <w:rPr>
          <w:rStyle w:val="Hyperlink"/>
          <w:rFonts w:asciiTheme="majorBidi" w:hAnsiTheme="majorBidi" w:cstheme="majorBidi"/>
          <w:sz w:val="20"/>
          <w:szCs w:val="20"/>
        </w:rPr>
        <w:t xml:space="preserve"> 25, (2017). (Hebrew).</w:t>
      </w:r>
    </w:p>
    <w:p w14:paraId="0A7311CF" w14:textId="77777777" w:rsidR="00F255EE" w:rsidRPr="00286599" w:rsidRDefault="00F255EE" w:rsidP="00F255EE">
      <w:pPr>
        <w:spacing w:line="360" w:lineRule="auto"/>
        <w:jc w:val="right"/>
        <w:rPr>
          <w:rStyle w:val="Hyperlink"/>
          <w:rFonts w:asciiTheme="majorBidi" w:hAnsiTheme="majorBidi" w:cstheme="majorBidi"/>
          <w:sz w:val="20"/>
          <w:szCs w:val="20"/>
        </w:rPr>
      </w:pPr>
      <w:r w:rsidRPr="00286599">
        <w:rPr>
          <w:rFonts w:asciiTheme="majorBidi" w:hAnsiTheme="majorBidi" w:cstheme="majorBidi"/>
          <w:sz w:val="20"/>
          <w:szCs w:val="20"/>
        </w:rPr>
        <w:t xml:space="preserve">Sheleg, Yair. “There is No Guarantor of Divorce.” </w:t>
      </w:r>
      <w:r w:rsidRPr="00286599">
        <w:rPr>
          <w:rFonts w:asciiTheme="majorBidi" w:hAnsiTheme="majorBidi" w:cstheme="majorBidi"/>
          <w:i/>
          <w:iCs/>
          <w:sz w:val="20"/>
          <w:szCs w:val="20"/>
        </w:rPr>
        <w:t>Makor Rishon</w:t>
      </w:r>
      <w:r w:rsidRPr="00286599">
        <w:rPr>
          <w:rFonts w:asciiTheme="majorBidi" w:hAnsiTheme="majorBidi" w:cstheme="majorBidi"/>
          <w:sz w:val="20"/>
          <w:szCs w:val="20"/>
        </w:rPr>
        <w:t xml:space="preserve"> no. 1085, (2018). (Hebrew). </w:t>
      </w:r>
    </w:p>
    <w:p w14:paraId="7B7ED902" w14:textId="77777777" w:rsidR="00F255EE" w:rsidRPr="00286599" w:rsidRDefault="00F255EE" w:rsidP="00F255EE">
      <w:pPr>
        <w:spacing w:line="360" w:lineRule="auto"/>
        <w:jc w:val="right"/>
        <w:rPr>
          <w:rFonts w:asciiTheme="majorBidi" w:hAnsiTheme="majorBidi" w:cstheme="majorBidi"/>
          <w:sz w:val="20"/>
          <w:szCs w:val="20"/>
          <w:rtl/>
          <w:lang w:val="en-CA"/>
        </w:rPr>
      </w:pPr>
      <w:r w:rsidRPr="00286599">
        <w:rPr>
          <w:rFonts w:asciiTheme="majorBidi" w:hAnsiTheme="majorBidi" w:cstheme="majorBidi"/>
          <w:sz w:val="20"/>
          <w:szCs w:val="20"/>
          <w:lang w:val="en-CA"/>
        </w:rPr>
        <w:t xml:space="preserve">Schereschewsky, Benzion. </w:t>
      </w:r>
      <w:r w:rsidRPr="00286599">
        <w:rPr>
          <w:rFonts w:asciiTheme="majorBidi" w:hAnsiTheme="majorBidi" w:cstheme="majorBidi"/>
          <w:i/>
          <w:iCs/>
          <w:sz w:val="20"/>
          <w:szCs w:val="20"/>
          <w:lang w:val="en-CA"/>
        </w:rPr>
        <w:t>Family Law in Israel</w:t>
      </w:r>
      <w:r w:rsidRPr="00286599">
        <w:rPr>
          <w:rFonts w:asciiTheme="majorBidi" w:hAnsiTheme="majorBidi" w:cstheme="majorBidi"/>
          <w:sz w:val="20"/>
          <w:szCs w:val="20"/>
          <w:lang w:val="en-CA"/>
        </w:rPr>
        <w:t xml:space="preserve">. Jerusalem: Magnes, 1993. </w:t>
      </w:r>
      <w:r w:rsidRPr="00286599">
        <w:rPr>
          <w:rFonts w:asciiTheme="majorBidi" w:hAnsiTheme="majorBidi" w:cstheme="majorBidi"/>
          <w:sz w:val="20"/>
          <w:szCs w:val="20"/>
        </w:rPr>
        <w:t>(Hebrew).</w:t>
      </w:r>
    </w:p>
    <w:p w14:paraId="4C582560"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lang w:val="en-CA"/>
        </w:rPr>
        <w:t xml:space="preserve">Sherman, Avraham. </w:t>
      </w:r>
      <w:r w:rsidRPr="00286599">
        <w:rPr>
          <w:rFonts w:asciiTheme="majorBidi" w:hAnsiTheme="majorBidi" w:cstheme="majorBidi"/>
          <w:sz w:val="20"/>
          <w:szCs w:val="20"/>
        </w:rPr>
        <w:t xml:space="preserve">“Prolonged Separations between Spouses as a Claim for Obligating a Get.” </w:t>
      </w:r>
      <w:r w:rsidRPr="00286599">
        <w:rPr>
          <w:rFonts w:asciiTheme="majorBidi" w:hAnsiTheme="majorBidi" w:cstheme="majorBidi"/>
          <w:i/>
          <w:iCs/>
          <w:sz w:val="20"/>
          <w:szCs w:val="20"/>
        </w:rPr>
        <w:t>Kenes ha’Dayanim</w:t>
      </w:r>
      <w:r w:rsidRPr="00286599">
        <w:rPr>
          <w:rFonts w:asciiTheme="majorBidi" w:hAnsiTheme="majorBidi" w:cstheme="majorBidi"/>
          <w:sz w:val="20"/>
          <w:szCs w:val="20"/>
        </w:rPr>
        <w:t>. Jerusalem: The Administration of the Rabbinic Courts, 2008. (Hebrew)</w:t>
      </w:r>
    </w:p>
    <w:p w14:paraId="6C9EB342" w14:textId="77777777" w:rsidR="00F255EE" w:rsidRPr="00286599" w:rsidRDefault="00F255EE" w:rsidP="00F255EE">
      <w:pPr>
        <w:spacing w:line="360" w:lineRule="auto"/>
        <w:jc w:val="right"/>
        <w:rPr>
          <w:rFonts w:asciiTheme="majorBidi" w:hAnsiTheme="majorBidi" w:cstheme="majorBidi"/>
          <w:color w:val="222222"/>
          <w:sz w:val="20"/>
          <w:szCs w:val="20"/>
          <w:shd w:val="clear" w:color="auto" w:fill="FFFFFF"/>
        </w:rPr>
      </w:pPr>
      <w:r w:rsidRPr="00286599">
        <w:rPr>
          <w:rFonts w:asciiTheme="majorBidi" w:hAnsiTheme="majorBidi" w:cstheme="majorBidi"/>
          <w:color w:val="222222"/>
          <w:sz w:val="20"/>
          <w:szCs w:val="20"/>
          <w:shd w:val="clear" w:color="auto" w:fill="FFFFFF"/>
        </w:rPr>
        <w:t>Shmueli, Benjamin.</w:t>
      </w:r>
      <w:r w:rsidRPr="00286599">
        <w:rPr>
          <w:rFonts w:asciiTheme="majorBidi" w:hAnsiTheme="majorBidi" w:cstheme="majorBidi"/>
          <w:i/>
          <w:iCs/>
          <w:color w:val="222222"/>
          <w:sz w:val="20"/>
          <w:szCs w:val="20"/>
          <w:shd w:val="clear" w:color="auto" w:fill="FFFFFF"/>
        </w:rPr>
        <w:t> </w:t>
      </w:r>
      <w:r w:rsidRPr="00286599">
        <w:rPr>
          <w:rFonts w:asciiTheme="majorBidi" w:hAnsiTheme="majorBidi" w:cstheme="majorBidi"/>
          <w:color w:val="222222"/>
          <w:sz w:val="20"/>
          <w:szCs w:val="20"/>
          <w:shd w:val="clear" w:color="auto" w:fill="FFFFFF"/>
        </w:rPr>
        <w:t xml:space="preserve">“Sticks, Carrots, or Hybrid Mechanism: The Test Case of Refusal to Divorce.” </w:t>
      </w:r>
      <w:r w:rsidRPr="00286599">
        <w:rPr>
          <w:rFonts w:asciiTheme="majorBidi" w:hAnsiTheme="majorBidi" w:cstheme="majorBidi"/>
          <w:i/>
          <w:iCs/>
          <w:color w:val="222222"/>
          <w:sz w:val="20"/>
          <w:szCs w:val="20"/>
          <w:shd w:val="clear" w:color="auto" w:fill="FFFFFF"/>
        </w:rPr>
        <w:t xml:space="preserve">International Journal of Constitutional Law </w:t>
      </w:r>
      <w:r w:rsidRPr="00286599">
        <w:rPr>
          <w:rFonts w:asciiTheme="majorBidi" w:hAnsiTheme="majorBidi" w:cstheme="majorBidi"/>
          <w:color w:val="222222"/>
          <w:sz w:val="20"/>
          <w:szCs w:val="20"/>
          <w:shd w:val="clear" w:color="auto" w:fill="FFFFFF"/>
        </w:rPr>
        <w:t>18, no.3 (2020): 893-919.</w:t>
      </w:r>
    </w:p>
    <w:p w14:paraId="1F4FCD96"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i/>
          <w:iCs/>
          <w:color w:val="222222"/>
          <w:sz w:val="20"/>
          <w:szCs w:val="20"/>
          <w:shd w:val="clear" w:color="auto" w:fill="FFFFFF"/>
        </w:rPr>
        <w:t> </w:t>
      </w:r>
      <w:r w:rsidRPr="00286599">
        <w:rPr>
          <w:rFonts w:asciiTheme="majorBidi" w:hAnsiTheme="majorBidi" w:cstheme="majorBidi"/>
          <w:sz w:val="20"/>
          <w:szCs w:val="20"/>
        </w:rPr>
        <w:t xml:space="preserve">Shochetman, Eliav. “Infidelity and Living with ‘Publicly Known:’ A Claim for Coercing a </w:t>
      </w:r>
      <w:r w:rsidRPr="00286599">
        <w:rPr>
          <w:rFonts w:asciiTheme="majorBidi" w:hAnsiTheme="majorBidi" w:cstheme="majorBidi"/>
          <w:i/>
          <w:iCs/>
          <w:sz w:val="20"/>
          <w:szCs w:val="20"/>
        </w:rPr>
        <w:t>Get</w:t>
      </w:r>
      <w:r w:rsidRPr="00286599">
        <w:rPr>
          <w:rFonts w:asciiTheme="majorBidi" w:hAnsiTheme="majorBidi" w:cstheme="majorBidi"/>
          <w:sz w:val="20"/>
          <w:szCs w:val="20"/>
        </w:rPr>
        <w:t xml:space="preserve">?” </w:t>
      </w:r>
      <w:r w:rsidRPr="00286599">
        <w:rPr>
          <w:rFonts w:asciiTheme="majorBidi" w:hAnsiTheme="majorBidi" w:cstheme="majorBidi"/>
          <w:i/>
          <w:iCs/>
          <w:sz w:val="20"/>
          <w:szCs w:val="20"/>
        </w:rPr>
        <w:t xml:space="preserve">Mishpaha ba’Mishpat </w:t>
      </w:r>
      <w:r w:rsidRPr="00286599">
        <w:rPr>
          <w:rFonts w:asciiTheme="majorBidi" w:hAnsiTheme="majorBidi" w:cstheme="majorBidi"/>
          <w:sz w:val="20"/>
          <w:szCs w:val="20"/>
        </w:rPr>
        <w:t xml:space="preserve">1, (2005): 256-302. (Hebrew)  </w:t>
      </w:r>
    </w:p>
    <w:p w14:paraId="538EA877" w14:textId="77777777" w:rsidR="00F255EE" w:rsidRPr="00286599" w:rsidRDefault="00F255EE" w:rsidP="00F255EE">
      <w:pPr>
        <w:spacing w:line="360" w:lineRule="auto"/>
        <w:jc w:val="right"/>
        <w:rPr>
          <w:rFonts w:asciiTheme="majorBidi" w:hAnsiTheme="majorBidi" w:cstheme="majorBidi"/>
          <w:color w:val="0000FF"/>
          <w:sz w:val="20"/>
          <w:szCs w:val="20"/>
          <w:u w:val="single"/>
        </w:rPr>
      </w:pPr>
      <w:r w:rsidRPr="00286599">
        <w:rPr>
          <w:rFonts w:asciiTheme="majorBidi" w:hAnsiTheme="majorBidi" w:cstheme="majorBidi"/>
          <w:sz w:val="20"/>
          <w:szCs w:val="20"/>
        </w:rPr>
        <w:t xml:space="preserve">Stav, David. “Shaming is Not a Solution.” </w:t>
      </w:r>
      <w:r w:rsidRPr="00286599">
        <w:rPr>
          <w:rFonts w:asciiTheme="majorBidi" w:hAnsiTheme="majorBidi" w:cstheme="majorBidi"/>
          <w:i/>
          <w:iCs/>
          <w:sz w:val="20"/>
          <w:szCs w:val="20"/>
        </w:rPr>
        <w:t>Besheva</w:t>
      </w:r>
      <w:r w:rsidRPr="00286599">
        <w:rPr>
          <w:rFonts w:asciiTheme="majorBidi" w:hAnsiTheme="majorBidi" w:cstheme="majorBidi"/>
          <w:sz w:val="20"/>
          <w:szCs w:val="20"/>
        </w:rPr>
        <w:t xml:space="preserve"> no. 795, (2018):  </w:t>
      </w:r>
      <w:hyperlink r:id="rId8" w:history="1">
        <w:r w:rsidRPr="00286599">
          <w:rPr>
            <w:rStyle w:val="Hyperlink"/>
            <w:rFonts w:asciiTheme="majorBidi" w:hAnsiTheme="majorBidi" w:cstheme="majorBidi"/>
            <w:sz w:val="20"/>
            <w:szCs w:val="20"/>
          </w:rPr>
          <w:t>https://www.inn.co.il/news/373932</w:t>
        </w:r>
      </w:hyperlink>
    </w:p>
    <w:p w14:paraId="22E1C72E"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Unger, Yaron and Orli Almagor-Lotan. </w:t>
      </w:r>
      <w:r w:rsidRPr="00286599">
        <w:rPr>
          <w:rFonts w:asciiTheme="majorBidi" w:hAnsiTheme="majorBidi" w:cstheme="majorBidi"/>
          <w:i/>
          <w:iCs/>
          <w:sz w:val="20"/>
          <w:szCs w:val="20"/>
        </w:rPr>
        <w:t>Get Refusal in Israel:  Its Halachik and Legal Background, the Scope of the Phenomenon, and Methods for Addressing It</w:t>
      </w:r>
      <w:r w:rsidRPr="00286599">
        <w:rPr>
          <w:rFonts w:asciiTheme="majorBidi" w:hAnsiTheme="majorBidi" w:cstheme="majorBidi"/>
          <w:sz w:val="20"/>
          <w:szCs w:val="20"/>
        </w:rPr>
        <w:t xml:space="preserve">. Jerusalem: Knesset Research and Information Center, 2011.  (Hebrew). </w:t>
      </w:r>
    </w:p>
    <w:p w14:paraId="4AA30368" w14:textId="77777777" w:rsidR="00F255EE" w:rsidRPr="00286599" w:rsidRDefault="00F25328" w:rsidP="00F255EE">
      <w:pPr>
        <w:pStyle w:val="a7"/>
        <w:bidi w:val="0"/>
        <w:spacing w:line="360" w:lineRule="auto"/>
        <w:rPr>
          <w:rFonts w:asciiTheme="majorBidi" w:hAnsiTheme="majorBidi" w:cstheme="majorBidi"/>
          <w:b/>
          <w:bCs/>
          <w:highlight w:val="green"/>
        </w:rPr>
      </w:pPr>
      <w:hyperlink r:id="rId9" w:history="1">
        <w:r w:rsidR="00F255EE" w:rsidRPr="00286599">
          <w:rPr>
            <w:rStyle w:val="Hyperlink"/>
            <w:rFonts w:asciiTheme="majorBidi" w:hAnsiTheme="majorBidi" w:cstheme="majorBidi"/>
            <w:b/>
            <w:bCs/>
          </w:rPr>
          <w:t>https://marriage-il.com/wp-content/uploads/2020/08/20110313-0000-Sarvanut-Gett-BeYisrael.pdf</w:t>
        </w:r>
      </w:hyperlink>
    </w:p>
    <w:p w14:paraId="6AC6827F"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Warhaftig, Zerach. </w:t>
      </w:r>
      <w:r w:rsidRPr="00286599">
        <w:rPr>
          <w:rFonts w:asciiTheme="majorBidi" w:hAnsiTheme="majorBidi" w:cstheme="majorBidi"/>
          <w:i/>
          <w:iCs/>
          <w:sz w:val="20"/>
          <w:szCs w:val="20"/>
        </w:rPr>
        <w:t>A Collection of Rulings of the Chief Rabbinic Court of Israel</w:t>
      </w:r>
      <w:r w:rsidRPr="00286599">
        <w:rPr>
          <w:rFonts w:asciiTheme="majorBidi" w:hAnsiTheme="majorBidi" w:cstheme="majorBidi"/>
          <w:sz w:val="20"/>
          <w:szCs w:val="20"/>
        </w:rPr>
        <w:t>. Jerusalem: The Institute for Jewish Law Research, 1949. (Hebrew).</w:t>
      </w:r>
    </w:p>
    <w:p w14:paraId="5C893A8C"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Warhaftig, Zerach. “Coercing a Get in Halacha and in Practice.” </w:t>
      </w:r>
      <w:r w:rsidRPr="00286599">
        <w:rPr>
          <w:rFonts w:asciiTheme="majorBidi" w:hAnsiTheme="majorBidi" w:cstheme="majorBidi"/>
          <w:i/>
          <w:iCs/>
          <w:sz w:val="20"/>
          <w:szCs w:val="20"/>
        </w:rPr>
        <w:t>Shnaton ha’Mishpat ha’Ivri</w:t>
      </w:r>
      <w:r w:rsidRPr="00286599">
        <w:rPr>
          <w:rFonts w:asciiTheme="majorBidi" w:hAnsiTheme="majorBidi" w:cstheme="majorBidi"/>
          <w:sz w:val="20"/>
          <w:szCs w:val="20"/>
        </w:rPr>
        <w:t xml:space="preserve"> 3-4, (1975-1976): 153-216.(Hebrew).</w:t>
      </w:r>
    </w:p>
    <w:p w14:paraId="1797E2CE"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Weistreich, Avishalom. </w:t>
      </w:r>
      <w:r w:rsidRPr="00286599">
        <w:rPr>
          <w:rFonts w:asciiTheme="majorBidi" w:hAnsiTheme="majorBidi" w:cstheme="majorBidi"/>
          <w:i/>
          <w:iCs/>
          <w:sz w:val="20"/>
          <w:szCs w:val="20"/>
        </w:rPr>
        <w:t xml:space="preserve">The Right to Divorce: No-Fault Divorce in the Jewish Tradition. </w:t>
      </w:r>
      <w:r w:rsidRPr="00286599">
        <w:rPr>
          <w:rFonts w:asciiTheme="majorBidi" w:hAnsiTheme="majorBidi" w:cstheme="majorBidi"/>
          <w:sz w:val="20"/>
          <w:szCs w:val="20"/>
        </w:rPr>
        <w:t>Jerusalem: The Israel Institute for Democracy, 2014. (Hebrew).</w:t>
      </w:r>
    </w:p>
    <w:p w14:paraId="38E4B96D"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Yadin, Sharon. “The Regulatory Contract and It Development in Markets and in Law.” </w:t>
      </w:r>
      <w:r w:rsidRPr="00286599">
        <w:rPr>
          <w:rFonts w:asciiTheme="majorBidi" w:hAnsiTheme="majorBidi" w:cstheme="majorBidi"/>
          <w:i/>
          <w:iCs/>
          <w:sz w:val="20"/>
          <w:szCs w:val="20"/>
        </w:rPr>
        <w:t xml:space="preserve">Misphat va’Asakim </w:t>
      </w:r>
      <w:r w:rsidRPr="00286599">
        <w:rPr>
          <w:rFonts w:asciiTheme="majorBidi" w:hAnsiTheme="majorBidi" w:cstheme="majorBidi"/>
          <w:sz w:val="20"/>
          <w:szCs w:val="20"/>
        </w:rPr>
        <w:t>23, (2018): 27-68. (Hebrew).</w:t>
      </w:r>
    </w:p>
    <w:p w14:paraId="39AA541A" w14:textId="77777777" w:rsidR="00F255EE" w:rsidRPr="00286599" w:rsidRDefault="00F25328" w:rsidP="00F255EE">
      <w:pPr>
        <w:spacing w:line="360" w:lineRule="auto"/>
        <w:jc w:val="right"/>
        <w:rPr>
          <w:rFonts w:asciiTheme="majorBidi" w:eastAsia="Times New Roman" w:hAnsiTheme="majorBidi" w:cstheme="majorBidi"/>
          <w:color w:val="222222"/>
          <w:sz w:val="20"/>
          <w:szCs w:val="20"/>
        </w:rPr>
      </w:pPr>
      <w:hyperlink r:id="rId10" w:tgtFrame="_blank" w:history="1">
        <w:r w:rsidR="00F255EE" w:rsidRPr="00286599">
          <w:rPr>
            <w:rFonts w:asciiTheme="majorBidi" w:eastAsia="Times New Roman" w:hAnsiTheme="majorBidi" w:cstheme="majorBidi"/>
            <w:color w:val="1155CC"/>
            <w:sz w:val="20"/>
            <w:szCs w:val="20"/>
            <w:u w:val="single"/>
          </w:rPr>
          <w:t>https://idclawreview.files</w:t>
        </w:r>
        <w:r w:rsidR="00F255EE" w:rsidRPr="00286599">
          <w:rPr>
            <w:rFonts w:asciiTheme="majorBidi" w:eastAsia="Times New Roman" w:hAnsiTheme="majorBidi" w:cstheme="majorBidi"/>
            <w:color w:val="1155CC"/>
            <w:sz w:val="20"/>
            <w:szCs w:val="20"/>
            <w:u w:val="single"/>
            <w:rtl/>
          </w:rPr>
          <w:t>.</w:t>
        </w:r>
        <w:r w:rsidR="00F255EE" w:rsidRPr="00286599">
          <w:rPr>
            <w:rFonts w:asciiTheme="majorBidi" w:eastAsia="Times New Roman" w:hAnsiTheme="majorBidi" w:cstheme="majorBidi"/>
            <w:color w:val="1155CC"/>
            <w:sz w:val="20"/>
            <w:szCs w:val="20"/>
            <w:u w:val="single"/>
          </w:rPr>
          <w:t>wordpress.com/2018/10/yadin</w:t>
        </w:r>
        <w:r w:rsidR="00F255EE" w:rsidRPr="00286599">
          <w:rPr>
            <w:rFonts w:asciiTheme="majorBidi" w:eastAsia="Times New Roman" w:hAnsiTheme="majorBidi" w:cstheme="majorBidi"/>
            <w:color w:val="1155CC"/>
            <w:sz w:val="20"/>
            <w:szCs w:val="20"/>
            <w:u w:val="single"/>
            <w:rtl/>
          </w:rPr>
          <w:t>.</w:t>
        </w:r>
        <w:r w:rsidR="00F255EE" w:rsidRPr="00286599">
          <w:rPr>
            <w:rFonts w:asciiTheme="majorBidi" w:eastAsia="Times New Roman" w:hAnsiTheme="majorBidi" w:cstheme="majorBidi"/>
            <w:color w:val="1155CC"/>
            <w:sz w:val="20"/>
            <w:szCs w:val="20"/>
            <w:u w:val="single"/>
          </w:rPr>
          <w:t>pdf</w:t>
        </w:r>
      </w:hyperlink>
      <w:r w:rsidR="00F255EE" w:rsidRPr="00286599">
        <w:rPr>
          <w:rFonts w:asciiTheme="majorBidi" w:eastAsia="Times New Roman" w:hAnsiTheme="majorBidi" w:cstheme="majorBidi"/>
          <w:color w:val="222222"/>
          <w:sz w:val="20"/>
          <w:szCs w:val="20"/>
          <w:rtl/>
        </w:rPr>
        <w:t> </w:t>
      </w:r>
    </w:p>
    <w:p w14:paraId="56694A8D" w14:textId="77777777" w:rsidR="00F255EE" w:rsidRPr="00286599" w:rsidRDefault="00F255EE" w:rsidP="00F255EE">
      <w:pPr>
        <w:spacing w:line="360" w:lineRule="auto"/>
        <w:jc w:val="right"/>
        <w:rPr>
          <w:rFonts w:asciiTheme="majorBidi" w:eastAsia="Times New Roman" w:hAnsiTheme="majorBidi" w:cstheme="majorBidi"/>
          <w:color w:val="222222"/>
          <w:sz w:val="20"/>
          <w:szCs w:val="20"/>
        </w:rPr>
      </w:pPr>
      <w:r w:rsidRPr="00286599">
        <w:rPr>
          <w:rFonts w:asciiTheme="majorBidi" w:eastAsia="Times New Roman" w:hAnsiTheme="majorBidi" w:cstheme="majorBidi"/>
          <w:color w:val="222222"/>
          <w:sz w:val="20"/>
          <w:szCs w:val="20"/>
        </w:rPr>
        <w:t xml:space="preserve">Yadin, Sharon. “Regulatory Shaming.” </w:t>
      </w:r>
      <w:r w:rsidRPr="00286599">
        <w:rPr>
          <w:rFonts w:asciiTheme="majorBidi" w:eastAsia="Times New Roman" w:hAnsiTheme="majorBidi" w:cstheme="majorBidi"/>
          <w:i/>
          <w:iCs/>
          <w:color w:val="222222"/>
          <w:sz w:val="20"/>
          <w:szCs w:val="20"/>
        </w:rPr>
        <w:t>Environmental Law</w:t>
      </w:r>
      <w:r w:rsidRPr="00286599">
        <w:rPr>
          <w:rFonts w:asciiTheme="majorBidi" w:eastAsia="Times New Roman" w:hAnsiTheme="majorBidi" w:cstheme="majorBidi"/>
          <w:color w:val="222222"/>
          <w:sz w:val="20"/>
          <w:szCs w:val="20"/>
        </w:rPr>
        <w:t xml:space="preserve"> 47, (2019): 407.</w:t>
      </w:r>
    </w:p>
    <w:p w14:paraId="205DECA6" w14:textId="77777777" w:rsidR="00F255EE" w:rsidRPr="00286599" w:rsidRDefault="00F255EE" w:rsidP="00F255EE">
      <w:pPr>
        <w:spacing w:line="360" w:lineRule="auto"/>
        <w:jc w:val="right"/>
        <w:rPr>
          <w:rFonts w:asciiTheme="majorBidi" w:hAnsiTheme="majorBidi" w:cstheme="majorBidi"/>
          <w:sz w:val="20"/>
          <w:szCs w:val="20"/>
          <w:highlight w:val="yellow"/>
        </w:rPr>
      </w:pPr>
      <w:r w:rsidRPr="00286599">
        <w:rPr>
          <w:rFonts w:asciiTheme="majorBidi" w:hAnsiTheme="majorBidi" w:cstheme="majorBidi"/>
          <w:sz w:val="20"/>
          <w:szCs w:val="20"/>
        </w:rPr>
        <w:t xml:space="preserve">Yadin, Sharon. “Shaming Big Pharma.” </w:t>
      </w:r>
      <w:r w:rsidRPr="00286599">
        <w:rPr>
          <w:rFonts w:asciiTheme="majorBidi" w:hAnsiTheme="majorBidi" w:cstheme="majorBidi"/>
          <w:i/>
          <w:iCs/>
          <w:sz w:val="20"/>
          <w:szCs w:val="20"/>
        </w:rPr>
        <w:t>Yale Journal on Regulation Bulletin</w:t>
      </w:r>
      <w:r w:rsidRPr="00286599">
        <w:rPr>
          <w:rFonts w:asciiTheme="majorBidi" w:hAnsiTheme="majorBidi" w:cstheme="majorBidi"/>
          <w:sz w:val="20"/>
          <w:szCs w:val="20"/>
        </w:rPr>
        <w:t xml:space="preserve"> 36, (2019): 131</w:t>
      </w:r>
    </w:p>
    <w:p w14:paraId="4E4C6596"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Yadin, Sharon. "The Expressive Space of Regulation:  Should the State Shame?” </w:t>
      </w:r>
      <w:r w:rsidRPr="00286599">
        <w:rPr>
          <w:rFonts w:asciiTheme="majorBidi" w:hAnsiTheme="majorBidi" w:cstheme="majorBidi"/>
          <w:i/>
          <w:iCs/>
          <w:sz w:val="20"/>
          <w:szCs w:val="20"/>
        </w:rPr>
        <w:t xml:space="preserve">Misphat va’Asakim </w:t>
      </w:r>
      <w:r w:rsidRPr="00286599">
        <w:rPr>
          <w:rFonts w:asciiTheme="majorBidi" w:hAnsiTheme="majorBidi" w:cstheme="majorBidi"/>
          <w:sz w:val="20"/>
          <w:szCs w:val="20"/>
        </w:rPr>
        <w:t>vol.23, (2021):577-625. (Hebrew).</w:t>
      </w:r>
    </w:p>
    <w:p w14:paraId="63E1F7B1"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Yadin, Sharon. “E-Regulation.” </w:t>
      </w:r>
      <w:r w:rsidRPr="00286599">
        <w:rPr>
          <w:rFonts w:asciiTheme="majorBidi" w:hAnsiTheme="majorBidi" w:cstheme="majorBidi"/>
          <w:i/>
          <w:iCs/>
          <w:sz w:val="20"/>
          <w:szCs w:val="20"/>
        </w:rPr>
        <w:t>Cardozo Arts &amp; Entertainment Law Journal</w:t>
      </w:r>
      <w:r w:rsidRPr="00286599">
        <w:rPr>
          <w:rFonts w:asciiTheme="majorBidi" w:hAnsiTheme="majorBidi" w:cstheme="majorBidi"/>
          <w:sz w:val="20"/>
          <w:szCs w:val="20"/>
        </w:rPr>
        <w:t xml:space="preserve"> 38, (2020):101-152. (Hebrew)</w:t>
      </w:r>
    </w:p>
    <w:p w14:paraId="6EE83716" w14:textId="77777777" w:rsidR="00F255EE" w:rsidRPr="00286599" w:rsidRDefault="00F255EE" w:rsidP="00F255EE">
      <w:pPr>
        <w:spacing w:line="360" w:lineRule="auto"/>
        <w:jc w:val="right"/>
        <w:rPr>
          <w:rFonts w:asciiTheme="majorBidi" w:hAnsiTheme="majorBidi" w:cstheme="majorBidi"/>
          <w:sz w:val="20"/>
          <w:szCs w:val="20"/>
        </w:rPr>
      </w:pPr>
      <w:r w:rsidRPr="00286599">
        <w:rPr>
          <w:rFonts w:asciiTheme="majorBidi" w:hAnsiTheme="majorBidi" w:cstheme="majorBidi"/>
          <w:sz w:val="20"/>
          <w:szCs w:val="20"/>
        </w:rPr>
        <w:t xml:space="preserve">Yavetz, Yitzhak Meir.  “Using Shaming for Get Refusal.” </w:t>
      </w:r>
      <w:r w:rsidRPr="00286599">
        <w:rPr>
          <w:rFonts w:asciiTheme="majorBidi" w:hAnsiTheme="majorBidi" w:cstheme="majorBidi"/>
          <w:i/>
          <w:iCs/>
          <w:sz w:val="20"/>
          <w:szCs w:val="20"/>
        </w:rPr>
        <w:t xml:space="preserve">Tehumin </w:t>
      </w:r>
      <w:r w:rsidRPr="00286599">
        <w:rPr>
          <w:rFonts w:asciiTheme="majorBidi" w:hAnsiTheme="majorBidi" w:cstheme="majorBidi"/>
          <w:sz w:val="20"/>
          <w:szCs w:val="20"/>
        </w:rPr>
        <w:t>37, (2016): 307-312.(Hebrew)</w:t>
      </w:r>
    </w:p>
    <w:p w14:paraId="5D963583" w14:textId="77777777" w:rsidR="00F255EE" w:rsidRPr="00286599" w:rsidRDefault="00F255EE" w:rsidP="00F255EE">
      <w:pPr>
        <w:spacing w:line="360" w:lineRule="auto"/>
        <w:jc w:val="right"/>
        <w:rPr>
          <w:rFonts w:asciiTheme="majorBidi" w:hAnsiTheme="majorBidi" w:cstheme="majorBidi"/>
          <w:i/>
          <w:iCs/>
          <w:sz w:val="20"/>
          <w:szCs w:val="20"/>
        </w:rPr>
      </w:pPr>
      <w:r w:rsidRPr="00286599">
        <w:rPr>
          <w:rFonts w:asciiTheme="majorBidi" w:hAnsiTheme="majorBidi" w:cstheme="majorBidi"/>
          <w:sz w:val="20"/>
          <w:szCs w:val="20"/>
        </w:rPr>
        <w:t xml:space="preserve">Yifrach,Yehuda. “Cursed Villians.” </w:t>
      </w:r>
      <w:r w:rsidRPr="00286599">
        <w:rPr>
          <w:rFonts w:asciiTheme="majorBidi" w:hAnsiTheme="majorBidi" w:cstheme="majorBidi"/>
          <w:i/>
          <w:iCs/>
          <w:sz w:val="20"/>
          <w:szCs w:val="20"/>
        </w:rPr>
        <w:t>Yoman</w:t>
      </w:r>
      <w:r w:rsidRPr="00286599">
        <w:rPr>
          <w:rFonts w:asciiTheme="majorBidi" w:hAnsiTheme="majorBidi" w:cstheme="majorBidi"/>
          <w:sz w:val="20"/>
          <w:szCs w:val="20"/>
        </w:rPr>
        <w:t xml:space="preserve"> </w:t>
      </w:r>
      <w:r w:rsidRPr="00286599">
        <w:rPr>
          <w:rFonts w:asciiTheme="majorBidi" w:hAnsiTheme="majorBidi" w:cstheme="majorBidi"/>
          <w:i/>
          <w:iCs/>
          <w:sz w:val="20"/>
          <w:szCs w:val="20"/>
        </w:rPr>
        <w:t xml:space="preserve">Makor Rishon </w:t>
      </w:r>
      <w:r w:rsidRPr="00286599">
        <w:rPr>
          <w:rFonts w:asciiTheme="majorBidi" w:hAnsiTheme="majorBidi" w:cstheme="majorBidi"/>
          <w:sz w:val="20"/>
          <w:szCs w:val="20"/>
        </w:rPr>
        <w:t>968, (2016): 8-9. (Hebrew).</w:t>
      </w:r>
    </w:p>
    <w:p w14:paraId="668FB96E" w14:textId="77777777" w:rsidR="00F255EE" w:rsidRPr="00286599" w:rsidRDefault="00F255EE" w:rsidP="00F255EE">
      <w:pPr>
        <w:spacing w:line="360" w:lineRule="auto"/>
        <w:jc w:val="right"/>
        <w:rPr>
          <w:rFonts w:asciiTheme="majorBidi" w:hAnsiTheme="majorBidi" w:cstheme="majorBidi"/>
          <w:sz w:val="20"/>
          <w:szCs w:val="20"/>
          <w:lang w:val="en-CA"/>
        </w:rPr>
      </w:pPr>
      <w:r w:rsidRPr="00286599">
        <w:rPr>
          <w:rFonts w:asciiTheme="majorBidi" w:hAnsiTheme="majorBidi" w:cstheme="majorBidi"/>
          <w:sz w:val="20"/>
          <w:szCs w:val="20"/>
        </w:rPr>
        <w:t xml:space="preserve">Yisraeli, Shaul.  “On Coercion and Consent in Divorce.” </w:t>
      </w:r>
      <w:r w:rsidRPr="00286599">
        <w:rPr>
          <w:rFonts w:asciiTheme="majorBidi" w:hAnsiTheme="majorBidi" w:cstheme="majorBidi"/>
          <w:i/>
          <w:iCs/>
          <w:sz w:val="20"/>
          <w:szCs w:val="20"/>
        </w:rPr>
        <w:t>Torah She’Ba’al Peh</w:t>
      </w:r>
      <w:r w:rsidRPr="00286599">
        <w:rPr>
          <w:rFonts w:asciiTheme="majorBidi" w:hAnsiTheme="majorBidi" w:cstheme="majorBidi"/>
          <w:sz w:val="20"/>
          <w:szCs w:val="20"/>
        </w:rPr>
        <w:t xml:space="preserve"> 12, (1969): 32-38. (Hebrew).</w:t>
      </w:r>
    </w:p>
    <w:p w14:paraId="32C99ECF" w14:textId="77777777" w:rsidR="00F255EE" w:rsidRPr="00286599" w:rsidRDefault="00F255EE" w:rsidP="00F255EE">
      <w:pPr>
        <w:spacing w:line="360" w:lineRule="auto"/>
        <w:jc w:val="right"/>
        <w:rPr>
          <w:rFonts w:asciiTheme="majorBidi" w:hAnsiTheme="majorBidi" w:cstheme="majorBidi"/>
          <w:sz w:val="20"/>
          <w:szCs w:val="20"/>
          <w:lang w:val="en-CA"/>
        </w:rPr>
      </w:pPr>
      <w:r w:rsidRPr="00286599">
        <w:rPr>
          <w:rFonts w:asciiTheme="majorBidi" w:hAnsiTheme="majorBidi" w:cstheme="majorBidi"/>
          <w:sz w:val="20"/>
          <w:szCs w:val="20"/>
          <w:lang w:val="en-CA"/>
        </w:rPr>
        <w:t xml:space="preserve">Zilberg, Moshe.  </w:t>
      </w:r>
      <w:r w:rsidRPr="00286599">
        <w:rPr>
          <w:rFonts w:asciiTheme="majorBidi" w:hAnsiTheme="majorBidi" w:cstheme="majorBidi"/>
          <w:i/>
          <w:iCs/>
          <w:sz w:val="20"/>
          <w:szCs w:val="20"/>
          <w:lang w:val="en-CA"/>
        </w:rPr>
        <w:t xml:space="preserve">Personal Status in Israel. </w:t>
      </w:r>
      <w:r w:rsidRPr="00286599">
        <w:rPr>
          <w:rFonts w:asciiTheme="majorBidi" w:hAnsiTheme="majorBidi" w:cstheme="majorBidi"/>
          <w:sz w:val="20"/>
          <w:szCs w:val="20"/>
          <w:lang w:val="en-CA"/>
        </w:rPr>
        <w:t>Jerusalem: Mifal Ha’Shichpul, 1957. (Hebrew).</w:t>
      </w:r>
    </w:p>
    <w:p w14:paraId="7BDE299C" w14:textId="77777777" w:rsidR="00F255EE" w:rsidRPr="00286599" w:rsidRDefault="00F255EE" w:rsidP="00F255EE">
      <w:pPr>
        <w:spacing w:line="360" w:lineRule="auto"/>
        <w:jc w:val="right"/>
        <w:rPr>
          <w:rFonts w:asciiTheme="majorBidi" w:hAnsiTheme="majorBidi" w:cstheme="majorBidi"/>
          <w:sz w:val="20"/>
          <w:szCs w:val="20"/>
          <w:rtl/>
        </w:rPr>
      </w:pPr>
      <w:r w:rsidRPr="00286599">
        <w:rPr>
          <w:rFonts w:asciiTheme="majorBidi" w:hAnsiTheme="majorBidi" w:cstheme="majorBidi"/>
          <w:sz w:val="20"/>
          <w:szCs w:val="20"/>
        </w:rPr>
        <w:t xml:space="preserve">Zilberger, Shai and Amihai Redziner. “Revival of the ‘Dead Marriage’ Claim: The Method of R. Yeruham in Rabbinic Courts.” </w:t>
      </w:r>
      <w:r w:rsidRPr="00286599">
        <w:rPr>
          <w:rFonts w:asciiTheme="majorBidi" w:hAnsiTheme="majorBidi" w:cstheme="majorBidi"/>
          <w:i/>
          <w:iCs/>
          <w:sz w:val="20"/>
          <w:szCs w:val="20"/>
        </w:rPr>
        <w:t xml:space="preserve">Mishpatim </w:t>
      </w:r>
      <w:r w:rsidRPr="00286599">
        <w:rPr>
          <w:rFonts w:asciiTheme="majorBidi" w:hAnsiTheme="majorBidi" w:cstheme="majorBidi"/>
          <w:sz w:val="20"/>
          <w:szCs w:val="20"/>
        </w:rPr>
        <w:t>49, (2018):113-168(Hebrew).</w:t>
      </w:r>
    </w:p>
    <w:p w14:paraId="14EF51A4" w14:textId="77777777" w:rsidR="00F255EE" w:rsidRDefault="00F255EE" w:rsidP="00F255EE">
      <w:pPr>
        <w:spacing w:line="360" w:lineRule="auto"/>
        <w:jc w:val="right"/>
        <w:rPr>
          <w:rFonts w:asciiTheme="majorBidi" w:hAnsiTheme="majorBidi" w:cstheme="majorBidi"/>
          <w:sz w:val="20"/>
          <w:szCs w:val="20"/>
          <w:lang w:val="en-CA"/>
        </w:rPr>
      </w:pPr>
      <w:r w:rsidRPr="00286599">
        <w:rPr>
          <w:rFonts w:asciiTheme="majorBidi" w:hAnsiTheme="majorBidi" w:cstheme="majorBidi"/>
          <w:sz w:val="20"/>
          <w:szCs w:val="20"/>
          <w:lang w:val="en-CA"/>
        </w:rPr>
        <w:t xml:space="preserve">Zoldan, Yehuda. “Public Shaming in Social Networks.” </w:t>
      </w:r>
      <w:r w:rsidRPr="00286599">
        <w:rPr>
          <w:rFonts w:asciiTheme="majorBidi" w:hAnsiTheme="majorBidi" w:cstheme="majorBidi"/>
          <w:i/>
          <w:iCs/>
          <w:sz w:val="20"/>
          <w:szCs w:val="20"/>
          <w:lang w:val="en-CA"/>
        </w:rPr>
        <w:t xml:space="preserve">Tehumin </w:t>
      </w:r>
      <w:r w:rsidRPr="00286599">
        <w:rPr>
          <w:rFonts w:asciiTheme="majorBidi" w:hAnsiTheme="majorBidi" w:cstheme="majorBidi"/>
          <w:sz w:val="20"/>
          <w:szCs w:val="20"/>
          <w:lang w:val="en-CA"/>
        </w:rPr>
        <w:t>37 (2016): 294-306. (Hebrew).</w:t>
      </w:r>
    </w:p>
    <w:p w14:paraId="630D6C90" w14:textId="211FCD9E" w:rsidR="000643A2" w:rsidRPr="000651AF" w:rsidRDefault="00945B6E" w:rsidP="00F255EE">
      <w:pPr>
        <w:spacing w:line="360" w:lineRule="auto"/>
        <w:jc w:val="right"/>
        <w:rPr>
          <w:rFonts w:asciiTheme="majorBidi" w:hAnsiTheme="majorBidi" w:cstheme="majorBidi"/>
          <w:sz w:val="20"/>
          <w:szCs w:val="20"/>
          <w:highlight w:val="cyan"/>
          <w:rtl/>
          <w:lang w:val="en-CA"/>
        </w:rPr>
      </w:pPr>
      <w:r w:rsidRPr="000651AF">
        <w:rPr>
          <w:rFonts w:asciiTheme="majorBidi" w:hAnsiTheme="majorBidi" w:cstheme="majorBidi" w:hint="cs"/>
          <w:sz w:val="20"/>
          <w:szCs w:val="20"/>
          <w:highlight w:val="cyan"/>
          <w:rtl/>
          <w:lang w:val="en-CA"/>
        </w:rPr>
        <w:t>להוסיף:</w:t>
      </w:r>
      <w:r w:rsidR="009F1E64">
        <w:rPr>
          <w:rFonts w:asciiTheme="majorBidi" w:hAnsiTheme="majorBidi" w:cstheme="majorBidi" w:hint="cs"/>
          <w:sz w:val="20"/>
          <w:szCs w:val="20"/>
          <w:highlight w:val="cyan"/>
          <w:rtl/>
          <w:lang w:val="en-CA"/>
        </w:rPr>
        <w:t xml:space="preserve"> ל</w:t>
      </w:r>
      <w:r w:rsidRPr="000651AF">
        <w:rPr>
          <w:rFonts w:asciiTheme="majorBidi" w:hAnsiTheme="majorBidi" w:cstheme="majorBidi" w:hint="cs"/>
          <w:sz w:val="20"/>
          <w:szCs w:val="20"/>
          <w:highlight w:val="cyan"/>
          <w:rtl/>
          <w:lang w:val="en-CA"/>
        </w:rPr>
        <w:t xml:space="preserve"> </w:t>
      </w:r>
    </w:p>
    <w:p w14:paraId="5783D65B" w14:textId="08BA0C7B" w:rsidR="00300AD3" w:rsidRPr="000651AF" w:rsidRDefault="000D7E7A" w:rsidP="00300AD3">
      <w:pPr>
        <w:pStyle w:val="a7"/>
        <w:rPr>
          <w:highlight w:val="cyan"/>
        </w:rPr>
      </w:pPr>
      <w:bookmarkStart w:id="30" w:name="_Hlk93867076"/>
      <w:r w:rsidRPr="000651AF">
        <w:rPr>
          <w:rFonts w:hint="cs"/>
          <w:highlight w:val="cyan"/>
          <w:rtl/>
        </w:rPr>
        <w:t>קורצטאג, משה</w:t>
      </w:r>
      <w:r w:rsidR="00300AD3" w:rsidRPr="000651AF">
        <w:rPr>
          <w:rFonts w:hint="cs"/>
          <w:highlight w:val="cyan"/>
          <w:rtl/>
        </w:rPr>
        <w:t>, "התמודדויות בבית הדין- עגינות וסוגיות נוספות", כנס הדיינים תשע"ח, עמ' 1- 6.</w:t>
      </w:r>
      <w:r w:rsidR="00300AD3" w:rsidRPr="000651AF">
        <w:rPr>
          <w:highlight w:val="cyan"/>
        </w:rPr>
        <w:t xml:space="preserve">(Hebrew) </w:t>
      </w:r>
    </w:p>
    <w:p w14:paraId="77C350D9" w14:textId="77777777" w:rsidR="00300AD3" w:rsidRPr="000651AF" w:rsidRDefault="00300AD3" w:rsidP="00300AD3">
      <w:pPr>
        <w:pStyle w:val="a7"/>
        <w:jc w:val="center"/>
        <w:rPr>
          <w:highlight w:val="cyan"/>
          <w:rtl/>
        </w:rPr>
      </w:pPr>
    </w:p>
    <w:p w14:paraId="4CF7C410" w14:textId="153A3F98" w:rsidR="00AD3CFF" w:rsidRPr="000651AF" w:rsidRDefault="000D7E7A" w:rsidP="00300AD3">
      <w:pPr>
        <w:rPr>
          <w:highlight w:val="cyan"/>
          <w:rtl/>
        </w:rPr>
      </w:pPr>
      <w:r w:rsidRPr="000651AF">
        <w:rPr>
          <w:rFonts w:hint="cs"/>
          <w:highlight w:val="cyan"/>
          <w:rtl/>
        </w:rPr>
        <w:t xml:space="preserve">זילברמן, </w:t>
      </w:r>
      <w:r w:rsidR="00300AD3" w:rsidRPr="000651AF">
        <w:rPr>
          <w:rFonts w:hint="cs"/>
          <w:highlight w:val="cyan"/>
          <w:rtl/>
        </w:rPr>
        <w:t xml:space="preserve">מיכאל, "הרחקות דרבינו תם והפגנות נגד מסרבי גט", שערי צדק, יט, עמ'136-131 </w:t>
      </w:r>
      <w:r w:rsidR="00300AD3" w:rsidRPr="000651AF">
        <w:rPr>
          <w:rFonts w:hint="cs"/>
          <w:highlight w:val="cyan"/>
        </w:rPr>
        <w:t>H</w:t>
      </w:r>
      <w:r w:rsidR="00300AD3" w:rsidRPr="000651AF">
        <w:rPr>
          <w:highlight w:val="cyan"/>
        </w:rPr>
        <w:t>ebrew)</w:t>
      </w:r>
      <w:r w:rsidR="00300AD3" w:rsidRPr="000651AF">
        <w:rPr>
          <w:rFonts w:hint="cs"/>
          <w:highlight w:val="cyan"/>
          <w:rtl/>
        </w:rPr>
        <w:t>)</w:t>
      </w:r>
    </w:p>
    <w:p w14:paraId="775BA465" w14:textId="32E5BED7" w:rsidR="00945B6E" w:rsidRPr="000651AF" w:rsidRDefault="00945B6E" w:rsidP="00F255EE">
      <w:pPr>
        <w:spacing w:line="360" w:lineRule="auto"/>
        <w:jc w:val="right"/>
        <w:rPr>
          <w:rFonts w:asciiTheme="majorBidi" w:hAnsiTheme="majorBidi" w:cstheme="majorBidi"/>
          <w:sz w:val="20"/>
          <w:szCs w:val="20"/>
          <w:highlight w:val="cyan"/>
        </w:rPr>
      </w:pPr>
      <w:bookmarkStart w:id="31" w:name="_Hlk93864965"/>
      <w:bookmarkEnd w:id="30"/>
      <w:r w:rsidRPr="000651AF">
        <w:rPr>
          <w:rFonts w:asciiTheme="majorBidi" w:hAnsiTheme="majorBidi" w:cstheme="majorBidi" w:hint="cs"/>
          <w:sz w:val="20"/>
          <w:szCs w:val="20"/>
          <w:highlight w:val="cyan"/>
          <w:lang w:val="en-CA"/>
        </w:rPr>
        <w:t>B</w:t>
      </w:r>
      <w:r w:rsidRPr="000651AF">
        <w:rPr>
          <w:rFonts w:asciiTheme="majorBidi" w:hAnsiTheme="majorBidi" w:cstheme="majorBidi"/>
          <w:sz w:val="20"/>
          <w:szCs w:val="20"/>
          <w:highlight w:val="cyan"/>
        </w:rPr>
        <w:t>enson, Ian, “The case for Religious inclusivism and judicial recognition of religious associational</w:t>
      </w:r>
      <w:r w:rsidR="0026156A" w:rsidRPr="000651AF">
        <w:rPr>
          <w:rFonts w:asciiTheme="majorBidi" w:hAnsiTheme="majorBidi" w:cstheme="majorBidi"/>
          <w:sz w:val="20"/>
          <w:szCs w:val="20"/>
          <w:highlight w:val="cyan"/>
        </w:rPr>
        <w:t xml:space="preserve"> rights: A Response to Lenta", </w:t>
      </w:r>
      <w:r w:rsidR="0026156A" w:rsidRPr="000651AF">
        <w:rPr>
          <w:rFonts w:asciiTheme="majorBidi" w:hAnsiTheme="majorBidi" w:cstheme="majorBidi"/>
          <w:i/>
          <w:iCs/>
          <w:sz w:val="20"/>
          <w:szCs w:val="20"/>
          <w:highlight w:val="cyan"/>
        </w:rPr>
        <w:t xml:space="preserve">Constitutional Court Review </w:t>
      </w:r>
      <w:r w:rsidR="0026156A" w:rsidRPr="000651AF">
        <w:rPr>
          <w:rFonts w:asciiTheme="majorBidi" w:hAnsiTheme="majorBidi" w:cstheme="majorBidi"/>
          <w:sz w:val="20"/>
          <w:szCs w:val="20"/>
          <w:highlight w:val="cyan"/>
        </w:rPr>
        <w:t>1(2008),</w:t>
      </w:r>
      <w:r w:rsidR="005F452C" w:rsidRPr="000651AF">
        <w:rPr>
          <w:rFonts w:asciiTheme="majorBidi" w:hAnsiTheme="majorBidi" w:cstheme="majorBidi"/>
          <w:sz w:val="20"/>
          <w:szCs w:val="20"/>
          <w:highlight w:val="cyan"/>
        </w:rPr>
        <w:t xml:space="preserve"> 297-312.</w:t>
      </w:r>
    </w:p>
    <w:bookmarkEnd w:id="31"/>
    <w:p w14:paraId="1319E25B" w14:textId="01972F4B" w:rsidR="000643A2" w:rsidRPr="000651AF" w:rsidRDefault="00F02C0D" w:rsidP="00992D1B">
      <w:pPr>
        <w:spacing w:line="360" w:lineRule="auto"/>
        <w:jc w:val="right"/>
        <w:rPr>
          <w:sz w:val="20"/>
          <w:szCs w:val="20"/>
          <w:highlight w:val="cyan"/>
          <w:rtl/>
        </w:rPr>
      </w:pPr>
      <w:r w:rsidRPr="000651AF">
        <w:rPr>
          <w:rFonts w:asciiTheme="majorBidi" w:hAnsiTheme="majorBidi" w:cstheme="majorBidi" w:hint="cs"/>
          <w:i/>
          <w:iCs/>
          <w:sz w:val="20"/>
          <w:szCs w:val="20"/>
          <w:highlight w:val="cyan"/>
        </w:rPr>
        <w:t>T</w:t>
      </w:r>
      <w:r w:rsidRPr="000651AF">
        <w:rPr>
          <w:rFonts w:asciiTheme="majorBidi" w:hAnsiTheme="majorBidi" w:cstheme="majorBidi"/>
          <w:i/>
          <w:iCs/>
          <w:sz w:val="20"/>
          <w:szCs w:val="20"/>
          <w:highlight w:val="cyan"/>
        </w:rPr>
        <w:t>ay</w:t>
      </w:r>
      <w:r w:rsidR="00635458" w:rsidRPr="000651AF">
        <w:rPr>
          <w:rFonts w:asciiTheme="majorBidi" w:hAnsiTheme="majorBidi" w:cstheme="majorBidi"/>
          <w:i/>
          <w:iCs/>
          <w:sz w:val="20"/>
          <w:szCs w:val="20"/>
          <w:highlight w:val="cyan"/>
        </w:rPr>
        <w:t>l</w:t>
      </w:r>
      <w:r w:rsidRPr="000651AF">
        <w:rPr>
          <w:rFonts w:asciiTheme="majorBidi" w:hAnsiTheme="majorBidi" w:cstheme="majorBidi"/>
          <w:i/>
          <w:iCs/>
          <w:sz w:val="20"/>
          <w:szCs w:val="20"/>
          <w:highlight w:val="cyan"/>
        </w:rPr>
        <w:t>or v Kurztag</w:t>
      </w:r>
      <w:r w:rsidRPr="000651AF">
        <w:rPr>
          <w:rFonts w:asciiTheme="majorBidi" w:hAnsiTheme="majorBidi" w:cstheme="majorBidi"/>
          <w:sz w:val="20"/>
          <w:szCs w:val="20"/>
          <w:highlight w:val="cyan"/>
        </w:rPr>
        <w:t xml:space="preserve"> </w:t>
      </w:r>
      <w:r w:rsidRPr="000651AF">
        <w:rPr>
          <w:rFonts w:asciiTheme="majorBidi" w:hAnsiTheme="majorBidi" w:cstheme="majorBidi"/>
          <w:i/>
          <w:iCs/>
          <w:sz w:val="20"/>
          <w:szCs w:val="20"/>
          <w:highlight w:val="cyan"/>
        </w:rPr>
        <w:t xml:space="preserve">No and </w:t>
      </w:r>
      <w:r w:rsidR="00635458" w:rsidRPr="000651AF">
        <w:rPr>
          <w:rFonts w:asciiTheme="majorBidi" w:hAnsiTheme="majorBidi" w:cstheme="majorBidi"/>
          <w:i/>
          <w:iCs/>
          <w:sz w:val="20"/>
          <w:szCs w:val="20"/>
          <w:highlight w:val="cyan"/>
        </w:rPr>
        <w:t>O</w:t>
      </w:r>
      <w:r w:rsidRPr="000651AF">
        <w:rPr>
          <w:rFonts w:asciiTheme="majorBidi" w:hAnsiTheme="majorBidi" w:cstheme="majorBidi"/>
          <w:i/>
          <w:iCs/>
          <w:sz w:val="20"/>
          <w:szCs w:val="20"/>
          <w:highlight w:val="cyan"/>
        </w:rPr>
        <w:t>thers</w:t>
      </w:r>
      <w:r w:rsidRPr="000651AF">
        <w:rPr>
          <w:rFonts w:asciiTheme="majorBidi" w:hAnsiTheme="majorBidi" w:cstheme="majorBidi"/>
          <w:sz w:val="20"/>
          <w:szCs w:val="20"/>
          <w:highlight w:val="cyan"/>
        </w:rPr>
        <w:t xml:space="preserve"> 2005 (1) SA 362 (W)</w:t>
      </w:r>
    </w:p>
    <w:p w14:paraId="2C48C553" w14:textId="0E3748AD" w:rsidR="00992D1B" w:rsidRPr="000651AF" w:rsidRDefault="005F452C" w:rsidP="00992D1B">
      <w:pPr>
        <w:pStyle w:val="PB"/>
        <w:rPr>
          <w:sz w:val="20"/>
          <w:szCs w:val="20"/>
          <w:highlight w:val="cyan"/>
          <w:lang w:bidi="he-IL"/>
        </w:rPr>
      </w:pPr>
      <w:r w:rsidRPr="000651AF">
        <w:rPr>
          <w:sz w:val="20"/>
          <w:szCs w:val="20"/>
          <w:highlight w:val="cyan"/>
          <w:lang w:bidi="he-IL"/>
        </w:rPr>
        <w:t>Woolman,</w:t>
      </w:r>
      <w:r w:rsidR="00D104E9" w:rsidRPr="000651AF">
        <w:rPr>
          <w:sz w:val="20"/>
          <w:szCs w:val="20"/>
          <w:highlight w:val="cyan"/>
          <w:lang w:bidi="he-IL"/>
        </w:rPr>
        <w:t xml:space="preserve"> Stuart,</w:t>
      </w:r>
      <w:r w:rsidRPr="000651AF">
        <w:rPr>
          <w:sz w:val="20"/>
          <w:szCs w:val="20"/>
          <w:highlight w:val="cyan"/>
          <w:lang w:bidi="he-IL"/>
        </w:rPr>
        <w:t xml:space="preserve"> </w:t>
      </w:r>
      <w:r w:rsidR="0081095E" w:rsidRPr="000651AF">
        <w:rPr>
          <w:sz w:val="20"/>
          <w:szCs w:val="20"/>
          <w:highlight w:val="cyan"/>
          <w:lang w:bidi="he-IL"/>
        </w:rPr>
        <w:t>"Defending Discrimination: O</w:t>
      </w:r>
      <w:r w:rsidR="00992D1B" w:rsidRPr="000651AF">
        <w:rPr>
          <w:sz w:val="20"/>
          <w:szCs w:val="20"/>
          <w:highlight w:val="cyan"/>
          <w:lang w:bidi="he-IL"/>
        </w:rPr>
        <w:t>n</w:t>
      </w:r>
      <w:r w:rsidR="0081095E" w:rsidRPr="000651AF">
        <w:rPr>
          <w:sz w:val="20"/>
          <w:szCs w:val="20"/>
          <w:highlight w:val="cyan"/>
          <w:lang w:bidi="he-IL"/>
        </w:rPr>
        <w:t xml:space="preserve"> </w:t>
      </w:r>
      <w:r w:rsidR="00992D1B" w:rsidRPr="000651AF">
        <w:rPr>
          <w:sz w:val="20"/>
          <w:szCs w:val="20"/>
          <w:highlight w:val="cyan"/>
          <w:lang w:bidi="he-IL"/>
        </w:rPr>
        <w:t>the constitutionality of independent schools that remote a particular, if not comprehensive, vision of the good life",</w:t>
      </w:r>
      <w:r w:rsidRPr="000651AF">
        <w:rPr>
          <w:sz w:val="20"/>
          <w:szCs w:val="20"/>
          <w:highlight w:val="cyan"/>
          <w:lang w:bidi="he-IL"/>
        </w:rPr>
        <w:t xml:space="preserve"> </w:t>
      </w:r>
      <w:r w:rsidRPr="000651AF">
        <w:rPr>
          <w:i/>
          <w:iCs/>
          <w:sz w:val="20"/>
          <w:szCs w:val="20"/>
          <w:highlight w:val="cyan"/>
          <w:lang w:bidi="he-IL"/>
        </w:rPr>
        <w:t>Stell LR</w:t>
      </w:r>
      <w:r w:rsidRPr="000651AF">
        <w:rPr>
          <w:sz w:val="20"/>
          <w:szCs w:val="20"/>
          <w:highlight w:val="cyan"/>
          <w:lang w:bidi="he-IL"/>
        </w:rPr>
        <w:t xml:space="preserve"> 1 (2007), 31-52.</w:t>
      </w:r>
    </w:p>
    <w:p w14:paraId="5AB7F968" w14:textId="77777777" w:rsidR="001B28C6" w:rsidRPr="000651AF" w:rsidRDefault="001B28C6" w:rsidP="00AD3CFF">
      <w:pPr>
        <w:pStyle w:val="PB"/>
        <w:rPr>
          <w:sz w:val="20"/>
          <w:szCs w:val="20"/>
          <w:highlight w:val="cyan"/>
        </w:rPr>
      </w:pPr>
    </w:p>
    <w:p w14:paraId="512ECB9E" w14:textId="4D61BDC3" w:rsidR="00AD3CFF" w:rsidRPr="001B28C6" w:rsidRDefault="001B28C6" w:rsidP="001B28C6">
      <w:pPr>
        <w:pStyle w:val="PB"/>
        <w:rPr>
          <w:i/>
          <w:iCs/>
          <w:sz w:val="20"/>
          <w:szCs w:val="20"/>
          <w:lang w:bidi="he-IL"/>
        </w:rPr>
      </w:pPr>
      <w:bookmarkStart w:id="32" w:name="_Hlk93864449"/>
      <w:r w:rsidRPr="000651AF">
        <w:rPr>
          <w:sz w:val="20"/>
          <w:szCs w:val="20"/>
          <w:highlight w:val="cyan"/>
        </w:rPr>
        <w:t>Amoah, Jewel and Bennett, Tom, "Affirmation and celebration of the ‘religious Other’ in South Africa’s constitutional jurisprudence on religious and related rights: Memorial constitutionalism in action?</w:t>
      </w:r>
      <w:r w:rsidRPr="000651AF">
        <w:rPr>
          <w:i/>
          <w:iCs/>
          <w:sz w:val="20"/>
          <w:szCs w:val="20"/>
          <w:highlight w:val="cyan"/>
          <w:lang w:bidi="he-IL"/>
        </w:rPr>
        <w:t>",</w:t>
      </w:r>
      <w:r w:rsidR="00AD3CFF" w:rsidRPr="000651AF">
        <w:rPr>
          <w:i/>
          <w:iCs/>
          <w:sz w:val="20"/>
          <w:szCs w:val="20"/>
          <w:highlight w:val="cyan"/>
          <w:lang w:bidi="he-IL"/>
        </w:rPr>
        <w:t>African human rights law journal</w:t>
      </w:r>
      <w:r w:rsidR="00AD3CFF" w:rsidRPr="000651AF">
        <w:rPr>
          <w:sz w:val="20"/>
          <w:szCs w:val="20"/>
          <w:highlight w:val="cyan"/>
          <w:lang w:bidi="he-IL"/>
        </w:rPr>
        <w:t xml:space="preserve"> 8, 2 (2008)</w:t>
      </w:r>
      <w:r w:rsidRPr="000651AF">
        <w:rPr>
          <w:sz w:val="20"/>
          <w:szCs w:val="20"/>
          <w:highlight w:val="cyan"/>
          <w:lang w:bidi="he-IL"/>
        </w:rPr>
        <w:t>, 357-375.</w:t>
      </w:r>
      <w:r w:rsidR="00AD3CFF" w:rsidRPr="000D7E7A">
        <w:rPr>
          <w:sz w:val="20"/>
          <w:szCs w:val="20"/>
          <w:lang w:bidi="he-IL"/>
        </w:rPr>
        <w:t xml:space="preserve"> </w:t>
      </w:r>
    </w:p>
    <w:bookmarkEnd w:id="32"/>
    <w:p w14:paraId="0B464FC2" w14:textId="77777777" w:rsidR="00AD3CFF" w:rsidRPr="00AD3CFF" w:rsidRDefault="00AD3CFF" w:rsidP="00AD3CFF">
      <w:pPr>
        <w:pStyle w:val="PB"/>
        <w:rPr>
          <w:sz w:val="20"/>
          <w:szCs w:val="20"/>
          <w:lang w:bidi="he-IL"/>
        </w:rPr>
      </w:pPr>
    </w:p>
    <w:p w14:paraId="4EC0AFE5" w14:textId="77777777" w:rsidR="000643A2" w:rsidRPr="00992D1B" w:rsidRDefault="000643A2" w:rsidP="000643A2">
      <w:pPr>
        <w:pStyle w:val="a7"/>
        <w:jc w:val="right"/>
        <w:rPr>
          <w:rFonts w:ascii="Times New Roman" w:hAnsi="Times New Roman" w:cs="Times New Roman"/>
          <w:u w:val="single"/>
          <w:rtl/>
        </w:rPr>
      </w:pPr>
    </w:p>
    <w:p w14:paraId="3095404B" w14:textId="77777777" w:rsidR="002F55F5" w:rsidRPr="00B0446A" w:rsidRDefault="002F55F5" w:rsidP="000643A2">
      <w:pPr>
        <w:pStyle w:val="a7"/>
        <w:jc w:val="center"/>
        <w:rPr>
          <w:rtl/>
        </w:rPr>
      </w:pPr>
    </w:p>
    <w:p w14:paraId="0621AAD0" w14:textId="54A2A250" w:rsidR="00A37F09" w:rsidRDefault="00A37F09" w:rsidP="000643A2">
      <w:pPr>
        <w:pStyle w:val="a7"/>
        <w:jc w:val="center"/>
        <w:rPr>
          <w:rtl/>
        </w:rPr>
      </w:pPr>
    </w:p>
    <w:p w14:paraId="45F66AAC" w14:textId="5251FED4" w:rsidR="00F8524A" w:rsidRPr="00DF66F3" w:rsidRDefault="00F8524A" w:rsidP="00DF66F3">
      <w:pPr>
        <w:pStyle w:val="a7"/>
        <w:jc w:val="center"/>
        <w:rPr>
          <w:rtl/>
        </w:rPr>
      </w:pPr>
    </w:p>
    <w:p w14:paraId="2654680A" w14:textId="77777777" w:rsidR="00F8524A" w:rsidRPr="000643A2" w:rsidRDefault="00F8524A" w:rsidP="00DF66F3">
      <w:pPr>
        <w:pStyle w:val="a7"/>
        <w:jc w:val="right"/>
        <w:rPr>
          <w:rFonts w:asciiTheme="majorBidi" w:hAnsiTheme="majorBidi" w:cstheme="majorBidi"/>
          <w:sz w:val="24"/>
          <w:szCs w:val="24"/>
          <w:u w:val="singl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Assistant">
    <w:altName w:val="Assistant"/>
    <w:charset w:val="B1"/>
    <w:family w:val="auto"/>
    <w:pitch w:val="variable"/>
    <w:sig w:usb0="A00008FF" w:usb1="4000204B"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4D59" w14:textId="77777777" w:rsidR="007E7B02" w:rsidRDefault="007E7B02" w:rsidP="00F255EE">
      <w:pPr>
        <w:spacing w:after="0" w:line="240" w:lineRule="auto"/>
      </w:pPr>
      <w:r>
        <w:separator/>
      </w:r>
    </w:p>
  </w:footnote>
  <w:footnote w:type="continuationSeparator" w:id="0">
    <w:p w14:paraId="7FA9D34F" w14:textId="77777777" w:rsidR="007E7B02" w:rsidRDefault="007E7B02" w:rsidP="00F255EE">
      <w:pPr>
        <w:spacing w:after="0" w:line="240" w:lineRule="auto"/>
      </w:pPr>
      <w:r>
        <w:continuationSeparator/>
      </w:r>
    </w:p>
  </w:footnote>
  <w:footnote w:id="1">
    <w:p w14:paraId="7B3AD0D5" w14:textId="429DE225" w:rsidR="00E449D2" w:rsidRDefault="00E449D2">
      <w:pPr>
        <w:pStyle w:val="a3"/>
        <w:rPr>
          <w:rtl/>
          <w:lang w:bidi="he-IL"/>
        </w:rPr>
      </w:pPr>
      <w:r>
        <w:rPr>
          <w:rStyle w:val="af0"/>
        </w:rPr>
        <w:footnoteRef/>
      </w:r>
      <w:r>
        <w:t xml:space="preserve"> </w:t>
      </w:r>
      <w:proofErr w:type="spellStart"/>
      <w:r w:rsidRPr="005D3F47">
        <w:rPr>
          <w:rFonts w:hint="cs"/>
          <w:highlight w:val="cyan"/>
          <w:rtl/>
        </w:rPr>
        <w:t>בהתאם</w:t>
      </w:r>
      <w:proofErr w:type="spellEnd"/>
      <w:r w:rsidRPr="005D3F47">
        <w:rPr>
          <w:rFonts w:hint="cs"/>
          <w:highlight w:val="cyan"/>
          <w:rtl/>
        </w:rPr>
        <w:t xml:space="preserve"> </w:t>
      </w:r>
      <w:proofErr w:type="spellStart"/>
      <w:r w:rsidRPr="005D3F47">
        <w:rPr>
          <w:rFonts w:hint="cs"/>
          <w:highlight w:val="cyan"/>
          <w:rtl/>
        </w:rPr>
        <w:t>לסעיף</w:t>
      </w:r>
      <w:proofErr w:type="spellEnd"/>
      <w:r w:rsidRPr="005D3F47">
        <w:rPr>
          <w:rFonts w:hint="cs"/>
          <w:highlight w:val="cyan"/>
          <w:rtl/>
        </w:rPr>
        <w:t xml:space="preserve"> 1 </w:t>
      </w:r>
      <w:proofErr w:type="spellStart"/>
      <w:r w:rsidRPr="005D3F47">
        <w:rPr>
          <w:rFonts w:hint="cs"/>
          <w:highlight w:val="cyan"/>
          <w:rtl/>
        </w:rPr>
        <w:t>בחוק</w:t>
      </w:r>
      <w:proofErr w:type="spellEnd"/>
      <w:r w:rsidRPr="005D3F47">
        <w:rPr>
          <w:rFonts w:hint="cs"/>
          <w:highlight w:val="cyan"/>
          <w:rtl/>
        </w:rPr>
        <w:t xml:space="preserve"> </w:t>
      </w:r>
      <w:proofErr w:type="spellStart"/>
      <w:r w:rsidRPr="005D3F47">
        <w:rPr>
          <w:rFonts w:hint="cs"/>
          <w:highlight w:val="cyan"/>
          <w:rtl/>
        </w:rPr>
        <w:t>שיפוט</w:t>
      </w:r>
      <w:proofErr w:type="spellEnd"/>
      <w:r w:rsidRPr="005D3F47">
        <w:rPr>
          <w:rFonts w:hint="cs"/>
          <w:highlight w:val="cyan"/>
          <w:rtl/>
        </w:rPr>
        <w:t xml:space="preserve"> </w:t>
      </w:r>
      <w:proofErr w:type="spellStart"/>
      <w:r w:rsidRPr="005D3F47">
        <w:rPr>
          <w:rFonts w:hint="cs"/>
          <w:highlight w:val="cyan"/>
          <w:rtl/>
        </w:rPr>
        <w:t>בתי</w:t>
      </w:r>
      <w:proofErr w:type="spellEnd"/>
      <w:r w:rsidRPr="005D3F47">
        <w:rPr>
          <w:rFonts w:hint="cs"/>
          <w:highlight w:val="cyan"/>
          <w:rtl/>
        </w:rPr>
        <w:t xml:space="preserve"> </w:t>
      </w:r>
      <w:proofErr w:type="spellStart"/>
      <w:r w:rsidRPr="005D3F47">
        <w:rPr>
          <w:rFonts w:hint="cs"/>
          <w:highlight w:val="cyan"/>
          <w:rtl/>
        </w:rPr>
        <w:t>דין</w:t>
      </w:r>
      <w:proofErr w:type="spellEnd"/>
      <w:r w:rsidRPr="005D3F47">
        <w:rPr>
          <w:rFonts w:hint="cs"/>
          <w:highlight w:val="cyan"/>
          <w:rtl/>
        </w:rPr>
        <w:t xml:space="preserve"> </w:t>
      </w:r>
      <w:proofErr w:type="spellStart"/>
      <w:r w:rsidRPr="005D3F47">
        <w:rPr>
          <w:rFonts w:hint="cs"/>
          <w:highlight w:val="cyan"/>
          <w:rtl/>
        </w:rPr>
        <w:t>רבניים</w:t>
      </w:r>
      <w:proofErr w:type="spellEnd"/>
      <w:r w:rsidRPr="005D3F47">
        <w:rPr>
          <w:rFonts w:hint="cs"/>
          <w:highlight w:val="cyan"/>
          <w:rtl/>
        </w:rPr>
        <w:t xml:space="preserve"> (</w:t>
      </w:r>
      <w:proofErr w:type="spellStart"/>
      <w:r w:rsidRPr="005D3F47">
        <w:rPr>
          <w:rFonts w:hint="cs"/>
          <w:highlight w:val="cyan"/>
          <w:rtl/>
        </w:rPr>
        <w:t>נישואין</w:t>
      </w:r>
      <w:proofErr w:type="spellEnd"/>
      <w:r w:rsidRPr="005D3F47">
        <w:rPr>
          <w:rFonts w:hint="cs"/>
          <w:highlight w:val="cyan"/>
          <w:rtl/>
        </w:rPr>
        <w:t xml:space="preserve"> </w:t>
      </w:r>
      <w:proofErr w:type="spellStart"/>
      <w:r w:rsidRPr="005D3F47">
        <w:rPr>
          <w:rFonts w:hint="cs"/>
          <w:highlight w:val="cyan"/>
          <w:rtl/>
        </w:rPr>
        <w:t>וגירושין</w:t>
      </w:r>
      <w:proofErr w:type="spellEnd"/>
      <w:r w:rsidRPr="005D3F47">
        <w:rPr>
          <w:rFonts w:hint="cs"/>
          <w:highlight w:val="cyan"/>
          <w:rtl/>
        </w:rPr>
        <w:t xml:space="preserve">) </w:t>
      </w:r>
      <w:proofErr w:type="spellStart"/>
      <w:r w:rsidRPr="005D3F47">
        <w:rPr>
          <w:rFonts w:hint="cs"/>
          <w:highlight w:val="cyan"/>
          <w:rtl/>
        </w:rPr>
        <w:t>תשי"ג</w:t>
      </w:r>
      <w:proofErr w:type="spellEnd"/>
      <w:r w:rsidRPr="005D3F47">
        <w:rPr>
          <w:rFonts w:hint="cs"/>
          <w:highlight w:val="cyan"/>
          <w:rtl/>
        </w:rPr>
        <w:t xml:space="preserve"> 1953, </w:t>
      </w:r>
      <w:proofErr w:type="spellStart"/>
      <w:r w:rsidRPr="005D3F47">
        <w:rPr>
          <w:rFonts w:hint="cs"/>
          <w:highlight w:val="cyan"/>
          <w:rtl/>
        </w:rPr>
        <w:t>שלפיו</w:t>
      </w:r>
      <w:proofErr w:type="spellEnd"/>
      <w:r w:rsidRPr="005D3F47">
        <w:rPr>
          <w:rFonts w:hint="cs"/>
          <w:highlight w:val="cyan"/>
          <w:rtl/>
        </w:rPr>
        <w:t>: "</w:t>
      </w:r>
      <w:proofErr w:type="spellStart"/>
      <w:r w:rsidRPr="005D3F47">
        <w:rPr>
          <w:rFonts w:hint="cs"/>
          <w:highlight w:val="cyan"/>
          <w:rtl/>
        </w:rPr>
        <w:t>ענייני</w:t>
      </w:r>
      <w:proofErr w:type="spellEnd"/>
      <w:r w:rsidRPr="005D3F47">
        <w:rPr>
          <w:rFonts w:hint="cs"/>
          <w:highlight w:val="cyan"/>
          <w:rtl/>
        </w:rPr>
        <w:t xml:space="preserve"> </w:t>
      </w:r>
      <w:proofErr w:type="spellStart"/>
      <w:r w:rsidRPr="005D3F47">
        <w:rPr>
          <w:rFonts w:hint="cs"/>
          <w:highlight w:val="cyan"/>
          <w:rtl/>
        </w:rPr>
        <w:t>נישואין</w:t>
      </w:r>
      <w:proofErr w:type="spellEnd"/>
      <w:r w:rsidRPr="005D3F47">
        <w:rPr>
          <w:rFonts w:hint="cs"/>
          <w:highlight w:val="cyan"/>
          <w:rtl/>
        </w:rPr>
        <w:t xml:space="preserve"> </w:t>
      </w:r>
      <w:proofErr w:type="spellStart"/>
      <w:r w:rsidRPr="005D3F47">
        <w:rPr>
          <w:rFonts w:hint="cs"/>
          <w:highlight w:val="cyan"/>
          <w:rtl/>
        </w:rPr>
        <w:t>וגירושין</w:t>
      </w:r>
      <w:proofErr w:type="spellEnd"/>
      <w:r w:rsidRPr="005D3F47">
        <w:rPr>
          <w:rFonts w:hint="cs"/>
          <w:highlight w:val="cyan"/>
          <w:rtl/>
        </w:rPr>
        <w:t xml:space="preserve"> </w:t>
      </w:r>
      <w:proofErr w:type="spellStart"/>
      <w:r w:rsidRPr="005D3F47">
        <w:rPr>
          <w:rFonts w:hint="cs"/>
          <w:highlight w:val="cyan"/>
          <w:rtl/>
        </w:rPr>
        <w:t>של</w:t>
      </w:r>
      <w:proofErr w:type="spellEnd"/>
      <w:r w:rsidRPr="005D3F47">
        <w:rPr>
          <w:rFonts w:hint="cs"/>
          <w:highlight w:val="cyan"/>
          <w:rtl/>
        </w:rPr>
        <w:t xml:space="preserve"> </w:t>
      </w:r>
      <w:proofErr w:type="spellStart"/>
      <w:r w:rsidRPr="005D3F47">
        <w:rPr>
          <w:rFonts w:hint="cs"/>
          <w:highlight w:val="cyan"/>
          <w:rtl/>
        </w:rPr>
        <w:t>יהודים</w:t>
      </w:r>
      <w:proofErr w:type="spellEnd"/>
      <w:r w:rsidRPr="005D3F47">
        <w:rPr>
          <w:rFonts w:hint="cs"/>
          <w:highlight w:val="cyan"/>
          <w:rtl/>
        </w:rPr>
        <w:t xml:space="preserve"> </w:t>
      </w:r>
      <w:proofErr w:type="spellStart"/>
      <w:r w:rsidRPr="005D3F47">
        <w:rPr>
          <w:rFonts w:hint="cs"/>
          <w:highlight w:val="cyan"/>
          <w:rtl/>
        </w:rPr>
        <w:t>בישראל</w:t>
      </w:r>
      <w:proofErr w:type="spellEnd"/>
      <w:r w:rsidRPr="005D3F47">
        <w:rPr>
          <w:rFonts w:hint="cs"/>
          <w:highlight w:val="cyan"/>
          <w:rtl/>
        </w:rPr>
        <w:t xml:space="preserve"> </w:t>
      </w:r>
      <w:proofErr w:type="spellStart"/>
      <w:r w:rsidRPr="005D3F47">
        <w:rPr>
          <w:rFonts w:hint="cs"/>
          <w:highlight w:val="cyan"/>
          <w:rtl/>
        </w:rPr>
        <w:t>אזרחי</w:t>
      </w:r>
      <w:proofErr w:type="spellEnd"/>
      <w:r w:rsidRPr="005D3F47">
        <w:rPr>
          <w:rFonts w:hint="cs"/>
          <w:highlight w:val="cyan"/>
          <w:rtl/>
        </w:rPr>
        <w:t xml:space="preserve"> </w:t>
      </w:r>
      <w:proofErr w:type="spellStart"/>
      <w:r w:rsidRPr="005D3F47">
        <w:rPr>
          <w:rFonts w:hint="cs"/>
          <w:highlight w:val="cyan"/>
          <w:rtl/>
        </w:rPr>
        <w:t>המדינה</w:t>
      </w:r>
      <w:proofErr w:type="spellEnd"/>
      <w:r w:rsidRPr="005D3F47">
        <w:rPr>
          <w:rFonts w:hint="cs"/>
          <w:highlight w:val="cyan"/>
          <w:rtl/>
        </w:rPr>
        <w:t xml:space="preserve"> </w:t>
      </w:r>
      <w:proofErr w:type="spellStart"/>
      <w:r w:rsidRPr="005D3F47">
        <w:rPr>
          <w:rFonts w:hint="cs"/>
          <w:highlight w:val="cyan"/>
          <w:rtl/>
        </w:rPr>
        <w:t>או</w:t>
      </w:r>
      <w:proofErr w:type="spellEnd"/>
      <w:r w:rsidRPr="005D3F47">
        <w:rPr>
          <w:rFonts w:hint="cs"/>
          <w:highlight w:val="cyan"/>
          <w:rtl/>
        </w:rPr>
        <w:t xml:space="preserve"> </w:t>
      </w:r>
      <w:proofErr w:type="spellStart"/>
      <w:r w:rsidRPr="005D3F47">
        <w:rPr>
          <w:rFonts w:hint="cs"/>
          <w:highlight w:val="cyan"/>
          <w:rtl/>
        </w:rPr>
        <w:t>תושביה</w:t>
      </w:r>
      <w:proofErr w:type="spellEnd"/>
      <w:r w:rsidRPr="005D3F47">
        <w:rPr>
          <w:rFonts w:hint="cs"/>
          <w:highlight w:val="cyan"/>
          <w:rtl/>
        </w:rPr>
        <w:t xml:space="preserve"> </w:t>
      </w:r>
      <w:proofErr w:type="spellStart"/>
      <w:r w:rsidRPr="005D3F47">
        <w:rPr>
          <w:rFonts w:hint="cs"/>
          <w:highlight w:val="cyan"/>
          <w:rtl/>
        </w:rPr>
        <w:t>יהיו</w:t>
      </w:r>
      <w:proofErr w:type="spellEnd"/>
      <w:r w:rsidRPr="005D3F47">
        <w:rPr>
          <w:rFonts w:hint="cs"/>
          <w:highlight w:val="cyan"/>
          <w:rtl/>
        </w:rPr>
        <w:t xml:space="preserve"> </w:t>
      </w:r>
      <w:proofErr w:type="spellStart"/>
      <w:r w:rsidRPr="005D3F47">
        <w:rPr>
          <w:rFonts w:hint="cs"/>
          <w:highlight w:val="cyan"/>
          <w:rtl/>
        </w:rPr>
        <w:t>בשיפוטם</w:t>
      </w:r>
      <w:proofErr w:type="spellEnd"/>
      <w:r w:rsidRPr="005D3F47">
        <w:rPr>
          <w:rFonts w:hint="cs"/>
          <w:highlight w:val="cyan"/>
          <w:rtl/>
        </w:rPr>
        <w:t xml:space="preserve"> </w:t>
      </w:r>
      <w:proofErr w:type="spellStart"/>
      <w:r w:rsidRPr="005D3F47">
        <w:rPr>
          <w:rFonts w:hint="cs"/>
          <w:highlight w:val="cyan"/>
          <w:rtl/>
        </w:rPr>
        <w:t>הייחודי</w:t>
      </w:r>
      <w:proofErr w:type="spellEnd"/>
      <w:r w:rsidRPr="005D3F47">
        <w:rPr>
          <w:rFonts w:hint="cs"/>
          <w:highlight w:val="cyan"/>
          <w:rtl/>
        </w:rPr>
        <w:t xml:space="preserve"> </w:t>
      </w:r>
      <w:proofErr w:type="spellStart"/>
      <w:r w:rsidRPr="005D3F47">
        <w:rPr>
          <w:rFonts w:hint="cs"/>
          <w:highlight w:val="cyan"/>
          <w:rtl/>
        </w:rPr>
        <w:t>של</w:t>
      </w:r>
      <w:proofErr w:type="spellEnd"/>
      <w:r w:rsidRPr="005D3F47">
        <w:rPr>
          <w:rFonts w:hint="cs"/>
          <w:highlight w:val="cyan"/>
          <w:rtl/>
        </w:rPr>
        <w:t xml:space="preserve"> </w:t>
      </w:r>
      <w:proofErr w:type="spellStart"/>
      <w:r w:rsidRPr="005D3F47">
        <w:rPr>
          <w:rFonts w:hint="cs"/>
          <w:highlight w:val="cyan"/>
          <w:rtl/>
        </w:rPr>
        <w:t>בתי</w:t>
      </w:r>
      <w:proofErr w:type="spellEnd"/>
      <w:r w:rsidRPr="005D3F47">
        <w:rPr>
          <w:rFonts w:hint="cs"/>
          <w:highlight w:val="cyan"/>
          <w:rtl/>
        </w:rPr>
        <w:t xml:space="preserve"> </w:t>
      </w:r>
      <w:proofErr w:type="spellStart"/>
      <w:r w:rsidRPr="005D3F47">
        <w:rPr>
          <w:rFonts w:hint="cs"/>
          <w:highlight w:val="cyan"/>
          <w:rtl/>
        </w:rPr>
        <w:t>דין</w:t>
      </w:r>
      <w:proofErr w:type="spellEnd"/>
      <w:r w:rsidRPr="005D3F47">
        <w:rPr>
          <w:rFonts w:hint="cs"/>
          <w:highlight w:val="cyan"/>
          <w:rtl/>
        </w:rPr>
        <w:t xml:space="preserve"> </w:t>
      </w:r>
      <w:proofErr w:type="spellStart"/>
      <w:r w:rsidRPr="005D3F47">
        <w:rPr>
          <w:rFonts w:hint="cs"/>
          <w:highlight w:val="cyan"/>
          <w:rtl/>
        </w:rPr>
        <w:t>רבניים</w:t>
      </w:r>
      <w:proofErr w:type="spellEnd"/>
      <w:r w:rsidRPr="005D3F47">
        <w:rPr>
          <w:rFonts w:hint="cs"/>
          <w:highlight w:val="cyan"/>
          <w:rtl/>
        </w:rPr>
        <w:t>".</w:t>
      </w:r>
    </w:p>
  </w:footnote>
  <w:footnote w:id="2">
    <w:p w14:paraId="64D2B8CD" w14:textId="3FE12D72" w:rsidR="00D535D6" w:rsidRDefault="00D535D6">
      <w:pPr>
        <w:pStyle w:val="a3"/>
      </w:pPr>
      <w:r>
        <w:rPr>
          <w:rStyle w:val="af0"/>
        </w:rPr>
        <w:footnoteRef/>
      </w:r>
      <w:r>
        <w:t xml:space="preserve"> </w:t>
      </w:r>
      <w:proofErr w:type="spellStart"/>
      <w:r w:rsidRPr="002C743A">
        <w:rPr>
          <w:rFonts w:hint="cs"/>
          <w:highlight w:val="cyan"/>
          <w:rtl/>
        </w:rPr>
        <w:t>רבינו</w:t>
      </w:r>
      <w:proofErr w:type="spellEnd"/>
      <w:r w:rsidRPr="002C743A">
        <w:rPr>
          <w:rFonts w:hint="cs"/>
          <w:highlight w:val="cyan"/>
          <w:rtl/>
        </w:rPr>
        <w:t xml:space="preserve"> </w:t>
      </w:r>
      <w:proofErr w:type="spellStart"/>
      <w:r w:rsidRPr="002C743A">
        <w:rPr>
          <w:rFonts w:hint="cs"/>
          <w:highlight w:val="cyan"/>
          <w:rtl/>
        </w:rPr>
        <w:t>תם</w:t>
      </w:r>
      <w:proofErr w:type="spellEnd"/>
      <w:r w:rsidRPr="002C743A">
        <w:rPr>
          <w:rFonts w:hint="cs"/>
          <w:highlight w:val="cyan"/>
          <w:rtl/>
        </w:rPr>
        <w:t xml:space="preserve">, </w:t>
      </w:r>
      <w:proofErr w:type="spellStart"/>
      <w:r w:rsidRPr="002C743A">
        <w:rPr>
          <w:rFonts w:hint="cs"/>
          <w:highlight w:val="cyan"/>
          <w:rtl/>
        </w:rPr>
        <w:t>ספר</w:t>
      </w:r>
      <w:proofErr w:type="spellEnd"/>
      <w:r w:rsidRPr="002C743A">
        <w:rPr>
          <w:rFonts w:hint="cs"/>
          <w:highlight w:val="cyan"/>
          <w:rtl/>
        </w:rPr>
        <w:t xml:space="preserve"> </w:t>
      </w:r>
      <w:proofErr w:type="spellStart"/>
      <w:r w:rsidRPr="002C743A">
        <w:rPr>
          <w:rFonts w:hint="cs"/>
          <w:highlight w:val="cyan"/>
          <w:rtl/>
        </w:rPr>
        <w:t>הישר</w:t>
      </w:r>
      <w:proofErr w:type="spellEnd"/>
      <w:r w:rsidRPr="002C743A">
        <w:rPr>
          <w:rFonts w:hint="cs"/>
          <w:highlight w:val="cyan"/>
          <w:rtl/>
        </w:rPr>
        <w:t xml:space="preserve">, </w:t>
      </w:r>
      <w:proofErr w:type="spellStart"/>
      <w:r w:rsidRPr="002C743A">
        <w:rPr>
          <w:rFonts w:hint="cs"/>
          <w:highlight w:val="cyan"/>
          <w:rtl/>
        </w:rPr>
        <w:t>תשובות</w:t>
      </w:r>
      <w:proofErr w:type="spellEnd"/>
      <w:r w:rsidRPr="002C743A">
        <w:rPr>
          <w:rFonts w:hint="cs"/>
          <w:highlight w:val="cyan"/>
          <w:rtl/>
        </w:rPr>
        <w:t xml:space="preserve"> </w:t>
      </w:r>
      <w:proofErr w:type="spellStart"/>
      <w:r w:rsidRPr="002C743A">
        <w:rPr>
          <w:rFonts w:hint="cs"/>
          <w:highlight w:val="cyan"/>
          <w:rtl/>
        </w:rPr>
        <w:t>סימן</w:t>
      </w:r>
      <w:proofErr w:type="spellEnd"/>
      <w:r w:rsidRPr="002C743A">
        <w:rPr>
          <w:rFonts w:hint="cs"/>
          <w:highlight w:val="cyan"/>
          <w:rtl/>
        </w:rPr>
        <w:t xml:space="preserve"> </w:t>
      </w:r>
      <w:proofErr w:type="spellStart"/>
      <w:r w:rsidRPr="002C743A">
        <w:rPr>
          <w:rFonts w:hint="cs"/>
          <w:highlight w:val="cyan"/>
          <w:rtl/>
        </w:rPr>
        <w:t>כד</w:t>
      </w:r>
      <w:proofErr w:type="spellEnd"/>
    </w:p>
  </w:footnote>
  <w:footnote w:id="3">
    <w:p w14:paraId="5B90E90A" w14:textId="174F9A77" w:rsidR="00D535D6" w:rsidRPr="00607268" w:rsidRDefault="00D535D6" w:rsidP="00D535D6">
      <w:pPr>
        <w:pStyle w:val="a5"/>
        <w:jc w:val="both"/>
        <w:rPr>
          <w:highlight w:val="cyan"/>
          <w:rtl/>
        </w:rPr>
      </w:pPr>
      <w:r>
        <w:rPr>
          <w:rStyle w:val="af0"/>
        </w:rPr>
        <w:footnoteRef/>
      </w:r>
      <w:r>
        <w:t xml:space="preserve"> </w:t>
      </w:r>
      <w:r w:rsidRPr="002C743A">
        <w:rPr>
          <w:rFonts w:hint="cs"/>
          <w:highlight w:val="cyan"/>
          <w:rtl/>
        </w:rPr>
        <w:t xml:space="preserve">עיינו בעניין זה בתזכיר חוק בתי דין רבניים (קיום פסקי דין של גירושין) (תיקון מס 9) </w:t>
      </w:r>
      <w:proofErr w:type="spellStart"/>
      <w:r w:rsidRPr="002C743A">
        <w:rPr>
          <w:rFonts w:hint="cs"/>
          <w:highlight w:val="cyan"/>
          <w:rtl/>
        </w:rPr>
        <w:t>התשפב</w:t>
      </w:r>
      <w:proofErr w:type="spellEnd"/>
      <w:r w:rsidRPr="002C743A">
        <w:rPr>
          <w:rFonts w:hint="cs"/>
          <w:highlight w:val="cyan"/>
          <w:rtl/>
        </w:rPr>
        <w:t>- 2021</w:t>
      </w:r>
      <w:r w:rsidR="00607268">
        <w:rPr>
          <w:rFonts w:hint="cs"/>
          <w:highlight w:val="cyan"/>
          <w:rtl/>
        </w:rPr>
        <w:t xml:space="preserve">: </w:t>
      </w:r>
      <w:r w:rsidR="00607268" w:rsidRPr="00607268">
        <w:rPr>
          <w:rFonts w:hint="cs"/>
          <w:highlight w:val="cyan"/>
          <w:rtl/>
        </w:rPr>
        <w:t>"בתי הדין רואים בדברי רבינו תם מקור הלכתי חשוב לרשימה לא סגורה ("</w:t>
      </w:r>
      <w:r w:rsidR="00607268" w:rsidRPr="00607268">
        <w:rPr>
          <w:highlight w:val="cyan"/>
          <w:rtl/>
        </w:rPr>
        <w:t>ועוד יוסיפו חומר ברצונם</w:t>
      </w:r>
      <w:r w:rsidR="00607268" w:rsidRPr="00607268">
        <w:rPr>
          <w:rFonts w:hint="cs"/>
          <w:highlight w:val="cyan"/>
          <w:rtl/>
        </w:rPr>
        <w:t>") של הוראות שיכול בית הדין להודיע לציבור".</w:t>
      </w:r>
    </w:p>
    <w:p w14:paraId="3EF74EA3" w14:textId="60BE1C81" w:rsidR="00B81FC4" w:rsidRPr="00D535D6" w:rsidRDefault="00B81FC4" w:rsidP="00D535D6">
      <w:pPr>
        <w:pStyle w:val="a5"/>
        <w:jc w:val="both"/>
        <w:rPr>
          <w:highlight w:val="cyan"/>
          <w:rtl/>
        </w:rPr>
      </w:pPr>
      <w:r>
        <w:rPr>
          <w:rFonts w:hint="cs"/>
          <w:highlight w:val="cyan"/>
          <w:rtl/>
        </w:rPr>
        <w:t xml:space="preserve">    </w:t>
      </w:r>
    </w:p>
    <w:p w14:paraId="59B66215" w14:textId="6149085C" w:rsidR="00D535D6" w:rsidRDefault="00D535D6">
      <w:pPr>
        <w:pStyle w:val="a3"/>
        <w:rPr>
          <w:lang w:bidi="he-IL"/>
        </w:rPr>
      </w:pPr>
    </w:p>
  </w:footnote>
  <w:footnote w:id="4">
    <w:p w14:paraId="6B474B9D" w14:textId="066B7A42" w:rsidR="00D22236" w:rsidRPr="002C743A" w:rsidRDefault="00D535D6" w:rsidP="00D22236">
      <w:pPr>
        <w:pStyle w:val="a5"/>
        <w:rPr>
          <w:rFonts w:hint="cs"/>
          <w:highlight w:val="cyan"/>
          <w:rtl/>
        </w:rPr>
      </w:pPr>
      <w:r>
        <w:rPr>
          <w:rStyle w:val="af0"/>
        </w:rPr>
        <w:footnoteRef/>
      </w:r>
      <w:r>
        <w:t xml:space="preserve"> </w:t>
      </w:r>
      <w:r w:rsidR="00D22236" w:rsidRPr="002C743A">
        <w:rPr>
          <w:rFonts w:hint="cs"/>
          <w:highlight w:val="cyan"/>
          <w:rtl/>
        </w:rPr>
        <w:t>תיק (גדול) 8455 ( נבו 17.9.2008)</w:t>
      </w:r>
    </w:p>
    <w:p w14:paraId="5667D844" w14:textId="292CA8B8" w:rsidR="00D535D6" w:rsidRDefault="00F25328" w:rsidP="00D22236">
      <w:pPr>
        <w:pStyle w:val="a3"/>
      </w:pPr>
      <w:hyperlink r:id="rId1" w:history="1">
        <w:r w:rsidR="00D22236" w:rsidRPr="002C743A">
          <w:rPr>
            <w:rStyle w:val="Hyperlink"/>
            <w:highlight w:val="cyan"/>
          </w:rPr>
          <w:t>https://www.nevo.co.il/psika_html/rabani/rabani-8455-64-1.htm</w:t>
        </w:r>
      </w:hyperlink>
    </w:p>
  </w:footnote>
  <w:footnote w:id="5">
    <w:p w14:paraId="3C30DDEC" w14:textId="77777777" w:rsidR="00B81FC4" w:rsidRDefault="0052651A" w:rsidP="00B81FC4">
      <w:pPr>
        <w:pStyle w:val="a3"/>
        <w:rPr>
          <w:lang w:bidi="he-IL"/>
        </w:rPr>
      </w:pPr>
      <w:r>
        <w:rPr>
          <w:rStyle w:val="af0"/>
        </w:rPr>
        <w:footnoteRef/>
      </w:r>
      <w:proofErr w:type="spellStart"/>
      <w:r w:rsidRPr="002C3BED">
        <w:rPr>
          <w:rFonts w:hint="cs"/>
          <w:highlight w:val="cyan"/>
          <w:rtl/>
        </w:rPr>
        <w:t>תזכיר</w:t>
      </w:r>
      <w:proofErr w:type="spellEnd"/>
      <w:r w:rsidRPr="002C3BED">
        <w:rPr>
          <w:rFonts w:hint="cs"/>
          <w:highlight w:val="cyan"/>
          <w:rtl/>
        </w:rPr>
        <w:t xml:space="preserve"> </w:t>
      </w:r>
      <w:proofErr w:type="spellStart"/>
      <w:r w:rsidRPr="002C3BED">
        <w:rPr>
          <w:rFonts w:hint="cs"/>
          <w:highlight w:val="cyan"/>
          <w:rtl/>
        </w:rPr>
        <w:t>חוק</w:t>
      </w:r>
      <w:proofErr w:type="spellEnd"/>
      <w:r w:rsidRPr="002C3BED">
        <w:rPr>
          <w:rFonts w:hint="cs"/>
          <w:highlight w:val="cyan"/>
          <w:rtl/>
        </w:rPr>
        <w:t xml:space="preserve"> </w:t>
      </w:r>
      <w:proofErr w:type="spellStart"/>
      <w:r w:rsidRPr="002C3BED">
        <w:rPr>
          <w:rFonts w:hint="cs"/>
          <w:highlight w:val="cyan"/>
          <w:rtl/>
        </w:rPr>
        <w:t>בתי</w:t>
      </w:r>
      <w:proofErr w:type="spellEnd"/>
      <w:r w:rsidRPr="002C3BED">
        <w:rPr>
          <w:rFonts w:hint="cs"/>
          <w:highlight w:val="cyan"/>
          <w:rtl/>
        </w:rPr>
        <w:t xml:space="preserve"> </w:t>
      </w:r>
      <w:proofErr w:type="spellStart"/>
      <w:r w:rsidRPr="002C3BED">
        <w:rPr>
          <w:rFonts w:hint="cs"/>
          <w:highlight w:val="cyan"/>
          <w:rtl/>
        </w:rPr>
        <w:t>דין</w:t>
      </w:r>
      <w:proofErr w:type="spellEnd"/>
      <w:r w:rsidRPr="002C3BED">
        <w:rPr>
          <w:rFonts w:hint="cs"/>
          <w:highlight w:val="cyan"/>
          <w:rtl/>
        </w:rPr>
        <w:t xml:space="preserve"> </w:t>
      </w:r>
      <w:proofErr w:type="spellStart"/>
      <w:r w:rsidRPr="002C3BED">
        <w:rPr>
          <w:rFonts w:hint="cs"/>
          <w:highlight w:val="cyan"/>
          <w:rtl/>
        </w:rPr>
        <w:t>רבניים</w:t>
      </w:r>
      <w:proofErr w:type="spellEnd"/>
      <w:r w:rsidRPr="002C3BED">
        <w:rPr>
          <w:rFonts w:hint="cs"/>
          <w:highlight w:val="cyan"/>
          <w:rtl/>
        </w:rPr>
        <w:t xml:space="preserve"> (</w:t>
      </w:r>
      <w:proofErr w:type="spellStart"/>
      <w:r w:rsidRPr="002C3BED">
        <w:rPr>
          <w:rFonts w:hint="cs"/>
          <w:highlight w:val="cyan"/>
          <w:rtl/>
        </w:rPr>
        <w:t>קיום</w:t>
      </w:r>
      <w:proofErr w:type="spellEnd"/>
      <w:r w:rsidRPr="002C3BED">
        <w:rPr>
          <w:rFonts w:hint="cs"/>
          <w:highlight w:val="cyan"/>
          <w:rtl/>
        </w:rPr>
        <w:t xml:space="preserve"> </w:t>
      </w:r>
      <w:proofErr w:type="spellStart"/>
      <w:r w:rsidRPr="002C3BED">
        <w:rPr>
          <w:rFonts w:hint="cs"/>
          <w:highlight w:val="cyan"/>
          <w:rtl/>
        </w:rPr>
        <w:t>פסקי</w:t>
      </w:r>
      <w:proofErr w:type="spellEnd"/>
      <w:r w:rsidRPr="002C3BED">
        <w:rPr>
          <w:rFonts w:hint="cs"/>
          <w:highlight w:val="cyan"/>
          <w:rtl/>
        </w:rPr>
        <w:t xml:space="preserve"> </w:t>
      </w:r>
      <w:proofErr w:type="spellStart"/>
      <w:r w:rsidRPr="002C3BED">
        <w:rPr>
          <w:rFonts w:hint="cs"/>
          <w:highlight w:val="cyan"/>
          <w:rtl/>
        </w:rPr>
        <w:t>דין</w:t>
      </w:r>
      <w:proofErr w:type="spellEnd"/>
      <w:r w:rsidRPr="002C3BED">
        <w:rPr>
          <w:rFonts w:hint="cs"/>
          <w:highlight w:val="cyan"/>
          <w:rtl/>
        </w:rPr>
        <w:t xml:space="preserve"> </w:t>
      </w:r>
      <w:proofErr w:type="spellStart"/>
      <w:r w:rsidRPr="002C3BED">
        <w:rPr>
          <w:rFonts w:hint="cs"/>
          <w:highlight w:val="cyan"/>
          <w:rtl/>
        </w:rPr>
        <w:t>של</w:t>
      </w:r>
      <w:proofErr w:type="spellEnd"/>
      <w:r w:rsidRPr="002C3BED">
        <w:rPr>
          <w:rFonts w:hint="cs"/>
          <w:highlight w:val="cyan"/>
          <w:rtl/>
        </w:rPr>
        <w:t xml:space="preserve"> </w:t>
      </w:r>
      <w:proofErr w:type="spellStart"/>
      <w:r w:rsidRPr="002C3BED">
        <w:rPr>
          <w:rFonts w:hint="cs"/>
          <w:highlight w:val="cyan"/>
          <w:rtl/>
        </w:rPr>
        <w:t>גירושין</w:t>
      </w:r>
      <w:proofErr w:type="spellEnd"/>
      <w:r w:rsidRPr="002C3BED">
        <w:rPr>
          <w:rFonts w:hint="cs"/>
          <w:highlight w:val="cyan"/>
          <w:rtl/>
        </w:rPr>
        <w:t>) (</w:t>
      </w:r>
      <w:proofErr w:type="spellStart"/>
      <w:r w:rsidRPr="002C3BED">
        <w:rPr>
          <w:rFonts w:hint="cs"/>
          <w:highlight w:val="cyan"/>
          <w:rtl/>
        </w:rPr>
        <w:t>תיקון</w:t>
      </w:r>
      <w:proofErr w:type="spellEnd"/>
      <w:r w:rsidRPr="002C3BED">
        <w:rPr>
          <w:rFonts w:hint="cs"/>
          <w:highlight w:val="cyan"/>
          <w:rtl/>
        </w:rPr>
        <w:t xml:space="preserve"> </w:t>
      </w:r>
      <w:proofErr w:type="spellStart"/>
      <w:r w:rsidRPr="002C3BED">
        <w:rPr>
          <w:rFonts w:hint="cs"/>
          <w:highlight w:val="cyan"/>
          <w:rtl/>
        </w:rPr>
        <w:t>מס</w:t>
      </w:r>
      <w:proofErr w:type="spellEnd"/>
      <w:r w:rsidRPr="002C3BED">
        <w:rPr>
          <w:rFonts w:hint="cs"/>
          <w:highlight w:val="cyan"/>
          <w:rtl/>
        </w:rPr>
        <w:t xml:space="preserve">' </w:t>
      </w:r>
      <w:proofErr w:type="gramStart"/>
      <w:r w:rsidRPr="002C3BED">
        <w:rPr>
          <w:rFonts w:hint="cs"/>
          <w:highlight w:val="cyan"/>
          <w:rtl/>
        </w:rPr>
        <w:t>9),</w:t>
      </w:r>
      <w:proofErr w:type="gramEnd"/>
      <w:r w:rsidRPr="002C3BED">
        <w:rPr>
          <w:rFonts w:hint="cs"/>
          <w:highlight w:val="cyan"/>
          <w:rtl/>
        </w:rPr>
        <w:t xml:space="preserve"> התשפ"ב-2021</w:t>
      </w:r>
      <w:r w:rsidR="00B81FC4">
        <w:rPr>
          <w:rFonts w:hint="cs"/>
          <w:rtl/>
          <w:lang w:bidi="he-IL"/>
        </w:rPr>
        <w:t>;</w:t>
      </w:r>
    </w:p>
    <w:p w14:paraId="48D60930" w14:textId="67FB0567" w:rsidR="0052651A" w:rsidRDefault="00B81FC4" w:rsidP="00B81FC4">
      <w:pPr>
        <w:pStyle w:val="a3"/>
        <w:rPr>
          <w:lang w:bidi="he-IL"/>
        </w:rPr>
      </w:pPr>
      <w:proofErr w:type="spellStart"/>
      <w:r w:rsidRPr="005D2A0F">
        <w:rPr>
          <w:rFonts w:asciiTheme="majorBidi" w:hAnsiTheme="majorBidi" w:cstheme="majorBidi"/>
          <w:highlight w:val="cyan"/>
        </w:rPr>
        <w:t>Shmueli</w:t>
      </w:r>
      <w:proofErr w:type="spellEnd"/>
      <w:r w:rsidRPr="005D2A0F">
        <w:rPr>
          <w:rFonts w:asciiTheme="majorBidi" w:hAnsiTheme="majorBidi" w:cstheme="majorBidi"/>
          <w:highlight w:val="cyan"/>
        </w:rPr>
        <w:t>, “Sticks,”1-27</w:t>
      </w:r>
      <w:r w:rsidR="000651AF" w:rsidRPr="005D2A0F">
        <w:rPr>
          <w:rFonts w:asciiTheme="majorBidi" w:hAnsiTheme="majorBidi" w:cstheme="majorBidi"/>
          <w:highlight w:val="cyan"/>
        </w:rPr>
        <w:t>.</w:t>
      </w:r>
      <w:r>
        <w:rPr>
          <w:rFonts w:hint="cs"/>
          <w:rtl/>
          <w:lang w:bidi="he-IL"/>
        </w:rPr>
        <w:t xml:space="preserve"> </w:t>
      </w:r>
    </w:p>
  </w:footnote>
  <w:footnote w:id="6">
    <w:p w14:paraId="61FDFE3A" w14:textId="62391E51" w:rsidR="00B73434" w:rsidRPr="00BE11EB" w:rsidRDefault="0052651A" w:rsidP="00B73434">
      <w:pPr>
        <w:pStyle w:val="a5"/>
        <w:rPr>
          <w:highlight w:val="cyan"/>
          <w:rtl/>
        </w:rPr>
      </w:pPr>
      <w:r>
        <w:rPr>
          <w:rStyle w:val="af0"/>
        </w:rPr>
        <w:footnoteRef/>
      </w:r>
      <w:r>
        <w:t xml:space="preserve"> </w:t>
      </w:r>
      <w:r w:rsidR="00B73434" w:rsidRPr="00BE11EB">
        <w:rPr>
          <w:rFonts w:hint="cs"/>
          <w:highlight w:val="cyan"/>
          <w:rtl/>
        </w:rPr>
        <w:t xml:space="preserve">עיינו למשל, הרב משה </w:t>
      </w:r>
      <w:proofErr w:type="spellStart"/>
      <w:r w:rsidR="00B73434" w:rsidRPr="00BE11EB">
        <w:rPr>
          <w:rFonts w:hint="cs"/>
          <w:highlight w:val="cyan"/>
          <w:rtl/>
        </w:rPr>
        <w:t>קורצטאג</w:t>
      </w:r>
      <w:proofErr w:type="spellEnd"/>
      <w:r w:rsidR="00B73434" w:rsidRPr="00BE11EB">
        <w:rPr>
          <w:rFonts w:hint="cs"/>
          <w:highlight w:val="cyan"/>
          <w:rtl/>
        </w:rPr>
        <w:t xml:space="preserve">, </w:t>
      </w:r>
      <w:r w:rsidR="00B73434">
        <w:rPr>
          <w:rFonts w:hint="cs"/>
          <w:highlight w:val="cyan"/>
          <w:rtl/>
        </w:rPr>
        <w:t>(</w:t>
      </w:r>
      <w:r w:rsidR="00B73434" w:rsidRPr="00BE11EB">
        <w:rPr>
          <w:rFonts w:hint="cs"/>
          <w:highlight w:val="cyan"/>
          <w:rtl/>
        </w:rPr>
        <w:t>אב"ד בדימוס בבית הדין ביוהנסבורג והמדינה, בדרום אפריקה, ואחד מן הפעילים הבולטים בוועדות השונות ששמות להן למטרה לסייע למסורבות גט ועגונות באמצעות שינויים בחקיקה האזרחית בדרום אפריקה ובמדינות נוספות ברחבי העולם),</w:t>
      </w:r>
      <w:r w:rsidR="00B73434">
        <w:rPr>
          <w:rFonts w:hint="cs"/>
          <w:highlight w:val="cyan"/>
          <w:rtl/>
        </w:rPr>
        <w:t xml:space="preserve"> </w:t>
      </w:r>
      <w:r w:rsidR="00B73434" w:rsidRPr="00BE11EB">
        <w:rPr>
          <w:rFonts w:hint="cs"/>
          <w:highlight w:val="cyan"/>
          <w:rtl/>
        </w:rPr>
        <w:t>"התמודדות בתי הדין בחו"ל</w:t>
      </w:r>
      <w:r w:rsidR="00B73434">
        <w:rPr>
          <w:rFonts w:hint="cs"/>
          <w:highlight w:val="cyan"/>
          <w:rtl/>
        </w:rPr>
        <w:t>",</w:t>
      </w:r>
      <w:r w:rsidR="00B73434" w:rsidRPr="00BE11EB">
        <w:rPr>
          <w:rFonts w:hint="cs"/>
          <w:highlight w:val="cyan"/>
          <w:rtl/>
        </w:rPr>
        <w:t xml:space="preserve"> עמ' 6-1</w:t>
      </w:r>
      <w:r w:rsidR="00B73434">
        <w:rPr>
          <w:rFonts w:hint="cs"/>
          <w:highlight w:val="cyan"/>
          <w:rtl/>
        </w:rPr>
        <w:t xml:space="preserve"> שהעיד על כך </w:t>
      </w:r>
      <w:proofErr w:type="spellStart"/>
      <w:r w:rsidR="00B73434">
        <w:rPr>
          <w:rFonts w:hint="cs"/>
          <w:highlight w:val="cyan"/>
          <w:rtl/>
        </w:rPr>
        <w:t>ש</w:t>
      </w:r>
      <w:r w:rsidR="00B73434" w:rsidRPr="00BE11EB">
        <w:rPr>
          <w:rFonts w:hint="cs"/>
          <w:highlight w:val="cyan"/>
          <w:rtl/>
        </w:rPr>
        <w:t>השיימינג</w:t>
      </w:r>
      <w:proofErr w:type="spellEnd"/>
      <w:r w:rsidR="00B73434" w:rsidRPr="00BE11EB">
        <w:rPr>
          <w:rFonts w:hint="cs"/>
          <w:highlight w:val="cyan"/>
          <w:rtl/>
        </w:rPr>
        <w:t xml:space="preserve"> שנעשה לסרבני גט בדרום אפריקה, בארה"ב, באנגליה באמצעות פרסום פס"ד בעיתונות היהודית, או באמצעות הפגנות, </w:t>
      </w:r>
      <w:r w:rsidR="00B73434" w:rsidRPr="00BE11EB">
        <w:rPr>
          <w:rFonts w:hint="cs"/>
          <w:b/>
          <w:bCs/>
          <w:highlight w:val="cyan"/>
          <w:rtl/>
        </w:rPr>
        <w:t>משיג את מטרתו</w:t>
      </w:r>
      <w:r w:rsidR="00B73434" w:rsidRPr="00BE11EB">
        <w:rPr>
          <w:rFonts w:hint="cs"/>
          <w:highlight w:val="cyan"/>
          <w:rtl/>
        </w:rPr>
        <w:t xml:space="preserve">, והבעל נותן את הגט ובמקרים שבהם הסרבן בורח למדינה אחרת, יוצרים קשר עם בית הדין במדינה שבה הוא נמצא ומפעילים שם חרם שהוא לא יוכל להשתתף בקהילה כחבר פעיל בקהילה, וזה עוזר. בלא מעט פעמים אפילו האיום </w:t>
      </w:r>
      <w:proofErr w:type="spellStart"/>
      <w:r w:rsidR="00B73434" w:rsidRPr="00BE11EB">
        <w:rPr>
          <w:rFonts w:hint="cs"/>
          <w:highlight w:val="cyan"/>
          <w:rtl/>
        </w:rPr>
        <w:t>בשיימינג</w:t>
      </w:r>
      <w:proofErr w:type="spellEnd"/>
      <w:r w:rsidR="00B73434" w:rsidRPr="00BE11EB">
        <w:rPr>
          <w:rFonts w:hint="cs"/>
          <w:highlight w:val="cyan"/>
          <w:rtl/>
        </w:rPr>
        <w:t>, עוזר, והבעל נותן את הגט עוד לפני שהחרם ננקט בפועל; הרב מיכאל זילברמן, דיין וסגן מנהל בית דין באמריקה,</w:t>
      </w:r>
      <w:r w:rsidR="00B73434">
        <w:rPr>
          <w:rFonts w:hint="cs"/>
          <w:highlight w:val="cyan"/>
          <w:rtl/>
        </w:rPr>
        <w:t xml:space="preserve"> </w:t>
      </w:r>
      <w:r w:rsidR="00B73434" w:rsidRPr="00BE11EB">
        <w:rPr>
          <w:rFonts w:hint="cs"/>
          <w:highlight w:val="cyan"/>
          <w:rtl/>
        </w:rPr>
        <w:t xml:space="preserve">"הרחקות </w:t>
      </w:r>
      <w:proofErr w:type="spellStart"/>
      <w:r w:rsidR="00B73434" w:rsidRPr="00BE11EB">
        <w:rPr>
          <w:rFonts w:hint="cs"/>
          <w:highlight w:val="cyan"/>
          <w:rtl/>
        </w:rPr>
        <w:t>דרבינו</w:t>
      </w:r>
      <w:proofErr w:type="spellEnd"/>
      <w:r w:rsidR="00B73434" w:rsidRPr="00BE11EB">
        <w:rPr>
          <w:rFonts w:hint="cs"/>
          <w:highlight w:val="cyan"/>
          <w:rtl/>
        </w:rPr>
        <w:t xml:space="preserve"> תם והפגנות נגד מסרבי גט", עמ' 131-136, שמעיד</w:t>
      </w:r>
      <w:r w:rsidR="00B73434">
        <w:rPr>
          <w:rFonts w:hint="cs"/>
          <w:highlight w:val="cyan"/>
          <w:rtl/>
        </w:rPr>
        <w:t xml:space="preserve"> </w:t>
      </w:r>
      <w:r w:rsidR="00B73434" w:rsidRPr="00BE11EB">
        <w:rPr>
          <w:rFonts w:hint="cs"/>
          <w:highlight w:val="cyan"/>
          <w:rtl/>
        </w:rPr>
        <w:t xml:space="preserve">על הצלחה </w:t>
      </w:r>
      <w:r w:rsidR="00B73434">
        <w:rPr>
          <w:rFonts w:hint="cs"/>
          <w:highlight w:val="cyan"/>
          <w:rtl/>
        </w:rPr>
        <w:t xml:space="preserve">"במידה מסוימת" של </w:t>
      </w:r>
      <w:proofErr w:type="spellStart"/>
      <w:r w:rsidR="00B73434">
        <w:rPr>
          <w:rFonts w:hint="cs"/>
          <w:highlight w:val="cyan"/>
          <w:rtl/>
        </w:rPr>
        <w:t>השיימינג</w:t>
      </w:r>
      <w:proofErr w:type="spellEnd"/>
      <w:r w:rsidR="00B73434">
        <w:rPr>
          <w:rFonts w:hint="cs"/>
          <w:highlight w:val="cyan"/>
          <w:rtl/>
        </w:rPr>
        <w:t>.</w:t>
      </w:r>
    </w:p>
    <w:p w14:paraId="680EEBF5" w14:textId="77777777" w:rsidR="00B73434" w:rsidRDefault="00B73434" w:rsidP="00B73434">
      <w:pPr>
        <w:pStyle w:val="a5"/>
      </w:pPr>
    </w:p>
    <w:p w14:paraId="55BAB3C9" w14:textId="1F7EFDA2" w:rsidR="0052651A" w:rsidRDefault="0052651A">
      <w:pPr>
        <w:pStyle w:val="a3"/>
        <w:rPr>
          <w:lang w:bidi="he-IL"/>
        </w:rPr>
      </w:pPr>
    </w:p>
  </w:footnote>
  <w:footnote w:id="7">
    <w:p w14:paraId="39D2D57F" w14:textId="3CDFC87D" w:rsidR="00B73434" w:rsidRDefault="00B73434">
      <w:pPr>
        <w:pStyle w:val="a3"/>
      </w:pPr>
      <w:r>
        <w:rPr>
          <w:rStyle w:val="af0"/>
        </w:rPr>
        <w:footnoteRef/>
      </w:r>
      <w:r>
        <w:t xml:space="preserve"> </w:t>
      </w:r>
      <w:proofErr w:type="spellStart"/>
      <w:r w:rsidRPr="00221A2D">
        <w:rPr>
          <w:rFonts w:hint="cs"/>
          <w:highlight w:val="cyan"/>
          <w:rtl/>
        </w:rPr>
        <w:t>שו"ת</w:t>
      </w:r>
      <w:proofErr w:type="spellEnd"/>
      <w:r w:rsidRPr="00221A2D">
        <w:rPr>
          <w:rFonts w:hint="cs"/>
          <w:highlight w:val="cyan"/>
          <w:rtl/>
        </w:rPr>
        <w:t xml:space="preserve"> </w:t>
      </w:r>
      <w:proofErr w:type="spellStart"/>
      <w:r w:rsidRPr="00221A2D">
        <w:rPr>
          <w:rFonts w:hint="cs"/>
          <w:highlight w:val="cyan"/>
          <w:rtl/>
        </w:rPr>
        <w:t>הרשב"א</w:t>
      </w:r>
      <w:proofErr w:type="spellEnd"/>
      <w:r w:rsidRPr="00221A2D">
        <w:rPr>
          <w:rFonts w:hint="cs"/>
          <w:highlight w:val="cyan"/>
          <w:rtl/>
        </w:rPr>
        <w:t xml:space="preserve"> </w:t>
      </w:r>
      <w:proofErr w:type="spellStart"/>
      <w:r w:rsidRPr="00221A2D">
        <w:rPr>
          <w:rFonts w:hint="cs"/>
          <w:highlight w:val="cyan"/>
          <w:rtl/>
        </w:rPr>
        <w:t>המיוחסות</w:t>
      </w:r>
      <w:proofErr w:type="spellEnd"/>
      <w:r w:rsidRPr="00221A2D">
        <w:rPr>
          <w:rFonts w:hint="cs"/>
          <w:highlight w:val="cyan"/>
          <w:rtl/>
        </w:rPr>
        <w:t xml:space="preserve"> </w:t>
      </w:r>
      <w:proofErr w:type="spellStart"/>
      <w:r w:rsidRPr="00221A2D">
        <w:rPr>
          <w:rFonts w:hint="cs"/>
          <w:highlight w:val="cyan"/>
          <w:rtl/>
        </w:rPr>
        <w:t>לרמב"ן</w:t>
      </w:r>
      <w:proofErr w:type="spellEnd"/>
      <w:r w:rsidRPr="00221A2D">
        <w:rPr>
          <w:rFonts w:hint="cs"/>
          <w:highlight w:val="cyan"/>
          <w:rtl/>
        </w:rPr>
        <w:t xml:space="preserve">, </w:t>
      </w:r>
      <w:proofErr w:type="spellStart"/>
      <w:r w:rsidRPr="00221A2D">
        <w:rPr>
          <w:rFonts w:hint="cs"/>
          <w:highlight w:val="cyan"/>
          <w:rtl/>
        </w:rPr>
        <w:t>תיד</w:t>
      </w:r>
      <w:proofErr w:type="spellEnd"/>
      <w:r w:rsidRPr="00221A2D">
        <w:rPr>
          <w:rFonts w:hint="cs"/>
          <w:highlight w:val="cyan"/>
          <w:rtl/>
        </w:rPr>
        <w:t xml:space="preserve">; </w:t>
      </w:r>
      <w:proofErr w:type="spellStart"/>
      <w:r w:rsidRPr="00221A2D">
        <w:rPr>
          <w:rFonts w:hint="cs"/>
          <w:highlight w:val="cyan"/>
          <w:rtl/>
        </w:rPr>
        <w:t>ב"י</w:t>
      </w:r>
      <w:proofErr w:type="spellEnd"/>
      <w:r w:rsidRPr="00221A2D">
        <w:rPr>
          <w:rFonts w:hint="cs"/>
          <w:highlight w:val="cyan"/>
          <w:rtl/>
        </w:rPr>
        <w:t xml:space="preserve">, </w:t>
      </w:r>
      <w:proofErr w:type="spellStart"/>
      <w:r w:rsidRPr="00221A2D">
        <w:rPr>
          <w:rFonts w:hint="cs"/>
          <w:highlight w:val="cyan"/>
          <w:rtl/>
        </w:rPr>
        <w:t>אבה"ע</w:t>
      </w:r>
      <w:proofErr w:type="spellEnd"/>
      <w:r w:rsidRPr="00221A2D">
        <w:rPr>
          <w:rFonts w:hint="cs"/>
          <w:highlight w:val="cyan"/>
          <w:rtl/>
        </w:rPr>
        <w:t xml:space="preserve">, </w:t>
      </w:r>
      <w:proofErr w:type="spellStart"/>
      <w:r w:rsidRPr="00221A2D">
        <w:rPr>
          <w:rFonts w:hint="cs"/>
          <w:highlight w:val="cyan"/>
          <w:rtl/>
        </w:rPr>
        <w:t>סימן</w:t>
      </w:r>
      <w:proofErr w:type="spellEnd"/>
      <w:r w:rsidRPr="00221A2D">
        <w:rPr>
          <w:rFonts w:hint="cs"/>
          <w:highlight w:val="cyan"/>
          <w:rtl/>
        </w:rPr>
        <w:t xml:space="preserve"> </w:t>
      </w:r>
      <w:proofErr w:type="spellStart"/>
      <w:r w:rsidRPr="00221A2D">
        <w:rPr>
          <w:rFonts w:hint="cs"/>
          <w:highlight w:val="cyan"/>
          <w:rtl/>
        </w:rPr>
        <w:t>קנד</w:t>
      </w:r>
      <w:proofErr w:type="spellEnd"/>
      <w:r w:rsidRPr="00221A2D">
        <w:rPr>
          <w:rFonts w:hint="cs"/>
          <w:highlight w:val="cyan"/>
          <w:rtl/>
        </w:rPr>
        <w:t>,</w:t>
      </w:r>
    </w:p>
  </w:footnote>
  <w:footnote w:id="8">
    <w:p w14:paraId="63DEF3A0" w14:textId="58487B32" w:rsidR="00A653A7" w:rsidRDefault="00A653A7">
      <w:pPr>
        <w:pStyle w:val="a3"/>
        <w:rPr>
          <w:lang w:bidi="he-IL"/>
        </w:rPr>
      </w:pPr>
      <w:r>
        <w:rPr>
          <w:rStyle w:val="af0"/>
        </w:rPr>
        <w:footnoteRef/>
      </w:r>
      <w:r>
        <w:t xml:space="preserve"> </w:t>
      </w:r>
      <w:proofErr w:type="spellStart"/>
      <w:r w:rsidRPr="00221A2D">
        <w:rPr>
          <w:rFonts w:hint="cs"/>
          <w:highlight w:val="cyan"/>
          <w:rtl/>
        </w:rPr>
        <w:t>שו"ת</w:t>
      </w:r>
      <w:proofErr w:type="spellEnd"/>
      <w:r w:rsidRPr="00221A2D">
        <w:rPr>
          <w:rFonts w:hint="cs"/>
          <w:highlight w:val="cyan"/>
          <w:rtl/>
        </w:rPr>
        <w:t xml:space="preserve"> </w:t>
      </w:r>
      <w:proofErr w:type="spellStart"/>
      <w:r w:rsidRPr="00221A2D">
        <w:rPr>
          <w:rFonts w:hint="cs"/>
          <w:highlight w:val="cyan"/>
          <w:rtl/>
        </w:rPr>
        <w:t>הריב"ש</w:t>
      </w:r>
      <w:proofErr w:type="spellEnd"/>
      <w:r w:rsidRPr="00221A2D">
        <w:rPr>
          <w:rFonts w:hint="cs"/>
          <w:highlight w:val="cyan"/>
          <w:rtl/>
        </w:rPr>
        <w:t xml:space="preserve">, </w:t>
      </w:r>
      <w:proofErr w:type="spellStart"/>
      <w:r w:rsidRPr="00221A2D">
        <w:rPr>
          <w:rFonts w:hint="cs"/>
          <w:highlight w:val="cyan"/>
          <w:rtl/>
        </w:rPr>
        <w:t>קכז</w:t>
      </w:r>
      <w:proofErr w:type="spellEnd"/>
    </w:p>
  </w:footnote>
  <w:footnote w:id="9">
    <w:p w14:paraId="1EC386B5" w14:textId="701B41D1" w:rsidR="00A653A7" w:rsidRPr="003034AB" w:rsidRDefault="00A653A7" w:rsidP="00A653A7">
      <w:pPr>
        <w:pStyle w:val="a5"/>
        <w:jc w:val="both"/>
        <w:rPr>
          <w:highlight w:val="cyan"/>
          <w:rtl/>
        </w:rPr>
      </w:pPr>
      <w:r>
        <w:rPr>
          <w:rStyle w:val="af0"/>
        </w:rPr>
        <w:footnoteRef/>
      </w:r>
      <w:r>
        <w:t xml:space="preserve"> </w:t>
      </w:r>
      <w:r w:rsidRPr="00AA19DC">
        <w:rPr>
          <w:rFonts w:hint="cs"/>
          <w:highlight w:val="cyan"/>
          <w:rtl/>
        </w:rPr>
        <w:t>הרב משה זילברמן,</w:t>
      </w:r>
      <w:r w:rsidRPr="003034AB">
        <w:rPr>
          <w:rFonts w:hint="cs"/>
          <w:b/>
          <w:bCs/>
          <w:highlight w:val="cyan"/>
          <w:rtl/>
        </w:rPr>
        <w:t xml:space="preserve"> "</w:t>
      </w:r>
      <w:r w:rsidRPr="00BE11EB">
        <w:rPr>
          <w:rFonts w:hint="cs"/>
          <w:highlight w:val="cyan"/>
          <w:rtl/>
        </w:rPr>
        <w:t xml:space="preserve"> הרחקות </w:t>
      </w:r>
      <w:proofErr w:type="spellStart"/>
      <w:r w:rsidRPr="00BE11EB">
        <w:rPr>
          <w:rFonts w:hint="cs"/>
          <w:highlight w:val="cyan"/>
          <w:rtl/>
        </w:rPr>
        <w:t>דרבינו</w:t>
      </w:r>
      <w:proofErr w:type="spellEnd"/>
      <w:r w:rsidRPr="00BE11EB">
        <w:rPr>
          <w:rFonts w:hint="cs"/>
          <w:highlight w:val="cyan"/>
          <w:rtl/>
        </w:rPr>
        <w:t xml:space="preserve"> תם והפגנות נגד מסרבי גט", עמ' </w:t>
      </w:r>
      <w:r>
        <w:rPr>
          <w:rFonts w:hint="cs"/>
          <w:highlight w:val="cyan"/>
          <w:rtl/>
        </w:rPr>
        <w:t xml:space="preserve">.136. </w:t>
      </w:r>
    </w:p>
    <w:p w14:paraId="0FE7DB26" w14:textId="4E1385E0" w:rsidR="00A653A7" w:rsidRDefault="00A653A7">
      <w:pPr>
        <w:pStyle w:val="a3"/>
        <w:rPr>
          <w:lang w:bidi="he-IL"/>
        </w:rPr>
      </w:pPr>
    </w:p>
  </w:footnote>
  <w:footnote w:id="10">
    <w:p w14:paraId="2C2B02F0" w14:textId="6FDB902E" w:rsidR="00BC1B78" w:rsidRDefault="00BC1B78">
      <w:pPr>
        <w:pStyle w:val="a3"/>
      </w:pPr>
      <w:r>
        <w:rPr>
          <w:rStyle w:val="af0"/>
        </w:rPr>
        <w:footnoteRef/>
      </w:r>
      <w:r>
        <w:t xml:space="preserve"> </w:t>
      </w:r>
      <w:r w:rsidRPr="00BC1B78">
        <w:rPr>
          <w:highlight w:val="cyan"/>
          <w:lang w:bidi="he-IL"/>
        </w:rPr>
        <w:t xml:space="preserve">see a ruling of the Rabbinic court in Ashkelon DRC 062393533-68-1 (2005) determined by Rabbi Binyamin </w:t>
      </w:r>
      <w:proofErr w:type="spellStart"/>
      <w:r w:rsidRPr="00BC1B78">
        <w:rPr>
          <w:highlight w:val="cyan"/>
          <w:lang w:bidi="he-IL"/>
        </w:rPr>
        <w:t>Beeri</w:t>
      </w:r>
      <w:proofErr w:type="spellEnd"/>
      <w:r w:rsidRPr="00BC1B78">
        <w:rPr>
          <w:highlight w:val="cyan"/>
          <w:lang w:bidi="he-IL"/>
        </w:rPr>
        <w:t xml:space="preserve">, Rabbi </w:t>
      </w:r>
      <w:proofErr w:type="spellStart"/>
      <w:r w:rsidRPr="00BC1B78">
        <w:rPr>
          <w:highlight w:val="cyan"/>
          <w:lang w:bidi="he-IL"/>
        </w:rPr>
        <w:t>Aharon</w:t>
      </w:r>
      <w:proofErr w:type="spellEnd"/>
      <w:r w:rsidRPr="00BC1B78">
        <w:rPr>
          <w:highlight w:val="cyan"/>
          <w:lang w:bidi="he-IL"/>
        </w:rPr>
        <w:t xml:space="preserve"> Katz, and Rabbi David </w:t>
      </w:r>
      <w:proofErr w:type="spellStart"/>
      <w:r w:rsidRPr="00BC1B78">
        <w:rPr>
          <w:highlight w:val="cyan"/>
          <w:lang w:bidi="he-IL"/>
        </w:rPr>
        <w:t>Dov</w:t>
      </w:r>
      <w:proofErr w:type="spellEnd"/>
      <w:r w:rsidRPr="00BC1B78">
        <w:rPr>
          <w:highlight w:val="cyan"/>
          <w:lang w:bidi="he-IL"/>
        </w:rPr>
        <w:t xml:space="preserve"> </w:t>
      </w:r>
      <w:proofErr w:type="spellStart"/>
      <w:r w:rsidRPr="00BC1B78">
        <w:rPr>
          <w:highlight w:val="cyan"/>
          <w:lang w:bidi="he-IL"/>
        </w:rPr>
        <w:t>Levanon</w:t>
      </w:r>
      <w:proofErr w:type="spellEnd"/>
    </w:p>
  </w:footnote>
  <w:footnote w:id="11">
    <w:p w14:paraId="05F15E49" w14:textId="49327D95" w:rsidR="00BC1B78" w:rsidRDefault="00BC1B78">
      <w:pPr>
        <w:pStyle w:val="a3"/>
      </w:pPr>
      <w:r w:rsidRPr="00BC1B78">
        <w:rPr>
          <w:rStyle w:val="af0"/>
          <w:highlight w:val="cyan"/>
        </w:rPr>
        <w:footnoteRef/>
      </w:r>
      <w:r w:rsidRPr="00BC1B78">
        <w:rPr>
          <w:highlight w:val="cyan"/>
        </w:rPr>
        <w:t xml:space="preserve"> </w:t>
      </w:r>
      <w:r w:rsidRPr="00BC1B78">
        <w:rPr>
          <w:highlight w:val="cyan"/>
          <w:lang w:bidi="he-IL"/>
        </w:rPr>
        <w:t>such as http://rotter.net/forum/scoops1/669920.shtml</w:t>
      </w:r>
      <w:r w:rsidRPr="00BC1B78">
        <w:rPr>
          <w:rStyle w:val="ac"/>
          <w:rFonts w:asciiTheme="minorHAnsi" w:eastAsiaTheme="minorHAnsi" w:hAnsiTheme="minorHAnsi" w:cstheme="minorBidi"/>
          <w:highlight w:val="cyan"/>
          <w:lang w:eastAsia="en-US" w:bidi="he-IL"/>
        </w:rPr>
        <w:annotationRef/>
      </w:r>
    </w:p>
  </w:footnote>
  <w:footnote w:id="12">
    <w:p w14:paraId="3BACC439" w14:textId="44C81407" w:rsidR="0054497F" w:rsidRPr="007230AB" w:rsidRDefault="0054497F" w:rsidP="0054497F">
      <w:pPr>
        <w:pStyle w:val="a5"/>
        <w:jc w:val="both"/>
        <w:rPr>
          <w:rFonts w:asciiTheme="majorBidi" w:hAnsiTheme="majorBidi" w:cstheme="majorBidi"/>
          <w:highlight w:val="cyan"/>
          <w:rtl/>
        </w:rPr>
      </w:pPr>
      <w:r w:rsidRPr="007230AB">
        <w:rPr>
          <w:rStyle w:val="af0"/>
          <w:rFonts w:asciiTheme="majorBidi" w:hAnsiTheme="majorBidi" w:cstheme="majorBidi"/>
          <w:highlight w:val="cyan"/>
        </w:rPr>
        <w:footnoteRef/>
      </w:r>
      <w:r w:rsidRPr="007230AB">
        <w:rPr>
          <w:rFonts w:asciiTheme="majorBidi" w:hAnsiTheme="majorBidi" w:cstheme="majorBidi"/>
          <w:highlight w:val="cyan"/>
        </w:rPr>
        <w:t xml:space="preserve"> </w:t>
      </w:r>
      <w:r w:rsidRPr="007230AB">
        <w:rPr>
          <w:rFonts w:asciiTheme="majorBidi" w:hAnsiTheme="majorBidi" w:cstheme="majorBidi"/>
          <w:highlight w:val="cyan"/>
          <w:rtl/>
        </w:rPr>
        <w:t xml:space="preserve">הרב משה </w:t>
      </w:r>
      <w:proofErr w:type="spellStart"/>
      <w:r w:rsidRPr="007230AB">
        <w:rPr>
          <w:rFonts w:asciiTheme="majorBidi" w:hAnsiTheme="majorBidi" w:cstheme="majorBidi"/>
          <w:highlight w:val="cyan"/>
          <w:rtl/>
        </w:rPr>
        <w:t>קורצטאג</w:t>
      </w:r>
      <w:proofErr w:type="spellEnd"/>
      <w:r w:rsidRPr="007230AB">
        <w:rPr>
          <w:rFonts w:asciiTheme="majorBidi" w:hAnsiTheme="majorBidi" w:cstheme="majorBidi"/>
          <w:highlight w:val="cyan"/>
          <w:rtl/>
        </w:rPr>
        <w:t>, "התמודדויות בבית הדין", עמ' 4-3</w:t>
      </w:r>
      <w:r w:rsidR="007230AB" w:rsidRPr="007230AB">
        <w:rPr>
          <w:rFonts w:asciiTheme="majorBidi" w:hAnsiTheme="majorBidi" w:cstheme="majorBidi"/>
          <w:highlight w:val="cyan"/>
          <w:rtl/>
        </w:rPr>
        <w:t>;</w:t>
      </w:r>
    </w:p>
    <w:p w14:paraId="6DF0A522" w14:textId="4AB51793" w:rsidR="0054497F" w:rsidRPr="007230AB" w:rsidRDefault="0054497F" w:rsidP="0054497F">
      <w:pPr>
        <w:pStyle w:val="a5"/>
        <w:rPr>
          <w:rFonts w:asciiTheme="majorBidi" w:hAnsiTheme="majorBidi" w:cstheme="majorBidi"/>
          <w:rtl/>
        </w:rPr>
      </w:pPr>
      <w:r w:rsidRPr="007230AB">
        <w:rPr>
          <w:rFonts w:asciiTheme="majorBidi" w:hAnsiTheme="majorBidi" w:cstheme="majorBidi"/>
          <w:highlight w:val="cyan"/>
        </w:rPr>
        <w:t xml:space="preserve">Taylor v </w:t>
      </w:r>
      <w:proofErr w:type="spellStart"/>
      <w:r w:rsidRPr="007230AB">
        <w:rPr>
          <w:rFonts w:asciiTheme="majorBidi" w:hAnsiTheme="majorBidi" w:cstheme="majorBidi"/>
          <w:highlight w:val="cyan"/>
        </w:rPr>
        <w:t>Kurztag</w:t>
      </w:r>
      <w:proofErr w:type="spellEnd"/>
      <w:r w:rsidRPr="007230AB">
        <w:rPr>
          <w:rFonts w:asciiTheme="majorBidi" w:hAnsiTheme="majorBidi" w:cstheme="majorBidi"/>
          <w:highlight w:val="cyan"/>
        </w:rPr>
        <w:t xml:space="preserve"> No and Others 2005 (1) SA 362 (W)</w:t>
      </w:r>
    </w:p>
    <w:p w14:paraId="5F3EDE29" w14:textId="43FBEECE" w:rsidR="0054497F" w:rsidRPr="007230AB" w:rsidRDefault="0054497F">
      <w:pPr>
        <w:pStyle w:val="a3"/>
        <w:rPr>
          <w:rFonts w:asciiTheme="majorBidi" w:hAnsiTheme="majorBidi" w:cstheme="majorBidi"/>
          <w:rtl/>
          <w:lang w:bidi="he-IL"/>
        </w:rPr>
      </w:pPr>
    </w:p>
  </w:footnote>
  <w:footnote w:id="13">
    <w:p w14:paraId="7285DFF5" w14:textId="77777777" w:rsidR="00886737" w:rsidRPr="007230AB" w:rsidRDefault="0054497F" w:rsidP="00886737">
      <w:pPr>
        <w:pStyle w:val="a5"/>
        <w:rPr>
          <w:rFonts w:asciiTheme="majorBidi" w:hAnsiTheme="majorBidi" w:cstheme="majorBidi"/>
          <w:highlight w:val="cyan"/>
          <w:rtl/>
        </w:rPr>
      </w:pPr>
      <w:r w:rsidRPr="007230AB">
        <w:rPr>
          <w:rStyle w:val="af0"/>
          <w:rFonts w:asciiTheme="majorBidi" w:hAnsiTheme="majorBidi" w:cstheme="majorBidi"/>
          <w:highlight w:val="cyan"/>
        </w:rPr>
        <w:footnoteRef/>
      </w:r>
      <w:r w:rsidRPr="007230AB">
        <w:rPr>
          <w:rFonts w:asciiTheme="majorBidi" w:hAnsiTheme="majorBidi" w:cstheme="majorBidi"/>
          <w:highlight w:val="cyan"/>
        </w:rPr>
        <w:t xml:space="preserve"> </w:t>
      </w:r>
      <w:r w:rsidR="00886737" w:rsidRPr="007230AB">
        <w:rPr>
          <w:rFonts w:asciiTheme="majorBidi" w:hAnsiTheme="majorBidi" w:cstheme="majorBidi"/>
          <w:highlight w:val="cyan"/>
          <w:rtl/>
        </w:rPr>
        <w:t>עיינו למשל:</w:t>
      </w:r>
    </w:p>
    <w:p w14:paraId="7531F948" w14:textId="7A984FCC" w:rsidR="00886737" w:rsidRPr="007230AB" w:rsidRDefault="00886737" w:rsidP="00886737">
      <w:pPr>
        <w:pStyle w:val="a5"/>
        <w:jc w:val="right"/>
        <w:rPr>
          <w:rFonts w:asciiTheme="majorBidi" w:hAnsiTheme="majorBidi" w:cstheme="majorBidi"/>
          <w:highlight w:val="cyan"/>
        </w:rPr>
      </w:pPr>
      <w:r w:rsidRPr="007230AB">
        <w:rPr>
          <w:rFonts w:asciiTheme="majorBidi" w:hAnsiTheme="majorBidi" w:cstheme="majorBidi"/>
          <w:highlight w:val="cyan"/>
        </w:rPr>
        <w:t>Benson, Ian, “The case for Religious inclusivism and judicial recognition of religious associational rights", 297-312; Amoah, Jewel and Bennett, Tom, "Affirmation and celebration of the ‘religiou</w:t>
      </w:r>
      <w:r w:rsidR="007230AB">
        <w:rPr>
          <w:rFonts w:asciiTheme="majorBidi" w:hAnsiTheme="majorBidi" w:cstheme="majorBidi"/>
          <w:highlight w:val="cyan"/>
        </w:rPr>
        <w:t xml:space="preserve">s </w:t>
      </w:r>
      <w:r w:rsidRPr="007230AB">
        <w:rPr>
          <w:rFonts w:asciiTheme="majorBidi" w:hAnsiTheme="majorBidi" w:cstheme="majorBidi"/>
          <w:highlight w:val="cyan"/>
        </w:rPr>
        <w:t>Other’ in South Africa’s constitutional jurisprudence on religious rights", 357-375;</w:t>
      </w:r>
      <w:r w:rsidRPr="007230AB">
        <w:rPr>
          <w:rFonts w:asciiTheme="majorBidi" w:hAnsiTheme="majorBidi" w:cstheme="majorBidi"/>
          <w:highlight w:val="cyan"/>
          <w:rtl/>
        </w:rPr>
        <w:t xml:space="preserve"> </w:t>
      </w:r>
      <w:r w:rsidRPr="007230AB">
        <w:rPr>
          <w:rFonts w:asciiTheme="majorBidi" w:hAnsiTheme="majorBidi" w:cstheme="majorBidi"/>
          <w:highlight w:val="cyan"/>
        </w:rPr>
        <w:t>Woolman, Stuart, "Defending Discrimination", 31-52.</w:t>
      </w:r>
    </w:p>
    <w:p w14:paraId="641640A9" w14:textId="19353579" w:rsidR="0054497F" w:rsidRDefault="0054497F">
      <w:pPr>
        <w:pStyle w:val="a3"/>
        <w:rPr>
          <w:rtl/>
          <w:lang w:bidi="he-I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1CCF"/>
    <w:multiLevelType w:val="hybridMultilevel"/>
    <w:tmpl w:val="82265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E01DF"/>
    <w:multiLevelType w:val="hybridMultilevel"/>
    <w:tmpl w:val="846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עליזה בזק">
    <w15:presenceInfo w15:providerId="None" w15:userId="עליזה בז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EE"/>
    <w:rsid w:val="000215FD"/>
    <w:rsid w:val="00022857"/>
    <w:rsid w:val="00033B84"/>
    <w:rsid w:val="000356B5"/>
    <w:rsid w:val="000405C9"/>
    <w:rsid w:val="00050877"/>
    <w:rsid w:val="000539D4"/>
    <w:rsid w:val="00054607"/>
    <w:rsid w:val="000643A2"/>
    <w:rsid w:val="000651AF"/>
    <w:rsid w:val="00074DD7"/>
    <w:rsid w:val="0007629B"/>
    <w:rsid w:val="00076F8F"/>
    <w:rsid w:val="00083AAB"/>
    <w:rsid w:val="00083DF7"/>
    <w:rsid w:val="00086003"/>
    <w:rsid w:val="00086FA5"/>
    <w:rsid w:val="000960CC"/>
    <w:rsid w:val="000A2434"/>
    <w:rsid w:val="000A2584"/>
    <w:rsid w:val="000A5B83"/>
    <w:rsid w:val="000B1D12"/>
    <w:rsid w:val="000B3C3D"/>
    <w:rsid w:val="000B4095"/>
    <w:rsid w:val="000C5A6E"/>
    <w:rsid w:val="000D0097"/>
    <w:rsid w:val="000D19A5"/>
    <w:rsid w:val="000D7E7A"/>
    <w:rsid w:val="000E4EA8"/>
    <w:rsid w:val="000E654E"/>
    <w:rsid w:val="000F09DD"/>
    <w:rsid w:val="000F54AF"/>
    <w:rsid w:val="000F7716"/>
    <w:rsid w:val="00107241"/>
    <w:rsid w:val="00113D6D"/>
    <w:rsid w:val="001211BD"/>
    <w:rsid w:val="001215E9"/>
    <w:rsid w:val="00122F63"/>
    <w:rsid w:val="00124D46"/>
    <w:rsid w:val="001327B9"/>
    <w:rsid w:val="001369BB"/>
    <w:rsid w:val="0014313D"/>
    <w:rsid w:val="00152378"/>
    <w:rsid w:val="00154234"/>
    <w:rsid w:val="00155108"/>
    <w:rsid w:val="00155754"/>
    <w:rsid w:val="0016082F"/>
    <w:rsid w:val="00162D24"/>
    <w:rsid w:val="001644C9"/>
    <w:rsid w:val="0016459A"/>
    <w:rsid w:val="00164D4F"/>
    <w:rsid w:val="00165BA1"/>
    <w:rsid w:val="0017136C"/>
    <w:rsid w:val="001730B3"/>
    <w:rsid w:val="0017455F"/>
    <w:rsid w:val="00186197"/>
    <w:rsid w:val="001879A8"/>
    <w:rsid w:val="00191159"/>
    <w:rsid w:val="00195207"/>
    <w:rsid w:val="001A0A89"/>
    <w:rsid w:val="001A5EBC"/>
    <w:rsid w:val="001A6566"/>
    <w:rsid w:val="001B112D"/>
    <w:rsid w:val="001B2090"/>
    <w:rsid w:val="001B28C6"/>
    <w:rsid w:val="001B7777"/>
    <w:rsid w:val="001C220B"/>
    <w:rsid w:val="001C2DB3"/>
    <w:rsid w:val="001C6CE3"/>
    <w:rsid w:val="001C759B"/>
    <w:rsid w:val="001E02F0"/>
    <w:rsid w:val="001E219B"/>
    <w:rsid w:val="001E4EB0"/>
    <w:rsid w:val="001E588C"/>
    <w:rsid w:val="001F5FAB"/>
    <w:rsid w:val="001F786C"/>
    <w:rsid w:val="002034BF"/>
    <w:rsid w:val="0020745A"/>
    <w:rsid w:val="00207675"/>
    <w:rsid w:val="00214325"/>
    <w:rsid w:val="00217671"/>
    <w:rsid w:val="00221A2D"/>
    <w:rsid w:val="0022451F"/>
    <w:rsid w:val="002271C6"/>
    <w:rsid w:val="00230341"/>
    <w:rsid w:val="002348AB"/>
    <w:rsid w:val="00234D3F"/>
    <w:rsid w:val="002466AB"/>
    <w:rsid w:val="00250285"/>
    <w:rsid w:val="00257179"/>
    <w:rsid w:val="0026156A"/>
    <w:rsid w:val="00261B80"/>
    <w:rsid w:val="0027024D"/>
    <w:rsid w:val="002727AC"/>
    <w:rsid w:val="0027313E"/>
    <w:rsid w:val="002871D0"/>
    <w:rsid w:val="002A1BFF"/>
    <w:rsid w:val="002A45FE"/>
    <w:rsid w:val="002B3DD2"/>
    <w:rsid w:val="002B5454"/>
    <w:rsid w:val="002B5FB1"/>
    <w:rsid w:val="002B7A1B"/>
    <w:rsid w:val="002C3BED"/>
    <w:rsid w:val="002C617E"/>
    <w:rsid w:val="002C743A"/>
    <w:rsid w:val="002D2528"/>
    <w:rsid w:val="002D427A"/>
    <w:rsid w:val="002D6516"/>
    <w:rsid w:val="002D74D2"/>
    <w:rsid w:val="002E30C1"/>
    <w:rsid w:val="002E78A9"/>
    <w:rsid w:val="002F089D"/>
    <w:rsid w:val="002F55F5"/>
    <w:rsid w:val="00300AD3"/>
    <w:rsid w:val="003034AB"/>
    <w:rsid w:val="0031196D"/>
    <w:rsid w:val="00330101"/>
    <w:rsid w:val="00334FEC"/>
    <w:rsid w:val="00336D92"/>
    <w:rsid w:val="00342B27"/>
    <w:rsid w:val="00343909"/>
    <w:rsid w:val="003463BD"/>
    <w:rsid w:val="00346BBC"/>
    <w:rsid w:val="003519B6"/>
    <w:rsid w:val="00351A8D"/>
    <w:rsid w:val="00360B7A"/>
    <w:rsid w:val="003749AD"/>
    <w:rsid w:val="003751E0"/>
    <w:rsid w:val="00386853"/>
    <w:rsid w:val="00391C45"/>
    <w:rsid w:val="00393BA2"/>
    <w:rsid w:val="00395C39"/>
    <w:rsid w:val="003A6BCC"/>
    <w:rsid w:val="003B04D7"/>
    <w:rsid w:val="003B1F5E"/>
    <w:rsid w:val="003B6561"/>
    <w:rsid w:val="003C112C"/>
    <w:rsid w:val="003C5B07"/>
    <w:rsid w:val="003C66B0"/>
    <w:rsid w:val="003C6849"/>
    <w:rsid w:val="003C73EE"/>
    <w:rsid w:val="003D225C"/>
    <w:rsid w:val="003E1ED5"/>
    <w:rsid w:val="003E2117"/>
    <w:rsid w:val="003E5C78"/>
    <w:rsid w:val="003F61D6"/>
    <w:rsid w:val="00411B6C"/>
    <w:rsid w:val="00421597"/>
    <w:rsid w:val="00423173"/>
    <w:rsid w:val="00423209"/>
    <w:rsid w:val="00426367"/>
    <w:rsid w:val="004319FF"/>
    <w:rsid w:val="004324A9"/>
    <w:rsid w:val="00436A0E"/>
    <w:rsid w:val="00436ED9"/>
    <w:rsid w:val="00437137"/>
    <w:rsid w:val="00437D6F"/>
    <w:rsid w:val="00441BC3"/>
    <w:rsid w:val="00454142"/>
    <w:rsid w:val="004620FE"/>
    <w:rsid w:val="00464B2B"/>
    <w:rsid w:val="00471BD6"/>
    <w:rsid w:val="00475D05"/>
    <w:rsid w:val="00480F00"/>
    <w:rsid w:val="0048112C"/>
    <w:rsid w:val="00485DC8"/>
    <w:rsid w:val="004A0050"/>
    <w:rsid w:val="004A0A4D"/>
    <w:rsid w:val="004A444B"/>
    <w:rsid w:val="004B4560"/>
    <w:rsid w:val="004B4D10"/>
    <w:rsid w:val="004B4FF2"/>
    <w:rsid w:val="004C0698"/>
    <w:rsid w:val="004C33CA"/>
    <w:rsid w:val="004C48CB"/>
    <w:rsid w:val="004C568C"/>
    <w:rsid w:val="004D2DF8"/>
    <w:rsid w:val="004D307F"/>
    <w:rsid w:val="004E17AC"/>
    <w:rsid w:val="004F302C"/>
    <w:rsid w:val="005164C7"/>
    <w:rsid w:val="00516CC7"/>
    <w:rsid w:val="00523654"/>
    <w:rsid w:val="00524A49"/>
    <w:rsid w:val="0052651A"/>
    <w:rsid w:val="005269DC"/>
    <w:rsid w:val="00536141"/>
    <w:rsid w:val="00541F23"/>
    <w:rsid w:val="0054497F"/>
    <w:rsid w:val="00546E17"/>
    <w:rsid w:val="005509B5"/>
    <w:rsid w:val="005578F7"/>
    <w:rsid w:val="005611AC"/>
    <w:rsid w:val="005666B7"/>
    <w:rsid w:val="0056748C"/>
    <w:rsid w:val="005700FC"/>
    <w:rsid w:val="00586120"/>
    <w:rsid w:val="00586F63"/>
    <w:rsid w:val="0058795B"/>
    <w:rsid w:val="00597FC5"/>
    <w:rsid w:val="005A597B"/>
    <w:rsid w:val="005B1579"/>
    <w:rsid w:val="005B2C3D"/>
    <w:rsid w:val="005C0463"/>
    <w:rsid w:val="005C24C9"/>
    <w:rsid w:val="005C4CCB"/>
    <w:rsid w:val="005C591C"/>
    <w:rsid w:val="005C6455"/>
    <w:rsid w:val="005D162C"/>
    <w:rsid w:val="005D276F"/>
    <w:rsid w:val="005D2A0F"/>
    <w:rsid w:val="005D3F47"/>
    <w:rsid w:val="005E1865"/>
    <w:rsid w:val="005E6004"/>
    <w:rsid w:val="005E6815"/>
    <w:rsid w:val="005E6E60"/>
    <w:rsid w:val="005F1A32"/>
    <w:rsid w:val="005F452C"/>
    <w:rsid w:val="005F4E8E"/>
    <w:rsid w:val="005F738C"/>
    <w:rsid w:val="005F75DA"/>
    <w:rsid w:val="00603BA0"/>
    <w:rsid w:val="00606995"/>
    <w:rsid w:val="00607268"/>
    <w:rsid w:val="00620EA3"/>
    <w:rsid w:val="00624BF8"/>
    <w:rsid w:val="00633E9A"/>
    <w:rsid w:val="00635458"/>
    <w:rsid w:val="00641821"/>
    <w:rsid w:val="00643291"/>
    <w:rsid w:val="00645578"/>
    <w:rsid w:val="006542FC"/>
    <w:rsid w:val="00662C77"/>
    <w:rsid w:val="006726C2"/>
    <w:rsid w:val="0067597C"/>
    <w:rsid w:val="006759EE"/>
    <w:rsid w:val="00686F2D"/>
    <w:rsid w:val="0068784F"/>
    <w:rsid w:val="00692D5E"/>
    <w:rsid w:val="006A4495"/>
    <w:rsid w:val="006A5E7C"/>
    <w:rsid w:val="006B136C"/>
    <w:rsid w:val="006C4B19"/>
    <w:rsid w:val="006C6BE3"/>
    <w:rsid w:val="006D376F"/>
    <w:rsid w:val="006D3EB3"/>
    <w:rsid w:val="006D4F29"/>
    <w:rsid w:val="006D55FC"/>
    <w:rsid w:val="006D567F"/>
    <w:rsid w:val="006D75B7"/>
    <w:rsid w:val="006E1C10"/>
    <w:rsid w:val="006E3C25"/>
    <w:rsid w:val="006E6926"/>
    <w:rsid w:val="006E7CAB"/>
    <w:rsid w:val="006F3C96"/>
    <w:rsid w:val="007123D8"/>
    <w:rsid w:val="00717725"/>
    <w:rsid w:val="00721126"/>
    <w:rsid w:val="007230AB"/>
    <w:rsid w:val="00724236"/>
    <w:rsid w:val="00734912"/>
    <w:rsid w:val="00740230"/>
    <w:rsid w:val="0074119B"/>
    <w:rsid w:val="00750169"/>
    <w:rsid w:val="007575AF"/>
    <w:rsid w:val="00770E16"/>
    <w:rsid w:val="007741CA"/>
    <w:rsid w:val="00775098"/>
    <w:rsid w:val="00781864"/>
    <w:rsid w:val="00786459"/>
    <w:rsid w:val="0078692E"/>
    <w:rsid w:val="00792172"/>
    <w:rsid w:val="00792A4A"/>
    <w:rsid w:val="0079359A"/>
    <w:rsid w:val="00797CBD"/>
    <w:rsid w:val="007A0858"/>
    <w:rsid w:val="007A365F"/>
    <w:rsid w:val="007A5209"/>
    <w:rsid w:val="007B139D"/>
    <w:rsid w:val="007B1815"/>
    <w:rsid w:val="007B1FC3"/>
    <w:rsid w:val="007B1FE2"/>
    <w:rsid w:val="007C1304"/>
    <w:rsid w:val="007C3843"/>
    <w:rsid w:val="007D410A"/>
    <w:rsid w:val="007E5711"/>
    <w:rsid w:val="007E5C9A"/>
    <w:rsid w:val="007E7B02"/>
    <w:rsid w:val="007F09E7"/>
    <w:rsid w:val="007F2D3A"/>
    <w:rsid w:val="00802803"/>
    <w:rsid w:val="008041FD"/>
    <w:rsid w:val="00804314"/>
    <w:rsid w:val="00805505"/>
    <w:rsid w:val="0081095E"/>
    <w:rsid w:val="00815CD9"/>
    <w:rsid w:val="00825279"/>
    <w:rsid w:val="00832EF1"/>
    <w:rsid w:val="008403CE"/>
    <w:rsid w:val="00841BBE"/>
    <w:rsid w:val="00842658"/>
    <w:rsid w:val="00843C91"/>
    <w:rsid w:val="00850F36"/>
    <w:rsid w:val="008521A8"/>
    <w:rsid w:val="00872A06"/>
    <w:rsid w:val="00875312"/>
    <w:rsid w:val="00876C4D"/>
    <w:rsid w:val="00877E94"/>
    <w:rsid w:val="00886737"/>
    <w:rsid w:val="00895789"/>
    <w:rsid w:val="008966DF"/>
    <w:rsid w:val="00897F5D"/>
    <w:rsid w:val="008A0FC2"/>
    <w:rsid w:val="008A2DB3"/>
    <w:rsid w:val="008A4FA7"/>
    <w:rsid w:val="008A71FF"/>
    <w:rsid w:val="008B233C"/>
    <w:rsid w:val="008B253D"/>
    <w:rsid w:val="008B338B"/>
    <w:rsid w:val="008B7504"/>
    <w:rsid w:val="008C55D8"/>
    <w:rsid w:val="008D5556"/>
    <w:rsid w:val="008D7A25"/>
    <w:rsid w:val="008D7B20"/>
    <w:rsid w:val="008E0334"/>
    <w:rsid w:val="008E660C"/>
    <w:rsid w:val="008F155B"/>
    <w:rsid w:val="008F51E1"/>
    <w:rsid w:val="00905695"/>
    <w:rsid w:val="00905F0F"/>
    <w:rsid w:val="00907808"/>
    <w:rsid w:val="00914893"/>
    <w:rsid w:val="00927A67"/>
    <w:rsid w:val="0093531C"/>
    <w:rsid w:val="0094439A"/>
    <w:rsid w:val="00945B6E"/>
    <w:rsid w:val="009579A8"/>
    <w:rsid w:val="00965C86"/>
    <w:rsid w:val="009676A9"/>
    <w:rsid w:val="0097251E"/>
    <w:rsid w:val="00981418"/>
    <w:rsid w:val="00981BD7"/>
    <w:rsid w:val="00983F60"/>
    <w:rsid w:val="00992D1B"/>
    <w:rsid w:val="00994866"/>
    <w:rsid w:val="009B177A"/>
    <w:rsid w:val="009B2B25"/>
    <w:rsid w:val="009B4A17"/>
    <w:rsid w:val="009C2306"/>
    <w:rsid w:val="009D2275"/>
    <w:rsid w:val="009D5348"/>
    <w:rsid w:val="009E7502"/>
    <w:rsid w:val="009F17CB"/>
    <w:rsid w:val="009F1E64"/>
    <w:rsid w:val="00A00076"/>
    <w:rsid w:val="00A026B5"/>
    <w:rsid w:val="00A0471C"/>
    <w:rsid w:val="00A0554F"/>
    <w:rsid w:val="00A1306B"/>
    <w:rsid w:val="00A14B1A"/>
    <w:rsid w:val="00A21793"/>
    <w:rsid w:val="00A2514D"/>
    <w:rsid w:val="00A26158"/>
    <w:rsid w:val="00A27AE8"/>
    <w:rsid w:val="00A35532"/>
    <w:rsid w:val="00A3641B"/>
    <w:rsid w:val="00A37F09"/>
    <w:rsid w:val="00A418D2"/>
    <w:rsid w:val="00A41C1C"/>
    <w:rsid w:val="00A476F3"/>
    <w:rsid w:val="00A47BB8"/>
    <w:rsid w:val="00A50584"/>
    <w:rsid w:val="00A618F1"/>
    <w:rsid w:val="00A63152"/>
    <w:rsid w:val="00A637D3"/>
    <w:rsid w:val="00A6517F"/>
    <w:rsid w:val="00A653A7"/>
    <w:rsid w:val="00A668E5"/>
    <w:rsid w:val="00A67C88"/>
    <w:rsid w:val="00A72243"/>
    <w:rsid w:val="00A85452"/>
    <w:rsid w:val="00A932E9"/>
    <w:rsid w:val="00AA19DC"/>
    <w:rsid w:val="00AA1B1B"/>
    <w:rsid w:val="00AB30A1"/>
    <w:rsid w:val="00AC3E6B"/>
    <w:rsid w:val="00AD2350"/>
    <w:rsid w:val="00AD3CFF"/>
    <w:rsid w:val="00AD5DD6"/>
    <w:rsid w:val="00AD66AF"/>
    <w:rsid w:val="00AE3114"/>
    <w:rsid w:val="00AE4E96"/>
    <w:rsid w:val="00AE69FB"/>
    <w:rsid w:val="00AE7AA9"/>
    <w:rsid w:val="00AF000C"/>
    <w:rsid w:val="00AF26F9"/>
    <w:rsid w:val="00AF52B0"/>
    <w:rsid w:val="00AF67EE"/>
    <w:rsid w:val="00B00057"/>
    <w:rsid w:val="00B0446A"/>
    <w:rsid w:val="00B04C46"/>
    <w:rsid w:val="00B056B3"/>
    <w:rsid w:val="00B07285"/>
    <w:rsid w:val="00B123C2"/>
    <w:rsid w:val="00B27DD4"/>
    <w:rsid w:val="00B33D34"/>
    <w:rsid w:val="00B33FD2"/>
    <w:rsid w:val="00B344A6"/>
    <w:rsid w:val="00B4007D"/>
    <w:rsid w:val="00B42628"/>
    <w:rsid w:val="00B42785"/>
    <w:rsid w:val="00B42F71"/>
    <w:rsid w:val="00B440B7"/>
    <w:rsid w:val="00B45CCE"/>
    <w:rsid w:val="00B536EF"/>
    <w:rsid w:val="00B556CF"/>
    <w:rsid w:val="00B643B9"/>
    <w:rsid w:val="00B73434"/>
    <w:rsid w:val="00B81FC4"/>
    <w:rsid w:val="00B8268A"/>
    <w:rsid w:val="00B915EA"/>
    <w:rsid w:val="00B916EE"/>
    <w:rsid w:val="00B94C95"/>
    <w:rsid w:val="00B97ECB"/>
    <w:rsid w:val="00BA15CF"/>
    <w:rsid w:val="00BB0E7E"/>
    <w:rsid w:val="00BB43CD"/>
    <w:rsid w:val="00BC1B78"/>
    <w:rsid w:val="00BC1F66"/>
    <w:rsid w:val="00BD3B83"/>
    <w:rsid w:val="00BE11EB"/>
    <w:rsid w:val="00BF4B68"/>
    <w:rsid w:val="00C13E25"/>
    <w:rsid w:val="00C172C7"/>
    <w:rsid w:val="00C22AEC"/>
    <w:rsid w:val="00C263DC"/>
    <w:rsid w:val="00C27AD7"/>
    <w:rsid w:val="00C41D0D"/>
    <w:rsid w:val="00C422B0"/>
    <w:rsid w:val="00C46484"/>
    <w:rsid w:val="00C46D6C"/>
    <w:rsid w:val="00C46FB7"/>
    <w:rsid w:val="00C479F7"/>
    <w:rsid w:val="00C47F68"/>
    <w:rsid w:val="00C533C4"/>
    <w:rsid w:val="00C55A18"/>
    <w:rsid w:val="00C61352"/>
    <w:rsid w:val="00C61AE0"/>
    <w:rsid w:val="00C62661"/>
    <w:rsid w:val="00C62D03"/>
    <w:rsid w:val="00C63E3E"/>
    <w:rsid w:val="00C70896"/>
    <w:rsid w:val="00C73682"/>
    <w:rsid w:val="00C86DA2"/>
    <w:rsid w:val="00C91B62"/>
    <w:rsid w:val="00C93DCE"/>
    <w:rsid w:val="00CA0D3D"/>
    <w:rsid w:val="00CA251F"/>
    <w:rsid w:val="00CA2548"/>
    <w:rsid w:val="00CB3A69"/>
    <w:rsid w:val="00CB5421"/>
    <w:rsid w:val="00CC1BBA"/>
    <w:rsid w:val="00CC3446"/>
    <w:rsid w:val="00CC7BA3"/>
    <w:rsid w:val="00CD1115"/>
    <w:rsid w:val="00CD31C7"/>
    <w:rsid w:val="00CD4B01"/>
    <w:rsid w:val="00CE097F"/>
    <w:rsid w:val="00CF3B38"/>
    <w:rsid w:val="00CF696D"/>
    <w:rsid w:val="00D069DA"/>
    <w:rsid w:val="00D104E9"/>
    <w:rsid w:val="00D11CBF"/>
    <w:rsid w:val="00D148AE"/>
    <w:rsid w:val="00D15CE7"/>
    <w:rsid w:val="00D22236"/>
    <w:rsid w:val="00D34893"/>
    <w:rsid w:val="00D535D6"/>
    <w:rsid w:val="00D57369"/>
    <w:rsid w:val="00D66949"/>
    <w:rsid w:val="00D7302F"/>
    <w:rsid w:val="00D75FF9"/>
    <w:rsid w:val="00D828CA"/>
    <w:rsid w:val="00D82E4C"/>
    <w:rsid w:val="00D83DD1"/>
    <w:rsid w:val="00D84050"/>
    <w:rsid w:val="00D865E9"/>
    <w:rsid w:val="00D8758E"/>
    <w:rsid w:val="00D927EF"/>
    <w:rsid w:val="00D96D86"/>
    <w:rsid w:val="00DA0638"/>
    <w:rsid w:val="00DA3146"/>
    <w:rsid w:val="00DB0D4B"/>
    <w:rsid w:val="00DB392E"/>
    <w:rsid w:val="00DC0C75"/>
    <w:rsid w:val="00DC2635"/>
    <w:rsid w:val="00DC59E1"/>
    <w:rsid w:val="00DD07D2"/>
    <w:rsid w:val="00DD0FE4"/>
    <w:rsid w:val="00DD67B0"/>
    <w:rsid w:val="00DE318A"/>
    <w:rsid w:val="00DE397E"/>
    <w:rsid w:val="00DF0CFE"/>
    <w:rsid w:val="00DF0DC9"/>
    <w:rsid w:val="00DF66F3"/>
    <w:rsid w:val="00E04D4A"/>
    <w:rsid w:val="00E07F40"/>
    <w:rsid w:val="00E102A9"/>
    <w:rsid w:val="00E16157"/>
    <w:rsid w:val="00E2017D"/>
    <w:rsid w:val="00E21C61"/>
    <w:rsid w:val="00E30D5A"/>
    <w:rsid w:val="00E30E18"/>
    <w:rsid w:val="00E311B6"/>
    <w:rsid w:val="00E353A7"/>
    <w:rsid w:val="00E3670E"/>
    <w:rsid w:val="00E449D2"/>
    <w:rsid w:val="00E4544E"/>
    <w:rsid w:val="00E465FC"/>
    <w:rsid w:val="00E46968"/>
    <w:rsid w:val="00E60932"/>
    <w:rsid w:val="00E65173"/>
    <w:rsid w:val="00E659D8"/>
    <w:rsid w:val="00E673B3"/>
    <w:rsid w:val="00E73E33"/>
    <w:rsid w:val="00E778DE"/>
    <w:rsid w:val="00E932A1"/>
    <w:rsid w:val="00E96EDB"/>
    <w:rsid w:val="00EA1F09"/>
    <w:rsid w:val="00EA37BB"/>
    <w:rsid w:val="00EA6336"/>
    <w:rsid w:val="00EC3D4E"/>
    <w:rsid w:val="00EC5207"/>
    <w:rsid w:val="00ED0208"/>
    <w:rsid w:val="00ED0328"/>
    <w:rsid w:val="00ED0669"/>
    <w:rsid w:val="00EE50BA"/>
    <w:rsid w:val="00EF46A4"/>
    <w:rsid w:val="00F02C0D"/>
    <w:rsid w:val="00F14909"/>
    <w:rsid w:val="00F25328"/>
    <w:rsid w:val="00F255EE"/>
    <w:rsid w:val="00F34D7D"/>
    <w:rsid w:val="00F36DD9"/>
    <w:rsid w:val="00F3762A"/>
    <w:rsid w:val="00F50253"/>
    <w:rsid w:val="00F52AF1"/>
    <w:rsid w:val="00F531BA"/>
    <w:rsid w:val="00F541FB"/>
    <w:rsid w:val="00F574F3"/>
    <w:rsid w:val="00F6383B"/>
    <w:rsid w:val="00F63D0E"/>
    <w:rsid w:val="00F707CA"/>
    <w:rsid w:val="00F7225C"/>
    <w:rsid w:val="00F75091"/>
    <w:rsid w:val="00F80634"/>
    <w:rsid w:val="00F82E2C"/>
    <w:rsid w:val="00F8524A"/>
    <w:rsid w:val="00F860C1"/>
    <w:rsid w:val="00F8665B"/>
    <w:rsid w:val="00F877E1"/>
    <w:rsid w:val="00F90B47"/>
    <w:rsid w:val="00FA3821"/>
    <w:rsid w:val="00FA648D"/>
    <w:rsid w:val="00FA794D"/>
    <w:rsid w:val="00FB19DE"/>
    <w:rsid w:val="00FB644C"/>
    <w:rsid w:val="00FC5EC8"/>
    <w:rsid w:val="00FD4856"/>
    <w:rsid w:val="00FE4EF8"/>
    <w:rsid w:val="00FE5343"/>
    <w:rsid w:val="00FE7E44"/>
    <w:rsid w:val="00FF3802"/>
    <w:rsid w:val="00FF6298"/>
    <w:rsid w:val="00FF7B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2DB1"/>
  <w15:docId w15:val="{202D21CB-5BBD-4D0A-8E84-007FACD5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5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
    <w:name w:val="PB"/>
    <w:basedOn w:val="a"/>
    <w:rsid w:val="00F255EE"/>
    <w:pPr>
      <w:bidi w:val="0"/>
      <w:spacing w:after="120" w:line="240" w:lineRule="auto"/>
    </w:pPr>
    <w:rPr>
      <w:rFonts w:ascii="Times New Roman" w:eastAsia="SimSun" w:hAnsi="Times New Roman" w:cs="Times New Roman"/>
      <w:sz w:val="24"/>
      <w:szCs w:val="24"/>
      <w:lang w:eastAsia="zh-CN" w:bidi="ar-SA"/>
    </w:rPr>
  </w:style>
  <w:style w:type="paragraph" w:styleId="a3">
    <w:name w:val="footnote text"/>
    <w:basedOn w:val="a"/>
    <w:link w:val="a4"/>
    <w:rsid w:val="00F255EE"/>
    <w:pPr>
      <w:bidi w:val="0"/>
      <w:spacing w:after="0" w:line="480" w:lineRule="auto"/>
    </w:pPr>
    <w:rPr>
      <w:rFonts w:ascii="Times New Roman" w:eastAsia="SimSun" w:hAnsi="Times New Roman" w:cs="Times New Roman"/>
      <w:sz w:val="20"/>
      <w:szCs w:val="20"/>
      <w:lang w:eastAsia="zh-CN" w:bidi="ar-SA"/>
    </w:rPr>
  </w:style>
  <w:style w:type="character" w:customStyle="1" w:styleId="a4">
    <w:name w:val="טקסט הערת שוליים תו"/>
    <w:basedOn w:val="a0"/>
    <w:link w:val="a3"/>
    <w:rsid w:val="00F255EE"/>
    <w:rPr>
      <w:rFonts w:ascii="Times New Roman" w:eastAsia="SimSun" w:hAnsi="Times New Roman" w:cs="Times New Roman"/>
      <w:sz w:val="20"/>
      <w:szCs w:val="20"/>
      <w:lang w:eastAsia="zh-CN" w:bidi="ar-SA"/>
    </w:rPr>
  </w:style>
  <w:style w:type="character" w:styleId="Hyperlink">
    <w:name w:val="Hyperlink"/>
    <w:basedOn w:val="a0"/>
    <w:uiPriority w:val="99"/>
    <w:unhideWhenUsed/>
    <w:rsid w:val="00F255EE"/>
    <w:rPr>
      <w:color w:val="0000FF"/>
      <w:u w:val="single"/>
    </w:rPr>
  </w:style>
  <w:style w:type="character" w:customStyle="1" w:styleId="il">
    <w:name w:val="il"/>
    <w:basedOn w:val="a0"/>
    <w:rsid w:val="00F255EE"/>
  </w:style>
  <w:style w:type="paragraph" w:styleId="a5">
    <w:name w:val="annotation text"/>
    <w:basedOn w:val="a"/>
    <w:link w:val="a6"/>
    <w:uiPriority w:val="99"/>
    <w:unhideWhenUsed/>
    <w:rsid w:val="00F255EE"/>
    <w:pPr>
      <w:spacing w:line="240" w:lineRule="auto"/>
    </w:pPr>
    <w:rPr>
      <w:sz w:val="20"/>
      <w:szCs w:val="20"/>
    </w:rPr>
  </w:style>
  <w:style w:type="character" w:customStyle="1" w:styleId="a6">
    <w:name w:val="טקסט הערה תו"/>
    <w:basedOn w:val="a0"/>
    <w:link w:val="a5"/>
    <w:uiPriority w:val="99"/>
    <w:rsid w:val="00F255EE"/>
    <w:rPr>
      <w:sz w:val="20"/>
      <w:szCs w:val="20"/>
    </w:rPr>
  </w:style>
  <w:style w:type="paragraph" w:styleId="a7">
    <w:name w:val="endnote text"/>
    <w:basedOn w:val="a"/>
    <w:link w:val="a8"/>
    <w:uiPriority w:val="99"/>
    <w:unhideWhenUsed/>
    <w:rsid w:val="00F255EE"/>
    <w:pPr>
      <w:spacing w:after="0" w:line="240" w:lineRule="auto"/>
    </w:pPr>
    <w:rPr>
      <w:sz w:val="20"/>
      <w:szCs w:val="20"/>
    </w:rPr>
  </w:style>
  <w:style w:type="character" w:customStyle="1" w:styleId="a8">
    <w:name w:val="טקסט הערת סיום תו"/>
    <w:basedOn w:val="a0"/>
    <w:link w:val="a7"/>
    <w:uiPriority w:val="99"/>
    <w:rsid w:val="00F255EE"/>
    <w:rPr>
      <w:sz w:val="20"/>
      <w:szCs w:val="20"/>
    </w:rPr>
  </w:style>
  <w:style w:type="character" w:styleId="a9">
    <w:name w:val="endnote reference"/>
    <w:basedOn w:val="a0"/>
    <w:uiPriority w:val="99"/>
    <w:semiHidden/>
    <w:unhideWhenUsed/>
    <w:rsid w:val="00F255EE"/>
    <w:rPr>
      <w:vertAlign w:val="superscript"/>
    </w:rPr>
  </w:style>
  <w:style w:type="paragraph" w:styleId="aa">
    <w:name w:val="Balloon Text"/>
    <w:basedOn w:val="a"/>
    <w:link w:val="ab"/>
    <w:uiPriority w:val="99"/>
    <w:semiHidden/>
    <w:unhideWhenUsed/>
    <w:rsid w:val="00C479F7"/>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C479F7"/>
    <w:rPr>
      <w:rFonts w:ascii="Tahoma" w:hAnsi="Tahoma" w:cs="Tahoma"/>
      <w:sz w:val="16"/>
      <w:szCs w:val="16"/>
    </w:rPr>
  </w:style>
  <w:style w:type="character" w:styleId="ac">
    <w:name w:val="annotation reference"/>
    <w:basedOn w:val="a0"/>
    <w:uiPriority w:val="99"/>
    <w:semiHidden/>
    <w:unhideWhenUsed/>
    <w:rsid w:val="00214325"/>
    <w:rPr>
      <w:sz w:val="16"/>
      <w:szCs w:val="16"/>
    </w:rPr>
  </w:style>
  <w:style w:type="paragraph" w:styleId="ad">
    <w:name w:val="annotation subject"/>
    <w:basedOn w:val="a5"/>
    <w:next w:val="a5"/>
    <w:link w:val="ae"/>
    <w:uiPriority w:val="99"/>
    <w:semiHidden/>
    <w:unhideWhenUsed/>
    <w:rsid w:val="00214325"/>
    <w:rPr>
      <w:b/>
      <w:bCs/>
    </w:rPr>
  </w:style>
  <w:style w:type="character" w:customStyle="1" w:styleId="ae">
    <w:name w:val="נושא הערה תו"/>
    <w:basedOn w:val="a6"/>
    <w:link w:val="ad"/>
    <w:uiPriority w:val="99"/>
    <w:semiHidden/>
    <w:rsid w:val="00214325"/>
    <w:rPr>
      <w:b/>
      <w:bCs/>
      <w:sz w:val="20"/>
      <w:szCs w:val="20"/>
    </w:rPr>
  </w:style>
  <w:style w:type="paragraph" w:styleId="af">
    <w:name w:val="List Paragraph"/>
    <w:basedOn w:val="a"/>
    <w:uiPriority w:val="34"/>
    <w:qFormat/>
    <w:rsid w:val="006E3C25"/>
    <w:pPr>
      <w:spacing w:after="160" w:line="259" w:lineRule="auto"/>
      <w:ind w:left="720"/>
      <w:contextualSpacing/>
    </w:pPr>
  </w:style>
  <w:style w:type="paragraph" w:customStyle="1" w:styleId="Hesber">
    <w:name w:val="Hesber"/>
    <w:basedOn w:val="a"/>
    <w:rsid w:val="006E3C25"/>
    <w:pPr>
      <w:widowControl w:val="0"/>
      <w:snapToGrid w:val="0"/>
      <w:spacing w:after="0" w:line="360" w:lineRule="auto"/>
      <w:ind w:firstLine="340"/>
      <w:contextualSpacing/>
      <w:jc w:val="both"/>
    </w:pPr>
    <w:rPr>
      <w:rFonts w:ascii="Arial" w:eastAsia="Arial Unicode MS" w:hAnsi="Arial" w:cs="David"/>
      <w:snapToGrid w:val="0"/>
      <w:sz w:val="20"/>
      <w:szCs w:val="26"/>
    </w:rPr>
  </w:style>
  <w:style w:type="character" w:styleId="af0">
    <w:name w:val="footnote reference"/>
    <w:basedOn w:val="a0"/>
    <w:uiPriority w:val="99"/>
    <w:semiHidden/>
    <w:unhideWhenUsed/>
    <w:rsid w:val="00FF6298"/>
    <w:rPr>
      <w:vertAlign w:val="superscript"/>
    </w:rPr>
  </w:style>
  <w:style w:type="character" w:customStyle="1" w:styleId="1">
    <w:name w:val="אזכור לא מזוהה1"/>
    <w:basedOn w:val="a0"/>
    <w:uiPriority w:val="99"/>
    <w:semiHidden/>
    <w:unhideWhenUsed/>
    <w:rsid w:val="0078692E"/>
    <w:rPr>
      <w:color w:val="605E5C"/>
      <w:shd w:val="clear" w:color="auto" w:fill="E1DFDD"/>
    </w:rPr>
  </w:style>
  <w:style w:type="paragraph" w:styleId="af1">
    <w:name w:val="Revision"/>
    <w:hidden/>
    <w:uiPriority w:val="99"/>
    <w:semiHidden/>
    <w:rsid w:val="00B556CF"/>
    <w:pPr>
      <w:spacing w:after="0" w:line="240" w:lineRule="auto"/>
    </w:pPr>
  </w:style>
  <w:style w:type="character" w:customStyle="1" w:styleId="2">
    <w:name w:val="אזכור לא מזוהה2"/>
    <w:basedOn w:val="a0"/>
    <w:uiPriority w:val="99"/>
    <w:semiHidden/>
    <w:unhideWhenUsed/>
    <w:rsid w:val="001F7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inn.co.il/news/373932" TargetMode="External"/><Relationship Id="rId3" Type="http://schemas.openxmlformats.org/officeDocument/2006/relationships/hyperlink" Target="http://www.justice.gov.il/Units/StateAttorney/Guidelines/02/24.pdf%0d" TargetMode="External"/><Relationship Id="rId7" Type="http://schemas.openxmlformats.org/officeDocument/2006/relationships/hyperlink" Target="http://www.daat.ac.il/mishpat-ivri/skirot/skira.asp?id=285" TargetMode="External"/><Relationship Id="rId2" Type="http://schemas.openxmlformats.org/officeDocument/2006/relationships/hyperlink" Target="http://www.justice.gov.il/Units/StateAttorney/Guidelines/02/24.pdf%0d" TargetMode="External"/><Relationship Id="rId1" Type="http://schemas.openxmlformats.org/officeDocument/2006/relationships/hyperlink" Target="http://www.daat.ac.il/mishpat-ivri/skirot/skira.asp?id=285" TargetMode="External"/><Relationship Id="rId6" Type="http://schemas.openxmlformats.org/officeDocument/2006/relationships/hyperlink" Target="http://www.sviva.gov.il/subjectsEnv/BusinessLicensingIndustry/EnvironmentalRatingPublicCompanies/Pages/Enviromental-Impact-Index2016-GIS.aspx" TargetMode="External"/><Relationship Id="rId5" Type="http://schemas.openxmlformats.org/officeDocument/2006/relationships/hyperlink" Target="https://www.inn.co.il/news/373932" TargetMode="External"/><Relationship Id="rId10" Type="http://schemas.openxmlformats.org/officeDocument/2006/relationships/hyperlink" Target="https://idclawreview.files.wordpress.com/2018/10/yadin.pdf" TargetMode="External"/><Relationship Id="rId4" Type="http://schemas.openxmlformats.org/officeDocument/2006/relationships/hyperlink" Target="https://www.idc.ac.il/he/whatsup/pages/shyming-conference.aspx" TargetMode="External"/><Relationship Id="rId9" Type="http://schemas.openxmlformats.org/officeDocument/2006/relationships/hyperlink" Target="https://marriage-il.com/wp-content/uploads/2020/08/20110313-0000-Sarvanut-Gett-BeYisrae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vo.co.il/psika_html/rabani/rabani-8455-64-1.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9D038-D123-4EAF-AB36-1A5A8CB6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8059</Words>
  <Characters>40295</Characters>
  <Application>Microsoft Office Word</Application>
  <DocSecurity>0</DocSecurity>
  <Lines>335</Lines>
  <Paragraphs>96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בזק</dc:creator>
  <cp:keywords/>
  <dc:description/>
  <cp:lastModifiedBy>עליזה בזק</cp:lastModifiedBy>
  <cp:revision>2</cp:revision>
  <cp:lastPrinted>2022-02-06T17:17:00Z</cp:lastPrinted>
  <dcterms:created xsi:type="dcterms:W3CDTF">2022-02-13T12:34:00Z</dcterms:created>
  <dcterms:modified xsi:type="dcterms:W3CDTF">2022-02-13T12:34:00Z</dcterms:modified>
</cp:coreProperties>
</file>