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117A1" w14:textId="115AA9AC" w:rsidR="00556F07" w:rsidRPr="00170E80" w:rsidRDefault="00170E80" w:rsidP="00170E80">
      <w:pPr>
        <w:autoSpaceDE w:val="0"/>
        <w:autoSpaceDN w:val="0"/>
        <w:adjustRightInd w:val="0"/>
        <w:snapToGrid w:val="0"/>
        <w:spacing w:after="120" w:line="480" w:lineRule="auto"/>
        <w:jc w:val="center"/>
        <w:rPr>
          <w:rFonts w:asciiTheme="majorBidi" w:hAnsiTheme="majorBidi" w:cstheme="majorBidi"/>
          <w:b/>
          <w:bCs/>
          <w:color w:val="000000" w:themeColor="text1"/>
          <w:sz w:val="28"/>
          <w:szCs w:val="28"/>
        </w:rPr>
      </w:pPr>
      <w:r w:rsidRPr="00170E80">
        <w:rPr>
          <w:rStyle w:val="fontstyle01"/>
          <w:rFonts w:asciiTheme="majorBidi" w:hAnsiTheme="majorBidi" w:cstheme="majorBidi"/>
          <w:b/>
          <w:bCs/>
        </w:rPr>
        <w:t>Adolescents</w:t>
      </w:r>
      <w:r w:rsidRPr="00170E80">
        <w:rPr>
          <w:rStyle w:val="fontstyle11"/>
          <w:rFonts w:asciiTheme="majorBidi" w:hAnsiTheme="majorBidi" w:cstheme="majorBidi"/>
          <w:b/>
          <w:bCs/>
        </w:rPr>
        <w:t xml:space="preserve">’ </w:t>
      </w:r>
      <w:r w:rsidRPr="00170E80">
        <w:rPr>
          <w:rStyle w:val="fontstyle01"/>
          <w:rFonts w:asciiTheme="majorBidi" w:hAnsiTheme="majorBidi" w:cstheme="majorBidi"/>
          <w:b/>
          <w:bCs/>
        </w:rPr>
        <w:t>compulsive sexual behavior: The role of</w:t>
      </w:r>
      <w:r w:rsidRPr="00170E80">
        <w:rPr>
          <w:rFonts w:asciiTheme="majorBidi" w:hAnsiTheme="majorBidi" w:cstheme="majorBidi"/>
          <w:b/>
          <w:bCs/>
          <w:color w:val="000000" w:themeColor="text1"/>
          <w:sz w:val="28"/>
          <w:szCs w:val="28"/>
        </w:rPr>
        <w:t xml:space="preserve"> personality, </w:t>
      </w:r>
      <w:r w:rsidRPr="00D43CA8">
        <w:rPr>
          <w:rFonts w:asciiTheme="majorBidi" w:hAnsiTheme="majorBidi" w:cstheme="majorBidi"/>
          <w:b/>
          <w:bCs/>
          <w:sz w:val="28"/>
          <w:szCs w:val="28"/>
        </w:rPr>
        <w:t>attachment</w:t>
      </w:r>
      <w:r w:rsidR="00D43CA8" w:rsidRPr="00D43CA8">
        <w:rPr>
          <w:rFonts w:asciiTheme="majorBidi" w:hAnsiTheme="majorBidi" w:cstheme="majorBidi"/>
          <w:b/>
          <w:bCs/>
          <w:sz w:val="28"/>
          <w:szCs w:val="28"/>
        </w:rPr>
        <w:t xml:space="preserve"> orientations</w:t>
      </w:r>
      <w:r w:rsidRPr="00D43CA8">
        <w:rPr>
          <w:rFonts w:asciiTheme="majorBidi" w:hAnsiTheme="majorBidi" w:cstheme="majorBidi"/>
          <w:b/>
          <w:bCs/>
          <w:sz w:val="28"/>
          <w:szCs w:val="28"/>
        </w:rPr>
        <w:t xml:space="preserve">, </w:t>
      </w:r>
      <w:r w:rsidRPr="00170E80">
        <w:rPr>
          <w:rFonts w:asciiTheme="majorBidi" w:hAnsiTheme="majorBidi" w:cstheme="majorBidi"/>
          <w:b/>
          <w:bCs/>
          <w:sz w:val="28"/>
          <w:szCs w:val="28"/>
        </w:rPr>
        <w:t xml:space="preserve">cognitive-related </w:t>
      </w:r>
      <w:proofErr w:type="gramStart"/>
      <w:r w:rsidRPr="00170E80">
        <w:rPr>
          <w:rFonts w:asciiTheme="majorBidi" w:hAnsiTheme="majorBidi" w:cstheme="majorBidi"/>
          <w:b/>
          <w:bCs/>
          <w:sz w:val="28"/>
          <w:szCs w:val="28"/>
        </w:rPr>
        <w:t>mechanisms</w:t>
      </w:r>
      <w:proofErr w:type="gramEnd"/>
      <w:r w:rsidRPr="00170E80">
        <w:rPr>
          <w:rFonts w:asciiTheme="majorBidi" w:hAnsiTheme="majorBidi" w:cstheme="majorBidi"/>
          <w:b/>
          <w:bCs/>
          <w:sz w:val="28"/>
          <w:szCs w:val="28"/>
        </w:rPr>
        <w:t xml:space="preserve"> and psychopathology</w:t>
      </w:r>
    </w:p>
    <w:p w14:paraId="407CCD74" w14:textId="0EE2C491" w:rsidR="00170E80" w:rsidRDefault="00170E80" w:rsidP="00556F07">
      <w:pPr>
        <w:autoSpaceDE w:val="0"/>
        <w:autoSpaceDN w:val="0"/>
        <w:adjustRightInd w:val="0"/>
        <w:snapToGrid w:val="0"/>
        <w:spacing w:after="120" w:line="480" w:lineRule="auto"/>
        <w:rPr>
          <w:rFonts w:asciiTheme="majorBidi" w:hAnsiTheme="majorBidi" w:cstheme="majorBidi"/>
          <w:b/>
          <w:bCs/>
          <w:color w:val="000000" w:themeColor="text1"/>
        </w:rPr>
      </w:pPr>
    </w:p>
    <w:p w14:paraId="2C9BB7F5" w14:textId="77777777" w:rsidR="00170E80" w:rsidRPr="00170E80" w:rsidRDefault="00170E80" w:rsidP="00D33C4B">
      <w:pPr>
        <w:autoSpaceDE w:val="0"/>
        <w:autoSpaceDN w:val="0"/>
        <w:adjustRightInd w:val="0"/>
        <w:snapToGrid w:val="0"/>
        <w:spacing w:line="360" w:lineRule="auto"/>
        <w:jc w:val="center"/>
        <w:rPr>
          <w:rFonts w:asciiTheme="majorBidi" w:hAnsiTheme="majorBidi" w:cstheme="majorBidi"/>
          <w:b/>
          <w:bCs/>
          <w:color w:val="000000" w:themeColor="text1"/>
          <w:rtl/>
        </w:rPr>
      </w:pPr>
    </w:p>
    <w:p w14:paraId="61B4941B" w14:textId="77777777" w:rsidR="00D33C4B" w:rsidRPr="006C3886" w:rsidRDefault="00D33C4B" w:rsidP="00D33C4B">
      <w:pPr>
        <w:shd w:val="clear" w:color="auto" w:fill="FFFFFF"/>
        <w:spacing w:line="360" w:lineRule="auto"/>
        <w:contextualSpacing/>
        <w:jc w:val="center"/>
        <w:rPr>
          <w:rFonts w:asciiTheme="majorBidi" w:hAnsiTheme="majorBidi" w:cstheme="majorBidi"/>
          <w:b/>
          <w:bCs/>
        </w:rPr>
      </w:pPr>
      <w:r w:rsidRPr="006C3886">
        <w:rPr>
          <w:rFonts w:asciiTheme="majorBidi" w:hAnsiTheme="majorBidi" w:cstheme="majorBidi"/>
        </w:rPr>
        <w:t>Yaniv Efrati</w:t>
      </w:r>
    </w:p>
    <w:p w14:paraId="67A2B389" w14:textId="77777777" w:rsidR="00D33C4B" w:rsidRDefault="00430B8F" w:rsidP="00D33C4B">
      <w:pPr>
        <w:shd w:val="clear" w:color="auto" w:fill="FFFFFF"/>
        <w:spacing w:line="360" w:lineRule="auto"/>
        <w:contextualSpacing/>
        <w:jc w:val="center"/>
        <w:rPr>
          <w:rFonts w:asciiTheme="majorBidi" w:hAnsiTheme="majorBidi" w:cstheme="majorBidi"/>
          <w:rtl/>
        </w:rPr>
      </w:pPr>
      <w:hyperlink r:id="rId5" w:tgtFrame="_blank" w:history="1">
        <w:r w:rsidR="00D33C4B" w:rsidRPr="006C3886">
          <w:rPr>
            <w:rFonts w:asciiTheme="majorBidi" w:hAnsiTheme="majorBidi" w:cstheme="majorBidi"/>
          </w:rPr>
          <w:t xml:space="preserve">Bar </w:t>
        </w:r>
        <w:proofErr w:type="spellStart"/>
        <w:r w:rsidR="00D33C4B" w:rsidRPr="006C3886">
          <w:rPr>
            <w:rFonts w:asciiTheme="majorBidi" w:hAnsiTheme="majorBidi" w:cstheme="majorBidi"/>
          </w:rPr>
          <w:t>Ilan</w:t>
        </w:r>
        <w:proofErr w:type="spellEnd"/>
        <w:r w:rsidR="00D33C4B" w:rsidRPr="006C3886">
          <w:rPr>
            <w:rFonts w:asciiTheme="majorBidi" w:hAnsiTheme="majorBidi" w:cstheme="majorBidi"/>
          </w:rPr>
          <w:t xml:space="preserve"> University</w:t>
        </w:r>
      </w:hyperlink>
    </w:p>
    <w:p w14:paraId="1B7D7D9C" w14:textId="77777777" w:rsidR="00556F07" w:rsidRDefault="00556F07" w:rsidP="00556F07">
      <w:pPr>
        <w:shd w:val="clear" w:color="auto" w:fill="FFFFFF"/>
        <w:ind w:firstLine="720"/>
        <w:jc w:val="center"/>
        <w:rPr>
          <w:b/>
          <w:bCs/>
          <w:rtl/>
        </w:rPr>
      </w:pPr>
    </w:p>
    <w:p w14:paraId="38487BE0" w14:textId="77777777" w:rsidR="00556F07" w:rsidRPr="007E613B" w:rsidRDefault="00556F07" w:rsidP="00556F07">
      <w:pPr>
        <w:pStyle w:val="aa"/>
        <w:spacing w:line="480" w:lineRule="auto"/>
        <w:rPr>
          <w:rFonts w:cstheme="majorBidi"/>
          <w:b/>
          <w:bCs/>
          <w:sz w:val="24"/>
          <w:szCs w:val="24"/>
        </w:rPr>
      </w:pPr>
    </w:p>
    <w:p w14:paraId="4FC50EAD" w14:textId="77777777" w:rsidR="00556F07" w:rsidRDefault="00556F07" w:rsidP="00556F07">
      <w:pPr>
        <w:pStyle w:val="aa"/>
        <w:spacing w:line="480" w:lineRule="auto"/>
        <w:rPr>
          <w:rFonts w:cstheme="majorBidi"/>
          <w:b/>
          <w:bCs/>
          <w:sz w:val="24"/>
          <w:szCs w:val="24"/>
          <w:lang w:val="en-GB"/>
        </w:rPr>
      </w:pPr>
    </w:p>
    <w:p w14:paraId="55D0D591" w14:textId="77777777" w:rsidR="00556F07" w:rsidRDefault="00556F07" w:rsidP="00556F07">
      <w:pPr>
        <w:pStyle w:val="aa"/>
        <w:spacing w:line="480" w:lineRule="auto"/>
        <w:rPr>
          <w:rFonts w:cstheme="majorBidi"/>
          <w:b/>
          <w:bCs/>
          <w:sz w:val="24"/>
          <w:szCs w:val="24"/>
          <w:lang w:val="en-GB"/>
        </w:rPr>
      </w:pPr>
    </w:p>
    <w:p w14:paraId="479E09E5" w14:textId="77777777" w:rsidR="00556F07" w:rsidRDefault="00556F07" w:rsidP="00556F07">
      <w:pPr>
        <w:pStyle w:val="aa"/>
        <w:spacing w:line="480" w:lineRule="auto"/>
        <w:rPr>
          <w:rFonts w:cstheme="majorBidi"/>
          <w:b/>
          <w:bCs/>
          <w:sz w:val="24"/>
          <w:szCs w:val="24"/>
          <w:lang w:val="en-GB"/>
        </w:rPr>
      </w:pPr>
    </w:p>
    <w:p w14:paraId="1B6947C7" w14:textId="52107814" w:rsidR="00556F07" w:rsidRDefault="00556F07" w:rsidP="00556F07">
      <w:pPr>
        <w:pStyle w:val="aa"/>
        <w:spacing w:line="480" w:lineRule="auto"/>
        <w:rPr>
          <w:rFonts w:cstheme="majorBidi"/>
          <w:b/>
          <w:bCs/>
          <w:sz w:val="24"/>
          <w:szCs w:val="24"/>
          <w:lang w:val="en-GB"/>
        </w:rPr>
      </w:pPr>
    </w:p>
    <w:p w14:paraId="5CDB8808" w14:textId="6CFE82E8" w:rsidR="00AB329E" w:rsidRDefault="00AB329E" w:rsidP="00556F07">
      <w:pPr>
        <w:pStyle w:val="aa"/>
        <w:spacing w:line="480" w:lineRule="auto"/>
        <w:rPr>
          <w:rFonts w:cstheme="majorBidi"/>
          <w:b/>
          <w:bCs/>
          <w:sz w:val="24"/>
          <w:szCs w:val="24"/>
          <w:lang w:val="en-GB"/>
        </w:rPr>
      </w:pPr>
    </w:p>
    <w:p w14:paraId="7AF0DC9D" w14:textId="054C6741" w:rsidR="00AB329E" w:rsidRDefault="00AB329E" w:rsidP="00556F07">
      <w:pPr>
        <w:pStyle w:val="aa"/>
        <w:spacing w:line="480" w:lineRule="auto"/>
        <w:rPr>
          <w:rFonts w:cstheme="majorBidi"/>
          <w:b/>
          <w:bCs/>
          <w:sz w:val="24"/>
          <w:szCs w:val="24"/>
          <w:lang w:val="en-GB"/>
        </w:rPr>
      </w:pPr>
    </w:p>
    <w:p w14:paraId="5F21D199" w14:textId="2F72C222" w:rsidR="00AB329E" w:rsidRDefault="00AB329E" w:rsidP="00556F07">
      <w:pPr>
        <w:pStyle w:val="aa"/>
        <w:spacing w:line="480" w:lineRule="auto"/>
        <w:rPr>
          <w:rFonts w:cstheme="majorBidi"/>
          <w:b/>
          <w:bCs/>
          <w:sz w:val="24"/>
          <w:szCs w:val="24"/>
          <w:lang w:val="en-GB"/>
        </w:rPr>
      </w:pPr>
    </w:p>
    <w:p w14:paraId="608E6D3D" w14:textId="5301A3A9" w:rsidR="00AB329E" w:rsidRDefault="00AB329E" w:rsidP="00556F07">
      <w:pPr>
        <w:pStyle w:val="aa"/>
        <w:spacing w:line="480" w:lineRule="auto"/>
        <w:rPr>
          <w:rFonts w:cstheme="majorBidi"/>
          <w:b/>
          <w:bCs/>
          <w:sz w:val="24"/>
          <w:szCs w:val="24"/>
          <w:lang w:val="en-GB"/>
        </w:rPr>
      </w:pPr>
    </w:p>
    <w:p w14:paraId="00F076D2" w14:textId="77777777" w:rsidR="00AB329E" w:rsidRDefault="00AB329E" w:rsidP="00556F07">
      <w:pPr>
        <w:pStyle w:val="aa"/>
        <w:spacing w:line="480" w:lineRule="auto"/>
        <w:rPr>
          <w:rFonts w:cstheme="majorBidi"/>
          <w:b/>
          <w:bCs/>
          <w:sz w:val="24"/>
          <w:szCs w:val="24"/>
          <w:lang w:val="en-GB"/>
        </w:rPr>
      </w:pPr>
    </w:p>
    <w:p w14:paraId="0376AFD6" w14:textId="44140A32" w:rsidR="00556F07" w:rsidRDefault="00556F07" w:rsidP="00556F07">
      <w:pPr>
        <w:pStyle w:val="aa"/>
        <w:spacing w:line="480" w:lineRule="auto"/>
        <w:rPr>
          <w:rFonts w:cstheme="majorBidi"/>
          <w:b/>
          <w:bCs/>
          <w:sz w:val="24"/>
          <w:szCs w:val="24"/>
          <w:lang w:val="en-GB"/>
        </w:rPr>
      </w:pPr>
    </w:p>
    <w:p w14:paraId="4FD8004C" w14:textId="2C903F2C" w:rsidR="00D33C4B" w:rsidRDefault="00D33C4B" w:rsidP="00556F07">
      <w:pPr>
        <w:pStyle w:val="aa"/>
        <w:spacing w:line="480" w:lineRule="auto"/>
        <w:rPr>
          <w:rFonts w:cstheme="majorBidi"/>
          <w:b/>
          <w:bCs/>
          <w:sz w:val="24"/>
          <w:szCs w:val="24"/>
          <w:lang w:val="en-GB"/>
        </w:rPr>
      </w:pPr>
    </w:p>
    <w:p w14:paraId="3AA47B83" w14:textId="77777777" w:rsidR="00D33C4B" w:rsidRDefault="00D33C4B" w:rsidP="00556F07">
      <w:pPr>
        <w:pStyle w:val="aa"/>
        <w:spacing w:line="480" w:lineRule="auto"/>
        <w:rPr>
          <w:rFonts w:cstheme="majorBidi"/>
          <w:b/>
          <w:bCs/>
          <w:sz w:val="24"/>
          <w:szCs w:val="24"/>
          <w:lang w:val="en-GB"/>
        </w:rPr>
      </w:pPr>
    </w:p>
    <w:p w14:paraId="7B4446C2" w14:textId="77777777" w:rsidR="00556F07" w:rsidRPr="00B37FAD" w:rsidRDefault="00556F07" w:rsidP="00556F07">
      <w:pPr>
        <w:pStyle w:val="aa"/>
        <w:spacing w:line="480" w:lineRule="auto"/>
        <w:rPr>
          <w:rFonts w:cstheme="majorBidi"/>
          <w:b/>
          <w:bCs/>
          <w:sz w:val="24"/>
          <w:szCs w:val="24"/>
          <w:rtl/>
        </w:rPr>
      </w:pPr>
      <w:r w:rsidRPr="00B37FAD">
        <w:rPr>
          <w:rFonts w:cstheme="majorBidi"/>
          <w:b/>
          <w:bCs/>
          <w:sz w:val="24"/>
          <w:szCs w:val="24"/>
        </w:rPr>
        <w:t>____________</w:t>
      </w:r>
      <w:r>
        <w:rPr>
          <w:rFonts w:cstheme="majorBidi"/>
          <w:b/>
          <w:bCs/>
          <w:sz w:val="24"/>
          <w:szCs w:val="24"/>
        </w:rPr>
        <w:t>________________________________</w:t>
      </w:r>
      <w:r w:rsidRPr="00B37FAD">
        <w:rPr>
          <w:rFonts w:cstheme="majorBidi"/>
          <w:b/>
          <w:bCs/>
          <w:sz w:val="24"/>
          <w:szCs w:val="24"/>
        </w:rPr>
        <w:t>_________________________</w:t>
      </w:r>
    </w:p>
    <w:p w14:paraId="29B77BE0" w14:textId="77777777" w:rsidR="00D33C4B" w:rsidRPr="006C3886" w:rsidRDefault="00D33C4B" w:rsidP="00D33C4B">
      <w:pPr>
        <w:contextualSpacing/>
        <w:rPr>
          <w:rFonts w:asciiTheme="majorBidi" w:hAnsiTheme="majorBidi" w:cstheme="majorBidi"/>
        </w:rPr>
      </w:pPr>
      <w:r w:rsidRPr="006C3886">
        <w:rPr>
          <w:rFonts w:asciiTheme="majorBidi" w:hAnsiTheme="majorBidi" w:cstheme="majorBidi"/>
        </w:rPr>
        <w:t xml:space="preserve">Corresponding author: Bar </w:t>
      </w:r>
      <w:proofErr w:type="spellStart"/>
      <w:r w:rsidRPr="006C3886">
        <w:rPr>
          <w:rFonts w:asciiTheme="majorBidi" w:hAnsiTheme="majorBidi" w:cstheme="majorBidi"/>
        </w:rPr>
        <w:t>Ilan</w:t>
      </w:r>
      <w:proofErr w:type="spellEnd"/>
      <w:r w:rsidRPr="006C3886">
        <w:rPr>
          <w:rFonts w:asciiTheme="majorBidi" w:hAnsiTheme="majorBidi" w:cstheme="majorBidi"/>
        </w:rPr>
        <w:t xml:space="preserve"> University, Faculty of Education, Ramat Gan, Israel.</w:t>
      </w:r>
    </w:p>
    <w:p w14:paraId="7F180322" w14:textId="77777777" w:rsidR="00D33C4B" w:rsidRPr="00C3387D" w:rsidRDefault="00D33C4B" w:rsidP="00D33C4B">
      <w:pPr>
        <w:contextualSpacing/>
        <w:rPr>
          <w:rFonts w:asciiTheme="majorBidi" w:hAnsiTheme="majorBidi" w:cstheme="majorBidi"/>
        </w:rPr>
      </w:pPr>
      <w:r w:rsidRPr="006C3886">
        <w:rPr>
          <w:rFonts w:asciiTheme="majorBidi" w:hAnsiTheme="majorBidi" w:cstheme="majorBidi"/>
        </w:rPr>
        <w:t xml:space="preserve">Email: </w:t>
      </w:r>
      <w:hyperlink r:id="rId6" w:history="1">
        <w:r w:rsidRPr="006C3886">
          <w:rPr>
            <w:rStyle w:val="Hyperlink"/>
            <w:rFonts w:asciiTheme="majorBidi" w:hAnsiTheme="majorBidi" w:cstheme="majorBidi"/>
          </w:rPr>
          <w:t>ypefrati@gmail.com</w:t>
        </w:r>
      </w:hyperlink>
      <w:r w:rsidRPr="006C3886">
        <w:rPr>
          <w:rFonts w:asciiTheme="majorBidi" w:hAnsiTheme="majorBidi" w:cstheme="majorBidi"/>
        </w:rPr>
        <w:t xml:space="preserve">  Phone: +972-545-800094, ORCID </w:t>
      </w:r>
      <w:hyperlink r:id="rId7" w:history="1">
        <w:r w:rsidRPr="006C3886">
          <w:rPr>
            <w:rStyle w:val="Hyperlink"/>
            <w:rFonts w:asciiTheme="majorBidi" w:hAnsiTheme="majorBidi" w:cstheme="majorBidi"/>
          </w:rPr>
          <w:t>https://orcid.org/0000-0003-3176-3708</w:t>
        </w:r>
      </w:hyperlink>
      <w:r w:rsidRPr="006C3886">
        <w:rPr>
          <w:rFonts w:asciiTheme="majorBidi" w:hAnsiTheme="majorBidi" w:cstheme="majorBidi"/>
        </w:rPr>
        <w:t xml:space="preserve"> </w:t>
      </w:r>
    </w:p>
    <w:p w14:paraId="224827E4" w14:textId="77777777" w:rsidR="00D33C4B" w:rsidRDefault="00D33C4B" w:rsidP="00556F07">
      <w:pPr>
        <w:spacing w:after="120" w:line="480" w:lineRule="auto"/>
        <w:rPr>
          <w:rFonts w:asciiTheme="majorBidi" w:hAnsiTheme="majorBidi" w:cstheme="majorBidi"/>
          <w:b/>
          <w:bCs/>
        </w:rPr>
      </w:pPr>
    </w:p>
    <w:p w14:paraId="1F50C865" w14:textId="17504C09" w:rsidR="00556F07" w:rsidRPr="001C12AA" w:rsidRDefault="00556F07" w:rsidP="00556F07">
      <w:pPr>
        <w:spacing w:after="120" w:line="480" w:lineRule="auto"/>
        <w:rPr>
          <w:rFonts w:asciiTheme="majorBidi" w:hAnsiTheme="majorBidi" w:cstheme="majorBidi"/>
          <w:b/>
          <w:bCs/>
        </w:rPr>
      </w:pPr>
      <w:r w:rsidRPr="001C12AA">
        <w:rPr>
          <w:rFonts w:asciiTheme="majorBidi" w:hAnsiTheme="majorBidi" w:cstheme="majorBidi"/>
          <w:b/>
          <w:bCs/>
        </w:rPr>
        <w:t>Abstract</w:t>
      </w:r>
    </w:p>
    <w:p w14:paraId="46F2409D" w14:textId="77777777" w:rsidR="006E6C39" w:rsidRDefault="006E6C39" w:rsidP="006E6C39">
      <w:pPr>
        <w:spacing w:line="480" w:lineRule="auto"/>
        <w:contextualSpacing/>
        <w:rPr>
          <w:rFonts w:asciiTheme="majorBidi" w:eastAsia="ArialUnicodeMS" w:hAnsiTheme="majorBidi" w:cstheme="majorBidi"/>
          <w:b/>
          <w:bCs/>
        </w:rPr>
      </w:pPr>
      <w:r w:rsidRPr="006E6C39">
        <w:rPr>
          <w:rFonts w:asciiTheme="majorBidi" w:eastAsia="ArialUnicodeMS" w:hAnsiTheme="majorBidi" w:cstheme="majorBidi"/>
          <w:b/>
          <w:bCs/>
        </w:rPr>
        <w:t>Background and aims:</w:t>
      </w:r>
      <w:r>
        <w:rPr>
          <w:rFonts w:asciiTheme="majorBidi" w:hAnsiTheme="majorBidi" w:cstheme="majorBidi"/>
        </w:rPr>
        <w:t xml:space="preserve"> </w:t>
      </w:r>
      <w:r w:rsidR="00E468F4" w:rsidRPr="001C12AA">
        <w:rPr>
          <w:rFonts w:asciiTheme="majorBidi" w:hAnsiTheme="majorBidi" w:cstheme="majorBidi"/>
        </w:rPr>
        <w:t>The roots of compulsive sexual behavior</w:t>
      </w:r>
      <w:r w:rsidR="0028476A">
        <w:rPr>
          <w:rFonts w:asciiTheme="majorBidi" w:hAnsiTheme="majorBidi" w:cstheme="majorBidi"/>
        </w:rPr>
        <w:t xml:space="preserve"> disorder</w:t>
      </w:r>
      <w:r w:rsidR="00E468F4" w:rsidRPr="001C12AA">
        <w:rPr>
          <w:rFonts w:asciiTheme="majorBidi" w:hAnsiTheme="majorBidi" w:cstheme="majorBidi"/>
        </w:rPr>
        <w:t xml:space="preserve"> (CSB</w:t>
      </w:r>
      <w:r w:rsidR="0028476A">
        <w:rPr>
          <w:rFonts w:asciiTheme="majorBidi" w:hAnsiTheme="majorBidi" w:cstheme="majorBidi"/>
        </w:rPr>
        <w:t>D</w:t>
      </w:r>
      <w:r w:rsidR="00E468F4" w:rsidRPr="001C12AA">
        <w:rPr>
          <w:rFonts w:asciiTheme="majorBidi" w:hAnsiTheme="majorBidi" w:cstheme="majorBidi"/>
        </w:rPr>
        <w:t>) may be traced to a person’s history of interactions with others, background measures (gender, religiosity, and personality dispositions</w:t>
      </w:r>
      <w:r w:rsidR="00A55F11">
        <w:rPr>
          <w:rFonts w:asciiTheme="majorBidi" w:hAnsiTheme="majorBidi" w:cstheme="majorBidi"/>
        </w:rPr>
        <w:t xml:space="preserve"> and attachment </w:t>
      </w:r>
      <w:r w:rsidR="00365D91" w:rsidRPr="00365D91">
        <w:rPr>
          <w:rFonts w:asciiTheme="majorBidi" w:hAnsiTheme="majorBidi" w:cstheme="majorBidi"/>
        </w:rPr>
        <w:t>orientations</w:t>
      </w:r>
      <w:r w:rsidR="00E468F4" w:rsidRPr="001C12AA">
        <w:rPr>
          <w:rFonts w:asciiTheme="majorBidi" w:hAnsiTheme="majorBidi" w:cstheme="majorBidi"/>
        </w:rPr>
        <w:t>), cognitive measures</w:t>
      </w:r>
      <w:r w:rsidR="00A55F11">
        <w:rPr>
          <w:rFonts w:asciiTheme="majorBidi" w:hAnsiTheme="majorBidi" w:cstheme="majorBidi"/>
        </w:rPr>
        <w:t xml:space="preserve"> (r</w:t>
      </w:r>
      <w:r w:rsidR="00A55F11" w:rsidRPr="00A55F11">
        <w:rPr>
          <w:rFonts w:asciiTheme="majorBidi" w:hAnsiTheme="majorBidi" w:cstheme="majorBidi"/>
        </w:rPr>
        <w:t>umination</w:t>
      </w:r>
      <w:r w:rsidR="00A55F11">
        <w:rPr>
          <w:rFonts w:asciiTheme="majorBidi" w:hAnsiTheme="majorBidi" w:cstheme="majorBidi"/>
        </w:rPr>
        <w:t>,</w:t>
      </w:r>
      <w:r w:rsidR="00A55F11" w:rsidRPr="00A55F11">
        <w:rPr>
          <w:rFonts w:asciiTheme="majorBidi" w:hAnsiTheme="majorBidi" w:cstheme="majorBidi"/>
        </w:rPr>
        <w:t xml:space="preserve"> </w:t>
      </w:r>
      <w:r w:rsidR="00A55F11">
        <w:rPr>
          <w:rFonts w:asciiTheme="majorBidi" w:hAnsiTheme="majorBidi" w:cstheme="majorBidi"/>
        </w:rPr>
        <w:t>r</w:t>
      </w:r>
      <w:r w:rsidR="00A55F11" w:rsidRPr="00A55F11">
        <w:rPr>
          <w:rFonts w:asciiTheme="majorBidi" w:hAnsiTheme="majorBidi" w:cstheme="majorBidi"/>
        </w:rPr>
        <w:t>eﬂection</w:t>
      </w:r>
      <w:r w:rsidR="00A55F11">
        <w:rPr>
          <w:rFonts w:asciiTheme="majorBidi" w:hAnsiTheme="majorBidi" w:cstheme="majorBidi"/>
        </w:rPr>
        <w:t xml:space="preserve"> and </w:t>
      </w:r>
      <w:r w:rsidR="00A55F11" w:rsidRPr="00A55F11">
        <w:rPr>
          <w:rFonts w:asciiTheme="majorBidi" w:hAnsiTheme="majorBidi" w:cstheme="majorBidi"/>
        </w:rPr>
        <w:t>emotion regulation</w:t>
      </w:r>
      <w:r w:rsidR="00A55F11">
        <w:rPr>
          <w:rFonts w:asciiTheme="majorBidi" w:hAnsiTheme="majorBidi" w:cstheme="majorBidi"/>
        </w:rPr>
        <w:t>)</w:t>
      </w:r>
      <w:r w:rsidR="00E468F4" w:rsidRPr="001C12AA">
        <w:rPr>
          <w:rFonts w:asciiTheme="majorBidi" w:hAnsiTheme="majorBidi" w:cstheme="majorBidi"/>
        </w:rPr>
        <w:t>, and psychopathology</w:t>
      </w:r>
      <w:r w:rsidR="00A55F11">
        <w:rPr>
          <w:rFonts w:asciiTheme="majorBidi" w:hAnsiTheme="majorBidi" w:cstheme="majorBidi"/>
        </w:rPr>
        <w:t xml:space="preserve"> (</w:t>
      </w:r>
      <w:r w:rsidR="00A55F11" w:rsidRPr="00A55F11">
        <w:rPr>
          <w:rFonts w:asciiTheme="majorBidi" w:hAnsiTheme="majorBidi" w:cstheme="majorBidi"/>
        </w:rPr>
        <w:t>depression and anxiety)</w:t>
      </w:r>
      <w:r w:rsidR="00E468F4" w:rsidRPr="001C12AA">
        <w:rPr>
          <w:rFonts w:asciiTheme="majorBidi" w:hAnsiTheme="majorBidi" w:cstheme="majorBidi"/>
        </w:rPr>
        <w:t>. While research has indicated that personality dispositions that formed through interactions with cognition-related processes are associated with a general vulnerability to mental disorders, the mechanisms leading to CSB</w:t>
      </w:r>
      <w:r w:rsidR="0028476A">
        <w:rPr>
          <w:rFonts w:asciiTheme="majorBidi" w:hAnsiTheme="majorBidi" w:cstheme="majorBidi"/>
        </w:rPr>
        <w:t>D</w:t>
      </w:r>
      <w:r w:rsidR="00E468F4" w:rsidRPr="001C12AA">
        <w:rPr>
          <w:rFonts w:asciiTheme="majorBidi" w:hAnsiTheme="majorBidi" w:cstheme="majorBidi"/>
        </w:rPr>
        <w:t xml:space="preserve"> </w:t>
      </w:r>
      <w:r w:rsidR="008F4FF3">
        <w:rPr>
          <w:rFonts w:asciiTheme="majorBidi" w:hAnsiTheme="majorBidi" w:cstheme="majorBidi"/>
        </w:rPr>
        <w:t xml:space="preserve">among </w:t>
      </w:r>
      <w:r w:rsidR="003B3E4E">
        <w:rPr>
          <w:rFonts w:asciiTheme="majorBidi" w:hAnsiTheme="majorBidi" w:cstheme="majorBidi"/>
        </w:rPr>
        <w:t xml:space="preserve">adolescence </w:t>
      </w:r>
      <w:r w:rsidR="00E468F4" w:rsidRPr="001C12AA">
        <w:rPr>
          <w:rFonts w:asciiTheme="majorBidi" w:hAnsiTheme="majorBidi" w:cstheme="majorBidi"/>
        </w:rPr>
        <w:t>have not yet been understood</w:t>
      </w:r>
      <w:r w:rsidR="0028476A">
        <w:rPr>
          <w:rFonts w:asciiTheme="majorBidi" w:hAnsiTheme="majorBidi" w:cstheme="majorBidi"/>
        </w:rPr>
        <w:t xml:space="preserve">. </w:t>
      </w:r>
      <w:r w:rsidR="00E468F4" w:rsidRPr="001C12AA">
        <w:rPr>
          <w:rFonts w:asciiTheme="majorBidi" w:hAnsiTheme="majorBidi" w:cstheme="majorBidi"/>
        </w:rPr>
        <w:t xml:space="preserve">In the present study, </w:t>
      </w:r>
      <w:r w:rsidR="0028476A">
        <w:rPr>
          <w:rFonts w:asciiTheme="majorBidi" w:hAnsiTheme="majorBidi" w:cstheme="majorBidi"/>
        </w:rPr>
        <w:t>I</w:t>
      </w:r>
      <w:r w:rsidR="00E468F4" w:rsidRPr="001C12AA">
        <w:rPr>
          <w:rFonts w:asciiTheme="majorBidi" w:hAnsiTheme="majorBidi" w:cstheme="majorBidi"/>
        </w:rPr>
        <w:t xml:space="preserve"> present a model of CSB</w:t>
      </w:r>
      <w:r w:rsidR="0028476A">
        <w:rPr>
          <w:rFonts w:asciiTheme="majorBidi" w:hAnsiTheme="majorBidi" w:cstheme="majorBidi"/>
        </w:rPr>
        <w:t>D</w:t>
      </w:r>
      <w:r w:rsidR="00E468F4" w:rsidRPr="001C12AA">
        <w:rPr>
          <w:rFonts w:asciiTheme="majorBidi" w:hAnsiTheme="majorBidi" w:cstheme="majorBidi"/>
        </w:rPr>
        <w:t xml:space="preserve"> in adolescence</w:t>
      </w:r>
      <w:r w:rsidR="003B3E4E">
        <w:rPr>
          <w:rFonts w:asciiTheme="majorBidi" w:hAnsiTheme="majorBidi" w:cstheme="majorBidi"/>
        </w:rPr>
        <w:t xml:space="preserve"> by </w:t>
      </w:r>
      <w:r w:rsidR="003B3E4E" w:rsidRPr="007E613B">
        <w:rPr>
          <w:rFonts w:asciiTheme="majorBidi" w:hAnsiTheme="majorBidi" w:cstheme="majorBidi"/>
          <w:color w:val="000000"/>
        </w:rPr>
        <w:t>transdiagnostic approach</w:t>
      </w:r>
      <w:r w:rsidR="00E468F4" w:rsidRPr="001C12AA">
        <w:rPr>
          <w:rFonts w:asciiTheme="majorBidi" w:hAnsiTheme="majorBidi" w:cstheme="majorBidi"/>
        </w:rPr>
        <w:t xml:space="preserve">, aimed at revealing the possible processes linking person’s background measures to this behavior. </w:t>
      </w:r>
    </w:p>
    <w:p w14:paraId="292B194B" w14:textId="68DDA2D6" w:rsidR="006E6C39" w:rsidRDefault="006E6C39" w:rsidP="006E6C39">
      <w:pPr>
        <w:spacing w:line="480" w:lineRule="auto"/>
        <w:contextualSpacing/>
        <w:rPr>
          <w:rFonts w:asciiTheme="majorBidi" w:hAnsiTheme="majorBidi" w:cstheme="majorBidi"/>
        </w:rPr>
      </w:pPr>
      <w:r w:rsidRPr="006E6C39">
        <w:rPr>
          <w:rFonts w:asciiTheme="majorBidi" w:eastAsia="ArialUnicodeMS" w:hAnsiTheme="majorBidi" w:cstheme="majorBidi"/>
          <w:b/>
          <w:bCs/>
        </w:rPr>
        <w:t>Methods:</w:t>
      </w:r>
      <w:r>
        <w:rPr>
          <w:rFonts w:asciiTheme="majorBidi" w:hAnsiTheme="majorBidi" w:cstheme="majorBidi"/>
        </w:rPr>
        <w:t xml:space="preserve"> </w:t>
      </w:r>
      <w:r w:rsidR="002473A2" w:rsidRPr="002473A2">
        <w:rPr>
          <w:rFonts w:asciiTheme="majorBidi" w:hAnsiTheme="majorBidi" w:cstheme="majorBidi"/>
        </w:rPr>
        <w:t>The sample included</w:t>
      </w:r>
      <w:r w:rsidR="002473A2">
        <w:rPr>
          <w:rFonts w:asciiTheme="majorBidi" w:hAnsiTheme="majorBidi" w:cstheme="majorBidi"/>
        </w:rPr>
        <w:t xml:space="preserve"> </w:t>
      </w:r>
      <w:r w:rsidR="002473A2" w:rsidRPr="00813D22">
        <w:rPr>
          <w:rFonts w:asciiTheme="majorBidi" w:hAnsiTheme="majorBidi" w:cstheme="majorBidi"/>
        </w:rPr>
        <w:t>350 high-school Israeli students (148 boy, 202 girl) age 16-18 (</w:t>
      </w:r>
      <w:r w:rsidR="002473A2" w:rsidRPr="00813D22">
        <w:rPr>
          <w:rFonts w:asciiTheme="majorBidi" w:hAnsiTheme="majorBidi" w:cstheme="majorBidi"/>
          <w:i/>
          <w:iCs/>
        </w:rPr>
        <w:t>M</w:t>
      </w:r>
      <w:r w:rsidR="002473A2" w:rsidRPr="00813D22">
        <w:rPr>
          <w:rFonts w:asciiTheme="majorBidi" w:hAnsiTheme="majorBidi" w:cstheme="majorBidi"/>
        </w:rPr>
        <w:t> = 17.20, </w:t>
      </w:r>
      <w:r w:rsidR="002473A2" w:rsidRPr="00813D22">
        <w:rPr>
          <w:rFonts w:asciiTheme="majorBidi" w:hAnsiTheme="majorBidi" w:cstheme="majorBidi"/>
          <w:i/>
          <w:iCs/>
        </w:rPr>
        <w:t>SD</w:t>
      </w:r>
      <w:r w:rsidR="002473A2" w:rsidRPr="00813D22">
        <w:rPr>
          <w:rFonts w:asciiTheme="majorBidi" w:hAnsiTheme="majorBidi" w:cstheme="majorBidi"/>
        </w:rPr>
        <w:t> = 0.96).</w:t>
      </w:r>
    </w:p>
    <w:p w14:paraId="7880AB1F" w14:textId="6C86C5C1" w:rsidR="002473A2" w:rsidRDefault="002473A2" w:rsidP="006E6C39">
      <w:pPr>
        <w:spacing w:line="480" w:lineRule="auto"/>
        <w:contextualSpacing/>
        <w:rPr>
          <w:rFonts w:asciiTheme="majorBidi" w:hAnsiTheme="majorBidi" w:cstheme="majorBidi"/>
        </w:rPr>
      </w:pPr>
      <w:r w:rsidRPr="002473A2">
        <w:rPr>
          <w:rFonts w:asciiTheme="majorBidi" w:eastAsia="ArialUnicodeMS" w:hAnsiTheme="majorBidi" w:cstheme="majorBidi"/>
          <w:b/>
          <w:bCs/>
        </w:rPr>
        <w:t>Results:</w:t>
      </w:r>
      <w:r>
        <w:rPr>
          <w:rFonts w:asciiTheme="majorBidi" w:hAnsiTheme="majorBidi" w:cstheme="majorBidi"/>
        </w:rPr>
        <w:t xml:space="preserve"> </w:t>
      </w:r>
      <w:r w:rsidR="00E468F4" w:rsidRPr="001C12AA">
        <w:rPr>
          <w:rFonts w:asciiTheme="majorBidi" w:hAnsiTheme="majorBidi" w:cstheme="majorBidi"/>
        </w:rPr>
        <w:t>Findings indicated that there are direct effects and indirect effects via cognition-related processes and/or psychopathology that are predictors of a disposition toward CSB</w:t>
      </w:r>
      <w:r>
        <w:rPr>
          <w:rFonts w:asciiTheme="majorBidi" w:hAnsiTheme="majorBidi" w:cstheme="majorBidi"/>
        </w:rPr>
        <w:t>D</w:t>
      </w:r>
      <w:r w:rsidR="00E468F4" w:rsidRPr="001C12AA">
        <w:rPr>
          <w:rFonts w:asciiTheme="majorBidi" w:hAnsiTheme="majorBidi" w:cstheme="majorBidi"/>
        </w:rPr>
        <w:t xml:space="preserve"> among adolescents. </w:t>
      </w:r>
    </w:p>
    <w:p w14:paraId="79249551" w14:textId="3F2E1C45" w:rsidR="00E468F4" w:rsidRPr="001C12AA" w:rsidRDefault="002473A2" w:rsidP="006E6C39">
      <w:pPr>
        <w:spacing w:line="480" w:lineRule="auto"/>
        <w:contextualSpacing/>
        <w:rPr>
          <w:rFonts w:asciiTheme="majorBidi" w:hAnsiTheme="majorBidi" w:cstheme="majorBidi"/>
          <w:rtl/>
        </w:rPr>
      </w:pPr>
      <w:r w:rsidRPr="002473A2">
        <w:rPr>
          <w:rFonts w:asciiTheme="majorBidi" w:eastAsia="ArialUnicodeMS" w:hAnsiTheme="majorBidi" w:cstheme="majorBidi"/>
          <w:b/>
          <w:bCs/>
        </w:rPr>
        <w:t>Discussion:</w:t>
      </w:r>
      <w:r>
        <w:rPr>
          <w:rFonts w:asciiTheme="majorBidi" w:hAnsiTheme="majorBidi" w:cstheme="majorBidi"/>
        </w:rPr>
        <w:t xml:space="preserve"> </w:t>
      </w:r>
      <w:r w:rsidR="003B3E4E">
        <w:rPr>
          <w:rFonts w:asciiTheme="majorBidi" w:hAnsiTheme="majorBidi" w:cstheme="majorBidi"/>
        </w:rPr>
        <w:t>I</w:t>
      </w:r>
      <w:r w:rsidR="00E468F4" w:rsidRPr="001C12AA">
        <w:rPr>
          <w:rFonts w:asciiTheme="majorBidi" w:hAnsiTheme="majorBidi" w:cstheme="majorBidi"/>
        </w:rPr>
        <w:t xml:space="preserve"> discuss implications of the findings for understanding of the </w:t>
      </w:r>
      <w:r w:rsidR="003B3E4E">
        <w:rPr>
          <w:rFonts w:asciiTheme="majorBidi" w:hAnsiTheme="majorBidi" w:cstheme="majorBidi"/>
        </w:rPr>
        <w:t>theoretical</w:t>
      </w:r>
      <w:r w:rsidR="00E468F4" w:rsidRPr="001C12AA">
        <w:rPr>
          <w:rFonts w:asciiTheme="majorBidi" w:hAnsiTheme="majorBidi" w:cstheme="majorBidi"/>
        </w:rPr>
        <w:t xml:space="preserve"> model and the development of CSB</w:t>
      </w:r>
      <w:r w:rsidR="003B3E4E">
        <w:rPr>
          <w:rFonts w:asciiTheme="majorBidi" w:hAnsiTheme="majorBidi" w:cstheme="majorBidi"/>
        </w:rPr>
        <w:t>D</w:t>
      </w:r>
      <w:r w:rsidR="00E468F4" w:rsidRPr="001C12AA">
        <w:rPr>
          <w:rFonts w:asciiTheme="majorBidi" w:hAnsiTheme="majorBidi" w:cstheme="majorBidi"/>
        </w:rPr>
        <w:t xml:space="preserve">. </w:t>
      </w:r>
    </w:p>
    <w:p w14:paraId="0B814156" w14:textId="77777777" w:rsidR="00556F07" w:rsidRPr="001C12AA" w:rsidRDefault="00556F07" w:rsidP="00556F07">
      <w:pPr>
        <w:autoSpaceDE w:val="0"/>
        <w:autoSpaceDN w:val="0"/>
        <w:adjustRightInd w:val="0"/>
        <w:snapToGrid w:val="0"/>
        <w:spacing w:after="120" w:line="480" w:lineRule="auto"/>
        <w:rPr>
          <w:rFonts w:asciiTheme="majorBidi" w:hAnsiTheme="majorBidi" w:cstheme="majorBidi"/>
          <w:rtl/>
        </w:rPr>
      </w:pPr>
    </w:p>
    <w:p w14:paraId="78B42BEC" w14:textId="14A8624E" w:rsidR="00EF1F76" w:rsidRPr="009F6034" w:rsidRDefault="004946CF" w:rsidP="004946CF">
      <w:pPr>
        <w:spacing w:line="480" w:lineRule="auto"/>
        <w:contextualSpacing/>
        <w:rPr>
          <w:rFonts w:asciiTheme="majorBidi" w:hAnsiTheme="majorBidi" w:cstheme="majorBidi"/>
        </w:rPr>
      </w:pPr>
      <w:r w:rsidRPr="00F54C8E">
        <w:rPr>
          <w:rFonts w:asciiTheme="majorBidi" w:hAnsiTheme="majorBidi" w:cstheme="majorBidi"/>
        </w:rPr>
        <w:t>Keywords</w:t>
      </w:r>
      <w:r w:rsidRPr="00F54C8E">
        <w:rPr>
          <w:rFonts w:asciiTheme="majorBidi" w:hAnsiTheme="majorBidi" w:cstheme="majorBidi"/>
          <w:lang w:val="en-GB"/>
        </w:rPr>
        <w:t>:</w:t>
      </w:r>
      <w:r>
        <w:rPr>
          <w:rFonts w:asciiTheme="majorBidi" w:hAnsiTheme="majorBidi" w:cstheme="majorBidi"/>
          <w:lang w:val="en-GB"/>
        </w:rPr>
        <w:t xml:space="preserve"> Compulsive sexual </w:t>
      </w:r>
      <w:proofErr w:type="spellStart"/>
      <w:r>
        <w:rPr>
          <w:rFonts w:asciiTheme="majorBidi" w:hAnsiTheme="majorBidi" w:cstheme="majorBidi"/>
          <w:lang w:val="en-GB"/>
        </w:rPr>
        <w:t>behavior</w:t>
      </w:r>
      <w:proofErr w:type="spellEnd"/>
      <w:r>
        <w:rPr>
          <w:rFonts w:asciiTheme="majorBidi" w:hAnsiTheme="majorBidi" w:cstheme="majorBidi"/>
          <w:lang w:val="en-GB"/>
        </w:rPr>
        <w:t xml:space="preserve"> disorder; </w:t>
      </w:r>
      <w:r w:rsidRPr="001C12AA">
        <w:rPr>
          <w:rFonts w:asciiTheme="majorBidi" w:hAnsiTheme="majorBidi" w:cstheme="majorBidi"/>
        </w:rPr>
        <w:t>psychopathology</w:t>
      </w:r>
      <w:r w:rsidRPr="009F6034">
        <w:rPr>
          <w:rFonts w:asciiTheme="majorBidi" w:hAnsiTheme="majorBidi" w:cstheme="majorBidi"/>
        </w:rPr>
        <w:t>; Rumination</w:t>
      </w:r>
      <w:r w:rsidR="009F6034">
        <w:rPr>
          <w:rFonts w:asciiTheme="majorBidi" w:hAnsiTheme="majorBidi" w:cstheme="majorBidi"/>
        </w:rPr>
        <w:t xml:space="preserve">; </w:t>
      </w:r>
      <w:r w:rsidR="00A55F11" w:rsidRPr="009F6034">
        <w:rPr>
          <w:rFonts w:asciiTheme="majorBidi" w:hAnsiTheme="majorBidi" w:cstheme="majorBidi"/>
        </w:rPr>
        <w:t>R</w:t>
      </w:r>
      <w:r w:rsidRPr="009F6034">
        <w:rPr>
          <w:rFonts w:asciiTheme="majorBidi" w:hAnsiTheme="majorBidi" w:cstheme="majorBidi"/>
        </w:rPr>
        <w:t>eﬂection</w:t>
      </w:r>
      <w:r w:rsidR="00A55F11" w:rsidRPr="009F6034">
        <w:rPr>
          <w:rFonts w:asciiTheme="majorBidi" w:hAnsiTheme="majorBidi" w:cstheme="majorBidi"/>
        </w:rPr>
        <w:t>;</w:t>
      </w:r>
      <w:r w:rsidR="009F6034">
        <w:rPr>
          <w:rFonts w:asciiTheme="majorBidi" w:hAnsiTheme="majorBidi" w:cstheme="majorBidi"/>
        </w:rPr>
        <w:t xml:space="preserve"> E</w:t>
      </w:r>
      <w:r w:rsidR="009F6034" w:rsidRPr="00A55F11">
        <w:rPr>
          <w:rFonts w:asciiTheme="majorBidi" w:hAnsiTheme="majorBidi" w:cstheme="majorBidi"/>
        </w:rPr>
        <w:t>motion regulation</w:t>
      </w:r>
    </w:p>
    <w:p w14:paraId="3305F8F7" w14:textId="77777777" w:rsidR="00B33A2A" w:rsidRPr="009F6034" w:rsidRDefault="00B33A2A" w:rsidP="009F6034">
      <w:pPr>
        <w:spacing w:line="480" w:lineRule="auto"/>
        <w:contextualSpacing/>
        <w:rPr>
          <w:rFonts w:asciiTheme="majorBidi" w:hAnsiTheme="majorBidi" w:cstheme="majorBidi"/>
        </w:rPr>
      </w:pPr>
    </w:p>
    <w:p w14:paraId="045F4F52" w14:textId="77777777" w:rsidR="00D33C4B" w:rsidRPr="00D33C4B" w:rsidRDefault="00D33C4B" w:rsidP="00D33C4B">
      <w:pPr>
        <w:autoSpaceDE w:val="0"/>
        <w:autoSpaceDN w:val="0"/>
        <w:adjustRightInd w:val="0"/>
        <w:snapToGrid w:val="0"/>
        <w:spacing w:line="360" w:lineRule="auto"/>
        <w:jc w:val="center"/>
        <w:rPr>
          <w:rFonts w:asciiTheme="majorBidi" w:hAnsiTheme="majorBidi" w:cstheme="majorBidi"/>
          <w:b/>
          <w:bCs/>
          <w:color w:val="000000" w:themeColor="text1"/>
        </w:rPr>
      </w:pPr>
      <w:r w:rsidRPr="00D33C4B">
        <w:rPr>
          <w:rStyle w:val="fontstyle01"/>
          <w:rFonts w:asciiTheme="majorBidi" w:hAnsiTheme="majorBidi" w:cstheme="majorBidi"/>
          <w:b/>
          <w:bCs/>
          <w:sz w:val="24"/>
          <w:szCs w:val="24"/>
        </w:rPr>
        <w:lastRenderedPageBreak/>
        <w:t>Adolescents</w:t>
      </w:r>
      <w:r w:rsidRPr="00D33C4B">
        <w:rPr>
          <w:rStyle w:val="fontstyle11"/>
          <w:rFonts w:asciiTheme="majorBidi" w:hAnsiTheme="majorBidi" w:cstheme="majorBidi"/>
          <w:b/>
          <w:bCs/>
          <w:sz w:val="24"/>
          <w:szCs w:val="24"/>
        </w:rPr>
        <w:t xml:space="preserve">’ </w:t>
      </w:r>
      <w:r w:rsidRPr="00D33C4B">
        <w:rPr>
          <w:rStyle w:val="fontstyle01"/>
          <w:rFonts w:asciiTheme="majorBidi" w:hAnsiTheme="majorBidi" w:cstheme="majorBidi"/>
          <w:b/>
          <w:bCs/>
          <w:sz w:val="24"/>
          <w:szCs w:val="24"/>
        </w:rPr>
        <w:t>compulsive sexual behavior: The role of</w:t>
      </w:r>
      <w:r w:rsidRPr="00D33C4B">
        <w:rPr>
          <w:rFonts w:asciiTheme="majorBidi" w:hAnsiTheme="majorBidi" w:cstheme="majorBidi"/>
          <w:b/>
          <w:bCs/>
          <w:color w:val="000000" w:themeColor="text1"/>
        </w:rPr>
        <w:t xml:space="preserve"> personality, attachment, </w:t>
      </w:r>
      <w:r w:rsidRPr="00D33C4B">
        <w:rPr>
          <w:rFonts w:asciiTheme="majorBidi" w:hAnsiTheme="majorBidi" w:cstheme="majorBidi"/>
          <w:b/>
          <w:bCs/>
        </w:rPr>
        <w:t xml:space="preserve">cognitive-related </w:t>
      </w:r>
      <w:proofErr w:type="gramStart"/>
      <w:r w:rsidRPr="00D33C4B">
        <w:rPr>
          <w:rFonts w:asciiTheme="majorBidi" w:hAnsiTheme="majorBidi" w:cstheme="majorBidi"/>
          <w:b/>
          <w:bCs/>
        </w:rPr>
        <w:t>mechanisms</w:t>
      </w:r>
      <w:proofErr w:type="gramEnd"/>
      <w:r w:rsidRPr="00D33C4B">
        <w:rPr>
          <w:rFonts w:asciiTheme="majorBidi" w:hAnsiTheme="majorBidi" w:cstheme="majorBidi"/>
          <w:b/>
          <w:bCs/>
        </w:rPr>
        <w:t xml:space="preserve"> and psychopathology</w:t>
      </w:r>
    </w:p>
    <w:p w14:paraId="53BDE883" w14:textId="77777777" w:rsidR="00365B43" w:rsidRPr="00165D8B" w:rsidRDefault="00365B43" w:rsidP="00365B43">
      <w:pPr>
        <w:jc w:val="center"/>
        <w:rPr>
          <w:rFonts w:asciiTheme="majorBidi" w:hAnsiTheme="majorBidi" w:cstheme="majorBidi"/>
          <w:b/>
          <w:bCs/>
          <w:color w:val="000000" w:themeColor="text1"/>
          <w:sz w:val="28"/>
          <w:szCs w:val="28"/>
        </w:rPr>
      </w:pPr>
    </w:p>
    <w:p w14:paraId="14946922" w14:textId="048B3430" w:rsidR="00327918" w:rsidRPr="00813D22" w:rsidRDefault="00CF6BFE" w:rsidP="00CF6BFE">
      <w:pPr>
        <w:autoSpaceDE w:val="0"/>
        <w:autoSpaceDN w:val="0"/>
        <w:adjustRightInd w:val="0"/>
        <w:snapToGrid w:val="0"/>
        <w:spacing w:after="120" w:line="480" w:lineRule="auto"/>
        <w:ind w:firstLine="720"/>
        <w:rPr>
          <w:rFonts w:asciiTheme="majorBidi" w:hAnsiTheme="majorBidi" w:cstheme="majorBidi"/>
          <w:color w:val="000000"/>
        </w:rPr>
      </w:pPr>
      <w:r w:rsidRPr="00813D22">
        <w:rPr>
          <w:rFonts w:asciiTheme="majorBidi" w:hAnsiTheme="majorBidi" w:cstheme="majorBidi"/>
          <w:color w:val="000000"/>
        </w:rPr>
        <w:t xml:space="preserve">The World Health Organization (WHO), in the 11th edition of the International Classification of Diseases (ICD-11), has included Compulsive Sexual Behavior as a disorder. CSBD </w:t>
      </w:r>
      <w:r w:rsidR="0025693E" w:rsidRPr="00813D22">
        <w:rPr>
          <w:rFonts w:asciiTheme="majorBidi" w:hAnsiTheme="majorBidi" w:cstheme="majorBidi"/>
          <w:color w:val="000000"/>
        </w:rPr>
        <w:t>is characterized by an extensive pornography use and masturbation, use of paid sexual services, and risky sexual behaviors and/or intense preoccupation with sex. These behaviors often lead to impaired social or occupational</w:t>
      </w:r>
      <w:r w:rsidR="00A74A21" w:rsidRPr="00813D22">
        <w:rPr>
          <w:rFonts w:asciiTheme="majorBidi" w:hAnsiTheme="majorBidi" w:cstheme="majorBidi"/>
          <w:color w:val="000000"/>
        </w:rPr>
        <w:t xml:space="preserve"> </w:t>
      </w:r>
      <w:r w:rsidR="0025693E" w:rsidRPr="00813D22">
        <w:rPr>
          <w:rFonts w:asciiTheme="majorBidi" w:hAnsiTheme="majorBidi" w:cstheme="majorBidi"/>
          <w:color w:val="000000"/>
        </w:rPr>
        <w:t>functioning, distress, and negative affect (</w:t>
      </w:r>
      <w:r w:rsidRPr="00813D22">
        <w:rPr>
          <w:rFonts w:asciiTheme="majorBidi" w:hAnsiTheme="majorBidi" w:cstheme="majorBidi"/>
          <w:color w:val="000000"/>
        </w:rPr>
        <w:t xml:space="preserve">Chen, Jiang, Luo, Kraus, &amp; </w:t>
      </w:r>
      <w:proofErr w:type="spellStart"/>
      <w:r w:rsidRPr="00813D22">
        <w:rPr>
          <w:rFonts w:asciiTheme="majorBidi" w:hAnsiTheme="majorBidi" w:cstheme="majorBidi"/>
          <w:color w:val="000000"/>
        </w:rPr>
        <w:t>Bőthe</w:t>
      </w:r>
      <w:proofErr w:type="spellEnd"/>
      <w:r w:rsidRPr="00813D22">
        <w:rPr>
          <w:rFonts w:asciiTheme="majorBidi" w:hAnsiTheme="majorBidi" w:cstheme="majorBidi"/>
          <w:color w:val="000000"/>
        </w:rPr>
        <w:t>, 2021</w:t>
      </w:r>
      <w:r w:rsidR="007B2C2C" w:rsidRPr="00813D22">
        <w:rPr>
          <w:rFonts w:asciiTheme="majorBidi" w:hAnsiTheme="majorBidi" w:cstheme="majorBidi"/>
          <w:color w:val="000000"/>
        </w:rPr>
        <w:t xml:space="preserve">; </w:t>
      </w:r>
      <w:proofErr w:type="spellStart"/>
      <w:r w:rsidR="007B2C2C" w:rsidRPr="00813D22">
        <w:rPr>
          <w:rFonts w:asciiTheme="majorBidi" w:hAnsiTheme="majorBidi" w:cstheme="majorBidi"/>
          <w:color w:val="000000"/>
        </w:rPr>
        <w:t>Koos</w:t>
      </w:r>
      <w:proofErr w:type="spellEnd"/>
      <w:r w:rsidR="007B2C2C" w:rsidRPr="00813D22">
        <w:rPr>
          <w:rFonts w:asciiTheme="majorBidi" w:hAnsiTheme="majorBidi" w:cstheme="majorBidi"/>
          <w:color w:val="000000"/>
        </w:rPr>
        <w:t xml:space="preserve"> et al., 2021</w:t>
      </w:r>
      <w:r w:rsidR="0025693E" w:rsidRPr="00813D22">
        <w:rPr>
          <w:rFonts w:asciiTheme="majorBidi" w:hAnsiTheme="majorBidi" w:cstheme="majorBidi"/>
          <w:color w:val="000000"/>
        </w:rPr>
        <w:t>). To date, CSB</w:t>
      </w:r>
      <w:r w:rsidR="007B2C2C" w:rsidRPr="00813D22">
        <w:rPr>
          <w:rFonts w:asciiTheme="majorBidi" w:hAnsiTheme="majorBidi" w:cstheme="majorBidi"/>
          <w:color w:val="000000"/>
        </w:rPr>
        <w:t>D</w:t>
      </w:r>
      <w:r w:rsidR="0025693E" w:rsidRPr="00813D22">
        <w:rPr>
          <w:rFonts w:asciiTheme="majorBidi" w:hAnsiTheme="majorBidi" w:cstheme="majorBidi"/>
          <w:color w:val="000000"/>
        </w:rPr>
        <w:t xml:space="preserve"> was mostly studied among adults (</w:t>
      </w:r>
      <w:r w:rsidR="007B2C2C" w:rsidRPr="00813D22">
        <w:rPr>
          <w:rFonts w:asciiTheme="majorBidi" w:hAnsiTheme="majorBidi" w:cstheme="majorBidi"/>
          <w:color w:val="000000"/>
        </w:rPr>
        <w:t>see for review: Grubbs et al., 2020</w:t>
      </w:r>
      <w:r w:rsidR="0025693E" w:rsidRPr="00813D22">
        <w:rPr>
          <w:rFonts w:asciiTheme="majorBidi" w:hAnsiTheme="majorBidi" w:cstheme="majorBidi"/>
          <w:color w:val="000000"/>
        </w:rPr>
        <w:t>) with only few studies addressing predisposition toward CSB</w:t>
      </w:r>
      <w:r w:rsidR="007B2C2C" w:rsidRPr="00813D22">
        <w:rPr>
          <w:rFonts w:asciiTheme="majorBidi" w:hAnsiTheme="majorBidi" w:cstheme="majorBidi"/>
          <w:color w:val="000000"/>
        </w:rPr>
        <w:t>D</w:t>
      </w:r>
      <w:r w:rsidR="0025693E" w:rsidRPr="00813D22">
        <w:rPr>
          <w:rFonts w:asciiTheme="majorBidi" w:hAnsiTheme="majorBidi" w:cstheme="majorBidi"/>
          <w:color w:val="000000"/>
        </w:rPr>
        <w:t xml:space="preserve"> among adolescents (e.g., Adelson et al., 2012; De </w:t>
      </w:r>
      <w:proofErr w:type="spellStart"/>
      <w:r w:rsidR="0025693E" w:rsidRPr="00813D22">
        <w:rPr>
          <w:rFonts w:asciiTheme="majorBidi" w:hAnsiTheme="majorBidi" w:cstheme="majorBidi"/>
          <w:color w:val="000000"/>
        </w:rPr>
        <w:t>Crisce</w:t>
      </w:r>
      <w:proofErr w:type="spellEnd"/>
      <w:r w:rsidR="0025693E" w:rsidRPr="00813D22">
        <w:rPr>
          <w:rFonts w:asciiTheme="majorBidi" w:hAnsiTheme="majorBidi" w:cstheme="majorBidi"/>
          <w:color w:val="000000"/>
        </w:rPr>
        <w:t>, 2013; Efrati, 20</w:t>
      </w:r>
      <w:r w:rsidR="007B2C2C" w:rsidRPr="00813D22">
        <w:rPr>
          <w:rFonts w:asciiTheme="majorBidi" w:hAnsiTheme="majorBidi" w:cstheme="majorBidi"/>
          <w:color w:val="000000"/>
        </w:rPr>
        <w:t>20</w:t>
      </w:r>
      <w:r w:rsidR="0025693E" w:rsidRPr="00813D22">
        <w:rPr>
          <w:rFonts w:asciiTheme="majorBidi" w:hAnsiTheme="majorBidi" w:cstheme="majorBidi"/>
          <w:color w:val="000000"/>
        </w:rPr>
        <w:t>). These studies defined CSB</w:t>
      </w:r>
      <w:r w:rsidR="00365D91" w:rsidRPr="00813D22">
        <w:rPr>
          <w:rFonts w:asciiTheme="majorBidi" w:hAnsiTheme="majorBidi" w:cstheme="majorBidi"/>
          <w:color w:val="000000"/>
        </w:rPr>
        <w:t>D</w:t>
      </w:r>
      <w:r w:rsidR="0025693E" w:rsidRPr="00813D22">
        <w:rPr>
          <w:rFonts w:asciiTheme="majorBidi" w:hAnsiTheme="majorBidi" w:cstheme="majorBidi"/>
          <w:color w:val="000000"/>
        </w:rPr>
        <w:t xml:space="preserve"> among children and adolescents (Adelson et al., 2012; De </w:t>
      </w:r>
      <w:proofErr w:type="spellStart"/>
      <w:r w:rsidR="0025693E" w:rsidRPr="00813D22">
        <w:rPr>
          <w:rFonts w:asciiTheme="majorBidi" w:hAnsiTheme="majorBidi" w:cstheme="majorBidi"/>
          <w:color w:val="000000"/>
        </w:rPr>
        <w:t>Crisce</w:t>
      </w:r>
      <w:proofErr w:type="spellEnd"/>
      <w:r w:rsidR="0025693E" w:rsidRPr="00813D22">
        <w:rPr>
          <w:rFonts w:asciiTheme="majorBidi" w:hAnsiTheme="majorBidi" w:cstheme="majorBidi"/>
          <w:color w:val="000000"/>
        </w:rPr>
        <w:t>, 2013), revealed the existence of clinical CSB</w:t>
      </w:r>
      <w:r w:rsidR="00A00A1E" w:rsidRPr="00813D22">
        <w:rPr>
          <w:rFonts w:asciiTheme="majorBidi" w:hAnsiTheme="majorBidi" w:cstheme="majorBidi"/>
          <w:color w:val="000000"/>
        </w:rPr>
        <w:t>D</w:t>
      </w:r>
      <w:r w:rsidR="0025693E" w:rsidRPr="00813D22">
        <w:rPr>
          <w:rFonts w:asciiTheme="majorBidi" w:hAnsiTheme="majorBidi" w:cstheme="majorBidi"/>
          <w:color w:val="000000"/>
        </w:rPr>
        <w:t xml:space="preserve"> among adolescents (Efrati &amp; Dannon, 2018), and explored the profile of adolescents with CSB</w:t>
      </w:r>
      <w:r w:rsidR="00365D91" w:rsidRPr="00813D22">
        <w:rPr>
          <w:rFonts w:asciiTheme="majorBidi" w:hAnsiTheme="majorBidi" w:cstheme="majorBidi"/>
          <w:color w:val="000000"/>
        </w:rPr>
        <w:t>D</w:t>
      </w:r>
      <w:r w:rsidR="0025693E" w:rsidRPr="00813D22">
        <w:rPr>
          <w:rFonts w:asciiTheme="majorBidi" w:hAnsiTheme="majorBidi" w:cstheme="majorBidi"/>
          <w:color w:val="000000"/>
        </w:rPr>
        <w:t xml:space="preserve"> (e.g., Efrati, 2018a; Efrati &amp; Gola, 2018</w:t>
      </w:r>
      <w:r w:rsidR="008D3C99" w:rsidRPr="00813D22">
        <w:rPr>
          <w:rFonts w:asciiTheme="majorBidi" w:hAnsiTheme="majorBidi" w:cstheme="majorBidi"/>
          <w:color w:val="000000"/>
        </w:rPr>
        <w:t>a</w:t>
      </w:r>
      <w:r w:rsidR="0025693E" w:rsidRPr="00813D22">
        <w:rPr>
          <w:rFonts w:asciiTheme="majorBidi" w:hAnsiTheme="majorBidi" w:cstheme="majorBidi"/>
          <w:color w:val="000000"/>
        </w:rPr>
        <w:t>).</w:t>
      </w:r>
    </w:p>
    <w:p w14:paraId="30996E37" w14:textId="53306700" w:rsidR="005C53E6" w:rsidRPr="00813D22" w:rsidRDefault="003014B8" w:rsidP="009F6034">
      <w:pPr>
        <w:autoSpaceDE w:val="0"/>
        <w:autoSpaceDN w:val="0"/>
        <w:adjustRightInd w:val="0"/>
        <w:snapToGrid w:val="0"/>
        <w:spacing w:after="120" w:line="480" w:lineRule="auto"/>
        <w:ind w:firstLine="720"/>
        <w:rPr>
          <w:rFonts w:asciiTheme="majorBidi" w:hAnsiTheme="majorBidi" w:cstheme="majorBidi"/>
          <w:color w:val="000000"/>
        </w:rPr>
      </w:pPr>
      <w:r w:rsidRPr="00813D22">
        <w:rPr>
          <w:rFonts w:asciiTheme="majorBidi" w:hAnsiTheme="majorBidi" w:cstheme="majorBidi"/>
          <w:color w:val="000000"/>
        </w:rPr>
        <w:t>CSB</w:t>
      </w:r>
      <w:r w:rsidR="00646249" w:rsidRPr="00813D22">
        <w:rPr>
          <w:rFonts w:asciiTheme="majorBidi" w:hAnsiTheme="majorBidi" w:cstheme="majorBidi"/>
          <w:color w:val="000000"/>
        </w:rPr>
        <w:t>D</w:t>
      </w:r>
      <w:r w:rsidRPr="00813D22">
        <w:rPr>
          <w:rFonts w:asciiTheme="majorBidi" w:hAnsiTheme="majorBidi" w:cstheme="majorBidi"/>
          <w:color w:val="000000"/>
        </w:rPr>
        <w:t xml:space="preserve"> among adolescents may be related to their personality (Efrati, 2018</w:t>
      </w:r>
      <w:r w:rsidR="00247547" w:rsidRPr="00813D22">
        <w:rPr>
          <w:rFonts w:asciiTheme="majorBidi" w:hAnsiTheme="majorBidi" w:cstheme="majorBidi"/>
          <w:color w:val="000000"/>
        </w:rPr>
        <w:t>; Efrati and Gola, 2018</w:t>
      </w:r>
      <w:r w:rsidR="008D3C99" w:rsidRPr="00813D22">
        <w:rPr>
          <w:rFonts w:asciiTheme="majorBidi" w:hAnsiTheme="majorBidi" w:cstheme="majorBidi"/>
          <w:color w:val="000000"/>
        </w:rPr>
        <w:t>a</w:t>
      </w:r>
      <w:r w:rsidRPr="00813D22">
        <w:rPr>
          <w:rFonts w:asciiTheme="majorBidi" w:hAnsiTheme="majorBidi" w:cstheme="majorBidi"/>
          <w:color w:val="000000"/>
        </w:rPr>
        <w:t>), religiosity (Efrati, 2019), familial atmosphere and/or relationship with parents (Efrati &amp; Gola, 2019</w:t>
      </w:r>
      <w:r w:rsidR="00F22807" w:rsidRPr="00813D22">
        <w:rPr>
          <w:rFonts w:asciiTheme="majorBidi" w:hAnsiTheme="majorBidi" w:cstheme="majorBidi"/>
          <w:color w:val="000000"/>
        </w:rPr>
        <w:t>a</w:t>
      </w:r>
      <w:r w:rsidRPr="00813D22">
        <w:rPr>
          <w:rFonts w:asciiTheme="majorBidi" w:hAnsiTheme="majorBidi" w:cstheme="majorBidi"/>
          <w:color w:val="000000"/>
        </w:rPr>
        <w:t xml:space="preserve">), Metacognition (Efrati et al., </w:t>
      </w:r>
      <w:r w:rsidR="00254EBB" w:rsidRPr="00813D22">
        <w:rPr>
          <w:rFonts w:asciiTheme="majorBidi" w:hAnsiTheme="majorBidi" w:cstheme="majorBidi"/>
          <w:color w:val="000000"/>
        </w:rPr>
        <w:t xml:space="preserve">2020; </w:t>
      </w:r>
      <w:r w:rsidRPr="00813D22">
        <w:rPr>
          <w:rFonts w:asciiTheme="majorBidi" w:hAnsiTheme="majorBidi" w:cstheme="majorBidi"/>
          <w:color w:val="000000"/>
        </w:rPr>
        <w:t>2021)</w:t>
      </w:r>
      <w:r w:rsidR="00090B0B" w:rsidRPr="00813D22">
        <w:rPr>
          <w:rFonts w:asciiTheme="majorBidi" w:hAnsiTheme="majorBidi" w:cstheme="majorBidi"/>
          <w:color w:val="000000"/>
        </w:rPr>
        <w:t xml:space="preserve">, psychopathology (Efrati and Dannon, 2018) but </w:t>
      </w:r>
      <w:r w:rsidR="00A74A21" w:rsidRPr="00813D22">
        <w:rPr>
          <w:rFonts w:asciiTheme="majorBidi" w:hAnsiTheme="majorBidi" w:cstheme="majorBidi"/>
          <w:color w:val="000000"/>
        </w:rPr>
        <w:t>to date</w:t>
      </w:r>
      <w:r w:rsidR="00247547" w:rsidRPr="00813D22">
        <w:rPr>
          <w:rFonts w:asciiTheme="majorBidi" w:hAnsiTheme="majorBidi" w:cstheme="majorBidi"/>
          <w:color w:val="000000"/>
        </w:rPr>
        <w:t>,</w:t>
      </w:r>
      <w:r w:rsidR="00A74A21" w:rsidRPr="00813D22">
        <w:rPr>
          <w:rFonts w:asciiTheme="majorBidi" w:hAnsiTheme="majorBidi" w:cstheme="majorBidi"/>
          <w:color w:val="000000"/>
        </w:rPr>
        <w:t xml:space="preserve"> no studies</w:t>
      </w:r>
      <w:r w:rsidR="00090B0B" w:rsidRPr="00813D22">
        <w:rPr>
          <w:rFonts w:asciiTheme="majorBidi" w:hAnsiTheme="majorBidi" w:cstheme="majorBidi"/>
          <w:color w:val="000000"/>
        </w:rPr>
        <w:t xml:space="preserve"> f</w:t>
      </w:r>
      <w:r w:rsidR="00A74A21" w:rsidRPr="00813D22">
        <w:rPr>
          <w:rFonts w:asciiTheme="majorBidi" w:hAnsiTheme="majorBidi" w:cstheme="majorBidi"/>
          <w:color w:val="000000"/>
        </w:rPr>
        <w:t>ou</w:t>
      </w:r>
      <w:r w:rsidR="00090B0B" w:rsidRPr="00813D22">
        <w:rPr>
          <w:rFonts w:asciiTheme="majorBidi" w:hAnsiTheme="majorBidi" w:cstheme="majorBidi"/>
          <w:color w:val="000000"/>
        </w:rPr>
        <w:t xml:space="preserve">nd </w:t>
      </w:r>
      <w:r w:rsidR="00F85A9C" w:rsidRPr="00813D22">
        <w:rPr>
          <w:rFonts w:asciiTheme="majorBidi" w:hAnsiTheme="majorBidi" w:cstheme="majorBidi"/>
          <w:color w:val="000000"/>
        </w:rPr>
        <w:t>transdiagnostic research that predict CSBD</w:t>
      </w:r>
      <w:r w:rsidRPr="00813D22">
        <w:rPr>
          <w:rFonts w:asciiTheme="majorBidi" w:hAnsiTheme="majorBidi" w:cstheme="majorBidi"/>
          <w:color w:val="000000"/>
        </w:rPr>
        <w:t xml:space="preserve">. In the present research, </w:t>
      </w:r>
      <w:r w:rsidR="00A74A21" w:rsidRPr="00813D22">
        <w:rPr>
          <w:rFonts w:asciiTheme="majorBidi" w:hAnsiTheme="majorBidi" w:cstheme="majorBidi"/>
          <w:color w:val="000000"/>
        </w:rPr>
        <w:t>I</w:t>
      </w:r>
      <w:r w:rsidRPr="00813D22">
        <w:rPr>
          <w:rFonts w:asciiTheme="majorBidi" w:hAnsiTheme="majorBidi" w:cstheme="majorBidi"/>
          <w:color w:val="000000"/>
        </w:rPr>
        <w:t xml:space="preserve"> adopted</w:t>
      </w:r>
      <w:r w:rsidR="00090B0B" w:rsidRPr="00813D22">
        <w:rPr>
          <w:rFonts w:asciiTheme="majorBidi" w:hAnsiTheme="majorBidi" w:cstheme="majorBidi"/>
          <w:color w:val="000000"/>
        </w:rPr>
        <w:t xml:space="preserve"> transdiagnostic approach</w:t>
      </w:r>
      <w:r w:rsidR="00F85A9C" w:rsidRPr="00813D22">
        <w:rPr>
          <w:rFonts w:asciiTheme="majorBidi" w:hAnsiTheme="majorBidi" w:cstheme="majorBidi"/>
          <w:color w:val="000000"/>
        </w:rPr>
        <w:t xml:space="preserve"> which </w:t>
      </w:r>
      <w:proofErr w:type="gramStart"/>
      <w:r w:rsidR="00F85A9C" w:rsidRPr="00813D22">
        <w:rPr>
          <w:rFonts w:asciiTheme="majorBidi" w:hAnsiTheme="majorBidi" w:cstheme="majorBidi"/>
          <w:color w:val="000000"/>
        </w:rPr>
        <w:t>takes into account</w:t>
      </w:r>
      <w:proofErr w:type="gramEnd"/>
      <w:r w:rsidR="00F85A9C" w:rsidRPr="00813D22">
        <w:rPr>
          <w:rFonts w:asciiTheme="majorBidi" w:hAnsiTheme="majorBidi" w:cstheme="majorBidi"/>
          <w:color w:val="000000"/>
        </w:rPr>
        <w:t xml:space="preserve"> the effects</w:t>
      </w:r>
      <w:r w:rsidR="00254EBB" w:rsidRPr="00813D22">
        <w:rPr>
          <w:rFonts w:asciiTheme="majorBidi" w:hAnsiTheme="majorBidi" w:cstheme="majorBidi"/>
          <w:color w:val="000000"/>
        </w:rPr>
        <w:t xml:space="preserve"> </w:t>
      </w:r>
      <w:r w:rsidR="00F85A9C" w:rsidRPr="00813D22">
        <w:rPr>
          <w:rFonts w:asciiTheme="majorBidi" w:hAnsiTheme="majorBidi" w:cstheme="majorBidi"/>
          <w:color w:val="000000"/>
        </w:rPr>
        <w:t xml:space="preserve">of </w:t>
      </w:r>
      <w:r w:rsidR="000E50E1" w:rsidRPr="00813D22">
        <w:rPr>
          <w:rFonts w:asciiTheme="majorBidi" w:hAnsiTheme="majorBidi" w:cstheme="majorBidi"/>
          <w:color w:val="000000"/>
        </w:rPr>
        <w:t xml:space="preserve">cognitive-related mechanisms and </w:t>
      </w:r>
      <w:r w:rsidR="00254EBB" w:rsidRPr="00813D22">
        <w:rPr>
          <w:rFonts w:asciiTheme="majorBidi" w:hAnsiTheme="majorBidi" w:cstheme="majorBidi"/>
          <w:color w:val="000000"/>
        </w:rPr>
        <w:t>psychopathology and</w:t>
      </w:r>
      <w:r w:rsidR="000E50E1" w:rsidRPr="00813D22">
        <w:rPr>
          <w:rFonts w:asciiTheme="majorBidi" w:hAnsiTheme="majorBidi" w:cstheme="majorBidi"/>
          <w:color w:val="000000"/>
        </w:rPr>
        <w:t xml:space="preserve"> examines whether background measures </w:t>
      </w:r>
      <w:r w:rsidR="00247547" w:rsidRPr="00813D22">
        <w:rPr>
          <w:rFonts w:asciiTheme="majorBidi" w:hAnsiTheme="majorBidi" w:cstheme="majorBidi"/>
          <w:color w:val="000000"/>
        </w:rPr>
        <w:t xml:space="preserve">and personality disposition </w:t>
      </w:r>
      <w:r w:rsidR="000E50E1" w:rsidRPr="00813D22">
        <w:rPr>
          <w:rFonts w:asciiTheme="majorBidi" w:hAnsiTheme="majorBidi" w:cstheme="majorBidi"/>
          <w:color w:val="000000"/>
        </w:rPr>
        <w:t>via two-step mediation processes: cognitive-related mechanisms, and psychopathology</w:t>
      </w:r>
      <w:r w:rsidR="00254EBB" w:rsidRPr="00813D22">
        <w:rPr>
          <w:rFonts w:asciiTheme="majorBidi" w:hAnsiTheme="majorBidi" w:cstheme="majorBidi"/>
          <w:color w:val="000000"/>
        </w:rPr>
        <w:t xml:space="preserve"> are linked with the severity of CSB</w:t>
      </w:r>
      <w:r w:rsidR="00247547" w:rsidRPr="00813D22">
        <w:rPr>
          <w:rFonts w:asciiTheme="majorBidi" w:hAnsiTheme="majorBidi" w:cstheme="majorBidi"/>
          <w:color w:val="000000"/>
        </w:rPr>
        <w:t>D</w:t>
      </w:r>
      <w:r w:rsidR="00254EBB" w:rsidRPr="00813D22">
        <w:rPr>
          <w:rFonts w:asciiTheme="majorBidi" w:hAnsiTheme="majorBidi" w:cstheme="majorBidi"/>
          <w:color w:val="000000"/>
        </w:rPr>
        <w:t xml:space="preserve"> symptoms among adolescents</w:t>
      </w:r>
      <w:r w:rsidR="000E50E1" w:rsidRPr="00813D22">
        <w:rPr>
          <w:rFonts w:asciiTheme="majorBidi" w:hAnsiTheme="majorBidi" w:cstheme="majorBidi"/>
          <w:color w:val="000000"/>
        </w:rPr>
        <w:t xml:space="preserve">. </w:t>
      </w:r>
    </w:p>
    <w:p w14:paraId="52A4074C" w14:textId="349F2555" w:rsidR="005C53E6" w:rsidRPr="00813D22" w:rsidRDefault="005C53E6" w:rsidP="00AA1964">
      <w:pPr>
        <w:spacing w:line="480" w:lineRule="auto"/>
        <w:rPr>
          <w:rFonts w:asciiTheme="majorBidi" w:hAnsiTheme="majorBidi" w:cstheme="majorBidi"/>
          <w:b/>
          <w:bCs/>
          <w:color w:val="000000" w:themeColor="text1"/>
        </w:rPr>
      </w:pPr>
      <w:r w:rsidRPr="00813D22">
        <w:rPr>
          <w:b/>
          <w:bCs/>
        </w:rPr>
        <w:lastRenderedPageBreak/>
        <w:t>The big five personality dispositions</w:t>
      </w:r>
      <w:r w:rsidRPr="00813D22">
        <w:rPr>
          <w:rFonts w:asciiTheme="majorBidi" w:hAnsiTheme="majorBidi" w:cstheme="majorBidi"/>
          <w:b/>
          <w:bCs/>
          <w:color w:val="000000" w:themeColor="text1"/>
        </w:rPr>
        <w:t xml:space="preserve"> </w:t>
      </w:r>
    </w:p>
    <w:p w14:paraId="5755F43F" w14:textId="771FC325" w:rsidR="00AA1964" w:rsidRPr="00813D22" w:rsidRDefault="00AA1964" w:rsidP="00596367">
      <w:pPr>
        <w:spacing w:line="480" w:lineRule="auto"/>
        <w:ind w:firstLine="720"/>
        <w:rPr>
          <w:rFonts w:asciiTheme="majorBidi" w:hAnsiTheme="majorBidi" w:cstheme="majorBidi"/>
          <w:color w:val="000000" w:themeColor="text1"/>
        </w:rPr>
      </w:pPr>
      <w:r w:rsidRPr="00813D22">
        <w:rPr>
          <w:rFonts w:asciiTheme="majorBidi" w:hAnsiTheme="majorBidi" w:cstheme="majorBidi"/>
          <w:color w:val="000000" w:themeColor="text1"/>
        </w:rPr>
        <w:t>One of the most used personality classifications is known as the Five Factor Model (FFM; McCrae, &amp; Costa, 1994). This classification emerged out of a series of attempts to understand the organization of trait descriptors in the natural language (Goldberg, 1993; John OP, &amp; Srivastava, 1999; McCrae et al., 2000). Structural analyses of these descriptors consistently revealed five broad factors: extraversion (outgoing/energetic vs. solitary/reserved), agreeableness (friendly/compassionate vs. challenging/ detached), conscientiousness (efficient/organized vs. easy-going/careless), neuroticism (sensitive/nervous vs. secure/confident), and openness to experience (inventive/curious vs. consistent/cautious). This structure has proven to be remarkably robust, with the same five factors observed in both self- and peer-ratings (McCrae, &amp; Costa, 1987), in analyses of both children and adults (</w:t>
      </w:r>
      <w:proofErr w:type="spellStart"/>
      <w:r w:rsidRPr="00813D22">
        <w:rPr>
          <w:rFonts w:asciiTheme="majorBidi" w:hAnsiTheme="majorBidi" w:cstheme="majorBidi"/>
          <w:color w:val="000000" w:themeColor="text1"/>
        </w:rPr>
        <w:t>Digman</w:t>
      </w:r>
      <w:proofErr w:type="spellEnd"/>
      <w:r w:rsidRPr="00813D22">
        <w:rPr>
          <w:rFonts w:asciiTheme="majorBidi" w:hAnsiTheme="majorBidi" w:cstheme="majorBidi"/>
          <w:color w:val="000000" w:themeColor="text1"/>
        </w:rPr>
        <w:t>, 1997), and across a wide variety of languages and cultures (</w:t>
      </w:r>
      <w:proofErr w:type="spellStart"/>
      <w:r w:rsidRPr="00813D22">
        <w:rPr>
          <w:rFonts w:asciiTheme="majorBidi" w:hAnsiTheme="majorBidi" w:cstheme="majorBidi"/>
          <w:color w:val="000000" w:themeColor="text1"/>
        </w:rPr>
        <w:t>Allik</w:t>
      </w:r>
      <w:proofErr w:type="spellEnd"/>
      <w:r w:rsidRPr="00813D22">
        <w:rPr>
          <w:rFonts w:asciiTheme="majorBidi" w:hAnsiTheme="majorBidi" w:cstheme="majorBidi"/>
          <w:color w:val="000000" w:themeColor="text1"/>
        </w:rPr>
        <w:t xml:space="preserve">, 2005; McCrae, &amp; Costa, 1997). The big five personality traits have been extensively studied in relation with </w:t>
      </w:r>
      <w:r w:rsidR="00523A10" w:rsidRPr="00813D22">
        <w:rPr>
          <w:rFonts w:asciiTheme="majorBidi" w:hAnsiTheme="majorBidi" w:cstheme="majorBidi"/>
          <w:color w:val="000000" w:themeColor="text1"/>
        </w:rPr>
        <w:t>CSBD (for review see: Efrati, Krause and Kaplan, 2022)</w:t>
      </w:r>
      <w:r w:rsidRPr="00813D22">
        <w:rPr>
          <w:rFonts w:asciiTheme="majorBidi" w:hAnsiTheme="majorBidi" w:cstheme="majorBidi"/>
          <w:color w:val="000000" w:themeColor="text1"/>
        </w:rPr>
        <w:t>, though less literature is available on its relationship with CSBD</w:t>
      </w:r>
      <w:r w:rsidR="00D93C6A" w:rsidRPr="00813D22">
        <w:rPr>
          <w:rFonts w:asciiTheme="majorBidi" w:hAnsiTheme="majorBidi" w:cstheme="majorBidi"/>
          <w:color w:val="000000" w:themeColor="text1"/>
        </w:rPr>
        <w:t xml:space="preserve"> among adolescence</w:t>
      </w:r>
      <w:r w:rsidR="00523A10" w:rsidRPr="00813D22">
        <w:rPr>
          <w:rFonts w:asciiTheme="majorBidi" w:hAnsiTheme="majorBidi" w:cstheme="majorBidi"/>
          <w:color w:val="000000" w:themeColor="text1"/>
        </w:rPr>
        <w:t xml:space="preserve"> (Efrati</w:t>
      </w:r>
      <w:r w:rsidR="00D43CA8" w:rsidRPr="00813D22">
        <w:rPr>
          <w:rFonts w:asciiTheme="majorBidi" w:hAnsiTheme="majorBidi" w:cstheme="majorBidi"/>
          <w:color w:val="000000" w:themeColor="text1"/>
        </w:rPr>
        <w:t xml:space="preserve"> &amp; Gola</w:t>
      </w:r>
      <w:r w:rsidR="00523A10" w:rsidRPr="00813D22">
        <w:rPr>
          <w:rFonts w:asciiTheme="majorBidi" w:hAnsiTheme="majorBidi" w:cstheme="majorBidi"/>
          <w:color w:val="000000" w:themeColor="text1"/>
        </w:rPr>
        <w:t>, 2018</w:t>
      </w:r>
      <w:r w:rsidR="005F5916" w:rsidRPr="00813D22">
        <w:rPr>
          <w:rFonts w:asciiTheme="majorBidi" w:hAnsiTheme="majorBidi" w:cstheme="majorBidi"/>
          <w:color w:val="000000" w:themeColor="text1"/>
        </w:rPr>
        <w:t>a</w:t>
      </w:r>
      <w:r w:rsidR="00523A10" w:rsidRPr="00813D22">
        <w:rPr>
          <w:rFonts w:asciiTheme="majorBidi" w:hAnsiTheme="majorBidi" w:cstheme="majorBidi"/>
          <w:color w:val="000000" w:themeColor="text1"/>
        </w:rPr>
        <w:t>)</w:t>
      </w:r>
      <w:r w:rsidRPr="00813D22">
        <w:rPr>
          <w:rFonts w:asciiTheme="majorBidi" w:hAnsiTheme="majorBidi" w:cstheme="majorBidi"/>
          <w:color w:val="000000" w:themeColor="text1"/>
        </w:rPr>
        <w:t xml:space="preserve">. </w:t>
      </w:r>
    </w:p>
    <w:p w14:paraId="224A46DB" w14:textId="188E62A5" w:rsidR="00D43CA8" w:rsidRPr="00813D22" w:rsidRDefault="007E613B" w:rsidP="007E0699">
      <w:pPr>
        <w:spacing w:line="480" w:lineRule="auto"/>
        <w:ind w:firstLine="720"/>
        <w:rPr>
          <w:rFonts w:asciiTheme="majorBidi" w:hAnsiTheme="majorBidi" w:cstheme="majorBidi"/>
          <w:color w:val="000000" w:themeColor="text1"/>
        </w:rPr>
      </w:pPr>
      <w:r w:rsidRPr="00813D22">
        <w:rPr>
          <w:rFonts w:asciiTheme="majorBidi" w:hAnsiTheme="majorBidi" w:cstheme="majorBidi"/>
          <w:color w:val="000000" w:themeColor="text1"/>
        </w:rPr>
        <w:t>Efrati</w:t>
      </w:r>
      <w:r w:rsidR="00AA1964" w:rsidRPr="00813D22">
        <w:rPr>
          <w:rFonts w:asciiTheme="majorBidi" w:hAnsiTheme="majorBidi" w:cstheme="majorBidi"/>
          <w:color w:val="000000" w:themeColor="text1"/>
        </w:rPr>
        <w:t xml:space="preserve"> and colleagues (20</w:t>
      </w:r>
      <w:r w:rsidRPr="00813D22">
        <w:rPr>
          <w:rFonts w:asciiTheme="majorBidi" w:hAnsiTheme="majorBidi" w:cstheme="majorBidi"/>
          <w:color w:val="000000" w:themeColor="text1"/>
        </w:rPr>
        <w:t>22</w:t>
      </w:r>
      <w:r w:rsidR="00AA1964" w:rsidRPr="00813D22">
        <w:rPr>
          <w:rFonts w:asciiTheme="majorBidi" w:hAnsiTheme="majorBidi" w:cstheme="majorBidi"/>
          <w:color w:val="000000" w:themeColor="text1"/>
        </w:rPr>
        <w:t xml:space="preserve">) revealed that people with </w:t>
      </w:r>
      <w:r w:rsidR="00081497" w:rsidRPr="00813D22">
        <w:rPr>
          <w:rFonts w:asciiTheme="majorBidi" w:hAnsiTheme="majorBidi" w:cstheme="majorBidi"/>
          <w:color w:val="000000" w:themeColor="text1"/>
        </w:rPr>
        <w:t>CSBD</w:t>
      </w:r>
      <w:r w:rsidRPr="00813D22">
        <w:rPr>
          <w:rFonts w:asciiTheme="majorBidi" w:hAnsiTheme="majorBidi" w:cstheme="majorBidi"/>
          <w:color w:val="000000" w:themeColor="text1"/>
        </w:rPr>
        <w:t xml:space="preserve"> </w:t>
      </w:r>
      <w:r w:rsidR="00AA1964" w:rsidRPr="00813D22">
        <w:rPr>
          <w:rFonts w:asciiTheme="majorBidi" w:hAnsiTheme="majorBidi" w:cstheme="majorBidi"/>
          <w:color w:val="000000" w:themeColor="text1"/>
        </w:rPr>
        <w:t xml:space="preserve">score low on agreeableness and conscientiousness and high on neuroticism. </w:t>
      </w:r>
      <w:r w:rsidR="00AB0574" w:rsidRPr="00813D22">
        <w:rPr>
          <w:rFonts w:asciiTheme="majorBidi" w:hAnsiTheme="majorBidi" w:cstheme="majorBidi"/>
          <w:color w:val="000000" w:themeColor="text1"/>
        </w:rPr>
        <w:t>It seems that p</w:t>
      </w:r>
      <w:r w:rsidR="00AA1964" w:rsidRPr="00813D22">
        <w:rPr>
          <w:rFonts w:asciiTheme="majorBidi" w:hAnsiTheme="majorBidi" w:cstheme="majorBidi"/>
          <w:color w:val="000000" w:themeColor="text1"/>
        </w:rPr>
        <w:t xml:space="preserve">eople with </w:t>
      </w:r>
      <w:r w:rsidRPr="00813D22">
        <w:rPr>
          <w:rFonts w:asciiTheme="majorBidi" w:hAnsiTheme="majorBidi" w:cstheme="majorBidi"/>
          <w:color w:val="000000" w:themeColor="text1"/>
        </w:rPr>
        <w:t xml:space="preserve">CSBD </w:t>
      </w:r>
      <w:r w:rsidR="00AA1964" w:rsidRPr="00813D22">
        <w:rPr>
          <w:rFonts w:asciiTheme="majorBidi" w:hAnsiTheme="majorBidi" w:cstheme="majorBidi"/>
          <w:color w:val="000000" w:themeColor="text1"/>
        </w:rPr>
        <w:t>tend to be more spontaneous, careless, and less reliable (i.e., low conscientiousness), to place self-interest above getting along with others (i.e., low agreeableness), and to show emotional instability and experience negative emotions, such as anger, anxiety, and/or depression (i.e., high neuroticism</w:t>
      </w:r>
      <w:r w:rsidR="00081497" w:rsidRPr="00813D22">
        <w:rPr>
          <w:rFonts w:asciiTheme="majorBidi" w:hAnsiTheme="majorBidi" w:cstheme="majorBidi"/>
          <w:color w:val="000000" w:themeColor="text1"/>
        </w:rPr>
        <w:t>).</w:t>
      </w:r>
      <w:r w:rsidR="003C413A" w:rsidRPr="00813D22">
        <w:rPr>
          <w:rFonts w:asciiTheme="majorBidi" w:hAnsiTheme="majorBidi" w:cstheme="majorBidi"/>
          <w:color w:val="000000" w:themeColor="text1"/>
        </w:rPr>
        <w:t xml:space="preserve"> </w:t>
      </w:r>
      <w:r w:rsidR="00523A10" w:rsidRPr="00813D22">
        <w:rPr>
          <w:rFonts w:asciiTheme="majorBidi" w:hAnsiTheme="majorBidi" w:cstheme="majorBidi"/>
          <w:color w:val="000000" w:themeColor="text1"/>
        </w:rPr>
        <w:t xml:space="preserve">Previous research found that </w:t>
      </w:r>
      <w:r w:rsidR="00D43CA8" w:rsidRPr="00813D22">
        <w:rPr>
          <w:rFonts w:asciiTheme="majorBidi" w:hAnsiTheme="majorBidi" w:cstheme="majorBidi"/>
          <w:color w:val="000000" w:themeColor="text1"/>
        </w:rPr>
        <w:t>individuals</w:t>
      </w:r>
      <w:r w:rsidR="007E0699" w:rsidRPr="00813D22">
        <w:rPr>
          <w:rFonts w:asciiTheme="majorBidi" w:hAnsiTheme="majorBidi" w:cstheme="majorBidi"/>
          <w:color w:val="000000" w:themeColor="text1"/>
        </w:rPr>
        <w:t xml:space="preserve"> </w:t>
      </w:r>
      <w:r w:rsidR="00D43CA8" w:rsidRPr="00813D22">
        <w:rPr>
          <w:rFonts w:asciiTheme="majorBidi" w:hAnsiTheme="majorBidi" w:cstheme="majorBidi"/>
          <w:color w:val="000000" w:themeColor="text1"/>
        </w:rPr>
        <w:t xml:space="preserve">with CSBD were significantly more neurotic and less agreeable than </w:t>
      </w:r>
      <w:r w:rsidR="00D43CA8" w:rsidRPr="00813D22">
        <w:rPr>
          <w:rFonts w:asciiTheme="majorBidi" w:hAnsiTheme="majorBidi" w:cstheme="majorBidi"/>
          <w:color w:val="000000" w:themeColor="text1"/>
        </w:rPr>
        <w:lastRenderedPageBreak/>
        <w:t>abstaining adolescents (Efrati &amp; Gola, 2018</w:t>
      </w:r>
      <w:r w:rsidR="005F5916" w:rsidRPr="00813D22">
        <w:rPr>
          <w:rFonts w:asciiTheme="majorBidi" w:hAnsiTheme="majorBidi" w:cstheme="majorBidi"/>
          <w:color w:val="000000" w:themeColor="text1"/>
        </w:rPr>
        <w:t>a</w:t>
      </w:r>
      <w:r w:rsidR="00D43CA8" w:rsidRPr="00813D22">
        <w:rPr>
          <w:rFonts w:asciiTheme="majorBidi" w:hAnsiTheme="majorBidi" w:cstheme="majorBidi"/>
          <w:color w:val="000000" w:themeColor="text1"/>
        </w:rPr>
        <w:t xml:space="preserve">). </w:t>
      </w:r>
      <w:r w:rsidR="00081497" w:rsidRPr="00813D22">
        <w:rPr>
          <w:rFonts w:asciiTheme="majorBidi" w:hAnsiTheme="majorBidi" w:cstheme="majorBidi"/>
          <w:color w:val="000000" w:themeColor="text1"/>
        </w:rPr>
        <w:t>Therefore</w:t>
      </w:r>
      <w:r w:rsidR="00523A10" w:rsidRPr="00813D22">
        <w:rPr>
          <w:rFonts w:asciiTheme="majorBidi" w:hAnsiTheme="majorBidi" w:cstheme="majorBidi"/>
          <w:color w:val="000000" w:themeColor="text1"/>
        </w:rPr>
        <w:t>,</w:t>
      </w:r>
      <w:r w:rsidR="00081497" w:rsidRPr="00813D22">
        <w:rPr>
          <w:rFonts w:asciiTheme="majorBidi" w:hAnsiTheme="majorBidi" w:cstheme="majorBidi"/>
          <w:color w:val="000000" w:themeColor="text1"/>
        </w:rPr>
        <w:t xml:space="preserve"> </w:t>
      </w:r>
      <w:r w:rsidR="00523A10" w:rsidRPr="00813D22">
        <w:rPr>
          <w:rFonts w:asciiTheme="majorBidi" w:hAnsiTheme="majorBidi" w:cstheme="majorBidi"/>
          <w:color w:val="000000" w:themeColor="text1"/>
        </w:rPr>
        <w:t>the first aim of the current study</w:t>
      </w:r>
      <w:r w:rsidR="00523A10" w:rsidRPr="00813D22">
        <w:rPr>
          <w:rFonts w:asciiTheme="majorBidi" w:hAnsiTheme="majorBidi" w:cstheme="majorBidi"/>
          <w:color w:val="000000"/>
          <w:lang w:val="x-none"/>
        </w:rPr>
        <w:t xml:space="preserve"> is to examine personality dispositions as a pre</w:t>
      </w:r>
      <w:r w:rsidR="00523A10" w:rsidRPr="00813D22">
        <w:rPr>
          <w:rFonts w:asciiTheme="majorBidi" w:hAnsiTheme="majorBidi" w:cstheme="majorBidi"/>
          <w:color w:val="000000" w:themeColor="text1"/>
        </w:rPr>
        <w:t>dictor of CSBD among adolescence</w:t>
      </w:r>
      <w:r w:rsidR="00D43CA8" w:rsidRPr="00813D22">
        <w:rPr>
          <w:rFonts w:asciiTheme="majorBidi" w:hAnsiTheme="majorBidi" w:cstheme="majorBidi"/>
          <w:color w:val="000000" w:themeColor="text1"/>
        </w:rPr>
        <w:t>.</w:t>
      </w:r>
      <w:r w:rsidR="00523A10" w:rsidRPr="00813D22">
        <w:rPr>
          <w:rFonts w:asciiTheme="majorBidi" w:hAnsiTheme="majorBidi" w:cstheme="majorBidi"/>
          <w:color w:val="000000" w:themeColor="text1"/>
        </w:rPr>
        <w:t xml:space="preserve"> </w:t>
      </w:r>
    </w:p>
    <w:p w14:paraId="2FE3DC1E" w14:textId="77777777" w:rsidR="007E0699" w:rsidRPr="00813D22" w:rsidRDefault="007E0699" w:rsidP="007E0699">
      <w:pPr>
        <w:autoSpaceDE w:val="0"/>
        <w:autoSpaceDN w:val="0"/>
        <w:adjustRightInd w:val="0"/>
        <w:snapToGrid w:val="0"/>
        <w:spacing w:line="480" w:lineRule="auto"/>
        <w:rPr>
          <w:rFonts w:asciiTheme="majorBidi" w:hAnsiTheme="majorBidi" w:cstheme="majorBidi"/>
          <w:b/>
          <w:bCs/>
          <w:color w:val="000000"/>
          <w:lang w:val="x-none"/>
        </w:rPr>
      </w:pPr>
    </w:p>
    <w:p w14:paraId="09410696" w14:textId="30405AB0" w:rsidR="005C53E6" w:rsidRPr="00813D22" w:rsidRDefault="005C53E6" w:rsidP="007E0699">
      <w:pPr>
        <w:autoSpaceDE w:val="0"/>
        <w:autoSpaceDN w:val="0"/>
        <w:adjustRightInd w:val="0"/>
        <w:snapToGrid w:val="0"/>
        <w:spacing w:line="480" w:lineRule="auto"/>
        <w:rPr>
          <w:rFonts w:asciiTheme="majorBidi" w:hAnsiTheme="majorBidi" w:cstheme="majorBidi"/>
          <w:b/>
          <w:bCs/>
          <w:color w:val="000000"/>
          <w:lang w:val="x-none"/>
        </w:rPr>
      </w:pPr>
      <w:r w:rsidRPr="00813D22">
        <w:rPr>
          <w:rFonts w:asciiTheme="majorBidi" w:hAnsiTheme="majorBidi" w:cstheme="majorBidi"/>
          <w:b/>
          <w:bCs/>
          <w:color w:val="000000"/>
          <w:lang w:val="x-none"/>
        </w:rPr>
        <w:t>Attachment orientations</w:t>
      </w:r>
    </w:p>
    <w:p w14:paraId="600B4701" w14:textId="77777777" w:rsidR="005C53E6" w:rsidRPr="00813D22" w:rsidRDefault="005C53E6" w:rsidP="007E0699">
      <w:pPr>
        <w:autoSpaceDE w:val="0"/>
        <w:autoSpaceDN w:val="0"/>
        <w:adjustRightInd w:val="0"/>
        <w:snapToGrid w:val="0"/>
        <w:spacing w:line="480" w:lineRule="auto"/>
        <w:ind w:firstLine="720"/>
        <w:rPr>
          <w:rFonts w:asciiTheme="majorBidi" w:hAnsiTheme="majorBidi" w:cstheme="majorBidi"/>
          <w:color w:val="000000"/>
          <w:lang w:val="x-none"/>
        </w:rPr>
      </w:pPr>
      <w:r w:rsidRPr="00813D22">
        <w:rPr>
          <w:rFonts w:asciiTheme="majorBidi" w:hAnsiTheme="majorBidi" w:cstheme="majorBidi"/>
          <w:color w:val="000000"/>
          <w:lang w:val="x-none"/>
        </w:rPr>
        <w:t>Attachment orientations are shaped during infancy via intimate</w:t>
      </w:r>
      <w:r w:rsidRPr="00813D22">
        <w:rPr>
          <w:rFonts w:asciiTheme="majorBidi" w:hAnsiTheme="majorBidi" w:cstheme="majorBidi" w:hint="cs"/>
          <w:color w:val="000000"/>
          <w:rtl/>
          <w:lang w:val="x-none"/>
        </w:rPr>
        <w:t xml:space="preserve"> </w:t>
      </w:r>
      <w:r w:rsidRPr="00813D22">
        <w:rPr>
          <w:rFonts w:asciiTheme="majorBidi" w:hAnsiTheme="majorBidi" w:cstheme="majorBidi"/>
          <w:color w:val="000000"/>
          <w:lang w:val="x-none"/>
        </w:rPr>
        <w:t xml:space="preserve">interactions with caregivers in times of need (see </w:t>
      </w:r>
      <w:proofErr w:type="spellStart"/>
      <w:r w:rsidRPr="00813D22">
        <w:rPr>
          <w:rFonts w:asciiTheme="majorBidi" w:hAnsiTheme="majorBidi" w:cstheme="majorBidi"/>
          <w:color w:val="000000"/>
          <w:lang w:val="x-none"/>
        </w:rPr>
        <w:t>Mikulincer</w:t>
      </w:r>
      <w:proofErr w:type="spellEnd"/>
      <w:r w:rsidRPr="00813D22">
        <w:rPr>
          <w:rFonts w:asciiTheme="majorBidi" w:hAnsiTheme="majorBidi" w:cstheme="majorBidi"/>
          <w:color w:val="000000"/>
          <w:lang w:val="x-none"/>
        </w:rPr>
        <w:t xml:space="preserve"> &amp; Shaver, 2016, see for a detailed account). When caregivers lend support and care and the needs for comfort and security are consistently satisfied, the infant develops a secure bond toward the attachment figure (i.e., attachment security), which is characterized by a view of the self as lovable and of others as dependable. Secure people are more social and tend to develop healthy ties with family members, friends, and romantic partners. </w:t>
      </w:r>
    </w:p>
    <w:p w14:paraId="2BAFCFED" w14:textId="77777777" w:rsidR="005C53E6" w:rsidRPr="00813D22" w:rsidRDefault="005C53E6" w:rsidP="00596367">
      <w:pPr>
        <w:autoSpaceDE w:val="0"/>
        <w:autoSpaceDN w:val="0"/>
        <w:adjustRightInd w:val="0"/>
        <w:snapToGrid w:val="0"/>
        <w:spacing w:line="480" w:lineRule="auto"/>
        <w:ind w:firstLine="720"/>
        <w:rPr>
          <w:rFonts w:asciiTheme="majorBidi" w:hAnsiTheme="majorBidi" w:cstheme="majorBidi"/>
          <w:color w:val="000000"/>
          <w:lang w:val="x-none"/>
        </w:rPr>
      </w:pPr>
      <w:r w:rsidRPr="00813D22">
        <w:rPr>
          <w:rFonts w:asciiTheme="majorBidi" w:hAnsiTheme="majorBidi" w:cstheme="majorBidi"/>
          <w:color w:val="000000"/>
          <w:lang w:val="x-none"/>
        </w:rPr>
        <w:t xml:space="preserve">At times, however, parental support is insufficient and as a result, infants might develop insecure attachment orientations that are classified along two dimensions, referred to as attachment anxiety and avoidance (Brennan, Clark, &amp; Shaver, 1998; Collins, &amp; Allard, 2004). If infants’ needs are not sufficiently met by caregivers and the availability of support and care is uncertain, fear of abandonment is developed alongside an anxiety of being rejected. Individuals with this attachment orientation are called anxiously attached and are characterized by an unfulfilled hunger for affection regardless of the amount of affection they receive (Birnbaum, Reis, </w:t>
      </w:r>
      <w:proofErr w:type="spellStart"/>
      <w:r w:rsidRPr="00813D22">
        <w:rPr>
          <w:rFonts w:asciiTheme="majorBidi" w:hAnsiTheme="majorBidi" w:cstheme="majorBidi"/>
          <w:color w:val="000000"/>
          <w:lang w:val="x-none"/>
        </w:rPr>
        <w:t>Mikulincer</w:t>
      </w:r>
      <w:proofErr w:type="spellEnd"/>
      <w:r w:rsidRPr="00813D22">
        <w:rPr>
          <w:rFonts w:asciiTheme="majorBidi" w:hAnsiTheme="majorBidi" w:cstheme="majorBidi"/>
          <w:color w:val="000000"/>
          <w:lang w:val="x-none"/>
        </w:rPr>
        <w:t xml:space="preserve">, </w:t>
      </w:r>
      <w:proofErr w:type="spellStart"/>
      <w:r w:rsidRPr="00813D22">
        <w:rPr>
          <w:rFonts w:asciiTheme="majorBidi" w:hAnsiTheme="majorBidi" w:cstheme="majorBidi"/>
          <w:color w:val="000000"/>
          <w:lang w:val="x-none"/>
        </w:rPr>
        <w:t>Gillath</w:t>
      </w:r>
      <w:proofErr w:type="spellEnd"/>
      <w:r w:rsidRPr="00813D22">
        <w:rPr>
          <w:rFonts w:asciiTheme="majorBidi" w:hAnsiTheme="majorBidi" w:cstheme="majorBidi"/>
          <w:color w:val="000000"/>
          <w:lang w:val="x-none"/>
        </w:rPr>
        <w:t xml:space="preserve">, &amp; </w:t>
      </w:r>
      <w:proofErr w:type="spellStart"/>
      <w:r w:rsidRPr="00813D22">
        <w:rPr>
          <w:rFonts w:asciiTheme="majorBidi" w:hAnsiTheme="majorBidi" w:cstheme="majorBidi"/>
          <w:color w:val="000000"/>
          <w:lang w:val="x-none"/>
        </w:rPr>
        <w:t>Orpaz</w:t>
      </w:r>
      <w:proofErr w:type="spellEnd"/>
      <w:r w:rsidRPr="00813D22">
        <w:rPr>
          <w:rFonts w:asciiTheme="majorBidi" w:hAnsiTheme="majorBidi" w:cstheme="majorBidi"/>
          <w:color w:val="000000"/>
          <w:lang w:val="x-none"/>
        </w:rPr>
        <w:t xml:space="preserve"> , 2006). If infants’ needs are not fulfilled and met with cold and distancing caregiving, infants will view others as untrustworthy and undependable and develop attachment avoidance orientation. These individuals do not trust the goodwill of others and prefer to </w:t>
      </w:r>
      <w:r w:rsidRPr="00813D22">
        <w:rPr>
          <w:rFonts w:asciiTheme="majorBidi" w:hAnsiTheme="majorBidi" w:cstheme="majorBidi"/>
          <w:color w:val="000000"/>
          <w:lang w:val="x-none"/>
        </w:rPr>
        <w:lastRenderedPageBreak/>
        <w:t xml:space="preserve">emotionally distance themselves from intimate relationships (Smith, Murphy, &amp; Coats, 1999). </w:t>
      </w:r>
    </w:p>
    <w:p w14:paraId="4A406501" w14:textId="2F18F74C" w:rsidR="005D18DA" w:rsidRPr="00813D22" w:rsidRDefault="004A6871" w:rsidP="0022498C">
      <w:pPr>
        <w:autoSpaceDE w:val="0"/>
        <w:autoSpaceDN w:val="0"/>
        <w:adjustRightInd w:val="0"/>
        <w:snapToGrid w:val="0"/>
        <w:spacing w:line="480" w:lineRule="auto"/>
        <w:ind w:firstLine="720"/>
        <w:rPr>
          <w:rFonts w:asciiTheme="majorBidi" w:hAnsiTheme="majorBidi" w:cstheme="majorBidi"/>
          <w:color w:val="000000"/>
          <w:rtl/>
          <w:lang w:val="x-none"/>
        </w:rPr>
      </w:pPr>
      <w:r w:rsidRPr="00813D22">
        <w:rPr>
          <w:rFonts w:asciiTheme="majorBidi" w:hAnsiTheme="majorBidi" w:cstheme="majorBidi"/>
          <w:color w:val="000000"/>
          <w:lang w:val="x-none"/>
        </w:rPr>
        <w:t xml:space="preserve">In </w:t>
      </w:r>
      <w:r w:rsidRPr="00813D22">
        <w:rPr>
          <w:rFonts w:asciiTheme="majorBidi" w:hAnsiTheme="majorBidi" w:cstheme="majorBidi"/>
          <w:color w:val="000000"/>
        </w:rPr>
        <w:t>previous research</w:t>
      </w:r>
      <w:r w:rsidRPr="00813D22">
        <w:rPr>
          <w:rFonts w:asciiTheme="majorBidi" w:hAnsiTheme="majorBidi" w:cstheme="majorBidi"/>
          <w:color w:val="000000"/>
          <w:lang w:val="x-none"/>
        </w:rPr>
        <w:t xml:space="preserve"> the links between attachment orientations and CSBD are consistent and stronger in effect size (Efrati, 2018; Efrati &amp; Gola, 2018a; Weinstein, Katz, Eberhardt, Cohen, &amp; </w:t>
      </w:r>
      <w:proofErr w:type="spellStart"/>
      <w:r w:rsidRPr="00813D22">
        <w:rPr>
          <w:rFonts w:asciiTheme="majorBidi" w:hAnsiTheme="majorBidi" w:cstheme="majorBidi"/>
          <w:color w:val="000000"/>
          <w:lang w:val="x-none"/>
        </w:rPr>
        <w:t>Lejoyeux</w:t>
      </w:r>
      <w:proofErr w:type="spellEnd"/>
      <w:r w:rsidRPr="00813D22">
        <w:rPr>
          <w:rFonts w:asciiTheme="majorBidi" w:hAnsiTheme="majorBidi" w:cstheme="majorBidi"/>
          <w:color w:val="000000"/>
          <w:lang w:val="x-none"/>
        </w:rPr>
        <w:t xml:space="preserve">, 2015; Zapf, Greiner, &amp; Carroll, 2008; Gilliland, Star, Hansen &amp; Carpenter, 2015; Crocker, 2015; Giordano, Cashwell, Lankford, King, &amp; Henson, 2017; </w:t>
      </w:r>
      <w:proofErr w:type="spellStart"/>
      <w:r w:rsidRPr="00813D22">
        <w:rPr>
          <w:rFonts w:asciiTheme="majorBidi" w:hAnsiTheme="majorBidi" w:cstheme="majorBidi"/>
          <w:color w:val="000000"/>
          <w:lang w:val="x-none"/>
        </w:rPr>
        <w:t>Ciocca</w:t>
      </w:r>
      <w:proofErr w:type="spellEnd"/>
      <w:r w:rsidRPr="00813D22">
        <w:rPr>
          <w:rFonts w:asciiTheme="majorBidi" w:hAnsiTheme="majorBidi" w:cstheme="majorBidi"/>
          <w:color w:val="000000"/>
          <w:lang w:val="x-none"/>
        </w:rPr>
        <w:t xml:space="preserve"> et al., 2021; </w:t>
      </w:r>
      <w:proofErr w:type="spellStart"/>
      <w:r w:rsidRPr="00813D22">
        <w:rPr>
          <w:rFonts w:asciiTheme="majorBidi" w:hAnsiTheme="majorBidi" w:cstheme="majorBidi"/>
          <w:color w:val="000000"/>
          <w:lang w:val="x-none"/>
        </w:rPr>
        <w:t>Kircaburun</w:t>
      </w:r>
      <w:proofErr w:type="spellEnd"/>
      <w:r w:rsidRPr="00813D22">
        <w:rPr>
          <w:rFonts w:asciiTheme="majorBidi" w:hAnsiTheme="majorBidi" w:cstheme="majorBidi"/>
          <w:color w:val="000000"/>
          <w:lang w:val="x-none"/>
        </w:rPr>
        <w:t xml:space="preserve"> et al., 2021; Efrati, &amp; </w:t>
      </w:r>
      <w:proofErr w:type="spellStart"/>
      <w:r w:rsidRPr="00813D22">
        <w:rPr>
          <w:rFonts w:asciiTheme="majorBidi" w:hAnsiTheme="majorBidi" w:cstheme="majorBidi"/>
          <w:color w:val="000000"/>
          <w:lang w:val="x-none"/>
        </w:rPr>
        <w:t>Amichai</w:t>
      </w:r>
      <w:proofErr w:type="spellEnd"/>
      <w:r w:rsidRPr="00813D22">
        <w:rPr>
          <w:rFonts w:asciiTheme="majorBidi" w:hAnsiTheme="majorBidi" w:cstheme="majorBidi"/>
          <w:color w:val="000000"/>
          <w:lang w:val="x-none"/>
        </w:rPr>
        <w:t xml:space="preserve">-Hamburger, 2021). Specifically, attachment insecurity (both anxiety and avoidance) relates to greater likelihood of CSBD and higher symptoms severity of CSBD. Thus, it seems that attachment insecurity that relates to various social dysfunctions, greater distress and emotion dysregulation, is a predisposition for CSBD. </w:t>
      </w:r>
      <w:r w:rsidR="005C53E6" w:rsidRPr="00813D22">
        <w:t xml:space="preserve">Therefore, </w:t>
      </w:r>
      <w:r w:rsidR="006E38EB" w:rsidRPr="00813D22">
        <w:rPr>
          <w:rFonts w:asciiTheme="majorBidi" w:hAnsiTheme="majorBidi" w:cstheme="majorBidi"/>
          <w:color w:val="000000" w:themeColor="text1"/>
        </w:rPr>
        <w:t>the second aim of the current study</w:t>
      </w:r>
      <w:r w:rsidR="006E38EB" w:rsidRPr="00813D22">
        <w:rPr>
          <w:rFonts w:asciiTheme="majorBidi" w:hAnsiTheme="majorBidi" w:cstheme="majorBidi"/>
          <w:color w:val="000000"/>
          <w:lang w:val="x-none"/>
        </w:rPr>
        <w:t xml:space="preserve"> is to examine</w:t>
      </w:r>
      <w:r w:rsidR="006E38EB" w:rsidRPr="00813D22">
        <w:t xml:space="preserve"> </w:t>
      </w:r>
      <w:r w:rsidR="005C53E6" w:rsidRPr="00813D22">
        <w:t>attachment insecurities have transdiagnostic characteristics (Ein-</w:t>
      </w:r>
      <w:proofErr w:type="spellStart"/>
      <w:r w:rsidR="005C53E6" w:rsidRPr="00813D22">
        <w:t>Dor</w:t>
      </w:r>
      <w:proofErr w:type="spellEnd"/>
      <w:r w:rsidR="005C53E6" w:rsidRPr="00813D22">
        <w:t xml:space="preserve"> &amp; Doron, 2015; Ein-</w:t>
      </w:r>
      <w:proofErr w:type="spellStart"/>
      <w:r w:rsidR="005C53E6" w:rsidRPr="00813D22">
        <w:t>Dor</w:t>
      </w:r>
      <w:proofErr w:type="spellEnd"/>
      <w:r w:rsidR="005C53E6" w:rsidRPr="00813D22">
        <w:t xml:space="preserve">, </w:t>
      </w:r>
      <w:proofErr w:type="spellStart"/>
      <w:r w:rsidR="005C53E6" w:rsidRPr="00813D22">
        <w:t>Viglin</w:t>
      </w:r>
      <w:proofErr w:type="spellEnd"/>
      <w:r w:rsidR="005C53E6" w:rsidRPr="00813D22">
        <w:t xml:space="preserve">, &amp; Doron, 2016) and should be explored as they related to CSBD. </w:t>
      </w:r>
    </w:p>
    <w:p w14:paraId="7D9EF63E" w14:textId="77777777" w:rsidR="0022498C" w:rsidRPr="00813D22" w:rsidRDefault="0022498C" w:rsidP="0022498C">
      <w:pPr>
        <w:spacing w:line="480" w:lineRule="auto"/>
        <w:rPr>
          <w:rFonts w:asciiTheme="majorBidi" w:hAnsiTheme="majorBidi" w:cstheme="majorBidi"/>
          <w:b/>
          <w:bCs/>
        </w:rPr>
      </w:pPr>
    </w:p>
    <w:p w14:paraId="3863B0F4" w14:textId="24AF8C1D" w:rsidR="00934903" w:rsidRPr="00813D22" w:rsidRDefault="00934903" w:rsidP="0022498C">
      <w:pPr>
        <w:spacing w:line="480" w:lineRule="auto"/>
        <w:rPr>
          <w:rFonts w:asciiTheme="majorBidi" w:hAnsiTheme="majorBidi" w:cstheme="majorBidi"/>
          <w:b/>
          <w:bCs/>
        </w:rPr>
      </w:pPr>
      <w:r w:rsidRPr="00813D22">
        <w:rPr>
          <w:rFonts w:asciiTheme="majorBidi" w:hAnsiTheme="majorBidi" w:cstheme="majorBidi"/>
          <w:b/>
          <w:bCs/>
        </w:rPr>
        <w:t>Cognitive-related process</w:t>
      </w:r>
      <w:r w:rsidR="006E67BC" w:rsidRPr="00813D22">
        <w:rPr>
          <w:rFonts w:asciiTheme="majorBidi" w:hAnsiTheme="majorBidi" w:cstheme="majorBidi"/>
          <w:b/>
          <w:bCs/>
          <w:color w:val="000000" w:themeColor="text1"/>
        </w:rPr>
        <w:t xml:space="preserve">: </w:t>
      </w:r>
      <w:r w:rsidR="006E67BC" w:rsidRPr="00813D22">
        <w:rPr>
          <w:b/>
          <w:bCs/>
        </w:rPr>
        <w:t>Rumination</w:t>
      </w:r>
      <w:r w:rsidR="006E67BC" w:rsidRPr="00813D22">
        <w:rPr>
          <w:rFonts w:asciiTheme="majorBidi" w:hAnsiTheme="majorBidi" w:cstheme="majorBidi"/>
          <w:b/>
          <w:bCs/>
          <w:color w:val="000000"/>
        </w:rPr>
        <w:t xml:space="preserve"> and Cognitive emotional regulation</w:t>
      </w:r>
    </w:p>
    <w:p w14:paraId="5CB8FC03" w14:textId="214FC8C8" w:rsidR="00934903" w:rsidRPr="00813D22" w:rsidRDefault="00934903" w:rsidP="0022498C">
      <w:pPr>
        <w:autoSpaceDE w:val="0"/>
        <w:autoSpaceDN w:val="0"/>
        <w:adjustRightInd w:val="0"/>
        <w:snapToGrid w:val="0"/>
        <w:spacing w:line="480" w:lineRule="auto"/>
        <w:ind w:firstLine="720"/>
      </w:pPr>
      <w:r w:rsidRPr="00813D22">
        <w:t xml:space="preserve">Although thought personality </w:t>
      </w:r>
      <w:r w:rsidR="00DA6755" w:rsidRPr="00813D22">
        <w:t>disposition and attachment orientation a</w:t>
      </w:r>
      <w:r w:rsidRPr="00813D22">
        <w:t xml:space="preserve"> have been highlighted as important in the prediction of </w:t>
      </w:r>
      <w:r w:rsidR="00DA6755" w:rsidRPr="00813D22">
        <w:t>CSBD</w:t>
      </w:r>
      <w:r w:rsidRPr="00813D22">
        <w:t xml:space="preserve"> among adults, limited</w:t>
      </w:r>
      <w:r w:rsidR="00DA6755" w:rsidRPr="00813D22">
        <w:t xml:space="preserve"> </w:t>
      </w:r>
      <w:r w:rsidRPr="00813D22">
        <w:t xml:space="preserve">studies have been undertaken on exploring the correlates of </w:t>
      </w:r>
      <w:r w:rsidR="00DA6755" w:rsidRPr="00813D22">
        <w:t>personality disposition and attachment orientation</w:t>
      </w:r>
      <w:r w:rsidRPr="00813D22">
        <w:t xml:space="preserve">, especially among adolescents. In this research, </w:t>
      </w:r>
      <w:r w:rsidR="00964071" w:rsidRPr="00813D22">
        <w:t xml:space="preserve">I </w:t>
      </w:r>
      <w:r w:rsidRPr="00813D22">
        <w:t>examine one key factor</w:t>
      </w:r>
      <w:r w:rsidR="00DA6755" w:rsidRPr="00813D22">
        <w:t xml:space="preserve"> </w:t>
      </w:r>
      <w:r w:rsidRPr="00813D22">
        <w:t xml:space="preserve">that might be associated with </w:t>
      </w:r>
      <w:r w:rsidR="00DA6755" w:rsidRPr="00813D22">
        <w:t xml:space="preserve">personality disposition and attachment orientation </w:t>
      </w:r>
      <w:r w:rsidRPr="00813D22">
        <w:t>—</w:t>
      </w:r>
      <w:r w:rsidR="00DA6755" w:rsidRPr="00813D22">
        <w:t xml:space="preserve"> rumination and </w:t>
      </w:r>
      <w:r w:rsidR="00A82819" w:rsidRPr="00813D22">
        <w:t>c</w:t>
      </w:r>
      <w:r w:rsidR="00DA6755" w:rsidRPr="00813D22">
        <w:t>ognitive emotional regulation</w:t>
      </w:r>
      <w:r w:rsidRPr="00813D22">
        <w:t>.</w:t>
      </w:r>
    </w:p>
    <w:p w14:paraId="668BC840" w14:textId="45BE5FF7" w:rsidR="00934903" w:rsidRPr="00671A78" w:rsidRDefault="00934903" w:rsidP="0069773D">
      <w:pPr>
        <w:autoSpaceDE w:val="0"/>
        <w:autoSpaceDN w:val="0"/>
        <w:adjustRightInd w:val="0"/>
        <w:snapToGrid w:val="0"/>
        <w:spacing w:line="480" w:lineRule="auto"/>
        <w:ind w:firstLine="720"/>
        <w:rPr>
          <w:rFonts w:asciiTheme="majorBidi" w:hAnsiTheme="majorBidi" w:cstheme="majorBidi"/>
          <w:color w:val="000000"/>
        </w:rPr>
      </w:pPr>
      <w:r w:rsidRPr="00813D22">
        <w:rPr>
          <w:rFonts w:asciiTheme="majorBidi" w:hAnsiTheme="majorBidi" w:cstheme="majorBidi"/>
          <w:color w:val="000000"/>
        </w:rPr>
        <w:lastRenderedPageBreak/>
        <w:t xml:space="preserve">Rumination is the tendency to repeatedly analyze one’s problems, concerns, and feelings of distress without taking action to rectify them (Nolen-Hoeksema, 1991; Watkins, 2008; Nolen-Hoeksema &amp; Watkins, 2011). The literature (as reviewed in </w:t>
      </w:r>
      <w:proofErr w:type="spellStart"/>
      <w:r w:rsidRPr="00813D22">
        <w:rPr>
          <w:rFonts w:asciiTheme="majorBidi" w:hAnsiTheme="majorBidi" w:cstheme="majorBidi"/>
          <w:color w:val="000000"/>
        </w:rPr>
        <w:t>Ehring</w:t>
      </w:r>
      <w:proofErr w:type="spellEnd"/>
      <w:r w:rsidRPr="00813D22">
        <w:rPr>
          <w:rFonts w:asciiTheme="majorBidi" w:hAnsiTheme="majorBidi" w:cstheme="majorBidi"/>
          <w:color w:val="000000"/>
        </w:rPr>
        <w:t xml:space="preserve"> &amp; Watkins, 2008) and a meta-analysis (</w:t>
      </w:r>
      <w:proofErr w:type="spellStart"/>
      <w:r w:rsidRPr="00813D22">
        <w:rPr>
          <w:rFonts w:asciiTheme="majorBidi" w:hAnsiTheme="majorBidi" w:cstheme="majorBidi"/>
          <w:color w:val="000000"/>
        </w:rPr>
        <w:t>Aldao</w:t>
      </w:r>
      <w:proofErr w:type="spellEnd"/>
      <w:r w:rsidRPr="00813D22">
        <w:rPr>
          <w:rFonts w:asciiTheme="majorBidi" w:hAnsiTheme="majorBidi" w:cstheme="majorBidi"/>
          <w:color w:val="000000"/>
        </w:rPr>
        <w:t xml:space="preserve">, </w:t>
      </w:r>
      <w:r w:rsidRPr="00813D22">
        <w:rPr>
          <w:rFonts w:cstheme="majorBidi"/>
          <w:color w:val="000000"/>
          <w:lang w:val="x-none"/>
        </w:rPr>
        <w:t>Nolen-Hoeksema, &amp; Schweizer</w:t>
      </w:r>
      <w:r w:rsidRPr="00813D22">
        <w:rPr>
          <w:rFonts w:asciiTheme="majorBidi" w:hAnsiTheme="majorBidi" w:cstheme="majorBidi"/>
          <w:color w:val="000000"/>
        </w:rPr>
        <w:t xml:space="preserve">, 2010) show that rumination predicts a number of types of </w:t>
      </w:r>
      <w:proofErr w:type="gramStart"/>
      <w:r w:rsidRPr="00813D22">
        <w:rPr>
          <w:rFonts w:asciiTheme="majorBidi" w:hAnsiTheme="majorBidi" w:cstheme="majorBidi"/>
          <w:color w:val="000000"/>
        </w:rPr>
        <w:t>psychopathology</w:t>
      </w:r>
      <w:proofErr w:type="gramEnd"/>
      <w:r w:rsidRPr="00813D22">
        <w:rPr>
          <w:rFonts w:asciiTheme="majorBidi" w:hAnsiTheme="majorBidi" w:cstheme="majorBidi"/>
          <w:color w:val="000000"/>
        </w:rPr>
        <w:t xml:space="preserve"> (i.e., it demonstrates </w:t>
      </w:r>
      <w:proofErr w:type="spellStart"/>
      <w:r w:rsidRPr="00813D22">
        <w:rPr>
          <w:rFonts w:asciiTheme="majorBidi" w:hAnsiTheme="majorBidi" w:cstheme="majorBidi"/>
          <w:color w:val="000000"/>
        </w:rPr>
        <w:t>multifinality</w:t>
      </w:r>
      <w:proofErr w:type="spellEnd"/>
      <w:r w:rsidRPr="00813D22">
        <w:rPr>
          <w:rFonts w:asciiTheme="majorBidi" w:hAnsiTheme="majorBidi" w:cstheme="majorBidi"/>
          <w:color w:val="000000"/>
        </w:rPr>
        <w:t xml:space="preserve">), as well as prospectively predicting symptoms and diagnoses of major depression (see meta-analyses by </w:t>
      </w:r>
      <w:proofErr w:type="spellStart"/>
      <w:r w:rsidRPr="00813D22">
        <w:rPr>
          <w:rFonts w:asciiTheme="majorBidi" w:hAnsiTheme="majorBidi" w:cstheme="majorBidi"/>
          <w:color w:val="000000"/>
        </w:rPr>
        <w:t>Aldao</w:t>
      </w:r>
      <w:proofErr w:type="spellEnd"/>
      <w:r w:rsidRPr="00813D22">
        <w:rPr>
          <w:rFonts w:asciiTheme="majorBidi" w:hAnsiTheme="majorBidi" w:cstheme="majorBidi"/>
          <w:color w:val="000000"/>
        </w:rPr>
        <w:t xml:space="preserve"> et al., 2010</w:t>
      </w:r>
      <w:r w:rsidR="00512D12" w:rsidRPr="00813D22">
        <w:rPr>
          <w:rFonts w:asciiTheme="majorBidi" w:hAnsiTheme="majorBidi" w:cstheme="majorBidi"/>
          <w:color w:val="000000"/>
        </w:rPr>
        <w:t xml:space="preserve">; </w:t>
      </w:r>
      <w:r w:rsidR="00164DB0" w:rsidRPr="00813D22">
        <w:rPr>
          <w:rFonts w:ascii="Arial" w:hAnsi="Arial" w:cs="Arial"/>
          <w:color w:val="222222"/>
          <w:sz w:val="20"/>
          <w:szCs w:val="20"/>
          <w:shd w:val="clear" w:color="auto" w:fill="FFFFFF"/>
        </w:rPr>
        <w:t>Luca, 2019</w:t>
      </w:r>
      <w:r w:rsidRPr="00813D22">
        <w:rPr>
          <w:rFonts w:asciiTheme="majorBidi" w:hAnsiTheme="majorBidi" w:cstheme="majorBidi"/>
          <w:color w:val="000000"/>
        </w:rPr>
        <w:t>). Symptoms of anxiety</w:t>
      </w:r>
      <w:r w:rsidR="00633372" w:rsidRPr="00813D22">
        <w:rPr>
          <w:rFonts w:asciiTheme="majorBidi" w:hAnsiTheme="majorBidi" w:cstheme="majorBidi"/>
          <w:color w:val="000000"/>
        </w:rPr>
        <w:t xml:space="preserve"> (</w:t>
      </w:r>
      <w:proofErr w:type="spellStart"/>
      <w:r w:rsidR="00633372" w:rsidRPr="00813D22">
        <w:rPr>
          <w:rFonts w:ascii="Arial" w:hAnsi="Arial" w:cs="Arial"/>
          <w:color w:val="222222"/>
          <w:sz w:val="20"/>
          <w:szCs w:val="20"/>
          <w:shd w:val="clear" w:color="auto" w:fill="FFFFFF"/>
        </w:rPr>
        <w:t>Gustavson</w:t>
      </w:r>
      <w:proofErr w:type="spellEnd"/>
      <w:r w:rsidR="00633372" w:rsidRPr="00813D22">
        <w:rPr>
          <w:rFonts w:ascii="Arial" w:hAnsi="Arial" w:cs="Arial"/>
          <w:color w:val="222222"/>
          <w:sz w:val="20"/>
          <w:szCs w:val="20"/>
          <w:shd w:val="clear" w:color="auto" w:fill="FFFFFF"/>
        </w:rPr>
        <w:t xml:space="preserve"> et al., 2018)</w:t>
      </w:r>
      <w:r w:rsidRPr="00813D22">
        <w:rPr>
          <w:rFonts w:asciiTheme="majorBidi" w:hAnsiTheme="majorBidi" w:cstheme="majorBidi"/>
          <w:color w:val="000000"/>
        </w:rPr>
        <w:t>, substance abuse</w:t>
      </w:r>
      <w:r w:rsidR="0031746E" w:rsidRPr="00813D22">
        <w:rPr>
          <w:rFonts w:asciiTheme="majorBidi" w:hAnsiTheme="majorBidi" w:cstheme="majorBidi"/>
          <w:color w:val="000000"/>
        </w:rPr>
        <w:t xml:space="preserve"> (Moreno-</w:t>
      </w:r>
      <w:proofErr w:type="spellStart"/>
      <w:r w:rsidR="0031746E" w:rsidRPr="00813D22">
        <w:rPr>
          <w:rFonts w:asciiTheme="majorBidi" w:hAnsiTheme="majorBidi" w:cstheme="majorBidi"/>
          <w:color w:val="000000"/>
        </w:rPr>
        <w:t>Mansilla</w:t>
      </w:r>
      <w:proofErr w:type="spellEnd"/>
      <w:r w:rsidR="0031746E" w:rsidRPr="00813D22">
        <w:rPr>
          <w:rFonts w:asciiTheme="majorBidi" w:hAnsiTheme="majorBidi" w:cstheme="majorBidi"/>
          <w:color w:val="000000"/>
        </w:rPr>
        <w:t xml:space="preserve"> et al., 2021; </w:t>
      </w:r>
      <w:proofErr w:type="spellStart"/>
      <w:r w:rsidR="0031746E" w:rsidRPr="00813D22">
        <w:rPr>
          <w:rFonts w:ascii="Arial" w:hAnsi="Arial" w:cs="Arial"/>
          <w:color w:val="222222"/>
          <w:sz w:val="20"/>
          <w:szCs w:val="20"/>
          <w:shd w:val="clear" w:color="auto" w:fill="FFFFFF"/>
        </w:rPr>
        <w:t>Memedovic</w:t>
      </w:r>
      <w:proofErr w:type="spellEnd"/>
      <w:r w:rsidR="0031746E" w:rsidRPr="00813D22">
        <w:rPr>
          <w:rFonts w:ascii="Arial" w:hAnsi="Arial" w:cs="Arial"/>
          <w:color w:val="222222"/>
          <w:sz w:val="20"/>
          <w:szCs w:val="20"/>
          <w:shd w:val="clear" w:color="auto" w:fill="FFFFFF"/>
        </w:rPr>
        <w:t xml:space="preserve"> et al., 2019</w:t>
      </w:r>
      <w:r w:rsidR="0031746E" w:rsidRPr="00813D22">
        <w:rPr>
          <w:rFonts w:asciiTheme="majorBidi" w:hAnsiTheme="majorBidi" w:cstheme="majorBidi"/>
          <w:color w:val="000000"/>
        </w:rPr>
        <w:t>)</w:t>
      </w:r>
      <w:r w:rsidRPr="00813D22">
        <w:rPr>
          <w:rFonts w:asciiTheme="majorBidi" w:hAnsiTheme="majorBidi" w:cstheme="majorBidi"/>
          <w:color w:val="000000"/>
        </w:rPr>
        <w:t>, alcohol use</w:t>
      </w:r>
      <w:r w:rsidR="006723CD" w:rsidRPr="00813D22">
        <w:rPr>
          <w:rFonts w:asciiTheme="majorBidi" w:hAnsiTheme="majorBidi" w:cstheme="majorBidi"/>
          <w:color w:val="000000"/>
        </w:rPr>
        <w:t xml:space="preserve"> (</w:t>
      </w:r>
      <w:proofErr w:type="spellStart"/>
      <w:r w:rsidR="006723CD" w:rsidRPr="00813D22">
        <w:rPr>
          <w:rFonts w:ascii="Arial" w:hAnsi="Arial" w:cs="Arial"/>
          <w:color w:val="222222"/>
          <w:sz w:val="20"/>
          <w:szCs w:val="20"/>
          <w:shd w:val="clear" w:color="auto" w:fill="FFFFFF"/>
        </w:rPr>
        <w:t>Mollaahmetoglu</w:t>
      </w:r>
      <w:proofErr w:type="spellEnd"/>
      <w:r w:rsidR="006723CD" w:rsidRPr="00813D22">
        <w:rPr>
          <w:rFonts w:ascii="Arial" w:hAnsi="Arial" w:cs="Arial"/>
          <w:color w:val="222222"/>
          <w:sz w:val="20"/>
          <w:szCs w:val="20"/>
          <w:shd w:val="clear" w:color="auto" w:fill="FFFFFF"/>
        </w:rPr>
        <w:t xml:space="preserve"> et al., 2021)</w:t>
      </w:r>
      <w:r w:rsidRPr="00813D22">
        <w:rPr>
          <w:rFonts w:asciiTheme="majorBidi" w:hAnsiTheme="majorBidi" w:cstheme="majorBidi"/>
          <w:color w:val="000000"/>
        </w:rPr>
        <w:t>, and eating disorders are also predicted by rumination (</w:t>
      </w:r>
      <w:proofErr w:type="spellStart"/>
      <w:r w:rsidRPr="00813D22">
        <w:rPr>
          <w:rFonts w:asciiTheme="majorBidi" w:hAnsiTheme="majorBidi" w:cstheme="majorBidi"/>
          <w:color w:val="000000"/>
        </w:rPr>
        <w:t>Aldao</w:t>
      </w:r>
      <w:proofErr w:type="spellEnd"/>
      <w:r w:rsidRPr="00813D22">
        <w:rPr>
          <w:rFonts w:asciiTheme="majorBidi" w:hAnsiTheme="majorBidi" w:cstheme="majorBidi"/>
          <w:color w:val="000000"/>
        </w:rPr>
        <w:t xml:space="preserve"> et al., 2010; Caselli et al., 2010; Nolen-Hoeksema, </w:t>
      </w:r>
      <w:proofErr w:type="spellStart"/>
      <w:r w:rsidRPr="00813D22">
        <w:rPr>
          <w:rFonts w:asciiTheme="majorBidi" w:hAnsiTheme="majorBidi" w:cstheme="majorBidi"/>
          <w:color w:val="000000"/>
        </w:rPr>
        <w:t>Stice</w:t>
      </w:r>
      <w:proofErr w:type="spellEnd"/>
      <w:r w:rsidRPr="00813D22">
        <w:rPr>
          <w:rFonts w:asciiTheme="majorBidi" w:hAnsiTheme="majorBidi" w:cstheme="majorBidi"/>
          <w:color w:val="000000"/>
        </w:rPr>
        <w:t xml:space="preserve">, Wade, &amp; </w:t>
      </w:r>
      <w:proofErr w:type="spellStart"/>
      <w:r w:rsidRPr="00813D22">
        <w:rPr>
          <w:rFonts w:asciiTheme="majorBidi" w:hAnsiTheme="majorBidi" w:cstheme="majorBidi"/>
          <w:color w:val="000000"/>
        </w:rPr>
        <w:t>Bohon</w:t>
      </w:r>
      <w:proofErr w:type="spellEnd"/>
      <w:r w:rsidRPr="00813D22">
        <w:rPr>
          <w:rFonts w:asciiTheme="majorBidi" w:hAnsiTheme="majorBidi" w:cstheme="majorBidi"/>
          <w:color w:val="000000"/>
        </w:rPr>
        <w:t>, 2007).</w:t>
      </w:r>
      <w:r w:rsidRPr="00813D22">
        <w:rPr>
          <w:rFonts w:asciiTheme="majorBidi" w:hAnsiTheme="majorBidi" w:cstheme="majorBidi"/>
          <w:color w:val="000000"/>
          <w:sz w:val="15"/>
          <w:lang w:val="x-none"/>
        </w:rPr>
        <w:t xml:space="preserve"> </w:t>
      </w:r>
      <w:r w:rsidRPr="00813D22">
        <w:rPr>
          <w:rFonts w:asciiTheme="majorBidi" w:hAnsiTheme="majorBidi" w:cstheme="majorBidi"/>
          <w:color w:val="000000"/>
          <w:lang w:val="x-none"/>
        </w:rPr>
        <w:t>Th</w:t>
      </w:r>
      <w:r w:rsidRPr="00813D22">
        <w:rPr>
          <w:rFonts w:asciiTheme="majorBidi" w:hAnsiTheme="majorBidi" w:cstheme="majorBidi"/>
          <w:color w:val="000000"/>
        </w:rPr>
        <w:t>us,</w:t>
      </w:r>
      <w:r w:rsidRPr="00813D22">
        <w:rPr>
          <w:rFonts w:asciiTheme="majorBidi" w:hAnsiTheme="majorBidi" w:cstheme="majorBidi"/>
          <w:color w:val="000000"/>
          <w:lang w:val="x-none"/>
        </w:rPr>
        <w:t xml:space="preserve"> rumination is a transdiagnostic</w:t>
      </w:r>
      <w:r w:rsidRPr="00813D22">
        <w:rPr>
          <w:rFonts w:asciiTheme="majorBidi" w:hAnsiTheme="majorBidi" w:cstheme="majorBidi"/>
          <w:color w:val="000000"/>
        </w:rPr>
        <w:t xml:space="preserve"> </w:t>
      </w:r>
      <w:r w:rsidRPr="00813D22">
        <w:rPr>
          <w:rFonts w:asciiTheme="majorBidi" w:hAnsiTheme="majorBidi" w:cstheme="majorBidi"/>
          <w:color w:val="000000"/>
          <w:lang w:val="x-none"/>
        </w:rPr>
        <w:t>factor involved in the development and maintenance of negative</w:t>
      </w:r>
      <w:r w:rsidRPr="00813D22">
        <w:rPr>
          <w:rFonts w:asciiTheme="majorBidi" w:hAnsiTheme="majorBidi" w:cstheme="majorBidi"/>
          <w:color w:val="000000"/>
        </w:rPr>
        <w:t xml:space="preserve"> </w:t>
      </w:r>
      <w:r w:rsidRPr="00813D22">
        <w:rPr>
          <w:rFonts w:asciiTheme="majorBidi" w:hAnsiTheme="majorBidi" w:cstheme="majorBidi"/>
          <w:color w:val="000000"/>
          <w:lang w:val="x-none"/>
        </w:rPr>
        <w:t>affect associated with various emotional disorders.</w:t>
      </w:r>
      <w:r w:rsidR="00A82819" w:rsidRPr="00813D22">
        <w:rPr>
          <w:rFonts w:asciiTheme="majorBidi" w:hAnsiTheme="majorBidi" w:cstheme="majorBidi"/>
          <w:color w:val="000000"/>
          <w:lang w:val="x-none"/>
        </w:rPr>
        <w:t xml:space="preserve"> </w:t>
      </w:r>
      <w:r w:rsidR="00A653A8" w:rsidRPr="00813D22">
        <w:rPr>
          <w:rFonts w:asciiTheme="majorBidi" w:hAnsiTheme="majorBidi" w:cstheme="majorBidi"/>
          <w:color w:val="000000"/>
        </w:rPr>
        <w:t>Therefore, I</w:t>
      </w:r>
      <w:r w:rsidR="00A82819" w:rsidRPr="00813D22">
        <w:rPr>
          <w:rFonts w:asciiTheme="majorBidi" w:hAnsiTheme="majorBidi" w:cstheme="majorBidi"/>
          <w:color w:val="000000"/>
          <w:lang w:val="x-none"/>
        </w:rPr>
        <w:t xml:space="preserve"> hypothesized that</w:t>
      </w:r>
      <w:r w:rsidR="00A82819" w:rsidRPr="00813D22">
        <w:rPr>
          <w:rFonts w:asciiTheme="majorBidi" w:hAnsiTheme="majorBidi" w:cstheme="majorBidi"/>
          <w:color w:val="000000"/>
        </w:rPr>
        <w:t xml:space="preserve"> a</w:t>
      </w:r>
      <w:r w:rsidRPr="00813D22">
        <w:rPr>
          <w:rFonts w:asciiTheme="majorBidi" w:hAnsiTheme="majorBidi" w:cstheme="majorBidi"/>
          <w:color w:val="000000"/>
        </w:rPr>
        <w:t xml:space="preserve">dolescents </w:t>
      </w:r>
      <w:r w:rsidRPr="00813D22">
        <w:rPr>
          <w:rFonts w:asciiTheme="majorBidi" w:hAnsiTheme="majorBidi" w:cstheme="majorBidi"/>
          <w:color w:val="000000"/>
          <w:lang w:val="x-none"/>
        </w:rPr>
        <w:t>who</w:t>
      </w:r>
      <w:r w:rsidRPr="00813D22">
        <w:rPr>
          <w:rFonts w:asciiTheme="majorBidi" w:hAnsiTheme="majorBidi" w:cstheme="majorBidi"/>
          <w:color w:val="000000"/>
          <w:rtl/>
          <w:lang w:val="x-none"/>
        </w:rPr>
        <w:t xml:space="preserve"> </w:t>
      </w:r>
      <w:r w:rsidRPr="00813D22">
        <w:rPr>
          <w:rFonts w:asciiTheme="majorBidi" w:hAnsiTheme="majorBidi" w:cstheme="majorBidi"/>
          <w:color w:val="000000"/>
          <w:lang w:val="x-none"/>
        </w:rPr>
        <w:t xml:space="preserve">are highly aware of </w:t>
      </w:r>
      <w:r w:rsidRPr="00813D22">
        <w:rPr>
          <w:rFonts w:asciiTheme="majorBidi" w:hAnsiTheme="majorBidi" w:cstheme="majorBidi"/>
          <w:color w:val="000000"/>
        </w:rPr>
        <w:t xml:space="preserve">the </w:t>
      </w:r>
      <w:r w:rsidRPr="00813D22">
        <w:rPr>
          <w:rFonts w:asciiTheme="majorBidi" w:hAnsiTheme="majorBidi" w:cstheme="majorBidi"/>
          <w:color w:val="000000"/>
          <w:lang w:val="x-none"/>
        </w:rPr>
        <w:t>aversive aspects of themselves and their</w:t>
      </w:r>
      <w:r w:rsidRPr="00813D22">
        <w:rPr>
          <w:rFonts w:asciiTheme="majorBidi" w:hAnsiTheme="majorBidi" w:cstheme="majorBidi"/>
          <w:color w:val="000000"/>
          <w:rtl/>
          <w:lang w:val="x-none"/>
        </w:rPr>
        <w:t xml:space="preserve"> </w:t>
      </w:r>
      <w:r w:rsidRPr="00813D22">
        <w:rPr>
          <w:rFonts w:asciiTheme="majorBidi" w:hAnsiTheme="majorBidi" w:cstheme="majorBidi"/>
          <w:color w:val="000000"/>
          <w:lang w:val="x-none"/>
        </w:rPr>
        <w:t>experiences</w:t>
      </w:r>
      <w:r w:rsidRPr="00813D22">
        <w:rPr>
          <w:rFonts w:asciiTheme="majorBidi" w:hAnsiTheme="majorBidi" w:cstheme="majorBidi"/>
          <w:color w:val="000000"/>
        </w:rPr>
        <w:t xml:space="preserve"> (</w:t>
      </w:r>
      <w:r w:rsidRPr="00813D22">
        <w:rPr>
          <w:rFonts w:asciiTheme="majorBidi" w:hAnsiTheme="majorBidi" w:cstheme="majorBidi"/>
          <w:color w:val="000000"/>
          <w:lang w:val="x-none"/>
        </w:rPr>
        <w:t xml:space="preserve">as are </w:t>
      </w:r>
      <w:r w:rsidRPr="00813D22">
        <w:rPr>
          <w:rFonts w:asciiTheme="majorBidi" w:hAnsiTheme="majorBidi" w:cstheme="majorBidi"/>
          <w:color w:val="000000"/>
        </w:rPr>
        <w:t>adolescents</w:t>
      </w:r>
      <w:r w:rsidRPr="00813D22">
        <w:rPr>
          <w:rFonts w:asciiTheme="majorBidi" w:hAnsiTheme="majorBidi" w:cstheme="majorBidi"/>
          <w:color w:val="000000"/>
          <w:lang w:val="x-none"/>
        </w:rPr>
        <w:t xml:space="preserve"> who ruminate</w:t>
      </w:r>
      <w:r w:rsidRPr="00813D22">
        <w:rPr>
          <w:rFonts w:asciiTheme="majorBidi" w:hAnsiTheme="majorBidi" w:cstheme="majorBidi"/>
          <w:color w:val="000000"/>
        </w:rPr>
        <w:t>)</w:t>
      </w:r>
      <w:r w:rsidRPr="00813D22">
        <w:rPr>
          <w:rFonts w:asciiTheme="majorBidi" w:hAnsiTheme="majorBidi" w:cstheme="majorBidi"/>
          <w:color w:val="000000"/>
          <w:lang w:val="x-none"/>
        </w:rPr>
        <w:t>, turn to escapist</w:t>
      </w:r>
      <w:r w:rsidRPr="00813D22">
        <w:rPr>
          <w:rFonts w:asciiTheme="majorBidi" w:hAnsiTheme="majorBidi" w:cstheme="majorBidi"/>
          <w:color w:val="000000"/>
          <w:rtl/>
          <w:lang w:val="x-none"/>
        </w:rPr>
        <w:t xml:space="preserve"> </w:t>
      </w:r>
      <w:r w:rsidRPr="00813D22">
        <w:rPr>
          <w:rFonts w:asciiTheme="majorBidi" w:hAnsiTheme="majorBidi" w:cstheme="majorBidi"/>
          <w:color w:val="000000"/>
          <w:lang w:val="x-none"/>
        </w:rPr>
        <w:t xml:space="preserve">behaviors such as </w:t>
      </w:r>
      <w:r w:rsidR="00FA7298" w:rsidRPr="00813D22">
        <w:rPr>
          <w:rFonts w:asciiTheme="majorBidi" w:hAnsiTheme="majorBidi" w:cstheme="majorBidi"/>
          <w:color w:val="000000"/>
        </w:rPr>
        <w:t>CSBD.</w:t>
      </w:r>
      <w:r w:rsidRPr="00813D22" w:rsidDel="006978E2">
        <w:rPr>
          <w:rFonts w:asciiTheme="majorBidi" w:hAnsiTheme="majorBidi" w:cstheme="majorBidi"/>
          <w:color w:val="000000"/>
          <w:rtl/>
          <w:lang w:val="x-none"/>
        </w:rPr>
        <w:t xml:space="preserve"> </w:t>
      </w:r>
    </w:p>
    <w:p w14:paraId="1B8E283A" w14:textId="635ACAFF" w:rsidR="00934903" w:rsidRPr="00813D22" w:rsidRDefault="00A653A8" w:rsidP="00AA39AD">
      <w:pPr>
        <w:autoSpaceDE w:val="0"/>
        <w:autoSpaceDN w:val="0"/>
        <w:adjustRightInd w:val="0"/>
        <w:snapToGrid w:val="0"/>
        <w:spacing w:after="120" w:line="480" w:lineRule="auto"/>
        <w:ind w:firstLine="720"/>
        <w:rPr>
          <w:rFonts w:asciiTheme="majorBidi" w:hAnsiTheme="majorBidi" w:cstheme="majorBidi"/>
          <w:color w:val="000000"/>
        </w:rPr>
      </w:pPr>
      <w:r w:rsidRPr="00813D22">
        <w:rPr>
          <w:rFonts w:asciiTheme="majorBidi" w:hAnsiTheme="majorBidi" w:cstheme="majorBidi"/>
          <w:color w:val="000000"/>
        </w:rPr>
        <w:t>CSBD</w:t>
      </w:r>
      <w:r w:rsidR="004921D5" w:rsidRPr="00813D22">
        <w:rPr>
          <w:rFonts w:asciiTheme="majorBidi" w:hAnsiTheme="majorBidi" w:cstheme="majorBidi"/>
          <w:color w:val="000000"/>
        </w:rPr>
        <w:t xml:space="preserve"> might also be connected to the adolescents' emotional regulation strategies. Over the past few decades, there has been increased recognition</w:t>
      </w:r>
      <w:r w:rsidR="004921D5" w:rsidRPr="00813D22">
        <w:rPr>
          <w:rFonts w:asciiTheme="majorBidi" w:hAnsiTheme="majorBidi" w:cstheme="majorBidi"/>
          <w:color w:val="000000"/>
          <w:rtl/>
        </w:rPr>
        <w:t xml:space="preserve"> </w:t>
      </w:r>
      <w:r w:rsidR="004921D5" w:rsidRPr="00813D22">
        <w:rPr>
          <w:rFonts w:asciiTheme="majorBidi" w:hAnsiTheme="majorBidi" w:cstheme="majorBidi"/>
          <w:color w:val="000000"/>
        </w:rPr>
        <w:t>that learning how to manage or regulate emotions</w:t>
      </w:r>
      <w:r w:rsidR="000A6EBF" w:rsidRPr="00813D22">
        <w:rPr>
          <w:rFonts w:asciiTheme="majorBidi" w:hAnsiTheme="majorBidi" w:cstheme="majorBidi"/>
          <w:color w:val="000000"/>
        </w:rPr>
        <w:t xml:space="preserve"> (Matthews, Webb, &amp; </w:t>
      </w:r>
      <w:proofErr w:type="spellStart"/>
      <w:r w:rsidR="000A6EBF" w:rsidRPr="00813D22">
        <w:rPr>
          <w:rFonts w:asciiTheme="majorBidi" w:hAnsiTheme="majorBidi" w:cstheme="majorBidi"/>
          <w:color w:val="000000"/>
        </w:rPr>
        <w:t>Sheppes</w:t>
      </w:r>
      <w:proofErr w:type="spellEnd"/>
      <w:r w:rsidR="000A6EBF" w:rsidRPr="00813D22">
        <w:rPr>
          <w:rFonts w:asciiTheme="majorBidi" w:hAnsiTheme="majorBidi" w:cstheme="majorBidi"/>
          <w:color w:val="000000"/>
        </w:rPr>
        <w:t>, 2021)</w:t>
      </w:r>
      <w:r w:rsidR="004921D5" w:rsidRPr="00813D22">
        <w:rPr>
          <w:rFonts w:asciiTheme="majorBidi" w:hAnsiTheme="majorBidi" w:cstheme="majorBidi"/>
          <w:color w:val="000000"/>
        </w:rPr>
        <w:t>, in a socially appropriate and adaptive manner, is important for healthy psychological development (Cole, Michel, &amp; Teti, 1994;</w:t>
      </w:r>
      <w:r w:rsidR="004921D5" w:rsidRPr="00813D22">
        <w:rPr>
          <w:rFonts w:asciiTheme="majorBidi" w:hAnsiTheme="majorBidi" w:cstheme="majorBidi"/>
          <w:color w:val="000000"/>
          <w:rtl/>
        </w:rPr>
        <w:t xml:space="preserve"> </w:t>
      </w:r>
      <w:r w:rsidR="004921D5" w:rsidRPr="00813D22">
        <w:rPr>
          <w:rFonts w:asciiTheme="majorBidi" w:hAnsiTheme="majorBidi" w:cstheme="majorBidi"/>
          <w:color w:val="000000"/>
        </w:rPr>
        <w:t xml:space="preserve">Morris, Silk, Steinberg, Myers, &amp; Robinson, 2007; Southam-Gerow &amp; Kendall, 2002).  Emotion regulation involves intrinsic and extrinsic processes responsible for managing one’s emotions toward goal accomplishment (Thompson, 1994), and these processes can be conscious or unconscious, </w:t>
      </w:r>
      <w:proofErr w:type="gramStart"/>
      <w:r w:rsidR="004921D5" w:rsidRPr="00813D22">
        <w:rPr>
          <w:rFonts w:asciiTheme="majorBidi" w:hAnsiTheme="majorBidi" w:cstheme="majorBidi"/>
          <w:color w:val="000000"/>
        </w:rPr>
        <w:t>automatic</w:t>
      </w:r>
      <w:proofErr w:type="gramEnd"/>
      <w:r w:rsidR="004921D5" w:rsidRPr="00813D22">
        <w:rPr>
          <w:rFonts w:asciiTheme="majorBidi" w:hAnsiTheme="majorBidi" w:cstheme="majorBidi"/>
          <w:color w:val="000000"/>
        </w:rPr>
        <w:t xml:space="preserve"> or </w:t>
      </w:r>
      <w:r w:rsidR="004921D5" w:rsidRPr="00813D22">
        <w:rPr>
          <w:rFonts w:asciiTheme="majorBidi" w:hAnsiTheme="majorBidi" w:cstheme="majorBidi"/>
          <w:color w:val="000000"/>
        </w:rPr>
        <w:lastRenderedPageBreak/>
        <w:t xml:space="preserve">effortful (Cole et al., 1994; Gross &amp; Thompson, 2007; Thompson, 1994), and include skills and strategies for monitoring, evaluating, and modifying emotional reactions. Two main emotion regulation strategies are cognitive reappraisal, a cognitive change strategy that involves redefining a potentially emotion-eliciting situation in such a way that its emotional impact is </w:t>
      </w:r>
      <w:proofErr w:type="gramStart"/>
      <w:r w:rsidR="004921D5" w:rsidRPr="00813D22">
        <w:rPr>
          <w:rFonts w:asciiTheme="majorBidi" w:hAnsiTheme="majorBidi" w:cstheme="majorBidi"/>
          <w:color w:val="000000"/>
        </w:rPr>
        <w:t>changed;</w:t>
      </w:r>
      <w:proofErr w:type="gramEnd"/>
      <w:r w:rsidR="004921D5" w:rsidRPr="00813D22">
        <w:rPr>
          <w:rFonts w:asciiTheme="majorBidi" w:hAnsiTheme="majorBidi" w:cstheme="majorBidi"/>
          <w:color w:val="000000"/>
        </w:rPr>
        <w:t xml:space="preserve"> and expressive suppression, a form of response modulation involving the inhibition of ongoing emotion-expressive behavior (</w:t>
      </w:r>
      <w:proofErr w:type="spellStart"/>
      <w:r w:rsidR="004921D5" w:rsidRPr="00813D22">
        <w:rPr>
          <w:rFonts w:asciiTheme="majorBidi" w:hAnsiTheme="majorBidi" w:cstheme="majorBidi"/>
          <w:color w:val="000000"/>
        </w:rPr>
        <w:t>Gullone</w:t>
      </w:r>
      <w:proofErr w:type="spellEnd"/>
      <w:r w:rsidR="004921D5" w:rsidRPr="00813D22">
        <w:rPr>
          <w:rFonts w:asciiTheme="majorBidi" w:hAnsiTheme="majorBidi" w:cstheme="majorBidi"/>
          <w:color w:val="000000"/>
        </w:rPr>
        <w:t xml:space="preserve"> &amp; </w:t>
      </w:r>
      <w:proofErr w:type="spellStart"/>
      <w:r w:rsidR="004921D5" w:rsidRPr="00813D22">
        <w:rPr>
          <w:rFonts w:asciiTheme="majorBidi" w:hAnsiTheme="majorBidi" w:cstheme="majorBidi"/>
          <w:color w:val="000000"/>
        </w:rPr>
        <w:t>Taffe</w:t>
      </w:r>
      <w:proofErr w:type="spellEnd"/>
      <w:r w:rsidR="004921D5" w:rsidRPr="00813D22">
        <w:rPr>
          <w:rFonts w:asciiTheme="majorBidi" w:hAnsiTheme="majorBidi" w:cstheme="majorBidi"/>
          <w:color w:val="000000"/>
        </w:rPr>
        <w:t xml:space="preserve">, 2012). Emotion regulation has been linked to negative health behaviors such as </w:t>
      </w:r>
      <w:r w:rsidR="00E944D8" w:rsidRPr="00813D22">
        <w:rPr>
          <w:rFonts w:asciiTheme="majorBidi" w:hAnsiTheme="majorBidi" w:cstheme="majorBidi"/>
          <w:color w:val="000000"/>
        </w:rPr>
        <w:t>Internet gaming disorder (Wu et al., 2020)</w:t>
      </w:r>
      <w:r w:rsidR="004921D5" w:rsidRPr="00813D22">
        <w:rPr>
          <w:rFonts w:asciiTheme="majorBidi" w:hAnsiTheme="majorBidi" w:cstheme="majorBidi"/>
          <w:color w:val="000000"/>
        </w:rPr>
        <w:t>, substance use</w:t>
      </w:r>
      <w:r w:rsidR="00E944D8" w:rsidRPr="00813D22">
        <w:rPr>
          <w:rFonts w:asciiTheme="majorBidi" w:hAnsiTheme="majorBidi" w:cstheme="majorBidi"/>
          <w:color w:val="000000"/>
        </w:rPr>
        <w:t xml:space="preserve"> disorder (</w:t>
      </w:r>
      <w:proofErr w:type="spellStart"/>
      <w:r w:rsidR="00E944D8" w:rsidRPr="00671A78">
        <w:rPr>
          <w:rFonts w:asciiTheme="majorBidi" w:hAnsiTheme="majorBidi" w:cstheme="majorBidi"/>
          <w:color w:val="000000"/>
        </w:rPr>
        <w:t>Cavicchioli</w:t>
      </w:r>
      <w:proofErr w:type="spellEnd"/>
      <w:r w:rsidR="00E944D8" w:rsidRPr="00671A78">
        <w:rPr>
          <w:rFonts w:asciiTheme="majorBidi" w:hAnsiTheme="majorBidi" w:cstheme="majorBidi"/>
          <w:color w:val="000000"/>
        </w:rPr>
        <w:t xml:space="preserve"> et al., 2019)</w:t>
      </w:r>
      <w:r w:rsidR="004921D5" w:rsidRPr="00813D22">
        <w:rPr>
          <w:rFonts w:asciiTheme="majorBidi" w:hAnsiTheme="majorBidi" w:cstheme="majorBidi"/>
          <w:color w:val="000000"/>
        </w:rPr>
        <w:t xml:space="preserve">, and </w:t>
      </w:r>
      <w:r w:rsidR="00266A4E" w:rsidRPr="00813D22">
        <w:rPr>
          <w:rFonts w:asciiTheme="majorBidi" w:hAnsiTheme="majorBidi" w:cstheme="majorBidi"/>
          <w:color w:val="000000"/>
        </w:rPr>
        <w:t>gambling</w:t>
      </w:r>
      <w:r w:rsidR="004921D5" w:rsidRPr="00813D22">
        <w:rPr>
          <w:rFonts w:asciiTheme="majorBidi" w:hAnsiTheme="majorBidi" w:cstheme="majorBidi"/>
          <w:color w:val="000000"/>
        </w:rPr>
        <w:t xml:space="preserve"> (</w:t>
      </w:r>
      <w:proofErr w:type="spellStart"/>
      <w:r w:rsidR="00266A4E" w:rsidRPr="00671A78">
        <w:rPr>
          <w:rFonts w:asciiTheme="majorBidi" w:hAnsiTheme="majorBidi" w:cstheme="majorBidi"/>
          <w:color w:val="000000"/>
        </w:rPr>
        <w:t>Rogier</w:t>
      </w:r>
      <w:proofErr w:type="spellEnd"/>
      <w:r w:rsidR="00266A4E" w:rsidRPr="00671A78">
        <w:rPr>
          <w:rFonts w:asciiTheme="majorBidi" w:hAnsiTheme="majorBidi" w:cstheme="majorBidi"/>
          <w:color w:val="000000"/>
        </w:rPr>
        <w:t xml:space="preserve">, &amp; </w:t>
      </w:r>
      <w:proofErr w:type="spellStart"/>
      <w:r w:rsidR="00266A4E" w:rsidRPr="00671A78">
        <w:rPr>
          <w:rFonts w:asciiTheme="majorBidi" w:hAnsiTheme="majorBidi" w:cstheme="majorBidi"/>
          <w:color w:val="000000"/>
        </w:rPr>
        <w:t>Velotti</w:t>
      </w:r>
      <w:proofErr w:type="spellEnd"/>
      <w:r w:rsidR="00266A4E" w:rsidRPr="00671A78">
        <w:rPr>
          <w:rFonts w:asciiTheme="majorBidi" w:hAnsiTheme="majorBidi" w:cstheme="majorBidi"/>
          <w:color w:val="000000"/>
        </w:rPr>
        <w:t>, 2018</w:t>
      </w:r>
      <w:r w:rsidR="004921D5" w:rsidRPr="00813D22">
        <w:rPr>
          <w:rFonts w:asciiTheme="majorBidi" w:hAnsiTheme="majorBidi" w:cstheme="majorBidi"/>
          <w:color w:val="000000"/>
        </w:rPr>
        <w:t xml:space="preserve">). Evidence also suggests that poor emotion regulation (i.e., excessive use of suppression and less frequent use of reappraisal) may be a significant predictor of low sexual satisfaction, sexual system dysfunction (both hyper and deactivations) and consumption of porn (porn-related distress, excessive </w:t>
      </w:r>
      <w:proofErr w:type="gramStart"/>
      <w:r w:rsidR="004921D5" w:rsidRPr="00813D22">
        <w:rPr>
          <w:rFonts w:asciiTheme="majorBidi" w:hAnsiTheme="majorBidi" w:cstheme="majorBidi"/>
          <w:color w:val="000000"/>
        </w:rPr>
        <w:t>use</w:t>
      </w:r>
      <w:proofErr w:type="gramEnd"/>
      <w:r w:rsidR="004921D5" w:rsidRPr="00813D22">
        <w:rPr>
          <w:rFonts w:asciiTheme="majorBidi" w:hAnsiTheme="majorBidi" w:cstheme="majorBidi"/>
          <w:color w:val="000000"/>
        </w:rPr>
        <w:t xml:space="preserve"> and control difficulty) among adults (Pepping, Cronin, Lyons, &amp; Caldwell, 2018). Efrati and Gola (2018</w:t>
      </w:r>
      <w:r w:rsidR="008B0854" w:rsidRPr="00813D22">
        <w:rPr>
          <w:rFonts w:asciiTheme="majorBidi" w:hAnsiTheme="majorBidi" w:cstheme="majorBidi"/>
          <w:color w:val="000000"/>
        </w:rPr>
        <w:t>b</w:t>
      </w:r>
      <w:r w:rsidR="004921D5" w:rsidRPr="00813D22">
        <w:rPr>
          <w:rFonts w:asciiTheme="majorBidi" w:hAnsiTheme="majorBidi" w:cstheme="majorBidi"/>
          <w:color w:val="000000"/>
        </w:rPr>
        <w:t>) have found that members of Sexaholic Anonymous groups (all adults) employ more suppression of sexual thought, which paradoxically increase CSBD. Similar results were obtained by Efrati (201</w:t>
      </w:r>
      <w:r w:rsidR="001B4BF1" w:rsidRPr="00813D22">
        <w:rPr>
          <w:rFonts w:asciiTheme="majorBidi" w:hAnsiTheme="majorBidi" w:cstheme="majorBidi"/>
          <w:color w:val="000000"/>
        </w:rPr>
        <w:t>9</w:t>
      </w:r>
      <w:r w:rsidR="004921D5" w:rsidRPr="00813D22">
        <w:rPr>
          <w:rFonts w:asciiTheme="majorBidi" w:hAnsiTheme="majorBidi" w:cstheme="majorBidi"/>
          <w:color w:val="000000"/>
        </w:rPr>
        <w:t xml:space="preserve">) who found that religious people employ more suppression of sexual thought, which paradoxically increase individualized </w:t>
      </w:r>
      <w:r w:rsidR="008B0854" w:rsidRPr="00813D22">
        <w:rPr>
          <w:rFonts w:asciiTheme="majorBidi" w:hAnsiTheme="majorBidi" w:cstheme="majorBidi"/>
          <w:color w:val="000000"/>
        </w:rPr>
        <w:t>CSBD</w:t>
      </w:r>
      <w:r w:rsidR="004921D5" w:rsidRPr="00813D22">
        <w:rPr>
          <w:rFonts w:asciiTheme="majorBidi" w:hAnsiTheme="majorBidi" w:cstheme="majorBidi"/>
          <w:color w:val="000000"/>
        </w:rPr>
        <w:t xml:space="preserve">. </w:t>
      </w:r>
      <w:r w:rsidRPr="00813D22">
        <w:rPr>
          <w:rFonts w:asciiTheme="majorBidi" w:hAnsiTheme="majorBidi" w:cstheme="majorBidi"/>
          <w:color w:val="000000"/>
        </w:rPr>
        <w:t>T</w:t>
      </w:r>
      <w:r w:rsidR="004921D5" w:rsidRPr="00813D22">
        <w:rPr>
          <w:rFonts w:asciiTheme="majorBidi" w:hAnsiTheme="majorBidi" w:cstheme="majorBidi"/>
          <w:color w:val="000000"/>
        </w:rPr>
        <w:t xml:space="preserve">herefore, </w:t>
      </w:r>
      <w:r w:rsidRPr="00813D22">
        <w:rPr>
          <w:rFonts w:asciiTheme="majorBidi" w:hAnsiTheme="majorBidi" w:cstheme="majorBidi"/>
          <w:color w:val="000000"/>
        </w:rPr>
        <w:t xml:space="preserve">I </w:t>
      </w:r>
      <w:r w:rsidR="004921D5" w:rsidRPr="00813D22">
        <w:rPr>
          <w:rFonts w:asciiTheme="majorBidi" w:hAnsiTheme="majorBidi" w:cstheme="majorBidi"/>
          <w:color w:val="000000"/>
        </w:rPr>
        <w:t>hypothesize that</w:t>
      </w:r>
      <w:r w:rsidR="00AA39AD" w:rsidRPr="00813D22">
        <w:rPr>
          <w:rFonts w:asciiTheme="majorBidi" w:hAnsiTheme="majorBidi" w:cstheme="majorBidi"/>
          <w:color w:val="000000"/>
        </w:rPr>
        <w:t xml:space="preserve"> </w:t>
      </w:r>
      <w:r w:rsidR="00934903" w:rsidRPr="00813D22">
        <w:rPr>
          <w:rFonts w:asciiTheme="majorBidi" w:hAnsiTheme="majorBidi" w:cstheme="majorBidi"/>
          <w:color w:val="000000"/>
        </w:rPr>
        <w:t xml:space="preserve">adolescents with difficulties in </w:t>
      </w:r>
      <w:r w:rsidR="000839F0" w:rsidRPr="00813D22">
        <w:rPr>
          <w:rFonts w:asciiTheme="majorBidi" w:hAnsiTheme="majorBidi" w:cstheme="majorBidi"/>
          <w:color w:val="000000"/>
        </w:rPr>
        <w:t xml:space="preserve">cognitive </w:t>
      </w:r>
      <w:r w:rsidR="00934903" w:rsidRPr="00813D22">
        <w:rPr>
          <w:rFonts w:asciiTheme="majorBidi" w:hAnsiTheme="majorBidi" w:cstheme="majorBidi"/>
          <w:color w:val="000000"/>
        </w:rPr>
        <w:t>emotion regulation (reappraisal and suppression) could develop CSB</w:t>
      </w:r>
      <w:r w:rsidR="005D0836" w:rsidRPr="00813D22">
        <w:rPr>
          <w:rFonts w:asciiTheme="majorBidi" w:hAnsiTheme="majorBidi" w:cstheme="majorBidi"/>
          <w:color w:val="000000"/>
        </w:rPr>
        <w:t>D</w:t>
      </w:r>
      <w:r w:rsidR="00934903" w:rsidRPr="00813D22">
        <w:rPr>
          <w:rFonts w:asciiTheme="majorBidi" w:hAnsiTheme="majorBidi" w:cstheme="majorBidi"/>
          <w:color w:val="000000"/>
        </w:rPr>
        <w:t xml:space="preserve"> as part of an abnormal development that “settles” upon personality, </w:t>
      </w:r>
      <w:r w:rsidR="00721C83" w:rsidRPr="00813D22">
        <w:rPr>
          <w:rFonts w:asciiTheme="majorBidi" w:hAnsiTheme="majorBidi" w:cstheme="majorBidi"/>
          <w:color w:val="000000"/>
        </w:rPr>
        <w:t>religion,</w:t>
      </w:r>
      <w:r w:rsidR="001958C3" w:rsidRPr="00813D22">
        <w:rPr>
          <w:rFonts w:asciiTheme="majorBidi" w:hAnsiTheme="majorBidi" w:cstheme="majorBidi"/>
          <w:color w:val="000000"/>
        </w:rPr>
        <w:t xml:space="preserve"> and</w:t>
      </w:r>
      <w:r w:rsidR="00934903" w:rsidRPr="00813D22">
        <w:rPr>
          <w:rFonts w:asciiTheme="majorBidi" w:hAnsiTheme="majorBidi" w:cstheme="majorBidi"/>
          <w:color w:val="000000"/>
        </w:rPr>
        <w:t xml:space="preserve"> gender characteristics. </w:t>
      </w:r>
    </w:p>
    <w:p w14:paraId="3B5CE897" w14:textId="7A9ECD76" w:rsidR="005E4C74" w:rsidRPr="00813D22" w:rsidRDefault="005E4C74" w:rsidP="00EC0A92">
      <w:pPr>
        <w:autoSpaceDE w:val="0"/>
        <w:autoSpaceDN w:val="0"/>
        <w:adjustRightInd w:val="0"/>
        <w:snapToGrid w:val="0"/>
        <w:spacing w:after="120" w:line="480" w:lineRule="auto"/>
        <w:ind w:firstLine="720"/>
        <w:rPr>
          <w:rFonts w:asciiTheme="majorBidi" w:hAnsiTheme="majorBidi" w:cstheme="majorBidi"/>
          <w:color w:val="000000"/>
        </w:rPr>
      </w:pPr>
      <w:r w:rsidRPr="00813D22">
        <w:rPr>
          <w:rFonts w:asciiTheme="majorBidi" w:hAnsiTheme="majorBidi" w:cstheme="majorBidi"/>
          <w:color w:val="000000"/>
        </w:rPr>
        <w:t>In addition, CSB</w:t>
      </w:r>
      <w:r w:rsidR="00BB52E8" w:rsidRPr="00813D22">
        <w:rPr>
          <w:rFonts w:asciiTheme="majorBidi" w:hAnsiTheme="majorBidi" w:cstheme="majorBidi"/>
          <w:color w:val="000000"/>
        </w:rPr>
        <w:t>D</w:t>
      </w:r>
      <w:r w:rsidRPr="00813D22">
        <w:rPr>
          <w:rFonts w:asciiTheme="majorBidi" w:hAnsiTheme="majorBidi" w:cstheme="majorBidi"/>
          <w:color w:val="000000"/>
        </w:rPr>
        <w:t xml:space="preserve"> is more pronounced among religious adults (Grubbs, Perry, Wilt, &amp; Reid, 201</w:t>
      </w:r>
      <w:r w:rsidR="00056C43" w:rsidRPr="00813D22">
        <w:rPr>
          <w:rFonts w:asciiTheme="majorBidi" w:hAnsiTheme="majorBidi" w:cstheme="majorBidi"/>
          <w:color w:val="000000"/>
        </w:rPr>
        <w:t>9</w:t>
      </w:r>
      <w:r w:rsidRPr="00813D22">
        <w:rPr>
          <w:rFonts w:asciiTheme="majorBidi" w:hAnsiTheme="majorBidi" w:cstheme="majorBidi"/>
          <w:color w:val="000000"/>
        </w:rPr>
        <w:t xml:space="preserve">) and adolescents (Efrati, 2019; Efrati &amp; Dannon, 2018) than secular ones. Therefore, it might be expected that </w:t>
      </w:r>
      <w:r w:rsidR="00DD0E6C" w:rsidRPr="00813D22">
        <w:rPr>
          <w:rFonts w:asciiTheme="majorBidi" w:hAnsiTheme="majorBidi" w:cstheme="majorBidi"/>
          <w:color w:val="000000"/>
        </w:rPr>
        <w:t xml:space="preserve">secular </w:t>
      </w:r>
      <w:r w:rsidRPr="00813D22">
        <w:rPr>
          <w:rFonts w:asciiTheme="majorBidi" w:hAnsiTheme="majorBidi" w:cstheme="majorBidi"/>
          <w:color w:val="000000"/>
        </w:rPr>
        <w:t xml:space="preserve">adolescents will tend to delay sexual </w:t>
      </w:r>
      <w:r w:rsidRPr="00813D22">
        <w:rPr>
          <w:rFonts w:asciiTheme="majorBidi" w:hAnsiTheme="majorBidi" w:cstheme="majorBidi"/>
          <w:color w:val="000000"/>
        </w:rPr>
        <w:lastRenderedPageBreak/>
        <w:t xml:space="preserve">involvement for a longer time than do those with levels of religiosity (Hardy &amp; </w:t>
      </w:r>
      <w:proofErr w:type="spellStart"/>
      <w:r w:rsidRPr="00813D22">
        <w:rPr>
          <w:rFonts w:asciiTheme="majorBidi" w:hAnsiTheme="majorBidi" w:cstheme="majorBidi"/>
          <w:color w:val="000000"/>
        </w:rPr>
        <w:t>Raffaelli</w:t>
      </w:r>
      <w:proofErr w:type="spellEnd"/>
      <w:r w:rsidRPr="00813D22">
        <w:rPr>
          <w:rFonts w:asciiTheme="majorBidi" w:hAnsiTheme="majorBidi" w:cstheme="majorBidi"/>
          <w:color w:val="000000"/>
        </w:rPr>
        <w:t>, 2003)</w:t>
      </w:r>
      <w:r w:rsidR="00DD0E6C" w:rsidRPr="00813D22">
        <w:rPr>
          <w:rFonts w:asciiTheme="majorBidi" w:hAnsiTheme="majorBidi" w:cstheme="majorBidi"/>
          <w:color w:val="000000"/>
        </w:rPr>
        <w:t xml:space="preserve"> but</w:t>
      </w:r>
      <w:r w:rsidR="00B02C9B" w:rsidRPr="00813D22">
        <w:rPr>
          <w:rFonts w:asciiTheme="majorBidi" w:hAnsiTheme="majorBidi" w:cstheme="majorBidi"/>
          <w:color w:val="000000"/>
        </w:rPr>
        <w:t xml:space="preserve">, </w:t>
      </w:r>
      <w:r w:rsidR="00EC0A92" w:rsidRPr="00813D22">
        <w:rPr>
          <w:rFonts w:asciiTheme="majorBidi" w:hAnsiTheme="majorBidi" w:cstheme="majorBidi"/>
          <w:color w:val="000000"/>
        </w:rPr>
        <w:t xml:space="preserve">religion adolescents may represent more CSBD behavior in the context of moral incongruence arising from moral disapproval of </w:t>
      </w:r>
      <w:r w:rsidR="00DF548E" w:rsidRPr="00813D22">
        <w:rPr>
          <w:rFonts w:asciiTheme="majorBidi" w:hAnsiTheme="majorBidi" w:cstheme="majorBidi"/>
          <w:color w:val="000000"/>
        </w:rPr>
        <w:t>sexual behavior (</w:t>
      </w:r>
      <w:r w:rsidR="00DF0CB8" w:rsidRPr="00813D22">
        <w:rPr>
          <w:rFonts w:asciiTheme="majorBidi" w:hAnsiTheme="majorBidi" w:cstheme="majorBidi"/>
          <w:color w:val="000000"/>
        </w:rPr>
        <w:t xml:space="preserve">Grubbs, Perry, Wilt, &amp; Reid, 2019; Mestre-Bach et al., 2021; </w:t>
      </w:r>
      <w:proofErr w:type="spellStart"/>
      <w:r w:rsidR="00DF0CB8" w:rsidRPr="00813D22">
        <w:rPr>
          <w:rFonts w:asciiTheme="majorBidi" w:hAnsiTheme="majorBidi" w:cstheme="majorBidi"/>
          <w:color w:val="000000"/>
        </w:rPr>
        <w:t>Smaniotto</w:t>
      </w:r>
      <w:proofErr w:type="spellEnd"/>
      <w:r w:rsidR="00DF0CB8" w:rsidRPr="00813D22">
        <w:rPr>
          <w:rFonts w:asciiTheme="majorBidi" w:hAnsiTheme="majorBidi" w:cstheme="majorBidi"/>
          <w:color w:val="000000"/>
        </w:rPr>
        <w:t>, Le Bigot, &amp; Camps, 2021)</w:t>
      </w:r>
      <w:r w:rsidR="00EC0A92" w:rsidRPr="00813D22">
        <w:rPr>
          <w:rFonts w:asciiTheme="majorBidi" w:hAnsiTheme="majorBidi" w:cstheme="majorBidi"/>
          <w:color w:val="000000"/>
        </w:rPr>
        <w:t>.</w:t>
      </w:r>
    </w:p>
    <w:p w14:paraId="44809BAD" w14:textId="7360F1DC" w:rsidR="00934903" w:rsidRPr="00813D22" w:rsidRDefault="005E4C74" w:rsidP="0063542F">
      <w:pPr>
        <w:autoSpaceDE w:val="0"/>
        <w:autoSpaceDN w:val="0"/>
        <w:adjustRightInd w:val="0"/>
        <w:snapToGrid w:val="0"/>
        <w:spacing w:after="120" w:line="480" w:lineRule="auto"/>
        <w:ind w:firstLine="720"/>
        <w:rPr>
          <w:rFonts w:asciiTheme="majorBidi" w:hAnsiTheme="majorBidi" w:cstheme="majorBidi"/>
          <w:color w:val="000000"/>
        </w:rPr>
      </w:pPr>
      <w:r w:rsidRPr="00813D22">
        <w:rPr>
          <w:rFonts w:asciiTheme="majorBidi" w:hAnsiTheme="majorBidi" w:cstheme="majorBidi"/>
          <w:color w:val="000000"/>
        </w:rPr>
        <w:t>Finally, adolescents’ gender might be an important</w:t>
      </w:r>
      <w:r w:rsidR="00DF0CB8" w:rsidRPr="00813D22">
        <w:rPr>
          <w:rFonts w:asciiTheme="majorBidi" w:hAnsiTheme="majorBidi" w:cstheme="majorBidi"/>
          <w:color w:val="000000"/>
        </w:rPr>
        <w:t xml:space="preserve"> </w:t>
      </w:r>
      <w:r w:rsidRPr="00813D22">
        <w:rPr>
          <w:rFonts w:asciiTheme="majorBidi" w:hAnsiTheme="majorBidi" w:cstheme="majorBidi"/>
          <w:color w:val="000000"/>
        </w:rPr>
        <w:t xml:space="preserve">factor affecting </w:t>
      </w:r>
      <w:r w:rsidR="00DC7FCB" w:rsidRPr="00813D22">
        <w:rPr>
          <w:rFonts w:asciiTheme="majorBidi" w:hAnsiTheme="majorBidi" w:cstheme="majorBidi"/>
          <w:color w:val="000000"/>
        </w:rPr>
        <w:t>with</w:t>
      </w:r>
      <w:r w:rsidRPr="00813D22">
        <w:rPr>
          <w:rFonts w:asciiTheme="majorBidi" w:hAnsiTheme="majorBidi" w:cstheme="majorBidi"/>
          <w:color w:val="000000"/>
        </w:rPr>
        <w:t xml:space="preserve"> </w:t>
      </w:r>
      <w:r w:rsidR="00DF0CB8" w:rsidRPr="00813D22">
        <w:rPr>
          <w:rFonts w:asciiTheme="majorBidi" w:hAnsiTheme="majorBidi" w:cstheme="majorBidi"/>
          <w:color w:val="000000"/>
        </w:rPr>
        <w:t>personality</w:t>
      </w:r>
      <w:r w:rsidRPr="00813D22">
        <w:rPr>
          <w:rFonts w:asciiTheme="majorBidi" w:hAnsiTheme="majorBidi" w:cstheme="majorBidi"/>
          <w:color w:val="000000"/>
        </w:rPr>
        <w:t xml:space="preserve"> characteristics</w:t>
      </w:r>
      <w:r w:rsidR="00DC7FCB" w:rsidRPr="00813D22">
        <w:rPr>
          <w:rFonts w:asciiTheme="majorBidi" w:hAnsiTheme="majorBidi" w:cstheme="majorBidi"/>
          <w:color w:val="000000"/>
        </w:rPr>
        <w:t xml:space="preserve"> and cognitive-related process </w:t>
      </w:r>
      <w:r w:rsidR="00EE69F8" w:rsidRPr="00813D22">
        <w:rPr>
          <w:rFonts w:asciiTheme="majorBidi" w:hAnsiTheme="majorBidi" w:cstheme="majorBidi"/>
          <w:color w:val="000000"/>
        </w:rPr>
        <w:t>on</w:t>
      </w:r>
      <w:r w:rsidR="00DC7FCB" w:rsidRPr="00813D22">
        <w:rPr>
          <w:rFonts w:asciiTheme="majorBidi" w:hAnsiTheme="majorBidi" w:cstheme="majorBidi"/>
          <w:color w:val="000000"/>
        </w:rPr>
        <w:t xml:space="preserve"> CSBD.</w:t>
      </w:r>
      <w:r w:rsidR="00EE69F8" w:rsidRPr="00813D22">
        <w:rPr>
          <w:rFonts w:asciiTheme="majorBidi" w:hAnsiTheme="majorBidi" w:cstheme="majorBidi"/>
          <w:color w:val="000000"/>
        </w:rPr>
        <w:t xml:space="preserve"> </w:t>
      </w:r>
      <w:r w:rsidR="0063542F" w:rsidRPr="00813D22">
        <w:rPr>
          <w:rFonts w:asciiTheme="majorBidi" w:hAnsiTheme="majorBidi" w:cstheme="majorBidi"/>
          <w:color w:val="000000"/>
        </w:rPr>
        <w:t>Specifically,</w:t>
      </w:r>
      <w:r w:rsidR="00EE69F8" w:rsidRPr="00813D22">
        <w:rPr>
          <w:rFonts w:asciiTheme="majorBidi" w:hAnsiTheme="majorBidi" w:cstheme="majorBidi"/>
          <w:color w:val="000000"/>
        </w:rPr>
        <w:t xml:space="preserve"> boys have higher attentional bias toward sexual cues and tend to have higher prevalence of CSB</w:t>
      </w:r>
      <w:r w:rsidR="005D0836" w:rsidRPr="00813D22">
        <w:rPr>
          <w:rFonts w:asciiTheme="majorBidi" w:hAnsiTheme="majorBidi" w:cstheme="majorBidi"/>
          <w:color w:val="000000"/>
        </w:rPr>
        <w:t>D</w:t>
      </w:r>
      <w:r w:rsidR="00EE69F8" w:rsidRPr="00813D22">
        <w:rPr>
          <w:rFonts w:asciiTheme="majorBidi" w:hAnsiTheme="majorBidi" w:cstheme="majorBidi"/>
          <w:color w:val="000000"/>
        </w:rPr>
        <w:t xml:space="preserve"> (</w:t>
      </w:r>
      <w:proofErr w:type="gramStart"/>
      <w:r w:rsidR="00EE69F8" w:rsidRPr="00813D22">
        <w:rPr>
          <w:rFonts w:asciiTheme="majorBidi" w:hAnsiTheme="majorBidi" w:cstheme="majorBidi"/>
          <w:color w:val="000000"/>
        </w:rPr>
        <w:t>e.g.</w:t>
      </w:r>
      <w:proofErr w:type="gramEnd"/>
      <w:r w:rsidR="00EE69F8" w:rsidRPr="00813D22">
        <w:rPr>
          <w:rFonts w:asciiTheme="majorBidi" w:hAnsiTheme="majorBidi" w:cstheme="majorBidi"/>
          <w:color w:val="000000"/>
        </w:rPr>
        <w:t xml:space="preserve"> Efrati &amp; Gola, 2018a; Efrati, </w:t>
      </w:r>
      <w:proofErr w:type="spellStart"/>
      <w:r w:rsidR="00EE69F8" w:rsidRPr="00813D22">
        <w:rPr>
          <w:rFonts w:asciiTheme="majorBidi" w:hAnsiTheme="majorBidi" w:cstheme="majorBidi"/>
          <w:color w:val="000000"/>
        </w:rPr>
        <w:t>Kolubinski</w:t>
      </w:r>
      <w:proofErr w:type="spellEnd"/>
      <w:r w:rsidR="00EE69F8" w:rsidRPr="00813D22">
        <w:rPr>
          <w:rFonts w:asciiTheme="majorBidi" w:hAnsiTheme="majorBidi" w:cstheme="majorBidi"/>
          <w:color w:val="000000"/>
        </w:rPr>
        <w:t>, Caselli, &amp; Spada, 2020</w:t>
      </w:r>
      <w:r w:rsidR="0063542F" w:rsidRPr="00813D22">
        <w:rPr>
          <w:rFonts w:asciiTheme="majorBidi" w:hAnsiTheme="majorBidi" w:cstheme="majorBidi"/>
          <w:color w:val="000000"/>
        </w:rPr>
        <w:t xml:space="preserve">; Efrati &amp; </w:t>
      </w:r>
      <w:proofErr w:type="spellStart"/>
      <w:r w:rsidR="0063542F" w:rsidRPr="00813D22">
        <w:rPr>
          <w:rFonts w:asciiTheme="majorBidi" w:hAnsiTheme="majorBidi" w:cstheme="majorBidi"/>
          <w:color w:val="000000"/>
        </w:rPr>
        <w:t>Amichai</w:t>
      </w:r>
      <w:proofErr w:type="spellEnd"/>
      <w:r w:rsidR="0063542F" w:rsidRPr="00813D22">
        <w:rPr>
          <w:rFonts w:asciiTheme="majorBidi" w:hAnsiTheme="majorBidi" w:cstheme="majorBidi"/>
          <w:color w:val="000000"/>
        </w:rPr>
        <w:t>-Hamburger, 2021</w:t>
      </w:r>
      <w:r w:rsidR="00EE69F8" w:rsidRPr="00813D22">
        <w:rPr>
          <w:rFonts w:asciiTheme="majorBidi" w:hAnsiTheme="majorBidi" w:cstheme="majorBidi"/>
          <w:color w:val="000000"/>
        </w:rPr>
        <w:t xml:space="preserve">). </w:t>
      </w:r>
      <w:r w:rsidRPr="00813D22">
        <w:rPr>
          <w:rFonts w:asciiTheme="majorBidi" w:hAnsiTheme="majorBidi" w:cstheme="majorBidi"/>
          <w:color w:val="000000"/>
        </w:rPr>
        <w:t xml:space="preserve">Thus, </w:t>
      </w:r>
      <w:r w:rsidR="004A48B3" w:rsidRPr="00813D22">
        <w:rPr>
          <w:rFonts w:asciiTheme="majorBidi" w:hAnsiTheme="majorBidi" w:cstheme="majorBidi"/>
          <w:color w:val="000000"/>
        </w:rPr>
        <w:t>I</w:t>
      </w:r>
      <w:r w:rsidRPr="00813D22">
        <w:rPr>
          <w:rFonts w:asciiTheme="majorBidi" w:hAnsiTheme="majorBidi" w:cstheme="majorBidi"/>
          <w:color w:val="000000"/>
        </w:rPr>
        <w:t xml:space="preserve"> expect that </w:t>
      </w:r>
      <w:r w:rsidR="00933265" w:rsidRPr="00813D22">
        <w:rPr>
          <w:rFonts w:asciiTheme="majorBidi" w:hAnsiTheme="majorBidi" w:cstheme="majorBidi"/>
          <w:color w:val="000000"/>
        </w:rPr>
        <w:t xml:space="preserve">strongly for </w:t>
      </w:r>
      <w:r w:rsidR="005F125D" w:rsidRPr="00813D22">
        <w:rPr>
          <w:rFonts w:asciiTheme="majorBidi" w:hAnsiTheme="majorBidi" w:cstheme="majorBidi"/>
          <w:color w:val="000000"/>
        </w:rPr>
        <w:t xml:space="preserve">boys </w:t>
      </w:r>
      <w:r w:rsidR="00933265" w:rsidRPr="00813D22">
        <w:rPr>
          <w:rFonts w:asciiTheme="majorBidi" w:hAnsiTheme="majorBidi" w:cstheme="majorBidi"/>
          <w:color w:val="000000"/>
        </w:rPr>
        <w:t xml:space="preserve">than </w:t>
      </w:r>
      <w:r w:rsidR="005F125D" w:rsidRPr="00813D22">
        <w:rPr>
          <w:rFonts w:asciiTheme="majorBidi" w:hAnsiTheme="majorBidi" w:cstheme="majorBidi"/>
          <w:color w:val="000000"/>
        </w:rPr>
        <w:t xml:space="preserve">girls </w:t>
      </w:r>
      <w:r w:rsidR="0063542F" w:rsidRPr="00813D22">
        <w:rPr>
          <w:rFonts w:asciiTheme="majorBidi" w:hAnsiTheme="majorBidi" w:cstheme="majorBidi"/>
          <w:color w:val="000000"/>
        </w:rPr>
        <w:t xml:space="preserve">and religion </w:t>
      </w:r>
      <w:r w:rsidRPr="00813D22">
        <w:rPr>
          <w:rFonts w:asciiTheme="majorBidi" w:hAnsiTheme="majorBidi" w:cstheme="majorBidi"/>
          <w:color w:val="000000"/>
        </w:rPr>
        <w:t xml:space="preserve">would be linked </w:t>
      </w:r>
      <w:r w:rsidR="0063542F" w:rsidRPr="00813D22">
        <w:rPr>
          <w:rFonts w:asciiTheme="majorBidi" w:hAnsiTheme="majorBidi" w:cstheme="majorBidi"/>
          <w:color w:val="000000"/>
        </w:rPr>
        <w:t xml:space="preserve">to </w:t>
      </w:r>
      <w:r w:rsidR="005F125D" w:rsidRPr="00813D22">
        <w:rPr>
          <w:rFonts w:asciiTheme="majorBidi" w:hAnsiTheme="majorBidi" w:cstheme="majorBidi"/>
          <w:color w:val="000000"/>
        </w:rPr>
        <w:t>severity of CSBD.</w:t>
      </w:r>
      <w:r w:rsidR="0063542F" w:rsidRPr="00813D22">
        <w:rPr>
          <w:rFonts w:asciiTheme="majorBidi" w:hAnsiTheme="majorBidi" w:cstheme="majorBidi"/>
          <w:color w:val="000000"/>
        </w:rPr>
        <w:t xml:space="preserve"> </w:t>
      </w:r>
    </w:p>
    <w:p w14:paraId="6389474A" w14:textId="1C8C56E1" w:rsidR="00DD3A50" w:rsidRPr="00813D22" w:rsidRDefault="00DD3A50" w:rsidP="00DD3A50">
      <w:pPr>
        <w:autoSpaceDE w:val="0"/>
        <w:autoSpaceDN w:val="0"/>
        <w:adjustRightInd w:val="0"/>
        <w:snapToGrid w:val="0"/>
        <w:spacing w:after="120" w:line="480" w:lineRule="auto"/>
        <w:rPr>
          <w:rFonts w:asciiTheme="majorBidi" w:hAnsiTheme="majorBidi" w:cstheme="majorBidi"/>
          <w:b/>
          <w:bCs/>
          <w:color w:val="000000"/>
        </w:rPr>
      </w:pPr>
      <w:r w:rsidRPr="00813D22">
        <w:rPr>
          <w:rFonts w:asciiTheme="majorBidi" w:hAnsiTheme="majorBidi" w:cstheme="majorBidi"/>
          <w:b/>
          <w:bCs/>
          <w:color w:val="000000"/>
          <w:lang w:val="x-none"/>
        </w:rPr>
        <w:t xml:space="preserve">The </w:t>
      </w:r>
      <w:r w:rsidR="00E43B6C" w:rsidRPr="00813D22">
        <w:rPr>
          <w:rFonts w:asciiTheme="majorBidi" w:hAnsiTheme="majorBidi" w:cstheme="majorBidi"/>
          <w:b/>
          <w:bCs/>
          <w:color w:val="000000"/>
        </w:rPr>
        <w:t>current study</w:t>
      </w:r>
    </w:p>
    <w:p w14:paraId="2480DC64" w14:textId="1E54DDCD" w:rsidR="00DD3A50" w:rsidRPr="00813D22" w:rsidRDefault="00DD3A50" w:rsidP="00E43B6C">
      <w:pPr>
        <w:autoSpaceDE w:val="0"/>
        <w:autoSpaceDN w:val="0"/>
        <w:adjustRightInd w:val="0"/>
        <w:snapToGrid w:val="0"/>
        <w:spacing w:after="120" w:line="480" w:lineRule="auto"/>
        <w:ind w:firstLine="720"/>
        <w:rPr>
          <w:rFonts w:asciiTheme="majorBidi" w:hAnsiTheme="majorBidi" w:cstheme="majorBidi"/>
        </w:rPr>
      </w:pPr>
      <w:r w:rsidRPr="00813D22">
        <w:rPr>
          <w:rFonts w:asciiTheme="majorBidi" w:hAnsiTheme="majorBidi" w:cstheme="majorBidi"/>
        </w:rPr>
        <w:t xml:space="preserve">In the </w:t>
      </w:r>
      <w:r w:rsidR="00E43B6C" w:rsidRPr="00813D22">
        <w:rPr>
          <w:rFonts w:asciiTheme="majorBidi" w:hAnsiTheme="majorBidi" w:cstheme="majorBidi"/>
        </w:rPr>
        <w:t xml:space="preserve">current </w:t>
      </w:r>
      <w:r w:rsidRPr="00813D22">
        <w:rPr>
          <w:rFonts w:asciiTheme="majorBidi" w:hAnsiTheme="majorBidi" w:cstheme="majorBidi"/>
        </w:rPr>
        <w:t>study</w:t>
      </w:r>
      <w:r w:rsidR="00E43B6C" w:rsidRPr="00813D22">
        <w:rPr>
          <w:rFonts w:asciiTheme="majorBidi" w:hAnsiTheme="majorBidi" w:cstheme="majorBidi"/>
        </w:rPr>
        <w:t xml:space="preserve">, and in line with previous research on CSBD among adolescents, </w:t>
      </w:r>
      <w:r w:rsidR="004A48B3" w:rsidRPr="00813D22">
        <w:rPr>
          <w:rFonts w:asciiTheme="majorBidi" w:hAnsiTheme="majorBidi" w:cstheme="majorBidi"/>
        </w:rPr>
        <w:t>I</w:t>
      </w:r>
      <w:r w:rsidR="00E43B6C" w:rsidRPr="00813D22">
        <w:rPr>
          <w:rFonts w:asciiTheme="majorBidi" w:hAnsiTheme="majorBidi" w:cstheme="majorBidi"/>
        </w:rPr>
        <w:t xml:space="preserve"> hypothesized that</w:t>
      </w:r>
      <w:r w:rsidRPr="00813D22">
        <w:rPr>
          <w:rFonts w:asciiTheme="majorBidi" w:hAnsiTheme="majorBidi" w:cstheme="majorBidi"/>
        </w:rPr>
        <w:t xml:space="preserve"> person’s background measures (gender, religiosity, and personality dispositions</w:t>
      </w:r>
      <w:r w:rsidR="00E43B6C" w:rsidRPr="00813D22">
        <w:rPr>
          <w:rFonts w:asciiTheme="majorBidi" w:hAnsiTheme="majorBidi" w:cstheme="majorBidi"/>
        </w:rPr>
        <w:t>, attachment orientation</w:t>
      </w:r>
      <w:r w:rsidRPr="00813D22">
        <w:rPr>
          <w:rFonts w:asciiTheme="majorBidi" w:hAnsiTheme="majorBidi" w:cstheme="majorBidi"/>
        </w:rPr>
        <w:t xml:space="preserve">), cognitive-related processes and psychopathology as predictors of the development of </w:t>
      </w:r>
      <w:r w:rsidR="008F1992" w:rsidRPr="00813D22">
        <w:rPr>
          <w:rFonts w:asciiTheme="majorBidi" w:hAnsiTheme="majorBidi" w:cstheme="majorBidi"/>
        </w:rPr>
        <w:t>CSB</w:t>
      </w:r>
      <w:r w:rsidR="00933265" w:rsidRPr="00813D22">
        <w:rPr>
          <w:rFonts w:asciiTheme="majorBidi" w:hAnsiTheme="majorBidi" w:cstheme="majorBidi"/>
        </w:rPr>
        <w:t>D</w:t>
      </w:r>
      <w:r w:rsidRPr="00813D22">
        <w:rPr>
          <w:rFonts w:asciiTheme="majorBidi" w:hAnsiTheme="majorBidi" w:cstheme="majorBidi"/>
        </w:rPr>
        <w:t xml:space="preserve">. Recent theories and research in psychiatry and clinical psychology have highlighted the potential value of a transdiagnostic approach to psychiatric disorders and its theoretical and clinical advantages over disorder-specific models </w:t>
      </w:r>
      <w:r w:rsidRPr="00813D22">
        <w:rPr>
          <w:rFonts w:asciiTheme="majorBidi" w:hAnsiTheme="majorBidi" w:cstheme="majorBidi"/>
        </w:rPr>
        <w:fldChar w:fldCharType="begin"/>
      </w:r>
      <w:r w:rsidRPr="00813D22">
        <w:rPr>
          <w:rFonts w:asciiTheme="majorBidi" w:hAnsiTheme="majorBidi" w:cstheme="majorBidi"/>
        </w:rPr>
        <w:instrText xml:space="preserve"> ADDIN EN.CITE &lt;EndNote&gt;&lt;Cite&gt;&lt;Author&gt;Mansell&lt;/Author&gt;&lt;Year&gt;2009&lt;/Year&gt;&lt;RecNum&gt;348&lt;/RecNum&gt;&lt;Prefix&gt;e.g.`, &lt;/Prefix&gt;&lt;DisplayText&gt;(e.g., Barlow et al., 2011; Mansell, Harvey, Watkins, &amp;amp; Shafran, 2009)&lt;/DisplayText&gt;&lt;record&gt;&lt;rec-number&gt;348&lt;/rec-number&gt;&lt;foreign-keys&gt;&lt;key app="EN" db-id="asf0ewp0fp9dsee20wrvtv9wesdrv5rdz5rs"&gt;348&lt;/key&gt;&lt;/foreign-keys&gt;&lt;ref-type name="Journal Article"&gt;17&lt;/ref-type&gt;&lt;contributors&gt;&lt;authors&gt;&lt;author&gt;Mansell, W.,&lt;/author&gt;&lt;author&gt;Harvey, A.,&lt;/author&gt;&lt;author&gt;Watkins, E.,&lt;/author&gt;&lt;author&gt;Shafran, R.&lt;/author&gt;&lt;/authors&gt;&lt;/contributors&gt;&lt;titles&gt;&lt;title&gt;Conceptual foundations of the transdiagnostic approach to CBT&lt;/title&gt;&lt;secondary-title&gt;Journal of Cognitive Psychotherapy&lt;/secondary-title&gt;&lt;/titles&gt;&lt;periodical&gt;&lt;full-title&gt;Journal of Cognitive Psychotherapy&lt;/full-title&gt;&lt;/periodical&gt;&lt;pages&gt;6-19&lt;/pages&gt;&lt;volume&gt;23&lt;/volume&gt;&lt;dates&gt;&lt;year&gt;2009&lt;/year&gt;&lt;/dates&gt;&lt;urls&gt;&lt;/urls&gt;&lt;/record&gt;&lt;/Cite&gt;&lt;Cite&gt;&lt;Author&gt;Barlow&lt;/Author&gt;&lt;Year&gt;2011&lt;/Year&gt;&lt;RecNum&gt;349&lt;/RecNum&gt;&lt;record&gt;&lt;rec-number&gt;349&lt;/rec-number&gt;&lt;foreign-keys&gt;&lt;key app="EN" db-id="asf0ewp0fp9dsee20wrvtv9wesdrv5rdz5rs"&gt;349&lt;/key&gt;&lt;/foreign-keys&gt;&lt;ref-type name="Book"&gt;6&lt;/ref-type&gt;&lt;contributors&gt;&lt;authors&gt;&lt;author&gt;Barlow, D. H.,&lt;/author&gt;&lt;author&gt;Farchione, T. J.,&lt;/author&gt;&lt;author&gt;Fairholme, C. P.,&lt;/author&gt;&lt;author&gt;Ellard, K. K.,&lt;/author&gt;&lt;author&gt;Boisseau, C. L.,&lt;/author&gt;&lt;author&gt;Allen, L. B.,&lt;/author&gt;&lt;author&gt;Ehrenreich-May, J.&lt;/author&gt;&lt;/authors&gt;&lt;/contributors&gt;&lt;titles&gt;&lt;title&gt;The unified protocol for transdiagnostic treatment of emotional disorders: Therapist guide&lt;/title&gt;&lt;/titles&gt;&lt;dates&gt;&lt;year&gt;2011&lt;/year&gt;&lt;/dates&gt;&lt;pub-location&gt;New York, NY&lt;/pub-location&gt;&lt;publisher&gt;Oxford University Press&lt;/publisher&gt;&lt;urls&gt;&lt;/urls&gt;&lt;/record&gt;&lt;/Cite&gt;&lt;/EndNote&gt;</w:instrText>
      </w:r>
      <w:r w:rsidRPr="00813D22">
        <w:rPr>
          <w:rFonts w:asciiTheme="majorBidi" w:hAnsiTheme="majorBidi" w:cstheme="majorBidi"/>
        </w:rPr>
        <w:fldChar w:fldCharType="separate"/>
      </w:r>
      <w:r w:rsidRPr="00813D22">
        <w:rPr>
          <w:rFonts w:asciiTheme="majorBidi" w:hAnsiTheme="majorBidi" w:cstheme="majorBidi"/>
        </w:rPr>
        <w:t>(</w:t>
      </w:r>
      <w:hyperlink w:anchor="_ENREF_92" w:tooltip="Mansell, 2009 #348" w:history="1">
        <w:r w:rsidRPr="00813D22">
          <w:rPr>
            <w:rFonts w:asciiTheme="majorBidi" w:hAnsiTheme="majorBidi" w:cstheme="majorBidi"/>
          </w:rPr>
          <w:t>Mansell, Harvey, Watkins, &amp; Shafran, 2009</w:t>
        </w:r>
      </w:hyperlink>
      <w:r w:rsidR="008B0854" w:rsidRPr="00813D22">
        <w:rPr>
          <w:rFonts w:asciiTheme="majorBidi" w:hAnsiTheme="majorBidi" w:cstheme="majorBidi"/>
        </w:rPr>
        <w:t>; Cludius, Mennin, &amp; Ehring, 2020</w:t>
      </w:r>
      <w:r w:rsidR="00863779" w:rsidRPr="00813D22">
        <w:rPr>
          <w:rFonts w:asciiTheme="majorBidi" w:hAnsiTheme="majorBidi" w:cstheme="majorBidi"/>
        </w:rPr>
        <w:t>; Munguía et al., 2021</w:t>
      </w:r>
      <w:r w:rsidRPr="00813D22">
        <w:rPr>
          <w:rFonts w:asciiTheme="majorBidi" w:hAnsiTheme="majorBidi" w:cstheme="majorBidi"/>
        </w:rPr>
        <w:t>)</w:t>
      </w:r>
      <w:r w:rsidRPr="00813D22">
        <w:rPr>
          <w:rFonts w:asciiTheme="majorBidi" w:hAnsiTheme="majorBidi" w:cstheme="majorBidi"/>
        </w:rPr>
        <w:fldChar w:fldCharType="end"/>
      </w:r>
      <w:r w:rsidRPr="00813D22">
        <w:rPr>
          <w:rFonts w:asciiTheme="majorBidi" w:hAnsiTheme="majorBidi" w:cstheme="majorBidi"/>
        </w:rPr>
        <w:t xml:space="preserve">. In the present study </w:t>
      </w:r>
      <w:r w:rsidR="004A48B3" w:rsidRPr="00813D22">
        <w:rPr>
          <w:rFonts w:asciiTheme="majorBidi" w:hAnsiTheme="majorBidi" w:cstheme="majorBidi"/>
        </w:rPr>
        <w:t>I</w:t>
      </w:r>
      <w:r w:rsidRPr="00813D22">
        <w:rPr>
          <w:rFonts w:asciiTheme="majorBidi" w:hAnsiTheme="majorBidi" w:cstheme="majorBidi"/>
        </w:rPr>
        <w:t xml:space="preserve"> sought to take this approach one step forward, add information to what is already known about the development of behavior disorders, especially in theory, and focus on </w:t>
      </w:r>
      <w:r w:rsidR="008F1992" w:rsidRPr="00813D22">
        <w:rPr>
          <w:rFonts w:asciiTheme="majorBidi" w:hAnsiTheme="majorBidi" w:cstheme="majorBidi"/>
        </w:rPr>
        <w:t>CSB</w:t>
      </w:r>
      <w:r w:rsidR="00933265" w:rsidRPr="00813D22">
        <w:rPr>
          <w:rFonts w:asciiTheme="majorBidi" w:hAnsiTheme="majorBidi" w:cstheme="majorBidi"/>
        </w:rPr>
        <w:t>D</w:t>
      </w:r>
      <w:r w:rsidRPr="00813D22">
        <w:rPr>
          <w:rFonts w:asciiTheme="majorBidi" w:hAnsiTheme="majorBidi" w:cstheme="majorBidi"/>
        </w:rPr>
        <w:t xml:space="preserve">. To do so, </w:t>
      </w:r>
      <w:r w:rsidR="004A48B3" w:rsidRPr="00813D22">
        <w:rPr>
          <w:rFonts w:asciiTheme="majorBidi" w:hAnsiTheme="majorBidi" w:cstheme="majorBidi"/>
        </w:rPr>
        <w:t>I</w:t>
      </w:r>
      <w:r w:rsidRPr="00813D22">
        <w:rPr>
          <w:rFonts w:asciiTheme="majorBidi" w:hAnsiTheme="majorBidi" w:cstheme="majorBidi"/>
        </w:rPr>
        <w:t xml:space="preserve"> designed a multi-dimensional model (Figure 1) that includes a person’s background measures and cognitive-related processes. The model will refer to the mechanisms by </w:t>
      </w:r>
      <w:r w:rsidRPr="00813D22">
        <w:rPr>
          <w:rFonts w:asciiTheme="majorBidi" w:hAnsiTheme="majorBidi" w:cstheme="majorBidi"/>
        </w:rPr>
        <w:lastRenderedPageBreak/>
        <w:t xml:space="preserve">which a </w:t>
      </w:r>
      <w:r w:rsidR="009C4DCB" w:rsidRPr="00813D22">
        <w:rPr>
          <w:rFonts w:asciiTheme="majorBidi" w:hAnsiTheme="majorBidi" w:cstheme="majorBidi"/>
        </w:rPr>
        <w:t>person’s background measures (</w:t>
      </w:r>
      <w:r w:rsidRPr="00813D22">
        <w:rPr>
          <w:rFonts w:asciiTheme="majorBidi" w:hAnsiTheme="majorBidi" w:cstheme="majorBidi"/>
        </w:rPr>
        <w:t xml:space="preserve">direct effects) cause the </w:t>
      </w:r>
      <w:r w:rsidR="008F1992" w:rsidRPr="00813D22">
        <w:rPr>
          <w:rFonts w:asciiTheme="majorBidi" w:hAnsiTheme="majorBidi" w:cstheme="majorBidi"/>
        </w:rPr>
        <w:t>CSB</w:t>
      </w:r>
      <w:r w:rsidR="00933265" w:rsidRPr="00813D22">
        <w:rPr>
          <w:rFonts w:asciiTheme="majorBidi" w:hAnsiTheme="majorBidi" w:cstheme="majorBidi"/>
        </w:rPr>
        <w:t>D</w:t>
      </w:r>
      <w:r w:rsidR="008F1992" w:rsidRPr="00813D22">
        <w:rPr>
          <w:rFonts w:asciiTheme="majorBidi" w:hAnsiTheme="majorBidi" w:cstheme="majorBidi"/>
        </w:rPr>
        <w:t xml:space="preserve"> </w:t>
      </w:r>
      <w:r w:rsidRPr="00813D22">
        <w:rPr>
          <w:rFonts w:asciiTheme="majorBidi" w:hAnsiTheme="majorBidi" w:cstheme="majorBidi"/>
        </w:rPr>
        <w:t xml:space="preserve">symptoms with which they are </w:t>
      </w:r>
      <w:r w:rsidR="003E1FE9" w:rsidRPr="00813D22">
        <w:rPr>
          <w:rFonts w:asciiTheme="majorBidi" w:hAnsiTheme="majorBidi" w:cstheme="majorBidi"/>
        </w:rPr>
        <w:t>associated and</w:t>
      </w:r>
      <w:r w:rsidRPr="00813D22">
        <w:rPr>
          <w:rFonts w:asciiTheme="majorBidi" w:hAnsiTheme="majorBidi" w:cstheme="majorBidi"/>
        </w:rPr>
        <w:t xml:space="preserve"> examine w</w:t>
      </w:r>
      <w:r w:rsidR="00F92840" w:rsidRPr="00813D22">
        <w:rPr>
          <w:rFonts w:asciiTheme="majorBidi" w:hAnsiTheme="majorBidi" w:cstheme="majorBidi"/>
        </w:rPr>
        <w:t>hy a given disposition leads to</w:t>
      </w:r>
      <w:r w:rsidR="003743F0" w:rsidRPr="00813D22">
        <w:rPr>
          <w:rFonts w:asciiTheme="majorBidi" w:hAnsiTheme="majorBidi" w:cstheme="majorBidi"/>
        </w:rPr>
        <w:t xml:space="preserve"> </w:t>
      </w:r>
      <w:r w:rsidRPr="00813D22">
        <w:rPr>
          <w:rFonts w:asciiTheme="majorBidi" w:hAnsiTheme="majorBidi" w:cstheme="majorBidi"/>
        </w:rPr>
        <w:t xml:space="preserve">in different adolescents or to different </w:t>
      </w:r>
      <w:r w:rsidR="008F1992" w:rsidRPr="00813D22">
        <w:rPr>
          <w:rFonts w:asciiTheme="majorBidi" w:hAnsiTheme="majorBidi" w:cstheme="majorBidi"/>
        </w:rPr>
        <w:t>CSB</w:t>
      </w:r>
      <w:r w:rsidR="00933265" w:rsidRPr="00813D22">
        <w:rPr>
          <w:rFonts w:asciiTheme="majorBidi" w:hAnsiTheme="majorBidi" w:cstheme="majorBidi"/>
        </w:rPr>
        <w:t>D</w:t>
      </w:r>
      <w:r w:rsidRPr="00813D22">
        <w:rPr>
          <w:rFonts w:asciiTheme="majorBidi" w:hAnsiTheme="majorBidi" w:cstheme="majorBidi"/>
        </w:rPr>
        <w:t xml:space="preserve"> symptoms within the same person over time (indirect effects). </w:t>
      </w:r>
    </w:p>
    <w:p w14:paraId="7E93C17D" w14:textId="77777777" w:rsidR="00DD3A50" w:rsidRPr="00813D22" w:rsidRDefault="00DD3A50" w:rsidP="00DD3A50">
      <w:pPr>
        <w:autoSpaceDE w:val="0"/>
        <w:autoSpaceDN w:val="0"/>
        <w:adjustRightInd w:val="0"/>
        <w:snapToGrid w:val="0"/>
        <w:spacing w:after="120" w:line="480" w:lineRule="auto"/>
        <w:jc w:val="center"/>
        <w:rPr>
          <w:rFonts w:asciiTheme="majorBidi" w:hAnsiTheme="majorBidi" w:cstheme="majorBidi"/>
          <w:color w:val="000000"/>
        </w:rPr>
      </w:pPr>
      <w:r w:rsidRPr="00813D22">
        <w:rPr>
          <w:rFonts w:asciiTheme="majorBidi" w:hAnsiTheme="majorBidi" w:cstheme="majorBidi"/>
        </w:rPr>
        <w:t>[Figure 1]</w:t>
      </w:r>
    </w:p>
    <w:p w14:paraId="0572DE76" w14:textId="6C082B3F" w:rsidR="00DD3A50" w:rsidRPr="00813D22" w:rsidRDefault="00DD3A50" w:rsidP="002E78EC">
      <w:pPr>
        <w:spacing w:line="480" w:lineRule="auto"/>
        <w:rPr>
          <w:color w:val="000000" w:themeColor="text1"/>
        </w:rPr>
      </w:pPr>
      <w:r w:rsidRPr="00813D22">
        <w:rPr>
          <w:color w:val="000000" w:themeColor="text1"/>
        </w:rPr>
        <w:t xml:space="preserve">In the present study </w:t>
      </w:r>
      <w:r w:rsidR="00C96D4B" w:rsidRPr="00813D22">
        <w:rPr>
          <w:color w:val="000000" w:themeColor="text1"/>
        </w:rPr>
        <w:t>I</w:t>
      </w:r>
      <w:r w:rsidRPr="00813D22">
        <w:rPr>
          <w:color w:val="000000" w:themeColor="text1"/>
        </w:rPr>
        <w:t xml:space="preserve"> expect to find direct relationships between these measures and the development of </w:t>
      </w:r>
      <w:r w:rsidR="008F1992" w:rsidRPr="00813D22">
        <w:rPr>
          <w:color w:val="000000" w:themeColor="text1"/>
        </w:rPr>
        <w:t>CSB</w:t>
      </w:r>
      <w:r w:rsidR="003E1FE9" w:rsidRPr="00813D22">
        <w:rPr>
          <w:color w:val="000000" w:themeColor="text1"/>
        </w:rPr>
        <w:t>D</w:t>
      </w:r>
      <w:r w:rsidRPr="00813D22">
        <w:rPr>
          <w:color w:val="000000" w:themeColor="text1"/>
        </w:rPr>
        <w:t>. Because cognitive measures are related to psychopathology (</w:t>
      </w:r>
      <w:proofErr w:type="spellStart"/>
      <w:r w:rsidRPr="00813D22">
        <w:rPr>
          <w:color w:val="000000" w:themeColor="text1"/>
        </w:rPr>
        <w:t>Gullone</w:t>
      </w:r>
      <w:proofErr w:type="spellEnd"/>
      <w:r w:rsidRPr="00813D22">
        <w:rPr>
          <w:color w:val="000000" w:themeColor="text1"/>
        </w:rPr>
        <w:t xml:space="preserve"> &amp; </w:t>
      </w:r>
      <w:proofErr w:type="spellStart"/>
      <w:r w:rsidRPr="00813D22">
        <w:rPr>
          <w:color w:val="000000" w:themeColor="text1"/>
        </w:rPr>
        <w:t>Taffe</w:t>
      </w:r>
      <w:proofErr w:type="spellEnd"/>
      <w:r w:rsidRPr="00813D22">
        <w:rPr>
          <w:color w:val="000000" w:themeColor="text1"/>
        </w:rPr>
        <w:t xml:space="preserve">, 2012; </w:t>
      </w:r>
      <w:r w:rsidR="002E78EC" w:rsidRPr="00813D22">
        <w:rPr>
          <w:color w:val="000000" w:themeColor="text1"/>
        </w:rPr>
        <w:t xml:space="preserve">Nolen-Hoeksema &amp; </w:t>
      </w:r>
      <w:r w:rsidRPr="00813D22">
        <w:rPr>
          <w:color w:val="000000" w:themeColor="text1"/>
        </w:rPr>
        <w:t>Watkins, 2011</w:t>
      </w:r>
      <w:r w:rsidR="002E6AC5" w:rsidRPr="00813D22">
        <w:rPr>
          <w:color w:val="000000" w:themeColor="text1"/>
        </w:rPr>
        <w:t xml:space="preserve">; </w:t>
      </w:r>
      <w:proofErr w:type="spellStart"/>
      <w:r w:rsidR="002E6AC5" w:rsidRPr="00813D22">
        <w:rPr>
          <w:color w:val="000000" w:themeColor="text1"/>
        </w:rPr>
        <w:t>Abramovitch</w:t>
      </w:r>
      <w:proofErr w:type="spellEnd"/>
      <w:r w:rsidR="002E6AC5" w:rsidRPr="00813D22">
        <w:rPr>
          <w:color w:val="000000" w:themeColor="text1"/>
        </w:rPr>
        <w:t>, Short, &amp; Schweiger, 2021</w:t>
      </w:r>
      <w:r w:rsidRPr="00813D22">
        <w:rPr>
          <w:color w:val="000000" w:themeColor="text1"/>
        </w:rPr>
        <w:t xml:space="preserve">), </w:t>
      </w:r>
      <w:r w:rsidR="00BF5818" w:rsidRPr="00813D22">
        <w:rPr>
          <w:color w:val="000000" w:themeColor="text1"/>
        </w:rPr>
        <w:t>I</w:t>
      </w:r>
      <w:r w:rsidRPr="00813D22">
        <w:rPr>
          <w:color w:val="000000" w:themeColor="text1"/>
        </w:rPr>
        <w:t xml:space="preserve"> expect to find indirect relationships between personality, cultural, and cognitive </w:t>
      </w:r>
      <w:proofErr w:type="gramStart"/>
      <w:r w:rsidRPr="00813D22">
        <w:rPr>
          <w:color w:val="000000" w:themeColor="text1"/>
        </w:rPr>
        <w:t>measures</w:t>
      </w:r>
      <w:proofErr w:type="gramEnd"/>
      <w:r w:rsidRPr="00813D22">
        <w:rPr>
          <w:color w:val="000000" w:themeColor="text1"/>
        </w:rPr>
        <w:t xml:space="preserve"> and the development of a disposition toward </w:t>
      </w:r>
      <w:r w:rsidR="008F1992" w:rsidRPr="00813D22">
        <w:rPr>
          <w:color w:val="000000" w:themeColor="text1"/>
        </w:rPr>
        <w:t>CSB</w:t>
      </w:r>
      <w:r w:rsidR="003E1FE9" w:rsidRPr="00813D22">
        <w:rPr>
          <w:color w:val="000000" w:themeColor="text1"/>
        </w:rPr>
        <w:t>D</w:t>
      </w:r>
      <w:r w:rsidRPr="00813D22">
        <w:rPr>
          <w:color w:val="000000" w:themeColor="text1"/>
        </w:rPr>
        <w:t xml:space="preserve"> in adolescents.</w:t>
      </w:r>
    </w:p>
    <w:p w14:paraId="22CD06B2" w14:textId="77777777" w:rsidR="00DD3A50" w:rsidRPr="00813D22" w:rsidRDefault="00DD3A50" w:rsidP="00DD3A50">
      <w:pPr>
        <w:spacing w:after="120" w:line="480" w:lineRule="auto"/>
        <w:contextualSpacing/>
        <w:rPr>
          <w:rFonts w:asciiTheme="majorBidi" w:hAnsiTheme="majorBidi" w:cstheme="majorBidi"/>
          <w:b/>
          <w:bCs/>
        </w:rPr>
      </w:pPr>
    </w:p>
    <w:p w14:paraId="2E86AC7D" w14:textId="77777777" w:rsidR="00DD3A50" w:rsidRPr="00813D22" w:rsidRDefault="00DD3A50" w:rsidP="00DD3A50">
      <w:pPr>
        <w:spacing w:after="120" w:line="480" w:lineRule="auto"/>
        <w:contextualSpacing/>
        <w:rPr>
          <w:rFonts w:asciiTheme="majorBidi" w:hAnsiTheme="majorBidi" w:cstheme="majorBidi"/>
          <w:b/>
          <w:bCs/>
          <w:rtl/>
        </w:rPr>
      </w:pPr>
      <w:r w:rsidRPr="00813D22">
        <w:rPr>
          <w:rFonts w:asciiTheme="majorBidi" w:hAnsiTheme="majorBidi" w:cstheme="majorBidi"/>
          <w:b/>
          <w:bCs/>
        </w:rPr>
        <w:t>Method</w:t>
      </w:r>
    </w:p>
    <w:p w14:paraId="7F93F85F" w14:textId="77777777" w:rsidR="00DD3A50" w:rsidRPr="00813D22" w:rsidRDefault="00DD3A50" w:rsidP="00DD3A50">
      <w:pPr>
        <w:spacing w:after="120" w:line="480" w:lineRule="auto"/>
        <w:rPr>
          <w:rFonts w:asciiTheme="majorBidi" w:hAnsiTheme="majorBidi" w:cstheme="majorBidi"/>
          <w:b/>
          <w:bCs/>
          <w:color w:val="000000" w:themeColor="text1"/>
        </w:rPr>
      </w:pPr>
      <w:r w:rsidRPr="00813D22">
        <w:rPr>
          <w:rFonts w:asciiTheme="majorBidi" w:hAnsiTheme="majorBidi" w:cstheme="majorBidi"/>
          <w:b/>
          <w:bCs/>
        </w:rPr>
        <w:t>Participants</w:t>
      </w:r>
      <w:r w:rsidRPr="00813D22">
        <w:rPr>
          <w:rFonts w:asciiTheme="majorBidi" w:hAnsiTheme="majorBidi" w:cstheme="majorBidi"/>
          <w:b/>
          <w:bCs/>
          <w:color w:val="000000" w:themeColor="text1"/>
        </w:rPr>
        <w:t xml:space="preserve"> </w:t>
      </w:r>
    </w:p>
    <w:p w14:paraId="6AAC40DB" w14:textId="77777777" w:rsidR="00DD3A50" w:rsidRPr="00813D22" w:rsidRDefault="00DD3A50" w:rsidP="0097091B">
      <w:pPr>
        <w:spacing w:after="120" w:line="480" w:lineRule="auto"/>
        <w:rPr>
          <w:rFonts w:asciiTheme="majorBidi" w:hAnsiTheme="majorBidi" w:cstheme="majorBidi"/>
          <w:rtl/>
        </w:rPr>
      </w:pPr>
      <w:r w:rsidRPr="00813D22">
        <w:rPr>
          <w:rFonts w:asciiTheme="majorBidi" w:hAnsiTheme="majorBidi" w:cstheme="majorBidi"/>
        </w:rPr>
        <w:t xml:space="preserve">This study population included 350 high-school </w:t>
      </w:r>
      <w:r w:rsidR="006B28EF" w:rsidRPr="00813D22">
        <w:rPr>
          <w:rFonts w:asciiTheme="majorBidi" w:hAnsiTheme="majorBidi" w:cstheme="majorBidi"/>
        </w:rPr>
        <w:t xml:space="preserve">Israeli </w:t>
      </w:r>
      <w:r w:rsidRPr="00813D22">
        <w:rPr>
          <w:rFonts w:asciiTheme="majorBidi" w:hAnsiTheme="majorBidi" w:cstheme="majorBidi"/>
        </w:rPr>
        <w:t>students (148 </w:t>
      </w:r>
      <w:r w:rsidR="00317805" w:rsidRPr="00813D22">
        <w:rPr>
          <w:rFonts w:asciiTheme="majorBidi" w:hAnsiTheme="majorBidi" w:cstheme="majorBidi"/>
        </w:rPr>
        <w:t>boy</w:t>
      </w:r>
      <w:r w:rsidRPr="00813D22">
        <w:rPr>
          <w:rFonts w:asciiTheme="majorBidi" w:hAnsiTheme="majorBidi" w:cstheme="majorBidi"/>
        </w:rPr>
        <w:t>, 202 </w:t>
      </w:r>
      <w:r w:rsidR="00317805" w:rsidRPr="00813D22">
        <w:rPr>
          <w:rFonts w:asciiTheme="majorBidi" w:hAnsiTheme="majorBidi" w:cstheme="majorBidi"/>
        </w:rPr>
        <w:t>girl</w:t>
      </w:r>
      <w:r w:rsidRPr="00813D22">
        <w:rPr>
          <w:rFonts w:asciiTheme="majorBidi" w:hAnsiTheme="majorBidi" w:cstheme="majorBidi"/>
        </w:rPr>
        <w:t>) age 16-18 (</w:t>
      </w:r>
      <w:r w:rsidRPr="00813D22">
        <w:rPr>
          <w:rFonts w:asciiTheme="majorBidi" w:hAnsiTheme="majorBidi" w:cstheme="majorBidi"/>
          <w:i/>
          <w:iCs/>
        </w:rPr>
        <w:t>M</w:t>
      </w:r>
      <w:r w:rsidRPr="00813D22">
        <w:rPr>
          <w:rFonts w:asciiTheme="majorBidi" w:hAnsiTheme="majorBidi" w:cstheme="majorBidi"/>
        </w:rPr>
        <w:t> = 17.20, </w:t>
      </w:r>
      <w:r w:rsidRPr="00813D22">
        <w:rPr>
          <w:rFonts w:asciiTheme="majorBidi" w:hAnsiTheme="majorBidi" w:cstheme="majorBidi"/>
          <w:i/>
          <w:iCs/>
        </w:rPr>
        <w:t>SD</w:t>
      </w:r>
      <w:r w:rsidRPr="00813D22">
        <w:rPr>
          <w:rFonts w:asciiTheme="majorBidi" w:hAnsiTheme="majorBidi" w:cstheme="majorBidi"/>
        </w:rPr>
        <w:t> = 0.96</w:t>
      </w:r>
      <w:r w:rsidR="0097091B" w:rsidRPr="00813D22">
        <w:rPr>
          <w:rFonts w:asciiTheme="majorBidi" w:hAnsiTheme="majorBidi" w:cstheme="majorBidi"/>
        </w:rPr>
        <w:t>)</w:t>
      </w:r>
      <w:r w:rsidRPr="00813D22">
        <w:rPr>
          <w:rFonts w:asciiTheme="majorBidi" w:hAnsiTheme="majorBidi" w:cstheme="majorBidi"/>
        </w:rPr>
        <w:t xml:space="preserve">. When asked about their religious observance, </w:t>
      </w:r>
      <w:r w:rsidRPr="00813D22">
        <w:rPr>
          <w:rFonts w:asciiTheme="majorBidi" w:hAnsiTheme="majorBidi" w:cstheme="majorBidi"/>
          <w:rtl/>
        </w:rPr>
        <w:t>121 </w:t>
      </w:r>
      <w:r w:rsidRPr="00813D22">
        <w:rPr>
          <w:rFonts w:asciiTheme="majorBidi" w:hAnsiTheme="majorBidi" w:cstheme="majorBidi"/>
        </w:rPr>
        <w:t>(34.6%) defined themselves as secular, and 229 (65.4%) reported various degrees of religiosity</w:t>
      </w:r>
      <w:r w:rsidR="0097091B" w:rsidRPr="00813D22">
        <w:rPr>
          <w:rFonts w:asciiTheme="majorBidi" w:hAnsiTheme="majorBidi" w:cstheme="majorBidi"/>
        </w:rPr>
        <w:t>.</w:t>
      </w:r>
    </w:p>
    <w:p w14:paraId="6D410492" w14:textId="77777777" w:rsidR="00DD3A50" w:rsidRPr="00813D22" w:rsidRDefault="00DD3A50" w:rsidP="00DD3A50">
      <w:pPr>
        <w:spacing w:after="120" w:line="480" w:lineRule="auto"/>
        <w:contextualSpacing/>
        <w:rPr>
          <w:rFonts w:asciiTheme="majorBidi" w:hAnsiTheme="majorBidi" w:cstheme="majorBidi"/>
          <w:i/>
          <w:iCs/>
        </w:rPr>
      </w:pPr>
    </w:p>
    <w:p w14:paraId="72594E45" w14:textId="7D44C9A1" w:rsidR="00DD3A50" w:rsidRPr="00813D22" w:rsidRDefault="00DD3A50" w:rsidP="00DD3A50">
      <w:pPr>
        <w:spacing w:after="120" w:line="480" w:lineRule="auto"/>
        <w:contextualSpacing/>
        <w:rPr>
          <w:rFonts w:asciiTheme="majorBidi" w:hAnsiTheme="majorBidi" w:cstheme="majorBidi"/>
          <w:b/>
          <w:bCs/>
        </w:rPr>
      </w:pPr>
      <w:r w:rsidRPr="00813D22">
        <w:rPr>
          <w:rFonts w:asciiTheme="majorBidi" w:hAnsiTheme="majorBidi" w:cstheme="majorBidi"/>
          <w:b/>
          <w:bCs/>
        </w:rPr>
        <w:t xml:space="preserve">Measures </w:t>
      </w:r>
    </w:p>
    <w:p w14:paraId="14468F00" w14:textId="7F9AE43C" w:rsidR="00F471B2" w:rsidRPr="00813D22" w:rsidRDefault="00F471B2" w:rsidP="00DD3A50">
      <w:pPr>
        <w:shd w:val="clear" w:color="auto" w:fill="FFFFFF"/>
        <w:spacing w:after="120" w:line="480" w:lineRule="auto"/>
        <w:rPr>
          <w:rFonts w:asciiTheme="majorBidi" w:hAnsiTheme="majorBidi" w:cstheme="majorBidi"/>
        </w:rPr>
      </w:pPr>
      <w:r w:rsidRPr="00813D22">
        <w:rPr>
          <w:rFonts w:asciiTheme="majorBidi" w:hAnsiTheme="majorBidi" w:cstheme="majorBidi"/>
          <w:b/>
          <w:bCs/>
        </w:rPr>
        <w:t xml:space="preserve">Attachment </w:t>
      </w:r>
      <w:r w:rsidR="00FE3604" w:rsidRPr="00813D22">
        <w:rPr>
          <w:rFonts w:asciiTheme="majorBidi" w:hAnsiTheme="majorBidi" w:cstheme="majorBidi"/>
          <w:b/>
          <w:bCs/>
        </w:rPr>
        <w:t>orientation</w:t>
      </w:r>
      <w:r w:rsidRPr="00813D22">
        <w:rPr>
          <w:rFonts w:asciiTheme="majorBidi" w:hAnsiTheme="majorBidi" w:cstheme="majorBidi"/>
          <w:b/>
          <w:bCs/>
        </w:rPr>
        <w:t>.</w:t>
      </w:r>
      <w:r w:rsidRPr="00813D22">
        <w:rPr>
          <w:rFonts w:asciiTheme="majorBidi" w:hAnsiTheme="majorBidi" w:cstheme="majorBidi"/>
        </w:rPr>
        <w:t xml:space="preserve"> We used the Hebrew version of the Experiences in Close Relationships Scale (ECR; Brennan et al., 1998; translated by </w:t>
      </w:r>
      <w:proofErr w:type="spellStart"/>
      <w:r w:rsidRPr="00813D22">
        <w:rPr>
          <w:rFonts w:asciiTheme="majorBidi" w:hAnsiTheme="majorBidi" w:cstheme="majorBidi"/>
        </w:rPr>
        <w:t>Mikulincer</w:t>
      </w:r>
      <w:proofErr w:type="spellEnd"/>
      <w:r w:rsidRPr="00813D22">
        <w:rPr>
          <w:rFonts w:asciiTheme="majorBidi" w:hAnsiTheme="majorBidi" w:cstheme="majorBidi"/>
        </w:rPr>
        <w:t xml:space="preserve"> &amp; Florian, 2000) to assess attachment styles. The ECR is a 36- item scale that assesses the two main </w:t>
      </w:r>
      <w:r w:rsidRPr="00813D22">
        <w:rPr>
          <w:rFonts w:asciiTheme="majorBidi" w:hAnsiTheme="majorBidi" w:cstheme="majorBidi"/>
        </w:rPr>
        <w:lastRenderedPageBreak/>
        <w:t>dimensions of adult attachment styles – attachment anxiety and avoidance. Participants rated the degree to which each statement described them on a 7-point scale (1 – not at all,</w:t>
      </w:r>
      <w:r w:rsidRPr="00813D22">
        <w:rPr>
          <w:rFonts w:asciiTheme="majorBidi" w:hAnsiTheme="majorBidi" w:cstheme="majorBidi"/>
        </w:rPr>
        <w:br/>
        <w:t>7 – very much). In the current sample, Cronbach’s alphas were high for the 18 anxiety items (0.91) as well as the 18 avoidance items (0.83). Thus, we computed two scores by averaging the items on each subscale.</w:t>
      </w:r>
    </w:p>
    <w:p w14:paraId="79D1C90D" w14:textId="5109EFF9" w:rsidR="00BD0EAF" w:rsidRPr="00813D22" w:rsidRDefault="00BD0EAF" w:rsidP="0011406E">
      <w:pPr>
        <w:autoSpaceDE w:val="0"/>
        <w:autoSpaceDN w:val="0"/>
        <w:adjustRightInd w:val="0"/>
        <w:snapToGrid w:val="0"/>
        <w:spacing w:line="480" w:lineRule="auto"/>
        <w:ind w:firstLine="720"/>
        <w:rPr>
          <w:rFonts w:asciiTheme="majorBidi" w:hAnsiTheme="majorBidi" w:cstheme="majorBidi"/>
          <w:color w:val="000000"/>
        </w:rPr>
      </w:pPr>
      <w:r w:rsidRPr="00813D22">
        <w:rPr>
          <w:rFonts w:asciiTheme="majorBidi" w:hAnsiTheme="majorBidi" w:cstheme="majorBidi"/>
          <w:b/>
          <w:bCs/>
          <w:lang w:val="x-none"/>
        </w:rPr>
        <w:t>The Big Five Inventory Questionnaire</w:t>
      </w:r>
      <w:r w:rsidRPr="00813D22">
        <w:rPr>
          <w:rFonts w:asciiTheme="majorBidi" w:hAnsiTheme="majorBidi" w:cstheme="majorBidi"/>
          <w:lang w:val="x-none"/>
        </w:rPr>
        <w:t xml:space="preserve"> (BFI; John, Donahue, &amp;</w:t>
      </w:r>
      <w:r w:rsidRPr="00813D22">
        <w:rPr>
          <w:rFonts w:asciiTheme="majorBidi" w:hAnsiTheme="majorBidi" w:cstheme="majorBidi"/>
        </w:rPr>
        <w:t xml:space="preserve"> </w:t>
      </w:r>
      <w:proofErr w:type="spellStart"/>
      <w:r w:rsidRPr="00813D22">
        <w:rPr>
          <w:rFonts w:asciiTheme="majorBidi" w:hAnsiTheme="majorBidi" w:cstheme="majorBidi"/>
          <w:lang w:val="x-none"/>
        </w:rPr>
        <w:t>Kentle</w:t>
      </w:r>
      <w:proofErr w:type="spellEnd"/>
      <w:r w:rsidRPr="00813D22">
        <w:rPr>
          <w:rFonts w:asciiTheme="majorBidi" w:hAnsiTheme="majorBidi" w:cstheme="majorBidi"/>
          <w:lang w:val="x-none"/>
        </w:rPr>
        <w:t>, 1991). To assess the Big Five personality trait, we used the</w:t>
      </w:r>
      <w:r w:rsidRPr="00813D22">
        <w:rPr>
          <w:rFonts w:asciiTheme="majorBidi" w:hAnsiTheme="majorBidi" w:cstheme="majorBidi"/>
        </w:rPr>
        <w:t xml:space="preserve"> </w:t>
      </w:r>
      <w:r w:rsidRPr="00813D22">
        <w:rPr>
          <w:rFonts w:asciiTheme="majorBidi" w:hAnsiTheme="majorBidi" w:cstheme="majorBidi"/>
          <w:lang w:val="x-none"/>
        </w:rPr>
        <w:t>Hebrew version (Etzion &amp; Laski, 1998) of the BFI (also see John &amp;</w:t>
      </w:r>
      <w:r w:rsidRPr="00813D22">
        <w:rPr>
          <w:rFonts w:asciiTheme="majorBidi" w:hAnsiTheme="majorBidi" w:cstheme="majorBidi"/>
        </w:rPr>
        <w:t xml:space="preserve"> </w:t>
      </w:r>
      <w:r w:rsidRPr="00813D22">
        <w:rPr>
          <w:rFonts w:asciiTheme="majorBidi" w:hAnsiTheme="majorBidi" w:cstheme="majorBidi"/>
          <w:lang w:val="x-none"/>
        </w:rPr>
        <w:t>Srivastava, 1999). The 44 items in the questionnaire describe five</w:t>
      </w:r>
      <w:r w:rsidRPr="00813D22">
        <w:rPr>
          <w:rFonts w:asciiTheme="majorBidi" w:hAnsiTheme="majorBidi" w:cstheme="majorBidi"/>
        </w:rPr>
        <w:t xml:space="preserve"> </w:t>
      </w:r>
      <w:r w:rsidRPr="00813D22">
        <w:rPr>
          <w:rFonts w:asciiTheme="majorBidi" w:hAnsiTheme="majorBidi" w:cstheme="majorBidi"/>
          <w:lang w:val="x-none"/>
        </w:rPr>
        <w:t>personality constructs: extraversion (8 items, e.g., “Like to talk a lot”),</w:t>
      </w:r>
      <w:r w:rsidRPr="00813D22">
        <w:rPr>
          <w:rFonts w:asciiTheme="majorBidi" w:hAnsiTheme="majorBidi" w:cstheme="majorBidi"/>
        </w:rPr>
        <w:t xml:space="preserve"> </w:t>
      </w:r>
      <w:r w:rsidRPr="00813D22">
        <w:rPr>
          <w:rFonts w:asciiTheme="majorBidi" w:hAnsiTheme="majorBidi" w:cstheme="majorBidi"/>
          <w:lang w:val="x-none"/>
        </w:rPr>
        <w:t>agreeableness (9 items, e.g., “Helpful and not selfish in relation to</w:t>
      </w:r>
      <w:r w:rsidRPr="00813D22">
        <w:rPr>
          <w:rFonts w:asciiTheme="majorBidi" w:hAnsiTheme="majorBidi" w:cstheme="majorBidi"/>
        </w:rPr>
        <w:t xml:space="preserve"> </w:t>
      </w:r>
      <w:r w:rsidRPr="00813D22">
        <w:rPr>
          <w:rFonts w:asciiTheme="majorBidi" w:hAnsiTheme="majorBidi" w:cstheme="majorBidi"/>
          <w:lang w:val="x-none"/>
        </w:rPr>
        <w:t>others”), openness to experiences (10 items, e.g., “Original, invents new</w:t>
      </w:r>
      <w:r w:rsidRPr="00813D22">
        <w:rPr>
          <w:rFonts w:asciiTheme="majorBidi" w:hAnsiTheme="majorBidi" w:cstheme="majorBidi"/>
        </w:rPr>
        <w:t xml:space="preserve"> </w:t>
      </w:r>
      <w:r w:rsidRPr="00813D22">
        <w:rPr>
          <w:rFonts w:asciiTheme="majorBidi" w:hAnsiTheme="majorBidi" w:cstheme="majorBidi"/>
          <w:lang w:val="x-none"/>
        </w:rPr>
        <w:t>ideas”), consciousness (9 items, e.g., “Does a thorough job”), and</w:t>
      </w:r>
      <w:r w:rsidRPr="00813D22">
        <w:rPr>
          <w:rFonts w:asciiTheme="majorBidi" w:hAnsiTheme="majorBidi" w:cstheme="majorBidi"/>
        </w:rPr>
        <w:t xml:space="preserve"> </w:t>
      </w:r>
      <w:r w:rsidRPr="00813D22">
        <w:rPr>
          <w:rFonts w:asciiTheme="majorBidi" w:hAnsiTheme="majorBidi" w:cstheme="majorBidi"/>
          <w:lang w:val="x-none"/>
        </w:rPr>
        <w:t>neuroticism (8 items, e.g., “Can be stressed out”). Participants were</w:t>
      </w:r>
      <w:r w:rsidRPr="00813D22">
        <w:rPr>
          <w:rFonts w:asciiTheme="majorBidi" w:hAnsiTheme="majorBidi" w:cstheme="majorBidi"/>
        </w:rPr>
        <w:t xml:space="preserve"> </w:t>
      </w:r>
      <w:r w:rsidRPr="00813D22">
        <w:rPr>
          <w:rFonts w:asciiTheme="majorBidi" w:hAnsiTheme="majorBidi" w:cstheme="majorBidi"/>
          <w:lang w:val="x-none"/>
        </w:rPr>
        <w:t>asked to rate the degree to which each statement describes them on a 5-</w:t>
      </w:r>
      <w:r w:rsidRPr="00813D22">
        <w:rPr>
          <w:rFonts w:asciiTheme="majorBidi" w:hAnsiTheme="majorBidi" w:cstheme="majorBidi"/>
        </w:rPr>
        <w:t xml:space="preserve"> </w:t>
      </w:r>
      <w:r w:rsidRPr="00813D22">
        <w:rPr>
          <w:rFonts w:asciiTheme="majorBidi" w:hAnsiTheme="majorBidi" w:cstheme="majorBidi"/>
          <w:lang w:val="x-none"/>
        </w:rPr>
        <w:t>point scale (1 – strongly disagree, 5 – strongly agree), with Cronbach’s</w:t>
      </w:r>
      <w:r w:rsidRPr="00813D22">
        <w:rPr>
          <w:rFonts w:asciiTheme="majorBidi" w:hAnsiTheme="majorBidi" w:cstheme="majorBidi"/>
        </w:rPr>
        <w:t xml:space="preserve"> </w:t>
      </w:r>
      <w:r w:rsidRPr="00813D22">
        <w:rPr>
          <w:rFonts w:asciiTheme="majorBidi" w:hAnsiTheme="majorBidi" w:cstheme="majorBidi"/>
          <w:lang w:val="x-none"/>
        </w:rPr>
        <w:t>alpha 0.6</w:t>
      </w:r>
      <w:r w:rsidRPr="00813D22">
        <w:rPr>
          <w:rFonts w:asciiTheme="majorBidi" w:hAnsiTheme="majorBidi" w:cstheme="majorBidi"/>
        </w:rPr>
        <w:t>7</w:t>
      </w:r>
      <w:r w:rsidRPr="00813D22">
        <w:rPr>
          <w:rFonts w:asciiTheme="majorBidi" w:hAnsiTheme="majorBidi" w:cstheme="majorBidi"/>
          <w:lang w:val="x-none"/>
        </w:rPr>
        <w:t>–0.7</w:t>
      </w:r>
      <w:r w:rsidRPr="00813D22">
        <w:rPr>
          <w:rFonts w:asciiTheme="majorBidi" w:hAnsiTheme="majorBidi" w:cstheme="majorBidi"/>
        </w:rPr>
        <w:t>8</w:t>
      </w:r>
      <w:r w:rsidRPr="00813D22">
        <w:rPr>
          <w:rFonts w:asciiTheme="majorBidi" w:hAnsiTheme="majorBidi" w:cstheme="majorBidi"/>
          <w:lang w:val="x-none"/>
        </w:rPr>
        <w:t>.</w:t>
      </w:r>
      <w:r w:rsidRPr="00813D22">
        <w:rPr>
          <w:rFonts w:asciiTheme="majorBidi" w:hAnsiTheme="majorBidi" w:cstheme="majorBidi"/>
          <w:b/>
          <w:bCs/>
          <w:color w:val="000000" w:themeColor="text1"/>
        </w:rPr>
        <w:t xml:space="preserve"> </w:t>
      </w:r>
      <w:r w:rsidRPr="00813D22">
        <w:rPr>
          <w:rFonts w:asciiTheme="majorBidi" w:hAnsiTheme="majorBidi" w:cstheme="majorBidi"/>
          <w:color w:val="000000" w:themeColor="text1"/>
        </w:rPr>
        <w:t>In current study,</w:t>
      </w:r>
      <w:r w:rsidRPr="00813D22">
        <w:rPr>
          <w:rFonts w:asciiTheme="majorBidi" w:hAnsiTheme="majorBidi" w:cstheme="majorBidi"/>
          <w:b/>
          <w:bCs/>
          <w:color w:val="000000" w:themeColor="text1"/>
        </w:rPr>
        <w:t xml:space="preserve"> </w:t>
      </w:r>
      <w:r w:rsidR="0011406E" w:rsidRPr="00813D22">
        <w:rPr>
          <w:rFonts w:asciiTheme="majorBidi" w:hAnsiTheme="majorBidi" w:cstheme="majorBidi"/>
          <w:color w:val="000000"/>
        </w:rPr>
        <w:t xml:space="preserve">because </w:t>
      </w:r>
      <w:r w:rsidR="00CE646D" w:rsidRPr="00813D22">
        <w:rPr>
          <w:rFonts w:asciiTheme="majorBidi" w:hAnsiTheme="majorBidi" w:cstheme="majorBidi"/>
          <w:color w:val="000000"/>
        </w:rPr>
        <w:t>I</w:t>
      </w:r>
      <w:r w:rsidR="0011406E" w:rsidRPr="00813D22">
        <w:rPr>
          <w:rFonts w:asciiTheme="majorBidi" w:hAnsiTheme="majorBidi" w:cstheme="majorBidi"/>
          <w:color w:val="000000"/>
        </w:rPr>
        <w:t xml:space="preserve"> use adolescent's sample</w:t>
      </w:r>
      <w:r w:rsidR="00391875" w:rsidRPr="00813D22">
        <w:rPr>
          <w:rFonts w:asciiTheme="majorBidi" w:hAnsiTheme="majorBidi" w:cstheme="majorBidi"/>
          <w:color w:val="000000"/>
        </w:rPr>
        <w:t xml:space="preserve"> (see Efrati 2018)</w:t>
      </w:r>
      <w:r w:rsidR="0011406E" w:rsidRPr="00813D22">
        <w:rPr>
          <w:rFonts w:asciiTheme="majorBidi" w:hAnsiTheme="majorBidi" w:cstheme="majorBidi"/>
          <w:color w:val="000000"/>
        </w:rPr>
        <w:t xml:space="preserve">, </w:t>
      </w:r>
      <w:r w:rsidR="00391875" w:rsidRPr="00813D22">
        <w:rPr>
          <w:rFonts w:asciiTheme="majorBidi" w:hAnsiTheme="majorBidi" w:cstheme="majorBidi"/>
          <w:color w:val="000000"/>
        </w:rPr>
        <w:t>I</w:t>
      </w:r>
      <w:r w:rsidR="0011406E" w:rsidRPr="00813D22">
        <w:rPr>
          <w:rFonts w:asciiTheme="majorBidi" w:hAnsiTheme="majorBidi" w:cstheme="majorBidi"/>
          <w:color w:val="000000"/>
        </w:rPr>
        <w:t xml:space="preserve"> focus on three dimensions: </w:t>
      </w:r>
      <w:r w:rsidR="0011406E" w:rsidRPr="00813D22">
        <w:rPr>
          <w:rFonts w:asciiTheme="majorBidi" w:hAnsiTheme="majorBidi" w:cstheme="majorBidi"/>
          <w:color w:val="000000"/>
          <w:lang w:val="x-none"/>
        </w:rPr>
        <w:t>extraversion</w:t>
      </w:r>
      <w:r w:rsidR="0011406E" w:rsidRPr="00813D22">
        <w:rPr>
          <w:rFonts w:asciiTheme="majorBidi" w:hAnsiTheme="majorBidi" w:cstheme="majorBidi"/>
          <w:color w:val="000000"/>
        </w:rPr>
        <w:t xml:space="preserve">, </w:t>
      </w:r>
      <w:r w:rsidR="0011406E" w:rsidRPr="00813D22">
        <w:rPr>
          <w:rFonts w:asciiTheme="majorBidi" w:hAnsiTheme="majorBidi" w:cstheme="majorBidi"/>
          <w:color w:val="000000"/>
          <w:lang w:val="x-none"/>
        </w:rPr>
        <w:t>neuroticism,</w:t>
      </w:r>
      <w:r w:rsidR="0011406E" w:rsidRPr="00813D22">
        <w:rPr>
          <w:rFonts w:asciiTheme="majorBidi" w:hAnsiTheme="majorBidi" w:cstheme="majorBidi"/>
          <w:color w:val="000000"/>
        </w:rPr>
        <w:t xml:space="preserve"> and </w:t>
      </w:r>
      <w:r w:rsidR="0011406E" w:rsidRPr="00813D22">
        <w:rPr>
          <w:rFonts w:asciiTheme="majorBidi" w:hAnsiTheme="majorBidi" w:cstheme="majorBidi"/>
          <w:color w:val="000000" w:themeColor="text1"/>
        </w:rPr>
        <w:t xml:space="preserve">openness to experience. </w:t>
      </w:r>
    </w:p>
    <w:p w14:paraId="0EF4213A" w14:textId="12C4321D" w:rsidR="00F471B2" w:rsidRPr="00813D22" w:rsidRDefault="00F471B2" w:rsidP="00377FEB">
      <w:pPr>
        <w:spacing w:line="480" w:lineRule="auto"/>
        <w:rPr>
          <w:rFonts w:asciiTheme="majorBidi" w:hAnsiTheme="majorBidi" w:cstheme="majorBidi"/>
          <w:lang w:val="x-none"/>
        </w:rPr>
      </w:pPr>
      <w:r w:rsidRPr="00813D22">
        <w:rPr>
          <w:rFonts w:asciiTheme="majorBidi" w:hAnsiTheme="majorBidi" w:cstheme="majorBidi"/>
          <w:b/>
          <w:bCs/>
          <w:lang w:val="x-none"/>
        </w:rPr>
        <w:t>The Individual-based Compulsive Sexual Behavior scale</w:t>
      </w:r>
      <w:r w:rsidRPr="00813D22">
        <w:rPr>
          <w:rFonts w:asciiTheme="majorBidi" w:hAnsiTheme="majorBidi" w:cstheme="majorBidi"/>
          <w:lang w:val="x-none"/>
        </w:rPr>
        <w:t xml:space="preserve"> (I-CSB;</w:t>
      </w:r>
      <w:r w:rsidRPr="00813D22">
        <w:rPr>
          <w:rFonts w:asciiTheme="majorBidi" w:hAnsiTheme="majorBidi" w:cstheme="majorBidi"/>
        </w:rPr>
        <w:t xml:space="preserve"> </w:t>
      </w:r>
      <w:r w:rsidRPr="00813D22">
        <w:rPr>
          <w:rFonts w:asciiTheme="majorBidi" w:hAnsiTheme="majorBidi" w:cstheme="majorBidi"/>
          <w:lang w:val="x-none"/>
        </w:rPr>
        <w:t xml:space="preserve">Efrati &amp; </w:t>
      </w:r>
      <w:proofErr w:type="spellStart"/>
      <w:r w:rsidRPr="00813D22">
        <w:rPr>
          <w:rFonts w:asciiTheme="majorBidi" w:hAnsiTheme="majorBidi" w:cstheme="majorBidi"/>
          <w:lang w:val="x-none"/>
        </w:rPr>
        <w:t>Mikulincer</w:t>
      </w:r>
      <w:proofErr w:type="spellEnd"/>
      <w:r w:rsidRPr="00813D22">
        <w:rPr>
          <w:rFonts w:asciiTheme="majorBidi" w:hAnsiTheme="majorBidi" w:cstheme="majorBidi"/>
          <w:lang w:val="x-none"/>
        </w:rPr>
        <w:t>, 2018). The I-CSB was developed to assess distinct</w:t>
      </w:r>
      <w:r w:rsidRPr="00813D22">
        <w:rPr>
          <w:rFonts w:asciiTheme="majorBidi" w:hAnsiTheme="majorBidi" w:cstheme="majorBidi"/>
        </w:rPr>
        <w:t xml:space="preserve"> </w:t>
      </w:r>
      <w:r w:rsidRPr="00813D22">
        <w:rPr>
          <w:rFonts w:asciiTheme="majorBidi" w:hAnsiTheme="majorBidi" w:cstheme="majorBidi"/>
          <w:lang w:val="x-none"/>
        </w:rPr>
        <w:t>aspects of CSB, such as sexual fantasies, obsessive sexual thoughts, and</w:t>
      </w:r>
      <w:r w:rsidRPr="00813D22">
        <w:rPr>
          <w:rFonts w:asciiTheme="majorBidi" w:hAnsiTheme="majorBidi" w:cstheme="majorBidi"/>
        </w:rPr>
        <w:t xml:space="preserve"> </w:t>
      </w:r>
      <w:r w:rsidRPr="00813D22">
        <w:rPr>
          <w:rFonts w:asciiTheme="majorBidi" w:hAnsiTheme="majorBidi" w:cstheme="majorBidi"/>
          <w:lang w:val="x-none"/>
        </w:rPr>
        <w:t xml:space="preserve">spending a great deal of time watching pornography. The I-CSB is a </w:t>
      </w:r>
      <w:proofErr w:type="spellStart"/>
      <w:r w:rsidRPr="00813D22">
        <w:rPr>
          <w:rFonts w:asciiTheme="majorBidi" w:hAnsiTheme="majorBidi" w:cstheme="majorBidi"/>
          <w:lang w:val="x-none"/>
        </w:rPr>
        <w:t>selfreport</w:t>
      </w:r>
      <w:proofErr w:type="spellEnd"/>
      <w:r w:rsidRPr="00813D22">
        <w:rPr>
          <w:rFonts w:asciiTheme="majorBidi" w:hAnsiTheme="majorBidi" w:cstheme="majorBidi"/>
          <w:lang w:val="x-none"/>
        </w:rPr>
        <w:t xml:space="preserve"> questionnaire with 24 items measuring the</w:t>
      </w:r>
      <w:r w:rsidRPr="00813D22">
        <w:rPr>
          <w:rFonts w:asciiTheme="majorBidi" w:hAnsiTheme="majorBidi" w:cstheme="majorBidi"/>
        </w:rPr>
        <w:t xml:space="preserve"> </w:t>
      </w:r>
      <w:r w:rsidRPr="00813D22">
        <w:rPr>
          <w:rFonts w:asciiTheme="majorBidi" w:hAnsiTheme="majorBidi" w:cstheme="majorBidi"/>
          <w:lang w:val="x-none"/>
        </w:rPr>
        <w:t>following factors:</w:t>
      </w:r>
      <w:r w:rsidRPr="00813D22">
        <w:rPr>
          <w:rFonts w:asciiTheme="majorBidi" w:hAnsiTheme="majorBidi" w:cstheme="majorBidi"/>
        </w:rPr>
        <w:t xml:space="preserve"> </w:t>
      </w:r>
      <w:r w:rsidRPr="00813D22">
        <w:rPr>
          <w:rFonts w:asciiTheme="majorBidi" w:hAnsiTheme="majorBidi" w:cstheme="majorBidi"/>
          <w:lang w:val="x-none"/>
        </w:rPr>
        <w:t>Unwanted consequences (e.g., “I feel that my sexual fantasies hurt those</w:t>
      </w:r>
      <w:r w:rsidRPr="00813D22">
        <w:rPr>
          <w:rFonts w:asciiTheme="majorBidi" w:hAnsiTheme="majorBidi" w:cstheme="majorBidi"/>
        </w:rPr>
        <w:t xml:space="preserve"> </w:t>
      </w:r>
      <w:r w:rsidRPr="00813D22">
        <w:rPr>
          <w:rFonts w:asciiTheme="majorBidi" w:hAnsiTheme="majorBidi" w:cstheme="majorBidi"/>
          <w:lang w:val="x-none"/>
        </w:rPr>
        <w:t>around me”); lack of control (e.g., “I waste lots of time with my sexual</w:t>
      </w:r>
      <w:r w:rsidRPr="00813D22">
        <w:rPr>
          <w:rFonts w:asciiTheme="majorBidi" w:hAnsiTheme="majorBidi" w:cstheme="majorBidi"/>
        </w:rPr>
        <w:t xml:space="preserve"> </w:t>
      </w:r>
      <w:r w:rsidRPr="00813D22">
        <w:rPr>
          <w:rFonts w:asciiTheme="majorBidi" w:hAnsiTheme="majorBidi" w:cstheme="majorBidi"/>
          <w:lang w:val="x-none"/>
        </w:rPr>
        <w:t>fantasies”); negative affect (e.g., “I feel bad when I don’t manage to</w:t>
      </w:r>
      <w:r w:rsidRPr="00813D22">
        <w:rPr>
          <w:rFonts w:asciiTheme="majorBidi" w:hAnsiTheme="majorBidi" w:cstheme="majorBidi"/>
        </w:rPr>
        <w:t xml:space="preserve"> </w:t>
      </w:r>
      <w:r w:rsidRPr="00813D22">
        <w:rPr>
          <w:rFonts w:asciiTheme="majorBidi" w:hAnsiTheme="majorBidi" w:cstheme="majorBidi"/>
          <w:lang w:val="x-none"/>
        </w:rPr>
        <w:t xml:space="preserve">control my sexual urges”); and </w:t>
      </w:r>
      <w:r w:rsidRPr="00813D22">
        <w:rPr>
          <w:rFonts w:asciiTheme="majorBidi" w:hAnsiTheme="majorBidi" w:cstheme="majorBidi"/>
          <w:lang w:val="x-none"/>
        </w:rPr>
        <w:lastRenderedPageBreak/>
        <w:t>affect regulation (e.g., “I turn to sexual</w:t>
      </w:r>
      <w:r w:rsidRPr="00813D22">
        <w:rPr>
          <w:rFonts w:asciiTheme="majorBidi" w:hAnsiTheme="majorBidi" w:cstheme="majorBidi"/>
        </w:rPr>
        <w:t xml:space="preserve"> </w:t>
      </w:r>
      <w:r w:rsidRPr="00813D22">
        <w:rPr>
          <w:rFonts w:asciiTheme="majorBidi" w:hAnsiTheme="majorBidi" w:cstheme="majorBidi"/>
          <w:lang w:val="x-none"/>
        </w:rPr>
        <w:t>fantasies as a way to cope with my problems”). Using a 7-point Likert</w:t>
      </w:r>
      <w:r w:rsidRPr="00813D22">
        <w:rPr>
          <w:rFonts w:asciiTheme="majorBidi" w:hAnsiTheme="majorBidi" w:cstheme="majorBidi"/>
        </w:rPr>
        <w:t xml:space="preserve"> </w:t>
      </w:r>
      <w:r w:rsidRPr="00813D22">
        <w:rPr>
          <w:rFonts w:asciiTheme="majorBidi" w:hAnsiTheme="majorBidi" w:cstheme="majorBidi"/>
          <w:lang w:val="x-none"/>
        </w:rPr>
        <w:t>scale, participants were asked to rate the degree to which each statement</w:t>
      </w:r>
      <w:r w:rsidRPr="00813D22">
        <w:rPr>
          <w:rFonts w:asciiTheme="majorBidi" w:hAnsiTheme="majorBidi" w:cstheme="majorBidi"/>
        </w:rPr>
        <w:t xml:space="preserve"> </w:t>
      </w:r>
      <w:r w:rsidRPr="00813D22">
        <w:rPr>
          <w:rFonts w:asciiTheme="majorBidi" w:hAnsiTheme="majorBidi" w:cstheme="majorBidi"/>
          <w:lang w:val="x-none"/>
        </w:rPr>
        <w:t>is descriptive of their feelings (1 – not at all, 7 – very much). The questionnaire was successfully used in previous research on non-clinical</w:t>
      </w:r>
      <w:r w:rsidR="00335F2D" w:rsidRPr="00813D22">
        <w:rPr>
          <w:rFonts w:asciiTheme="majorBidi" w:hAnsiTheme="majorBidi" w:cstheme="majorBidi"/>
        </w:rPr>
        <w:t xml:space="preserve"> </w:t>
      </w:r>
      <w:r w:rsidRPr="00813D22">
        <w:rPr>
          <w:rFonts w:asciiTheme="majorBidi" w:hAnsiTheme="majorBidi" w:cstheme="majorBidi"/>
          <w:lang w:val="x-none"/>
        </w:rPr>
        <w:t>populations of adults and adolescents (Efrati &amp; Gola, 2019</w:t>
      </w:r>
      <w:r w:rsidR="00FF3E9D" w:rsidRPr="00813D22">
        <w:rPr>
          <w:rFonts w:asciiTheme="majorBidi" w:hAnsiTheme="majorBidi" w:cstheme="majorBidi"/>
        </w:rPr>
        <w:t>a</w:t>
      </w:r>
      <w:r w:rsidRPr="00813D22">
        <w:rPr>
          <w:rFonts w:asciiTheme="majorBidi" w:hAnsiTheme="majorBidi" w:cstheme="majorBidi"/>
          <w:lang w:val="x-none"/>
        </w:rPr>
        <w:t>)</w:t>
      </w:r>
      <w:r w:rsidR="00BF525E" w:rsidRPr="00813D22">
        <w:rPr>
          <w:rFonts w:asciiTheme="majorBidi" w:hAnsiTheme="majorBidi" w:cstheme="majorBidi"/>
        </w:rPr>
        <w:t xml:space="preserve">. </w:t>
      </w:r>
      <w:r w:rsidRPr="00813D22">
        <w:rPr>
          <w:rFonts w:asciiTheme="majorBidi" w:hAnsiTheme="majorBidi" w:cstheme="majorBidi"/>
          <w:lang w:val="x-none"/>
        </w:rPr>
        <w:t>Cronbach’s alphas</w:t>
      </w:r>
      <w:r w:rsidR="00335F2D" w:rsidRPr="00813D22">
        <w:rPr>
          <w:rFonts w:asciiTheme="majorBidi" w:hAnsiTheme="majorBidi" w:cstheme="majorBidi"/>
        </w:rPr>
        <w:t xml:space="preserve"> </w:t>
      </w:r>
      <w:r w:rsidRPr="00813D22">
        <w:rPr>
          <w:rFonts w:asciiTheme="majorBidi" w:hAnsiTheme="majorBidi" w:cstheme="majorBidi"/>
          <w:lang w:val="x-none"/>
        </w:rPr>
        <w:t>were 0.8</w:t>
      </w:r>
      <w:r w:rsidR="00335F2D" w:rsidRPr="00813D22">
        <w:rPr>
          <w:rFonts w:asciiTheme="majorBidi" w:hAnsiTheme="majorBidi" w:cstheme="majorBidi"/>
        </w:rPr>
        <w:t>4</w:t>
      </w:r>
      <w:r w:rsidRPr="00813D22">
        <w:rPr>
          <w:rFonts w:asciiTheme="majorBidi" w:hAnsiTheme="majorBidi" w:cstheme="majorBidi"/>
          <w:lang w:val="x-none"/>
        </w:rPr>
        <w:t xml:space="preserve"> for unwanted consequences, 0.8</w:t>
      </w:r>
      <w:r w:rsidR="00335F2D" w:rsidRPr="00813D22">
        <w:rPr>
          <w:rFonts w:asciiTheme="majorBidi" w:hAnsiTheme="majorBidi" w:cstheme="majorBidi"/>
        </w:rPr>
        <w:t>8</w:t>
      </w:r>
      <w:r w:rsidRPr="00813D22">
        <w:rPr>
          <w:rFonts w:asciiTheme="majorBidi" w:hAnsiTheme="majorBidi" w:cstheme="majorBidi"/>
          <w:lang w:val="x-none"/>
        </w:rPr>
        <w:t xml:space="preserve"> for lack of control, 0.8</w:t>
      </w:r>
      <w:r w:rsidR="00335F2D" w:rsidRPr="00813D22">
        <w:rPr>
          <w:rFonts w:asciiTheme="majorBidi" w:hAnsiTheme="majorBidi" w:cstheme="majorBidi"/>
        </w:rPr>
        <w:t>7</w:t>
      </w:r>
      <w:r w:rsidRPr="00813D22">
        <w:rPr>
          <w:rFonts w:asciiTheme="majorBidi" w:hAnsiTheme="majorBidi" w:cstheme="majorBidi"/>
          <w:lang w:val="x-none"/>
        </w:rPr>
        <w:t xml:space="preserve"> for</w:t>
      </w:r>
      <w:r w:rsidR="00335F2D" w:rsidRPr="00813D22">
        <w:rPr>
          <w:rFonts w:asciiTheme="majorBidi" w:hAnsiTheme="majorBidi" w:cstheme="majorBidi"/>
        </w:rPr>
        <w:t xml:space="preserve"> </w:t>
      </w:r>
      <w:r w:rsidRPr="00813D22">
        <w:rPr>
          <w:rFonts w:asciiTheme="majorBidi" w:hAnsiTheme="majorBidi" w:cstheme="majorBidi"/>
          <w:lang w:val="x-none"/>
        </w:rPr>
        <w:t>negative affect, and 0.8</w:t>
      </w:r>
      <w:r w:rsidR="00335F2D" w:rsidRPr="00813D22">
        <w:rPr>
          <w:rFonts w:asciiTheme="majorBidi" w:hAnsiTheme="majorBidi" w:cstheme="majorBidi"/>
        </w:rPr>
        <w:t>5</w:t>
      </w:r>
      <w:r w:rsidRPr="00813D22">
        <w:rPr>
          <w:rFonts w:asciiTheme="majorBidi" w:hAnsiTheme="majorBidi" w:cstheme="majorBidi"/>
          <w:lang w:val="x-none"/>
        </w:rPr>
        <w:t xml:space="preserve"> for affect regulation. We also computed a total</w:t>
      </w:r>
      <w:r w:rsidR="00335F2D" w:rsidRPr="00813D22">
        <w:rPr>
          <w:rFonts w:asciiTheme="majorBidi" w:hAnsiTheme="majorBidi" w:cstheme="majorBidi"/>
        </w:rPr>
        <w:t xml:space="preserve"> </w:t>
      </w:r>
      <w:r w:rsidRPr="00813D22">
        <w:rPr>
          <w:rFonts w:asciiTheme="majorBidi" w:hAnsiTheme="majorBidi" w:cstheme="majorBidi"/>
          <w:lang w:val="x-none"/>
        </w:rPr>
        <w:t>I-CSB score by averaging the 24 I-CSB items (Cronbach’s alpha = 0.93).</w:t>
      </w:r>
      <w:r w:rsidR="00335F2D" w:rsidRPr="00813D22">
        <w:rPr>
          <w:rFonts w:asciiTheme="majorBidi" w:hAnsiTheme="majorBidi" w:cstheme="majorBidi"/>
        </w:rPr>
        <w:t xml:space="preserve"> </w:t>
      </w:r>
    </w:p>
    <w:p w14:paraId="0FBFA54C" w14:textId="4D14CFE4" w:rsidR="00DD3A50" w:rsidRPr="00813D22" w:rsidRDefault="00DD3A50" w:rsidP="00DD3A50">
      <w:pPr>
        <w:shd w:val="clear" w:color="auto" w:fill="FFFFFF"/>
        <w:spacing w:before="240" w:after="120" w:line="480" w:lineRule="auto"/>
        <w:rPr>
          <w:rFonts w:asciiTheme="majorBidi" w:hAnsiTheme="majorBidi" w:cstheme="majorBidi"/>
        </w:rPr>
      </w:pPr>
      <w:r w:rsidRPr="00813D22">
        <w:rPr>
          <w:rFonts w:asciiTheme="majorBidi" w:hAnsiTheme="majorBidi" w:cstheme="majorBidi"/>
          <w:b/>
          <w:bCs/>
        </w:rPr>
        <w:t>Rumination and reﬂection</w:t>
      </w:r>
      <w:r w:rsidRPr="00813D22">
        <w:rPr>
          <w:rFonts w:asciiTheme="majorBidi" w:hAnsiTheme="majorBidi" w:cstheme="majorBidi"/>
        </w:rPr>
        <w:t xml:space="preserve"> were measured with the 24-item </w:t>
      </w:r>
      <w:r w:rsidRPr="00813D22">
        <w:rPr>
          <w:rFonts w:asciiTheme="majorBidi" w:hAnsiTheme="majorBidi" w:cstheme="majorBidi"/>
          <w:i/>
          <w:iCs/>
        </w:rPr>
        <w:t>Rumination</w:t>
      </w:r>
      <w:r w:rsidRPr="00813D22">
        <w:rPr>
          <w:rFonts w:asciiTheme="majorBidi" w:hAnsiTheme="majorBidi" w:cstheme="majorBidi"/>
        </w:rPr>
        <w:t>-</w:t>
      </w:r>
      <w:r w:rsidRPr="00813D22">
        <w:rPr>
          <w:rFonts w:asciiTheme="majorBidi" w:hAnsiTheme="majorBidi" w:cstheme="majorBidi"/>
          <w:i/>
          <w:iCs/>
        </w:rPr>
        <w:t>Reﬂection Questionnaire</w:t>
      </w:r>
      <w:r w:rsidRPr="00813D22">
        <w:rPr>
          <w:rFonts w:asciiTheme="majorBidi" w:hAnsiTheme="majorBidi" w:cstheme="majorBidi"/>
        </w:rPr>
        <w:t xml:space="preserve"> (RRQ; see </w:t>
      </w:r>
      <w:proofErr w:type="spellStart"/>
      <w:r w:rsidRPr="00813D22">
        <w:rPr>
          <w:rFonts w:asciiTheme="majorBidi" w:hAnsiTheme="majorBidi" w:cstheme="majorBidi"/>
        </w:rPr>
        <w:t>Trapnell</w:t>
      </w:r>
      <w:proofErr w:type="spellEnd"/>
      <w:r w:rsidRPr="00813D22">
        <w:rPr>
          <w:rFonts w:asciiTheme="majorBidi" w:hAnsiTheme="majorBidi" w:cstheme="majorBidi"/>
        </w:rPr>
        <w:t xml:space="preserve"> &amp; Campbell, 1999, p. 293, for the items). The scale contains 12-item scales for rumination and reﬂection. The perception of self-other similarity was measured with three items: ‘‘I'm </w:t>
      </w:r>
      <w:proofErr w:type="gramStart"/>
      <w:r w:rsidRPr="00813D22">
        <w:rPr>
          <w:rFonts w:asciiTheme="majorBidi" w:hAnsiTheme="majorBidi" w:cstheme="majorBidi"/>
        </w:rPr>
        <w:t>similar to</w:t>
      </w:r>
      <w:proofErr w:type="gramEnd"/>
      <w:r w:rsidRPr="00813D22">
        <w:rPr>
          <w:rFonts w:asciiTheme="majorBidi" w:hAnsiTheme="majorBidi" w:cstheme="majorBidi"/>
        </w:rPr>
        <w:t xml:space="preserve"> people in general”</w:t>
      </w:r>
      <w:r w:rsidR="00391875" w:rsidRPr="00813D22">
        <w:rPr>
          <w:rFonts w:asciiTheme="majorBidi" w:hAnsiTheme="majorBidi" w:cstheme="majorBidi"/>
        </w:rPr>
        <w:t>,</w:t>
      </w:r>
      <w:r w:rsidRPr="00813D22">
        <w:rPr>
          <w:rFonts w:asciiTheme="majorBidi" w:hAnsiTheme="majorBidi" w:cstheme="majorBidi"/>
        </w:rPr>
        <w:t xml:space="preserve"> “Overall, I have a lot in common with other people,” and “In general, I'm very different from other people” (reverse-scored). Participants responded on a 7-point Likert scale (1 – </w:t>
      </w:r>
      <w:r w:rsidRPr="00813D22">
        <w:rPr>
          <w:rFonts w:asciiTheme="majorBidi" w:hAnsiTheme="majorBidi" w:cstheme="majorBidi"/>
          <w:i/>
          <w:iCs/>
        </w:rPr>
        <w:t xml:space="preserve">strongly disagree, </w:t>
      </w:r>
      <w:r w:rsidRPr="00813D22">
        <w:rPr>
          <w:rFonts w:asciiTheme="majorBidi" w:hAnsiTheme="majorBidi" w:cstheme="majorBidi"/>
        </w:rPr>
        <w:t xml:space="preserve">7 – </w:t>
      </w:r>
      <w:r w:rsidRPr="00813D22">
        <w:rPr>
          <w:rFonts w:asciiTheme="majorBidi" w:hAnsiTheme="majorBidi" w:cstheme="majorBidi"/>
          <w:i/>
          <w:iCs/>
        </w:rPr>
        <w:t>strongly agree</w:t>
      </w:r>
      <w:r w:rsidRPr="00813D22">
        <w:rPr>
          <w:rFonts w:asciiTheme="majorBidi" w:hAnsiTheme="majorBidi" w:cstheme="majorBidi"/>
        </w:rPr>
        <w:t xml:space="preserve">). It should be noted here that previous research typically measured self-other similarity with single-item scales (e.g., </w:t>
      </w:r>
      <w:proofErr w:type="spellStart"/>
      <w:r w:rsidRPr="00813D22">
        <w:rPr>
          <w:rFonts w:asciiTheme="majorBidi" w:hAnsiTheme="majorBidi" w:cstheme="majorBidi"/>
        </w:rPr>
        <w:t>Srull</w:t>
      </w:r>
      <w:proofErr w:type="spellEnd"/>
      <w:r w:rsidRPr="00813D22">
        <w:rPr>
          <w:rFonts w:asciiTheme="majorBidi" w:hAnsiTheme="majorBidi" w:cstheme="majorBidi"/>
        </w:rPr>
        <w:t xml:space="preserve"> &amp; </w:t>
      </w:r>
      <w:proofErr w:type="spellStart"/>
      <w:r w:rsidRPr="00813D22">
        <w:rPr>
          <w:rFonts w:asciiTheme="majorBidi" w:hAnsiTheme="majorBidi" w:cstheme="majorBidi"/>
        </w:rPr>
        <w:t>Gaelick</w:t>
      </w:r>
      <w:proofErr w:type="spellEnd"/>
      <w:r w:rsidRPr="00813D22">
        <w:rPr>
          <w:rFonts w:asciiTheme="majorBidi" w:hAnsiTheme="majorBidi" w:cstheme="majorBidi"/>
        </w:rPr>
        <w:t xml:space="preserve">, 1983; </w:t>
      </w:r>
      <w:proofErr w:type="spellStart"/>
      <w:r w:rsidRPr="00813D22">
        <w:rPr>
          <w:rFonts w:asciiTheme="majorBidi" w:hAnsiTheme="majorBidi" w:cstheme="majorBidi"/>
        </w:rPr>
        <w:t>Trapnell</w:t>
      </w:r>
      <w:proofErr w:type="spellEnd"/>
      <w:r w:rsidRPr="00813D22">
        <w:rPr>
          <w:rFonts w:asciiTheme="majorBidi" w:hAnsiTheme="majorBidi" w:cstheme="majorBidi"/>
        </w:rPr>
        <w:t xml:space="preserve"> &amp; Campbell, 1999). The self-other similarity items always appeared after both the RRQ and the word-recognition measure. Alpha was .85 for rumination and .88 for reflection. </w:t>
      </w:r>
    </w:p>
    <w:p w14:paraId="53037277" w14:textId="1C4086FE" w:rsidR="00BD0EAF" w:rsidRPr="00813D22" w:rsidRDefault="00BD0EAF" w:rsidP="00F54DDE">
      <w:pPr>
        <w:shd w:val="clear" w:color="auto" w:fill="FFFFFF"/>
        <w:spacing w:after="120" w:line="480" w:lineRule="auto"/>
        <w:rPr>
          <w:rFonts w:asciiTheme="majorBidi" w:hAnsiTheme="majorBidi" w:cstheme="majorBidi"/>
        </w:rPr>
      </w:pPr>
      <w:r w:rsidRPr="00813D22">
        <w:rPr>
          <w:rFonts w:asciiTheme="majorBidi" w:hAnsiTheme="majorBidi" w:cstheme="majorBidi"/>
          <w:b/>
          <w:bCs/>
        </w:rPr>
        <w:t>The Emotion Regulation Questionnaire for Children and Adolescents</w:t>
      </w:r>
      <w:r w:rsidRPr="00813D22">
        <w:rPr>
          <w:rFonts w:asciiTheme="majorBidi" w:hAnsiTheme="majorBidi" w:cstheme="majorBidi"/>
        </w:rPr>
        <w:t xml:space="preserve"> (ERQ–CA). This scale, developed by </w:t>
      </w:r>
      <w:proofErr w:type="spellStart"/>
      <w:r w:rsidRPr="00813D22">
        <w:rPr>
          <w:rFonts w:asciiTheme="majorBidi" w:hAnsiTheme="majorBidi" w:cstheme="majorBidi"/>
        </w:rPr>
        <w:t>Gullone</w:t>
      </w:r>
      <w:proofErr w:type="spellEnd"/>
      <w:r w:rsidRPr="00813D22">
        <w:rPr>
          <w:rFonts w:asciiTheme="majorBidi" w:hAnsiTheme="majorBidi" w:cstheme="majorBidi"/>
        </w:rPr>
        <w:t xml:space="preserve"> and </w:t>
      </w:r>
      <w:proofErr w:type="spellStart"/>
      <w:r w:rsidRPr="00813D22">
        <w:rPr>
          <w:rFonts w:asciiTheme="majorBidi" w:hAnsiTheme="majorBidi" w:cstheme="majorBidi"/>
        </w:rPr>
        <w:t>Taffe</w:t>
      </w:r>
      <w:proofErr w:type="spellEnd"/>
      <w:r w:rsidRPr="00813D22">
        <w:rPr>
          <w:rFonts w:asciiTheme="majorBidi" w:hAnsiTheme="majorBidi" w:cstheme="majorBidi"/>
        </w:rPr>
        <w:t xml:space="preserve"> (2012), was based on the ERQ questionnaire (Gross &amp; John, 2003). The scale contains 10-item scales for assessing the ER strategies of cognitive reappraisal (CR) (6 items) and expressive suppression (ES) (4 items). Items </w:t>
      </w:r>
      <w:r w:rsidRPr="00813D22">
        <w:rPr>
          <w:rFonts w:asciiTheme="majorBidi" w:hAnsiTheme="majorBidi" w:cstheme="majorBidi"/>
        </w:rPr>
        <w:lastRenderedPageBreak/>
        <w:t xml:space="preserve">are rated on a 5-point Likert response scale (1 – strongly disagree, 5 – strongly agree), with higher scores indicating greater use of the corresponding ER strategy. Examples of such statements are “When I want to feel happier, I think about something different” (Item 1). “I control my feelings by not showing them” (Item 6). </w:t>
      </w:r>
      <w:r w:rsidR="00A51CCF" w:rsidRPr="00813D22">
        <w:rPr>
          <w:rFonts w:asciiTheme="majorBidi" w:hAnsiTheme="majorBidi" w:cstheme="majorBidi"/>
        </w:rPr>
        <w:t xml:space="preserve">we used the Hebrew version (Efrati &amp; </w:t>
      </w:r>
      <w:proofErr w:type="spellStart"/>
      <w:r w:rsidR="00A51CCF" w:rsidRPr="00813D22">
        <w:rPr>
          <w:rFonts w:asciiTheme="majorBidi" w:hAnsiTheme="majorBidi" w:cstheme="majorBidi"/>
        </w:rPr>
        <w:t>Amichai</w:t>
      </w:r>
      <w:proofErr w:type="spellEnd"/>
      <w:r w:rsidR="00A51CCF" w:rsidRPr="00813D22">
        <w:rPr>
          <w:rFonts w:asciiTheme="majorBidi" w:hAnsiTheme="majorBidi" w:cstheme="majorBidi"/>
        </w:rPr>
        <w:t>-Hamburger, 2020)</w:t>
      </w:r>
      <w:r w:rsidRPr="00813D22">
        <w:rPr>
          <w:rFonts w:asciiTheme="majorBidi" w:hAnsiTheme="majorBidi" w:cstheme="majorBidi"/>
        </w:rPr>
        <w:t>. Alpha was 0.79 for Reappraisal and 0.72 for Suppression</w:t>
      </w:r>
      <w:r w:rsidR="00A51CCF" w:rsidRPr="00813D22">
        <w:rPr>
          <w:rFonts w:asciiTheme="majorBidi" w:hAnsiTheme="majorBidi" w:cstheme="majorBidi"/>
        </w:rPr>
        <w:t>.</w:t>
      </w:r>
    </w:p>
    <w:p w14:paraId="53703EDC" w14:textId="4CB86754" w:rsidR="00F54DDE" w:rsidRPr="00813D22" w:rsidRDefault="000B478D" w:rsidP="00F33F9A">
      <w:pPr>
        <w:shd w:val="clear" w:color="auto" w:fill="FFFFFF"/>
        <w:spacing w:after="120" w:line="480" w:lineRule="auto"/>
        <w:rPr>
          <w:rFonts w:asciiTheme="majorBidi" w:hAnsiTheme="majorBidi" w:cstheme="majorBidi"/>
        </w:rPr>
      </w:pPr>
      <w:r w:rsidRPr="00813D22">
        <w:rPr>
          <w:rFonts w:asciiTheme="majorBidi" w:hAnsiTheme="majorBidi" w:cstheme="majorBidi"/>
          <w:b/>
          <w:bCs/>
        </w:rPr>
        <w:t xml:space="preserve">Depression and Anxiety. </w:t>
      </w:r>
      <w:r w:rsidR="00DD3A50" w:rsidRPr="00813D22">
        <w:rPr>
          <w:rFonts w:asciiTheme="majorBidi" w:hAnsiTheme="majorBidi" w:cstheme="majorBidi"/>
        </w:rPr>
        <w:t>The Brief Symptom Inventory is a shortened (53 items) version of the SCL-90-</w:t>
      </w:r>
      <w:proofErr w:type="gramStart"/>
      <w:r w:rsidR="00DD3A50" w:rsidRPr="00813D22">
        <w:rPr>
          <w:rFonts w:asciiTheme="majorBidi" w:hAnsiTheme="majorBidi" w:cstheme="majorBidi"/>
        </w:rPr>
        <w:t>R, and</w:t>
      </w:r>
      <w:proofErr w:type="gramEnd"/>
      <w:r w:rsidR="00DD3A50" w:rsidRPr="00813D22">
        <w:rPr>
          <w:rFonts w:asciiTheme="majorBidi" w:hAnsiTheme="majorBidi" w:cstheme="majorBidi"/>
        </w:rPr>
        <w:t xml:space="preserve"> was found appropriate for the Israeli population (</w:t>
      </w:r>
      <w:proofErr w:type="spellStart"/>
      <w:r w:rsidR="00DD3A50" w:rsidRPr="00813D22">
        <w:rPr>
          <w:rFonts w:asciiTheme="majorBidi" w:hAnsiTheme="majorBidi" w:cstheme="majorBidi"/>
        </w:rPr>
        <w:t>Gilbar</w:t>
      </w:r>
      <w:proofErr w:type="spellEnd"/>
      <w:r w:rsidR="00DD3A50" w:rsidRPr="00813D22">
        <w:rPr>
          <w:rFonts w:asciiTheme="majorBidi" w:hAnsiTheme="majorBidi" w:cstheme="majorBidi"/>
        </w:rPr>
        <w:t xml:space="preserve"> &amp; Ben-</w:t>
      </w:r>
      <w:proofErr w:type="spellStart"/>
      <w:r w:rsidR="00DD3A50" w:rsidRPr="00813D22">
        <w:rPr>
          <w:rFonts w:asciiTheme="majorBidi" w:hAnsiTheme="majorBidi" w:cstheme="majorBidi"/>
        </w:rPr>
        <w:t>Zur</w:t>
      </w:r>
      <w:proofErr w:type="spellEnd"/>
      <w:r w:rsidR="00DD3A50" w:rsidRPr="00813D22">
        <w:rPr>
          <w:rFonts w:asciiTheme="majorBidi" w:hAnsiTheme="majorBidi" w:cstheme="majorBidi"/>
        </w:rPr>
        <w:t>, 2002).  It is a well-tried instrument for assessing psychological distress, with good psychometric properties (</w:t>
      </w:r>
      <w:proofErr w:type="spellStart"/>
      <w:r w:rsidR="00DD3A50" w:rsidRPr="00813D22">
        <w:rPr>
          <w:rFonts w:asciiTheme="majorBidi" w:hAnsiTheme="majorBidi" w:cstheme="majorBidi"/>
        </w:rPr>
        <w:t>Derogatis</w:t>
      </w:r>
      <w:proofErr w:type="spellEnd"/>
      <w:r w:rsidR="00DD3A50" w:rsidRPr="00813D22">
        <w:rPr>
          <w:rFonts w:asciiTheme="majorBidi" w:hAnsiTheme="majorBidi" w:cstheme="majorBidi"/>
        </w:rPr>
        <w:t xml:space="preserve"> &amp; </w:t>
      </w:r>
      <w:proofErr w:type="spellStart"/>
      <w:r w:rsidR="00DD3A50" w:rsidRPr="00813D22">
        <w:rPr>
          <w:rFonts w:asciiTheme="majorBidi" w:hAnsiTheme="majorBidi" w:cstheme="majorBidi"/>
        </w:rPr>
        <w:t>Melisaratos</w:t>
      </w:r>
      <w:proofErr w:type="spellEnd"/>
      <w:r w:rsidR="00DD3A50" w:rsidRPr="00813D22">
        <w:rPr>
          <w:rFonts w:asciiTheme="majorBidi" w:hAnsiTheme="majorBidi" w:cstheme="majorBidi"/>
        </w:rPr>
        <w:t>, 1983), The Inventory is composed of nine symptom dimensions: somatization, obsessive-compulsive, interpersonal sensitivity, depression, anxiety, hostility, phobic anxiety, paranoid ideation, and psychoticism. Each item is scored on a 5-point scale (0 – </w:t>
      </w:r>
      <w:r w:rsidR="00DD3A50" w:rsidRPr="00813D22">
        <w:rPr>
          <w:rFonts w:asciiTheme="majorBidi" w:hAnsiTheme="majorBidi" w:cstheme="majorBidi"/>
          <w:i/>
          <w:iCs/>
        </w:rPr>
        <w:t>not at all, </w:t>
      </w:r>
      <w:r w:rsidR="00DD3A50" w:rsidRPr="00813D22">
        <w:rPr>
          <w:rFonts w:asciiTheme="majorBidi" w:hAnsiTheme="majorBidi" w:cstheme="majorBidi"/>
        </w:rPr>
        <w:t>4 – </w:t>
      </w:r>
      <w:r w:rsidR="00DD3A50" w:rsidRPr="00813D22">
        <w:rPr>
          <w:rFonts w:asciiTheme="majorBidi" w:hAnsiTheme="majorBidi" w:cstheme="majorBidi"/>
          <w:i/>
          <w:iCs/>
        </w:rPr>
        <w:t>extremely</w:t>
      </w:r>
      <w:r w:rsidR="00DD3A50" w:rsidRPr="00813D22">
        <w:rPr>
          <w:rFonts w:asciiTheme="majorBidi" w:hAnsiTheme="majorBidi" w:cstheme="majorBidi"/>
        </w:rPr>
        <w:t xml:space="preserve">). In the </w:t>
      </w:r>
      <w:r w:rsidR="00F33F9A" w:rsidRPr="00813D22">
        <w:rPr>
          <w:rFonts w:asciiTheme="majorBidi" w:hAnsiTheme="majorBidi" w:cstheme="majorBidi"/>
        </w:rPr>
        <w:t>current</w:t>
      </w:r>
      <w:r w:rsidR="00DD3A50" w:rsidRPr="00813D22">
        <w:rPr>
          <w:rFonts w:asciiTheme="majorBidi" w:hAnsiTheme="majorBidi" w:cstheme="majorBidi"/>
        </w:rPr>
        <w:t xml:space="preserve"> study, we used the 12 items of the scales measuring depression and anxiety. The average for all items on each scale is the participant’s score, with higher scores indicating higher rates of depression and anxiety. In the present study, Cronbach’s alpha was .84 for the depression scale and .82 for the anxiety scale.</w:t>
      </w:r>
    </w:p>
    <w:p w14:paraId="23B0D1D9" w14:textId="0C0B14B9" w:rsidR="00F33F9A" w:rsidRPr="00813D22" w:rsidRDefault="00360A8E" w:rsidP="00F33F9A">
      <w:pPr>
        <w:shd w:val="clear" w:color="auto" w:fill="FFFFFF"/>
        <w:spacing w:after="120" w:line="480" w:lineRule="auto"/>
        <w:rPr>
          <w:rFonts w:asciiTheme="majorBidi" w:hAnsiTheme="majorBidi" w:cstheme="majorBidi"/>
          <w:rtl/>
        </w:rPr>
      </w:pPr>
      <w:r w:rsidRPr="00813D22">
        <w:rPr>
          <w:rFonts w:asciiTheme="majorBidi" w:hAnsiTheme="majorBidi" w:cstheme="majorBidi"/>
          <w:b/>
          <w:bCs/>
        </w:rPr>
        <w:t>Procedure</w:t>
      </w:r>
      <w:r w:rsidRPr="00813D22">
        <w:rPr>
          <w:rFonts w:asciiTheme="majorBidi" w:hAnsiTheme="majorBidi" w:cstheme="majorBidi"/>
        </w:rPr>
        <w:br/>
        <w:t>The study was presented as a research project on CSBD among 14–18-year-old adolescents. The participants constituted a convenience sample. They were recruited from a variety of sources (postings on bulletin boards and in online forums). Questionnaires were uploaded to Qualtrics – an online platform for questionnaires – and distributed by</w:t>
      </w:r>
      <w:r w:rsidRPr="00813D22">
        <w:rPr>
          <w:rFonts w:asciiTheme="majorBidi" w:hAnsiTheme="majorBidi" w:cstheme="majorBidi"/>
        </w:rPr>
        <w:br/>
        <w:t xml:space="preserve">several research assistants. Parents of adolescents who agreed to participate in the study </w:t>
      </w:r>
      <w:r w:rsidRPr="00813D22">
        <w:rPr>
          <w:rFonts w:asciiTheme="majorBidi" w:hAnsiTheme="majorBidi" w:cstheme="majorBidi"/>
        </w:rPr>
        <w:lastRenderedPageBreak/>
        <w:t xml:space="preserve">were contacted via email and/or </w:t>
      </w:r>
      <w:proofErr w:type="gramStart"/>
      <w:r w:rsidRPr="00813D22">
        <w:rPr>
          <w:rFonts w:asciiTheme="majorBidi" w:hAnsiTheme="majorBidi" w:cstheme="majorBidi"/>
        </w:rPr>
        <w:t>phone, and</w:t>
      </w:r>
      <w:proofErr w:type="gramEnd"/>
      <w:r w:rsidRPr="00813D22">
        <w:rPr>
          <w:rFonts w:asciiTheme="majorBidi" w:hAnsiTheme="majorBidi" w:cstheme="majorBidi"/>
        </w:rPr>
        <w:t xml:space="preserve"> were asked to review the questionnaires and sign an informed parental consent form, which was sent back to the research assistants by email. Upon agreement, a link for the online survey was sent to the adolescent who was assured as to the anonymity of the survey. Participants were then asked to complete the survey in private, in a quiet room in their home (without the presence of others). Following an informed consent form, questionnaires were presented in random order (</w:t>
      </w:r>
      <w:r w:rsidR="008F41AB" w:rsidRPr="00813D22">
        <w:rPr>
          <w:rFonts w:asciiTheme="majorBidi" w:hAnsiTheme="majorBidi" w:cstheme="majorBidi"/>
        </w:rPr>
        <w:t>personality dispositions, cognitive measures, psychopathology and CSBD</w:t>
      </w:r>
      <w:r w:rsidRPr="00813D22">
        <w:rPr>
          <w:rFonts w:asciiTheme="majorBidi" w:hAnsiTheme="majorBidi" w:cstheme="majorBidi"/>
        </w:rPr>
        <w:t>). All questionnaires were in Hebrew – the native language in</w:t>
      </w:r>
      <w:r w:rsidR="008F41AB" w:rsidRPr="00813D22">
        <w:rPr>
          <w:rFonts w:asciiTheme="majorBidi" w:hAnsiTheme="majorBidi" w:cstheme="majorBidi"/>
        </w:rPr>
        <w:t xml:space="preserve"> </w:t>
      </w:r>
      <w:r w:rsidRPr="00813D22">
        <w:rPr>
          <w:rFonts w:asciiTheme="majorBidi" w:hAnsiTheme="majorBidi" w:cstheme="majorBidi"/>
        </w:rPr>
        <w:t>Israel. Lastly, an online debriefing was given, and participants were</w:t>
      </w:r>
      <w:r w:rsidR="008F41AB" w:rsidRPr="00813D22">
        <w:rPr>
          <w:rFonts w:asciiTheme="majorBidi" w:hAnsiTheme="majorBidi" w:cstheme="majorBidi"/>
        </w:rPr>
        <w:t xml:space="preserve"> </w:t>
      </w:r>
      <w:r w:rsidRPr="00813D22">
        <w:rPr>
          <w:rFonts w:asciiTheme="majorBidi" w:hAnsiTheme="majorBidi" w:cstheme="majorBidi"/>
        </w:rPr>
        <w:t>thanked for their participation. The procedure was approved by Institutional Review Board (IRB).</w:t>
      </w:r>
    </w:p>
    <w:p w14:paraId="14284F5F" w14:textId="77777777" w:rsidR="00DD3A50" w:rsidRPr="00813D22" w:rsidRDefault="00DD3A50" w:rsidP="00DD3A50">
      <w:pPr>
        <w:spacing w:after="120" w:line="480" w:lineRule="auto"/>
        <w:rPr>
          <w:rFonts w:asciiTheme="majorBidi" w:hAnsiTheme="majorBidi" w:cstheme="majorBidi"/>
          <w:b/>
          <w:bCs/>
        </w:rPr>
      </w:pPr>
      <w:r w:rsidRPr="00813D22">
        <w:rPr>
          <w:rFonts w:asciiTheme="majorBidi" w:hAnsiTheme="majorBidi" w:cstheme="majorBidi"/>
          <w:b/>
          <w:bCs/>
        </w:rPr>
        <w:t>Results</w:t>
      </w:r>
    </w:p>
    <w:p w14:paraId="6979B3FE" w14:textId="77777777" w:rsidR="00DD3A50" w:rsidRPr="00813D22" w:rsidRDefault="00DD3A50" w:rsidP="00DD3A50">
      <w:pPr>
        <w:spacing w:after="120" w:line="480" w:lineRule="auto"/>
        <w:rPr>
          <w:rFonts w:asciiTheme="majorBidi" w:hAnsiTheme="majorBidi" w:cstheme="majorBidi"/>
          <w:b/>
          <w:bCs/>
        </w:rPr>
      </w:pPr>
      <w:r w:rsidRPr="00813D22">
        <w:rPr>
          <w:rFonts w:asciiTheme="majorBidi" w:hAnsiTheme="majorBidi" w:cstheme="majorBidi"/>
          <w:b/>
          <w:bCs/>
        </w:rPr>
        <w:t>Descriptive statistics</w:t>
      </w:r>
    </w:p>
    <w:p w14:paraId="7CFB1839" w14:textId="77777777" w:rsidR="00DD3A50" w:rsidRPr="00813D22" w:rsidRDefault="00DD3A50" w:rsidP="00DD3A50">
      <w:pPr>
        <w:spacing w:after="120" w:line="480" w:lineRule="auto"/>
        <w:rPr>
          <w:rFonts w:asciiTheme="majorBidi" w:hAnsiTheme="majorBidi" w:cstheme="majorBidi"/>
        </w:rPr>
      </w:pPr>
      <w:r w:rsidRPr="00813D22">
        <w:rPr>
          <w:rFonts w:asciiTheme="majorBidi" w:hAnsiTheme="majorBidi" w:cstheme="majorBidi"/>
          <w:b/>
          <w:bCs/>
        </w:rPr>
        <w:tab/>
      </w:r>
      <w:r w:rsidRPr="00813D22">
        <w:rPr>
          <w:rFonts w:asciiTheme="majorBidi" w:hAnsiTheme="majorBidi" w:cstheme="majorBidi"/>
        </w:rPr>
        <w:t xml:space="preserve">To examine the pattern of associations between the main study measures, we conducted a series of Pearson correlations. Coefficients, </w:t>
      </w:r>
      <w:proofErr w:type="gramStart"/>
      <w:r w:rsidRPr="00813D22">
        <w:rPr>
          <w:rFonts w:asciiTheme="majorBidi" w:hAnsiTheme="majorBidi" w:cstheme="majorBidi"/>
        </w:rPr>
        <w:t>means</w:t>
      </w:r>
      <w:proofErr w:type="gramEnd"/>
      <w:r w:rsidRPr="00813D22">
        <w:rPr>
          <w:rFonts w:asciiTheme="majorBidi" w:hAnsiTheme="majorBidi" w:cstheme="majorBidi"/>
        </w:rPr>
        <w:t xml:space="preserve"> and standard deviation are presented in Table 1.  </w:t>
      </w:r>
    </w:p>
    <w:p w14:paraId="47DD33B3" w14:textId="77777777" w:rsidR="00DD3A50" w:rsidRPr="00813D22" w:rsidRDefault="00DD3A50" w:rsidP="00DD3A50">
      <w:pPr>
        <w:spacing w:after="120" w:line="480" w:lineRule="auto"/>
        <w:jc w:val="center"/>
        <w:rPr>
          <w:rFonts w:asciiTheme="majorBidi" w:hAnsiTheme="majorBidi" w:cstheme="majorBidi"/>
        </w:rPr>
      </w:pPr>
      <w:r w:rsidRPr="00813D22">
        <w:rPr>
          <w:rFonts w:asciiTheme="majorBidi" w:hAnsiTheme="majorBidi" w:cstheme="majorBidi"/>
        </w:rPr>
        <w:t>[Table 1 here]</w:t>
      </w:r>
    </w:p>
    <w:p w14:paraId="0C153093" w14:textId="77777777" w:rsidR="00DD3A50" w:rsidRPr="00813D22" w:rsidRDefault="00DD3A50" w:rsidP="00DD3A50">
      <w:pPr>
        <w:spacing w:after="120" w:line="480" w:lineRule="auto"/>
        <w:rPr>
          <w:rFonts w:asciiTheme="majorBidi" w:hAnsiTheme="majorBidi" w:cstheme="majorBidi"/>
          <w:b/>
          <w:bCs/>
        </w:rPr>
      </w:pPr>
      <w:r w:rsidRPr="00813D22">
        <w:rPr>
          <w:rFonts w:asciiTheme="majorBidi" w:hAnsiTheme="majorBidi" w:cstheme="majorBidi"/>
          <w:b/>
          <w:bCs/>
        </w:rPr>
        <w:t>Examination of the theoretical model</w:t>
      </w:r>
    </w:p>
    <w:p w14:paraId="23F52303" w14:textId="6823D4B9" w:rsidR="00DD3A50" w:rsidRPr="00813D22" w:rsidRDefault="00DD3A50" w:rsidP="00DD3A50">
      <w:pPr>
        <w:spacing w:after="120" w:line="480" w:lineRule="auto"/>
        <w:rPr>
          <w:rFonts w:asciiTheme="majorBidi" w:hAnsiTheme="majorBidi" w:cstheme="majorBidi"/>
        </w:rPr>
      </w:pPr>
      <w:r w:rsidRPr="00813D22">
        <w:rPr>
          <w:rFonts w:asciiTheme="majorBidi" w:hAnsiTheme="majorBidi" w:cstheme="majorBidi"/>
        </w:rPr>
        <w:t xml:space="preserve">To examine the premise that the links between a person’s background measures (gender, religiosity, and personality dispositions) and his or her level of </w:t>
      </w:r>
      <w:r w:rsidR="005E1257" w:rsidRPr="00813D22">
        <w:rPr>
          <w:rFonts w:asciiTheme="majorBidi" w:hAnsiTheme="majorBidi" w:cstheme="majorBidi"/>
        </w:rPr>
        <w:t>CSB</w:t>
      </w:r>
      <w:r w:rsidR="00CF4895" w:rsidRPr="00813D22">
        <w:rPr>
          <w:rFonts w:asciiTheme="majorBidi" w:hAnsiTheme="majorBidi" w:cstheme="majorBidi"/>
        </w:rPr>
        <w:t>D</w:t>
      </w:r>
      <w:r w:rsidRPr="00813D22">
        <w:rPr>
          <w:rFonts w:asciiTheme="majorBidi" w:hAnsiTheme="majorBidi" w:cstheme="majorBidi"/>
        </w:rPr>
        <w:t xml:space="preserve"> are mediated by cognitive-related processes and psychopathology, we used Hayes, Preacher, and Myers’s (2011) multiple-step mediation methodology (see Figure 1 for a schematic illustration of the model). Specifically, we used structural equation modelling (SEM) to examine (1) </w:t>
      </w:r>
      <w:r w:rsidRPr="00813D22">
        <w:rPr>
          <w:rFonts w:asciiTheme="majorBidi" w:hAnsiTheme="majorBidi" w:cstheme="majorBidi"/>
        </w:rPr>
        <w:lastRenderedPageBreak/>
        <w:t xml:space="preserve">whether the background measures [gender (1 = </w:t>
      </w:r>
      <w:r w:rsidR="00CF4895" w:rsidRPr="00813D22">
        <w:rPr>
          <w:rFonts w:asciiTheme="majorBidi" w:hAnsiTheme="majorBidi" w:cstheme="majorBidi"/>
        </w:rPr>
        <w:t>girl</w:t>
      </w:r>
      <w:r w:rsidRPr="00813D22">
        <w:rPr>
          <w:rFonts w:asciiTheme="majorBidi" w:hAnsiTheme="majorBidi" w:cstheme="majorBidi"/>
        </w:rPr>
        <w:t xml:space="preserve">, 0 = </w:t>
      </w:r>
      <w:r w:rsidR="00CF4895" w:rsidRPr="00813D22">
        <w:rPr>
          <w:rFonts w:asciiTheme="majorBidi" w:hAnsiTheme="majorBidi" w:cstheme="majorBidi"/>
        </w:rPr>
        <w:t>boy</w:t>
      </w:r>
      <w:r w:rsidRPr="00813D22">
        <w:rPr>
          <w:rFonts w:asciiTheme="majorBidi" w:hAnsiTheme="majorBidi" w:cstheme="majorBidi"/>
        </w:rPr>
        <w:t xml:space="preserve">), religiosity (1 = religious, 0 = secular), and personality dispositions </w:t>
      </w:r>
      <w:r w:rsidRPr="00813D22">
        <w:rPr>
          <w:rFonts w:asciiTheme="majorBidi" w:hAnsiTheme="majorBidi" w:cstheme="majorBidi"/>
        </w:rPr>
        <w:softHyphen/>
        <w:t xml:space="preserve">– Extraversion, Neuroticism, Openness to experience, Attachment anxiety, Attachment avoidance] directly affected </w:t>
      </w:r>
      <w:r w:rsidR="005E1257" w:rsidRPr="00813D22">
        <w:rPr>
          <w:rFonts w:asciiTheme="majorBidi" w:hAnsiTheme="majorBidi" w:cstheme="majorBidi"/>
        </w:rPr>
        <w:t>CSB</w:t>
      </w:r>
      <w:r w:rsidR="00CF4895" w:rsidRPr="00813D22">
        <w:rPr>
          <w:rFonts w:asciiTheme="majorBidi" w:hAnsiTheme="majorBidi" w:cstheme="majorBidi"/>
        </w:rPr>
        <w:t>D</w:t>
      </w:r>
      <w:r w:rsidRPr="00813D22">
        <w:rPr>
          <w:rFonts w:asciiTheme="majorBidi" w:hAnsiTheme="majorBidi" w:cstheme="majorBidi"/>
        </w:rPr>
        <w:t xml:space="preserve"> controlling for cognitive-related processes (Rumination, Reflection, Reappraisal, Suppression) and psychopathology (Depression, Anxiety); (2) whether the background measures indirectly</w:t>
      </w:r>
      <w:r w:rsidRPr="00813D22">
        <w:rPr>
          <w:rFonts w:asciiTheme="majorBidi" w:hAnsiTheme="majorBidi" w:cstheme="majorBidi"/>
          <w:b/>
          <w:bCs/>
        </w:rPr>
        <w:t xml:space="preserve"> </w:t>
      </w:r>
      <w:r w:rsidRPr="00813D22">
        <w:rPr>
          <w:rFonts w:asciiTheme="majorBidi" w:hAnsiTheme="majorBidi" w:cstheme="majorBidi"/>
        </w:rPr>
        <w:t xml:space="preserve">affected </w:t>
      </w:r>
      <w:r w:rsidR="005E1257" w:rsidRPr="00813D22">
        <w:rPr>
          <w:rFonts w:asciiTheme="majorBidi" w:hAnsiTheme="majorBidi" w:cstheme="majorBidi"/>
        </w:rPr>
        <w:t>CSB</w:t>
      </w:r>
      <w:r w:rsidRPr="00813D22">
        <w:rPr>
          <w:rFonts w:asciiTheme="majorBidi" w:hAnsiTheme="majorBidi" w:cstheme="majorBidi"/>
        </w:rPr>
        <w:t xml:space="preserve"> via cognitive-related processes (i.e., Step 1 mediators); (3) whether the background measures indirectly</w:t>
      </w:r>
      <w:r w:rsidRPr="00813D22">
        <w:rPr>
          <w:rFonts w:asciiTheme="majorBidi" w:hAnsiTheme="majorBidi" w:cstheme="majorBidi"/>
          <w:b/>
          <w:bCs/>
        </w:rPr>
        <w:t xml:space="preserve"> </w:t>
      </w:r>
      <w:r w:rsidRPr="00813D22">
        <w:rPr>
          <w:rFonts w:asciiTheme="majorBidi" w:hAnsiTheme="majorBidi" w:cstheme="majorBidi"/>
        </w:rPr>
        <w:t xml:space="preserve">affected </w:t>
      </w:r>
      <w:r w:rsidR="005E1257" w:rsidRPr="00813D22">
        <w:rPr>
          <w:rFonts w:asciiTheme="majorBidi" w:hAnsiTheme="majorBidi" w:cstheme="majorBidi"/>
        </w:rPr>
        <w:t>CSB</w:t>
      </w:r>
      <w:r w:rsidRPr="00813D22">
        <w:rPr>
          <w:rFonts w:asciiTheme="majorBidi" w:hAnsiTheme="majorBidi" w:cstheme="majorBidi"/>
        </w:rPr>
        <w:t xml:space="preserve"> via psychopathology (i.e., Step 2 mediators); and (4) the background measures indirectly</w:t>
      </w:r>
      <w:r w:rsidRPr="00813D22">
        <w:rPr>
          <w:rFonts w:asciiTheme="majorBidi" w:hAnsiTheme="majorBidi" w:cstheme="majorBidi"/>
          <w:b/>
          <w:bCs/>
        </w:rPr>
        <w:t xml:space="preserve"> </w:t>
      </w:r>
      <w:r w:rsidRPr="00813D22">
        <w:rPr>
          <w:rFonts w:asciiTheme="majorBidi" w:hAnsiTheme="majorBidi" w:cstheme="majorBidi"/>
        </w:rPr>
        <w:t xml:space="preserve">affected </w:t>
      </w:r>
      <w:r w:rsidR="005E1257" w:rsidRPr="00813D22">
        <w:rPr>
          <w:rFonts w:asciiTheme="majorBidi" w:hAnsiTheme="majorBidi" w:cstheme="majorBidi"/>
        </w:rPr>
        <w:t>CSB</w:t>
      </w:r>
      <w:r w:rsidR="00CF4895" w:rsidRPr="00813D22">
        <w:rPr>
          <w:rFonts w:asciiTheme="majorBidi" w:hAnsiTheme="majorBidi" w:cstheme="majorBidi"/>
        </w:rPr>
        <w:t>D</w:t>
      </w:r>
      <w:r w:rsidRPr="00813D22">
        <w:rPr>
          <w:rFonts w:asciiTheme="majorBidi" w:hAnsiTheme="majorBidi" w:cstheme="majorBidi"/>
        </w:rPr>
        <w:t xml:space="preserve"> via a 2-step mediation process – cognitive-related processes (Step 1) and psychopathology (Step 2). To examine whether these indirect paths were significant we employed bias-corrected bootstrap analyses (with 5000 subsamples). To estimate the model, we used </w:t>
      </w:r>
      <w:proofErr w:type="spellStart"/>
      <w:r w:rsidRPr="00813D22">
        <w:rPr>
          <w:rFonts w:asciiTheme="majorBidi" w:hAnsiTheme="majorBidi" w:cstheme="majorBidi"/>
        </w:rPr>
        <w:t>MPlus</w:t>
      </w:r>
      <w:proofErr w:type="spellEnd"/>
      <w:r w:rsidRPr="00813D22">
        <w:rPr>
          <w:rFonts w:asciiTheme="majorBidi" w:hAnsiTheme="majorBidi" w:cstheme="majorBidi"/>
        </w:rPr>
        <w:t xml:space="preserve"> 6.1 (</w:t>
      </w:r>
      <w:proofErr w:type="spellStart"/>
      <w:r w:rsidRPr="00813D22">
        <w:rPr>
          <w:rFonts w:asciiTheme="majorBidi" w:hAnsiTheme="majorBidi" w:cstheme="majorBidi"/>
        </w:rPr>
        <w:t>Muthén</w:t>
      </w:r>
      <w:proofErr w:type="spellEnd"/>
      <w:r w:rsidRPr="00813D22">
        <w:rPr>
          <w:rFonts w:asciiTheme="majorBidi" w:hAnsiTheme="majorBidi" w:cstheme="majorBidi"/>
        </w:rPr>
        <w:t xml:space="preserve"> &amp; </w:t>
      </w:r>
      <w:proofErr w:type="spellStart"/>
      <w:r w:rsidRPr="00813D22">
        <w:rPr>
          <w:rFonts w:asciiTheme="majorBidi" w:hAnsiTheme="majorBidi" w:cstheme="majorBidi"/>
        </w:rPr>
        <w:t>Muthén</w:t>
      </w:r>
      <w:proofErr w:type="spellEnd"/>
      <w:r w:rsidRPr="00813D22">
        <w:rPr>
          <w:rFonts w:asciiTheme="majorBidi" w:hAnsiTheme="majorBidi" w:cstheme="majorBidi"/>
        </w:rPr>
        <w:t xml:space="preserve">, 2010). A model has high fit to the observed data if the Comparative Fit Index (CFI) and the Tucker-Lewis Index (TLI) are greater than .95 and the Root Mean Square Error of Approximation (RMSEA) and the Standardized Root Mean Square Residual (SRMR) are lower than .05. Overall, 0.1% of the data were missing. Little's Missing Completely </w:t>
      </w:r>
      <w:proofErr w:type="gramStart"/>
      <w:r w:rsidRPr="00813D22">
        <w:rPr>
          <w:rFonts w:asciiTheme="majorBidi" w:hAnsiTheme="majorBidi" w:cstheme="majorBidi"/>
        </w:rPr>
        <w:t>At</w:t>
      </w:r>
      <w:proofErr w:type="gramEnd"/>
      <w:r w:rsidRPr="00813D22">
        <w:rPr>
          <w:rFonts w:asciiTheme="majorBidi" w:hAnsiTheme="majorBidi" w:cstheme="majorBidi"/>
        </w:rPr>
        <w:t xml:space="preserve"> Random (MCAR) tests indicated that the data were MCAR [</w:t>
      </w:r>
      <w:r w:rsidRPr="00813D22">
        <w:rPr>
          <w:rFonts w:asciiTheme="majorBidi" w:hAnsiTheme="majorBidi" w:cstheme="majorBidi"/>
          <w:i/>
          <w:iCs/>
        </w:rPr>
        <w:t>χ</w:t>
      </w:r>
      <w:r w:rsidRPr="00813D22">
        <w:rPr>
          <w:rFonts w:asciiTheme="majorBidi" w:hAnsiTheme="majorBidi" w:cstheme="majorBidi"/>
          <w:i/>
          <w:iCs/>
          <w:vertAlign w:val="superscript"/>
        </w:rPr>
        <w:t>2</w:t>
      </w:r>
      <w:r w:rsidRPr="00813D22">
        <w:rPr>
          <w:rFonts w:asciiTheme="majorBidi" w:hAnsiTheme="majorBidi" w:cstheme="majorBidi"/>
        </w:rPr>
        <w:t xml:space="preserve">(24) = 7.80, </w:t>
      </w:r>
      <w:r w:rsidRPr="00813D22">
        <w:rPr>
          <w:rFonts w:asciiTheme="majorBidi" w:hAnsiTheme="majorBidi" w:cstheme="majorBidi"/>
          <w:i/>
          <w:iCs/>
        </w:rPr>
        <w:t>p</w:t>
      </w:r>
      <w:r w:rsidRPr="00813D22">
        <w:rPr>
          <w:rFonts w:asciiTheme="majorBidi" w:hAnsiTheme="majorBidi" w:cstheme="majorBidi"/>
        </w:rPr>
        <w:t xml:space="preserve"> = .99]. Accordingly, missing data were handled with the multiple imputation procedure </w:t>
      </w:r>
      <w:r w:rsidRPr="00813D22">
        <w:rPr>
          <w:rFonts w:asciiTheme="majorBidi" w:hAnsiTheme="majorBidi" w:cstheme="majorBidi"/>
        </w:rPr>
        <w:fldChar w:fldCharType="begin"/>
      </w:r>
      <w:r w:rsidRPr="00813D22">
        <w:rPr>
          <w:rFonts w:asciiTheme="majorBidi" w:hAnsiTheme="majorBidi" w:cstheme="majorBidi"/>
        </w:rPr>
        <w:instrText xml:space="preserve"> ADDIN EN.CITE &lt;EndNote&gt;&lt;Cite&gt;&lt;Author&gt;Rubin&lt;/Author&gt;&lt;Year&gt;2009&lt;/Year&gt;&lt;RecNum&gt;516&lt;/RecNum&gt;&lt;Prefix&gt;MI`; &lt;/Prefix&gt;&lt;DisplayText&gt;(MI; Rubin, 2009)&lt;/DisplayText&gt;&lt;record&gt;&lt;rec-number&gt;516&lt;/rec-number&gt;&lt;foreign-keys&gt;&lt;key app="EN" db-id="asf0ewp0fp9dsee20wrvtv9wesdrv5rdz5rs"&gt;516&lt;/key&gt;&lt;/foreign-keys&gt;&lt;ref-type name="Book"&gt;6&lt;/ref-type&gt;&lt;contributors&gt;&lt;authors&gt;&lt;author&gt;Rubin, D. B.&lt;/author&gt;&lt;/authors&gt;&lt;/contributors&gt;&lt;titles&gt;&lt;title&gt;Multiple imputation for nonresponse in surveys&lt;/title&gt;&lt;/titles&gt;&lt;volume&gt;307&lt;/volume&gt;&lt;dates&gt;&lt;year&gt;2009&lt;/year&gt;&lt;/dates&gt;&lt;publisher&gt;Wiley. com&lt;/publisher&gt;&lt;isbn&gt;0470317361&lt;/isbn&gt;&lt;urls&gt;&lt;/urls&gt;&lt;/record&gt;&lt;/Cite&gt;&lt;/EndNote&gt;</w:instrText>
      </w:r>
      <w:r w:rsidRPr="00813D22">
        <w:rPr>
          <w:rFonts w:asciiTheme="majorBidi" w:hAnsiTheme="majorBidi" w:cstheme="majorBidi"/>
        </w:rPr>
        <w:fldChar w:fldCharType="separate"/>
      </w:r>
      <w:r w:rsidRPr="00813D22">
        <w:rPr>
          <w:rFonts w:asciiTheme="majorBidi" w:hAnsiTheme="majorBidi" w:cstheme="majorBidi"/>
          <w:noProof/>
        </w:rPr>
        <w:t>(</w:t>
      </w:r>
      <w:hyperlink w:anchor="_ENREF_1" w:tooltip="Rubin, 2009 #516" w:history="1">
        <w:r w:rsidRPr="00813D22">
          <w:rPr>
            <w:rFonts w:asciiTheme="majorBidi" w:hAnsiTheme="majorBidi" w:cstheme="majorBidi"/>
            <w:noProof/>
          </w:rPr>
          <w:t>MI; Rubin, 2009</w:t>
        </w:r>
      </w:hyperlink>
      <w:r w:rsidRPr="00813D22">
        <w:rPr>
          <w:rFonts w:asciiTheme="majorBidi" w:hAnsiTheme="majorBidi" w:cstheme="majorBidi"/>
          <w:noProof/>
        </w:rPr>
        <w:t>)</w:t>
      </w:r>
      <w:r w:rsidRPr="00813D22">
        <w:rPr>
          <w:rFonts w:asciiTheme="majorBidi" w:hAnsiTheme="majorBidi" w:cstheme="majorBidi"/>
        </w:rPr>
        <w:fldChar w:fldCharType="end"/>
      </w:r>
      <w:r w:rsidRPr="00813D22">
        <w:rPr>
          <w:rFonts w:asciiTheme="majorBidi" w:hAnsiTheme="majorBidi" w:cstheme="majorBidi"/>
        </w:rPr>
        <w:t xml:space="preserve">. Unstandardized coefficients and bootstrap solutions are presented in Table 2, and summed standardized results are presented in Figure 2. </w:t>
      </w:r>
    </w:p>
    <w:p w14:paraId="0E4CF8FE" w14:textId="77777777" w:rsidR="00DD3A50" w:rsidRPr="00813D22" w:rsidRDefault="00DD3A50" w:rsidP="00DD3A50">
      <w:pPr>
        <w:spacing w:after="120" w:line="480" w:lineRule="auto"/>
        <w:jc w:val="center"/>
        <w:rPr>
          <w:rFonts w:asciiTheme="majorBidi" w:hAnsiTheme="majorBidi" w:cstheme="majorBidi"/>
        </w:rPr>
      </w:pPr>
      <w:r w:rsidRPr="00813D22">
        <w:rPr>
          <w:rFonts w:asciiTheme="majorBidi" w:hAnsiTheme="majorBidi" w:cstheme="majorBidi"/>
        </w:rPr>
        <w:t>[Table 2, Figure 1, Figure 2]</w:t>
      </w:r>
    </w:p>
    <w:p w14:paraId="39F8E604" w14:textId="77777777" w:rsidR="00DD3A50" w:rsidRPr="00813D22" w:rsidRDefault="00DD3A50" w:rsidP="00DD3A50">
      <w:pPr>
        <w:spacing w:after="120" w:line="480" w:lineRule="auto"/>
        <w:rPr>
          <w:rFonts w:asciiTheme="majorBidi" w:hAnsiTheme="majorBidi" w:cstheme="majorBidi"/>
        </w:rPr>
      </w:pPr>
      <w:r w:rsidRPr="00813D22">
        <w:rPr>
          <w:rFonts w:asciiTheme="majorBidi" w:hAnsiTheme="majorBidi" w:cstheme="majorBidi"/>
        </w:rPr>
        <w:t xml:space="preserve">The model was estimated in two steps. First, we estimated the fit of the complete model that comprised all proposed paths. The analysis revealed that the model had inadequate fit </w:t>
      </w:r>
      <w:r w:rsidRPr="00813D22">
        <w:rPr>
          <w:rFonts w:asciiTheme="majorBidi" w:hAnsiTheme="majorBidi" w:cstheme="majorBidi"/>
        </w:rPr>
        <w:lastRenderedPageBreak/>
        <w:t xml:space="preserve">to the observed data, </w:t>
      </w:r>
      <w:r w:rsidRPr="00813D22">
        <w:rPr>
          <w:rFonts w:asciiTheme="majorBidi" w:hAnsiTheme="majorBidi" w:cstheme="majorBidi"/>
          <w:i/>
          <w:iCs/>
        </w:rPr>
        <w:t>χ</w:t>
      </w:r>
      <w:proofErr w:type="gramStart"/>
      <w:r w:rsidRPr="00813D22">
        <w:rPr>
          <w:rFonts w:asciiTheme="majorBidi" w:hAnsiTheme="majorBidi" w:cstheme="majorBidi"/>
          <w:i/>
          <w:iCs/>
        </w:rPr>
        <w:t>²</w:t>
      </w:r>
      <w:r w:rsidRPr="00813D22">
        <w:rPr>
          <w:rFonts w:asciiTheme="majorBidi" w:hAnsiTheme="majorBidi" w:cstheme="majorBidi"/>
        </w:rPr>
        <w:t>(</w:t>
      </w:r>
      <w:proofErr w:type="gramEnd"/>
      <w:r w:rsidRPr="00813D22">
        <w:rPr>
          <w:rFonts w:asciiTheme="majorBidi" w:hAnsiTheme="majorBidi" w:cstheme="majorBidi"/>
        </w:rPr>
        <w:t xml:space="preserve">10, </w:t>
      </w:r>
      <w:r w:rsidRPr="00813D22">
        <w:rPr>
          <w:rFonts w:asciiTheme="majorBidi" w:hAnsiTheme="majorBidi" w:cstheme="majorBidi"/>
          <w:i/>
          <w:iCs/>
        </w:rPr>
        <w:t>N</w:t>
      </w:r>
      <w:r w:rsidRPr="00813D22">
        <w:rPr>
          <w:rFonts w:asciiTheme="majorBidi" w:hAnsiTheme="majorBidi" w:cstheme="majorBidi"/>
        </w:rPr>
        <w:t xml:space="preserve"> = 350) = 30.30, </w:t>
      </w:r>
      <w:r w:rsidRPr="00813D22">
        <w:rPr>
          <w:rFonts w:asciiTheme="majorBidi" w:hAnsiTheme="majorBidi" w:cstheme="majorBidi"/>
          <w:i/>
          <w:iCs/>
        </w:rPr>
        <w:t>p</w:t>
      </w:r>
      <w:r w:rsidRPr="00813D22">
        <w:rPr>
          <w:rFonts w:asciiTheme="majorBidi" w:hAnsiTheme="majorBidi" w:cstheme="majorBidi"/>
        </w:rPr>
        <w:t xml:space="preserve"> = .0008, </w:t>
      </w:r>
      <w:r w:rsidRPr="00813D22">
        <w:rPr>
          <w:rFonts w:asciiTheme="majorBidi" w:hAnsiTheme="majorBidi" w:cstheme="majorBidi"/>
          <w:i/>
          <w:iCs/>
        </w:rPr>
        <w:t>CFI</w:t>
      </w:r>
      <w:r w:rsidRPr="00813D22">
        <w:rPr>
          <w:rFonts w:asciiTheme="majorBidi" w:hAnsiTheme="majorBidi" w:cstheme="majorBidi"/>
        </w:rPr>
        <w:t xml:space="preserve"> = .98, </w:t>
      </w:r>
      <w:r w:rsidRPr="00813D22">
        <w:rPr>
          <w:rFonts w:asciiTheme="majorBidi" w:hAnsiTheme="majorBidi" w:cstheme="majorBidi"/>
          <w:i/>
          <w:iCs/>
        </w:rPr>
        <w:t xml:space="preserve">TLI </w:t>
      </w:r>
      <w:r w:rsidRPr="00813D22">
        <w:rPr>
          <w:rFonts w:asciiTheme="majorBidi" w:hAnsiTheme="majorBidi" w:cstheme="majorBidi"/>
        </w:rPr>
        <w:t xml:space="preserve">= .87, </w:t>
      </w:r>
      <w:r w:rsidRPr="00813D22">
        <w:rPr>
          <w:rFonts w:asciiTheme="majorBidi" w:hAnsiTheme="majorBidi" w:cstheme="majorBidi"/>
          <w:i/>
          <w:iCs/>
        </w:rPr>
        <w:t xml:space="preserve">RMSEA </w:t>
      </w:r>
      <w:r w:rsidRPr="00813D22">
        <w:rPr>
          <w:rFonts w:asciiTheme="majorBidi" w:hAnsiTheme="majorBidi" w:cstheme="majorBidi"/>
        </w:rPr>
        <w:t xml:space="preserve">= .08, </w:t>
      </w:r>
      <w:r w:rsidRPr="00813D22">
        <w:rPr>
          <w:rFonts w:asciiTheme="majorBidi" w:hAnsiTheme="majorBidi" w:cstheme="majorBidi"/>
          <w:i/>
          <w:iCs/>
        </w:rPr>
        <w:t xml:space="preserve">90% CI </w:t>
      </w:r>
      <w:r w:rsidRPr="00813D22">
        <w:rPr>
          <w:rFonts w:asciiTheme="majorBidi" w:hAnsiTheme="majorBidi" w:cstheme="majorBidi"/>
        </w:rPr>
        <w:t xml:space="preserve">(.05, .11), 7% probability for </w:t>
      </w:r>
      <w:r w:rsidRPr="00813D22">
        <w:rPr>
          <w:rFonts w:asciiTheme="majorBidi" w:hAnsiTheme="majorBidi" w:cstheme="majorBidi"/>
          <w:i/>
          <w:iCs/>
        </w:rPr>
        <w:t>RMSEA</w:t>
      </w:r>
      <w:r w:rsidRPr="00813D22">
        <w:rPr>
          <w:rFonts w:asciiTheme="majorBidi" w:hAnsiTheme="majorBidi" w:cstheme="majorBidi"/>
        </w:rPr>
        <w:t xml:space="preserve"> lower than .05, </w:t>
      </w:r>
      <w:r w:rsidRPr="00813D22">
        <w:rPr>
          <w:rFonts w:asciiTheme="majorBidi" w:hAnsiTheme="majorBidi" w:cstheme="majorBidi"/>
          <w:i/>
          <w:iCs/>
        </w:rPr>
        <w:t>SRMR</w:t>
      </w:r>
      <w:r w:rsidRPr="00813D22">
        <w:rPr>
          <w:rFonts w:asciiTheme="majorBidi" w:hAnsiTheme="majorBidi" w:cstheme="majorBidi"/>
        </w:rPr>
        <w:t xml:space="preserve"> = .05. Next, we estimated a nested model from which we omitted paths with significance higher than .10 (i.e., retaining significant and marginally significant paths; 22 paths were dropped). The nested data had an excellent fit to the observed data, </w:t>
      </w:r>
      <w:r w:rsidRPr="00813D22">
        <w:rPr>
          <w:rFonts w:asciiTheme="majorBidi" w:hAnsiTheme="majorBidi" w:cstheme="majorBidi"/>
          <w:i/>
          <w:iCs/>
        </w:rPr>
        <w:t>χ</w:t>
      </w:r>
      <w:proofErr w:type="gramStart"/>
      <w:r w:rsidRPr="00813D22">
        <w:rPr>
          <w:rFonts w:asciiTheme="majorBidi" w:hAnsiTheme="majorBidi" w:cstheme="majorBidi"/>
          <w:i/>
          <w:iCs/>
        </w:rPr>
        <w:t>²</w:t>
      </w:r>
      <w:r w:rsidRPr="00813D22">
        <w:rPr>
          <w:rFonts w:asciiTheme="majorBidi" w:hAnsiTheme="majorBidi" w:cstheme="majorBidi"/>
        </w:rPr>
        <w:t>(</w:t>
      </w:r>
      <w:proofErr w:type="gramEnd"/>
      <w:r w:rsidRPr="00813D22">
        <w:rPr>
          <w:rFonts w:asciiTheme="majorBidi" w:hAnsiTheme="majorBidi" w:cstheme="majorBidi"/>
        </w:rPr>
        <w:t xml:space="preserve">32, </w:t>
      </w:r>
      <w:r w:rsidRPr="00813D22">
        <w:rPr>
          <w:rFonts w:asciiTheme="majorBidi" w:hAnsiTheme="majorBidi" w:cstheme="majorBidi"/>
          <w:i/>
          <w:iCs/>
        </w:rPr>
        <w:t>N</w:t>
      </w:r>
      <w:r w:rsidRPr="00813D22">
        <w:rPr>
          <w:rFonts w:asciiTheme="majorBidi" w:hAnsiTheme="majorBidi" w:cstheme="majorBidi"/>
        </w:rPr>
        <w:t xml:space="preserve"> = 350) = 42.62, </w:t>
      </w:r>
      <w:r w:rsidRPr="00813D22">
        <w:rPr>
          <w:rFonts w:asciiTheme="majorBidi" w:hAnsiTheme="majorBidi" w:cstheme="majorBidi"/>
          <w:i/>
          <w:iCs/>
        </w:rPr>
        <w:t>p</w:t>
      </w:r>
      <w:r w:rsidRPr="00813D22">
        <w:rPr>
          <w:rFonts w:asciiTheme="majorBidi" w:hAnsiTheme="majorBidi" w:cstheme="majorBidi"/>
        </w:rPr>
        <w:t xml:space="preserve"> = .08, </w:t>
      </w:r>
      <w:r w:rsidRPr="00813D22">
        <w:rPr>
          <w:rFonts w:asciiTheme="majorBidi" w:hAnsiTheme="majorBidi" w:cstheme="majorBidi"/>
          <w:i/>
          <w:iCs/>
        </w:rPr>
        <w:t>CFI</w:t>
      </w:r>
      <w:r w:rsidRPr="00813D22">
        <w:rPr>
          <w:rFonts w:asciiTheme="majorBidi" w:hAnsiTheme="majorBidi" w:cstheme="majorBidi"/>
        </w:rPr>
        <w:t xml:space="preserve"> = .99, </w:t>
      </w:r>
      <w:r w:rsidRPr="00813D22">
        <w:rPr>
          <w:rFonts w:asciiTheme="majorBidi" w:hAnsiTheme="majorBidi" w:cstheme="majorBidi"/>
          <w:i/>
          <w:iCs/>
        </w:rPr>
        <w:t xml:space="preserve">TLI </w:t>
      </w:r>
      <w:r w:rsidRPr="00813D22">
        <w:rPr>
          <w:rFonts w:asciiTheme="majorBidi" w:hAnsiTheme="majorBidi" w:cstheme="majorBidi"/>
        </w:rPr>
        <w:t xml:space="preserve">= .98, </w:t>
      </w:r>
      <w:r w:rsidRPr="00813D22">
        <w:rPr>
          <w:rFonts w:asciiTheme="majorBidi" w:hAnsiTheme="majorBidi" w:cstheme="majorBidi"/>
          <w:i/>
          <w:iCs/>
        </w:rPr>
        <w:t xml:space="preserve">RMSEA </w:t>
      </w:r>
      <w:r w:rsidRPr="00813D22">
        <w:rPr>
          <w:rFonts w:asciiTheme="majorBidi" w:hAnsiTheme="majorBidi" w:cstheme="majorBidi"/>
        </w:rPr>
        <w:t xml:space="preserve">= .03, </w:t>
      </w:r>
      <w:r w:rsidRPr="00813D22">
        <w:rPr>
          <w:rFonts w:asciiTheme="majorBidi" w:hAnsiTheme="majorBidi" w:cstheme="majorBidi"/>
          <w:i/>
          <w:iCs/>
        </w:rPr>
        <w:t xml:space="preserve">90% CI </w:t>
      </w:r>
      <w:r w:rsidRPr="00813D22">
        <w:rPr>
          <w:rFonts w:asciiTheme="majorBidi" w:hAnsiTheme="majorBidi" w:cstheme="majorBidi"/>
        </w:rPr>
        <w:t xml:space="preserve">(.00, .05), 90% probability for </w:t>
      </w:r>
      <w:r w:rsidRPr="00813D22">
        <w:rPr>
          <w:rFonts w:asciiTheme="majorBidi" w:hAnsiTheme="majorBidi" w:cstheme="majorBidi"/>
          <w:i/>
          <w:iCs/>
        </w:rPr>
        <w:t>RMSEA</w:t>
      </w:r>
      <w:r w:rsidRPr="00813D22">
        <w:rPr>
          <w:rFonts w:asciiTheme="majorBidi" w:hAnsiTheme="majorBidi" w:cstheme="majorBidi"/>
        </w:rPr>
        <w:t xml:space="preserve"> lower than .05, </w:t>
      </w:r>
      <w:r w:rsidRPr="00813D22">
        <w:rPr>
          <w:rFonts w:asciiTheme="majorBidi" w:hAnsiTheme="majorBidi" w:cstheme="majorBidi"/>
          <w:i/>
          <w:iCs/>
        </w:rPr>
        <w:t>SRMR</w:t>
      </w:r>
      <w:r w:rsidRPr="00813D22">
        <w:rPr>
          <w:rFonts w:asciiTheme="majorBidi" w:hAnsiTheme="majorBidi" w:cstheme="majorBidi"/>
        </w:rPr>
        <w:t xml:space="preserve"> = .04.  </w:t>
      </w:r>
    </w:p>
    <w:p w14:paraId="1C9CF4B5" w14:textId="7FB73BC1" w:rsidR="00DD3A50" w:rsidRPr="00813D22" w:rsidRDefault="00DD3A50" w:rsidP="00DD3A50">
      <w:pPr>
        <w:spacing w:after="120" w:line="480" w:lineRule="auto"/>
        <w:rPr>
          <w:rFonts w:asciiTheme="majorBidi" w:hAnsiTheme="majorBidi" w:cstheme="majorBidi"/>
        </w:rPr>
      </w:pPr>
      <w:r w:rsidRPr="00813D22">
        <w:rPr>
          <w:rFonts w:asciiTheme="majorBidi" w:hAnsiTheme="majorBidi" w:cstheme="majorBidi"/>
          <w:b/>
          <w:bCs/>
        </w:rPr>
        <w:t xml:space="preserve">Direct effects. </w:t>
      </w:r>
      <w:r w:rsidRPr="00813D22">
        <w:rPr>
          <w:rFonts w:asciiTheme="majorBidi" w:hAnsiTheme="majorBidi" w:cstheme="majorBidi"/>
        </w:rPr>
        <w:t xml:space="preserve">The model indicated that three background measures directly affected </w:t>
      </w:r>
      <w:r w:rsidR="005E1257" w:rsidRPr="00813D22">
        <w:rPr>
          <w:rFonts w:asciiTheme="majorBidi" w:hAnsiTheme="majorBidi" w:cstheme="majorBidi"/>
        </w:rPr>
        <w:t>CSB</w:t>
      </w:r>
      <w:r w:rsidR="00CF4895" w:rsidRPr="00813D22">
        <w:rPr>
          <w:rFonts w:asciiTheme="majorBidi" w:hAnsiTheme="majorBidi" w:cstheme="majorBidi"/>
        </w:rPr>
        <w:t>D</w:t>
      </w:r>
      <w:r w:rsidRPr="00813D22">
        <w:rPr>
          <w:rFonts w:asciiTheme="majorBidi" w:hAnsiTheme="majorBidi" w:cstheme="majorBidi"/>
        </w:rPr>
        <w:t xml:space="preserve"> after controlling for people's cognitive-related processes (Step 1 mediators) and psychopathology (Step 2 mediators). Specifically, </w:t>
      </w:r>
      <w:r w:rsidR="003869F9" w:rsidRPr="00813D22">
        <w:rPr>
          <w:rFonts w:asciiTheme="majorBidi" w:hAnsiTheme="majorBidi" w:cstheme="majorBidi"/>
        </w:rPr>
        <w:t>boys</w:t>
      </w:r>
      <w:r w:rsidRPr="00813D22">
        <w:rPr>
          <w:rFonts w:asciiTheme="majorBidi" w:hAnsiTheme="majorBidi" w:cstheme="majorBidi"/>
        </w:rPr>
        <w:t xml:space="preserve">, on average, had a higher </w:t>
      </w:r>
      <w:r w:rsidR="005E1257" w:rsidRPr="00813D22">
        <w:rPr>
          <w:rFonts w:asciiTheme="majorBidi" w:hAnsiTheme="majorBidi" w:cstheme="majorBidi"/>
        </w:rPr>
        <w:t>CSB</w:t>
      </w:r>
      <w:r w:rsidRPr="00813D22">
        <w:rPr>
          <w:rFonts w:asciiTheme="majorBidi" w:hAnsiTheme="majorBidi" w:cstheme="majorBidi"/>
        </w:rPr>
        <w:t xml:space="preserve"> score than </w:t>
      </w:r>
      <w:r w:rsidR="003869F9" w:rsidRPr="00813D22">
        <w:rPr>
          <w:rFonts w:asciiTheme="majorBidi" w:hAnsiTheme="majorBidi" w:cstheme="majorBidi"/>
        </w:rPr>
        <w:t>girls</w:t>
      </w:r>
      <w:r w:rsidRPr="00813D22">
        <w:rPr>
          <w:rFonts w:asciiTheme="majorBidi" w:hAnsiTheme="majorBidi" w:cstheme="majorBidi"/>
        </w:rPr>
        <w:t xml:space="preserve">, and religious </w:t>
      </w:r>
      <w:r w:rsidR="003869F9" w:rsidRPr="00813D22">
        <w:rPr>
          <w:rFonts w:asciiTheme="majorBidi" w:hAnsiTheme="majorBidi" w:cstheme="majorBidi"/>
        </w:rPr>
        <w:t>adolescents</w:t>
      </w:r>
      <w:r w:rsidRPr="00813D22">
        <w:rPr>
          <w:rFonts w:asciiTheme="majorBidi" w:hAnsiTheme="majorBidi" w:cstheme="majorBidi"/>
        </w:rPr>
        <w:t xml:space="preserve">, on average, had higher </w:t>
      </w:r>
      <w:r w:rsidR="005E1257" w:rsidRPr="00813D22">
        <w:rPr>
          <w:rFonts w:asciiTheme="majorBidi" w:hAnsiTheme="majorBidi" w:cstheme="majorBidi"/>
        </w:rPr>
        <w:t>CSB</w:t>
      </w:r>
      <w:r w:rsidR="003869F9" w:rsidRPr="00813D22">
        <w:rPr>
          <w:rFonts w:asciiTheme="majorBidi" w:hAnsiTheme="majorBidi" w:cstheme="majorBidi"/>
        </w:rPr>
        <w:t>D</w:t>
      </w:r>
      <w:r w:rsidRPr="00813D22">
        <w:rPr>
          <w:rFonts w:asciiTheme="majorBidi" w:hAnsiTheme="majorBidi" w:cstheme="majorBidi"/>
        </w:rPr>
        <w:t xml:space="preserve"> score than secular </w:t>
      </w:r>
      <w:r w:rsidR="003869F9" w:rsidRPr="00813D22">
        <w:rPr>
          <w:rFonts w:asciiTheme="majorBidi" w:hAnsiTheme="majorBidi" w:cstheme="majorBidi"/>
        </w:rPr>
        <w:t>adolescents</w:t>
      </w:r>
      <w:r w:rsidRPr="00813D22">
        <w:rPr>
          <w:rFonts w:asciiTheme="majorBidi" w:hAnsiTheme="majorBidi" w:cstheme="majorBidi"/>
        </w:rPr>
        <w:t xml:space="preserve">. In addition, the higher participants' openness to experience, the higher their </w:t>
      </w:r>
      <w:r w:rsidR="005E1257" w:rsidRPr="00813D22">
        <w:rPr>
          <w:rFonts w:asciiTheme="majorBidi" w:hAnsiTheme="majorBidi" w:cstheme="majorBidi"/>
        </w:rPr>
        <w:t>CSB</w:t>
      </w:r>
      <w:r w:rsidR="003869F9" w:rsidRPr="00813D22">
        <w:rPr>
          <w:rFonts w:asciiTheme="majorBidi" w:hAnsiTheme="majorBidi" w:cstheme="majorBidi"/>
        </w:rPr>
        <w:t>D</w:t>
      </w:r>
      <w:r w:rsidRPr="00813D22">
        <w:rPr>
          <w:rFonts w:asciiTheme="majorBidi" w:hAnsiTheme="majorBidi" w:cstheme="majorBidi"/>
        </w:rPr>
        <w:t xml:space="preserve"> scores. </w:t>
      </w:r>
    </w:p>
    <w:p w14:paraId="4C6481A5" w14:textId="24B38AA3" w:rsidR="00DD3A50" w:rsidRPr="00813D22" w:rsidRDefault="00DD3A50" w:rsidP="00DD3A50">
      <w:pPr>
        <w:spacing w:after="120" w:line="480" w:lineRule="auto"/>
        <w:rPr>
          <w:rFonts w:asciiTheme="majorBidi" w:hAnsiTheme="majorBidi" w:cstheme="majorBidi"/>
        </w:rPr>
      </w:pPr>
      <w:r w:rsidRPr="00813D22">
        <w:rPr>
          <w:rFonts w:asciiTheme="majorBidi" w:hAnsiTheme="majorBidi" w:cstheme="majorBidi"/>
          <w:b/>
          <w:bCs/>
        </w:rPr>
        <w:t xml:space="preserve">Indirect effects via cognitive-related processes or psychopathology (1-step mediation processes). </w:t>
      </w:r>
      <w:r w:rsidRPr="00813D22">
        <w:rPr>
          <w:rFonts w:asciiTheme="majorBidi" w:hAnsiTheme="majorBidi" w:cstheme="majorBidi"/>
        </w:rPr>
        <w:t xml:space="preserve">The model revealed that the tendency for reappraisal mediated the links between four background measures – gender, Extraversion, Openness to experience, and Attachment anxiety – and </w:t>
      </w:r>
      <w:r w:rsidR="005E1257" w:rsidRPr="00813D22">
        <w:rPr>
          <w:rFonts w:asciiTheme="majorBidi" w:hAnsiTheme="majorBidi" w:cstheme="majorBidi"/>
        </w:rPr>
        <w:t>CSB</w:t>
      </w:r>
      <w:r w:rsidR="009C2298" w:rsidRPr="00813D22">
        <w:rPr>
          <w:rFonts w:asciiTheme="majorBidi" w:hAnsiTheme="majorBidi" w:cstheme="majorBidi"/>
        </w:rPr>
        <w:t>D</w:t>
      </w:r>
      <w:r w:rsidRPr="00813D22">
        <w:rPr>
          <w:rFonts w:asciiTheme="majorBidi" w:hAnsiTheme="majorBidi" w:cstheme="majorBidi"/>
        </w:rPr>
        <w:t xml:space="preserve">. Specifically, </w:t>
      </w:r>
      <w:r w:rsidR="009C2298" w:rsidRPr="00813D22">
        <w:rPr>
          <w:rFonts w:asciiTheme="majorBidi" w:hAnsiTheme="majorBidi" w:cstheme="majorBidi"/>
        </w:rPr>
        <w:t>girls</w:t>
      </w:r>
      <w:r w:rsidRPr="00813D22">
        <w:rPr>
          <w:rFonts w:asciiTheme="majorBidi" w:hAnsiTheme="majorBidi" w:cstheme="majorBidi"/>
        </w:rPr>
        <w:t xml:space="preserve">, on average, had a greater tendency for Reappraisal than </w:t>
      </w:r>
      <w:r w:rsidR="009C2298" w:rsidRPr="00813D22">
        <w:rPr>
          <w:rFonts w:asciiTheme="majorBidi" w:hAnsiTheme="majorBidi" w:cstheme="majorBidi"/>
        </w:rPr>
        <w:t>boys</w:t>
      </w:r>
      <w:r w:rsidRPr="00813D22">
        <w:rPr>
          <w:rFonts w:asciiTheme="majorBidi" w:hAnsiTheme="majorBidi" w:cstheme="majorBidi"/>
        </w:rPr>
        <w:t xml:space="preserve">. Higher scores on Extraversion, Openness to experience, and/or Attachment anxiety were also linked with a greater tendency for Reappraisal. This greater tendency, in turn, was related to higher scores on </w:t>
      </w:r>
      <w:r w:rsidR="005E1257" w:rsidRPr="00813D22">
        <w:rPr>
          <w:rFonts w:asciiTheme="majorBidi" w:hAnsiTheme="majorBidi" w:cstheme="majorBidi"/>
        </w:rPr>
        <w:t>CSB</w:t>
      </w:r>
      <w:r w:rsidR="009C2298" w:rsidRPr="00813D22">
        <w:rPr>
          <w:rFonts w:asciiTheme="majorBidi" w:hAnsiTheme="majorBidi" w:cstheme="majorBidi"/>
        </w:rPr>
        <w:t>D</w:t>
      </w:r>
      <w:r w:rsidRPr="00813D22">
        <w:rPr>
          <w:rFonts w:asciiTheme="majorBidi" w:hAnsiTheme="majorBidi" w:cstheme="majorBidi"/>
        </w:rPr>
        <w:t xml:space="preserve">. In other words, </w:t>
      </w:r>
      <w:r w:rsidR="009C2298" w:rsidRPr="00813D22">
        <w:rPr>
          <w:rFonts w:asciiTheme="majorBidi" w:hAnsiTheme="majorBidi" w:cstheme="majorBidi"/>
        </w:rPr>
        <w:t>adolescents</w:t>
      </w:r>
      <w:r w:rsidRPr="00813D22">
        <w:rPr>
          <w:rFonts w:asciiTheme="majorBidi" w:hAnsiTheme="majorBidi" w:cstheme="majorBidi"/>
        </w:rPr>
        <w:t xml:space="preserve"> who tend to be higher on Reappraisal (</w:t>
      </w:r>
      <w:r w:rsidR="009C2298" w:rsidRPr="00813D22">
        <w:rPr>
          <w:rFonts w:asciiTheme="majorBidi" w:hAnsiTheme="majorBidi" w:cstheme="majorBidi"/>
        </w:rPr>
        <w:t>girls</w:t>
      </w:r>
      <w:r w:rsidRPr="00813D22">
        <w:rPr>
          <w:rFonts w:asciiTheme="majorBidi" w:hAnsiTheme="majorBidi" w:cstheme="majorBidi"/>
        </w:rPr>
        <w:t xml:space="preserve">, and those high on Extraversion, Openness to experience, or Attachment anxiety) are more prone to </w:t>
      </w:r>
      <w:r w:rsidR="005E1257" w:rsidRPr="00813D22">
        <w:rPr>
          <w:rFonts w:asciiTheme="majorBidi" w:hAnsiTheme="majorBidi" w:cstheme="majorBidi"/>
        </w:rPr>
        <w:t>CSB</w:t>
      </w:r>
      <w:r w:rsidR="009C2298" w:rsidRPr="00813D22">
        <w:rPr>
          <w:rFonts w:asciiTheme="majorBidi" w:hAnsiTheme="majorBidi" w:cstheme="majorBidi"/>
        </w:rPr>
        <w:t>D</w:t>
      </w:r>
      <w:r w:rsidRPr="00813D22">
        <w:rPr>
          <w:rFonts w:asciiTheme="majorBidi" w:hAnsiTheme="majorBidi" w:cstheme="majorBidi"/>
        </w:rPr>
        <w:t xml:space="preserve">. However, it should be noted that the indirect effect of gender is much weaker than its direct effect on </w:t>
      </w:r>
      <w:r w:rsidR="005E1257" w:rsidRPr="00813D22">
        <w:rPr>
          <w:rFonts w:asciiTheme="majorBidi" w:hAnsiTheme="majorBidi" w:cstheme="majorBidi"/>
        </w:rPr>
        <w:t>CSB</w:t>
      </w:r>
      <w:r w:rsidR="009C2298" w:rsidRPr="00813D22">
        <w:rPr>
          <w:rFonts w:asciiTheme="majorBidi" w:hAnsiTheme="majorBidi" w:cstheme="majorBidi"/>
        </w:rPr>
        <w:t>D</w:t>
      </w:r>
      <w:r w:rsidRPr="00813D22">
        <w:rPr>
          <w:rFonts w:asciiTheme="majorBidi" w:hAnsiTheme="majorBidi" w:cstheme="majorBidi"/>
        </w:rPr>
        <w:t xml:space="preserve">, </w:t>
      </w:r>
      <w:r w:rsidRPr="00813D22">
        <w:rPr>
          <w:rFonts w:asciiTheme="majorBidi" w:hAnsiTheme="majorBidi" w:cstheme="majorBidi"/>
        </w:rPr>
        <w:lastRenderedPageBreak/>
        <w:t xml:space="preserve">which corroborates the overall finding that </w:t>
      </w:r>
      <w:r w:rsidR="009C2298" w:rsidRPr="00813D22">
        <w:rPr>
          <w:rFonts w:asciiTheme="majorBidi" w:hAnsiTheme="majorBidi" w:cstheme="majorBidi"/>
        </w:rPr>
        <w:t>boys</w:t>
      </w:r>
      <w:r w:rsidRPr="00813D22">
        <w:rPr>
          <w:rFonts w:asciiTheme="majorBidi" w:hAnsiTheme="majorBidi" w:cstheme="majorBidi"/>
        </w:rPr>
        <w:t xml:space="preserve"> are, on average, higher on </w:t>
      </w:r>
      <w:r w:rsidR="005E1257" w:rsidRPr="00813D22">
        <w:rPr>
          <w:rFonts w:asciiTheme="majorBidi" w:hAnsiTheme="majorBidi" w:cstheme="majorBidi"/>
        </w:rPr>
        <w:t>CSB</w:t>
      </w:r>
      <w:r w:rsidR="009C2298" w:rsidRPr="00813D22">
        <w:rPr>
          <w:rFonts w:asciiTheme="majorBidi" w:hAnsiTheme="majorBidi" w:cstheme="majorBidi"/>
        </w:rPr>
        <w:t>D</w:t>
      </w:r>
      <w:r w:rsidRPr="00813D22">
        <w:rPr>
          <w:rFonts w:asciiTheme="majorBidi" w:hAnsiTheme="majorBidi" w:cstheme="majorBidi"/>
        </w:rPr>
        <w:t xml:space="preserve"> than </w:t>
      </w:r>
      <w:r w:rsidR="009C2298" w:rsidRPr="00813D22">
        <w:rPr>
          <w:rFonts w:asciiTheme="majorBidi" w:hAnsiTheme="majorBidi" w:cstheme="majorBidi"/>
        </w:rPr>
        <w:t>girls</w:t>
      </w:r>
      <w:r w:rsidRPr="00813D22">
        <w:rPr>
          <w:rFonts w:asciiTheme="majorBidi" w:hAnsiTheme="majorBidi" w:cstheme="majorBidi"/>
        </w:rPr>
        <w:t xml:space="preserve">. </w:t>
      </w:r>
    </w:p>
    <w:p w14:paraId="46CE7221" w14:textId="2321C63F" w:rsidR="00DD3A50" w:rsidRPr="00813D22" w:rsidRDefault="00DD3A50" w:rsidP="00DD3A50">
      <w:pPr>
        <w:spacing w:after="120" w:line="480" w:lineRule="auto"/>
        <w:rPr>
          <w:rFonts w:asciiTheme="majorBidi" w:hAnsiTheme="majorBidi" w:cstheme="majorBidi"/>
        </w:rPr>
      </w:pPr>
      <w:r w:rsidRPr="00813D22">
        <w:rPr>
          <w:rFonts w:asciiTheme="majorBidi" w:hAnsiTheme="majorBidi" w:cstheme="majorBidi"/>
          <w:b/>
          <w:bCs/>
        </w:rPr>
        <w:t xml:space="preserve">Indirect effects via cognitive-related processes and psychopathology (2-step mediation processes). </w:t>
      </w:r>
      <w:r w:rsidRPr="00813D22">
        <w:rPr>
          <w:rFonts w:asciiTheme="majorBidi" w:hAnsiTheme="majorBidi" w:cstheme="majorBidi"/>
        </w:rPr>
        <w:t xml:space="preserve">In keeping with the main study premise, the model indicted that the links between </w:t>
      </w:r>
      <w:r w:rsidR="009C2298" w:rsidRPr="00813D22">
        <w:rPr>
          <w:rFonts w:asciiTheme="majorBidi" w:hAnsiTheme="majorBidi" w:cstheme="majorBidi"/>
        </w:rPr>
        <w:t>adolescent's</w:t>
      </w:r>
      <w:r w:rsidRPr="00813D22">
        <w:rPr>
          <w:rFonts w:asciiTheme="majorBidi" w:hAnsiTheme="majorBidi" w:cstheme="majorBidi"/>
        </w:rPr>
        <w:t xml:space="preserve"> background measures (gender, religiosity, and personality dispositions) and their level of </w:t>
      </w:r>
      <w:r w:rsidR="005E1257" w:rsidRPr="00813D22">
        <w:rPr>
          <w:rFonts w:asciiTheme="majorBidi" w:hAnsiTheme="majorBidi" w:cstheme="majorBidi"/>
        </w:rPr>
        <w:t>CSB</w:t>
      </w:r>
      <w:r w:rsidR="009C2298" w:rsidRPr="00813D22">
        <w:rPr>
          <w:rFonts w:asciiTheme="majorBidi" w:hAnsiTheme="majorBidi" w:cstheme="majorBidi"/>
        </w:rPr>
        <w:t>D</w:t>
      </w:r>
      <w:r w:rsidRPr="00813D22">
        <w:rPr>
          <w:rFonts w:asciiTheme="majorBidi" w:hAnsiTheme="majorBidi" w:cstheme="majorBidi"/>
        </w:rPr>
        <w:t xml:space="preserve"> are mediated by several 2-step mediation processes via cognitive-related tendencies and psychopathology. Specifically, we found that the tendency to ruminate and to reflect increase anxiety-related symptoms that, in turn, increase the level of </w:t>
      </w:r>
      <w:r w:rsidR="005E1257" w:rsidRPr="00813D22">
        <w:rPr>
          <w:rFonts w:asciiTheme="majorBidi" w:hAnsiTheme="majorBidi" w:cstheme="majorBidi"/>
        </w:rPr>
        <w:t>CSB</w:t>
      </w:r>
      <w:r w:rsidR="009C2298" w:rsidRPr="00813D22">
        <w:rPr>
          <w:rFonts w:asciiTheme="majorBidi" w:hAnsiTheme="majorBidi" w:cstheme="majorBidi"/>
        </w:rPr>
        <w:t>D</w:t>
      </w:r>
      <w:r w:rsidRPr="00813D22">
        <w:rPr>
          <w:rFonts w:asciiTheme="majorBidi" w:hAnsiTheme="majorBidi" w:cstheme="majorBidi"/>
        </w:rPr>
        <w:t xml:space="preserve">. The specific mediation paths were those in which the background measures were related with a greater tendency to ruminate and/or to reflect. As can be seen in Table 2 and Figure 2, higher scores on extraversion, openness to experience, and/or attachment anxiety were linked with greater tendency to ruminate. Higher scores on openness to experience, and/or attachment anxiety were also associated with a greater tendency to reflect. Religious </w:t>
      </w:r>
      <w:r w:rsidR="009C2298" w:rsidRPr="00813D22">
        <w:rPr>
          <w:rFonts w:asciiTheme="majorBidi" w:hAnsiTheme="majorBidi" w:cstheme="majorBidi"/>
        </w:rPr>
        <w:t>adolescents</w:t>
      </w:r>
      <w:r w:rsidRPr="00813D22">
        <w:rPr>
          <w:rFonts w:asciiTheme="majorBidi" w:hAnsiTheme="majorBidi" w:cstheme="majorBidi"/>
        </w:rPr>
        <w:t xml:space="preserve"> also tended, on average, to reflect more than secular </w:t>
      </w:r>
      <w:r w:rsidR="009C2298" w:rsidRPr="00813D22">
        <w:rPr>
          <w:rFonts w:asciiTheme="majorBidi" w:hAnsiTheme="majorBidi" w:cstheme="majorBidi"/>
        </w:rPr>
        <w:t>adolescents</w:t>
      </w:r>
      <w:r w:rsidRPr="00813D22">
        <w:rPr>
          <w:rFonts w:asciiTheme="majorBidi" w:hAnsiTheme="majorBidi" w:cstheme="majorBidi"/>
        </w:rPr>
        <w:t xml:space="preserve">. In other words, </w:t>
      </w:r>
      <w:r w:rsidR="009C2298" w:rsidRPr="00813D22">
        <w:rPr>
          <w:rFonts w:asciiTheme="majorBidi" w:hAnsiTheme="majorBidi" w:cstheme="majorBidi"/>
        </w:rPr>
        <w:t>adolescents</w:t>
      </w:r>
      <w:r w:rsidRPr="00813D22">
        <w:rPr>
          <w:rFonts w:asciiTheme="majorBidi" w:hAnsiTheme="majorBidi" w:cstheme="majorBidi"/>
        </w:rPr>
        <w:t xml:space="preserve"> who tend to be higher on ruminate and/or reflection (religious </w:t>
      </w:r>
      <w:r w:rsidR="009C2298" w:rsidRPr="00813D22">
        <w:rPr>
          <w:rFonts w:asciiTheme="majorBidi" w:hAnsiTheme="majorBidi" w:cstheme="majorBidi"/>
        </w:rPr>
        <w:t>adolescents</w:t>
      </w:r>
      <w:r w:rsidRPr="00813D22">
        <w:rPr>
          <w:rFonts w:asciiTheme="majorBidi" w:hAnsiTheme="majorBidi" w:cstheme="majorBidi"/>
        </w:rPr>
        <w:t xml:space="preserve">, and those high on extraversion, openness to experience, or attachment anxiety) are more prone to </w:t>
      </w:r>
      <w:r w:rsidR="005E1257" w:rsidRPr="00813D22">
        <w:rPr>
          <w:rFonts w:asciiTheme="majorBidi" w:hAnsiTheme="majorBidi" w:cstheme="majorBidi"/>
        </w:rPr>
        <w:t>CSB</w:t>
      </w:r>
      <w:r w:rsidR="009C2298" w:rsidRPr="00813D22">
        <w:rPr>
          <w:rFonts w:asciiTheme="majorBidi" w:hAnsiTheme="majorBidi" w:cstheme="majorBidi"/>
        </w:rPr>
        <w:t>D</w:t>
      </w:r>
      <w:r w:rsidRPr="00813D22">
        <w:rPr>
          <w:rFonts w:asciiTheme="majorBidi" w:hAnsiTheme="majorBidi" w:cstheme="majorBidi"/>
        </w:rPr>
        <w:t xml:space="preserve"> because rumination and reflection are associated with greater anxiety-related symptom severity.</w:t>
      </w:r>
    </w:p>
    <w:p w14:paraId="78FD37FF" w14:textId="77777777" w:rsidR="00DD3A50" w:rsidRPr="00813D22" w:rsidRDefault="00DD3A50" w:rsidP="00DD3A50">
      <w:pPr>
        <w:spacing w:after="120" w:line="480" w:lineRule="auto"/>
        <w:rPr>
          <w:rFonts w:asciiTheme="majorBidi" w:hAnsiTheme="majorBidi" w:cstheme="majorBidi"/>
        </w:rPr>
      </w:pPr>
    </w:p>
    <w:p w14:paraId="255A33F0" w14:textId="77777777" w:rsidR="00DD3A50" w:rsidRPr="00813D22" w:rsidRDefault="00DD3A50" w:rsidP="00DD3A50">
      <w:pPr>
        <w:spacing w:after="120" w:line="480" w:lineRule="auto"/>
        <w:rPr>
          <w:rFonts w:asciiTheme="majorBidi" w:hAnsiTheme="majorBidi" w:cstheme="majorBidi"/>
          <w:b/>
          <w:bCs/>
        </w:rPr>
      </w:pPr>
      <w:r w:rsidRPr="00813D22">
        <w:rPr>
          <w:rFonts w:asciiTheme="majorBidi" w:hAnsiTheme="majorBidi" w:cstheme="majorBidi"/>
          <w:b/>
          <w:bCs/>
        </w:rPr>
        <w:t>Discussion</w:t>
      </w:r>
    </w:p>
    <w:p w14:paraId="7BF9BE7B" w14:textId="659D9984" w:rsidR="00DB655F" w:rsidRPr="00813D22" w:rsidRDefault="003D4E11" w:rsidP="00FE3604">
      <w:pPr>
        <w:spacing w:after="120" w:line="480" w:lineRule="auto"/>
        <w:ind w:firstLine="720"/>
        <w:rPr>
          <w:rFonts w:asciiTheme="majorBidi" w:hAnsiTheme="majorBidi" w:cstheme="majorBidi"/>
        </w:rPr>
      </w:pPr>
      <w:r w:rsidRPr="00813D22">
        <w:rPr>
          <w:rFonts w:asciiTheme="majorBidi" w:hAnsiTheme="majorBidi" w:cstheme="majorBidi"/>
        </w:rPr>
        <w:t xml:space="preserve">While the majority of research has attempted to understand the mechanisms of CSBD </w:t>
      </w:r>
      <w:r w:rsidR="00A73724" w:rsidRPr="00813D22">
        <w:rPr>
          <w:rFonts w:asciiTheme="majorBidi" w:hAnsiTheme="majorBidi" w:cstheme="majorBidi"/>
        </w:rPr>
        <w:t xml:space="preserve">(Gola et al., 2020; </w:t>
      </w:r>
      <w:proofErr w:type="spellStart"/>
      <w:r w:rsidR="00A73724" w:rsidRPr="00813D22">
        <w:rPr>
          <w:rFonts w:asciiTheme="majorBidi" w:hAnsiTheme="majorBidi" w:cstheme="majorBidi"/>
        </w:rPr>
        <w:t>Sassover</w:t>
      </w:r>
      <w:proofErr w:type="spellEnd"/>
      <w:r w:rsidR="00A73724" w:rsidRPr="00813D22">
        <w:rPr>
          <w:rFonts w:asciiTheme="majorBidi" w:hAnsiTheme="majorBidi" w:cstheme="majorBidi"/>
        </w:rPr>
        <w:t>, &amp; Weinstein, 2020; Grubbs et al., 2020)</w:t>
      </w:r>
      <w:r w:rsidRPr="00813D22">
        <w:rPr>
          <w:rFonts w:asciiTheme="majorBidi" w:hAnsiTheme="majorBidi" w:cstheme="majorBidi"/>
        </w:rPr>
        <w:t>, the personal factors affecting CSB</w:t>
      </w:r>
      <w:r w:rsidR="00A73724" w:rsidRPr="00813D22">
        <w:rPr>
          <w:rFonts w:asciiTheme="majorBidi" w:hAnsiTheme="majorBidi" w:cstheme="majorBidi"/>
        </w:rPr>
        <w:t>D</w:t>
      </w:r>
      <w:r w:rsidRPr="00813D22">
        <w:rPr>
          <w:rFonts w:asciiTheme="majorBidi" w:hAnsiTheme="majorBidi" w:cstheme="majorBidi"/>
        </w:rPr>
        <w:t xml:space="preserve"> </w:t>
      </w:r>
      <w:r w:rsidR="00A73724" w:rsidRPr="00813D22">
        <w:rPr>
          <w:rFonts w:asciiTheme="majorBidi" w:hAnsiTheme="majorBidi" w:cstheme="majorBidi"/>
        </w:rPr>
        <w:t>(</w:t>
      </w:r>
      <w:r w:rsidRPr="00813D22">
        <w:rPr>
          <w:rFonts w:asciiTheme="majorBidi" w:hAnsiTheme="majorBidi" w:cstheme="majorBidi"/>
        </w:rPr>
        <w:fldChar w:fldCharType="begin"/>
      </w:r>
      <w:r w:rsidRPr="00813D22">
        <w:rPr>
          <w:rFonts w:asciiTheme="majorBidi" w:hAnsiTheme="majorBidi" w:cstheme="majorBidi"/>
        </w:rPr>
        <w:instrText xml:space="preserve"> ADDIN EN.CITE &lt;EndNote&gt;&lt;Cite&gt;&lt;Author&gt;Lewczuk&lt;/Author&gt;&lt;Year&gt;2017&lt;/Year&gt;&lt;RecNum&gt;2422&lt;/RecNum&gt;&lt;DisplayText&gt;(Lewczuk, Szmyd, Skorko, &amp;amp; Gola, 2017)&lt;/DisplayText&gt;&lt;record&gt;&lt;rec-number&gt;2422&lt;/rec-number&gt;&lt;foreign-keys&gt;&lt;key app="EN" db-id="50wxdpzd9vd5r7e9t5b595djrfpttrxw9avp" timestamp="1522271025"&gt;2422&lt;/key&gt;&lt;/foreign-keys&gt;&lt;ref-type name="Journal Article"&gt;17&lt;/ref-type&gt;&lt;contributors&gt;&lt;authors&gt;&lt;author&gt;Lewczuk, Karol&lt;/author&gt;&lt;author&gt;Szmyd, Joanna&lt;/author&gt;&lt;author&gt;Skorko, Maciej&lt;/author&gt;&lt;author&gt;Gola, Mateusz&lt;/author&gt;&lt;/authors&gt;&lt;/contributors&gt;&lt;titles&gt;&lt;title&gt;Treatment seeking for problematic pornography use among women&lt;/title&gt;&lt;secondary-title&gt;Journal of behavioral addictions&lt;/secondary-title&gt;&lt;/titles&gt;&lt;periodical&gt;&lt;full-title&gt;Journal of behavioral addictions&lt;/full-title&gt;&lt;/periodical&gt;&lt;pages&gt;445-456&lt;/pages&gt;&lt;volume&gt;6&lt;/volume&gt;&lt;number&gt;4&lt;/number&gt;&lt;dates&gt;&lt;year&gt;2017&lt;/year&gt;&lt;/dates&gt;&lt;isbn&gt;2062-5871&lt;/isbn&gt;&lt;urls&gt;&lt;/urls&gt;&lt;/record&gt;&lt;/Cite&gt;&lt;/EndNote&gt;</w:instrText>
      </w:r>
      <w:r w:rsidRPr="00813D22">
        <w:rPr>
          <w:rFonts w:asciiTheme="majorBidi" w:hAnsiTheme="majorBidi" w:cstheme="majorBidi"/>
        </w:rPr>
        <w:fldChar w:fldCharType="separate"/>
      </w:r>
      <w:r w:rsidRPr="00813D22">
        <w:rPr>
          <w:rFonts w:asciiTheme="majorBidi" w:hAnsiTheme="majorBidi" w:cstheme="majorBidi"/>
        </w:rPr>
        <w:fldChar w:fldCharType="begin"/>
      </w:r>
      <w:r w:rsidRPr="00813D22">
        <w:rPr>
          <w:rFonts w:asciiTheme="majorBidi" w:hAnsiTheme="majorBidi" w:cstheme="majorBidi"/>
        </w:rPr>
        <w:instrText xml:space="preserve"> ADDIN EN.CITE &lt;EndNote&gt;&lt;Cite&gt;&lt;Author&gt;Zilberman&lt;/Author&gt;&lt;Year&gt;2018&lt;/Year&gt;&lt;RecNum&gt;2349&lt;/RecNum&gt;&lt;DisplayText&gt;(Zilberman, Yadid, Efrati, Neumark, &amp;amp; Rassovsky, 2018)&lt;/DisplayText&gt;&lt;record&gt;&lt;rec-number&gt;2349&lt;/rec-number&gt;&lt;foreign-keys&gt;&lt;key app="EN" db-id="50wxdpzd9vd5r7e9t5b595djrfpttrxw9avp" timestamp="1522230433"&gt;2349&lt;/key&gt;&lt;/foreign-keys&gt;&lt;ref-type name="Journal Article"&gt;17&lt;/ref-type&gt;&lt;contributors&gt;&lt;authors&gt;&lt;author&gt;Zilberman, Noam&lt;/author&gt;&lt;author&gt;Yadid, Gal&lt;/author&gt;&lt;author&gt;Efrati, Yaniv&lt;/author&gt;&lt;author&gt;Neumark, Yehuda&lt;/author&gt;&lt;author&gt;Rassovsky, Yuri&lt;/author&gt;&lt;/authors&gt;&lt;/contributors&gt;&lt;titles&gt;&lt;title&gt;Personality profiles of substance and behavioral addictions&lt;/title&gt;&lt;secondary-title&gt;Addictive behaviors&lt;/secondary-title&gt;&lt;/titles&gt;&lt;periodical&gt;&lt;full-title&gt;Addictive behaviors&lt;/full-title&gt;&lt;/periodical&gt;&lt;dates&gt;&lt;year&gt;2018&lt;/year&gt;&lt;/dates&gt;&lt;isbn&gt;0306-4603&lt;/isbn&gt;&lt;urls&gt;&lt;/urls&gt;&lt;/record&gt;&lt;/Cite&gt;&lt;/EndNote&gt;</w:instrText>
      </w:r>
      <w:r w:rsidRPr="00813D22">
        <w:rPr>
          <w:rFonts w:asciiTheme="majorBidi" w:hAnsiTheme="majorBidi" w:cstheme="majorBidi"/>
        </w:rPr>
        <w:fldChar w:fldCharType="separate"/>
      </w:r>
      <w:r w:rsidRPr="00813D22">
        <w:rPr>
          <w:rFonts w:asciiTheme="majorBidi" w:hAnsiTheme="majorBidi" w:cstheme="majorBidi"/>
        </w:rPr>
        <w:t>Zilberman</w:t>
      </w:r>
      <w:r w:rsidR="00085F06" w:rsidRPr="00813D22">
        <w:rPr>
          <w:rFonts w:asciiTheme="majorBidi" w:hAnsiTheme="majorBidi" w:cstheme="majorBidi"/>
        </w:rPr>
        <w:t xml:space="preserve"> et al., </w:t>
      </w:r>
      <w:r w:rsidRPr="00813D22">
        <w:rPr>
          <w:rFonts w:asciiTheme="majorBidi" w:hAnsiTheme="majorBidi" w:cstheme="majorBidi"/>
        </w:rPr>
        <w:t>2018</w:t>
      </w:r>
      <w:r w:rsidRPr="00813D22">
        <w:rPr>
          <w:rFonts w:asciiTheme="majorBidi" w:hAnsiTheme="majorBidi" w:cstheme="majorBidi"/>
        </w:rPr>
        <w:fldChar w:fldCharType="end"/>
      </w:r>
      <w:r w:rsidR="00A73724" w:rsidRPr="00813D22">
        <w:rPr>
          <w:rFonts w:asciiTheme="majorBidi" w:hAnsiTheme="majorBidi" w:cstheme="majorBidi"/>
        </w:rPr>
        <w:t>; Efrati, Krause and Kaplan, 202</w:t>
      </w:r>
      <w:r w:rsidR="00C54D35" w:rsidRPr="00813D22">
        <w:rPr>
          <w:rFonts w:asciiTheme="majorBidi" w:hAnsiTheme="majorBidi" w:cstheme="majorBidi"/>
        </w:rPr>
        <w:t>2</w:t>
      </w:r>
      <w:r w:rsidRPr="00813D22">
        <w:rPr>
          <w:rFonts w:asciiTheme="majorBidi" w:hAnsiTheme="majorBidi" w:cstheme="majorBidi"/>
        </w:rPr>
        <w:t>)</w:t>
      </w:r>
      <w:r w:rsidRPr="00813D22">
        <w:rPr>
          <w:rFonts w:asciiTheme="majorBidi" w:hAnsiTheme="majorBidi" w:cstheme="majorBidi"/>
        </w:rPr>
        <w:fldChar w:fldCharType="end"/>
      </w:r>
      <w:r w:rsidRPr="00813D22">
        <w:rPr>
          <w:rFonts w:asciiTheme="majorBidi" w:hAnsiTheme="majorBidi" w:cstheme="majorBidi"/>
        </w:rPr>
        <w:t xml:space="preserve"> and/or </w:t>
      </w:r>
      <w:r w:rsidRPr="00813D22">
        <w:rPr>
          <w:rFonts w:asciiTheme="majorBidi" w:hAnsiTheme="majorBidi" w:cstheme="majorBidi"/>
        </w:rPr>
        <w:lastRenderedPageBreak/>
        <w:t>treatments for CSB</w:t>
      </w:r>
      <w:r w:rsidR="00F1780D" w:rsidRPr="00813D22">
        <w:rPr>
          <w:rFonts w:asciiTheme="majorBidi" w:hAnsiTheme="majorBidi" w:cstheme="majorBidi"/>
        </w:rPr>
        <w:t>D</w:t>
      </w:r>
      <w:r w:rsidRPr="00813D22">
        <w:rPr>
          <w:rFonts w:asciiTheme="majorBidi" w:hAnsiTheme="majorBidi" w:cstheme="majorBidi"/>
        </w:rPr>
        <w:t xml:space="preserve"> </w:t>
      </w:r>
      <w:r w:rsidR="00F1780D" w:rsidRPr="00813D22">
        <w:rPr>
          <w:rFonts w:asciiTheme="majorBidi" w:hAnsiTheme="majorBidi" w:cstheme="majorBidi"/>
        </w:rPr>
        <w:t>(</w:t>
      </w:r>
      <w:r w:rsidRPr="00813D22">
        <w:rPr>
          <w:rFonts w:asciiTheme="majorBidi" w:hAnsiTheme="majorBidi" w:cstheme="majorBidi"/>
        </w:rPr>
        <w:fldChar w:fldCharType="begin"/>
      </w:r>
      <w:r w:rsidRPr="00813D22">
        <w:rPr>
          <w:rFonts w:asciiTheme="majorBidi" w:hAnsiTheme="majorBidi" w:cstheme="majorBidi"/>
        </w:rPr>
        <w:instrText xml:space="preserve"> ADDIN EN.CITE &lt;EndNote&gt;&lt;Cite&gt;&lt;Author&gt;!!! INVALID CITATION !!! {}&lt;/Author&gt;&lt;RecNum&gt;0&lt;/RecNum&gt;&lt;DisplayText&gt;(!!! INVALID CITATION !!! {})&lt;/DisplayText&gt;&lt;record&gt;&lt;dates&gt;&lt;year&gt;!!! INVALID CITATION !!! {}&lt;/year&gt;&lt;/dates&gt;&lt;/record&gt;&lt;/Cite&gt;&lt;/EndNote&gt;</w:instrText>
      </w:r>
      <w:r w:rsidRPr="00813D22">
        <w:rPr>
          <w:rFonts w:asciiTheme="majorBidi" w:hAnsiTheme="majorBidi" w:cstheme="majorBidi"/>
        </w:rPr>
        <w:fldChar w:fldCharType="separate"/>
      </w:r>
      <w:r w:rsidRPr="00813D22">
        <w:rPr>
          <w:rFonts w:asciiTheme="majorBidi" w:hAnsiTheme="majorBidi" w:cstheme="majorBidi"/>
        </w:rPr>
        <w:t>Efrati &amp; Gola, 2018</w:t>
      </w:r>
      <w:r w:rsidR="008437FA" w:rsidRPr="00813D22">
        <w:rPr>
          <w:rFonts w:asciiTheme="majorBidi" w:hAnsiTheme="majorBidi" w:cstheme="majorBidi"/>
        </w:rPr>
        <w:t>c</w:t>
      </w:r>
      <w:r w:rsidR="00F1780D" w:rsidRPr="00813D22">
        <w:rPr>
          <w:rFonts w:asciiTheme="majorBidi" w:hAnsiTheme="majorBidi" w:cstheme="majorBidi"/>
        </w:rPr>
        <w:t>; Griffin, Way, &amp; Kraus, 2021</w:t>
      </w:r>
      <w:r w:rsidRPr="00813D22">
        <w:rPr>
          <w:rFonts w:asciiTheme="majorBidi" w:hAnsiTheme="majorBidi" w:cstheme="majorBidi"/>
        </w:rPr>
        <w:t>)</w:t>
      </w:r>
      <w:r w:rsidRPr="00813D22">
        <w:rPr>
          <w:rFonts w:asciiTheme="majorBidi" w:hAnsiTheme="majorBidi" w:cstheme="majorBidi"/>
        </w:rPr>
        <w:fldChar w:fldCharType="end"/>
      </w:r>
      <w:r w:rsidRPr="00813D22">
        <w:rPr>
          <w:rFonts w:asciiTheme="majorBidi" w:hAnsiTheme="majorBidi" w:cstheme="majorBidi"/>
        </w:rPr>
        <w:t xml:space="preserve">, the present study is an attempt to investigate </w:t>
      </w:r>
      <w:r w:rsidR="00EA50E2" w:rsidRPr="00813D22">
        <w:rPr>
          <w:rFonts w:asciiTheme="majorBidi" w:hAnsiTheme="majorBidi" w:cstheme="majorBidi"/>
        </w:rPr>
        <w:t>by transdiagnostic approach,</w:t>
      </w:r>
      <w:r w:rsidRPr="00813D22">
        <w:rPr>
          <w:rFonts w:asciiTheme="majorBidi" w:hAnsiTheme="majorBidi" w:cstheme="majorBidi"/>
        </w:rPr>
        <w:t xml:space="preserve"> the development of CSB among adolescents. Specifically, </w:t>
      </w:r>
      <w:r w:rsidR="00B96A45" w:rsidRPr="00813D22">
        <w:rPr>
          <w:rFonts w:asciiTheme="majorBidi" w:hAnsiTheme="majorBidi" w:cstheme="majorBidi"/>
        </w:rPr>
        <w:t>I</w:t>
      </w:r>
      <w:r w:rsidRPr="00813D22">
        <w:rPr>
          <w:rFonts w:asciiTheme="majorBidi" w:hAnsiTheme="majorBidi" w:cstheme="majorBidi"/>
        </w:rPr>
        <w:t xml:space="preserve"> explored whether </w:t>
      </w:r>
      <w:r w:rsidR="00EB6A86" w:rsidRPr="00813D22">
        <w:rPr>
          <w:rFonts w:asciiTheme="majorBidi" w:hAnsiTheme="majorBidi" w:cstheme="majorBidi"/>
        </w:rPr>
        <w:t>person’s background measures (gender, religiosity, and personality dispositions, attachment orientation), cognitive-related processes and psychopathology were</w:t>
      </w:r>
      <w:r w:rsidRPr="00813D22">
        <w:rPr>
          <w:rFonts w:asciiTheme="majorBidi" w:hAnsiTheme="majorBidi" w:cstheme="majorBidi"/>
        </w:rPr>
        <w:t xml:space="preserve"> associated with the severity of adolescents' CSB</w:t>
      </w:r>
      <w:r w:rsidR="00EB6A86" w:rsidRPr="00813D22">
        <w:rPr>
          <w:rFonts w:asciiTheme="majorBidi" w:hAnsiTheme="majorBidi" w:cstheme="majorBidi"/>
        </w:rPr>
        <w:t>D</w:t>
      </w:r>
      <w:r w:rsidRPr="00813D22">
        <w:rPr>
          <w:rFonts w:asciiTheme="majorBidi" w:hAnsiTheme="majorBidi" w:cstheme="majorBidi"/>
        </w:rPr>
        <w:t xml:space="preserve">. </w:t>
      </w:r>
    </w:p>
    <w:p w14:paraId="2C2F6F7E" w14:textId="5DFE330F" w:rsidR="004F3F34" w:rsidRPr="00813D22" w:rsidRDefault="00DB655F" w:rsidP="00DB655F">
      <w:pPr>
        <w:spacing w:after="120" w:line="480" w:lineRule="auto"/>
        <w:rPr>
          <w:rFonts w:asciiTheme="majorBidi" w:hAnsiTheme="majorBidi" w:cstheme="majorBidi"/>
        </w:rPr>
      </w:pPr>
      <w:r w:rsidRPr="00813D22">
        <w:rPr>
          <w:rFonts w:asciiTheme="majorBidi" w:hAnsiTheme="majorBidi" w:cstheme="majorBidi"/>
          <w:b/>
          <w:bCs/>
        </w:rPr>
        <w:t>The direct effects of religiosity, gender, and personality disposition on CSBD</w:t>
      </w:r>
    </w:p>
    <w:p w14:paraId="1BF48B3B" w14:textId="21B8C18F" w:rsidR="004F3F34" w:rsidRPr="00813D22" w:rsidRDefault="001C5DFD" w:rsidP="00BD4814">
      <w:pPr>
        <w:spacing w:line="480" w:lineRule="auto"/>
        <w:ind w:firstLine="720"/>
      </w:pPr>
      <w:r w:rsidRPr="00813D22">
        <w:rPr>
          <w:rFonts w:asciiTheme="majorBidi" w:hAnsiTheme="majorBidi" w:cstheme="majorBidi"/>
        </w:rPr>
        <w:t xml:space="preserve">In keeping with predictions, </w:t>
      </w:r>
      <w:r w:rsidR="004F3F34" w:rsidRPr="00813D22">
        <w:rPr>
          <w:rFonts w:asciiTheme="majorBidi" w:hAnsiTheme="majorBidi" w:cstheme="majorBidi"/>
        </w:rPr>
        <w:t>three background measures directly affected CSBD after controlling for people's cognitive-related processes and psychopathology. Specifically, boys</w:t>
      </w:r>
      <w:r w:rsidR="00CC7610" w:rsidRPr="00813D22">
        <w:rPr>
          <w:rFonts w:asciiTheme="majorBidi" w:hAnsiTheme="majorBidi" w:cstheme="majorBidi"/>
        </w:rPr>
        <w:t xml:space="preserve"> </w:t>
      </w:r>
      <w:r w:rsidR="000C2CCB" w:rsidRPr="00813D22">
        <w:rPr>
          <w:rFonts w:asciiTheme="majorBidi" w:hAnsiTheme="majorBidi" w:cstheme="majorBidi"/>
        </w:rPr>
        <w:t>report</w:t>
      </w:r>
      <w:r w:rsidR="00451BD7" w:rsidRPr="00813D22">
        <w:rPr>
          <w:rFonts w:asciiTheme="majorBidi" w:hAnsiTheme="majorBidi" w:cstheme="majorBidi"/>
        </w:rPr>
        <w:t>ed</w:t>
      </w:r>
      <w:r w:rsidR="004F3F34" w:rsidRPr="00813D22">
        <w:rPr>
          <w:rFonts w:asciiTheme="majorBidi" w:hAnsiTheme="majorBidi" w:cstheme="majorBidi"/>
        </w:rPr>
        <w:t xml:space="preserve"> higher </w:t>
      </w:r>
      <w:r w:rsidR="002F5762" w:rsidRPr="00813D22">
        <w:rPr>
          <w:rFonts w:asciiTheme="majorBidi" w:hAnsiTheme="majorBidi" w:cstheme="majorBidi"/>
        </w:rPr>
        <w:t xml:space="preserve">severity of </w:t>
      </w:r>
      <w:r w:rsidR="004F3F34" w:rsidRPr="00813D22">
        <w:rPr>
          <w:rFonts w:asciiTheme="majorBidi" w:hAnsiTheme="majorBidi" w:cstheme="majorBidi"/>
        </w:rPr>
        <w:t>CSB</w:t>
      </w:r>
      <w:r w:rsidRPr="00813D22">
        <w:rPr>
          <w:rFonts w:asciiTheme="majorBidi" w:hAnsiTheme="majorBidi" w:cstheme="majorBidi"/>
        </w:rPr>
        <w:t>D</w:t>
      </w:r>
      <w:r w:rsidR="004F3F34" w:rsidRPr="00813D22">
        <w:rPr>
          <w:rFonts w:asciiTheme="majorBidi" w:hAnsiTheme="majorBidi" w:cstheme="majorBidi"/>
        </w:rPr>
        <w:t xml:space="preserve"> than girls</w:t>
      </w:r>
      <w:r w:rsidR="00451BD7" w:rsidRPr="00813D22">
        <w:rPr>
          <w:rFonts w:asciiTheme="majorBidi" w:hAnsiTheme="majorBidi" w:cstheme="majorBidi"/>
        </w:rPr>
        <w:t xml:space="preserve">. This finding is in line with research showing that </w:t>
      </w:r>
      <w:r w:rsidR="00C54D35" w:rsidRPr="00813D22">
        <w:rPr>
          <w:rFonts w:asciiTheme="majorBidi" w:hAnsiTheme="majorBidi" w:cstheme="majorBidi"/>
          <w:lang w:val="en-GB"/>
        </w:rPr>
        <w:t>a</w:t>
      </w:r>
      <w:r w:rsidR="00DB5299" w:rsidRPr="00813D22">
        <w:rPr>
          <w:rFonts w:asciiTheme="majorBidi" w:hAnsiTheme="majorBidi" w:cstheme="majorBidi"/>
          <w:lang w:val="en-GB"/>
        </w:rPr>
        <w:t xml:space="preserve">dolescent boys were found to have higher levels of sexual arousal than girls (Mitchell et al., 2012; </w:t>
      </w:r>
      <w:proofErr w:type="spellStart"/>
      <w:r w:rsidR="00DB5299" w:rsidRPr="00813D22">
        <w:rPr>
          <w:rFonts w:asciiTheme="majorBidi" w:hAnsiTheme="majorBidi" w:cstheme="majorBidi"/>
          <w:lang w:val="en-GB"/>
        </w:rPr>
        <w:t>Herbenick</w:t>
      </w:r>
      <w:proofErr w:type="spellEnd"/>
      <w:r w:rsidR="00DB5299" w:rsidRPr="00813D22">
        <w:rPr>
          <w:rFonts w:asciiTheme="majorBidi" w:hAnsiTheme="majorBidi" w:cstheme="majorBidi"/>
          <w:lang w:val="en-GB"/>
        </w:rPr>
        <w:t xml:space="preserve"> et al., 2020) and </w:t>
      </w:r>
      <w:r w:rsidR="00451BD7" w:rsidRPr="00813D22">
        <w:rPr>
          <w:rFonts w:asciiTheme="majorBidi" w:hAnsiTheme="majorBidi" w:cstheme="majorBidi"/>
          <w:color w:val="000000"/>
        </w:rPr>
        <w:t xml:space="preserve">higher attentional bias toward sexual cues and tend to have higher </w:t>
      </w:r>
      <w:r w:rsidR="006A3682" w:rsidRPr="00813D22">
        <w:rPr>
          <w:rFonts w:asciiTheme="majorBidi" w:hAnsiTheme="majorBidi" w:cstheme="majorBidi"/>
        </w:rPr>
        <w:t>severity</w:t>
      </w:r>
      <w:r w:rsidR="006A3682" w:rsidRPr="00813D22">
        <w:rPr>
          <w:rFonts w:asciiTheme="majorBidi" w:hAnsiTheme="majorBidi" w:cstheme="majorBidi"/>
          <w:color w:val="000000"/>
        </w:rPr>
        <w:t xml:space="preserve"> </w:t>
      </w:r>
      <w:r w:rsidR="00451BD7" w:rsidRPr="00813D22">
        <w:rPr>
          <w:rFonts w:asciiTheme="majorBidi" w:hAnsiTheme="majorBidi" w:cstheme="majorBidi"/>
          <w:color w:val="000000"/>
        </w:rPr>
        <w:t>of CSBD (</w:t>
      </w:r>
      <w:proofErr w:type="gramStart"/>
      <w:r w:rsidR="00451BD7" w:rsidRPr="00813D22">
        <w:rPr>
          <w:rFonts w:asciiTheme="majorBidi" w:hAnsiTheme="majorBidi" w:cstheme="majorBidi"/>
          <w:color w:val="000000"/>
        </w:rPr>
        <w:t>e.g.</w:t>
      </w:r>
      <w:proofErr w:type="gramEnd"/>
      <w:r w:rsidR="00451BD7" w:rsidRPr="00813D22">
        <w:rPr>
          <w:rFonts w:asciiTheme="majorBidi" w:hAnsiTheme="majorBidi" w:cstheme="majorBidi"/>
          <w:color w:val="000000"/>
        </w:rPr>
        <w:t xml:space="preserve"> Efrati &amp; Gola, 2018a; Efrati, </w:t>
      </w:r>
      <w:proofErr w:type="spellStart"/>
      <w:r w:rsidR="00451BD7" w:rsidRPr="00813D22">
        <w:rPr>
          <w:rFonts w:asciiTheme="majorBidi" w:hAnsiTheme="majorBidi" w:cstheme="majorBidi"/>
          <w:color w:val="000000"/>
        </w:rPr>
        <w:t>Kolubinski</w:t>
      </w:r>
      <w:proofErr w:type="spellEnd"/>
      <w:r w:rsidR="00451BD7" w:rsidRPr="00813D22">
        <w:rPr>
          <w:rFonts w:asciiTheme="majorBidi" w:hAnsiTheme="majorBidi" w:cstheme="majorBidi"/>
          <w:color w:val="000000"/>
        </w:rPr>
        <w:t xml:space="preserve">, Caselli, &amp; Spada, 2020; Efrati &amp; </w:t>
      </w:r>
      <w:proofErr w:type="spellStart"/>
      <w:r w:rsidR="00451BD7" w:rsidRPr="00813D22">
        <w:rPr>
          <w:rFonts w:asciiTheme="majorBidi" w:hAnsiTheme="majorBidi" w:cstheme="majorBidi"/>
          <w:color w:val="000000"/>
        </w:rPr>
        <w:t>Amichai</w:t>
      </w:r>
      <w:proofErr w:type="spellEnd"/>
      <w:r w:rsidR="00451BD7" w:rsidRPr="00813D22">
        <w:rPr>
          <w:rFonts w:asciiTheme="majorBidi" w:hAnsiTheme="majorBidi" w:cstheme="majorBidi"/>
          <w:color w:val="000000"/>
        </w:rPr>
        <w:t>-Hamburger, 2021).</w:t>
      </w:r>
      <w:r w:rsidR="00CC7610" w:rsidRPr="00813D22">
        <w:rPr>
          <w:rFonts w:asciiTheme="majorBidi" w:hAnsiTheme="majorBidi" w:cstheme="majorBidi"/>
          <w:lang w:val="en-GB"/>
        </w:rPr>
        <w:t xml:space="preserve"> More specifically, analyses indicated </w:t>
      </w:r>
      <w:r w:rsidR="00CC7610" w:rsidRPr="00813D22">
        <w:rPr>
          <w:rFonts w:asciiTheme="majorBidi" w:hAnsiTheme="majorBidi" w:cstheme="majorBidi"/>
        </w:rPr>
        <w:t>that religious adolescents</w:t>
      </w:r>
      <w:r w:rsidR="00CC7610" w:rsidRPr="00813D22">
        <w:rPr>
          <w:rFonts w:asciiTheme="majorBidi" w:hAnsiTheme="majorBidi" w:cstheme="majorBidi"/>
          <w:lang w:val="en-GB"/>
        </w:rPr>
        <w:t xml:space="preserve"> reported a higher </w:t>
      </w:r>
      <w:r w:rsidR="002F5762" w:rsidRPr="00813D22">
        <w:rPr>
          <w:rFonts w:asciiTheme="majorBidi" w:hAnsiTheme="majorBidi" w:cstheme="majorBidi"/>
          <w:lang w:val="en-GB"/>
        </w:rPr>
        <w:t xml:space="preserve">severity </w:t>
      </w:r>
      <w:r w:rsidR="00CC7610" w:rsidRPr="00813D22">
        <w:rPr>
          <w:rFonts w:asciiTheme="majorBidi" w:hAnsiTheme="majorBidi" w:cstheme="majorBidi"/>
          <w:lang w:val="en-GB"/>
        </w:rPr>
        <w:t>of CSBD than</w:t>
      </w:r>
      <w:r w:rsidR="00CC7610" w:rsidRPr="00813D22">
        <w:rPr>
          <w:rFonts w:asciiTheme="majorBidi" w:hAnsiTheme="majorBidi" w:cstheme="majorBidi"/>
        </w:rPr>
        <w:t xml:space="preserve"> secular adolescents</w:t>
      </w:r>
      <w:r w:rsidR="0033757E" w:rsidRPr="00813D22">
        <w:rPr>
          <w:rFonts w:asciiTheme="majorBidi" w:hAnsiTheme="majorBidi" w:cstheme="majorBidi"/>
        </w:rPr>
        <w:t xml:space="preserve"> </w:t>
      </w:r>
      <w:r w:rsidR="0033757E" w:rsidRPr="00813D22">
        <w:rPr>
          <w:rFonts w:asciiTheme="majorBidi" w:hAnsiTheme="majorBidi" w:cstheme="majorBidi"/>
          <w:color w:val="000000"/>
        </w:rPr>
        <w:t>(Efrati, 2019; Efrati &amp; Dannon, 2018)</w:t>
      </w:r>
      <w:r w:rsidR="00CC7610" w:rsidRPr="00813D22">
        <w:rPr>
          <w:rFonts w:asciiTheme="majorBidi" w:hAnsiTheme="majorBidi" w:cstheme="majorBidi"/>
        </w:rPr>
        <w:t>.</w:t>
      </w:r>
      <w:r w:rsidR="00DE71DB" w:rsidRPr="00813D22">
        <w:rPr>
          <w:rFonts w:asciiTheme="majorBidi" w:hAnsiTheme="majorBidi" w:cstheme="majorBidi"/>
        </w:rPr>
        <w:t xml:space="preserve"> </w:t>
      </w:r>
      <w:r w:rsidR="00DE71DB" w:rsidRPr="00813D22">
        <w:rPr>
          <w:rFonts w:asciiTheme="majorBidi" w:hAnsiTheme="majorBidi" w:cstheme="majorBidi"/>
          <w:lang w:val="en-GB"/>
        </w:rPr>
        <w:t>This points to the relationship between religiosity and CSBD. For example,</w:t>
      </w:r>
      <w:r w:rsidR="00DE71DB" w:rsidRPr="00813D22">
        <w:rPr>
          <w:rFonts w:asciiTheme="majorBidi" w:hAnsiTheme="majorBidi" w:cstheme="majorBidi"/>
        </w:rPr>
        <w:t xml:space="preserve"> </w:t>
      </w:r>
      <w:r w:rsidR="00166638" w:rsidRPr="00813D22">
        <w:t>higher tendency for suppression of sexual thoughts may lead to CSBD</w:t>
      </w:r>
      <w:r w:rsidR="00166638" w:rsidRPr="00813D22">
        <w:rPr>
          <w:rFonts w:hint="cs"/>
          <w:rtl/>
        </w:rPr>
        <w:t xml:space="preserve"> </w:t>
      </w:r>
      <w:r w:rsidR="00166638" w:rsidRPr="00813D22">
        <w:t>(Efrati, 2019</w:t>
      </w:r>
      <w:r w:rsidR="00274E43" w:rsidRPr="00813D22">
        <w:t>; Efrati et al., 2021</w:t>
      </w:r>
      <w:r w:rsidR="00166638" w:rsidRPr="00813D22">
        <w:t xml:space="preserve">). The higher prevalence among religious </w:t>
      </w:r>
      <w:r w:rsidR="00166638" w:rsidRPr="00813D22">
        <w:rPr>
          <w:rFonts w:asciiTheme="majorBidi" w:hAnsiTheme="majorBidi" w:cstheme="majorBidi"/>
        </w:rPr>
        <w:t xml:space="preserve">adolescents is also associated with the incongruence between normal sexual desires and urges and the </w:t>
      </w:r>
      <w:r w:rsidR="00166638" w:rsidRPr="00813D22">
        <w:t xml:space="preserve">explicit moral standards against sexual-related thoughts and behaviors imposed by religious figures (e.g., the Jewish rabbi) and texts </w:t>
      </w:r>
      <w:r w:rsidR="00166638" w:rsidRPr="00813D22">
        <w:rPr>
          <w:rFonts w:asciiTheme="majorBidi" w:hAnsiTheme="majorBidi" w:cstheme="majorBidi"/>
        </w:rPr>
        <w:t xml:space="preserve">(e.g., the Bible and the </w:t>
      </w:r>
      <w:r w:rsidR="00166638" w:rsidRPr="00813D22">
        <w:t>Jewish Talmud).</w:t>
      </w:r>
      <w:r w:rsidR="006A3682" w:rsidRPr="00813D22">
        <w:rPr>
          <w:rFonts w:asciiTheme="majorBidi" w:hAnsiTheme="majorBidi" w:cstheme="majorBidi"/>
        </w:rPr>
        <w:t xml:space="preserve"> </w:t>
      </w:r>
      <w:r w:rsidR="006A3682" w:rsidRPr="00813D22">
        <w:t xml:space="preserve">Finally, </w:t>
      </w:r>
      <w:r w:rsidR="00BD4814" w:rsidRPr="00813D22">
        <w:t>I</w:t>
      </w:r>
      <w:r w:rsidR="006A3682" w:rsidRPr="00813D22">
        <w:t xml:space="preserve"> found that </w:t>
      </w:r>
      <w:r w:rsidR="004F3F34" w:rsidRPr="00813D22">
        <w:t>the higher participants' openness to experience, the higher</w:t>
      </w:r>
      <w:r w:rsidR="006A3682" w:rsidRPr="00813D22">
        <w:t xml:space="preserve"> severity of </w:t>
      </w:r>
      <w:r w:rsidR="004F3F34" w:rsidRPr="00813D22">
        <w:t xml:space="preserve">CSBD. </w:t>
      </w:r>
      <w:r w:rsidR="0090220E" w:rsidRPr="00813D22">
        <w:rPr>
          <w:rFonts w:asciiTheme="majorBidi" w:hAnsiTheme="majorBidi" w:cstheme="majorBidi"/>
        </w:rPr>
        <w:t xml:space="preserve">This finding is in line with research </w:t>
      </w:r>
      <w:r w:rsidR="0090220E" w:rsidRPr="00813D22">
        <w:rPr>
          <w:rFonts w:asciiTheme="majorBidi" w:hAnsiTheme="majorBidi" w:cstheme="majorBidi"/>
        </w:rPr>
        <w:lastRenderedPageBreak/>
        <w:t>showing that</w:t>
      </w:r>
      <w:r w:rsidR="007C532A" w:rsidRPr="00813D22">
        <w:rPr>
          <w:rFonts w:hint="cs"/>
          <w:rtl/>
        </w:rPr>
        <w:t xml:space="preserve"> </w:t>
      </w:r>
      <w:r w:rsidR="00F97A33" w:rsidRPr="00813D22">
        <w:t>openness to experience positively contributed to scores of CSBD (</w:t>
      </w:r>
      <w:proofErr w:type="spellStart"/>
      <w:r w:rsidR="00F97A33" w:rsidRPr="00813D22">
        <w:t>Shimoni</w:t>
      </w:r>
      <w:proofErr w:type="spellEnd"/>
      <w:r w:rsidR="00F97A33" w:rsidRPr="00813D22">
        <w:t xml:space="preserve"> et al., 2018</w:t>
      </w:r>
      <w:r w:rsidR="005A7E9A" w:rsidRPr="00813D22">
        <w:t xml:space="preserve">; </w:t>
      </w:r>
      <w:proofErr w:type="spellStart"/>
      <w:r w:rsidR="005A7E9A" w:rsidRPr="00813D22">
        <w:t>Soraci</w:t>
      </w:r>
      <w:proofErr w:type="spellEnd"/>
      <w:r w:rsidR="005A7E9A" w:rsidRPr="00813D22">
        <w:t xml:space="preserve"> et al., 2021; Zilberman et al., 2018</w:t>
      </w:r>
      <w:r w:rsidR="00F97A33" w:rsidRPr="00813D22">
        <w:t>).</w:t>
      </w:r>
      <w:r w:rsidR="007C532A" w:rsidRPr="00813D22">
        <w:rPr>
          <w:rFonts w:hint="cs"/>
          <w:rtl/>
        </w:rPr>
        <w:t xml:space="preserve"> </w:t>
      </w:r>
      <w:r w:rsidR="00F97A33" w:rsidRPr="00813D22">
        <w:t xml:space="preserve"> </w:t>
      </w:r>
    </w:p>
    <w:p w14:paraId="79907A11" w14:textId="77777777" w:rsidR="00BD4814" w:rsidRPr="00813D22" w:rsidRDefault="00BD4814" w:rsidP="00BD4814">
      <w:pPr>
        <w:spacing w:line="480" w:lineRule="auto"/>
        <w:rPr>
          <w:rFonts w:asciiTheme="majorBidi" w:hAnsiTheme="majorBidi" w:cstheme="majorBidi"/>
          <w:b/>
          <w:bCs/>
        </w:rPr>
      </w:pPr>
    </w:p>
    <w:p w14:paraId="5216DF62" w14:textId="0787A34D" w:rsidR="004F3F34" w:rsidRPr="00813D22" w:rsidRDefault="00F97A33" w:rsidP="00BD4814">
      <w:pPr>
        <w:spacing w:line="480" w:lineRule="auto"/>
      </w:pPr>
      <w:r w:rsidRPr="00813D22">
        <w:rPr>
          <w:rFonts w:asciiTheme="majorBidi" w:hAnsiTheme="majorBidi" w:cstheme="majorBidi"/>
          <w:b/>
          <w:bCs/>
        </w:rPr>
        <w:t>Indirect effects via cognitive-related processes or psychopatholog</w:t>
      </w:r>
      <w:r w:rsidRPr="00813D22">
        <w:t>y</w:t>
      </w:r>
      <w:r w:rsidR="00D725EA" w:rsidRPr="00813D22">
        <w:t xml:space="preserve"> </w:t>
      </w:r>
      <w:r w:rsidR="00D725EA" w:rsidRPr="00813D22">
        <w:rPr>
          <w:rFonts w:asciiTheme="majorBidi" w:hAnsiTheme="majorBidi" w:cstheme="majorBidi"/>
          <w:b/>
          <w:bCs/>
        </w:rPr>
        <w:t>(1-step mediation processes)</w:t>
      </w:r>
    </w:p>
    <w:p w14:paraId="1F4EE1B5" w14:textId="74CBCC92" w:rsidR="00F97A33" w:rsidRPr="00813D22" w:rsidRDefault="00733D95" w:rsidP="00BD4814">
      <w:pPr>
        <w:autoSpaceDE w:val="0"/>
        <w:autoSpaceDN w:val="0"/>
        <w:adjustRightInd w:val="0"/>
        <w:snapToGrid w:val="0"/>
        <w:spacing w:line="480" w:lineRule="auto"/>
        <w:ind w:firstLine="720"/>
        <w:rPr>
          <w:rFonts w:asciiTheme="majorBidi" w:hAnsiTheme="majorBidi" w:cstheme="majorBidi"/>
          <w:rtl/>
        </w:rPr>
      </w:pPr>
      <w:r w:rsidRPr="00813D22">
        <w:rPr>
          <w:rFonts w:asciiTheme="majorBidi" w:hAnsiTheme="majorBidi" w:cstheme="majorBidi"/>
        </w:rPr>
        <w:t xml:space="preserve">Aside from examining direct effects, in the current study </w:t>
      </w:r>
      <w:r w:rsidR="00843A91" w:rsidRPr="00813D22">
        <w:rPr>
          <w:rFonts w:asciiTheme="majorBidi" w:hAnsiTheme="majorBidi" w:cstheme="majorBidi"/>
        </w:rPr>
        <w:t>I</w:t>
      </w:r>
      <w:r w:rsidRPr="00813D22">
        <w:rPr>
          <w:rFonts w:asciiTheme="majorBidi" w:hAnsiTheme="majorBidi" w:cstheme="majorBidi"/>
        </w:rPr>
        <w:t xml:space="preserve"> examined an important factor of indirect effects via cognitive-related processes or psychopathology. Results indicated that </w:t>
      </w:r>
      <w:r w:rsidR="00274E43" w:rsidRPr="00813D22">
        <w:rPr>
          <w:rFonts w:asciiTheme="majorBidi" w:hAnsiTheme="majorBidi" w:cstheme="majorBidi"/>
        </w:rPr>
        <w:t xml:space="preserve">girls, on average, had a greater tendency for </w:t>
      </w:r>
      <w:r w:rsidR="00843A91" w:rsidRPr="00813D22">
        <w:rPr>
          <w:rFonts w:asciiTheme="majorBidi" w:hAnsiTheme="majorBidi" w:cstheme="majorBidi"/>
        </w:rPr>
        <w:t>r</w:t>
      </w:r>
      <w:r w:rsidR="00274E43" w:rsidRPr="00813D22">
        <w:rPr>
          <w:rFonts w:asciiTheme="majorBidi" w:hAnsiTheme="majorBidi" w:cstheme="majorBidi"/>
        </w:rPr>
        <w:t xml:space="preserve">eappraisal than boys. Higher scores on </w:t>
      </w:r>
      <w:r w:rsidR="00843A91" w:rsidRPr="00813D22">
        <w:rPr>
          <w:rFonts w:asciiTheme="majorBidi" w:hAnsiTheme="majorBidi" w:cstheme="majorBidi"/>
        </w:rPr>
        <w:t>e</w:t>
      </w:r>
      <w:r w:rsidR="00274E43" w:rsidRPr="00813D22">
        <w:rPr>
          <w:rFonts w:asciiTheme="majorBidi" w:hAnsiTheme="majorBidi" w:cstheme="majorBidi"/>
        </w:rPr>
        <w:t xml:space="preserve">xtraversion, </w:t>
      </w:r>
      <w:r w:rsidR="00843A91" w:rsidRPr="00813D22">
        <w:rPr>
          <w:rFonts w:asciiTheme="majorBidi" w:hAnsiTheme="majorBidi" w:cstheme="majorBidi"/>
        </w:rPr>
        <w:t>o</w:t>
      </w:r>
      <w:r w:rsidR="00274E43" w:rsidRPr="00813D22">
        <w:rPr>
          <w:rFonts w:asciiTheme="majorBidi" w:hAnsiTheme="majorBidi" w:cstheme="majorBidi"/>
        </w:rPr>
        <w:t xml:space="preserve">penness to experience, and/or </w:t>
      </w:r>
      <w:r w:rsidR="00843A91" w:rsidRPr="00813D22">
        <w:rPr>
          <w:rFonts w:asciiTheme="majorBidi" w:hAnsiTheme="majorBidi" w:cstheme="majorBidi"/>
        </w:rPr>
        <w:t>a</w:t>
      </w:r>
      <w:r w:rsidR="00274E43" w:rsidRPr="00813D22">
        <w:rPr>
          <w:rFonts w:asciiTheme="majorBidi" w:hAnsiTheme="majorBidi" w:cstheme="majorBidi"/>
        </w:rPr>
        <w:t xml:space="preserve">ttachment anxiety were also linked with a greater tendency for </w:t>
      </w:r>
      <w:r w:rsidR="00D11235" w:rsidRPr="00813D22">
        <w:rPr>
          <w:rFonts w:asciiTheme="majorBidi" w:hAnsiTheme="majorBidi" w:cstheme="majorBidi"/>
        </w:rPr>
        <w:t>r</w:t>
      </w:r>
      <w:r w:rsidR="00274E43" w:rsidRPr="00813D22">
        <w:rPr>
          <w:rFonts w:asciiTheme="majorBidi" w:hAnsiTheme="majorBidi" w:cstheme="majorBidi"/>
        </w:rPr>
        <w:t xml:space="preserve">eappraisal. This greater tendency, in turn, was related to higher scores on CSBD. </w:t>
      </w:r>
      <w:r w:rsidR="009C4395" w:rsidRPr="00813D22">
        <w:rPr>
          <w:rFonts w:asciiTheme="majorBidi" w:hAnsiTheme="majorBidi" w:cstheme="majorBidi"/>
        </w:rPr>
        <w:t xml:space="preserve">As expected, </w:t>
      </w:r>
      <w:r w:rsidR="00843A91" w:rsidRPr="00813D22">
        <w:rPr>
          <w:rFonts w:asciiTheme="majorBidi" w:hAnsiTheme="majorBidi" w:cstheme="majorBidi"/>
        </w:rPr>
        <w:t>my</w:t>
      </w:r>
      <w:r w:rsidR="009C4395" w:rsidRPr="00813D22">
        <w:rPr>
          <w:rFonts w:asciiTheme="majorBidi" w:hAnsiTheme="majorBidi" w:cstheme="majorBidi"/>
        </w:rPr>
        <w:t xml:space="preserve"> findings support </w:t>
      </w:r>
      <w:proofErr w:type="spellStart"/>
      <w:r w:rsidR="009C4395" w:rsidRPr="00813D22">
        <w:rPr>
          <w:rFonts w:asciiTheme="majorBidi" w:hAnsiTheme="majorBidi" w:cstheme="majorBidi"/>
        </w:rPr>
        <w:t>Gullone</w:t>
      </w:r>
      <w:proofErr w:type="spellEnd"/>
      <w:r w:rsidR="009C4395" w:rsidRPr="00813D22">
        <w:rPr>
          <w:rFonts w:asciiTheme="majorBidi" w:hAnsiTheme="majorBidi" w:cstheme="majorBidi"/>
        </w:rPr>
        <w:t xml:space="preserve"> and </w:t>
      </w:r>
      <w:proofErr w:type="spellStart"/>
      <w:r w:rsidR="009C4395" w:rsidRPr="00813D22">
        <w:rPr>
          <w:rFonts w:asciiTheme="majorBidi" w:hAnsiTheme="majorBidi" w:cstheme="majorBidi"/>
        </w:rPr>
        <w:t>Taffe</w:t>
      </w:r>
      <w:proofErr w:type="spellEnd"/>
      <w:r w:rsidR="009C4395" w:rsidRPr="00813D22">
        <w:rPr>
          <w:rFonts w:asciiTheme="majorBidi" w:hAnsiTheme="majorBidi" w:cstheme="majorBidi"/>
        </w:rPr>
        <w:t xml:space="preserve"> (2012) who found a significant positive relationship between adolescents and two personality measures – </w:t>
      </w:r>
      <w:r w:rsidR="00843A91" w:rsidRPr="00813D22">
        <w:rPr>
          <w:rFonts w:asciiTheme="majorBidi" w:hAnsiTheme="majorBidi" w:cstheme="majorBidi"/>
        </w:rPr>
        <w:t>e</w:t>
      </w:r>
      <w:r w:rsidR="009C4395" w:rsidRPr="00813D22">
        <w:rPr>
          <w:rFonts w:asciiTheme="majorBidi" w:hAnsiTheme="majorBidi" w:cstheme="majorBidi"/>
        </w:rPr>
        <w:t xml:space="preserve">xtraversion and </w:t>
      </w:r>
      <w:r w:rsidR="00843A91" w:rsidRPr="00813D22">
        <w:rPr>
          <w:rFonts w:asciiTheme="majorBidi" w:hAnsiTheme="majorBidi" w:cstheme="majorBidi"/>
        </w:rPr>
        <w:t>o</w:t>
      </w:r>
      <w:r w:rsidR="009C4395" w:rsidRPr="00813D22">
        <w:rPr>
          <w:rFonts w:asciiTheme="majorBidi" w:hAnsiTheme="majorBidi" w:cstheme="majorBidi"/>
        </w:rPr>
        <w:t xml:space="preserve">penness to experience. To </w:t>
      </w:r>
      <w:r w:rsidR="00DC3011">
        <w:rPr>
          <w:rFonts w:asciiTheme="majorBidi" w:hAnsiTheme="majorBidi" w:cstheme="majorBidi"/>
        </w:rPr>
        <w:t>my</w:t>
      </w:r>
      <w:r w:rsidR="009C4395" w:rsidRPr="00813D22">
        <w:rPr>
          <w:rFonts w:asciiTheme="majorBidi" w:hAnsiTheme="majorBidi" w:cstheme="majorBidi"/>
        </w:rPr>
        <w:t xml:space="preserve"> surprise, and in contrast to previous studies (Gross &amp; John, 2003; </w:t>
      </w:r>
      <w:proofErr w:type="spellStart"/>
      <w:r w:rsidR="009C4395" w:rsidRPr="00813D22">
        <w:rPr>
          <w:rFonts w:asciiTheme="majorBidi" w:hAnsiTheme="majorBidi" w:cstheme="majorBidi"/>
        </w:rPr>
        <w:t>Gullone</w:t>
      </w:r>
      <w:proofErr w:type="spellEnd"/>
      <w:r w:rsidR="009C4395" w:rsidRPr="00813D22">
        <w:rPr>
          <w:rFonts w:asciiTheme="majorBidi" w:hAnsiTheme="majorBidi" w:cstheme="majorBidi"/>
        </w:rPr>
        <w:t xml:space="preserve"> &amp; </w:t>
      </w:r>
      <w:proofErr w:type="spellStart"/>
      <w:r w:rsidR="009C4395" w:rsidRPr="00813D22">
        <w:rPr>
          <w:rFonts w:asciiTheme="majorBidi" w:hAnsiTheme="majorBidi" w:cstheme="majorBidi"/>
        </w:rPr>
        <w:t>Taffe</w:t>
      </w:r>
      <w:proofErr w:type="spellEnd"/>
      <w:r w:rsidR="009C4395" w:rsidRPr="00813D22">
        <w:rPr>
          <w:rFonts w:asciiTheme="majorBidi" w:hAnsiTheme="majorBidi" w:cstheme="majorBidi"/>
        </w:rPr>
        <w:t xml:space="preserve">, 2012), </w:t>
      </w:r>
      <w:r w:rsidR="00DC3011">
        <w:rPr>
          <w:rFonts w:asciiTheme="majorBidi" w:hAnsiTheme="majorBidi" w:cstheme="majorBidi"/>
        </w:rPr>
        <w:t xml:space="preserve">I </w:t>
      </w:r>
      <w:r w:rsidR="009C4395" w:rsidRPr="00813D22">
        <w:rPr>
          <w:rFonts w:asciiTheme="majorBidi" w:hAnsiTheme="majorBidi" w:cstheme="majorBidi"/>
        </w:rPr>
        <w:t xml:space="preserve">found that on average, girls had a greater tendency for </w:t>
      </w:r>
      <w:r w:rsidR="00D11235" w:rsidRPr="00813D22">
        <w:rPr>
          <w:rFonts w:asciiTheme="majorBidi" w:hAnsiTheme="majorBidi" w:cstheme="majorBidi"/>
        </w:rPr>
        <w:t>r</w:t>
      </w:r>
      <w:r w:rsidR="009C4395" w:rsidRPr="00813D22">
        <w:rPr>
          <w:rFonts w:asciiTheme="majorBidi" w:hAnsiTheme="majorBidi" w:cstheme="majorBidi"/>
        </w:rPr>
        <w:t xml:space="preserve">eappraisal than boys (McRae, Ochsner, </w:t>
      </w:r>
      <w:proofErr w:type="spellStart"/>
      <w:r w:rsidR="009C4395" w:rsidRPr="00813D22">
        <w:rPr>
          <w:rFonts w:asciiTheme="majorBidi" w:hAnsiTheme="majorBidi" w:cstheme="majorBidi"/>
        </w:rPr>
        <w:t>Mauss</w:t>
      </w:r>
      <w:proofErr w:type="spellEnd"/>
      <w:r w:rsidR="009C4395" w:rsidRPr="00813D22">
        <w:rPr>
          <w:rFonts w:asciiTheme="majorBidi" w:hAnsiTheme="majorBidi" w:cstheme="majorBidi"/>
        </w:rPr>
        <w:t xml:space="preserve">, </w:t>
      </w:r>
      <w:proofErr w:type="spellStart"/>
      <w:r w:rsidR="009C4395" w:rsidRPr="00813D22">
        <w:rPr>
          <w:rFonts w:asciiTheme="majorBidi" w:hAnsiTheme="majorBidi" w:cstheme="majorBidi"/>
        </w:rPr>
        <w:t>Gabrieli</w:t>
      </w:r>
      <w:proofErr w:type="spellEnd"/>
      <w:r w:rsidR="009C4395" w:rsidRPr="00813D22">
        <w:rPr>
          <w:rFonts w:asciiTheme="majorBidi" w:hAnsiTheme="majorBidi" w:cstheme="majorBidi"/>
        </w:rPr>
        <w:t>, &amp; Gross, 2008)</w:t>
      </w:r>
      <w:r w:rsidR="00602E23" w:rsidRPr="00813D22">
        <w:rPr>
          <w:rFonts w:asciiTheme="majorBidi" w:hAnsiTheme="majorBidi" w:cstheme="majorBidi"/>
        </w:rPr>
        <w:t xml:space="preserve">. </w:t>
      </w:r>
      <w:r w:rsidR="009C4395" w:rsidRPr="00813D22">
        <w:rPr>
          <w:rFonts w:asciiTheme="majorBidi" w:hAnsiTheme="majorBidi" w:cstheme="majorBidi"/>
        </w:rPr>
        <w:t xml:space="preserve">Moreover, </w:t>
      </w:r>
      <w:r w:rsidR="00AE1EE6" w:rsidRPr="00813D22">
        <w:rPr>
          <w:rFonts w:asciiTheme="majorBidi" w:hAnsiTheme="majorBidi" w:cstheme="majorBidi"/>
        </w:rPr>
        <w:t xml:space="preserve">unexpectedly, </w:t>
      </w:r>
      <w:r w:rsidR="00DC3011">
        <w:rPr>
          <w:rFonts w:asciiTheme="majorBidi" w:hAnsiTheme="majorBidi" w:cstheme="majorBidi"/>
        </w:rPr>
        <w:t>I</w:t>
      </w:r>
      <w:r w:rsidR="00AE1EE6" w:rsidRPr="00813D22">
        <w:rPr>
          <w:rFonts w:asciiTheme="majorBidi" w:hAnsiTheme="majorBidi" w:cstheme="majorBidi"/>
        </w:rPr>
        <w:t xml:space="preserve"> found a relationship between anxious attachment and </w:t>
      </w:r>
      <w:r w:rsidR="00D11235" w:rsidRPr="00813D22">
        <w:rPr>
          <w:rFonts w:asciiTheme="majorBidi" w:hAnsiTheme="majorBidi" w:cstheme="majorBidi"/>
        </w:rPr>
        <w:t>r</w:t>
      </w:r>
      <w:r w:rsidR="00AE1EE6" w:rsidRPr="00813D22">
        <w:rPr>
          <w:rFonts w:asciiTheme="majorBidi" w:hAnsiTheme="majorBidi" w:cstheme="majorBidi"/>
        </w:rPr>
        <w:t>eappraisal</w:t>
      </w:r>
      <w:r w:rsidR="002F2FDD" w:rsidRPr="00813D22">
        <w:rPr>
          <w:rFonts w:asciiTheme="majorBidi" w:hAnsiTheme="majorBidi" w:cstheme="majorBidi"/>
        </w:rPr>
        <w:t xml:space="preserve"> who related to higher scores on CSBD. </w:t>
      </w:r>
      <w:r w:rsidR="00602E23" w:rsidRPr="00813D22">
        <w:rPr>
          <w:rFonts w:asciiTheme="majorBidi" w:hAnsiTheme="majorBidi" w:cstheme="majorBidi"/>
        </w:rPr>
        <w:t xml:space="preserve">This finding may be explained by </w:t>
      </w:r>
      <w:r w:rsidR="00602E23" w:rsidRPr="00813D22">
        <w:t xml:space="preserve">Ford, &amp; Troy (2019) who argue </w:t>
      </w:r>
      <w:r w:rsidR="00D11235" w:rsidRPr="00813D22">
        <w:t xml:space="preserve">that people are often unable to use reappraisal successfully, and even when </w:t>
      </w:r>
      <w:r w:rsidR="00585A02" w:rsidRPr="00813D22">
        <w:t xml:space="preserve">they are </w:t>
      </w:r>
      <w:r w:rsidR="00D11235" w:rsidRPr="00813D22">
        <w:t>successful, using reappraisal to feel better is not always functional</w:t>
      </w:r>
      <w:r w:rsidR="00D11235" w:rsidRPr="00813D22">
        <w:rPr>
          <w:rFonts w:asciiTheme="majorBidi" w:hAnsiTheme="majorBidi" w:cstheme="majorBidi"/>
        </w:rPr>
        <w:t xml:space="preserve">. </w:t>
      </w:r>
      <w:r w:rsidR="00EC3E78" w:rsidRPr="00813D22">
        <w:rPr>
          <w:rFonts w:asciiTheme="majorBidi" w:hAnsiTheme="majorBidi" w:cstheme="majorBidi"/>
        </w:rPr>
        <w:t>Reappraisal involves reconsidering the meaning of a situation, thus requiring people to engage with their stressful experiences, which can be a vulnerable position (</w:t>
      </w:r>
      <w:proofErr w:type="spellStart"/>
      <w:r w:rsidR="00EC3E78" w:rsidRPr="00813D22">
        <w:rPr>
          <w:rFonts w:asciiTheme="majorBidi" w:hAnsiTheme="majorBidi" w:cstheme="majorBidi"/>
        </w:rPr>
        <w:t>Sheppes</w:t>
      </w:r>
      <w:proofErr w:type="spellEnd"/>
      <w:r w:rsidR="00EC3E78" w:rsidRPr="00813D22">
        <w:rPr>
          <w:rFonts w:asciiTheme="majorBidi" w:hAnsiTheme="majorBidi" w:cstheme="majorBidi"/>
        </w:rPr>
        <w:t xml:space="preserve">, 2014). This vulnerability in the context of sexuality can be explain by cultural aspect </w:t>
      </w:r>
      <w:r w:rsidR="00223D93" w:rsidRPr="00813D22">
        <w:rPr>
          <w:rFonts w:asciiTheme="majorBidi" w:hAnsiTheme="majorBidi" w:cstheme="majorBidi"/>
        </w:rPr>
        <w:t xml:space="preserve">- </w:t>
      </w:r>
      <w:r w:rsidR="008B3054" w:rsidRPr="00813D22">
        <w:rPr>
          <w:rFonts w:asciiTheme="majorBidi" w:hAnsiTheme="majorBidi" w:cstheme="majorBidi"/>
        </w:rPr>
        <w:t xml:space="preserve">girl sexuality as </w:t>
      </w:r>
      <w:r w:rsidR="00EC3E78" w:rsidRPr="00813D22">
        <w:rPr>
          <w:rFonts w:asciiTheme="majorBidi" w:hAnsiTheme="majorBidi" w:cstheme="majorBidi"/>
        </w:rPr>
        <w:t xml:space="preserve">a </w:t>
      </w:r>
      <w:r w:rsidR="00EC3E78" w:rsidRPr="00813D22">
        <w:t>tab</w:t>
      </w:r>
      <w:r w:rsidR="00D5544F" w:rsidRPr="00813D22">
        <w:t>u</w:t>
      </w:r>
      <w:r w:rsidR="008B3054" w:rsidRPr="00813D22">
        <w:t xml:space="preserve"> (</w:t>
      </w:r>
      <w:proofErr w:type="spellStart"/>
      <w:r w:rsidR="006E62C3" w:rsidRPr="00813D22">
        <w:rPr>
          <w:color w:val="222222"/>
          <w:shd w:val="clear" w:color="auto" w:fill="FFFFFF"/>
        </w:rPr>
        <w:t>Naezer</w:t>
      </w:r>
      <w:proofErr w:type="spellEnd"/>
      <w:r w:rsidR="006E62C3" w:rsidRPr="00813D22">
        <w:rPr>
          <w:color w:val="222222"/>
          <w:shd w:val="clear" w:color="auto" w:fill="FFFFFF"/>
        </w:rPr>
        <w:t>, &amp; van Oosterhout, 2021</w:t>
      </w:r>
      <w:r w:rsidR="00223D93" w:rsidRPr="00813D22">
        <w:t>).</w:t>
      </w:r>
      <w:r w:rsidR="00E46EC8" w:rsidRPr="00813D22">
        <w:t xml:space="preserve"> </w:t>
      </w:r>
      <w:r w:rsidR="00970A07" w:rsidRPr="00813D22">
        <w:t xml:space="preserve">In </w:t>
      </w:r>
      <w:r w:rsidR="00970A07" w:rsidRPr="00813D22">
        <w:lastRenderedPageBreak/>
        <w:t xml:space="preserve">other words, </w:t>
      </w:r>
      <w:r w:rsidR="00793760" w:rsidRPr="00813D22">
        <w:t>girls who tend to</w:t>
      </w:r>
      <w:r w:rsidR="00793760" w:rsidRPr="00813D22">
        <w:rPr>
          <w:rFonts w:asciiTheme="majorBidi" w:hAnsiTheme="majorBidi" w:cstheme="majorBidi"/>
        </w:rPr>
        <w:t xml:space="preserve"> use reappraisal unsuccessfully because of the tab</w:t>
      </w:r>
      <w:r w:rsidR="00DC3011">
        <w:rPr>
          <w:rFonts w:asciiTheme="majorBidi" w:hAnsiTheme="majorBidi" w:cstheme="majorBidi"/>
        </w:rPr>
        <w:t>u</w:t>
      </w:r>
      <w:r w:rsidR="00793760" w:rsidRPr="00813D22">
        <w:rPr>
          <w:rFonts w:asciiTheme="majorBidi" w:hAnsiTheme="majorBidi" w:cstheme="majorBidi"/>
        </w:rPr>
        <w:t xml:space="preserve"> of sex, they may subsequently face cumulative risk to </w:t>
      </w:r>
      <w:r w:rsidR="00585A02" w:rsidRPr="00813D22">
        <w:rPr>
          <w:rFonts w:asciiTheme="majorBidi" w:hAnsiTheme="majorBidi" w:cstheme="majorBidi"/>
        </w:rPr>
        <w:t>CSBD</w:t>
      </w:r>
      <w:r w:rsidR="00793760" w:rsidRPr="00813D22">
        <w:rPr>
          <w:rFonts w:asciiTheme="majorBidi" w:hAnsiTheme="majorBidi" w:cstheme="majorBidi"/>
        </w:rPr>
        <w:t xml:space="preserve"> if they continue attempting reappraisal</w:t>
      </w:r>
      <w:r w:rsidR="00585A02" w:rsidRPr="00813D22">
        <w:rPr>
          <w:rFonts w:asciiTheme="majorBidi" w:hAnsiTheme="majorBidi" w:cstheme="majorBidi"/>
        </w:rPr>
        <w:t>.</w:t>
      </w:r>
    </w:p>
    <w:p w14:paraId="513727D4" w14:textId="76290AE5" w:rsidR="00733D95" w:rsidRPr="00813D22" w:rsidRDefault="001A6AE9" w:rsidP="005008DE">
      <w:pPr>
        <w:spacing w:after="120" w:line="480" w:lineRule="auto"/>
      </w:pPr>
      <w:r w:rsidRPr="00813D22">
        <w:rPr>
          <w:rFonts w:asciiTheme="majorBidi" w:hAnsiTheme="majorBidi" w:cstheme="majorBidi"/>
          <w:b/>
          <w:bCs/>
        </w:rPr>
        <w:t xml:space="preserve">Indirect effects via cognitive-related processes and psychopathology </w:t>
      </w:r>
      <w:r w:rsidR="005008DE" w:rsidRPr="00813D22">
        <w:rPr>
          <w:rFonts w:asciiTheme="majorBidi" w:hAnsiTheme="majorBidi" w:cstheme="majorBidi"/>
          <w:b/>
          <w:bCs/>
        </w:rPr>
        <w:t>(2-step mediation processes)</w:t>
      </w:r>
    </w:p>
    <w:p w14:paraId="579BE418" w14:textId="36D87727" w:rsidR="007D201B" w:rsidRPr="00813D22" w:rsidRDefault="001A6AE9" w:rsidP="008C0470">
      <w:pPr>
        <w:spacing w:after="120" w:line="480" w:lineRule="auto"/>
        <w:ind w:firstLine="720"/>
        <w:rPr>
          <w:rFonts w:asciiTheme="majorBidi" w:hAnsiTheme="majorBidi" w:cstheme="majorBidi"/>
        </w:rPr>
      </w:pPr>
      <w:r w:rsidRPr="00813D22">
        <w:rPr>
          <w:rFonts w:asciiTheme="majorBidi" w:hAnsiTheme="majorBidi" w:cstheme="majorBidi"/>
        </w:rPr>
        <w:t xml:space="preserve">In keeping with the main study premise, </w:t>
      </w:r>
      <w:r w:rsidR="00BD4814" w:rsidRPr="00813D22">
        <w:rPr>
          <w:rFonts w:asciiTheme="majorBidi" w:hAnsiTheme="majorBidi" w:cstheme="majorBidi"/>
        </w:rPr>
        <w:t>I</w:t>
      </w:r>
      <w:r w:rsidRPr="00813D22">
        <w:rPr>
          <w:rFonts w:asciiTheme="majorBidi" w:hAnsiTheme="majorBidi" w:cstheme="majorBidi"/>
        </w:rPr>
        <w:t xml:space="preserve"> found that the tendency to ruminate and to reflect increase anxiety-related symptoms that, in turn, increase the level of CSBD.</w:t>
      </w:r>
      <w:r w:rsidR="00022C40" w:rsidRPr="00813D22">
        <w:rPr>
          <w:rFonts w:asciiTheme="majorBidi" w:hAnsiTheme="majorBidi" w:cstheme="majorBidi"/>
        </w:rPr>
        <w:t xml:space="preserve"> </w:t>
      </w:r>
      <w:r w:rsidR="0008202A" w:rsidRPr="00813D22">
        <w:rPr>
          <w:rFonts w:asciiTheme="majorBidi" w:hAnsiTheme="majorBidi" w:cstheme="majorBidi"/>
        </w:rPr>
        <w:t>This finding is in line with research showing that</w:t>
      </w:r>
      <w:r w:rsidR="00352991" w:rsidRPr="00813D22">
        <w:t xml:space="preserve"> sense of vulnerability among people with CSBD is fueled by feelings of self-rumination on negative outcomes (Reid et al., 2014) that may often arise because CSBD involves the consumption of porn and cybersex that commonly comprise humiliation and degradation of women (Efrati et al., 2019). </w:t>
      </w:r>
      <w:r w:rsidR="007D201B" w:rsidRPr="00813D22">
        <w:t xml:space="preserve">People with a high tendency to ruminate while confronting distress are characterized by repetitively and passively focusing on one’s negative emotions and failures, as well as their consequences. Therefore, it is considered as the most common impaired emotional regulation strategy, as it exacerbates a person's distress (Nolen-Hoeksema et al., 2008) and may prone to development of CSBD. </w:t>
      </w:r>
      <w:r w:rsidR="00F81409" w:rsidRPr="00813D22">
        <w:rPr>
          <w:rFonts w:asciiTheme="majorBidi" w:hAnsiTheme="majorBidi" w:cstheme="majorBidi"/>
        </w:rPr>
        <w:t xml:space="preserve">In </w:t>
      </w:r>
      <w:r w:rsidR="004662FA" w:rsidRPr="00813D22">
        <w:rPr>
          <w:rFonts w:asciiTheme="majorBidi" w:hAnsiTheme="majorBidi" w:cstheme="majorBidi"/>
        </w:rPr>
        <w:t>addition,</w:t>
      </w:r>
      <w:r w:rsidR="00F81409" w:rsidRPr="00813D22">
        <w:rPr>
          <w:rFonts w:asciiTheme="majorBidi" w:hAnsiTheme="majorBidi" w:cstheme="majorBidi"/>
        </w:rPr>
        <w:t xml:space="preserve"> adolescents who tend to be higher on ruminate and/or reflection (religious adolescents, and those high on extraversion, openness to experience, or attachment anxiety) are more prone to CSBD because rumination and reflection are associated with greater anxiety-related symptom severity. </w:t>
      </w:r>
      <w:r w:rsidR="00157501" w:rsidRPr="00813D22">
        <w:rPr>
          <w:rFonts w:asciiTheme="majorBidi" w:hAnsiTheme="majorBidi" w:cstheme="majorBidi"/>
        </w:rPr>
        <w:t>These findings correspond with previous studies</w:t>
      </w:r>
      <w:r w:rsidR="00031149" w:rsidRPr="00813D22">
        <w:t xml:space="preserve"> that show</w:t>
      </w:r>
      <w:r w:rsidR="00157501" w:rsidRPr="00813D22">
        <w:t xml:space="preserve"> </w:t>
      </w:r>
      <w:r w:rsidR="00031149" w:rsidRPr="00813D22">
        <w:rPr>
          <w:rFonts w:asciiTheme="majorBidi" w:hAnsiTheme="majorBidi" w:cstheme="majorBidi"/>
          <w:color w:val="2E2E2E"/>
        </w:rPr>
        <w:t xml:space="preserve">openness to </w:t>
      </w:r>
      <w:proofErr w:type="gramStart"/>
      <w:r w:rsidR="00031149" w:rsidRPr="00813D22">
        <w:rPr>
          <w:rFonts w:asciiTheme="majorBidi" w:hAnsiTheme="majorBidi" w:cstheme="majorBidi"/>
          <w:color w:val="2E2E2E"/>
        </w:rPr>
        <w:t>experience</w:t>
      </w:r>
      <w:proofErr w:type="gramEnd"/>
      <w:r w:rsidR="00031149" w:rsidRPr="00813D22">
        <w:t xml:space="preserve"> and </w:t>
      </w:r>
      <w:r w:rsidR="00031149" w:rsidRPr="00813D22">
        <w:rPr>
          <w:rFonts w:asciiTheme="majorBidi" w:hAnsiTheme="majorBidi" w:cstheme="majorBidi"/>
        </w:rPr>
        <w:t>extraversion</w:t>
      </w:r>
      <w:r w:rsidR="00031149" w:rsidRPr="00813D22">
        <w:t xml:space="preserve"> </w:t>
      </w:r>
      <w:r w:rsidR="00031149" w:rsidRPr="00813D22">
        <w:rPr>
          <w:rFonts w:asciiTheme="majorBidi" w:hAnsiTheme="majorBidi" w:cstheme="majorBidi"/>
          <w:color w:val="2E2E2E"/>
        </w:rPr>
        <w:t>may also be associated with increased sensation seeking, risk-taking behaviors, and vulnerability to psychopathology (</w:t>
      </w:r>
      <w:proofErr w:type="spellStart"/>
      <w:r w:rsidR="00031149" w:rsidRPr="00430B8F">
        <w:rPr>
          <w:rFonts w:asciiTheme="majorBidi" w:hAnsiTheme="majorBidi" w:cstheme="majorBidi"/>
          <w:color w:val="2E2E2E"/>
        </w:rPr>
        <w:t>Struijs</w:t>
      </w:r>
      <w:proofErr w:type="spellEnd"/>
      <w:r w:rsidR="00031149" w:rsidRPr="00430B8F">
        <w:rPr>
          <w:rFonts w:asciiTheme="majorBidi" w:hAnsiTheme="majorBidi" w:cstheme="majorBidi"/>
          <w:color w:val="2E2E2E"/>
        </w:rPr>
        <w:t xml:space="preserve"> et al., 2021; </w:t>
      </w:r>
      <w:proofErr w:type="spellStart"/>
      <w:r w:rsidR="006C7431" w:rsidRPr="00430B8F">
        <w:rPr>
          <w:rFonts w:asciiTheme="majorBidi" w:hAnsiTheme="majorBidi" w:cstheme="majorBidi"/>
          <w:color w:val="2E2E2E"/>
        </w:rPr>
        <w:t>Chiappelli</w:t>
      </w:r>
      <w:proofErr w:type="spellEnd"/>
      <w:r w:rsidR="006C7431" w:rsidRPr="00430B8F">
        <w:rPr>
          <w:rFonts w:asciiTheme="majorBidi" w:hAnsiTheme="majorBidi" w:cstheme="majorBidi"/>
          <w:color w:val="2E2E2E"/>
        </w:rPr>
        <w:t xml:space="preserve"> et al., 2021)</w:t>
      </w:r>
      <w:r w:rsidR="00031149" w:rsidRPr="00813D22">
        <w:rPr>
          <w:rFonts w:asciiTheme="majorBidi" w:hAnsiTheme="majorBidi" w:cstheme="majorBidi"/>
          <w:color w:val="2E2E2E"/>
        </w:rPr>
        <w:t>.</w:t>
      </w:r>
      <w:r w:rsidR="006C7431" w:rsidRPr="00430B8F">
        <w:rPr>
          <w:rFonts w:asciiTheme="majorBidi" w:hAnsiTheme="majorBidi" w:cstheme="majorBidi"/>
          <w:color w:val="2E2E2E"/>
        </w:rPr>
        <w:t xml:space="preserve"> </w:t>
      </w:r>
      <w:r w:rsidR="001D0E42" w:rsidRPr="00430B8F">
        <w:rPr>
          <w:rFonts w:asciiTheme="majorBidi" w:hAnsiTheme="majorBidi" w:cstheme="majorBidi"/>
          <w:color w:val="2E2E2E"/>
        </w:rPr>
        <w:t>O</w:t>
      </w:r>
      <w:r w:rsidR="00ED2D51" w:rsidRPr="00430B8F">
        <w:rPr>
          <w:rFonts w:asciiTheme="majorBidi" w:hAnsiTheme="majorBidi" w:cstheme="majorBidi"/>
          <w:color w:val="2E2E2E"/>
        </w:rPr>
        <w:t xml:space="preserve">penness to experience </w:t>
      </w:r>
      <w:r w:rsidR="001D0E42" w:rsidRPr="00430B8F">
        <w:rPr>
          <w:rFonts w:asciiTheme="majorBidi" w:hAnsiTheme="majorBidi" w:cstheme="majorBidi"/>
          <w:color w:val="2E2E2E"/>
        </w:rPr>
        <w:t xml:space="preserve">and extraversion </w:t>
      </w:r>
      <w:r w:rsidR="00ED2D51" w:rsidRPr="00430B8F">
        <w:rPr>
          <w:rFonts w:asciiTheme="majorBidi" w:hAnsiTheme="majorBidi" w:cstheme="majorBidi"/>
          <w:color w:val="2E2E2E"/>
        </w:rPr>
        <w:t>encompasses</w:t>
      </w:r>
      <w:r w:rsidR="00ED2D51" w:rsidRPr="00813D22">
        <w:rPr>
          <w:rFonts w:asciiTheme="majorBidi" w:hAnsiTheme="majorBidi" w:cstheme="majorBidi"/>
        </w:rPr>
        <w:t xml:space="preserve"> facets including fantasy, </w:t>
      </w:r>
      <w:r w:rsidR="00ED2D51" w:rsidRPr="00813D22">
        <w:rPr>
          <w:rFonts w:asciiTheme="majorBidi" w:hAnsiTheme="majorBidi" w:cstheme="majorBidi"/>
        </w:rPr>
        <w:lastRenderedPageBreak/>
        <w:t>imagination, and willingness to explore new ideas, it is possible that openness could be related to depression and anxiety through greater rumination on negative experiences and attentiveness to negative feelings.</w:t>
      </w:r>
      <w:r w:rsidR="00157501" w:rsidRPr="00813D22">
        <w:rPr>
          <w:rFonts w:asciiTheme="majorBidi" w:hAnsiTheme="majorBidi" w:cstheme="majorBidi"/>
        </w:rPr>
        <w:t xml:space="preserve"> </w:t>
      </w:r>
      <w:r w:rsidR="00A83521" w:rsidRPr="00813D22">
        <w:t xml:space="preserve">Moreover, </w:t>
      </w:r>
      <w:r w:rsidR="00E30B68" w:rsidRPr="00813D22">
        <w:t xml:space="preserve">the association between </w:t>
      </w:r>
      <w:r w:rsidR="00A83521" w:rsidRPr="00813D22">
        <w:t>attachment anxiety</w:t>
      </w:r>
      <w:r w:rsidR="00A83521" w:rsidRPr="00813D22">
        <w:rPr>
          <w:rFonts w:asciiTheme="majorBidi" w:hAnsiTheme="majorBidi" w:cstheme="majorBidi"/>
        </w:rPr>
        <w:t xml:space="preserve"> and rumination </w:t>
      </w:r>
      <w:r w:rsidR="00A83521" w:rsidRPr="00813D22">
        <w:t xml:space="preserve">consistent with the response style theory (Liu et al. </w:t>
      </w:r>
      <w:r w:rsidR="00066769" w:rsidRPr="00813D22">
        <w:t>2021</w:t>
      </w:r>
      <w:r w:rsidR="00A83521" w:rsidRPr="00813D22">
        <w:t>; Nolen-Hoeksema et al. 2008) and previous studies indicating the disruptive effect of rumination (</w:t>
      </w:r>
      <w:proofErr w:type="spellStart"/>
      <w:r w:rsidR="00A83521" w:rsidRPr="00813D22">
        <w:t>Garnefski</w:t>
      </w:r>
      <w:proofErr w:type="spellEnd"/>
      <w:r w:rsidR="00A83521" w:rsidRPr="00813D22">
        <w:t xml:space="preserve"> and </w:t>
      </w:r>
      <w:proofErr w:type="spellStart"/>
      <w:r w:rsidR="00A83521" w:rsidRPr="00813D22">
        <w:t>Kraaij</w:t>
      </w:r>
      <w:proofErr w:type="spellEnd"/>
      <w:r w:rsidR="00A83521" w:rsidRPr="00813D22">
        <w:t xml:space="preserve"> 2014; Genet and </w:t>
      </w:r>
      <w:proofErr w:type="spellStart"/>
      <w:r w:rsidR="00A83521" w:rsidRPr="00813D22">
        <w:t>Siemer</w:t>
      </w:r>
      <w:proofErr w:type="spellEnd"/>
      <w:r w:rsidR="00A83521" w:rsidRPr="00813D22">
        <w:t xml:space="preserve"> 2012).</w:t>
      </w:r>
      <w:r w:rsidR="00E30B68" w:rsidRPr="00813D22">
        <w:rPr>
          <w:rFonts w:asciiTheme="majorBidi" w:hAnsiTheme="majorBidi" w:cstheme="majorBidi"/>
        </w:rPr>
        <w:t xml:space="preserve"> By religion, </w:t>
      </w:r>
      <w:r w:rsidR="00D931DF" w:rsidRPr="00813D22">
        <w:rPr>
          <w:rFonts w:asciiTheme="majorBidi" w:hAnsiTheme="majorBidi" w:cstheme="majorBidi"/>
        </w:rPr>
        <w:t xml:space="preserve">there are two possible explanations for this finding. One possibility is that because sex and sexuality is a tabu in religious </w:t>
      </w:r>
      <w:r w:rsidR="000D6A18" w:rsidRPr="00813D22">
        <w:rPr>
          <w:rFonts w:asciiTheme="majorBidi" w:hAnsiTheme="majorBidi" w:cstheme="majorBidi"/>
        </w:rPr>
        <w:t>communities</w:t>
      </w:r>
      <w:r w:rsidR="00705D2E" w:rsidRPr="00813D22">
        <w:rPr>
          <w:rFonts w:asciiTheme="majorBidi" w:hAnsiTheme="majorBidi" w:cstheme="majorBidi"/>
        </w:rPr>
        <w:t>,</w:t>
      </w:r>
      <w:r w:rsidR="00D931DF" w:rsidRPr="00813D22">
        <w:rPr>
          <w:rFonts w:asciiTheme="majorBidi" w:hAnsiTheme="majorBidi" w:cstheme="majorBidi"/>
        </w:rPr>
        <w:t xml:space="preserve"> rumination</w:t>
      </w:r>
      <w:r w:rsidR="00D931DF" w:rsidRPr="00813D22">
        <w:t xml:space="preserve"> </w:t>
      </w:r>
      <w:r w:rsidR="00D931DF" w:rsidRPr="00813D22">
        <w:rPr>
          <w:rFonts w:asciiTheme="majorBidi" w:hAnsiTheme="majorBidi" w:cstheme="majorBidi"/>
        </w:rPr>
        <w:t>and/or reflection</w:t>
      </w:r>
      <w:r w:rsidR="00C21EE1" w:rsidRPr="00813D22">
        <w:rPr>
          <w:rFonts w:asciiTheme="majorBidi" w:hAnsiTheme="majorBidi" w:cstheme="majorBidi"/>
        </w:rPr>
        <w:t xml:space="preserve"> in </w:t>
      </w:r>
      <w:r w:rsidR="000D6A18" w:rsidRPr="00813D22">
        <w:t xml:space="preserve">context of sexuality lead to more distress who may cause - </w:t>
      </w:r>
      <w:r w:rsidR="00AA49B0" w:rsidRPr="00813D22">
        <w:t xml:space="preserve">'rebound effect' - </w:t>
      </w:r>
      <w:r w:rsidR="00E30B68" w:rsidRPr="00813D22">
        <w:t xml:space="preserve">suppression of sexual thoughts </w:t>
      </w:r>
      <w:r w:rsidR="004F75D1" w:rsidRPr="00813D22">
        <w:t xml:space="preserve">may paradoxically </w:t>
      </w:r>
      <w:r w:rsidR="00E30B68" w:rsidRPr="00813D22">
        <w:t>lead to CSBD</w:t>
      </w:r>
      <w:r w:rsidR="00E30B68" w:rsidRPr="00813D22">
        <w:rPr>
          <w:rFonts w:hint="cs"/>
          <w:rtl/>
        </w:rPr>
        <w:t xml:space="preserve"> </w:t>
      </w:r>
      <w:r w:rsidR="00E30B68" w:rsidRPr="00813D22">
        <w:t xml:space="preserve">(Efrati, 2019; Efrati et al., 2021). </w:t>
      </w:r>
      <w:r w:rsidR="008C0470" w:rsidRPr="00813D22">
        <w:rPr>
          <w:rFonts w:asciiTheme="majorBidi" w:hAnsiTheme="majorBidi" w:cstheme="majorBidi"/>
        </w:rPr>
        <w:t>An alternative</w:t>
      </w:r>
      <w:r w:rsidR="00705D2E" w:rsidRPr="00813D22">
        <w:rPr>
          <w:rFonts w:asciiTheme="majorBidi" w:hAnsiTheme="majorBidi" w:cstheme="majorBidi"/>
        </w:rPr>
        <w:t xml:space="preserve"> is that because sex and sexuality is a tabu in religious communities, rumination</w:t>
      </w:r>
      <w:r w:rsidR="00705D2E" w:rsidRPr="00813D22">
        <w:t xml:space="preserve"> </w:t>
      </w:r>
      <w:r w:rsidR="00705D2E" w:rsidRPr="00813D22">
        <w:rPr>
          <w:rFonts w:asciiTheme="majorBidi" w:hAnsiTheme="majorBidi" w:cstheme="majorBidi"/>
        </w:rPr>
        <w:t xml:space="preserve">and/or reflection cause more </w:t>
      </w:r>
      <w:r w:rsidR="00705D2E" w:rsidRPr="00813D22">
        <w:t xml:space="preserve">negative emotions </w:t>
      </w:r>
      <w:r w:rsidR="008C0470" w:rsidRPr="00813D22">
        <w:t>(</w:t>
      </w:r>
      <w:proofErr w:type="gramStart"/>
      <w:r w:rsidR="008C0470" w:rsidRPr="00813D22">
        <w:t>e.g.</w:t>
      </w:r>
      <w:proofErr w:type="gramEnd"/>
      <w:r w:rsidR="008C0470" w:rsidRPr="00813D22">
        <w:t xml:space="preserve"> shame) </w:t>
      </w:r>
      <w:r w:rsidR="00705D2E" w:rsidRPr="00813D22">
        <w:t>and failures</w:t>
      </w:r>
      <w:r w:rsidR="00705D2E" w:rsidRPr="00813D22">
        <w:rPr>
          <w:rFonts w:asciiTheme="majorBidi" w:hAnsiTheme="majorBidi" w:cstheme="majorBidi"/>
        </w:rPr>
        <w:t xml:space="preserve">, the way that adolescent may coping </w:t>
      </w:r>
      <w:r w:rsidR="008C0470" w:rsidRPr="00813D22">
        <w:rPr>
          <w:rFonts w:asciiTheme="majorBidi" w:hAnsiTheme="majorBidi" w:cstheme="majorBidi"/>
        </w:rPr>
        <w:t xml:space="preserve">to reduce </w:t>
      </w:r>
      <w:r w:rsidR="008C0470" w:rsidRPr="00813D22">
        <w:t xml:space="preserve">negative emotions </w:t>
      </w:r>
      <w:r w:rsidR="00705D2E" w:rsidRPr="00813D22">
        <w:rPr>
          <w:rFonts w:asciiTheme="majorBidi" w:hAnsiTheme="majorBidi" w:cstheme="majorBidi"/>
        </w:rPr>
        <w:t xml:space="preserve">is by escape to CSBD. </w:t>
      </w:r>
      <w:r w:rsidR="0066793F" w:rsidRPr="00813D22">
        <w:rPr>
          <w:rFonts w:asciiTheme="majorBidi" w:hAnsiTheme="majorBidi" w:cstheme="majorBidi"/>
        </w:rPr>
        <w:t xml:space="preserve">Finally, </w:t>
      </w:r>
      <w:r w:rsidR="008C0470" w:rsidRPr="00813D22">
        <w:rPr>
          <w:rFonts w:asciiTheme="majorBidi" w:hAnsiTheme="majorBidi" w:cstheme="majorBidi"/>
        </w:rPr>
        <w:t xml:space="preserve">in keeping with </w:t>
      </w:r>
      <w:r w:rsidR="0066793F" w:rsidRPr="00813D22">
        <w:rPr>
          <w:rFonts w:asciiTheme="majorBidi" w:hAnsiTheme="majorBidi" w:cstheme="majorBidi"/>
        </w:rPr>
        <w:t>previous</w:t>
      </w:r>
      <w:r w:rsidR="008C0470" w:rsidRPr="00813D22">
        <w:rPr>
          <w:rFonts w:asciiTheme="majorBidi" w:hAnsiTheme="majorBidi" w:cstheme="majorBidi"/>
        </w:rPr>
        <w:t>,</w:t>
      </w:r>
      <w:r w:rsidR="0066793F" w:rsidRPr="00813D22">
        <w:rPr>
          <w:rFonts w:asciiTheme="majorBidi" w:hAnsiTheme="majorBidi" w:cstheme="majorBidi"/>
        </w:rPr>
        <w:t xml:space="preserve"> research found that internalizing (depression and anxiety) </w:t>
      </w:r>
      <w:proofErr w:type="gramStart"/>
      <w:r w:rsidR="008C0470" w:rsidRPr="00813D22">
        <w:rPr>
          <w:rFonts w:asciiTheme="majorBidi" w:hAnsiTheme="majorBidi" w:cstheme="majorBidi"/>
        </w:rPr>
        <w:t>were</w:t>
      </w:r>
      <w:proofErr w:type="gramEnd"/>
      <w:r w:rsidR="008C0470" w:rsidRPr="00813D22">
        <w:rPr>
          <w:rFonts w:asciiTheme="majorBidi" w:hAnsiTheme="majorBidi" w:cstheme="majorBidi"/>
        </w:rPr>
        <w:t xml:space="preserve"> </w:t>
      </w:r>
      <w:r w:rsidR="0066793F" w:rsidRPr="00813D22">
        <w:rPr>
          <w:rFonts w:asciiTheme="majorBidi" w:hAnsiTheme="majorBidi" w:cstheme="majorBidi"/>
        </w:rPr>
        <w:t>link to CSBD</w:t>
      </w:r>
      <w:r w:rsidR="008C0470" w:rsidRPr="00813D22">
        <w:rPr>
          <w:rFonts w:asciiTheme="majorBidi" w:hAnsiTheme="majorBidi" w:cstheme="majorBidi"/>
        </w:rPr>
        <w:t xml:space="preserve"> </w:t>
      </w:r>
      <w:r w:rsidR="0066793F" w:rsidRPr="00813D22">
        <w:rPr>
          <w:rFonts w:asciiTheme="majorBidi" w:hAnsiTheme="majorBidi" w:cstheme="majorBidi"/>
        </w:rPr>
        <w:t>(Efrati and Gola, 2019</w:t>
      </w:r>
      <w:r w:rsidR="00F15D50" w:rsidRPr="00813D22">
        <w:rPr>
          <w:rFonts w:asciiTheme="majorBidi" w:hAnsiTheme="majorBidi" w:cstheme="majorBidi"/>
        </w:rPr>
        <w:t>b</w:t>
      </w:r>
      <w:r w:rsidR="0066793F" w:rsidRPr="00813D22">
        <w:rPr>
          <w:rFonts w:asciiTheme="majorBidi" w:hAnsiTheme="majorBidi" w:cstheme="majorBidi"/>
        </w:rPr>
        <w:t xml:space="preserve">).   </w:t>
      </w:r>
    </w:p>
    <w:p w14:paraId="24D9CB62" w14:textId="77777777" w:rsidR="004F75D1" w:rsidRPr="00813D22" w:rsidRDefault="004F75D1" w:rsidP="00D12F9A">
      <w:pPr>
        <w:spacing w:line="480" w:lineRule="auto"/>
        <w:contextualSpacing/>
        <w:rPr>
          <w:rFonts w:asciiTheme="majorBidi" w:hAnsiTheme="majorBidi" w:cstheme="majorBidi"/>
          <w:b/>
          <w:bCs/>
          <w:rtl/>
        </w:rPr>
      </w:pPr>
      <w:r w:rsidRPr="00813D22">
        <w:rPr>
          <w:rFonts w:asciiTheme="majorBidi" w:hAnsiTheme="majorBidi" w:cstheme="majorBidi"/>
          <w:b/>
          <w:bCs/>
        </w:rPr>
        <w:t>Limitations and future studies</w:t>
      </w:r>
    </w:p>
    <w:p w14:paraId="525C430C" w14:textId="367EB250" w:rsidR="004F75D1" w:rsidRPr="00813D22" w:rsidRDefault="004F75D1" w:rsidP="00D12F9A">
      <w:pPr>
        <w:spacing w:line="480" w:lineRule="auto"/>
        <w:ind w:firstLine="720"/>
      </w:pPr>
      <w:r w:rsidRPr="00813D22">
        <w:t xml:space="preserve">The results of the current study should be considered </w:t>
      </w:r>
      <w:proofErr w:type="gramStart"/>
      <w:r w:rsidRPr="00813D22">
        <w:t>in light of</w:t>
      </w:r>
      <w:proofErr w:type="gramEnd"/>
      <w:r w:rsidRPr="00813D22">
        <w:t xml:space="preserve"> its limitations. The study</w:t>
      </w:r>
      <w:r w:rsidRPr="00813D22">
        <w:rPr>
          <w:rtl/>
        </w:rPr>
        <w:t xml:space="preserve"> </w:t>
      </w:r>
      <w:r w:rsidRPr="00813D22">
        <w:t>was based on self-report measures, which may have been</w:t>
      </w:r>
      <w:r w:rsidRPr="00813D22">
        <w:rPr>
          <w:rtl/>
        </w:rPr>
        <w:t xml:space="preserve"> </w:t>
      </w:r>
      <w:r w:rsidRPr="00813D22">
        <w:t xml:space="preserve">subject to response bias. This is especially relevant for items that address intimate subjects, such </w:t>
      </w:r>
      <w:r w:rsidR="008C0470" w:rsidRPr="00813D22">
        <w:t>compulsive sexual behavior disorder</w:t>
      </w:r>
      <w:r w:rsidRPr="00813D22">
        <w:t xml:space="preserve">. Because the design was cross-sectional, causal relations between the study variables could not be inferred. Longitudinal studies are necessary to determine the directionality of the associations between psychological, cognitive, psychopathological, and cultural characteristics in </w:t>
      </w:r>
      <w:r w:rsidR="00F31D86" w:rsidRPr="00813D22">
        <w:t>CSBD</w:t>
      </w:r>
      <w:r w:rsidRPr="00813D22">
        <w:t xml:space="preserve">. Finally, the research </w:t>
      </w:r>
      <w:r w:rsidRPr="00813D22">
        <w:lastRenderedPageBreak/>
        <w:t>population was comprised of Jewish adolescents from the general population of Israel. Future studies should examine various other ethnic</w:t>
      </w:r>
      <w:r w:rsidR="002A35FB" w:rsidRPr="00813D22">
        <w:t xml:space="preserve">, </w:t>
      </w:r>
      <w:proofErr w:type="gramStart"/>
      <w:r w:rsidRPr="00813D22">
        <w:t>cultural</w:t>
      </w:r>
      <w:proofErr w:type="gramEnd"/>
      <w:r w:rsidRPr="00813D22">
        <w:t xml:space="preserve"> </w:t>
      </w:r>
      <w:r w:rsidR="002A35FB" w:rsidRPr="00813D22">
        <w:t xml:space="preserve">and clinical </w:t>
      </w:r>
      <w:r w:rsidRPr="00813D22">
        <w:t xml:space="preserve">populations to ascertain the replicability and generalizability of the findings. </w:t>
      </w:r>
    </w:p>
    <w:p w14:paraId="69ED5E8B" w14:textId="4495C2E5" w:rsidR="00BF5818" w:rsidRPr="00813D22" w:rsidRDefault="004F75D1" w:rsidP="00BF5818">
      <w:pPr>
        <w:autoSpaceDE w:val="0"/>
        <w:autoSpaceDN w:val="0"/>
        <w:adjustRightInd w:val="0"/>
        <w:snapToGrid w:val="0"/>
        <w:spacing w:after="120" w:line="480" w:lineRule="auto"/>
        <w:ind w:firstLine="720"/>
      </w:pPr>
      <w:r w:rsidRPr="00813D22">
        <w:t xml:space="preserve">Despite these limitations, the current study has revealed </w:t>
      </w:r>
      <w:r w:rsidR="00BF5818" w:rsidRPr="00813D22">
        <w:t>multi-dimensional model that includes a person’s background measures and cognitive-related processes</w:t>
      </w:r>
      <w:r w:rsidR="00E70063" w:rsidRPr="00813D22">
        <w:t xml:space="preserve"> by </w:t>
      </w:r>
      <w:r w:rsidR="00E70063" w:rsidRPr="00813D22">
        <w:rPr>
          <w:rFonts w:asciiTheme="majorBidi" w:hAnsiTheme="majorBidi" w:cstheme="majorBidi"/>
          <w:color w:val="000000"/>
        </w:rPr>
        <w:t>transdiagnostic approach</w:t>
      </w:r>
      <w:r w:rsidR="00BF5818" w:rsidRPr="00813D22">
        <w:t xml:space="preserve">. The </w:t>
      </w:r>
      <w:r w:rsidR="00E70063" w:rsidRPr="00813D22">
        <w:t xml:space="preserve">theoretical </w:t>
      </w:r>
      <w:r w:rsidR="00BF5818" w:rsidRPr="00813D22">
        <w:t xml:space="preserve">model </w:t>
      </w:r>
      <w:r w:rsidR="00E70063" w:rsidRPr="00813D22">
        <w:t>addressed</w:t>
      </w:r>
      <w:r w:rsidR="00BF5818" w:rsidRPr="00813D22">
        <w:t xml:space="preserve"> the mechanisms by which a person’s background measures (direct effects) cause the CSBD symptoms with which they are associated and examine</w:t>
      </w:r>
      <w:r w:rsidR="00E70063" w:rsidRPr="00813D22">
        <w:t>d</w:t>
      </w:r>
      <w:r w:rsidR="00BF5818" w:rsidRPr="00813D22">
        <w:t xml:space="preserve"> why a given disposition leads to in different adolescents or to different CSBD symptoms within the same person over time (indirect effects). </w:t>
      </w:r>
    </w:p>
    <w:p w14:paraId="474B8760" w14:textId="58EB3EBE" w:rsidR="00F43DFF" w:rsidRPr="00813D22" w:rsidRDefault="00F43DFF" w:rsidP="00F43DFF">
      <w:pPr>
        <w:autoSpaceDE w:val="0"/>
        <w:autoSpaceDN w:val="0"/>
        <w:adjustRightInd w:val="0"/>
        <w:snapToGrid w:val="0"/>
        <w:spacing w:after="120" w:line="480" w:lineRule="auto"/>
        <w:rPr>
          <w:rFonts w:asciiTheme="majorBidi" w:hAnsiTheme="majorBidi" w:cstheme="majorBidi"/>
          <w:b/>
          <w:bCs/>
        </w:rPr>
      </w:pPr>
      <w:r w:rsidRPr="00813D22">
        <w:rPr>
          <w:rFonts w:asciiTheme="majorBidi" w:hAnsiTheme="majorBidi" w:cstheme="majorBidi"/>
          <w:b/>
          <w:bCs/>
        </w:rPr>
        <w:t>Clinical implication</w:t>
      </w:r>
    </w:p>
    <w:p w14:paraId="31FE9103" w14:textId="4D91BAEF" w:rsidR="00F43DFF" w:rsidRPr="00F43DFF" w:rsidRDefault="00F43DFF" w:rsidP="002A35FB">
      <w:pPr>
        <w:autoSpaceDE w:val="0"/>
        <w:autoSpaceDN w:val="0"/>
        <w:adjustRightInd w:val="0"/>
        <w:snapToGrid w:val="0"/>
        <w:spacing w:after="120" w:line="480" w:lineRule="auto"/>
        <w:ind w:firstLine="720"/>
        <w:rPr>
          <w:rFonts w:asciiTheme="majorBidi" w:hAnsiTheme="majorBidi" w:cstheme="majorBidi"/>
        </w:rPr>
      </w:pPr>
      <w:r w:rsidRPr="00813D22">
        <w:rPr>
          <w:rFonts w:asciiTheme="majorBidi" w:hAnsiTheme="majorBidi" w:cstheme="majorBidi"/>
        </w:rPr>
        <w:t xml:space="preserve">Lastly, the field might benefit from research on novel therapies for CSBD. One promising avenue for therapy is known as the third wave cognitive and behavioral therapies that represent the newest generation of psychotherapies (Brown, </w:t>
      </w:r>
      <w:proofErr w:type="spellStart"/>
      <w:r w:rsidRPr="00813D22">
        <w:rPr>
          <w:rFonts w:asciiTheme="majorBidi" w:hAnsiTheme="majorBidi" w:cstheme="majorBidi"/>
        </w:rPr>
        <w:t>Gaudiano</w:t>
      </w:r>
      <w:proofErr w:type="spellEnd"/>
      <w:r w:rsidRPr="00813D22">
        <w:rPr>
          <w:rFonts w:asciiTheme="majorBidi" w:hAnsiTheme="majorBidi" w:cstheme="majorBidi"/>
        </w:rPr>
        <w:t>, &amp; Miller, 2011</w:t>
      </w:r>
      <w:r w:rsidRPr="00813D22">
        <w:rPr>
          <w:rFonts w:asciiTheme="majorBidi" w:hAnsiTheme="majorBidi" w:cstheme="majorBidi"/>
          <w:rtl/>
        </w:rPr>
        <w:t>;</w:t>
      </w:r>
      <w:r w:rsidRPr="00813D22">
        <w:rPr>
          <w:rFonts w:asciiTheme="majorBidi" w:hAnsiTheme="majorBidi" w:cstheme="majorBidi"/>
        </w:rPr>
        <w:t xml:space="preserve"> Hayes, 2004). Traditional first and second wave therapies focus on observing, predicting, and modifying behavior (Skinner, 1953) and identifying and reappraising distorted thinking patterns (Beck, 1976)</w:t>
      </w:r>
      <w:r w:rsidRPr="00813D22">
        <w:rPr>
          <w:rFonts w:asciiTheme="majorBidi" w:hAnsiTheme="majorBidi" w:cstheme="majorBidi"/>
          <w:rtl/>
        </w:rPr>
        <w:t>,</w:t>
      </w:r>
      <w:r w:rsidRPr="00813D22">
        <w:rPr>
          <w:rFonts w:asciiTheme="majorBidi" w:hAnsiTheme="majorBidi" w:cstheme="majorBidi"/>
        </w:rPr>
        <w:t xml:space="preserve"> respectively. Conversely, third wave therapies aim to promote acceptance instead of change of negative internal sensations and thoughts, and explore the</w:t>
      </w:r>
      <w:r w:rsidRPr="00813D22">
        <w:rPr>
          <w:rFonts w:asciiTheme="majorBidi" w:hAnsiTheme="majorBidi" w:cstheme="majorBidi"/>
          <w:rtl/>
        </w:rPr>
        <w:t xml:space="preserve"> </w:t>
      </w:r>
      <w:r w:rsidRPr="00813D22">
        <w:rPr>
          <w:rFonts w:asciiTheme="majorBidi" w:hAnsiTheme="majorBidi" w:cstheme="majorBidi"/>
        </w:rPr>
        <w:t>context, processes, and functions of how a person relates to internal experiences rather than their content (Brown et al., 2011</w:t>
      </w:r>
      <w:r w:rsidRPr="00813D22">
        <w:rPr>
          <w:rFonts w:asciiTheme="majorBidi" w:hAnsiTheme="majorBidi" w:cstheme="majorBidi"/>
          <w:rtl/>
        </w:rPr>
        <w:t>;</w:t>
      </w:r>
      <w:r w:rsidRPr="00813D22">
        <w:rPr>
          <w:rFonts w:asciiTheme="majorBidi" w:hAnsiTheme="majorBidi" w:cstheme="majorBidi"/>
        </w:rPr>
        <w:t xml:space="preserve"> Hayes &amp; Hofmann, 2017; Hayes, 2004). The most known and utilized third wave treatments include Acceptance and Commitment Therapy, Dialectical Behavior Therapy, Mindfulness-Based Cognitive Therapy, Functional Analytic Psychotherapy, and </w:t>
      </w:r>
      <w:r w:rsidRPr="00813D22">
        <w:rPr>
          <w:rFonts w:asciiTheme="majorBidi" w:hAnsiTheme="majorBidi" w:cstheme="majorBidi"/>
        </w:rPr>
        <w:lastRenderedPageBreak/>
        <w:t>Metacognitive Therapy (Hayes &amp; Hofmann, 2017). Although these treatments are promising, only limited research has been conducted to appraise their effectiveness on CSBD (</w:t>
      </w:r>
      <w:proofErr w:type="spellStart"/>
      <w:r w:rsidRPr="00813D22">
        <w:rPr>
          <w:rFonts w:asciiTheme="majorBidi" w:hAnsiTheme="majorBidi" w:cstheme="majorBidi"/>
        </w:rPr>
        <w:t>Holas</w:t>
      </w:r>
      <w:proofErr w:type="spellEnd"/>
      <w:r w:rsidRPr="00813D22">
        <w:rPr>
          <w:rFonts w:asciiTheme="majorBidi" w:hAnsiTheme="majorBidi" w:cstheme="majorBidi"/>
        </w:rPr>
        <w:t xml:space="preserve">, </w:t>
      </w:r>
      <w:proofErr w:type="spellStart"/>
      <w:r w:rsidRPr="00813D22">
        <w:rPr>
          <w:rFonts w:asciiTheme="majorBidi" w:hAnsiTheme="majorBidi" w:cstheme="majorBidi"/>
        </w:rPr>
        <w:t>Draps</w:t>
      </w:r>
      <w:proofErr w:type="spellEnd"/>
      <w:r w:rsidRPr="00813D22">
        <w:rPr>
          <w:rFonts w:asciiTheme="majorBidi" w:hAnsiTheme="majorBidi" w:cstheme="majorBidi"/>
        </w:rPr>
        <w:t xml:space="preserve">, </w:t>
      </w:r>
      <w:proofErr w:type="spellStart"/>
      <w:r w:rsidRPr="00813D22">
        <w:rPr>
          <w:rFonts w:asciiTheme="majorBidi" w:hAnsiTheme="majorBidi" w:cstheme="majorBidi"/>
        </w:rPr>
        <w:t>Kowalewska</w:t>
      </w:r>
      <w:proofErr w:type="spellEnd"/>
      <w:r w:rsidRPr="00813D22">
        <w:rPr>
          <w:rFonts w:asciiTheme="majorBidi" w:hAnsiTheme="majorBidi" w:cstheme="majorBidi"/>
        </w:rPr>
        <w:t xml:space="preserve">, </w:t>
      </w:r>
      <w:proofErr w:type="spellStart"/>
      <w:r w:rsidRPr="00813D22">
        <w:rPr>
          <w:rFonts w:asciiTheme="majorBidi" w:hAnsiTheme="majorBidi" w:cstheme="majorBidi"/>
        </w:rPr>
        <w:t>Lewczuk</w:t>
      </w:r>
      <w:proofErr w:type="spellEnd"/>
      <w:r w:rsidRPr="00813D22">
        <w:rPr>
          <w:rFonts w:asciiTheme="majorBidi" w:hAnsiTheme="majorBidi" w:cstheme="majorBidi"/>
        </w:rPr>
        <w:t xml:space="preserve">, &amp; Gola, 2020). Further work focusing on </w:t>
      </w:r>
      <w:r w:rsidR="00646249" w:rsidRPr="00813D22">
        <w:rPr>
          <w:rFonts w:asciiTheme="majorBidi" w:hAnsiTheme="majorBidi" w:cstheme="majorBidi"/>
          <w:color w:val="000000"/>
        </w:rPr>
        <w:t>transdiagnostic approach</w:t>
      </w:r>
      <w:r w:rsidRPr="00813D22">
        <w:rPr>
          <w:rFonts w:asciiTheme="majorBidi" w:hAnsiTheme="majorBidi" w:cstheme="majorBidi"/>
        </w:rPr>
        <w:t xml:space="preserve"> of CSBD, particularly with regards to </w:t>
      </w:r>
      <w:r w:rsidR="00646249" w:rsidRPr="00813D22">
        <w:rPr>
          <w:rFonts w:asciiTheme="majorBidi" w:hAnsiTheme="majorBidi" w:cstheme="majorBidi"/>
        </w:rPr>
        <w:t>multiple</w:t>
      </w:r>
      <w:r w:rsidRPr="00813D22">
        <w:rPr>
          <w:rFonts w:asciiTheme="majorBidi" w:hAnsiTheme="majorBidi" w:cstheme="majorBidi"/>
        </w:rPr>
        <w:t xml:space="preserve"> measures, could improve research on third wave treatments and increase the likelihood for better treatment outcomes for treatment seeking individuals.</w:t>
      </w:r>
      <w:r w:rsidRPr="00F43DFF">
        <w:rPr>
          <w:rFonts w:asciiTheme="majorBidi" w:hAnsiTheme="majorBidi" w:cstheme="majorBidi"/>
        </w:rPr>
        <w:t xml:space="preserve"> </w:t>
      </w:r>
    </w:p>
    <w:p w14:paraId="79A2EFA1" w14:textId="77777777" w:rsidR="00DD3A50" w:rsidRPr="00CA389B" w:rsidRDefault="00DD3A50" w:rsidP="003361C2">
      <w:pPr>
        <w:spacing w:after="120" w:line="480" w:lineRule="auto"/>
        <w:rPr>
          <w:rFonts w:asciiTheme="majorBidi" w:hAnsiTheme="majorBidi" w:cstheme="majorBidi"/>
          <w:rtl/>
        </w:rPr>
      </w:pPr>
      <w:r w:rsidRPr="00CA389B">
        <w:rPr>
          <w:rFonts w:asciiTheme="majorBidi" w:hAnsiTheme="majorBidi" w:cstheme="majorBidi"/>
        </w:rPr>
        <w:br w:type="page"/>
      </w:r>
    </w:p>
    <w:p w14:paraId="7ACFE321" w14:textId="77777777" w:rsidR="00DD3A50" w:rsidRPr="00CA389B" w:rsidRDefault="00DD3A50" w:rsidP="00C311E8">
      <w:pPr>
        <w:spacing w:line="480" w:lineRule="auto"/>
        <w:rPr>
          <w:rFonts w:asciiTheme="majorBidi" w:hAnsiTheme="majorBidi" w:cstheme="majorBidi"/>
          <w:b/>
          <w:bCs/>
          <w:color w:val="222222"/>
          <w:shd w:val="clear" w:color="auto" w:fill="FFFFFF"/>
        </w:rPr>
      </w:pPr>
      <w:r w:rsidRPr="00CA389B">
        <w:rPr>
          <w:rFonts w:asciiTheme="majorBidi" w:hAnsiTheme="majorBidi" w:cstheme="majorBidi"/>
          <w:b/>
          <w:bCs/>
          <w:color w:val="222222"/>
          <w:shd w:val="clear" w:color="auto" w:fill="FFFFFF"/>
        </w:rPr>
        <w:lastRenderedPageBreak/>
        <w:t>References</w:t>
      </w:r>
    </w:p>
    <w:p w14:paraId="564BD08C" w14:textId="77777777" w:rsidR="002E6AC5" w:rsidRPr="00FF69D8" w:rsidRDefault="002E6AC5" w:rsidP="00CA389B">
      <w:pPr>
        <w:spacing w:line="480" w:lineRule="auto"/>
        <w:ind w:left="720" w:hanging="720"/>
        <w:contextualSpacing/>
      </w:pPr>
      <w:proofErr w:type="spellStart"/>
      <w:r w:rsidRPr="00FF69D8">
        <w:rPr>
          <w:color w:val="222222"/>
          <w:shd w:val="clear" w:color="auto" w:fill="FFFFFF"/>
        </w:rPr>
        <w:t>Abramovitch</w:t>
      </w:r>
      <w:proofErr w:type="spellEnd"/>
      <w:r w:rsidRPr="00FF69D8">
        <w:rPr>
          <w:color w:val="222222"/>
          <w:shd w:val="clear" w:color="auto" w:fill="FFFFFF"/>
        </w:rPr>
        <w:t>, A., Short, T., &amp; Schweiger, A. (2021). The C Factor: Cognitive dysfunction as a transdiagnostic dimension in psychopathology. </w:t>
      </w:r>
      <w:r w:rsidRPr="00FF69D8">
        <w:rPr>
          <w:i/>
          <w:iCs/>
          <w:color w:val="222222"/>
          <w:shd w:val="clear" w:color="auto" w:fill="FFFFFF"/>
        </w:rPr>
        <w:t>Clinical psychology review</w:t>
      </w:r>
      <w:r w:rsidRPr="00FF69D8">
        <w:rPr>
          <w:color w:val="222222"/>
          <w:shd w:val="clear" w:color="auto" w:fill="FFFFFF"/>
        </w:rPr>
        <w:t>, </w:t>
      </w:r>
      <w:r w:rsidRPr="00FF69D8">
        <w:rPr>
          <w:i/>
          <w:iCs/>
          <w:color w:val="222222"/>
          <w:shd w:val="clear" w:color="auto" w:fill="FFFFFF"/>
        </w:rPr>
        <w:t>86</w:t>
      </w:r>
      <w:r w:rsidRPr="00FF69D8">
        <w:rPr>
          <w:color w:val="222222"/>
          <w:shd w:val="clear" w:color="auto" w:fill="FFFFFF"/>
        </w:rPr>
        <w:t>, 102007.</w:t>
      </w:r>
      <w:r w:rsidRPr="00FF69D8">
        <w:rPr>
          <w:color w:val="222222"/>
          <w:shd w:val="clear" w:color="auto" w:fill="FFFFFF"/>
          <w:rtl/>
        </w:rPr>
        <w:t>‏</w:t>
      </w:r>
      <w:r w:rsidRPr="00FF69D8">
        <w:t xml:space="preserve"> </w:t>
      </w:r>
    </w:p>
    <w:p w14:paraId="5D4FE5D3" w14:textId="325086B0" w:rsidR="00884B10" w:rsidRPr="00FF69D8" w:rsidRDefault="00430B8F" w:rsidP="00CA389B">
      <w:pPr>
        <w:spacing w:line="480" w:lineRule="auto"/>
        <w:ind w:left="720" w:hanging="720"/>
        <w:contextualSpacing/>
        <w:rPr>
          <w:noProof/>
        </w:rPr>
      </w:pPr>
      <w:hyperlink r:id="rId8" w:history="1">
        <w:r w:rsidR="00884B10" w:rsidRPr="00FF69D8">
          <w:rPr>
            <w:noProof/>
          </w:rPr>
          <w:t>Adelson</w:t>
        </w:r>
      </w:hyperlink>
      <w:r w:rsidR="00884B10" w:rsidRPr="00FF69D8">
        <w:rPr>
          <w:noProof/>
        </w:rPr>
        <w:t>, S. </w:t>
      </w:r>
      <w:hyperlink r:id="rId9" w:history="1">
        <w:r w:rsidR="00884B10" w:rsidRPr="00FF69D8">
          <w:rPr>
            <w:noProof/>
          </w:rPr>
          <w:t>Bell</w:t>
        </w:r>
      </w:hyperlink>
      <w:r w:rsidR="00884B10" w:rsidRPr="00FF69D8">
        <w:rPr>
          <w:noProof/>
        </w:rPr>
        <w:t>,</w:t>
      </w:r>
      <w:r w:rsidR="00642793" w:rsidRPr="00FF69D8">
        <w:rPr>
          <w:noProof/>
        </w:rPr>
        <w:t xml:space="preserve"> </w:t>
      </w:r>
      <w:r w:rsidR="00884B10" w:rsidRPr="00FF69D8">
        <w:rPr>
          <w:noProof/>
        </w:rPr>
        <w:t>R. </w:t>
      </w:r>
      <w:hyperlink r:id="rId10" w:history="1">
        <w:r w:rsidR="00884B10" w:rsidRPr="00FF69D8">
          <w:rPr>
            <w:noProof/>
          </w:rPr>
          <w:t>Graff</w:t>
        </w:r>
      </w:hyperlink>
      <w:r w:rsidR="00884B10" w:rsidRPr="00FF69D8">
        <w:rPr>
          <w:noProof/>
        </w:rPr>
        <w:t>, A.</w:t>
      </w:r>
      <w:r w:rsidR="00642793" w:rsidRPr="00FF69D8">
        <w:rPr>
          <w:noProof/>
        </w:rPr>
        <w:t>,</w:t>
      </w:r>
      <w:r w:rsidR="00884B10" w:rsidRPr="00FF69D8">
        <w:rPr>
          <w:noProof/>
        </w:rPr>
        <w:t xml:space="preserve"> </w:t>
      </w:r>
      <w:hyperlink r:id="rId11" w:history="1">
        <w:r w:rsidR="00884B10" w:rsidRPr="00FF69D8">
          <w:rPr>
            <w:noProof/>
          </w:rPr>
          <w:t>Goldenberg</w:t>
        </w:r>
      </w:hyperlink>
      <w:r w:rsidR="00884B10" w:rsidRPr="00FF69D8">
        <w:rPr>
          <w:noProof/>
        </w:rPr>
        <w:t>, D. </w:t>
      </w:r>
      <w:hyperlink r:id="rId12" w:history="1">
        <w:r w:rsidR="00884B10" w:rsidRPr="00FF69D8">
          <w:rPr>
            <w:noProof/>
          </w:rPr>
          <w:t>Haase</w:t>
        </w:r>
      </w:hyperlink>
      <w:r w:rsidR="00884B10" w:rsidRPr="00FF69D8">
        <w:rPr>
          <w:noProof/>
        </w:rPr>
        <w:t>, E. </w:t>
      </w:r>
      <w:hyperlink r:id="rId13" w:history="1">
        <w:r w:rsidR="00884B10" w:rsidRPr="00FF69D8">
          <w:rPr>
            <w:noProof/>
          </w:rPr>
          <w:t>Downey</w:t>
        </w:r>
      </w:hyperlink>
      <w:r w:rsidR="00884B10" w:rsidRPr="00FF69D8">
        <w:rPr>
          <w:noProof/>
        </w:rPr>
        <w:t>, J.</w:t>
      </w:r>
      <w:r w:rsidR="00642793" w:rsidRPr="00FF69D8">
        <w:rPr>
          <w:noProof/>
        </w:rPr>
        <w:t xml:space="preserve"> </w:t>
      </w:r>
      <w:r w:rsidR="00884B10" w:rsidRPr="00FF69D8">
        <w:rPr>
          <w:noProof/>
        </w:rPr>
        <w:t>I.</w:t>
      </w:r>
      <w:r w:rsidR="00642793" w:rsidRPr="00FF69D8">
        <w:rPr>
          <w:noProof/>
        </w:rPr>
        <w:t>,</w:t>
      </w:r>
      <w:hyperlink r:id="rId14" w:history="1">
        <w:r w:rsidR="00884B10" w:rsidRPr="00FF69D8">
          <w:rPr>
            <w:noProof/>
          </w:rPr>
          <w:t xml:space="preserve"> &amp; Friedman</w:t>
        </w:r>
      </w:hyperlink>
      <w:r w:rsidR="00642793" w:rsidRPr="00FF69D8">
        <w:rPr>
          <w:noProof/>
        </w:rPr>
        <w:t>,</w:t>
      </w:r>
      <w:r w:rsidR="00884B10" w:rsidRPr="00FF69D8">
        <w:rPr>
          <w:noProof/>
        </w:rPr>
        <w:t xml:space="preserve"> R.</w:t>
      </w:r>
      <w:r w:rsidR="00642793" w:rsidRPr="00FF69D8">
        <w:rPr>
          <w:noProof/>
        </w:rPr>
        <w:t xml:space="preserve"> </w:t>
      </w:r>
      <w:r w:rsidR="00884B10" w:rsidRPr="00FF69D8">
        <w:rPr>
          <w:noProof/>
        </w:rPr>
        <w:t xml:space="preserve">C. (2012). Toward a </w:t>
      </w:r>
      <w:r w:rsidR="00642793" w:rsidRPr="00FF69D8">
        <w:rPr>
          <w:noProof/>
        </w:rPr>
        <w:t>d</w:t>
      </w:r>
      <w:r w:rsidR="00884B10" w:rsidRPr="00FF69D8">
        <w:rPr>
          <w:noProof/>
        </w:rPr>
        <w:t>efinition of “</w:t>
      </w:r>
      <w:r w:rsidR="00642793" w:rsidRPr="00FF69D8">
        <w:rPr>
          <w:noProof/>
        </w:rPr>
        <w:t>h</w:t>
      </w:r>
      <w:r w:rsidR="00884B10" w:rsidRPr="00FF69D8">
        <w:rPr>
          <w:noProof/>
        </w:rPr>
        <w:t xml:space="preserve">ypersexuality" in </w:t>
      </w:r>
      <w:r w:rsidR="00642793" w:rsidRPr="00FF69D8">
        <w:rPr>
          <w:noProof/>
        </w:rPr>
        <w:t>c</w:t>
      </w:r>
      <w:r w:rsidR="00884B10" w:rsidRPr="00FF69D8">
        <w:rPr>
          <w:noProof/>
        </w:rPr>
        <w:t xml:space="preserve">hildren and </w:t>
      </w:r>
      <w:r w:rsidR="00642793" w:rsidRPr="00FF69D8">
        <w:rPr>
          <w:noProof/>
        </w:rPr>
        <w:t>a</w:t>
      </w:r>
      <w:r w:rsidR="00884B10" w:rsidRPr="00FF69D8">
        <w:rPr>
          <w:noProof/>
        </w:rPr>
        <w:t xml:space="preserve">dolescents. </w:t>
      </w:r>
      <w:r w:rsidR="00884B10" w:rsidRPr="00FF69D8">
        <w:rPr>
          <w:i/>
          <w:iCs/>
          <w:noProof/>
        </w:rPr>
        <w:t>Psychodynamic Psychiatry, 40</w:t>
      </w:r>
      <w:r w:rsidR="00884B10" w:rsidRPr="00FF69D8">
        <w:rPr>
          <w:noProof/>
        </w:rPr>
        <w:t>(3) 481</w:t>
      </w:r>
      <w:r w:rsidR="00642793" w:rsidRPr="00FF69D8">
        <w:rPr>
          <w:noProof/>
        </w:rPr>
        <w:t>-</w:t>
      </w:r>
      <w:r w:rsidR="00884B10" w:rsidRPr="00FF69D8">
        <w:rPr>
          <w:noProof/>
        </w:rPr>
        <w:t>504.</w:t>
      </w:r>
    </w:p>
    <w:p w14:paraId="5D30BCE5" w14:textId="77777777" w:rsidR="006E75A9" w:rsidRPr="00FF69D8" w:rsidRDefault="006E75A9" w:rsidP="00CA389B">
      <w:pPr>
        <w:spacing w:line="480" w:lineRule="auto"/>
        <w:ind w:left="720" w:hanging="720"/>
        <w:contextualSpacing/>
        <w:rPr>
          <w:color w:val="000000"/>
          <w:lang w:val="x-none"/>
        </w:rPr>
      </w:pPr>
      <w:proofErr w:type="spellStart"/>
      <w:r w:rsidRPr="00FF69D8">
        <w:rPr>
          <w:color w:val="000000"/>
          <w:lang w:val="x-none"/>
        </w:rPr>
        <w:t>Aldao</w:t>
      </w:r>
      <w:proofErr w:type="spellEnd"/>
      <w:r w:rsidRPr="00FF69D8">
        <w:rPr>
          <w:color w:val="000000"/>
          <w:lang w:val="x-none"/>
        </w:rPr>
        <w:t xml:space="preserve">, A., Nolen-Hoeksema, S., &amp; Schweizer, S. (2010). Emotion regulation strategies across psychopathology: A meta-analytic review. </w:t>
      </w:r>
      <w:r w:rsidRPr="00FF69D8">
        <w:rPr>
          <w:i/>
          <w:iCs/>
          <w:color w:val="000000"/>
          <w:lang w:val="x-none"/>
        </w:rPr>
        <w:t>Clinical Psychology Review, 30</w:t>
      </w:r>
      <w:r w:rsidRPr="00FF69D8">
        <w:rPr>
          <w:color w:val="000000"/>
          <w:lang w:val="x-none"/>
        </w:rPr>
        <w:t>, 217</w:t>
      </w:r>
      <w:r w:rsidR="00642793" w:rsidRPr="00FF69D8">
        <w:rPr>
          <w:color w:val="000000"/>
        </w:rPr>
        <w:t>-</w:t>
      </w:r>
      <w:r w:rsidRPr="00FF69D8">
        <w:rPr>
          <w:color w:val="000000"/>
          <w:lang w:val="x-none"/>
        </w:rPr>
        <w:t>237.</w:t>
      </w:r>
    </w:p>
    <w:p w14:paraId="4BADD84F" w14:textId="77777777" w:rsidR="005F5916" w:rsidRPr="00FF69D8" w:rsidRDefault="005F5916" w:rsidP="00CA389B">
      <w:pPr>
        <w:spacing w:line="480" w:lineRule="auto"/>
        <w:ind w:left="720" w:hanging="720"/>
        <w:contextualSpacing/>
        <w:rPr>
          <w:color w:val="000000"/>
          <w:lang w:val="x-none"/>
        </w:rPr>
      </w:pPr>
      <w:proofErr w:type="spellStart"/>
      <w:r w:rsidRPr="00FF69D8">
        <w:rPr>
          <w:color w:val="222222"/>
          <w:shd w:val="clear" w:color="auto" w:fill="FFFFFF"/>
        </w:rPr>
        <w:t>Allik</w:t>
      </w:r>
      <w:proofErr w:type="spellEnd"/>
      <w:r w:rsidRPr="00FF69D8">
        <w:rPr>
          <w:color w:val="222222"/>
          <w:shd w:val="clear" w:color="auto" w:fill="FFFFFF"/>
        </w:rPr>
        <w:t>, J. (2005). Personality dimensions across cultures. </w:t>
      </w:r>
      <w:r w:rsidRPr="00FF69D8">
        <w:rPr>
          <w:i/>
          <w:iCs/>
          <w:color w:val="222222"/>
          <w:shd w:val="clear" w:color="auto" w:fill="FFFFFF"/>
        </w:rPr>
        <w:t>Journal of personality disorders</w:t>
      </w:r>
      <w:r w:rsidRPr="00FF69D8">
        <w:rPr>
          <w:color w:val="222222"/>
          <w:shd w:val="clear" w:color="auto" w:fill="FFFFFF"/>
        </w:rPr>
        <w:t>, </w:t>
      </w:r>
      <w:r w:rsidRPr="00FF69D8">
        <w:rPr>
          <w:i/>
          <w:iCs/>
          <w:color w:val="222222"/>
          <w:shd w:val="clear" w:color="auto" w:fill="FFFFFF"/>
        </w:rPr>
        <w:t>19</w:t>
      </w:r>
      <w:r w:rsidRPr="00FF69D8">
        <w:rPr>
          <w:color w:val="222222"/>
          <w:shd w:val="clear" w:color="auto" w:fill="FFFFFF"/>
        </w:rPr>
        <w:t>(3), 212-232.</w:t>
      </w:r>
      <w:r w:rsidRPr="00FF69D8">
        <w:rPr>
          <w:color w:val="222222"/>
          <w:shd w:val="clear" w:color="auto" w:fill="FFFFFF"/>
          <w:rtl/>
        </w:rPr>
        <w:t>‏</w:t>
      </w:r>
    </w:p>
    <w:p w14:paraId="77E23781" w14:textId="090D4A69" w:rsidR="00425054" w:rsidRPr="00FF69D8" w:rsidRDefault="00425054" w:rsidP="00CA389B">
      <w:pPr>
        <w:spacing w:line="480" w:lineRule="auto"/>
        <w:ind w:left="720" w:hanging="720"/>
        <w:contextualSpacing/>
        <w:rPr>
          <w:noProof/>
        </w:rPr>
      </w:pPr>
      <w:r w:rsidRPr="00FF69D8">
        <w:rPr>
          <w:color w:val="222222"/>
          <w:shd w:val="clear" w:color="auto" w:fill="FFFFFF"/>
        </w:rPr>
        <w:t>Brennan, K. A., Clark, C. L., &amp; Shaver, P. R. (1998). Self-report measurement of adult attachment: An integrative overview.</w:t>
      </w:r>
      <w:r w:rsidRPr="00FF69D8">
        <w:rPr>
          <w:color w:val="222222"/>
          <w:shd w:val="clear" w:color="auto" w:fill="FFFFFF"/>
          <w:rtl/>
        </w:rPr>
        <w:t>‏</w:t>
      </w:r>
    </w:p>
    <w:p w14:paraId="5003BB6A" w14:textId="77777777" w:rsidR="00164B2C" w:rsidRPr="00FF69D8" w:rsidRDefault="00164B2C" w:rsidP="00164B2C">
      <w:pPr>
        <w:spacing w:line="480" w:lineRule="auto"/>
        <w:ind w:left="720" w:hanging="720"/>
        <w:contextualSpacing/>
        <w:rPr>
          <w:color w:val="222222"/>
          <w:shd w:val="clear" w:color="auto" w:fill="FFFFFF"/>
        </w:rPr>
      </w:pPr>
      <w:r w:rsidRPr="00FF69D8">
        <w:rPr>
          <w:color w:val="222222"/>
          <w:shd w:val="clear" w:color="auto" w:fill="FFFFFF"/>
        </w:rPr>
        <w:t>Beck, A. T. (1976). Cognitive therapy and the emotional disorder. New York: International Universities Press</w:t>
      </w:r>
    </w:p>
    <w:p w14:paraId="1647E47D" w14:textId="77777777" w:rsidR="004B18AF" w:rsidRPr="00FF69D8" w:rsidRDefault="004B18AF" w:rsidP="00CA389B">
      <w:pPr>
        <w:spacing w:line="480" w:lineRule="auto"/>
        <w:ind w:left="720" w:hanging="720"/>
        <w:contextualSpacing/>
        <w:rPr>
          <w:noProof/>
        </w:rPr>
      </w:pPr>
      <w:r w:rsidRPr="00FF69D8">
        <w:rPr>
          <w:color w:val="222222"/>
          <w:shd w:val="clear" w:color="auto" w:fill="FFFFFF"/>
        </w:rPr>
        <w:t xml:space="preserve">Birnbaum, G. E., Reis, H. T., </w:t>
      </w:r>
      <w:proofErr w:type="spellStart"/>
      <w:r w:rsidRPr="00FF69D8">
        <w:rPr>
          <w:color w:val="222222"/>
          <w:shd w:val="clear" w:color="auto" w:fill="FFFFFF"/>
        </w:rPr>
        <w:t>Mikulincer</w:t>
      </w:r>
      <w:proofErr w:type="spellEnd"/>
      <w:r w:rsidRPr="00FF69D8">
        <w:rPr>
          <w:color w:val="222222"/>
          <w:shd w:val="clear" w:color="auto" w:fill="FFFFFF"/>
        </w:rPr>
        <w:t xml:space="preserve">, M., </w:t>
      </w:r>
      <w:proofErr w:type="spellStart"/>
      <w:r w:rsidRPr="00FF69D8">
        <w:rPr>
          <w:color w:val="222222"/>
          <w:shd w:val="clear" w:color="auto" w:fill="FFFFFF"/>
        </w:rPr>
        <w:t>Gillath</w:t>
      </w:r>
      <w:proofErr w:type="spellEnd"/>
      <w:r w:rsidRPr="00FF69D8">
        <w:rPr>
          <w:color w:val="222222"/>
          <w:shd w:val="clear" w:color="auto" w:fill="FFFFFF"/>
        </w:rPr>
        <w:t xml:space="preserve">, O., &amp; </w:t>
      </w:r>
      <w:proofErr w:type="spellStart"/>
      <w:r w:rsidRPr="00FF69D8">
        <w:rPr>
          <w:color w:val="222222"/>
          <w:shd w:val="clear" w:color="auto" w:fill="FFFFFF"/>
        </w:rPr>
        <w:t>Orpaz</w:t>
      </w:r>
      <w:proofErr w:type="spellEnd"/>
      <w:r w:rsidRPr="00FF69D8">
        <w:rPr>
          <w:color w:val="222222"/>
          <w:shd w:val="clear" w:color="auto" w:fill="FFFFFF"/>
        </w:rPr>
        <w:t>, A. (2006). When sex is more than just sex: attachment orientations, sexual experience, and relationship quality. </w:t>
      </w:r>
      <w:r w:rsidRPr="00FF69D8">
        <w:rPr>
          <w:i/>
          <w:iCs/>
          <w:color w:val="222222"/>
          <w:shd w:val="clear" w:color="auto" w:fill="FFFFFF"/>
        </w:rPr>
        <w:t>Journal of personality and social psychology</w:t>
      </w:r>
      <w:r w:rsidRPr="00FF69D8">
        <w:rPr>
          <w:color w:val="222222"/>
          <w:shd w:val="clear" w:color="auto" w:fill="FFFFFF"/>
        </w:rPr>
        <w:t>, </w:t>
      </w:r>
      <w:r w:rsidRPr="00FF69D8">
        <w:rPr>
          <w:i/>
          <w:iCs/>
          <w:color w:val="222222"/>
          <w:shd w:val="clear" w:color="auto" w:fill="FFFFFF"/>
        </w:rPr>
        <w:t>91</w:t>
      </w:r>
      <w:r w:rsidRPr="00FF69D8">
        <w:rPr>
          <w:color w:val="222222"/>
          <w:shd w:val="clear" w:color="auto" w:fill="FFFFFF"/>
        </w:rPr>
        <w:t>(5), 929.</w:t>
      </w:r>
      <w:r w:rsidRPr="00FF69D8">
        <w:rPr>
          <w:color w:val="222222"/>
          <w:shd w:val="clear" w:color="auto" w:fill="FFFFFF"/>
          <w:rtl/>
        </w:rPr>
        <w:t>‏</w:t>
      </w:r>
    </w:p>
    <w:p w14:paraId="6D722A4D" w14:textId="1FA19E70" w:rsidR="00FE67E5" w:rsidRPr="00FF69D8" w:rsidRDefault="00FE67E5" w:rsidP="00CA389B">
      <w:pPr>
        <w:spacing w:line="480" w:lineRule="auto"/>
        <w:ind w:left="720" w:hanging="720"/>
        <w:contextualSpacing/>
        <w:rPr>
          <w:noProof/>
        </w:rPr>
      </w:pPr>
      <w:r w:rsidRPr="00FF69D8">
        <w:rPr>
          <w:noProof/>
        </w:rPr>
        <w:t xml:space="preserve">Brennan, K. A., Clark, C. L., &amp; Shaver, P. R. (1998). Self-report measurement of adult attachment: An integrative overview. In J. A. Simpson &amp; W. S. Rholes (Eds.), </w:t>
      </w:r>
      <w:r w:rsidRPr="00FF69D8">
        <w:rPr>
          <w:i/>
          <w:iCs/>
          <w:noProof/>
        </w:rPr>
        <w:t>Attachment theory and close relationships</w:t>
      </w:r>
      <w:r w:rsidRPr="00FF69D8">
        <w:rPr>
          <w:noProof/>
        </w:rPr>
        <w:t xml:space="preserve"> (pp. 46-76). New York: Guilford Press.</w:t>
      </w:r>
    </w:p>
    <w:p w14:paraId="11AF71A0" w14:textId="77777777" w:rsidR="00F15D50" w:rsidRPr="00FF69D8" w:rsidRDefault="00F15D50" w:rsidP="00CA389B">
      <w:pPr>
        <w:spacing w:line="480" w:lineRule="auto"/>
        <w:ind w:left="720" w:hanging="720"/>
        <w:contextualSpacing/>
      </w:pPr>
      <w:r w:rsidRPr="00FF69D8">
        <w:rPr>
          <w:color w:val="222222"/>
          <w:shd w:val="clear" w:color="auto" w:fill="FFFFFF"/>
        </w:rPr>
        <w:lastRenderedPageBreak/>
        <w:t xml:space="preserve">Brown, L. A., </w:t>
      </w:r>
      <w:proofErr w:type="spellStart"/>
      <w:r w:rsidRPr="00FF69D8">
        <w:rPr>
          <w:color w:val="222222"/>
          <w:shd w:val="clear" w:color="auto" w:fill="FFFFFF"/>
        </w:rPr>
        <w:t>Gaudiano</w:t>
      </w:r>
      <w:proofErr w:type="spellEnd"/>
      <w:r w:rsidRPr="00FF69D8">
        <w:rPr>
          <w:color w:val="222222"/>
          <w:shd w:val="clear" w:color="auto" w:fill="FFFFFF"/>
        </w:rPr>
        <w:t>, B. A., &amp; Miller, I. W. (2011). Investigating the similarities and differences between practitioners of second-and third-wave cognitive-behavioral therapies. </w:t>
      </w:r>
      <w:r w:rsidRPr="00FF69D8">
        <w:rPr>
          <w:i/>
          <w:iCs/>
          <w:color w:val="222222"/>
          <w:shd w:val="clear" w:color="auto" w:fill="FFFFFF"/>
        </w:rPr>
        <w:t>Behavior modification</w:t>
      </w:r>
      <w:r w:rsidRPr="00FF69D8">
        <w:rPr>
          <w:color w:val="222222"/>
          <w:shd w:val="clear" w:color="auto" w:fill="FFFFFF"/>
        </w:rPr>
        <w:t>, </w:t>
      </w:r>
      <w:r w:rsidRPr="00FF69D8">
        <w:rPr>
          <w:i/>
          <w:iCs/>
          <w:color w:val="222222"/>
          <w:shd w:val="clear" w:color="auto" w:fill="FFFFFF"/>
        </w:rPr>
        <w:t>35</w:t>
      </w:r>
      <w:r w:rsidRPr="00FF69D8">
        <w:rPr>
          <w:color w:val="222222"/>
          <w:shd w:val="clear" w:color="auto" w:fill="FFFFFF"/>
        </w:rPr>
        <w:t>(2), 187-200.</w:t>
      </w:r>
      <w:r w:rsidRPr="00FF69D8">
        <w:rPr>
          <w:color w:val="222222"/>
          <w:shd w:val="clear" w:color="auto" w:fill="FFFFFF"/>
          <w:rtl/>
        </w:rPr>
        <w:t>‏</w:t>
      </w:r>
    </w:p>
    <w:p w14:paraId="0B48B19C" w14:textId="74AD506B" w:rsidR="003937B3" w:rsidRPr="00FF69D8" w:rsidRDefault="003937B3" w:rsidP="00CA389B">
      <w:pPr>
        <w:spacing w:line="480" w:lineRule="auto"/>
        <w:ind w:left="720" w:hanging="720"/>
        <w:contextualSpacing/>
        <w:rPr>
          <w:noProof/>
        </w:rPr>
      </w:pPr>
      <w:r w:rsidRPr="00FF69D8">
        <w:rPr>
          <w:noProof/>
        </w:rPr>
        <w:t>Caselli, G., Ferretti, C., Leoni, M., Rebecchi, D., Rovetto, F., &amp; Spada, M.</w:t>
      </w:r>
      <w:r w:rsidR="00642793" w:rsidRPr="00FF69D8">
        <w:rPr>
          <w:noProof/>
        </w:rPr>
        <w:t xml:space="preserve"> </w:t>
      </w:r>
      <w:r w:rsidRPr="00FF69D8">
        <w:rPr>
          <w:noProof/>
        </w:rPr>
        <w:t xml:space="preserve">M. (2010). Rumination as a predictor of drinking behaviour in alcohol abusers: A prospective study. </w:t>
      </w:r>
      <w:r w:rsidRPr="00FF69D8">
        <w:rPr>
          <w:i/>
          <w:iCs/>
          <w:noProof/>
        </w:rPr>
        <w:t>Addiction, 105</w:t>
      </w:r>
      <w:r w:rsidRPr="00FF69D8">
        <w:rPr>
          <w:noProof/>
        </w:rPr>
        <w:t>, 1041</w:t>
      </w:r>
      <w:r w:rsidR="00642793" w:rsidRPr="00FF69D8">
        <w:rPr>
          <w:noProof/>
        </w:rPr>
        <w:t>-</w:t>
      </w:r>
      <w:r w:rsidRPr="00FF69D8">
        <w:rPr>
          <w:noProof/>
        </w:rPr>
        <w:t>1048.</w:t>
      </w:r>
    </w:p>
    <w:p w14:paraId="37F306CB" w14:textId="72DDF6E7" w:rsidR="00E944D8" w:rsidRPr="00FF69D8" w:rsidRDefault="00E944D8" w:rsidP="00CA389B">
      <w:pPr>
        <w:spacing w:line="480" w:lineRule="auto"/>
        <w:ind w:left="720" w:hanging="720"/>
        <w:contextualSpacing/>
        <w:rPr>
          <w:noProof/>
        </w:rPr>
      </w:pPr>
      <w:proofErr w:type="spellStart"/>
      <w:r w:rsidRPr="00FF69D8">
        <w:rPr>
          <w:color w:val="222222"/>
          <w:shd w:val="clear" w:color="auto" w:fill="FFFFFF"/>
        </w:rPr>
        <w:t>Cavicchioli</w:t>
      </w:r>
      <w:proofErr w:type="spellEnd"/>
      <w:r w:rsidRPr="00FF69D8">
        <w:rPr>
          <w:color w:val="222222"/>
          <w:shd w:val="clear" w:color="auto" w:fill="FFFFFF"/>
        </w:rPr>
        <w:t xml:space="preserve">, M., </w:t>
      </w:r>
      <w:proofErr w:type="spellStart"/>
      <w:r w:rsidRPr="00FF69D8">
        <w:rPr>
          <w:color w:val="222222"/>
          <w:shd w:val="clear" w:color="auto" w:fill="FFFFFF"/>
        </w:rPr>
        <w:t>Movalli</w:t>
      </w:r>
      <w:proofErr w:type="spellEnd"/>
      <w:r w:rsidRPr="00FF69D8">
        <w:rPr>
          <w:color w:val="222222"/>
          <w:shd w:val="clear" w:color="auto" w:fill="FFFFFF"/>
        </w:rPr>
        <w:t xml:space="preserve">, M., </w:t>
      </w:r>
      <w:proofErr w:type="spellStart"/>
      <w:r w:rsidRPr="00FF69D8">
        <w:rPr>
          <w:color w:val="222222"/>
          <w:shd w:val="clear" w:color="auto" w:fill="FFFFFF"/>
        </w:rPr>
        <w:t>Vassena</w:t>
      </w:r>
      <w:proofErr w:type="spellEnd"/>
      <w:r w:rsidRPr="00FF69D8">
        <w:rPr>
          <w:color w:val="222222"/>
          <w:shd w:val="clear" w:color="auto" w:fill="FFFFFF"/>
        </w:rPr>
        <w:t xml:space="preserve">, G., </w:t>
      </w:r>
      <w:proofErr w:type="spellStart"/>
      <w:r w:rsidRPr="00FF69D8">
        <w:rPr>
          <w:color w:val="222222"/>
          <w:shd w:val="clear" w:color="auto" w:fill="FFFFFF"/>
        </w:rPr>
        <w:t>Ramella</w:t>
      </w:r>
      <w:proofErr w:type="spellEnd"/>
      <w:r w:rsidRPr="00FF69D8">
        <w:rPr>
          <w:color w:val="222222"/>
          <w:shd w:val="clear" w:color="auto" w:fill="FFFFFF"/>
        </w:rPr>
        <w:t xml:space="preserve">, P., </w:t>
      </w:r>
      <w:proofErr w:type="spellStart"/>
      <w:r w:rsidRPr="00FF69D8">
        <w:rPr>
          <w:color w:val="222222"/>
          <w:shd w:val="clear" w:color="auto" w:fill="FFFFFF"/>
        </w:rPr>
        <w:t>Prudenziati</w:t>
      </w:r>
      <w:proofErr w:type="spellEnd"/>
      <w:r w:rsidRPr="00FF69D8">
        <w:rPr>
          <w:color w:val="222222"/>
          <w:shd w:val="clear" w:color="auto" w:fill="FFFFFF"/>
        </w:rPr>
        <w:t>, F., &amp; Maffei, C. (2019). The therapeutic role of emotion regulation and coping strategies during a stand-alone DBT Skills training program for alcohol use disorder and concurrent substance use disorders. </w:t>
      </w:r>
      <w:r w:rsidRPr="00FF69D8">
        <w:rPr>
          <w:i/>
          <w:iCs/>
          <w:color w:val="222222"/>
          <w:shd w:val="clear" w:color="auto" w:fill="FFFFFF"/>
        </w:rPr>
        <w:t>Addictive behaviors</w:t>
      </w:r>
      <w:r w:rsidRPr="00FF69D8">
        <w:rPr>
          <w:color w:val="222222"/>
          <w:shd w:val="clear" w:color="auto" w:fill="FFFFFF"/>
        </w:rPr>
        <w:t>, </w:t>
      </w:r>
      <w:r w:rsidRPr="00FF69D8">
        <w:rPr>
          <w:i/>
          <w:iCs/>
          <w:color w:val="222222"/>
          <w:shd w:val="clear" w:color="auto" w:fill="FFFFFF"/>
        </w:rPr>
        <w:t>98</w:t>
      </w:r>
      <w:r w:rsidRPr="00FF69D8">
        <w:rPr>
          <w:color w:val="222222"/>
          <w:shd w:val="clear" w:color="auto" w:fill="FFFFFF"/>
        </w:rPr>
        <w:t>, 106035.</w:t>
      </w:r>
      <w:r w:rsidRPr="00FF69D8">
        <w:rPr>
          <w:color w:val="222222"/>
          <w:shd w:val="clear" w:color="auto" w:fill="FFFFFF"/>
          <w:rtl/>
        </w:rPr>
        <w:t>‏</w:t>
      </w:r>
    </w:p>
    <w:p w14:paraId="2655C194" w14:textId="77777777" w:rsidR="003C6AE3" w:rsidRPr="00FF69D8" w:rsidRDefault="003C6AE3" w:rsidP="00CA389B">
      <w:pPr>
        <w:spacing w:line="480" w:lineRule="auto"/>
        <w:ind w:left="720" w:hanging="720"/>
        <w:contextualSpacing/>
        <w:rPr>
          <w:color w:val="222222"/>
          <w:shd w:val="clear" w:color="auto" w:fill="FFFFFF"/>
        </w:rPr>
      </w:pPr>
      <w:r w:rsidRPr="00FF69D8">
        <w:rPr>
          <w:color w:val="222222"/>
          <w:shd w:val="clear" w:color="auto" w:fill="FFFFFF"/>
        </w:rPr>
        <w:t xml:space="preserve">Chen, L., Jiang, X., Luo, X., Kraus, S. W., &amp; </w:t>
      </w:r>
      <w:proofErr w:type="spellStart"/>
      <w:r w:rsidRPr="00FF69D8">
        <w:rPr>
          <w:color w:val="222222"/>
          <w:shd w:val="clear" w:color="auto" w:fill="FFFFFF"/>
        </w:rPr>
        <w:t>Bőthe</w:t>
      </w:r>
      <w:proofErr w:type="spellEnd"/>
      <w:r w:rsidRPr="00FF69D8">
        <w:rPr>
          <w:color w:val="222222"/>
          <w:shd w:val="clear" w:color="auto" w:fill="FFFFFF"/>
        </w:rPr>
        <w:t>, B. (2021). The role of impaired control in screening problematic pornography use: Evidence from cross-sectional and longitudinal studies in a large help-seeking male sample. </w:t>
      </w:r>
      <w:r w:rsidRPr="00FF69D8">
        <w:rPr>
          <w:i/>
          <w:iCs/>
          <w:color w:val="222222"/>
          <w:shd w:val="clear" w:color="auto" w:fill="FFFFFF"/>
        </w:rPr>
        <w:t>Psychology of Addictive Behaviors</w:t>
      </w:r>
      <w:r w:rsidRPr="00FF69D8">
        <w:rPr>
          <w:color w:val="222222"/>
          <w:shd w:val="clear" w:color="auto" w:fill="FFFFFF"/>
        </w:rPr>
        <w:t>.</w:t>
      </w:r>
      <w:r w:rsidRPr="00FF69D8">
        <w:rPr>
          <w:color w:val="222222"/>
          <w:shd w:val="clear" w:color="auto" w:fill="FFFFFF"/>
          <w:rtl/>
        </w:rPr>
        <w:t>‏</w:t>
      </w:r>
    </w:p>
    <w:p w14:paraId="2623206D" w14:textId="7CDF8748" w:rsidR="006C7431" w:rsidRPr="00FF69D8" w:rsidRDefault="006C7431" w:rsidP="00CA389B">
      <w:pPr>
        <w:spacing w:line="480" w:lineRule="auto"/>
        <w:ind w:left="720" w:hanging="720"/>
        <w:contextualSpacing/>
        <w:rPr>
          <w:noProof/>
        </w:rPr>
      </w:pPr>
      <w:proofErr w:type="spellStart"/>
      <w:r w:rsidRPr="00FF69D8">
        <w:rPr>
          <w:color w:val="222222"/>
          <w:shd w:val="clear" w:color="auto" w:fill="FFFFFF"/>
        </w:rPr>
        <w:t>Chiappelli</w:t>
      </w:r>
      <w:proofErr w:type="spellEnd"/>
      <w:r w:rsidRPr="00FF69D8">
        <w:rPr>
          <w:color w:val="222222"/>
          <w:shd w:val="clear" w:color="auto" w:fill="FFFFFF"/>
        </w:rPr>
        <w:t xml:space="preserve">, J., </w:t>
      </w:r>
      <w:proofErr w:type="spellStart"/>
      <w:r w:rsidRPr="00FF69D8">
        <w:rPr>
          <w:color w:val="222222"/>
          <w:shd w:val="clear" w:color="auto" w:fill="FFFFFF"/>
        </w:rPr>
        <w:t>Kvarta</w:t>
      </w:r>
      <w:proofErr w:type="spellEnd"/>
      <w:r w:rsidRPr="00FF69D8">
        <w:rPr>
          <w:color w:val="222222"/>
          <w:shd w:val="clear" w:color="auto" w:fill="FFFFFF"/>
        </w:rPr>
        <w:t xml:space="preserve">, M., Bruce, H., Chen, S., </w:t>
      </w:r>
      <w:proofErr w:type="spellStart"/>
      <w:r w:rsidRPr="00FF69D8">
        <w:rPr>
          <w:color w:val="222222"/>
          <w:shd w:val="clear" w:color="auto" w:fill="FFFFFF"/>
        </w:rPr>
        <w:t>Kochunov</w:t>
      </w:r>
      <w:proofErr w:type="spellEnd"/>
      <w:r w:rsidRPr="00FF69D8">
        <w:rPr>
          <w:color w:val="222222"/>
          <w:shd w:val="clear" w:color="auto" w:fill="FFFFFF"/>
        </w:rPr>
        <w:t>, P., &amp; Hong, L. E. (2021). Stressful life events and openness to experience: Relevance to depression. </w:t>
      </w:r>
      <w:r w:rsidRPr="00FF69D8">
        <w:rPr>
          <w:i/>
          <w:iCs/>
          <w:color w:val="222222"/>
          <w:shd w:val="clear" w:color="auto" w:fill="FFFFFF"/>
        </w:rPr>
        <w:t>Journal of affective disorders</w:t>
      </w:r>
      <w:r w:rsidRPr="00FF69D8">
        <w:rPr>
          <w:color w:val="222222"/>
          <w:shd w:val="clear" w:color="auto" w:fill="FFFFFF"/>
        </w:rPr>
        <w:t>, </w:t>
      </w:r>
      <w:r w:rsidRPr="00FF69D8">
        <w:rPr>
          <w:i/>
          <w:iCs/>
          <w:color w:val="222222"/>
          <w:shd w:val="clear" w:color="auto" w:fill="FFFFFF"/>
        </w:rPr>
        <w:t>295</w:t>
      </w:r>
      <w:r w:rsidRPr="00FF69D8">
        <w:rPr>
          <w:color w:val="222222"/>
          <w:shd w:val="clear" w:color="auto" w:fill="FFFFFF"/>
        </w:rPr>
        <w:t>, 711-716.</w:t>
      </w:r>
      <w:r w:rsidRPr="00FF69D8">
        <w:rPr>
          <w:color w:val="222222"/>
          <w:shd w:val="clear" w:color="auto" w:fill="FFFFFF"/>
          <w:rtl/>
        </w:rPr>
        <w:t>‏</w:t>
      </w:r>
    </w:p>
    <w:p w14:paraId="4241E837" w14:textId="77777777" w:rsidR="002245B6" w:rsidRPr="00FF69D8" w:rsidRDefault="002245B6" w:rsidP="00CA389B">
      <w:pPr>
        <w:spacing w:line="480" w:lineRule="auto"/>
        <w:ind w:left="720" w:hanging="720"/>
        <w:contextualSpacing/>
        <w:rPr>
          <w:color w:val="222222"/>
          <w:shd w:val="clear" w:color="auto" w:fill="FFFFFF"/>
        </w:rPr>
      </w:pPr>
      <w:proofErr w:type="spellStart"/>
      <w:r w:rsidRPr="00FF69D8">
        <w:rPr>
          <w:color w:val="222222"/>
          <w:shd w:val="clear" w:color="auto" w:fill="FFFFFF"/>
        </w:rPr>
        <w:t>Ciocca</w:t>
      </w:r>
      <w:proofErr w:type="spellEnd"/>
      <w:r w:rsidRPr="00FF69D8">
        <w:rPr>
          <w:color w:val="222222"/>
          <w:shd w:val="clear" w:color="auto" w:fill="FFFFFF"/>
        </w:rPr>
        <w:t xml:space="preserve">, G., </w:t>
      </w:r>
      <w:proofErr w:type="spellStart"/>
      <w:r w:rsidRPr="00FF69D8">
        <w:rPr>
          <w:color w:val="222222"/>
          <w:shd w:val="clear" w:color="auto" w:fill="FFFFFF"/>
        </w:rPr>
        <w:t>Pelligrini</w:t>
      </w:r>
      <w:proofErr w:type="spellEnd"/>
      <w:r w:rsidRPr="00FF69D8">
        <w:rPr>
          <w:color w:val="222222"/>
          <w:shd w:val="clear" w:color="auto" w:fill="FFFFFF"/>
        </w:rPr>
        <w:t xml:space="preserve">, F., </w:t>
      </w:r>
      <w:proofErr w:type="spellStart"/>
      <w:r w:rsidRPr="00FF69D8">
        <w:rPr>
          <w:color w:val="222222"/>
          <w:shd w:val="clear" w:color="auto" w:fill="FFFFFF"/>
        </w:rPr>
        <w:t>Mollaioli</w:t>
      </w:r>
      <w:proofErr w:type="spellEnd"/>
      <w:r w:rsidRPr="00FF69D8">
        <w:rPr>
          <w:color w:val="222222"/>
          <w:shd w:val="clear" w:color="auto" w:fill="FFFFFF"/>
        </w:rPr>
        <w:t xml:space="preserve">, D., </w:t>
      </w:r>
      <w:proofErr w:type="spellStart"/>
      <w:r w:rsidRPr="00FF69D8">
        <w:rPr>
          <w:color w:val="222222"/>
          <w:shd w:val="clear" w:color="auto" w:fill="FFFFFF"/>
        </w:rPr>
        <w:t>Limoncin</w:t>
      </w:r>
      <w:proofErr w:type="spellEnd"/>
      <w:r w:rsidRPr="00FF69D8">
        <w:rPr>
          <w:color w:val="222222"/>
          <w:shd w:val="clear" w:color="auto" w:fill="FFFFFF"/>
        </w:rPr>
        <w:t xml:space="preserve">, E., Sansone, A., </w:t>
      </w:r>
      <w:proofErr w:type="spellStart"/>
      <w:r w:rsidRPr="00FF69D8">
        <w:rPr>
          <w:color w:val="222222"/>
          <w:shd w:val="clear" w:color="auto" w:fill="FFFFFF"/>
        </w:rPr>
        <w:t>Colonnello</w:t>
      </w:r>
      <w:proofErr w:type="spellEnd"/>
      <w:r w:rsidRPr="00FF69D8">
        <w:rPr>
          <w:color w:val="222222"/>
          <w:shd w:val="clear" w:color="auto" w:fill="FFFFFF"/>
        </w:rPr>
        <w:t xml:space="preserve">, E., ... &amp; </w:t>
      </w:r>
      <w:proofErr w:type="spellStart"/>
      <w:r w:rsidRPr="00FF69D8">
        <w:rPr>
          <w:color w:val="222222"/>
          <w:shd w:val="clear" w:color="auto" w:fill="FFFFFF"/>
        </w:rPr>
        <w:t>Fontanesi</w:t>
      </w:r>
      <w:proofErr w:type="spellEnd"/>
      <w:r w:rsidRPr="00FF69D8">
        <w:rPr>
          <w:color w:val="222222"/>
          <w:shd w:val="clear" w:color="auto" w:fill="FFFFFF"/>
        </w:rPr>
        <w:t>, L. (2021). Hypersexual behavior and attachment styles in a non-clinical sample: The mediation role of depression and post-traumatic stress symptoms. </w:t>
      </w:r>
      <w:r w:rsidRPr="00FF69D8">
        <w:rPr>
          <w:i/>
          <w:iCs/>
          <w:color w:val="222222"/>
          <w:shd w:val="clear" w:color="auto" w:fill="FFFFFF"/>
        </w:rPr>
        <w:t>Journal of Affective Disorders</w:t>
      </w:r>
      <w:r w:rsidRPr="00FF69D8">
        <w:rPr>
          <w:color w:val="222222"/>
          <w:shd w:val="clear" w:color="auto" w:fill="FFFFFF"/>
        </w:rPr>
        <w:t>, </w:t>
      </w:r>
      <w:r w:rsidRPr="00FF69D8">
        <w:rPr>
          <w:i/>
          <w:iCs/>
          <w:color w:val="222222"/>
          <w:shd w:val="clear" w:color="auto" w:fill="FFFFFF"/>
        </w:rPr>
        <w:t>293</w:t>
      </w:r>
      <w:r w:rsidRPr="00FF69D8">
        <w:rPr>
          <w:color w:val="222222"/>
          <w:shd w:val="clear" w:color="auto" w:fill="FFFFFF"/>
        </w:rPr>
        <w:t>, 399-405.</w:t>
      </w:r>
      <w:r w:rsidRPr="00FF69D8">
        <w:rPr>
          <w:color w:val="222222"/>
          <w:shd w:val="clear" w:color="auto" w:fill="FFFFFF"/>
          <w:rtl/>
        </w:rPr>
        <w:t>‏</w:t>
      </w:r>
    </w:p>
    <w:p w14:paraId="38F38DD3" w14:textId="0746CD62" w:rsidR="008B0854" w:rsidRPr="00FF69D8" w:rsidRDefault="008B0854" w:rsidP="00CA389B">
      <w:pPr>
        <w:spacing w:line="480" w:lineRule="auto"/>
        <w:ind w:left="720" w:hanging="720"/>
        <w:contextualSpacing/>
        <w:rPr>
          <w:color w:val="000000"/>
          <w:lang w:val="x-none"/>
        </w:rPr>
      </w:pPr>
      <w:proofErr w:type="spellStart"/>
      <w:r w:rsidRPr="00FF69D8">
        <w:rPr>
          <w:color w:val="222222"/>
          <w:shd w:val="clear" w:color="auto" w:fill="FFFFFF"/>
        </w:rPr>
        <w:t>Cludius</w:t>
      </w:r>
      <w:proofErr w:type="spellEnd"/>
      <w:r w:rsidRPr="00FF69D8">
        <w:rPr>
          <w:color w:val="222222"/>
          <w:shd w:val="clear" w:color="auto" w:fill="FFFFFF"/>
        </w:rPr>
        <w:t xml:space="preserve">, B., </w:t>
      </w:r>
      <w:proofErr w:type="spellStart"/>
      <w:r w:rsidRPr="00FF69D8">
        <w:rPr>
          <w:color w:val="222222"/>
          <w:shd w:val="clear" w:color="auto" w:fill="FFFFFF"/>
        </w:rPr>
        <w:t>Mennin</w:t>
      </w:r>
      <w:proofErr w:type="spellEnd"/>
      <w:r w:rsidRPr="00FF69D8">
        <w:rPr>
          <w:color w:val="222222"/>
          <w:shd w:val="clear" w:color="auto" w:fill="FFFFFF"/>
        </w:rPr>
        <w:t xml:space="preserve">, D., &amp; </w:t>
      </w:r>
      <w:proofErr w:type="spellStart"/>
      <w:r w:rsidRPr="00FF69D8">
        <w:rPr>
          <w:color w:val="222222"/>
          <w:shd w:val="clear" w:color="auto" w:fill="FFFFFF"/>
        </w:rPr>
        <w:t>Ehring</w:t>
      </w:r>
      <w:proofErr w:type="spellEnd"/>
      <w:r w:rsidRPr="00FF69D8">
        <w:rPr>
          <w:color w:val="222222"/>
          <w:shd w:val="clear" w:color="auto" w:fill="FFFFFF"/>
        </w:rPr>
        <w:t>, T. (2020). Emotion regulation as a transdiagnostic process. </w:t>
      </w:r>
      <w:r w:rsidRPr="00FF69D8">
        <w:rPr>
          <w:i/>
          <w:iCs/>
          <w:color w:val="222222"/>
          <w:shd w:val="clear" w:color="auto" w:fill="FFFFFF"/>
        </w:rPr>
        <w:t>Emotion</w:t>
      </w:r>
      <w:r w:rsidRPr="00FF69D8">
        <w:rPr>
          <w:color w:val="222222"/>
          <w:shd w:val="clear" w:color="auto" w:fill="FFFFFF"/>
        </w:rPr>
        <w:t>, </w:t>
      </w:r>
      <w:r w:rsidRPr="00FF69D8">
        <w:rPr>
          <w:i/>
          <w:iCs/>
          <w:color w:val="222222"/>
          <w:shd w:val="clear" w:color="auto" w:fill="FFFFFF"/>
        </w:rPr>
        <w:t>20</w:t>
      </w:r>
      <w:r w:rsidRPr="00FF69D8">
        <w:rPr>
          <w:color w:val="222222"/>
          <w:shd w:val="clear" w:color="auto" w:fill="FFFFFF"/>
        </w:rPr>
        <w:t>(1), 37.</w:t>
      </w:r>
      <w:r w:rsidRPr="00FF69D8">
        <w:rPr>
          <w:color w:val="222222"/>
          <w:shd w:val="clear" w:color="auto" w:fill="FFFFFF"/>
          <w:rtl/>
        </w:rPr>
        <w:t>‏</w:t>
      </w:r>
      <w:r w:rsidRPr="00FF69D8">
        <w:rPr>
          <w:color w:val="000000"/>
          <w:lang w:val="x-none"/>
        </w:rPr>
        <w:t xml:space="preserve"> </w:t>
      </w:r>
    </w:p>
    <w:p w14:paraId="66E8CBDB" w14:textId="7BD51780" w:rsidR="006958B3" w:rsidRPr="00FF69D8" w:rsidRDefault="006958B3" w:rsidP="00CA389B">
      <w:pPr>
        <w:spacing w:line="480" w:lineRule="auto"/>
        <w:ind w:left="720" w:hanging="720"/>
        <w:contextualSpacing/>
        <w:rPr>
          <w:color w:val="000000"/>
          <w:lang w:val="x-none"/>
        </w:rPr>
      </w:pPr>
      <w:r w:rsidRPr="00FF69D8">
        <w:rPr>
          <w:color w:val="000000"/>
          <w:lang w:val="x-none"/>
        </w:rPr>
        <w:lastRenderedPageBreak/>
        <w:t>Cole, P. M., Michel, M. K., &amp; Teti, L. O. (1994). The development of</w:t>
      </w:r>
      <w:r w:rsidRPr="00FF69D8">
        <w:rPr>
          <w:color w:val="000000"/>
        </w:rPr>
        <w:t xml:space="preserve"> </w:t>
      </w:r>
      <w:r w:rsidRPr="00FF69D8">
        <w:rPr>
          <w:color w:val="000000"/>
          <w:lang w:val="x-none"/>
        </w:rPr>
        <w:t xml:space="preserve">emotion regulation and dysregulation: A clinical perspective. </w:t>
      </w:r>
      <w:r w:rsidRPr="00FF69D8">
        <w:rPr>
          <w:i/>
          <w:iCs/>
          <w:color w:val="000000"/>
          <w:lang w:val="x-none"/>
        </w:rPr>
        <w:t>Monographs</w:t>
      </w:r>
      <w:r w:rsidRPr="00FF69D8">
        <w:rPr>
          <w:i/>
          <w:iCs/>
          <w:color w:val="000000"/>
        </w:rPr>
        <w:t xml:space="preserve"> </w:t>
      </w:r>
      <w:r w:rsidRPr="00FF69D8">
        <w:rPr>
          <w:i/>
          <w:iCs/>
          <w:color w:val="000000"/>
          <w:lang w:val="x-none"/>
        </w:rPr>
        <w:t>of the Society for Research in Child Development, 59</w:t>
      </w:r>
      <w:r w:rsidRPr="00FF69D8">
        <w:rPr>
          <w:color w:val="000000"/>
          <w:lang w:val="x-none"/>
        </w:rPr>
        <w:t>(2</w:t>
      </w:r>
      <w:r w:rsidR="00330C35" w:rsidRPr="00FF69D8">
        <w:rPr>
          <w:color w:val="000000"/>
        </w:rPr>
        <w:t>-</w:t>
      </w:r>
      <w:r w:rsidRPr="00FF69D8">
        <w:rPr>
          <w:color w:val="000000"/>
          <w:lang w:val="x-none"/>
        </w:rPr>
        <w:t>3),</w:t>
      </w:r>
      <w:r w:rsidRPr="00FF69D8">
        <w:rPr>
          <w:color w:val="000000"/>
        </w:rPr>
        <w:t xml:space="preserve"> </w:t>
      </w:r>
      <w:r w:rsidRPr="00FF69D8">
        <w:rPr>
          <w:color w:val="000000"/>
          <w:lang w:val="x-none"/>
        </w:rPr>
        <w:t>73</w:t>
      </w:r>
      <w:r w:rsidR="00330C35" w:rsidRPr="00FF69D8">
        <w:rPr>
          <w:color w:val="000000"/>
        </w:rPr>
        <w:t>-</w:t>
      </w:r>
      <w:r w:rsidRPr="00FF69D8">
        <w:rPr>
          <w:color w:val="000000"/>
          <w:lang w:val="x-none"/>
        </w:rPr>
        <w:t>100. doi:10.2307/1166139</w:t>
      </w:r>
    </w:p>
    <w:p w14:paraId="5C5D58F1" w14:textId="12FA79FA" w:rsidR="004B18AF" w:rsidRPr="00FF69D8" w:rsidRDefault="004B18AF" w:rsidP="004B18AF">
      <w:pPr>
        <w:spacing w:line="480" w:lineRule="auto"/>
        <w:ind w:left="720" w:hanging="720"/>
        <w:contextualSpacing/>
        <w:rPr>
          <w:color w:val="000000"/>
          <w:lang w:val="x-none"/>
        </w:rPr>
      </w:pPr>
      <w:r w:rsidRPr="00FF69D8">
        <w:rPr>
          <w:color w:val="000000"/>
          <w:lang w:val="x-none"/>
        </w:rPr>
        <w:t>Collins, N.L.; Allard, L.M.</w:t>
      </w:r>
      <w:r w:rsidRPr="00FF69D8">
        <w:rPr>
          <w:color w:val="000000"/>
        </w:rPr>
        <w:t xml:space="preserve"> (2004).</w:t>
      </w:r>
      <w:r w:rsidRPr="00FF69D8">
        <w:rPr>
          <w:color w:val="000000"/>
          <w:lang w:val="x-none"/>
        </w:rPr>
        <w:t xml:space="preserve"> Cognitive Representations of Attachment: The Content and Function </w:t>
      </w:r>
      <w:proofErr w:type="spellStart"/>
      <w:r w:rsidRPr="00FF69D8">
        <w:rPr>
          <w:color w:val="000000"/>
          <w:lang w:val="x-none"/>
        </w:rPr>
        <w:t>ofWorking</w:t>
      </w:r>
      <w:proofErr w:type="spellEnd"/>
      <w:r w:rsidRPr="00FF69D8">
        <w:rPr>
          <w:color w:val="000000"/>
          <w:lang w:val="x-none"/>
        </w:rPr>
        <w:t xml:space="preserve"> Models. In </w:t>
      </w:r>
      <w:r w:rsidRPr="00FF69D8">
        <w:rPr>
          <w:i/>
          <w:iCs/>
          <w:color w:val="000000"/>
          <w:lang w:val="x-none"/>
        </w:rPr>
        <w:t>Social</w:t>
      </w:r>
      <w:r w:rsidRPr="00FF69D8">
        <w:rPr>
          <w:i/>
          <w:iCs/>
          <w:color w:val="000000"/>
        </w:rPr>
        <w:t xml:space="preserve"> </w:t>
      </w:r>
      <w:r w:rsidRPr="00FF69D8">
        <w:rPr>
          <w:i/>
          <w:iCs/>
          <w:color w:val="000000"/>
          <w:lang w:val="x-none"/>
        </w:rPr>
        <w:t>Cognition, Perspectives on Social Psychology</w:t>
      </w:r>
      <w:r w:rsidRPr="00FF69D8">
        <w:rPr>
          <w:color w:val="000000"/>
          <w:lang w:val="x-none"/>
        </w:rPr>
        <w:t>; Blackwell Publishing: Malden, MA, USA</w:t>
      </w:r>
      <w:r w:rsidRPr="00FF69D8">
        <w:rPr>
          <w:color w:val="000000"/>
        </w:rPr>
        <w:t>:</w:t>
      </w:r>
      <w:r w:rsidRPr="00FF69D8">
        <w:rPr>
          <w:color w:val="000000"/>
          <w:lang w:val="x-none"/>
        </w:rPr>
        <w:t xml:space="preserve"> pp. 75–101.</w:t>
      </w:r>
    </w:p>
    <w:p w14:paraId="247570CC" w14:textId="77777777" w:rsidR="00275DE0" w:rsidRPr="00FF69D8" w:rsidRDefault="00275DE0" w:rsidP="004B18AF">
      <w:pPr>
        <w:spacing w:line="480" w:lineRule="auto"/>
        <w:ind w:left="720" w:hanging="720"/>
        <w:contextualSpacing/>
        <w:rPr>
          <w:color w:val="000000"/>
          <w:lang w:val="x-none"/>
        </w:rPr>
      </w:pPr>
      <w:r w:rsidRPr="00FF69D8">
        <w:rPr>
          <w:color w:val="222222"/>
          <w:shd w:val="clear" w:color="auto" w:fill="FFFFFF"/>
        </w:rPr>
        <w:t>Crocker, M. M. (2015). Out-of-control sexual behavior as a symptom of insecure attachment in men. </w:t>
      </w:r>
      <w:r w:rsidRPr="00FF69D8">
        <w:rPr>
          <w:i/>
          <w:iCs/>
          <w:color w:val="222222"/>
          <w:shd w:val="clear" w:color="auto" w:fill="FFFFFF"/>
        </w:rPr>
        <w:t>Journal of Social Work Practice in the Addictions</w:t>
      </w:r>
      <w:r w:rsidRPr="00FF69D8">
        <w:rPr>
          <w:color w:val="222222"/>
          <w:shd w:val="clear" w:color="auto" w:fill="FFFFFF"/>
        </w:rPr>
        <w:t>, </w:t>
      </w:r>
      <w:r w:rsidRPr="00FF69D8">
        <w:rPr>
          <w:i/>
          <w:iCs/>
          <w:color w:val="222222"/>
          <w:shd w:val="clear" w:color="auto" w:fill="FFFFFF"/>
        </w:rPr>
        <w:t>15</w:t>
      </w:r>
      <w:r w:rsidRPr="00FF69D8">
        <w:rPr>
          <w:color w:val="222222"/>
          <w:shd w:val="clear" w:color="auto" w:fill="FFFFFF"/>
        </w:rPr>
        <w:t>(4), 373-393.</w:t>
      </w:r>
      <w:r w:rsidRPr="00FF69D8">
        <w:rPr>
          <w:color w:val="222222"/>
          <w:shd w:val="clear" w:color="auto" w:fill="FFFFFF"/>
          <w:rtl/>
        </w:rPr>
        <w:t>‏</w:t>
      </w:r>
    </w:p>
    <w:p w14:paraId="089216F1" w14:textId="0F3B7B5B" w:rsidR="00DD68AD" w:rsidRPr="00FF69D8" w:rsidRDefault="00DD68AD" w:rsidP="00DD68AD">
      <w:pPr>
        <w:spacing w:line="480" w:lineRule="auto"/>
        <w:ind w:left="720" w:hanging="720"/>
        <w:contextualSpacing/>
        <w:rPr>
          <w:color w:val="000000"/>
          <w:lang w:val="x-none"/>
        </w:rPr>
      </w:pPr>
      <w:r w:rsidRPr="00FF69D8">
        <w:rPr>
          <w:color w:val="000000"/>
          <w:lang w:val="x-none"/>
        </w:rPr>
        <w:t xml:space="preserve">De </w:t>
      </w:r>
      <w:proofErr w:type="spellStart"/>
      <w:r w:rsidRPr="00FF69D8">
        <w:rPr>
          <w:color w:val="000000"/>
          <w:lang w:val="x-none"/>
        </w:rPr>
        <w:t>Crisce</w:t>
      </w:r>
      <w:proofErr w:type="spellEnd"/>
      <w:r w:rsidR="008D3C99" w:rsidRPr="00FF69D8">
        <w:rPr>
          <w:color w:val="000000"/>
        </w:rPr>
        <w:t>,</w:t>
      </w:r>
      <w:r w:rsidRPr="00FF69D8">
        <w:rPr>
          <w:color w:val="000000"/>
          <w:lang w:val="x-none"/>
        </w:rPr>
        <w:t xml:space="preserve"> D.</w:t>
      </w:r>
      <w:r w:rsidR="008D3C99" w:rsidRPr="00FF69D8">
        <w:rPr>
          <w:color w:val="000000"/>
        </w:rPr>
        <w:t xml:space="preserve"> (2013).</w:t>
      </w:r>
      <w:r w:rsidRPr="00FF69D8">
        <w:rPr>
          <w:color w:val="000000"/>
          <w:lang w:val="x-none"/>
        </w:rPr>
        <w:t xml:space="preserve"> </w:t>
      </w:r>
      <w:r w:rsidRPr="00FF69D8">
        <w:rPr>
          <w:i/>
          <w:iCs/>
          <w:color w:val="000000"/>
          <w:lang w:val="x-none"/>
        </w:rPr>
        <w:t>Sexual addiction and hypersexual behaviors in adolescents</w:t>
      </w:r>
      <w:r w:rsidRPr="00FF69D8">
        <w:rPr>
          <w:color w:val="000000"/>
          <w:lang w:val="x-none"/>
        </w:rPr>
        <w:t>.</w:t>
      </w:r>
      <w:r w:rsidRPr="00FF69D8">
        <w:rPr>
          <w:color w:val="000000"/>
        </w:rPr>
        <w:t xml:space="preserve"> </w:t>
      </w:r>
      <w:r w:rsidRPr="00FF69D8">
        <w:rPr>
          <w:color w:val="000000"/>
          <w:lang w:val="x-none"/>
        </w:rPr>
        <w:t>In: Rosner R, editor. Clinical handbook of adolescent addiction.</w:t>
      </w:r>
      <w:r w:rsidRPr="00FF69D8">
        <w:rPr>
          <w:color w:val="000000"/>
        </w:rPr>
        <w:t xml:space="preserve"> </w:t>
      </w:r>
      <w:r w:rsidRPr="00FF69D8">
        <w:rPr>
          <w:color w:val="000000"/>
          <w:lang w:val="x-none"/>
        </w:rPr>
        <w:t>Chichester, UK: Wiley</w:t>
      </w:r>
      <w:r w:rsidR="008D3C99" w:rsidRPr="00FF69D8">
        <w:rPr>
          <w:color w:val="000000"/>
        </w:rPr>
        <w:t xml:space="preserve">, </w:t>
      </w:r>
      <w:r w:rsidRPr="00FF69D8">
        <w:rPr>
          <w:color w:val="000000"/>
          <w:lang w:val="x-none"/>
        </w:rPr>
        <w:t>p. 362–76.</w:t>
      </w:r>
    </w:p>
    <w:p w14:paraId="1995F41B" w14:textId="77777777" w:rsidR="00105AE1" w:rsidRPr="00FF69D8" w:rsidRDefault="00105AE1" w:rsidP="00CA389B">
      <w:pPr>
        <w:autoSpaceDE w:val="0"/>
        <w:autoSpaceDN w:val="0"/>
        <w:adjustRightInd w:val="0"/>
        <w:snapToGrid w:val="0"/>
        <w:spacing w:line="480" w:lineRule="auto"/>
        <w:ind w:left="720" w:hanging="720"/>
        <w:contextualSpacing/>
      </w:pPr>
      <w:proofErr w:type="spellStart"/>
      <w:r w:rsidRPr="00FF69D8">
        <w:t>Derogatis</w:t>
      </w:r>
      <w:proofErr w:type="spellEnd"/>
      <w:r w:rsidRPr="00FF69D8">
        <w:t xml:space="preserve">, L. R., &amp; </w:t>
      </w:r>
      <w:proofErr w:type="spellStart"/>
      <w:r w:rsidRPr="00FF69D8">
        <w:t>Melisaratos</w:t>
      </w:r>
      <w:proofErr w:type="spellEnd"/>
      <w:r w:rsidRPr="00FF69D8">
        <w:t xml:space="preserve">, N. (1983). The Brief Symptom Inventory: An introductory report. </w:t>
      </w:r>
      <w:r w:rsidRPr="00FF69D8">
        <w:rPr>
          <w:i/>
          <w:iCs/>
        </w:rPr>
        <w:t>Psychol</w:t>
      </w:r>
      <w:r w:rsidR="00330C35" w:rsidRPr="00FF69D8">
        <w:rPr>
          <w:i/>
          <w:iCs/>
        </w:rPr>
        <w:t>o</w:t>
      </w:r>
      <w:r w:rsidRPr="00FF69D8">
        <w:rPr>
          <w:i/>
          <w:iCs/>
        </w:rPr>
        <w:t>gical Medicine, 13</w:t>
      </w:r>
      <w:r w:rsidRPr="00FF69D8">
        <w:t>(3): 595-605.</w:t>
      </w:r>
    </w:p>
    <w:p w14:paraId="696CD268" w14:textId="77777777" w:rsidR="00EC3369" w:rsidRPr="00FF69D8" w:rsidRDefault="00EC3369" w:rsidP="00CA389B">
      <w:pPr>
        <w:spacing w:line="480" w:lineRule="auto"/>
        <w:ind w:left="720" w:hanging="720"/>
        <w:contextualSpacing/>
        <w:rPr>
          <w:noProof/>
        </w:rPr>
      </w:pPr>
      <w:proofErr w:type="spellStart"/>
      <w:r w:rsidRPr="00FF69D8">
        <w:rPr>
          <w:color w:val="222222"/>
          <w:shd w:val="clear" w:color="auto" w:fill="FFFFFF"/>
        </w:rPr>
        <w:t>Digman</w:t>
      </w:r>
      <w:proofErr w:type="spellEnd"/>
      <w:r w:rsidRPr="00FF69D8">
        <w:rPr>
          <w:color w:val="222222"/>
          <w:shd w:val="clear" w:color="auto" w:fill="FFFFFF"/>
        </w:rPr>
        <w:t>, J. M. (1997). Higher-order factors of the Big Five. </w:t>
      </w:r>
      <w:r w:rsidRPr="00FF69D8">
        <w:rPr>
          <w:i/>
          <w:iCs/>
          <w:color w:val="222222"/>
          <w:shd w:val="clear" w:color="auto" w:fill="FFFFFF"/>
        </w:rPr>
        <w:t>Journal of personality and social psychology</w:t>
      </w:r>
      <w:r w:rsidRPr="00FF69D8">
        <w:rPr>
          <w:color w:val="222222"/>
          <w:shd w:val="clear" w:color="auto" w:fill="FFFFFF"/>
        </w:rPr>
        <w:t>, </w:t>
      </w:r>
      <w:r w:rsidRPr="00FF69D8">
        <w:rPr>
          <w:i/>
          <w:iCs/>
          <w:color w:val="222222"/>
          <w:shd w:val="clear" w:color="auto" w:fill="FFFFFF"/>
        </w:rPr>
        <w:t>73</w:t>
      </w:r>
      <w:r w:rsidRPr="00FF69D8">
        <w:rPr>
          <w:color w:val="222222"/>
          <w:shd w:val="clear" w:color="auto" w:fill="FFFFFF"/>
        </w:rPr>
        <w:t>(6), 1246.</w:t>
      </w:r>
      <w:r w:rsidRPr="00FF69D8">
        <w:rPr>
          <w:color w:val="222222"/>
          <w:shd w:val="clear" w:color="auto" w:fill="FFFFFF"/>
          <w:rtl/>
        </w:rPr>
        <w:t>‏</w:t>
      </w:r>
    </w:p>
    <w:p w14:paraId="06B61805" w14:textId="77777777" w:rsidR="00FF3E9D" w:rsidRPr="00FF69D8" w:rsidRDefault="00FF3E9D" w:rsidP="00CA389B">
      <w:pPr>
        <w:spacing w:line="480" w:lineRule="auto"/>
        <w:ind w:left="720" w:hanging="720"/>
        <w:contextualSpacing/>
        <w:rPr>
          <w:color w:val="222222"/>
          <w:shd w:val="clear" w:color="auto" w:fill="FFFFFF"/>
        </w:rPr>
      </w:pPr>
      <w:r w:rsidRPr="00FF69D8">
        <w:rPr>
          <w:rStyle w:val="StyleComplexDavid"/>
          <w:rFonts w:eastAsia="Calibri" w:cs="Times New Roman"/>
          <w:sz w:val="24"/>
          <w:lang w:val="fr-FR" w:bidi="ar-SA"/>
        </w:rPr>
        <w:t xml:space="preserve">Efrati, Y., &amp; </w:t>
      </w:r>
      <w:proofErr w:type="spellStart"/>
      <w:r w:rsidRPr="00FF69D8">
        <w:rPr>
          <w:rStyle w:val="StyleComplexDavid"/>
          <w:rFonts w:eastAsia="Calibri" w:cs="Times New Roman"/>
          <w:sz w:val="24"/>
          <w:lang w:val="fr-FR" w:bidi="ar-SA"/>
        </w:rPr>
        <w:t>Mikulincer</w:t>
      </w:r>
      <w:proofErr w:type="spellEnd"/>
      <w:r w:rsidRPr="00FF69D8">
        <w:rPr>
          <w:rStyle w:val="StyleComplexDavid"/>
          <w:rFonts w:eastAsia="Calibri" w:cs="Times New Roman"/>
          <w:sz w:val="24"/>
          <w:lang w:val="fr-FR" w:bidi="ar-SA"/>
        </w:rPr>
        <w:t>, M. (</w:t>
      </w:r>
      <w:r w:rsidRPr="00FF69D8">
        <w:rPr>
          <w:rStyle w:val="StyleComplexDavid"/>
          <w:rFonts w:eastAsia="Calibri" w:cs="Times New Roman"/>
          <w:sz w:val="24"/>
          <w:rtl/>
          <w:lang w:val="fr-FR"/>
        </w:rPr>
        <w:t>2018</w:t>
      </w:r>
      <w:r w:rsidRPr="00FF69D8">
        <w:rPr>
          <w:rStyle w:val="StyleComplexDavid"/>
          <w:rFonts w:eastAsia="Calibri" w:cs="Times New Roman"/>
          <w:sz w:val="24"/>
          <w:lang w:val="fr-FR" w:bidi="ar-SA"/>
        </w:rPr>
        <w:t xml:space="preserve">). </w:t>
      </w:r>
      <w:r w:rsidRPr="00FF69D8">
        <w:t xml:space="preserve">Individual-based compulsive sexual behavior scale: Its development and importance in examining compulsive sexual behavior. </w:t>
      </w:r>
      <w:r w:rsidRPr="00FF69D8">
        <w:rPr>
          <w:i/>
          <w:iCs/>
        </w:rPr>
        <w:t>Journal of Sex &amp; Marital Therapy, 44</w:t>
      </w:r>
      <w:r w:rsidRPr="00FF69D8">
        <w:t>, 249-259.</w:t>
      </w:r>
    </w:p>
    <w:p w14:paraId="5F9AD8C6" w14:textId="54E595F1" w:rsidR="008D3C99" w:rsidRPr="00FF69D8" w:rsidRDefault="008D3C99" w:rsidP="00CA389B">
      <w:pPr>
        <w:spacing w:line="480" w:lineRule="auto"/>
        <w:ind w:left="720" w:hanging="720"/>
        <w:contextualSpacing/>
        <w:rPr>
          <w:color w:val="222222"/>
          <w:shd w:val="clear" w:color="auto" w:fill="FFFFFF"/>
        </w:rPr>
      </w:pPr>
      <w:r w:rsidRPr="00FF69D8">
        <w:rPr>
          <w:color w:val="222222"/>
          <w:shd w:val="clear" w:color="auto" w:fill="FFFFFF"/>
        </w:rPr>
        <w:t xml:space="preserve">Efrati, Y. (2018a). Adolescent compulsive sexual behavior: Is it a unique psychological </w:t>
      </w:r>
      <w:proofErr w:type="gramStart"/>
      <w:r w:rsidRPr="00FF69D8">
        <w:rPr>
          <w:color w:val="222222"/>
          <w:shd w:val="clear" w:color="auto" w:fill="FFFFFF"/>
        </w:rPr>
        <w:t>phenomenon?.</w:t>
      </w:r>
      <w:proofErr w:type="gramEnd"/>
      <w:r w:rsidRPr="00FF69D8">
        <w:rPr>
          <w:color w:val="222222"/>
          <w:shd w:val="clear" w:color="auto" w:fill="FFFFFF"/>
        </w:rPr>
        <w:t> </w:t>
      </w:r>
      <w:r w:rsidRPr="00FF69D8">
        <w:rPr>
          <w:i/>
          <w:iCs/>
          <w:color w:val="222222"/>
          <w:shd w:val="clear" w:color="auto" w:fill="FFFFFF"/>
        </w:rPr>
        <w:t>Journal of sex &amp; marital therapy</w:t>
      </w:r>
      <w:r w:rsidRPr="00FF69D8">
        <w:rPr>
          <w:color w:val="222222"/>
          <w:shd w:val="clear" w:color="auto" w:fill="FFFFFF"/>
        </w:rPr>
        <w:t>, </w:t>
      </w:r>
      <w:r w:rsidRPr="00FF69D8">
        <w:rPr>
          <w:i/>
          <w:iCs/>
          <w:color w:val="222222"/>
          <w:shd w:val="clear" w:color="auto" w:fill="FFFFFF"/>
        </w:rPr>
        <w:t>44</w:t>
      </w:r>
      <w:r w:rsidRPr="00FF69D8">
        <w:rPr>
          <w:color w:val="222222"/>
          <w:shd w:val="clear" w:color="auto" w:fill="FFFFFF"/>
        </w:rPr>
        <w:t>(7), 687-700.</w:t>
      </w:r>
      <w:r w:rsidRPr="00FF69D8">
        <w:rPr>
          <w:color w:val="222222"/>
          <w:shd w:val="clear" w:color="auto" w:fill="FFFFFF"/>
          <w:rtl/>
        </w:rPr>
        <w:t>‏</w:t>
      </w:r>
    </w:p>
    <w:p w14:paraId="51EA6EA5" w14:textId="71BC4B1F" w:rsidR="008D3C99" w:rsidRPr="00FF69D8" w:rsidRDefault="008D3C99" w:rsidP="00CA389B">
      <w:pPr>
        <w:spacing w:line="480" w:lineRule="auto"/>
        <w:ind w:left="720" w:hanging="720"/>
        <w:contextualSpacing/>
        <w:rPr>
          <w:color w:val="222222"/>
          <w:shd w:val="clear" w:color="auto" w:fill="FFFFFF"/>
        </w:rPr>
      </w:pPr>
      <w:r w:rsidRPr="00FF69D8">
        <w:rPr>
          <w:color w:val="222222"/>
          <w:shd w:val="clear" w:color="auto" w:fill="FFFFFF"/>
        </w:rPr>
        <w:lastRenderedPageBreak/>
        <w:t>Efrati, Y., &amp; Dannon, P. (2018). Normative and clinical self-perceptions of sexuality and their links to psychopathology among adolescents. </w:t>
      </w:r>
      <w:r w:rsidRPr="00FF69D8">
        <w:rPr>
          <w:i/>
          <w:iCs/>
          <w:color w:val="222222"/>
          <w:shd w:val="clear" w:color="auto" w:fill="FFFFFF"/>
        </w:rPr>
        <w:t>Psychopathology</w:t>
      </w:r>
      <w:r w:rsidRPr="00FF69D8">
        <w:rPr>
          <w:color w:val="222222"/>
          <w:shd w:val="clear" w:color="auto" w:fill="FFFFFF"/>
        </w:rPr>
        <w:t>, </w:t>
      </w:r>
      <w:r w:rsidRPr="00FF69D8">
        <w:rPr>
          <w:i/>
          <w:iCs/>
          <w:color w:val="222222"/>
          <w:shd w:val="clear" w:color="auto" w:fill="FFFFFF"/>
        </w:rPr>
        <w:t>51</w:t>
      </w:r>
      <w:r w:rsidRPr="00FF69D8">
        <w:rPr>
          <w:color w:val="222222"/>
          <w:shd w:val="clear" w:color="auto" w:fill="FFFFFF"/>
        </w:rPr>
        <w:t>(6), 380-389.</w:t>
      </w:r>
      <w:r w:rsidRPr="00FF69D8">
        <w:rPr>
          <w:color w:val="222222"/>
          <w:shd w:val="clear" w:color="auto" w:fill="FFFFFF"/>
          <w:rtl/>
        </w:rPr>
        <w:t>‏</w:t>
      </w:r>
    </w:p>
    <w:p w14:paraId="2C4E1B7F" w14:textId="4173BBF3" w:rsidR="008D3C99" w:rsidRPr="00FF69D8" w:rsidRDefault="008D3C99" w:rsidP="00CA389B">
      <w:pPr>
        <w:spacing w:line="480" w:lineRule="auto"/>
        <w:ind w:left="720" w:hanging="720"/>
        <w:contextualSpacing/>
        <w:rPr>
          <w:color w:val="222222"/>
          <w:shd w:val="clear" w:color="auto" w:fill="FFFFFF"/>
        </w:rPr>
      </w:pPr>
      <w:r w:rsidRPr="00FF69D8">
        <w:rPr>
          <w:color w:val="222222"/>
          <w:shd w:val="clear" w:color="auto" w:fill="FFFFFF"/>
        </w:rPr>
        <w:t>Efrati, Y., &amp; Gola, M. (2018a). Understanding and predicting profiles of compulsive sexual behavior among adolescents. </w:t>
      </w:r>
      <w:r w:rsidRPr="00FF69D8">
        <w:rPr>
          <w:i/>
          <w:iCs/>
          <w:color w:val="222222"/>
          <w:shd w:val="clear" w:color="auto" w:fill="FFFFFF"/>
        </w:rPr>
        <w:t>Journal of Behavioral Addictions</w:t>
      </w:r>
      <w:r w:rsidRPr="00FF69D8">
        <w:rPr>
          <w:color w:val="222222"/>
          <w:shd w:val="clear" w:color="auto" w:fill="FFFFFF"/>
        </w:rPr>
        <w:t>, </w:t>
      </w:r>
      <w:r w:rsidRPr="00FF69D8">
        <w:rPr>
          <w:i/>
          <w:iCs/>
          <w:color w:val="222222"/>
          <w:shd w:val="clear" w:color="auto" w:fill="FFFFFF"/>
        </w:rPr>
        <w:t>7</w:t>
      </w:r>
      <w:r w:rsidRPr="00FF69D8">
        <w:rPr>
          <w:color w:val="222222"/>
          <w:shd w:val="clear" w:color="auto" w:fill="FFFFFF"/>
        </w:rPr>
        <w:t>(4), 1004-1014.</w:t>
      </w:r>
      <w:r w:rsidRPr="00FF69D8">
        <w:rPr>
          <w:color w:val="222222"/>
          <w:shd w:val="clear" w:color="auto" w:fill="FFFFFF"/>
          <w:rtl/>
        </w:rPr>
        <w:t>‏</w:t>
      </w:r>
    </w:p>
    <w:p w14:paraId="4292022A" w14:textId="6A1738E3" w:rsidR="008D3C99" w:rsidRPr="00FF69D8" w:rsidRDefault="008D3C99" w:rsidP="00CA389B">
      <w:pPr>
        <w:spacing w:line="480" w:lineRule="auto"/>
        <w:ind w:left="720" w:hanging="720"/>
        <w:contextualSpacing/>
        <w:rPr>
          <w:color w:val="222222"/>
          <w:shd w:val="clear" w:color="auto" w:fill="FFFFFF"/>
        </w:rPr>
      </w:pPr>
      <w:r w:rsidRPr="00FF69D8">
        <w:rPr>
          <w:color w:val="222222"/>
          <w:shd w:val="clear" w:color="auto" w:fill="FFFFFF"/>
        </w:rPr>
        <w:t>Efrati, Y., &amp; Gola, M. (2018</w:t>
      </w:r>
      <w:r w:rsidR="00266A4E" w:rsidRPr="00FF69D8">
        <w:rPr>
          <w:color w:val="222222"/>
          <w:shd w:val="clear" w:color="auto" w:fill="FFFFFF"/>
        </w:rPr>
        <w:t>b</w:t>
      </w:r>
      <w:r w:rsidRPr="00FF69D8">
        <w:rPr>
          <w:color w:val="222222"/>
          <w:shd w:val="clear" w:color="auto" w:fill="FFFFFF"/>
        </w:rPr>
        <w:t>). Compulsive sexual behavior: A twelve-step therapeutic approach. </w:t>
      </w:r>
      <w:r w:rsidRPr="00FF69D8">
        <w:rPr>
          <w:i/>
          <w:iCs/>
          <w:color w:val="222222"/>
          <w:shd w:val="clear" w:color="auto" w:fill="FFFFFF"/>
        </w:rPr>
        <w:t>Journal of Behavioral Addictions</w:t>
      </w:r>
      <w:r w:rsidRPr="00FF69D8">
        <w:rPr>
          <w:color w:val="222222"/>
          <w:shd w:val="clear" w:color="auto" w:fill="FFFFFF"/>
        </w:rPr>
        <w:t>, </w:t>
      </w:r>
      <w:r w:rsidRPr="00FF69D8">
        <w:rPr>
          <w:i/>
          <w:iCs/>
          <w:color w:val="222222"/>
          <w:shd w:val="clear" w:color="auto" w:fill="FFFFFF"/>
        </w:rPr>
        <w:t>7</w:t>
      </w:r>
      <w:r w:rsidRPr="00FF69D8">
        <w:rPr>
          <w:color w:val="222222"/>
          <w:shd w:val="clear" w:color="auto" w:fill="FFFFFF"/>
        </w:rPr>
        <w:t>(2), 445-453.</w:t>
      </w:r>
      <w:r w:rsidRPr="00FF69D8">
        <w:rPr>
          <w:color w:val="222222"/>
          <w:shd w:val="clear" w:color="auto" w:fill="FFFFFF"/>
          <w:rtl/>
        </w:rPr>
        <w:t>‏</w:t>
      </w:r>
    </w:p>
    <w:p w14:paraId="17EE57CD" w14:textId="55FFFB1B" w:rsidR="008437FA" w:rsidRPr="00FF69D8" w:rsidRDefault="008437FA" w:rsidP="00CA389B">
      <w:pPr>
        <w:spacing w:line="480" w:lineRule="auto"/>
        <w:ind w:left="720" w:hanging="720"/>
        <w:contextualSpacing/>
        <w:rPr>
          <w:color w:val="222222"/>
          <w:shd w:val="clear" w:color="auto" w:fill="FFFFFF"/>
        </w:rPr>
      </w:pPr>
      <w:r w:rsidRPr="00FF69D8">
        <w:rPr>
          <w:color w:val="222222"/>
          <w:shd w:val="clear" w:color="auto" w:fill="FFFFFF"/>
        </w:rPr>
        <w:t>Efrati, Y., &amp; Gola, M. (2018c). Treating compulsive sexual behavior. </w:t>
      </w:r>
      <w:r w:rsidRPr="00FF69D8">
        <w:rPr>
          <w:i/>
          <w:iCs/>
          <w:color w:val="222222"/>
          <w:shd w:val="clear" w:color="auto" w:fill="FFFFFF"/>
        </w:rPr>
        <w:t>Current Sexual Health Reports</w:t>
      </w:r>
      <w:r w:rsidRPr="00FF69D8">
        <w:rPr>
          <w:color w:val="222222"/>
          <w:shd w:val="clear" w:color="auto" w:fill="FFFFFF"/>
        </w:rPr>
        <w:t>, </w:t>
      </w:r>
      <w:r w:rsidRPr="00FF69D8">
        <w:rPr>
          <w:i/>
          <w:iCs/>
          <w:color w:val="222222"/>
          <w:shd w:val="clear" w:color="auto" w:fill="FFFFFF"/>
        </w:rPr>
        <w:t>10</w:t>
      </w:r>
      <w:r w:rsidRPr="00FF69D8">
        <w:rPr>
          <w:color w:val="222222"/>
          <w:shd w:val="clear" w:color="auto" w:fill="FFFFFF"/>
        </w:rPr>
        <w:t>(2), 57-64.</w:t>
      </w:r>
      <w:r w:rsidRPr="00FF69D8">
        <w:rPr>
          <w:color w:val="222222"/>
          <w:shd w:val="clear" w:color="auto" w:fill="FFFFFF"/>
          <w:rtl/>
        </w:rPr>
        <w:t>‏</w:t>
      </w:r>
    </w:p>
    <w:p w14:paraId="7C725C5E" w14:textId="40E92218" w:rsidR="008D3C99" w:rsidRPr="00FF69D8" w:rsidRDefault="00F22807" w:rsidP="00CA389B">
      <w:pPr>
        <w:spacing w:line="480" w:lineRule="auto"/>
        <w:ind w:left="720" w:hanging="720"/>
        <w:contextualSpacing/>
        <w:rPr>
          <w:color w:val="222222"/>
          <w:shd w:val="clear" w:color="auto" w:fill="FFFFFF"/>
        </w:rPr>
      </w:pPr>
      <w:r w:rsidRPr="00FF69D8">
        <w:rPr>
          <w:color w:val="222222"/>
          <w:shd w:val="clear" w:color="auto" w:fill="FFFFFF"/>
        </w:rPr>
        <w:t>Efrati, Y. (2019). God, I can’t stop thinking about sex! The rebound effect in unsuccessful suppression of sexual thoughts among religious adolescents. </w:t>
      </w:r>
      <w:r w:rsidRPr="00FF69D8">
        <w:rPr>
          <w:i/>
          <w:iCs/>
          <w:color w:val="222222"/>
          <w:shd w:val="clear" w:color="auto" w:fill="FFFFFF"/>
        </w:rPr>
        <w:t>The Journal of Sex Research</w:t>
      </w:r>
      <w:r w:rsidRPr="00FF69D8">
        <w:rPr>
          <w:color w:val="222222"/>
          <w:shd w:val="clear" w:color="auto" w:fill="FFFFFF"/>
        </w:rPr>
        <w:t>, </w:t>
      </w:r>
      <w:r w:rsidRPr="00FF69D8">
        <w:rPr>
          <w:i/>
          <w:iCs/>
          <w:color w:val="222222"/>
          <w:shd w:val="clear" w:color="auto" w:fill="FFFFFF"/>
        </w:rPr>
        <w:t>56</w:t>
      </w:r>
      <w:r w:rsidRPr="00FF69D8">
        <w:rPr>
          <w:color w:val="222222"/>
          <w:shd w:val="clear" w:color="auto" w:fill="FFFFFF"/>
        </w:rPr>
        <w:t>(2), 146-155.</w:t>
      </w:r>
      <w:r w:rsidRPr="00FF69D8">
        <w:rPr>
          <w:color w:val="222222"/>
          <w:shd w:val="clear" w:color="auto" w:fill="FFFFFF"/>
          <w:rtl/>
        </w:rPr>
        <w:t>‏</w:t>
      </w:r>
    </w:p>
    <w:p w14:paraId="1DA0737B" w14:textId="77777777" w:rsidR="00D5544F" w:rsidRPr="00FF69D8" w:rsidRDefault="00D5544F" w:rsidP="00CA389B">
      <w:pPr>
        <w:spacing w:line="480" w:lineRule="auto"/>
        <w:ind w:left="720" w:hanging="720"/>
        <w:contextualSpacing/>
        <w:rPr>
          <w:color w:val="222222"/>
          <w:shd w:val="clear" w:color="auto" w:fill="FFFFFF"/>
        </w:rPr>
      </w:pPr>
      <w:r w:rsidRPr="00FF69D8">
        <w:rPr>
          <w:color w:val="222222"/>
          <w:shd w:val="clear" w:color="auto" w:fill="FFFFFF"/>
        </w:rPr>
        <w:t xml:space="preserve">Efrati, Y., Gerber, Z., &amp; </w:t>
      </w:r>
      <w:proofErr w:type="spellStart"/>
      <w:r w:rsidRPr="00FF69D8">
        <w:rPr>
          <w:color w:val="222222"/>
          <w:shd w:val="clear" w:color="auto" w:fill="FFFFFF"/>
        </w:rPr>
        <w:t>Tolmacz</w:t>
      </w:r>
      <w:proofErr w:type="spellEnd"/>
      <w:r w:rsidRPr="00FF69D8">
        <w:rPr>
          <w:color w:val="222222"/>
          <w:shd w:val="clear" w:color="auto" w:fill="FFFFFF"/>
        </w:rPr>
        <w:t>, R. (2019). The relation of intra-psychic and relational aspects of the self to compulsive sexual behavior. </w:t>
      </w:r>
      <w:r w:rsidRPr="00FF69D8">
        <w:rPr>
          <w:i/>
          <w:iCs/>
          <w:color w:val="222222"/>
          <w:shd w:val="clear" w:color="auto" w:fill="FFFFFF"/>
        </w:rPr>
        <w:t>Journal of Sex &amp; Marital Therapy</w:t>
      </w:r>
      <w:r w:rsidRPr="00FF69D8">
        <w:rPr>
          <w:color w:val="222222"/>
          <w:shd w:val="clear" w:color="auto" w:fill="FFFFFF"/>
        </w:rPr>
        <w:t>, </w:t>
      </w:r>
      <w:r w:rsidRPr="00FF69D8">
        <w:rPr>
          <w:i/>
          <w:iCs/>
          <w:color w:val="222222"/>
          <w:shd w:val="clear" w:color="auto" w:fill="FFFFFF"/>
        </w:rPr>
        <w:t>45</w:t>
      </w:r>
      <w:r w:rsidRPr="00FF69D8">
        <w:rPr>
          <w:color w:val="222222"/>
          <w:shd w:val="clear" w:color="auto" w:fill="FFFFFF"/>
        </w:rPr>
        <w:t>(7), 618-631.</w:t>
      </w:r>
      <w:r w:rsidRPr="00FF69D8">
        <w:rPr>
          <w:color w:val="222222"/>
          <w:shd w:val="clear" w:color="auto" w:fill="FFFFFF"/>
          <w:rtl/>
        </w:rPr>
        <w:t>‏</w:t>
      </w:r>
    </w:p>
    <w:p w14:paraId="4ACDC5F7" w14:textId="40404C95" w:rsidR="00F22807" w:rsidRPr="00FF69D8" w:rsidRDefault="00F22807" w:rsidP="00CA389B">
      <w:pPr>
        <w:spacing w:line="480" w:lineRule="auto"/>
        <w:ind w:left="720" w:hanging="720"/>
        <w:contextualSpacing/>
        <w:rPr>
          <w:color w:val="222222"/>
          <w:shd w:val="clear" w:color="auto" w:fill="FFFFFF"/>
        </w:rPr>
      </w:pPr>
      <w:r w:rsidRPr="00FF69D8">
        <w:rPr>
          <w:color w:val="222222"/>
          <w:shd w:val="clear" w:color="auto" w:fill="FFFFFF"/>
        </w:rPr>
        <w:t>Efrati, Y., &amp; Gola, M. (2019a). Adolescents’ compulsive sexual behavior: The role of parental competence, parents’ psychopathology, and quality of parent–child communication about sex. </w:t>
      </w:r>
      <w:r w:rsidRPr="00FF69D8">
        <w:rPr>
          <w:i/>
          <w:iCs/>
          <w:color w:val="222222"/>
          <w:shd w:val="clear" w:color="auto" w:fill="FFFFFF"/>
        </w:rPr>
        <w:t>Journal of behavioral addictions</w:t>
      </w:r>
      <w:r w:rsidRPr="00FF69D8">
        <w:rPr>
          <w:color w:val="222222"/>
          <w:shd w:val="clear" w:color="auto" w:fill="FFFFFF"/>
        </w:rPr>
        <w:t>, </w:t>
      </w:r>
      <w:r w:rsidRPr="00FF69D8">
        <w:rPr>
          <w:i/>
          <w:iCs/>
          <w:color w:val="222222"/>
          <w:shd w:val="clear" w:color="auto" w:fill="FFFFFF"/>
        </w:rPr>
        <w:t>8</w:t>
      </w:r>
      <w:r w:rsidRPr="00FF69D8">
        <w:rPr>
          <w:color w:val="222222"/>
          <w:shd w:val="clear" w:color="auto" w:fill="FFFFFF"/>
        </w:rPr>
        <w:t>(3), 420-431.</w:t>
      </w:r>
      <w:r w:rsidRPr="00FF69D8">
        <w:rPr>
          <w:color w:val="222222"/>
          <w:shd w:val="clear" w:color="auto" w:fill="FFFFFF"/>
          <w:rtl/>
        </w:rPr>
        <w:t>‏</w:t>
      </w:r>
    </w:p>
    <w:p w14:paraId="7DC6B86E" w14:textId="1B3E36BF" w:rsidR="00F15D50" w:rsidRPr="00FF69D8" w:rsidRDefault="00F15D50" w:rsidP="00CA389B">
      <w:pPr>
        <w:spacing w:line="480" w:lineRule="auto"/>
        <w:ind w:left="720" w:hanging="720"/>
        <w:contextualSpacing/>
        <w:rPr>
          <w:color w:val="222222"/>
          <w:shd w:val="clear" w:color="auto" w:fill="FFFFFF"/>
        </w:rPr>
      </w:pPr>
      <w:r w:rsidRPr="00FF69D8">
        <w:rPr>
          <w:color w:val="222222"/>
          <w:shd w:val="clear" w:color="auto" w:fill="FFFFFF"/>
        </w:rPr>
        <w:t>Efrati, Y., &amp; Gola, M. (2019</w:t>
      </w:r>
      <w:r w:rsidRPr="00FF69D8">
        <w:rPr>
          <w:color w:val="222222"/>
          <w:shd w:val="clear" w:color="auto" w:fill="FFFFFF"/>
        </w:rPr>
        <w:t>b</w:t>
      </w:r>
      <w:r w:rsidRPr="00FF69D8">
        <w:rPr>
          <w:color w:val="222222"/>
          <w:shd w:val="clear" w:color="auto" w:fill="FFFFFF"/>
        </w:rPr>
        <w:t>). The effect of early life trauma on compulsive sexual behavior among members of a 12-step group. </w:t>
      </w:r>
      <w:r w:rsidRPr="00FF69D8">
        <w:rPr>
          <w:i/>
          <w:iCs/>
          <w:color w:val="222222"/>
          <w:shd w:val="clear" w:color="auto" w:fill="FFFFFF"/>
        </w:rPr>
        <w:t>The journal of sexual medicine</w:t>
      </w:r>
      <w:r w:rsidRPr="00FF69D8">
        <w:rPr>
          <w:color w:val="222222"/>
          <w:shd w:val="clear" w:color="auto" w:fill="FFFFFF"/>
        </w:rPr>
        <w:t>, </w:t>
      </w:r>
      <w:r w:rsidRPr="00FF69D8">
        <w:rPr>
          <w:i/>
          <w:iCs/>
          <w:color w:val="222222"/>
          <w:shd w:val="clear" w:color="auto" w:fill="FFFFFF"/>
        </w:rPr>
        <w:t>16</w:t>
      </w:r>
      <w:r w:rsidRPr="00FF69D8">
        <w:rPr>
          <w:color w:val="222222"/>
          <w:shd w:val="clear" w:color="auto" w:fill="FFFFFF"/>
        </w:rPr>
        <w:t>(6), 803-811.</w:t>
      </w:r>
      <w:r w:rsidRPr="00FF69D8">
        <w:rPr>
          <w:color w:val="222222"/>
          <w:shd w:val="clear" w:color="auto" w:fill="FFFFFF"/>
          <w:rtl/>
        </w:rPr>
        <w:t>‏</w:t>
      </w:r>
    </w:p>
    <w:p w14:paraId="048E2131" w14:textId="71BC6998" w:rsidR="008D3C99" w:rsidRPr="00FF69D8" w:rsidRDefault="008D3C99" w:rsidP="00CA389B">
      <w:pPr>
        <w:spacing w:line="480" w:lineRule="auto"/>
        <w:ind w:left="720" w:hanging="720"/>
        <w:contextualSpacing/>
        <w:rPr>
          <w:noProof/>
        </w:rPr>
      </w:pPr>
      <w:r w:rsidRPr="00FF69D8">
        <w:rPr>
          <w:color w:val="222222"/>
          <w:shd w:val="clear" w:color="auto" w:fill="FFFFFF"/>
        </w:rPr>
        <w:lastRenderedPageBreak/>
        <w:t>Efrati, Y. (2020). Problematic and non-problematic pornography use and compulsive sexual behaviors among understudied populations: Children and adolescents. </w:t>
      </w:r>
      <w:r w:rsidRPr="00FF69D8">
        <w:rPr>
          <w:i/>
          <w:iCs/>
          <w:color w:val="222222"/>
          <w:shd w:val="clear" w:color="auto" w:fill="FFFFFF"/>
        </w:rPr>
        <w:t>Current Addiction Reports</w:t>
      </w:r>
      <w:r w:rsidRPr="00FF69D8">
        <w:rPr>
          <w:color w:val="222222"/>
          <w:shd w:val="clear" w:color="auto" w:fill="FFFFFF"/>
        </w:rPr>
        <w:t>, </w:t>
      </w:r>
      <w:r w:rsidRPr="00FF69D8">
        <w:rPr>
          <w:i/>
          <w:iCs/>
          <w:color w:val="222222"/>
          <w:shd w:val="clear" w:color="auto" w:fill="FFFFFF"/>
        </w:rPr>
        <w:t>7</w:t>
      </w:r>
      <w:r w:rsidRPr="00FF69D8">
        <w:rPr>
          <w:color w:val="222222"/>
          <w:shd w:val="clear" w:color="auto" w:fill="FFFFFF"/>
        </w:rPr>
        <w:t>(1), 68-75.</w:t>
      </w:r>
      <w:r w:rsidRPr="00FF69D8">
        <w:rPr>
          <w:color w:val="222222"/>
          <w:shd w:val="clear" w:color="auto" w:fill="FFFFFF"/>
          <w:rtl/>
        </w:rPr>
        <w:t>‏</w:t>
      </w:r>
    </w:p>
    <w:p w14:paraId="1BB054BC" w14:textId="77777777" w:rsidR="00F22807" w:rsidRPr="00FF69D8" w:rsidRDefault="00F22807" w:rsidP="00CA389B">
      <w:pPr>
        <w:spacing w:line="480" w:lineRule="auto"/>
        <w:ind w:left="720" w:hanging="720"/>
        <w:contextualSpacing/>
        <w:rPr>
          <w:color w:val="222222"/>
          <w:shd w:val="clear" w:color="auto" w:fill="FFFFFF"/>
        </w:rPr>
      </w:pPr>
      <w:r w:rsidRPr="00FF69D8">
        <w:rPr>
          <w:color w:val="222222"/>
          <w:shd w:val="clear" w:color="auto" w:fill="FFFFFF"/>
        </w:rPr>
        <w:t xml:space="preserve">Efrati, Y., </w:t>
      </w:r>
      <w:proofErr w:type="spellStart"/>
      <w:r w:rsidRPr="00FF69D8">
        <w:rPr>
          <w:color w:val="222222"/>
          <w:shd w:val="clear" w:color="auto" w:fill="FFFFFF"/>
        </w:rPr>
        <w:t>Kolubinski</w:t>
      </w:r>
      <w:proofErr w:type="spellEnd"/>
      <w:r w:rsidRPr="00FF69D8">
        <w:rPr>
          <w:color w:val="222222"/>
          <w:shd w:val="clear" w:color="auto" w:fill="FFFFFF"/>
        </w:rPr>
        <w:t xml:space="preserve">, D. C., Caselli, G., &amp; Spada, M. M. (2020). Desire thinking as a predictor of compulsive sexual </w:t>
      </w:r>
      <w:proofErr w:type="spellStart"/>
      <w:r w:rsidRPr="00FF69D8">
        <w:rPr>
          <w:color w:val="222222"/>
          <w:shd w:val="clear" w:color="auto" w:fill="FFFFFF"/>
        </w:rPr>
        <w:t>behaviour</w:t>
      </w:r>
      <w:proofErr w:type="spellEnd"/>
      <w:r w:rsidRPr="00FF69D8">
        <w:rPr>
          <w:color w:val="222222"/>
          <w:shd w:val="clear" w:color="auto" w:fill="FFFFFF"/>
        </w:rPr>
        <w:t xml:space="preserve"> in adolescents: Evidence from a cross-cultural validation of the Hebrew version of the Desire Thinking Questionnaire. </w:t>
      </w:r>
      <w:r w:rsidRPr="00FF69D8">
        <w:rPr>
          <w:i/>
          <w:iCs/>
          <w:color w:val="222222"/>
          <w:shd w:val="clear" w:color="auto" w:fill="FFFFFF"/>
        </w:rPr>
        <w:t>Journal of Behavioral Addictions</w:t>
      </w:r>
      <w:r w:rsidRPr="00FF69D8">
        <w:rPr>
          <w:color w:val="222222"/>
          <w:shd w:val="clear" w:color="auto" w:fill="FFFFFF"/>
        </w:rPr>
        <w:t>, </w:t>
      </w:r>
      <w:r w:rsidRPr="00FF69D8">
        <w:rPr>
          <w:i/>
          <w:iCs/>
          <w:color w:val="222222"/>
          <w:shd w:val="clear" w:color="auto" w:fill="FFFFFF"/>
        </w:rPr>
        <w:t>9</w:t>
      </w:r>
      <w:r w:rsidRPr="00FF69D8">
        <w:rPr>
          <w:color w:val="222222"/>
          <w:shd w:val="clear" w:color="auto" w:fill="FFFFFF"/>
        </w:rPr>
        <w:t>(3), 797-807.</w:t>
      </w:r>
      <w:r w:rsidRPr="00FF69D8">
        <w:rPr>
          <w:color w:val="222222"/>
          <w:shd w:val="clear" w:color="auto" w:fill="FFFFFF"/>
          <w:rtl/>
        </w:rPr>
        <w:t>‏</w:t>
      </w:r>
      <w:r w:rsidRPr="00FF69D8">
        <w:rPr>
          <w:color w:val="222222"/>
          <w:shd w:val="clear" w:color="auto" w:fill="FFFFFF"/>
        </w:rPr>
        <w:t xml:space="preserve"> </w:t>
      </w:r>
    </w:p>
    <w:p w14:paraId="00723CC1" w14:textId="77777777" w:rsidR="00C551F2" w:rsidRPr="00FF69D8" w:rsidRDefault="00C551F2" w:rsidP="00CA389B">
      <w:pPr>
        <w:spacing w:line="480" w:lineRule="auto"/>
        <w:ind w:left="720" w:hanging="720"/>
        <w:contextualSpacing/>
        <w:rPr>
          <w:color w:val="222222"/>
          <w:shd w:val="clear" w:color="auto" w:fill="FFFFFF"/>
        </w:rPr>
      </w:pPr>
      <w:r w:rsidRPr="00FF69D8">
        <w:rPr>
          <w:color w:val="222222"/>
          <w:shd w:val="clear" w:color="auto" w:fill="FFFFFF"/>
        </w:rPr>
        <w:t xml:space="preserve">Efrati, Y., &amp; </w:t>
      </w:r>
      <w:proofErr w:type="spellStart"/>
      <w:r w:rsidRPr="00FF69D8">
        <w:rPr>
          <w:color w:val="222222"/>
          <w:shd w:val="clear" w:color="auto" w:fill="FFFFFF"/>
        </w:rPr>
        <w:t>Amichai</w:t>
      </w:r>
      <w:proofErr w:type="spellEnd"/>
      <w:r w:rsidRPr="00FF69D8">
        <w:rPr>
          <w:color w:val="222222"/>
          <w:shd w:val="clear" w:color="auto" w:fill="FFFFFF"/>
        </w:rPr>
        <w:t xml:space="preserve">-Hamburger, Y. (2020). Are adolescents who consume pornography different from those who engaged in online sexual </w:t>
      </w:r>
      <w:proofErr w:type="gramStart"/>
      <w:r w:rsidRPr="00FF69D8">
        <w:rPr>
          <w:color w:val="222222"/>
          <w:shd w:val="clear" w:color="auto" w:fill="FFFFFF"/>
        </w:rPr>
        <w:t>activities?.</w:t>
      </w:r>
      <w:proofErr w:type="gramEnd"/>
      <w:r w:rsidRPr="00FF69D8">
        <w:rPr>
          <w:color w:val="222222"/>
          <w:shd w:val="clear" w:color="auto" w:fill="FFFFFF"/>
        </w:rPr>
        <w:t> </w:t>
      </w:r>
      <w:r w:rsidRPr="00FF69D8">
        <w:rPr>
          <w:i/>
          <w:iCs/>
          <w:color w:val="222222"/>
          <w:shd w:val="clear" w:color="auto" w:fill="FFFFFF"/>
        </w:rPr>
        <w:t>Children and Youth Services Review</w:t>
      </w:r>
      <w:r w:rsidRPr="00FF69D8">
        <w:rPr>
          <w:color w:val="222222"/>
          <w:shd w:val="clear" w:color="auto" w:fill="FFFFFF"/>
        </w:rPr>
        <w:t>, </w:t>
      </w:r>
      <w:r w:rsidRPr="00FF69D8">
        <w:rPr>
          <w:i/>
          <w:iCs/>
          <w:color w:val="222222"/>
          <w:shd w:val="clear" w:color="auto" w:fill="FFFFFF"/>
        </w:rPr>
        <w:t>111</w:t>
      </w:r>
      <w:r w:rsidRPr="00FF69D8">
        <w:rPr>
          <w:color w:val="222222"/>
          <w:shd w:val="clear" w:color="auto" w:fill="FFFFFF"/>
        </w:rPr>
        <w:t>, 104843.</w:t>
      </w:r>
      <w:r w:rsidRPr="00FF69D8">
        <w:rPr>
          <w:color w:val="222222"/>
          <w:shd w:val="clear" w:color="auto" w:fill="FFFFFF"/>
          <w:rtl/>
        </w:rPr>
        <w:t>‏</w:t>
      </w:r>
    </w:p>
    <w:p w14:paraId="164E9438" w14:textId="2BEB6444" w:rsidR="002245B6" w:rsidRPr="00FF69D8" w:rsidRDefault="002245B6" w:rsidP="00CA389B">
      <w:pPr>
        <w:spacing w:line="480" w:lineRule="auto"/>
        <w:ind w:left="720" w:hanging="720"/>
        <w:contextualSpacing/>
        <w:rPr>
          <w:color w:val="222222"/>
          <w:shd w:val="clear" w:color="auto" w:fill="FFFFFF"/>
        </w:rPr>
      </w:pPr>
      <w:r w:rsidRPr="00FF69D8">
        <w:rPr>
          <w:color w:val="222222"/>
          <w:shd w:val="clear" w:color="auto" w:fill="FFFFFF"/>
        </w:rPr>
        <w:t xml:space="preserve">Efrati, Y., &amp; </w:t>
      </w:r>
      <w:proofErr w:type="spellStart"/>
      <w:r w:rsidRPr="00FF69D8">
        <w:rPr>
          <w:color w:val="222222"/>
          <w:shd w:val="clear" w:color="auto" w:fill="FFFFFF"/>
        </w:rPr>
        <w:t>Amichai</w:t>
      </w:r>
      <w:proofErr w:type="spellEnd"/>
      <w:r w:rsidRPr="00FF69D8">
        <w:rPr>
          <w:color w:val="222222"/>
          <w:shd w:val="clear" w:color="auto" w:fill="FFFFFF"/>
        </w:rPr>
        <w:t>-Hamburger, Y. (2021). Adolescents who solely engage in online sexual experiences are at higher risk for compulsive sexual behavior. </w:t>
      </w:r>
      <w:r w:rsidRPr="00FF69D8">
        <w:rPr>
          <w:i/>
          <w:iCs/>
          <w:color w:val="222222"/>
          <w:shd w:val="clear" w:color="auto" w:fill="FFFFFF"/>
        </w:rPr>
        <w:t>Addictive behaviors</w:t>
      </w:r>
      <w:r w:rsidRPr="00FF69D8">
        <w:rPr>
          <w:color w:val="222222"/>
          <w:shd w:val="clear" w:color="auto" w:fill="FFFFFF"/>
        </w:rPr>
        <w:t>, </w:t>
      </w:r>
      <w:r w:rsidRPr="00FF69D8">
        <w:rPr>
          <w:i/>
          <w:iCs/>
          <w:color w:val="222222"/>
          <w:shd w:val="clear" w:color="auto" w:fill="FFFFFF"/>
        </w:rPr>
        <w:t>118</w:t>
      </w:r>
      <w:r w:rsidRPr="00FF69D8">
        <w:rPr>
          <w:color w:val="222222"/>
          <w:shd w:val="clear" w:color="auto" w:fill="FFFFFF"/>
        </w:rPr>
        <w:t>, 106874.</w:t>
      </w:r>
      <w:r w:rsidRPr="00FF69D8">
        <w:rPr>
          <w:color w:val="222222"/>
          <w:shd w:val="clear" w:color="auto" w:fill="FFFFFF"/>
          <w:rtl/>
        </w:rPr>
        <w:t>‏</w:t>
      </w:r>
    </w:p>
    <w:p w14:paraId="642BCF6C" w14:textId="318A00D4" w:rsidR="00F22807" w:rsidRPr="00FF69D8" w:rsidRDefault="00F22807" w:rsidP="00CA389B">
      <w:pPr>
        <w:spacing w:line="480" w:lineRule="auto"/>
        <w:ind w:left="720" w:hanging="720"/>
        <w:contextualSpacing/>
        <w:rPr>
          <w:noProof/>
        </w:rPr>
      </w:pPr>
      <w:r w:rsidRPr="00FF69D8">
        <w:rPr>
          <w:color w:val="222222"/>
          <w:shd w:val="clear" w:color="auto" w:fill="FFFFFF"/>
        </w:rPr>
        <w:t xml:space="preserve">Efrati, Y., </w:t>
      </w:r>
      <w:proofErr w:type="spellStart"/>
      <w:r w:rsidRPr="00FF69D8">
        <w:rPr>
          <w:color w:val="222222"/>
          <w:shd w:val="clear" w:color="auto" w:fill="FFFFFF"/>
        </w:rPr>
        <w:t>Kolubinski</w:t>
      </w:r>
      <w:proofErr w:type="spellEnd"/>
      <w:r w:rsidRPr="00FF69D8">
        <w:rPr>
          <w:color w:val="222222"/>
          <w:shd w:val="clear" w:color="auto" w:fill="FFFFFF"/>
        </w:rPr>
        <w:t xml:space="preserve">, D. C., Marino, C., &amp; Spada, M. M. (2021). Modelling the Contribution of Metacognitions, Impulsiveness, and Thought Suppression to </w:t>
      </w:r>
      <w:proofErr w:type="spellStart"/>
      <w:r w:rsidRPr="00FF69D8">
        <w:rPr>
          <w:color w:val="222222"/>
          <w:shd w:val="clear" w:color="auto" w:fill="FFFFFF"/>
        </w:rPr>
        <w:t>Behavioural</w:t>
      </w:r>
      <w:proofErr w:type="spellEnd"/>
      <w:r w:rsidRPr="00FF69D8">
        <w:rPr>
          <w:color w:val="222222"/>
          <w:shd w:val="clear" w:color="auto" w:fill="FFFFFF"/>
        </w:rPr>
        <w:t xml:space="preserve"> Addictions in Adolescents. </w:t>
      </w:r>
      <w:r w:rsidRPr="00FF69D8">
        <w:rPr>
          <w:i/>
          <w:iCs/>
          <w:color w:val="222222"/>
          <w:shd w:val="clear" w:color="auto" w:fill="FFFFFF"/>
        </w:rPr>
        <w:t>International Journal of Environmental Research and Public Health</w:t>
      </w:r>
      <w:r w:rsidRPr="00FF69D8">
        <w:rPr>
          <w:color w:val="222222"/>
          <w:shd w:val="clear" w:color="auto" w:fill="FFFFFF"/>
        </w:rPr>
        <w:t>, </w:t>
      </w:r>
      <w:r w:rsidRPr="00FF69D8">
        <w:rPr>
          <w:i/>
          <w:iCs/>
          <w:color w:val="222222"/>
          <w:shd w:val="clear" w:color="auto" w:fill="FFFFFF"/>
        </w:rPr>
        <w:t>18</w:t>
      </w:r>
      <w:r w:rsidRPr="00FF69D8">
        <w:rPr>
          <w:color w:val="222222"/>
          <w:shd w:val="clear" w:color="auto" w:fill="FFFFFF"/>
        </w:rPr>
        <w:t>(7), 3820.</w:t>
      </w:r>
      <w:r w:rsidRPr="00FF69D8">
        <w:rPr>
          <w:color w:val="222222"/>
          <w:shd w:val="clear" w:color="auto" w:fill="FFFFFF"/>
          <w:rtl/>
        </w:rPr>
        <w:t>‏</w:t>
      </w:r>
    </w:p>
    <w:p w14:paraId="15CD115C" w14:textId="77777777" w:rsidR="005F5916" w:rsidRPr="00FF69D8" w:rsidRDefault="005F5916" w:rsidP="00CA389B">
      <w:pPr>
        <w:spacing w:line="480" w:lineRule="auto"/>
        <w:ind w:left="720" w:hanging="720"/>
        <w:contextualSpacing/>
        <w:rPr>
          <w:noProof/>
        </w:rPr>
      </w:pPr>
      <w:r w:rsidRPr="00FF69D8">
        <w:rPr>
          <w:color w:val="222222"/>
          <w:shd w:val="clear" w:color="auto" w:fill="FFFFFF"/>
        </w:rPr>
        <w:t>Efrati, Y., Kraus, S. W., &amp; Kaplan, G. (2022). Common Features in Compulsive Sexual Behavior, Substance Use Disorders, Personality, Temperament, and Attachment—A Narrative Review. </w:t>
      </w:r>
      <w:r w:rsidRPr="00FF69D8">
        <w:rPr>
          <w:i/>
          <w:iCs/>
          <w:color w:val="222222"/>
          <w:shd w:val="clear" w:color="auto" w:fill="FFFFFF"/>
        </w:rPr>
        <w:t>International Journal of Environmental Research and Public Health</w:t>
      </w:r>
      <w:r w:rsidRPr="00FF69D8">
        <w:rPr>
          <w:color w:val="222222"/>
          <w:shd w:val="clear" w:color="auto" w:fill="FFFFFF"/>
        </w:rPr>
        <w:t>, </w:t>
      </w:r>
      <w:r w:rsidRPr="00FF69D8">
        <w:rPr>
          <w:i/>
          <w:iCs/>
          <w:color w:val="222222"/>
          <w:shd w:val="clear" w:color="auto" w:fill="FFFFFF"/>
        </w:rPr>
        <w:t>19</w:t>
      </w:r>
      <w:r w:rsidRPr="00FF69D8">
        <w:rPr>
          <w:color w:val="222222"/>
          <w:shd w:val="clear" w:color="auto" w:fill="FFFFFF"/>
        </w:rPr>
        <w:t>(1), 296.</w:t>
      </w:r>
      <w:r w:rsidRPr="00FF69D8">
        <w:rPr>
          <w:color w:val="222222"/>
          <w:shd w:val="clear" w:color="auto" w:fill="FFFFFF"/>
          <w:rtl/>
        </w:rPr>
        <w:t>‏</w:t>
      </w:r>
    </w:p>
    <w:p w14:paraId="41A3B4D0" w14:textId="77777777" w:rsidR="006E75A9" w:rsidRPr="00FF69D8" w:rsidRDefault="006E75A9" w:rsidP="00CA389B">
      <w:pPr>
        <w:spacing w:line="480" w:lineRule="auto"/>
        <w:ind w:left="720" w:hanging="720"/>
        <w:contextualSpacing/>
        <w:rPr>
          <w:noProof/>
        </w:rPr>
      </w:pPr>
      <w:r w:rsidRPr="00FF69D8">
        <w:rPr>
          <w:noProof/>
        </w:rPr>
        <w:t xml:space="preserve">Ehring, T., &amp; Watkins, E.R. (2008). Repetitive negative thinking as a transdiagnostic process. </w:t>
      </w:r>
      <w:r w:rsidRPr="00FF69D8">
        <w:rPr>
          <w:i/>
          <w:iCs/>
          <w:noProof/>
        </w:rPr>
        <w:t>International Journal of Cognitive Therapy, 1</w:t>
      </w:r>
      <w:r w:rsidRPr="00FF69D8">
        <w:rPr>
          <w:noProof/>
        </w:rPr>
        <w:t>, 192</w:t>
      </w:r>
      <w:r w:rsidR="00330C35" w:rsidRPr="00FF69D8">
        <w:rPr>
          <w:noProof/>
        </w:rPr>
        <w:t>-</w:t>
      </w:r>
      <w:r w:rsidRPr="00FF69D8">
        <w:rPr>
          <w:noProof/>
        </w:rPr>
        <w:t>205.</w:t>
      </w:r>
    </w:p>
    <w:p w14:paraId="40290839" w14:textId="37C71ED7" w:rsidR="002245B6" w:rsidRPr="00FF69D8" w:rsidRDefault="006E75A9" w:rsidP="00CA389B">
      <w:pPr>
        <w:spacing w:line="480" w:lineRule="auto"/>
        <w:ind w:left="720" w:hanging="720"/>
        <w:contextualSpacing/>
        <w:rPr>
          <w:noProof/>
        </w:rPr>
      </w:pPr>
      <w:r w:rsidRPr="00FF69D8">
        <w:rPr>
          <w:noProof/>
        </w:rPr>
        <w:lastRenderedPageBreak/>
        <w:t xml:space="preserve"> </w:t>
      </w:r>
      <w:r w:rsidR="002245B6" w:rsidRPr="00FF69D8">
        <w:rPr>
          <w:color w:val="222222"/>
          <w:shd w:val="clear" w:color="auto" w:fill="FFFFFF"/>
        </w:rPr>
        <w:t>Ein-</w:t>
      </w:r>
      <w:proofErr w:type="spellStart"/>
      <w:r w:rsidR="002245B6" w:rsidRPr="00FF69D8">
        <w:rPr>
          <w:color w:val="222222"/>
          <w:shd w:val="clear" w:color="auto" w:fill="FFFFFF"/>
        </w:rPr>
        <w:t>Dor</w:t>
      </w:r>
      <w:proofErr w:type="spellEnd"/>
      <w:r w:rsidR="002245B6" w:rsidRPr="00FF69D8">
        <w:rPr>
          <w:color w:val="222222"/>
          <w:shd w:val="clear" w:color="auto" w:fill="FFFFFF"/>
        </w:rPr>
        <w:t>, T., &amp; Doron, G. (2015). Attachment and psychopathology. </w:t>
      </w:r>
      <w:r w:rsidR="002245B6" w:rsidRPr="00FF69D8">
        <w:rPr>
          <w:i/>
          <w:iCs/>
          <w:color w:val="222222"/>
          <w:shd w:val="clear" w:color="auto" w:fill="FFFFFF"/>
        </w:rPr>
        <w:t xml:space="preserve">Attachment theory and research: </w:t>
      </w:r>
      <w:proofErr w:type="gramStart"/>
      <w:r w:rsidR="002245B6" w:rsidRPr="00FF69D8">
        <w:rPr>
          <w:i/>
          <w:iCs/>
          <w:color w:val="222222"/>
          <w:shd w:val="clear" w:color="auto" w:fill="FFFFFF"/>
        </w:rPr>
        <w:t>New</w:t>
      </w:r>
      <w:proofErr w:type="gramEnd"/>
      <w:r w:rsidR="002245B6" w:rsidRPr="00FF69D8">
        <w:rPr>
          <w:i/>
          <w:iCs/>
          <w:color w:val="222222"/>
          <w:shd w:val="clear" w:color="auto" w:fill="FFFFFF"/>
        </w:rPr>
        <w:t xml:space="preserve"> directions and emerging themes</w:t>
      </w:r>
      <w:r w:rsidR="002245B6" w:rsidRPr="00FF69D8">
        <w:rPr>
          <w:color w:val="222222"/>
          <w:shd w:val="clear" w:color="auto" w:fill="FFFFFF"/>
        </w:rPr>
        <w:t>, 346-373.</w:t>
      </w:r>
      <w:r w:rsidR="002245B6" w:rsidRPr="00FF69D8">
        <w:rPr>
          <w:color w:val="222222"/>
          <w:shd w:val="clear" w:color="auto" w:fill="FFFFFF"/>
          <w:rtl/>
        </w:rPr>
        <w:t>‏</w:t>
      </w:r>
    </w:p>
    <w:p w14:paraId="5FEE6915" w14:textId="58422E22" w:rsidR="002245B6" w:rsidRPr="00FF69D8" w:rsidRDefault="002245B6" w:rsidP="002245B6">
      <w:pPr>
        <w:spacing w:line="480" w:lineRule="auto"/>
        <w:ind w:left="720" w:hanging="720"/>
        <w:contextualSpacing/>
        <w:rPr>
          <w:noProof/>
        </w:rPr>
      </w:pPr>
      <w:r w:rsidRPr="00FF69D8">
        <w:rPr>
          <w:color w:val="222222"/>
          <w:shd w:val="clear" w:color="auto" w:fill="FFFFFF"/>
        </w:rPr>
        <w:t>Ein-</w:t>
      </w:r>
      <w:proofErr w:type="spellStart"/>
      <w:r w:rsidRPr="00FF69D8">
        <w:rPr>
          <w:color w:val="222222"/>
          <w:shd w:val="clear" w:color="auto" w:fill="FFFFFF"/>
        </w:rPr>
        <w:t>Dor</w:t>
      </w:r>
      <w:proofErr w:type="spellEnd"/>
      <w:r w:rsidRPr="00FF69D8">
        <w:rPr>
          <w:color w:val="222222"/>
          <w:shd w:val="clear" w:color="auto" w:fill="FFFFFF"/>
        </w:rPr>
        <w:t xml:space="preserve">, T., </w:t>
      </w:r>
      <w:proofErr w:type="spellStart"/>
      <w:r w:rsidRPr="00FF69D8">
        <w:rPr>
          <w:color w:val="222222"/>
          <w:shd w:val="clear" w:color="auto" w:fill="FFFFFF"/>
        </w:rPr>
        <w:t>Viglin</w:t>
      </w:r>
      <w:proofErr w:type="spellEnd"/>
      <w:r w:rsidRPr="00FF69D8">
        <w:rPr>
          <w:color w:val="222222"/>
          <w:shd w:val="clear" w:color="auto" w:fill="FFFFFF"/>
        </w:rPr>
        <w:t>, D., &amp; Doron, G. (2016). Extending the transdiagnostic model of attachment and psychopathology. </w:t>
      </w:r>
      <w:r w:rsidRPr="00FF69D8">
        <w:rPr>
          <w:i/>
          <w:iCs/>
          <w:color w:val="222222"/>
          <w:shd w:val="clear" w:color="auto" w:fill="FFFFFF"/>
        </w:rPr>
        <w:t>Frontiers in psychology</w:t>
      </w:r>
      <w:r w:rsidRPr="00FF69D8">
        <w:rPr>
          <w:color w:val="222222"/>
          <w:shd w:val="clear" w:color="auto" w:fill="FFFFFF"/>
        </w:rPr>
        <w:t>, </w:t>
      </w:r>
      <w:r w:rsidRPr="00FF69D8">
        <w:rPr>
          <w:i/>
          <w:iCs/>
          <w:color w:val="222222"/>
          <w:shd w:val="clear" w:color="auto" w:fill="FFFFFF"/>
        </w:rPr>
        <w:t>7</w:t>
      </w:r>
      <w:r w:rsidRPr="00FF69D8">
        <w:rPr>
          <w:color w:val="222222"/>
          <w:shd w:val="clear" w:color="auto" w:fill="FFFFFF"/>
        </w:rPr>
        <w:t>, 484.</w:t>
      </w:r>
      <w:r w:rsidRPr="00FF69D8">
        <w:rPr>
          <w:color w:val="222222"/>
          <w:shd w:val="clear" w:color="auto" w:fill="FFFFFF"/>
          <w:rtl/>
        </w:rPr>
        <w:t>‏</w:t>
      </w:r>
    </w:p>
    <w:p w14:paraId="3E8C0CA8" w14:textId="19A02A0D" w:rsidR="00CE646D" w:rsidRPr="00FF69D8" w:rsidRDefault="00CE646D" w:rsidP="00CE646D">
      <w:pPr>
        <w:spacing w:line="480" w:lineRule="auto"/>
        <w:ind w:left="720" w:hanging="720"/>
        <w:contextualSpacing/>
        <w:rPr>
          <w:noProof/>
        </w:rPr>
      </w:pPr>
      <w:r w:rsidRPr="00FF69D8">
        <w:rPr>
          <w:noProof/>
        </w:rPr>
        <w:t xml:space="preserve">Etzion, D., &amp; Laski, S. (1998). </w:t>
      </w:r>
      <w:r w:rsidRPr="00FF69D8">
        <w:rPr>
          <w:i/>
          <w:iCs/>
          <w:noProof/>
        </w:rPr>
        <w:t>The 44-item BFF Inventory in Hebrew</w:t>
      </w:r>
      <w:r w:rsidRPr="00FF69D8">
        <w:rPr>
          <w:noProof/>
        </w:rPr>
        <w:t>. Tel Aviv-Yafo, Israel: Tel Aviv University, Faculty of Management, Institute of Business Research.</w:t>
      </w:r>
    </w:p>
    <w:p w14:paraId="7FB522DA" w14:textId="77777777" w:rsidR="00D5544F" w:rsidRPr="00FF69D8" w:rsidRDefault="00D5544F" w:rsidP="00CA389B">
      <w:pPr>
        <w:spacing w:line="480" w:lineRule="auto"/>
        <w:ind w:left="720" w:hanging="720"/>
        <w:contextualSpacing/>
      </w:pPr>
      <w:r w:rsidRPr="00FF69D8">
        <w:rPr>
          <w:color w:val="222222"/>
          <w:shd w:val="clear" w:color="auto" w:fill="FFFFFF"/>
        </w:rPr>
        <w:t>Ford, B. Q., &amp; Troy, A. S. (2019). Reappraisal reconsidered: A closer look at the costs of an acclaimed emotion-regulation strategy. </w:t>
      </w:r>
      <w:r w:rsidRPr="00FF69D8">
        <w:rPr>
          <w:i/>
          <w:iCs/>
          <w:color w:val="222222"/>
          <w:shd w:val="clear" w:color="auto" w:fill="FFFFFF"/>
        </w:rPr>
        <w:t>Current Directions in Psychological Science</w:t>
      </w:r>
      <w:r w:rsidRPr="00FF69D8">
        <w:rPr>
          <w:color w:val="222222"/>
          <w:shd w:val="clear" w:color="auto" w:fill="FFFFFF"/>
        </w:rPr>
        <w:t>, </w:t>
      </w:r>
      <w:r w:rsidRPr="00FF69D8">
        <w:rPr>
          <w:i/>
          <w:iCs/>
          <w:color w:val="222222"/>
          <w:shd w:val="clear" w:color="auto" w:fill="FFFFFF"/>
        </w:rPr>
        <w:t>28</w:t>
      </w:r>
      <w:r w:rsidRPr="00FF69D8">
        <w:rPr>
          <w:color w:val="222222"/>
          <w:shd w:val="clear" w:color="auto" w:fill="FFFFFF"/>
        </w:rPr>
        <w:t>(2), 195-203.</w:t>
      </w:r>
      <w:r w:rsidRPr="00FF69D8">
        <w:rPr>
          <w:color w:val="222222"/>
          <w:shd w:val="clear" w:color="auto" w:fill="FFFFFF"/>
          <w:rtl/>
        </w:rPr>
        <w:t>‏</w:t>
      </w:r>
    </w:p>
    <w:p w14:paraId="51EA15E7" w14:textId="1C570E58" w:rsidR="00066769" w:rsidRPr="00FF69D8" w:rsidRDefault="00066769" w:rsidP="00066769">
      <w:pPr>
        <w:spacing w:line="480" w:lineRule="auto"/>
        <w:ind w:left="720" w:hanging="720"/>
        <w:contextualSpacing/>
        <w:rPr>
          <w:color w:val="222222"/>
          <w:shd w:val="clear" w:color="auto" w:fill="FFFFFF"/>
        </w:rPr>
      </w:pPr>
      <w:proofErr w:type="spellStart"/>
      <w:r w:rsidRPr="00FF69D8">
        <w:rPr>
          <w:color w:val="222222"/>
          <w:shd w:val="clear" w:color="auto" w:fill="FFFFFF"/>
        </w:rPr>
        <w:t>Garnefski</w:t>
      </w:r>
      <w:proofErr w:type="spellEnd"/>
      <w:r w:rsidRPr="00FF69D8">
        <w:rPr>
          <w:color w:val="222222"/>
          <w:shd w:val="clear" w:color="auto" w:fill="FFFFFF"/>
        </w:rPr>
        <w:t xml:space="preserve">, N., &amp; </w:t>
      </w:r>
      <w:proofErr w:type="spellStart"/>
      <w:r w:rsidRPr="00FF69D8">
        <w:rPr>
          <w:color w:val="222222"/>
          <w:shd w:val="clear" w:color="auto" w:fill="FFFFFF"/>
        </w:rPr>
        <w:t>Kraaij</w:t>
      </w:r>
      <w:proofErr w:type="spellEnd"/>
      <w:r w:rsidRPr="00FF69D8">
        <w:rPr>
          <w:color w:val="222222"/>
          <w:shd w:val="clear" w:color="auto" w:fill="FFFFFF"/>
        </w:rPr>
        <w:t xml:space="preserve">, V. (2014). Bully victimization and emotional problems in adolescents: Moderation by specific cognitive coping </w:t>
      </w:r>
      <w:proofErr w:type="gramStart"/>
      <w:r w:rsidRPr="00FF69D8">
        <w:rPr>
          <w:color w:val="222222"/>
          <w:shd w:val="clear" w:color="auto" w:fill="FFFFFF"/>
        </w:rPr>
        <w:t>strategies?.</w:t>
      </w:r>
      <w:proofErr w:type="gramEnd"/>
      <w:r w:rsidRPr="00FF69D8">
        <w:rPr>
          <w:color w:val="222222"/>
          <w:shd w:val="clear" w:color="auto" w:fill="FFFFFF"/>
        </w:rPr>
        <w:t> </w:t>
      </w:r>
      <w:r w:rsidRPr="00FF69D8">
        <w:rPr>
          <w:i/>
          <w:iCs/>
          <w:color w:val="222222"/>
          <w:shd w:val="clear" w:color="auto" w:fill="FFFFFF"/>
        </w:rPr>
        <w:t>Journal of adolescence</w:t>
      </w:r>
      <w:r w:rsidRPr="00FF69D8">
        <w:rPr>
          <w:color w:val="222222"/>
          <w:shd w:val="clear" w:color="auto" w:fill="FFFFFF"/>
        </w:rPr>
        <w:t>, </w:t>
      </w:r>
      <w:r w:rsidRPr="00FF69D8">
        <w:rPr>
          <w:i/>
          <w:iCs/>
          <w:color w:val="222222"/>
          <w:shd w:val="clear" w:color="auto" w:fill="FFFFFF"/>
        </w:rPr>
        <w:t>37</w:t>
      </w:r>
      <w:r w:rsidRPr="00FF69D8">
        <w:rPr>
          <w:color w:val="222222"/>
          <w:shd w:val="clear" w:color="auto" w:fill="FFFFFF"/>
        </w:rPr>
        <w:t>(7), 1153-1160.</w:t>
      </w:r>
      <w:r w:rsidRPr="00FF69D8">
        <w:rPr>
          <w:color w:val="222222"/>
          <w:shd w:val="clear" w:color="auto" w:fill="FFFFFF"/>
          <w:rtl/>
        </w:rPr>
        <w:t>‏</w:t>
      </w:r>
    </w:p>
    <w:p w14:paraId="52CE0E20" w14:textId="3F362F02" w:rsidR="00066769" w:rsidRPr="00FF69D8" w:rsidRDefault="00066769" w:rsidP="00066769">
      <w:pPr>
        <w:spacing w:line="480" w:lineRule="auto"/>
        <w:ind w:left="720" w:hanging="720"/>
        <w:contextualSpacing/>
        <w:rPr>
          <w:color w:val="222222"/>
          <w:shd w:val="clear" w:color="auto" w:fill="FFFFFF"/>
        </w:rPr>
      </w:pPr>
      <w:r w:rsidRPr="00FF69D8">
        <w:rPr>
          <w:color w:val="222222"/>
          <w:shd w:val="clear" w:color="auto" w:fill="FFFFFF"/>
        </w:rPr>
        <w:t xml:space="preserve">Genet, J. J., &amp; </w:t>
      </w:r>
      <w:proofErr w:type="spellStart"/>
      <w:r w:rsidRPr="00FF69D8">
        <w:rPr>
          <w:color w:val="222222"/>
          <w:shd w:val="clear" w:color="auto" w:fill="FFFFFF"/>
        </w:rPr>
        <w:t>Siemer</w:t>
      </w:r>
      <w:proofErr w:type="spellEnd"/>
      <w:r w:rsidRPr="00FF69D8">
        <w:rPr>
          <w:color w:val="222222"/>
          <w:shd w:val="clear" w:color="auto" w:fill="FFFFFF"/>
        </w:rPr>
        <w:t>, M. (2012). Rumination moderates the effects of daily events on negative mood: results from a diary study. </w:t>
      </w:r>
      <w:r w:rsidRPr="00FF69D8">
        <w:rPr>
          <w:i/>
          <w:iCs/>
          <w:color w:val="222222"/>
          <w:shd w:val="clear" w:color="auto" w:fill="FFFFFF"/>
        </w:rPr>
        <w:t>Emotion</w:t>
      </w:r>
      <w:r w:rsidRPr="00FF69D8">
        <w:rPr>
          <w:color w:val="222222"/>
          <w:shd w:val="clear" w:color="auto" w:fill="FFFFFF"/>
        </w:rPr>
        <w:t>, </w:t>
      </w:r>
      <w:r w:rsidRPr="00FF69D8">
        <w:rPr>
          <w:i/>
          <w:iCs/>
          <w:color w:val="222222"/>
          <w:shd w:val="clear" w:color="auto" w:fill="FFFFFF"/>
        </w:rPr>
        <w:t>12</w:t>
      </w:r>
      <w:r w:rsidRPr="00FF69D8">
        <w:rPr>
          <w:color w:val="222222"/>
          <w:shd w:val="clear" w:color="auto" w:fill="FFFFFF"/>
        </w:rPr>
        <w:t>(6), 1329.</w:t>
      </w:r>
      <w:r w:rsidRPr="00FF69D8">
        <w:rPr>
          <w:color w:val="222222"/>
          <w:shd w:val="clear" w:color="auto" w:fill="FFFFFF"/>
          <w:rtl/>
        </w:rPr>
        <w:t>‏</w:t>
      </w:r>
    </w:p>
    <w:p w14:paraId="1A10A0C9" w14:textId="4651D110" w:rsidR="00FE100F" w:rsidRPr="00FF69D8" w:rsidRDefault="00FE100F" w:rsidP="00CA389B">
      <w:pPr>
        <w:autoSpaceDE w:val="0"/>
        <w:autoSpaceDN w:val="0"/>
        <w:adjustRightInd w:val="0"/>
        <w:snapToGrid w:val="0"/>
        <w:spacing w:line="480" w:lineRule="auto"/>
        <w:ind w:left="720" w:hanging="720"/>
        <w:contextualSpacing/>
        <w:rPr>
          <w:bCs/>
        </w:rPr>
      </w:pPr>
      <w:proofErr w:type="spellStart"/>
      <w:r w:rsidRPr="00FF69D8">
        <w:rPr>
          <w:bCs/>
        </w:rPr>
        <w:t>Gilbar</w:t>
      </w:r>
      <w:proofErr w:type="spellEnd"/>
      <w:r w:rsidRPr="00FF69D8">
        <w:rPr>
          <w:bCs/>
        </w:rPr>
        <w:t xml:space="preserve"> O., &amp; Ben-</w:t>
      </w:r>
      <w:proofErr w:type="spellStart"/>
      <w:r w:rsidRPr="00FF69D8">
        <w:rPr>
          <w:bCs/>
        </w:rPr>
        <w:t>Zur</w:t>
      </w:r>
      <w:proofErr w:type="spellEnd"/>
      <w:r w:rsidRPr="00FF69D8">
        <w:rPr>
          <w:bCs/>
        </w:rPr>
        <w:t xml:space="preserve">, H. (2002). Adult Israeli community norms for the Brief Symptom Inventory (BSI). </w:t>
      </w:r>
      <w:r w:rsidRPr="00FF69D8">
        <w:rPr>
          <w:bCs/>
          <w:i/>
          <w:iCs/>
        </w:rPr>
        <w:t>International Journal of Stress Management, 9</w:t>
      </w:r>
      <w:r w:rsidRPr="00FF69D8">
        <w:rPr>
          <w:bCs/>
        </w:rPr>
        <w:t>:1-10.</w:t>
      </w:r>
      <w:r w:rsidRPr="00FF69D8">
        <w:t xml:space="preserve"> </w:t>
      </w:r>
    </w:p>
    <w:p w14:paraId="0AF5042F" w14:textId="77777777" w:rsidR="00B303F6" w:rsidRPr="00FF69D8" w:rsidRDefault="00B303F6" w:rsidP="00CA389B">
      <w:pPr>
        <w:spacing w:line="480" w:lineRule="auto"/>
        <w:ind w:left="720" w:hanging="720"/>
        <w:contextualSpacing/>
        <w:rPr>
          <w:noProof/>
        </w:rPr>
      </w:pPr>
      <w:r w:rsidRPr="00FF69D8">
        <w:rPr>
          <w:noProof/>
        </w:rPr>
        <w:t xml:space="preserve">Gilliland, R., Blue Star, J. Hansen, B., &amp; Carpenter, B. (2015). Relationship Attachment styles in asample of hypersexual patients. </w:t>
      </w:r>
      <w:r w:rsidRPr="00FF69D8">
        <w:rPr>
          <w:i/>
          <w:iCs/>
          <w:noProof/>
        </w:rPr>
        <w:t>Journal of Sex and Marital Therapy, 41</w:t>
      </w:r>
      <w:r w:rsidRPr="00FF69D8">
        <w:rPr>
          <w:noProof/>
        </w:rPr>
        <w:t xml:space="preserve">, 581–592. </w:t>
      </w:r>
    </w:p>
    <w:p w14:paraId="4C2052D1" w14:textId="77777777" w:rsidR="00275DE0" w:rsidRPr="00FF69D8" w:rsidRDefault="00275DE0" w:rsidP="00CA389B">
      <w:pPr>
        <w:pStyle w:val="EndNoteBibliography"/>
        <w:ind w:left="720" w:hanging="720"/>
        <w:contextualSpacing/>
      </w:pPr>
      <w:r w:rsidRPr="00FF69D8">
        <w:rPr>
          <w:color w:val="222222"/>
          <w:shd w:val="clear" w:color="auto" w:fill="FFFFFF"/>
        </w:rPr>
        <w:t>Giordano, A. L., Cashwell, C. S., Lankford, C., King, K., &amp; Henson, R. K. (2017). Collegiate sexual addiction: Exploring religious coping and attachment. </w:t>
      </w:r>
      <w:r w:rsidRPr="00FF69D8">
        <w:rPr>
          <w:i/>
          <w:iCs/>
          <w:color w:val="222222"/>
          <w:shd w:val="clear" w:color="auto" w:fill="FFFFFF"/>
        </w:rPr>
        <w:t>Journal of Counseling &amp; Development</w:t>
      </w:r>
      <w:r w:rsidRPr="00FF69D8">
        <w:rPr>
          <w:color w:val="222222"/>
          <w:shd w:val="clear" w:color="auto" w:fill="FFFFFF"/>
        </w:rPr>
        <w:t>, </w:t>
      </w:r>
      <w:r w:rsidRPr="00FF69D8">
        <w:rPr>
          <w:i/>
          <w:iCs/>
          <w:color w:val="222222"/>
          <w:shd w:val="clear" w:color="auto" w:fill="FFFFFF"/>
        </w:rPr>
        <w:t>95</w:t>
      </w:r>
      <w:r w:rsidRPr="00FF69D8">
        <w:rPr>
          <w:color w:val="222222"/>
          <w:shd w:val="clear" w:color="auto" w:fill="FFFFFF"/>
        </w:rPr>
        <w:t>(2), 135-144.</w:t>
      </w:r>
      <w:r w:rsidRPr="00FF69D8">
        <w:rPr>
          <w:color w:val="222222"/>
          <w:shd w:val="clear" w:color="auto" w:fill="FFFFFF"/>
          <w:rtl/>
        </w:rPr>
        <w:t>‏</w:t>
      </w:r>
    </w:p>
    <w:p w14:paraId="3A688E31" w14:textId="77777777" w:rsidR="006474F8" w:rsidRPr="00FF69D8" w:rsidRDefault="006474F8" w:rsidP="00CA389B">
      <w:pPr>
        <w:spacing w:line="480" w:lineRule="auto"/>
        <w:ind w:left="720" w:hanging="720"/>
        <w:contextualSpacing/>
        <w:rPr>
          <w:color w:val="222222"/>
          <w:shd w:val="clear" w:color="auto" w:fill="FFFFFF"/>
        </w:rPr>
      </w:pPr>
      <w:r w:rsidRPr="00FF69D8">
        <w:rPr>
          <w:color w:val="222222"/>
          <w:shd w:val="clear" w:color="auto" w:fill="FFFFFF"/>
        </w:rPr>
        <w:lastRenderedPageBreak/>
        <w:t xml:space="preserve">Gola, M., </w:t>
      </w:r>
      <w:proofErr w:type="spellStart"/>
      <w:r w:rsidRPr="00FF69D8">
        <w:rPr>
          <w:color w:val="222222"/>
          <w:shd w:val="clear" w:color="auto" w:fill="FFFFFF"/>
        </w:rPr>
        <w:t>Lewczuk</w:t>
      </w:r>
      <w:proofErr w:type="spellEnd"/>
      <w:r w:rsidRPr="00FF69D8">
        <w:rPr>
          <w:color w:val="222222"/>
          <w:shd w:val="clear" w:color="auto" w:fill="FFFFFF"/>
        </w:rPr>
        <w:t xml:space="preserve">, K., Potenza, M. N., Kingston, D. A., Grubbs, J. B., Stark, R., &amp; Reid, R. C. (2020). What should be included in the criteria for compulsive sexual behavior </w:t>
      </w:r>
      <w:proofErr w:type="gramStart"/>
      <w:r w:rsidRPr="00FF69D8">
        <w:rPr>
          <w:color w:val="222222"/>
          <w:shd w:val="clear" w:color="auto" w:fill="FFFFFF"/>
        </w:rPr>
        <w:t>disorder?.</w:t>
      </w:r>
      <w:proofErr w:type="gramEnd"/>
      <w:r w:rsidRPr="00FF69D8">
        <w:rPr>
          <w:color w:val="222222"/>
          <w:shd w:val="clear" w:color="auto" w:fill="FFFFFF"/>
        </w:rPr>
        <w:t> </w:t>
      </w:r>
      <w:r w:rsidRPr="00FF69D8">
        <w:rPr>
          <w:i/>
          <w:iCs/>
          <w:color w:val="222222"/>
          <w:shd w:val="clear" w:color="auto" w:fill="FFFFFF"/>
        </w:rPr>
        <w:t>Journal of behavioral addictions</w:t>
      </w:r>
      <w:r w:rsidRPr="00FF69D8">
        <w:rPr>
          <w:color w:val="222222"/>
          <w:shd w:val="clear" w:color="auto" w:fill="FFFFFF"/>
        </w:rPr>
        <w:t>.</w:t>
      </w:r>
      <w:r w:rsidRPr="00FF69D8">
        <w:rPr>
          <w:color w:val="222222"/>
          <w:shd w:val="clear" w:color="auto" w:fill="FFFFFF"/>
          <w:rtl/>
        </w:rPr>
        <w:t>‏</w:t>
      </w:r>
    </w:p>
    <w:p w14:paraId="502B4605" w14:textId="4996D4A5" w:rsidR="009E5E3B" w:rsidRPr="00FF69D8" w:rsidRDefault="009E5E3B" w:rsidP="00CA389B">
      <w:pPr>
        <w:spacing w:line="480" w:lineRule="auto"/>
        <w:ind w:left="720" w:hanging="720"/>
        <w:contextualSpacing/>
        <w:rPr>
          <w:color w:val="000000" w:themeColor="text1"/>
          <w:shd w:val="clear" w:color="auto" w:fill="FFFFFF"/>
        </w:rPr>
      </w:pPr>
      <w:r w:rsidRPr="00FF69D8">
        <w:rPr>
          <w:color w:val="222222"/>
          <w:shd w:val="clear" w:color="auto" w:fill="FFFFFF"/>
        </w:rPr>
        <w:t>Goldberg, L. R. (1993). The structure of phenotypic personality traits. </w:t>
      </w:r>
      <w:r w:rsidRPr="00FF69D8">
        <w:rPr>
          <w:i/>
          <w:iCs/>
          <w:color w:val="222222"/>
          <w:shd w:val="clear" w:color="auto" w:fill="FFFFFF"/>
        </w:rPr>
        <w:t>American psychologist</w:t>
      </w:r>
      <w:r w:rsidRPr="00FF69D8">
        <w:rPr>
          <w:color w:val="222222"/>
          <w:shd w:val="clear" w:color="auto" w:fill="FFFFFF"/>
        </w:rPr>
        <w:t>, </w:t>
      </w:r>
      <w:r w:rsidRPr="00FF69D8">
        <w:rPr>
          <w:i/>
          <w:iCs/>
          <w:color w:val="222222"/>
          <w:shd w:val="clear" w:color="auto" w:fill="FFFFFF"/>
        </w:rPr>
        <w:t>48</w:t>
      </w:r>
      <w:r w:rsidRPr="00FF69D8">
        <w:rPr>
          <w:color w:val="222222"/>
          <w:shd w:val="clear" w:color="auto" w:fill="FFFFFF"/>
        </w:rPr>
        <w:t>(1), 26.</w:t>
      </w:r>
      <w:r w:rsidRPr="00FF69D8">
        <w:rPr>
          <w:color w:val="222222"/>
          <w:shd w:val="clear" w:color="auto" w:fill="FFFFFF"/>
          <w:rtl/>
        </w:rPr>
        <w:t>‏</w:t>
      </w:r>
    </w:p>
    <w:p w14:paraId="35FB4209" w14:textId="0A524B13" w:rsidR="00A67F95" w:rsidRPr="00FF69D8" w:rsidRDefault="00A67F95" w:rsidP="00CA389B">
      <w:pPr>
        <w:spacing w:line="480" w:lineRule="auto"/>
        <w:ind w:left="720" w:hanging="720"/>
        <w:contextualSpacing/>
        <w:rPr>
          <w:color w:val="000000" w:themeColor="text1"/>
          <w:shd w:val="clear" w:color="auto" w:fill="FFFFFF"/>
        </w:rPr>
      </w:pPr>
      <w:r w:rsidRPr="00FF69D8">
        <w:rPr>
          <w:color w:val="222222"/>
          <w:shd w:val="clear" w:color="auto" w:fill="FFFFFF"/>
        </w:rPr>
        <w:t>Griffin, K. R., Way, B. M., &amp; Kraus, S. W. (2021). Controversies and clinical recommendations for the treatment of compulsive sexual behavior disorder. </w:t>
      </w:r>
      <w:r w:rsidRPr="00FF69D8">
        <w:rPr>
          <w:i/>
          <w:iCs/>
          <w:color w:val="222222"/>
          <w:shd w:val="clear" w:color="auto" w:fill="FFFFFF"/>
        </w:rPr>
        <w:t>Current Addiction Reports</w:t>
      </w:r>
      <w:r w:rsidRPr="00FF69D8">
        <w:rPr>
          <w:color w:val="222222"/>
          <w:shd w:val="clear" w:color="auto" w:fill="FFFFFF"/>
        </w:rPr>
        <w:t>, </w:t>
      </w:r>
      <w:r w:rsidRPr="00FF69D8">
        <w:rPr>
          <w:i/>
          <w:iCs/>
          <w:color w:val="222222"/>
          <w:shd w:val="clear" w:color="auto" w:fill="FFFFFF"/>
        </w:rPr>
        <w:t>8</w:t>
      </w:r>
      <w:r w:rsidRPr="00FF69D8">
        <w:rPr>
          <w:color w:val="222222"/>
          <w:shd w:val="clear" w:color="auto" w:fill="FFFFFF"/>
        </w:rPr>
        <w:t>(4), 546-555.</w:t>
      </w:r>
      <w:r w:rsidRPr="00FF69D8">
        <w:rPr>
          <w:color w:val="222222"/>
          <w:shd w:val="clear" w:color="auto" w:fill="FFFFFF"/>
          <w:rtl/>
        </w:rPr>
        <w:t>‏</w:t>
      </w:r>
    </w:p>
    <w:p w14:paraId="2213D064" w14:textId="77777777" w:rsidR="000B3D4B" w:rsidRPr="00FF69D8" w:rsidRDefault="000B3D4B" w:rsidP="00CA389B">
      <w:pPr>
        <w:spacing w:line="480" w:lineRule="auto"/>
        <w:ind w:left="720" w:hanging="720"/>
        <w:contextualSpacing/>
        <w:rPr>
          <w:color w:val="000000" w:themeColor="text1"/>
          <w:shd w:val="clear" w:color="auto" w:fill="FFFFFF"/>
        </w:rPr>
      </w:pPr>
      <w:r w:rsidRPr="00FF69D8">
        <w:rPr>
          <w:color w:val="000000" w:themeColor="text1"/>
          <w:shd w:val="clear" w:color="auto" w:fill="FFFFFF"/>
        </w:rPr>
        <w:t xml:space="preserve">Gross, J. J., &amp; John, O. P. (2003). Individual differences in two emotion regulation processes: Implications for affect, relationships, and wellbeing. </w:t>
      </w:r>
      <w:r w:rsidRPr="00FF69D8">
        <w:rPr>
          <w:i/>
          <w:iCs/>
          <w:color w:val="000000" w:themeColor="text1"/>
          <w:shd w:val="clear" w:color="auto" w:fill="FFFFFF"/>
        </w:rPr>
        <w:t>Journal of Personality and Social Psychology, 85</w:t>
      </w:r>
      <w:r w:rsidRPr="00FF69D8">
        <w:rPr>
          <w:color w:val="000000" w:themeColor="text1"/>
          <w:shd w:val="clear" w:color="auto" w:fill="FFFFFF"/>
        </w:rPr>
        <w:t>, 348</w:t>
      </w:r>
      <w:r w:rsidR="00330C35" w:rsidRPr="00FF69D8">
        <w:rPr>
          <w:color w:val="000000" w:themeColor="text1"/>
          <w:shd w:val="clear" w:color="auto" w:fill="FFFFFF"/>
        </w:rPr>
        <w:t>-</w:t>
      </w:r>
      <w:r w:rsidRPr="00FF69D8">
        <w:rPr>
          <w:color w:val="000000" w:themeColor="text1"/>
          <w:shd w:val="clear" w:color="auto" w:fill="FFFFFF"/>
        </w:rPr>
        <w:t>362. doi:10.1037/0022-3514.85.2.348</w:t>
      </w:r>
    </w:p>
    <w:p w14:paraId="6D2E5B4D" w14:textId="77777777" w:rsidR="00A03C06" w:rsidRPr="00FF69D8" w:rsidRDefault="00A03C06" w:rsidP="00CA389B">
      <w:pPr>
        <w:spacing w:line="480" w:lineRule="auto"/>
        <w:ind w:left="720" w:hanging="720"/>
        <w:contextualSpacing/>
        <w:rPr>
          <w:color w:val="000000" w:themeColor="text1"/>
          <w:shd w:val="clear" w:color="auto" w:fill="FFFFFF"/>
        </w:rPr>
      </w:pPr>
      <w:r w:rsidRPr="00FF69D8">
        <w:rPr>
          <w:color w:val="000000" w:themeColor="text1"/>
          <w:shd w:val="clear" w:color="auto" w:fill="FFFFFF"/>
        </w:rPr>
        <w:t xml:space="preserve">Gross, J. J., &amp; Thompson, R. A. (2007). Emotion regulation: Conceptual foundations. In J. J. Gross (Ed.), </w:t>
      </w:r>
      <w:r w:rsidRPr="00FF69D8">
        <w:rPr>
          <w:i/>
          <w:iCs/>
          <w:color w:val="000000" w:themeColor="text1"/>
          <w:shd w:val="clear" w:color="auto" w:fill="FFFFFF"/>
        </w:rPr>
        <w:t>Handbook of emotion regulation</w:t>
      </w:r>
      <w:r w:rsidRPr="00FF69D8">
        <w:rPr>
          <w:color w:val="000000" w:themeColor="text1"/>
          <w:shd w:val="clear" w:color="auto" w:fill="FFFFFF"/>
        </w:rPr>
        <w:t xml:space="preserve"> (pp.3</w:t>
      </w:r>
      <w:r w:rsidR="00330C35" w:rsidRPr="00FF69D8">
        <w:rPr>
          <w:color w:val="000000" w:themeColor="text1"/>
          <w:shd w:val="clear" w:color="auto" w:fill="FFFFFF"/>
        </w:rPr>
        <w:t>-</w:t>
      </w:r>
      <w:r w:rsidRPr="00FF69D8">
        <w:rPr>
          <w:color w:val="000000" w:themeColor="text1"/>
          <w:shd w:val="clear" w:color="auto" w:fill="FFFFFF"/>
        </w:rPr>
        <w:t>24). New York: Guilford Press.</w:t>
      </w:r>
    </w:p>
    <w:p w14:paraId="35FCC54B" w14:textId="77777777" w:rsidR="00C26A1E" w:rsidRPr="00FF69D8" w:rsidRDefault="00C26A1E" w:rsidP="00CA389B">
      <w:pPr>
        <w:spacing w:line="480" w:lineRule="auto"/>
        <w:ind w:left="720" w:hanging="720"/>
        <w:contextualSpacing/>
        <w:rPr>
          <w:color w:val="222222"/>
          <w:shd w:val="clear" w:color="auto" w:fill="FFFFFF"/>
        </w:rPr>
      </w:pPr>
      <w:r w:rsidRPr="00FF69D8">
        <w:rPr>
          <w:color w:val="222222"/>
          <w:shd w:val="clear" w:color="auto" w:fill="FFFFFF"/>
        </w:rPr>
        <w:t>Grubbs, J. B., Perry, S. L., Wilt, J. A., &amp; Reid, R. C. (2019). Pornography problems due to moral incongruence: An integrative model with a systematic review and meta-analysis. </w:t>
      </w:r>
      <w:r w:rsidRPr="00FF69D8">
        <w:rPr>
          <w:i/>
          <w:iCs/>
          <w:color w:val="222222"/>
          <w:shd w:val="clear" w:color="auto" w:fill="FFFFFF"/>
        </w:rPr>
        <w:t>Archives of Sexual Behavior</w:t>
      </w:r>
      <w:r w:rsidRPr="00FF69D8">
        <w:rPr>
          <w:color w:val="222222"/>
          <w:shd w:val="clear" w:color="auto" w:fill="FFFFFF"/>
        </w:rPr>
        <w:t>, </w:t>
      </w:r>
      <w:r w:rsidRPr="00FF69D8">
        <w:rPr>
          <w:i/>
          <w:iCs/>
          <w:color w:val="222222"/>
          <w:shd w:val="clear" w:color="auto" w:fill="FFFFFF"/>
        </w:rPr>
        <w:t>48</w:t>
      </w:r>
      <w:r w:rsidRPr="00FF69D8">
        <w:rPr>
          <w:color w:val="222222"/>
          <w:shd w:val="clear" w:color="auto" w:fill="FFFFFF"/>
        </w:rPr>
        <w:t>(2), 397-415.</w:t>
      </w:r>
      <w:r w:rsidRPr="00FF69D8">
        <w:rPr>
          <w:color w:val="222222"/>
          <w:shd w:val="clear" w:color="auto" w:fill="FFFFFF"/>
          <w:rtl/>
        </w:rPr>
        <w:t>‏</w:t>
      </w:r>
    </w:p>
    <w:p w14:paraId="11D64805" w14:textId="64E811B9" w:rsidR="00DD68AD" w:rsidRPr="00FF69D8" w:rsidRDefault="00DD68AD" w:rsidP="00CA389B">
      <w:pPr>
        <w:spacing w:line="480" w:lineRule="auto"/>
        <w:ind w:left="720" w:hanging="720"/>
        <w:contextualSpacing/>
        <w:rPr>
          <w:color w:val="000000"/>
          <w:lang w:val="x-none"/>
        </w:rPr>
      </w:pPr>
      <w:r w:rsidRPr="00FF69D8">
        <w:rPr>
          <w:color w:val="222222"/>
          <w:shd w:val="clear" w:color="auto" w:fill="FFFFFF"/>
        </w:rPr>
        <w:t>Grubbs, J. B., Hoagland, K. C., Lee, B. N., Grant, J. T., Davison, P., Reid, R. C., &amp; Kraus, S. W. (2020). Sexual addiction 25 years on: A systematic and methodological review of empirical literature and an agenda for future research. </w:t>
      </w:r>
      <w:r w:rsidRPr="00FF69D8">
        <w:rPr>
          <w:i/>
          <w:iCs/>
          <w:color w:val="222222"/>
          <w:shd w:val="clear" w:color="auto" w:fill="FFFFFF"/>
        </w:rPr>
        <w:t>Clinical Psychology Review</w:t>
      </w:r>
      <w:r w:rsidRPr="00FF69D8">
        <w:rPr>
          <w:color w:val="222222"/>
          <w:shd w:val="clear" w:color="auto" w:fill="FFFFFF"/>
        </w:rPr>
        <w:t>, </w:t>
      </w:r>
      <w:r w:rsidRPr="00FF69D8">
        <w:rPr>
          <w:i/>
          <w:iCs/>
          <w:color w:val="222222"/>
          <w:shd w:val="clear" w:color="auto" w:fill="FFFFFF"/>
        </w:rPr>
        <w:t>82</w:t>
      </w:r>
      <w:r w:rsidRPr="00FF69D8">
        <w:rPr>
          <w:color w:val="222222"/>
          <w:shd w:val="clear" w:color="auto" w:fill="FFFFFF"/>
        </w:rPr>
        <w:t>, 101925.</w:t>
      </w:r>
      <w:r w:rsidRPr="00FF69D8">
        <w:rPr>
          <w:color w:val="222222"/>
          <w:shd w:val="clear" w:color="auto" w:fill="FFFFFF"/>
          <w:rtl/>
        </w:rPr>
        <w:t>‏</w:t>
      </w:r>
    </w:p>
    <w:p w14:paraId="6BE38990" w14:textId="240C95A9" w:rsidR="008E6346" w:rsidRPr="00FF69D8" w:rsidRDefault="008E6346" w:rsidP="00CA389B">
      <w:pPr>
        <w:spacing w:line="480" w:lineRule="auto"/>
        <w:ind w:left="720" w:hanging="720"/>
        <w:contextualSpacing/>
        <w:rPr>
          <w:color w:val="000000" w:themeColor="text1"/>
          <w:shd w:val="clear" w:color="auto" w:fill="FFFFFF"/>
        </w:rPr>
      </w:pPr>
      <w:proofErr w:type="spellStart"/>
      <w:r w:rsidRPr="00FF69D8">
        <w:rPr>
          <w:color w:val="000000"/>
          <w:lang w:val="x-none"/>
        </w:rPr>
        <w:lastRenderedPageBreak/>
        <w:t>Gullone</w:t>
      </w:r>
      <w:proofErr w:type="spellEnd"/>
      <w:r w:rsidRPr="00FF69D8">
        <w:rPr>
          <w:color w:val="000000"/>
        </w:rPr>
        <w:t>, E.</w:t>
      </w:r>
      <w:r w:rsidR="00330C35" w:rsidRPr="00FF69D8">
        <w:rPr>
          <w:color w:val="000000"/>
        </w:rPr>
        <w:t>,</w:t>
      </w:r>
      <w:r w:rsidRPr="00FF69D8">
        <w:rPr>
          <w:color w:val="000000"/>
        </w:rPr>
        <w:t xml:space="preserve"> &amp; </w:t>
      </w:r>
      <w:proofErr w:type="spellStart"/>
      <w:r w:rsidRPr="00FF69D8">
        <w:rPr>
          <w:color w:val="000000"/>
        </w:rPr>
        <w:t>Taffe</w:t>
      </w:r>
      <w:proofErr w:type="spellEnd"/>
      <w:r w:rsidRPr="00FF69D8">
        <w:rPr>
          <w:color w:val="000000"/>
        </w:rPr>
        <w:t>, J. (</w:t>
      </w:r>
      <w:r w:rsidRPr="00FF69D8">
        <w:rPr>
          <w:color w:val="000000" w:themeColor="text1"/>
          <w:shd w:val="clear" w:color="auto" w:fill="FFFFFF"/>
        </w:rPr>
        <w:t xml:space="preserve">2012). The Emotion Regulation Questionnaire for Children and Adolescents (ERQ–CA): A </w:t>
      </w:r>
      <w:r w:rsidR="00330C35" w:rsidRPr="00FF69D8">
        <w:rPr>
          <w:color w:val="000000" w:themeColor="text1"/>
          <w:shd w:val="clear" w:color="auto" w:fill="FFFFFF"/>
        </w:rPr>
        <w:t>p</w:t>
      </w:r>
      <w:r w:rsidRPr="00FF69D8">
        <w:rPr>
          <w:color w:val="000000" w:themeColor="text1"/>
          <w:shd w:val="clear" w:color="auto" w:fill="FFFFFF"/>
        </w:rPr>
        <w:t xml:space="preserve">sychometric </w:t>
      </w:r>
      <w:r w:rsidR="00330C35" w:rsidRPr="00FF69D8">
        <w:rPr>
          <w:color w:val="000000" w:themeColor="text1"/>
          <w:shd w:val="clear" w:color="auto" w:fill="FFFFFF"/>
        </w:rPr>
        <w:t>e</w:t>
      </w:r>
      <w:r w:rsidRPr="00FF69D8">
        <w:rPr>
          <w:color w:val="000000" w:themeColor="text1"/>
          <w:shd w:val="clear" w:color="auto" w:fill="FFFFFF"/>
        </w:rPr>
        <w:t xml:space="preserve">valuation. </w:t>
      </w:r>
      <w:r w:rsidRPr="00FF69D8">
        <w:rPr>
          <w:i/>
          <w:iCs/>
          <w:color w:val="000000" w:themeColor="text1"/>
          <w:shd w:val="clear" w:color="auto" w:fill="FFFFFF"/>
        </w:rPr>
        <w:t>Psychological Assessment</w:t>
      </w:r>
      <w:r w:rsidR="00330C35" w:rsidRPr="00FF69D8">
        <w:rPr>
          <w:i/>
          <w:iCs/>
          <w:color w:val="000000" w:themeColor="text1"/>
          <w:shd w:val="clear" w:color="auto" w:fill="FFFFFF"/>
        </w:rPr>
        <w:t>, 24</w:t>
      </w:r>
      <w:r w:rsidR="00330C35" w:rsidRPr="00FF69D8">
        <w:rPr>
          <w:color w:val="000000" w:themeColor="text1"/>
          <w:shd w:val="clear" w:color="auto" w:fill="FFFFFF"/>
        </w:rPr>
        <w:t>(</w:t>
      </w:r>
      <w:r w:rsidRPr="00FF69D8">
        <w:rPr>
          <w:color w:val="000000" w:themeColor="text1"/>
          <w:shd w:val="clear" w:color="auto" w:fill="FFFFFF"/>
        </w:rPr>
        <w:t>2</w:t>
      </w:r>
      <w:r w:rsidR="00330C35" w:rsidRPr="00FF69D8">
        <w:rPr>
          <w:color w:val="000000" w:themeColor="text1"/>
          <w:shd w:val="clear" w:color="auto" w:fill="FFFFFF"/>
        </w:rPr>
        <w:t>)</w:t>
      </w:r>
      <w:r w:rsidRPr="00FF69D8">
        <w:rPr>
          <w:color w:val="000000" w:themeColor="text1"/>
          <w:shd w:val="clear" w:color="auto" w:fill="FFFFFF"/>
        </w:rPr>
        <w:t>, 409</w:t>
      </w:r>
      <w:r w:rsidR="00330C35" w:rsidRPr="00FF69D8">
        <w:rPr>
          <w:color w:val="000000" w:themeColor="text1"/>
          <w:shd w:val="clear" w:color="auto" w:fill="FFFFFF"/>
        </w:rPr>
        <w:t>-</w:t>
      </w:r>
      <w:r w:rsidRPr="00FF69D8">
        <w:rPr>
          <w:color w:val="000000" w:themeColor="text1"/>
          <w:shd w:val="clear" w:color="auto" w:fill="FFFFFF"/>
        </w:rPr>
        <w:t>417.</w:t>
      </w:r>
    </w:p>
    <w:p w14:paraId="014CF680" w14:textId="77777777" w:rsidR="00633372" w:rsidRPr="00FF69D8" w:rsidRDefault="00633372" w:rsidP="00CA389B">
      <w:pPr>
        <w:spacing w:line="480" w:lineRule="auto"/>
        <w:ind w:left="720" w:hanging="720"/>
        <w:contextualSpacing/>
        <w:rPr>
          <w:color w:val="000000" w:themeColor="text1"/>
          <w:shd w:val="clear" w:color="auto" w:fill="FFFFFF"/>
        </w:rPr>
      </w:pPr>
      <w:proofErr w:type="spellStart"/>
      <w:r w:rsidRPr="00FF69D8">
        <w:rPr>
          <w:color w:val="222222"/>
          <w:shd w:val="clear" w:color="auto" w:fill="FFFFFF"/>
        </w:rPr>
        <w:t>Gustavson</w:t>
      </w:r>
      <w:proofErr w:type="spellEnd"/>
      <w:r w:rsidRPr="00FF69D8">
        <w:rPr>
          <w:color w:val="222222"/>
          <w:shd w:val="clear" w:color="auto" w:fill="FFFFFF"/>
        </w:rPr>
        <w:t xml:space="preserve">, D. E., du Pont, A., </w:t>
      </w:r>
      <w:proofErr w:type="spellStart"/>
      <w:r w:rsidRPr="00FF69D8">
        <w:rPr>
          <w:color w:val="222222"/>
          <w:shd w:val="clear" w:color="auto" w:fill="FFFFFF"/>
        </w:rPr>
        <w:t>Whisman</w:t>
      </w:r>
      <w:proofErr w:type="spellEnd"/>
      <w:r w:rsidRPr="00FF69D8">
        <w:rPr>
          <w:color w:val="222222"/>
          <w:shd w:val="clear" w:color="auto" w:fill="FFFFFF"/>
        </w:rPr>
        <w:t>, M. A., &amp; Miyake, A. (2018). Evidence for transdiagnostic repetitive negative thinking and its association with rumination, worry, and depression and anxiety symptoms: A commonality analysis. </w:t>
      </w:r>
      <w:r w:rsidRPr="00FF69D8">
        <w:rPr>
          <w:i/>
          <w:iCs/>
          <w:color w:val="222222"/>
          <w:shd w:val="clear" w:color="auto" w:fill="FFFFFF"/>
        </w:rPr>
        <w:t>Collabra: Psychology</w:t>
      </w:r>
      <w:r w:rsidRPr="00FF69D8">
        <w:rPr>
          <w:color w:val="222222"/>
          <w:shd w:val="clear" w:color="auto" w:fill="FFFFFF"/>
        </w:rPr>
        <w:t>, </w:t>
      </w:r>
      <w:r w:rsidRPr="00FF69D8">
        <w:rPr>
          <w:i/>
          <w:iCs/>
          <w:color w:val="222222"/>
          <w:shd w:val="clear" w:color="auto" w:fill="FFFFFF"/>
        </w:rPr>
        <w:t>4</w:t>
      </w:r>
      <w:r w:rsidRPr="00FF69D8">
        <w:rPr>
          <w:color w:val="222222"/>
          <w:shd w:val="clear" w:color="auto" w:fill="FFFFFF"/>
        </w:rPr>
        <w:t>(1).</w:t>
      </w:r>
      <w:r w:rsidRPr="00FF69D8">
        <w:rPr>
          <w:color w:val="222222"/>
          <w:shd w:val="clear" w:color="auto" w:fill="FFFFFF"/>
          <w:rtl/>
        </w:rPr>
        <w:t>‏</w:t>
      </w:r>
      <w:r w:rsidRPr="00FF69D8">
        <w:rPr>
          <w:color w:val="000000" w:themeColor="text1"/>
          <w:shd w:val="clear" w:color="auto" w:fill="FFFFFF"/>
        </w:rPr>
        <w:t xml:space="preserve"> </w:t>
      </w:r>
    </w:p>
    <w:p w14:paraId="138C5293" w14:textId="77777777" w:rsidR="00C26A1E" w:rsidRPr="00FF69D8" w:rsidRDefault="00C26A1E" w:rsidP="00CA389B">
      <w:pPr>
        <w:spacing w:line="480" w:lineRule="auto"/>
        <w:ind w:left="720" w:hanging="720"/>
        <w:contextualSpacing/>
        <w:rPr>
          <w:color w:val="000000" w:themeColor="text1"/>
          <w:shd w:val="clear" w:color="auto" w:fill="FFFFFF"/>
        </w:rPr>
      </w:pPr>
      <w:r w:rsidRPr="00FF69D8">
        <w:rPr>
          <w:color w:val="222222"/>
          <w:shd w:val="clear" w:color="auto" w:fill="FFFFFF"/>
        </w:rPr>
        <w:t xml:space="preserve">Hardy, S. A., &amp; </w:t>
      </w:r>
      <w:proofErr w:type="spellStart"/>
      <w:r w:rsidRPr="00FF69D8">
        <w:rPr>
          <w:color w:val="222222"/>
          <w:shd w:val="clear" w:color="auto" w:fill="FFFFFF"/>
        </w:rPr>
        <w:t>Raffaelli</w:t>
      </w:r>
      <w:proofErr w:type="spellEnd"/>
      <w:r w:rsidRPr="00FF69D8">
        <w:rPr>
          <w:color w:val="222222"/>
          <w:shd w:val="clear" w:color="auto" w:fill="FFFFFF"/>
        </w:rPr>
        <w:t>, M. (2003). Adolescent religiosity and sexuality: An investigation of reciprocal influences. </w:t>
      </w:r>
      <w:r w:rsidRPr="00FF69D8">
        <w:rPr>
          <w:i/>
          <w:iCs/>
          <w:color w:val="222222"/>
          <w:shd w:val="clear" w:color="auto" w:fill="FFFFFF"/>
        </w:rPr>
        <w:t>Journal of adolescence</w:t>
      </w:r>
      <w:r w:rsidRPr="00FF69D8">
        <w:rPr>
          <w:color w:val="222222"/>
          <w:shd w:val="clear" w:color="auto" w:fill="FFFFFF"/>
        </w:rPr>
        <w:t>, </w:t>
      </w:r>
      <w:r w:rsidRPr="00FF69D8">
        <w:rPr>
          <w:i/>
          <w:iCs/>
          <w:color w:val="222222"/>
          <w:shd w:val="clear" w:color="auto" w:fill="FFFFFF"/>
        </w:rPr>
        <w:t>26</w:t>
      </w:r>
      <w:r w:rsidRPr="00FF69D8">
        <w:rPr>
          <w:color w:val="222222"/>
          <w:shd w:val="clear" w:color="auto" w:fill="FFFFFF"/>
        </w:rPr>
        <w:t>(6), 731-739.</w:t>
      </w:r>
      <w:r w:rsidRPr="00FF69D8">
        <w:rPr>
          <w:color w:val="222222"/>
          <w:shd w:val="clear" w:color="auto" w:fill="FFFFFF"/>
          <w:rtl/>
        </w:rPr>
        <w:t>‏</w:t>
      </w:r>
    </w:p>
    <w:p w14:paraId="4634D9ED" w14:textId="69E1C402" w:rsidR="00F15D50" w:rsidRPr="00FF69D8" w:rsidRDefault="00F15D50" w:rsidP="00CA389B">
      <w:pPr>
        <w:spacing w:line="480" w:lineRule="auto"/>
        <w:ind w:left="720" w:hanging="720"/>
        <w:contextualSpacing/>
        <w:rPr>
          <w:color w:val="000000" w:themeColor="text1"/>
          <w:shd w:val="clear" w:color="auto" w:fill="FFFFFF"/>
        </w:rPr>
      </w:pPr>
      <w:r w:rsidRPr="00FF69D8">
        <w:rPr>
          <w:color w:val="222222"/>
          <w:shd w:val="clear" w:color="auto" w:fill="FFFFFF"/>
        </w:rPr>
        <w:t>Hayes, S. C. (2004). Acceptance and commitment therapy, relational frame theory, and the third wave of behavioral and cognitive therapies. </w:t>
      </w:r>
      <w:r w:rsidRPr="00FF69D8">
        <w:rPr>
          <w:i/>
          <w:iCs/>
          <w:color w:val="222222"/>
          <w:shd w:val="clear" w:color="auto" w:fill="FFFFFF"/>
        </w:rPr>
        <w:t>Behavior therapy</w:t>
      </w:r>
      <w:r w:rsidRPr="00FF69D8">
        <w:rPr>
          <w:color w:val="222222"/>
          <w:shd w:val="clear" w:color="auto" w:fill="FFFFFF"/>
        </w:rPr>
        <w:t>, </w:t>
      </w:r>
      <w:r w:rsidRPr="00FF69D8">
        <w:rPr>
          <w:i/>
          <w:iCs/>
          <w:color w:val="222222"/>
          <w:shd w:val="clear" w:color="auto" w:fill="FFFFFF"/>
        </w:rPr>
        <w:t>35</w:t>
      </w:r>
      <w:r w:rsidRPr="00FF69D8">
        <w:rPr>
          <w:color w:val="222222"/>
          <w:shd w:val="clear" w:color="auto" w:fill="FFFFFF"/>
        </w:rPr>
        <w:t>(4), 639-665.</w:t>
      </w:r>
      <w:r w:rsidRPr="00FF69D8">
        <w:rPr>
          <w:color w:val="222222"/>
          <w:shd w:val="clear" w:color="auto" w:fill="FFFFFF"/>
          <w:rtl/>
        </w:rPr>
        <w:t>‏</w:t>
      </w:r>
    </w:p>
    <w:p w14:paraId="727DD090" w14:textId="77777777" w:rsidR="004E0D40" w:rsidRPr="00FF69D8" w:rsidRDefault="004E0D40" w:rsidP="004E0D40">
      <w:pPr>
        <w:spacing w:line="480" w:lineRule="auto"/>
        <w:ind w:left="720" w:hanging="720"/>
        <w:contextualSpacing/>
        <w:rPr>
          <w:color w:val="222222"/>
          <w:shd w:val="clear" w:color="auto" w:fill="FFFFFF"/>
        </w:rPr>
      </w:pPr>
      <w:r w:rsidRPr="00FF69D8">
        <w:rPr>
          <w:color w:val="222222"/>
          <w:shd w:val="clear" w:color="auto" w:fill="FFFFFF"/>
        </w:rPr>
        <w:t>Hayes, S. C., &amp; Hofmann, S. G. (2017). The third wave of cognitive behavioral therapy and the rise of process‐based care. </w:t>
      </w:r>
      <w:r w:rsidRPr="00FF69D8">
        <w:rPr>
          <w:i/>
          <w:iCs/>
          <w:color w:val="222222"/>
          <w:shd w:val="clear" w:color="auto" w:fill="FFFFFF"/>
        </w:rPr>
        <w:t>World Psychiatry, 16</w:t>
      </w:r>
      <w:r w:rsidRPr="00FF69D8">
        <w:rPr>
          <w:color w:val="222222"/>
          <w:shd w:val="clear" w:color="auto" w:fill="FFFFFF"/>
        </w:rPr>
        <w:t>(3), 245.</w:t>
      </w:r>
      <w:r w:rsidRPr="00FF69D8">
        <w:rPr>
          <w:color w:val="222222"/>
          <w:shd w:val="clear" w:color="auto" w:fill="FFFFFF"/>
          <w:rtl/>
        </w:rPr>
        <w:t>‏</w:t>
      </w:r>
    </w:p>
    <w:p w14:paraId="132144EA" w14:textId="02490441" w:rsidR="00DD3A50" w:rsidRPr="00FF69D8" w:rsidRDefault="00DD3A50" w:rsidP="00CA389B">
      <w:pPr>
        <w:spacing w:line="480" w:lineRule="auto"/>
        <w:ind w:left="720" w:hanging="720"/>
        <w:contextualSpacing/>
        <w:rPr>
          <w:color w:val="000000" w:themeColor="text1"/>
        </w:rPr>
      </w:pPr>
      <w:r w:rsidRPr="00FF69D8">
        <w:rPr>
          <w:color w:val="000000" w:themeColor="text1"/>
          <w:shd w:val="clear" w:color="auto" w:fill="FFFFFF"/>
        </w:rPr>
        <w:t>Hayes, A. F., Preacher, K. J., &amp; Myers, T. A. (2011). Mediation and the estimation of indirect effects in political communication research.</w:t>
      </w:r>
      <w:r w:rsidRPr="00FF69D8">
        <w:rPr>
          <w:rStyle w:val="apple-converted-space"/>
          <w:color w:val="000000" w:themeColor="text1"/>
          <w:shd w:val="clear" w:color="auto" w:fill="FFFFFF"/>
        </w:rPr>
        <w:t> </w:t>
      </w:r>
      <w:r w:rsidRPr="00FF69D8">
        <w:rPr>
          <w:i/>
          <w:iCs/>
          <w:color w:val="000000" w:themeColor="text1"/>
          <w:shd w:val="clear" w:color="auto" w:fill="FFFFFF"/>
        </w:rPr>
        <w:t>Sourcebook for political communication research: Methods, measures, and analytical techniques</w:t>
      </w:r>
      <w:r w:rsidRPr="00FF69D8">
        <w:rPr>
          <w:color w:val="000000" w:themeColor="text1"/>
          <w:shd w:val="clear" w:color="auto" w:fill="FFFFFF"/>
        </w:rPr>
        <w:t>,</w:t>
      </w:r>
      <w:r w:rsidR="00330C35" w:rsidRPr="00FF69D8">
        <w:rPr>
          <w:color w:val="000000" w:themeColor="text1"/>
          <w:shd w:val="clear" w:color="auto" w:fill="FFFFFF"/>
        </w:rPr>
        <w:t xml:space="preserve"> pp.</w:t>
      </w:r>
      <w:r w:rsidRPr="00FF69D8">
        <w:rPr>
          <w:color w:val="000000" w:themeColor="text1"/>
          <w:shd w:val="clear" w:color="auto" w:fill="FFFFFF"/>
        </w:rPr>
        <w:t>434-465</w:t>
      </w:r>
      <w:r w:rsidR="00330C35" w:rsidRPr="00FF69D8">
        <w:rPr>
          <w:color w:val="000000" w:themeColor="text1"/>
          <w:shd w:val="clear" w:color="auto" w:fill="FFFFFF"/>
        </w:rPr>
        <w:t>)</w:t>
      </w:r>
      <w:r w:rsidRPr="00FF69D8">
        <w:rPr>
          <w:color w:val="000000" w:themeColor="text1"/>
          <w:shd w:val="clear" w:color="auto" w:fill="FFFFFF"/>
        </w:rPr>
        <w:t>.</w:t>
      </w:r>
      <w:r w:rsidRPr="00FF69D8">
        <w:rPr>
          <w:color w:val="000000" w:themeColor="text1"/>
          <w:shd w:val="clear" w:color="auto" w:fill="FFFFFF"/>
          <w:rtl/>
        </w:rPr>
        <w:t>‏</w:t>
      </w:r>
      <w:r w:rsidR="00330C35" w:rsidRPr="00FF69D8">
        <w:rPr>
          <w:color w:val="000000" w:themeColor="text1"/>
          <w:shd w:val="clear" w:color="auto" w:fill="FFFFFF"/>
        </w:rPr>
        <w:t xml:space="preserve"> City: Publisher.</w:t>
      </w:r>
    </w:p>
    <w:p w14:paraId="1B03B7D7" w14:textId="77777777" w:rsidR="00301854" w:rsidRPr="00FF69D8" w:rsidRDefault="00301854" w:rsidP="00CA389B">
      <w:pPr>
        <w:spacing w:line="480" w:lineRule="auto"/>
        <w:ind w:left="720" w:hanging="720"/>
        <w:contextualSpacing/>
        <w:rPr>
          <w:color w:val="000000" w:themeColor="text1"/>
          <w:shd w:val="clear" w:color="auto" w:fill="FFFFFF"/>
        </w:rPr>
      </w:pPr>
      <w:proofErr w:type="spellStart"/>
      <w:r w:rsidRPr="00FF69D8">
        <w:rPr>
          <w:color w:val="222222"/>
          <w:shd w:val="clear" w:color="auto" w:fill="FFFFFF"/>
        </w:rPr>
        <w:t>Herbenick</w:t>
      </w:r>
      <w:proofErr w:type="spellEnd"/>
      <w:r w:rsidRPr="00FF69D8">
        <w:rPr>
          <w:color w:val="222222"/>
          <w:shd w:val="clear" w:color="auto" w:fill="FFFFFF"/>
        </w:rPr>
        <w:t>, D., Fu, T. C., Wright, P., Paul, B., Gradus, R., Bauer, J., &amp; Jones, R. (2020). Diverse sexual behaviors and pornography use: Findings from a nationally representative probability survey of Americans aged 18 to 60 years. </w:t>
      </w:r>
      <w:r w:rsidRPr="00FF69D8">
        <w:rPr>
          <w:i/>
          <w:iCs/>
          <w:color w:val="222222"/>
          <w:shd w:val="clear" w:color="auto" w:fill="FFFFFF"/>
        </w:rPr>
        <w:t>The Journal of Sexual Medicine</w:t>
      </w:r>
      <w:r w:rsidRPr="00FF69D8">
        <w:rPr>
          <w:color w:val="222222"/>
          <w:shd w:val="clear" w:color="auto" w:fill="FFFFFF"/>
        </w:rPr>
        <w:t>, </w:t>
      </w:r>
      <w:r w:rsidRPr="00FF69D8">
        <w:rPr>
          <w:i/>
          <w:iCs/>
          <w:color w:val="222222"/>
          <w:shd w:val="clear" w:color="auto" w:fill="FFFFFF"/>
        </w:rPr>
        <w:t>17</w:t>
      </w:r>
      <w:r w:rsidRPr="00FF69D8">
        <w:rPr>
          <w:color w:val="222222"/>
          <w:shd w:val="clear" w:color="auto" w:fill="FFFFFF"/>
        </w:rPr>
        <w:t>(4), 623-633.</w:t>
      </w:r>
      <w:r w:rsidRPr="00FF69D8">
        <w:rPr>
          <w:color w:val="222222"/>
          <w:shd w:val="clear" w:color="auto" w:fill="FFFFFF"/>
          <w:rtl/>
        </w:rPr>
        <w:t>‏</w:t>
      </w:r>
    </w:p>
    <w:p w14:paraId="0915C51F" w14:textId="77777777" w:rsidR="00C52D14" w:rsidRPr="00FF69D8" w:rsidRDefault="00C52D14" w:rsidP="00CA389B">
      <w:pPr>
        <w:spacing w:line="480" w:lineRule="auto"/>
        <w:ind w:left="720" w:hanging="720"/>
        <w:contextualSpacing/>
        <w:rPr>
          <w:noProof/>
        </w:rPr>
      </w:pPr>
      <w:proofErr w:type="spellStart"/>
      <w:r w:rsidRPr="00FF69D8">
        <w:rPr>
          <w:color w:val="222222"/>
          <w:shd w:val="clear" w:color="auto" w:fill="FFFFFF"/>
        </w:rPr>
        <w:lastRenderedPageBreak/>
        <w:t>Holas</w:t>
      </w:r>
      <w:proofErr w:type="spellEnd"/>
      <w:r w:rsidRPr="00FF69D8">
        <w:rPr>
          <w:color w:val="222222"/>
          <w:shd w:val="clear" w:color="auto" w:fill="FFFFFF"/>
        </w:rPr>
        <w:t xml:space="preserve">, P., </w:t>
      </w:r>
      <w:proofErr w:type="spellStart"/>
      <w:r w:rsidRPr="00FF69D8">
        <w:rPr>
          <w:color w:val="222222"/>
          <w:shd w:val="clear" w:color="auto" w:fill="FFFFFF"/>
        </w:rPr>
        <w:t>Draps</w:t>
      </w:r>
      <w:proofErr w:type="spellEnd"/>
      <w:r w:rsidRPr="00FF69D8">
        <w:rPr>
          <w:color w:val="222222"/>
          <w:shd w:val="clear" w:color="auto" w:fill="FFFFFF"/>
        </w:rPr>
        <w:t xml:space="preserve">, M., </w:t>
      </w:r>
      <w:proofErr w:type="spellStart"/>
      <w:r w:rsidRPr="00FF69D8">
        <w:rPr>
          <w:color w:val="222222"/>
          <w:shd w:val="clear" w:color="auto" w:fill="FFFFFF"/>
        </w:rPr>
        <w:t>Kowalewska</w:t>
      </w:r>
      <w:proofErr w:type="spellEnd"/>
      <w:r w:rsidRPr="00FF69D8">
        <w:rPr>
          <w:color w:val="222222"/>
          <w:shd w:val="clear" w:color="auto" w:fill="FFFFFF"/>
        </w:rPr>
        <w:t xml:space="preserve">, E., </w:t>
      </w:r>
      <w:proofErr w:type="spellStart"/>
      <w:r w:rsidRPr="00FF69D8">
        <w:rPr>
          <w:color w:val="222222"/>
          <w:shd w:val="clear" w:color="auto" w:fill="FFFFFF"/>
        </w:rPr>
        <w:t>Lewczuk</w:t>
      </w:r>
      <w:proofErr w:type="spellEnd"/>
      <w:r w:rsidRPr="00FF69D8">
        <w:rPr>
          <w:color w:val="222222"/>
          <w:shd w:val="clear" w:color="auto" w:fill="FFFFFF"/>
        </w:rPr>
        <w:t xml:space="preserve">, K., &amp; Gola, M. (2021). A pilot study of mindfulness-based relapse prevention for compulsive sexual </w:t>
      </w:r>
      <w:proofErr w:type="spellStart"/>
      <w:r w:rsidRPr="00FF69D8">
        <w:rPr>
          <w:color w:val="222222"/>
          <w:shd w:val="clear" w:color="auto" w:fill="FFFFFF"/>
        </w:rPr>
        <w:t>behaviour</w:t>
      </w:r>
      <w:proofErr w:type="spellEnd"/>
      <w:r w:rsidRPr="00FF69D8">
        <w:rPr>
          <w:color w:val="222222"/>
          <w:shd w:val="clear" w:color="auto" w:fill="FFFFFF"/>
        </w:rPr>
        <w:t xml:space="preserve"> disorder. </w:t>
      </w:r>
      <w:r w:rsidRPr="00FF69D8">
        <w:rPr>
          <w:i/>
          <w:iCs/>
          <w:color w:val="222222"/>
          <w:shd w:val="clear" w:color="auto" w:fill="FFFFFF"/>
        </w:rPr>
        <w:t>Journal of Behavioral Addictions</w:t>
      </w:r>
      <w:r w:rsidRPr="00FF69D8">
        <w:rPr>
          <w:color w:val="222222"/>
          <w:shd w:val="clear" w:color="auto" w:fill="FFFFFF"/>
        </w:rPr>
        <w:t>, </w:t>
      </w:r>
      <w:r w:rsidRPr="00FF69D8">
        <w:rPr>
          <w:i/>
          <w:iCs/>
          <w:color w:val="222222"/>
          <w:shd w:val="clear" w:color="auto" w:fill="FFFFFF"/>
        </w:rPr>
        <w:t>9</w:t>
      </w:r>
      <w:r w:rsidRPr="00FF69D8">
        <w:rPr>
          <w:color w:val="222222"/>
          <w:shd w:val="clear" w:color="auto" w:fill="FFFFFF"/>
        </w:rPr>
        <w:t>(4), 1088-1092.</w:t>
      </w:r>
      <w:r w:rsidRPr="00FF69D8">
        <w:rPr>
          <w:color w:val="222222"/>
          <w:shd w:val="clear" w:color="auto" w:fill="FFFFFF"/>
          <w:rtl/>
        </w:rPr>
        <w:t>‏</w:t>
      </w:r>
    </w:p>
    <w:p w14:paraId="2862D7DE" w14:textId="77777777" w:rsidR="00BE0684" w:rsidRPr="00FF69D8" w:rsidRDefault="00BE0684" w:rsidP="00CA389B">
      <w:pPr>
        <w:autoSpaceDE w:val="0"/>
        <w:autoSpaceDN w:val="0"/>
        <w:adjustRightInd w:val="0"/>
        <w:snapToGrid w:val="0"/>
        <w:spacing w:line="480" w:lineRule="auto"/>
        <w:ind w:left="720" w:hanging="720"/>
        <w:contextualSpacing/>
        <w:rPr>
          <w:color w:val="000000"/>
          <w:lang w:val="x-none"/>
        </w:rPr>
      </w:pPr>
      <w:r w:rsidRPr="00FF69D8">
        <w:rPr>
          <w:color w:val="222222"/>
          <w:shd w:val="clear" w:color="auto" w:fill="FFFFFF"/>
        </w:rPr>
        <w:t xml:space="preserve">John, O. P., Donahue, E. M., &amp; </w:t>
      </w:r>
      <w:proofErr w:type="spellStart"/>
      <w:r w:rsidRPr="00FF69D8">
        <w:rPr>
          <w:color w:val="222222"/>
          <w:shd w:val="clear" w:color="auto" w:fill="FFFFFF"/>
        </w:rPr>
        <w:t>Kentle</w:t>
      </w:r>
      <w:proofErr w:type="spellEnd"/>
      <w:r w:rsidRPr="00FF69D8">
        <w:rPr>
          <w:color w:val="222222"/>
          <w:shd w:val="clear" w:color="auto" w:fill="FFFFFF"/>
        </w:rPr>
        <w:t>, R. L. (1991). Big five inventory. </w:t>
      </w:r>
      <w:r w:rsidRPr="00FF69D8">
        <w:rPr>
          <w:i/>
          <w:iCs/>
          <w:color w:val="222222"/>
          <w:shd w:val="clear" w:color="auto" w:fill="FFFFFF"/>
        </w:rPr>
        <w:t>Journal of Personality and Social Psychology</w:t>
      </w:r>
      <w:r w:rsidRPr="00FF69D8">
        <w:rPr>
          <w:color w:val="222222"/>
          <w:shd w:val="clear" w:color="auto" w:fill="FFFFFF"/>
        </w:rPr>
        <w:t>.</w:t>
      </w:r>
      <w:r w:rsidRPr="00FF69D8">
        <w:rPr>
          <w:color w:val="222222"/>
          <w:shd w:val="clear" w:color="auto" w:fill="FFFFFF"/>
          <w:rtl/>
        </w:rPr>
        <w:t>‏</w:t>
      </w:r>
    </w:p>
    <w:p w14:paraId="5D50E4BB" w14:textId="0D44EDC8" w:rsidR="00DF57C2" w:rsidRPr="00FF69D8" w:rsidRDefault="00DF57C2" w:rsidP="00CA389B">
      <w:pPr>
        <w:autoSpaceDE w:val="0"/>
        <w:autoSpaceDN w:val="0"/>
        <w:adjustRightInd w:val="0"/>
        <w:snapToGrid w:val="0"/>
        <w:spacing w:line="480" w:lineRule="auto"/>
        <w:ind w:left="720" w:hanging="720"/>
        <w:contextualSpacing/>
        <w:rPr>
          <w:color w:val="000000"/>
        </w:rPr>
      </w:pPr>
      <w:r w:rsidRPr="00FF69D8">
        <w:rPr>
          <w:color w:val="000000"/>
          <w:lang w:val="x-none"/>
        </w:rPr>
        <w:t>John, O. P., &amp; Srivastava, S. (1999). The Big Five Trait Taxonomy: History,</w:t>
      </w:r>
      <w:r w:rsidRPr="00FF69D8">
        <w:rPr>
          <w:color w:val="000000"/>
        </w:rPr>
        <w:t xml:space="preserve"> </w:t>
      </w:r>
      <w:r w:rsidRPr="00FF69D8">
        <w:rPr>
          <w:color w:val="000000"/>
          <w:lang w:val="x-none"/>
        </w:rPr>
        <w:t xml:space="preserve">measurement, and theoretical perspectives. In L. </w:t>
      </w:r>
      <w:proofErr w:type="spellStart"/>
      <w:r w:rsidRPr="00FF69D8">
        <w:rPr>
          <w:color w:val="000000"/>
          <w:lang w:val="x-none"/>
        </w:rPr>
        <w:t>Pervin</w:t>
      </w:r>
      <w:proofErr w:type="spellEnd"/>
      <w:r w:rsidRPr="00FF69D8">
        <w:rPr>
          <w:color w:val="000000"/>
          <w:lang w:val="x-none"/>
        </w:rPr>
        <w:t xml:space="preserve"> &amp; O.P. John (Eds.),</w:t>
      </w:r>
      <w:r w:rsidRPr="00FF69D8">
        <w:rPr>
          <w:color w:val="000000"/>
        </w:rPr>
        <w:t xml:space="preserve"> </w:t>
      </w:r>
      <w:r w:rsidRPr="00FF69D8">
        <w:rPr>
          <w:i/>
          <w:iCs/>
          <w:color w:val="000000"/>
          <w:lang w:val="x-none"/>
        </w:rPr>
        <w:t>Handbook of personality: Theory and research</w:t>
      </w:r>
      <w:r w:rsidRPr="00FF69D8">
        <w:rPr>
          <w:color w:val="000000"/>
          <w:lang w:val="x-none"/>
        </w:rPr>
        <w:t xml:space="preserve"> (2nd</w:t>
      </w:r>
      <w:r w:rsidRPr="00FF69D8">
        <w:rPr>
          <w:color w:val="000000"/>
        </w:rPr>
        <w:t xml:space="preserve"> </w:t>
      </w:r>
      <w:r w:rsidRPr="00FF69D8">
        <w:rPr>
          <w:color w:val="000000"/>
          <w:lang w:val="x-none"/>
        </w:rPr>
        <w:t>ed.</w:t>
      </w:r>
      <w:r w:rsidR="00330C35" w:rsidRPr="00FF69D8">
        <w:rPr>
          <w:color w:val="000000"/>
        </w:rPr>
        <w:t xml:space="preserve">, </w:t>
      </w:r>
      <w:r w:rsidRPr="00FF69D8">
        <w:rPr>
          <w:color w:val="000000"/>
          <w:lang w:val="x-none"/>
        </w:rPr>
        <w:t>pp. 102-138). New</w:t>
      </w:r>
      <w:r w:rsidRPr="00FF69D8">
        <w:rPr>
          <w:color w:val="000000"/>
        </w:rPr>
        <w:t xml:space="preserve"> </w:t>
      </w:r>
      <w:r w:rsidRPr="00FF69D8">
        <w:rPr>
          <w:color w:val="000000"/>
          <w:lang w:val="x-none"/>
        </w:rPr>
        <w:t>York: Guilford.</w:t>
      </w:r>
    </w:p>
    <w:p w14:paraId="7FC0FE79" w14:textId="77777777" w:rsidR="002245B6" w:rsidRPr="00FF69D8" w:rsidRDefault="002245B6" w:rsidP="00CA389B">
      <w:pPr>
        <w:pStyle w:val="EndNoteBibliography"/>
        <w:ind w:left="720" w:hanging="720"/>
        <w:contextualSpacing/>
        <w:rPr>
          <w:color w:val="222222"/>
          <w:shd w:val="clear" w:color="auto" w:fill="FFFFFF"/>
        </w:rPr>
      </w:pPr>
      <w:r w:rsidRPr="00FF69D8">
        <w:rPr>
          <w:color w:val="222222"/>
          <w:shd w:val="clear" w:color="auto" w:fill="FFFFFF"/>
        </w:rPr>
        <w:t>Kircaburun, K., Ünübol, H., Sayar, G. H., Çarkçı, J., &amp; Griffiths, M. D. (2021). Sex addiction in Turkey: A large-scale survey with a national community sample. </w:t>
      </w:r>
      <w:r w:rsidRPr="00FF69D8">
        <w:rPr>
          <w:i/>
          <w:iCs/>
          <w:color w:val="222222"/>
          <w:shd w:val="clear" w:color="auto" w:fill="FFFFFF"/>
        </w:rPr>
        <w:t>Current Psychology</w:t>
      </w:r>
      <w:r w:rsidRPr="00FF69D8">
        <w:rPr>
          <w:color w:val="222222"/>
          <w:shd w:val="clear" w:color="auto" w:fill="FFFFFF"/>
        </w:rPr>
        <w:t>, 1-9.</w:t>
      </w:r>
      <w:r w:rsidRPr="00FF69D8">
        <w:rPr>
          <w:color w:val="222222"/>
          <w:shd w:val="clear" w:color="auto" w:fill="FFFFFF"/>
          <w:rtl/>
        </w:rPr>
        <w:t>‏</w:t>
      </w:r>
    </w:p>
    <w:p w14:paraId="70131AC3" w14:textId="179D11CF" w:rsidR="003C6AE3" w:rsidRPr="00FF69D8" w:rsidRDefault="003C6AE3" w:rsidP="00CA389B">
      <w:pPr>
        <w:pStyle w:val="EndNoteBibliography"/>
        <w:ind w:left="720" w:hanging="720"/>
        <w:contextualSpacing/>
      </w:pPr>
      <w:r w:rsidRPr="00FF69D8">
        <w:rPr>
          <w:color w:val="222222"/>
          <w:shd w:val="clear" w:color="auto" w:fill="FFFFFF"/>
        </w:rPr>
        <w:t>Koós, M., Bőthe, B., Orosz, G., Potenza, M. N., Reid, R. C., &amp; Demetrovics, Z. (2021). The negative consequences of hypersexuality: Revisiting the factor structure of the Hypersexual Behavior Consequences Scale and its correlates in a large, non-clinical sample. </w:t>
      </w:r>
      <w:r w:rsidRPr="00FF69D8">
        <w:rPr>
          <w:i/>
          <w:iCs/>
          <w:color w:val="222222"/>
          <w:shd w:val="clear" w:color="auto" w:fill="FFFFFF"/>
        </w:rPr>
        <w:t>Addictive Behaviors Reports</w:t>
      </w:r>
      <w:r w:rsidRPr="00FF69D8">
        <w:rPr>
          <w:color w:val="222222"/>
          <w:shd w:val="clear" w:color="auto" w:fill="FFFFFF"/>
        </w:rPr>
        <w:t>, </w:t>
      </w:r>
      <w:r w:rsidRPr="00FF69D8">
        <w:rPr>
          <w:i/>
          <w:iCs/>
          <w:color w:val="222222"/>
          <w:shd w:val="clear" w:color="auto" w:fill="FFFFFF"/>
        </w:rPr>
        <w:t>13</w:t>
      </w:r>
      <w:r w:rsidRPr="00FF69D8">
        <w:rPr>
          <w:color w:val="222222"/>
          <w:shd w:val="clear" w:color="auto" w:fill="FFFFFF"/>
        </w:rPr>
        <w:t>, 100321.</w:t>
      </w:r>
      <w:r w:rsidRPr="00FF69D8">
        <w:rPr>
          <w:color w:val="222222"/>
          <w:shd w:val="clear" w:color="auto" w:fill="FFFFFF"/>
          <w:rtl/>
        </w:rPr>
        <w:t>‏</w:t>
      </w:r>
    </w:p>
    <w:p w14:paraId="58A29B92" w14:textId="21FCBAAA" w:rsidR="00DD3A50" w:rsidRPr="00FF69D8" w:rsidRDefault="009C7871" w:rsidP="00CA389B">
      <w:pPr>
        <w:spacing w:line="480" w:lineRule="auto"/>
        <w:ind w:left="720" w:hanging="720"/>
        <w:contextualSpacing/>
      </w:pPr>
      <w:r w:rsidRPr="00FF69D8">
        <w:t>.</w:t>
      </w:r>
      <w:r w:rsidR="00DD3A50" w:rsidRPr="00FF69D8">
        <w:fldChar w:fldCharType="begin"/>
      </w:r>
      <w:r w:rsidR="00DD3A50" w:rsidRPr="00FF69D8">
        <w:instrText xml:space="preserve"> ADDIN EN.REFLIST </w:instrText>
      </w:r>
      <w:r w:rsidR="00DD3A50" w:rsidRPr="00FF69D8">
        <w:fldChar w:fldCharType="separate"/>
      </w:r>
    </w:p>
    <w:p w14:paraId="228DC188" w14:textId="77777777" w:rsidR="000A6EBF" w:rsidRPr="00FF69D8" w:rsidRDefault="000A6EBF" w:rsidP="00CA389B">
      <w:pPr>
        <w:spacing w:line="480" w:lineRule="auto"/>
        <w:ind w:left="720" w:hanging="720"/>
        <w:contextualSpacing/>
        <w:rPr>
          <w:noProof/>
        </w:rPr>
      </w:pPr>
      <w:bookmarkStart w:id="0" w:name="_ENREF_92"/>
      <w:r w:rsidRPr="00FF69D8">
        <w:rPr>
          <w:color w:val="222222"/>
          <w:shd w:val="clear" w:color="auto" w:fill="FFFFFF"/>
        </w:rPr>
        <w:t xml:space="preserve">Matthews, M., Webb, T. L., &amp; Sheppes, G. (2021). Do people choose the same strategies to regulate other people’s emotions as they choose to regulate their </w:t>
      </w:r>
      <w:proofErr w:type="gramStart"/>
      <w:r w:rsidRPr="00FF69D8">
        <w:rPr>
          <w:color w:val="222222"/>
          <w:shd w:val="clear" w:color="auto" w:fill="FFFFFF"/>
        </w:rPr>
        <w:t>own?.</w:t>
      </w:r>
      <w:proofErr w:type="gramEnd"/>
      <w:r w:rsidRPr="00FF69D8">
        <w:rPr>
          <w:color w:val="222222"/>
          <w:shd w:val="clear" w:color="auto" w:fill="FFFFFF"/>
        </w:rPr>
        <w:t> </w:t>
      </w:r>
      <w:r w:rsidRPr="00FF69D8">
        <w:rPr>
          <w:i/>
          <w:iCs/>
          <w:color w:val="222222"/>
          <w:shd w:val="clear" w:color="auto" w:fill="FFFFFF"/>
        </w:rPr>
        <w:t>Emotion</w:t>
      </w:r>
      <w:r w:rsidRPr="00FF69D8">
        <w:rPr>
          <w:color w:val="222222"/>
          <w:shd w:val="clear" w:color="auto" w:fill="FFFFFF"/>
        </w:rPr>
        <w:t>.</w:t>
      </w:r>
      <w:r w:rsidRPr="00FF69D8">
        <w:rPr>
          <w:color w:val="222222"/>
          <w:shd w:val="clear" w:color="auto" w:fill="FFFFFF"/>
          <w:rtl/>
        </w:rPr>
        <w:t>‏</w:t>
      </w:r>
      <w:r w:rsidRPr="00FF69D8">
        <w:rPr>
          <w:noProof/>
        </w:rPr>
        <w:t xml:space="preserve"> </w:t>
      </w:r>
    </w:p>
    <w:p w14:paraId="6B3D2379" w14:textId="4D7BD456" w:rsidR="006D6346" w:rsidRPr="00FF69D8" w:rsidRDefault="006D6346" w:rsidP="00CA389B">
      <w:pPr>
        <w:spacing w:line="480" w:lineRule="auto"/>
        <w:ind w:left="720" w:hanging="720"/>
        <w:contextualSpacing/>
        <w:rPr>
          <w:noProof/>
        </w:rPr>
      </w:pPr>
      <w:r w:rsidRPr="00FF69D8">
        <w:rPr>
          <w:noProof/>
        </w:rPr>
        <w:t xml:space="preserve">Mansell, W., Harvey, A., Watkins, E., &amp; Shafran, R. (2009). Conceptual foundations of the transdiagnostic approach to CBT. </w:t>
      </w:r>
      <w:r w:rsidRPr="00FF69D8">
        <w:rPr>
          <w:i/>
          <w:noProof/>
        </w:rPr>
        <w:t>Journal of Cognitive Psychotherapy, 23</w:t>
      </w:r>
      <w:r w:rsidRPr="00FF69D8">
        <w:rPr>
          <w:noProof/>
        </w:rPr>
        <w:t xml:space="preserve">, 6-19. </w:t>
      </w:r>
      <w:bookmarkEnd w:id="0"/>
    </w:p>
    <w:p w14:paraId="49FD258A" w14:textId="77777777" w:rsidR="00C22AC0" w:rsidRPr="00FF69D8" w:rsidRDefault="00C22AC0" w:rsidP="00CA389B">
      <w:pPr>
        <w:spacing w:line="480" w:lineRule="auto"/>
        <w:ind w:left="720" w:hanging="720"/>
        <w:contextualSpacing/>
        <w:rPr>
          <w:noProof/>
        </w:rPr>
      </w:pPr>
      <w:r w:rsidRPr="00FF69D8">
        <w:rPr>
          <w:noProof/>
        </w:rPr>
        <w:lastRenderedPageBreak/>
        <w:t xml:space="preserve">McCrae, R. R., &amp; Costa, P. T. (1994). The stability of personality: Observation and evaluations. </w:t>
      </w:r>
      <w:r w:rsidRPr="00FF69D8">
        <w:rPr>
          <w:i/>
          <w:iCs/>
          <w:noProof/>
        </w:rPr>
        <w:t>Current Directions in Psychological Science, 3</w:t>
      </w:r>
      <w:r w:rsidRPr="00FF69D8">
        <w:rPr>
          <w:noProof/>
        </w:rPr>
        <w:t>, 173</w:t>
      </w:r>
      <w:r w:rsidR="00626CAA" w:rsidRPr="00FF69D8">
        <w:rPr>
          <w:noProof/>
        </w:rPr>
        <w:t>-</w:t>
      </w:r>
      <w:r w:rsidRPr="00FF69D8">
        <w:rPr>
          <w:noProof/>
        </w:rPr>
        <w:t>175.</w:t>
      </w:r>
    </w:p>
    <w:p w14:paraId="058704EB" w14:textId="198CE9AA" w:rsidR="00CF4256" w:rsidRPr="00FF69D8" w:rsidRDefault="009E5E3B" w:rsidP="00CA389B">
      <w:pPr>
        <w:spacing w:line="480" w:lineRule="auto"/>
        <w:ind w:left="720" w:hanging="720"/>
        <w:contextualSpacing/>
        <w:rPr>
          <w:noProof/>
        </w:rPr>
      </w:pPr>
      <w:bookmarkStart w:id="1" w:name="_ENREF_107"/>
      <w:bookmarkStart w:id="2" w:name="_ENREF_108"/>
      <w:r w:rsidRPr="00FF69D8">
        <w:rPr>
          <w:color w:val="222222"/>
          <w:shd w:val="clear" w:color="auto" w:fill="FFFFFF"/>
        </w:rPr>
        <w:t>McCrae, R. R., Costa Jr, P. T., Ostendorf, F., Angleitner, A., Hřebíčková, M., Avia, M. D., ... &amp; Smith, P. B. (2000). Nature over nurture: temperament, personality, and life span development. </w:t>
      </w:r>
      <w:r w:rsidRPr="00FF69D8">
        <w:rPr>
          <w:i/>
          <w:iCs/>
          <w:color w:val="222222"/>
          <w:shd w:val="clear" w:color="auto" w:fill="FFFFFF"/>
        </w:rPr>
        <w:t>Journal of personality and social psychology</w:t>
      </w:r>
      <w:r w:rsidRPr="00FF69D8">
        <w:rPr>
          <w:color w:val="222222"/>
          <w:shd w:val="clear" w:color="auto" w:fill="FFFFFF"/>
        </w:rPr>
        <w:t>, </w:t>
      </w:r>
      <w:r w:rsidRPr="00FF69D8">
        <w:rPr>
          <w:i/>
          <w:iCs/>
          <w:color w:val="222222"/>
          <w:shd w:val="clear" w:color="auto" w:fill="FFFFFF"/>
        </w:rPr>
        <w:t>78</w:t>
      </w:r>
      <w:r w:rsidRPr="00FF69D8">
        <w:rPr>
          <w:color w:val="222222"/>
          <w:shd w:val="clear" w:color="auto" w:fill="FFFFFF"/>
        </w:rPr>
        <w:t>(1), 173.</w:t>
      </w:r>
      <w:r w:rsidRPr="00FF69D8">
        <w:rPr>
          <w:color w:val="222222"/>
          <w:shd w:val="clear" w:color="auto" w:fill="FFFFFF"/>
          <w:rtl/>
        </w:rPr>
        <w:t>‏</w:t>
      </w:r>
      <w:r w:rsidRPr="00FF69D8">
        <w:rPr>
          <w:noProof/>
        </w:rPr>
        <w:t xml:space="preserve"> </w:t>
      </w:r>
      <w:r w:rsidR="00CF4256" w:rsidRPr="00FF69D8">
        <w:rPr>
          <w:noProof/>
        </w:rPr>
        <w:t>McWilliams, N. (1994).</w:t>
      </w:r>
      <w:r w:rsidR="00CF4256" w:rsidRPr="00FF69D8">
        <w:rPr>
          <w:i/>
          <w:iCs/>
          <w:noProof/>
        </w:rPr>
        <w:t> Psychoanalytic Diagnosis: Understanding Personality Clinical</w:t>
      </w:r>
      <w:r w:rsidR="00CF4256" w:rsidRPr="00FF69D8">
        <w:rPr>
          <w:i/>
          <w:iCs/>
          <w:noProof/>
          <w:rtl/>
        </w:rPr>
        <w:t> </w:t>
      </w:r>
      <w:r w:rsidR="00CF4256" w:rsidRPr="00FF69D8">
        <w:rPr>
          <w:i/>
          <w:iCs/>
          <w:noProof/>
        </w:rPr>
        <w:t>Process</w:t>
      </w:r>
      <w:r w:rsidR="00CF4256" w:rsidRPr="00FF69D8">
        <w:rPr>
          <w:noProof/>
        </w:rPr>
        <w:t xml:space="preserve">, The Guilford Press. </w:t>
      </w:r>
    </w:p>
    <w:p w14:paraId="0C01CDEF" w14:textId="77777777" w:rsidR="00EC3369" w:rsidRPr="00FF69D8" w:rsidRDefault="00EC3369" w:rsidP="00CA389B">
      <w:pPr>
        <w:spacing w:line="480" w:lineRule="auto"/>
        <w:ind w:left="720" w:hanging="720"/>
        <w:contextualSpacing/>
        <w:rPr>
          <w:noProof/>
        </w:rPr>
      </w:pPr>
      <w:r w:rsidRPr="00FF69D8">
        <w:rPr>
          <w:color w:val="222222"/>
          <w:shd w:val="clear" w:color="auto" w:fill="FFFFFF"/>
        </w:rPr>
        <w:t>McCrae, R. R., &amp; Costa, P. T. (1987). Validation of the five-factor model of personality across instruments and observers. </w:t>
      </w:r>
      <w:r w:rsidRPr="00FF69D8">
        <w:rPr>
          <w:i/>
          <w:iCs/>
          <w:color w:val="222222"/>
          <w:shd w:val="clear" w:color="auto" w:fill="FFFFFF"/>
        </w:rPr>
        <w:t>Journal of personality and social psychology</w:t>
      </w:r>
      <w:r w:rsidRPr="00FF69D8">
        <w:rPr>
          <w:color w:val="222222"/>
          <w:shd w:val="clear" w:color="auto" w:fill="FFFFFF"/>
        </w:rPr>
        <w:t>, </w:t>
      </w:r>
      <w:r w:rsidRPr="00FF69D8">
        <w:rPr>
          <w:i/>
          <w:iCs/>
          <w:color w:val="222222"/>
          <w:shd w:val="clear" w:color="auto" w:fill="FFFFFF"/>
        </w:rPr>
        <w:t>52</w:t>
      </w:r>
      <w:r w:rsidRPr="00FF69D8">
        <w:rPr>
          <w:color w:val="222222"/>
          <w:shd w:val="clear" w:color="auto" w:fill="FFFFFF"/>
        </w:rPr>
        <w:t>(1), 81.</w:t>
      </w:r>
      <w:r w:rsidRPr="00FF69D8">
        <w:rPr>
          <w:color w:val="222222"/>
          <w:shd w:val="clear" w:color="auto" w:fill="FFFFFF"/>
          <w:rtl/>
        </w:rPr>
        <w:t>‏</w:t>
      </w:r>
      <w:r w:rsidRPr="00FF69D8">
        <w:rPr>
          <w:noProof/>
        </w:rPr>
        <w:t xml:space="preserve"> </w:t>
      </w:r>
    </w:p>
    <w:p w14:paraId="4C5D7470" w14:textId="77777777" w:rsidR="005F5916" w:rsidRPr="00FF69D8" w:rsidRDefault="005F5916" w:rsidP="00CA389B">
      <w:pPr>
        <w:spacing w:line="480" w:lineRule="auto"/>
        <w:ind w:left="720" w:hanging="720"/>
        <w:contextualSpacing/>
        <w:rPr>
          <w:noProof/>
        </w:rPr>
      </w:pPr>
      <w:r w:rsidRPr="00FF69D8">
        <w:rPr>
          <w:color w:val="222222"/>
          <w:shd w:val="clear" w:color="auto" w:fill="FFFFFF"/>
        </w:rPr>
        <w:t>McCrae, R. R., &amp; Costa Jr, P. T. (1997). Personality trait structure as a human universal. </w:t>
      </w:r>
      <w:r w:rsidRPr="00FF69D8">
        <w:rPr>
          <w:i/>
          <w:iCs/>
          <w:color w:val="222222"/>
          <w:shd w:val="clear" w:color="auto" w:fill="FFFFFF"/>
        </w:rPr>
        <w:t>American psychologist</w:t>
      </w:r>
      <w:r w:rsidRPr="00FF69D8">
        <w:rPr>
          <w:color w:val="222222"/>
          <w:shd w:val="clear" w:color="auto" w:fill="FFFFFF"/>
        </w:rPr>
        <w:t>, </w:t>
      </w:r>
      <w:r w:rsidRPr="00FF69D8">
        <w:rPr>
          <w:i/>
          <w:iCs/>
          <w:color w:val="222222"/>
          <w:shd w:val="clear" w:color="auto" w:fill="FFFFFF"/>
        </w:rPr>
        <w:t>52</w:t>
      </w:r>
      <w:r w:rsidRPr="00FF69D8">
        <w:rPr>
          <w:color w:val="222222"/>
          <w:shd w:val="clear" w:color="auto" w:fill="FFFFFF"/>
        </w:rPr>
        <w:t>(5), 509.</w:t>
      </w:r>
      <w:r w:rsidRPr="00FF69D8">
        <w:rPr>
          <w:color w:val="222222"/>
          <w:shd w:val="clear" w:color="auto" w:fill="FFFFFF"/>
          <w:rtl/>
        </w:rPr>
        <w:t>‏</w:t>
      </w:r>
      <w:r w:rsidRPr="00FF69D8">
        <w:rPr>
          <w:noProof/>
        </w:rPr>
        <w:t xml:space="preserve"> </w:t>
      </w:r>
    </w:p>
    <w:p w14:paraId="1BC3A652" w14:textId="77777777" w:rsidR="000716C3" w:rsidRPr="00FF69D8" w:rsidRDefault="000716C3" w:rsidP="00CA389B">
      <w:pPr>
        <w:spacing w:line="480" w:lineRule="auto"/>
        <w:ind w:left="720" w:hanging="720"/>
        <w:contextualSpacing/>
        <w:rPr>
          <w:noProof/>
        </w:rPr>
      </w:pPr>
      <w:r w:rsidRPr="00FF69D8">
        <w:rPr>
          <w:color w:val="222222"/>
          <w:shd w:val="clear" w:color="auto" w:fill="FFFFFF"/>
        </w:rPr>
        <w:t xml:space="preserve">McRae, K., Ochsner, K. N., </w:t>
      </w:r>
      <w:proofErr w:type="spellStart"/>
      <w:r w:rsidRPr="00FF69D8">
        <w:rPr>
          <w:color w:val="222222"/>
          <w:shd w:val="clear" w:color="auto" w:fill="FFFFFF"/>
        </w:rPr>
        <w:t>Mauss</w:t>
      </w:r>
      <w:proofErr w:type="spellEnd"/>
      <w:r w:rsidRPr="00FF69D8">
        <w:rPr>
          <w:color w:val="222222"/>
          <w:shd w:val="clear" w:color="auto" w:fill="FFFFFF"/>
        </w:rPr>
        <w:t xml:space="preserve">, I. B., </w:t>
      </w:r>
      <w:proofErr w:type="spellStart"/>
      <w:r w:rsidRPr="00FF69D8">
        <w:rPr>
          <w:color w:val="222222"/>
          <w:shd w:val="clear" w:color="auto" w:fill="FFFFFF"/>
        </w:rPr>
        <w:t>Gabrieli</w:t>
      </w:r>
      <w:proofErr w:type="spellEnd"/>
      <w:r w:rsidRPr="00FF69D8">
        <w:rPr>
          <w:color w:val="222222"/>
          <w:shd w:val="clear" w:color="auto" w:fill="FFFFFF"/>
        </w:rPr>
        <w:t>, J. J., &amp; Gross, J. J. (2008). Gender differences in emotion regulation: An fMRI study of cognitive reappraisal. </w:t>
      </w:r>
      <w:r w:rsidRPr="00FF69D8">
        <w:rPr>
          <w:i/>
          <w:iCs/>
          <w:color w:val="222222"/>
          <w:shd w:val="clear" w:color="auto" w:fill="FFFFFF"/>
        </w:rPr>
        <w:t>Group processes &amp; intergroup relations</w:t>
      </w:r>
      <w:r w:rsidRPr="00FF69D8">
        <w:rPr>
          <w:color w:val="222222"/>
          <w:shd w:val="clear" w:color="auto" w:fill="FFFFFF"/>
        </w:rPr>
        <w:t>, </w:t>
      </w:r>
      <w:r w:rsidRPr="00FF69D8">
        <w:rPr>
          <w:i/>
          <w:iCs/>
          <w:color w:val="222222"/>
          <w:shd w:val="clear" w:color="auto" w:fill="FFFFFF"/>
        </w:rPr>
        <w:t>11</w:t>
      </w:r>
      <w:r w:rsidRPr="00FF69D8">
        <w:rPr>
          <w:color w:val="222222"/>
          <w:shd w:val="clear" w:color="auto" w:fill="FFFFFF"/>
        </w:rPr>
        <w:t>(2), 143-162.</w:t>
      </w:r>
      <w:r w:rsidRPr="00FF69D8">
        <w:rPr>
          <w:color w:val="222222"/>
          <w:shd w:val="clear" w:color="auto" w:fill="FFFFFF"/>
          <w:rtl/>
        </w:rPr>
        <w:t>‏</w:t>
      </w:r>
    </w:p>
    <w:p w14:paraId="49DB11D6" w14:textId="77777777" w:rsidR="0031746E" w:rsidRPr="00FF69D8" w:rsidRDefault="0031746E" w:rsidP="00CA389B">
      <w:pPr>
        <w:spacing w:line="480" w:lineRule="auto"/>
        <w:ind w:left="720" w:hanging="720"/>
        <w:contextualSpacing/>
        <w:rPr>
          <w:noProof/>
        </w:rPr>
      </w:pPr>
      <w:proofErr w:type="spellStart"/>
      <w:r w:rsidRPr="00FF69D8">
        <w:rPr>
          <w:color w:val="222222"/>
          <w:shd w:val="clear" w:color="auto" w:fill="FFFFFF"/>
        </w:rPr>
        <w:t>Memedovic</w:t>
      </w:r>
      <w:proofErr w:type="spellEnd"/>
      <w:r w:rsidRPr="00FF69D8">
        <w:rPr>
          <w:color w:val="222222"/>
          <w:shd w:val="clear" w:color="auto" w:fill="FFFFFF"/>
        </w:rPr>
        <w:t>, S., Slade, T., Ross, J., Darke, S., Mills, K. L., Marel, C., ... &amp; Teesson, M. (2019). Rumination and problematic substance use among individuals with a long-term history of illicit drug use. </w:t>
      </w:r>
      <w:r w:rsidRPr="00FF69D8">
        <w:rPr>
          <w:i/>
          <w:iCs/>
          <w:color w:val="222222"/>
          <w:shd w:val="clear" w:color="auto" w:fill="FFFFFF"/>
        </w:rPr>
        <w:t>Drug and alcohol dependence</w:t>
      </w:r>
      <w:r w:rsidRPr="00FF69D8">
        <w:rPr>
          <w:color w:val="222222"/>
          <w:shd w:val="clear" w:color="auto" w:fill="FFFFFF"/>
        </w:rPr>
        <w:t>, </w:t>
      </w:r>
      <w:r w:rsidRPr="00FF69D8">
        <w:rPr>
          <w:i/>
          <w:iCs/>
          <w:color w:val="222222"/>
          <w:shd w:val="clear" w:color="auto" w:fill="FFFFFF"/>
        </w:rPr>
        <w:t>203</w:t>
      </w:r>
      <w:r w:rsidRPr="00FF69D8">
        <w:rPr>
          <w:color w:val="222222"/>
          <w:shd w:val="clear" w:color="auto" w:fill="FFFFFF"/>
        </w:rPr>
        <w:t>, 44-50.</w:t>
      </w:r>
      <w:r w:rsidRPr="00FF69D8">
        <w:rPr>
          <w:color w:val="222222"/>
          <w:shd w:val="clear" w:color="auto" w:fill="FFFFFF"/>
          <w:rtl/>
        </w:rPr>
        <w:t>‏</w:t>
      </w:r>
      <w:r w:rsidRPr="00FF69D8">
        <w:rPr>
          <w:noProof/>
        </w:rPr>
        <w:t xml:space="preserve"> </w:t>
      </w:r>
    </w:p>
    <w:p w14:paraId="0E4FCF38" w14:textId="77777777" w:rsidR="00C26A1E" w:rsidRPr="00FF69D8" w:rsidRDefault="00C26A1E" w:rsidP="00CA389B">
      <w:pPr>
        <w:spacing w:line="480" w:lineRule="auto"/>
        <w:ind w:left="720" w:hanging="720"/>
        <w:contextualSpacing/>
        <w:rPr>
          <w:noProof/>
        </w:rPr>
      </w:pPr>
      <w:r w:rsidRPr="00FF69D8">
        <w:rPr>
          <w:color w:val="222222"/>
          <w:shd w:val="clear" w:color="auto" w:fill="FFFFFF"/>
        </w:rPr>
        <w:t>Mestre-Bach, G., Blycker, G. R., Actis, C. C., Brand, M., &amp; Potenza, M. N. (2021). Religion, Morality, Ethics, and Problematic Pornography Use. </w:t>
      </w:r>
      <w:r w:rsidRPr="00FF69D8">
        <w:rPr>
          <w:i/>
          <w:iCs/>
          <w:color w:val="222222"/>
          <w:shd w:val="clear" w:color="auto" w:fill="FFFFFF"/>
        </w:rPr>
        <w:t>Current Addiction Reports</w:t>
      </w:r>
      <w:r w:rsidRPr="00FF69D8">
        <w:rPr>
          <w:color w:val="222222"/>
          <w:shd w:val="clear" w:color="auto" w:fill="FFFFFF"/>
        </w:rPr>
        <w:t>, </w:t>
      </w:r>
      <w:r w:rsidRPr="00FF69D8">
        <w:rPr>
          <w:i/>
          <w:iCs/>
          <w:color w:val="222222"/>
          <w:shd w:val="clear" w:color="auto" w:fill="FFFFFF"/>
        </w:rPr>
        <w:t>8</w:t>
      </w:r>
      <w:r w:rsidRPr="00FF69D8">
        <w:rPr>
          <w:color w:val="222222"/>
          <w:shd w:val="clear" w:color="auto" w:fill="FFFFFF"/>
        </w:rPr>
        <w:t>(4), 568-577.</w:t>
      </w:r>
      <w:r w:rsidRPr="00FF69D8">
        <w:rPr>
          <w:color w:val="222222"/>
          <w:shd w:val="clear" w:color="auto" w:fill="FFFFFF"/>
          <w:rtl/>
        </w:rPr>
        <w:t>‏</w:t>
      </w:r>
    </w:p>
    <w:p w14:paraId="1DD21ADC" w14:textId="34ED4A80" w:rsidR="009230AC" w:rsidRPr="00FF69D8" w:rsidRDefault="009230AC" w:rsidP="00CA389B">
      <w:pPr>
        <w:spacing w:line="480" w:lineRule="auto"/>
        <w:ind w:left="720" w:hanging="720"/>
        <w:contextualSpacing/>
        <w:rPr>
          <w:noProof/>
        </w:rPr>
      </w:pPr>
      <w:r w:rsidRPr="00FF69D8">
        <w:rPr>
          <w:noProof/>
        </w:rPr>
        <w:lastRenderedPageBreak/>
        <w:t xml:space="preserve">Mikulincer, M., &amp; Florian, V. (2000). Exploring individual differences in reactions to mortality salience: Does attachment style regulate terror management mechanisms? </w:t>
      </w:r>
      <w:r w:rsidRPr="00FF69D8">
        <w:rPr>
          <w:i/>
          <w:iCs/>
          <w:noProof/>
        </w:rPr>
        <w:t>Journal of Personality and Social Psychology, 79</w:t>
      </w:r>
      <w:r w:rsidRPr="00FF69D8">
        <w:rPr>
          <w:noProof/>
        </w:rPr>
        <w:t>, 260-273.</w:t>
      </w:r>
    </w:p>
    <w:p w14:paraId="33DD8AD9" w14:textId="2D6C4121" w:rsidR="004B18AF" w:rsidRPr="00FF69D8" w:rsidRDefault="00E259C9" w:rsidP="004B18AF">
      <w:pPr>
        <w:spacing w:line="480" w:lineRule="auto"/>
        <w:ind w:left="720" w:hanging="720"/>
        <w:contextualSpacing/>
        <w:rPr>
          <w:noProof/>
        </w:rPr>
      </w:pPr>
      <w:r w:rsidRPr="00FF69D8">
        <w:rPr>
          <w:noProof/>
        </w:rPr>
        <w:t xml:space="preserve">Mikulincer, M., &amp; Shaver, P. R. </w:t>
      </w:r>
      <w:bookmarkEnd w:id="1"/>
      <w:r w:rsidR="004B18AF" w:rsidRPr="00FF69D8">
        <w:rPr>
          <w:noProof/>
        </w:rPr>
        <w:t>(2016). Adult Attachment and Emotion Regulation.</w:t>
      </w:r>
      <w:r w:rsidR="004B18AF" w:rsidRPr="00FF69D8">
        <w:rPr>
          <w:i/>
          <w:iCs/>
          <w:noProof/>
        </w:rPr>
        <w:t xml:space="preserve"> In Handbook of Attachment: Theory, Research, and Clinical Applications</w:t>
      </w:r>
      <w:r w:rsidR="004B18AF" w:rsidRPr="00FF69D8">
        <w:rPr>
          <w:noProof/>
        </w:rPr>
        <w:t xml:space="preserve">; Guilford Publications: New York, NY, USA, 2016; pp. 507–533. </w:t>
      </w:r>
    </w:p>
    <w:bookmarkEnd w:id="2"/>
    <w:p w14:paraId="757FC770" w14:textId="77777777" w:rsidR="00301854" w:rsidRPr="00FF69D8" w:rsidRDefault="00301854" w:rsidP="00CA389B">
      <w:pPr>
        <w:spacing w:line="480" w:lineRule="auto"/>
        <w:ind w:left="720" w:hanging="720"/>
        <w:contextualSpacing/>
        <w:rPr>
          <w:noProof/>
        </w:rPr>
      </w:pPr>
      <w:r w:rsidRPr="00FF69D8">
        <w:rPr>
          <w:color w:val="222222"/>
          <w:shd w:val="clear" w:color="auto" w:fill="FFFFFF"/>
        </w:rPr>
        <w:t xml:space="preserve">Mitchell, K. J., </w:t>
      </w:r>
      <w:proofErr w:type="spellStart"/>
      <w:r w:rsidRPr="00FF69D8">
        <w:rPr>
          <w:color w:val="222222"/>
          <w:shd w:val="clear" w:color="auto" w:fill="FFFFFF"/>
        </w:rPr>
        <w:t>Finkelhor</w:t>
      </w:r>
      <w:proofErr w:type="spellEnd"/>
      <w:r w:rsidRPr="00FF69D8">
        <w:rPr>
          <w:color w:val="222222"/>
          <w:shd w:val="clear" w:color="auto" w:fill="FFFFFF"/>
        </w:rPr>
        <w:t>, D., Jones, L. M., &amp; Wolak, J. (2012). Prevalence and characteristics of youth sexting: A national study. </w:t>
      </w:r>
      <w:r w:rsidRPr="00FF69D8">
        <w:rPr>
          <w:i/>
          <w:iCs/>
          <w:color w:val="222222"/>
          <w:shd w:val="clear" w:color="auto" w:fill="FFFFFF"/>
        </w:rPr>
        <w:t>Pediatrics</w:t>
      </w:r>
      <w:r w:rsidRPr="00FF69D8">
        <w:rPr>
          <w:color w:val="222222"/>
          <w:shd w:val="clear" w:color="auto" w:fill="FFFFFF"/>
        </w:rPr>
        <w:t>, </w:t>
      </w:r>
      <w:r w:rsidRPr="00FF69D8">
        <w:rPr>
          <w:i/>
          <w:iCs/>
          <w:color w:val="222222"/>
          <w:shd w:val="clear" w:color="auto" w:fill="FFFFFF"/>
        </w:rPr>
        <w:t>129</w:t>
      </w:r>
      <w:r w:rsidRPr="00FF69D8">
        <w:rPr>
          <w:color w:val="222222"/>
          <w:shd w:val="clear" w:color="auto" w:fill="FFFFFF"/>
        </w:rPr>
        <w:t>(1), 13-20.</w:t>
      </w:r>
      <w:r w:rsidRPr="00FF69D8">
        <w:rPr>
          <w:color w:val="222222"/>
          <w:shd w:val="clear" w:color="auto" w:fill="FFFFFF"/>
          <w:rtl/>
        </w:rPr>
        <w:t>‏</w:t>
      </w:r>
    </w:p>
    <w:p w14:paraId="2C034145" w14:textId="77777777" w:rsidR="006723CD" w:rsidRPr="00FF69D8" w:rsidRDefault="006723CD" w:rsidP="00CA389B">
      <w:pPr>
        <w:spacing w:line="480" w:lineRule="auto"/>
        <w:ind w:left="720" w:hanging="720"/>
        <w:contextualSpacing/>
        <w:rPr>
          <w:noProof/>
        </w:rPr>
      </w:pPr>
      <w:proofErr w:type="spellStart"/>
      <w:r w:rsidRPr="00FF69D8">
        <w:rPr>
          <w:color w:val="222222"/>
          <w:shd w:val="clear" w:color="auto" w:fill="FFFFFF"/>
        </w:rPr>
        <w:t>Mollaahmetoglu</w:t>
      </w:r>
      <w:proofErr w:type="spellEnd"/>
      <w:r w:rsidRPr="00FF69D8">
        <w:rPr>
          <w:color w:val="222222"/>
          <w:shd w:val="clear" w:color="auto" w:fill="FFFFFF"/>
        </w:rPr>
        <w:t>, O. M., Palmer, E., Maschauer, E., Nolan, M. C., Stevens, T., Carlyle, M., ... &amp; Morgan, C. J. (2021). The acute effects of alcohol on state rumination in the laboratory. </w:t>
      </w:r>
      <w:r w:rsidRPr="00FF69D8">
        <w:rPr>
          <w:i/>
          <w:iCs/>
          <w:color w:val="222222"/>
          <w:shd w:val="clear" w:color="auto" w:fill="FFFFFF"/>
        </w:rPr>
        <w:t>Psychopharmacology</w:t>
      </w:r>
      <w:r w:rsidRPr="00FF69D8">
        <w:rPr>
          <w:color w:val="222222"/>
          <w:shd w:val="clear" w:color="auto" w:fill="FFFFFF"/>
        </w:rPr>
        <w:t>, </w:t>
      </w:r>
      <w:r w:rsidRPr="00FF69D8">
        <w:rPr>
          <w:i/>
          <w:iCs/>
          <w:color w:val="222222"/>
          <w:shd w:val="clear" w:color="auto" w:fill="FFFFFF"/>
        </w:rPr>
        <w:t>238</w:t>
      </w:r>
      <w:r w:rsidRPr="00FF69D8">
        <w:rPr>
          <w:color w:val="222222"/>
          <w:shd w:val="clear" w:color="auto" w:fill="FFFFFF"/>
        </w:rPr>
        <w:t>(6), 1671-1686.</w:t>
      </w:r>
      <w:r w:rsidRPr="00FF69D8">
        <w:rPr>
          <w:color w:val="222222"/>
          <w:shd w:val="clear" w:color="auto" w:fill="FFFFFF"/>
          <w:rtl/>
        </w:rPr>
        <w:t>‏</w:t>
      </w:r>
      <w:r w:rsidRPr="00FF69D8">
        <w:rPr>
          <w:noProof/>
        </w:rPr>
        <w:t xml:space="preserve"> </w:t>
      </w:r>
    </w:p>
    <w:p w14:paraId="28D06B56" w14:textId="77777777" w:rsidR="0031746E" w:rsidRPr="00FF69D8" w:rsidRDefault="0031746E" w:rsidP="00CA389B">
      <w:pPr>
        <w:spacing w:line="480" w:lineRule="auto"/>
        <w:ind w:left="720" w:hanging="720"/>
        <w:contextualSpacing/>
        <w:rPr>
          <w:noProof/>
        </w:rPr>
      </w:pPr>
      <w:r w:rsidRPr="00FF69D8">
        <w:rPr>
          <w:color w:val="222222"/>
          <w:shd w:val="clear" w:color="auto" w:fill="FFFFFF"/>
        </w:rPr>
        <w:t>Moreno-</w:t>
      </w:r>
      <w:proofErr w:type="spellStart"/>
      <w:r w:rsidRPr="00FF69D8">
        <w:rPr>
          <w:color w:val="222222"/>
          <w:shd w:val="clear" w:color="auto" w:fill="FFFFFF"/>
        </w:rPr>
        <w:t>Mansilla</w:t>
      </w:r>
      <w:proofErr w:type="spellEnd"/>
      <w:r w:rsidRPr="00FF69D8">
        <w:rPr>
          <w:color w:val="222222"/>
          <w:shd w:val="clear" w:color="auto" w:fill="FFFFFF"/>
        </w:rPr>
        <w:t>, S., Ricarte, J. J., &amp; Hallford, D. J. (2021). Cannabis use among early adolescents and transdiagnostic mental health risk factors. </w:t>
      </w:r>
      <w:r w:rsidRPr="00FF69D8">
        <w:rPr>
          <w:i/>
          <w:iCs/>
          <w:color w:val="222222"/>
          <w:shd w:val="clear" w:color="auto" w:fill="FFFFFF"/>
        </w:rPr>
        <w:t>Clinical child psychology and psychiatry</w:t>
      </w:r>
      <w:r w:rsidRPr="00FF69D8">
        <w:rPr>
          <w:color w:val="222222"/>
          <w:shd w:val="clear" w:color="auto" w:fill="FFFFFF"/>
        </w:rPr>
        <w:t>, </w:t>
      </w:r>
      <w:r w:rsidRPr="00FF69D8">
        <w:rPr>
          <w:i/>
          <w:iCs/>
          <w:color w:val="222222"/>
          <w:shd w:val="clear" w:color="auto" w:fill="FFFFFF"/>
        </w:rPr>
        <w:t>26</w:t>
      </w:r>
      <w:r w:rsidRPr="00FF69D8">
        <w:rPr>
          <w:color w:val="222222"/>
          <w:shd w:val="clear" w:color="auto" w:fill="FFFFFF"/>
        </w:rPr>
        <w:t>(2), 531-543.</w:t>
      </w:r>
      <w:r w:rsidRPr="00FF69D8">
        <w:rPr>
          <w:color w:val="222222"/>
          <w:shd w:val="clear" w:color="auto" w:fill="FFFFFF"/>
          <w:rtl/>
        </w:rPr>
        <w:t>‏</w:t>
      </w:r>
      <w:r w:rsidRPr="00FF69D8">
        <w:rPr>
          <w:noProof/>
        </w:rPr>
        <w:t xml:space="preserve"> </w:t>
      </w:r>
    </w:p>
    <w:p w14:paraId="643066AA" w14:textId="7D93C3EE" w:rsidR="00890165" w:rsidRPr="00FF69D8" w:rsidRDefault="00890165" w:rsidP="00CA389B">
      <w:pPr>
        <w:spacing w:line="480" w:lineRule="auto"/>
        <w:ind w:left="720" w:hanging="720"/>
        <w:contextualSpacing/>
        <w:rPr>
          <w:noProof/>
        </w:rPr>
      </w:pPr>
      <w:r w:rsidRPr="00FF69D8">
        <w:rPr>
          <w:noProof/>
        </w:rPr>
        <w:t xml:space="preserve">Morris, A. S., Silk, J. S., Steinberg, L., Myers, S. S., &amp; Robinson, L. R. (2007). The role of the family context in the development of emotion regulation. </w:t>
      </w:r>
      <w:r w:rsidRPr="00FF69D8">
        <w:rPr>
          <w:i/>
          <w:iCs/>
          <w:noProof/>
        </w:rPr>
        <w:t>Social Development, 16</w:t>
      </w:r>
      <w:r w:rsidRPr="00FF69D8">
        <w:rPr>
          <w:noProof/>
        </w:rPr>
        <w:t>, 361</w:t>
      </w:r>
      <w:r w:rsidR="00626CAA" w:rsidRPr="00FF69D8">
        <w:rPr>
          <w:noProof/>
        </w:rPr>
        <w:t>-</w:t>
      </w:r>
      <w:r w:rsidRPr="00FF69D8">
        <w:rPr>
          <w:noProof/>
        </w:rPr>
        <w:t>388. doi:10.1111/j.1467- 9507.2007.00389.x</w:t>
      </w:r>
    </w:p>
    <w:p w14:paraId="29EC0285" w14:textId="1F1D49F4" w:rsidR="00DD3A50" w:rsidRPr="00FF69D8" w:rsidRDefault="00DD3A50" w:rsidP="00CA389B">
      <w:pPr>
        <w:spacing w:line="480" w:lineRule="auto"/>
        <w:ind w:left="720" w:hanging="720"/>
        <w:contextualSpacing/>
        <w:rPr>
          <w:noProof/>
        </w:rPr>
      </w:pPr>
      <w:r w:rsidRPr="00FF69D8">
        <w:rPr>
          <w:noProof/>
        </w:rPr>
        <w:t>Muthén, L. K., &amp; Muthén, B. O. (2010). Mplus: Statistical analysis with latent variables: User's guide. Muthén &amp; Muthén.</w:t>
      </w:r>
      <w:r w:rsidRPr="00FF69D8">
        <w:rPr>
          <w:noProof/>
          <w:rtl/>
        </w:rPr>
        <w:t>‏</w:t>
      </w:r>
    </w:p>
    <w:p w14:paraId="5FFFA716" w14:textId="77777777" w:rsidR="00863779" w:rsidRPr="00FF69D8" w:rsidRDefault="00DD3A50" w:rsidP="00CA389B">
      <w:pPr>
        <w:spacing w:line="480" w:lineRule="auto"/>
        <w:ind w:left="720" w:hanging="720"/>
        <w:contextualSpacing/>
        <w:rPr>
          <w:color w:val="222222"/>
          <w:shd w:val="clear" w:color="auto" w:fill="FFFFFF"/>
        </w:rPr>
      </w:pPr>
      <w:r w:rsidRPr="00FF69D8">
        <w:fldChar w:fldCharType="end"/>
      </w:r>
      <w:r w:rsidR="001B5C9E" w:rsidRPr="00FF69D8">
        <w:rPr>
          <w:noProof/>
        </w:rPr>
        <w:t xml:space="preserve"> </w:t>
      </w:r>
      <w:proofErr w:type="spellStart"/>
      <w:r w:rsidR="00863779" w:rsidRPr="00FF69D8">
        <w:rPr>
          <w:color w:val="222222"/>
          <w:shd w:val="clear" w:color="auto" w:fill="FFFFFF"/>
        </w:rPr>
        <w:t>Munguía</w:t>
      </w:r>
      <w:proofErr w:type="spellEnd"/>
      <w:r w:rsidR="00863779" w:rsidRPr="00FF69D8">
        <w:rPr>
          <w:color w:val="222222"/>
          <w:shd w:val="clear" w:color="auto" w:fill="FFFFFF"/>
        </w:rPr>
        <w:t xml:space="preserve">, L., Jiménez-Murcia, S., </w:t>
      </w:r>
      <w:proofErr w:type="spellStart"/>
      <w:r w:rsidR="00863779" w:rsidRPr="00FF69D8">
        <w:rPr>
          <w:color w:val="222222"/>
          <w:shd w:val="clear" w:color="auto" w:fill="FFFFFF"/>
        </w:rPr>
        <w:t>Granero</w:t>
      </w:r>
      <w:proofErr w:type="spellEnd"/>
      <w:r w:rsidR="00863779" w:rsidRPr="00FF69D8">
        <w:rPr>
          <w:color w:val="222222"/>
          <w:shd w:val="clear" w:color="auto" w:fill="FFFFFF"/>
        </w:rPr>
        <w:t xml:space="preserve">, R., </w:t>
      </w:r>
      <w:proofErr w:type="spellStart"/>
      <w:r w:rsidR="00863779" w:rsidRPr="00FF69D8">
        <w:rPr>
          <w:color w:val="222222"/>
          <w:shd w:val="clear" w:color="auto" w:fill="FFFFFF"/>
        </w:rPr>
        <w:t>Baenas</w:t>
      </w:r>
      <w:proofErr w:type="spellEnd"/>
      <w:r w:rsidR="00863779" w:rsidRPr="00FF69D8">
        <w:rPr>
          <w:color w:val="222222"/>
          <w:shd w:val="clear" w:color="auto" w:fill="FFFFFF"/>
        </w:rPr>
        <w:t xml:space="preserve">, I., </w:t>
      </w:r>
      <w:proofErr w:type="spellStart"/>
      <w:r w:rsidR="00863779" w:rsidRPr="00FF69D8">
        <w:rPr>
          <w:color w:val="222222"/>
          <w:shd w:val="clear" w:color="auto" w:fill="FFFFFF"/>
        </w:rPr>
        <w:t>Agüera</w:t>
      </w:r>
      <w:proofErr w:type="spellEnd"/>
      <w:r w:rsidR="00863779" w:rsidRPr="00FF69D8">
        <w:rPr>
          <w:color w:val="222222"/>
          <w:shd w:val="clear" w:color="auto" w:fill="FFFFFF"/>
        </w:rPr>
        <w:t xml:space="preserve">, Z., Sánchez, I., ... &amp; Fernández-Aranda, F. (2021). Emotional regulation in eating disorders and gambling </w:t>
      </w:r>
      <w:proofErr w:type="gramStart"/>
      <w:r w:rsidR="00863779" w:rsidRPr="00FF69D8">
        <w:rPr>
          <w:color w:val="222222"/>
          <w:shd w:val="clear" w:color="auto" w:fill="FFFFFF"/>
        </w:rPr>
        <w:t>disorder</w:t>
      </w:r>
      <w:proofErr w:type="gramEnd"/>
      <w:r w:rsidR="00863779" w:rsidRPr="00FF69D8">
        <w:rPr>
          <w:color w:val="222222"/>
          <w:shd w:val="clear" w:color="auto" w:fill="FFFFFF"/>
        </w:rPr>
        <w:t>: A transdiagnostic approach. </w:t>
      </w:r>
      <w:r w:rsidR="00863779" w:rsidRPr="00FF69D8">
        <w:rPr>
          <w:i/>
          <w:iCs/>
          <w:color w:val="222222"/>
          <w:shd w:val="clear" w:color="auto" w:fill="FFFFFF"/>
        </w:rPr>
        <w:t>Journal of behavioral addictions</w:t>
      </w:r>
      <w:r w:rsidR="00863779" w:rsidRPr="00FF69D8">
        <w:rPr>
          <w:color w:val="222222"/>
          <w:shd w:val="clear" w:color="auto" w:fill="FFFFFF"/>
        </w:rPr>
        <w:t>, </w:t>
      </w:r>
      <w:r w:rsidR="00863779" w:rsidRPr="00FF69D8">
        <w:rPr>
          <w:i/>
          <w:iCs/>
          <w:color w:val="222222"/>
          <w:shd w:val="clear" w:color="auto" w:fill="FFFFFF"/>
        </w:rPr>
        <w:t>10</w:t>
      </w:r>
      <w:r w:rsidR="00863779" w:rsidRPr="00FF69D8">
        <w:rPr>
          <w:color w:val="222222"/>
          <w:shd w:val="clear" w:color="auto" w:fill="FFFFFF"/>
        </w:rPr>
        <w:t>(3), 508-523.</w:t>
      </w:r>
      <w:r w:rsidR="00863779" w:rsidRPr="00FF69D8">
        <w:rPr>
          <w:color w:val="222222"/>
          <w:shd w:val="clear" w:color="auto" w:fill="FFFFFF"/>
          <w:rtl/>
        </w:rPr>
        <w:t>‏</w:t>
      </w:r>
      <w:r w:rsidR="00863779" w:rsidRPr="00FF69D8">
        <w:rPr>
          <w:color w:val="222222"/>
          <w:shd w:val="clear" w:color="auto" w:fill="FFFFFF"/>
        </w:rPr>
        <w:t xml:space="preserve"> </w:t>
      </w:r>
    </w:p>
    <w:p w14:paraId="1D513F11" w14:textId="361F0B42" w:rsidR="006E62C3" w:rsidRPr="00FF69D8" w:rsidRDefault="006E62C3" w:rsidP="00CA389B">
      <w:pPr>
        <w:spacing w:line="480" w:lineRule="auto"/>
        <w:ind w:left="720" w:hanging="720"/>
        <w:contextualSpacing/>
        <w:rPr>
          <w:noProof/>
        </w:rPr>
      </w:pPr>
      <w:proofErr w:type="spellStart"/>
      <w:r w:rsidRPr="00FF69D8">
        <w:rPr>
          <w:color w:val="222222"/>
          <w:shd w:val="clear" w:color="auto" w:fill="FFFFFF"/>
        </w:rPr>
        <w:lastRenderedPageBreak/>
        <w:t>Naezer</w:t>
      </w:r>
      <w:proofErr w:type="spellEnd"/>
      <w:r w:rsidRPr="00FF69D8">
        <w:rPr>
          <w:color w:val="222222"/>
          <w:shd w:val="clear" w:color="auto" w:fill="FFFFFF"/>
        </w:rPr>
        <w:t xml:space="preserve">, M., &amp; van Oosterhout, L. (2021). Only sluts love sexting: Youth, sexual </w:t>
      </w:r>
      <w:proofErr w:type="gramStart"/>
      <w:r w:rsidRPr="00FF69D8">
        <w:rPr>
          <w:color w:val="222222"/>
          <w:shd w:val="clear" w:color="auto" w:fill="FFFFFF"/>
        </w:rPr>
        <w:t>norms</w:t>
      </w:r>
      <w:proofErr w:type="gramEnd"/>
      <w:r w:rsidRPr="00FF69D8">
        <w:rPr>
          <w:color w:val="222222"/>
          <w:shd w:val="clear" w:color="auto" w:fill="FFFFFF"/>
        </w:rPr>
        <w:t xml:space="preserve"> and non-consensual sharing of digital sexual images. </w:t>
      </w:r>
      <w:r w:rsidRPr="00FF69D8">
        <w:rPr>
          <w:i/>
          <w:iCs/>
          <w:color w:val="222222"/>
          <w:shd w:val="clear" w:color="auto" w:fill="FFFFFF"/>
        </w:rPr>
        <w:t>Journal of Gender Studies</w:t>
      </w:r>
      <w:r w:rsidRPr="00FF69D8">
        <w:rPr>
          <w:color w:val="222222"/>
          <w:shd w:val="clear" w:color="auto" w:fill="FFFFFF"/>
        </w:rPr>
        <w:t>, </w:t>
      </w:r>
      <w:r w:rsidRPr="00FF69D8">
        <w:rPr>
          <w:i/>
          <w:iCs/>
          <w:color w:val="222222"/>
          <w:shd w:val="clear" w:color="auto" w:fill="FFFFFF"/>
        </w:rPr>
        <w:t>30</w:t>
      </w:r>
      <w:r w:rsidRPr="00FF69D8">
        <w:rPr>
          <w:color w:val="222222"/>
          <w:shd w:val="clear" w:color="auto" w:fill="FFFFFF"/>
        </w:rPr>
        <w:t>(1), 79-90.</w:t>
      </w:r>
      <w:r w:rsidRPr="00FF69D8">
        <w:rPr>
          <w:color w:val="222222"/>
          <w:shd w:val="clear" w:color="auto" w:fill="FFFFFF"/>
          <w:rtl/>
        </w:rPr>
        <w:t>‏</w:t>
      </w:r>
      <w:r w:rsidRPr="00FF69D8">
        <w:rPr>
          <w:noProof/>
        </w:rPr>
        <w:t xml:space="preserve"> </w:t>
      </w:r>
    </w:p>
    <w:p w14:paraId="773703F0" w14:textId="77777777" w:rsidR="00436565" w:rsidRPr="00FF69D8" w:rsidRDefault="00436565" w:rsidP="00CA389B">
      <w:pPr>
        <w:spacing w:line="480" w:lineRule="auto"/>
        <w:ind w:left="720" w:hanging="720"/>
        <w:contextualSpacing/>
        <w:rPr>
          <w:noProof/>
        </w:rPr>
      </w:pPr>
      <w:r w:rsidRPr="00FF69D8">
        <w:rPr>
          <w:noProof/>
        </w:rPr>
        <w:t xml:space="preserve">Nolen-Hoeksema, S. (1991). Responses to depression and their effects on the duration of depressive episodes. </w:t>
      </w:r>
      <w:r w:rsidRPr="00FF69D8">
        <w:rPr>
          <w:i/>
          <w:iCs/>
          <w:noProof/>
        </w:rPr>
        <w:t>Journal of Abnormal Psychology, 100</w:t>
      </w:r>
      <w:r w:rsidRPr="00FF69D8">
        <w:rPr>
          <w:noProof/>
        </w:rPr>
        <w:t>, 569</w:t>
      </w:r>
      <w:r w:rsidR="00626CAA" w:rsidRPr="00FF69D8">
        <w:rPr>
          <w:noProof/>
        </w:rPr>
        <w:t>-</w:t>
      </w:r>
      <w:r w:rsidRPr="00FF69D8">
        <w:rPr>
          <w:noProof/>
        </w:rPr>
        <w:t>582.</w:t>
      </w:r>
    </w:p>
    <w:p w14:paraId="149EF60B" w14:textId="77777777" w:rsidR="003937B3" w:rsidRPr="00FF69D8" w:rsidRDefault="003937B3" w:rsidP="00CA389B">
      <w:pPr>
        <w:spacing w:line="480" w:lineRule="auto"/>
        <w:ind w:left="720" w:hanging="720"/>
        <w:contextualSpacing/>
        <w:rPr>
          <w:noProof/>
        </w:rPr>
      </w:pPr>
      <w:r w:rsidRPr="00FF69D8">
        <w:rPr>
          <w:noProof/>
        </w:rPr>
        <w:t xml:space="preserve">Nolen-Hoeksema, S., Stice, E., Wade, E., &amp; Bohon, C. (2007). Reciprocal relations between rumination and bulimic, substance abuse, and depressive symptoms in female adolescents. </w:t>
      </w:r>
      <w:r w:rsidRPr="00FF69D8">
        <w:rPr>
          <w:i/>
          <w:iCs/>
          <w:noProof/>
        </w:rPr>
        <w:t>Journal of Abnormal Psychology, 116</w:t>
      </w:r>
      <w:r w:rsidRPr="00FF69D8">
        <w:rPr>
          <w:noProof/>
        </w:rPr>
        <w:t>, 198</w:t>
      </w:r>
      <w:r w:rsidR="00626CAA" w:rsidRPr="00FF69D8">
        <w:rPr>
          <w:noProof/>
        </w:rPr>
        <w:t>-</w:t>
      </w:r>
      <w:r w:rsidRPr="00FF69D8">
        <w:rPr>
          <w:noProof/>
        </w:rPr>
        <w:t>207</w:t>
      </w:r>
      <w:r w:rsidRPr="00FF69D8">
        <w:rPr>
          <w:color w:val="000000"/>
          <w:lang w:val="x-none"/>
        </w:rPr>
        <w:t>.</w:t>
      </w:r>
    </w:p>
    <w:p w14:paraId="03A01514" w14:textId="775DB2FC" w:rsidR="00066769" w:rsidRPr="00FF69D8" w:rsidRDefault="003937B3" w:rsidP="00CA389B">
      <w:pPr>
        <w:spacing w:line="480" w:lineRule="auto"/>
        <w:ind w:left="720" w:hanging="720"/>
        <w:contextualSpacing/>
        <w:rPr>
          <w:color w:val="222222"/>
          <w:shd w:val="clear" w:color="auto" w:fill="FFFFFF"/>
        </w:rPr>
      </w:pPr>
      <w:r w:rsidRPr="00FF69D8">
        <w:rPr>
          <w:noProof/>
        </w:rPr>
        <w:t xml:space="preserve"> </w:t>
      </w:r>
      <w:r w:rsidR="00066769" w:rsidRPr="00FF69D8">
        <w:rPr>
          <w:color w:val="222222"/>
          <w:shd w:val="clear" w:color="auto" w:fill="FFFFFF"/>
        </w:rPr>
        <w:t xml:space="preserve">Nolen-Hoeksema, S., </w:t>
      </w:r>
      <w:proofErr w:type="spellStart"/>
      <w:r w:rsidR="00066769" w:rsidRPr="00FF69D8">
        <w:rPr>
          <w:color w:val="222222"/>
          <w:shd w:val="clear" w:color="auto" w:fill="FFFFFF"/>
        </w:rPr>
        <w:t>Wisco</w:t>
      </w:r>
      <w:proofErr w:type="spellEnd"/>
      <w:r w:rsidR="00066769" w:rsidRPr="00FF69D8">
        <w:rPr>
          <w:color w:val="222222"/>
          <w:shd w:val="clear" w:color="auto" w:fill="FFFFFF"/>
        </w:rPr>
        <w:t>, B. E., &amp; Lyubomirsky, S. (2008). Rethinking</w:t>
      </w:r>
      <w:r w:rsidR="00066769" w:rsidRPr="00FF69D8">
        <w:rPr>
          <w:color w:val="222222"/>
          <w:shd w:val="clear" w:color="auto" w:fill="FFFFFF"/>
        </w:rPr>
        <w:t xml:space="preserve"> </w:t>
      </w:r>
      <w:r w:rsidR="00066769" w:rsidRPr="00FF69D8">
        <w:rPr>
          <w:color w:val="222222"/>
          <w:shd w:val="clear" w:color="auto" w:fill="FFFFFF"/>
        </w:rPr>
        <w:t>rumination. </w:t>
      </w:r>
      <w:r w:rsidR="00066769" w:rsidRPr="00FF69D8">
        <w:rPr>
          <w:i/>
          <w:iCs/>
          <w:color w:val="222222"/>
          <w:shd w:val="clear" w:color="auto" w:fill="FFFFFF"/>
        </w:rPr>
        <w:t>Perspectives on psychological science</w:t>
      </w:r>
      <w:r w:rsidR="00066769" w:rsidRPr="00FF69D8">
        <w:rPr>
          <w:color w:val="222222"/>
          <w:shd w:val="clear" w:color="auto" w:fill="FFFFFF"/>
        </w:rPr>
        <w:t>, </w:t>
      </w:r>
      <w:r w:rsidR="00066769" w:rsidRPr="00FF69D8">
        <w:rPr>
          <w:i/>
          <w:iCs/>
          <w:color w:val="222222"/>
          <w:shd w:val="clear" w:color="auto" w:fill="FFFFFF"/>
        </w:rPr>
        <w:t>3</w:t>
      </w:r>
      <w:r w:rsidR="00066769" w:rsidRPr="00FF69D8">
        <w:rPr>
          <w:color w:val="222222"/>
          <w:shd w:val="clear" w:color="auto" w:fill="FFFFFF"/>
        </w:rPr>
        <w:t>(5), 400-424.</w:t>
      </w:r>
      <w:r w:rsidR="00066769" w:rsidRPr="00FF69D8">
        <w:rPr>
          <w:color w:val="222222"/>
          <w:shd w:val="clear" w:color="auto" w:fill="FFFFFF"/>
          <w:rtl/>
        </w:rPr>
        <w:t>‏</w:t>
      </w:r>
    </w:p>
    <w:p w14:paraId="3151AE2F" w14:textId="4BFEA8D7" w:rsidR="00EF5971" w:rsidRPr="00FF69D8" w:rsidRDefault="00EF5971" w:rsidP="00CA389B">
      <w:pPr>
        <w:spacing w:line="480" w:lineRule="auto"/>
        <w:ind w:left="720" w:hanging="720"/>
        <w:contextualSpacing/>
        <w:rPr>
          <w:noProof/>
        </w:rPr>
      </w:pPr>
      <w:r w:rsidRPr="00FF69D8">
        <w:rPr>
          <w:noProof/>
        </w:rPr>
        <w:t xml:space="preserve">Nolen-Hoeksema ,S. &amp; Watkins E.R. (2011). A Heuristic for Developing Transdiagnostic Models of Psychopathology: Explaining Multifinality and Divergent Trajectories. </w:t>
      </w:r>
      <w:r w:rsidRPr="00FF69D8">
        <w:rPr>
          <w:i/>
          <w:iCs/>
          <w:noProof/>
        </w:rPr>
        <w:t>Perspectives on Psychological Science 6</w:t>
      </w:r>
      <w:r w:rsidRPr="00FF69D8">
        <w:rPr>
          <w:noProof/>
        </w:rPr>
        <w:t>(6) 589</w:t>
      </w:r>
      <w:r w:rsidR="00626CAA" w:rsidRPr="00FF69D8">
        <w:rPr>
          <w:noProof/>
        </w:rPr>
        <w:t>-</w:t>
      </w:r>
      <w:r w:rsidRPr="00FF69D8">
        <w:rPr>
          <w:noProof/>
        </w:rPr>
        <w:t>609.</w:t>
      </w:r>
    </w:p>
    <w:p w14:paraId="43E16622" w14:textId="77777777" w:rsidR="00066769" w:rsidRPr="00FF69D8" w:rsidRDefault="00066769" w:rsidP="00CA389B">
      <w:pPr>
        <w:spacing w:line="480" w:lineRule="auto"/>
        <w:ind w:left="720" w:hanging="720"/>
        <w:contextualSpacing/>
        <w:rPr>
          <w:color w:val="222222"/>
          <w:shd w:val="clear" w:color="auto" w:fill="FFFFFF"/>
        </w:rPr>
      </w:pPr>
      <w:r w:rsidRPr="00FF69D8">
        <w:rPr>
          <w:color w:val="222222"/>
          <w:shd w:val="clear" w:color="auto" w:fill="FFFFFF"/>
        </w:rPr>
        <w:t xml:space="preserve">Liu, Q. Q., Yang, X. J., Zhu, X. W., &amp; Zhang, D. J. (2021). Attachment anxiety, loneliness, </w:t>
      </w:r>
      <w:proofErr w:type="gramStart"/>
      <w:r w:rsidRPr="00FF69D8">
        <w:rPr>
          <w:color w:val="222222"/>
          <w:shd w:val="clear" w:color="auto" w:fill="FFFFFF"/>
        </w:rPr>
        <w:t>rumination</w:t>
      </w:r>
      <w:proofErr w:type="gramEnd"/>
      <w:r w:rsidRPr="00FF69D8">
        <w:rPr>
          <w:color w:val="222222"/>
          <w:shd w:val="clear" w:color="auto" w:fill="FFFFFF"/>
        </w:rPr>
        <w:t xml:space="preserve"> and mobile phone dependence: A cross-sectional analysis of a moderated mediation model. </w:t>
      </w:r>
      <w:r w:rsidRPr="00FF69D8">
        <w:rPr>
          <w:i/>
          <w:iCs/>
          <w:color w:val="222222"/>
          <w:shd w:val="clear" w:color="auto" w:fill="FFFFFF"/>
        </w:rPr>
        <w:t>Current Psychology</w:t>
      </w:r>
      <w:r w:rsidRPr="00FF69D8">
        <w:rPr>
          <w:color w:val="222222"/>
          <w:shd w:val="clear" w:color="auto" w:fill="FFFFFF"/>
        </w:rPr>
        <w:t>, </w:t>
      </w:r>
      <w:r w:rsidRPr="00FF69D8">
        <w:rPr>
          <w:i/>
          <w:iCs/>
          <w:color w:val="222222"/>
          <w:shd w:val="clear" w:color="auto" w:fill="FFFFFF"/>
        </w:rPr>
        <w:t>40</w:t>
      </w:r>
      <w:r w:rsidRPr="00FF69D8">
        <w:rPr>
          <w:color w:val="222222"/>
          <w:shd w:val="clear" w:color="auto" w:fill="FFFFFF"/>
        </w:rPr>
        <w:t>(10), 5134-5144.</w:t>
      </w:r>
      <w:r w:rsidRPr="00FF69D8">
        <w:rPr>
          <w:color w:val="222222"/>
          <w:shd w:val="clear" w:color="auto" w:fill="FFFFFF"/>
          <w:rtl/>
        </w:rPr>
        <w:t>‏</w:t>
      </w:r>
    </w:p>
    <w:p w14:paraId="327B191D" w14:textId="33B1B7B5" w:rsidR="00164DB0" w:rsidRPr="00FF69D8" w:rsidRDefault="00164DB0" w:rsidP="00CA389B">
      <w:pPr>
        <w:spacing w:line="480" w:lineRule="auto"/>
        <w:ind w:left="720" w:hanging="720"/>
        <w:contextualSpacing/>
      </w:pPr>
      <w:r w:rsidRPr="00FF69D8">
        <w:rPr>
          <w:color w:val="222222"/>
          <w:shd w:val="clear" w:color="auto" w:fill="FFFFFF"/>
        </w:rPr>
        <w:t>Luca, M. (2019). Maladaptive rumination as a transdiagnostic mediator of vulnerability and outcome in psychopathology. </w:t>
      </w:r>
      <w:r w:rsidRPr="00FF69D8">
        <w:rPr>
          <w:i/>
          <w:iCs/>
          <w:color w:val="222222"/>
          <w:shd w:val="clear" w:color="auto" w:fill="FFFFFF"/>
        </w:rPr>
        <w:t>Journal of clinical medicine</w:t>
      </w:r>
      <w:r w:rsidRPr="00FF69D8">
        <w:rPr>
          <w:color w:val="222222"/>
          <w:shd w:val="clear" w:color="auto" w:fill="FFFFFF"/>
        </w:rPr>
        <w:t>, </w:t>
      </w:r>
      <w:r w:rsidRPr="00FF69D8">
        <w:rPr>
          <w:i/>
          <w:iCs/>
          <w:color w:val="222222"/>
          <w:shd w:val="clear" w:color="auto" w:fill="FFFFFF"/>
        </w:rPr>
        <w:t>8</w:t>
      </w:r>
      <w:r w:rsidRPr="00FF69D8">
        <w:rPr>
          <w:color w:val="222222"/>
          <w:shd w:val="clear" w:color="auto" w:fill="FFFFFF"/>
        </w:rPr>
        <w:t>(3), 314.</w:t>
      </w:r>
      <w:r w:rsidRPr="00FF69D8">
        <w:rPr>
          <w:color w:val="222222"/>
          <w:shd w:val="clear" w:color="auto" w:fill="FFFFFF"/>
          <w:rtl/>
        </w:rPr>
        <w:t>‏</w:t>
      </w:r>
    </w:p>
    <w:p w14:paraId="29E7F78E" w14:textId="77777777" w:rsidR="00266A4E" w:rsidRPr="00FF69D8" w:rsidRDefault="00266A4E" w:rsidP="00CA389B">
      <w:pPr>
        <w:spacing w:line="480" w:lineRule="auto"/>
        <w:ind w:left="720" w:hanging="720"/>
        <w:contextualSpacing/>
      </w:pPr>
      <w:r w:rsidRPr="00FF69D8">
        <w:rPr>
          <w:color w:val="222222"/>
          <w:shd w:val="clear" w:color="auto" w:fill="FFFFFF"/>
        </w:rPr>
        <w:t>Pepping, C. A., Cronin, T. J., Lyons, A., &amp; Caldwell, J. G. (2018). The effects of mindfulness on sexual outcomes: The role of emotion regulation. </w:t>
      </w:r>
      <w:r w:rsidRPr="00FF69D8">
        <w:rPr>
          <w:i/>
          <w:iCs/>
          <w:color w:val="222222"/>
          <w:shd w:val="clear" w:color="auto" w:fill="FFFFFF"/>
        </w:rPr>
        <w:t>Archives of Sexual Behavior</w:t>
      </w:r>
      <w:r w:rsidRPr="00FF69D8">
        <w:rPr>
          <w:color w:val="222222"/>
          <w:shd w:val="clear" w:color="auto" w:fill="FFFFFF"/>
        </w:rPr>
        <w:t>, </w:t>
      </w:r>
      <w:r w:rsidRPr="00FF69D8">
        <w:rPr>
          <w:i/>
          <w:iCs/>
          <w:color w:val="222222"/>
          <w:shd w:val="clear" w:color="auto" w:fill="FFFFFF"/>
        </w:rPr>
        <w:t>47</w:t>
      </w:r>
      <w:r w:rsidRPr="00FF69D8">
        <w:rPr>
          <w:color w:val="222222"/>
          <w:shd w:val="clear" w:color="auto" w:fill="FFFFFF"/>
        </w:rPr>
        <w:t>(6), 1601-1612.</w:t>
      </w:r>
      <w:r w:rsidRPr="00FF69D8">
        <w:rPr>
          <w:color w:val="222222"/>
          <w:shd w:val="clear" w:color="auto" w:fill="FFFFFF"/>
          <w:rtl/>
        </w:rPr>
        <w:t>‏</w:t>
      </w:r>
    </w:p>
    <w:p w14:paraId="03B87646" w14:textId="77777777" w:rsidR="00D5544F" w:rsidRPr="00FF69D8" w:rsidRDefault="00D5544F" w:rsidP="00CA389B">
      <w:pPr>
        <w:spacing w:line="480" w:lineRule="auto"/>
        <w:ind w:left="720" w:hanging="720"/>
        <w:contextualSpacing/>
        <w:rPr>
          <w:color w:val="222222"/>
          <w:shd w:val="clear" w:color="auto" w:fill="FFFFFF"/>
        </w:rPr>
      </w:pPr>
      <w:r w:rsidRPr="00FF69D8">
        <w:rPr>
          <w:color w:val="222222"/>
          <w:shd w:val="clear" w:color="auto" w:fill="FFFFFF"/>
        </w:rPr>
        <w:lastRenderedPageBreak/>
        <w:t xml:space="preserve">Reid, R. C., </w:t>
      </w:r>
      <w:proofErr w:type="spellStart"/>
      <w:r w:rsidRPr="00FF69D8">
        <w:rPr>
          <w:color w:val="222222"/>
          <w:shd w:val="clear" w:color="auto" w:fill="FFFFFF"/>
        </w:rPr>
        <w:t>Temko</w:t>
      </w:r>
      <w:proofErr w:type="spellEnd"/>
      <w:r w:rsidRPr="00FF69D8">
        <w:rPr>
          <w:color w:val="222222"/>
          <w:shd w:val="clear" w:color="auto" w:fill="FFFFFF"/>
        </w:rPr>
        <w:t>, J., Moghaddam, J. F., &amp; Fong, T. W. (2014). Shame, rumination, and self-compassion in men assessed for hypersexual disorder. </w:t>
      </w:r>
      <w:r w:rsidRPr="00FF69D8">
        <w:rPr>
          <w:i/>
          <w:iCs/>
          <w:color w:val="222222"/>
          <w:shd w:val="clear" w:color="auto" w:fill="FFFFFF"/>
        </w:rPr>
        <w:t>Journal of Psychiatric Practice®</w:t>
      </w:r>
      <w:r w:rsidRPr="00FF69D8">
        <w:rPr>
          <w:color w:val="222222"/>
          <w:shd w:val="clear" w:color="auto" w:fill="FFFFFF"/>
        </w:rPr>
        <w:t>, </w:t>
      </w:r>
      <w:r w:rsidRPr="00FF69D8">
        <w:rPr>
          <w:i/>
          <w:iCs/>
          <w:color w:val="222222"/>
          <w:shd w:val="clear" w:color="auto" w:fill="FFFFFF"/>
        </w:rPr>
        <w:t>20</w:t>
      </w:r>
      <w:r w:rsidRPr="00FF69D8">
        <w:rPr>
          <w:color w:val="222222"/>
          <w:shd w:val="clear" w:color="auto" w:fill="FFFFFF"/>
        </w:rPr>
        <w:t>(4), 260-268.</w:t>
      </w:r>
      <w:r w:rsidRPr="00FF69D8">
        <w:rPr>
          <w:color w:val="222222"/>
          <w:shd w:val="clear" w:color="auto" w:fill="FFFFFF"/>
          <w:rtl/>
        </w:rPr>
        <w:t>‏</w:t>
      </w:r>
    </w:p>
    <w:p w14:paraId="0D1815F5" w14:textId="7FEB5F6B" w:rsidR="00E944D8" w:rsidRPr="00FF69D8" w:rsidRDefault="00E944D8" w:rsidP="00CA389B">
      <w:pPr>
        <w:spacing w:line="480" w:lineRule="auto"/>
        <w:ind w:left="720" w:hanging="720"/>
        <w:contextualSpacing/>
      </w:pPr>
      <w:proofErr w:type="spellStart"/>
      <w:r w:rsidRPr="00FF69D8">
        <w:rPr>
          <w:color w:val="222222"/>
          <w:shd w:val="clear" w:color="auto" w:fill="FFFFFF"/>
        </w:rPr>
        <w:t>Rogier</w:t>
      </w:r>
      <w:proofErr w:type="spellEnd"/>
      <w:r w:rsidRPr="00FF69D8">
        <w:rPr>
          <w:color w:val="222222"/>
          <w:shd w:val="clear" w:color="auto" w:fill="FFFFFF"/>
        </w:rPr>
        <w:t xml:space="preserve">, G., &amp; </w:t>
      </w:r>
      <w:proofErr w:type="spellStart"/>
      <w:r w:rsidRPr="00FF69D8">
        <w:rPr>
          <w:color w:val="222222"/>
          <w:shd w:val="clear" w:color="auto" w:fill="FFFFFF"/>
        </w:rPr>
        <w:t>Velotti</w:t>
      </w:r>
      <w:proofErr w:type="spellEnd"/>
      <w:r w:rsidRPr="00FF69D8">
        <w:rPr>
          <w:color w:val="222222"/>
          <w:shd w:val="clear" w:color="auto" w:fill="FFFFFF"/>
        </w:rPr>
        <w:t>, P. (2018). Conceptualizing gambling disorder with the process model of emotion regulation. </w:t>
      </w:r>
      <w:r w:rsidRPr="00FF69D8">
        <w:rPr>
          <w:i/>
          <w:iCs/>
          <w:color w:val="222222"/>
          <w:shd w:val="clear" w:color="auto" w:fill="FFFFFF"/>
        </w:rPr>
        <w:t>Journal of behavioral addictions</w:t>
      </w:r>
      <w:r w:rsidRPr="00FF69D8">
        <w:rPr>
          <w:color w:val="222222"/>
          <w:shd w:val="clear" w:color="auto" w:fill="FFFFFF"/>
        </w:rPr>
        <w:t>, </w:t>
      </w:r>
      <w:r w:rsidRPr="00FF69D8">
        <w:rPr>
          <w:i/>
          <w:iCs/>
          <w:color w:val="222222"/>
          <w:shd w:val="clear" w:color="auto" w:fill="FFFFFF"/>
        </w:rPr>
        <w:t>7</w:t>
      </w:r>
      <w:r w:rsidRPr="00FF69D8">
        <w:rPr>
          <w:color w:val="222222"/>
          <w:shd w:val="clear" w:color="auto" w:fill="FFFFFF"/>
        </w:rPr>
        <w:t>(2), 239-251.</w:t>
      </w:r>
      <w:r w:rsidRPr="00FF69D8">
        <w:rPr>
          <w:color w:val="222222"/>
          <w:shd w:val="clear" w:color="auto" w:fill="FFFFFF"/>
          <w:rtl/>
        </w:rPr>
        <w:t>‏</w:t>
      </w:r>
      <w:r w:rsidRPr="00FF69D8">
        <w:t xml:space="preserve"> </w:t>
      </w:r>
    </w:p>
    <w:p w14:paraId="0B9B40CD" w14:textId="77777777" w:rsidR="00296D72" w:rsidRPr="00FF69D8" w:rsidRDefault="00296D72" w:rsidP="00CA389B">
      <w:pPr>
        <w:spacing w:line="480" w:lineRule="auto"/>
        <w:ind w:left="720" w:hanging="720"/>
        <w:contextualSpacing/>
        <w:rPr>
          <w:noProof/>
        </w:rPr>
      </w:pPr>
      <w:bookmarkStart w:id="3" w:name="_ENREF_1"/>
      <w:r w:rsidRPr="00FF69D8">
        <w:rPr>
          <w:noProof/>
        </w:rPr>
        <w:t xml:space="preserve">Rubin, D. B. (2009). </w:t>
      </w:r>
      <w:r w:rsidRPr="00FF69D8">
        <w:rPr>
          <w:i/>
          <w:noProof/>
        </w:rPr>
        <w:t>Multiple imputation for nonresponse in surveys</w:t>
      </w:r>
      <w:r w:rsidRPr="00FF69D8">
        <w:rPr>
          <w:noProof/>
        </w:rPr>
        <w:t xml:space="preserve"> (Vol. 307): </w:t>
      </w:r>
      <w:r w:rsidR="00FB03DA" w:rsidRPr="00FF69D8">
        <w:rPr>
          <w:noProof/>
        </w:rPr>
        <w:t xml:space="preserve">New York: </w:t>
      </w:r>
      <w:r w:rsidRPr="00FF69D8">
        <w:rPr>
          <w:noProof/>
        </w:rPr>
        <w:t xml:space="preserve">Wiley. </w:t>
      </w:r>
      <w:bookmarkEnd w:id="3"/>
    </w:p>
    <w:p w14:paraId="6ED82B17" w14:textId="77777777" w:rsidR="008437FA" w:rsidRPr="00FF69D8" w:rsidRDefault="008437FA" w:rsidP="00CA389B">
      <w:pPr>
        <w:spacing w:line="480" w:lineRule="auto"/>
        <w:ind w:left="720" w:hanging="720"/>
        <w:contextualSpacing/>
        <w:rPr>
          <w:noProof/>
        </w:rPr>
      </w:pPr>
      <w:proofErr w:type="spellStart"/>
      <w:r w:rsidRPr="00FF69D8">
        <w:rPr>
          <w:color w:val="222222"/>
          <w:shd w:val="clear" w:color="auto" w:fill="FFFFFF"/>
        </w:rPr>
        <w:t>Sassover</w:t>
      </w:r>
      <w:proofErr w:type="spellEnd"/>
      <w:r w:rsidRPr="00FF69D8">
        <w:rPr>
          <w:color w:val="222222"/>
          <w:shd w:val="clear" w:color="auto" w:fill="FFFFFF"/>
        </w:rPr>
        <w:t>, E., &amp; Weinstein, A. (2020). Should compulsive sexual behavior (CSB) be considered as a behavioral addiction? A debate paper presenting the opposing view. </w:t>
      </w:r>
      <w:r w:rsidRPr="00FF69D8">
        <w:rPr>
          <w:i/>
          <w:iCs/>
          <w:color w:val="222222"/>
          <w:shd w:val="clear" w:color="auto" w:fill="FFFFFF"/>
        </w:rPr>
        <w:t>Journal of behavioral addictions</w:t>
      </w:r>
      <w:r w:rsidRPr="00FF69D8">
        <w:rPr>
          <w:color w:val="222222"/>
          <w:shd w:val="clear" w:color="auto" w:fill="FFFFFF"/>
        </w:rPr>
        <w:t>.</w:t>
      </w:r>
      <w:r w:rsidRPr="00FF69D8">
        <w:rPr>
          <w:color w:val="222222"/>
          <w:shd w:val="clear" w:color="auto" w:fill="FFFFFF"/>
          <w:rtl/>
        </w:rPr>
        <w:t>‏</w:t>
      </w:r>
    </w:p>
    <w:p w14:paraId="63D79BED" w14:textId="77777777" w:rsidR="00D5544F" w:rsidRPr="00FF69D8" w:rsidRDefault="00D5544F" w:rsidP="00CA389B">
      <w:pPr>
        <w:spacing w:line="480" w:lineRule="auto"/>
        <w:ind w:left="720" w:hanging="720"/>
        <w:contextualSpacing/>
        <w:rPr>
          <w:color w:val="222222"/>
          <w:shd w:val="clear" w:color="auto" w:fill="FFFFFF"/>
        </w:rPr>
      </w:pPr>
      <w:proofErr w:type="spellStart"/>
      <w:r w:rsidRPr="00FF69D8">
        <w:rPr>
          <w:color w:val="222222"/>
          <w:shd w:val="clear" w:color="auto" w:fill="FFFFFF"/>
        </w:rPr>
        <w:t>Sheppes</w:t>
      </w:r>
      <w:proofErr w:type="spellEnd"/>
      <w:r w:rsidRPr="00FF69D8">
        <w:rPr>
          <w:color w:val="222222"/>
          <w:shd w:val="clear" w:color="auto" w:fill="FFFFFF"/>
        </w:rPr>
        <w:t>, G. (2014). Emotion regulation choice: Theory and findings. </w:t>
      </w:r>
      <w:r w:rsidRPr="00FF69D8">
        <w:rPr>
          <w:i/>
          <w:iCs/>
          <w:color w:val="222222"/>
          <w:shd w:val="clear" w:color="auto" w:fill="FFFFFF"/>
        </w:rPr>
        <w:t>Handbook of emotion regulation</w:t>
      </w:r>
      <w:r w:rsidRPr="00FF69D8">
        <w:rPr>
          <w:color w:val="222222"/>
          <w:shd w:val="clear" w:color="auto" w:fill="FFFFFF"/>
        </w:rPr>
        <w:t>, </w:t>
      </w:r>
      <w:r w:rsidRPr="00FF69D8">
        <w:rPr>
          <w:i/>
          <w:iCs/>
          <w:color w:val="222222"/>
          <w:shd w:val="clear" w:color="auto" w:fill="FFFFFF"/>
        </w:rPr>
        <w:t>2</w:t>
      </w:r>
      <w:r w:rsidRPr="00FF69D8">
        <w:rPr>
          <w:color w:val="222222"/>
          <w:shd w:val="clear" w:color="auto" w:fill="FFFFFF"/>
        </w:rPr>
        <w:t>, 126-139.</w:t>
      </w:r>
      <w:r w:rsidRPr="00FF69D8">
        <w:rPr>
          <w:color w:val="222222"/>
          <w:shd w:val="clear" w:color="auto" w:fill="FFFFFF"/>
          <w:rtl/>
        </w:rPr>
        <w:t>‏</w:t>
      </w:r>
    </w:p>
    <w:p w14:paraId="3EA011BA" w14:textId="3F16AC2A" w:rsidR="00301854" w:rsidRPr="00FF69D8" w:rsidRDefault="00301854" w:rsidP="00CA389B">
      <w:pPr>
        <w:spacing w:line="480" w:lineRule="auto"/>
        <w:ind w:left="720" w:hanging="720"/>
        <w:contextualSpacing/>
        <w:rPr>
          <w:color w:val="222222"/>
          <w:shd w:val="clear" w:color="auto" w:fill="FFFFFF"/>
        </w:rPr>
      </w:pPr>
      <w:proofErr w:type="spellStart"/>
      <w:r w:rsidRPr="00FF69D8">
        <w:rPr>
          <w:color w:val="222222"/>
          <w:shd w:val="clear" w:color="auto" w:fill="FFFFFF"/>
        </w:rPr>
        <w:t>Shimoni</w:t>
      </w:r>
      <w:proofErr w:type="spellEnd"/>
      <w:r w:rsidRPr="00FF69D8">
        <w:rPr>
          <w:color w:val="222222"/>
          <w:shd w:val="clear" w:color="auto" w:fill="FFFFFF"/>
        </w:rPr>
        <w:t>, L., Dayan, M., Cohen, K., &amp; Weinstein, A. (2018). The contribution of personality factors and gender to ratings of sex addiction among men and women who use the Internet for sex purpose. </w:t>
      </w:r>
      <w:r w:rsidRPr="00FF69D8">
        <w:rPr>
          <w:i/>
          <w:iCs/>
          <w:color w:val="222222"/>
          <w:shd w:val="clear" w:color="auto" w:fill="FFFFFF"/>
        </w:rPr>
        <w:t>Journal of behavioral addictions</w:t>
      </w:r>
      <w:r w:rsidRPr="00FF69D8">
        <w:rPr>
          <w:color w:val="222222"/>
          <w:shd w:val="clear" w:color="auto" w:fill="FFFFFF"/>
        </w:rPr>
        <w:t>, </w:t>
      </w:r>
      <w:r w:rsidRPr="00FF69D8">
        <w:rPr>
          <w:i/>
          <w:iCs/>
          <w:color w:val="222222"/>
          <w:shd w:val="clear" w:color="auto" w:fill="FFFFFF"/>
        </w:rPr>
        <w:t>7</w:t>
      </w:r>
      <w:r w:rsidRPr="00FF69D8">
        <w:rPr>
          <w:color w:val="222222"/>
          <w:shd w:val="clear" w:color="auto" w:fill="FFFFFF"/>
        </w:rPr>
        <w:t>(4), 1015-1021.</w:t>
      </w:r>
      <w:r w:rsidRPr="00FF69D8">
        <w:rPr>
          <w:color w:val="222222"/>
          <w:shd w:val="clear" w:color="auto" w:fill="FFFFFF"/>
          <w:rtl/>
        </w:rPr>
        <w:t>‏</w:t>
      </w:r>
    </w:p>
    <w:p w14:paraId="3FC7EBF9" w14:textId="77777777" w:rsidR="00164B2C" w:rsidRPr="00FF69D8" w:rsidRDefault="00164B2C" w:rsidP="00CA389B">
      <w:pPr>
        <w:spacing w:line="480" w:lineRule="auto"/>
        <w:ind w:left="720" w:hanging="720"/>
        <w:contextualSpacing/>
        <w:rPr>
          <w:color w:val="222222"/>
          <w:shd w:val="clear" w:color="auto" w:fill="FFFFFF"/>
        </w:rPr>
      </w:pPr>
      <w:r w:rsidRPr="00FF69D8">
        <w:rPr>
          <w:color w:val="222222"/>
          <w:shd w:val="clear" w:color="auto" w:fill="FFFFFF"/>
        </w:rPr>
        <w:t xml:space="preserve">Skinner, B. F. (1953). Some contributions of an experimental analysis of behavior to </w:t>
      </w:r>
      <w:proofErr w:type="gramStart"/>
      <w:r w:rsidRPr="00FF69D8">
        <w:rPr>
          <w:color w:val="222222"/>
          <w:shd w:val="clear" w:color="auto" w:fill="FFFFFF"/>
        </w:rPr>
        <w:t>psychology as a whole</w:t>
      </w:r>
      <w:proofErr w:type="gramEnd"/>
      <w:r w:rsidRPr="00FF69D8">
        <w:rPr>
          <w:color w:val="222222"/>
          <w:shd w:val="clear" w:color="auto" w:fill="FFFFFF"/>
        </w:rPr>
        <w:t>. </w:t>
      </w:r>
      <w:r w:rsidRPr="00FF69D8">
        <w:rPr>
          <w:i/>
          <w:iCs/>
          <w:color w:val="222222"/>
          <w:shd w:val="clear" w:color="auto" w:fill="FFFFFF"/>
        </w:rPr>
        <w:t>American Psychologist</w:t>
      </w:r>
      <w:r w:rsidRPr="00FF69D8">
        <w:rPr>
          <w:color w:val="222222"/>
          <w:shd w:val="clear" w:color="auto" w:fill="FFFFFF"/>
        </w:rPr>
        <w:t>, </w:t>
      </w:r>
      <w:r w:rsidRPr="00FF69D8">
        <w:rPr>
          <w:i/>
          <w:iCs/>
          <w:color w:val="222222"/>
          <w:shd w:val="clear" w:color="auto" w:fill="FFFFFF"/>
        </w:rPr>
        <w:t>8</w:t>
      </w:r>
      <w:r w:rsidRPr="00FF69D8">
        <w:rPr>
          <w:color w:val="222222"/>
          <w:shd w:val="clear" w:color="auto" w:fill="FFFFFF"/>
        </w:rPr>
        <w:t>(2), 69.</w:t>
      </w:r>
      <w:r w:rsidRPr="00FF69D8">
        <w:rPr>
          <w:color w:val="222222"/>
          <w:shd w:val="clear" w:color="auto" w:fill="FFFFFF"/>
          <w:rtl/>
        </w:rPr>
        <w:t>‏</w:t>
      </w:r>
    </w:p>
    <w:p w14:paraId="49F53A13" w14:textId="60A1F1D9" w:rsidR="00C26A1E" w:rsidRPr="00FF69D8" w:rsidRDefault="00C26A1E" w:rsidP="00CA389B">
      <w:pPr>
        <w:spacing w:line="480" w:lineRule="auto"/>
        <w:ind w:left="720" w:hanging="720"/>
        <w:contextualSpacing/>
        <w:rPr>
          <w:color w:val="222222"/>
          <w:shd w:val="clear" w:color="auto" w:fill="FFFFFF"/>
        </w:rPr>
      </w:pPr>
      <w:proofErr w:type="spellStart"/>
      <w:r w:rsidRPr="00FF69D8">
        <w:rPr>
          <w:color w:val="222222"/>
          <w:shd w:val="clear" w:color="auto" w:fill="FFFFFF"/>
        </w:rPr>
        <w:t>Smaniotto</w:t>
      </w:r>
      <w:proofErr w:type="spellEnd"/>
      <w:r w:rsidRPr="00FF69D8">
        <w:rPr>
          <w:color w:val="222222"/>
          <w:shd w:val="clear" w:color="auto" w:fill="FFFFFF"/>
        </w:rPr>
        <w:t>, B., Le Bigot, J., &amp; Camps, F. D. (2021). “Pornography Addiction”: Elements for Discussion of a Case Report. </w:t>
      </w:r>
      <w:r w:rsidRPr="00FF69D8">
        <w:rPr>
          <w:i/>
          <w:iCs/>
          <w:color w:val="222222"/>
          <w:shd w:val="clear" w:color="auto" w:fill="FFFFFF"/>
        </w:rPr>
        <w:t>Archives of sexual behavior</w:t>
      </w:r>
      <w:r w:rsidRPr="00FF69D8">
        <w:rPr>
          <w:color w:val="222222"/>
          <w:shd w:val="clear" w:color="auto" w:fill="FFFFFF"/>
        </w:rPr>
        <w:t>, 1-7.</w:t>
      </w:r>
      <w:r w:rsidRPr="00FF69D8">
        <w:rPr>
          <w:color w:val="222222"/>
          <w:shd w:val="clear" w:color="auto" w:fill="FFFFFF"/>
          <w:rtl/>
        </w:rPr>
        <w:t>‏</w:t>
      </w:r>
    </w:p>
    <w:p w14:paraId="731FB8EC" w14:textId="7CE7214B" w:rsidR="008641EC" w:rsidRPr="00FF69D8" w:rsidRDefault="008641EC" w:rsidP="00CA389B">
      <w:pPr>
        <w:spacing w:line="480" w:lineRule="auto"/>
        <w:ind w:left="720" w:hanging="720"/>
        <w:contextualSpacing/>
      </w:pPr>
      <w:r w:rsidRPr="00FF69D8">
        <w:rPr>
          <w:color w:val="222222"/>
          <w:shd w:val="clear" w:color="auto" w:fill="FFFFFF"/>
        </w:rPr>
        <w:t>Smith, E. R., Murphy, J., &amp; Coats, S. (1999). Attachment to groups: theory and management. </w:t>
      </w:r>
      <w:r w:rsidRPr="00FF69D8">
        <w:rPr>
          <w:i/>
          <w:iCs/>
          <w:color w:val="222222"/>
          <w:shd w:val="clear" w:color="auto" w:fill="FFFFFF"/>
        </w:rPr>
        <w:t>Journal of personality and social psychology</w:t>
      </w:r>
      <w:r w:rsidRPr="00FF69D8">
        <w:rPr>
          <w:color w:val="222222"/>
          <w:shd w:val="clear" w:color="auto" w:fill="FFFFFF"/>
        </w:rPr>
        <w:t>, </w:t>
      </w:r>
      <w:r w:rsidRPr="00FF69D8">
        <w:rPr>
          <w:i/>
          <w:iCs/>
          <w:color w:val="222222"/>
          <w:shd w:val="clear" w:color="auto" w:fill="FFFFFF"/>
        </w:rPr>
        <w:t>77</w:t>
      </w:r>
      <w:r w:rsidRPr="00FF69D8">
        <w:rPr>
          <w:color w:val="222222"/>
          <w:shd w:val="clear" w:color="auto" w:fill="FFFFFF"/>
        </w:rPr>
        <w:t>(1), 94.</w:t>
      </w:r>
      <w:r w:rsidRPr="00FF69D8">
        <w:rPr>
          <w:color w:val="222222"/>
          <w:shd w:val="clear" w:color="auto" w:fill="FFFFFF"/>
          <w:rtl/>
        </w:rPr>
        <w:t>‏</w:t>
      </w:r>
    </w:p>
    <w:p w14:paraId="4118E0DE" w14:textId="77777777" w:rsidR="00301854" w:rsidRPr="00FF69D8" w:rsidRDefault="00301854" w:rsidP="00CA389B">
      <w:pPr>
        <w:spacing w:line="480" w:lineRule="auto"/>
        <w:ind w:left="720" w:hanging="720"/>
        <w:contextualSpacing/>
      </w:pPr>
      <w:proofErr w:type="spellStart"/>
      <w:r w:rsidRPr="00FF69D8">
        <w:rPr>
          <w:color w:val="222222"/>
          <w:shd w:val="clear" w:color="auto" w:fill="FFFFFF"/>
        </w:rPr>
        <w:lastRenderedPageBreak/>
        <w:t>Soraci</w:t>
      </w:r>
      <w:proofErr w:type="spellEnd"/>
      <w:r w:rsidRPr="00FF69D8">
        <w:rPr>
          <w:color w:val="222222"/>
          <w:shd w:val="clear" w:color="auto" w:fill="FFFFFF"/>
        </w:rPr>
        <w:t xml:space="preserve">, P., </w:t>
      </w:r>
      <w:proofErr w:type="spellStart"/>
      <w:r w:rsidRPr="00FF69D8">
        <w:rPr>
          <w:color w:val="222222"/>
          <w:shd w:val="clear" w:color="auto" w:fill="FFFFFF"/>
        </w:rPr>
        <w:t>Melchiori</w:t>
      </w:r>
      <w:proofErr w:type="spellEnd"/>
      <w:r w:rsidRPr="00FF69D8">
        <w:rPr>
          <w:color w:val="222222"/>
          <w:shd w:val="clear" w:color="auto" w:fill="FFFFFF"/>
        </w:rPr>
        <w:t xml:space="preserve">, F. M., Del </w:t>
      </w:r>
      <w:proofErr w:type="spellStart"/>
      <w:r w:rsidRPr="00FF69D8">
        <w:rPr>
          <w:color w:val="222222"/>
          <w:shd w:val="clear" w:color="auto" w:fill="FFFFFF"/>
        </w:rPr>
        <w:t>Fante</w:t>
      </w:r>
      <w:proofErr w:type="spellEnd"/>
      <w:r w:rsidRPr="00FF69D8">
        <w:rPr>
          <w:color w:val="222222"/>
          <w:shd w:val="clear" w:color="auto" w:fill="FFFFFF"/>
        </w:rPr>
        <w:t xml:space="preserve">, E., </w:t>
      </w:r>
      <w:proofErr w:type="spellStart"/>
      <w:r w:rsidRPr="00FF69D8">
        <w:rPr>
          <w:color w:val="222222"/>
          <w:shd w:val="clear" w:color="auto" w:fill="FFFFFF"/>
        </w:rPr>
        <w:t>Melchiori</w:t>
      </w:r>
      <w:proofErr w:type="spellEnd"/>
      <w:r w:rsidRPr="00FF69D8">
        <w:rPr>
          <w:color w:val="222222"/>
          <w:shd w:val="clear" w:color="auto" w:fill="FFFFFF"/>
        </w:rPr>
        <w:t xml:space="preserve">, R., </w:t>
      </w:r>
      <w:proofErr w:type="spellStart"/>
      <w:r w:rsidRPr="00FF69D8">
        <w:rPr>
          <w:color w:val="222222"/>
          <w:shd w:val="clear" w:color="auto" w:fill="FFFFFF"/>
        </w:rPr>
        <w:t>Guaitoli</w:t>
      </w:r>
      <w:proofErr w:type="spellEnd"/>
      <w:r w:rsidRPr="00FF69D8">
        <w:rPr>
          <w:color w:val="222222"/>
          <w:shd w:val="clear" w:color="auto" w:fill="FFFFFF"/>
        </w:rPr>
        <w:t xml:space="preserve">, E., </w:t>
      </w:r>
      <w:proofErr w:type="spellStart"/>
      <w:r w:rsidRPr="00FF69D8">
        <w:rPr>
          <w:color w:val="222222"/>
          <w:shd w:val="clear" w:color="auto" w:fill="FFFFFF"/>
        </w:rPr>
        <w:t>Lagattolla</w:t>
      </w:r>
      <w:proofErr w:type="spellEnd"/>
      <w:r w:rsidRPr="00FF69D8">
        <w:rPr>
          <w:color w:val="222222"/>
          <w:shd w:val="clear" w:color="auto" w:fill="FFFFFF"/>
        </w:rPr>
        <w:t>, F., ... &amp; Griffiths, M. D. (2021). Validation and Psychometric Evaluation of the Italian Version of the Bergen–Yale Sex Addiction Scale. </w:t>
      </w:r>
      <w:r w:rsidRPr="00FF69D8">
        <w:rPr>
          <w:i/>
          <w:iCs/>
          <w:color w:val="222222"/>
          <w:shd w:val="clear" w:color="auto" w:fill="FFFFFF"/>
        </w:rPr>
        <w:t>International Journal of Mental Health and Addiction</w:t>
      </w:r>
      <w:r w:rsidRPr="00FF69D8">
        <w:rPr>
          <w:color w:val="222222"/>
          <w:shd w:val="clear" w:color="auto" w:fill="FFFFFF"/>
        </w:rPr>
        <w:t>, 1-27.</w:t>
      </w:r>
      <w:r w:rsidRPr="00FF69D8">
        <w:rPr>
          <w:color w:val="222222"/>
          <w:shd w:val="clear" w:color="auto" w:fill="FFFFFF"/>
          <w:rtl/>
        </w:rPr>
        <w:t>‏</w:t>
      </w:r>
    </w:p>
    <w:p w14:paraId="662104E8" w14:textId="0DA2FEE2" w:rsidR="002137BB" w:rsidRPr="00FF69D8" w:rsidRDefault="00890165" w:rsidP="00CA389B">
      <w:pPr>
        <w:spacing w:line="480" w:lineRule="auto"/>
        <w:ind w:left="720" w:hanging="720"/>
        <w:contextualSpacing/>
      </w:pPr>
      <w:r w:rsidRPr="00FF69D8">
        <w:t xml:space="preserve">Southam-Gerow, M. A., &amp; Kendall, P. C. (2002). Emotion regulation and understanding: Implications for child psychopathology and therapy. </w:t>
      </w:r>
      <w:r w:rsidRPr="00FF69D8">
        <w:rPr>
          <w:i/>
          <w:iCs/>
        </w:rPr>
        <w:t>Clinical Psychology Review, 22</w:t>
      </w:r>
      <w:r w:rsidRPr="00FF69D8">
        <w:t xml:space="preserve">, 189 </w:t>
      </w:r>
      <w:r w:rsidR="00FB03DA" w:rsidRPr="00FF69D8">
        <w:t>-</w:t>
      </w:r>
      <w:r w:rsidRPr="00FF69D8">
        <w:t>222. doi</w:t>
      </w:r>
      <w:r w:rsidR="00CA389B" w:rsidRPr="00FF69D8">
        <w:t>:10.1016/S0272- 7358(01)00087-3</w:t>
      </w:r>
    </w:p>
    <w:p w14:paraId="48E9F4BC" w14:textId="77777777" w:rsidR="00031149" w:rsidRPr="00FF69D8" w:rsidRDefault="00031149" w:rsidP="00CA389B">
      <w:pPr>
        <w:spacing w:line="480" w:lineRule="auto"/>
        <w:ind w:left="720" w:hanging="720"/>
        <w:contextualSpacing/>
        <w:rPr>
          <w:noProof/>
        </w:rPr>
      </w:pPr>
      <w:r w:rsidRPr="00FF69D8">
        <w:rPr>
          <w:noProof/>
        </w:rPr>
        <w:t>Struijs, S. Y., de Jong, P. J., Jeronimus, B. F., van der Does, W., Riese, H., &amp; Spinhoven, P. (2021). Psychological risk factors and the course of depression and anxiety disorders: A review of 15 years NESDA research. </w:t>
      </w:r>
      <w:r w:rsidRPr="00FF69D8">
        <w:rPr>
          <w:i/>
          <w:iCs/>
          <w:noProof/>
        </w:rPr>
        <w:t>Journal of affective disorders, 295</w:t>
      </w:r>
      <w:r w:rsidRPr="00FF69D8">
        <w:rPr>
          <w:noProof/>
        </w:rPr>
        <w:t>, 1347-1359</w:t>
      </w:r>
    </w:p>
    <w:p w14:paraId="1BC61C17" w14:textId="26BA01F6" w:rsidR="0027515A" w:rsidRPr="00FF69D8" w:rsidRDefault="0027515A" w:rsidP="00CA389B">
      <w:pPr>
        <w:spacing w:line="480" w:lineRule="auto"/>
        <w:ind w:left="720" w:hanging="720"/>
        <w:contextualSpacing/>
        <w:rPr>
          <w:noProof/>
        </w:rPr>
      </w:pPr>
      <w:r w:rsidRPr="00FF69D8">
        <w:rPr>
          <w:noProof/>
        </w:rPr>
        <w:t xml:space="preserve">Srull, T. K., &amp; Gaelick, L. (1983). General principles and individual differences in the self as a habitual reference point: An examination of self-other judgments of similarity. </w:t>
      </w:r>
      <w:r w:rsidRPr="00FF69D8">
        <w:rPr>
          <w:i/>
          <w:iCs/>
          <w:noProof/>
        </w:rPr>
        <w:t>Social Cognition, 2</w:t>
      </w:r>
      <w:r w:rsidRPr="00FF69D8">
        <w:rPr>
          <w:noProof/>
        </w:rPr>
        <w:t>, 108</w:t>
      </w:r>
      <w:r w:rsidR="00FB03DA" w:rsidRPr="00FF69D8">
        <w:rPr>
          <w:noProof/>
        </w:rPr>
        <w:t>-</w:t>
      </w:r>
      <w:r w:rsidRPr="00FF69D8">
        <w:rPr>
          <w:noProof/>
        </w:rPr>
        <w:t>121.</w:t>
      </w:r>
    </w:p>
    <w:p w14:paraId="1A304FBC" w14:textId="3F95230B" w:rsidR="00A03C06" w:rsidRPr="00FF69D8" w:rsidRDefault="00A03C06" w:rsidP="00CA389B">
      <w:pPr>
        <w:spacing w:line="480" w:lineRule="auto"/>
        <w:ind w:left="720" w:hanging="720"/>
        <w:contextualSpacing/>
        <w:rPr>
          <w:noProof/>
        </w:rPr>
      </w:pPr>
      <w:r w:rsidRPr="00FF69D8">
        <w:rPr>
          <w:noProof/>
        </w:rPr>
        <w:t xml:space="preserve">Thompson, R. A. (1994). Emotion regulation: A theme in search of definition. </w:t>
      </w:r>
      <w:r w:rsidRPr="00FF69D8">
        <w:rPr>
          <w:i/>
          <w:iCs/>
          <w:noProof/>
        </w:rPr>
        <w:t>Monographs of the Society for Research in Child Development, 59</w:t>
      </w:r>
      <w:r w:rsidRPr="00FF69D8">
        <w:rPr>
          <w:noProof/>
        </w:rPr>
        <w:t>, 25</w:t>
      </w:r>
      <w:r w:rsidR="00FB03DA" w:rsidRPr="00FF69D8">
        <w:rPr>
          <w:noProof/>
        </w:rPr>
        <w:t>-</w:t>
      </w:r>
      <w:r w:rsidRPr="00FF69D8">
        <w:rPr>
          <w:noProof/>
        </w:rPr>
        <w:t xml:space="preserve">52. </w:t>
      </w:r>
    </w:p>
    <w:p w14:paraId="4A6FADAC" w14:textId="77777777" w:rsidR="00DD3A50" w:rsidRPr="00FF69D8" w:rsidRDefault="00A03C06" w:rsidP="00CA389B">
      <w:pPr>
        <w:spacing w:line="480" w:lineRule="auto"/>
        <w:ind w:left="720" w:hanging="720"/>
        <w:contextualSpacing/>
      </w:pPr>
      <w:r w:rsidRPr="00FF69D8">
        <w:rPr>
          <w:noProof/>
        </w:rPr>
        <w:t xml:space="preserve"> </w:t>
      </w:r>
      <w:r w:rsidR="00DD3A50" w:rsidRPr="00FF69D8">
        <w:rPr>
          <w:noProof/>
        </w:rPr>
        <w:t xml:space="preserve">Trapnell, P. D., &amp; Campbell, J. D. (1999). Private self-consciousness and the five-factor model of personality: Distinguishing rumination from reflection. </w:t>
      </w:r>
      <w:r w:rsidR="00DD3A50" w:rsidRPr="00FF69D8">
        <w:rPr>
          <w:i/>
          <w:iCs/>
          <w:noProof/>
        </w:rPr>
        <w:t>Journal of Personality and Social Psychology, 76</w:t>
      </w:r>
      <w:r w:rsidR="00DD3A50" w:rsidRPr="00FF69D8">
        <w:rPr>
          <w:noProof/>
        </w:rPr>
        <w:t>, 284</w:t>
      </w:r>
      <w:r w:rsidR="00FB03DA" w:rsidRPr="00FF69D8">
        <w:rPr>
          <w:noProof/>
        </w:rPr>
        <w:t>-</w:t>
      </w:r>
      <w:r w:rsidR="00DD3A50" w:rsidRPr="00FF69D8">
        <w:rPr>
          <w:noProof/>
        </w:rPr>
        <w:t>304.</w:t>
      </w:r>
    </w:p>
    <w:p w14:paraId="563C4242" w14:textId="77777777" w:rsidR="00772565" w:rsidRPr="00FF69D8" w:rsidRDefault="00772565" w:rsidP="00CA389B">
      <w:pPr>
        <w:spacing w:line="480" w:lineRule="auto"/>
        <w:ind w:left="720" w:hanging="720"/>
        <w:contextualSpacing/>
        <w:rPr>
          <w:color w:val="000000"/>
          <w:lang w:val="x-none"/>
        </w:rPr>
      </w:pPr>
      <w:r w:rsidRPr="00FF69D8">
        <w:rPr>
          <w:noProof/>
        </w:rPr>
        <w:t xml:space="preserve">Watkins, E.R. (2008). Constructive and unconstructive repetitive thought. </w:t>
      </w:r>
      <w:r w:rsidRPr="00FF69D8">
        <w:rPr>
          <w:i/>
          <w:iCs/>
          <w:noProof/>
        </w:rPr>
        <w:t>Psychological Bulletin, 134</w:t>
      </w:r>
      <w:r w:rsidRPr="00FF69D8">
        <w:rPr>
          <w:noProof/>
        </w:rPr>
        <w:t>, 163</w:t>
      </w:r>
      <w:r w:rsidR="00FB03DA" w:rsidRPr="00FF69D8">
        <w:rPr>
          <w:noProof/>
        </w:rPr>
        <w:t>-</w:t>
      </w:r>
      <w:r w:rsidRPr="00FF69D8">
        <w:rPr>
          <w:noProof/>
        </w:rPr>
        <w:t>206.</w:t>
      </w:r>
    </w:p>
    <w:p w14:paraId="6338CB70" w14:textId="77777777" w:rsidR="00275DE0" w:rsidRPr="00FF69D8" w:rsidRDefault="00275DE0" w:rsidP="00CA389B">
      <w:pPr>
        <w:spacing w:line="480" w:lineRule="auto"/>
        <w:ind w:left="720" w:hanging="720"/>
        <w:contextualSpacing/>
      </w:pPr>
      <w:r w:rsidRPr="00FF69D8">
        <w:rPr>
          <w:color w:val="222222"/>
          <w:shd w:val="clear" w:color="auto" w:fill="FFFFFF"/>
        </w:rPr>
        <w:lastRenderedPageBreak/>
        <w:t xml:space="preserve">Weinstein, A., Katz, L., Eberhardt, H., Cohen, K., &amp; </w:t>
      </w:r>
      <w:proofErr w:type="spellStart"/>
      <w:r w:rsidRPr="00FF69D8">
        <w:rPr>
          <w:color w:val="222222"/>
          <w:shd w:val="clear" w:color="auto" w:fill="FFFFFF"/>
        </w:rPr>
        <w:t>Lejoyeux</w:t>
      </w:r>
      <w:proofErr w:type="spellEnd"/>
      <w:r w:rsidRPr="00FF69D8">
        <w:rPr>
          <w:color w:val="222222"/>
          <w:shd w:val="clear" w:color="auto" w:fill="FFFFFF"/>
        </w:rPr>
        <w:t xml:space="preserve">, M. (2015). Sexual compulsion—Relationship with sex, </w:t>
      </w:r>
      <w:proofErr w:type="gramStart"/>
      <w:r w:rsidRPr="00FF69D8">
        <w:rPr>
          <w:color w:val="222222"/>
          <w:shd w:val="clear" w:color="auto" w:fill="FFFFFF"/>
        </w:rPr>
        <w:t>attachment</w:t>
      </w:r>
      <w:proofErr w:type="gramEnd"/>
      <w:r w:rsidRPr="00FF69D8">
        <w:rPr>
          <w:color w:val="222222"/>
          <w:shd w:val="clear" w:color="auto" w:fill="FFFFFF"/>
        </w:rPr>
        <w:t xml:space="preserve"> and sexual orientation. </w:t>
      </w:r>
      <w:r w:rsidRPr="00FF69D8">
        <w:rPr>
          <w:i/>
          <w:iCs/>
          <w:color w:val="222222"/>
          <w:shd w:val="clear" w:color="auto" w:fill="FFFFFF"/>
        </w:rPr>
        <w:t>Journal of behavioral addictions</w:t>
      </w:r>
      <w:r w:rsidRPr="00FF69D8">
        <w:rPr>
          <w:color w:val="222222"/>
          <w:shd w:val="clear" w:color="auto" w:fill="FFFFFF"/>
        </w:rPr>
        <w:t>, </w:t>
      </w:r>
      <w:r w:rsidRPr="00FF69D8">
        <w:rPr>
          <w:i/>
          <w:iCs/>
          <w:color w:val="222222"/>
          <w:shd w:val="clear" w:color="auto" w:fill="FFFFFF"/>
        </w:rPr>
        <w:t>4</w:t>
      </w:r>
      <w:r w:rsidRPr="00FF69D8">
        <w:rPr>
          <w:color w:val="222222"/>
          <w:shd w:val="clear" w:color="auto" w:fill="FFFFFF"/>
        </w:rPr>
        <w:t>(1), 22-26.</w:t>
      </w:r>
      <w:r w:rsidRPr="00FF69D8">
        <w:rPr>
          <w:color w:val="222222"/>
          <w:shd w:val="clear" w:color="auto" w:fill="FFFFFF"/>
          <w:rtl/>
        </w:rPr>
        <w:t>‏</w:t>
      </w:r>
    </w:p>
    <w:p w14:paraId="4D231BCA" w14:textId="77777777" w:rsidR="00E944D8" w:rsidRPr="00FF69D8" w:rsidRDefault="00E944D8" w:rsidP="00CA389B">
      <w:pPr>
        <w:pStyle w:val="2"/>
        <w:ind w:left="720" w:hanging="720"/>
        <w:contextualSpacing/>
        <w:rPr>
          <w:noProof w:val="0"/>
          <w:lang w:eastAsia="en-US"/>
        </w:rPr>
      </w:pPr>
      <w:r w:rsidRPr="00FF69D8">
        <w:rPr>
          <w:color w:val="222222"/>
          <w:shd w:val="clear" w:color="auto" w:fill="FFFFFF"/>
        </w:rPr>
        <w:t>Wu, L. L., Potenza, M. N., Zhou, N., Kober, H., Shi, X. H., Yip, S. W., ... &amp; Zhang, J. T. (2020). A role for the right dorsolateral prefrontal cortex in enhancing regulation of both craving and negative emotions in internet gaming disorder: A randomized trial. </w:t>
      </w:r>
      <w:r w:rsidRPr="00FF69D8">
        <w:rPr>
          <w:i/>
          <w:iCs/>
          <w:color w:val="222222"/>
          <w:shd w:val="clear" w:color="auto" w:fill="FFFFFF"/>
        </w:rPr>
        <w:t>European Neuropsychopharmacology</w:t>
      </w:r>
      <w:r w:rsidRPr="00FF69D8">
        <w:rPr>
          <w:color w:val="222222"/>
          <w:shd w:val="clear" w:color="auto" w:fill="FFFFFF"/>
        </w:rPr>
        <w:t>, </w:t>
      </w:r>
      <w:r w:rsidRPr="00FF69D8">
        <w:rPr>
          <w:i/>
          <w:iCs/>
          <w:color w:val="222222"/>
          <w:shd w:val="clear" w:color="auto" w:fill="FFFFFF"/>
        </w:rPr>
        <w:t>36</w:t>
      </w:r>
      <w:r w:rsidRPr="00FF69D8">
        <w:rPr>
          <w:color w:val="222222"/>
          <w:shd w:val="clear" w:color="auto" w:fill="FFFFFF"/>
        </w:rPr>
        <w:t>, 29-37.</w:t>
      </w:r>
      <w:r w:rsidRPr="00FF69D8">
        <w:rPr>
          <w:color w:val="222222"/>
          <w:shd w:val="clear" w:color="auto" w:fill="FFFFFF"/>
          <w:rtl/>
        </w:rPr>
        <w:t>‏</w:t>
      </w:r>
      <w:r w:rsidRPr="00FF69D8">
        <w:rPr>
          <w:noProof w:val="0"/>
          <w:lang w:eastAsia="en-US"/>
        </w:rPr>
        <w:t xml:space="preserve"> </w:t>
      </w:r>
    </w:p>
    <w:p w14:paraId="000E9EA0" w14:textId="331D1EC9" w:rsidR="00DD3A50" w:rsidRPr="00FF69D8" w:rsidRDefault="001925EC" w:rsidP="008437FA">
      <w:pPr>
        <w:pStyle w:val="2"/>
        <w:ind w:left="720" w:hanging="720"/>
        <w:contextualSpacing/>
        <w:rPr>
          <w:noProof w:val="0"/>
          <w:lang w:eastAsia="en-US"/>
        </w:rPr>
      </w:pPr>
      <w:r w:rsidRPr="00FF69D8">
        <w:rPr>
          <w:noProof w:val="0"/>
          <w:lang w:eastAsia="en-US"/>
        </w:rPr>
        <w:t xml:space="preserve">Zapf, J. L., Greiner, J., &amp; Carroll, J. (2008). Attachment styles and male sex addiction. </w:t>
      </w:r>
      <w:r w:rsidRPr="00FF69D8">
        <w:rPr>
          <w:i/>
          <w:iCs/>
          <w:noProof w:val="0"/>
          <w:lang w:eastAsia="en-US"/>
        </w:rPr>
        <w:t>Sexual Addiction &amp; Compulsivity, 15</w:t>
      </w:r>
      <w:r w:rsidRPr="00FF69D8">
        <w:rPr>
          <w:noProof w:val="0"/>
          <w:lang w:eastAsia="en-US"/>
        </w:rPr>
        <w:t>(2), 158</w:t>
      </w:r>
      <w:r w:rsidR="00FB03DA" w:rsidRPr="00FF69D8">
        <w:rPr>
          <w:noProof w:val="0"/>
          <w:lang w:eastAsia="en-US"/>
        </w:rPr>
        <w:t>-</w:t>
      </w:r>
      <w:r w:rsidRPr="00FF69D8">
        <w:rPr>
          <w:noProof w:val="0"/>
          <w:lang w:eastAsia="en-US"/>
        </w:rPr>
        <w:t>175.</w:t>
      </w:r>
    </w:p>
    <w:p w14:paraId="32B132CA" w14:textId="73F5ADE5" w:rsidR="008437FA" w:rsidRPr="00FF69D8" w:rsidRDefault="008437FA" w:rsidP="008437FA">
      <w:pPr>
        <w:pStyle w:val="2"/>
        <w:ind w:left="720" w:hanging="720"/>
        <w:contextualSpacing/>
        <w:rPr>
          <w:noProof w:val="0"/>
          <w:rtl/>
          <w:lang w:eastAsia="en-US"/>
        </w:rPr>
        <w:sectPr w:rsidR="008437FA" w:rsidRPr="00FF69D8">
          <w:pgSz w:w="12240" w:h="15840"/>
          <w:pgMar w:top="1440" w:right="1800" w:bottom="1440" w:left="1800" w:header="720" w:footer="720" w:gutter="0"/>
          <w:cols w:space="720"/>
          <w:docGrid w:linePitch="360"/>
        </w:sectPr>
      </w:pPr>
      <w:r w:rsidRPr="00FF69D8">
        <w:rPr>
          <w:noProof w:val="0"/>
          <w:lang w:eastAsia="en-US"/>
        </w:rPr>
        <w:t xml:space="preserve">Zilberman, N., </w:t>
      </w:r>
      <w:proofErr w:type="spellStart"/>
      <w:r w:rsidRPr="00FF69D8">
        <w:rPr>
          <w:noProof w:val="0"/>
          <w:lang w:eastAsia="en-US"/>
        </w:rPr>
        <w:t>Yadid</w:t>
      </w:r>
      <w:proofErr w:type="spellEnd"/>
      <w:r w:rsidRPr="00FF69D8">
        <w:rPr>
          <w:noProof w:val="0"/>
          <w:lang w:eastAsia="en-US"/>
        </w:rPr>
        <w:t xml:space="preserve">, G., Efrati, Y., </w:t>
      </w:r>
      <w:proofErr w:type="spellStart"/>
      <w:r w:rsidRPr="00FF69D8">
        <w:rPr>
          <w:noProof w:val="0"/>
          <w:lang w:eastAsia="en-US"/>
        </w:rPr>
        <w:t>Neumark</w:t>
      </w:r>
      <w:proofErr w:type="spellEnd"/>
      <w:r w:rsidRPr="00FF69D8">
        <w:rPr>
          <w:noProof w:val="0"/>
          <w:lang w:eastAsia="en-US"/>
        </w:rPr>
        <w:t xml:space="preserve">, Y., &amp; </w:t>
      </w:r>
      <w:proofErr w:type="spellStart"/>
      <w:r w:rsidRPr="00FF69D8">
        <w:rPr>
          <w:noProof w:val="0"/>
          <w:lang w:eastAsia="en-US"/>
        </w:rPr>
        <w:t>Rassovsky</w:t>
      </w:r>
      <w:proofErr w:type="spellEnd"/>
      <w:r w:rsidRPr="00FF69D8">
        <w:rPr>
          <w:noProof w:val="0"/>
          <w:lang w:eastAsia="en-US"/>
        </w:rPr>
        <w:t>, Y. (2018). Personality profiles of substance and behavioral addictions. </w:t>
      </w:r>
      <w:r w:rsidRPr="00FF69D8">
        <w:rPr>
          <w:i/>
          <w:iCs/>
          <w:noProof w:val="0"/>
          <w:lang w:eastAsia="en-US"/>
        </w:rPr>
        <w:t>Addictive Behaviors, 82</w:t>
      </w:r>
      <w:r w:rsidRPr="00FF69D8">
        <w:rPr>
          <w:noProof w:val="0"/>
          <w:lang w:eastAsia="en-US"/>
        </w:rPr>
        <w:t>, 174-181.</w:t>
      </w:r>
      <w:r w:rsidRPr="00FF69D8">
        <w:rPr>
          <w:noProof w:val="0"/>
          <w:rtl/>
          <w:lang w:eastAsia="en-US"/>
        </w:rPr>
        <w:t>‏</w:t>
      </w:r>
    </w:p>
    <w:p w14:paraId="52F63690"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lastRenderedPageBreak/>
        <w:t>Table 1</w:t>
      </w:r>
    </w:p>
    <w:p w14:paraId="4A982195" w14:textId="77777777" w:rsidR="00DD3A50" w:rsidRPr="00536E65" w:rsidRDefault="00DD3A50" w:rsidP="000C1F69">
      <w:pPr>
        <w:spacing w:line="360" w:lineRule="auto"/>
        <w:rPr>
          <w:rFonts w:asciiTheme="majorBidi" w:hAnsiTheme="majorBidi" w:cstheme="majorBidi"/>
          <w:i/>
          <w:iCs/>
        </w:rPr>
      </w:pPr>
      <w:r w:rsidRPr="00536E65">
        <w:rPr>
          <w:rFonts w:asciiTheme="majorBidi" w:hAnsiTheme="majorBidi" w:cstheme="majorBidi"/>
          <w:i/>
          <w:iCs/>
        </w:rPr>
        <w:t>Correlation Coefficients, Means, and Standard Deviation of the Main Study Measures</w:t>
      </w:r>
    </w:p>
    <w:tbl>
      <w:tblPr>
        <w:tblW w:w="5000" w:type="pct"/>
        <w:tblLook w:val="04A0" w:firstRow="1" w:lastRow="0" w:firstColumn="1" w:lastColumn="0" w:noHBand="0" w:noVBand="1"/>
      </w:tblPr>
      <w:tblGrid>
        <w:gridCol w:w="767"/>
        <w:gridCol w:w="2050"/>
        <w:gridCol w:w="956"/>
        <w:gridCol w:w="876"/>
        <w:gridCol w:w="876"/>
        <w:gridCol w:w="876"/>
        <w:gridCol w:w="876"/>
        <w:gridCol w:w="876"/>
        <w:gridCol w:w="876"/>
        <w:gridCol w:w="767"/>
        <w:gridCol w:w="876"/>
        <w:gridCol w:w="876"/>
        <w:gridCol w:w="876"/>
        <w:gridCol w:w="752"/>
      </w:tblGrid>
      <w:tr w:rsidR="00DD3A50" w:rsidRPr="008471F1" w14:paraId="3A71F9B4" w14:textId="77777777" w:rsidTr="00475B46">
        <w:trPr>
          <w:trHeight w:val="300"/>
        </w:trPr>
        <w:tc>
          <w:tcPr>
            <w:tcW w:w="326" w:type="pct"/>
            <w:tcBorders>
              <w:top w:val="single" w:sz="12" w:space="0" w:color="auto"/>
              <w:left w:val="nil"/>
              <w:bottom w:val="single" w:sz="4" w:space="0" w:color="auto"/>
              <w:right w:val="nil"/>
            </w:tcBorders>
            <w:shd w:val="clear" w:color="auto" w:fill="auto"/>
            <w:noWrap/>
            <w:vAlign w:val="bottom"/>
            <w:hideMark/>
          </w:tcPr>
          <w:p w14:paraId="494D20DA" w14:textId="77777777" w:rsidR="00DD3A50" w:rsidRPr="008471F1" w:rsidRDefault="00DD3A50" w:rsidP="000C1F69">
            <w:pPr>
              <w:spacing w:line="360" w:lineRule="auto"/>
              <w:rPr>
                <w:rFonts w:asciiTheme="majorBidi" w:hAnsiTheme="majorBidi" w:cstheme="majorBidi"/>
                <w:color w:val="000000"/>
              </w:rPr>
            </w:pPr>
          </w:p>
        </w:tc>
        <w:tc>
          <w:tcPr>
            <w:tcW w:w="754" w:type="pct"/>
            <w:tcBorders>
              <w:top w:val="single" w:sz="12" w:space="0" w:color="auto"/>
              <w:left w:val="nil"/>
              <w:bottom w:val="single" w:sz="4" w:space="0" w:color="auto"/>
              <w:right w:val="nil"/>
            </w:tcBorders>
            <w:shd w:val="clear" w:color="auto" w:fill="auto"/>
            <w:noWrap/>
            <w:vAlign w:val="bottom"/>
            <w:hideMark/>
          </w:tcPr>
          <w:p w14:paraId="2EF22F3A" w14:textId="77777777" w:rsidR="00DD3A50" w:rsidRPr="008471F1" w:rsidRDefault="00DD3A50" w:rsidP="000C1F69">
            <w:pPr>
              <w:spacing w:line="360" w:lineRule="auto"/>
              <w:rPr>
                <w:rFonts w:asciiTheme="majorBidi" w:hAnsiTheme="majorBidi" w:cstheme="majorBidi"/>
                <w:color w:val="000000"/>
              </w:rPr>
            </w:pPr>
          </w:p>
        </w:tc>
        <w:tc>
          <w:tcPr>
            <w:tcW w:w="340" w:type="pct"/>
            <w:tcBorders>
              <w:top w:val="single" w:sz="12" w:space="0" w:color="auto"/>
              <w:left w:val="nil"/>
              <w:bottom w:val="single" w:sz="4" w:space="0" w:color="auto"/>
              <w:right w:val="nil"/>
            </w:tcBorders>
            <w:shd w:val="clear" w:color="auto" w:fill="auto"/>
            <w:noWrap/>
            <w:vAlign w:val="center"/>
            <w:hideMark/>
          </w:tcPr>
          <w:p w14:paraId="1C0A8A5B"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w:t>
            </w:r>
          </w:p>
        </w:tc>
        <w:tc>
          <w:tcPr>
            <w:tcW w:w="326" w:type="pct"/>
            <w:tcBorders>
              <w:top w:val="single" w:sz="12" w:space="0" w:color="auto"/>
              <w:left w:val="nil"/>
              <w:bottom w:val="single" w:sz="4" w:space="0" w:color="auto"/>
              <w:right w:val="nil"/>
            </w:tcBorders>
            <w:shd w:val="clear" w:color="auto" w:fill="auto"/>
            <w:noWrap/>
            <w:vAlign w:val="center"/>
            <w:hideMark/>
          </w:tcPr>
          <w:p w14:paraId="5B6A8712"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2</w:t>
            </w:r>
          </w:p>
        </w:tc>
        <w:tc>
          <w:tcPr>
            <w:tcW w:w="326" w:type="pct"/>
            <w:tcBorders>
              <w:top w:val="single" w:sz="12" w:space="0" w:color="auto"/>
              <w:left w:val="nil"/>
              <w:bottom w:val="single" w:sz="4" w:space="0" w:color="auto"/>
              <w:right w:val="nil"/>
            </w:tcBorders>
            <w:shd w:val="clear" w:color="auto" w:fill="auto"/>
            <w:noWrap/>
            <w:vAlign w:val="center"/>
            <w:hideMark/>
          </w:tcPr>
          <w:p w14:paraId="20CC985B"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w:t>
            </w:r>
          </w:p>
        </w:tc>
        <w:tc>
          <w:tcPr>
            <w:tcW w:w="326" w:type="pct"/>
            <w:tcBorders>
              <w:top w:val="single" w:sz="12" w:space="0" w:color="auto"/>
              <w:left w:val="nil"/>
              <w:bottom w:val="single" w:sz="4" w:space="0" w:color="auto"/>
              <w:right w:val="nil"/>
            </w:tcBorders>
            <w:shd w:val="clear" w:color="auto" w:fill="auto"/>
            <w:noWrap/>
            <w:vAlign w:val="center"/>
            <w:hideMark/>
          </w:tcPr>
          <w:p w14:paraId="63FD943A"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4</w:t>
            </w:r>
          </w:p>
        </w:tc>
        <w:tc>
          <w:tcPr>
            <w:tcW w:w="326" w:type="pct"/>
            <w:tcBorders>
              <w:top w:val="single" w:sz="12" w:space="0" w:color="auto"/>
              <w:left w:val="nil"/>
              <w:bottom w:val="single" w:sz="4" w:space="0" w:color="auto"/>
              <w:right w:val="nil"/>
            </w:tcBorders>
            <w:shd w:val="clear" w:color="auto" w:fill="auto"/>
            <w:noWrap/>
            <w:vAlign w:val="center"/>
            <w:hideMark/>
          </w:tcPr>
          <w:p w14:paraId="122C659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5</w:t>
            </w:r>
          </w:p>
        </w:tc>
        <w:tc>
          <w:tcPr>
            <w:tcW w:w="326" w:type="pct"/>
            <w:tcBorders>
              <w:top w:val="single" w:sz="12" w:space="0" w:color="auto"/>
              <w:left w:val="nil"/>
              <w:bottom w:val="single" w:sz="4" w:space="0" w:color="auto"/>
              <w:right w:val="nil"/>
            </w:tcBorders>
            <w:shd w:val="clear" w:color="auto" w:fill="auto"/>
            <w:noWrap/>
            <w:vAlign w:val="center"/>
            <w:hideMark/>
          </w:tcPr>
          <w:p w14:paraId="4C430B21"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6</w:t>
            </w:r>
          </w:p>
        </w:tc>
        <w:tc>
          <w:tcPr>
            <w:tcW w:w="326" w:type="pct"/>
            <w:tcBorders>
              <w:top w:val="single" w:sz="12" w:space="0" w:color="auto"/>
              <w:left w:val="nil"/>
              <w:bottom w:val="single" w:sz="4" w:space="0" w:color="auto"/>
              <w:right w:val="nil"/>
            </w:tcBorders>
            <w:shd w:val="clear" w:color="auto" w:fill="auto"/>
            <w:noWrap/>
            <w:vAlign w:val="center"/>
            <w:hideMark/>
          </w:tcPr>
          <w:p w14:paraId="430EDBB0"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7</w:t>
            </w:r>
          </w:p>
        </w:tc>
        <w:tc>
          <w:tcPr>
            <w:tcW w:w="326" w:type="pct"/>
            <w:tcBorders>
              <w:top w:val="single" w:sz="12" w:space="0" w:color="auto"/>
              <w:left w:val="nil"/>
              <w:bottom w:val="single" w:sz="4" w:space="0" w:color="auto"/>
              <w:right w:val="nil"/>
            </w:tcBorders>
            <w:shd w:val="clear" w:color="auto" w:fill="auto"/>
            <w:noWrap/>
            <w:vAlign w:val="center"/>
            <w:hideMark/>
          </w:tcPr>
          <w:p w14:paraId="2C0EBB97"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8</w:t>
            </w:r>
          </w:p>
        </w:tc>
        <w:tc>
          <w:tcPr>
            <w:tcW w:w="326" w:type="pct"/>
            <w:tcBorders>
              <w:top w:val="single" w:sz="12" w:space="0" w:color="auto"/>
              <w:left w:val="nil"/>
              <w:bottom w:val="single" w:sz="4" w:space="0" w:color="auto"/>
              <w:right w:val="nil"/>
            </w:tcBorders>
            <w:shd w:val="clear" w:color="auto" w:fill="auto"/>
            <w:noWrap/>
            <w:vAlign w:val="center"/>
            <w:hideMark/>
          </w:tcPr>
          <w:p w14:paraId="4C3F62BA"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9</w:t>
            </w:r>
          </w:p>
        </w:tc>
        <w:tc>
          <w:tcPr>
            <w:tcW w:w="326" w:type="pct"/>
            <w:tcBorders>
              <w:top w:val="single" w:sz="12" w:space="0" w:color="auto"/>
              <w:left w:val="nil"/>
              <w:bottom w:val="single" w:sz="4" w:space="0" w:color="auto"/>
              <w:right w:val="nil"/>
            </w:tcBorders>
            <w:shd w:val="clear" w:color="auto" w:fill="auto"/>
            <w:noWrap/>
            <w:vAlign w:val="center"/>
            <w:hideMark/>
          </w:tcPr>
          <w:p w14:paraId="36BB4F5D"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10</w:t>
            </w:r>
          </w:p>
        </w:tc>
        <w:tc>
          <w:tcPr>
            <w:tcW w:w="326" w:type="pct"/>
            <w:tcBorders>
              <w:top w:val="single" w:sz="12" w:space="0" w:color="auto"/>
              <w:left w:val="nil"/>
              <w:bottom w:val="single" w:sz="4" w:space="0" w:color="auto"/>
              <w:right w:val="nil"/>
            </w:tcBorders>
            <w:shd w:val="clear" w:color="auto" w:fill="auto"/>
            <w:noWrap/>
            <w:vAlign w:val="center"/>
            <w:hideMark/>
          </w:tcPr>
          <w:p w14:paraId="4AE07BCD"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11</w:t>
            </w:r>
          </w:p>
        </w:tc>
        <w:tc>
          <w:tcPr>
            <w:tcW w:w="320" w:type="pct"/>
            <w:tcBorders>
              <w:top w:val="single" w:sz="12" w:space="0" w:color="auto"/>
              <w:left w:val="nil"/>
              <w:bottom w:val="single" w:sz="4" w:space="0" w:color="auto"/>
              <w:right w:val="nil"/>
            </w:tcBorders>
            <w:shd w:val="clear" w:color="auto" w:fill="auto"/>
            <w:noWrap/>
            <w:vAlign w:val="center"/>
            <w:hideMark/>
          </w:tcPr>
          <w:p w14:paraId="20FA3939"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12</w:t>
            </w:r>
          </w:p>
        </w:tc>
      </w:tr>
      <w:tr w:rsidR="00DD3A50" w:rsidRPr="008471F1" w14:paraId="3384BF68" w14:textId="77777777" w:rsidTr="00475B46">
        <w:trPr>
          <w:trHeight w:val="300"/>
        </w:trPr>
        <w:tc>
          <w:tcPr>
            <w:tcW w:w="326" w:type="pct"/>
            <w:tcBorders>
              <w:top w:val="single" w:sz="4" w:space="0" w:color="auto"/>
              <w:left w:val="nil"/>
              <w:bottom w:val="nil"/>
              <w:right w:val="nil"/>
            </w:tcBorders>
            <w:shd w:val="clear" w:color="auto" w:fill="auto"/>
            <w:noWrap/>
            <w:vAlign w:val="bottom"/>
            <w:hideMark/>
          </w:tcPr>
          <w:p w14:paraId="4185387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w:t>
            </w:r>
          </w:p>
        </w:tc>
        <w:tc>
          <w:tcPr>
            <w:tcW w:w="754" w:type="pct"/>
            <w:tcBorders>
              <w:top w:val="single" w:sz="4" w:space="0" w:color="auto"/>
              <w:left w:val="nil"/>
              <w:bottom w:val="nil"/>
              <w:right w:val="nil"/>
            </w:tcBorders>
            <w:shd w:val="clear" w:color="auto" w:fill="auto"/>
            <w:noWrap/>
            <w:vAlign w:val="bottom"/>
            <w:hideMark/>
          </w:tcPr>
          <w:p w14:paraId="2ED52C44"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Extraversion</w:t>
            </w:r>
          </w:p>
        </w:tc>
        <w:tc>
          <w:tcPr>
            <w:tcW w:w="340" w:type="pct"/>
            <w:tcBorders>
              <w:top w:val="single" w:sz="4" w:space="0" w:color="auto"/>
              <w:left w:val="nil"/>
              <w:bottom w:val="nil"/>
              <w:right w:val="nil"/>
            </w:tcBorders>
            <w:shd w:val="clear" w:color="auto" w:fill="auto"/>
            <w:noWrap/>
            <w:vAlign w:val="center"/>
            <w:hideMark/>
          </w:tcPr>
          <w:p w14:paraId="430FF529"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c>
          <w:tcPr>
            <w:tcW w:w="326" w:type="pct"/>
            <w:tcBorders>
              <w:top w:val="single" w:sz="4" w:space="0" w:color="auto"/>
              <w:left w:val="nil"/>
              <w:bottom w:val="nil"/>
              <w:right w:val="nil"/>
            </w:tcBorders>
            <w:shd w:val="clear" w:color="auto" w:fill="auto"/>
            <w:noWrap/>
            <w:vAlign w:val="center"/>
            <w:hideMark/>
          </w:tcPr>
          <w:p w14:paraId="563CF22C"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single" w:sz="4" w:space="0" w:color="auto"/>
              <w:left w:val="nil"/>
              <w:bottom w:val="nil"/>
              <w:right w:val="nil"/>
            </w:tcBorders>
            <w:shd w:val="clear" w:color="auto" w:fill="auto"/>
            <w:noWrap/>
            <w:vAlign w:val="center"/>
            <w:hideMark/>
          </w:tcPr>
          <w:p w14:paraId="7B235860"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single" w:sz="4" w:space="0" w:color="auto"/>
              <w:left w:val="nil"/>
              <w:bottom w:val="nil"/>
              <w:right w:val="nil"/>
            </w:tcBorders>
            <w:shd w:val="clear" w:color="auto" w:fill="auto"/>
            <w:noWrap/>
            <w:vAlign w:val="center"/>
            <w:hideMark/>
          </w:tcPr>
          <w:p w14:paraId="16024547"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single" w:sz="4" w:space="0" w:color="auto"/>
              <w:left w:val="nil"/>
              <w:bottom w:val="nil"/>
              <w:right w:val="nil"/>
            </w:tcBorders>
            <w:shd w:val="clear" w:color="auto" w:fill="auto"/>
            <w:noWrap/>
            <w:vAlign w:val="center"/>
            <w:hideMark/>
          </w:tcPr>
          <w:p w14:paraId="70286592"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single" w:sz="4" w:space="0" w:color="auto"/>
              <w:left w:val="nil"/>
              <w:bottom w:val="nil"/>
              <w:right w:val="nil"/>
            </w:tcBorders>
            <w:shd w:val="clear" w:color="auto" w:fill="auto"/>
            <w:noWrap/>
            <w:vAlign w:val="center"/>
            <w:hideMark/>
          </w:tcPr>
          <w:p w14:paraId="58CD7565"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single" w:sz="4" w:space="0" w:color="auto"/>
              <w:left w:val="nil"/>
              <w:bottom w:val="nil"/>
              <w:right w:val="nil"/>
            </w:tcBorders>
            <w:shd w:val="clear" w:color="auto" w:fill="auto"/>
            <w:noWrap/>
            <w:vAlign w:val="center"/>
            <w:hideMark/>
          </w:tcPr>
          <w:p w14:paraId="5D1D7822"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single" w:sz="4" w:space="0" w:color="auto"/>
              <w:left w:val="nil"/>
              <w:bottom w:val="nil"/>
              <w:right w:val="nil"/>
            </w:tcBorders>
            <w:shd w:val="clear" w:color="auto" w:fill="auto"/>
            <w:noWrap/>
            <w:vAlign w:val="center"/>
            <w:hideMark/>
          </w:tcPr>
          <w:p w14:paraId="4E96A564"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single" w:sz="4" w:space="0" w:color="auto"/>
              <w:left w:val="nil"/>
              <w:bottom w:val="nil"/>
              <w:right w:val="nil"/>
            </w:tcBorders>
            <w:shd w:val="clear" w:color="auto" w:fill="auto"/>
            <w:noWrap/>
            <w:vAlign w:val="center"/>
            <w:hideMark/>
          </w:tcPr>
          <w:p w14:paraId="0453BC88"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single" w:sz="4" w:space="0" w:color="auto"/>
              <w:left w:val="nil"/>
              <w:bottom w:val="nil"/>
              <w:right w:val="nil"/>
            </w:tcBorders>
            <w:shd w:val="clear" w:color="auto" w:fill="auto"/>
            <w:noWrap/>
            <w:vAlign w:val="center"/>
            <w:hideMark/>
          </w:tcPr>
          <w:p w14:paraId="1B7460A9"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single" w:sz="4" w:space="0" w:color="auto"/>
              <w:left w:val="nil"/>
              <w:bottom w:val="nil"/>
              <w:right w:val="nil"/>
            </w:tcBorders>
            <w:shd w:val="clear" w:color="auto" w:fill="auto"/>
            <w:noWrap/>
            <w:vAlign w:val="center"/>
            <w:hideMark/>
          </w:tcPr>
          <w:p w14:paraId="5AACF029" w14:textId="77777777" w:rsidR="00DD3A50" w:rsidRPr="008471F1" w:rsidRDefault="00DD3A50" w:rsidP="000C1F69">
            <w:pPr>
              <w:spacing w:line="360" w:lineRule="auto"/>
              <w:rPr>
                <w:rFonts w:asciiTheme="majorBidi" w:hAnsiTheme="majorBidi" w:cstheme="majorBidi"/>
                <w:color w:val="000000"/>
              </w:rPr>
            </w:pPr>
          </w:p>
        </w:tc>
        <w:tc>
          <w:tcPr>
            <w:tcW w:w="320" w:type="pct"/>
            <w:tcBorders>
              <w:top w:val="single" w:sz="4" w:space="0" w:color="auto"/>
              <w:left w:val="nil"/>
              <w:bottom w:val="nil"/>
              <w:right w:val="nil"/>
            </w:tcBorders>
            <w:shd w:val="clear" w:color="auto" w:fill="auto"/>
            <w:noWrap/>
            <w:vAlign w:val="center"/>
            <w:hideMark/>
          </w:tcPr>
          <w:p w14:paraId="37863AA6"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5DB6CDBA" w14:textId="77777777" w:rsidTr="00475B46">
        <w:trPr>
          <w:trHeight w:val="300"/>
        </w:trPr>
        <w:tc>
          <w:tcPr>
            <w:tcW w:w="326" w:type="pct"/>
            <w:tcBorders>
              <w:top w:val="nil"/>
              <w:left w:val="nil"/>
              <w:bottom w:val="nil"/>
              <w:right w:val="nil"/>
            </w:tcBorders>
            <w:shd w:val="clear" w:color="auto" w:fill="auto"/>
            <w:noWrap/>
            <w:vAlign w:val="bottom"/>
            <w:hideMark/>
          </w:tcPr>
          <w:p w14:paraId="06AFCF1A"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2</w:t>
            </w:r>
          </w:p>
        </w:tc>
        <w:tc>
          <w:tcPr>
            <w:tcW w:w="754" w:type="pct"/>
            <w:tcBorders>
              <w:top w:val="nil"/>
              <w:left w:val="nil"/>
              <w:bottom w:val="nil"/>
              <w:right w:val="nil"/>
            </w:tcBorders>
            <w:shd w:val="clear" w:color="auto" w:fill="auto"/>
            <w:noWrap/>
            <w:vAlign w:val="bottom"/>
            <w:hideMark/>
          </w:tcPr>
          <w:p w14:paraId="21A8D584"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Neuroticism</w:t>
            </w:r>
          </w:p>
        </w:tc>
        <w:tc>
          <w:tcPr>
            <w:tcW w:w="340" w:type="pct"/>
            <w:tcBorders>
              <w:top w:val="nil"/>
              <w:left w:val="nil"/>
              <w:bottom w:val="nil"/>
              <w:right w:val="nil"/>
            </w:tcBorders>
            <w:shd w:val="clear" w:color="auto" w:fill="auto"/>
            <w:noWrap/>
            <w:vAlign w:val="center"/>
            <w:hideMark/>
          </w:tcPr>
          <w:p w14:paraId="6513DDDA"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-.09</w:t>
            </w:r>
          </w:p>
        </w:tc>
        <w:tc>
          <w:tcPr>
            <w:tcW w:w="326" w:type="pct"/>
            <w:tcBorders>
              <w:top w:val="nil"/>
              <w:left w:val="nil"/>
              <w:bottom w:val="nil"/>
              <w:right w:val="nil"/>
            </w:tcBorders>
            <w:shd w:val="clear" w:color="auto" w:fill="auto"/>
            <w:noWrap/>
            <w:vAlign w:val="center"/>
            <w:hideMark/>
          </w:tcPr>
          <w:p w14:paraId="4632D72D"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c>
          <w:tcPr>
            <w:tcW w:w="326" w:type="pct"/>
            <w:tcBorders>
              <w:top w:val="nil"/>
              <w:left w:val="nil"/>
              <w:bottom w:val="nil"/>
              <w:right w:val="nil"/>
            </w:tcBorders>
            <w:shd w:val="clear" w:color="auto" w:fill="auto"/>
            <w:noWrap/>
            <w:vAlign w:val="center"/>
            <w:hideMark/>
          </w:tcPr>
          <w:p w14:paraId="2775B12A"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691A6D99"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35EB8284"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26FAC611"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7D8D31EB"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2CC109F8"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04A843D7"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463F534A"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066B22F7" w14:textId="77777777" w:rsidR="00DD3A50" w:rsidRPr="008471F1" w:rsidRDefault="00DD3A50" w:rsidP="000C1F69">
            <w:pPr>
              <w:spacing w:line="360" w:lineRule="auto"/>
              <w:rPr>
                <w:rFonts w:asciiTheme="majorBidi" w:hAnsiTheme="majorBidi" w:cstheme="majorBidi"/>
                <w:color w:val="000000"/>
              </w:rPr>
            </w:pPr>
          </w:p>
        </w:tc>
        <w:tc>
          <w:tcPr>
            <w:tcW w:w="320" w:type="pct"/>
            <w:tcBorders>
              <w:top w:val="nil"/>
              <w:left w:val="nil"/>
              <w:bottom w:val="nil"/>
              <w:right w:val="nil"/>
            </w:tcBorders>
            <w:shd w:val="clear" w:color="auto" w:fill="auto"/>
            <w:noWrap/>
            <w:vAlign w:val="center"/>
            <w:hideMark/>
          </w:tcPr>
          <w:p w14:paraId="5729127B"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1447A7BB" w14:textId="77777777" w:rsidTr="00475B46">
        <w:trPr>
          <w:trHeight w:val="300"/>
        </w:trPr>
        <w:tc>
          <w:tcPr>
            <w:tcW w:w="326" w:type="pct"/>
            <w:tcBorders>
              <w:top w:val="nil"/>
              <w:left w:val="nil"/>
              <w:bottom w:val="nil"/>
              <w:right w:val="nil"/>
            </w:tcBorders>
            <w:shd w:val="clear" w:color="auto" w:fill="auto"/>
            <w:noWrap/>
            <w:vAlign w:val="bottom"/>
            <w:hideMark/>
          </w:tcPr>
          <w:p w14:paraId="48FF38A1"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w:t>
            </w:r>
          </w:p>
        </w:tc>
        <w:tc>
          <w:tcPr>
            <w:tcW w:w="754" w:type="pct"/>
            <w:tcBorders>
              <w:top w:val="nil"/>
              <w:left w:val="nil"/>
              <w:bottom w:val="nil"/>
              <w:right w:val="nil"/>
            </w:tcBorders>
            <w:shd w:val="clear" w:color="auto" w:fill="auto"/>
            <w:noWrap/>
            <w:vAlign w:val="bottom"/>
            <w:hideMark/>
          </w:tcPr>
          <w:p w14:paraId="022C4D1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 xml:space="preserve">Openness </w:t>
            </w:r>
          </w:p>
        </w:tc>
        <w:tc>
          <w:tcPr>
            <w:tcW w:w="340" w:type="pct"/>
            <w:tcBorders>
              <w:top w:val="nil"/>
              <w:left w:val="nil"/>
              <w:bottom w:val="nil"/>
              <w:right w:val="nil"/>
            </w:tcBorders>
            <w:shd w:val="clear" w:color="auto" w:fill="auto"/>
            <w:noWrap/>
            <w:vAlign w:val="center"/>
            <w:hideMark/>
          </w:tcPr>
          <w:p w14:paraId="7895FB3D"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.21***</w:t>
            </w:r>
          </w:p>
        </w:tc>
        <w:tc>
          <w:tcPr>
            <w:tcW w:w="326" w:type="pct"/>
            <w:tcBorders>
              <w:top w:val="nil"/>
              <w:left w:val="nil"/>
              <w:bottom w:val="nil"/>
              <w:right w:val="nil"/>
            </w:tcBorders>
            <w:shd w:val="clear" w:color="auto" w:fill="auto"/>
            <w:noWrap/>
            <w:vAlign w:val="center"/>
            <w:hideMark/>
          </w:tcPr>
          <w:p w14:paraId="2CD4407C"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-.05</w:t>
            </w:r>
          </w:p>
        </w:tc>
        <w:tc>
          <w:tcPr>
            <w:tcW w:w="326" w:type="pct"/>
            <w:tcBorders>
              <w:top w:val="nil"/>
              <w:left w:val="nil"/>
              <w:bottom w:val="nil"/>
              <w:right w:val="nil"/>
            </w:tcBorders>
            <w:shd w:val="clear" w:color="auto" w:fill="auto"/>
            <w:noWrap/>
            <w:vAlign w:val="center"/>
            <w:hideMark/>
          </w:tcPr>
          <w:p w14:paraId="65BAA00C"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c>
          <w:tcPr>
            <w:tcW w:w="326" w:type="pct"/>
            <w:tcBorders>
              <w:top w:val="nil"/>
              <w:left w:val="nil"/>
              <w:bottom w:val="nil"/>
              <w:right w:val="nil"/>
            </w:tcBorders>
            <w:shd w:val="clear" w:color="auto" w:fill="auto"/>
            <w:noWrap/>
            <w:vAlign w:val="center"/>
            <w:hideMark/>
          </w:tcPr>
          <w:p w14:paraId="439AE5BE"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286C8DC1"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6786F5E2"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3F93D7F6"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25D0D1AF"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5708EDD4"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0C98D442"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5E138D37" w14:textId="77777777" w:rsidR="00DD3A50" w:rsidRPr="008471F1" w:rsidRDefault="00DD3A50" w:rsidP="000C1F69">
            <w:pPr>
              <w:spacing w:line="360" w:lineRule="auto"/>
              <w:rPr>
                <w:rFonts w:asciiTheme="majorBidi" w:hAnsiTheme="majorBidi" w:cstheme="majorBidi"/>
                <w:color w:val="000000"/>
              </w:rPr>
            </w:pPr>
          </w:p>
        </w:tc>
        <w:tc>
          <w:tcPr>
            <w:tcW w:w="320" w:type="pct"/>
            <w:tcBorders>
              <w:top w:val="nil"/>
              <w:left w:val="nil"/>
              <w:bottom w:val="nil"/>
              <w:right w:val="nil"/>
            </w:tcBorders>
            <w:shd w:val="clear" w:color="auto" w:fill="auto"/>
            <w:noWrap/>
            <w:vAlign w:val="center"/>
            <w:hideMark/>
          </w:tcPr>
          <w:p w14:paraId="2F1D5B63"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1DE3F79F" w14:textId="77777777" w:rsidTr="00475B46">
        <w:trPr>
          <w:trHeight w:val="300"/>
        </w:trPr>
        <w:tc>
          <w:tcPr>
            <w:tcW w:w="326" w:type="pct"/>
            <w:tcBorders>
              <w:top w:val="nil"/>
              <w:left w:val="nil"/>
              <w:bottom w:val="nil"/>
              <w:right w:val="nil"/>
            </w:tcBorders>
            <w:shd w:val="clear" w:color="auto" w:fill="auto"/>
            <w:noWrap/>
            <w:vAlign w:val="bottom"/>
            <w:hideMark/>
          </w:tcPr>
          <w:p w14:paraId="1BFA5E58"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4</w:t>
            </w:r>
          </w:p>
        </w:tc>
        <w:tc>
          <w:tcPr>
            <w:tcW w:w="754" w:type="pct"/>
            <w:tcBorders>
              <w:top w:val="nil"/>
              <w:left w:val="nil"/>
              <w:bottom w:val="nil"/>
              <w:right w:val="nil"/>
            </w:tcBorders>
            <w:shd w:val="clear" w:color="auto" w:fill="auto"/>
            <w:noWrap/>
            <w:vAlign w:val="bottom"/>
            <w:hideMark/>
          </w:tcPr>
          <w:p w14:paraId="6F020C4A"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Attach anxiety</w:t>
            </w:r>
          </w:p>
        </w:tc>
        <w:tc>
          <w:tcPr>
            <w:tcW w:w="340" w:type="pct"/>
            <w:tcBorders>
              <w:top w:val="nil"/>
              <w:left w:val="nil"/>
              <w:bottom w:val="nil"/>
              <w:right w:val="nil"/>
            </w:tcBorders>
            <w:shd w:val="clear" w:color="auto" w:fill="auto"/>
            <w:noWrap/>
            <w:vAlign w:val="center"/>
            <w:hideMark/>
          </w:tcPr>
          <w:p w14:paraId="3C9E672C"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-.05</w:t>
            </w:r>
          </w:p>
        </w:tc>
        <w:tc>
          <w:tcPr>
            <w:tcW w:w="326" w:type="pct"/>
            <w:tcBorders>
              <w:top w:val="nil"/>
              <w:left w:val="nil"/>
              <w:bottom w:val="nil"/>
              <w:right w:val="nil"/>
            </w:tcBorders>
            <w:shd w:val="clear" w:color="auto" w:fill="auto"/>
            <w:noWrap/>
            <w:vAlign w:val="center"/>
            <w:hideMark/>
          </w:tcPr>
          <w:p w14:paraId="23E8D93B"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.50***</w:t>
            </w:r>
          </w:p>
        </w:tc>
        <w:tc>
          <w:tcPr>
            <w:tcW w:w="326" w:type="pct"/>
            <w:tcBorders>
              <w:top w:val="nil"/>
              <w:left w:val="nil"/>
              <w:bottom w:val="nil"/>
              <w:right w:val="nil"/>
            </w:tcBorders>
            <w:shd w:val="clear" w:color="auto" w:fill="auto"/>
            <w:noWrap/>
            <w:vAlign w:val="center"/>
            <w:hideMark/>
          </w:tcPr>
          <w:p w14:paraId="36E26288"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.08</w:t>
            </w:r>
          </w:p>
        </w:tc>
        <w:tc>
          <w:tcPr>
            <w:tcW w:w="326" w:type="pct"/>
            <w:tcBorders>
              <w:top w:val="nil"/>
              <w:left w:val="nil"/>
              <w:bottom w:val="nil"/>
              <w:right w:val="nil"/>
            </w:tcBorders>
            <w:shd w:val="clear" w:color="auto" w:fill="auto"/>
            <w:noWrap/>
            <w:vAlign w:val="center"/>
            <w:hideMark/>
          </w:tcPr>
          <w:p w14:paraId="25EADACB"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c>
          <w:tcPr>
            <w:tcW w:w="326" w:type="pct"/>
            <w:tcBorders>
              <w:top w:val="nil"/>
              <w:left w:val="nil"/>
              <w:bottom w:val="nil"/>
              <w:right w:val="nil"/>
            </w:tcBorders>
            <w:shd w:val="clear" w:color="auto" w:fill="auto"/>
            <w:noWrap/>
            <w:vAlign w:val="center"/>
            <w:hideMark/>
          </w:tcPr>
          <w:p w14:paraId="3DD859FD"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30011A40"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3558CCD6"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2AB70170"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49BEFB68"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3EBF96D4"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570A18E2" w14:textId="77777777" w:rsidR="00DD3A50" w:rsidRPr="008471F1" w:rsidRDefault="00DD3A50" w:rsidP="000C1F69">
            <w:pPr>
              <w:spacing w:line="360" w:lineRule="auto"/>
              <w:rPr>
                <w:rFonts w:asciiTheme="majorBidi" w:hAnsiTheme="majorBidi" w:cstheme="majorBidi"/>
                <w:color w:val="000000"/>
              </w:rPr>
            </w:pPr>
          </w:p>
        </w:tc>
        <w:tc>
          <w:tcPr>
            <w:tcW w:w="320" w:type="pct"/>
            <w:tcBorders>
              <w:top w:val="nil"/>
              <w:left w:val="nil"/>
              <w:bottom w:val="nil"/>
              <w:right w:val="nil"/>
            </w:tcBorders>
            <w:shd w:val="clear" w:color="auto" w:fill="auto"/>
            <w:noWrap/>
            <w:vAlign w:val="center"/>
            <w:hideMark/>
          </w:tcPr>
          <w:p w14:paraId="39697616"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2D103668" w14:textId="77777777" w:rsidTr="00475B46">
        <w:trPr>
          <w:trHeight w:val="300"/>
        </w:trPr>
        <w:tc>
          <w:tcPr>
            <w:tcW w:w="326" w:type="pct"/>
            <w:tcBorders>
              <w:top w:val="nil"/>
              <w:left w:val="nil"/>
              <w:bottom w:val="nil"/>
              <w:right w:val="nil"/>
            </w:tcBorders>
            <w:shd w:val="clear" w:color="auto" w:fill="auto"/>
            <w:noWrap/>
            <w:vAlign w:val="bottom"/>
            <w:hideMark/>
          </w:tcPr>
          <w:p w14:paraId="4D9F4921"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5</w:t>
            </w:r>
          </w:p>
        </w:tc>
        <w:tc>
          <w:tcPr>
            <w:tcW w:w="754" w:type="pct"/>
            <w:tcBorders>
              <w:top w:val="nil"/>
              <w:left w:val="nil"/>
              <w:bottom w:val="nil"/>
              <w:right w:val="nil"/>
            </w:tcBorders>
            <w:shd w:val="clear" w:color="auto" w:fill="auto"/>
            <w:noWrap/>
            <w:vAlign w:val="bottom"/>
            <w:hideMark/>
          </w:tcPr>
          <w:p w14:paraId="72C563E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Attach avoidance</w:t>
            </w:r>
          </w:p>
        </w:tc>
        <w:tc>
          <w:tcPr>
            <w:tcW w:w="340" w:type="pct"/>
            <w:tcBorders>
              <w:top w:val="nil"/>
              <w:left w:val="nil"/>
              <w:bottom w:val="nil"/>
              <w:right w:val="nil"/>
            </w:tcBorders>
            <w:shd w:val="clear" w:color="auto" w:fill="auto"/>
            <w:noWrap/>
            <w:vAlign w:val="center"/>
            <w:hideMark/>
          </w:tcPr>
          <w:p w14:paraId="1997A5B6"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-.33***</w:t>
            </w:r>
          </w:p>
        </w:tc>
        <w:tc>
          <w:tcPr>
            <w:tcW w:w="326" w:type="pct"/>
            <w:tcBorders>
              <w:top w:val="nil"/>
              <w:left w:val="nil"/>
              <w:bottom w:val="nil"/>
              <w:right w:val="nil"/>
            </w:tcBorders>
            <w:shd w:val="clear" w:color="auto" w:fill="auto"/>
            <w:noWrap/>
            <w:vAlign w:val="center"/>
            <w:hideMark/>
          </w:tcPr>
          <w:p w14:paraId="69BD0185"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.25***</w:t>
            </w:r>
          </w:p>
        </w:tc>
        <w:tc>
          <w:tcPr>
            <w:tcW w:w="326" w:type="pct"/>
            <w:tcBorders>
              <w:top w:val="nil"/>
              <w:left w:val="nil"/>
              <w:bottom w:val="nil"/>
              <w:right w:val="nil"/>
            </w:tcBorders>
            <w:shd w:val="clear" w:color="auto" w:fill="auto"/>
            <w:noWrap/>
            <w:vAlign w:val="center"/>
            <w:hideMark/>
          </w:tcPr>
          <w:p w14:paraId="12F03352"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-.08</w:t>
            </w:r>
          </w:p>
        </w:tc>
        <w:tc>
          <w:tcPr>
            <w:tcW w:w="326" w:type="pct"/>
            <w:tcBorders>
              <w:top w:val="nil"/>
              <w:left w:val="nil"/>
              <w:bottom w:val="nil"/>
              <w:right w:val="nil"/>
            </w:tcBorders>
            <w:shd w:val="clear" w:color="auto" w:fill="auto"/>
            <w:noWrap/>
            <w:vAlign w:val="center"/>
            <w:hideMark/>
          </w:tcPr>
          <w:p w14:paraId="23ED88C3"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.24***</w:t>
            </w:r>
          </w:p>
        </w:tc>
        <w:tc>
          <w:tcPr>
            <w:tcW w:w="326" w:type="pct"/>
            <w:tcBorders>
              <w:top w:val="nil"/>
              <w:left w:val="nil"/>
              <w:bottom w:val="nil"/>
              <w:right w:val="nil"/>
            </w:tcBorders>
            <w:shd w:val="clear" w:color="auto" w:fill="auto"/>
            <w:noWrap/>
            <w:vAlign w:val="center"/>
            <w:hideMark/>
          </w:tcPr>
          <w:p w14:paraId="6AA46E9D"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c>
          <w:tcPr>
            <w:tcW w:w="326" w:type="pct"/>
            <w:tcBorders>
              <w:top w:val="nil"/>
              <w:left w:val="nil"/>
              <w:bottom w:val="nil"/>
              <w:right w:val="nil"/>
            </w:tcBorders>
            <w:shd w:val="clear" w:color="auto" w:fill="auto"/>
            <w:noWrap/>
            <w:vAlign w:val="center"/>
            <w:hideMark/>
          </w:tcPr>
          <w:p w14:paraId="41346BB4"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1314BD19"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1DA7205B"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2F910658"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69AD3C27"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35E98A5F" w14:textId="77777777" w:rsidR="00DD3A50" w:rsidRPr="008471F1" w:rsidRDefault="00DD3A50" w:rsidP="000C1F69">
            <w:pPr>
              <w:spacing w:line="360" w:lineRule="auto"/>
              <w:rPr>
                <w:rFonts w:asciiTheme="majorBidi" w:hAnsiTheme="majorBidi" w:cstheme="majorBidi"/>
                <w:color w:val="000000"/>
              </w:rPr>
            </w:pPr>
          </w:p>
        </w:tc>
        <w:tc>
          <w:tcPr>
            <w:tcW w:w="320" w:type="pct"/>
            <w:tcBorders>
              <w:top w:val="nil"/>
              <w:left w:val="nil"/>
              <w:bottom w:val="nil"/>
              <w:right w:val="nil"/>
            </w:tcBorders>
            <w:shd w:val="clear" w:color="auto" w:fill="auto"/>
            <w:noWrap/>
            <w:vAlign w:val="center"/>
            <w:hideMark/>
          </w:tcPr>
          <w:p w14:paraId="5B6E2F0F"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48F05376" w14:textId="77777777" w:rsidTr="00475B46">
        <w:trPr>
          <w:trHeight w:val="300"/>
        </w:trPr>
        <w:tc>
          <w:tcPr>
            <w:tcW w:w="326" w:type="pct"/>
            <w:tcBorders>
              <w:top w:val="nil"/>
              <w:left w:val="nil"/>
              <w:bottom w:val="nil"/>
              <w:right w:val="nil"/>
            </w:tcBorders>
            <w:shd w:val="clear" w:color="auto" w:fill="auto"/>
            <w:noWrap/>
            <w:vAlign w:val="bottom"/>
            <w:hideMark/>
          </w:tcPr>
          <w:p w14:paraId="6203F318"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6</w:t>
            </w:r>
          </w:p>
        </w:tc>
        <w:tc>
          <w:tcPr>
            <w:tcW w:w="754" w:type="pct"/>
            <w:tcBorders>
              <w:top w:val="nil"/>
              <w:left w:val="nil"/>
              <w:bottom w:val="nil"/>
              <w:right w:val="nil"/>
            </w:tcBorders>
            <w:shd w:val="clear" w:color="auto" w:fill="auto"/>
            <w:noWrap/>
            <w:vAlign w:val="bottom"/>
            <w:hideMark/>
          </w:tcPr>
          <w:p w14:paraId="4C91CC37"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Rumination</w:t>
            </w:r>
          </w:p>
        </w:tc>
        <w:tc>
          <w:tcPr>
            <w:tcW w:w="340" w:type="pct"/>
            <w:tcBorders>
              <w:top w:val="nil"/>
              <w:left w:val="nil"/>
              <w:bottom w:val="nil"/>
              <w:right w:val="nil"/>
            </w:tcBorders>
            <w:shd w:val="clear" w:color="auto" w:fill="auto"/>
            <w:noWrap/>
            <w:vAlign w:val="center"/>
            <w:hideMark/>
          </w:tcPr>
          <w:p w14:paraId="1054346C"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-.02</w:t>
            </w:r>
          </w:p>
        </w:tc>
        <w:tc>
          <w:tcPr>
            <w:tcW w:w="326" w:type="pct"/>
            <w:tcBorders>
              <w:top w:val="nil"/>
              <w:left w:val="nil"/>
              <w:bottom w:val="nil"/>
              <w:right w:val="nil"/>
            </w:tcBorders>
            <w:shd w:val="clear" w:color="auto" w:fill="auto"/>
            <w:noWrap/>
            <w:vAlign w:val="center"/>
            <w:hideMark/>
          </w:tcPr>
          <w:p w14:paraId="096BCFEE"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.51***</w:t>
            </w:r>
          </w:p>
        </w:tc>
        <w:tc>
          <w:tcPr>
            <w:tcW w:w="326" w:type="pct"/>
            <w:tcBorders>
              <w:top w:val="nil"/>
              <w:left w:val="nil"/>
              <w:bottom w:val="nil"/>
              <w:right w:val="nil"/>
            </w:tcBorders>
            <w:shd w:val="clear" w:color="auto" w:fill="auto"/>
            <w:noWrap/>
            <w:vAlign w:val="center"/>
            <w:hideMark/>
          </w:tcPr>
          <w:p w14:paraId="081495E3"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.19***</w:t>
            </w:r>
          </w:p>
        </w:tc>
        <w:tc>
          <w:tcPr>
            <w:tcW w:w="326" w:type="pct"/>
            <w:tcBorders>
              <w:top w:val="nil"/>
              <w:left w:val="nil"/>
              <w:bottom w:val="nil"/>
              <w:right w:val="nil"/>
            </w:tcBorders>
            <w:shd w:val="clear" w:color="auto" w:fill="auto"/>
            <w:noWrap/>
            <w:vAlign w:val="center"/>
            <w:hideMark/>
          </w:tcPr>
          <w:p w14:paraId="18C6D054"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.55***</w:t>
            </w:r>
          </w:p>
        </w:tc>
        <w:tc>
          <w:tcPr>
            <w:tcW w:w="326" w:type="pct"/>
            <w:tcBorders>
              <w:top w:val="nil"/>
              <w:left w:val="nil"/>
              <w:bottom w:val="nil"/>
              <w:right w:val="nil"/>
            </w:tcBorders>
            <w:shd w:val="clear" w:color="auto" w:fill="auto"/>
            <w:noWrap/>
            <w:vAlign w:val="center"/>
            <w:hideMark/>
          </w:tcPr>
          <w:p w14:paraId="1E32D619"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.16**</w:t>
            </w:r>
          </w:p>
        </w:tc>
        <w:tc>
          <w:tcPr>
            <w:tcW w:w="326" w:type="pct"/>
            <w:tcBorders>
              <w:top w:val="nil"/>
              <w:left w:val="nil"/>
              <w:bottom w:val="nil"/>
              <w:right w:val="nil"/>
            </w:tcBorders>
            <w:shd w:val="clear" w:color="auto" w:fill="auto"/>
            <w:noWrap/>
            <w:vAlign w:val="center"/>
            <w:hideMark/>
          </w:tcPr>
          <w:p w14:paraId="1F4C3DAC"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c>
          <w:tcPr>
            <w:tcW w:w="326" w:type="pct"/>
            <w:tcBorders>
              <w:top w:val="nil"/>
              <w:left w:val="nil"/>
              <w:bottom w:val="nil"/>
              <w:right w:val="nil"/>
            </w:tcBorders>
            <w:shd w:val="clear" w:color="auto" w:fill="auto"/>
            <w:noWrap/>
            <w:vAlign w:val="center"/>
            <w:hideMark/>
          </w:tcPr>
          <w:p w14:paraId="4AE6B8FD"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1053A305"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73A1B9E0"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1E64B605"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18A7AA2C" w14:textId="77777777" w:rsidR="00DD3A50" w:rsidRPr="008471F1" w:rsidRDefault="00DD3A50" w:rsidP="000C1F69">
            <w:pPr>
              <w:spacing w:line="360" w:lineRule="auto"/>
              <w:rPr>
                <w:rFonts w:asciiTheme="majorBidi" w:hAnsiTheme="majorBidi" w:cstheme="majorBidi"/>
                <w:color w:val="000000"/>
              </w:rPr>
            </w:pPr>
          </w:p>
        </w:tc>
        <w:tc>
          <w:tcPr>
            <w:tcW w:w="320" w:type="pct"/>
            <w:tcBorders>
              <w:top w:val="nil"/>
              <w:left w:val="nil"/>
              <w:bottom w:val="nil"/>
              <w:right w:val="nil"/>
            </w:tcBorders>
            <w:shd w:val="clear" w:color="auto" w:fill="auto"/>
            <w:noWrap/>
            <w:vAlign w:val="center"/>
            <w:hideMark/>
          </w:tcPr>
          <w:p w14:paraId="733810FB"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2B6DBD94" w14:textId="77777777" w:rsidTr="00475B46">
        <w:trPr>
          <w:trHeight w:val="300"/>
        </w:trPr>
        <w:tc>
          <w:tcPr>
            <w:tcW w:w="326" w:type="pct"/>
            <w:tcBorders>
              <w:top w:val="nil"/>
              <w:left w:val="nil"/>
              <w:bottom w:val="nil"/>
              <w:right w:val="nil"/>
            </w:tcBorders>
            <w:shd w:val="clear" w:color="auto" w:fill="auto"/>
            <w:noWrap/>
            <w:vAlign w:val="bottom"/>
            <w:hideMark/>
          </w:tcPr>
          <w:p w14:paraId="46BEAD75"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7</w:t>
            </w:r>
          </w:p>
        </w:tc>
        <w:tc>
          <w:tcPr>
            <w:tcW w:w="754" w:type="pct"/>
            <w:tcBorders>
              <w:top w:val="nil"/>
              <w:left w:val="nil"/>
              <w:bottom w:val="nil"/>
              <w:right w:val="nil"/>
            </w:tcBorders>
            <w:shd w:val="clear" w:color="auto" w:fill="auto"/>
            <w:noWrap/>
            <w:vAlign w:val="bottom"/>
            <w:hideMark/>
          </w:tcPr>
          <w:p w14:paraId="1C11484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Reflection</w:t>
            </w:r>
          </w:p>
        </w:tc>
        <w:tc>
          <w:tcPr>
            <w:tcW w:w="340" w:type="pct"/>
            <w:tcBorders>
              <w:top w:val="nil"/>
              <w:left w:val="nil"/>
              <w:bottom w:val="nil"/>
              <w:right w:val="nil"/>
            </w:tcBorders>
            <w:shd w:val="clear" w:color="auto" w:fill="auto"/>
            <w:noWrap/>
            <w:vAlign w:val="center"/>
            <w:hideMark/>
          </w:tcPr>
          <w:p w14:paraId="5E0FBA44"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.03</w:t>
            </w:r>
          </w:p>
        </w:tc>
        <w:tc>
          <w:tcPr>
            <w:tcW w:w="326" w:type="pct"/>
            <w:tcBorders>
              <w:top w:val="nil"/>
              <w:left w:val="nil"/>
              <w:bottom w:val="nil"/>
              <w:right w:val="nil"/>
            </w:tcBorders>
            <w:shd w:val="clear" w:color="auto" w:fill="auto"/>
            <w:noWrap/>
            <w:vAlign w:val="center"/>
            <w:hideMark/>
          </w:tcPr>
          <w:p w14:paraId="1C69AC0E"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.06</w:t>
            </w:r>
          </w:p>
        </w:tc>
        <w:tc>
          <w:tcPr>
            <w:tcW w:w="326" w:type="pct"/>
            <w:tcBorders>
              <w:top w:val="nil"/>
              <w:left w:val="nil"/>
              <w:bottom w:val="nil"/>
              <w:right w:val="nil"/>
            </w:tcBorders>
            <w:shd w:val="clear" w:color="auto" w:fill="auto"/>
            <w:noWrap/>
            <w:vAlign w:val="center"/>
            <w:hideMark/>
          </w:tcPr>
          <w:p w14:paraId="1CFA5766"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.49***</w:t>
            </w:r>
          </w:p>
        </w:tc>
        <w:tc>
          <w:tcPr>
            <w:tcW w:w="326" w:type="pct"/>
            <w:tcBorders>
              <w:top w:val="nil"/>
              <w:left w:val="nil"/>
              <w:bottom w:val="nil"/>
              <w:right w:val="nil"/>
            </w:tcBorders>
            <w:shd w:val="clear" w:color="auto" w:fill="auto"/>
            <w:noWrap/>
            <w:vAlign w:val="center"/>
            <w:hideMark/>
          </w:tcPr>
          <w:p w14:paraId="4AF7B461"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.22***</w:t>
            </w:r>
          </w:p>
        </w:tc>
        <w:tc>
          <w:tcPr>
            <w:tcW w:w="326" w:type="pct"/>
            <w:tcBorders>
              <w:top w:val="nil"/>
              <w:left w:val="nil"/>
              <w:bottom w:val="nil"/>
              <w:right w:val="nil"/>
            </w:tcBorders>
            <w:shd w:val="clear" w:color="auto" w:fill="auto"/>
            <w:noWrap/>
            <w:vAlign w:val="center"/>
            <w:hideMark/>
          </w:tcPr>
          <w:p w14:paraId="1BCFBC4A"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-.01</w:t>
            </w:r>
          </w:p>
        </w:tc>
        <w:tc>
          <w:tcPr>
            <w:tcW w:w="326" w:type="pct"/>
            <w:tcBorders>
              <w:top w:val="nil"/>
              <w:left w:val="nil"/>
              <w:bottom w:val="nil"/>
              <w:right w:val="nil"/>
            </w:tcBorders>
            <w:shd w:val="clear" w:color="auto" w:fill="auto"/>
            <w:noWrap/>
            <w:vAlign w:val="center"/>
            <w:hideMark/>
          </w:tcPr>
          <w:p w14:paraId="0B772E90"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.42***</w:t>
            </w:r>
          </w:p>
        </w:tc>
        <w:tc>
          <w:tcPr>
            <w:tcW w:w="326" w:type="pct"/>
            <w:tcBorders>
              <w:top w:val="nil"/>
              <w:left w:val="nil"/>
              <w:bottom w:val="nil"/>
              <w:right w:val="nil"/>
            </w:tcBorders>
            <w:shd w:val="clear" w:color="auto" w:fill="auto"/>
            <w:noWrap/>
            <w:vAlign w:val="center"/>
            <w:hideMark/>
          </w:tcPr>
          <w:p w14:paraId="76420F52"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c>
          <w:tcPr>
            <w:tcW w:w="326" w:type="pct"/>
            <w:tcBorders>
              <w:top w:val="nil"/>
              <w:left w:val="nil"/>
              <w:bottom w:val="nil"/>
              <w:right w:val="nil"/>
            </w:tcBorders>
            <w:shd w:val="clear" w:color="auto" w:fill="auto"/>
            <w:noWrap/>
            <w:vAlign w:val="center"/>
            <w:hideMark/>
          </w:tcPr>
          <w:p w14:paraId="5F52A1CA"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0015BCE5"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5CFC4FFE"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5695A2F5" w14:textId="77777777" w:rsidR="00DD3A50" w:rsidRPr="008471F1" w:rsidRDefault="00DD3A50" w:rsidP="000C1F69">
            <w:pPr>
              <w:spacing w:line="360" w:lineRule="auto"/>
              <w:rPr>
                <w:rFonts w:asciiTheme="majorBidi" w:hAnsiTheme="majorBidi" w:cstheme="majorBidi"/>
                <w:color w:val="000000"/>
              </w:rPr>
            </w:pPr>
          </w:p>
        </w:tc>
        <w:tc>
          <w:tcPr>
            <w:tcW w:w="320" w:type="pct"/>
            <w:tcBorders>
              <w:top w:val="nil"/>
              <w:left w:val="nil"/>
              <w:bottom w:val="nil"/>
              <w:right w:val="nil"/>
            </w:tcBorders>
            <w:shd w:val="clear" w:color="auto" w:fill="auto"/>
            <w:noWrap/>
            <w:vAlign w:val="center"/>
            <w:hideMark/>
          </w:tcPr>
          <w:p w14:paraId="459976C2"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491E8578" w14:textId="77777777" w:rsidTr="00475B46">
        <w:trPr>
          <w:trHeight w:val="300"/>
        </w:trPr>
        <w:tc>
          <w:tcPr>
            <w:tcW w:w="326" w:type="pct"/>
            <w:tcBorders>
              <w:top w:val="nil"/>
              <w:left w:val="nil"/>
              <w:bottom w:val="nil"/>
              <w:right w:val="nil"/>
            </w:tcBorders>
            <w:shd w:val="clear" w:color="auto" w:fill="auto"/>
            <w:noWrap/>
            <w:vAlign w:val="bottom"/>
            <w:hideMark/>
          </w:tcPr>
          <w:p w14:paraId="2C0EAD1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8</w:t>
            </w:r>
          </w:p>
        </w:tc>
        <w:tc>
          <w:tcPr>
            <w:tcW w:w="754" w:type="pct"/>
            <w:tcBorders>
              <w:top w:val="nil"/>
              <w:left w:val="nil"/>
              <w:bottom w:val="nil"/>
              <w:right w:val="nil"/>
            </w:tcBorders>
            <w:shd w:val="clear" w:color="auto" w:fill="auto"/>
            <w:noWrap/>
            <w:vAlign w:val="bottom"/>
            <w:hideMark/>
          </w:tcPr>
          <w:p w14:paraId="4A12E20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Reappraisal</w:t>
            </w:r>
          </w:p>
        </w:tc>
        <w:tc>
          <w:tcPr>
            <w:tcW w:w="340" w:type="pct"/>
            <w:tcBorders>
              <w:top w:val="nil"/>
              <w:left w:val="nil"/>
              <w:bottom w:val="nil"/>
              <w:right w:val="nil"/>
            </w:tcBorders>
            <w:shd w:val="clear" w:color="auto" w:fill="auto"/>
            <w:noWrap/>
            <w:vAlign w:val="center"/>
            <w:hideMark/>
          </w:tcPr>
          <w:p w14:paraId="517734B6"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.16**</w:t>
            </w:r>
          </w:p>
        </w:tc>
        <w:tc>
          <w:tcPr>
            <w:tcW w:w="326" w:type="pct"/>
            <w:tcBorders>
              <w:top w:val="nil"/>
              <w:left w:val="nil"/>
              <w:bottom w:val="nil"/>
              <w:right w:val="nil"/>
            </w:tcBorders>
            <w:shd w:val="clear" w:color="auto" w:fill="auto"/>
            <w:noWrap/>
            <w:vAlign w:val="center"/>
            <w:hideMark/>
          </w:tcPr>
          <w:p w14:paraId="652E0D18"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.04</w:t>
            </w:r>
          </w:p>
        </w:tc>
        <w:tc>
          <w:tcPr>
            <w:tcW w:w="326" w:type="pct"/>
            <w:tcBorders>
              <w:top w:val="nil"/>
              <w:left w:val="nil"/>
              <w:bottom w:val="nil"/>
              <w:right w:val="nil"/>
            </w:tcBorders>
            <w:shd w:val="clear" w:color="auto" w:fill="auto"/>
            <w:noWrap/>
            <w:vAlign w:val="center"/>
            <w:hideMark/>
          </w:tcPr>
          <w:p w14:paraId="32B94FE6"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.21***</w:t>
            </w:r>
          </w:p>
        </w:tc>
        <w:tc>
          <w:tcPr>
            <w:tcW w:w="326" w:type="pct"/>
            <w:tcBorders>
              <w:top w:val="nil"/>
              <w:left w:val="nil"/>
              <w:bottom w:val="nil"/>
              <w:right w:val="nil"/>
            </w:tcBorders>
            <w:shd w:val="clear" w:color="auto" w:fill="auto"/>
            <w:noWrap/>
            <w:vAlign w:val="center"/>
            <w:hideMark/>
          </w:tcPr>
          <w:p w14:paraId="0A3AFFE7"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.19***</w:t>
            </w:r>
          </w:p>
        </w:tc>
        <w:tc>
          <w:tcPr>
            <w:tcW w:w="326" w:type="pct"/>
            <w:tcBorders>
              <w:top w:val="nil"/>
              <w:left w:val="nil"/>
              <w:bottom w:val="nil"/>
              <w:right w:val="nil"/>
            </w:tcBorders>
            <w:shd w:val="clear" w:color="auto" w:fill="auto"/>
            <w:noWrap/>
            <w:vAlign w:val="center"/>
            <w:hideMark/>
          </w:tcPr>
          <w:p w14:paraId="1477F020"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-.05</w:t>
            </w:r>
          </w:p>
        </w:tc>
        <w:tc>
          <w:tcPr>
            <w:tcW w:w="326" w:type="pct"/>
            <w:tcBorders>
              <w:top w:val="nil"/>
              <w:left w:val="nil"/>
              <w:bottom w:val="nil"/>
              <w:right w:val="nil"/>
            </w:tcBorders>
            <w:shd w:val="clear" w:color="auto" w:fill="auto"/>
            <w:noWrap/>
            <w:vAlign w:val="center"/>
            <w:hideMark/>
          </w:tcPr>
          <w:p w14:paraId="5843BFBC"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.16**</w:t>
            </w:r>
          </w:p>
        </w:tc>
        <w:tc>
          <w:tcPr>
            <w:tcW w:w="326" w:type="pct"/>
            <w:tcBorders>
              <w:top w:val="nil"/>
              <w:left w:val="nil"/>
              <w:bottom w:val="nil"/>
              <w:right w:val="nil"/>
            </w:tcBorders>
            <w:shd w:val="clear" w:color="auto" w:fill="auto"/>
            <w:noWrap/>
            <w:vAlign w:val="center"/>
            <w:hideMark/>
          </w:tcPr>
          <w:p w14:paraId="3A1F6D68"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.15**</w:t>
            </w:r>
          </w:p>
        </w:tc>
        <w:tc>
          <w:tcPr>
            <w:tcW w:w="326" w:type="pct"/>
            <w:tcBorders>
              <w:top w:val="nil"/>
              <w:left w:val="nil"/>
              <w:bottom w:val="nil"/>
              <w:right w:val="nil"/>
            </w:tcBorders>
            <w:shd w:val="clear" w:color="auto" w:fill="auto"/>
            <w:noWrap/>
            <w:vAlign w:val="center"/>
            <w:hideMark/>
          </w:tcPr>
          <w:p w14:paraId="62B50E0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c>
          <w:tcPr>
            <w:tcW w:w="326" w:type="pct"/>
            <w:tcBorders>
              <w:top w:val="nil"/>
              <w:left w:val="nil"/>
              <w:bottom w:val="nil"/>
              <w:right w:val="nil"/>
            </w:tcBorders>
            <w:shd w:val="clear" w:color="auto" w:fill="auto"/>
            <w:noWrap/>
            <w:vAlign w:val="center"/>
            <w:hideMark/>
          </w:tcPr>
          <w:p w14:paraId="56E7841F"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0AC47CD8"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2EF62D4E" w14:textId="77777777" w:rsidR="00DD3A50" w:rsidRPr="008471F1" w:rsidRDefault="00DD3A50" w:rsidP="000C1F69">
            <w:pPr>
              <w:spacing w:line="360" w:lineRule="auto"/>
              <w:rPr>
                <w:rFonts w:asciiTheme="majorBidi" w:hAnsiTheme="majorBidi" w:cstheme="majorBidi"/>
                <w:color w:val="000000"/>
              </w:rPr>
            </w:pPr>
          </w:p>
        </w:tc>
        <w:tc>
          <w:tcPr>
            <w:tcW w:w="320" w:type="pct"/>
            <w:tcBorders>
              <w:top w:val="nil"/>
              <w:left w:val="nil"/>
              <w:bottom w:val="nil"/>
              <w:right w:val="nil"/>
            </w:tcBorders>
            <w:shd w:val="clear" w:color="auto" w:fill="auto"/>
            <w:noWrap/>
            <w:vAlign w:val="center"/>
            <w:hideMark/>
          </w:tcPr>
          <w:p w14:paraId="3534E413"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26692B63" w14:textId="77777777" w:rsidTr="00475B46">
        <w:trPr>
          <w:trHeight w:val="300"/>
        </w:trPr>
        <w:tc>
          <w:tcPr>
            <w:tcW w:w="326" w:type="pct"/>
            <w:tcBorders>
              <w:top w:val="nil"/>
              <w:left w:val="nil"/>
              <w:bottom w:val="nil"/>
              <w:right w:val="nil"/>
            </w:tcBorders>
            <w:shd w:val="clear" w:color="auto" w:fill="auto"/>
            <w:noWrap/>
            <w:vAlign w:val="bottom"/>
            <w:hideMark/>
          </w:tcPr>
          <w:p w14:paraId="32F31AE5"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9</w:t>
            </w:r>
          </w:p>
        </w:tc>
        <w:tc>
          <w:tcPr>
            <w:tcW w:w="754" w:type="pct"/>
            <w:tcBorders>
              <w:top w:val="nil"/>
              <w:left w:val="nil"/>
              <w:bottom w:val="nil"/>
              <w:right w:val="nil"/>
            </w:tcBorders>
            <w:shd w:val="clear" w:color="auto" w:fill="auto"/>
            <w:noWrap/>
            <w:vAlign w:val="bottom"/>
            <w:hideMark/>
          </w:tcPr>
          <w:p w14:paraId="335B95EA"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Suppression</w:t>
            </w:r>
          </w:p>
        </w:tc>
        <w:tc>
          <w:tcPr>
            <w:tcW w:w="340" w:type="pct"/>
            <w:tcBorders>
              <w:top w:val="nil"/>
              <w:left w:val="nil"/>
              <w:bottom w:val="nil"/>
              <w:right w:val="nil"/>
            </w:tcBorders>
            <w:shd w:val="clear" w:color="auto" w:fill="auto"/>
            <w:noWrap/>
            <w:vAlign w:val="center"/>
            <w:hideMark/>
          </w:tcPr>
          <w:p w14:paraId="5B92F9DD"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-.31***</w:t>
            </w:r>
          </w:p>
        </w:tc>
        <w:tc>
          <w:tcPr>
            <w:tcW w:w="326" w:type="pct"/>
            <w:tcBorders>
              <w:top w:val="nil"/>
              <w:left w:val="nil"/>
              <w:bottom w:val="nil"/>
              <w:right w:val="nil"/>
            </w:tcBorders>
            <w:shd w:val="clear" w:color="auto" w:fill="auto"/>
            <w:noWrap/>
            <w:vAlign w:val="center"/>
            <w:hideMark/>
          </w:tcPr>
          <w:p w14:paraId="3088748B"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.08</w:t>
            </w:r>
          </w:p>
        </w:tc>
        <w:tc>
          <w:tcPr>
            <w:tcW w:w="326" w:type="pct"/>
            <w:tcBorders>
              <w:top w:val="nil"/>
              <w:left w:val="nil"/>
              <w:bottom w:val="nil"/>
              <w:right w:val="nil"/>
            </w:tcBorders>
            <w:shd w:val="clear" w:color="auto" w:fill="auto"/>
            <w:noWrap/>
            <w:vAlign w:val="center"/>
            <w:hideMark/>
          </w:tcPr>
          <w:p w14:paraId="7DEBC97D"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.03</w:t>
            </w:r>
          </w:p>
        </w:tc>
        <w:tc>
          <w:tcPr>
            <w:tcW w:w="326" w:type="pct"/>
            <w:tcBorders>
              <w:top w:val="nil"/>
              <w:left w:val="nil"/>
              <w:bottom w:val="nil"/>
              <w:right w:val="nil"/>
            </w:tcBorders>
            <w:shd w:val="clear" w:color="auto" w:fill="auto"/>
            <w:noWrap/>
            <w:vAlign w:val="center"/>
            <w:hideMark/>
          </w:tcPr>
          <w:p w14:paraId="599DCE2C"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.22***</w:t>
            </w:r>
          </w:p>
        </w:tc>
        <w:tc>
          <w:tcPr>
            <w:tcW w:w="326" w:type="pct"/>
            <w:tcBorders>
              <w:top w:val="nil"/>
              <w:left w:val="nil"/>
              <w:bottom w:val="nil"/>
              <w:right w:val="nil"/>
            </w:tcBorders>
            <w:shd w:val="clear" w:color="auto" w:fill="auto"/>
            <w:noWrap/>
            <w:vAlign w:val="center"/>
            <w:hideMark/>
          </w:tcPr>
          <w:p w14:paraId="15FB614D"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.45***</w:t>
            </w:r>
          </w:p>
        </w:tc>
        <w:tc>
          <w:tcPr>
            <w:tcW w:w="326" w:type="pct"/>
            <w:tcBorders>
              <w:top w:val="nil"/>
              <w:left w:val="nil"/>
              <w:bottom w:val="nil"/>
              <w:right w:val="nil"/>
            </w:tcBorders>
            <w:shd w:val="clear" w:color="auto" w:fill="auto"/>
            <w:noWrap/>
            <w:vAlign w:val="center"/>
            <w:hideMark/>
          </w:tcPr>
          <w:p w14:paraId="67D08F5A"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.18**</w:t>
            </w:r>
          </w:p>
        </w:tc>
        <w:tc>
          <w:tcPr>
            <w:tcW w:w="326" w:type="pct"/>
            <w:tcBorders>
              <w:top w:val="nil"/>
              <w:left w:val="nil"/>
              <w:bottom w:val="nil"/>
              <w:right w:val="nil"/>
            </w:tcBorders>
            <w:shd w:val="clear" w:color="auto" w:fill="auto"/>
            <w:noWrap/>
            <w:vAlign w:val="center"/>
            <w:hideMark/>
          </w:tcPr>
          <w:p w14:paraId="47185B5E"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.02</w:t>
            </w:r>
          </w:p>
        </w:tc>
        <w:tc>
          <w:tcPr>
            <w:tcW w:w="326" w:type="pct"/>
            <w:tcBorders>
              <w:top w:val="nil"/>
              <w:left w:val="nil"/>
              <w:bottom w:val="nil"/>
              <w:right w:val="nil"/>
            </w:tcBorders>
            <w:shd w:val="clear" w:color="auto" w:fill="auto"/>
            <w:noWrap/>
            <w:vAlign w:val="center"/>
            <w:hideMark/>
          </w:tcPr>
          <w:p w14:paraId="0C75FFAA"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.17**</w:t>
            </w:r>
          </w:p>
        </w:tc>
        <w:tc>
          <w:tcPr>
            <w:tcW w:w="326" w:type="pct"/>
            <w:tcBorders>
              <w:top w:val="nil"/>
              <w:left w:val="nil"/>
              <w:bottom w:val="nil"/>
              <w:right w:val="nil"/>
            </w:tcBorders>
            <w:shd w:val="clear" w:color="auto" w:fill="auto"/>
            <w:noWrap/>
            <w:vAlign w:val="center"/>
            <w:hideMark/>
          </w:tcPr>
          <w:p w14:paraId="25DDE06C"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c>
          <w:tcPr>
            <w:tcW w:w="326" w:type="pct"/>
            <w:tcBorders>
              <w:top w:val="nil"/>
              <w:left w:val="nil"/>
              <w:bottom w:val="nil"/>
              <w:right w:val="nil"/>
            </w:tcBorders>
            <w:shd w:val="clear" w:color="auto" w:fill="auto"/>
            <w:noWrap/>
            <w:vAlign w:val="center"/>
            <w:hideMark/>
          </w:tcPr>
          <w:p w14:paraId="4BF74389" w14:textId="77777777" w:rsidR="00DD3A50" w:rsidRPr="008471F1" w:rsidRDefault="00DD3A50" w:rsidP="000C1F69">
            <w:pPr>
              <w:spacing w:line="360" w:lineRule="auto"/>
              <w:rPr>
                <w:rFonts w:asciiTheme="majorBidi" w:hAnsiTheme="majorBidi" w:cstheme="majorBidi"/>
                <w:color w:val="000000"/>
              </w:rPr>
            </w:pPr>
          </w:p>
        </w:tc>
        <w:tc>
          <w:tcPr>
            <w:tcW w:w="326" w:type="pct"/>
            <w:tcBorders>
              <w:top w:val="nil"/>
              <w:left w:val="nil"/>
              <w:bottom w:val="nil"/>
              <w:right w:val="nil"/>
            </w:tcBorders>
            <w:shd w:val="clear" w:color="auto" w:fill="auto"/>
            <w:noWrap/>
            <w:vAlign w:val="center"/>
            <w:hideMark/>
          </w:tcPr>
          <w:p w14:paraId="67E6B05D" w14:textId="77777777" w:rsidR="00DD3A50" w:rsidRPr="008471F1" w:rsidRDefault="00DD3A50" w:rsidP="000C1F69">
            <w:pPr>
              <w:spacing w:line="360" w:lineRule="auto"/>
              <w:rPr>
                <w:rFonts w:asciiTheme="majorBidi" w:hAnsiTheme="majorBidi" w:cstheme="majorBidi"/>
                <w:color w:val="000000"/>
              </w:rPr>
            </w:pPr>
          </w:p>
        </w:tc>
        <w:tc>
          <w:tcPr>
            <w:tcW w:w="320" w:type="pct"/>
            <w:tcBorders>
              <w:top w:val="nil"/>
              <w:left w:val="nil"/>
              <w:bottom w:val="nil"/>
              <w:right w:val="nil"/>
            </w:tcBorders>
            <w:shd w:val="clear" w:color="auto" w:fill="auto"/>
            <w:noWrap/>
            <w:vAlign w:val="center"/>
            <w:hideMark/>
          </w:tcPr>
          <w:p w14:paraId="1808D893"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3CA695B1" w14:textId="77777777" w:rsidTr="00475B46">
        <w:trPr>
          <w:trHeight w:val="300"/>
        </w:trPr>
        <w:tc>
          <w:tcPr>
            <w:tcW w:w="326" w:type="pct"/>
            <w:tcBorders>
              <w:top w:val="nil"/>
              <w:left w:val="nil"/>
              <w:bottom w:val="nil"/>
              <w:right w:val="nil"/>
            </w:tcBorders>
            <w:shd w:val="clear" w:color="auto" w:fill="auto"/>
            <w:noWrap/>
            <w:vAlign w:val="bottom"/>
            <w:hideMark/>
          </w:tcPr>
          <w:p w14:paraId="2BB24058"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10</w:t>
            </w:r>
          </w:p>
        </w:tc>
        <w:tc>
          <w:tcPr>
            <w:tcW w:w="754" w:type="pct"/>
            <w:tcBorders>
              <w:top w:val="nil"/>
              <w:left w:val="nil"/>
              <w:bottom w:val="nil"/>
              <w:right w:val="nil"/>
            </w:tcBorders>
            <w:shd w:val="clear" w:color="auto" w:fill="auto"/>
            <w:noWrap/>
            <w:vAlign w:val="bottom"/>
            <w:hideMark/>
          </w:tcPr>
          <w:p w14:paraId="705B3F77"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Depression</w:t>
            </w:r>
          </w:p>
        </w:tc>
        <w:tc>
          <w:tcPr>
            <w:tcW w:w="340" w:type="pct"/>
            <w:tcBorders>
              <w:top w:val="nil"/>
              <w:left w:val="nil"/>
              <w:bottom w:val="nil"/>
              <w:right w:val="nil"/>
            </w:tcBorders>
            <w:shd w:val="clear" w:color="auto" w:fill="auto"/>
            <w:noWrap/>
            <w:vAlign w:val="center"/>
            <w:hideMark/>
          </w:tcPr>
          <w:p w14:paraId="779EADB7"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-.11*</w:t>
            </w:r>
          </w:p>
        </w:tc>
        <w:tc>
          <w:tcPr>
            <w:tcW w:w="326" w:type="pct"/>
            <w:tcBorders>
              <w:top w:val="nil"/>
              <w:left w:val="nil"/>
              <w:bottom w:val="nil"/>
              <w:right w:val="nil"/>
            </w:tcBorders>
            <w:shd w:val="clear" w:color="auto" w:fill="auto"/>
            <w:noWrap/>
            <w:vAlign w:val="center"/>
            <w:hideMark/>
          </w:tcPr>
          <w:p w14:paraId="1D7B3E7E"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.55***</w:t>
            </w:r>
          </w:p>
        </w:tc>
        <w:tc>
          <w:tcPr>
            <w:tcW w:w="326" w:type="pct"/>
            <w:tcBorders>
              <w:top w:val="nil"/>
              <w:left w:val="nil"/>
              <w:bottom w:val="nil"/>
              <w:right w:val="nil"/>
            </w:tcBorders>
            <w:shd w:val="clear" w:color="auto" w:fill="auto"/>
            <w:noWrap/>
            <w:vAlign w:val="center"/>
            <w:hideMark/>
          </w:tcPr>
          <w:p w14:paraId="1C1928BD"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.06</w:t>
            </w:r>
          </w:p>
        </w:tc>
        <w:tc>
          <w:tcPr>
            <w:tcW w:w="326" w:type="pct"/>
            <w:tcBorders>
              <w:top w:val="nil"/>
              <w:left w:val="nil"/>
              <w:bottom w:val="nil"/>
              <w:right w:val="nil"/>
            </w:tcBorders>
            <w:shd w:val="clear" w:color="auto" w:fill="auto"/>
            <w:noWrap/>
            <w:vAlign w:val="center"/>
            <w:hideMark/>
          </w:tcPr>
          <w:p w14:paraId="0C3CA0A6"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.52***</w:t>
            </w:r>
          </w:p>
        </w:tc>
        <w:tc>
          <w:tcPr>
            <w:tcW w:w="326" w:type="pct"/>
            <w:tcBorders>
              <w:top w:val="nil"/>
              <w:left w:val="nil"/>
              <w:bottom w:val="nil"/>
              <w:right w:val="nil"/>
            </w:tcBorders>
            <w:shd w:val="clear" w:color="auto" w:fill="auto"/>
            <w:noWrap/>
            <w:vAlign w:val="center"/>
            <w:hideMark/>
          </w:tcPr>
          <w:p w14:paraId="0CEBA672"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.31***</w:t>
            </w:r>
          </w:p>
        </w:tc>
        <w:tc>
          <w:tcPr>
            <w:tcW w:w="326" w:type="pct"/>
            <w:tcBorders>
              <w:top w:val="nil"/>
              <w:left w:val="nil"/>
              <w:bottom w:val="nil"/>
              <w:right w:val="nil"/>
            </w:tcBorders>
            <w:shd w:val="clear" w:color="auto" w:fill="auto"/>
            <w:noWrap/>
            <w:vAlign w:val="center"/>
            <w:hideMark/>
          </w:tcPr>
          <w:p w14:paraId="475D2859"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.57***</w:t>
            </w:r>
          </w:p>
        </w:tc>
        <w:tc>
          <w:tcPr>
            <w:tcW w:w="326" w:type="pct"/>
            <w:tcBorders>
              <w:top w:val="nil"/>
              <w:left w:val="nil"/>
              <w:bottom w:val="nil"/>
              <w:right w:val="nil"/>
            </w:tcBorders>
            <w:shd w:val="clear" w:color="auto" w:fill="auto"/>
            <w:noWrap/>
            <w:vAlign w:val="center"/>
            <w:hideMark/>
          </w:tcPr>
          <w:p w14:paraId="5BE1BC5E"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.20</w:t>
            </w:r>
          </w:p>
        </w:tc>
        <w:tc>
          <w:tcPr>
            <w:tcW w:w="326" w:type="pct"/>
            <w:tcBorders>
              <w:top w:val="nil"/>
              <w:left w:val="nil"/>
              <w:bottom w:val="nil"/>
              <w:right w:val="nil"/>
            </w:tcBorders>
            <w:shd w:val="clear" w:color="auto" w:fill="auto"/>
            <w:noWrap/>
            <w:vAlign w:val="center"/>
            <w:hideMark/>
          </w:tcPr>
          <w:p w14:paraId="7E043A69"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.04</w:t>
            </w:r>
          </w:p>
        </w:tc>
        <w:tc>
          <w:tcPr>
            <w:tcW w:w="326" w:type="pct"/>
            <w:tcBorders>
              <w:top w:val="nil"/>
              <w:left w:val="nil"/>
              <w:bottom w:val="nil"/>
              <w:right w:val="nil"/>
            </w:tcBorders>
            <w:shd w:val="clear" w:color="auto" w:fill="auto"/>
            <w:noWrap/>
            <w:vAlign w:val="center"/>
            <w:hideMark/>
          </w:tcPr>
          <w:p w14:paraId="0341CD4D"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.23***</w:t>
            </w:r>
          </w:p>
        </w:tc>
        <w:tc>
          <w:tcPr>
            <w:tcW w:w="326" w:type="pct"/>
            <w:tcBorders>
              <w:top w:val="nil"/>
              <w:left w:val="nil"/>
              <w:bottom w:val="nil"/>
              <w:right w:val="nil"/>
            </w:tcBorders>
            <w:shd w:val="clear" w:color="auto" w:fill="auto"/>
            <w:noWrap/>
            <w:vAlign w:val="center"/>
            <w:hideMark/>
          </w:tcPr>
          <w:p w14:paraId="0E6DBFE5"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c>
          <w:tcPr>
            <w:tcW w:w="326" w:type="pct"/>
            <w:tcBorders>
              <w:top w:val="nil"/>
              <w:left w:val="nil"/>
              <w:bottom w:val="nil"/>
              <w:right w:val="nil"/>
            </w:tcBorders>
            <w:shd w:val="clear" w:color="auto" w:fill="auto"/>
            <w:noWrap/>
            <w:vAlign w:val="center"/>
            <w:hideMark/>
          </w:tcPr>
          <w:p w14:paraId="23675B29" w14:textId="77777777" w:rsidR="00DD3A50" w:rsidRPr="008471F1" w:rsidRDefault="00DD3A50" w:rsidP="000C1F69">
            <w:pPr>
              <w:spacing w:line="360" w:lineRule="auto"/>
              <w:rPr>
                <w:rFonts w:asciiTheme="majorBidi" w:hAnsiTheme="majorBidi" w:cstheme="majorBidi"/>
                <w:color w:val="000000"/>
              </w:rPr>
            </w:pPr>
          </w:p>
        </w:tc>
        <w:tc>
          <w:tcPr>
            <w:tcW w:w="320" w:type="pct"/>
            <w:tcBorders>
              <w:top w:val="nil"/>
              <w:left w:val="nil"/>
              <w:bottom w:val="nil"/>
              <w:right w:val="nil"/>
            </w:tcBorders>
            <w:shd w:val="clear" w:color="auto" w:fill="auto"/>
            <w:noWrap/>
            <w:vAlign w:val="center"/>
            <w:hideMark/>
          </w:tcPr>
          <w:p w14:paraId="4F20E965"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7D044C81" w14:textId="77777777" w:rsidTr="00475B46">
        <w:trPr>
          <w:trHeight w:val="300"/>
        </w:trPr>
        <w:tc>
          <w:tcPr>
            <w:tcW w:w="326" w:type="pct"/>
            <w:tcBorders>
              <w:top w:val="nil"/>
              <w:left w:val="nil"/>
              <w:bottom w:val="nil"/>
              <w:right w:val="nil"/>
            </w:tcBorders>
            <w:shd w:val="clear" w:color="auto" w:fill="auto"/>
            <w:noWrap/>
            <w:vAlign w:val="bottom"/>
            <w:hideMark/>
          </w:tcPr>
          <w:p w14:paraId="5DC9848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11</w:t>
            </w:r>
          </w:p>
        </w:tc>
        <w:tc>
          <w:tcPr>
            <w:tcW w:w="754" w:type="pct"/>
            <w:tcBorders>
              <w:top w:val="nil"/>
              <w:left w:val="nil"/>
              <w:bottom w:val="nil"/>
              <w:right w:val="nil"/>
            </w:tcBorders>
            <w:shd w:val="clear" w:color="auto" w:fill="auto"/>
            <w:noWrap/>
            <w:vAlign w:val="bottom"/>
            <w:hideMark/>
          </w:tcPr>
          <w:p w14:paraId="16ED6DE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Anxiety</w:t>
            </w:r>
          </w:p>
        </w:tc>
        <w:tc>
          <w:tcPr>
            <w:tcW w:w="340" w:type="pct"/>
            <w:tcBorders>
              <w:top w:val="nil"/>
              <w:left w:val="nil"/>
              <w:bottom w:val="nil"/>
              <w:right w:val="nil"/>
            </w:tcBorders>
            <w:shd w:val="clear" w:color="auto" w:fill="auto"/>
            <w:noWrap/>
            <w:vAlign w:val="center"/>
            <w:hideMark/>
          </w:tcPr>
          <w:p w14:paraId="2D9F2339"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-.08</w:t>
            </w:r>
          </w:p>
        </w:tc>
        <w:tc>
          <w:tcPr>
            <w:tcW w:w="326" w:type="pct"/>
            <w:tcBorders>
              <w:top w:val="nil"/>
              <w:left w:val="nil"/>
              <w:bottom w:val="nil"/>
              <w:right w:val="nil"/>
            </w:tcBorders>
            <w:shd w:val="clear" w:color="auto" w:fill="auto"/>
            <w:noWrap/>
            <w:vAlign w:val="center"/>
            <w:hideMark/>
          </w:tcPr>
          <w:p w14:paraId="4D16FA6D"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.53***</w:t>
            </w:r>
          </w:p>
        </w:tc>
        <w:tc>
          <w:tcPr>
            <w:tcW w:w="326" w:type="pct"/>
            <w:tcBorders>
              <w:top w:val="nil"/>
              <w:left w:val="nil"/>
              <w:bottom w:val="nil"/>
              <w:right w:val="nil"/>
            </w:tcBorders>
            <w:shd w:val="clear" w:color="auto" w:fill="auto"/>
            <w:noWrap/>
            <w:vAlign w:val="center"/>
            <w:hideMark/>
          </w:tcPr>
          <w:p w14:paraId="059214B2"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.03</w:t>
            </w:r>
          </w:p>
        </w:tc>
        <w:tc>
          <w:tcPr>
            <w:tcW w:w="326" w:type="pct"/>
            <w:tcBorders>
              <w:top w:val="nil"/>
              <w:left w:val="nil"/>
              <w:bottom w:val="nil"/>
              <w:right w:val="nil"/>
            </w:tcBorders>
            <w:shd w:val="clear" w:color="auto" w:fill="auto"/>
            <w:noWrap/>
            <w:vAlign w:val="center"/>
            <w:hideMark/>
          </w:tcPr>
          <w:p w14:paraId="5030B61F"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.44***</w:t>
            </w:r>
          </w:p>
        </w:tc>
        <w:tc>
          <w:tcPr>
            <w:tcW w:w="326" w:type="pct"/>
            <w:tcBorders>
              <w:top w:val="nil"/>
              <w:left w:val="nil"/>
              <w:bottom w:val="nil"/>
              <w:right w:val="nil"/>
            </w:tcBorders>
            <w:shd w:val="clear" w:color="auto" w:fill="auto"/>
            <w:noWrap/>
            <w:vAlign w:val="center"/>
            <w:hideMark/>
          </w:tcPr>
          <w:p w14:paraId="77C7ABB5"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.26***</w:t>
            </w:r>
          </w:p>
        </w:tc>
        <w:tc>
          <w:tcPr>
            <w:tcW w:w="326" w:type="pct"/>
            <w:tcBorders>
              <w:top w:val="nil"/>
              <w:left w:val="nil"/>
              <w:bottom w:val="nil"/>
              <w:right w:val="nil"/>
            </w:tcBorders>
            <w:shd w:val="clear" w:color="auto" w:fill="auto"/>
            <w:noWrap/>
            <w:vAlign w:val="center"/>
            <w:hideMark/>
          </w:tcPr>
          <w:p w14:paraId="421346E6"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.48***</w:t>
            </w:r>
          </w:p>
        </w:tc>
        <w:tc>
          <w:tcPr>
            <w:tcW w:w="326" w:type="pct"/>
            <w:tcBorders>
              <w:top w:val="nil"/>
              <w:left w:val="nil"/>
              <w:bottom w:val="nil"/>
              <w:right w:val="nil"/>
            </w:tcBorders>
            <w:shd w:val="clear" w:color="auto" w:fill="auto"/>
            <w:noWrap/>
            <w:vAlign w:val="center"/>
            <w:hideMark/>
          </w:tcPr>
          <w:p w14:paraId="7893C10A"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.24***</w:t>
            </w:r>
          </w:p>
        </w:tc>
        <w:tc>
          <w:tcPr>
            <w:tcW w:w="326" w:type="pct"/>
            <w:tcBorders>
              <w:top w:val="nil"/>
              <w:left w:val="nil"/>
              <w:bottom w:val="nil"/>
              <w:right w:val="nil"/>
            </w:tcBorders>
            <w:shd w:val="clear" w:color="auto" w:fill="auto"/>
            <w:noWrap/>
            <w:vAlign w:val="center"/>
            <w:hideMark/>
          </w:tcPr>
          <w:p w14:paraId="57619484"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.05</w:t>
            </w:r>
          </w:p>
        </w:tc>
        <w:tc>
          <w:tcPr>
            <w:tcW w:w="326" w:type="pct"/>
            <w:tcBorders>
              <w:top w:val="nil"/>
              <w:left w:val="nil"/>
              <w:bottom w:val="nil"/>
              <w:right w:val="nil"/>
            </w:tcBorders>
            <w:shd w:val="clear" w:color="auto" w:fill="auto"/>
            <w:noWrap/>
            <w:vAlign w:val="center"/>
            <w:hideMark/>
          </w:tcPr>
          <w:p w14:paraId="558B7DC5"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.18**</w:t>
            </w:r>
          </w:p>
        </w:tc>
        <w:tc>
          <w:tcPr>
            <w:tcW w:w="326" w:type="pct"/>
            <w:tcBorders>
              <w:top w:val="nil"/>
              <w:left w:val="nil"/>
              <w:bottom w:val="nil"/>
              <w:right w:val="nil"/>
            </w:tcBorders>
            <w:shd w:val="clear" w:color="auto" w:fill="auto"/>
            <w:noWrap/>
            <w:vAlign w:val="center"/>
            <w:hideMark/>
          </w:tcPr>
          <w:p w14:paraId="6364C508"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.69***</w:t>
            </w:r>
          </w:p>
        </w:tc>
        <w:tc>
          <w:tcPr>
            <w:tcW w:w="326" w:type="pct"/>
            <w:tcBorders>
              <w:top w:val="nil"/>
              <w:left w:val="nil"/>
              <w:bottom w:val="nil"/>
              <w:right w:val="nil"/>
            </w:tcBorders>
            <w:shd w:val="clear" w:color="auto" w:fill="auto"/>
            <w:noWrap/>
            <w:vAlign w:val="center"/>
            <w:hideMark/>
          </w:tcPr>
          <w:p w14:paraId="2BE7B54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c>
          <w:tcPr>
            <w:tcW w:w="320" w:type="pct"/>
            <w:tcBorders>
              <w:top w:val="nil"/>
              <w:left w:val="nil"/>
              <w:bottom w:val="nil"/>
              <w:right w:val="nil"/>
            </w:tcBorders>
            <w:shd w:val="clear" w:color="auto" w:fill="auto"/>
            <w:noWrap/>
            <w:vAlign w:val="center"/>
            <w:hideMark/>
          </w:tcPr>
          <w:p w14:paraId="73221173"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511FF2FD" w14:textId="77777777" w:rsidTr="00475B46">
        <w:trPr>
          <w:trHeight w:val="300"/>
        </w:trPr>
        <w:tc>
          <w:tcPr>
            <w:tcW w:w="326" w:type="pct"/>
            <w:tcBorders>
              <w:top w:val="nil"/>
              <w:left w:val="nil"/>
              <w:bottom w:val="single" w:sz="4" w:space="0" w:color="auto"/>
              <w:right w:val="nil"/>
            </w:tcBorders>
            <w:shd w:val="clear" w:color="auto" w:fill="auto"/>
            <w:noWrap/>
            <w:vAlign w:val="bottom"/>
            <w:hideMark/>
          </w:tcPr>
          <w:p w14:paraId="28F7E81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12</w:t>
            </w:r>
          </w:p>
        </w:tc>
        <w:tc>
          <w:tcPr>
            <w:tcW w:w="754" w:type="pct"/>
            <w:tcBorders>
              <w:top w:val="nil"/>
              <w:left w:val="nil"/>
              <w:bottom w:val="single" w:sz="4" w:space="0" w:color="auto"/>
              <w:right w:val="nil"/>
            </w:tcBorders>
            <w:shd w:val="clear" w:color="auto" w:fill="auto"/>
            <w:noWrap/>
            <w:vAlign w:val="bottom"/>
            <w:hideMark/>
          </w:tcPr>
          <w:p w14:paraId="498EFA71" w14:textId="7EF4A464" w:rsidR="00DD3A50" w:rsidRPr="008471F1" w:rsidRDefault="00200E7E" w:rsidP="000C1F69">
            <w:pPr>
              <w:spacing w:line="360" w:lineRule="auto"/>
              <w:rPr>
                <w:rFonts w:asciiTheme="majorBidi" w:hAnsiTheme="majorBidi" w:cstheme="majorBidi"/>
                <w:color w:val="000000"/>
              </w:rPr>
            </w:pPr>
            <w:r>
              <w:rPr>
                <w:rFonts w:asciiTheme="majorBidi" w:hAnsiTheme="majorBidi" w:cstheme="majorBidi"/>
                <w:color w:val="000000"/>
              </w:rPr>
              <w:t>CSB</w:t>
            </w:r>
            <w:r w:rsidR="006A4256">
              <w:rPr>
                <w:rFonts w:asciiTheme="majorBidi" w:hAnsiTheme="majorBidi" w:cstheme="majorBidi"/>
                <w:color w:val="000000"/>
              </w:rPr>
              <w:t>D</w:t>
            </w:r>
          </w:p>
        </w:tc>
        <w:tc>
          <w:tcPr>
            <w:tcW w:w="340" w:type="pct"/>
            <w:tcBorders>
              <w:top w:val="nil"/>
              <w:left w:val="nil"/>
              <w:bottom w:val="single" w:sz="4" w:space="0" w:color="auto"/>
              <w:right w:val="nil"/>
            </w:tcBorders>
            <w:shd w:val="clear" w:color="auto" w:fill="auto"/>
            <w:noWrap/>
            <w:vAlign w:val="center"/>
            <w:hideMark/>
          </w:tcPr>
          <w:p w14:paraId="0D2A9D37"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.01</w:t>
            </w:r>
          </w:p>
        </w:tc>
        <w:tc>
          <w:tcPr>
            <w:tcW w:w="326" w:type="pct"/>
            <w:tcBorders>
              <w:top w:val="nil"/>
              <w:left w:val="nil"/>
              <w:bottom w:val="single" w:sz="4" w:space="0" w:color="auto"/>
              <w:right w:val="nil"/>
            </w:tcBorders>
            <w:shd w:val="clear" w:color="auto" w:fill="auto"/>
            <w:noWrap/>
            <w:vAlign w:val="center"/>
            <w:hideMark/>
          </w:tcPr>
          <w:p w14:paraId="36DE0A7E"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.11*</w:t>
            </w:r>
          </w:p>
        </w:tc>
        <w:tc>
          <w:tcPr>
            <w:tcW w:w="326" w:type="pct"/>
            <w:tcBorders>
              <w:top w:val="nil"/>
              <w:left w:val="nil"/>
              <w:bottom w:val="single" w:sz="4" w:space="0" w:color="auto"/>
              <w:right w:val="nil"/>
            </w:tcBorders>
            <w:shd w:val="clear" w:color="auto" w:fill="auto"/>
            <w:noWrap/>
            <w:vAlign w:val="center"/>
            <w:hideMark/>
          </w:tcPr>
          <w:p w14:paraId="7F45507F"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.22***</w:t>
            </w:r>
          </w:p>
        </w:tc>
        <w:tc>
          <w:tcPr>
            <w:tcW w:w="326" w:type="pct"/>
            <w:tcBorders>
              <w:top w:val="nil"/>
              <w:left w:val="nil"/>
              <w:bottom w:val="single" w:sz="4" w:space="0" w:color="auto"/>
              <w:right w:val="nil"/>
            </w:tcBorders>
            <w:shd w:val="clear" w:color="auto" w:fill="auto"/>
            <w:noWrap/>
            <w:vAlign w:val="center"/>
            <w:hideMark/>
          </w:tcPr>
          <w:p w14:paraId="212E1857"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.21***</w:t>
            </w:r>
          </w:p>
        </w:tc>
        <w:tc>
          <w:tcPr>
            <w:tcW w:w="326" w:type="pct"/>
            <w:tcBorders>
              <w:top w:val="nil"/>
              <w:left w:val="nil"/>
              <w:bottom w:val="single" w:sz="4" w:space="0" w:color="auto"/>
              <w:right w:val="nil"/>
            </w:tcBorders>
            <w:shd w:val="clear" w:color="auto" w:fill="auto"/>
            <w:noWrap/>
            <w:vAlign w:val="center"/>
            <w:hideMark/>
          </w:tcPr>
          <w:p w14:paraId="0068935B"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.13*</w:t>
            </w:r>
          </w:p>
        </w:tc>
        <w:tc>
          <w:tcPr>
            <w:tcW w:w="326" w:type="pct"/>
            <w:tcBorders>
              <w:top w:val="nil"/>
              <w:left w:val="nil"/>
              <w:bottom w:val="single" w:sz="4" w:space="0" w:color="auto"/>
              <w:right w:val="nil"/>
            </w:tcBorders>
            <w:shd w:val="clear" w:color="auto" w:fill="auto"/>
            <w:noWrap/>
            <w:vAlign w:val="center"/>
            <w:hideMark/>
          </w:tcPr>
          <w:p w14:paraId="46E9C40E"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.22***</w:t>
            </w:r>
          </w:p>
        </w:tc>
        <w:tc>
          <w:tcPr>
            <w:tcW w:w="326" w:type="pct"/>
            <w:tcBorders>
              <w:top w:val="nil"/>
              <w:left w:val="nil"/>
              <w:bottom w:val="single" w:sz="4" w:space="0" w:color="auto"/>
              <w:right w:val="nil"/>
            </w:tcBorders>
            <w:shd w:val="clear" w:color="auto" w:fill="auto"/>
            <w:noWrap/>
            <w:vAlign w:val="center"/>
            <w:hideMark/>
          </w:tcPr>
          <w:p w14:paraId="11131732"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.19***</w:t>
            </w:r>
          </w:p>
        </w:tc>
        <w:tc>
          <w:tcPr>
            <w:tcW w:w="326" w:type="pct"/>
            <w:tcBorders>
              <w:top w:val="nil"/>
              <w:left w:val="nil"/>
              <w:bottom w:val="single" w:sz="4" w:space="0" w:color="auto"/>
              <w:right w:val="nil"/>
            </w:tcBorders>
            <w:shd w:val="clear" w:color="auto" w:fill="auto"/>
            <w:noWrap/>
            <w:vAlign w:val="center"/>
            <w:hideMark/>
          </w:tcPr>
          <w:p w14:paraId="246D8D51"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.09</w:t>
            </w:r>
          </w:p>
        </w:tc>
        <w:tc>
          <w:tcPr>
            <w:tcW w:w="326" w:type="pct"/>
            <w:tcBorders>
              <w:top w:val="nil"/>
              <w:left w:val="nil"/>
              <w:bottom w:val="single" w:sz="4" w:space="0" w:color="auto"/>
              <w:right w:val="nil"/>
            </w:tcBorders>
            <w:shd w:val="clear" w:color="auto" w:fill="auto"/>
            <w:noWrap/>
            <w:vAlign w:val="center"/>
            <w:hideMark/>
          </w:tcPr>
          <w:p w14:paraId="19D32017"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.12*</w:t>
            </w:r>
          </w:p>
        </w:tc>
        <w:tc>
          <w:tcPr>
            <w:tcW w:w="326" w:type="pct"/>
            <w:tcBorders>
              <w:top w:val="nil"/>
              <w:left w:val="nil"/>
              <w:bottom w:val="single" w:sz="4" w:space="0" w:color="auto"/>
              <w:right w:val="nil"/>
            </w:tcBorders>
            <w:shd w:val="clear" w:color="auto" w:fill="auto"/>
            <w:noWrap/>
            <w:vAlign w:val="center"/>
            <w:hideMark/>
          </w:tcPr>
          <w:p w14:paraId="5382C6A8"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t>.22***</w:t>
            </w:r>
          </w:p>
        </w:tc>
        <w:tc>
          <w:tcPr>
            <w:tcW w:w="326" w:type="pct"/>
            <w:tcBorders>
              <w:top w:val="nil"/>
              <w:left w:val="nil"/>
              <w:bottom w:val="single" w:sz="4" w:space="0" w:color="auto"/>
              <w:right w:val="nil"/>
            </w:tcBorders>
            <w:shd w:val="clear" w:color="auto" w:fill="auto"/>
            <w:noWrap/>
            <w:vAlign w:val="center"/>
            <w:hideMark/>
          </w:tcPr>
          <w:p w14:paraId="5B0BECA0"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.22***</w:t>
            </w:r>
          </w:p>
        </w:tc>
        <w:tc>
          <w:tcPr>
            <w:tcW w:w="320" w:type="pct"/>
            <w:tcBorders>
              <w:top w:val="nil"/>
              <w:left w:val="nil"/>
              <w:bottom w:val="single" w:sz="4" w:space="0" w:color="auto"/>
              <w:right w:val="nil"/>
            </w:tcBorders>
            <w:shd w:val="clear" w:color="auto" w:fill="auto"/>
            <w:noWrap/>
            <w:vAlign w:val="center"/>
            <w:hideMark/>
          </w:tcPr>
          <w:p w14:paraId="7381AEE8"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w:t>
            </w:r>
          </w:p>
        </w:tc>
      </w:tr>
      <w:tr w:rsidR="00DD3A50" w:rsidRPr="008471F1" w14:paraId="30D58AF8" w14:textId="77777777" w:rsidTr="00475B46">
        <w:trPr>
          <w:trHeight w:val="300"/>
        </w:trPr>
        <w:tc>
          <w:tcPr>
            <w:tcW w:w="326" w:type="pct"/>
            <w:tcBorders>
              <w:top w:val="single" w:sz="4" w:space="0" w:color="auto"/>
              <w:left w:val="nil"/>
              <w:bottom w:val="nil"/>
              <w:right w:val="nil"/>
            </w:tcBorders>
            <w:shd w:val="clear" w:color="auto" w:fill="auto"/>
            <w:noWrap/>
            <w:vAlign w:val="bottom"/>
            <w:hideMark/>
          </w:tcPr>
          <w:p w14:paraId="51B9C5BA" w14:textId="77777777" w:rsidR="00DD3A50" w:rsidRPr="008471F1" w:rsidRDefault="00DD3A50" w:rsidP="000C1F69">
            <w:pPr>
              <w:spacing w:line="360" w:lineRule="auto"/>
              <w:rPr>
                <w:rFonts w:asciiTheme="majorBidi" w:hAnsiTheme="majorBidi" w:cstheme="majorBidi"/>
                <w:color w:val="000000"/>
              </w:rPr>
            </w:pPr>
          </w:p>
        </w:tc>
        <w:tc>
          <w:tcPr>
            <w:tcW w:w="754" w:type="pct"/>
            <w:tcBorders>
              <w:top w:val="single" w:sz="4" w:space="0" w:color="auto"/>
              <w:left w:val="nil"/>
              <w:bottom w:val="nil"/>
              <w:right w:val="nil"/>
            </w:tcBorders>
            <w:shd w:val="clear" w:color="auto" w:fill="auto"/>
            <w:noWrap/>
            <w:vAlign w:val="bottom"/>
            <w:hideMark/>
          </w:tcPr>
          <w:p w14:paraId="5EE34709" w14:textId="77777777" w:rsidR="00DD3A50" w:rsidRPr="008471F1" w:rsidRDefault="00DD3A50" w:rsidP="000C1F69">
            <w:pPr>
              <w:spacing w:line="360" w:lineRule="auto"/>
              <w:rPr>
                <w:rFonts w:asciiTheme="majorBidi" w:hAnsiTheme="majorBidi" w:cstheme="majorBidi"/>
                <w:i/>
                <w:iCs/>
                <w:color w:val="000000"/>
              </w:rPr>
            </w:pPr>
            <w:r w:rsidRPr="008471F1">
              <w:rPr>
                <w:rFonts w:asciiTheme="majorBidi" w:hAnsiTheme="majorBidi" w:cstheme="majorBidi"/>
                <w:i/>
                <w:iCs/>
                <w:color w:val="000000"/>
              </w:rPr>
              <w:t>Mean</w:t>
            </w:r>
          </w:p>
        </w:tc>
        <w:tc>
          <w:tcPr>
            <w:tcW w:w="340" w:type="pct"/>
            <w:tcBorders>
              <w:top w:val="single" w:sz="4" w:space="0" w:color="auto"/>
              <w:left w:val="nil"/>
              <w:bottom w:val="nil"/>
              <w:right w:val="nil"/>
            </w:tcBorders>
            <w:shd w:val="clear" w:color="auto" w:fill="auto"/>
            <w:noWrap/>
            <w:vAlign w:val="center"/>
            <w:hideMark/>
          </w:tcPr>
          <w:p w14:paraId="502915A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3.27</w:t>
            </w:r>
          </w:p>
        </w:tc>
        <w:tc>
          <w:tcPr>
            <w:tcW w:w="326" w:type="pct"/>
            <w:tcBorders>
              <w:top w:val="single" w:sz="4" w:space="0" w:color="auto"/>
              <w:left w:val="nil"/>
              <w:bottom w:val="nil"/>
              <w:right w:val="nil"/>
            </w:tcBorders>
            <w:shd w:val="clear" w:color="auto" w:fill="auto"/>
            <w:noWrap/>
            <w:vAlign w:val="center"/>
            <w:hideMark/>
          </w:tcPr>
          <w:p w14:paraId="532FE13C"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3.02</w:t>
            </w:r>
          </w:p>
        </w:tc>
        <w:tc>
          <w:tcPr>
            <w:tcW w:w="326" w:type="pct"/>
            <w:tcBorders>
              <w:top w:val="single" w:sz="4" w:space="0" w:color="auto"/>
              <w:left w:val="nil"/>
              <w:bottom w:val="nil"/>
              <w:right w:val="nil"/>
            </w:tcBorders>
            <w:shd w:val="clear" w:color="auto" w:fill="auto"/>
            <w:noWrap/>
            <w:vAlign w:val="center"/>
            <w:hideMark/>
          </w:tcPr>
          <w:p w14:paraId="6EE09E8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3.53</w:t>
            </w:r>
          </w:p>
        </w:tc>
        <w:tc>
          <w:tcPr>
            <w:tcW w:w="326" w:type="pct"/>
            <w:tcBorders>
              <w:top w:val="single" w:sz="4" w:space="0" w:color="auto"/>
              <w:left w:val="nil"/>
              <w:bottom w:val="nil"/>
              <w:right w:val="nil"/>
            </w:tcBorders>
            <w:shd w:val="clear" w:color="auto" w:fill="auto"/>
            <w:noWrap/>
            <w:vAlign w:val="center"/>
            <w:hideMark/>
          </w:tcPr>
          <w:p w14:paraId="3A2E71D1"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3.34</w:t>
            </w:r>
          </w:p>
        </w:tc>
        <w:tc>
          <w:tcPr>
            <w:tcW w:w="326" w:type="pct"/>
            <w:tcBorders>
              <w:top w:val="single" w:sz="4" w:space="0" w:color="auto"/>
              <w:left w:val="nil"/>
              <w:bottom w:val="nil"/>
              <w:right w:val="nil"/>
            </w:tcBorders>
            <w:shd w:val="clear" w:color="auto" w:fill="auto"/>
            <w:noWrap/>
            <w:vAlign w:val="center"/>
            <w:hideMark/>
          </w:tcPr>
          <w:p w14:paraId="22D1319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3.47</w:t>
            </w:r>
          </w:p>
        </w:tc>
        <w:tc>
          <w:tcPr>
            <w:tcW w:w="326" w:type="pct"/>
            <w:tcBorders>
              <w:top w:val="single" w:sz="4" w:space="0" w:color="auto"/>
              <w:left w:val="nil"/>
              <w:bottom w:val="nil"/>
              <w:right w:val="nil"/>
            </w:tcBorders>
            <w:shd w:val="clear" w:color="auto" w:fill="auto"/>
            <w:noWrap/>
            <w:vAlign w:val="center"/>
            <w:hideMark/>
          </w:tcPr>
          <w:p w14:paraId="4E67954A"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3.41</w:t>
            </w:r>
          </w:p>
        </w:tc>
        <w:tc>
          <w:tcPr>
            <w:tcW w:w="326" w:type="pct"/>
            <w:tcBorders>
              <w:top w:val="single" w:sz="4" w:space="0" w:color="auto"/>
              <w:left w:val="nil"/>
              <w:bottom w:val="nil"/>
              <w:right w:val="nil"/>
            </w:tcBorders>
            <w:shd w:val="clear" w:color="auto" w:fill="auto"/>
            <w:noWrap/>
            <w:vAlign w:val="center"/>
            <w:hideMark/>
          </w:tcPr>
          <w:p w14:paraId="76D71D42"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3.49</w:t>
            </w:r>
          </w:p>
        </w:tc>
        <w:tc>
          <w:tcPr>
            <w:tcW w:w="326" w:type="pct"/>
            <w:tcBorders>
              <w:top w:val="single" w:sz="4" w:space="0" w:color="auto"/>
              <w:left w:val="nil"/>
              <w:bottom w:val="nil"/>
              <w:right w:val="nil"/>
            </w:tcBorders>
            <w:shd w:val="clear" w:color="auto" w:fill="auto"/>
            <w:noWrap/>
            <w:vAlign w:val="center"/>
            <w:hideMark/>
          </w:tcPr>
          <w:p w14:paraId="358A63F7"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3.09</w:t>
            </w:r>
          </w:p>
        </w:tc>
        <w:tc>
          <w:tcPr>
            <w:tcW w:w="326" w:type="pct"/>
            <w:tcBorders>
              <w:top w:val="single" w:sz="4" w:space="0" w:color="auto"/>
              <w:left w:val="nil"/>
              <w:bottom w:val="nil"/>
              <w:right w:val="nil"/>
            </w:tcBorders>
            <w:shd w:val="clear" w:color="auto" w:fill="auto"/>
            <w:noWrap/>
            <w:vAlign w:val="center"/>
            <w:hideMark/>
          </w:tcPr>
          <w:p w14:paraId="1929BF4B"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2.54</w:t>
            </w:r>
          </w:p>
        </w:tc>
        <w:tc>
          <w:tcPr>
            <w:tcW w:w="326" w:type="pct"/>
            <w:tcBorders>
              <w:top w:val="single" w:sz="4" w:space="0" w:color="auto"/>
              <w:left w:val="nil"/>
              <w:bottom w:val="nil"/>
              <w:right w:val="nil"/>
            </w:tcBorders>
            <w:shd w:val="clear" w:color="auto" w:fill="auto"/>
            <w:noWrap/>
            <w:vAlign w:val="center"/>
            <w:hideMark/>
          </w:tcPr>
          <w:p w14:paraId="719C5B70"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1.59</w:t>
            </w:r>
          </w:p>
        </w:tc>
        <w:tc>
          <w:tcPr>
            <w:tcW w:w="326" w:type="pct"/>
            <w:tcBorders>
              <w:top w:val="single" w:sz="4" w:space="0" w:color="auto"/>
              <w:left w:val="nil"/>
              <w:bottom w:val="nil"/>
              <w:right w:val="nil"/>
            </w:tcBorders>
            <w:shd w:val="clear" w:color="auto" w:fill="auto"/>
            <w:noWrap/>
            <w:vAlign w:val="center"/>
            <w:hideMark/>
          </w:tcPr>
          <w:p w14:paraId="166CC490"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1.07</w:t>
            </w:r>
          </w:p>
        </w:tc>
        <w:tc>
          <w:tcPr>
            <w:tcW w:w="320" w:type="pct"/>
            <w:tcBorders>
              <w:top w:val="single" w:sz="4" w:space="0" w:color="auto"/>
              <w:left w:val="nil"/>
              <w:bottom w:val="nil"/>
              <w:right w:val="nil"/>
            </w:tcBorders>
            <w:shd w:val="clear" w:color="auto" w:fill="auto"/>
            <w:noWrap/>
            <w:vAlign w:val="center"/>
            <w:hideMark/>
          </w:tcPr>
          <w:p w14:paraId="65BD78F0"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2.51</w:t>
            </w:r>
          </w:p>
        </w:tc>
      </w:tr>
      <w:tr w:rsidR="00DD3A50" w:rsidRPr="008471F1" w14:paraId="368AC229" w14:textId="77777777" w:rsidTr="00475B46">
        <w:trPr>
          <w:trHeight w:val="300"/>
        </w:trPr>
        <w:tc>
          <w:tcPr>
            <w:tcW w:w="326" w:type="pct"/>
            <w:tcBorders>
              <w:top w:val="nil"/>
              <w:left w:val="nil"/>
              <w:bottom w:val="single" w:sz="12" w:space="0" w:color="auto"/>
              <w:right w:val="nil"/>
            </w:tcBorders>
            <w:shd w:val="clear" w:color="auto" w:fill="auto"/>
            <w:noWrap/>
            <w:vAlign w:val="bottom"/>
            <w:hideMark/>
          </w:tcPr>
          <w:p w14:paraId="0B4128A2" w14:textId="77777777" w:rsidR="00DD3A50" w:rsidRPr="008471F1" w:rsidRDefault="00DD3A50" w:rsidP="000C1F69">
            <w:pPr>
              <w:spacing w:line="360" w:lineRule="auto"/>
              <w:rPr>
                <w:rFonts w:asciiTheme="majorBidi" w:hAnsiTheme="majorBidi" w:cstheme="majorBidi"/>
                <w:color w:val="000000"/>
              </w:rPr>
            </w:pPr>
          </w:p>
        </w:tc>
        <w:tc>
          <w:tcPr>
            <w:tcW w:w="754" w:type="pct"/>
            <w:tcBorders>
              <w:top w:val="nil"/>
              <w:left w:val="nil"/>
              <w:bottom w:val="single" w:sz="12" w:space="0" w:color="auto"/>
              <w:right w:val="nil"/>
            </w:tcBorders>
            <w:shd w:val="clear" w:color="auto" w:fill="auto"/>
            <w:noWrap/>
            <w:vAlign w:val="bottom"/>
            <w:hideMark/>
          </w:tcPr>
          <w:p w14:paraId="5DC08ED7" w14:textId="77777777" w:rsidR="00DD3A50" w:rsidRPr="008471F1" w:rsidRDefault="00DD3A50" w:rsidP="000C1F69">
            <w:pPr>
              <w:spacing w:line="360" w:lineRule="auto"/>
              <w:rPr>
                <w:rFonts w:asciiTheme="majorBidi" w:hAnsiTheme="majorBidi" w:cstheme="majorBidi"/>
                <w:i/>
                <w:iCs/>
                <w:color w:val="000000"/>
              </w:rPr>
            </w:pPr>
            <w:r w:rsidRPr="008471F1">
              <w:rPr>
                <w:rFonts w:asciiTheme="majorBidi" w:hAnsiTheme="majorBidi" w:cstheme="majorBidi"/>
                <w:i/>
                <w:iCs/>
                <w:color w:val="000000"/>
              </w:rPr>
              <w:t>Standard deviation</w:t>
            </w:r>
          </w:p>
        </w:tc>
        <w:tc>
          <w:tcPr>
            <w:tcW w:w="340" w:type="pct"/>
            <w:tcBorders>
              <w:top w:val="nil"/>
              <w:left w:val="nil"/>
              <w:bottom w:val="single" w:sz="12" w:space="0" w:color="auto"/>
              <w:right w:val="nil"/>
            </w:tcBorders>
            <w:shd w:val="clear" w:color="auto" w:fill="auto"/>
            <w:noWrap/>
            <w:vAlign w:val="center"/>
            <w:hideMark/>
          </w:tcPr>
          <w:p w14:paraId="3F34AC97"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.63</w:t>
            </w:r>
          </w:p>
        </w:tc>
        <w:tc>
          <w:tcPr>
            <w:tcW w:w="326" w:type="pct"/>
            <w:tcBorders>
              <w:top w:val="nil"/>
              <w:left w:val="nil"/>
              <w:bottom w:val="single" w:sz="12" w:space="0" w:color="auto"/>
              <w:right w:val="nil"/>
            </w:tcBorders>
            <w:shd w:val="clear" w:color="auto" w:fill="auto"/>
            <w:noWrap/>
            <w:vAlign w:val="center"/>
            <w:hideMark/>
          </w:tcPr>
          <w:p w14:paraId="62CDF891"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.74</w:t>
            </w:r>
          </w:p>
        </w:tc>
        <w:tc>
          <w:tcPr>
            <w:tcW w:w="326" w:type="pct"/>
            <w:tcBorders>
              <w:top w:val="nil"/>
              <w:left w:val="nil"/>
              <w:bottom w:val="single" w:sz="12" w:space="0" w:color="auto"/>
              <w:right w:val="nil"/>
            </w:tcBorders>
            <w:shd w:val="clear" w:color="auto" w:fill="auto"/>
            <w:noWrap/>
            <w:vAlign w:val="center"/>
            <w:hideMark/>
          </w:tcPr>
          <w:p w14:paraId="12C5B91B"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.67</w:t>
            </w:r>
          </w:p>
        </w:tc>
        <w:tc>
          <w:tcPr>
            <w:tcW w:w="326" w:type="pct"/>
            <w:tcBorders>
              <w:top w:val="nil"/>
              <w:left w:val="nil"/>
              <w:bottom w:val="single" w:sz="12" w:space="0" w:color="auto"/>
              <w:right w:val="nil"/>
            </w:tcBorders>
            <w:shd w:val="clear" w:color="auto" w:fill="auto"/>
            <w:noWrap/>
            <w:vAlign w:val="center"/>
            <w:hideMark/>
          </w:tcPr>
          <w:p w14:paraId="465AFFE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1.20</w:t>
            </w:r>
          </w:p>
        </w:tc>
        <w:tc>
          <w:tcPr>
            <w:tcW w:w="326" w:type="pct"/>
            <w:tcBorders>
              <w:top w:val="nil"/>
              <w:left w:val="nil"/>
              <w:bottom w:val="single" w:sz="12" w:space="0" w:color="auto"/>
              <w:right w:val="nil"/>
            </w:tcBorders>
            <w:shd w:val="clear" w:color="auto" w:fill="auto"/>
            <w:noWrap/>
            <w:vAlign w:val="center"/>
            <w:hideMark/>
          </w:tcPr>
          <w:p w14:paraId="2C17F22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.93</w:t>
            </w:r>
          </w:p>
        </w:tc>
        <w:tc>
          <w:tcPr>
            <w:tcW w:w="326" w:type="pct"/>
            <w:tcBorders>
              <w:top w:val="nil"/>
              <w:left w:val="nil"/>
              <w:bottom w:val="single" w:sz="12" w:space="0" w:color="auto"/>
              <w:right w:val="nil"/>
            </w:tcBorders>
            <w:shd w:val="clear" w:color="auto" w:fill="auto"/>
            <w:noWrap/>
            <w:vAlign w:val="center"/>
            <w:hideMark/>
          </w:tcPr>
          <w:p w14:paraId="2DB15C3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.70</w:t>
            </w:r>
          </w:p>
        </w:tc>
        <w:tc>
          <w:tcPr>
            <w:tcW w:w="326" w:type="pct"/>
            <w:tcBorders>
              <w:top w:val="nil"/>
              <w:left w:val="nil"/>
              <w:bottom w:val="single" w:sz="12" w:space="0" w:color="auto"/>
              <w:right w:val="nil"/>
            </w:tcBorders>
            <w:shd w:val="clear" w:color="auto" w:fill="auto"/>
            <w:noWrap/>
            <w:vAlign w:val="center"/>
            <w:hideMark/>
          </w:tcPr>
          <w:p w14:paraId="082C9875"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.79</w:t>
            </w:r>
          </w:p>
        </w:tc>
        <w:tc>
          <w:tcPr>
            <w:tcW w:w="326" w:type="pct"/>
            <w:tcBorders>
              <w:top w:val="nil"/>
              <w:left w:val="nil"/>
              <w:bottom w:val="single" w:sz="12" w:space="0" w:color="auto"/>
              <w:right w:val="nil"/>
            </w:tcBorders>
            <w:shd w:val="clear" w:color="auto" w:fill="auto"/>
            <w:noWrap/>
            <w:vAlign w:val="center"/>
            <w:hideMark/>
          </w:tcPr>
          <w:p w14:paraId="31E1837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.72</w:t>
            </w:r>
          </w:p>
        </w:tc>
        <w:tc>
          <w:tcPr>
            <w:tcW w:w="326" w:type="pct"/>
            <w:tcBorders>
              <w:top w:val="nil"/>
              <w:left w:val="nil"/>
              <w:bottom w:val="single" w:sz="12" w:space="0" w:color="auto"/>
              <w:right w:val="nil"/>
            </w:tcBorders>
            <w:shd w:val="clear" w:color="auto" w:fill="auto"/>
            <w:noWrap/>
            <w:vAlign w:val="center"/>
            <w:hideMark/>
          </w:tcPr>
          <w:p w14:paraId="337E3B1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.78</w:t>
            </w:r>
          </w:p>
        </w:tc>
        <w:tc>
          <w:tcPr>
            <w:tcW w:w="326" w:type="pct"/>
            <w:tcBorders>
              <w:top w:val="nil"/>
              <w:left w:val="nil"/>
              <w:bottom w:val="single" w:sz="12" w:space="0" w:color="auto"/>
              <w:right w:val="nil"/>
            </w:tcBorders>
            <w:shd w:val="clear" w:color="auto" w:fill="auto"/>
            <w:noWrap/>
            <w:vAlign w:val="center"/>
            <w:hideMark/>
          </w:tcPr>
          <w:p w14:paraId="0CAD8B52"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.91</w:t>
            </w:r>
          </w:p>
        </w:tc>
        <w:tc>
          <w:tcPr>
            <w:tcW w:w="326" w:type="pct"/>
            <w:tcBorders>
              <w:top w:val="nil"/>
              <w:left w:val="nil"/>
              <w:bottom w:val="single" w:sz="12" w:space="0" w:color="auto"/>
              <w:right w:val="nil"/>
            </w:tcBorders>
            <w:shd w:val="clear" w:color="auto" w:fill="auto"/>
            <w:noWrap/>
            <w:vAlign w:val="center"/>
            <w:hideMark/>
          </w:tcPr>
          <w:p w14:paraId="78C67179"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.83</w:t>
            </w:r>
          </w:p>
        </w:tc>
        <w:tc>
          <w:tcPr>
            <w:tcW w:w="320" w:type="pct"/>
            <w:tcBorders>
              <w:top w:val="nil"/>
              <w:left w:val="nil"/>
              <w:bottom w:val="single" w:sz="12" w:space="0" w:color="auto"/>
              <w:right w:val="nil"/>
            </w:tcBorders>
            <w:shd w:val="clear" w:color="auto" w:fill="auto"/>
            <w:noWrap/>
            <w:vAlign w:val="center"/>
            <w:hideMark/>
          </w:tcPr>
          <w:p w14:paraId="6FFC20F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1.13</w:t>
            </w:r>
          </w:p>
        </w:tc>
      </w:tr>
    </w:tbl>
    <w:p w14:paraId="04476B8D" w14:textId="2F4F987D" w:rsidR="00DD3A50" w:rsidRPr="008471F1" w:rsidRDefault="00DD3A50" w:rsidP="000C1F69">
      <w:pPr>
        <w:spacing w:line="360" w:lineRule="auto"/>
        <w:rPr>
          <w:rFonts w:asciiTheme="majorBidi" w:hAnsiTheme="majorBidi" w:cstheme="majorBidi"/>
          <w:rtl/>
        </w:rPr>
      </w:pPr>
      <w:r w:rsidRPr="008471F1">
        <w:rPr>
          <w:rFonts w:asciiTheme="majorBidi" w:hAnsiTheme="majorBidi" w:cstheme="majorBidi"/>
          <w:i/>
          <w:iCs/>
        </w:rPr>
        <w:t>Note</w:t>
      </w:r>
      <w:r w:rsidRPr="008471F1">
        <w:rPr>
          <w:rFonts w:asciiTheme="majorBidi" w:hAnsiTheme="majorBidi" w:cstheme="majorBidi"/>
        </w:rPr>
        <w:t xml:space="preserve">. * </w:t>
      </w:r>
      <w:r w:rsidRPr="008471F1">
        <w:rPr>
          <w:rFonts w:asciiTheme="majorBidi" w:hAnsiTheme="majorBidi" w:cstheme="majorBidi"/>
          <w:i/>
          <w:iCs/>
        </w:rPr>
        <w:t>p</w:t>
      </w:r>
      <w:r w:rsidRPr="008471F1">
        <w:rPr>
          <w:rFonts w:asciiTheme="majorBidi" w:hAnsiTheme="majorBidi" w:cstheme="majorBidi"/>
        </w:rPr>
        <w:t xml:space="preserve"> &lt; .05, ** </w:t>
      </w:r>
      <w:r w:rsidRPr="008471F1">
        <w:rPr>
          <w:rFonts w:asciiTheme="majorBidi" w:hAnsiTheme="majorBidi" w:cstheme="majorBidi"/>
          <w:i/>
          <w:iCs/>
        </w:rPr>
        <w:t>p</w:t>
      </w:r>
      <w:r w:rsidRPr="008471F1">
        <w:rPr>
          <w:rFonts w:asciiTheme="majorBidi" w:hAnsiTheme="majorBidi" w:cstheme="majorBidi"/>
        </w:rPr>
        <w:t xml:space="preserve"> &lt; .01, *** </w:t>
      </w:r>
      <w:r w:rsidRPr="008471F1">
        <w:rPr>
          <w:rFonts w:asciiTheme="majorBidi" w:hAnsiTheme="majorBidi" w:cstheme="majorBidi"/>
          <w:i/>
          <w:iCs/>
        </w:rPr>
        <w:t>p</w:t>
      </w:r>
      <w:r w:rsidRPr="008471F1">
        <w:rPr>
          <w:rFonts w:asciiTheme="majorBidi" w:hAnsiTheme="majorBidi" w:cstheme="majorBidi"/>
        </w:rPr>
        <w:t xml:space="preserve"> &lt; .001. Attach = attachment.</w:t>
      </w:r>
      <w:r w:rsidR="00200E7E">
        <w:rPr>
          <w:rFonts w:asciiTheme="majorBidi" w:hAnsiTheme="majorBidi" w:cstheme="majorBidi"/>
        </w:rPr>
        <w:t xml:space="preserve"> CSB</w:t>
      </w:r>
      <w:r w:rsidR="006A4256">
        <w:rPr>
          <w:rFonts w:asciiTheme="majorBidi" w:hAnsiTheme="majorBidi" w:cstheme="majorBidi"/>
        </w:rPr>
        <w:t>D</w:t>
      </w:r>
      <w:r w:rsidR="00200E7E">
        <w:rPr>
          <w:rFonts w:asciiTheme="majorBidi" w:hAnsiTheme="majorBidi" w:cstheme="majorBidi"/>
        </w:rPr>
        <w:t>= compulsive sexual behavior</w:t>
      </w:r>
      <w:r w:rsidR="006A4256">
        <w:rPr>
          <w:rFonts w:asciiTheme="majorBidi" w:hAnsiTheme="majorBidi" w:cstheme="majorBidi"/>
        </w:rPr>
        <w:t xml:space="preserve"> disorder</w:t>
      </w:r>
      <w:r w:rsidR="00200E7E">
        <w:rPr>
          <w:rFonts w:asciiTheme="majorBidi" w:hAnsiTheme="majorBidi" w:cstheme="majorBidi"/>
        </w:rPr>
        <w:t>.</w:t>
      </w:r>
    </w:p>
    <w:p w14:paraId="42F5ACBB"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br w:type="page"/>
      </w:r>
    </w:p>
    <w:p w14:paraId="65F057B9" w14:textId="77777777" w:rsidR="00DD3A50" w:rsidRPr="008471F1" w:rsidRDefault="00DD3A50" w:rsidP="000C1F69">
      <w:pPr>
        <w:spacing w:line="360" w:lineRule="auto"/>
        <w:rPr>
          <w:rFonts w:asciiTheme="majorBidi" w:hAnsiTheme="majorBidi" w:cstheme="majorBidi"/>
        </w:rPr>
        <w:sectPr w:rsidR="00DD3A50" w:rsidRPr="008471F1" w:rsidSect="00475B46">
          <w:pgSz w:w="15840" w:h="12240" w:orient="landscape"/>
          <w:pgMar w:top="1800" w:right="1440" w:bottom="1800" w:left="1440" w:header="720" w:footer="720" w:gutter="0"/>
          <w:cols w:space="720"/>
          <w:docGrid w:linePitch="360"/>
        </w:sectPr>
      </w:pPr>
    </w:p>
    <w:p w14:paraId="50625396" w14:textId="77777777" w:rsidR="00DD3A50" w:rsidRPr="008471F1" w:rsidRDefault="00DD3A50" w:rsidP="000C1F69">
      <w:pPr>
        <w:spacing w:line="360" w:lineRule="auto"/>
        <w:rPr>
          <w:rFonts w:asciiTheme="majorBidi" w:hAnsiTheme="majorBidi" w:cstheme="majorBidi"/>
        </w:rPr>
      </w:pPr>
      <w:r w:rsidRPr="008471F1">
        <w:rPr>
          <w:rFonts w:asciiTheme="majorBidi" w:hAnsiTheme="majorBidi" w:cstheme="majorBidi"/>
        </w:rPr>
        <w:lastRenderedPageBreak/>
        <w:t>Table 2</w:t>
      </w:r>
    </w:p>
    <w:p w14:paraId="672D733D" w14:textId="501A9C74" w:rsidR="00DD3A50" w:rsidRPr="00536E65" w:rsidRDefault="00DD3A50" w:rsidP="000C1F69">
      <w:pPr>
        <w:spacing w:line="360" w:lineRule="auto"/>
        <w:rPr>
          <w:rFonts w:asciiTheme="majorBidi" w:hAnsiTheme="majorBidi" w:cstheme="majorBidi"/>
          <w:i/>
          <w:iCs/>
        </w:rPr>
      </w:pPr>
      <w:r w:rsidRPr="00536E65">
        <w:rPr>
          <w:rFonts w:asciiTheme="majorBidi" w:hAnsiTheme="majorBidi" w:cstheme="majorBidi"/>
          <w:i/>
          <w:iCs/>
        </w:rPr>
        <w:t xml:space="preserve">Direct and Indirect Effects Linking Background Measures with </w:t>
      </w:r>
      <w:r w:rsidR="00FC0CF6">
        <w:rPr>
          <w:rFonts w:asciiTheme="majorBidi" w:hAnsiTheme="majorBidi" w:cstheme="majorBidi"/>
          <w:i/>
          <w:iCs/>
        </w:rPr>
        <w:t>CSB</w:t>
      </w:r>
      <w:r w:rsidR="00415181">
        <w:rPr>
          <w:rFonts w:asciiTheme="majorBidi" w:hAnsiTheme="majorBidi" w:cstheme="majorBidi"/>
          <w:i/>
          <w:iCs/>
        </w:rPr>
        <w:t>D</w:t>
      </w:r>
      <w:r w:rsidRPr="00536E65">
        <w:rPr>
          <w:rFonts w:asciiTheme="majorBidi" w:hAnsiTheme="majorBidi" w:cstheme="majorBidi"/>
          <w:i/>
          <w:iCs/>
        </w:rPr>
        <w:t xml:space="preserve"> and Their Level of Significance</w:t>
      </w:r>
    </w:p>
    <w:tbl>
      <w:tblPr>
        <w:bidiVisual/>
        <w:tblW w:w="5000" w:type="pct"/>
        <w:tblLook w:val="04A0" w:firstRow="1" w:lastRow="0" w:firstColumn="1" w:lastColumn="0" w:noHBand="0" w:noVBand="1"/>
      </w:tblPr>
      <w:tblGrid>
        <w:gridCol w:w="1671"/>
        <w:gridCol w:w="1636"/>
        <w:gridCol w:w="1028"/>
        <w:gridCol w:w="6003"/>
        <w:gridCol w:w="2838"/>
      </w:tblGrid>
      <w:tr w:rsidR="00DD3A50" w:rsidRPr="008471F1" w14:paraId="6A5A563D" w14:textId="77777777" w:rsidTr="00475B46">
        <w:trPr>
          <w:trHeight w:val="285"/>
        </w:trPr>
        <w:tc>
          <w:tcPr>
            <w:tcW w:w="1645" w:type="pct"/>
            <w:gridSpan w:val="3"/>
            <w:tcBorders>
              <w:top w:val="single" w:sz="12" w:space="0" w:color="auto"/>
              <w:left w:val="nil"/>
              <w:bottom w:val="nil"/>
              <w:right w:val="nil"/>
            </w:tcBorders>
            <w:shd w:val="clear" w:color="auto" w:fill="auto"/>
            <w:noWrap/>
            <w:vAlign w:val="bottom"/>
            <w:hideMark/>
          </w:tcPr>
          <w:p w14:paraId="55AACB84" w14:textId="3646AAFE" w:rsidR="00DD3A50" w:rsidRPr="008471F1" w:rsidRDefault="00FC0CF6" w:rsidP="000C1F69">
            <w:pPr>
              <w:spacing w:line="360" w:lineRule="auto"/>
              <w:jc w:val="center"/>
              <w:rPr>
                <w:rFonts w:asciiTheme="majorBidi" w:hAnsiTheme="majorBidi" w:cstheme="majorBidi"/>
                <w:color w:val="000000"/>
              </w:rPr>
            </w:pPr>
            <w:r>
              <w:rPr>
                <w:rFonts w:asciiTheme="majorBidi" w:hAnsiTheme="majorBidi" w:cstheme="majorBidi"/>
                <w:color w:val="000000"/>
              </w:rPr>
              <w:t>CSB</w:t>
            </w:r>
            <w:r w:rsidR="00415181">
              <w:rPr>
                <w:rFonts w:asciiTheme="majorBidi" w:hAnsiTheme="majorBidi" w:cstheme="majorBidi"/>
                <w:color w:val="000000"/>
              </w:rPr>
              <w:t>D</w:t>
            </w:r>
          </w:p>
        </w:tc>
        <w:tc>
          <w:tcPr>
            <w:tcW w:w="2278" w:type="pct"/>
            <w:tcBorders>
              <w:top w:val="single" w:sz="12" w:space="0" w:color="auto"/>
              <w:left w:val="nil"/>
              <w:bottom w:val="nil"/>
              <w:right w:val="nil"/>
            </w:tcBorders>
            <w:shd w:val="clear" w:color="auto" w:fill="auto"/>
            <w:noWrap/>
            <w:vAlign w:val="bottom"/>
            <w:hideMark/>
          </w:tcPr>
          <w:p w14:paraId="144E776C" w14:textId="77777777" w:rsidR="00DD3A50" w:rsidRPr="008471F1" w:rsidRDefault="00DD3A50" w:rsidP="000C1F69">
            <w:pPr>
              <w:spacing w:line="360" w:lineRule="auto"/>
              <w:rPr>
                <w:rFonts w:asciiTheme="majorBidi" w:hAnsiTheme="majorBidi" w:cstheme="majorBidi"/>
                <w:color w:val="000000"/>
              </w:rPr>
            </w:pPr>
          </w:p>
        </w:tc>
        <w:tc>
          <w:tcPr>
            <w:tcW w:w="1077" w:type="pct"/>
            <w:tcBorders>
              <w:top w:val="single" w:sz="12" w:space="0" w:color="auto"/>
              <w:left w:val="nil"/>
              <w:bottom w:val="nil"/>
              <w:right w:val="nil"/>
            </w:tcBorders>
            <w:shd w:val="clear" w:color="auto" w:fill="auto"/>
            <w:noWrap/>
            <w:vAlign w:val="bottom"/>
            <w:hideMark/>
          </w:tcPr>
          <w:p w14:paraId="2148365D"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4E2DE2E8" w14:textId="77777777" w:rsidTr="00475B46">
        <w:trPr>
          <w:trHeight w:val="285"/>
        </w:trPr>
        <w:tc>
          <w:tcPr>
            <w:tcW w:w="634" w:type="pct"/>
            <w:tcBorders>
              <w:top w:val="nil"/>
              <w:left w:val="nil"/>
              <w:bottom w:val="single" w:sz="4" w:space="0" w:color="auto"/>
              <w:right w:val="nil"/>
            </w:tcBorders>
            <w:shd w:val="clear" w:color="auto" w:fill="auto"/>
            <w:noWrap/>
            <w:vAlign w:val="center"/>
            <w:hideMark/>
          </w:tcPr>
          <w:p w14:paraId="26AB54CD"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UL 95% CI</w:t>
            </w:r>
          </w:p>
        </w:tc>
        <w:tc>
          <w:tcPr>
            <w:tcW w:w="621" w:type="pct"/>
            <w:tcBorders>
              <w:top w:val="nil"/>
              <w:left w:val="nil"/>
              <w:bottom w:val="single" w:sz="4" w:space="0" w:color="auto"/>
              <w:right w:val="nil"/>
            </w:tcBorders>
            <w:shd w:val="clear" w:color="auto" w:fill="auto"/>
            <w:noWrap/>
            <w:vAlign w:val="center"/>
            <w:hideMark/>
          </w:tcPr>
          <w:p w14:paraId="15E112D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LL 95% CI</w:t>
            </w:r>
          </w:p>
        </w:tc>
        <w:tc>
          <w:tcPr>
            <w:tcW w:w="390" w:type="pct"/>
            <w:tcBorders>
              <w:top w:val="nil"/>
              <w:left w:val="nil"/>
              <w:bottom w:val="single" w:sz="4" w:space="0" w:color="auto"/>
              <w:right w:val="nil"/>
            </w:tcBorders>
            <w:shd w:val="clear" w:color="auto" w:fill="auto"/>
            <w:noWrap/>
            <w:vAlign w:val="center"/>
            <w:hideMark/>
          </w:tcPr>
          <w:p w14:paraId="769D92A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Effect</w:t>
            </w:r>
          </w:p>
        </w:tc>
        <w:tc>
          <w:tcPr>
            <w:tcW w:w="2278" w:type="pct"/>
            <w:tcBorders>
              <w:top w:val="nil"/>
              <w:left w:val="nil"/>
              <w:bottom w:val="single" w:sz="4" w:space="0" w:color="auto"/>
              <w:right w:val="nil"/>
            </w:tcBorders>
            <w:shd w:val="clear" w:color="auto" w:fill="auto"/>
            <w:noWrap/>
            <w:vAlign w:val="bottom"/>
            <w:hideMark/>
          </w:tcPr>
          <w:p w14:paraId="16111AB8" w14:textId="77777777" w:rsidR="00DD3A50" w:rsidRPr="008471F1" w:rsidRDefault="00DD3A50" w:rsidP="000C1F69">
            <w:pPr>
              <w:spacing w:line="360" w:lineRule="auto"/>
              <w:rPr>
                <w:rFonts w:asciiTheme="majorBidi" w:hAnsiTheme="majorBidi" w:cstheme="majorBidi"/>
                <w:color w:val="000000"/>
              </w:rPr>
            </w:pPr>
          </w:p>
        </w:tc>
        <w:tc>
          <w:tcPr>
            <w:tcW w:w="1077" w:type="pct"/>
            <w:tcBorders>
              <w:top w:val="nil"/>
              <w:left w:val="nil"/>
              <w:bottom w:val="single" w:sz="4" w:space="0" w:color="auto"/>
              <w:right w:val="nil"/>
            </w:tcBorders>
            <w:shd w:val="clear" w:color="auto" w:fill="auto"/>
            <w:noWrap/>
            <w:vAlign w:val="bottom"/>
            <w:hideMark/>
          </w:tcPr>
          <w:p w14:paraId="293AC1E9"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1BBF7A55" w14:textId="77777777" w:rsidTr="00475B46">
        <w:trPr>
          <w:trHeight w:val="285"/>
        </w:trPr>
        <w:tc>
          <w:tcPr>
            <w:tcW w:w="634" w:type="pct"/>
            <w:tcBorders>
              <w:top w:val="single" w:sz="4" w:space="0" w:color="auto"/>
              <w:left w:val="nil"/>
              <w:bottom w:val="nil"/>
              <w:right w:val="nil"/>
            </w:tcBorders>
            <w:shd w:val="clear" w:color="auto" w:fill="auto"/>
            <w:noWrap/>
            <w:vAlign w:val="center"/>
            <w:hideMark/>
          </w:tcPr>
          <w:p w14:paraId="5166C14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.33</w:t>
            </w:r>
          </w:p>
        </w:tc>
        <w:tc>
          <w:tcPr>
            <w:tcW w:w="621" w:type="pct"/>
            <w:tcBorders>
              <w:top w:val="single" w:sz="4" w:space="0" w:color="auto"/>
              <w:left w:val="nil"/>
              <w:bottom w:val="nil"/>
              <w:right w:val="nil"/>
            </w:tcBorders>
            <w:shd w:val="clear" w:color="auto" w:fill="auto"/>
            <w:noWrap/>
            <w:vAlign w:val="center"/>
            <w:hideMark/>
          </w:tcPr>
          <w:p w14:paraId="6E10FF27"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390" w:type="pct"/>
            <w:tcBorders>
              <w:top w:val="single" w:sz="4" w:space="0" w:color="auto"/>
              <w:left w:val="nil"/>
              <w:bottom w:val="nil"/>
              <w:right w:val="nil"/>
            </w:tcBorders>
            <w:shd w:val="clear" w:color="auto" w:fill="auto"/>
            <w:noWrap/>
            <w:vAlign w:val="center"/>
            <w:hideMark/>
          </w:tcPr>
          <w:p w14:paraId="1D1976E1"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.15</w:t>
            </w:r>
          </w:p>
        </w:tc>
        <w:tc>
          <w:tcPr>
            <w:tcW w:w="2278" w:type="pct"/>
            <w:tcBorders>
              <w:top w:val="single" w:sz="4" w:space="0" w:color="auto"/>
              <w:left w:val="nil"/>
              <w:bottom w:val="nil"/>
              <w:right w:val="nil"/>
            </w:tcBorders>
            <w:shd w:val="clear" w:color="auto" w:fill="auto"/>
            <w:noWrap/>
            <w:vAlign w:val="bottom"/>
            <w:hideMark/>
          </w:tcPr>
          <w:p w14:paraId="74F24504"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Depression</w:t>
            </w:r>
          </w:p>
        </w:tc>
        <w:tc>
          <w:tcPr>
            <w:tcW w:w="1077" w:type="pct"/>
            <w:tcBorders>
              <w:top w:val="single" w:sz="4" w:space="0" w:color="auto"/>
              <w:left w:val="nil"/>
              <w:bottom w:val="nil"/>
              <w:right w:val="nil"/>
            </w:tcBorders>
            <w:shd w:val="clear" w:color="auto" w:fill="auto"/>
            <w:noWrap/>
            <w:vAlign w:val="bottom"/>
            <w:hideMark/>
          </w:tcPr>
          <w:p w14:paraId="0D4E9BE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Direct effect</w:t>
            </w:r>
          </w:p>
        </w:tc>
      </w:tr>
      <w:tr w:rsidR="00DD3A50" w:rsidRPr="008471F1" w14:paraId="272A5398" w14:textId="77777777" w:rsidTr="00475B46">
        <w:trPr>
          <w:trHeight w:val="285"/>
        </w:trPr>
        <w:tc>
          <w:tcPr>
            <w:tcW w:w="634" w:type="pct"/>
            <w:tcBorders>
              <w:top w:val="nil"/>
              <w:left w:val="nil"/>
              <w:bottom w:val="nil"/>
              <w:right w:val="nil"/>
            </w:tcBorders>
            <w:shd w:val="clear" w:color="auto" w:fill="auto"/>
            <w:noWrap/>
            <w:vAlign w:val="center"/>
            <w:hideMark/>
          </w:tcPr>
          <w:p w14:paraId="1BC4D610"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.38</w:t>
            </w:r>
          </w:p>
        </w:tc>
        <w:tc>
          <w:tcPr>
            <w:tcW w:w="621" w:type="pct"/>
            <w:tcBorders>
              <w:top w:val="nil"/>
              <w:left w:val="nil"/>
              <w:bottom w:val="nil"/>
              <w:right w:val="nil"/>
            </w:tcBorders>
            <w:shd w:val="clear" w:color="auto" w:fill="auto"/>
            <w:noWrap/>
            <w:vAlign w:val="center"/>
            <w:hideMark/>
          </w:tcPr>
          <w:p w14:paraId="6954ECB7"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.02</w:t>
            </w:r>
          </w:p>
        </w:tc>
        <w:tc>
          <w:tcPr>
            <w:tcW w:w="390" w:type="pct"/>
            <w:tcBorders>
              <w:top w:val="nil"/>
              <w:left w:val="nil"/>
              <w:bottom w:val="nil"/>
              <w:right w:val="nil"/>
            </w:tcBorders>
            <w:shd w:val="clear" w:color="auto" w:fill="auto"/>
            <w:noWrap/>
            <w:vAlign w:val="center"/>
            <w:hideMark/>
          </w:tcPr>
          <w:p w14:paraId="7A0A1E90"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.20*</w:t>
            </w:r>
          </w:p>
        </w:tc>
        <w:tc>
          <w:tcPr>
            <w:tcW w:w="2278" w:type="pct"/>
            <w:tcBorders>
              <w:top w:val="nil"/>
              <w:left w:val="nil"/>
              <w:bottom w:val="nil"/>
              <w:right w:val="nil"/>
            </w:tcBorders>
            <w:shd w:val="clear" w:color="auto" w:fill="auto"/>
            <w:noWrap/>
            <w:vAlign w:val="bottom"/>
            <w:hideMark/>
          </w:tcPr>
          <w:p w14:paraId="714384B4"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Anxiety</w:t>
            </w:r>
          </w:p>
        </w:tc>
        <w:tc>
          <w:tcPr>
            <w:tcW w:w="1077" w:type="pct"/>
            <w:tcBorders>
              <w:top w:val="nil"/>
              <w:left w:val="nil"/>
              <w:bottom w:val="nil"/>
              <w:right w:val="nil"/>
            </w:tcBorders>
            <w:shd w:val="clear" w:color="auto" w:fill="auto"/>
            <w:noWrap/>
            <w:vAlign w:val="bottom"/>
            <w:hideMark/>
          </w:tcPr>
          <w:p w14:paraId="4646DA1D"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643CB305" w14:textId="77777777" w:rsidTr="00475B46">
        <w:trPr>
          <w:trHeight w:val="285"/>
        </w:trPr>
        <w:tc>
          <w:tcPr>
            <w:tcW w:w="634" w:type="pct"/>
            <w:tcBorders>
              <w:top w:val="nil"/>
              <w:left w:val="nil"/>
              <w:bottom w:val="nil"/>
              <w:right w:val="nil"/>
            </w:tcBorders>
            <w:shd w:val="clear" w:color="auto" w:fill="auto"/>
            <w:noWrap/>
            <w:vAlign w:val="center"/>
            <w:hideMark/>
          </w:tcPr>
          <w:p w14:paraId="1DD5A585"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.37</w:t>
            </w:r>
          </w:p>
        </w:tc>
        <w:tc>
          <w:tcPr>
            <w:tcW w:w="621" w:type="pct"/>
            <w:tcBorders>
              <w:top w:val="nil"/>
              <w:left w:val="nil"/>
              <w:bottom w:val="nil"/>
              <w:right w:val="nil"/>
            </w:tcBorders>
            <w:shd w:val="clear" w:color="auto" w:fill="auto"/>
            <w:noWrap/>
            <w:vAlign w:val="center"/>
            <w:hideMark/>
          </w:tcPr>
          <w:p w14:paraId="283B94B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-.02</w:t>
            </w:r>
          </w:p>
        </w:tc>
        <w:tc>
          <w:tcPr>
            <w:tcW w:w="390" w:type="pct"/>
            <w:tcBorders>
              <w:top w:val="nil"/>
              <w:left w:val="nil"/>
              <w:bottom w:val="nil"/>
              <w:right w:val="nil"/>
            </w:tcBorders>
            <w:shd w:val="clear" w:color="auto" w:fill="auto"/>
            <w:noWrap/>
            <w:vAlign w:val="center"/>
            <w:hideMark/>
          </w:tcPr>
          <w:p w14:paraId="10C6040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.17</w:t>
            </w:r>
          </w:p>
        </w:tc>
        <w:tc>
          <w:tcPr>
            <w:tcW w:w="2278" w:type="pct"/>
            <w:tcBorders>
              <w:top w:val="nil"/>
              <w:left w:val="nil"/>
              <w:bottom w:val="nil"/>
              <w:right w:val="nil"/>
            </w:tcBorders>
            <w:shd w:val="clear" w:color="auto" w:fill="auto"/>
            <w:noWrap/>
            <w:vAlign w:val="bottom"/>
            <w:hideMark/>
          </w:tcPr>
          <w:p w14:paraId="17966E6C"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Rumination</w:t>
            </w:r>
          </w:p>
        </w:tc>
        <w:tc>
          <w:tcPr>
            <w:tcW w:w="1077" w:type="pct"/>
            <w:tcBorders>
              <w:top w:val="nil"/>
              <w:left w:val="nil"/>
              <w:bottom w:val="nil"/>
              <w:right w:val="nil"/>
            </w:tcBorders>
            <w:shd w:val="clear" w:color="auto" w:fill="auto"/>
            <w:noWrap/>
            <w:vAlign w:val="bottom"/>
            <w:hideMark/>
          </w:tcPr>
          <w:p w14:paraId="0116D6D7"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2048F2CB" w14:textId="77777777" w:rsidTr="00475B46">
        <w:trPr>
          <w:trHeight w:val="285"/>
        </w:trPr>
        <w:tc>
          <w:tcPr>
            <w:tcW w:w="634" w:type="pct"/>
            <w:tcBorders>
              <w:top w:val="nil"/>
              <w:left w:val="nil"/>
              <w:bottom w:val="nil"/>
              <w:right w:val="nil"/>
            </w:tcBorders>
            <w:shd w:val="clear" w:color="auto" w:fill="auto"/>
            <w:noWrap/>
            <w:vAlign w:val="center"/>
            <w:hideMark/>
          </w:tcPr>
          <w:p w14:paraId="07ACBA8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.33</w:t>
            </w:r>
          </w:p>
        </w:tc>
        <w:tc>
          <w:tcPr>
            <w:tcW w:w="621" w:type="pct"/>
            <w:tcBorders>
              <w:top w:val="nil"/>
              <w:left w:val="nil"/>
              <w:bottom w:val="nil"/>
              <w:right w:val="nil"/>
            </w:tcBorders>
            <w:shd w:val="clear" w:color="auto" w:fill="auto"/>
            <w:noWrap/>
            <w:vAlign w:val="center"/>
            <w:hideMark/>
          </w:tcPr>
          <w:p w14:paraId="087BDD8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.04</w:t>
            </w:r>
          </w:p>
        </w:tc>
        <w:tc>
          <w:tcPr>
            <w:tcW w:w="390" w:type="pct"/>
            <w:tcBorders>
              <w:top w:val="nil"/>
              <w:left w:val="nil"/>
              <w:bottom w:val="nil"/>
              <w:right w:val="nil"/>
            </w:tcBorders>
            <w:shd w:val="clear" w:color="auto" w:fill="auto"/>
            <w:noWrap/>
            <w:vAlign w:val="center"/>
            <w:hideMark/>
          </w:tcPr>
          <w:p w14:paraId="12EF394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.18*</w:t>
            </w:r>
          </w:p>
        </w:tc>
        <w:tc>
          <w:tcPr>
            <w:tcW w:w="2278" w:type="pct"/>
            <w:tcBorders>
              <w:top w:val="nil"/>
              <w:left w:val="nil"/>
              <w:bottom w:val="nil"/>
              <w:right w:val="nil"/>
            </w:tcBorders>
            <w:shd w:val="clear" w:color="auto" w:fill="auto"/>
            <w:noWrap/>
            <w:vAlign w:val="bottom"/>
            <w:hideMark/>
          </w:tcPr>
          <w:p w14:paraId="7E74FE1B"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Reappraisal</w:t>
            </w:r>
          </w:p>
        </w:tc>
        <w:tc>
          <w:tcPr>
            <w:tcW w:w="1077" w:type="pct"/>
            <w:tcBorders>
              <w:top w:val="nil"/>
              <w:left w:val="nil"/>
              <w:bottom w:val="nil"/>
              <w:right w:val="nil"/>
            </w:tcBorders>
            <w:shd w:val="clear" w:color="auto" w:fill="auto"/>
            <w:noWrap/>
            <w:vAlign w:val="bottom"/>
            <w:hideMark/>
          </w:tcPr>
          <w:p w14:paraId="69453D2E"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557DCC2F" w14:textId="77777777" w:rsidTr="00475B46">
        <w:trPr>
          <w:trHeight w:val="285"/>
        </w:trPr>
        <w:tc>
          <w:tcPr>
            <w:tcW w:w="634" w:type="pct"/>
            <w:tcBorders>
              <w:top w:val="nil"/>
              <w:left w:val="nil"/>
              <w:bottom w:val="nil"/>
              <w:right w:val="nil"/>
            </w:tcBorders>
            <w:shd w:val="clear" w:color="auto" w:fill="auto"/>
            <w:noWrap/>
            <w:vAlign w:val="center"/>
            <w:hideMark/>
          </w:tcPr>
          <w:p w14:paraId="29970A7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-.64</w:t>
            </w:r>
          </w:p>
        </w:tc>
        <w:tc>
          <w:tcPr>
            <w:tcW w:w="621" w:type="pct"/>
            <w:tcBorders>
              <w:top w:val="nil"/>
              <w:left w:val="nil"/>
              <w:bottom w:val="nil"/>
              <w:right w:val="nil"/>
            </w:tcBorders>
            <w:shd w:val="clear" w:color="auto" w:fill="auto"/>
            <w:noWrap/>
            <w:vAlign w:val="center"/>
            <w:hideMark/>
          </w:tcPr>
          <w:p w14:paraId="227A7F2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-1.04</w:t>
            </w:r>
          </w:p>
        </w:tc>
        <w:tc>
          <w:tcPr>
            <w:tcW w:w="390" w:type="pct"/>
            <w:tcBorders>
              <w:top w:val="nil"/>
              <w:left w:val="nil"/>
              <w:bottom w:val="nil"/>
              <w:right w:val="nil"/>
            </w:tcBorders>
            <w:shd w:val="clear" w:color="auto" w:fill="auto"/>
            <w:noWrap/>
            <w:vAlign w:val="center"/>
            <w:hideMark/>
          </w:tcPr>
          <w:p w14:paraId="506DE7C5"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-.84***</w:t>
            </w:r>
          </w:p>
        </w:tc>
        <w:tc>
          <w:tcPr>
            <w:tcW w:w="2278" w:type="pct"/>
            <w:tcBorders>
              <w:top w:val="nil"/>
              <w:left w:val="nil"/>
              <w:bottom w:val="nil"/>
              <w:right w:val="nil"/>
            </w:tcBorders>
            <w:shd w:val="clear" w:color="auto" w:fill="auto"/>
            <w:noWrap/>
            <w:vAlign w:val="bottom"/>
            <w:hideMark/>
          </w:tcPr>
          <w:p w14:paraId="2361452A"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Gender</w:t>
            </w:r>
          </w:p>
        </w:tc>
        <w:tc>
          <w:tcPr>
            <w:tcW w:w="1077" w:type="pct"/>
            <w:tcBorders>
              <w:top w:val="nil"/>
              <w:left w:val="nil"/>
              <w:bottom w:val="nil"/>
              <w:right w:val="nil"/>
            </w:tcBorders>
            <w:shd w:val="clear" w:color="auto" w:fill="auto"/>
            <w:noWrap/>
            <w:vAlign w:val="bottom"/>
            <w:hideMark/>
          </w:tcPr>
          <w:p w14:paraId="65A71281"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11C379FC" w14:textId="77777777" w:rsidTr="00475B46">
        <w:trPr>
          <w:trHeight w:val="285"/>
        </w:trPr>
        <w:tc>
          <w:tcPr>
            <w:tcW w:w="634" w:type="pct"/>
            <w:tcBorders>
              <w:top w:val="nil"/>
              <w:left w:val="nil"/>
              <w:bottom w:val="nil"/>
              <w:right w:val="nil"/>
            </w:tcBorders>
            <w:shd w:val="clear" w:color="auto" w:fill="auto"/>
            <w:noWrap/>
            <w:vAlign w:val="center"/>
            <w:hideMark/>
          </w:tcPr>
          <w:p w14:paraId="560F0170"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.98</w:t>
            </w:r>
          </w:p>
        </w:tc>
        <w:tc>
          <w:tcPr>
            <w:tcW w:w="621" w:type="pct"/>
            <w:tcBorders>
              <w:top w:val="nil"/>
              <w:left w:val="nil"/>
              <w:bottom w:val="nil"/>
              <w:right w:val="nil"/>
            </w:tcBorders>
            <w:shd w:val="clear" w:color="auto" w:fill="auto"/>
            <w:noWrap/>
            <w:vAlign w:val="center"/>
            <w:hideMark/>
          </w:tcPr>
          <w:p w14:paraId="18B701C7"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.60</w:t>
            </w:r>
          </w:p>
        </w:tc>
        <w:tc>
          <w:tcPr>
            <w:tcW w:w="390" w:type="pct"/>
            <w:tcBorders>
              <w:top w:val="nil"/>
              <w:left w:val="nil"/>
              <w:bottom w:val="nil"/>
              <w:right w:val="nil"/>
            </w:tcBorders>
            <w:shd w:val="clear" w:color="auto" w:fill="auto"/>
            <w:noWrap/>
            <w:vAlign w:val="center"/>
            <w:hideMark/>
          </w:tcPr>
          <w:p w14:paraId="3FCBEBD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.79***</w:t>
            </w:r>
          </w:p>
        </w:tc>
        <w:tc>
          <w:tcPr>
            <w:tcW w:w="2278" w:type="pct"/>
            <w:tcBorders>
              <w:top w:val="nil"/>
              <w:left w:val="nil"/>
              <w:bottom w:val="nil"/>
              <w:right w:val="nil"/>
            </w:tcBorders>
            <w:shd w:val="clear" w:color="auto" w:fill="auto"/>
            <w:noWrap/>
            <w:vAlign w:val="bottom"/>
            <w:hideMark/>
          </w:tcPr>
          <w:p w14:paraId="0D234198"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Religiosity</w:t>
            </w:r>
          </w:p>
        </w:tc>
        <w:tc>
          <w:tcPr>
            <w:tcW w:w="1077" w:type="pct"/>
            <w:tcBorders>
              <w:top w:val="nil"/>
              <w:left w:val="nil"/>
              <w:bottom w:val="nil"/>
              <w:right w:val="nil"/>
            </w:tcBorders>
            <w:shd w:val="clear" w:color="auto" w:fill="auto"/>
            <w:noWrap/>
            <w:vAlign w:val="bottom"/>
            <w:hideMark/>
          </w:tcPr>
          <w:p w14:paraId="1C981753"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056BAC65" w14:textId="77777777" w:rsidTr="00475B46">
        <w:trPr>
          <w:trHeight w:val="285"/>
        </w:trPr>
        <w:tc>
          <w:tcPr>
            <w:tcW w:w="634" w:type="pct"/>
            <w:tcBorders>
              <w:top w:val="nil"/>
              <w:left w:val="nil"/>
              <w:bottom w:val="nil"/>
              <w:right w:val="nil"/>
            </w:tcBorders>
            <w:shd w:val="clear" w:color="auto" w:fill="auto"/>
            <w:noWrap/>
            <w:vAlign w:val="center"/>
            <w:hideMark/>
          </w:tcPr>
          <w:p w14:paraId="132B802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.04</w:t>
            </w:r>
          </w:p>
        </w:tc>
        <w:tc>
          <w:tcPr>
            <w:tcW w:w="621" w:type="pct"/>
            <w:tcBorders>
              <w:top w:val="nil"/>
              <w:left w:val="nil"/>
              <w:bottom w:val="nil"/>
              <w:right w:val="nil"/>
            </w:tcBorders>
            <w:shd w:val="clear" w:color="auto" w:fill="auto"/>
            <w:noWrap/>
            <w:vAlign w:val="center"/>
            <w:hideMark/>
          </w:tcPr>
          <w:p w14:paraId="06E13111"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-.27</w:t>
            </w:r>
          </w:p>
        </w:tc>
        <w:tc>
          <w:tcPr>
            <w:tcW w:w="390" w:type="pct"/>
            <w:tcBorders>
              <w:top w:val="nil"/>
              <w:left w:val="nil"/>
              <w:bottom w:val="nil"/>
              <w:right w:val="nil"/>
            </w:tcBorders>
            <w:shd w:val="clear" w:color="auto" w:fill="auto"/>
            <w:noWrap/>
            <w:vAlign w:val="center"/>
            <w:hideMark/>
          </w:tcPr>
          <w:p w14:paraId="0824102D"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-.13</w:t>
            </w:r>
          </w:p>
        </w:tc>
        <w:tc>
          <w:tcPr>
            <w:tcW w:w="2278" w:type="pct"/>
            <w:tcBorders>
              <w:top w:val="nil"/>
              <w:left w:val="nil"/>
              <w:bottom w:val="nil"/>
              <w:right w:val="nil"/>
            </w:tcBorders>
            <w:shd w:val="clear" w:color="auto" w:fill="auto"/>
            <w:noWrap/>
            <w:vAlign w:val="bottom"/>
            <w:hideMark/>
          </w:tcPr>
          <w:p w14:paraId="6A8D4E42"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Extraversion</w:t>
            </w:r>
          </w:p>
        </w:tc>
        <w:tc>
          <w:tcPr>
            <w:tcW w:w="1077" w:type="pct"/>
            <w:tcBorders>
              <w:top w:val="nil"/>
              <w:left w:val="nil"/>
              <w:bottom w:val="nil"/>
              <w:right w:val="nil"/>
            </w:tcBorders>
            <w:shd w:val="clear" w:color="auto" w:fill="auto"/>
            <w:noWrap/>
            <w:vAlign w:val="bottom"/>
            <w:hideMark/>
          </w:tcPr>
          <w:p w14:paraId="4A0037DB"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5C03401A" w14:textId="77777777" w:rsidTr="00475B46">
        <w:trPr>
          <w:trHeight w:val="285"/>
        </w:trPr>
        <w:tc>
          <w:tcPr>
            <w:tcW w:w="634" w:type="pct"/>
            <w:tcBorders>
              <w:top w:val="nil"/>
              <w:left w:val="nil"/>
              <w:bottom w:val="nil"/>
              <w:right w:val="nil"/>
            </w:tcBorders>
            <w:shd w:val="clear" w:color="auto" w:fill="auto"/>
            <w:noWrap/>
            <w:vAlign w:val="center"/>
            <w:hideMark/>
          </w:tcPr>
          <w:p w14:paraId="0EC15E62"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.36</w:t>
            </w:r>
          </w:p>
        </w:tc>
        <w:tc>
          <w:tcPr>
            <w:tcW w:w="621" w:type="pct"/>
            <w:tcBorders>
              <w:top w:val="nil"/>
              <w:left w:val="nil"/>
              <w:bottom w:val="nil"/>
              <w:right w:val="nil"/>
            </w:tcBorders>
            <w:shd w:val="clear" w:color="auto" w:fill="auto"/>
            <w:noWrap/>
            <w:vAlign w:val="center"/>
            <w:hideMark/>
          </w:tcPr>
          <w:p w14:paraId="2B4E9837"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.03</w:t>
            </w:r>
          </w:p>
        </w:tc>
        <w:tc>
          <w:tcPr>
            <w:tcW w:w="390" w:type="pct"/>
            <w:tcBorders>
              <w:top w:val="nil"/>
              <w:left w:val="nil"/>
              <w:bottom w:val="nil"/>
              <w:right w:val="nil"/>
            </w:tcBorders>
            <w:shd w:val="clear" w:color="auto" w:fill="auto"/>
            <w:noWrap/>
            <w:vAlign w:val="center"/>
            <w:hideMark/>
          </w:tcPr>
          <w:p w14:paraId="01323BD1"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.19*</w:t>
            </w:r>
          </w:p>
        </w:tc>
        <w:tc>
          <w:tcPr>
            <w:tcW w:w="2278" w:type="pct"/>
            <w:tcBorders>
              <w:top w:val="nil"/>
              <w:left w:val="nil"/>
              <w:bottom w:val="nil"/>
              <w:right w:val="nil"/>
            </w:tcBorders>
            <w:shd w:val="clear" w:color="auto" w:fill="auto"/>
            <w:noWrap/>
            <w:vAlign w:val="bottom"/>
            <w:hideMark/>
          </w:tcPr>
          <w:p w14:paraId="7F2D7F7D"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Openness to experience</w:t>
            </w:r>
          </w:p>
        </w:tc>
        <w:tc>
          <w:tcPr>
            <w:tcW w:w="1077" w:type="pct"/>
            <w:tcBorders>
              <w:top w:val="nil"/>
              <w:left w:val="nil"/>
              <w:bottom w:val="nil"/>
              <w:right w:val="nil"/>
            </w:tcBorders>
            <w:shd w:val="clear" w:color="auto" w:fill="auto"/>
            <w:noWrap/>
            <w:vAlign w:val="bottom"/>
            <w:hideMark/>
          </w:tcPr>
          <w:p w14:paraId="0F80D1F4"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54D75311" w14:textId="77777777" w:rsidTr="00475B46">
        <w:trPr>
          <w:trHeight w:val="285"/>
        </w:trPr>
        <w:tc>
          <w:tcPr>
            <w:tcW w:w="634" w:type="pct"/>
            <w:tcBorders>
              <w:top w:val="nil"/>
              <w:left w:val="nil"/>
              <w:bottom w:val="nil"/>
              <w:right w:val="nil"/>
            </w:tcBorders>
            <w:shd w:val="clear" w:color="auto" w:fill="auto"/>
            <w:noWrap/>
            <w:vAlign w:val="center"/>
            <w:hideMark/>
          </w:tcPr>
          <w:p w14:paraId="03BF03B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.08</w:t>
            </w:r>
          </w:p>
        </w:tc>
        <w:tc>
          <w:tcPr>
            <w:tcW w:w="621" w:type="pct"/>
            <w:tcBorders>
              <w:top w:val="nil"/>
              <w:left w:val="nil"/>
              <w:bottom w:val="nil"/>
              <w:right w:val="nil"/>
            </w:tcBorders>
            <w:shd w:val="clear" w:color="auto" w:fill="auto"/>
            <w:noWrap/>
            <w:vAlign w:val="center"/>
            <w:hideMark/>
          </w:tcPr>
          <w:p w14:paraId="51FDFD8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390" w:type="pct"/>
            <w:tcBorders>
              <w:top w:val="nil"/>
              <w:left w:val="nil"/>
              <w:bottom w:val="nil"/>
              <w:right w:val="nil"/>
            </w:tcBorders>
            <w:shd w:val="clear" w:color="auto" w:fill="auto"/>
            <w:noWrap/>
            <w:vAlign w:val="center"/>
            <w:hideMark/>
          </w:tcPr>
          <w:p w14:paraId="17F549B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.03*</w:t>
            </w:r>
          </w:p>
        </w:tc>
        <w:tc>
          <w:tcPr>
            <w:tcW w:w="2278" w:type="pct"/>
            <w:tcBorders>
              <w:top w:val="nil"/>
              <w:left w:val="nil"/>
              <w:bottom w:val="nil"/>
              <w:right w:val="nil"/>
            </w:tcBorders>
            <w:shd w:val="clear" w:color="auto" w:fill="auto"/>
            <w:noWrap/>
            <w:vAlign w:val="bottom"/>
            <w:hideMark/>
          </w:tcPr>
          <w:p w14:paraId="381ABBFD"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 xml:space="preserve">Gender -&gt; Reappraisal </w:t>
            </w:r>
          </w:p>
        </w:tc>
        <w:tc>
          <w:tcPr>
            <w:tcW w:w="1077" w:type="pct"/>
            <w:tcBorders>
              <w:top w:val="nil"/>
              <w:left w:val="nil"/>
              <w:bottom w:val="nil"/>
              <w:right w:val="nil"/>
            </w:tcBorders>
            <w:shd w:val="clear" w:color="auto" w:fill="auto"/>
            <w:noWrap/>
            <w:vAlign w:val="bottom"/>
            <w:hideMark/>
          </w:tcPr>
          <w:p w14:paraId="74AABB10"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Indirect 1-step effects</w:t>
            </w:r>
          </w:p>
        </w:tc>
      </w:tr>
      <w:tr w:rsidR="00DD3A50" w:rsidRPr="008471F1" w14:paraId="0D4C5488" w14:textId="77777777" w:rsidTr="00475B46">
        <w:trPr>
          <w:trHeight w:val="285"/>
        </w:trPr>
        <w:tc>
          <w:tcPr>
            <w:tcW w:w="634" w:type="pct"/>
            <w:tcBorders>
              <w:top w:val="nil"/>
              <w:left w:val="nil"/>
              <w:bottom w:val="nil"/>
              <w:right w:val="nil"/>
            </w:tcBorders>
            <w:shd w:val="clear" w:color="auto" w:fill="auto"/>
            <w:noWrap/>
            <w:vAlign w:val="center"/>
            <w:hideMark/>
          </w:tcPr>
          <w:p w14:paraId="639A8F8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.08</w:t>
            </w:r>
          </w:p>
        </w:tc>
        <w:tc>
          <w:tcPr>
            <w:tcW w:w="621" w:type="pct"/>
            <w:tcBorders>
              <w:top w:val="nil"/>
              <w:left w:val="nil"/>
              <w:bottom w:val="nil"/>
              <w:right w:val="nil"/>
            </w:tcBorders>
            <w:shd w:val="clear" w:color="auto" w:fill="auto"/>
            <w:noWrap/>
            <w:vAlign w:val="center"/>
            <w:hideMark/>
          </w:tcPr>
          <w:p w14:paraId="3B825FBA"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390" w:type="pct"/>
            <w:tcBorders>
              <w:top w:val="nil"/>
              <w:left w:val="nil"/>
              <w:bottom w:val="nil"/>
              <w:right w:val="nil"/>
            </w:tcBorders>
            <w:shd w:val="clear" w:color="auto" w:fill="auto"/>
            <w:noWrap/>
            <w:vAlign w:val="center"/>
            <w:hideMark/>
          </w:tcPr>
          <w:p w14:paraId="139F494D"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.03*</w:t>
            </w:r>
          </w:p>
        </w:tc>
        <w:tc>
          <w:tcPr>
            <w:tcW w:w="2278" w:type="pct"/>
            <w:tcBorders>
              <w:top w:val="nil"/>
              <w:left w:val="nil"/>
              <w:bottom w:val="nil"/>
              <w:right w:val="nil"/>
            </w:tcBorders>
            <w:shd w:val="clear" w:color="auto" w:fill="auto"/>
            <w:noWrap/>
            <w:vAlign w:val="bottom"/>
            <w:hideMark/>
          </w:tcPr>
          <w:p w14:paraId="60CBC392"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 xml:space="preserve">Extraversion -&gt; Reappraisal </w:t>
            </w:r>
          </w:p>
        </w:tc>
        <w:tc>
          <w:tcPr>
            <w:tcW w:w="1077" w:type="pct"/>
            <w:tcBorders>
              <w:top w:val="nil"/>
              <w:left w:val="nil"/>
              <w:bottom w:val="nil"/>
              <w:right w:val="nil"/>
            </w:tcBorders>
            <w:shd w:val="clear" w:color="auto" w:fill="auto"/>
            <w:noWrap/>
            <w:vAlign w:val="bottom"/>
            <w:hideMark/>
          </w:tcPr>
          <w:p w14:paraId="041AA583"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2EAD8DB8" w14:textId="77777777" w:rsidTr="00475B46">
        <w:trPr>
          <w:trHeight w:val="285"/>
        </w:trPr>
        <w:tc>
          <w:tcPr>
            <w:tcW w:w="634" w:type="pct"/>
            <w:tcBorders>
              <w:top w:val="nil"/>
              <w:left w:val="nil"/>
              <w:bottom w:val="nil"/>
              <w:right w:val="nil"/>
            </w:tcBorders>
            <w:shd w:val="clear" w:color="auto" w:fill="auto"/>
            <w:noWrap/>
            <w:vAlign w:val="center"/>
            <w:hideMark/>
          </w:tcPr>
          <w:p w14:paraId="445392E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.09</w:t>
            </w:r>
          </w:p>
        </w:tc>
        <w:tc>
          <w:tcPr>
            <w:tcW w:w="621" w:type="pct"/>
            <w:tcBorders>
              <w:top w:val="nil"/>
              <w:left w:val="nil"/>
              <w:bottom w:val="nil"/>
              <w:right w:val="nil"/>
            </w:tcBorders>
            <w:shd w:val="clear" w:color="auto" w:fill="auto"/>
            <w:noWrap/>
            <w:vAlign w:val="center"/>
            <w:hideMark/>
          </w:tcPr>
          <w:p w14:paraId="5536F21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390" w:type="pct"/>
            <w:tcBorders>
              <w:top w:val="nil"/>
              <w:left w:val="nil"/>
              <w:bottom w:val="nil"/>
              <w:right w:val="nil"/>
            </w:tcBorders>
            <w:shd w:val="clear" w:color="auto" w:fill="auto"/>
            <w:noWrap/>
            <w:vAlign w:val="center"/>
            <w:hideMark/>
          </w:tcPr>
          <w:p w14:paraId="37F35911"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.04*</w:t>
            </w:r>
          </w:p>
        </w:tc>
        <w:tc>
          <w:tcPr>
            <w:tcW w:w="2278" w:type="pct"/>
            <w:tcBorders>
              <w:top w:val="nil"/>
              <w:left w:val="nil"/>
              <w:bottom w:val="nil"/>
              <w:right w:val="nil"/>
            </w:tcBorders>
            <w:shd w:val="clear" w:color="auto" w:fill="auto"/>
            <w:noWrap/>
            <w:vAlign w:val="bottom"/>
            <w:hideMark/>
          </w:tcPr>
          <w:p w14:paraId="0DACB7CC"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 xml:space="preserve">Openness to experience -&gt; Reappraisal </w:t>
            </w:r>
          </w:p>
        </w:tc>
        <w:tc>
          <w:tcPr>
            <w:tcW w:w="1077" w:type="pct"/>
            <w:tcBorders>
              <w:top w:val="nil"/>
              <w:left w:val="nil"/>
              <w:bottom w:val="nil"/>
              <w:right w:val="nil"/>
            </w:tcBorders>
            <w:shd w:val="clear" w:color="auto" w:fill="auto"/>
            <w:noWrap/>
            <w:vAlign w:val="bottom"/>
            <w:hideMark/>
          </w:tcPr>
          <w:p w14:paraId="3613BFB0"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1C879287" w14:textId="77777777" w:rsidTr="00475B46">
        <w:trPr>
          <w:trHeight w:val="285"/>
        </w:trPr>
        <w:tc>
          <w:tcPr>
            <w:tcW w:w="634" w:type="pct"/>
            <w:tcBorders>
              <w:top w:val="nil"/>
              <w:left w:val="nil"/>
              <w:bottom w:val="nil"/>
              <w:right w:val="nil"/>
            </w:tcBorders>
            <w:shd w:val="clear" w:color="auto" w:fill="auto"/>
            <w:noWrap/>
            <w:vAlign w:val="center"/>
            <w:hideMark/>
          </w:tcPr>
          <w:p w14:paraId="532289F5"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.05</w:t>
            </w:r>
          </w:p>
        </w:tc>
        <w:tc>
          <w:tcPr>
            <w:tcW w:w="621" w:type="pct"/>
            <w:tcBorders>
              <w:top w:val="nil"/>
              <w:left w:val="nil"/>
              <w:bottom w:val="nil"/>
              <w:right w:val="nil"/>
            </w:tcBorders>
            <w:shd w:val="clear" w:color="auto" w:fill="auto"/>
            <w:noWrap/>
            <w:vAlign w:val="center"/>
            <w:hideMark/>
          </w:tcPr>
          <w:p w14:paraId="6F136C18"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390" w:type="pct"/>
            <w:tcBorders>
              <w:top w:val="nil"/>
              <w:left w:val="nil"/>
              <w:bottom w:val="nil"/>
              <w:right w:val="nil"/>
            </w:tcBorders>
            <w:shd w:val="clear" w:color="auto" w:fill="auto"/>
            <w:noWrap/>
            <w:vAlign w:val="center"/>
            <w:hideMark/>
          </w:tcPr>
          <w:p w14:paraId="5726CABB"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.02*</w:t>
            </w:r>
          </w:p>
        </w:tc>
        <w:tc>
          <w:tcPr>
            <w:tcW w:w="2278" w:type="pct"/>
            <w:tcBorders>
              <w:top w:val="nil"/>
              <w:left w:val="nil"/>
              <w:bottom w:val="nil"/>
              <w:right w:val="nil"/>
            </w:tcBorders>
            <w:shd w:val="clear" w:color="auto" w:fill="auto"/>
            <w:noWrap/>
            <w:vAlign w:val="bottom"/>
            <w:hideMark/>
          </w:tcPr>
          <w:p w14:paraId="063C451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 xml:space="preserve">Attachment anxiety -&gt; Reappraisal </w:t>
            </w:r>
          </w:p>
        </w:tc>
        <w:tc>
          <w:tcPr>
            <w:tcW w:w="1077" w:type="pct"/>
            <w:tcBorders>
              <w:top w:val="nil"/>
              <w:left w:val="nil"/>
              <w:bottom w:val="nil"/>
              <w:right w:val="nil"/>
            </w:tcBorders>
            <w:shd w:val="clear" w:color="auto" w:fill="auto"/>
            <w:noWrap/>
            <w:vAlign w:val="bottom"/>
            <w:hideMark/>
          </w:tcPr>
          <w:p w14:paraId="513294E9"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393CB10E" w14:textId="77777777" w:rsidTr="00475B46">
        <w:trPr>
          <w:trHeight w:val="285"/>
        </w:trPr>
        <w:tc>
          <w:tcPr>
            <w:tcW w:w="634" w:type="pct"/>
            <w:tcBorders>
              <w:top w:val="nil"/>
              <w:left w:val="nil"/>
              <w:bottom w:val="nil"/>
              <w:right w:val="nil"/>
            </w:tcBorders>
            <w:shd w:val="clear" w:color="auto" w:fill="auto"/>
            <w:noWrap/>
            <w:vAlign w:val="center"/>
            <w:hideMark/>
          </w:tcPr>
          <w:p w14:paraId="180CFD64" w14:textId="77777777" w:rsidR="00DD3A50" w:rsidRPr="008471F1" w:rsidRDefault="00DD3A50" w:rsidP="000C1F69">
            <w:pPr>
              <w:spacing w:line="360" w:lineRule="auto"/>
              <w:rPr>
                <w:rFonts w:asciiTheme="majorBidi" w:hAnsiTheme="majorBidi" w:cstheme="majorBidi"/>
                <w:color w:val="000000"/>
              </w:rPr>
            </w:pPr>
          </w:p>
        </w:tc>
        <w:tc>
          <w:tcPr>
            <w:tcW w:w="621" w:type="pct"/>
            <w:tcBorders>
              <w:top w:val="nil"/>
              <w:left w:val="nil"/>
              <w:bottom w:val="nil"/>
              <w:right w:val="nil"/>
            </w:tcBorders>
            <w:shd w:val="clear" w:color="auto" w:fill="auto"/>
            <w:noWrap/>
            <w:vAlign w:val="center"/>
            <w:hideMark/>
          </w:tcPr>
          <w:p w14:paraId="4561AF95" w14:textId="77777777" w:rsidR="00DD3A50" w:rsidRPr="008471F1" w:rsidRDefault="00DD3A50" w:rsidP="000C1F69">
            <w:pPr>
              <w:spacing w:line="360" w:lineRule="auto"/>
              <w:rPr>
                <w:rFonts w:asciiTheme="majorBidi" w:hAnsiTheme="majorBidi" w:cstheme="majorBidi"/>
                <w:color w:val="000000"/>
              </w:rPr>
            </w:pPr>
          </w:p>
        </w:tc>
        <w:tc>
          <w:tcPr>
            <w:tcW w:w="390" w:type="pct"/>
            <w:tcBorders>
              <w:top w:val="nil"/>
              <w:left w:val="nil"/>
              <w:bottom w:val="nil"/>
              <w:right w:val="nil"/>
            </w:tcBorders>
            <w:shd w:val="clear" w:color="auto" w:fill="auto"/>
            <w:noWrap/>
            <w:vAlign w:val="center"/>
            <w:hideMark/>
          </w:tcPr>
          <w:p w14:paraId="4F99C131" w14:textId="77777777" w:rsidR="00DD3A50" w:rsidRPr="008471F1" w:rsidRDefault="00DD3A50" w:rsidP="000C1F69">
            <w:pPr>
              <w:spacing w:line="360" w:lineRule="auto"/>
              <w:rPr>
                <w:rFonts w:asciiTheme="majorBidi" w:hAnsiTheme="majorBidi" w:cstheme="majorBidi"/>
                <w:color w:val="000000"/>
              </w:rPr>
            </w:pPr>
          </w:p>
        </w:tc>
        <w:tc>
          <w:tcPr>
            <w:tcW w:w="2278" w:type="pct"/>
            <w:tcBorders>
              <w:top w:val="nil"/>
              <w:left w:val="nil"/>
              <w:bottom w:val="nil"/>
              <w:right w:val="nil"/>
            </w:tcBorders>
            <w:shd w:val="clear" w:color="auto" w:fill="auto"/>
            <w:noWrap/>
            <w:vAlign w:val="bottom"/>
            <w:hideMark/>
          </w:tcPr>
          <w:p w14:paraId="58955B60" w14:textId="77777777" w:rsidR="00DD3A50" w:rsidRPr="008471F1" w:rsidRDefault="00DD3A50" w:rsidP="000C1F69">
            <w:pPr>
              <w:spacing w:line="360" w:lineRule="auto"/>
              <w:rPr>
                <w:rFonts w:asciiTheme="majorBidi" w:hAnsiTheme="majorBidi" w:cstheme="majorBidi"/>
                <w:color w:val="000000"/>
              </w:rPr>
            </w:pPr>
          </w:p>
        </w:tc>
        <w:tc>
          <w:tcPr>
            <w:tcW w:w="1077" w:type="pct"/>
            <w:tcBorders>
              <w:top w:val="nil"/>
              <w:left w:val="nil"/>
              <w:bottom w:val="nil"/>
              <w:right w:val="nil"/>
            </w:tcBorders>
            <w:shd w:val="clear" w:color="auto" w:fill="auto"/>
            <w:noWrap/>
            <w:vAlign w:val="bottom"/>
            <w:hideMark/>
          </w:tcPr>
          <w:p w14:paraId="74DF654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Indirect 2-step effects</w:t>
            </w:r>
          </w:p>
        </w:tc>
      </w:tr>
      <w:tr w:rsidR="00DD3A50" w:rsidRPr="008471F1" w14:paraId="35ACDFFE" w14:textId="77777777" w:rsidTr="00475B46">
        <w:trPr>
          <w:trHeight w:val="285"/>
        </w:trPr>
        <w:tc>
          <w:tcPr>
            <w:tcW w:w="634" w:type="pct"/>
            <w:tcBorders>
              <w:top w:val="nil"/>
              <w:left w:val="nil"/>
              <w:bottom w:val="nil"/>
              <w:right w:val="nil"/>
            </w:tcBorders>
            <w:shd w:val="clear" w:color="auto" w:fill="auto"/>
            <w:noWrap/>
            <w:vAlign w:val="center"/>
            <w:hideMark/>
          </w:tcPr>
          <w:p w14:paraId="68612759"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.04</w:t>
            </w:r>
          </w:p>
        </w:tc>
        <w:tc>
          <w:tcPr>
            <w:tcW w:w="621" w:type="pct"/>
            <w:tcBorders>
              <w:top w:val="nil"/>
              <w:left w:val="nil"/>
              <w:bottom w:val="nil"/>
              <w:right w:val="nil"/>
            </w:tcBorders>
            <w:shd w:val="clear" w:color="auto" w:fill="auto"/>
            <w:noWrap/>
            <w:vAlign w:val="center"/>
            <w:hideMark/>
          </w:tcPr>
          <w:p w14:paraId="722F6330"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390" w:type="pct"/>
            <w:tcBorders>
              <w:top w:val="nil"/>
              <w:left w:val="nil"/>
              <w:bottom w:val="nil"/>
              <w:right w:val="nil"/>
            </w:tcBorders>
            <w:shd w:val="clear" w:color="auto" w:fill="auto"/>
            <w:noWrap/>
            <w:vAlign w:val="center"/>
            <w:hideMark/>
          </w:tcPr>
          <w:p w14:paraId="1EFD0AD2"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.02*</w:t>
            </w:r>
          </w:p>
        </w:tc>
        <w:tc>
          <w:tcPr>
            <w:tcW w:w="2278" w:type="pct"/>
            <w:tcBorders>
              <w:top w:val="nil"/>
              <w:left w:val="nil"/>
              <w:bottom w:val="nil"/>
              <w:right w:val="nil"/>
            </w:tcBorders>
            <w:shd w:val="clear" w:color="auto" w:fill="auto"/>
            <w:noWrap/>
            <w:vAlign w:val="bottom"/>
            <w:hideMark/>
          </w:tcPr>
          <w:p w14:paraId="6C94E0CB"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 xml:space="preserve">Extraversion -&gt; Ruminate -&gt; Anxiety </w:t>
            </w:r>
          </w:p>
        </w:tc>
        <w:tc>
          <w:tcPr>
            <w:tcW w:w="1077" w:type="pct"/>
            <w:tcBorders>
              <w:top w:val="nil"/>
              <w:left w:val="nil"/>
              <w:bottom w:val="nil"/>
              <w:right w:val="nil"/>
            </w:tcBorders>
            <w:shd w:val="clear" w:color="auto" w:fill="auto"/>
            <w:noWrap/>
            <w:vAlign w:val="bottom"/>
            <w:hideMark/>
          </w:tcPr>
          <w:p w14:paraId="2680C907"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368D8D57" w14:textId="77777777" w:rsidTr="00475B46">
        <w:trPr>
          <w:trHeight w:val="285"/>
        </w:trPr>
        <w:tc>
          <w:tcPr>
            <w:tcW w:w="634" w:type="pct"/>
            <w:tcBorders>
              <w:top w:val="nil"/>
              <w:left w:val="nil"/>
              <w:bottom w:val="nil"/>
              <w:right w:val="nil"/>
            </w:tcBorders>
            <w:shd w:val="clear" w:color="auto" w:fill="auto"/>
            <w:noWrap/>
            <w:vAlign w:val="center"/>
            <w:hideMark/>
          </w:tcPr>
          <w:p w14:paraId="4419F3E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.04</w:t>
            </w:r>
          </w:p>
        </w:tc>
        <w:tc>
          <w:tcPr>
            <w:tcW w:w="621" w:type="pct"/>
            <w:tcBorders>
              <w:top w:val="nil"/>
              <w:left w:val="nil"/>
              <w:bottom w:val="nil"/>
              <w:right w:val="nil"/>
            </w:tcBorders>
            <w:shd w:val="clear" w:color="auto" w:fill="auto"/>
            <w:noWrap/>
            <w:vAlign w:val="center"/>
            <w:hideMark/>
          </w:tcPr>
          <w:p w14:paraId="32AFD771"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390" w:type="pct"/>
            <w:tcBorders>
              <w:top w:val="nil"/>
              <w:left w:val="nil"/>
              <w:bottom w:val="nil"/>
              <w:right w:val="nil"/>
            </w:tcBorders>
            <w:shd w:val="clear" w:color="auto" w:fill="auto"/>
            <w:noWrap/>
            <w:vAlign w:val="center"/>
            <w:hideMark/>
          </w:tcPr>
          <w:p w14:paraId="1EE8C5B2"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.02*</w:t>
            </w:r>
          </w:p>
        </w:tc>
        <w:tc>
          <w:tcPr>
            <w:tcW w:w="2278" w:type="pct"/>
            <w:tcBorders>
              <w:top w:val="nil"/>
              <w:left w:val="nil"/>
              <w:bottom w:val="nil"/>
              <w:right w:val="nil"/>
            </w:tcBorders>
            <w:shd w:val="clear" w:color="auto" w:fill="auto"/>
            <w:noWrap/>
            <w:vAlign w:val="bottom"/>
            <w:hideMark/>
          </w:tcPr>
          <w:p w14:paraId="62F5079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 xml:space="preserve">Openness to experience -&gt; Ruminate -&gt; Anxiety </w:t>
            </w:r>
          </w:p>
        </w:tc>
        <w:tc>
          <w:tcPr>
            <w:tcW w:w="1077" w:type="pct"/>
            <w:tcBorders>
              <w:top w:val="nil"/>
              <w:left w:val="nil"/>
              <w:bottom w:val="nil"/>
              <w:right w:val="nil"/>
            </w:tcBorders>
            <w:shd w:val="clear" w:color="auto" w:fill="auto"/>
            <w:noWrap/>
            <w:vAlign w:val="bottom"/>
            <w:hideMark/>
          </w:tcPr>
          <w:p w14:paraId="6D321CF3"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5C545A52" w14:textId="77777777" w:rsidTr="00475B46">
        <w:trPr>
          <w:trHeight w:val="285"/>
        </w:trPr>
        <w:tc>
          <w:tcPr>
            <w:tcW w:w="634" w:type="pct"/>
            <w:tcBorders>
              <w:top w:val="nil"/>
              <w:left w:val="nil"/>
              <w:bottom w:val="nil"/>
              <w:right w:val="nil"/>
            </w:tcBorders>
            <w:shd w:val="clear" w:color="auto" w:fill="auto"/>
            <w:noWrap/>
            <w:vAlign w:val="center"/>
            <w:hideMark/>
          </w:tcPr>
          <w:p w14:paraId="6F740E35"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.02</w:t>
            </w:r>
          </w:p>
        </w:tc>
        <w:tc>
          <w:tcPr>
            <w:tcW w:w="621" w:type="pct"/>
            <w:tcBorders>
              <w:top w:val="nil"/>
              <w:left w:val="nil"/>
              <w:bottom w:val="nil"/>
              <w:right w:val="nil"/>
            </w:tcBorders>
            <w:shd w:val="clear" w:color="auto" w:fill="auto"/>
            <w:noWrap/>
            <w:vAlign w:val="center"/>
            <w:hideMark/>
          </w:tcPr>
          <w:p w14:paraId="5251EBA8"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390" w:type="pct"/>
            <w:tcBorders>
              <w:top w:val="nil"/>
              <w:left w:val="nil"/>
              <w:bottom w:val="nil"/>
              <w:right w:val="nil"/>
            </w:tcBorders>
            <w:shd w:val="clear" w:color="auto" w:fill="auto"/>
            <w:noWrap/>
            <w:vAlign w:val="center"/>
            <w:hideMark/>
          </w:tcPr>
          <w:p w14:paraId="2BCA7528"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2278" w:type="pct"/>
            <w:tcBorders>
              <w:top w:val="nil"/>
              <w:left w:val="nil"/>
              <w:bottom w:val="nil"/>
              <w:right w:val="nil"/>
            </w:tcBorders>
            <w:shd w:val="clear" w:color="auto" w:fill="auto"/>
            <w:noWrap/>
            <w:vAlign w:val="bottom"/>
            <w:hideMark/>
          </w:tcPr>
          <w:p w14:paraId="10FD534E"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 xml:space="preserve">Attachment anxiety -&gt; Ruminate -&gt; Anxiety </w:t>
            </w:r>
          </w:p>
        </w:tc>
        <w:tc>
          <w:tcPr>
            <w:tcW w:w="1077" w:type="pct"/>
            <w:tcBorders>
              <w:top w:val="nil"/>
              <w:left w:val="nil"/>
              <w:bottom w:val="nil"/>
              <w:right w:val="nil"/>
            </w:tcBorders>
            <w:shd w:val="clear" w:color="auto" w:fill="auto"/>
            <w:noWrap/>
            <w:vAlign w:val="bottom"/>
            <w:hideMark/>
          </w:tcPr>
          <w:p w14:paraId="61718DA8"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3E6A6B8C" w14:textId="77777777" w:rsidTr="00475B46">
        <w:trPr>
          <w:trHeight w:val="285"/>
        </w:trPr>
        <w:tc>
          <w:tcPr>
            <w:tcW w:w="634" w:type="pct"/>
            <w:tcBorders>
              <w:top w:val="nil"/>
              <w:left w:val="nil"/>
              <w:bottom w:val="nil"/>
              <w:right w:val="nil"/>
            </w:tcBorders>
            <w:shd w:val="clear" w:color="auto" w:fill="auto"/>
            <w:noWrap/>
            <w:vAlign w:val="center"/>
            <w:hideMark/>
          </w:tcPr>
          <w:p w14:paraId="2B19D208"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lastRenderedPageBreak/>
              <w:t>.01</w:t>
            </w:r>
          </w:p>
        </w:tc>
        <w:tc>
          <w:tcPr>
            <w:tcW w:w="621" w:type="pct"/>
            <w:tcBorders>
              <w:top w:val="nil"/>
              <w:left w:val="nil"/>
              <w:bottom w:val="nil"/>
              <w:right w:val="nil"/>
            </w:tcBorders>
            <w:shd w:val="clear" w:color="auto" w:fill="auto"/>
            <w:noWrap/>
            <w:vAlign w:val="center"/>
            <w:hideMark/>
          </w:tcPr>
          <w:p w14:paraId="189B595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390" w:type="pct"/>
            <w:tcBorders>
              <w:top w:val="nil"/>
              <w:left w:val="nil"/>
              <w:bottom w:val="nil"/>
              <w:right w:val="nil"/>
            </w:tcBorders>
            <w:shd w:val="clear" w:color="auto" w:fill="auto"/>
            <w:noWrap/>
            <w:vAlign w:val="center"/>
            <w:hideMark/>
          </w:tcPr>
          <w:p w14:paraId="1AC04A89"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.02*</w:t>
            </w:r>
          </w:p>
        </w:tc>
        <w:tc>
          <w:tcPr>
            <w:tcW w:w="2278" w:type="pct"/>
            <w:tcBorders>
              <w:top w:val="nil"/>
              <w:left w:val="nil"/>
              <w:bottom w:val="nil"/>
              <w:right w:val="nil"/>
            </w:tcBorders>
            <w:shd w:val="clear" w:color="auto" w:fill="auto"/>
            <w:noWrap/>
            <w:vAlign w:val="bottom"/>
            <w:hideMark/>
          </w:tcPr>
          <w:p w14:paraId="5DF8260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 xml:space="preserve">Openness to experience -&gt; Reflection -&gt; Anxiety </w:t>
            </w:r>
          </w:p>
        </w:tc>
        <w:tc>
          <w:tcPr>
            <w:tcW w:w="1077" w:type="pct"/>
            <w:tcBorders>
              <w:top w:val="nil"/>
              <w:left w:val="nil"/>
              <w:bottom w:val="nil"/>
              <w:right w:val="nil"/>
            </w:tcBorders>
            <w:shd w:val="clear" w:color="auto" w:fill="auto"/>
            <w:noWrap/>
            <w:vAlign w:val="bottom"/>
            <w:hideMark/>
          </w:tcPr>
          <w:p w14:paraId="13D71C6E"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4E1E5764" w14:textId="77777777" w:rsidTr="00475B46">
        <w:trPr>
          <w:trHeight w:val="285"/>
        </w:trPr>
        <w:tc>
          <w:tcPr>
            <w:tcW w:w="634" w:type="pct"/>
            <w:tcBorders>
              <w:top w:val="nil"/>
              <w:left w:val="nil"/>
              <w:bottom w:val="nil"/>
              <w:right w:val="nil"/>
            </w:tcBorders>
            <w:shd w:val="clear" w:color="auto" w:fill="auto"/>
            <w:noWrap/>
            <w:vAlign w:val="center"/>
            <w:hideMark/>
          </w:tcPr>
          <w:p w14:paraId="13ACAD8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621" w:type="pct"/>
            <w:tcBorders>
              <w:top w:val="nil"/>
              <w:left w:val="nil"/>
              <w:bottom w:val="nil"/>
              <w:right w:val="nil"/>
            </w:tcBorders>
            <w:shd w:val="clear" w:color="auto" w:fill="auto"/>
            <w:noWrap/>
            <w:vAlign w:val="center"/>
            <w:hideMark/>
          </w:tcPr>
          <w:p w14:paraId="628AF64D"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390" w:type="pct"/>
            <w:tcBorders>
              <w:top w:val="nil"/>
              <w:left w:val="nil"/>
              <w:bottom w:val="nil"/>
              <w:right w:val="nil"/>
            </w:tcBorders>
            <w:shd w:val="clear" w:color="auto" w:fill="auto"/>
            <w:noWrap/>
            <w:vAlign w:val="center"/>
            <w:hideMark/>
          </w:tcPr>
          <w:p w14:paraId="0817E063"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2278" w:type="pct"/>
            <w:tcBorders>
              <w:top w:val="nil"/>
              <w:left w:val="nil"/>
              <w:bottom w:val="nil"/>
              <w:right w:val="nil"/>
            </w:tcBorders>
            <w:shd w:val="clear" w:color="auto" w:fill="auto"/>
            <w:noWrap/>
            <w:vAlign w:val="bottom"/>
            <w:hideMark/>
          </w:tcPr>
          <w:p w14:paraId="1707E579"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 xml:space="preserve">Attachment anxiety -&gt; Reflection -&gt; Anxiety </w:t>
            </w:r>
          </w:p>
        </w:tc>
        <w:tc>
          <w:tcPr>
            <w:tcW w:w="1077" w:type="pct"/>
            <w:tcBorders>
              <w:top w:val="nil"/>
              <w:left w:val="nil"/>
              <w:bottom w:val="nil"/>
              <w:right w:val="nil"/>
            </w:tcBorders>
            <w:shd w:val="clear" w:color="auto" w:fill="auto"/>
            <w:noWrap/>
            <w:vAlign w:val="bottom"/>
            <w:hideMark/>
          </w:tcPr>
          <w:p w14:paraId="24FB0C94"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69A1F99C" w14:textId="77777777" w:rsidTr="00475B46">
        <w:trPr>
          <w:trHeight w:val="285"/>
        </w:trPr>
        <w:tc>
          <w:tcPr>
            <w:tcW w:w="634" w:type="pct"/>
            <w:tcBorders>
              <w:top w:val="nil"/>
              <w:left w:val="nil"/>
              <w:bottom w:val="nil"/>
              <w:right w:val="nil"/>
            </w:tcBorders>
            <w:shd w:val="clear" w:color="auto" w:fill="auto"/>
            <w:noWrap/>
            <w:vAlign w:val="center"/>
            <w:hideMark/>
          </w:tcPr>
          <w:p w14:paraId="7D0B780F"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621" w:type="pct"/>
            <w:tcBorders>
              <w:top w:val="nil"/>
              <w:left w:val="nil"/>
              <w:bottom w:val="nil"/>
              <w:right w:val="nil"/>
            </w:tcBorders>
            <w:shd w:val="clear" w:color="auto" w:fill="auto"/>
            <w:noWrap/>
            <w:vAlign w:val="center"/>
            <w:hideMark/>
          </w:tcPr>
          <w:p w14:paraId="3C09C465"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390" w:type="pct"/>
            <w:tcBorders>
              <w:top w:val="nil"/>
              <w:left w:val="nil"/>
              <w:bottom w:val="nil"/>
              <w:right w:val="nil"/>
            </w:tcBorders>
            <w:shd w:val="clear" w:color="auto" w:fill="auto"/>
            <w:noWrap/>
            <w:vAlign w:val="center"/>
            <w:hideMark/>
          </w:tcPr>
          <w:p w14:paraId="5DC034BA"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.01*</w:t>
            </w:r>
          </w:p>
        </w:tc>
        <w:tc>
          <w:tcPr>
            <w:tcW w:w="2278" w:type="pct"/>
            <w:tcBorders>
              <w:top w:val="nil"/>
              <w:left w:val="nil"/>
              <w:bottom w:val="nil"/>
              <w:right w:val="nil"/>
            </w:tcBorders>
            <w:shd w:val="clear" w:color="auto" w:fill="auto"/>
            <w:noWrap/>
            <w:vAlign w:val="bottom"/>
            <w:hideMark/>
          </w:tcPr>
          <w:p w14:paraId="31B39BD6"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 xml:space="preserve">Religiosity -&gt; Reflection -&gt; Anxiety </w:t>
            </w:r>
          </w:p>
        </w:tc>
        <w:tc>
          <w:tcPr>
            <w:tcW w:w="1077" w:type="pct"/>
            <w:tcBorders>
              <w:top w:val="nil"/>
              <w:left w:val="nil"/>
              <w:bottom w:val="nil"/>
              <w:right w:val="nil"/>
            </w:tcBorders>
            <w:shd w:val="clear" w:color="auto" w:fill="auto"/>
            <w:noWrap/>
            <w:vAlign w:val="bottom"/>
            <w:hideMark/>
          </w:tcPr>
          <w:p w14:paraId="526E3988" w14:textId="77777777" w:rsidR="00DD3A50" w:rsidRPr="008471F1" w:rsidRDefault="00DD3A50" w:rsidP="000C1F69">
            <w:pPr>
              <w:spacing w:line="360" w:lineRule="auto"/>
              <w:rPr>
                <w:rFonts w:asciiTheme="majorBidi" w:hAnsiTheme="majorBidi" w:cstheme="majorBidi"/>
                <w:color w:val="000000"/>
              </w:rPr>
            </w:pPr>
          </w:p>
        </w:tc>
      </w:tr>
      <w:tr w:rsidR="00DD3A50" w:rsidRPr="008471F1" w14:paraId="511BF441" w14:textId="77777777" w:rsidTr="00475B46">
        <w:trPr>
          <w:trHeight w:val="285"/>
        </w:trPr>
        <w:tc>
          <w:tcPr>
            <w:tcW w:w="1645" w:type="pct"/>
            <w:gridSpan w:val="3"/>
            <w:tcBorders>
              <w:top w:val="nil"/>
              <w:left w:val="nil"/>
              <w:bottom w:val="single" w:sz="12" w:space="0" w:color="auto"/>
              <w:right w:val="nil"/>
            </w:tcBorders>
            <w:shd w:val="clear" w:color="auto" w:fill="auto"/>
            <w:noWrap/>
            <w:vAlign w:val="center"/>
            <w:hideMark/>
          </w:tcPr>
          <w:p w14:paraId="05F1C266" w14:textId="77777777" w:rsidR="00DD3A50" w:rsidRPr="008471F1" w:rsidRDefault="00DD3A50" w:rsidP="000C1F69">
            <w:pPr>
              <w:spacing w:line="360" w:lineRule="auto"/>
              <w:rPr>
                <w:rFonts w:asciiTheme="majorBidi" w:hAnsiTheme="majorBidi" w:cstheme="majorBidi"/>
                <w:color w:val="000000"/>
              </w:rPr>
            </w:pPr>
          </w:p>
        </w:tc>
        <w:tc>
          <w:tcPr>
            <w:tcW w:w="2278" w:type="pct"/>
            <w:tcBorders>
              <w:top w:val="nil"/>
              <w:left w:val="nil"/>
              <w:bottom w:val="single" w:sz="12" w:space="0" w:color="auto"/>
              <w:right w:val="nil"/>
            </w:tcBorders>
            <w:shd w:val="clear" w:color="auto" w:fill="auto"/>
            <w:noWrap/>
            <w:vAlign w:val="bottom"/>
            <w:hideMark/>
          </w:tcPr>
          <w:p w14:paraId="26BB65AC" w14:textId="77777777" w:rsidR="00DD3A50" w:rsidRPr="008471F1" w:rsidRDefault="00DD3A50" w:rsidP="000C1F69">
            <w:pPr>
              <w:spacing w:line="360" w:lineRule="auto"/>
              <w:rPr>
                <w:rFonts w:asciiTheme="majorBidi" w:hAnsiTheme="majorBidi" w:cstheme="majorBidi"/>
                <w:color w:val="000000"/>
              </w:rPr>
            </w:pPr>
          </w:p>
        </w:tc>
        <w:tc>
          <w:tcPr>
            <w:tcW w:w="1077" w:type="pct"/>
            <w:tcBorders>
              <w:top w:val="nil"/>
              <w:left w:val="nil"/>
              <w:bottom w:val="single" w:sz="12" w:space="0" w:color="auto"/>
              <w:right w:val="nil"/>
            </w:tcBorders>
            <w:shd w:val="clear" w:color="auto" w:fill="auto"/>
            <w:noWrap/>
            <w:vAlign w:val="bottom"/>
            <w:hideMark/>
          </w:tcPr>
          <w:p w14:paraId="7E384E2C" w14:textId="77777777" w:rsidR="00DD3A50" w:rsidRPr="008471F1" w:rsidRDefault="00DD3A50" w:rsidP="000C1F69">
            <w:pPr>
              <w:spacing w:line="360" w:lineRule="auto"/>
              <w:rPr>
                <w:rFonts w:asciiTheme="majorBidi" w:hAnsiTheme="majorBidi" w:cstheme="majorBidi"/>
                <w:color w:val="000000"/>
              </w:rPr>
            </w:pPr>
            <w:r w:rsidRPr="008471F1">
              <w:rPr>
                <w:rFonts w:asciiTheme="majorBidi" w:hAnsiTheme="majorBidi" w:cstheme="majorBidi"/>
                <w:color w:val="000000"/>
              </w:rPr>
              <w:t>R-square</w:t>
            </w:r>
          </w:p>
        </w:tc>
      </w:tr>
    </w:tbl>
    <w:p w14:paraId="38764EA2" w14:textId="77777777" w:rsidR="00DD3A50" w:rsidRPr="008471F1" w:rsidRDefault="00DD3A50" w:rsidP="000C1F69">
      <w:pPr>
        <w:spacing w:line="360" w:lineRule="auto"/>
        <w:rPr>
          <w:rFonts w:asciiTheme="majorBidi" w:hAnsiTheme="majorBidi" w:cstheme="majorBidi"/>
        </w:rPr>
        <w:sectPr w:rsidR="00DD3A50" w:rsidRPr="008471F1" w:rsidSect="00475B46">
          <w:pgSz w:w="15840" w:h="12240" w:orient="landscape"/>
          <w:pgMar w:top="1797" w:right="1440" w:bottom="1797" w:left="1440" w:header="720" w:footer="720" w:gutter="0"/>
          <w:cols w:space="720"/>
          <w:docGrid w:linePitch="360"/>
        </w:sectPr>
      </w:pPr>
      <w:r w:rsidRPr="008471F1">
        <w:rPr>
          <w:rFonts w:asciiTheme="majorBidi" w:hAnsiTheme="majorBidi" w:cstheme="majorBidi"/>
          <w:i/>
          <w:iCs/>
        </w:rPr>
        <w:t>Note</w:t>
      </w:r>
      <w:r w:rsidRPr="008471F1">
        <w:rPr>
          <w:rFonts w:asciiTheme="majorBidi" w:hAnsiTheme="majorBidi" w:cstheme="majorBidi"/>
        </w:rPr>
        <w:t>. CI = bias-corrected confidence interval. CIs not including 0 are significant in 0.05.</w:t>
      </w:r>
    </w:p>
    <w:p w14:paraId="2DB381B5" w14:textId="77777777" w:rsidR="00DD3A50" w:rsidRPr="008471F1" w:rsidRDefault="00A1008B" w:rsidP="00DD3A50">
      <w:pPr>
        <w:spacing w:after="120" w:line="480" w:lineRule="auto"/>
        <w:rPr>
          <w:rFonts w:asciiTheme="majorBidi" w:hAnsiTheme="majorBidi" w:cstheme="majorBidi"/>
        </w:rPr>
      </w:pPr>
      <w:r>
        <w:rPr>
          <w:noProof/>
        </w:rPr>
        <w:lastRenderedPageBreak/>
        <w:drawing>
          <wp:inline distT="0" distB="0" distL="0" distR="0" wp14:anchorId="39951772" wp14:editId="27B13E44">
            <wp:extent cx="5964841" cy="4524375"/>
            <wp:effectExtent l="0" t="0" r="0" b="0"/>
            <wp:docPr id="3" name="תמונה 3" descr="C:\Users\user\AppData\Local\Microsoft\Windows\INetCache\Content.Word\Figure 1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Figure 1 (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6080" cy="4540485"/>
                    </a:xfrm>
                    <a:prstGeom prst="rect">
                      <a:avLst/>
                    </a:prstGeom>
                    <a:noFill/>
                    <a:ln>
                      <a:noFill/>
                    </a:ln>
                  </pic:spPr>
                </pic:pic>
              </a:graphicData>
            </a:graphic>
          </wp:inline>
        </w:drawing>
      </w:r>
    </w:p>
    <w:p w14:paraId="5A83C2F6" w14:textId="77777777" w:rsidR="00DD3A50" w:rsidRPr="008471F1" w:rsidRDefault="00DD3A50" w:rsidP="00E17FD9">
      <w:pPr>
        <w:spacing w:after="120" w:line="480" w:lineRule="auto"/>
        <w:rPr>
          <w:rFonts w:asciiTheme="majorBidi" w:hAnsiTheme="majorBidi" w:cstheme="majorBidi"/>
        </w:rPr>
      </w:pPr>
      <w:r w:rsidRPr="001D1C16">
        <w:rPr>
          <w:rFonts w:asciiTheme="majorBidi" w:hAnsiTheme="majorBidi" w:cstheme="majorBidi"/>
          <w:i/>
          <w:iCs/>
        </w:rPr>
        <w:t>Figure 1</w:t>
      </w:r>
      <w:r w:rsidRPr="008471F1">
        <w:rPr>
          <w:rFonts w:asciiTheme="majorBidi" w:hAnsiTheme="majorBidi" w:cstheme="majorBidi"/>
        </w:rPr>
        <w:t xml:space="preserve">. Schematic illustration of the proposed model linking background measures with </w:t>
      </w:r>
      <w:r w:rsidR="00FC0CF6">
        <w:rPr>
          <w:rFonts w:asciiTheme="majorBidi" w:hAnsiTheme="majorBidi" w:cstheme="majorBidi"/>
        </w:rPr>
        <w:t>CSB</w:t>
      </w:r>
      <w:r w:rsidRPr="008471F1">
        <w:rPr>
          <w:rFonts w:asciiTheme="majorBidi" w:hAnsiTheme="majorBidi" w:cstheme="majorBidi"/>
        </w:rPr>
        <w:t xml:space="preserve"> via two-step mediation processes: cognitive-related mechanisms (Step 1</w:t>
      </w:r>
      <w:r w:rsidR="001D1C16">
        <w:rPr>
          <w:rFonts w:asciiTheme="majorBidi" w:hAnsiTheme="majorBidi" w:cstheme="majorBidi"/>
        </w:rPr>
        <w:t>), and psychopathology (Step 2)</w:t>
      </w:r>
    </w:p>
    <w:p w14:paraId="0BDB38C7" w14:textId="77777777" w:rsidR="00DD3A50" w:rsidRPr="008471F1" w:rsidRDefault="00DD3A50" w:rsidP="00DD3A50">
      <w:pPr>
        <w:spacing w:after="120" w:line="480" w:lineRule="auto"/>
        <w:rPr>
          <w:rFonts w:asciiTheme="majorBidi" w:hAnsiTheme="majorBidi" w:cstheme="majorBidi"/>
        </w:rPr>
      </w:pPr>
      <w:r w:rsidRPr="008471F1">
        <w:rPr>
          <w:rFonts w:asciiTheme="majorBidi" w:hAnsiTheme="majorBidi" w:cstheme="majorBidi"/>
        </w:rPr>
        <w:lastRenderedPageBreak/>
        <w:t xml:space="preserve"> </w:t>
      </w:r>
      <w:r w:rsidR="00A1008B">
        <w:rPr>
          <w:noProof/>
        </w:rPr>
        <w:drawing>
          <wp:inline distT="0" distB="0" distL="0" distR="0" wp14:anchorId="55AE85FA" wp14:editId="2356A868">
            <wp:extent cx="5981700" cy="4495447"/>
            <wp:effectExtent l="0" t="0" r="0" b="635"/>
            <wp:docPr id="4" name="תמונה 4" descr="C:\Users\user\AppData\Local\Microsoft\Windows\INetCache\Content.Word\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Figure 2.tif"/>
                    <pic:cNvPicPr>
                      <a:picLocks noChangeAspect="1" noChangeArrowheads="1"/>
                    </pic:cNvPicPr>
                  </pic:nvPicPr>
                  <pic:blipFill rotWithShape="1">
                    <a:blip r:embed="rId16">
                      <a:extLst>
                        <a:ext uri="{28A0092B-C50C-407E-A947-70E740481C1C}">
                          <a14:useLocalDpi xmlns:a14="http://schemas.microsoft.com/office/drawing/2010/main" val="0"/>
                        </a:ext>
                      </a:extLst>
                    </a:blip>
                    <a:srcRect t="1462" r="1413"/>
                    <a:stretch/>
                  </pic:blipFill>
                  <pic:spPr bwMode="auto">
                    <a:xfrm>
                      <a:off x="0" y="0"/>
                      <a:ext cx="5986748" cy="4499240"/>
                    </a:xfrm>
                    <a:prstGeom prst="rect">
                      <a:avLst/>
                    </a:prstGeom>
                    <a:noFill/>
                    <a:ln>
                      <a:noFill/>
                    </a:ln>
                    <a:extLst>
                      <a:ext uri="{53640926-AAD7-44D8-BBD7-CCE9431645EC}">
                        <a14:shadowObscured xmlns:a14="http://schemas.microsoft.com/office/drawing/2010/main"/>
                      </a:ext>
                    </a:extLst>
                  </pic:spPr>
                </pic:pic>
              </a:graphicData>
            </a:graphic>
          </wp:inline>
        </w:drawing>
      </w:r>
    </w:p>
    <w:p w14:paraId="741DE2DC" w14:textId="77777777" w:rsidR="00D77B09" w:rsidRDefault="00DD3A50" w:rsidP="00E17FD9">
      <w:pPr>
        <w:spacing w:after="120" w:line="480" w:lineRule="auto"/>
      </w:pPr>
      <w:r w:rsidRPr="001D1C16">
        <w:rPr>
          <w:rFonts w:asciiTheme="majorBidi" w:hAnsiTheme="majorBidi" w:cstheme="majorBidi"/>
          <w:i/>
          <w:iCs/>
        </w:rPr>
        <w:t>Figure 2</w:t>
      </w:r>
      <w:r w:rsidRPr="008471F1">
        <w:rPr>
          <w:rFonts w:asciiTheme="majorBidi" w:hAnsiTheme="majorBidi" w:cstheme="majorBidi"/>
        </w:rPr>
        <w:t xml:space="preserve">. The complete model linking background measures with </w:t>
      </w:r>
      <w:r w:rsidR="00FC0CF6">
        <w:rPr>
          <w:rFonts w:asciiTheme="majorBidi" w:hAnsiTheme="majorBidi" w:cstheme="majorBidi"/>
        </w:rPr>
        <w:t>CSB</w:t>
      </w:r>
      <w:r w:rsidRPr="008471F1">
        <w:rPr>
          <w:rFonts w:asciiTheme="majorBidi" w:hAnsiTheme="majorBidi" w:cstheme="majorBidi"/>
        </w:rPr>
        <w:t xml:space="preserve"> via two-step mediation processes: cognitive-related mechanisms (Step 1</w:t>
      </w:r>
      <w:r w:rsidR="001D1C16">
        <w:rPr>
          <w:rFonts w:asciiTheme="majorBidi" w:hAnsiTheme="majorBidi" w:cstheme="majorBidi"/>
        </w:rPr>
        <w:t>), and psychopathology (Step 2)</w:t>
      </w:r>
    </w:p>
    <w:sectPr w:rsidR="00D77B09" w:rsidSect="00475B46">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AdvOT5404984e.B">
    <w:altName w:val="Cambria"/>
    <w:panose1 w:val="00000000000000000000"/>
    <w:charset w:val="00"/>
    <w:family w:val="roman"/>
    <w:notTrueType/>
    <w:pitch w:val="default"/>
  </w:font>
  <w:font w:name="AdvOT5404984e.B+20">
    <w:altName w:val="Cambria"/>
    <w:panose1 w:val="00000000000000000000"/>
    <w:charset w:val="00"/>
    <w:family w:val="roman"/>
    <w:notTrueType/>
    <w:pitch w:val="default"/>
  </w:font>
  <w:font w:name="AdvOT40514f85+fb">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TIX-Regular">
    <w:altName w:val="Cambria"/>
    <w:panose1 w:val="00000000000000000000"/>
    <w:charset w:val="00"/>
    <w:family w:val="roman"/>
    <w:notTrueType/>
    <w:pitch w:val="default"/>
    <w:sig w:usb0="00000003" w:usb1="00000000" w:usb2="00000000" w:usb3="00000000" w:csb0="00000001" w:csb1="00000000"/>
  </w:font>
  <w:font w:name="AdvOT8608a8d1+01">
    <w:altName w:val="Cambria"/>
    <w:panose1 w:val="00000000000000000000"/>
    <w:charset w:val="00"/>
    <w:family w:val="roman"/>
    <w:notTrueType/>
    <w:pitch w:val="default"/>
  </w:font>
  <w:font w:name="CharisSIL-Italic">
    <w:altName w:val="Cambria"/>
    <w:panose1 w:val="00000000000000000000"/>
    <w:charset w:val="00"/>
    <w:family w:val="roman"/>
    <w:notTrueType/>
    <w:pitch w:val="default"/>
  </w:font>
  <w:font w:name="AdvOT7fb33346.I">
    <w:altName w:val="Cambria"/>
    <w:panose1 w:val="00000000000000000000"/>
    <w:charset w:val="00"/>
    <w:family w:val="roman"/>
    <w:notTrueType/>
    <w:pitch w:val="default"/>
    <w:sig w:usb0="00000003" w:usb1="00000000" w:usb2="00000000" w:usb3="00000000" w:csb0="00000001" w:csb1="00000000"/>
  </w:font>
  <w:font w:name="ArialUnicodeMS">
    <w:altName w:val="Nanum Brush Script"/>
    <w:panose1 w:val="00000000000000000000"/>
    <w:charset w:val="81"/>
    <w:family w:val="auto"/>
    <w:notTrueType/>
    <w:pitch w:val="default"/>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230D7"/>
    <w:multiLevelType w:val="hybridMultilevel"/>
    <w:tmpl w:val="E1EC9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8A1A50"/>
    <w:multiLevelType w:val="hybridMultilevel"/>
    <w:tmpl w:val="61A8C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D3A50"/>
    <w:rsid w:val="00021AD6"/>
    <w:rsid w:val="00022C40"/>
    <w:rsid w:val="00022CF7"/>
    <w:rsid w:val="00031149"/>
    <w:rsid w:val="00032C63"/>
    <w:rsid w:val="000416B3"/>
    <w:rsid w:val="000436BF"/>
    <w:rsid w:val="00056C43"/>
    <w:rsid w:val="00060790"/>
    <w:rsid w:val="00066769"/>
    <w:rsid w:val="0006733C"/>
    <w:rsid w:val="000716C3"/>
    <w:rsid w:val="00080F00"/>
    <w:rsid w:val="00081497"/>
    <w:rsid w:val="0008202A"/>
    <w:rsid w:val="000839F0"/>
    <w:rsid w:val="00083AAA"/>
    <w:rsid w:val="00085F06"/>
    <w:rsid w:val="00087AFB"/>
    <w:rsid w:val="00090B0B"/>
    <w:rsid w:val="00091152"/>
    <w:rsid w:val="0009780D"/>
    <w:rsid w:val="000A6EBF"/>
    <w:rsid w:val="000B3D4B"/>
    <w:rsid w:val="000B478D"/>
    <w:rsid w:val="000B5F04"/>
    <w:rsid w:val="000C0BA6"/>
    <w:rsid w:val="000C1F69"/>
    <w:rsid w:val="000C2CCB"/>
    <w:rsid w:val="000D04A0"/>
    <w:rsid w:val="000D6A18"/>
    <w:rsid w:val="000E50E1"/>
    <w:rsid w:val="000E7531"/>
    <w:rsid w:val="000F17D8"/>
    <w:rsid w:val="000F318E"/>
    <w:rsid w:val="00105AE1"/>
    <w:rsid w:val="00106B82"/>
    <w:rsid w:val="00112486"/>
    <w:rsid w:val="0011406E"/>
    <w:rsid w:val="00124C21"/>
    <w:rsid w:val="00134BDB"/>
    <w:rsid w:val="00147B85"/>
    <w:rsid w:val="00157501"/>
    <w:rsid w:val="00164B2C"/>
    <w:rsid w:val="00164DB0"/>
    <w:rsid w:val="0016579E"/>
    <w:rsid w:val="00165D8B"/>
    <w:rsid w:val="00165EEF"/>
    <w:rsid w:val="00166638"/>
    <w:rsid w:val="00170E80"/>
    <w:rsid w:val="0017166D"/>
    <w:rsid w:val="001727E4"/>
    <w:rsid w:val="001925EC"/>
    <w:rsid w:val="001941FF"/>
    <w:rsid w:val="001958C3"/>
    <w:rsid w:val="0019695F"/>
    <w:rsid w:val="001A1F64"/>
    <w:rsid w:val="001A6AE9"/>
    <w:rsid w:val="001B3E6F"/>
    <w:rsid w:val="001B4685"/>
    <w:rsid w:val="001B4BF1"/>
    <w:rsid w:val="001B5C9E"/>
    <w:rsid w:val="001C12AA"/>
    <w:rsid w:val="001C5DFD"/>
    <w:rsid w:val="001D0E42"/>
    <w:rsid w:val="001D1C16"/>
    <w:rsid w:val="001D2E3A"/>
    <w:rsid w:val="001D53CA"/>
    <w:rsid w:val="001D7790"/>
    <w:rsid w:val="001E3317"/>
    <w:rsid w:val="001F0C80"/>
    <w:rsid w:val="00200E7E"/>
    <w:rsid w:val="002075AA"/>
    <w:rsid w:val="002137BB"/>
    <w:rsid w:val="00216B7C"/>
    <w:rsid w:val="002179A9"/>
    <w:rsid w:val="00222DA2"/>
    <w:rsid w:val="00223D93"/>
    <w:rsid w:val="002245B6"/>
    <w:rsid w:val="0022498C"/>
    <w:rsid w:val="0023449A"/>
    <w:rsid w:val="002357F1"/>
    <w:rsid w:val="002473A2"/>
    <w:rsid w:val="00247547"/>
    <w:rsid w:val="00251CD0"/>
    <w:rsid w:val="00254EBB"/>
    <w:rsid w:val="0025693E"/>
    <w:rsid w:val="00262A44"/>
    <w:rsid w:val="00265909"/>
    <w:rsid w:val="00266A4E"/>
    <w:rsid w:val="0027165D"/>
    <w:rsid w:val="00272DDD"/>
    <w:rsid w:val="00274E43"/>
    <w:rsid w:val="0027515A"/>
    <w:rsid w:val="00275DE0"/>
    <w:rsid w:val="00277FD8"/>
    <w:rsid w:val="0028476A"/>
    <w:rsid w:val="00286123"/>
    <w:rsid w:val="00294836"/>
    <w:rsid w:val="00296D72"/>
    <w:rsid w:val="002A11F8"/>
    <w:rsid w:val="002A35FB"/>
    <w:rsid w:val="002A46E5"/>
    <w:rsid w:val="002A7FA2"/>
    <w:rsid w:val="002B1101"/>
    <w:rsid w:val="002C1736"/>
    <w:rsid w:val="002C5B26"/>
    <w:rsid w:val="002D7BED"/>
    <w:rsid w:val="002E6AC5"/>
    <w:rsid w:val="002E78EC"/>
    <w:rsid w:val="002F2FDD"/>
    <w:rsid w:val="002F4958"/>
    <w:rsid w:val="002F5762"/>
    <w:rsid w:val="003014B8"/>
    <w:rsid w:val="00301854"/>
    <w:rsid w:val="00307DA1"/>
    <w:rsid w:val="003104E8"/>
    <w:rsid w:val="00313287"/>
    <w:rsid w:val="0031746E"/>
    <w:rsid w:val="00317805"/>
    <w:rsid w:val="00317E7F"/>
    <w:rsid w:val="00327918"/>
    <w:rsid w:val="00330C35"/>
    <w:rsid w:val="00335F2D"/>
    <w:rsid w:val="003360D2"/>
    <w:rsid w:val="003361C2"/>
    <w:rsid w:val="0033757E"/>
    <w:rsid w:val="00352991"/>
    <w:rsid w:val="00355237"/>
    <w:rsid w:val="00360A8E"/>
    <w:rsid w:val="00364201"/>
    <w:rsid w:val="00365B43"/>
    <w:rsid w:val="00365D91"/>
    <w:rsid w:val="003743F0"/>
    <w:rsid w:val="00377FEB"/>
    <w:rsid w:val="003869F9"/>
    <w:rsid w:val="003915A0"/>
    <w:rsid w:val="00391875"/>
    <w:rsid w:val="003937B3"/>
    <w:rsid w:val="003A25C2"/>
    <w:rsid w:val="003B3E4E"/>
    <w:rsid w:val="003B7675"/>
    <w:rsid w:val="003B77DB"/>
    <w:rsid w:val="003C413A"/>
    <w:rsid w:val="003C6AE3"/>
    <w:rsid w:val="003D4E11"/>
    <w:rsid w:val="003D5105"/>
    <w:rsid w:val="003E14AD"/>
    <w:rsid w:val="003E1FE9"/>
    <w:rsid w:val="003E29FB"/>
    <w:rsid w:val="003F21C1"/>
    <w:rsid w:val="003F431B"/>
    <w:rsid w:val="003F6349"/>
    <w:rsid w:val="004034C5"/>
    <w:rsid w:val="00415181"/>
    <w:rsid w:val="00425054"/>
    <w:rsid w:val="004300F2"/>
    <w:rsid w:val="0043050B"/>
    <w:rsid w:val="00430B8F"/>
    <w:rsid w:val="00432657"/>
    <w:rsid w:val="00436565"/>
    <w:rsid w:val="0044224F"/>
    <w:rsid w:val="00451BD7"/>
    <w:rsid w:val="00457A00"/>
    <w:rsid w:val="004662FA"/>
    <w:rsid w:val="00466D7B"/>
    <w:rsid w:val="00475B46"/>
    <w:rsid w:val="004921D5"/>
    <w:rsid w:val="00493756"/>
    <w:rsid w:val="004946CF"/>
    <w:rsid w:val="004A1802"/>
    <w:rsid w:val="004A48B3"/>
    <w:rsid w:val="004A6871"/>
    <w:rsid w:val="004B18AF"/>
    <w:rsid w:val="004B2845"/>
    <w:rsid w:val="004B52DA"/>
    <w:rsid w:val="004E0D40"/>
    <w:rsid w:val="004F0871"/>
    <w:rsid w:val="004F3F34"/>
    <w:rsid w:val="004F75D1"/>
    <w:rsid w:val="00500437"/>
    <w:rsid w:val="005008DE"/>
    <w:rsid w:val="00511C06"/>
    <w:rsid w:val="00512D12"/>
    <w:rsid w:val="00514232"/>
    <w:rsid w:val="0051702F"/>
    <w:rsid w:val="00523A10"/>
    <w:rsid w:val="00533AFD"/>
    <w:rsid w:val="00536E65"/>
    <w:rsid w:val="005417E6"/>
    <w:rsid w:val="00547CBC"/>
    <w:rsid w:val="005545F5"/>
    <w:rsid w:val="00556F07"/>
    <w:rsid w:val="0056396A"/>
    <w:rsid w:val="005802F2"/>
    <w:rsid w:val="00580E26"/>
    <w:rsid w:val="00581E0B"/>
    <w:rsid w:val="00585A02"/>
    <w:rsid w:val="00595222"/>
    <w:rsid w:val="00596367"/>
    <w:rsid w:val="005A5EBD"/>
    <w:rsid w:val="005A7E9A"/>
    <w:rsid w:val="005C0015"/>
    <w:rsid w:val="005C11EB"/>
    <w:rsid w:val="005C1D7F"/>
    <w:rsid w:val="005C53E6"/>
    <w:rsid w:val="005D0836"/>
    <w:rsid w:val="005D18DA"/>
    <w:rsid w:val="005E0A9E"/>
    <w:rsid w:val="005E1257"/>
    <w:rsid w:val="005E4C74"/>
    <w:rsid w:val="005F125D"/>
    <w:rsid w:val="005F5916"/>
    <w:rsid w:val="00602E23"/>
    <w:rsid w:val="00604CA7"/>
    <w:rsid w:val="006118F1"/>
    <w:rsid w:val="00626CAA"/>
    <w:rsid w:val="00630170"/>
    <w:rsid w:val="006330BC"/>
    <w:rsid w:val="00633372"/>
    <w:rsid w:val="0063542F"/>
    <w:rsid w:val="0063764A"/>
    <w:rsid w:val="00642793"/>
    <w:rsid w:val="00646249"/>
    <w:rsid w:val="006474F8"/>
    <w:rsid w:val="00657734"/>
    <w:rsid w:val="006615A5"/>
    <w:rsid w:val="00661F36"/>
    <w:rsid w:val="00665BC7"/>
    <w:rsid w:val="0066793F"/>
    <w:rsid w:val="00671A78"/>
    <w:rsid w:val="006723CD"/>
    <w:rsid w:val="00682631"/>
    <w:rsid w:val="006910A3"/>
    <w:rsid w:val="006958B3"/>
    <w:rsid w:val="0069773D"/>
    <w:rsid w:val="006A3682"/>
    <w:rsid w:val="006A4256"/>
    <w:rsid w:val="006B28EF"/>
    <w:rsid w:val="006C7416"/>
    <w:rsid w:val="006C7431"/>
    <w:rsid w:val="006D47A1"/>
    <w:rsid w:val="006D6346"/>
    <w:rsid w:val="006E38EB"/>
    <w:rsid w:val="006E62C3"/>
    <w:rsid w:val="006E67BC"/>
    <w:rsid w:val="006E6C39"/>
    <w:rsid w:val="006E75A9"/>
    <w:rsid w:val="006F6230"/>
    <w:rsid w:val="00705D2E"/>
    <w:rsid w:val="00713B0A"/>
    <w:rsid w:val="007162D5"/>
    <w:rsid w:val="00721C83"/>
    <w:rsid w:val="00723DB8"/>
    <w:rsid w:val="00733D95"/>
    <w:rsid w:val="007341C0"/>
    <w:rsid w:val="00750452"/>
    <w:rsid w:val="00767102"/>
    <w:rsid w:val="007705B4"/>
    <w:rsid w:val="00772565"/>
    <w:rsid w:val="00784CE6"/>
    <w:rsid w:val="00793760"/>
    <w:rsid w:val="007A556F"/>
    <w:rsid w:val="007B2C2C"/>
    <w:rsid w:val="007B4320"/>
    <w:rsid w:val="007C532A"/>
    <w:rsid w:val="007C5A30"/>
    <w:rsid w:val="007D201B"/>
    <w:rsid w:val="007D7A8F"/>
    <w:rsid w:val="007E0699"/>
    <w:rsid w:val="007E613B"/>
    <w:rsid w:val="007F045B"/>
    <w:rsid w:val="008005D8"/>
    <w:rsid w:val="00807B40"/>
    <w:rsid w:val="00813D22"/>
    <w:rsid w:val="008168FE"/>
    <w:rsid w:val="0081738D"/>
    <w:rsid w:val="008270F5"/>
    <w:rsid w:val="008437FA"/>
    <w:rsid w:val="00843A91"/>
    <w:rsid w:val="00863779"/>
    <w:rsid w:val="008641EC"/>
    <w:rsid w:val="00870FC9"/>
    <w:rsid w:val="0088072D"/>
    <w:rsid w:val="00884B10"/>
    <w:rsid w:val="008854E7"/>
    <w:rsid w:val="00890165"/>
    <w:rsid w:val="00893FCC"/>
    <w:rsid w:val="008B0854"/>
    <w:rsid w:val="008B2201"/>
    <w:rsid w:val="008B3054"/>
    <w:rsid w:val="008B5CB8"/>
    <w:rsid w:val="008C0470"/>
    <w:rsid w:val="008C66B0"/>
    <w:rsid w:val="008D2362"/>
    <w:rsid w:val="008D3C99"/>
    <w:rsid w:val="008D6216"/>
    <w:rsid w:val="008E6346"/>
    <w:rsid w:val="008E69CA"/>
    <w:rsid w:val="008F0DCE"/>
    <w:rsid w:val="008F1992"/>
    <w:rsid w:val="008F1B4C"/>
    <w:rsid w:val="008F41AB"/>
    <w:rsid w:val="008F4FF3"/>
    <w:rsid w:val="0090220E"/>
    <w:rsid w:val="00902721"/>
    <w:rsid w:val="00917D7C"/>
    <w:rsid w:val="00922511"/>
    <w:rsid w:val="009230AC"/>
    <w:rsid w:val="00933265"/>
    <w:rsid w:val="00934903"/>
    <w:rsid w:val="009370C8"/>
    <w:rsid w:val="00957AE5"/>
    <w:rsid w:val="00962B15"/>
    <w:rsid w:val="00963B16"/>
    <w:rsid w:val="00964071"/>
    <w:rsid w:val="0097091B"/>
    <w:rsid w:val="00970A07"/>
    <w:rsid w:val="00992765"/>
    <w:rsid w:val="0099741E"/>
    <w:rsid w:val="009B60DD"/>
    <w:rsid w:val="009C2298"/>
    <w:rsid w:val="009C4395"/>
    <w:rsid w:val="009C4DCB"/>
    <w:rsid w:val="009C7871"/>
    <w:rsid w:val="009E0366"/>
    <w:rsid w:val="009E5E3B"/>
    <w:rsid w:val="009F6034"/>
    <w:rsid w:val="00A00A1E"/>
    <w:rsid w:val="00A03C06"/>
    <w:rsid w:val="00A1008B"/>
    <w:rsid w:val="00A10937"/>
    <w:rsid w:val="00A218D8"/>
    <w:rsid w:val="00A36988"/>
    <w:rsid w:val="00A41FCF"/>
    <w:rsid w:val="00A44E65"/>
    <w:rsid w:val="00A4544A"/>
    <w:rsid w:val="00A4656D"/>
    <w:rsid w:val="00A51CCF"/>
    <w:rsid w:val="00A55F11"/>
    <w:rsid w:val="00A653A8"/>
    <w:rsid w:val="00A67F95"/>
    <w:rsid w:val="00A725E9"/>
    <w:rsid w:val="00A73724"/>
    <w:rsid w:val="00A74A21"/>
    <w:rsid w:val="00A76E8E"/>
    <w:rsid w:val="00A82819"/>
    <w:rsid w:val="00A83521"/>
    <w:rsid w:val="00AA1964"/>
    <w:rsid w:val="00AA39AD"/>
    <w:rsid w:val="00AA3CF5"/>
    <w:rsid w:val="00AA40A9"/>
    <w:rsid w:val="00AA49B0"/>
    <w:rsid w:val="00AB0574"/>
    <w:rsid w:val="00AB329E"/>
    <w:rsid w:val="00AB5517"/>
    <w:rsid w:val="00AE1EE6"/>
    <w:rsid w:val="00AE4F83"/>
    <w:rsid w:val="00AF128E"/>
    <w:rsid w:val="00B01ACC"/>
    <w:rsid w:val="00B02C9B"/>
    <w:rsid w:val="00B0531C"/>
    <w:rsid w:val="00B06CAA"/>
    <w:rsid w:val="00B1676B"/>
    <w:rsid w:val="00B24B19"/>
    <w:rsid w:val="00B25733"/>
    <w:rsid w:val="00B303F6"/>
    <w:rsid w:val="00B31154"/>
    <w:rsid w:val="00B31156"/>
    <w:rsid w:val="00B33A2A"/>
    <w:rsid w:val="00B402BE"/>
    <w:rsid w:val="00B444F2"/>
    <w:rsid w:val="00B64D0D"/>
    <w:rsid w:val="00B6657B"/>
    <w:rsid w:val="00B7190C"/>
    <w:rsid w:val="00B72364"/>
    <w:rsid w:val="00B74EDA"/>
    <w:rsid w:val="00B77D7A"/>
    <w:rsid w:val="00B96A45"/>
    <w:rsid w:val="00BA24FA"/>
    <w:rsid w:val="00BA4F66"/>
    <w:rsid w:val="00BB1620"/>
    <w:rsid w:val="00BB52E8"/>
    <w:rsid w:val="00BC7583"/>
    <w:rsid w:val="00BD0EAF"/>
    <w:rsid w:val="00BD4814"/>
    <w:rsid w:val="00BD6F78"/>
    <w:rsid w:val="00BE0684"/>
    <w:rsid w:val="00BE1270"/>
    <w:rsid w:val="00BF525E"/>
    <w:rsid w:val="00BF5818"/>
    <w:rsid w:val="00C1218A"/>
    <w:rsid w:val="00C21EE1"/>
    <w:rsid w:val="00C22AC0"/>
    <w:rsid w:val="00C26A1E"/>
    <w:rsid w:val="00C311E8"/>
    <w:rsid w:val="00C37D98"/>
    <w:rsid w:val="00C52D14"/>
    <w:rsid w:val="00C52E5F"/>
    <w:rsid w:val="00C54D35"/>
    <w:rsid w:val="00C551F2"/>
    <w:rsid w:val="00C61AB8"/>
    <w:rsid w:val="00C747C3"/>
    <w:rsid w:val="00C96D4B"/>
    <w:rsid w:val="00C97B91"/>
    <w:rsid w:val="00CA389B"/>
    <w:rsid w:val="00CA53D2"/>
    <w:rsid w:val="00CB7B08"/>
    <w:rsid w:val="00CC406E"/>
    <w:rsid w:val="00CC7610"/>
    <w:rsid w:val="00CE646D"/>
    <w:rsid w:val="00CF05C5"/>
    <w:rsid w:val="00CF4256"/>
    <w:rsid w:val="00CF4895"/>
    <w:rsid w:val="00CF6BFE"/>
    <w:rsid w:val="00D053A5"/>
    <w:rsid w:val="00D11235"/>
    <w:rsid w:val="00D12F9A"/>
    <w:rsid w:val="00D14BCB"/>
    <w:rsid w:val="00D1644C"/>
    <w:rsid w:val="00D27A9D"/>
    <w:rsid w:val="00D33C4B"/>
    <w:rsid w:val="00D43CA8"/>
    <w:rsid w:val="00D467C2"/>
    <w:rsid w:val="00D51CDF"/>
    <w:rsid w:val="00D5544F"/>
    <w:rsid w:val="00D56A4C"/>
    <w:rsid w:val="00D56F73"/>
    <w:rsid w:val="00D62439"/>
    <w:rsid w:val="00D6740D"/>
    <w:rsid w:val="00D725EA"/>
    <w:rsid w:val="00D77928"/>
    <w:rsid w:val="00D77B09"/>
    <w:rsid w:val="00D931DF"/>
    <w:rsid w:val="00D93C6A"/>
    <w:rsid w:val="00D96BCA"/>
    <w:rsid w:val="00DA6755"/>
    <w:rsid w:val="00DB5299"/>
    <w:rsid w:val="00DB655F"/>
    <w:rsid w:val="00DC3011"/>
    <w:rsid w:val="00DC7FCB"/>
    <w:rsid w:val="00DD0E6C"/>
    <w:rsid w:val="00DD3A50"/>
    <w:rsid w:val="00DD3CB1"/>
    <w:rsid w:val="00DD68AD"/>
    <w:rsid w:val="00DE2CC7"/>
    <w:rsid w:val="00DE71DB"/>
    <w:rsid w:val="00DF0CB8"/>
    <w:rsid w:val="00DF548E"/>
    <w:rsid w:val="00DF57C2"/>
    <w:rsid w:val="00E03597"/>
    <w:rsid w:val="00E04711"/>
    <w:rsid w:val="00E13D10"/>
    <w:rsid w:val="00E17FD9"/>
    <w:rsid w:val="00E259C9"/>
    <w:rsid w:val="00E30B68"/>
    <w:rsid w:val="00E340BB"/>
    <w:rsid w:val="00E37C45"/>
    <w:rsid w:val="00E43B6C"/>
    <w:rsid w:val="00E44063"/>
    <w:rsid w:val="00E468F4"/>
    <w:rsid w:val="00E46EC8"/>
    <w:rsid w:val="00E53265"/>
    <w:rsid w:val="00E57968"/>
    <w:rsid w:val="00E6620F"/>
    <w:rsid w:val="00E70063"/>
    <w:rsid w:val="00E850E5"/>
    <w:rsid w:val="00E944D8"/>
    <w:rsid w:val="00E97872"/>
    <w:rsid w:val="00E9792A"/>
    <w:rsid w:val="00EA2A61"/>
    <w:rsid w:val="00EA3F86"/>
    <w:rsid w:val="00EA50E2"/>
    <w:rsid w:val="00EB21B3"/>
    <w:rsid w:val="00EB4EAD"/>
    <w:rsid w:val="00EB6A86"/>
    <w:rsid w:val="00EC0A92"/>
    <w:rsid w:val="00EC3191"/>
    <w:rsid w:val="00EC3369"/>
    <w:rsid w:val="00EC3E78"/>
    <w:rsid w:val="00ED2D51"/>
    <w:rsid w:val="00ED5EEF"/>
    <w:rsid w:val="00EE69F8"/>
    <w:rsid w:val="00EF1C3A"/>
    <w:rsid w:val="00EF1F76"/>
    <w:rsid w:val="00EF3B5F"/>
    <w:rsid w:val="00EF5971"/>
    <w:rsid w:val="00F04E3A"/>
    <w:rsid w:val="00F07226"/>
    <w:rsid w:val="00F15D50"/>
    <w:rsid w:val="00F1780D"/>
    <w:rsid w:val="00F1798D"/>
    <w:rsid w:val="00F21FA0"/>
    <w:rsid w:val="00F22807"/>
    <w:rsid w:val="00F23873"/>
    <w:rsid w:val="00F30668"/>
    <w:rsid w:val="00F31D86"/>
    <w:rsid w:val="00F33F9A"/>
    <w:rsid w:val="00F41229"/>
    <w:rsid w:val="00F43DFF"/>
    <w:rsid w:val="00F471B2"/>
    <w:rsid w:val="00F54DDE"/>
    <w:rsid w:val="00F7225F"/>
    <w:rsid w:val="00F81409"/>
    <w:rsid w:val="00F82002"/>
    <w:rsid w:val="00F85A9C"/>
    <w:rsid w:val="00F862A8"/>
    <w:rsid w:val="00F86569"/>
    <w:rsid w:val="00F92840"/>
    <w:rsid w:val="00F97A33"/>
    <w:rsid w:val="00FA1527"/>
    <w:rsid w:val="00FA7298"/>
    <w:rsid w:val="00FB03DA"/>
    <w:rsid w:val="00FC0CF6"/>
    <w:rsid w:val="00FD194E"/>
    <w:rsid w:val="00FE100F"/>
    <w:rsid w:val="00FE2116"/>
    <w:rsid w:val="00FE3604"/>
    <w:rsid w:val="00FE67E5"/>
    <w:rsid w:val="00FF1D84"/>
    <w:rsid w:val="00FF3CFD"/>
    <w:rsid w:val="00FF3E9D"/>
    <w:rsid w:val="00FF6949"/>
    <w:rsid w:val="00FF69D8"/>
    <w:rsid w:val="00FF7F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79BA"/>
  <w15:docId w15:val="{8CE6BA3F-3722-48E1-89DE-B13700523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646D"/>
    <w:pPr>
      <w:spacing w:line="240" w:lineRule="auto"/>
    </w:pPr>
    <w:rPr>
      <w:rFonts w:eastAsia="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3A50"/>
    <w:rPr>
      <w:rFonts w:ascii="Tahoma" w:hAnsi="Tahoma" w:cs="Tahoma"/>
      <w:sz w:val="16"/>
      <w:szCs w:val="16"/>
    </w:rPr>
  </w:style>
  <w:style w:type="character" w:customStyle="1" w:styleId="a4">
    <w:name w:val="טקסט בלונים תו"/>
    <w:basedOn w:val="a0"/>
    <w:link w:val="a3"/>
    <w:uiPriority w:val="99"/>
    <w:semiHidden/>
    <w:rsid w:val="00DD3A50"/>
    <w:rPr>
      <w:rFonts w:ascii="Tahoma" w:eastAsia="Calibri" w:hAnsi="Tahoma" w:cs="Tahoma"/>
      <w:sz w:val="16"/>
      <w:szCs w:val="16"/>
      <w:lang w:bidi="ar-SA"/>
    </w:rPr>
  </w:style>
  <w:style w:type="character" w:styleId="Hyperlink">
    <w:name w:val="Hyperlink"/>
    <w:basedOn w:val="a0"/>
    <w:uiPriority w:val="99"/>
    <w:unhideWhenUsed/>
    <w:rsid w:val="00DD3A50"/>
    <w:rPr>
      <w:color w:val="0000FF" w:themeColor="hyperlink"/>
      <w:u w:val="single"/>
    </w:rPr>
  </w:style>
  <w:style w:type="character" w:customStyle="1" w:styleId="apple-converted-space">
    <w:name w:val="apple-converted-space"/>
    <w:basedOn w:val="a0"/>
    <w:rsid w:val="00DD3A50"/>
  </w:style>
  <w:style w:type="paragraph" w:styleId="a5">
    <w:name w:val="List Paragraph"/>
    <w:basedOn w:val="a"/>
    <w:uiPriority w:val="34"/>
    <w:qFormat/>
    <w:rsid w:val="00DD3A50"/>
    <w:pPr>
      <w:bidi/>
      <w:ind w:left="720"/>
      <w:contextualSpacing/>
    </w:pPr>
    <w:rPr>
      <w:rFonts w:asciiTheme="minorHAnsi" w:eastAsiaTheme="minorHAnsi" w:hAnsiTheme="minorHAnsi" w:cstheme="minorBidi"/>
    </w:rPr>
  </w:style>
  <w:style w:type="character" w:customStyle="1" w:styleId="a6">
    <w:name w:val="תואר תו"/>
    <w:basedOn w:val="a0"/>
    <w:rsid w:val="00DD3A50"/>
    <w:rPr>
      <w:i/>
      <w:iCs/>
      <w:sz w:val="24"/>
      <w:szCs w:val="24"/>
    </w:rPr>
  </w:style>
  <w:style w:type="paragraph" w:styleId="a7">
    <w:name w:val="Title"/>
    <w:basedOn w:val="a"/>
    <w:next w:val="a"/>
    <w:link w:val="a8"/>
    <w:uiPriority w:val="10"/>
    <w:qFormat/>
    <w:rsid w:val="00DD3A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כותרת טקסט תו"/>
    <w:basedOn w:val="a0"/>
    <w:link w:val="a7"/>
    <w:uiPriority w:val="10"/>
    <w:rsid w:val="00DD3A50"/>
    <w:rPr>
      <w:rFonts w:asciiTheme="majorHAnsi" w:eastAsiaTheme="majorEastAsia" w:hAnsiTheme="majorHAnsi" w:cstheme="majorBidi"/>
      <w:color w:val="17365D" w:themeColor="text2" w:themeShade="BF"/>
      <w:spacing w:val="5"/>
      <w:kern w:val="28"/>
      <w:sz w:val="52"/>
      <w:szCs w:val="52"/>
      <w:lang w:bidi="ar-SA"/>
    </w:rPr>
  </w:style>
  <w:style w:type="paragraph" w:customStyle="1" w:styleId="6">
    <w:name w:val="6"/>
    <w:basedOn w:val="a"/>
    <w:link w:val="6Char"/>
    <w:qFormat/>
    <w:rsid w:val="00DD3A50"/>
    <w:pPr>
      <w:bidi/>
      <w:spacing w:line="360" w:lineRule="auto"/>
      <w:ind w:firstLine="284"/>
      <w:jc w:val="both"/>
      <w:outlineLvl w:val="4"/>
    </w:pPr>
    <w:rPr>
      <w:rFonts w:cs="David"/>
      <w:snapToGrid w:val="0"/>
      <w:sz w:val="20"/>
      <w:lang w:eastAsia="he-IL"/>
    </w:rPr>
  </w:style>
  <w:style w:type="character" w:customStyle="1" w:styleId="6Char">
    <w:name w:val="6 Char"/>
    <w:link w:val="6"/>
    <w:rsid w:val="00DD3A50"/>
    <w:rPr>
      <w:rFonts w:eastAsia="Times New Roman" w:cs="David"/>
      <w:snapToGrid w:val="0"/>
      <w:sz w:val="20"/>
      <w:szCs w:val="24"/>
      <w:lang w:eastAsia="he-IL"/>
    </w:rPr>
  </w:style>
  <w:style w:type="paragraph" w:customStyle="1" w:styleId="05">
    <w:name w:val="סגנון שורה ראשונה:  0.5 ס''מ מרווח בין שורות:  שורה וחצי"/>
    <w:basedOn w:val="a"/>
    <w:rsid w:val="00DD3A50"/>
    <w:pPr>
      <w:spacing w:line="360" w:lineRule="auto"/>
      <w:ind w:firstLine="720"/>
    </w:pPr>
  </w:style>
  <w:style w:type="character" w:styleId="a9">
    <w:name w:val="annotation reference"/>
    <w:basedOn w:val="a0"/>
    <w:uiPriority w:val="99"/>
    <w:semiHidden/>
    <w:unhideWhenUsed/>
    <w:rsid w:val="00DD3A50"/>
    <w:rPr>
      <w:sz w:val="16"/>
      <w:szCs w:val="16"/>
    </w:rPr>
  </w:style>
  <w:style w:type="paragraph" w:styleId="aa">
    <w:name w:val="annotation text"/>
    <w:basedOn w:val="a"/>
    <w:link w:val="ab"/>
    <w:uiPriority w:val="99"/>
    <w:unhideWhenUsed/>
    <w:rsid w:val="00DD3A50"/>
    <w:rPr>
      <w:sz w:val="20"/>
      <w:szCs w:val="20"/>
    </w:rPr>
  </w:style>
  <w:style w:type="character" w:customStyle="1" w:styleId="ab">
    <w:name w:val="טקסט הערה תו"/>
    <w:basedOn w:val="a0"/>
    <w:link w:val="aa"/>
    <w:uiPriority w:val="99"/>
    <w:rsid w:val="00DD3A50"/>
    <w:rPr>
      <w:rFonts w:eastAsia="Calibri" w:cs="Arial"/>
      <w:sz w:val="20"/>
      <w:szCs w:val="20"/>
      <w:lang w:bidi="ar-SA"/>
    </w:rPr>
  </w:style>
  <w:style w:type="paragraph" w:styleId="ac">
    <w:name w:val="annotation subject"/>
    <w:basedOn w:val="aa"/>
    <w:next w:val="aa"/>
    <w:link w:val="ad"/>
    <w:uiPriority w:val="99"/>
    <w:semiHidden/>
    <w:unhideWhenUsed/>
    <w:rsid w:val="00DD3A50"/>
    <w:rPr>
      <w:b/>
      <w:bCs/>
    </w:rPr>
  </w:style>
  <w:style w:type="character" w:customStyle="1" w:styleId="ad">
    <w:name w:val="נושא הערה תו"/>
    <w:basedOn w:val="ab"/>
    <w:link w:val="ac"/>
    <w:uiPriority w:val="99"/>
    <w:semiHidden/>
    <w:rsid w:val="00DD3A50"/>
    <w:rPr>
      <w:rFonts w:eastAsia="Calibri" w:cs="Arial"/>
      <w:b/>
      <w:bCs/>
      <w:sz w:val="20"/>
      <w:szCs w:val="20"/>
      <w:lang w:bidi="ar-SA"/>
    </w:rPr>
  </w:style>
  <w:style w:type="paragraph" w:styleId="2">
    <w:name w:val="Body Text Indent 2"/>
    <w:basedOn w:val="a"/>
    <w:link w:val="20"/>
    <w:rsid w:val="001925EC"/>
    <w:pPr>
      <w:autoSpaceDE w:val="0"/>
      <w:autoSpaceDN w:val="0"/>
      <w:spacing w:line="480" w:lineRule="auto"/>
      <w:ind w:firstLine="720"/>
    </w:pPr>
    <w:rPr>
      <w:noProof/>
      <w:lang w:eastAsia="he-IL"/>
    </w:rPr>
  </w:style>
  <w:style w:type="character" w:customStyle="1" w:styleId="20">
    <w:name w:val="כניסה בגוף טקסט 2 תו"/>
    <w:basedOn w:val="a0"/>
    <w:link w:val="2"/>
    <w:rsid w:val="001925EC"/>
    <w:rPr>
      <w:rFonts w:eastAsia="Times New Roman" w:cs="Times New Roman"/>
      <w:noProof/>
      <w:szCs w:val="24"/>
      <w:lang w:eastAsia="he-IL"/>
    </w:rPr>
  </w:style>
  <w:style w:type="character" w:customStyle="1" w:styleId="StyleComplexDavid">
    <w:name w:val="Style (Complex) David"/>
    <w:rsid w:val="00FE2116"/>
    <w:rPr>
      <w:rFonts w:cs="David"/>
      <w:sz w:val="22"/>
    </w:rPr>
  </w:style>
  <w:style w:type="character" w:styleId="ae">
    <w:name w:val="Unresolved Mention"/>
    <w:basedOn w:val="a0"/>
    <w:uiPriority w:val="99"/>
    <w:semiHidden/>
    <w:unhideWhenUsed/>
    <w:rsid w:val="00661F36"/>
    <w:rPr>
      <w:color w:val="808080"/>
      <w:shd w:val="clear" w:color="auto" w:fill="E6E6E6"/>
    </w:rPr>
  </w:style>
  <w:style w:type="character" w:styleId="FollowedHyperlink">
    <w:name w:val="FollowedHyperlink"/>
    <w:basedOn w:val="a0"/>
    <w:uiPriority w:val="99"/>
    <w:semiHidden/>
    <w:unhideWhenUsed/>
    <w:rsid w:val="00E13D10"/>
    <w:rPr>
      <w:color w:val="800080" w:themeColor="followedHyperlink"/>
      <w:u w:val="single"/>
    </w:rPr>
  </w:style>
  <w:style w:type="paragraph" w:customStyle="1" w:styleId="EndNoteBibliography">
    <w:name w:val="EndNote Bibliography"/>
    <w:basedOn w:val="a"/>
    <w:link w:val="EndNoteBibliography0"/>
    <w:rsid w:val="007D7A8F"/>
    <w:pPr>
      <w:spacing w:line="480" w:lineRule="auto"/>
    </w:pPr>
    <w:rPr>
      <w:noProof/>
    </w:rPr>
  </w:style>
  <w:style w:type="character" w:customStyle="1" w:styleId="EndNoteBibliography0">
    <w:name w:val="EndNote Bibliography תו"/>
    <w:basedOn w:val="a0"/>
    <w:link w:val="EndNoteBibliography"/>
    <w:rsid w:val="007D7A8F"/>
    <w:rPr>
      <w:rFonts w:eastAsia="Times New Roman" w:cs="Times New Roman"/>
      <w:noProof/>
      <w:szCs w:val="24"/>
    </w:rPr>
  </w:style>
  <w:style w:type="character" w:styleId="af">
    <w:name w:val="Emphasis"/>
    <w:basedOn w:val="a0"/>
    <w:uiPriority w:val="20"/>
    <w:qFormat/>
    <w:rsid w:val="008D2362"/>
    <w:rPr>
      <w:i/>
      <w:iCs/>
    </w:rPr>
  </w:style>
  <w:style w:type="character" w:customStyle="1" w:styleId="fontstyle01">
    <w:name w:val="fontstyle01"/>
    <w:basedOn w:val="a0"/>
    <w:rsid w:val="00170E80"/>
    <w:rPr>
      <w:rFonts w:ascii="AdvOT5404984e.B" w:hAnsi="AdvOT5404984e.B" w:hint="default"/>
      <w:b w:val="0"/>
      <w:bCs w:val="0"/>
      <w:i w:val="0"/>
      <w:iCs w:val="0"/>
      <w:color w:val="000000"/>
      <w:sz w:val="28"/>
      <w:szCs w:val="28"/>
    </w:rPr>
  </w:style>
  <w:style w:type="character" w:customStyle="1" w:styleId="fontstyle11">
    <w:name w:val="fontstyle11"/>
    <w:basedOn w:val="a0"/>
    <w:rsid w:val="00170E80"/>
    <w:rPr>
      <w:rFonts w:ascii="AdvOT5404984e.B+20" w:hAnsi="AdvOT5404984e.B+20" w:hint="default"/>
      <w:b w:val="0"/>
      <w:bCs w:val="0"/>
      <w:i w:val="0"/>
      <w:iCs w:val="0"/>
      <w:color w:val="000000"/>
      <w:sz w:val="28"/>
      <w:szCs w:val="28"/>
    </w:rPr>
  </w:style>
  <w:style w:type="character" w:customStyle="1" w:styleId="fontstyle21">
    <w:name w:val="fontstyle21"/>
    <w:basedOn w:val="a0"/>
    <w:rsid w:val="0025693E"/>
    <w:rPr>
      <w:rFonts w:ascii="AdvOT40514f85+fb" w:hAnsi="AdvOT40514f85+fb" w:hint="default"/>
      <w:b w:val="0"/>
      <w:bCs w:val="0"/>
      <w:i w:val="0"/>
      <w:iCs w:val="0"/>
      <w:color w:val="000000"/>
      <w:sz w:val="20"/>
      <w:szCs w:val="20"/>
    </w:rPr>
  </w:style>
  <w:style w:type="paragraph" w:customStyle="1" w:styleId="MDPI31text">
    <w:name w:val="MDPI_3.1_text"/>
    <w:qFormat/>
    <w:rsid w:val="00AA1964"/>
    <w:pPr>
      <w:adjustRightInd w:val="0"/>
      <w:snapToGrid w:val="0"/>
      <w:spacing w:line="228" w:lineRule="auto"/>
      <w:ind w:left="2608" w:firstLine="425"/>
      <w:jc w:val="both"/>
    </w:pPr>
    <w:rPr>
      <w:rFonts w:ascii="Palatino Linotype" w:eastAsia="Times New Roman" w:hAnsi="Palatino Linotype" w:cs="Times New Roman"/>
      <w:snapToGrid w:val="0"/>
      <w:color w:val="000000"/>
      <w:sz w:val="20"/>
      <w:lang w:eastAsia="de-DE" w:bidi="en-US"/>
    </w:rPr>
  </w:style>
  <w:style w:type="character" w:customStyle="1" w:styleId="fontstyle31">
    <w:name w:val="fontstyle31"/>
    <w:basedOn w:val="a0"/>
    <w:rsid w:val="00934903"/>
    <w:rPr>
      <w:rFonts w:ascii="STIX-Regular" w:hAnsi="STIX-Regular" w:hint="default"/>
      <w:b w:val="0"/>
      <w:bCs w:val="0"/>
      <w:i w:val="0"/>
      <w:iCs w:val="0"/>
      <w:color w:val="000000"/>
      <w:sz w:val="16"/>
      <w:szCs w:val="16"/>
    </w:rPr>
  </w:style>
  <w:style w:type="character" w:customStyle="1" w:styleId="fontstyle41">
    <w:name w:val="fontstyle41"/>
    <w:basedOn w:val="a0"/>
    <w:rsid w:val="005E4C74"/>
    <w:rPr>
      <w:rFonts w:ascii="AdvOT8608a8d1+01" w:hAnsi="AdvOT8608a8d1+01" w:hint="default"/>
      <w:b w:val="0"/>
      <w:bCs w:val="0"/>
      <w:i w:val="0"/>
      <w:iCs w:val="0"/>
      <w:color w:val="0000FF"/>
      <w:sz w:val="20"/>
      <w:szCs w:val="20"/>
    </w:rPr>
  </w:style>
  <w:style w:type="character" w:customStyle="1" w:styleId="fontstyle51">
    <w:name w:val="fontstyle51"/>
    <w:basedOn w:val="a0"/>
    <w:rsid w:val="00F471B2"/>
    <w:rPr>
      <w:rFonts w:ascii="STIX-Regular" w:hAnsi="STIX-Regular" w:hint="default"/>
      <w:b w:val="0"/>
      <w:bCs w:val="0"/>
      <w:i w:val="0"/>
      <w:iCs w:val="0"/>
      <w:color w:val="000000"/>
      <w:sz w:val="16"/>
      <w:szCs w:val="16"/>
    </w:rPr>
  </w:style>
  <w:style w:type="character" w:customStyle="1" w:styleId="fontstyle61">
    <w:name w:val="fontstyle61"/>
    <w:basedOn w:val="a0"/>
    <w:rsid w:val="00F471B2"/>
    <w:rPr>
      <w:rFonts w:ascii="CharisSIL-Italic" w:hAnsi="CharisSIL-Italic" w:hint="default"/>
      <w:b w:val="0"/>
      <w:bCs w:val="0"/>
      <w:i/>
      <w:iCs/>
      <w:color w:val="000000"/>
      <w:sz w:val="16"/>
      <w:szCs w:val="16"/>
    </w:rPr>
  </w:style>
  <w:style w:type="character" w:customStyle="1" w:styleId="fontstyle71">
    <w:name w:val="fontstyle71"/>
    <w:basedOn w:val="a0"/>
    <w:rsid w:val="00BD0EAF"/>
    <w:rPr>
      <w:rFonts w:ascii="AdvOT7fb33346.I" w:hAnsi="AdvOT7fb33346.I"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081880">
      <w:bodyDiv w:val="1"/>
      <w:marLeft w:val="0"/>
      <w:marRight w:val="0"/>
      <w:marTop w:val="0"/>
      <w:marBottom w:val="0"/>
      <w:divBdr>
        <w:top w:val="none" w:sz="0" w:space="0" w:color="auto"/>
        <w:left w:val="none" w:sz="0" w:space="0" w:color="auto"/>
        <w:bottom w:val="none" w:sz="0" w:space="0" w:color="auto"/>
        <w:right w:val="none" w:sz="0" w:space="0" w:color="auto"/>
      </w:divBdr>
      <w:divsChild>
        <w:div w:id="19659646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guilfordjournals.com/action/doSearch?action=runSearch&amp;type=advanced&amp;result=true&amp;prevSearch=%2Bauthorsfield%3A(Adelson%2C+S)" TargetMode="External"/><Relationship Id="rId13" Type="http://schemas.openxmlformats.org/officeDocument/2006/relationships/hyperlink" Target="http://guilfordjournals.com/action/doSearch?action=runSearch&amp;type=advanced&amp;result=true&amp;prevSearch=%2Bauthorsfield%3A(Downey%2C+J+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rcid.org/0000-0003-3176-3708" TargetMode="External"/><Relationship Id="rId12" Type="http://schemas.openxmlformats.org/officeDocument/2006/relationships/hyperlink" Target="http://guilfordjournals.com/action/doSearch?action=runSearch&amp;type=advanced&amp;result=true&amp;prevSearch=%2Bauthorsfield%3A(Haase%2C+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tiff"/><Relationship Id="rId1" Type="http://schemas.openxmlformats.org/officeDocument/2006/relationships/numbering" Target="numbering.xml"/><Relationship Id="rId6" Type="http://schemas.openxmlformats.org/officeDocument/2006/relationships/hyperlink" Target="mailto:ypefrati@gmail.com" TargetMode="External"/><Relationship Id="rId11" Type="http://schemas.openxmlformats.org/officeDocument/2006/relationships/hyperlink" Target="http://guilfordjournals.com/action/doSearch?action=runSearch&amp;type=advanced&amp;result=true&amp;prevSearch=%2Bauthorsfield%3A(Goldenberg%2C+D)" TargetMode="External"/><Relationship Id="rId5" Type="http://schemas.openxmlformats.org/officeDocument/2006/relationships/hyperlink" Target="https://www.researchgate.net/institution/Bar_Ilan_University" TargetMode="External"/><Relationship Id="rId15" Type="http://schemas.openxmlformats.org/officeDocument/2006/relationships/image" Target="media/image1.tiff"/><Relationship Id="rId10" Type="http://schemas.openxmlformats.org/officeDocument/2006/relationships/hyperlink" Target="http://guilfordjournals.com/action/doSearch?action=runSearch&amp;type=advanced&amp;result=true&amp;prevSearch=%2Bauthorsfield%3A(Graff%2C+A)" TargetMode="External"/><Relationship Id="rId4" Type="http://schemas.openxmlformats.org/officeDocument/2006/relationships/webSettings" Target="webSettings.xml"/><Relationship Id="rId9" Type="http://schemas.openxmlformats.org/officeDocument/2006/relationships/hyperlink" Target="http://guilfordjournals.com/action/doSearch?action=runSearch&amp;type=advanced&amp;result=true&amp;prevSearch=%2Bauthorsfield%3A(Bell%2C+R)" TargetMode="External"/><Relationship Id="rId14" Type="http://schemas.openxmlformats.org/officeDocument/2006/relationships/hyperlink" Target="http://guilfordjournals.com/action/doSearch?action=runSearch&amp;type=advanced&amp;result=true&amp;prevSearch=%2Bauthorsfield%3A(Friedman%2C+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15694</TotalTime>
  <Pages>43</Pages>
  <Words>11289</Words>
  <Characters>56449</Characters>
  <Application>Microsoft Office Word</Application>
  <DocSecurity>0</DocSecurity>
  <Lines>470</Lines>
  <Paragraphs>135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Yaniv Efrati</cp:lastModifiedBy>
  <cp:revision>104</cp:revision>
  <dcterms:created xsi:type="dcterms:W3CDTF">2021-11-17T13:30:00Z</dcterms:created>
  <dcterms:modified xsi:type="dcterms:W3CDTF">2022-02-20T14:22:00Z</dcterms:modified>
</cp:coreProperties>
</file>