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4C83" w14:textId="77777777" w:rsidR="009741CF" w:rsidRPr="00A43372" w:rsidRDefault="009741CF" w:rsidP="00E23D62">
      <w:pPr>
        <w:spacing w:line="480" w:lineRule="auto"/>
        <w:contextualSpacing/>
        <w:jc w:val="center"/>
        <w:rPr>
          <w:rFonts w:ascii="David" w:hAnsi="David" w:cs="David"/>
          <w:b/>
          <w:bCs/>
          <w:sz w:val="24"/>
          <w:szCs w:val="24"/>
          <w:rtl/>
        </w:rPr>
      </w:pPr>
    </w:p>
    <w:p w14:paraId="59B02570" w14:textId="77777777" w:rsidR="009741CF" w:rsidRPr="008A6319" w:rsidRDefault="009741CF" w:rsidP="00E23D62">
      <w:pPr>
        <w:spacing w:line="480" w:lineRule="auto"/>
        <w:contextualSpacing/>
        <w:jc w:val="center"/>
        <w:rPr>
          <w:rFonts w:ascii="David" w:hAnsi="David" w:cs="David"/>
          <w:b/>
          <w:bCs/>
          <w:sz w:val="24"/>
          <w:szCs w:val="24"/>
          <w:rtl/>
        </w:rPr>
      </w:pPr>
      <w:r w:rsidRPr="008A6319">
        <w:rPr>
          <w:rFonts w:ascii="David" w:hAnsi="David" w:cs="David"/>
          <w:b/>
          <w:bCs/>
          <w:sz w:val="24"/>
          <w:szCs w:val="24"/>
          <w:rtl/>
        </w:rPr>
        <w:t xml:space="preserve">נושא: </w:t>
      </w:r>
      <w:r w:rsidR="00A67016" w:rsidRPr="008A6319">
        <w:rPr>
          <w:rFonts w:ascii="David" w:hAnsi="David" w:cs="David"/>
          <w:b/>
          <w:bCs/>
          <w:sz w:val="24"/>
          <w:szCs w:val="24"/>
          <w:rtl/>
        </w:rPr>
        <w:t xml:space="preserve">הזדקנות בכלא: </w:t>
      </w:r>
      <w:r w:rsidRPr="008A6319">
        <w:rPr>
          <w:rFonts w:ascii="David" w:hAnsi="David" w:cs="David"/>
          <w:b/>
          <w:bCs/>
          <w:sz w:val="24"/>
          <w:szCs w:val="24"/>
          <w:rtl/>
        </w:rPr>
        <w:t xml:space="preserve">חווית </w:t>
      </w:r>
      <w:r w:rsidR="00A67016" w:rsidRPr="008A6319">
        <w:rPr>
          <w:rFonts w:ascii="David" w:hAnsi="David" w:cs="David"/>
          <w:b/>
          <w:bCs/>
          <w:sz w:val="24"/>
          <w:szCs w:val="24"/>
          <w:rtl/>
        </w:rPr>
        <w:t>המאסר</w:t>
      </w:r>
      <w:r w:rsidRPr="008A6319">
        <w:rPr>
          <w:rFonts w:ascii="David" w:hAnsi="David" w:cs="David"/>
          <w:b/>
          <w:bCs/>
          <w:sz w:val="24"/>
          <w:szCs w:val="24"/>
          <w:rtl/>
        </w:rPr>
        <w:t xml:space="preserve">  נקודת מבטם של אסירים מבוגרים במאסר ראשון</w:t>
      </w:r>
    </w:p>
    <w:p w14:paraId="55993099" w14:textId="77777777" w:rsidR="009741CF" w:rsidRPr="008A6319" w:rsidRDefault="00E23D62" w:rsidP="00E23D62">
      <w:pPr>
        <w:spacing w:line="480" w:lineRule="auto"/>
        <w:contextualSpacing/>
        <w:jc w:val="center"/>
        <w:rPr>
          <w:rFonts w:ascii="David" w:hAnsi="David" w:cs="David"/>
          <w:b/>
          <w:bCs/>
          <w:sz w:val="24"/>
          <w:szCs w:val="24"/>
          <w:rtl/>
        </w:rPr>
      </w:pPr>
      <w:r w:rsidRPr="008A6319">
        <w:rPr>
          <w:rFonts w:ascii="David" w:hAnsi="David" w:cs="David" w:hint="cs"/>
          <w:b/>
          <w:bCs/>
          <w:sz w:val="24"/>
          <w:szCs w:val="24"/>
          <w:rtl/>
        </w:rPr>
        <w:t>שמות החוקרות: אפרת שהם</w:t>
      </w:r>
      <w:r w:rsidR="005C7753" w:rsidRPr="008A6319">
        <w:rPr>
          <w:rFonts w:ascii="David" w:hAnsi="David" w:cs="David" w:hint="cs"/>
          <w:b/>
          <w:bCs/>
          <w:sz w:val="24"/>
          <w:szCs w:val="24"/>
          <w:rtl/>
        </w:rPr>
        <w:t xml:space="preserve"> ואירית </w:t>
      </w:r>
      <w:proofErr w:type="spellStart"/>
      <w:r w:rsidR="005C7753" w:rsidRPr="008A6319">
        <w:rPr>
          <w:rFonts w:ascii="David" w:hAnsi="David" w:cs="David" w:hint="cs"/>
          <w:b/>
          <w:bCs/>
          <w:sz w:val="24"/>
          <w:szCs w:val="24"/>
          <w:rtl/>
        </w:rPr>
        <w:t>אדמצ'וק</w:t>
      </w:r>
      <w:proofErr w:type="spellEnd"/>
    </w:p>
    <w:p w14:paraId="42DD46F4" w14:textId="5370D1AB" w:rsidR="00CD1568" w:rsidRPr="008A6319" w:rsidRDefault="00BB3CA9" w:rsidP="00FA47C2">
      <w:pPr>
        <w:spacing w:line="480" w:lineRule="auto"/>
        <w:ind w:firstLine="720"/>
        <w:contextualSpacing/>
        <w:jc w:val="both"/>
        <w:rPr>
          <w:rFonts w:ascii="David" w:hAnsi="David" w:cs="David"/>
          <w:sz w:val="24"/>
          <w:szCs w:val="24"/>
          <w:rtl/>
        </w:rPr>
      </w:pPr>
      <w:r w:rsidRPr="008A6319">
        <w:rPr>
          <w:rFonts w:ascii="David" w:hAnsi="David" w:cs="David"/>
          <w:sz w:val="24"/>
          <w:szCs w:val="24"/>
          <w:rtl/>
        </w:rPr>
        <w:t xml:space="preserve">בעשורים האחרונים </w:t>
      </w:r>
      <w:r w:rsidR="00C364F2" w:rsidRPr="008A6319">
        <w:rPr>
          <w:rFonts w:ascii="David" w:hAnsi="David" w:cs="David" w:hint="cs"/>
          <w:sz w:val="24"/>
          <w:szCs w:val="24"/>
          <w:rtl/>
        </w:rPr>
        <w:t xml:space="preserve">ניתן למצוא בחלק ממדינות המערב דיווחים </w:t>
      </w:r>
      <w:r w:rsidRPr="008A6319">
        <w:rPr>
          <w:rFonts w:ascii="David" w:hAnsi="David" w:cs="David"/>
          <w:sz w:val="24"/>
          <w:szCs w:val="24"/>
          <w:rtl/>
        </w:rPr>
        <w:t xml:space="preserve">על צמיחה </w:t>
      </w:r>
      <w:r w:rsidR="00C364F2" w:rsidRPr="008A6319">
        <w:rPr>
          <w:rFonts w:ascii="David" w:hAnsi="David" w:cs="David" w:hint="cs"/>
          <w:sz w:val="24"/>
          <w:szCs w:val="24"/>
          <w:rtl/>
        </w:rPr>
        <w:t xml:space="preserve">בשכיחותם </w:t>
      </w:r>
      <w:r w:rsidRPr="008A6319">
        <w:rPr>
          <w:rFonts w:ascii="David" w:hAnsi="David" w:cs="David"/>
          <w:sz w:val="24"/>
          <w:szCs w:val="24"/>
          <w:rtl/>
        </w:rPr>
        <w:t xml:space="preserve"> של האסירים המבוגרים</w:t>
      </w:r>
      <w:r w:rsidR="00C364F2" w:rsidRPr="008A6319">
        <w:rPr>
          <w:rFonts w:ascii="David" w:hAnsi="David" w:cs="David" w:hint="cs"/>
          <w:sz w:val="24"/>
          <w:szCs w:val="24"/>
          <w:rtl/>
        </w:rPr>
        <w:t xml:space="preserve"> מקרב אוכלוסיית האסירים הכללית</w:t>
      </w:r>
      <w:r w:rsidRPr="008A6319">
        <w:rPr>
          <w:rFonts w:ascii="David" w:hAnsi="David" w:cs="David"/>
          <w:sz w:val="24"/>
          <w:szCs w:val="24"/>
          <w:rtl/>
        </w:rPr>
        <w:t>. אמנם צמיחה זו מיוחסת בחלקה לאוכלוסיות מזדקנות ושיעורי פש</w:t>
      </w:r>
      <w:r w:rsidR="002C4D25" w:rsidRPr="008A6319">
        <w:rPr>
          <w:rFonts w:ascii="David" w:hAnsi="David" w:cs="David"/>
          <w:sz w:val="24"/>
          <w:szCs w:val="24"/>
          <w:rtl/>
        </w:rPr>
        <w:t>י</w:t>
      </w:r>
      <w:r w:rsidRPr="008A6319">
        <w:rPr>
          <w:rFonts w:ascii="David" w:hAnsi="David" w:cs="David"/>
          <w:sz w:val="24"/>
          <w:szCs w:val="24"/>
          <w:rtl/>
        </w:rPr>
        <w:t>ע</w:t>
      </w:r>
      <w:r w:rsidR="002C4D25" w:rsidRPr="008A6319">
        <w:rPr>
          <w:rFonts w:ascii="David" w:hAnsi="David" w:cs="David"/>
          <w:sz w:val="24"/>
          <w:szCs w:val="24"/>
          <w:rtl/>
        </w:rPr>
        <w:t xml:space="preserve">ה עולים מצד </w:t>
      </w:r>
      <w:r w:rsidRPr="008A6319">
        <w:rPr>
          <w:rFonts w:ascii="David" w:hAnsi="David" w:cs="David"/>
          <w:sz w:val="24"/>
          <w:szCs w:val="24"/>
          <w:rtl/>
        </w:rPr>
        <w:t xml:space="preserve"> אנשים מבוגרים</w:t>
      </w:r>
      <w:r w:rsidR="002C4D25" w:rsidRPr="008A6319">
        <w:rPr>
          <w:rFonts w:ascii="David" w:hAnsi="David" w:cs="David"/>
          <w:sz w:val="24"/>
          <w:szCs w:val="24"/>
          <w:rtl/>
        </w:rPr>
        <w:t>.</w:t>
      </w:r>
      <w:r w:rsidRPr="008A6319">
        <w:rPr>
          <w:rFonts w:ascii="David" w:hAnsi="David" w:cs="David"/>
          <w:sz w:val="24"/>
          <w:szCs w:val="24"/>
          <w:rtl/>
        </w:rPr>
        <w:t xml:space="preserve"> יחד </w:t>
      </w:r>
      <w:r w:rsidR="005764E1" w:rsidRPr="008A6319">
        <w:rPr>
          <w:rFonts w:ascii="David" w:hAnsi="David" w:cs="David" w:hint="cs"/>
          <w:sz w:val="24"/>
          <w:szCs w:val="24"/>
          <w:rtl/>
        </w:rPr>
        <w:t xml:space="preserve">עם זאת  בתוך אוכלוסייה מזדקנת זאת ניתן למצוא גם </w:t>
      </w:r>
      <w:r w:rsidRPr="008A6319">
        <w:rPr>
          <w:rFonts w:ascii="David" w:hAnsi="David" w:cs="David"/>
          <w:sz w:val="24"/>
          <w:szCs w:val="24"/>
          <w:rtl/>
        </w:rPr>
        <w:t xml:space="preserve">עבריינים אשר נכנסים למאסר לראשונה בגילאים מבוגרים ומהווים </w:t>
      </w:r>
      <w:r w:rsidR="005764E1" w:rsidRPr="008A6319">
        <w:rPr>
          <w:rFonts w:ascii="David" w:hAnsi="David" w:cs="David" w:hint="cs"/>
          <w:sz w:val="24"/>
          <w:szCs w:val="24"/>
          <w:rtl/>
        </w:rPr>
        <w:t xml:space="preserve">במקרים מסוימים אף </w:t>
      </w:r>
      <w:r w:rsidRPr="008A6319">
        <w:rPr>
          <w:rFonts w:ascii="David" w:hAnsi="David" w:cs="David"/>
          <w:sz w:val="24"/>
          <w:szCs w:val="24"/>
          <w:rtl/>
        </w:rPr>
        <w:t>למעלה ממחציתם של כלל האסירים ה'זקנים' (</w:t>
      </w:r>
      <w:r w:rsidRPr="008A6319">
        <w:rPr>
          <w:rFonts w:ascii="David" w:hAnsi="David" w:cs="David"/>
          <w:sz w:val="24"/>
          <w:szCs w:val="24"/>
          <w:bdr w:val="none" w:sz="0" w:space="0" w:color="auto" w:frame="1"/>
          <w:shd w:val="clear" w:color="auto" w:fill="FFFFFF"/>
        </w:rPr>
        <w:t>Sodhi-Berry et al.</w:t>
      </w:r>
      <w:r w:rsidR="002C4D25" w:rsidRPr="008A6319">
        <w:rPr>
          <w:rFonts w:ascii="David" w:hAnsi="David" w:cs="David"/>
          <w:sz w:val="24"/>
          <w:szCs w:val="24"/>
          <w:bdr w:val="none" w:sz="0" w:space="0" w:color="auto" w:frame="1"/>
          <w:shd w:val="clear" w:color="auto" w:fill="FFFFFF"/>
        </w:rPr>
        <w:t xml:space="preserve">, </w:t>
      </w:r>
      <w:r w:rsidRPr="008A6319">
        <w:rPr>
          <w:rFonts w:ascii="David" w:hAnsi="David" w:cs="David"/>
          <w:sz w:val="24"/>
          <w:szCs w:val="24"/>
          <w:bdr w:val="none" w:sz="0" w:space="0" w:color="auto" w:frame="1"/>
          <w:shd w:val="clear" w:color="auto" w:fill="FFFFFF"/>
        </w:rPr>
        <w:t>2015</w:t>
      </w:r>
      <w:r w:rsidRPr="008A6319">
        <w:rPr>
          <w:rFonts w:ascii="David" w:hAnsi="David" w:cs="David"/>
          <w:sz w:val="24"/>
          <w:szCs w:val="24"/>
          <w:bdr w:val="none" w:sz="0" w:space="0" w:color="auto" w:frame="1"/>
          <w:shd w:val="clear" w:color="auto" w:fill="FFFFFF"/>
          <w:rtl/>
        </w:rPr>
        <w:t>)</w:t>
      </w:r>
      <w:r w:rsidRPr="008A6319">
        <w:rPr>
          <w:rFonts w:ascii="David" w:hAnsi="David" w:cs="David"/>
          <w:sz w:val="24"/>
          <w:szCs w:val="24"/>
          <w:rtl/>
        </w:rPr>
        <w:t>.</w:t>
      </w:r>
      <w:r w:rsidR="00033566" w:rsidRPr="008A6319">
        <w:rPr>
          <w:rFonts w:ascii="David" w:hAnsi="David" w:cs="David"/>
          <w:sz w:val="24"/>
          <w:szCs w:val="24"/>
          <w:rtl/>
        </w:rPr>
        <w:t xml:space="preserve"> בדומה למתרחש בעולם המערבי, גם אוכלוסיית האסירים בישראל מזדקנת. בישראל ניתן לראות עליה משמעותית במספר האסירים הזקנים</w:t>
      </w:r>
      <w:r w:rsidR="00CD1568" w:rsidRPr="008A6319">
        <w:rPr>
          <w:rFonts w:ascii="David" w:hAnsi="David" w:cs="David" w:hint="cs"/>
          <w:sz w:val="24"/>
          <w:szCs w:val="24"/>
          <w:rtl/>
        </w:rPr>
        <w:t xml:space="preserve">: למשל, בין השנים 2001 </w:t>
      </w:r>
      <w:r w:rsidR="00CD1568" w:rsidRPr="008A6319">
        <w:rPr>
          <w:rFonts w:ascii="David" w:hAnsi="David" w:cs="David"/>
          <w:sz w:val="24"/>
          <w:szCs w:val="24"/>
          <w:rtl/>
        </w:rPr>
        <w:t>–</w:t>
      </w:r>
      <w:r w:rsidR="00CD1568" w:rsidRPr="008A6319">
        <w:rPr>
          <w:rFonts w:ascii="David" w:hAnsi="David" w:cs="David" w:hint="cs"/>
          <w:sz w:val="24"/>
          <w:szCs w:val="24"/>
          <w:rtl/>
        </w:rPr>
        <w:t xml:space="preserve"> 2011 </w:t>
      </w:r>
      <w:r w:rsidR="00CD1568" w:rsidRPr="008A6319">
        <w:rPr>
          <w:rFonts w:ascii="David" w:hAnsi="David" w:cs="David"/>
          <w:sz w:val="24"/>
          <w:szCs w:val="24"/>
          <w:rtl/>
        </w:rPr>
        <w:t>מספרם של האסירים הפליליים בני 55 ומעלה בשנים 8118-</w:t>
      </w:r>
      <w:r w:rsidR="00CD1568" w:rsidRPr="008A6319">
        <w:rPr>
          <w:rFonts w:ascii="David" w:hAnsi="David" w:cs="David" w:hint="cs"/>
          <w:sz w:val="24"/>
          <w:szCs w:val="24"/>
          <w:rtl/>
        </w:rPr>
        <w:t>עלה ב-191%</w:t>
      </w:r>
      <w:r w:rsidR="00CD1568" w:rsidRPr="008A6319">
        <w:rPr>
          <w:rFonts w:ascii="David" w:hAnsi="David" w:cs="David"/>
          <w:sz w:val="24"/>
          <w:szCs w:val="24"/>
        </w:rPr>
        <w:t xml:space="preserve"> , </w:t>
      </w:r>
      <w:r w:rsidR="00CD1568" w:rsidRPr="008A6319">
        <w:rPr>
          <w:rFonts w:ascii="David" w:hAnsi="David" w:cs="David"/>
          <w:sz w:val="24"/>
          <w:szCs w:val="24"/>
          <w:rtl/>
        </w:rPr>
        <w:t>כלומר כמעט פי שלושה</w:t>
      </w:r>
      <w:r w:rsidR="00CD1568" w:rsidRPr="008A6319">
        <w:rPr>
          <w:rFonts w:ascii="David" w:hAnsi="David" w:cs="David" w:hint="cs"/>
          <w:sz w:val="24"/>
          <w:szCs w:val="24"/>
          <w:rtl/>
        </w:rPr>
        <w:t>.</w:t>
      </w:r>
      <w:r w:rsidR="00CD1568" w:rsidRPr="008A6319">
        <w:rPr>
          <w:rFonts w:ascii="David" w:hAnsi="David" w:cs="David"/>
          <w:sz w:val="24"/>
          <w:szCs w:val="24"/>
          <w:rtl/>
        </w:rPr>
        <w:t xml:space="preserve"> </w:t>
      </w:r>
      <w:r w:rsidR="00CD1568" w:rsidRPr="008A6319">
        <w:rPr>
          <w:rFonts w:ascii="David" w:hAnsi="David" w:cs="David" w:hint="cs"/>
          <w:sz w:val="24"/>
          <w:szCs w:val="24"/>
          <w:rtl/>
        </w:rPr>
        <w:t>זאת לעומת עליה של 40.5% של אסירים פליליים צעירים יותר</w:t>
      </w:r>
      <w:r w:rsidR="00FA47C2" w:rsidRPr="008A6319">
        <w:rPr>
          <w:rFonts w:ascii="David" w:hAnsi="David" w:cs="David" w:hint="cs"/>
          <w:sz w:val="24"/>
          <w:szCs w:val="24"/>
          <w:rtl/>
        </w:rPr>
        <w:t>(</w:t>
      </w:r>
      <w:proofErr w:type="spellStart"/>
      <w:r w:rsidR="00FA47C2" w:rsidRPr="008A6319">
        <w:rPr>
          <w:rFonts w:ascii="David" w:hAnsi="David" w:cs="David" w:hint="cs"/>
          <w:sz w:val="24"/>
          <w:szCs w:val="24"/>
          <w:rtl/>
        </w:rPr>
        <w:t>דוידסקו</w:t>
      </w:r>
      <w:proofErr w:type="spellEnd"/>
      <w:r w:rsidR="00FA47C2" w:rsidRPr="008A6319">
        <w:rPr>
          <w:rFonts w:ascii="David" w:hAnsi="David" w:cs="David" w:hint="cs"/>
          <w:sz w:val="24"/>
          <w:szCs w:val="24"/>
          <w:rtl/>
        </w:rPr>
        <w:t xml:space="preserve"> </w:t>
      </w:r>
      <w:proofErr w:type="spellStart"/>
      <w:r w:rsidR="00FA47C2" w:rsidRPr="008A6319">
        <w:rPr>
          <w:rFonts w:ascii="David" w:hAnsi="David" w:cs="David" w:hint="cs"/>
          <w:sz w:val="24"/>
          <w:szCs w:val="24"/>
          <w:rtl/>
        </w:rPr>
        <w:t>וולק</w:t>
      </w:r>
      <w:proofErr w:type="spellEnd"/>
      <w:r w:rsidR="00FA47C2" w:rsidRPr="008A6319">
        <w:rPr>
          <w:rFonts w:ascii="David" w:hAnsi="David" w:cs="David" w:hint="cs"/>
          <w:sz w:val="24"/>
          <w:szCs w:val="24"/>
          <w:rtl/>
        </w:rPr>
        <w:t>,  2012)</w:t>
      </w:r>
      <w:r w:rsidR="00FA47C2" w:rsidRPr="008A6319" w:rsidDel="00FA47C2">
        <w:rPr>
          <w:rFonts w:ascii="David" w:hAnsi="David" w:cs="David" w:hint="cs"/>
          <w:sz w:val="24"/>
          <w:szCs w:val="24"/>
          <w:rtl/>
        </w:rPr>
        <w:t xml:space="preserve"> </w:t>
      </w:r>
      <w:r w:rsidR="00CD1568" w:rsidRPr="008A6319">
        <w:rPr>
          <w:rFonts w:ascii="David" w:hAnsi="David" w:cs="David" w:hint="cs"/>
          <w:sz w:val="24"/>
          <w:szCs w:val="24"/>
          <w:rtl/>
        </w:rPr>
        <w:t xml:space="preserve">. דוח </w:t>
      </w:r>
      <w:r w:rsidR="00FA47C2" w:rsidRPr="008A6319">
        <w:rPr>
          <w:rFonts w:ascii="David" w:hAnsi="David" w:cs="David" w:hint="cs"/>
          <w:sz w:val="24"/>
          <w:szCs w:val="24"/>
          <w:rtl/>
        </w:rPr>
        <w:t xml:space="preserve">שירות בתי סוהר לשנת 2020 הראה כי בין השנים 2010 לבין 2020 קיימת עליה מתמדת בקרב אסירים מבוגרים מעל גיל 55 כאשר העלייה הגדולה יותר הנה בגילאים 65 ומעלה. בעוד שבשנת 2010 היו 153 אסירים מעל 65 , מספרם עלה ל- 275 אסירים בשנת 2020 (שירות בתי סוהר, 2021).  </w:t>
      </w:r>
    </w:p>
    <w:p w14:paraId="65E10A72" w14:textId="373D39C0" w:rsidR="00C90892" w:rsidRPr="008A6319" w:rsidRDefault="004F40A1" w:rsidP="00CD1568">
      <w:pPr>
        <w:spacing w:line="480" w:lineRule="auto"/>
        <w:ind w:firstLine="720"/>
        <w:contextualSpacing/>
        <w:jc w:val="both"/>
        <w:rPr>
          <w:rFonts w:ascii="David" w:eastAsia="Calibri" w:hAnsi="David" w:cs="David"/>
          <w:sz w:val="24"/>
          <w:szCs w:val="24"/>
          <w:rtl/>
        </w:rPr>
      </w:pPr>
      <w:r w:rsidRPr="008A6319">
        <w:rPr>
          <w:rFonts w:ascii="David" w:hAnsi="David" w:cs="David" w:hint="cs"/>
          <w:sz w:val="24"/>
          <w:szCs w:val="24"/>
          <w:rtl/>
        </w:rPr>
        <w:t>הספרות מסווגת</w:t>
      </w:r>
      <w:r w:rsidR="00A90621" w:rsidRPr="008A6319">
        <w:rPr>
          <w:rFonts w:ascii="David" w:hAnsi="David" w:cs="David"/>
          <w:sz w:val="24"/>
          <w:szCs w:val="24"/>
          <w:rtl/>
        </w:rPr>
        <w:t xml:space="preserve"> עבריינים מבוגרים </w:t>
      </w:r>
      <w:r w:rsidRPr="008A6319">
        <w:rPr>
          <w:rFonts w:ascii="David" w:hAnsi="David" w:cs="David" w:hint="cs"/>
          <w:sz w:val="24"/>
          <w:szCs w:val="24"/>
          <w:rtl/>
        </w:rPr>
        <w:t xml:space="preserve">באמצעות </w:t>
      </w:r>
      <w:r w:rsidR="00A90621" w:rsidRPr="008A6319">
        <w:rPr>
          <w:rFonts w:ascii="David" w:hAnsi="David" w:cs="David"/>
          <w:sz w:val="24"/>
          <w:szCs w:val="24"/>
          <w:rtl/>
        </w:rPr>
        <w:t xml:space="preserve">טיפולוגיה המורכבת משלוש קבוצות המבוססות על </w:t>
      </w:r>
      <w:r w:rsidRPr="008A6319">
        <w:rPr>
          <w:rFonts w:ascii="David" w:hAnsi="David" w:cs="David" w:hint="cs"/>
          <w:sz w:val="24"/>
          <w:szCs w:val="24"/>
          <w:rtl/>
        </w:rPr>
        <w:t>ההיסטוריה הפלילית של האדם</w:t>
      </w:r>
      <w:r w:rsidR="00A90621" w:rsidRPr="008A6319">
        <w:rPr>
          <w:rFonts w:ascii="David" w:hAnsi="David" w:cs="David"/>
          <w:sz w:val="24"/>
          <w:szCs w:val="24"/>
          <w:rtl/>
        </w:rPr>
        <w:t xml:space="preserve">: 1) עבריינים זקנים, שהם עבריינים שביצעו את העבירה הראשונה שלהם בשלהי חייהם; 2) </w:t>
      </w:r>
      <w:proofErr w:type="spellStart"/>
      <w:r w:rsidR="00A90621" w:rsidRPr="008A6319">
        <w:rPr>
          <w:rFonts w:ascii="David" w:hAnsi="David" w:cs="David"/>
          <w:sz w:val="24"/>
          <w:szCs w:val="24"/>
          <w:rtl/>
        </w:rPr>
        <w:t>רצידיביסטים</w:t>
      </w:r>
      <w:proofErr w:type="spellEnd"/>
      <w:r w:rsidR="00A90621" w:rsidRPr="008A6319">
        <w:rPr>
          <w:rFonts w:ascii="David" w:hAnsi="David" w:cs="David"/>
          <w:sz w:val="24"/>
          <w:szCs w:val="24"/>
          <w:rtl/>
        </w:rPr>
        <w:t xml:space="preserve">, שהם עבריינים רגילים, שהתבגרו תוך כדי ביצוע עבירות חוזרות </w:t>
      </w:r>
      <w:proofErr w:type="spellStart"/>
      <w:r w:rsidR="00A90621" w:rsidRPr="008A6319">
        <w:rPr>
          <w:rFonts w:ascii="David" w:hAnsi="David" w:cs="David"/>
          <w:sz w:val="24"/>
          <w:szCs w:val="24"/>
          <w:rtl/>
        </w:rPr>
        <w:t>ונישנות</w:t>
      </w:r>
      <w:proofErr w:type="spellEnd"/>
      <w:r w:rsidR="00A90621" w:rsidRPr="008A6319">
        <w:rPr>
          <w:rFonts w:ascii="David" w:hAnsi="David" w:cs="David"/>
          <w:sz w:val="24"/>
          <w:szCs w:val="24"/>
          <w:rtl/>
        </w:rPr>
        <w:t>; ו- 3) אסירי עולם, שהם אלה שמרצים עונש מאסר ארוך טווח</w:t>
      </w:r>
      <w:r w:rsidR="001365F1" w:rsidRPr="008A6319">
        <w:rPr>
          <w:rFonts w:ascii="David" w:hAnsi="David" w:cs="David" w:hint="cs"/>
          <w:sz w:val="24"/>
          <w:szCs w:val="24"/>
          <w:rtl/>
        </w:rPr>
        <w:t xml:space="preserve"> (</w:t>
      </w:r>
      <w:proofErr w:type="spellStart"/>
      <w:r w:rsidR="001365F1" w:rsidRPr="008A6319">
        <w:rPr>
          <w:rFonts w:asciiTheme="majorBidi" w:hAnsiTheme="majorBidi" w:cstheme="majorBidi"/>
          <w:sz w:val="24"/>
          <w:szCs w:val="24"/>
        </w:rPr>
        <w:t>Aday</w:t>
      </w:r>
      <w:proofErr w:type="spellEnd"/>
      <w:r w:rsidR="001365F1" w:rsidRPr="008A6319">
        <w:rPr>
          <w:rFonts w:asciiTheme="majorBidi" w:hAnsiTheme="majorBidi" w:cstheme="majorBidi"/>
          <w:sz w:val="24"/>
          <w:szCs w:val="24"/>
        </w:rPr>
        <w:t xml:space="preserve">, 1994; </w:t>
      </w:r>
      <w:proofErr w:type="spellStart"/>
      <w:r w:rsidR="00D12DCE" w:rsidRPr="008A6319">
        <w:rPr>
          <w:rFonts w:asciiTheme="majorBidi" w:hAnsiTheme="majorBidi" w:cstheme="majorBidi"/>
          <w:sz w:val="24"/>
          <w:szCs w:val="24"/>
          <w:bdr w:val="none" w:sz="0" w:space="0" w:color="auto" w:frame="1"/>
          <w:shd w:val="clear" w:color="auto" w:fill="FFFFFF"/>
        </w:rPr>
        <w:t>Goetting</w:t>
      </w:r>
      <w:proofErr w:type="spellEnd"/>
      <w:r w:rsidR="00D12DCE" w:rsidRPr="008A6319">
        <w:rPr>
          <w:rFonts w:asciiTheme="majorBidi" w:hAnsiTheme="majorBidi" w:cstheme="majorBidi"/>
          <w:sz w:val="24"/>
          <w:szCs w:val="24"/>
          <w:bdr w:val="none" w:sz="0" w:space="0" w:color="auto" w:frame="1"/>
          <w:shd w:val="clear" w:color="auto" w:fill="FFFFFF"/>
        </w:rPr>
        <w:t xml:space="preserve">, 1984; </w:t>
      </w:r>
      <w:proofErr w:type="spellStart"/>
      <w:r w:rsidR="006B7A42" w:rsidRPr="008A6319">
        <w:rPr>
          <w:rFonts w:asciiTheme="majorBidi" w:hAnsiTheme="majorBidi" w:cstheme="majorBidi"/>
          <w:color w:val="222222"/>
          <w:sz w:val="24"/>
          <w:szCs w:val="24"/>
          <w:shd w:val="clear" w:color="auto" w:fill="FFFFFF"/>
        </w:rPr>
        <w:t>Maschi</w:t>
      </w:r>
      <w:proofErr w:type="spellEnd"/>
      <w:r w:rsidR="006B7A42" w:rsidRPr="008A6319">
        <w:rPr>
          <w:rFonts w:asciiTheme="majorBidi" w:hAnsiTheme="majorBidi" w:cstheme="majorBidi"/>
          <w:sz w:val="24"/>
          <w:szCs w:val="24"/>
          <w:bdr w:val="none" w:sz="0" w:space="0" w:color="auto" w:frame="1"/>
          <w:shd w:val="clear" w:color="auto" w:fill="FFFFFF"/>
        </w:rPr>
        <w:t xml:space="preserve"> et al., 2013</w:t>
      </w:r>
      <w:r w:rsidR="00D24A21" w:rsidRPr="008A6319">
        <w:rPr>
          <w:rFonts w:asciiTheme="majorBidi" w:hAnsiTheme="majorBidi" w:cstheme="majorBidi"/>
          <w:sz w:val="24"/>
          <w:szCs w:val="24"/>
          <w:bdr w:val="none" w:sz="0" w:space="0" w:color="auto" w:frame="1"/>
          <w:shd w:val="clear" w:color="auto" w:fill="FFFFFF"/>
        </w:rPr>
        <w:t>;</w:t>
      </w:r>
      <w:r w:rsidR="00D24A21" w:rsidRPr="008A6319">
        <w:rPr>
          <w:rFonts w:ascii="David" w:hAnsi="David" w:cs="David"/>
          <w:sz w:val="24"/>
          <w:szCs w:val="24"/>
          <w:bdr w:val="none" w:sz="0" w:space="0" w:color="auto" w:frame="1"/>
          <w:shd w:val="clear" w:color="auto" w:fill="FFFFFF"/>
        </w:rPr>
        <w:t xml:space="preserve"> </w:t>
      </w:r>
      <w:proofErr w:type="spellStart"/>
      <w:r w:rsidR="001365F1" w:rsidRPr="008A6319">
        <w:rPr>
          <w:rFonts w:ascii="David" w:hAnsi="David" w:cs="David"/>
          <w:sz w:val="24"/>
          <w:szCs w:val="24"/>
          <w:bdr w:val="none" w:sz="0" w:space="0" w:color="auto" w:frame="1"/>
          <w:shd w:val="clear" w:color="auto" w:fill="FFFFFF"/>
        </w:rPr>
        <w:t>Uzoaba</w:t>
      </w:r>
      <w:proofErr w:type="spellEnd"/>
      <w:r w:rsidR="001365F1" w:rsidRPr="008A6319">
        <w:rPr>
          <w:rFonts w:ascii="David" w:hAnsi="David" w:cs="David"/>
          <w:sz w:val="24"/>
          <w:szCs w:val="24"/>
        </w:rPr>
        <w:t>, 1998</w:t>
      </w:r>
      <w:r w:rsidR="001365F1" w:rsidRPr="008A6319">
        <w:rPr>
          <w:rFonts w:ascii="David" w:hAnsi="David" w:cs="David" w:hint="cs"/>
          <w:sz w:val="24"/>
          <w:szCs w:val="24"/>
          <w:rtl/>
        </w:rPr>
        <w:t>)</w:t>
      </w:r>
      <w:r w:rsidR="00A90621" w:rsidRPr="008A6319">
        <w:rPr>
          <w:rFonts w:ascii="David" w:hAnsi="David" w:cs="David"/>
          <w:sz w:val="24"/>
          <w:szCs w:val="24"/>
          <w:rtl/>
        </w:rPr>
        <w:t>. חוסר הבהירות בקטגוריות אלו, הביא להקמת קטגוריה רביעית כדי להבדיל בין העבריינים שהורשעו בעבירה הראשונה שלהם לפני שהם היו בקטגוריית 'זקנים' (</w:t>
      </w:r>
      <w:proofErr w:type="spellStart"/>
      <w:r w:rsidR="00A90621" w:rsidRPr="008A6319">
        <w:rPr>
          <w:rFonts w:ascii="David" w:hAnsi="David" w:cs="David"/>
          <w:sz w:val="24"/>
          <w:szCs w:val="24"/>
        </w:rPr>
        <w:t>Goetting</w:t>
      </w:r>
      <w:proofErr w:type="spellEnd"/>
      <w:r w:rsidR="00A90621" w:rsidRPr="008A6319">
        <w:rPr>
          <w:rFonts w:ascii="David" w:hAnsi="David" w:cs="David"/>
          <w:sz w:val="24"/>
          <w:szCs w:val="24"/>
        </w:rPr>
        <w:t>, 1984</w:t>
      </w:r>
      <w:r w:rsidR="00A90621" w:rsidRPr="008A6319">
        <w:rPr>
          <w:rFonts w:ascii="David" w:hAnsi="David" w:cs="David"/>
          <w:sz w:val="24"/>
          <w:szCs w:val="24"/>
          <w:rtl/>
        </w:rPr>
        <w:t xml:space="preserve">), אך כל הקטגוריות הללו קשורות בעיקר לסיווגים, לתיקונים ולא לעבירות שבוצעו. עם זאת, הספרות אכן מזהה שרוב הגברים המבוגרים נכלאים בבתי כלא במדינה בגין </w:t>
      </w:r>
      <w:r w:rsidRPr="008A6319">
        <w:rPr>
          <w:rFonts w:ascii="David" w:hAnsi="David" w:cs="David" w:hint="cs"/>
          <w:sz w:val="24"/>
          <w:szCs w:val="24"/>
          <w:rtl/>
        </w:rPr>
        <w:t xml:space="preserve">עברות של </w:t>
      </w:r>
      <w:r w:rsidR="00A90621" w:rsidRPr="008A6319">
        <w:rPr>
          <w:rFonts w:ascii="David" w:hAnsi="David" w:cs="David"/>
          <w:sz w:val="24"/>
          <w:szCs w:val="24"/>
          <w:rtl/>
        </w:rPr>
        <w:t>רצח, פשעי מין או סמים, בעוד שבקרב נשים</w:t>
      </w:r>
      <w:r w:rsidRPr="008A6319">
        <w:rPr>
          <w:rFonts w:ascii="David" w:hAnsi="David" w:cs="David" w:hint="cs"/>
          <w:sz w:val="24"/>
          <w:szCs w:val="24"/>
          <w:rtl/>
        </w:rPr>
        <w:t xml:space="preserve"> מבוגרות </w:t>
      </w:r>
      <w:r w:rsidR="00A90621" w:rsidRPr="008A6319">
        <w:rPr>
          <w:rFonts w:ascii="David" w:hAnsi="David" w:cs="David"/>
          <w:sz w:val="24"/>
          <w:szCs w:val="24"/>
          <w:rtl/>
        </w:rPr>
        <w:t>, סביר להניח שירצו עונש על  עבירות רצח או עבירות הקשורות לסמים (</w:t>
      </w:r>
      <w:proofErr w:type="spellStart"/>
      <w:r w:rsidR="00A90621" w:rsidRPr="008A6319">
        <w:rPr>
          <w:rFonts w:ascii="David" w:hAnsi="David" w:cs="David"/>
          <w:sz w:val="24"/>
          <w:szCs w:val="24"/>
        </w:rPr>
        <w:t>Aday</w:t>
      </w:r>
      <w:proofErr w:type="spellEnd"/>
      <w:r w:rsidR="00A90621" w:rsidRPr="008A6319">
        <w:rPr>
          <w:rFonts w:ascii="David" w:hAnsi="David" w:cs="David"/>
          <w:sz w:val="24"/>
          <w:szCs w:val="24"/>
        </w:rPr>
        <w:t xml:space="preserve">, 2003;  </w:t>
      </w:r>
      <w:proofErr w:type="spellStart"/>
      <w:r w:rsidR="00A90621" w:rsidRPr="008A6319">
        <w:rPr>
          <w:rFonts w:ascii="David" w:hAnsi="David" w:cs="David"/>
          <w:sz w:val="24"/>
          <w:szCs w:val="24"/>
        </w:rPr>
        <w:t>Aday</w:t>
      </w:r>
      <w:proofErr w:type="spellEnd"/>
      <w:r w:rsidR="00A90621" w:rsidRPr="008A6319">
        <w:rPr>
          <w:rFonts w:ascii="David" w:hAnsi="David" w:cs="David"/>
          <w:sz w:val="24"/>
          <w:szCs w:val="24"/>
        </w:rPr>
        <w:t xml:space="preserve"> &amp; </w:t>
      </w:r>
      <w:proofErr w:type="spellStart"/>
      <w:r w:rsidR="00A90621" w:rsidRPr="008A6319">
        <w:rPr>
          <w:rFonts w:ascii="David" w:hAnsi="David" w:cs="David"/>
          <w:sz w:val="24"/>
          <w:szCs w:val="24"/>
        </w:rPr>
        <w:t>Krabill</w:t>
      </w:r>
      <w:proofErr w:type="spellEnd"/>
      <w:r w:rsidR="00A90621" w:rsidRPr="008A6319">
        <w:rPr>
          <w:rFonts w:ascii="David" w:hAnsi="David" w:cs="David"/>
          <w:sz w:val="24"/>
          <w:szCs w:val="24"/>
        </w:rPr>
        <w:t>, 2011</w:t>
      </w:r>
      <w:r w:rsidR="00A90621" w:rsidRPr="008A6319">
        <w:rPr>
          <w:rFonts w:ascii="David" w:hAnsi="David" w:cs="David"/>
          <w:sz w:val="24"/>
          <w:szCs w:val="24"/>
          <w:rtl/>
        </w:rPr>
        <w:t xml:space="preserve">). </w:t>
      </w:r>
      <w:r w:rsidR="007204DE" w:rsidRPr="008A6319">
        <w:rPr>
          <w:rFonts w:ascii="David" w:hAnsi="David" w:cs="David"/>
          <w:sz w:val="24"/>
          <w:szCs w:val="24"/>
          <w:rtl/>
        </w:rPr>
        <w:t xml:space="preserve"> </w:t>
      </w:r>
    </w:p>
    <w:p w14:paraId="055AA3FD" w14:textId="77777777" w:rsidR="004F40A1" w:rsidRPr="008A6319" w:rsidRDefault="00E267C1" w:rsidP="00E23D62">
      <w:pPr>
        <w:spacing w:line="480" w:lineRule="auto"/>
        <w:ind w:firstLine="720"/>
        <w:contextualSpacing/>
        <w:jc w:val="both"/>
        <w:rPr>
          <w:rFonts w:ascii="David" w:eastAsia="Calibri" w:hAnsi="David" w:cs="David"/>
          <w:sz w:val="24"/>
          <w:szCs w:val="24"/>
          <w:rtl/>
        </w:rPr>
      </w:pPr>
      <w:proofErr w:type="spellStart"/>
      <w:r w:rsidRPr="008A6319">
        <w:rPr>
          <w:rFonts w:ascii="David" w:hAnsi="David" w:cs="David"/>
          <w:sz w:val="24"/>
          <w:szCs w:val="24"/>
          <w:rtl/>
        </w:rPr>
        <w:t>ווהידין</w:t>
      </w:r>
      <w:proofErr w:type="spellEnd"/>
      <w:r w:rsidRPr="008A6319">
        <w:rPr>
          <w:rFonts w:ascii="David" w:hAnsi="David" w:cs="David"/>
          <w:sz w:val="24"/>
          <w:szCs w:val="24"/>
          <w:rtl/>
        </w:rPr>
        <w:t xml:space="preserve"> </w:t>
      </w:r>
      <w:proofErr w:type="spellStart"/>
      <w:r w:rsidRPr="008A6319">
        <w:rPr>
          <w:rFonts w:ascii="David" w:hAnsi="David" w:cs="David"/>
          <w:sz w:val="24"/>
          <w:szCs w:val="24"/>
          <w:rtl/>
        </w:rPr>
        <w:t>ואדיי</w:t>
      </w:r>
      <w:proofErr w:type="spellEnd"/>
      <w:r w:rsidRPr="008A6319">
        <w:rPr>
          <w:rFonts w:ascii="David" w:hAnsi="David" w:cs="David"/>
          <w:sz w:val="24"/>
          <w:szCs w:val="24"/>
          <w:rtl/>
        </w:rPr>
        <w:t xml:space="preserve"> (</w:t>
      </w:r>
      <w:r w:rsidRPr="008A6319">
        <w:rPr>
          <w:rFonts w:ascii="David" w:hAnsi="David" w:cs="David"/>
          <w:sz w:val="24"/>
          <w:szCs w:val="24"/>
        </w:rPr>
        <w:t xml:space="preserve">Wahidin &amp; </w:t>
      </w:r>
      <w:proofErr w:type="spellStart"/>
      <w:r w:rsidRPr="008A6319">
        <w:rPr>
          <w:rFonts w:ascii="David" w:hAnsi="David" w:cs="David"/>
          <w:sz w:val="24"/>
          <w:szCs w:val="24"/>
        </w:rPr>
        <w:t>Aday</w:t>
      </w:r>
      <w:proofErr w:type="spellEnd"/>
      <w:r w:rsidRPr="008A6319">
        <w:rPr>
          <w:rFonts w:ascii="David" w:hAnsi="David" w:cs="David"/>
          <w:sz w:val="24"/>
          <w:szCs w:val="24"/>
        </w:rPr>
        <w:t>, 2010</w:t>
      </w:r>
      <w:r w:rsidRPr="008A6319">
        <w:rPr>
          <w:rFonts w:ascii="David" w:hAnsi="David" w:cs="David"/>
          <w:sz w:val="24"/>
          <w:szCs w:val="24"/>
          <w:rtl/>
        </w:rPr>
        <w:t xml:space="preserve">) פירטו מספר </w:t>
      </w:r>
      <w:r w:rsidR="004F40A1" w:rsidRPr="008A6319">
        <w:rPr>
          <w:rFonts w:ascii="David" w:hAnsi="David" w:cs="David" w:hint="cs"/>
          <w:sz w:val="24"/>
          <w:szCs w:val="24"/>
          <w:rtl/>
        </w:rPr>
        <w:t>"</w:t>
      </w:r>
      <w:r w:rsidRPr="008A6319">
        <w:rPr>
          <w:rFonts w:ascii="David" w:hAnsi="David" w:cs="David"/>
          <w:sz w:val="24"/>
          <w:szCs w:val="24"/>
          <w:rtl/>
        </w:rPr>
        <w:t>כאבי מאסר</w:t>
      </w:r>
      <w:r w:rsidR="004F40A1" w:rsidRPr="008A6319">
        <w:rPr>
          <w:rFonts w:ascii="David" w:hAnsi="David" w:cs="David" w:hint="cs"/>
          <w:sz w:val="24"/>
          <w:szCs w:val="24"/>
          <w:rtl/>
        </w:rPr>
        <w:t>"</w:t>
      </w:r>
      <w:r w:rsidRPr="008A6319">
        <w:rPr>
          <w:rFonts w:ascii="David" w:hAnsi="David" w:cs="David"/>
          <w:sz w:val="24"/>
          <w:szCs w:val="24"/>
          <w:rtl/>
        </w:rPr>
        <w:t xml:space="preserve"> המאפיינים את העבריינים הקשישים, עם דגש על עבריינים שביצעו את עבירתם הראשונה לאחר גיל 50: 1)</w:t>
      </w:r>
      <w:r w:rsidRPr="008A6319">
        <w:rPr>
          <w:rFonts w:ascii="David" w:hAnsi="David" w:cs="David"/>
          <w:sz w:val="24"/>
          <w:szCs w:val="24"/>
        </w:rPr>
        <w:t xml:space="preserve"> </w:t>
      </w:r>
      <w:r w:rsidRPr="008A6319">
        <w:rPr>
          <w:rFonts w:ascii="David" w:hAnsi="David" w:cs="David"/>
          <w:sz w:val="24"/>
          <w:szCs w:val="24"/>
          <w:rtl/>
        </w:rPr>
        <w:t>סובלים לעיתים קרובות מהלם בכלא / קשיים בהתמודדות עם מאסר מאוחרי החיים; 2) עלולים להיות מנוכרים ממשפחות בגלל פשעים אלימים שנעשו נגד בני משפחה; 3)</w:t>
      </w:r>
      <w:r w:rsidRPr="008A6319">
        <w:rPr>
          <w:rFonts w:ascii="David" w:hAnsi="David" w:cs="David"/>
          <w:sz w:val="24"/>
          <w:szCs w:val="24"/>
        </w:rPr>
        <w:t xml:space="preserve"> </w:t>
      </w:r>
      <w:r w:rsidRPr="008A6319">
        <w:rPr>
          <w:rFonts w:ascii="David" w:hAnsi="David" w:cs="David"/>
          <w:sz w:val="24"/>
          <w:szCs w:val="24"/>
          <w:rtl/>
        </w:rPr>
        <w:t>יתכן שיש בעיות דיכאון וחרדה הקשורות לאובדן משפחה, חברים וחיים מבחוץ בכלל; 4)</w:t>
      </w:r>
      <w:r w:rsidRPr="008A6319">
        <w:rPr>
          <w:rFonts w:ascii="David" w:hAnsi="David" w:cs="David"/>
          <w:sz w:val="24"/>
          <w:szCs w:val="24"/>
        </w:rPr>
        <w:t xml:space="preserve"> </w:t>
      </w:r>
      <w:r w:rsidRPr="008A6319">
        <w:rPr>
          <w:rFonts w:ascii="David" w:hAnsi="David" w:cs="David"/>
          <w:sz w:val="24"/>
          <w:szCs w:val="24"/>
          <w:rtl/>
        </w:rPr>
        <w:t>ייתכן וישנם רגשות אשמה כבדים עקב עבירות מין / מקרי רצח נגד בני משפחה; 5)</w:t>
      </w:r>
      <w:r w:rsidRPr="008A6319">
        <w:rPr>
          <w:rFonts w:ascii="David" w:hAnsi="David" w:cs="David"/>
          <w:sz w:val="24"/>
          <w:szCs w:val="24"/>
        </w:rPr>
        <w:t xml:space="preserve"> </w:t>
      </w:r>
      <w:r w:rsidRPr="008A6319">
        <w:rPr>
          <w:rFonts w:ascii="David" w:hAnsi="David" w:cs="David"/>
          <w:sz w:val="24"/>
          <w:szCs w:val="24"/>
          <w:rtl/>
        </w:rPr>
        <w:lastRenderedPageBreak/>
        <w:t>עלולים לחוות פחד מוגבר הקשור לכליאה מאוחרת בחיים, במיוחד לאסירים פגיעים שבריריים; 6) עלולים לבודד את עצמם מהסביבה החברתית הגדולה יותר, לבלות זמן רב בתאיהם; 7) עלולים לחוות מחשבות אובדניות- שכיחות גבוהה יותר בקרב אסירים הנכנסים לכלא עם בעיות נפשיות; 8)</w:t>
      </w:r>
      <w:r w:rsidRPr="008A6319">
        <w:rPr>
          <w:rFonts w:ascii="David" w:hAnsi="David" w:cs="David"/>
          <w:sz w:val="24"/>
          <w:szCs w:val="24"/>
        </w:rPr>
        <w:t xml:space="preserve"> </w:t>
      </w:r>
      <w:r w:rsidRPr="008A6319">
        <w:rPr>
          <w:rFonts w:ascii="David" w:hAnsi="David" w:cs="David"/>
          <w:sz w:val="24"/>
          <w:szCs w:val="24"/>
          <w:rtl/>
        </w:rPr>
        <w:t>עלולים לפתח ציפיות לא מציאותיות לגבי שירותי הבריאות בכלא, לעיתים קרובות בהשוואה לחוויות חיצוניות.</w:t>
      </w:r>
      <w:r w:rsidR="00C949AA" w:rsidRPr="008A6319">
        <w:rPr>
          <w:rFonts w:ascii="David" w:eastAsia="Calibri" w:hAnsi="David" w:cs="David" w:hint="cs"/>
          <w:sz w:val="24"/>
          <w:szCs w:val="24"/>
          <w:rtl/>
        </w:rPr>
        <w:t xml:space="preserve"> </w:t>
      </w:r>
    </w:p>
    <w:p w14:paraId="0151DBF5" w14:textId="08B34C86" w:rsidR="000374DF" w:rsidRPr="008A6319" w:rsidRDefault="00C949AA" w:rsidP="004F40A1">
      <w:pPr>
        <w:spacing w:line="480" w:lineRule="auto"/>
        <w:ind w:firstLine="720"/>
        <w:contextualSpacing/>
        <w:jc w:val="both"/>
        <w:rPr>
          <w:rFonts w:ascii="David" w:eastAsia="Calibri" w:hAnsi="David" w:cs="David"/>
          <w:sz w:val="24"/>
          <w:szCs w:val="24"/>
          <w:rtl/>
        </w:rPr>
      </w:pPr>
      <w:r w:rsidRPr="008A6319">
        <w:rPr>
          <w:rFonts w:ascii="David" w:eastAsia="Calibri" w:hAnsi="David" w:cs="David" w:hint="cs"/>
          <w:sz w:val="24"/>
          <w:szCs w:val="24"/>
          <w:rtl/>
        </w:rPr>
        <w:t>עולה כי מאסר יכול לצמצם את נוכחות המשפחה בכך שיש אינטראקציה מוגבלת, האסירים המבוגרים לרוב מאבדים את הקשר עם העולם החיצוני. האסירים שביצעו פשעים נגד בני משפחה או פשעים מינים עלולים לפתח קונפליקט במערכת היחסים המשפחתית, לאסירים אלו יש קצת או כלל לא מבקרים מהחברים הקרובים או בני משפח</w:t>
      </w:r>
      <w:r w:rsidR="00AA2BF3" w:rsidRPr="008A6319">
        <w:rPr>
          <w:rFonts w:ascii="David" w:eastAsia="Calibri" w:hAnsi="David" w:cs="David" w:hint="cs"/>
          <w:sz w:val="24"/>
          <w:szCs w:val="24"/>
          <w:rtl/>
        </w:rPr>
        <w:t>ה</w:t>
      </w:r>
      <w:r w:rsidR="00FA47C2" w:rsidRPr="008A6319">
        <w:rPr>
          <w:rFonts w:ascii="David" w:eastAsia="Calibri" w:hAnsi="David" w:cs="David" w:hint="cs"/>
          <w:sz w:val="24"/>
          <w:szCs w:val="24"/>
          <w:rtl/>
        </w:rPr>
        <w:t xml:space="preserve"> (</w:t>
      </w:r>
      <w:proofErr w:type="spellStart"/>
      <w:r w:rsidR="00FA47C2" w:rsidRPr="008A6319">
        <w:rPr>
          <w:rFonts w:ascii="David" w:eastAsia="Calibri" w:hAnsi="David" w:cs="David"/>
          <w:sz w:val="24"/>
          <w:szCs w:val="24"/>
        </w:rPr>
        <w:t>Maschi</w:t>
      </w:r>
      <w:proofErr w:type="spellEnd"/>
      <w:r w:rsidR="00FA47C2" w:rsidRPr="008A6319">
        <w:rPr>
          <w:rFonts w:ascii="David" w:eastAsia="Calibri" w:hAnsi="David" w:cs="David"/>
          <w:sz w:val="24"/>
          <w:szCs w:val="24"/>
        </w:rPr>
        <w:t xml:space="preserve"> et al., 2013</w:t>
      </w:r>
      <w:r w:rsidR="00FA47C2" w:rsidRPr="008A6319">
        <w:rPr>
          <w:rFonts w:ascii="David" w:eastAsia="Calibri" w:hAnsi="David" w:cs="David" w:hint="cs"/>
          <w:sz w:val="24"/>
          <w:szCs w:val="24"/>
          <w:rtl/>
        </w:rPr>
        <w:t>)</w:t>
      </w:r>
      <w:r w:rsidR="00FA47C2" w:rsidRPr="008A6319">
        <w:rPr>
          <w:rFonts w:ascii="David" w:eastAsia="Calibri" w:hAnsi="David" w:cs="David"/>
          <w:sz w:val="24"/>
          <w:szCs w:val="24"/>
        </w:rPr>
        <w:t xml:space="preserve"> </w:t>
      </w:r>
      <w:r w:rsidR="004F40A1" w:rsidRPr="008A6319">
        <w:rPr>
          <w:rFonts w:ascii="David" w:eastAsia="Calibri" w:hAnsi="David" w:cs="David" w:hint="cs"/>
          <w:sz w:val="24"/>
          <w:szCs w:val="24"/>
          <w:rtl/>
        </w:rPr>
        <w:t xml:space="preserve"> </w:t>
      </w:r>
      <w:r w:rsidRPr="008A6319">
        <w:rPr>
          <w:rFonts w:ascii="David" w:eastAsia="Calibri" w:hAnsi="David" w:cs="David"/>
          <w:sz w:val="24"/>
          <w:szCs w:val="24"/>
          <w:rtl/>
        </w:rPr>
        <w:tab/>
      </w:r>
    </w:p>
    <w:p w14:paraId="3C6FFE93" w14:textId="77777777" w:rsidR="00E63883" w:rsidRPr="008A6319" w:rsidRDefault="00E63883" w:rsidP="00E23D62">
      <w:pPr>
        <w:spacing w:line="480" w:lineRule="auto"/>
        <w:ind w:firstLine="720"/>
        <w:contextualSpacing/>
        <w:jc w:val="both"/>
        <w:rPr>
          <w:rFonts w:ascii="David" w:hAnsi="David" w:cs="David"/>
          <w:sz w:val="24"/>
          <w:szCs w:val="24"/>
          <w:rtl/>
        </w:rPr>
      </w:pPr>
      <w:r w:rsidRPr="008A6319">
        <w:rPr>
          <w:rFonts w:ascii="David" w:hAnsi="David" w:cs="David"/>
          <w:sz w:val="24"/>
          <w:szCs w:val="24"/>
          <w:rtl/>
        </w:rPr>
        <w:t>עד שנות ה-70 ,בדומה לתחום הזקנה בכללותו, הדיון המדעי בסוגיית האסירים הזקנים כמעט שלא זכה לביטוי בשיח הציבורי או המדעי בישראל. מאז ועד היום אמנם נעשו מספר מחקרים בנושא, אך היקפם מצומצם ביותר וממצאיהם לא תמיד התיישבו זה עם זה</w:t>
      </w:r>
      <w:r w:rsidRPr="008A6319">
        <w:rPr>
          <w:rFonts w:ascii="David" w:hAnsi="David" w:cs="David"/>
          <w:sz w:val="24"/>
          <w:szCs w:val="24"/>
        </w:rPr>
        <w:t xml:space="preserve">. </w:t>
      </w:r>
      <w:r w:rsidRPr="008A6319">
        <w:rPr>
          <w:rFonts w:ascii="David" w:hAnsi="David" w:cs="David"/>
          <w:sz w:val="24"/>
          <w:szCs w:val="24"/>
          <w:rtl/>
        </w:rPr>
        <w:t>המחקר החלוצי הראשון בתחום האסירים הזקנים בישראל התפרסם בראשית שנות ה-70 ,עת החלה להיווצר התעניינות מסוימת בעבריינות ובענישה של עבריינים זקנים. המאמר נכתב על ידי הקרימינולוגים ברגמן ואמיר</w:t>
      </w:r>
      <w:r w:rsidRPr="008A6319">
        <w:rPr>
          <w:rFonts w:ascii="David" w:hAnsi="David" w:cs="David"/>
          <w:b/>
          <w:bCs/>
          <w:sz w:val="24"/>
          <w:szCs w:val="24"/>
          <w:rtl/>
        </w:rPr>
        <w:t xml:space="preserve"> </w:t>
      </w:r>
      <w:r w:rsidRPr="008A6319">
        <w:rPr>
          <w:rFonts w:ascii="David" w:hAnsi="David" w:cs="David"/>
          <w:sz w:val="24"/>
          <w:szCs w:val="24"/>
          <w:rtl/>
        </w:rPr>
        <w:t>(</w:t>
      </w:r>
      <w:r w:rsidR="002A2FE2" w:rsidRPr="008A6319">
        <w:rPr>
          <w:rFonts w:ascii="David" w:hAnsi="David" w:cs="David"/>
          <w:sz w:val="24"/>
          <w:szCs w:val="24"/>
        </w:rPr>
        <w:t>Bergman &amp; Amir, 1973</w:t>
      </w:r>
      <w:r w:rsidRPr="008A6319">
        <w:rPr>
          <w:rFonts w:ascii="David" w:hAnsi="David" w:cs="David"/>
          <w:sz w:val="24"/>
          <w:szCs w:val="24"/>
          <w:rtl/>
        </w:rPr>
        <w:t>) שהיו בשעתו פורצי הדרך ובחנו את הקשיים החברתיים והתרבותיים של העבריינים הקשישים (בני 60 ומעלה). לטענתם, מספר העבריינים הקשישים קטן יחסית, משום שאלה נהנים מיחס סלחני ומתחשב של הרשות השופטת. בכל הנוגע לאסירים קשישים, ברגמן ואמיר שרטטו תמונה אשר באופן כללי שיקפה מציאות של חולשה ותלות.</w:t>
      </w:r>
      <w:r w:rsidR="00127542" w:rsidRPr="008A6319">
        <w:rPr>
          <w:rFonts w:ascii="David" w:hAnsi="David" w:cs="David"/>
          <w:sz w:val="24"/>
          <w:szCs w:val="24"/>
          <w:rtl/>
        </w:rPr>
        <w:t xml:space="preserve"> </w:t>
      </w:r>
      <w:r w:rsidRPr="008A6319">
        <w:rPr>
          <w:rFonts w:ascii="David" w:hAnsi="David" w:cs="David"/>
          <w:sz w:val="24"/>
          <w:szCs w:val="24"/>
          <w:rtl/>
        </w:rPr>
        <w:t>הם טענו כי המצב הפיזי והמנטלי של האסירים הזקנים מתדרדר במהירות בכלא. הם תיארו את האסירים הזקנים כנתונים לחסדי האסירים הצעירים, שהם אגרסיביים יותר ומפחידים, מאיימים או משפילים את האסירים הזקנים. האסירים הזקנים, על פי תיאור זה, מדוכאים ותלויים בהגנה שמספקים להם הסוהרים ושלטונות הכלא, ולבסוף אף סובלים מהיעדר חברים, תעסוקה ותנאי מחייה סבירים</w:t>
      </w:r>
      <w:r w:rsidR="00127542" w:rsidRPr="008A6319">
        <w:rPr>
          <w:rFonts w:ascii="David" w:hAnsi="David" w:cs="David"/>
          <w:sz w:val="24"/>
          <w:szCs w:val="24"/>
          <w:rtl/>
        </w:rPr>
        <w:t>.</w:t>
      </w:r>
    </w:p>
    <w:p w14:paraId="2F862C90" w14:textId="77777777" w:rsidR="00127542" w:rsidRPr="008A6319" w:rsidRDefault="00127542" w:rsidP="00E23D62">
      <w:pPr>
        <w:spacing w:line="480" w:lineRule="auto"/>
        <w:ind w:firstLine="720"/>
        <w:contextualSpacing/>
        <w:jc w:val="both"/>
        <w:rPr>
          <w:rFonts w:ascii="David" w:hAnsi="David" w:cs="David"/>
          <w:sz w:val="24"/>
          <w:szCs w:val="24"/>
          <w:rtl/>
        </w:rPr>
      </w:pPr>
      <w:r w:rsidRPr="008A6319">
        <w:rPr>
          <w:rFonts w:ascii="David" w:hAnsi="David" w:cs="David"/>
          <w:sz w:val="24"/>
          <w:szCs w:val="24"/>
          <w:rtl/>
        </w:rPr>
        <w:t xml:space="preserve">מחקר הבא שנערך בנושא בישראל, היה מחקרם של סילפן </w:t>
      </w:r>
      <w:r w:rsidR="0096303C" w:rsidRPr="008A6319">
        <w:rPr>
          <w:rFonts w:ascii="David" w:hAnsi="David" w:cs="David" w:hint="cs"/>
          <w:sz w:val="24"/>
          <w:szCs w:val="24"/>
          <w:rtl/>
        </w:rPr>
        <w:t>ועמי</w:t>
      </w:r>
      <w:r w:rsidR="005E4C4C" w:rsidRPr="008A6319">
        <w:rPr>
          <w:rFonts w:ascii="David" w:hAnsi="David" w:cs="David" w:hint="cs"/>
          <w:sz w:val="24"/>
          <w:szCs w:val="24"/>
          <w:rtl/>
        </w:rPr>
        <w:t>תיו</w:t>
      </w:r>
      <w:r w:rsidRPr="008A6319">
        <w:rPr>
          <w:rFonts w:ascii="David" w:hAnsi="David" w:cs="David"/>
          <w:sz w:val="24"/>
          <w:szCs w:val="24"/>
          <w:rtl/>
        </w:rPr>
        <w:t xml:space="preserve"> </w:t>
      </w:r>
      <w:r w:rsidR="006C1814" w:rsidRPr="008A6319">
        <w:rPr>
          <w:rFonts w:ascii="David" w:hAnsi="David" w:cs="David" w:hint="cs"/>
          <w:sz w:val="24"/>
          <w:szCs w:val="24"/>
          <w:rtl/>
        </w:rPr>
        <w:t>(</w:t>
      </w:r>
      <w:proofErr w:type="spellStart"/>
      <w:r w:rsidR="006C1814" w:rsidRPr="008A6319">
        <w:rPr>
          <w:rFonts w:ascii="David" w:hAnsi="David" w:cs="David"/>
          <w:sz w:val="24"/>
          <w:szCs w:val="24"/>
        </w:rPr>
        <w:t>Silfen</w:t>
      </w:r>
      <w:proofErr w:type="spellEnd"/>
      <w:r w:rsidR="006C1814" w:rsidRPr="008A6319">
        <w:rPr>
          <w:rFonts w:ascii="David" w:hAnsi="David" w:cs="David"/>
          <w:sz w:val="24"/>
          <w:szCs w:val="24"/>
        </w:rPr>
        <w:t xml:space="preserve"> </w:t>
      </w:r>
      <w:r w:rsidR="005E4C4C" w:rsidRPr="008A6319">
        <w:rPr>
          <w:rFonts w:ascii="David" w:hAnsi="David" w:cs="David"/>
          <w:sz w:val="24"/>
          <w:szCs w:val="24"/>
        </w:rPr>
        <w:t xml:space="preserve">et al., </w:t>
      </w:r>
      <w:r w:rsidR="006C1814" w:rsidRPr="008A6319">
        <w:rPr>
          <w:rFonts w:ascii="David" w:hAnsi="David" w:cs="David"/>
          <w:sz w:val="24"/>
          <w:szCs w:val="24"/>
        </w:rPr>
        <w:t>1977</w:t>
      </w:r>
      <w:r w:rsidR="006C1814" w:rsidRPr="008A6319">
        <w:rPr>
          <w:rFonts w:ascii="David" w:hAnsi="David" w:cs="David" w:hint="cs"/>
          <w:sz w:val="24"/>
          <w:szCs w:val="24"/>
          <w:rtl/>
        </w:rPr>
        <w:t>)</w:t>
      </w:r>
      <w:r w:rsidRPr="008A6319">
        <w:rPr>
          <w:rFonts w:ascii="David" w:hAnsi="David" w:cs="David"/>
          <w:sz w:val="24"/>
          <w:szCs w:val="24"/>
          <w:rtl/>
        </w:rPr>
        <w:t>. המחקר התפרסם בשנת 1977 והתבסס על ראיונות עם 15 אסירים בני +50</w:t>
      </w:r>
      <w:r w:rsidRPr="008A6319">
        <w:rPr>
          <w:rFonts w:ascii="David" w:hAnsi="David" w:cs="David"/>
          <w:b/>
          <w:bCs/>
          <w:sz w:val="24"/>
          <w:szCs w:val="24"/>
          <w:rtl/>
        </w:rPr>
        <w:t xml:space="preserve">. </w:t>
      </w:r>
      <w:r w:rsidRPr="008A6319">
        <w:rPr>
          <w:rFonts w:ascii="David" w:hAnsi="David" w:cs="David"/>
          <w:sz w:val="24"/>
          <w:szCs w:val="24"/>
          <w:rtl/>
        </w:rPr>
        <w:t>חוקרים אלה התמקדו בהסתגלות של אסירים זקנים בישראל לעונש המאסר. ממצאי מחקר זה סתרו את טענותיהם הקודמות של החוקרים אמיר וברגמן. סילפן ובן</w:t>
      </w:r>
      <w:r w:rsidRPr="008A6319">
        <w:rPr>
          <w:rFonts w:ascii="David" w:hAnsi="David" w:cs="David"/>
          <w:sz w:val="24"/>
          <w:szCs w:val="24"/>
        </w:rPr>
        <w:t xml:space="preserve">- </w:t>
      </w:r>
      <w:r w:rsidRPr="008A6319">
        <w:rPr>
          <w:rFonts w:ascii="David" w:hAnsi="David" w:cs="David"/>
          <w:sz w:val="24"/>
          <w:szCs w:val="24"/>
          <w:rtl/>
        </w:rPr>
        <w:t xml:space="preserve">דוד מצאו, כי רוב האסירים הזקנים הסתגלו היטב לחיים בכלא. יתרה מכך, האסירים הזקנים נראו בריאים יותר וצעירים יותר מגילם הכרונולוגי, ובניגוד לנטען על ידי אמיר וברגמן, הם לא סבלו מהשפלה או מפגיעתם של אסירים צעירים יותר, אלא להפך </w:t>
      </w:r>
      <w:r w:rsidRPr="008A6319">
        <w:rPr>
          <w:rFonts w:ascii="David" w:hAnsi="David" w:cs="David"/>
          <w:sz w:val="24"/>
          <w:szCs w:val="24"/>
        </w:rPr>
        <w:t xml:space="preserve">- </w:t>
      </w:r>
      <w:r w:rsidRPr="008A6319">
        <w:rPr>
          <w:rFonts w:ascii="David" w:hAnsi="David" w:cs="David"/>
          <w:sz w:val="24"/>
          <w:szCs w:val="24"/>
          <w:rtl/>
        </w:rPr>
        <w:t>זכו לכבוד ואף לסיוע מהם. יתרה מכך, כאשר אסירים זקנים נתקלו בבעיות תפקודיות, שלטונות הכלא הפגינו גמישות ובאו לקראתם על ידי מתן הקלות מסוימות. הדבר לא נעשה במסגרת מדיניות כוללת כלשהי, אלא מכוח הדינמיקה היומיומית של חיי הכלא.</w:t>
      </w:r>
    </w:p>
    <w:p w14:paraId="4968697A" w14:textId="77777777" w:rsidR="001932B8" w:rsidRPr="008A6319" w:rsidRDefault="001932B8" w:rsidP="00E23D62">
      <w:pPr>
        <w:spacing w:line="480" w:lineRule="auto"/>
        <w:ind w:firstLine="720"/>
        <w:contextualSpacing/>
        <w:jc w:val="both"/>
        <w:rPr>
          <w:rFonts w:ascii="David" w:hAnsi="David" w:cs="David"/>
          <w:b/>
          <w:bCs/>
          <w:sz w:val="24"/>
          <w:szCs w:val="24"/>
          <w:rtl/>
        </w:rPr>
      </w:pPr>
      <w:r w:rsidRPr="008A6319">
        <w:rPr>
          <w:rFonts w:ascii="David" w:hAnsi="David" w:cs="David"/>
          <w:sz w:val="24"/>
          <w:szCs w:val="24"/>
          <w:rtl/>
        </w:rPr>
        <w:lastRenderedPageBreak/>
        <w:t>בשנות ה-90 נערכו שני מחקרים חשובים נוספ</w:t>
      </w:r>
      <w:r w:rsidR="00F50B63" w:rsidRPr="008A6319">
        <w:rPr>
          <w:rFonts w:ascii="David" w:hAnsi="David" w:cs="David" w:hint="cs"/>
          <w:sz w:val="24"/>
          <w:szCs w:val="24"/>
          <w:rtl/>
        </w:rPr>
        <w:t xml:space="preserve">ים. </w:t>
      </w:r>
      <w:r w:rsidRPr="008A6319">
        <w:rPr>
          <w:rFonts w:ascii="David" w:hAnsi="David" w:cs="David"/>
          <w:sz w:val="24"/>
          <w:szCs w:val="24"/>
          <w:rtl/>
        </w:rPr>
        <w:t>בשנת 1995 פורסם מחקר של ברק ואח</w:t>
      </w:r>
      <w:r w:rsidRPr="008A6319">
        <w:rPr>
          <w:rFonts w:ascii="David" w:hAnsi="David" w:cs="David"/>
          <w:sz w:val="24"/>
          <w:szCs w:val="24"/>
        </w:rPr>
        <w:t>Barak), (</w:t>
      </w:r>
      <w:r w:rsidR="006C1814" w:rsidRPr="008A6319">
        <w:rPr>
          <w:rFonts w:ascii="David" w:hAnsi="David" w:cs="David"/>
          <w:sz w:val="24"/>
          <w:szCs w:val="24"/>
        </w:rPr>
        <w:t>et al.,</w:t>
      </w:r>
      <w:r w:rsidRPr="008A6319">
        <w:rPr>
          <w:rFonts w:ascii="David" w:hAnsi="David" w:cs="David"/>
          <w:sz w:val="24"/>
          <w:szCs w:val="24"/>
        </w:rPr>
        <w:t xml:space="preserve"> 1995</w:t>
      </w:r>
      <w:r w:rsidRPr="008A6319">
        <w:rPr>
          <w:rFonts w:ascii="David" w:hAnsi="David" w:cs="David"/>
          <w:sz w:val="24"/>
          <w:szCs w:val="24"/>
          <w:rtl/>
        </w:rPr>
        <w:t xml:space="preserve">. חוקרים אלה התמקדו בניתוח מצבם הנפשי של עבריינים זקנים שזו להם ההרשעה הראשונה. ממצאיהם ציינו את הממצא לפיו כמחצית מהעבריינים הזקנים נמצאו כסובלים מהפרעה </w:t>
      </w:r>
      <w:proofErr w:type="spellStart"/>
      <w:r w:rsidRPr="008A6319">
        <w:rPr>
          <w:rFonts w:ascii="David" w:hAnsi="David" w:cs="David"/>
          <w:sz w:val="24"/>
          <w:szCs w:val="24"/>
          <w:rtl/>
        </w:rPr>
        <w:t>נוירופסיכיאטרית</w:t>
      </w:r>
      <w:proofErr w:type="spellEnd"/>
      <w:r w:rsidRPr="008A6319">
        <w:rPr>
          <w:rFonts w:ascii="David" w:hAnsi="David" w:cs="David"/>
          <w:sz w:val="24"/>
          <w:szCs w:val="24"/>
          <w:rtl/>
        </w:rPr>
        <w:t>, וכמחצית מתוך קבוצה זו סבלה מדמנציה והפרעות אישיות</w:t>
      </w:r>
      <w:r w:rsidRPr="008A6319">
        <w:rPr>
          <w:rFonts w:ascii="David" w:hAnsi="David" w:cs="David"/>
          <w:sz w:val="24"/>
          <w:szCs w:val="24"/>
        </w:rPr>
        <w:t xml:space="preserve">. </w:t>
      </w:r>
      <w:r w:rsidRPr="008A6319">
        <w:rPr>
          <w:rFonts w:ascii="David" w:hAnsi="David" w:cs="David"/>
          <w:sz w:val="24"/>
          <w:szCs w:val="24"/>
          <w:rtl/>
        </w:rPr>
        <w:t>המחקר</w:t>
      </w:r>
      <w:r w:rsidRPr="008A6319">
        <w:rPr>
          <w:rFonts w:ascii="David" w:hAnsi="David" w:cs="David"/>
          <w:sz w:val="24"/>
          <w:szCs w:val="24"/>
        </w:rPr>
        <w:t xml:space="preserve">, </w:t>
      </w:r>
      <w:r w:rsidRPr="008A6319">
        <w:rPr>
          <w:rFonts w:ascii="David" w:hAnsi="David" w:cs="David"/>
          <w:sz w:val="24"/>
          <w:szCs w:val="24"/>
          <w:rtl/>
        </w:rPr>
        <w:t>שהיה תיאורי במהותו, התבסס על כלל אוכלוסיית הקשישים שהיו שפוטים בבתי הסוהר בישראל בשנים 1994-1992 .הממצאים התיאוריים של המחקר הציגו, לראשונה בישראל, תמונה מקיפה אודות התפלגות האסירים הקשישים על פי קשת מאוד מגוונת של משתנים. מעניין כי בסופו של דבר, מחקר זה הסתפק בממצאים תיאוריים בלבד</w:t>
      </w:r>
      <w:r w:rsidRPr="008A6319">
        <w:rPr>
          <w:rFonts w:ascii="David" w:hAnsi="David" w:cs="David"/>
          <w:sz w:val="24"/>
          <w:szCs w:val="24"/>
        </w:rPr>
        <w:t xml:space="preserve">, </w:t>
      </w:r>
      <w:r w:rsidRPr="008A6319">
        <w:rPr>
          <w:rFonts w:ascii="David" w:hAnsi="David" w:cs="David"/>
          <w:sz w:val="24"/>
          <w:szCs w:val="24"/>
          <w:rtl/>
        </w:rPr>
        <w:t>ולמרות היקפו הנרחב, נמנע מלנסות ולמצוא קשרים מחקריים מעבר לממדים התיאוריים</w:t>
      </w:r>
      <w:r w:rsidRPr="008A6319">
        <w:rPr>
          <w:rFonts w:ascii="David" w:hAnsi="David" w:cs="David"/>
          <w:sz w:val="24"/>
          <w:szCs w:val="24"/>
        </w:rPr>
        <w:t>.</w:t>
      </w:r>
    </w:p>
    <w:p w14:paraId="45A34D01" w14:textId="77777777" w:rsidR="001932B8" w:rsidRPr="008A6319" w:rsidRDefault="00790C5D" w:rsidP="004F40A1">
      <w:pPr>
        <w:spacing w:line="480" w:lineRule="auto"/>
        <w:ind w:firstLine="720"/>
        <w:contextualSpacing/>
        <w:jc w:val="both"/>
        <w:rPr>
          <w:rFonts w:ascii="David" w:hAnsi="David" w:cs="David"/>
          <w:sz w:val="24"/>
          <w:szCs w:val="24"/>
          <w:rtl/>
        </w:rPr>
      </w:pPr>
      <w:r w:rsidRPr="008A6319">
        <w:rPr>
          <w:rFonts w:ascii="David" w:hAnsi="David" w:cs="David" w:hint="cs"/>
          <w:sz w:val="24"/>
          <w:szCs w:val="24"/>
          <w:rtl/>
        </w:rPr>
        <w:t>ב-2006</w:t>
      </w:r>
      <w:r w:rsidR="001932B8" w:rsidRPr="008A6319">
        <w:rPr>
          <w:rFonts w:ascii="David" w:hAnsi="David" w:cs="David"/>
          <w:sz w:val="24"/>
          <w:szCs w:val="24"/>
          <w:rtl/>
        </w:rPr>
        <w:t xml:space="preserve"> ערך דורון מחקר איכותני שמטרתו הייתה לנסות ולהבין, ללמוד ולהכיר את עולמם של האסירים הזקנים העצמאיים השוהים בבית המאסר מעשיהו</w:t>
      </w:r>
      <w:r w:rsidRPr="008A6319">
        <w:rPr>
          <w:rFonts w:ascii="David" w:hAnsi="David" w:cs="David" w:hint="cs"/>
          <w:sz w:val="24"/>
          <w:szCs w:val="24"/>
          <w:rtl/>
        </w:rPr>
        <w:t xml:space="preserve"> (דורון, 2006</w:t>
      </w:r>
      <w:r w:rsidR="002245BE" w:rsidRPr="008A6319">
        <w:rPr>
          <w:rFonts w:ascii="David" w:hAnsi="David" w:cs="David"/>
          <w:sz w:val="24"/>
          <w:szCs w:val="24"/>
        </w:rPr>
        <w:t>Doron, 2007;</w:t>
      </w:r>
      <w:r w:rsidR="002245BE" w:rsidRPr="008A6319">
        <w:rPr>
          <w:rFonts w:ascii="David" w:hAnsi="David" w:cs="David" w:hint="cs"/>
          <w:sz w:val="24"/>
          <w:szCs w:val="24"/>
          <w:rtl/>
        </w:rPr>
        <w:t>)</w:t>
      </w:r>
      <w:r w:rsidR="002245BE" w:rsidRPr="008A6319">
        <w:rPr>
          <w:rFonts w:ascii="David" w:hAnsi="David" w:cs="David"/>
          <w:sz w:val="24"/>
          <w:szCs w:val="24"/>
        </w:rPr>
        <w:t>.</w:t>
      </w:r>
      <w:r w:rsidR="001932B8" w:rsidRPr="008A6319">
        <w:rPr>
          <w:rFonts w:ascii="David" w:hAnsi="David" w:cs="David"/>
          <w:sz w:val="24"/>
          <w:szCs w:val="24"/>
          <w:rtl/>
        </w:rPr>
        <w:t xml:space="preserve"> במחקר השתתפו 12 אסירים שהיו דיירים באגף הקשישים או אגף החולים בבית המאסר מעשיהו, מרביתם (8) היו </w:t>
      </w:r>
      <w:proofErr w:type="spellStart"/>
      <w:r w:rsidR="001932B8" w:rsidRPr="008A6319">
        <w:rPr>
          <w:rFonts w:ascii="David" w:hAnsi="David" w:cs="David"/>
          <w:sz w:val="24"/>
          <w:szCs w:val="24"/>
          <w:rtl/>
        </w:rPr>
        <w:t>רצידיביסטים</w:t>
      </w:r>
      <w:proofErr w:type="spellEnd"/>
      <w:r w:rsidR="001932B8" w:rsidRPr="008A6319">
        <w:rPr>
          <w:rFonts w:ascii="David" w:hAnsi="David" w:cs="David"/>
          <w:sz w:val="24"/>
          <w:szCs w:val="24"/>
          <w:rtl/>
        </w:rPr>
        <w:t xml:space="preserve"> שמאסרם זה איננו </w:t>
      </w:r>
      <w:r w:rsidR="004F40A1" w:rsidRPr="008A6319">
        <w:rPr>
          <w:rFonts w:ascii="David" w:hAnsi="David" w:cs="David" w:hint="cs"/>
          <w:sz w:val="24"/>
          <w:szCs w:val="24"/>
          <w:rtl/>
        </w:rPr>
        <w:t>המאסר ה</w:t>
      </w:r>
      <w:r w:rsidR="001932B8" w:rsidRPr="008A6319">
        <w:rPr>
          <w:rFonts w:ascii="David" w:hAnsi="David" w:cs="David"/>
          <w:sz w:val="24"/>
          <w:szCs w:val="24"/>
          <w:rtl/>
        </w:rPr>
        <w:t>ראשון. המחקר הציג חוויה דואלית של אסירים המזדקנים. מצד אחד הם תיארו את תנאיהם כ"גן עדן" בהשוואה לאסירים אחרים. התנאים שלהם לא נוקשים, יכולים להסתובב בחוץ או לבצע פעילות על הדשא. מספק אשליה שאין למה לדאוג. מצד שני מדובר בכלא השולל את חירותך ולא מאפשר לך לחיות את חייך כפי שהית רוצה לחיות אותם או לה</w:t>
      </w:r>
      <w:r w:rsidR="00A43372" w:rsidRPr="008A6319">
        <w:rPr>
          <w:rFonts w:ascii="David" w:hAnsi="David" w:cs="David" w:hint="cs"/>
          <w:sz w:val="24"/>
          <w:szCs w:val="24"/>
          <w:rtl/>
        </w:rPr>
        <w:t>י</w:t>
      </w:r>
      <w:r w:rsidR="001932B8" w:rsidRPr="008A6319">
        <w:rPr>
          <w:rFonts w:ascii="David" w:hAnsi="David" w:cs="David"/>
          <w:sz w:val="24"/>
          <w:szCs w:val="24"/>
          <w:rtl/>
        </w:rPr>
        <w:t>פגש עם בני המשפחה.  היחס הדואלי כלפי חווית המאסר מתאר את בית סוהר "מעשיהו" כ</w:t>
      </w:r>
      <w:r w:rsidR="001932B8" w:rsidRPr="008A6319">
        <w:rPr>
          <w:rFonts w:ascii="David" w:hAnsi="David" w:cs="David"/>
          <w:sz w:val="24"/>
          <w:szCs w:val="24"/>
        </w:rPr>
        <w:t xml:space="preserve"> - </w:t>
      </w:r>
      <w:r w:rsidR="001932B8" w:rsidRPr="008A6319">
        <w:rPr>
          <w:rFonts w:ascii="David" w:hAnsi="David" w:cs="David"/>
          <w:sz w:val="24"/>
          <w:szCs w:val="24"/>
          <w:rtl/>
        </w:rPr>
        <w:t>"עיר מקלט" בתוככי "מדינת</w:t>
      </w:r>
      <w:r w:rsidR="001932B8" w:rsidRPr="008A6319">
        <w:rPr>
          <w:rFonts w:ascii="David" w:hAnsi="David" w:cs="David"/>
          <w:sz w:val="24"/>
          <w:szCs w:val="24"/>
        </w:rPr>
        <w:t xml:space="preserve">" </w:t>
      </w:r>
      <w:r w:rsidR="001932B8" w:rsidRPr="008A6319">
        <w:rPr>
          <w:rFonts w:ascii="David" w:hAnsi="David" w:cs="David"/>
          <w:sz w:val="24"/>
          <w:szCs w:val="24"/>
          <w:rtl/>
        </w:rPr>
        <w:t>שירות בתי הסוהר</w:t>
      </w:r>
      <w:r w:rsidR="001932B8" w:rsidRPr="008A6319">
        <w:rPr>
          <w:rFonts w:ascii="David" w:hAnsi="David" w:cs="David"/>
          <w:sz w:val="24"/>
          <w:szCs w:val="24"/>
        </w:rPr>
        <w:t>.</w:t>
      </w:r>
      <w:r w:rsidR="001932B8" w:rsidRPr="008A6319">
        <w:rPr>
          <w:rFonts w:ascii="David" w:hAnsi="David" w:cs="David"/>
          <w:sz w:val="24"/>
          <w:szCs w:val="24"/>
          <w:rtl/>
        </w:rPr>
        <w:t xml:space="preserve"> אגף הקשישים בבית המאסר מעשיהו הוא אפוא מתקן כליאה ייחודי: הוא איננו "גן עדן" וגם איננו </w:t>
      </w:r>
      <w:r w:rsidR="001932B8" w:rsidRPr="008A6319">
        <w:rPr>
          <w:rFonts w:ascii="David" w:hAnsi="David" w:cs="David"/>
          <w:sz w:val="24"/>
          <w:szCs w:val="24"/>
        </w:rPr>
        <w:t>"</w:t>
      </w:r>
      <w:r w:rsidR="001932B8" w:rsidRPr="008A6319">
        <w:rPr>
          <w:rFonts w:ascii="David" w:hAnsi="David" w:cs="David"/>
          <w:sz w:val="24"/>
          <w:szCs w:val="24"/>
          <w:rtl/>
        </w:rPr>
        <w:t>גיהינום", אך יש בו מרכיבים של שניהם. הוא מהווה מקלט ומפלט המגונן על קבוצת אסירים ייחודית, ויוצר עבורם מסגרת מוגנת וחופשיה יחסית, אותה לא היו מסוגלים למצוא במתקני כליאה רגילים אחרים. ממצאי מחקר זה, מצביעים אם כך כי כל ניסיון לתאר את חווית הכליאה בגיל הזקנה באופן חד-ממדי, כ"גן-עדן" או כ"גיהינום</w:t>
      </w:r>
      <w:r w:rsidR="001932B8" w:rsidRPr="008A6319">
        <w:rPr>
          <w:rFonts w:ascii="David" w:hAnsi="David" w:cs="David"/>
          <w:sz w:val="24"/>
          <w:szCs w:val="24"/>
        </w:rPr>
        <w:t xml:space="preserve">" - </w:t>
      </w:r>
      <w:r w:rsidR="001932B8" w:rsidRPr="008A6319">
        <w:rPr>
          <w:rFonts w:ascii="David" w:hAnsi="David" w:cs="David"/>
          <w:sz w:val="24"/>
          <w:szCs w:val="24"/>
          <w:rtl/>
        </w:rPr>
        <w:t>חוטא למציאות. המציאות היא מורכבת ומשלבת היבטים של שני המאפיינים גם יחד. שילובם של שני המאפיינים, במיוחד בגיל הזקנה, יוצר אם כן חווית מאסר שהינה ייחודית לאסירים הזקנים, אשר נחשפה במסגרת הקולות שהובאו במחקר זה</w:t>
      </w:r>
      <w:r w:rsidR="001932B8" w:rsidRPr="008A6319">
        <w:rPr>
          <w:rFonts w:ascii="David" w:hAnsi="David" w:cs="David"/>
          <w:sz w:val="24"/>
          <w:szCs w:val="24"/>
        </w:rPr>
        <w:t xml:space="preserve">, </w:t>
      </w:r>
      <w:r w:rsidR="001932B8" w:rsidRPr="008A6319">
        <w:rPr>
          <w:rFonts w:ascii="David" w:hAnsi="David" w:cs="David"/>
          <w:sz w:val="24"/>
          <w:szCs w:val="24"/>
          <w:rtl/>
        </w:rPr>
        <w:t xml:space="preserve">ומציגה את אגף הקשישים בבית המאסר מעשיהו כמתקן כליאה מיוחד במינו. </w:t>
      </w:r>
    </w:p>
    <w:p w14:paraId="24CDF77B" w14:textId="7B02E88A" w:rsidR="00EE70F7" w:rsidRPr="008A6319" w:rsidRDefault="00EE70F7" w:rsidP="003F2E60">
      <w:pPr>
        <w:spacing w:line="480" w:lineRule="auto"/>
        <w:jc w:val="both"/>
        <w:rPr>
          <w:rFonts w:ascii="David" w:hAnsi="David" w:cs="David"/>
          <w:sz w:val="24"/>
          <w:szCs w:val="24"/>
          <w:rtl/>
        </w:rPr>
      </w:pPr>
      <w:r w:rsidRPr="008A6319">
        <w:rPr>
          <w:rFonts w:ascii="David" w:hAnsi="David" w:cs="David"/>
          <w:sz w:val="24"/>
          <w:szCs w:val="24"/>
          <w:rtl/>
        </w:rPr>
        <w:t>אוכלוסיית האסירים המבוגרים היא אוכלוסייה המאופיינת שהצלבה של גורמי חולשה, גיל ומאסר. המונח 'הצטלבויות', או 'הדרות מרובות' (</w:t>
      </w:r>
      <w:r w:rsidRPr="008A6319">
        <w:rPr>
          <w:rFonts w:ascii="David" w:hAnsi="David" w:cs="David"/>
          <w:sz w:val="24"/>
          <w:szCs w:val="24"/>
        </w:rPr>
        <w:t>Intersectionality</w:t>
      </w:r>
      <w:r w:rsidRPr="008A6319">
        <w:rPr>
          <w:rFonts w:ascii="David" w:hAnsi="David" w:cs="David"/>
          <w:sz w:val="24"/>
          <w:szCs w:val="24"/>
          <w:rtl/>
        </w:rPr>
        <w:t>) הוא תחום מחקרי שהולך וצובר תאוצה כיום בשיח האקדמי. הוא מתאר מפגש מצטלב של קטגוריות שיוך חברתי ומצביע על ריבוי צירי אפליה והדרה כלפי קבוצות מודרות (</w:t>
      </w:r>
      <w:r w:rsidRPr="008A6319">
        <w:rPr>
          <w:rFonts w:ascii="David" w:hAnsi="David" w:cs="David"/>
          <w:sz w:val="24"/>
          <w:szCs w:val="24"/>
        </w:rPr>
        <w:t>Crenshaw, 1991</w:t>
      </w:r>
      <w:r w:rsidRPr="008A6319">
        <w:rPr>
          <w:rFonts w:ascii="David" w:hAnsi="David" w:cs="David"/>
          <w:sz w:val="24"/>
          <w:szCs w:val="24"/>
          <w:rtl/>
        </w:rPr>
        <w:t xml:space="preserve">). מונח זה מבוסס על ההכרה כי גורמי  החלשה שונים   אינם מהווים ישויות נפרדות, אלא עשויים להתקיים במשותף כתופעה מורכבת המעצבת תופעות רבות של אי </w:t>
      </w:r>
      <w:proofErr w:type="spellStart"/>
      <w:r w:rsidRPr="008A6319">
        <w:rPr>
          <w:rFonts w:ascii="David" w:hAnsi="David" w:cs="David"/>
          <w:sz w:val="24"/>
          <w:szCs w:val="24"/>
          <w:rtl/>
        </w:rPr>
        <w:t>שיוויון</w:t>
      </w:r>
      <w:proofErr w:type="spellEnd"/>
      <w:r w:rsidRPr="008A6319">
        <w:rPr>
          <w:rFonts w:ascii="David" w:hAnsi="David" w:cs="David"/>
          <w:sz w:val="24"/>
          <w:szCs w:val="24"/>
          <w:rtl/>
        </w:rPr>
        <w:t xml:space="preserve"> חברתי (</w:t>
      </w:r>
      <w:r w:rsidRPr="008A6319">
        <w:rPr>
          <w:rFonts w:ascii="David" w:hAnsi="David" w:cs="David"/>
          <w:sz w:val="24"/>
          <w:szCs w:val="24"/>
        </w:rPr>
        <w:t>(Collins, 2015</w:t>
      </w:r>
      <w:r w:rsidR="00FA47C2" w:rsidRPr="008A6319">
        <w:rPr>
          <w:rFonts w:ascii="David" w:hAnsi="David" w:cs="David"/>
          <w:sz w:val="24"/>
          <w:szCs w:val="24"/>
        </w:rPr>
        <w:t xml:space="preserve">; </w:t>
      </w:r>
      <w:r w:rsidRPr="008A6319">
        <w:rPr>
          <w:rFonts w:ascii="David" w:hAnsi="David" w:cs="David"/>
          <w:sz w:val="24"/>
          <w:szCs w:val="24"/>
        </w:rPr>
        <w:t>Luna, 2018</w:t>
      </w:r>
      <w:r w:rsidRPr="008A6319">
        <w:rPr>
          <w:rFonts w:ascii="David" w:hAnsi="David" w:cs="David"/>
          <w:sz w:val="24"/>
          <w:szCs w:val="24"/>
          <w:rtl/>
        </w:rPr>
        <w:t xml:space="preserve">. </w:t>
      </w:r>
    </w:p>
    <w:p w14:paraId="0C9BF48A" w14:textId="77777777" w:rsidR="00EE70F7" w:rsidRPr="008A6319" w:rsidRDefault="00EE70F7" w:rsidP="00EE70F7">
      <w:pPr>
        <w:spacing w:line="360" w:lineRule="auto"/>
        <w:jc w:val="both"/>
        <w:rPr>
          <w:rFonts w:ascii="David" w:hAnsi="David" w:cs="David"/>
          <w:rtl/>
        </w:rPr>
      </w:pPr>
    </w:p>
    <w:p w14:paraId="56011737" w14:textId="77777777" w:rsidR="00EE70F7" w:rsidRPr="008A6319" w:rsidRDefault="00EE70F7" w:rsidP="004F40A1">
      <w:pPr>
        <w:spacing w:line="480" w:lineRule="auto"/>
        <w:ind w:firstLine="720"/>
        <w:contextualSpacing/>
        <w:jc w:val="both"/>
        <w:rPr>
          <w:rFonts w:ascii="David" w:hAnsi="David" w:cs="David"/>
          <w:sz w:val="24"/>
          <w:szCs w:val="24"/>
          <w:rtl/>
        </w:rPr>
      </w:pPr>
    </w:p>
    <w:p w14:paraId="02E484F5" w14:textId="77777777" w:rsidR="002E3CFE" w:rsidRPr="008A6319" w:rsidRDefault="00844DC1" w:rsidP="00984418">
      <w:pPr>
        <w:spacing w:line="480" w:lineRule="auto"/>
        <w:ind w:firstLine="720"/>
        <w:contextualSpacing/>
        <w:jc w:val="both"/>
        <w:rPr>
          <w:rFonts w:ascii="David" w:hAnsi="David" w:cs="David"/>
          <w:sz w:val="24"/>
          <w:szCs w:val="24"/>
          <w:rtl/>
        </w:rPr>
      </w:pPr>
      <w:r w:rsidRPr="008A6319">
        <w:rPr>
          <w:rFonts w:ascii="David" w:hAnsi="David" w:cs="David"/>
          <w:sz w:val="24"/>
          <w:szCs w:val="24"/>
          <w:rtl/>
        </w:rPr>
        <w:t>מסקירת ספרות בתחום ההזדקנות בכלא בישראל נראה כי נעשו מעט מאוד מחקרים למרות העלייה ב</w:t>
      </w:r>
      <w:r w:rsidR="00475B1F" w:rsidRPr="008A6319">
        <w:rPr>
          <w:rFonts w:ascii="David" w:hAnsi="David" w:cs="David"/>
          <w:sz w:val="24"/>
          <w:szCs w:val="24"/>
          <w:rtl/>
        </w:rPr>
        <w:t xml:space="preserve">שיעורי האסירים המבוגרים. הסוגייה שכמעט ואין לה התייחסות בספרות המחקרית הן בארץ והן בעולם היא חווית המאסר של אסירים שנכלאו בפעם הראשונה </w:t>
      </w:r>
      <w:r w:rsidR="00071A94" w:rsidRPr="008A6319">
        <w:rPr>
          <w:rFonts w:ascii="David" w:hAnsi="David" w:cs="David"/>
          <w:sz w:val="24"/>
          <w:szCs w:val="24"/>
          <w:rtl/>
        </w:rPr>
        <w:t xml:space="preserve">בגיל מבוגר. </w:t>
      </w:r>
    </w:p>
    <w:p w14:paraId="13CD54AB" w14:textId="77777777" w:rsidR="00E31674" w:rsidRPr="008A6319" w:rsidRDefault="002E3CFE" w:rsidP="00984418">
      <w:pPr>
        <w:spacing w:line="480" w:lineRule="auto"/>
        <w:ind w:firstLine="720"/>
        <w:contextualSpacing/>
        <w:jc w:val="both"/>
        <w:rPr>
          <w:rFonts w:ascii="David" w:hAnsi="David" w:cs="David"/>
          <w:b/>
          <w:bCs/>
          <w:sz w:val="24"/>
          <w:szCs w:val="24"/>
          <w:rtl/>
        </w:rPr>
      </w:pPr>
      <w:r w:rsidRPr="008A6319">
        <w:rPr>
          <w:rFonts w:ascii="David" w:hAnsi="David" w:cs="David" w:hint="cs"/>
          <w:sz w:val="24"/>
          <w:szCs w:val="24"/>
          <w:rtl/>
        </w:rPr>
        <w:t>מטרתו של המחקר הנוכחי היא</w:t>
      </w:r>
      <w:r w:rsidR="00C73446" w:rsidRPr="008A6319">
        <w:rPr>
          <w:rFonts w:ascii="David" w:hAnsi="David" w:cs="David"/>
          <w:sz w:val="24"/>
          <w:szCs w:val="24"/>
          <w:rtl/>
        </w:rPr>
        <w:t xml:space="preserve"> בחינת חו</w:t>
      </w:r>
      <w:r w:rsidR="008D5AE9" w:rsidRPr="008A6319">
        <w:rPr>
          <w:rFonts w:ascii="David" w:hAnsi="David" w:cs="David"/>
          <w:sz w:val="24"/>
          <w:szCs w:val="24"/>
          <w:rtl/>
        </w:rPr>
        <w:t>ו</w:t>
      </w:r>
      <w:r w:rsidR="00C73446" w:rsidRPr="008A6319">
        <w:rPr>
          <w:rFonts w:ascii="David" w:hAnsi="David" w:cs="David"/>
          <w:sz w:val="24"/>
          <w:szCs w:val="24"/>
          <w:rtl/>
        </w:rPr>
        <w:t>יית המאסר בקרב אוכלוס</w:t>
      </w:r>
      <w:r w:rsidR="00D418FB" w:rsidRPr="008A6319">
        <w:rPr>
          <w:rFonts w:ascii="David" w:hAnsi="David" w:cs="David" w:hint="cs"/>
          <w:sz w:val="24"/>
          <w:szCs w:val="24"/>
          <w:rtl/>
        </w:rPr>
        <w:t>י</w:t>
      </w:r>
      <w:r w:rsidR="00C73446" w:rsidRPr="008A6319">
        <w:rPr>
          <w:rFonts w:ascii="David" w:hAnsi="David" w:cs="David"/>
          <w:sz w:val="24"/>
          <w:szCs w:val="24"/>
          <w:rtl/>
        </w:rPr>
        <w:t>י</w:t>
      </w:r>
      <w:r w:rsidR="00F32E69" w:rsidRPr="008A6319">
        <w:rPr>
          <w:rFonts w:ascii="David" w:hAnsi="David" w:cs="David"/>
          <w:sz w:val="24"/>
          <w:szCs w:val="24"/>
          <w:rtl/>
        </w:rPr>
        <w:t>ת המבוגרים במאסר ראשון</w:t>
      </w:r>
      <w:r w:rsidR="008D5AE9" w:rsidRPr="008A6319">
        <w:rPr>
          <w:rFonts w:ascii="David" w:hAnsi="David" w:cs="David"/>
          <w:sz w:val="24"/>
          <w:szCs w:val="24"/>
          <w:rtl/>
        </w:rPr>
        <w:t xml:space="preserve">, מנקודת מבטם של </w:t>
      </w:r>
      <w:r w:rsidR="00F32E69" w:rsidRPr="008A6319">
        <w:rPr>
          <w:rFonts w:ascii="David" w:hAnsi="David" w:cs="David"/>
          <w:sz w:val="24"/>
          <w:szCs w:val="24"/>
          <w:rtl/>
        </w:rPr>
        <w:t xml:space="preserve">האסירים עצמם, </w:t>
      </w:r>
      <w:r w:rsidR="00C73446" w:rsidRPr="008A6319">
        <w:rPr>
          <w:rFonts w:ascii="David" w:hAnsi="David" w:cs="David"/>
          <w:sz w:val="24"/>
          <w:szCs w:val="24"/>
          <w:rtl/>
        </w:rPr>
        <w:t xml:space="preserve">  </w:t>
      </w:r>
      <w:r w:rsidRPr="008A6319">
        <w:rPr>
          <w:rFonts w:ascii="David" w:hAnsi="David" w:cs="David" w:hint="cs"/>
          <w:sz w:val="24"/>
          <w:szCs w:val="24"/>
          <w:rtl/>
        </w:rPr>
        <w:t xml:space="preserve">מנגנוני ההסתגלות אשר הם מפתחים, הקשיים </w:t>
      </w:r>
      <w:r w:rsidR="00984418" w:rsidRPr="008A6319">
        <w:rPr>
          <w:rFonts w:ascii="David" w:hAnsi="David" w:cs="David" w:hint="cs"/>
          <w:sz w:val="24"/>
          <w:szCs w:val="24"/>
          <w:rtl/>
        </w:rPr>
        <w:t xml:space="preserve">והחששות </w:t>
      </w:r>
      <w:r w:rsidRPr="008A6319">
        <w:rPr>
          <w:rFonts w:ascii="David" w:hAnsi="David" w:cs="David" w:hint="cs"/>
          <w:sz w:val="24"/>
          <w:szCs w:val="24"/>
          <w:rtl/>
        </w:rPr>
        <w:t>העיקריים שבהם הם נתקלים ובחינת המענים שעשויים לסייע ל</w:t>
      </w:r>
      <w:r w:rsidR="00984418" w:rsidRPr="008A6319">
        <w:rPr>
          <w:rFonts w:ascii="David" w:hAnsi="David" w:cs="David" w:hint="cs"/>
          <w:sz w:val="24"/>
          <w:szCs w:val="24"/>
          <w:rtl/>
        </w:rPr>
        <w:t xml:space="preserve">הסתגלותה של </w:t>
      </w:r>
      <w:r w:rsidRPr="008A6319">
        <w:rPr>
          <w:rFonts w:ascii="David" w:hAnsi="David" w:cs="David" w:hint="cs"/>
          <w:sz w:val="24"/>
          <w:szCs w:val="24"/>
          <w:rtl/>
        </w:rPr>
        <w:t xml:space="preserve">אוכלוסייה ייחודית </w:t>
      </w:r>
      <w:r w:rsidR="0099018C" w:rsidRPr="008A6319">
        <w:rPr>
          <w:rFonts w:ascii="David" w:hAnsi="David" w:cs="David" w:hint="cs"/>
          <w:sz w:val="24"/>
          <w:szCs w:val="24"/>
          <w:rtl/>
        </w:rPr>
        <w:t>ו</w:t>
      </w:r>
      <w:r w:rsidR="002F7391" w:rsidRPr="008A6319">
        <w:rPr>
          <w:rFonts w:ascii="David" w:hAnsi="David" w:cs="David"/>
          <w:sz w:val="24"/>
          <w:szCs w:val="24"/>
          <w:rtl/>
        </w:rPr>
        <w:t xml:space="preserve">בכך </w:t>
      </w:r>
      <w:r w:rsidR="008D5AE9" w:rsidRPr="008A6319">
        <w:rPr>
          <w:rFonts w:ascii="David" w:hAnsi="David" w:cs="David"/>
          <w:sz w:val="24"/>
          <w:szCs w:val="24"/>
          <w:rtl/>
        </w:rPr>
        <w:t xml:space="preserve"> לאפשר </w:t>
      </w:r>
      <w:r w:rsidR="002F7391" w:rsidRPr="008A6319">
        <w:rPr>
          <w:rFonts w:ascii="David" w:hAnsi="David" w:cs="David"/>
          <w:sz w:val="24"/>
          <w:szCs w:val="24"/>
          <w:rtl/>
        </w:rPr>
        <w:t>בניית תוכניות התערבות ושיקום מותאמות</w:t>
      </w:r>
      <w:r w:rsidR="00F76888" w:rsidRPr="008A6319">
        <w:rPr>
          <w:rFonts w:ascii="David" w:hAnsi="David" w:cs="David" w:hint="cs"/>
          <w:b/>
          <w:bCs/>
          <w:sz w:val="24"/>
          <w:szCs w:val="24"/>
          <w:rtl/>
        </w:rPr>
        <w:t xml:space="preserve"> </w:t>
      </w:r>
      <w:r w:rsidR="00F76888" w:rsidRPr="008A6319">
        <w:rPr>
          <w:rFonts w:ascii="David" w:hAnsi="David" w:cs="David" w:hint="cs"/>
          <w:sz w:val="24"/>
          <w:szCs w:val="24"/>
          <w:rtl/>
        </w:rPr>
        <w:t>הן בכלא והן לאחר שחרורם.</w:t>
      </w:r>
      <w:r w:rsidR="00F76888" w:rsidRPr="008A6319">
        <w:rPr>
          <w:rFonts w:ascii="David" w:hAnsi="David" w:cs="David" w:hint="cs"/>
          <w:b/>
          <w:bCs/>
          <w:sz w:val="24"/>
          <w:szCs w:val="24"/>
          <w:rtl/>
        </w:rPr>
        <w:t xml:space="preserve"> </w:t>
      </w:r>
    </w:p>
    <w:p w14:paraId="4735D74D" w14:textId="77777777" w:rsidR="00E31674" w:rsidRPr="008A6319" w:rsidRDefault="00E31674" w:rsidP="00E23D62">
      <w:pPr>
        <w:spacing w:line="480" w:lineRule="auto"/>
        <w:contextualSpacing/>
        <w:rPr>
          <w:rFonts w:ascii="David" w:hAnsi="David" w:cs="David"/>
          <w:b/>
          <w:bCs/>
          <w:sz w:val="24"/>
          <w:szCs w:val="24"/>
          <w:rtl/>
        </w:rPr>
      </w:pPr>
    </w:p>
    <w:p w14:paraId="779171C5" w14:textId="77777777" w:rsidR="00E43093" w:rsidRPr="008A6319" w:rsidRDefault="00E43093" w:rsidP="00E23D62">
      <w:pPr>
        <w:spacing w:line="480" w:lineRule="auto"/>
        <w:contextualSpacing/>
        <w:rPr>
          <w:rFonts w:ascii="David" w:hAnsi="David" w:cs="David"/>
          <w:b/>
          <w:bCs/>
          <w:sz w:val="28"/>
          <w:szCs w:val="28"/>
          <w:rtl/>
        </w:rPr>
      </w:pPr>
    </w:p>
    <w:p w14:paraId="21C699BD" w14:textId="77777777" w:rsidR="00A43372" w:rsidRPr="008A6319" w:rsidRDefault="00A43372" w:rsidP="00E23D62">
      <w:pPr>
        <w:spacing w:line="480" w:lineRule="auto"/>
        <w:contextualSpacing/>
        <w:rPr>
          <w:rFonts w:ascii="David" w:hAnsi="David" w:cs="David"/>
          <w:b/>
          <w:bCs/>
          <w:sz w:val="28"/>
          <w:szCs w:val="28"/>
          <w:rtl/>
        </w:rPr>
      </w:pPr>
      <w:r w:rsidRPr="008A6319">
        <w:rPr>
          <w:rFonts w:ascii="David" w:hAnsi="David" w:cs="David" w:hint="cs"/>
          <w:b/>
          <w:bCs/>
          <w:sz w:val="28"/>
          <w:szCs w:val="28"/>
          <w:rtl/>
        </w:rPr>
        <w:t>שיטה</w:t>
      </w:r>
    </w:p>
    <w:p w14:paraId="5B04B536" w14:textId="77777777" w:rsidR="00A43372" w:rsidRPr="008A6319" w:rsidRDefault="00A43372" w:rsidP="00E23D62">
      <w:pPr>
        <w:spacing w:line="480" w:lineRule="auto"/>
        <w:contextualSpacing/>
        <w:rPr>
          <w:rFonts w:ascii="David" w:hAnsi="David" w:cs="David"/>
          <w:b/>
          <w:bCs/>
          <w:sz w:val="24"/>
          <w:szCs w:val="24"/>
          <w:rtl/>
        </w:rPr>
      </w:pPr>
      <w:r w:rsidRPr="008A6319">
        <w:rPr>
          <w:rFonts w:ascii="David" w:hAnsi="David" w:cs="David" w:hint="cs"/>
          <w:b/>
          <w:bCs/>
          <w:sz w:val="24"/>
          <w:szCs w:val="24"/>
          <w:rtl/>
        </w:rPr>
        <w:t>משתתפים</w:t>
      </w:r>
    </w:p>
    <w:p w14:paraId="5EA8B261" w14:textId="77777777" w:rsidR="00A43372" w:rsidRPr="008A6319" w:rsidRDefault="00A43372" w:rsidP="00505DD9">
      <w:pPr>
        <w:spacing w:line="480" w:lineRule="auto"/>
        <w:contextualSpacing/>
        <w:rPr>
          <w:rFonts w:ascii="David" w:hAnsi="David" w:cs="David"/>
          <w:sz w:val="24"/>
          <w:szCs w:val="24"/>
          <w:rtl/>
        </w:rPr>
      </w:pPr>
      <w:r w:rsidRPr="008A6319">
        <w:rPr>
          <w:rFonts w:ascii="David" w:hAnsi="David" w:cs="David" w:hint="cs"/>
          <w:sz w:val="24"/>
          <w:szCs w:val="24"/>
          <w:rtl/>
        </w:rPr>
        <w:t xml:space="preserve">כ-15-20 </w:t>
      </w:r>
      <w:r w:rsidR="00F76888" w:rsidRPr="008A6319">
        <w:rPr>
          <w:rFonts w:ascii="David" w:hAnsi="David" w:cs="David" w:hint="cs"/>
          <w:sz w:val="24"/>
          <w:szCs w:val="24"/>
          <w:rtl/>
        </w:rPr>
        <w:t xml:space="preserve">משוחררים </w:t>
      </w:r>
      <w:r w:rsidR="00505DD9" w:rsidRPr="008A6319">
        <w:rPr>
          <w:rFonts w:ascii="David" w:hAnsi="David" w:cs="David" w:hint="cs"/>
          <w:sz w:val="24"/>
          <w:szCs w:val="24"/>
          <w:rtl/>
        </w:rPr>
        <w:t xml:space="preserve">ברישיון </w:t>
      </w:r>
      <w:r w:rsidR="00072D84" w:rsidRPr="008A6319">
        <w:rPr>
          <w:rFonts w:ascii="David" w:hAnsi="David" w:cs="David" w:hint="cs"/>
          <w:sz w:val="24"/>
          <w:szCs w:val="24"/>
          <w:rtl/>
        </w:rPr>
        <w:t>אשר נכלאו בפעם הראשונה בהיותם בני 55 ומעלה</w:t>
      </w:r>
      <w:r w:rsidR="00505DD9" w:rsidRPr="008A6319">
        <w:rPr>
          <w:rFonts w:ascii="David" w:hAnsi="David" w:cs="David" w:hint="cs"/>
          <w:sz w:val="24"/>
          <w:szCs w:val="24"/>
          <w:rtl/>
        </w:rPr>
        <w:t xml:space="preserve"> ופרטיהם נמצאים בידי הרשות לשיקום האסיר.</w:t>
      </w:r>
      <w:r w:rsidR="00072D84" w:rsidRPr="008A6319">
        <w:rPr>
          <w:rFonts w:ascii="David" w:hAnsi="David" w:cs="David" w:hint="cs"/>
          <w:sz w:val="24"/>
          <w:szCs w:val="24"/>
          <w:rtl/>
        </w:rPr>
        <w:t xml:space="preserve">. </w:t>
      </w:r>
    </w:p>
    <w:p w14:paraId="08D0244F" w14:textId="77777777" w:rsidR="00072D84" w:rsidRPr="008A6319" w:rsidRDefault="00072D84" w:rsidP="00E23D62">
      <w:pPr>
        <w:spacing w:line="480" w:lineRule="auto"/>
        <w:contextualSpacing/>
        <w:rPr>
          <w:rFonts w:ascii="David" w:hAnsi="David" w:cs="David"/>
          <w:sz w:val="24"/>
          <w:szCs w:val="24"/>
          <w:rtl/>
        </w:rPr>
      </w:pPr>
    </w:p>
    <w:p w14:paraId="340DA1D9" w14:textId="77777777" w:rsidR="00072D84" w:rsidRPr="008A6319" w:rsidRDefault="00072D84" w:rsidP="00E23D62">
      <w:pPr>
        <w:spacing w:line="480" w:lineRule="auto"/>
        <w:contextualSpacing/>
        <w:rPr>
          <w:rFonts w:ascii="David" w:hAnsi="David" w:cs="David"/>
          <w:b/>
          <w:bCs/>
          <w:sz w:val="24"/>
          <w:szCs w:val="24"/>
          <w:rtl/>
        </w:rPr>
      </w:pPr>
      <w:r w:rsidRPr="008A6319">
        <w:rPr>
          <w:rFonts w:ascii="David" w:hAnsi="David" w:cs="David" w:hint="cs"/>
          <w:b/>
          <w:bCs/>
          <w:sz w:val="24"/>
          <w:szCs w:val="24"/>
          <w:rtl/>
        </w:rPr>
        <w:t>כלים</w:t>
      </w:r>
    </w:p>
    <w:p w14:paraId="0A06CFB0" w14:textId="77777777" w:rsidR="00072D84" w:rsidRPr="008A6319" w:rsidRDefault="00072D84" w:rsidP="00E23D62">
      <w:pPr>
        <w:spacing w:line="480" w:lineRule="auto"/>
        <w:contextualSpacing/>
        <w:rPr>
          <w:rFonts w:ascii="David" w:hAnsi="David" w:cs="David"/>
          <w:sz w:val="24"/>
          <w:szCs w:val="24"/>
          <w:rtl/>
        </w:rPr>
      </w:pPr>
      <w:r w:rsidRPr="008A6319">
        <w:rPr>
          <w:rFonts w:ascii="David" w:hAnsi="David" w:cs="David" w:hint="cs"/>
          <w:sz w:val="24"/>
          <w:szCs w:val="24"/>
          <w:rtl/>
        </w:rPr>
        <w:t>ראיונות עומק חצי מובנים</w:t>
      </w:r>
      <w:r w:rsidR="005108C5" w:rsidRPr="008A6319">
        <w:rPr>
          <w:rFonts w:ascii="David" w:hAnsi="David" w:cs="David" w:hint="cs"/>
          <w:sz w:val="24"/>
          <w:szCs w:val="24"/>
          <w:rtl/>
        </w:rPr>
        <w:t xml:space="preserve">. </w:t>
      </w:r>
      <w:r w:rsidR="00505DD9" w:rsidRPr="008A6319">
        <w:rPr>
          <w:rFonts w:ascii="David" w:hAnsi="David" w:cs="David" w:hint="cs"/>
          <w:sz w:val="24"/>
          <w:szCs w:val="24"/>
          <w:rtl/>
        </w:rPr>
        <w:t xml:space="preserve">הראיונות יתבצעו על ידי עוזר מחקר המתמחה הן בתחום הכליאה והן בתחום </w:t>
      </w:r>
      <w:proofErr w:type="spellStart"/>
      <w:r w:rsidR="00505DD9" w:rsidRPr="008A6319">
        <w:rPr>
          <w:rFonts w:ascii="David" w:hAnsi="David" w:cs="David" w:hint="cs"/>
          <w:sz w:val="24"/>
          <w:szCs w:val="24"/>
          <w:rtl/>
        </w:rPr>
        <w:t>הגרנטולוגיה</w:t>
      </w:r>
      <w:proofErr w:type="spellEnd"/>
      <w:r w:rsidR="00505DD9" w:rsidRPr="008A6319">
        <w:rPr>
          <w:rFonts w:ascii="David" w:hAnsi="David" w:cs="David" w:hint="cs"/>
          <w:sz w:val="24"/>
          <w:szCs w:val="24"/>
          <w:rtl/>
        </w:rPr>
        <w:t>.</w:t>
      </w:r>
    </w:p>
    <w:p w14:paraId="425A3BD9" w14:textId="77777777" w:rsidR="00987CCD" w:rsidRPr="008A6319" w:rsidRDefault="00A67016" w:rsidP="00505DD9">
      <w:pPr>
        <w:spacing w:line="480" w:lineRule="auto"/>
        <w:contextualSpacing/>
        <w:rPr>
          <w:rFonts w:ascii="David" w:hAnsi="David" w:cs="David"/>
          <w:sz w:val="24"/>
          <w:szCs w:val="24"/>
          <w:rtl/>
        </w:rPr>
      </w:pPr>
      <w:r w:rsidRPr="008A6319">
        <w:rPr>
          <w:rFonts w:ascii="David" w:hAnsi="David" w:cs="David"/>
          <w:b/>
          <w:bCs/>
          <w:sz w:val="24"/>
          <w:szCs w:val="24"/>
          <w:rtl/>
        </w:rPr>
        <w:t>זמן המחקר:</w:t>
      </w:r>
      <w:r w:rsidRPr="008A6319">
        <w:rPr>
          <w:rFonts w:ascii="David" w:hAnsi="David" w:cs="David"/>
          <w:sz w:val="24"/>
          <w:szCs w:val="24"/>
          <w:rtl/>
        </w:rPr>
        <w:t>,</w:t>
      </w:r>
      <w:r w:rsidR="00C73B28" w:rsidRPr="008A6319">
        <w:rPr>
          <w:rFonts w:ascii="David" w:hAnsi="David" w:cs="David"/>
          <w:sz w:val="24"/>
          <w:szCs w:val="24"/>
          <w:rtl/>
        </w:rPr>
        <w:t xml:space="preserve"> </w:t>
      </w:r>
      <w:r w:rsidRPr="008A6319">
        <w:rPr>
          <w:rFonts w:ascii="David" w:hAnsi="David" w:cs="David"/>
          <w:sz w:val="24"/>
          <w:szCs w:val="24"/>
          <w:rtl/>
        </w:rPr>
        <w:t>אוקטובר</w:t>
      </w:r>
      <w:r w:rsidR="00C73B28" w:rsidRPr="008A6319">
        <w:rPr>
          <w:rFonts w:ascii="David" w:hAnsi="David" w:cs="David"/>
          <w:sz w:val="24"/>
          <w:szCs w:val="24"/>
          <w:rtl/>
        </w:rPr>
        <w:t xml:space="preserve"> 202</w:t>
      </w:r>
      <w:r w:rsidR="008E2F7E" w:rsidRPr="008A6319">
        <w:rPr>
          <w:rFonts w:ascii="David" w:hAnsi="David" w:cs="David" w:hint="cs"/>
          <w:sz w:val="24"/>
          <w:szCs w:val="24"/>
          <w:rtl/>
        </w:rPr>
        <w:t>2</w:t>
      </w:r>
      <w:r w:rsidR="00C73B28" w:rsidRPr="008A6319">
        <w:rPr>
          <w:rFonts w:ascii="David" w:hAnsi="David" w:cs="David"/>
          <w:sz w:val="24"/>
          <w:szCs w:val="24"/>
          <w:rtl/>
        </w:rPr>
        <w:t xml:space="preserve"> עד </w:t>
      </w:r>
      <w:r w:rsidRPr="008A6319">
        <w:rPr>
          <w:rFonts w:ascii="David" w:hAnsi="David" w:cs="David"/>
          <w:sz w:val="24"/>
          <w:szCs w:val="24"/>
          <w:rtl/>
        </w:rPr>
        <w:t>ספטמבר</w:t>
      </w:r>
      <w:r w:rsidR="00C73B28" w:rsidRPr="008A6319">
        <w:rPr>
          <w:rFonts w:ascii="David" w:hAnsi="David" w:cs="David"/>
          <w:sz w:val="24"/>
          <w:szCs w:val="24"/>
          <w:rtl/>
        </w:rPr>
        <w:t xml:space="preserve"> </w:t>
      </w:r>
      <w:r w:rsidR="00144E15" w:rsidRPr="008A6319">
        <w:rPr>
          <w:rFonts w:ascii="David" w:hAnsi="David" w:cs="David"/>
          <w:sz w:val="24"/>
          <w:szCs w:val="24"/>
          <w:rtl/>
        </w:rPr>
        <w:t>202</w:t>
      </w:r>
      <w:r w:rsidR="008E2F7E" w:rsidRPr="008A6319">
        <w:rPr>
          <w:rFonts w:ascii="David" w:hAnsi="David" w:cs="David" w:hint="cs"/>
          <w:sz w:val="24"/>
          <w:szCs w:val="24"/>
          <w:rtl/>
        </w:rPr>
        <w:t>3</w:t>
      </w:r>
      <w:r w:rsidR="00505DD9" w:rsidRPr="008A6319">
        <w:rPr>
          <w:rFonts w:ascii="David" w:hAnsi="David" w:cs="David" w:hint="cs"/>
          <w:sz w:val="24"/>
          <w:szCs w:val="24"/>
          <w:rtl/>
        </w:rPr>
        <w:t xml:space="preserve">- השגת אישורים ואיסוף </w:t>
      </w:r>
      <w:proofErr w:type="spellStart"/>
      <w:r w:rsidR="00505DD9" w:rsidRPr="008A6319">
        <w:rPr>
          <w:rFonts w:ascii="David" w:hAnsi="David" w:cs="David" w:hint="cs"/>
          <w:sz w:val="24"/>
          <w:szCs w:val="24"/>
          <w:rtl/>
        </w:rPr>
        <w:t>הנתנוים</w:t>
      </w:r>
      <w:proofErr w:type="spellEnd"/>
    </w:p>
    <w:p w14:paraId="1AB6D46B" w14:textId="77777777" w:rsidR="00505DD9" w:rsidRPr="008A6319" w:rsidRDefault="00505DD9" w:rsidP="00505DD9">
      <w:pPr>
        <w:spacing w:line="480" w:lineRule="auto"/>
        <w:contextualSpacing/>
        <w:rPr>
          <w:rFonts w:ascii="David" w:hAnsi="David" w:cs="David"/>
          <w:sz w:val="24"/>
          <w:szCs w:val="24"/>
          <w:rtl/>
        </w:rPr>
      </w:pPr>
      <w:r w:rsidRPr="008A6319">
        <w:rPr>
          <w:rFonts w:ascii="David" w:hAnsi="David" w:cs="David" w:hint="cs"/>
          <w:sz w:val="24"/>
          <w:szCs w:val="24"/>
          <w:rtl/>
        </w:rPr>
        <w:t xml:space="preserve">                      אוקטובר 2023- יוני 2024- ניתוח נתונים וכתיבת הדוח.     </w:t>
      </w:r>
    </w:p>
    <w:p w14:paraId="72FFC584" w14:textId="77777777" w:rsidR="00C73B28" w:rsidRPr="008A6319" w:rsidRDefault="00C73B28" w:rsidP="00E23D62">
      <w:pPr>
        <w:spacing w:line="480" w:lineRule="auto"/>
        <w:contextualSpacing/>
        <w:rPr>
          <w:rFonts w:ascii="David" w:hAnsi="David" w:cs="David"/>
          <w:b/>
          <w:bCs/>
          <w:sz w:val="24"/>
          <w:szCs w:val="24"/>
          <w:rtl/>
        </w:rPr>
      </w:pPr>
    </w:p>
    <w:p w14:paraId="59493F14" w14:textId="77777777" w:rsidR="00175C2D" w:rsidRPr="008A6319" w:rsidRDefault="00E43093" w:rsidP="00E23D62">
      <w:pPr>
        <w:spacing w:line="480" w:lineRule="auto"/>
        <w:contextualSpacing/>
        <w:rPr>
          <w:rFonts w:ascii="David" w:hAnsi="David" w:cs="David"/>
          <w:b/>
          <w:bCs/>
          <w:sz w:val="24"/>
          <w:szCs w:val="24"/>
          <w:rtl/>
        </w:rPr>
      </w:pPr>
      <w:r w:rsidRPr="008A6319">
        <w:rPr>
          <w:rFonts w:ascii="David" w:hAnsi="David" w:cs="David" w:hint="cs"/>
          <w:b/>
          <w:bCs/>
          <w:sz w:val="24"/>
          <w:szCs w:val="24"/>
          <w:rtl/>
        </w:rPr>
        <w:t xml:space="preserve">פירוט </w:t>
      </w:r>
      <w:r w:rsidR="00175C2D" w:rsidRPr="008A6319">
        <w:rPr>
          <w:rFonts w:ascii="David" w:hAnsi="David" w:cs="David"/>
          <w:b/>
          <w:bCs/>
          <w:sz w:val="24"/>
          <w:szCs w:val="24"/>
          <w:rtl/>
        </w:rPr>
        <w:t>תקציב</w:t>
      </w:r>
      <w:r w:rsidRPr="008A6319">
        <w:rPr>
          <w:rFonts w:ascii="David" w:hAnsi="David" w:cs="David" w:hint="cs"/>
          <w:b/>
          <w:bCs/>
          <w:sz w:val="24"/>
          <w:szCs w:val="24"/>
          <w:rtl/>
        </w:rPr>
        <w:t>י</w:t>
      </w:r>
      <w:r w:rsidR="00175C2D" w:rsidRPr="008A6319">
        <w:rPr>
          <w:rFonts w:ascii="David" w:hAnsi="David" w:cs="David"/>
          <w:b/>
          <w:bCs/>
          <w:sz w:val="24"/>
          <w:szCs w:val="24"/>
          <w:rtl/>
        </w:rPr>
        <w:t>:</w:t>
      </w:r>
    </w:p>
    <w:p w14:paraId="6A05D248" w14:textId="77777777" w:rsidR="00175C2D" w:rsidRPr="008A6319" w:rsidRDefault="00175C2D" w:rsidP="00E23D62">
      <w:pPr>
        <w:spacing w:line="480" w:lineRule="auto"/>
        <w:contextualSpacing/>
        <w:rPr>
          <w:rFonts w:ascii="David" w:hAnsi="David" w:cs="David"/>
          <w:sz w:val="24"/>
          <w:szCs w:val="24"/>
          <w:rtl/>
        </w:rPr>
      </w:pPr>
      <w:r w:rsidRPr="008A6319">
        <w:rPr>
          <w:rFonts w:ascii="David" w:hAnsi="David" w:cs="David"/>
          <w:sz w:val="24"/>
          <w:szCs w:val="24"/>
          <w:rtl/>
        </w:rPr>
        <w:t xml:space="preserve">עוזרי מחקר – </w:t>
      </w:r>
      <w:r w:rsidR="008E2F7E" w:rsidRPr="008A6319">
        <w:rPr>
          <w:rFonts w:ascii="David" w:hAnsi="David" w:cs="David" w:hint="cs"/>
          <w:sz w:val="24"/>
          <w:szCs w:val="24"/>
          <w:rtl/>
        </w:rPr>
        <w:t>5</w:t>
      </w:r>
      <w:r w:rsidRPr="008A6319">
        <w:rPr>
          <w:rFonts w:ascii="David" w:hAnsi="David" w:cs="David"/>
          <w:sz w:val="24"/>
          <w:szCs w:val="24"/>
          <w:rtl/>
        </w:rPr>
        <w:t>00 שעות – 1</w:t>
      </w:r>
      <w:r w:rsidR="00BD7B6E" w:rsidRPr="008A6319">
        <w:rPr>
          <w:rFonts w:ascii="David" w:hAnsi="David" w:cs="David" w:hint="cs"/>
          <w:sz w:val="24"/>
          <w:szCs w:val="24"/>
          <w:rtl/>
        </w:rPr>
        <w:t>7</w:t>
      </w:r>
      <w:r w:rsidRPr="008A6319">
        <w:rPr>
          <w:rFonts w:ascii="David" w:hAnsi="David" w:cs="David"/>
          <w:sz w:val="24"/>
          <w:szCs w:val="24"/>
          <w:rtl/>
        </w:rPr>
        <w:t>,000 ₪</w:t>
      </w:r>
    </w:p>
    <w:p w14:paraId="7C610332" w14:textId="77777777" w:rsidR="00175C2D" w:rsidRPr="008A6319" w:rsidRDefault="00175C2D" w:rsidP="00E23D62">
      <w:pPr>
        <w:spacing w:line="480" w:lineRule="auto"/>
        <w:contextualSpacing/>
        <w:rPr>
          <w:rFonts w:ascii="David" w:hAnsi="David" w:cs="David"/>
          <w:sz w:val="24"/>
          <w:szCs w:val="24"/>
          <w:rtl/>
        </w:rPr>
      </w:pPr>
      <w:r w:rsidRPr="008A6319">
        <w:rPr>
          <w:rFonts w:ascii="David" w:hAnsi="David" w:cs="David"/>
          <w:sz w:val="24"/>
          <w:szCs w:val="24"/>
          <w:rtl/>
        </w:rPr>
        <w:t xml:space="preserve">החזר נסיעות- </w:t>
      </w:r>
      <w:r w:rsidR="00BD7B6E" w:rsidRPr="008A6319">
        <w:rPr>
          <w:rFonts w:ascii="David" w:hAnsi="David" w:cs="David" w:hint="cs"/>
          <w:sz w:val="24"/>
          <w:szCs w:val="24"/>
          <w:rtl/>
        </w:rPr>
        <w:t>3</w:t>
      </w:r>
      <w:r w:rsidRPr="008A6319">
        <w:rPr>
          <w:rFonts w:ascii="David" w:hAnsi="David" w:cs="David"/>
          <w:sz w:val="24"/>
          <w:szCs w:val="24"/>
          <w:rtl/>
        </w:rPr>
        <w:t xml:space="preserve">,000 ₪ </w:t>
      </w:r>
    </w:p>
    <w:p w14:paraId="06CA2048" w14:textId="399FFD28" w:rsidR="000736DF" w:rsidRPr="008A6319" w:rsidRDefault="00A70D2A" w:rsidP="00505DD9">
      <w:pPr>
        <w:spacing w:line="480" w:lineRule="auto"/>
        <w:contextualSpacing/>
        <w:rPr>
          <w:rFonts w:ascii="David" w:hAnsi="David" w:cs="David"/>
          <w:sz w:val="24"/>
          <w:szCs w:val="24"/>
          <w:rtl/>
        </w:rPr>
      </w:pPr>
      <w:r w:rsidRPr="008A6319">
        <w:rPr>
          <w:rFonts w:ascii="David" w:hAnsi="David" w:cs="David" w:hint="cs"/>
          <w:sz w:val="24"/>
          <w:szCs w:val="24"/>
          <w:rtl/>
        </w:rPr>
        <w:t>תרגום ו</w:t>
      </w:r>
      <w:r w:rsidR="00175C2D" w:rsidRPr="008A6319">
        <w:rPr>
          <w:rFonts w:ascii="David" w:hAnsi="David" w:cs="David"/>
          <w:sz w:val="24"/>
          <w:szCs w:val="24"/>
          <w:rtl/>
        </w:rPr>
        <w:t>עריכה לשונית-</w:t>
      </w:r>
      <w:r w:rsidR="0007771F" w:rsidRPr="008A6319">
        <w:rPr>
          <w:rFonts w:ascii="David" w:hAnsi="David" w:cs="David"/>
          <w:sz w:val="24"/>
          <w:szCs w:val="24"/>
          <w:rtl/>
        </w:rPr>
        <w:t xml:space="preserve"> </w:t>
      </w:r>
    </w:p>
    <w:p w14:paraId="30C49CB6" w14:textId="587102FE" w:rsidR="0007771F" w:rsidRPr="008A6319" w:rsidRDefault="000736DF" w:rsidP="00505DD9">
      <w:pPr>
        <w:spacing w:line="480" w:lineRule="auto"/>
        <w:contextualSpacing/>
        <w:rPr>
          <w:rFonts w:ascii="David" w:hAnsi="David" w:cs="David"/>
          <w:sz w:val="24"/>
          <w:szCs w:val="24"/>
          <w:rtl/>
        </w:rPr>
      </w:pPr>
      <w:r w:rsidRPr="008A6319">
        <w:rPr>
          <w:rFonts w:ascii="David" w:hAnsi="David" w:cs="David" w:hint="cs"/>
          <w:sz w:val="24"/>
          <w:szCs w:val="24"/>
          <w:rtl/>
        </w:rPr>
        <w:t xml:space="preserve">הוצאת דו"ח מקר  בנושא  תהליכי </w:t>
      </w:r>
      <w:r w:rsidR="0007771F" w:rsidRPr="008A6319">
        <w:rPr>
          <w:rFonts w:ascii="David" w:hAnsi="David" w:cs="David"/>
          <w:sz w:val="24"/>
          <w:szCs w:val="24"/>
          <w:rtl/>
        </w:rPr>
        <w:t xml:space="preserve"> הזדקנות בכלא</w:t>
      </w:r>
      <w:r w:rsidRPr="008A6319">
        <w:rPr>
          <w:rFonts w:ascii="David" w:hAnsi="David" w:cs="David" w:hint="cs"/>
          <w:sz w:val="24"/>
          <w:szCs w:val="24"/>
          <w:rtl/>
        </w:rPr>
        <w:t xml:space="preserve"> ורווחה נפשית של האסירים המבוגרים</w:t>
      </w:r>
      <w:r w:rsidR="0007771F" w:rsidRPr="008A6319">
        <w:rPr>
          <w:rFonts w:ascii="David" w:hAnsi="David" w:cs="David"/>
          <w:sz w:val="24"/>
          <w:szCs w:val="24"/>
          <w:rtl/>
        </w:rPr>
        <w:t>- 15,000 ₪</w:t>
      </w:r>
    </w:p>
    <w:p w14:paraId="408DA2D6" w14:textId="77777777" w:rsidR="0007771F" w:rsidRPr="008A6319" w:rsidRDefault="00175C2D" w:rsidP="00E23D62">
      <w:pPr>
        <w:spacing w:line="480" w:lineRule="auto"/>
        <w:contextualSpacing/>
        <w:rPr>
          <w:rFonts w:ascii="David" w:hAnsi="David" w:cs="David"/>
          <w:sz w:val="24"/>
          <w:szCs w:val="24"/>
          <w:rtl/>
        </w:rPr>
      </w:pPr>
      <w:r w:rsidRPr="008A6319">
        <w:rPr>
          <w:rFonts w:ascii="David" w:hAnsi="David" w:cs="David"/>
          <w:sz w:val="24"/>
          <w:szCs w:val="24"/>
          <w:rtl/>
        </w:rPr>
        <w:t xml:space="preserve">רכישת ציוד להדפסה (מדפסת, דיו, דפים)- 2,000 ₪ </w:t>
      </w:r>
    </w:p>
    <w:p w14:paraId="14ACB434" w14:textId="2F8547CA" w:rsidR="00F565E6" w:rsidRPr="008A6319" w:rsidRDefault="00F565E6" w:rsidP="00E23D62">
      <w:pPr>
        <w:spacing w:line="480" w:lineRule="auto"/>
        <w:contextualSpacing/>
        <w:rPr>
          <w:rFonts w:ascii="David" w:hAnsi="David" w:cs="David"/>
          <w:sz w:val="24"/>
          <w:szCs w:val="24"/>
          <w:rtl/>
        </w:rPr>
      </w:pPr>
      <w:r w:rsidRPr="008A6319">
        <w:rPr>
          <w:rFonts w:ascii="David" w:hAnsi="David" w:cs="David" w:hint="cs"/>
          <w:sz w:val="24"/>
          <w:szCs w:val="24"/>
          <w:rtl/>
        </w:rPr>
        <w:t>נסיעה לכנס בינלאומי והצגת ממצאי המחקר</w:t>
      </w:r>
      <w:r w:rsidR="000736DF" w:rsidRPr="008A6319">
        <w:rPr>
          <w:rFonts w:ascii="David" w:hAnsi="David" w:cs="David" w:hint="cs"/>
          <w:sz w:val="24"/>
          <w:szCs w:val="24"/>
          <w:rtl/>
        </w:rPr>
        <w:t xml:space="preserve"> (2 חוקרים)</w:t>
      </w:r>
      <w:r w:rsidRPr="008A6319">
        <w:rPr>
          <w:rFonts w:ascii="David" w:hAnsi="David" w:cs="David" w:hint="cs"/>
          <w:sz w:val="24"/>
          <w:szCs w:val="24"/>
          <w:rtl/>
        </w:rPr>
        <w:t xml:space="preserve"> </w:t>
      </w:r>
      <w:r w:rsidR="00C04089" w:rsidRPr="008A6319">
        <w:rPr>
          <w:rFonts w:ascii="David" w:hAnsi="David" w:cs="David"/>
          <w:sz w:val="24"/>
          <w:szCs w:val="24"/>
          <w:rtl/>
        </w:rPr>
        <w:t>–</w:t>
      </w:r>
      <w:r w:rsidRPr="008A6319">
        <w:rPr>
          <w:rFonts w:ascii="David" w:hAnsi="David" w:cs="David" w:hint="cs"/>
          <w:sz w:val="24"/>
          <w:szCs w:val="24"/>
          <w:rtl/>
        </w:rPr>
        <w:t xml:space="preserve"> </w:t>
      </w:r>
      <w:r w:rsidR="000736DF" w:rsidRPr="008A6319">
        <w:rPr>
          <w:rFonts w:ascii="David" w:hAnsi="David" w:cs="David" w:hint="cs"/>
          <w:sz w:val="24"/>
          <w:szCs w:val="24"/>
          <w:rtl/>
        </w:rPr>
        <w:t>10</w:t>
      </w:r>
      <w:r w:rsidR="00C04089" w:rsidRPr="008A6319">
        <w:rPr>
          <w:rFonts w:ascii="David" w:hAnsi="David" w:cs="David" w:hint="cs"/>
          <w:sz w:val="24"/>
          <w:szCs w:val="24"/>
          <w:rtl/>
        </w:rPr>
        <w:t xml:space="preserve">,000 ₪ </w:t>
      </w:r>
    </w:p>
    <w:p w14:paraId="4089EBCF" w14:textId="77777777" w:rsidR="00E2788E" w:rsidRPr="008A6319" w:rsidRDefault="00E2788E" w:rsidP="00E23D62">
      <w:pPr>
        <w:spacing w:line="480" w:lineRule="auto"/>
        <w:contextualSpacing/>
        <w:rPr>
          <w:rFonts w:ascii="David" w:hAnsi="David" w:cs="David"/>
          <w:sz w:val="24"/>
          <w:szCs w:val="24"/>
          <w:rtl/>
        </w:rPr>
      </w:pPr>
      <w:r w:rsidRPr="008A6319">
        <w:rPr>
          <w:rFonts w:ascii="David" w:hAnsi="David" w:cs="David"/>
          <w:sz w:val="24"/>
          <w:szCs w:val="24"/>
          <w:rtl/>
        </w:rPr>
        <w:lastRenderedPageBreak/>
        <w:t xml:space="preserve">סה"כ: </w:t>
      </w:r>
      <w:r w:rsidR="00081B82" w:rsidRPr="008A6319">
        <w:rPr>
          <w:rFonts w:ascii="David" w:hAnsi="David" w:cs="David" w:hint="cs"/>
          <w:sz w:val="24"/>
          <w:szCs w:val="24"/>
          <w:rtl/>
        </w:rPr>
        <w:t xml:space="preserve">51,000 ₪ </w:t>
      </w:r>
    </w:p>
    <w:p w14:paraId="06283187" w14:textId="77777777" w:rsidR="00144E15" w:rsidRPr="008A6319" w:rsidRDefault="00144E15" w:rsidP="00E23D62">
      <w:pPr>
        <w:spacing w:line="480" w:lineRule="auto"/>
        <w:contextualSpacing/>
        <w:rPr>
          <w:rFonts w:ascii="David" w:hAnsi="David" w:cs="David"/>
          <w:sz w:val="24"/>
          <w:szCs w:val="24"/>
          <w:rtl/>
        </w:rPr>
      </w:pPr>
    </w:p>
    <w:p w14:paraId="4F00CCE7" w14:textId="77777777" w:rsidR="00491D9B" w:rsidRPr="008A6319" w:rsidRDefault="00491D9B" w:rsidP="00E23D62">
      <w:pPr>
        <w:spacing w:line="480" w:lineRule="auto"/>
        <w:contextualSpacing/>
        <w:rPr>
          <w:rFonts w:ascii="David" w:hAnsi="David" w:cs="David"/>
          <w:sz w:val="24"/>
          <w:szCs w:val="24"/>
          <w:rtl/>
        </w:rPr>
      </w:pPr>
    </w:p>
    <w:p w14:paraId="6CC190FB" w14:textId="77777777" w:rsidR="00491D9B" w:rsidRPr="008A6319" w:rsidRDefault="00491D9B" w:rsidP="00E23D62">
      <w:pPr>
        <w:spacing w:line="480" w:lineRule="auto"/>
        <w:contextualSpacing/>
        <w:rPr>
          <w:rFonts w:ascii="David" w:hAnsi="David" w:cs="David"/>
          <w:sz w:val="24"/>
          <w:szCs w:val="24"/>
          <w:rtl/>
        </w:rPr>
      </w:pPr>
    </w:p>
    <w:p w14:paraId="58E3EFEF" w14:textId="77777777" w:rsidR="00491D9B" w:rsidRPr="008A6319" w:rsidRDefault="00491D9B" w:rsidP="00E23D62">
      <w:pPr>
        <w:spacing w:line="480" w:lineRule="auto"/>
        <w:contextualSpacing/>
        <w:rPr>
          <w:rFonts w:ascii="David" w:hAnsi="David" w:cs="David"/>
          <w:sz w:val="24"/>
          <w:szCs w:val="24"/>
          <w:rtl/>
        </w:rPr>
      </w:pPr>
    </w:p>
    <w:p w14:paraId="3B787C51" w14:textId="77777777" w:rsidR="00491D9B" w:rsidRPr="008A6319" w:rsidRDefault="00491D9B" w:rsidP="00E23D62">
      <w:pPr>
        <w:spacing w:line="480" w:lineRule="auto"/>
        <w:contextualSpacing/>
        <w:rPr>
          <w:rFonts w:ascii="David" w:hAnsi="David" w:cs="David"/>
          <w:sz w:val="24"/>
          <w:szCs w:val="24"/>
          <w:rtl/>
        </w:rPr>
      </w:pPr>
    </w:p>
    <w:p w14:paraId="1845F6C3" w14:textId="77777777" w:rsidR="00491D9B" w:rsidRPr="008A6319" w:rsidRDefault="00491D9B" w:rsidP="00E23D62">
      <w:pPr>
        <w:spacing w:line="480" w:lineRule="auto"/>
        <w:contextualSpacing/>
        <w:rPr>
          <w:rFonts w:ascii="David" w:hAnsi="David" w:cs="David"/>
          <w:sz w:val="24"/>
          <w:szCs w:val="24"/>
          <w:rtl/>
        </w:rPr>
      </w:pPr>
    </w:p>
    <w:p w14:paraId="4F184751" w14:textId="77777777" w:rsidR="00491D9B" w:rsidRPr="008A6319" w:rsidRDefault="00491D9B" w:rsidP="00E23D62">
      <w:pPr>
        <w:spacing w:line="480" w:lineRule="auto"/>
        <w:contextualSpacing/>
        <w:rPr>
          <w:rFonts w:ascii="David" w:hAnsi="David" w:cs="David"/>
          <w:sz w:val="24"/>
          <w:szCs w:val="24"/>
          <w:rtl/>
        </w:rPr>
      </w:pPr>
    </w:p>
    <w:p w14:paraId="7174DC45" w14:textId="77777777" w:rsidR="00491D9B" w:rsidRPr="008A6319" w:rsidRDefault="00491D9B" w:rsidP="00E23D62">
      <w:pPr>
        <w:spacing w:line="480" w:lineRule="auto"/>
        <w:contextualSpacing/>
        <w:rPr>
          <w:rFonts w:ascii="David" w:hAnsi="David" w:cs="David"/>
          <w:sz w:val="24"/>
          <w:szCs w:val="24"/>
          <w:rtl/>
        </w:rPr>
      </w:pPr>
    </w:p>
    <w:p w14:paraId="2B3327D9" w14:textId="77777777" w:rsidR="00491D9B" w:rsidRPr="008A6319" w:rsidRDefault="00491D9B" w:rsidP="00E23D62">
      <w:pPr>
        <w:spacing w:line="480" w:lineRule="auto"/>
        <w:contextualSpacing/>
        <w:rPr>
          <w:rFonts w:ascii="David" w:hAnsi="David" w:cs="David"/>
          <w:sz w:val="24"/>
          <w:szCs w:val="24"/>
          <w:rtl/>
        </w:rPr>
      </w:pPr>
    </w:p>
    <w:p w14:paraId="648C6F25" w14:textId="77777777" w:rsidR="00491D9B" w:rsidRPr="008A6319" w:rsidRDefault="00491D9B" w:rsidP="00E23D62">
      <w:pPr>
        <w:spacing w:line="480" w:lineRule="auto"/>
        <w:contextualSpacing/>
        <w:rPr>
          <w:rFonts w:ascii="David" w:hAnsi="David" w:cs="David"/>
          <w:sz w:val="24"/>
          <w:szCs w:val="24"/>
          <w:rtl/>
        </w:rPr>
      </w:pPr>
    </w:p>
    <w:p w14:paraId="7A90CAEF" w14:textId="77777777" w:rsidR="002C4C39" w:rsidRPr="008A6319" w:rsidRDefault="002C4C39" w:rsidP="00C83B82">
      <w:pPr>
        <w:spacing w:line="480" w:lineRule="auto"/>
        <w:contextualSpacing/>
        <w:rPr>
          <w:rFonts w:ascii="David" w:hAnsi="David" w:cs="David"/>
          <w:b/>
          <w:bCs/>
          <w:sz w:val="24"/>
          <w:szCs w:val="24"/>
          <w:rtl/>
        </w:rPr>
      </w:pPr>
    </w:p>
    <w:p w14:paraId="1FC633A1" w14:textId="6124DA03" w:rsidR="002C70EF" w:rsidRPr="008A6319" w:rsidRDefault="00C71386" w:rsidP="00E23D62">
      <w:pPr>
        <w:spacing w:line="480" w:lineRule="auto"/>
        <w:contextualSpacing/>
        <w:jc w:val="center"/>
        <w:rPr>
          <w:rFonts w:ascii="David" w:hAnsi="David" w:cs="David"/>
          <w:b/>
          <w:bCs/>
          <w:sz w:val="24"/>
          <w:szCs w:val="24"/>
          <w:rtl/>
        </w:rPr>
      </w:pPr>
      <w:r w:rsidRPr="008A6319">
        <w:rPr>
          <w:rFonts w:ascii="David" w:hAnsi="David" w:cs="David" w:hint="cs"/>
          <w:b/>
          <w:bCs/>
          <w:sz w:val="24"/>
          <w:szCs w:val="24"/>
          <w:rtl/>
        </w:rPr>
        <w:t>מקורות</w:t>
      </w:r>
    </w:p>
    <w:p w14:paraId="66FF7E0A" w14:textId="77777777" w:rsidR="00CD1568" w:rsidRPr="008A6319" w:rsidRDefault="00CD1568" w:rsidP="00CD1568">
      <w:pPr>
        <w:spacing w:line="480" w:lineRule="auto"/>
        <w:contextualSpacing/>
        <w:rPr>
          <w:rFonts w:ascii="David" w:hAnsi="David" w:cs="David"/>
          <w:sz w:val="24"/>
          <w:szCs w:val="24"/>
          <w:rtl/>
        </w:rPr>
      </w:pPr>
      <w:proofErr w:type="spellStart"/>
      <w:r w:rsidRPr="008A6319">
        <w:rPr>
          <w:rFonts w:ascii="David" w:hAnsi="David" w:cs="David" w:hint="cs"/>
          <w:sz w:val="24"/>
          <w:szCs w:val="24"/>
          <w:rtl/>
        </w:rPr>
        <w:t>דוידסקו</w:t>
      </w:r>
      <w:proofErr w:type="spellEnd"/>
      <w:r w:rsidRPr="008A6319">
        <w:rPr>
          <w:rFonts w:ascii="David" w:hAnsi="David" w:cs="David" w:hint="cs"/>
          <w:sz w:val="24"/>
          <w:szCs w:val="24"/>
          <w:rtl/>
        </w:rPr>
        <w:t xml:space="preserve">, ע' </w:t>
      </w:r>
      <w:proofErr w:type="spellStart"/>
      <w:r w:rsidRPr="008A6319">
        <w:rPr>
          <w:rFonts w:ascii="David" w:hAnsi="David" w:cs="David" w:hint="cs"/>
          <w:sz w:val="24"/>
          <w:szCs w:val="24"/>
          <w:rtl/>
        </w:rPr>
        <w:t>וולק</w:t>
      </w:r>
      <w:proofErr w:type="spellEnd"/>
      <w:r w:rsidRPr="008A6319">
        <w:rPr>
          <w:rFonts w:ascii="David" w:hAnsi="David" w:cs="David" w:hint="cs"/>
          <w:sz w:val="24"/>
          <w:szCs w:val="24"/>
          <w:rtl/>
        </w:rPr>
        <w:t xml:space="preserve">, ד' (2012). </w:t>
      </w:r>
      <w:r w:rsidRPr="008A6319">
        <w:rPr>
          <w:rFonts w:ascii="David" w:hAnsi="David" w:cs="David"/>
          <w:b/>
          <w:bCs/>
          <w:sz w:val="24"/>
          <w:szCs w:val="24"/>
          <w:rtl/>
        </w:rPr>
        <w:t>אסירים מבוגרים</w:t>
      </w:r>
      <w:r w:rsidRPr="008A6319">
        <w:rPr>
          <w:rFonts w:ascii="David" w:hAnsi="David" w:cs="David" w:hint="cs"/>
          <w:b/>
          <w:bCs/>
          <w:sz w:val="24"/>
          <w:szCs w:val="24"/>
          <w:rtl/>
        </w:rPr>
        <w:t xml:space="preserve">: </w:t>
      </w:r>
      <w:r w:rsidRPr="008A6319">
        <w:rPr>
          <w:rFonts w:ascii="David" w:hAnsi="David" w:cs="David"/>
          <w:b/>
          <w:bCs/>
          <w:sz w:val="24"/>
          <w:szCs w:val="24"/>
          <w:rtl/>
        </w:rPr>
        <w:t>בין שילוב לבידול</w:t>
      </w:r>
      <w:r w:rsidRPr="008A6319">
        <w:rPr>
          <w:rFonts w:ascii="David" w:hAnsi="David" w:cs="David" w:hint="cs"/>
          <w:b/>
          <w:bCs/>
          <w:sz w:val="24"/>
          <w:szCs w:val="24"/>
          <w:rtl/>
        </w:rPr>
        <w:t xml:space="preserve">, </w:t>
      </w:r>
      <w:r w:rsidRPr="008A6319">
        <w:rPr>
          <w:rFonts w:ascii="David" w:hAnsi="David" w:cs="David"/>
          <w:b/>
          <w:bCs/>
          <w:sz w:val="24"/>
          <w:szCs w:val="24"/>
          <w:rtl/>
        </w:rPr>
        <w:t xml:space="preserve">פרסום מס' </w:t>
      </w:r>
      <w:r w:rsidRPr="008A6319">
        <w:rPr>
          <w:rFonts w:ascii="David" w:hAnsi="David" w:cs="David" w:hint="cs"/>
          <w:b/>
          <w:bCs/>
          <w:sz w:val="24"/>
          <w:szCs w:val="24"/>
          <w:rtl/>
        </w:rPr>
        <w:t>02</w:t>
      </w:r>
      <w:r w:rsidRPr="008A6319">
        <w:rPr>
          <w:rFonts w:ascii="David" w:hAnsi="David" w:cs="David"/>
          <w:b/>
          <w:bCs/>
          <w:sz w:val="24"/>
          <w:szCs w:val="24"/>
          <w:rtl/>
        </w:rPr>
        <w:t>-</w:t>
      </w:r>
      <w:r w:rsidRPr="008A6319">
        <w:rPr>
          <w:rFonts w:ascii="David" w:hAnsi="David" w:cs="David" w:hint="cs"/>
          <w:b/>
          <w:bCs/>
          <w:sz w:val="24"/>
          <w:szCs w:val="24"/>
          <w:rtl/>
        </w:rPr>
        <w:t>2012</w:t>
      </w:r>
      <w:r w:rsidRPr="008A6319">
        <w:rPr>
          <w:rFonts w:ascii="David" w:hAnsi="David" w:cs="David"/>
          <w:b/>
          <w:bCs/>
          <w:sz w:val="24"/>
          <w:szCs w:val="24"/>
        </w:rPr>
        <w:t>LR</w:t>
      </w:r>
      <w:r w:rsidRPr="008A6319">
        <w:rPr>
          <w:rFonts w:ascii="David" w:hAnsi="David" w:cs="David" w:hint="cs"/>
          <w:b/>
          <w:bCs/>
          <w:sz w:val="24"/>
          <w:szCs w:val="24"/>
          <w:rtl/>
        </w:rPr>
        <w:t xml:space="preserve"> </w:t>
      </w:r>
      <w:r w:rsidRPr="008A6319">
        <w:rPr>
          <w:rFonts w:ascii="David" w:hAnsi="David" w:cs="David" w:hint="cs"/>
          <w:sz w:val="24"/>
          <w:szCs w:val="24"/>
          <w:rtl/>
        </w:rPr>
        <w:t xml:space="preserve">. יחידת ה </w:t>
      </w:r>
    </w:p>
    <w:p w14:paraId="5DCC8359" w14:textId="347E2934" w:rsidR="00CD1568" w:rsidRPr="008A6319" w:rsidRDefault="00CD1568" w:rsidP="00CD1568">
      <w:pPr>
        <w:spacing w:line="480" w:lineRule="auto"/>
        <w:ind w:firstLine="720"/>
        <w:contextualSpacing/>
        <w:rPr>
          <w:rFonts w:ascii="David" w:hAnsi="David" w:cs="David"/>
          <w:sz w:val="24"/>
          <w:szCs w:val="24"/>
          <w:rtl/>
        </w:rPr>
      </w:pPr>
      <w:r w:rsidRPr="008A6319">
        <w:rPr>
          <w:rFonts w:ascii="David" w:hAnsi="David" w:cs="David" w:hint="cs"/>
          <w:sz w:val="24"/>
          <w:szCs w:val="24"/>
          <w:rtl/>
        </w:rPr>
        <w:t>מחקר, שירות בתי סוהר</w:t>
      </w:r>
    </w:p>
    <w:p w14:paraId="11B76442" w14:textId="6E5CC451" w:rsidR="00E23D62" w:rsidRPr="008A6319" w:rsidRDefault="00E23D62" w:rsidP="00E23D62">
      <w:pPr>
        <w:spacing w:line="480" w:lineRule="auto"/>
        <w:contextualSpacing/>
        <w:rPr>
          <w:rFonts w:ascii="David" w:hAnsi="David" w:cs="David"/>
          <w:color w:val="222222"/>
          <w:sz w:val="24"/>
          <w:szCs w:val="24"/>
          <w:shd w:val="clear" w:color="auto" w:fill="FFFFFF"/>
          <w:rtl/>
        </w:rPr>
      </w:pPr>
      <w:r w:rsidRPr="008A6319">
        <w:rPr>
          <w:rFonts w:ascii="David" w:hAnsi="David" w:cs="David"/>
          <w:color w:val="222222"/>
          <w:sz w:val="24"/>
          <w:szCs w:val="24"/>
          <w:shd w:val="clear" w:color="auto" w:fill="FFFFFF"/>
          <w:rtl/>
        </w:rPr>
        <w:t xml:space="preserve">דורון, י' (2006). גן עדן או גהינום? על זקנים והזדקנות בבית המאסר מעשיהו. </w:t>
      </w:r>
      <w:r w:rsidRPr="008A6319">
        <w:rPr>
          <w:rFonts w:ascii="David" w:hAnsi="David" w:cs="David"/>
          <w:b/>
          <w:bCs/>
          <w:color w:val="222222"/>
          <w:sz w:val="24"/>
          <w:szCs w:val="24"/>
          <w:shd w:val="clear" w:color="auto" w:fill="FFFFFF"/>
          <w:rtl/>
        </w:rPr>
        <w:t>צוהר לבית הסוהר, 10</w:t>
      </w:r>
      <w:r w:rsidRPr="008A6319">
        <w:rPr>
          <w:rFonts w:ascii="David" w:hAnsi="David" w:cs="David"/>
          <w:color w:val="222222"/>
          <w:sz w:val="24"/>
          <w:szCs w:val="24"/>
          <w:shd w:val="clear" w:color="auto" w:fill="FFFFFF"/>
          <w:rtl/>
        </w:rPr>
        <w:t xml:space="preserve">, </w:t>
      </w:r>
      <w:r w:rsidRPr="008A6319">
        <w:rPr>
          <w:rFonts w:ascii="David" w:hAnsi="David" w:cs="David" w:hint="cs"/>
          <w:color w:val="222222"/>
          <w:sz w:val="24"/>
          <w:szCs w:val="24"/>
          <w:shd w:val="clear" w:color="auto" w:fill="FFFFFF"/>
          <w:rtl/>
        </w:rPr>
        <w:t>11-</w:t>
      </w:r>
      <w:r w:rsidRPr="008A6319">
        <w:rPr>
          <w:rFonts w:ascii="David" w:hAnsi="David" w:cs="David"/>
          <w:color w:val="222222"/>
          <w:sz w:val="24"/>
          <w:szCs w:val="24"/>
          <w:shd w:val="clear" w:color="auto" w:fill="FFFFFF"/>
          <w:rtl/>
        </w:rPr>
        <w:tab/>
      </w:r>
      <w:r w:rsidRPr="008A6319">
        <w:rPr>
          <w:rFonts w:ascii="David" w:hAnsi="David" w:cs="David" w:hint="cs"/>
          <w:color w:val="222222"/>
          <w:sz w:val="24"/>
          <w:szCs w:val="24"/>
          <w:shd w:val="clear" w:color="auto" w:fill="FFFFFF"/>
          <w:rtl/>
        </w:rPr>
        <w:t>20</w:t>
      </w:r>
      <w:r w:rsidRPr="008A6319">
        <w:rPr>
          <w:rFonts w:ascii="David" w:hAnsi="David" w:cs="David"/>
          <w:color w:val="222222"/>
          <w:sz w:val="24"/>
          <w:szCs w:val="24"/>
          <w:shd w:val="clear" w:color="auto" w:fill="FFFFFF"/>
          <w:rtl/>
        </w:rPr>
        <w:t xml:space="preserve">. </w:t>
      </w:r>
    </w:p>
    <w:p w14:paraId="77E449D7" w14:textId="763151F6" w:rsidR="00FA47C2" w:rsidRPr="008A6319" w:rsidRDefault="00FA47C2" w:rsidP="00E23D62">
      <w:pPr>
        <w:spacing w:line="480" w:lineRule="auto"/>
        <w:contextualSpacing/>
        <w:rPr>
          <w:rFonts w:ascii="David" w:hAnsi="David" w:cs="David"/>
          <w:color w:val="222222"/>
          <w:sz w:val="24"/>
          <w:szCs w:val="24"/>
          <w:shd w:val="clear" w:color="auto" w:fill="FFFFFF"/>
          <w:rtl/>
        </w:rPr>
      </w:pPr>
      <w:r w:rsidRPr="008A6319">
        <w:rPr>
          <w:rFonts w:ascii="David" w:hAnsi="David" w:cs="David" w:hint="cs"/>
          <w:color w:val="222222"/>
          <w:sz w:val="24"/>
          <w:szCs w:val="24"/>
          <w:shd w:val="clear" w:color="auto" w:fill="FFFFFF"/>
          <w:rtl/>
        </w:rPr>
        <w:t>שירות בתי סוהר (2021). דו"ח שירות בתי סוהר לשנת 2020. שירות בתי סוהר</w:t>
      </w:r>
    </w:p>
    <w:p w14:paraId="5D223597" w14:textId="52D60BB5" w:rsidR="00FA47C2" w:rsidRPr="008A6319" w:rsidRDefault="008A6319" w:rsidP="00E23D62">
      <w:pPr>
        <w:spacing w:line="480" w:lineRule="auto"/>
        <w:contextualSpacing/>
        <w:rPr>
          <w:rFonts w:ascii="David" w:hAnsi="David" w:cs="David"/>
          <w:color w:val="222222"/>
          <w:sz w:val="24"/>
          <w:szCs w:val="24"/>
          <w:shd w:val="clear" w:color="auto" w:fill="FFFFFF"/>
          <w:rtl/>
        </w:rPr>
      </w:pPr>
      <w:hyperlink r:id="rId4" w:history="1">
        <w:r w:rsidR="00FA47C2" w:rsidRPr="008A6319">
          <w:rPr>
            <w:rStyle w:val="Hyperlink"/>
            <w:rFonts w:ascii="David" w:hAnsi="David" w:cs="David"/>
            <w:sz w:val="24"/>
            <w:szCs w:val="24"/>
            <w:shd w:val="clear" w:color="auto" w:fill="FFFFFF"/>
          </w:rPr>
          <w:t>https://www.gov.il/BlobFolder/reports/doch_shnati2020/he/%D7%93%D7%95%D7%97%20%D7%A9%D7%A0%D7%AA%D7%99%202020.pdf</w:t>
        </w:r>
      </w:hyperlink>
    </w:p>
    <w:p w14:paraId="5CE1DFBC" w14:textId="77777777" w:rsidR="00FA47C2" w:rsidRPr="008A6319" w:rsidRDefault="00FA47C2" w:rsidP="00E23D62">
      <w:pPr>
        <w:spacing w:line="480" w:lineRule="auto"/>
        <w:contextualSpacing/>
        <w:rPr>
          <w:rFonts w:ascii="David" w:hAnsi="David" w:cs="David"/>
          <w:color w:val="222222"/>
          <w:sz w:val="24"/>
          <w:szCs w:val="24"/>
          <w:shd w:val="clear" w:color="auto" w:fill="FFFFFF"/>
        </w:rPr>
      </w:pPr>
    </w:p>
    <w:p w14:paraId="438DF75E" w14:textId="77777777" w:rsidR="00E23D62" w:rsidRPr="008A6319" w:rsidRDefault="00E23D62" w:rsidP="00E23D62">
      <w:pPr>
        <w:bidi w:val="0"/>
        <w:spacing w:line="480" w:lineRule="auto"/>
        <w:contextualSpacing/>
        <w:jc w:val="both"/>
        <w:rPr>
          <w:rFonts w:asciiTheme="majorBidi" w:hAnsiTheme="majorBidi" w:cstheme="majorBidi"/>
          <w:i/>
          <w:iCs/>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R. H. (1994). Aging in prison: A case study of new elderly offenders. </w:t>
      </w:r>
      <w:r w:rsidRPr="008A6319">
        <w:rPr>
          <w:rFonts w:asciiTheme="majorBidi" w:hAnsiTheme="majorBidi" w:cstheme="majorBidi"/>
          <w:i/>
          <w:iCs/>
          <w:color w:val="222222"/>
          <w:sz w:val="24"/>
          <w:szCs w:val="24"/>
          <w:shd w:val="clear" w:color="auto" w:fill="FFFFFF"/>
        </w:rPr>
        <w:t xml:space="preserve">International </w:t>
      </w:r>
    </w:p>
    <w:p w14:paraId="38579E40" w14:textId="77777777" w:rsidR="00E23D62" w:rsidRPr="008A6319" w:rsidRDefault="00E23D62" w:rsidP="00E23D62">
      <w:pPr>
        <w:bidi w:val="0"/>
        <w:spacing w:line="480" w:lineRule="auto"/>
        <w:ind w:left="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Journal of Offender Therapy and Comparative Criminology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38</w:t>
      </w:r>
      <w:r w:rsidRPr="008A6319">
        <w:rPr>
          <w:rFonts w:asciiTheme="majorBidi" w:hAnsiTheme="majorBidi" w:cstheme="majorBidi"/>
          <w:color w:val="222222"/>
          <w:sz w:val="24"/>
          <w:szCs w:val="24"/>
          <w:shd w:val="clear" w:color="auto" w:fill="FFFFFF"/>
        </w:rPr>
        <w:t xml:space="preserve">(1), 79-91. </w:t>
      </w:r>
      <w:hyperlink r:id="rId5" w:history="1">
        <w:r w:rsidRPr="008A6319">
          <w:rPr>
            <w:rStyle w:val="Hyperlink"/>
            <w:rFonts w:asciiTheme="majorBidi" w:hAnsiTheme="majorBidi" w:cstheme="majorBidi"/>
            <w:sz w:val="24"/>
            <w:szCs w:val="24"/>
            <w:shd w:val="clear" w:color="auto" w:fill="FFFFFF"/>
          </w:rPr>
          <w:t>https://doi.org/10.1177/0306624X9403800108</w:t>
        </w:r>
      </w:hyperlink>
    </w:p>
    <w:p w14:paraId="145ED392" w14:textId="77777777" w:rsidR="00E23D62" w:rsidRPr="008A6319" w:rsidRDefault="00E23D62" w:rsidP="00E23D62">
      <w:pPr>
        <w:bidi w:val="0"/>
        <w:spacing w:line="480" w:lineRule="auto"/>
        <w:contextualSpacing/>
        <w:jc w:val="both"/>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xml:space="preserve">, R. H. (2003). </w:t>
      </w:r>
      <w:r w:rsidRPr="008A6319">
        <w:rPr>
          <w:rFonts w:asciiTheme="majorBidi" w:hAnsiTheme="majorBidi" w:cstheme="majorBidi"/>
          <w:i/>
          <w:iCs/>
          <w:color w:val="222222"/>
          <w:sz w:val="24"/>
          <w:szCs w:val="24"/>
          <w:shd w:val="clear" w:color="auto" w:fill="FFFFFF"/>
        </w:rPr>
        <w:t>Aging prisoners: Crisis in American corrections</w:t>
      </w:r>
      <w:r w:rsidRPr="008A6319">
        <w:rPr>
          <w:rFonts w:asciiTheme="majorBidi" w:hAnsiTheme="majorBidi" w:cstheme="majorBidi"/>
          <w:color w:val="222222"/>
          <w:sz w:val="24"/>
          <w:szCs w:val="24"/>
          <w:shd w:val="clear" w:color="auto" w:fill="FFFFFF"/>
        </w:rPr>
        <w:t>.  Praeger Publishers.</w:t>
      </w:r>
    </w:p>
    <w:p w14:paraId="14E7451C" w14:textId="77777777" w:rsidR="00E23D62" w:rsidRPr="008A6319" w:rsidRDefault="00E23D62" w:rsidP="00E23D62">
      <w:pPr>
        <w:bidi w:val="0"/>
        <w:spacing w:line="480" w:lineRule="auto"/>
        <w:contextualSpacing/>
        <w:jc w:val="both"/>
        <w:rPr>
          <w:rFonts w:asciiTheme="majorBidi" w:hAnsiTheme="majorBidi" w:cstheme="majorBidi"/>
          <w:i/>
          <w:iCs/>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Aday</w:t>
      </w:r>
      <w:proofErr w:type="spellEnd"/>
      <w:r w:rsidRPr="008A6319">
        <w:rPr>
          <w:rFonts w:asciiTheme="majorBidi" w:hAnsiTheme="majorBidi" w:cstheme="majorBidi"/>
          <w:color w:val="222222"/>
          <w:sz w:val="24"/>
          <w:szCs w:val="24"/>
          <w:shd w:val="clear" w:color="auto" w:fill="FFFFFF"/>
        </w:rPr>
        <w:t xml:space="preserve">, R. H., &amp; </w:t>
      </w:r>
      <w:proofErr w:type="spellStart"/>
      <w:r w:rsidRPr="008A6319">
        <w:rPr>
          <w:rFonts w:asciiTheme="majorBidi" w:hAnsiTheme="majorBidi" w:cstheme="majorBidi"/>
          <w:color w:val="222222"/>
          <w:sz w:val="24"/>
          <w:szCs w:val="24"/>
          <w:shd w:val="clear" w:color="auto" w:fill="FFFFFF"/>
        </w:rPr>
        <w:t>Krabill</w:t>
      </w:r>
      <w:proofErr w:type="spellEnd"/>
      <w:r w:rsidRPr="008A6319">
        <w:rPr>
          <w:rFonts w:asciiTheme="majorBidi" w:hAnsiTheme="majorBidi" w:cstheme="majorBidi"/>
          <w:color w:val="222222"/>
          <w:sz w:val="24"/>
          <w:szCs w:val="24"/>
          <w:shd w:val="clear" w:color="auto" w:fill="FFFFFF"/>
        </w:rPr>
        <w:t>, J. J. (2011). </w:t>
      </w:r>
      <w:r w:rsidRPr="008A6319">
        <w:rPr>
          <w:rFonts w:asciiTheme="majorBidi" w:hAnsiTheme="majorBidi" w:cstheme="majorBidi"/>
          <w:i/>
          <w:iCs/>
          <w:color w:val="222222"/>
          <w:sz w:val="24"/>
          <w:szCs w:val="24"/>
          <w:shd w:val="clear" w:color="auto" w:fill="FFFFFF"/>
        </w:rPr>
        <w:t xml:space="preserve">Women aging in prison: A neglected population in the </w:t>
      </w:r>
    </w:p>
    <w:p w14:paraId="0752F813" w14:textId="77777777" w:rsidR="00E23D62" w:rsidRPr="008A6319" w:rsidRDefault="00E23D62" w:rsidP="00E23D62">
      <w:pPr>
        <w:bidi w:val="0"/>
        <w:spacing w:line="480" w:lineRule="auto"/>
        <w:ind w:firstLine="720"/>
        <w:contextualSpacing/>
        <w:jc w:val="both"/>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correctional system</w:t>
      </w:r>
      <w:r w:rsidRPr="008A6319">
        <w:rPr>
          <w:rFonts w:asciiTheme="majorBidi" w:hAnsiTheme="majorBidi" w:cstheme="majorBidi"/>
          <w:color w:val="222222"/>
          <w:sz w:val="24"/>
          <w:szCs w:val="24"/>
          <w:shd w:val="clear" w:color="auto" w:fill="FFFFFF"/>
        </w:rPr>
        <w:t xml:space="preserve"> (p. 239). Lynne </w:t>
      </w:r>
      <w:proofErr w:type="spellStart"/>
      <w:r w:rsidRPr="008A6319">
        <w:rPr>
          <w:rFonts w:asciiTheme="majorBidi" w:hAnsiTheme="majorBidi" w:cstheme="majorBidi"/>
          <w:color w:val="222222"/>
          <w:sz w:val="24"/>
          <w:szCs w:val="24"/>
          <w:shd w:val="clear" w:color="auto" w:fill="FFFFFF"/>
        </w:rPr>
        <w:t>Rienner</w:t>
      </w:r>
      <w:proofErr w:type="spellEnd"/>
      <w:r w:rsidRPr="008A6319">
        <w:rPr>
          <w:rFonts w:asciiTheme="majorBidi" w:hAnsiTheme="majorBidi" w:cstheme="majorBidi"/>
          <w:color w:val="222222"/>
          <w:sz w:val="24"/>
          <w:szCs w:val="24"/>
          <w:shd w:val="clear" w:color="auto" w:fill="FFFFFF"/>
        </w:rPr>
        <w:t xml:space="preserve"> Publishers.</w:t>
      </w:r>
      <w:r w:rsidRPr="008A6319">
        <w:rPr>
          <w:rFonts w:asciiTheme="majorBidi" w:hAnsiTheme="majorBidi" w:cstheme="majorBidi"/>
          <w:color w:val="222222"/>
          <w:sz w:val="24"/>
          <w:szCs w:val="24"/>
          <w:shd w:val="clear" w:color="auto" w:fill="FFFFFF"/>
          <w:rtl/>
        </w:rPr>
        <w:t>‏</w:t>
      </w:r>
    </w:p>
    <w:p w14:paraId="1503AD86" w14:textId="77777777" w:rsidR="00E23D62" w:rsidRPr="008A6319" w:rsidRDefault="00E23D62" w:rsidP="00E23D62">
      <w:pPr>
        <w:bidi w:val="0"/>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Barak, Y., Perry, T., &amp; </w:t>
      </w:r>
      <w:proofErr w:type="spellStart"/>
      <w:r w:rsidRPr="008A6319">
        <w:rPr>
          <w:rFonts w:asciiTheme="majorBidi" w:hAnsiTheme="majorBidi" w:cstheme="majorBidi"/>
          <w:color w:val="222222"/>
          <w:sz w:val="24"/>
          <w:szCs w:val="24"/>
          <w:shd w:val="clear" w:color="auto" w:fill="FFFFFF"/>
        </w:rPr>
        <w:t>Elizur</w:t>
      </w:r>
      <w:proofErr w:type="spellEnd"/>
      <w:r w:rsidRPr="008A6319">
        <w:rPr>
          <w:rFonts w:asciiTheme="majorBidi" w:hAnsiTheme="majorBidi" w:cstheme="majorBidi"/>
          <w:color w:val="222222"/>
          <w:sz w:val="24"/>
          <w:szCs w:val="24"/>
          <w:shd w:val="clear" w:color="auto" w:fill="FFFFFF"/>
        </w:rPr>
        <w:t xml:space="preserve">, A. (1995). Elderly criminals: a study of the first criminal </w:t>
      </w:r>
    </w:p>
    <w:p w14:paraId="49249F22" w14:textId="77777777" w:rsidR="00E23D62" w:rsidRPr="008A6319" w:rsidRDefault="00E23D62" w:rsidP="00E23D62">
      <w:pPr>
        <w:bidi w:val="0"/>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lastRenderedPageBreak/>
        <w:t>offence in old age. </w:t>
      </w:r>
      <w:r w:rsidRPr="008A6319">
        <w:rPr>
          <w:rFonts w:asciiTheme="majorBidi" w:hAnsiTheme="majorBidi" w:cstheme="majorBidi"/>
          <w:i/>
          <w:iCs/>
          <w:color w:val="222222"/>
          <w:sz w:val="24"/>
          <w:szCs w:val="24"/>
          <w:shd w:val="clear" w:color="auto" w:fill="FFFFFF"/>
        </w:rPr>
        <w:t>International Journal of Geriatric Psychiatry</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10</w:t>
      </w:r>
      <w:r w:rsidRPr="008A6319">
        <w:rPr>
          <w:rFonts w:asciiTheme="majorBidi" w:hAnsiTheme="majorBidi" w:cstheme="majorBidi"/>
          <w:color w:val="222222"/>
          <w:sz w:val="24"/>
          <w:szCs w:val="24"/>
          <w:shd w:val="clear" w:color="auto" w:fill="FFFFFF"/>
        </w:rPr>
        <w:t>(6), 511-516.</w:t>
      </w:r>
      <w:r w:rsidRPr="008A6319">
        <w:rPr>
          <w:rFonts w:asciiTheme="majorBidi" w:hAnsiTheme="majorBidi" w:cstheme="majorBidi"/>
          <w:color w:val="222222"/>
          <w:sz w:val="24"/>
          <w:szCs w:val="24"/>
          <w:shd w:val="clear" w:color="auto" w:fill="FFFFFF"/>
          <w:rtl/>
        </w:rPr>
        <w:t>‏</w:t>
      </w:r>
      <w:r w:rsidRPr="008A6319">
        <w:t xml:space="preserve"> </w:t>
      </w:r>
      <w:hyperlink r:id="rId6" w:history="1">
        <w:r w:rsidRPr="008A6319">
          <w:rPr>
            <w:rStyle w:val="Hyperlink"/>
            <w:rFonts w:asciiTheme="majorBidi" w:hAnsiTheme="majorBidi" w:cstheme="majorBidi"/>
            <w:sz w:val="24"/>
            <w:szCs w:val="24"/>
            <w:shd w:val="clear" w:color="auto" w:fill="FFFFFF"/>
          </w:rPr>
          <w:t>https://doi.org/10.1002/gps.930100611</w:t>
        </w:r>
      </w:hyperlink>
    </w:p>
    <w:p w14:paraId="1CF9B0B3" w14:textId="77777777" w:rsidR="00E23D62" w:rsidRPr="008A6319" w:rsidRDefault="00E23D62" w:rsidP="00E23D62">
      <w:pPr>
        <w:bidi w:val="0"/>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Bergman, S., &amp; Amir, M. (1973). Crime and delinquency among the aged in </w:t>
      </w:r>
    </w:p>
    <w:p w14:paraId="31FC723C" w14:textId="78986DD7" w:rsidR="00E23D62" w:rsidRPr="008A6319" w:rsidRDefault="00E23D62" w:rsidP="00E23D62">
      <w:pPr>
        <w:bidi w:val="0"/>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Israel. </w:t>
      </w:r>
      <w:r w:rsidRPr="008A6319">
        <w:rPr>
          <w:rFonts w:asciiTheme="majorBidi" w:hAnsiTheme="majorBidi" w:cstheme="majorBidi"/>
          <w:i/>
          <w:iCs/>
          <w:color w:val="222222"/>
          <w:sz w:val="24"/>
          <w:szCs w:val="24"/>
          <w:shd w:val="clear" w:color="auto" w:fill="FFFFFF"/>
        </w:rPr>
        <w:t>Geriatrics</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28</w:t>
      </w:r>
      <w:r w:rsidRPr="008A6319">
        <w:rPr>
          <w:rFonts w:asciiTheme="majorBidi" w:hAnsiTheme="majorBidi" w:cstheme="majorBidi"/>
          <w:color w:val="222222"/>
          <w:sz w:val="24"/>
          <w:szCs w:val="24"/>
          <w:shd w:val="clear" w:color="auto" w:fill="FFFFFF"/>
        </w:rPr>
        <w:t>(1), 149-157.</w:t>
      </w:r>
      <w:r w:rsidRPr="008A6319">
        <w:rPr>
          <w:rFonts w:asciiTheme="majorBidi" w:hAnsiTheme="majorBidi" w:cstheme="majorBidi"/>
          <w:color w:val="222222"/>
          <w:sz w:val="24"/>
          <w:szCs w:val="24"/>
          <w:shd w:val="clear" w:color="auto" w:fill="FFFFFF"/>
          <w:rtl/>
        </w:rPr>
        <w:t>‏</w:t>
      </w:r>
    </w:p>
    <w:p w14:paraId="415C11D5" w14:textId="0F18226F" w:rsidR="000736DF" w:rsidRPr="008A6319" w:rsidRDefault="000736DF" w:rsidP="000736DF">
      <w:pPr>
        <w:bidi w:val="0"/>
        <w:spacing w:after="0" w:line="240" w:lineRule="auto"/>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Collins, P. H. (2015). </w:t>
      </w:r>
      <w:r w:rsidRPr="008A6319">
        <w:rPr>
          <w:rFonts w:ascii="Times New Roman" w:eastAsia="Times New Roman" w:hAnsi="Times New Roman" w:cs="Times New Roman"/>
          <w:i/>
          <w:iCs/>
          <w:sz w:val="24"/>
          <w:szCs w:val="24"/>
          <w:lang w:eastAsia="he-IL"/>
        </w:rPr>
        <w:t>Intersectionality’s deﬁnitional dilemmas</w:t>
      </w:r>
      <w:r w:rsidRPr="008A6319">
        <w:rPr>
          <w:rFonts w:ascii="Times New Roman" w:eastAsia="Times New Roman" w:hAnsi="Times New Roman" w:cs="Times New Roman"/>
          <w:sz w:val="24"/>
          <w:szCs w:val="24"/>
          <w:lang w:eastAsia="he-IL"/>
        </w:rPr>
        <w:t xml:space="preserve">. The Annual Review of </w:t>
      </w:r>
    </w:p>
    <w:p w14:paraId="0424F6A5" w14:textId="1B71DC14" w:rsidR="000736DF" w:rsidRPr="008A6319" w:rsidRDefault="000736DF" w:rsidP="008A6319">
      <w:pPr>
        <w:bidi w:val="0"/>
        <w:spacing w:after="0" w:line="240" w:lineRule="auto"/>
        <w:ind w:left="567"/>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Sociology 41, 1–20. </w:t>
      </w:r>
      <w:hyperlink r:id="rId7" w:history="1">
        <w:r w:rsidRPr="008A6319">
          <w:rPr>
            <w:rStyle w:val="Hyperlink"/>
            <w:rFonts w:ascii="Times New Roman" w:eastAsia="Times New Roman" w:hAnsi="Times New Roman" w:cs="Times New Roman"/>
            <w:sz w:val="24"/>
            <w:szCs w:val="24"/>
            <w:lang w:eastAsia="he-IL"/>
          </w:rPr>
          <w:t>https://www.annualreviews.org/doi/pdf/10.1146/annurev-soc-</w:t>
        </w:r>
      </w:hyperlink>
      <w:r w:rsidRPr="008A6319">
        <w:rPr>
          <w:rFonts w:ascii="Times New Roman" w:eastAsia="Times New Roman" w:hAnsi="Times New Roman" w:cs="Times New Roman"/>
          <w:sz w:val="24"/>
          <w:szCs w:val="24"/>
          <w:lang w:eastAsia="he-IL"/>
        </w:rPr>
        <w:t>073014-112142</w:t>
      </w:r>
    </w:p>
    <w:p w14:paraId="0ABABA76" w14:textId="39A08810" w:rsidR="000736DF" w:rsidRPr="008A6319" w:rsidRDefault="000736DF" w:rsidP="008A6319">
      <w:pPr>
        <w:bidi w:val="0"/>
        <w:spacing w:after="0" w:line="360" w:lineRule="auto"/>
        <w:rPr>
          <w:rFonts w:ascii="Times New Roman" w:eastAsia="Times New Roman" w:hAnsi="Times New Roman" w:cs="Times New Roman"/>
          <w:sz w:val="24"/>
          <w:szCs w:val="24"/>
          <w:lang w:eastAsia="he-IL"/>
        </w:rPr>
      </w:pPr>
    </w:p>
    <w:p w14:paraId="1E37AC2E" w14:textId="011E0AFE" w:rsidR="000736DF" w:rsidRPr="008A6319" w:rsidRDefault="000736DF" w:rsidP="008A6319">
      <w:pPr>
        <w:bidi w:val="0"/>
        <w:spacing w:after="0" w:line="360" w:lineRule="auto"/>
        <w:ind w:left="567" w:right="-483" w:hanging="569"/>
        <w:rPr>
          <w:rFonts w:ascii="Times New Roman" w:eastAsia="Times New Roman" w:hAnsi="Times New Roman" w:cs="Times New Roman"/>
          <w:sz w:val="24"/>
          <w:szCs w:val="24"/>
          <w:lang w:eastAsia="he-IL"/>
        </w:rPr>
      </w:pPr>
      <w:r w:rsidRPr="008A6319">
        <w:rPr>
          <w:rFonts w:ascii="Times New Roman" w:eastAsia="Times New Roman" w:hAnsi="Times New Roman" w:cs="Times New Roman"/>
          <w:sz w:val="24"/>
          <w:szCs w:val="24"/>
          <w:lang w:eastAsia="he-IL"/>
        </w:rPr>
        <w:t xml:space="preserve">Crenshaw, K. (1991). Mapping the margins: Intersectionality, identity politics, and violence against women of color. </w:t>
      </w:r>
      <w:r w:rsidRPr="008A6319">
        <w:rPr>
          <w:rFonts w:ascii="Times New Roman" w:eastAsia="Times New Roman" w:hAnsi="Times New Roman" w:cs="Times New Roman"/>
          <w:i/>
          <w:iCs/>
          <w:sz w:val="24"/>
          <w:szCs w:val="24"/>
          <w:lang w:eastAsia="he-IL"/>
        </w:rPr>
        <w:t>Stanford Law Review, 43</w:t>
      </w:r>
      <w:r w:rsidRPr="008A6319">
        <w:rPr>
          <w:rFonts w:ascii="Times New Roman" w:eastAsia="Times New Roman" w:hAnsi="Times New Roman" w:cs="Times New Roman"/>
          <w:sz w:val="24"/>
          <w:szCs w:val="24"/>
          <w:lang w:eastAsia="he-IL"/>
        </w:rPr>
        <w:t xml:space="preserve">(1241), 1241-1299. </w:t>
      </w:r>
    </w:p>
    <w:p w14:paraId="58D511F0" w14:textId="77777777" w:rsidR="000736DF" w:rsidRPr="008A6319" w:rsidRDefault="000736DF" w:rsidP="000736DF">
      <w:pPr>
        <w:bidi w:val="0"/>
        <w:spacing w:after="0" w:line="360" w:lineRule="auto"/>
        <w:rPr>
          <w:rFonts w:ascii="Times New Roman" w:eastAsia="Times New Roman" w:hAnsi="Times New Roman" w:cs="Arial"/>
          <w:sz w:val="24"/>
          <w:szCs w:val="24"/>
          <w:lang w:eastAsia="he-IL"/>
        </w:rPr>
      </w:pPr>
      <w:r w:rsidRPr="008A6319">
        <w:rPr>
          <w:rFonts w:ascii="Times New Roman" w:eastAsia="Times New Roman" w:hAnsi="Times New Roman" w:cs="Arial"/>
          <w:sz w:val="24"/>
          <w:szCs w:val="24"/>
          <w:lang w:eastAsia="he-IL"/>
        </w:rPr>
        <w:t xml:space="preserve"> </w:t>
      </w:r>
      <w:r w:rsidRPr="008A6319">
        <w:rPr>
          <w:rFonts w:ascii="Times New Roman" w:eastAsia="Times New Roman" w:hAnsi="Times New Roman" w:cs="Arial"/>
          <w:sz w:val="24"/>
          <w:szCs w:val="24"/>
          <w:lang w:eastAsia="he-IL"/>
        </w:rPr>
        <w:tab/>
        <w:t>https://doi.org/10.2307/1229039</w:t>
      </w:r>
    </w:p>
    <w:p w14:paraId="01A9F2E2" w14:textId="77777777" w:rsidR="000736DF" w:rsidRPr="008A6319" w:rsidRDefault="000736DF" w:rsidP="00E23D62">
      <w:pPr>
        <w:bidi w:val="0"/>
        <w:spacing w:line="480" w:lineRule="auto"/>
        <w:contextualSpacing/>
        <w:rPr>
          <w:rFonts w:asciiTheme="majorBidi" w:hAnsiTheme="majorBidi" w:cstheme="majorBidi"/>
          <w:color w:val="222222"/>
          <w:sz w:val="24"/>
          <w:szCs w:val="24"/>
          <w:shd w:val="clear" w:color="auto" w:fill="FFFFFF"/>
        </w:rPr>
      </w:pPr>
    </w:p>
    <w:p w14:paraId="3CB72BE8" w14:textId="1C6C4BF0" w:rsidR="00E23D62" w:rsidRPr="008A6319" w:rsidRDefault="00E23D62" w:rsidP="000736DF">
      <w:pPr>
        <w:bidi w:val="0"/>
        <w:spacing w:line="480" w:lineRule="auto"/>
        <w:contextualSpacing/>
        <w:rPr>
          <w:rFonts w:asciiTheme="majorBidi" w:hAnsiTheme="majorBidi" w:cstheme="majorBidi"/>
          <w:i/>
          <w:iCs/>
          <w:color w:val="222222"/>
          <w:sz w:val="24"/>
          <w:szCs w:val="24"/>
          <w:shd w:val="clear" w:color="auto" w:fill="FFFFFF"/>
        </w:rPr>
      </w:pPr>
      <w:r w:rsidRPr="008A6319">
        <w:rPr>
          <w:rFonts w:asciiTheme="majorBidi" w:hAnsiTheme="majorBidi" w:cstheme="majorBidi"/>
          <w:color w:val="222222"/>
          <w:sz w:val="24"/>
          <w:szCs w:val="24"/>
          <w:shd w:val="clear" w:color="auto" w:fill="FFFFFF"/>
        </w:rPr>
        <w:t>Doron, I. (2007). Heaven or hell? Aging behind bars in Israel. </w:t>
      </w:r>
      <w:proofErr w:type="spellStart"/>
      <w:r w:rsidRPr="008A6319">
        <w:rPr>
          <w:rFonts w:asciiTheme="majorBidi" w:hAnsiTheme="majorBidi" w:cstheme="majorBidi"/>
          <w:i/>
          <w:iCs/>
          <w:color w:val="222222"/>
          <w:sz w:val="24"/>
          <w:szCs w:val="24"/>
          <w:shd w:val="clear" w:color="auto" w:fill="FFFFFF"/>
        </w:rPr>
        <w:t>Hallym</w:t>
      </w:r>
      <w:proofErr w:type="spellEnd"/>
      <w:r w:rsidRPr="008A6319">
        <w:rPr>
          <w:rFonts w:asciiTheme="majorBidi" w:hAnsiTheme="majorBidi" w:cstheme="majorBidi"/>
          <w:i/>
          <w:iCs/>
          <w:color w:val="222222"/>
          <w:sz w:val="24"/>
          <w:szCs w:val="24"/>
          <w:shd w:val="clear" w:color="auto" w:fill="FFFFFF"/>
        </w:rPr>
        <w:t xml:space="preserve"> International Journal </w:t>
      </w:r>
    </w:p>
    <w:p w14:paraId="5A1C4164" w14:textId="77777777" w:rsidR="00E23D62" w:rsidRPr="008A6319" w:rsidRDefault="00E23D62" w:rsidP="000736DF">
      <w:pPr>
        <w:bidi w:val="0"/>
        <w:spacing w:line="480" w:lineRule="auto"/>
        <w:ind w:firstLine="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i/>
          <w:iCs/>
          <w:color w:val="222222"/>
          <w:sz w:val="24"/>
          <w:szCs w:val="24"/>
          <w:shd w:val="clear" w:color="auto" w:fill="FFFFFF"/>
        </w:rPr>
        <w:t>of Aging</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9</w:t>
      </w:r>
      <w:r w:rsidRPr="008A6319">
        <w:rPr>
          <w:rFonts w:asciiTheme="majorBidi" w:hAnsiTheme="majorBidi" w:cstheme="majorBidi"/>
          <w:color w:val="222222"/>
          <w:sz w:val="24"/>
          <w:szCs w:val="24"/>
          <w:shd w:val="clear" w:color="auto" w:fill="FFFFFF"/>
        </w:rPr>
        <w:t>(2), 145-159.</w:t>
      </w:r>
      <w:r w:rsidRPr="008A6319">
        <w:rPr>
          <w:rFonts w:asciiTheme="majorBidi" w:hAnsiTheme="majorBidi" w:cstheme="majorBidi"/>
          <w:color w:val="222222"/>
          <w:sz w:val="24"/>
          <w:szCs w:val="24"/>
          <w:shd w:val="clear" w:color="auto" w:fill="FFFFFF"/>
          <w:rtl/>
        </w:rPr>
        <w:t>‏</w:t>
      </w:r>
    </w:p>
    <w:p w14:paraId="09057891" w14:textId="77777777" w:rsidR="00E23D62" w:rsidRPr="008A6319" w:rsidRDefault="00E23D62">
      <w:pPr>
        <w:bidi w:val="0"/>
        <w:spacing w:line="480" w:lineRule="auto"/>
        <w:contextualSpacing/>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Goetting</w:t>
      </w:r>
      <w:proofErr w:type="spellEnd"/>
      <w:r w:rsidRPr="008A6319">
        <w:rPr>
          <w:rFonts w:asciiTheme="majorBidi" w:hAnsiTheme="majorBidi" w:cstheme="majorBidi"/>
          <w:color w:val="222222"/>
          <w:sz w:val="24"/>
          <w:szCs w:val="24"/>
          <w:shd w:val="clear" w:color="auto" w:fill="FFFFFF"/>
        </w:rPr>
        <w:t xml:space="preserve">, A. (1984). The elderly in prison: A profile. </w:t>
      </w:r>
      <w:r w:rsidRPr="008A6319">
        <w:rPr>
          <w:rFonts w:asciiTheme="majorBidi" w:hAnsiTheme="majorBidi" w:cstheme="majorBidi"/>
          <w:i/>
          <w:iCs/>
          <w:color w:val="222222"/>
          <w:sz w:val="24"/>
          <w:szCs w:val="24"/>
          <w:shd w:val="clear" w:color="auto" w:fill="FFFFFF"/>
        </w:rPr>
        <w:t>Criminal Justice Review, 9</w:t>
      </w:r>
      <w:r w:rsidRPr="008A6319">
        <w:rPr>
          <w:rFonts w:asciiTheme="majorBidi" w:hAnsiTheme="majorBidi" w:cstheme="majorBidi"/>
          <w:color w:val="222222"/>
          <w:sz w:val="24"/>
          <w:szCs w:val="24"/>
          <w:shd w:val="clear" w:color="auto" w:fill="FFFFFF"/>
        </w:rPr>
        <w:t xml:space="preserve">(2), 14–24. </w:t>
      </w:r>
    </w:p>
    <w:p w14:paraId="31EF00FC" w14:textId="77777777" w:rsidR="00E23D62" w:rsidRPr="008A6319" w:rsidRDefault="000736DF">
      <w:pPr>
        <w:bidi w:val="0"/>
        <w:spacing w:line="480" w:lineRule="auto"/>
        <w:ind w:firstLine="720"/>
        <w:contextualSpacing/>
        <w:rPr>
          <w:rFonts w:asciiTheme="majorBidi" w:hAnsiTheme="majorBidi" w:cstheme="majorBidi"/>
          <w:color w:val="222222"/>
          <w:sz w:val="24"/>
          <w:szCs w:val="24"/>
          <w:shd w:val="clear" w:color="auto" w:fill="FFFFFF"/>
        </w:rPr>
      </w:pPr>
      <w:hyperlink r:id="rId8" w:history="1">
        <w:r w:rsidR="00E23D62" w:rsidRPr="008A6319">
          <w:rPr>
            <w:rStyle w:val="Hyperlink"/>
            <w:rFonts w:asciiTheme="majorBidi" w:hAnsiTheme="majorBidi" w:cstheme="majorBidi"/>
            <w:sz w:val="24"/>
            <w:szCs w:val="24"/>
            <w:shd w:val="clear" w:color="auto" w:fill="FFFFFF"/>
          </w:rPr>
          <w:t>https://doi.org/10.1177/073401688400900203</w:t>
        </w:r>
      </w:hyperlink>
    </w:p>
    <w:p w14:paraId="5AA93E95" w14:textId="77777777" w:rsidR="000736DF" w:rsidRPr="008A6319" w:rsidRDefault="000736DF" w:rsidP="008A6319">
      <w:pPr>
        <w:bidi w:val="0"/>
        <w:spacing w:after="0" w:line="480" w:lineRule="auto"/>
        <w:ind w:left="567" w:right="-483" w:hanging="569"/>
        <w:contextualSpacing/>
        <w:rPr>
          <w:rFonts w:ascii="Times New Roman" w:eastAsia="Times New Roman" w:hAnsi="Times New Roman" w:cs="Times New Roman"/>
          <w:i/>
          <w:iCs/>
          <w:sz w:val="24"/>
          <w:szCs w:val="24"/>
          <w:lang w:eastAsia="he-IL"/>
        </w:rPr>
      </w:pPr>
      <w:bookmarkStart w:id="0" w:name="_Hlk97028122"/>
      <w:r w:rsidRPr="008A6319">
        <w:rPr>
          <w:rFonts w:ascii="Times New Roman" w:eastAsia="Times New Roman" w:hAnsi="Times New Roman" w:cs="Times New Roman"/>
          <w:sz w:val="24"/>
          <w:szCs w:val="24"/>
          <w:lang w:eastAsia="he-IL"/>
        </w:rPr>
        <w:t>Luna, F. (2018). Identifying and evaluating layers of vulnerability – a way forward.</w:t>
      </w:r>
      <w:r w:rsidRPr="008A6319">
        <w:rPr>
          <w:rFonts w:ascii="Times New Roman" w:eastAsia="Times New Roman" w:hAnsi="Times New Roman" w:cs="Times New Roman"/>
          <w:i/>
          <w:iCs/>
          <w:sz w:val="24"/>
          <w:szCs w:val="24"/>
          <w:lang w:eastAsia="he-IL"/>
        </w:rPr>
        <w:t xml:space="preserve"> Developing </w:t>
      </w:r>
    </w:p>
    <w:p w14:paraId="29D2B8EA" w14:textId="7CEACF56" w:rsidR="000736DF" w:rsidRPr="008A6319" w:rsidRDefault="000736DF" w:rsidP="008A6319">
      <w:pPr>
        <w:bidi w:val="0"/>
        <w:spacing w:after="0" w:line="480" w:lineRule="auto"/>
        <w:ind w:firstLine="567"/>
        <w:contextualSpacing/>
        <w:rPr>
          <w:rFonts w:ascii="Times New Roman" w:eastAsia="Times New Roman" w:hAnsi="Times New Roman" w:cs="Times New Roman"/>
          <w:sz w:val="24"/>
          <w:szCs w:val="24"/>
          <w:lang w:eastAsia="he-IL"/>
        </w:rPr>
      </w:pPr>
      <w:r w:rsidRPr="008A6319">
        <w:rPr>
          <w:rFonts w:ascii="Times New Roman" w:eastAsia="Times New Roman" w:hAnsi="Times New Roman" w:cs="Times New Roman"/>
          <w:i/>
          <w:iCs/>
          <w:sz w:val="24"/>
          <w:szCs w:val="24"/>
          <w:lang w:eastAsia="he-IL"/>
        </w:rPr>
        <w:t xml:space="preserve">World </w:t>
      </w:r>
      <w:proofErr w:type="spellStart"/>
      <w:r w:rsidRPr="008A6319">
        <w:rPr>
          <w:rFonts w:ascii="Times New Roman" w:eastAsia="Times New Roman" w:hAnsi="Times New Roman" w:cs="Times New Roman"/>
          <w:i/>
          <w:iCs/>
          <w:sz w:val="24"/>
          <w:szCs w:val="24"/>
          <w:lang w:eastAsia="he-IL"/>
        </w:rPr>
        <w:t>Bioeth</w:t>
      </w:r>
      <w:proofErr w:type="spellEnd"/>
      <w:r w:rsidRPr="008A6319">
        <w:rPr>
          <w:rFonts w:ascii="Times New Roman" w:eastAsia="Times New Roman" w:hAnsi="Times New Roman" w:cs="Times New Roman"/>
          <w:i/>
          <w:iCs/>
          <w:sz w:val="24"/>
          <w:szCs w:val="24"/>
          <w:lang w:eastAsia="he-IL"/>
        </w:rPr>
        <w:t xml:space="preserve">, </w:t>
      </w:r>
      <w:r w:rsidRPr="008A6319">
        <w:rPr>
          <w:rFonts w:ascii="Times New Roman" w:eastAsia="Times New Roman" w:hAnsi="Times New Roman" w:cs="Times New Roman"/>
          <w:sz w:val="24"/>
          <w:szCs w:val="24"/>
          <w:lang w:eastAsia="he-IL"/>
        </w:rPr>
        <w:t xml:space="preserve">19(2), 86–95. </w:t>
      </w:r>
      <w:hyperlink r:id="rId9" w:history="1">
        <w:r w:rsidRPr="008A6319">
          <w:rPr>
            <w:rFonts w:ascii="Times New Roman" w:eastAsia="Times New Roman" w:hAnsi="Times New Roman" w:cs="Times New Roman"/>
            <w:sz w:val="24"/>
            <w:szCs w:val="24"/>
            <w:lang w:eastAsia="he-IL"/>
          </w:rPr>
          <w:t>https://doi.org/10.1111/dewb.12206</w:t>
        </w:r>
      </w:hyperlink>
    </w:p>
    <w:p w14:paraId="390580C4" w14:textId="7A14BA9D" w:rsidR="00E23D62" w:rsidRPr="008A6319" w:rsidRDefault="00E23D62" w:rsidP="000736DF">
      <w:pPr>
        <w:bidi w:val="0"/>
        <w:spacing w:line="480" w:lineRule="auto"/>
        <w:contextualSpacing/>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Maschi</w:t>
      </w:r>
      <w:bookmarkEnd w:id="0"/>
      <w:proofErr w:type="spellEnd"/>
      <w:r w:rsidRPr="008A6319">
        <w:rPr>
          <w:rFonts w:asciiTheme="majorBidi" w:hAnsiTheme="majorBidi" w:cstheme="majorBidi"/>
          <w:color w:val="222222"/>
          <w:sz w:val="24"/>
          <w:szCs w:val="24"/>
          <w:shd w:val="clear" w:color="auto" w:fill="FFFFFF"/>
        </w:rPr>
        <w:t xml:space="preserve">, T., Morrisey, M. B., &amp; </w:t>
      </w:r>
      <w:proofErr w:type="spellStart"/>
      <w:r w:rsidRPr="008A6319">
        <w:rPr>
          <w:rFonts w:asciiTheme="majorBidi" w:hAnsiTheme="majorBidi" w:cstheme="majorBidi"/>
          <w:color w:val="222222"/>
          <w:sz w:val="24"/>
          <w:szCs w:val="24"/>
          <w:shd w:val="clear" w:color="auto" w:fill="FFFFFF"/>
        </w:rPr>
        <w:t>Leigey</w:t>
      </w:r>
      <w:proofErr w:type="spellEnd"/>
      <w:r w:rsidRPr="008A6319">
        <w:rPr>
          <w:rFonts w:asciiTheme="majorBidi" w:hAnsiTheme="majorBidi" w:cstheme="majorBidi"/>
          <w:color w:val="222222"/>
          <w:sz w:val="24"/>
          <w:szCs w:val="24"/>
          <w:shd w:val="clear" w:color="auto" w:fill="FFFFFF"/>
        </w:rPr>
        <w:t xml:space="preserve">, M. (2013). The case for human agency, well-being, </w:t>
      </w:r>
    </w:p>
    <w:p w14:paraId="2329A20B" w14:textId="77777777" w:rsidR="00E23D62" w:rsidRPr="008A6319" w:rsidRDefault="00E23D62" w:rsidP="000736DF">
      <w:pPr>
        <w:bidi w:val="0"/>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and community reintegration for people aging in prison. </w:t>
      </w:r>
      <w:r w:rsidRPr="008A6319">
        <w:rPr>
          <w:rFonts w:asciiTheme="majorBidi" w:hAnsiTheme="majorBidi" w:cstheme="majorBidi"/>
          <w:i/>
          <w:iCs/>
          <w:color w:val="222222"/>
          <w:sz w:val="24"/>
          <w:szCs w:val="24"/>
          <w:shd w:val="clear" w:color="auto" w:fill="FFFFFF"/>
        </w:rPr>
        <w:t>Journal of Correctional Health Care,</w:t>
      </w:r>
      <w:r w:rsidRPr="008A6319">
        <w:rPr>
          <w:rFonts w:asciiTheme="majorBidi" w:hAnsiTheme="majorBidi" w:cstheme="majorBidi"/>
          <w:color w:val="222222"/>
          <w:sz w:val="24"/>
          <w:szCs w:val="24"/>
          <w:shd w:val="clear" w:color="auto" w:fill="FFFFFF"/>
        </w:rPr>
        <w:t xml:space="preserve"> 19(3), 194–210.</w:t>
      </w:r>
      <w:r w:rsidRPr="008A6319">
        <w:t xml:space="preserve"> </w:t>
      </w:r>
      <w:hyperlink r:id="rId10" w:history="1">
        <w:r w:rsidRPr="008A6319">
          <w:rPr>
            <w:rStyle w:val="Hyperlink"/>
            <w:rFonts w:asciiTheme="majorBidi" w:hAnsiTheme="majorBidi" w:cstheme="majorBidi"/>
            <w:sz w:val="24"/>
            <w:szCs w:val="24"/>
            <w:shd w:val="clear" w:color="auto" w:fill="FFFFFF"/>
          </w:rPr>
          <w:t>https://doi.org/10.1177/1078345813486445</w:t>
        </w:r>
      </w:hyperlink>
    </w:p>
    <w:p w14:paraId="0F3A3460" w14:textId="77777777" w:rsidR="00E23D62" w:rsidRPr="008A6319" w:rsidRDefault="00E23D62" w:rsidP="000736DF">
      <w:pPr>
        <w:bidi w:val="0"/>
        <w:spacing w:line="480" w:lineRule="auto"/>
        <w:contextualSpacing/>
        <w:rPr>
          <w:rFonts w:asciiTheme="majorBidi" w:hAnsiTheme="majorBidi" w:cstheme="majorBidi"/>
          <w:color w:val="222222"/>
          <w:sz w:val="24"/>
          <w:szCs w:val="24"/>
          <w:shd w:val="clear" w:color="auto" w:fill="FFFFFF"/>
        </w:rPr>
      </w:pPr>
      <w:proofErr w:type="spellStart"/>
      <w:r w:rsidRPr="008A6319">
        <w:rPr>
          <w:rFonts w:asciiTheme="majorBidi" w:hAnsiTheme="majorBidi" w:cstheme="majorBidi"/>
          <w:color w:val="222222"/>
          <w:sz w:val="24"/>
          <w:szCs w:val="24"/>
          <w:shd w:val="clear" w:color="auto" w:fill="FFFFFF"/>
        </w:rPr>
        <w:t>Silfen</w:t>
      </w:r>
      <w:proofErr w:type="spellEnd"/>
      <w:r w:rsidRPr="008A6319">
        <w:rPr>
          <w:rFonts w:asciiTheme="majorBidi" w:hAnsiTheme="majorBidi" w:cstheme="majorBidi"/>
          <w:color w:val="222222"/>
          <w:sz w:val="24"/>
          <w:szCs w:val="24"/>
          <w:shd w:val="clear" w:color="auto" w:fill="FFFFFF"/>
        </w:rPr>
        <w:t xml:space="preserve">, P., Ben David, S., </w:t>
      </w:r>
      <w:proofErr w:type="spellStart"/>
      <w:r w:rsidRPr="008A6319">
        <w:rPr>
          <w:rFonts w:asciiTheme="majorBidi" w:hAnsiTheme="majorBidi" w:cstheme="majorBidi"/>
          <w:color w:val="222222"/>
          <w:sz w:val="24"/>
          <w:szCs w:val="24"/>
          <w:shd w:val="clear" w:color="auto" w:fill="FFFFFF"/>
        </w:rPr>
        <w:t>Kliger</w:t>
      </w:r>
      <w:proofErr w:type="spellEnd"/>
      <w:r w:rsidRPr="008A6319">
        <w:rPr>
          <w:rFonts w:asciiTheme="majorBidi" w:hAnsiTheme="majorBidi" w:cstheme="majorBidi"/>
          <w:color w:val="222222"/>
          <w:sz w:val="24"/>
          <w:szCs w:val="24"/>
          <w:shd w:val="clear" w:color="auto" w:fill="FFFFFF"/>
        </w:rPr>
        <w:t xml:space="preserve">, D., </w:t>
      </w:r>
      <w:proofErr w:type="spellStart"/>
      <w:r w:rsidRPr="008A6319">
        <w:rPr>
          <w:rFonts w:asciiTheme="majorBidi" w:hAnsiTheme="majorBidi" w:cstheme="majorBidi"/>
          <w:color w:val="222222"/>
          <w:sz w:val="24"/>
          <w:szCs w:val="24"/>
          <w:shd w:val="clear" w:color="auto" w:fill="FFFFFF"/>
        </w:rPr>
        <w:t>Eshel</w:t>
      </w:r>
      <w:proofErr w:type="spellEnd"/>
      <w:r w:rsidRPr="008A6319">
        <w:rPr>
          <w:rFonts w:asciiTheme="majorBidi" w:hAnsiTheme="majorBidi" w:cstheme="majorBidi"/>
          <w:color w:val="222222"/>
          <w:sz w:val="24"/>
          <w:szCs w:val="24"/>
          <w:shd w:val="clear" w:color="auto" w:fill="FFFFFF"/>
        </w:rPr>
        <w:t>, R.</w:t>
      </w:r>
      <w:proofErr w:type="gramStart"/>
      <w:r w:rsidRPr="008A6319">
        <w:rPr>
          <w:rFonts w:asciiTheme="majorBidi" w:hAnsiTheme="majorBidi" w:cstheme="majorBidi"/>
          <w:color w:val="222222"/>
          <w:sz w:val="24"/>
          <w:szCs w:val="24"/>
          <w:shd w:val="clear" w:color="auto" w:fill="FFFFFF"/>
        </w:rPr>
        <w:t xml:space="preserve">,  </w:t>
      </w:r>
      <w:proofErr w:type="spellStart"/>
      <w:r w:rsidRPr="008A6319">
        <w:rPr>
          <w:rFonts w:asciiTheme="majorBidi" w:hAnsiTheme="majorBidi" w:cstheme="majorBidi"/>
          <w:color w:val="222222"/>
          <w:sz w:val="24"/>
          <w:szCs w:val="24"/>
          <w:shd w:val="clear" w:color="auto" w:fill="FFFFFF"/>
        </w:rPr>
        <w:t>Heichel</w:t>
      </w:r>
      <w:proofErr w:type="spellEnd"/>
      <w:proofErr w:type="gramEnd"/>
      <w:r w:rsidRPr="008A6319">
        <w:rPr>
          <w:rFonts w:asciiTheme="majorBidi" w:hAnsiTheme="majorBidi" w:cstheme="majorBidi"/>
          <w:color w:val="222222"/>
          <w:sz w:val="24"/>
          <w:szCs w:val="24"/>
          <w:shd w:val="clear" w:color="auto" w:fill="FFFFFF"/>
        </w:rPr>
        <w:t xml:space="preserve">, H., &amp; Lehman, D. (1977). The </w:t>
      </w:r>
    </w:p>
    <w:p w14:paraId="46F7F914" w14:textId="77777777" w:rsidR="00E23D62" w:rsidRPr="008A6319" w:rsidRDefault="00E23D62">
      <w:pPr>
        <w:bidi w:val="0"/>
        <w:spacing w:line="480" w:lineRule="auto"/>
        <w:ind w:left="720"/>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adaptation of the older prisoner in Israel. I</w:t>
      </w:r>
      <w:r w:rsidRPr="008A6319">
        <w:rPr>
          <w:rFonts w:asciiTheme="majorBidi" w:hAnsiTheme="majorBidi" w:cstheme="majorBidi"/>
          <w:i/>
          <w:iCs/>
          <w:color w:val="222222"/>
          <w:sz w:val="24"/>
          <w:szCs w:val="24"/>
          <w:shd w:val="clear" w:color="auto" w:fill="FFFFFF"/>
        </w:rPr>
        <w:t>nternational Journal of Offender Therapy and Comparative Criminology, 21</w:t>
      </w:r>
      <w:r w:rsidRPr="008A6319">
        <w:rPr>
          <w:rFonts w:asciiTheme="majorBidi" w:hAnsiTheme="majorBidi" w:cstheme="majorBidi"/>
          <w:color w:val="222222"/>
          <w:sz w:val="24"/>
          <w:szCs w:val="24"/>
          <w:shd w:val="clear" w:color="auto" w:fill="FFFFFF"/>
        </w:rPr>
        <w:t xml:space="preserve">(1), 57–65. </w:t>
      </w:r>
      <w:hyperlink r:id="rId11" w:history="1">
        <w:r w:rsidRPr="008A6319">
          <w:rPr>
            <w:rStyle w:val="Hyperlink"/>
            <w:rFonts w:asciiTheme="majorBidi" w:hAnsiTheme="majorBidi" w:cstheme="majorBidi"/>
            <w:sz w:val="24"/>
            <w:szCs w:val="24"/>
            <w:shd w:val="clear" w:color="auto" w:fill="FFFFFF"/>
          </w:rPr>
          <w:t>https://doi.org/10.1177/0306624X7702100108</w:t>
        </w:r>
      </w:hyperlink>
    </w:p>
    <w:p w14:paraId="321B4291" w14:textId="77777777" w:rsidR="00E23D62" w:rsidRPr="008A6319" w:rsidRDefault="00E23D62" w:rsidP="00E23D62">
      <w:pPr>
        <w:bidi w:val="0"/>
        <w:spacing w:line="480" w:lineRule="auto"/>
        <w:contextualSpacing/>
        <w:rPr>
          <w:rFonts w:asciiTheme="majorBidi" w:hAnsiTheme="majorBidi" w:cstheme="majorBidi"/>
          <w:color w:val="222222"/>
          <w:sz w:val="24"/>
          <w:szCs w:val="24"/>
          <w:shd w:val="clear" w:color="auto" w:fill="FFFFFF"/>
        </w:rPr>
      </w:pPr>
      <w:r w:rsidRPr="008A6319">
        <w:rPr>
          <w:rFonts w:asciiTheme="majorBidi" w:hAnsiTheme="majorBidi" w:cstheme="majorBidi"/>
          <w:color w:val="222222"/>
          <w:sz w:val="24"/>
          <w:szCs w:val="24"/>
          <w:shd w:val="clear" w:color="auto" w:fill="FFFFFF"/>
        </w:rPr>
        <w:t xml:space="preserve">Sodhi‐Berry, N., </w:t>
      </w:r>
      <w:proofErr w:type="spellStart"/>
      <w:r w:rsidRPr="008A6319">
        <w:rPr>
          <w:rFonts w:asciiTheme="majorBidi" w:hAnsiTheme="majorBidi" w:cstheme="majorBidi"/>
          <w:color w:val="222222"/>
          <w:sz w:val="24"/>
          <w:szCs w:val="24"/>
          <w:shd w:val="clear" w:color="auto" w:fill="FFFFFF"/>
        </w:rPr>
        <w:t>Knuiman</w:t>
      </w:r>
      <w:proofErr w:type="spellEnd"/>
      <w:r w:rsidRPr="008A6319">
        <w:rPr>
          <w:rFonts w:asciiTheme="majorBidi" w:hAnsiTheme="majorBidi" w:cstheme="majorBidi"/>
          <w:color w:val="222222"/>
          <w:sz w:val="24"/>
          <w:szCs w:val="24"/>
          <w:shd w:val="clear" w:color="auto" w:fill="FFFFFF"/>
        </w:rPr>
        <w:t xml:space="preserve">, M., Preen, D. B., Alan, J., &amp; Morgan, V. A. (2015). Predictors of </w:t>
      </w:r>
    </w:p>
    <w:p w14:paraId="5AD58765" w14:textId="77777777" w:rsidR="00E23D62" w:rsidRPr="008A6319" w:rsidRDefault="00E23D62" w:rsidP="00E23D62">
      <w:pPr>
        <w:bidi w:val="0"/>
        <w:spacing w:line="480" w:lineRule="auto"/>
        <w:ind w:left="720"/>
        <w:contextualSpacing/>
        <w:rPr>
          <w:rFonts w:asciiTheme="majorBidi" w:hAnsiTheme="majorBidi" w:cstheme="majorBidi"/>
          <w:sz w:val="24"/>
          <w:szCs w:val="24"/>
        </w:rPr>
      </w:pPr>
      <w:r w:rsidRPr="008A6319">
        <w:rPr>
          <w:rFonts w:asciiTheme="majorBidi" w:hAnsiTheme="majorBidi" w:cstheme="majorBidi"/>
          <w:color w:val="222222"/>
          <w:sz w:val="24"/>
          <w:szCs w:val="24"/>
          <w:shd w:val="clear" w:color="auto" w:fill="FFFFFF"/>
        </w:rPr>
        <w:lastRenderedPageBreak/>
        <w:t>post‐sentence mental health service use in a population cohort of first‐time adult offenders in Western Australia. </w:t>
      </w:r>
      <w:r w:rsidRPr="008A6319">
        <w:rPr>
          <w:rFonts w:asciiTheme="majorBidi" w:hAnsiTheme="majorBidi" w:cstheme="majorBidi"/>
          <w:i/>
          <w:iCs/>
          <w:color w:val="222222"/>
          <w:sz w:val="24"/>
          <w:szCs w:val="24"/>
          <w:shd w:val="clear" w:color="auto" w:fill="FFFFFF"/>
        </w:rPr>
        <w:t>Criminal Behavior and Mental Health</w:t>
      </w:r>
      <w:r w:rsidRPr="008A6319">
        <w:rPr>
          <w:rFonts w:asciiTheme="majorBidi" w:hAnsiTheme="majorBidi" w:cstheme="majorBidi"/>
          <w:color w:val="222222"/>
          <w:sz w:val="24"/>
          <w:szCs w:val="24"/>
          <w:shd w:val="clear" w:color="auto" w:fill="FFFFFF"/>
        </w:rPr>
        <w:t>, </w:t>
      </w:r>
      <w:r w:rsidRPr="008A6319">
        <w:rPr>
          <w:rFonts w:asciiTheme="majorBidi" w:hAnsiTheme="majorBidi" w:cstheme="majorBidi"/>
          <w:i/>
          <w:iCs/>
          <w:color w:val="222222"/>
          <w:sz w:val="24"/>
          <w:szCs w:val="24"/>
          <w:shd w:val="clear" w:color="auto" w:fill="FFFFFF"/>
        </w:rPr>
        <w:t>25</w:t>
      </w:r>
      <w:r w:rsidRPr="008A6319">
        <w:rPr>
          <w:rFonts w:asciiTheme="majorBidi" w:hAnsiTheme="majorBidi" w:cstheme="majorBidi"/>
          <w:color w:val="222222"/>
          <w:sz w:val="24"/>
          <w:szCs w:val="24"/>
          <w:shd w:val="clear" w:color="auto" w:fill="FFFFFF"/>
        </w:rPr>
        <w:t>(5), 355-374.</w:t>
      </w:r>
      <w:r w:rsidRPr="008A6319">
        <w:rPr>
          <w:rFonts w:asciiTheme="majorBidi" w:hAnsiTheme="majorBidi" w:cstheme="majorBidi"/>
          <w:color w:val="222222"/>
          <w:sz w:val="24"/>
          <w:szCs w:val="24"/>
          <w:shd w:val="clear" w:color="auto" w:fill="FFFFFF"/>
          <w:rtl/>
        </w:rPr>
        <w:t>‏</w:t>
      </w:r>
      <w:r w:rsidRPr="008A6319">
        <w:rPr>
          <w:rFonts w:asciiTheme="majorBidi" w:hAnsiTheme="majorBidi" w:cstheme="majorBidi"/>
          <w:sz w:val="24"/>
          <w:szCs w:val="24"/>
        </w:rPr>
        <w:t xml:space="preserve"> </w:t>
      </w:r>
      <w:hyperlink r:id="rId12" w:history="1">
        <w:r w:rsidRPr="008A6319">
          <w:rPr>
            <w:rStyle w:val="Hyperlink"/>
            <w:rFonts w:asciiTheme="majorBidi" w:hAnsiTheme="majorBidi" w:cstheme="majorBidi"/>
            <w:sz w:val="24"/>
            <w:szCs w:val="24"/>
          </w:rPr>
          <w:t>https://doi.org/10.1002/cbm.1927</w:t>
        </w:r>
      </w:hyperlink>
    </w:p>
    <w:p w14:paraId="4CB81BE9" w14:textId="77777777" w:rsidR="00E23D62" w:rsidRPr="008A6319" w:rsidRDefault="00E23D62" w:rsidP="00E23D62">
      <w:pPr>
        <w:bidi w:val="0"/>
        <w:spacing w:line="480" w:lineRule="auto"/>
        <w:contextualSpacing/>
        <w:rPr>
          <w:rFonts w:asciiTheme="majorBidi" w:hAnsiTheme="majorBidi" w:cstheme="majorBidi"/>
          <w:sz w:val="24"/>
          <w:szCs w:val="24"/>
        </w:rPr>
      </w:pPr>
      <w:proofErr w:type="spellStart"/>
      <w:r w:rsidRPr="008A6319">
        <w:rPr>
          <w:rFonts w:asciiTheme="majorBidi" w:hAnsiTheme="majorBidi" w:cstheme="majorBidi"/>
          <w:sz w:val="24"/>
          <w:szCs w:val="24"/>
        </w:rPr>
        <w:t>Uzoaba</w:t>
      </w:r>
      <w:proofErr w:type="spellEnd"/>
      <w:r w:rsidRPr="008A6319">
        <w:rPr>
          <w:rFonts w:asciiTheme="majorBidi" w:hAnsiTheme="majorBidi" w:cstheme="majorBidi"/>
          <w:sz w:val="24"/>
          <w:szCs w:val="24"/>
        </w:rPr>
        <w:t>, J. H. (1998). </w:t>
      </w:r>
      <w:r w:rsidRPr="008A6319">
        <w:rPr>
          <w:rFonts w:asciiTheme="majorBidi" w:hAnsiTheme="majorBidi" w:cstheme="majorBidi"/>
          <w:i/>
          <w:iCs/>
          <w:sz w:val="24"/>
          <w:szCs w:val="24"/>
        </w:rPr>
        <w:t>Managing older offenders: Where do we stand?</w:t>
      </w:r>
      <w:r w:rsidRPr="008A6319">
        <w:rPr>
          <w:rFonts w:asciiTheme="majorBidi" w:hAnsiTheme="majorBidi" w:cstheme="majorBidi"/>
          <w:sz w:val="24"/>
          <w:szCs w:val="24"/>
        </w:rPr>
        <w:t xml:space="preserve"> Research Branch, </w:t>
      </w:r>
    </w:p>
    <w:p w14:paraId="4E139AE7" w14:textId="77777777" w:rsidR="00E23D62" w:rsidRPr="008A6319" w:rsidRDefault="00E23D62" w:rsidP="00E23D62">
      <w:pPr>
        <w:bidi w:val="0"/>
        <w:spacing w:line="480" w:lineRule="auto"/>
        <w:ind w:firstLine="720"/>
        <w:contextualSpacing/>
        <w:jc w:val="both"/>
        <w:rPr>
          <w:rFonts w:asciiTheme="majorBidi" w:hAnsiTheme="majorBidi" w:cstheme="majorBidi"/>
          <w:sz w:val="24"/>
          <w:szCs w:val="24"/>
        </w:rPr>
      </w:pPr>
      <w:r w:rsidRPr="008A6319">
        <w:rPr>
          <w:rFonts w:asciiTheme="majorBidi" w:hAnsiTheme="majorBidi" w:cstheme="majorBidi"/>
          <w:sz w:val="24"/>
          <w:szCs w:val="24"/>
        </w:rPr>
        <w:t>Correctional Service of Canada.</w:t>
      </w:r>
      <w:r w:rsidRPr="008A6319">
        <w:rPr>
          <w:rFonts w:asciiTheme="majorBidi" w:hAnsiTheme="majorBidi" w:cstheme="majorBidi"/>
          <w:sz w:val="24"/>
          <w:szCs w:val="24"/>
          <w:rtl/>
        </w:rPr>
        <w:t>‏</w:t>
      </w:r>
    </w:p>
    <w:p w14:paraId="612A60EA" w14:textId="77777777" w:rsidR="00E23D62" w:rsidRPr="008A6319" w:rsidRDefault="00E23D62" w:rsidP="00E23D62">
      <w:pPr>
        <w:bidi w:val="0"/>
        <w:spacing w:line="480" w:lineRule="auto"/>
        <w:contextualSpacing/>
        <w:jc w:val="both"/>
        <w:rPr>
          <w:rFonts w:asciiTheme="majorBidi" w:hAnsiTheme="majorBidi" w:cstheme="majorBidi"/>
          <w:i/>
          <w:iCs/>
          <w:sz w:val="24"/>
          <w:szCs w:val="24"/>
        </w:rPr>
      </w:pPr>
      <w:r w:rsidRPr="008A6319">
        <w:rPr>
          <w:rFonts w:asciiTheme="majorBidi" w:hAnsiTheme="majorBidi" w:cstheme="majorBidi"/>
          <w:sz w:val="24"/>
          <w:szCs w:val="24"/>
        </w:rPr>
        <w:t xml:space="preserve">Wahidin, A., &amp; </w:t>
      </w:r>
      <w:proofErr w:type="spellStart"/>
      <w:r w:rsidRPr="008A6319">
        <w:rPr>
          <w:rFonts w:asciiTheme="majorBidi" w:hAnsiTheme="majorBidi" w:cstheme="majorBidi"/>
          <w:sz w:val="24"/>
          <w:szCs w:val="24"/>
        </w:rPr>
        <w:t>Aday</w:t>
      </w:r>
      <w:proofErr w:type="spellEnd"/>
      <w:r w:rsidRPr="008A6319">
        <w:rPr>
          <w:rFonts w:asciiTheme="majorBidi" w:hAnsiTheme="majorBidi" w:cstheme="majorBidi"/>
          <w:sz w:val="24"/>
          <w:szCs w:val="24"/>
        </w:rPr>
        <w:t>, R. H. (2010). Later life and imprisonment. In </w:t>
      </w:r>
      <w:r w:rsidRPr="008A6319">
        <w:rPr>
          <w:rFonts w:asciiTheme="majorBidi" w:hAnsiTheme="majorBidi" w:cstheme="majorBidi"/>
          <w:i/>
          <w:iCs/>
          <w:sz w:val="24"/>
          <w:szCs w:val="24"/>
        </w:rPr>
        <w:t xml:space="preserve">The SAGE handbook of </w:t>
      </w:r>
    </w:p>
    <w:p w14:paraId="31D4D869" w14:textId="77777777" w:rsidR="00E23D62" w:rsidRDefault="00E23D62" w:rsidP="00E23D62">
      <w:pPr>
        <w:bidi w:val="0"/>
        <w:spacing w:line="480" w:lineRule="auto"/>
        <w:ind w:firstLine="720"/>
        <w:contextualSpacing/>
        <w:jc w:val="both"/>
        <w:rPr>
          <w:rFonts w:asciiTheme="majorBidi" w:hAnsiTheme="majorBidi" w:cstheme="majorBidi"/>
          <w:sz w:val="24"/>
          <w:szCs w:val="24"/>
        </w:rPr>
      </w:pPr>
      <w:r w:rsidRPr="008A6319">
        <w:rPr>
          <w:rFonts w:asciiTheme="majorBidi" w:hAnsiTheme="majorBidi" w:cstheme="majorBidi"/>
          <w:i/>
          <w:iCs/>
          <w:sz w:val="24"/>
          <w:szCs w:val="24"/>
        </w:rPr>
        <w:t>social gerontology</w:t>
      </w:r>
      <w:r w:rsidRPr="008A6319">
        <w:rPr>
          <w:rFonts w:asciiTheme="majorBidi" w:hAnsiTheme="majorBidi" w:cstheme="majorBidi"/>
          <w:sz w:val="24"/>
          <w:szCs w:val="24"/>
        </w:rPr>
        <w:t> (pp. 1646-1679). Sage.</w:t>
      </w:r>
      <w:r w:rsidRPr="008A6319">
        <w:rPr>
          <w:rFonts w:asciiTheme="majorBidi" w:hAnsiTheme="majorBidi" w:cstheme="majorBidi"/>
          <w:sz w:val="24"/>
          <w:szCs w:val="24"/>
          <w:rtl/>
        </w:rPr>
        <w:t>‏</w:t>
      </w:r>
    </w:p>
    <w:p w14:paraId="4D7F0118" w14:textId="77777777" w:rsidR="00E23D62" w:rsidRPr="000F34AC" w:rsidRDefault="00E23D62" w:rsidP="00E23D62">
      <w:pPr>
        <w:bidi w:val="0"/>
        <w:spacing w:line="480" w:lineRule="auto"/>
        <w:contextualSpacing/>
        <w:jc w:val="both"/>
        <w:rPr>
          <w:rFonts w:asciiTheme="majorBidi" w:hAnsiTheme="majorBidi" w:cstheme="majorBidi"/>
          <w:sz w:val="24"/>
          <w:szCs w:val="24"/>
        </w:rPr>
      </w:pPr>
    </w:p>
    <w:p w14:paraId="1C59E477" w14:textId="77777777" w:rsidR="00E23D62" w:rsidRPr="00C90892" w:rsidRDefault="00E23D62" w:rsidP="00E23D62">
      <w:pPr>
        <w:spacing w:line="480" w:lineRule="auto"/>
        <w:contextualSpacing/>
        <w:jc w:val="center"/>
        <w:rPr>
          <w:rFonts w:ascii="David" w:hAnsi="David" w:cs="David"/>
          <w:b/>
          <w:bCs/>
          <w:sz w:val="24"/>
          <w:szCs w:val="24"/>
          <w:rtl/>
        </w:rPr>
      </w:pPr>
    </w:p>
    <w:p w14:paraId="3F9E6E8A" w14:textId="77777777" w:rsidR="002C70EF" w:rsidRDefault="002C70EF" w:rsidP="00E23D62">
      <w:pPr>
        <w:bidi w:val="0"/>
        <w:spacing w:line="480" w:lineRule="auto"/>
        <w:contextualSpacing/>
        <w:jc w:val="both"/>
        <w:rPr>
          <w:rFonts w:ascii="David" w:hAnsi="David" w:cs="David"/>
          <w:sz w:val="24"/>
          <w:szCs w:val="24"/>
        </w:rPr>
      </w:pPr>
    </w:p>
    <w:p w14:paraId="3C037EA6" w14:textId="77777777" w:rsidR="002C70EF" w:rsidRDefault="002C70EF" w:rsidP="00E23D62">
      <w:pPr>
        <w:bidi w:val="0"/>
        <w:spacing w:line="480" w:lineRule="auto"/>
        <w:contextualSpacing/>
        <w:jc w:val="both"/>
        <w:rPr>
          <w:rFonts w:ascii="David" w:hAnsi="David" w:cs="David"/>
          <w:sz w:val="24"/>
          <w:szCs w:val="24"/>
        </w:rPr>
      </w:pPr>
    </w:p>
    <w:sectPr w:rsidR="002C70EF" w:rsidSect="00ED780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zsDQ0NjU0NDc1MzJT0lEKTi0uzszPAykwrQUA9J5cziwAAAA="/>
  </w:docVars>
  <w:rsids>
    <w:rsidRoot w:val="00175C2D"/>
    <w:rsid w:val="00033566"/>
    <w:rsid w:val="000374DF"/>
    <w:rsid w:val="00071A94"/>
    <w:rsid w:val="00072D84"/>
    <w:rsid w:val="000736DF"/>
    <w:rsid w:val="0007771F"/>
    <w:rsid w:val="00081B82"/>
    <w:rsid w:val="00127542"/>
    <w:rsid w:val="001365F1"/>
    <w:rsid w:val="00144E15"/>
    <w:rsid w:val="00161924"/>
    <w:rsid w:val="00175C2D"/>
    <w:rsid w:val="001932B8"/>
    <w:rsid w:val="002245BE"/>
    <w:rsid w:val="00226482"/>
    <w:rsid w:val="002A2FE2"/>
    <w:rsid w:val="002C4C39"/>
    <w:rsid w:val="002C4D25"/>
    <w:rsid w:val="002C70EF"/>
    <w:rsid w:val="002E3CFE"/>
    <w:rsid w:val="002F67D4"/>
    <w:rsid w:val="002F7391"/>
    <w:rsid w:val="00324FD3"/>
    <w:rsid w:val="003F2E60"/>
    <w:rsid w:val="00416BEC"/>
    <w:rsid w:val="00475B1F"/>
    <w:rsid w:val="00491D9B"/>
    <w:rsid w:val="004F40A1"/>
    <w:rsid w:val="00505DD9"/>
    <w:rsid w:val="005108C5"/>
    <w:rsid w:val="00542E2E"/>
    <w:rsid w:val="005764E1"/>
    <w:rsid w:val="005C7753"/>
    <w:rsid w:val="005E41A4"/>
    <w:rsid w:val="005E4C4C"/>
    <w:rsid w:val="006B7A42"/>
    <w:rsid w:val="006C1814"/>
    <w:rsid w:val="007204DE"/>
    <w:rsid w:val="00780D07"/>
    <w:rsid w:val="00786EE5"/>
    <w:rsid w:val="00790C5D"/>
    <w:rsid w:val="00844DC1"/>
    <w:rsid w:val="00857241"/>
    <w:rsid w:val="008A6319"/>
    <w:rsid w:val="008D5AE9"/>
    <w:rsid w:val="008E2F7E"/>
    <w:rsid w:val="0096303C"/>
    <w:rsid w:val="009741CF"/>
    <w:rsid w:val="00984418"/>
    <w:rsid w:val="00987CCD"/>
    <w:rsid w:val="0099018C"/>
    <w:rsid w:val="009936F1"/>
    <w:rsid w:val="00A325A0"/>
    <w:rsid w:val="00A34FF7"/>
    <w:rsid w:val="00A42969"/>
    <w:rsid w:val="00A43372"/>
    <w:rsid w:val="00A67016"/>
    <w:rsid w:val="00A70D2A"/>
    <w:rsid w:val="00A90621"/>
    <w:rsid w:val="00AA2BF3"/>
    <w:rsid w:val="00AD6069"/>
    <w:rsid w:val="00BB3CA9"/>
    <w:rsid w:val="00BD7B6E"/>
    <w:rsid w:val="00BE5BDF"/>
    <w:rsid w:val="00C04089"/>
    <w:rsid w:val="00C232FC"/>
    <w:rsid w:val="00C364F2"/>
    <w:rsid w:val="00C71386"/>
    <w:rsid w:val="00C73446"/>
    <w:rsid w:val="00C73B28"/>
    <w:rsid w:val="00C83B82"/>
    <w:rsid w:val="00C90892"/>
    <w:rsid w:val="00C949AA"/>
    <w:rsid w:val="00CD1568"/>
    <w:rsid w:val="00D12DCE"/>
    <w:rsid w:val="00D24A21"/>
    <w:rsid w:val="00D418FB"/>
    <w:rsid w:val="00DE46A0"/>
    <w:rsid w:val="00E23D62"/>
    <w:rsid w:val="00E267C1"/>
    <w:rsid w:val="00E2788E"/>
    <w:rsid w:val="00E31674"/>
    <w:rsid w:val="00E43093"/>
    <w:rsid w:val="00E4620F"/>
    <w:rsid w:val="00E63883"/>
    <w:rsid w:val="00ED7806"/>
    <w:rsid w:val="00EE70F7"/>
    <w:rsid w:val="00F32E69"/>
    <w:rsid w:val="00F50B63"/>
    <w:rsid w:val="00F565E6"/>
    <w:rsid w:val="00F748F7"/>
    <w:rsid w:val="00F76888"/>
    <w:rsid w:val="00FA47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0365"/>
  <w15:chartTrackingRefBased/>
  <w15:docId w15:val="{59180217-0F27-476C-A24D-C8C1670C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90892"/>
    <w:rPr>
      <w:color w:val="0563C1" w:themeColor="hyperlink"/>
      <w:u w:val="single"/>
    </w:rPr>
  </w:style>
  <w:style w:type="character" w:customStyle="1" w:styleId="1">
    <w:name w:val="אזכור לא מזוהה1"/>
    <w:basedOn w:val="a0"/>
    <w:uiPriority w:val="99"/>
    <w:semiHidden/>
    <w:unhideWhenUsed/>
    <w:rsid w:val="00C90892"/>
    <w:rPr>
      <w:color w:val="605E5C"/>
      <w:shd w:val="clear" w:color="auto" w:fill="E1DFDD"/>
    </w:rPr>
  </w:style>
  <w:style w:type="character" w:styleId="a3">
    <w:name w:val="Unresolved Mention"/>
    <w:basedOn w:val="a0"/>
    <w:uiPriority w:val="99"/>
    <w:semiHidden/>
    <w:unhideWhenUsed/>
    <w:rsid w:val="00FA47C2"/>
    <w:rPr>
      <w:color w:val="605E5C"/>
      <w:shd w:val="clear" w:color="auto" w:fill="E1DFDD"/>
    </w:rPr>
  </w:style>
  <w:style w:type="character" w:styleId="FollowedHyperlink">
    <w:name w:val="FollowedHyperlink"/>
    <w:basedOn w:val="a0"/>
    <w:uiPriority w:val="99"/>
    <w:semiHidden/>
    <w:unhideWhenUsed/>
    <w:rsid w:val="00FA47C2"/>
    <w:rPr>
      <w:color w:val="954F72" w:themeColor="followedHyperlink"/>
      <w:u w:val="single"/>
    </w:rPr>
  </w:style>
  <w:style w:type="character" w:styleId="a4">
    <w:name w:val="annotation reference"/>
    <w:basedOn w:val="a0"/>
    <w:uiPriority w:val="99"/>
    <w:semiHidden/>
    <w:unhideWhenUsed/>
    <w:rsid w:val="000736DF"/>
    <w:rPr>
      <w:sz w:val="16"/>
      <w:szCs w:val="16"/>
    </w:rPr>
  </w:style>
  <w:style w:type="paragraph" w:styleId="a5">
    <w:name w:val="annotation text"/>
    <w:basedOn w:val="a"/>
    <w:link w:val="a6"/>
    <w:uiPriority w:val="99"/>
    <w:semiHidden/>
    <w:unhideWhenUsed/>
    <w:rsid w:val="000736DF"/>
    <w:pPr>
      <w:spacing w:line="240" w:lineRule="auto"/>
    </w:pPr>
    <w:rPr>
      <w:sz w:val="20"/>
      <w:szCs w:val="20"/>
    </w:rPr>
  </w:style>
  <w:style w:type="character" w:customStyle="1" w:styleId="a6">
    <w:name w:val="טקסט הערה תו"/>
    <w:basedOn w:val="a0"/>
    <w:link w:val="a5"/>
    <w:uiPriority w:val="99"/>
    <w:semiHidden/>
    <w:rsid w:val="000736DF"/>
    <w:rPr>
      <w:sz w:val="20"/>
      <w:szCs w:val="20"/>
    </w:rPr>
  </w:style>
  <w:style w:type="paragraph" w:styleId="a7">
    <w:name w:val="annotation subject"/>
    <w:basedOn w:val="a5"/>
    <w:next w:val="a5"/>
    <w:link w:val="a8"/>
    <w:uiPriority w:val="99"/>
    <w:semiHidden/>
    <w:unhideWhenUsed/>
    <w:rsid w:val="000736DF"/>
    <w:rPr>
      <w:b/>
      <w:bCs/>
    </w:rPr>
  </w:style>
  <w:style w:type="character" w:customStyle="1" w:styleId="a8">
    <w:name w:val="נושא הערה תו"/>
    <w:basedOn w:val="a6"/>
    <w:link w:val="a7"/>
    <w:uiPriority w:val="99"/>
    <w:semiHidden/>
    <w:rsid w:val="00073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299">
      <w:bodyDiv w:val="1"/>
      <w:marLeft w:val="0"/>
      <w:marRight w:val="0"/>
      <w:marTop w:val="0"/>
      <w:marBottom w:val="0"/>
      <w:divBdr>
        <w:top w:val="none" w:sz="0" w:space="0" w:color="auto"/>
        <w:left w:val="none" w:sz="0" w:space="0" w:color="auto"/>
        <w:bottom w:val="none" w:sz="0" w:space="0" w:color="auto"/>
        <w:right w:val="none" w:sz="0" w:space="0" w:color="auto"/>
      </w:divBdr>
    </w:div>
    <w:div w:id="371155770">
      <w:bodyDiv w:val="1"/>
      <w:marLeft w:val="0"/>
      <w:marRight w:val="0"/>
      <w:marTop w:val="0"/>
      <w:marBottom w:val="0"/>
      <w:divBdr>
        <w:top w:val="none" w:sz="0" w:space="0" w:color="auto"/>
        <w:left w:val="none" w:sz="0" w:space="0" w:color="auto"/>
        <w:bottom w:val="none" w:sz="0" w:space="0" w:color="auto"/>
        <w:right w:val="none" w:sz="0" w:space="0" w:color="auto"/>
      </w:divBdr>
    </w:div>
    <w:div w:id="1612591967">
      <w:bodyDiv w:val="1"/>
      <w:marLeft w:val="0"/>
      <w:marRight w:val="0"/>
      <w:marTop w:val="0"/>
      <w:marBottom w:val="0"/>
      <w:divBdr>
        <w:top w:val="none" w:sz="0" w:space="0" w:color="auto"/>
        <w:left w:val="none" w:sz="0" w:space="0" w:color="auto"/>
        <w:bottom w:val="none" w:sz="0" w:space="0" w:color="auto"/>
        <w:right w:val="none" w:sz="0" w:space="0" w:color="auto"/>
      </w:divBdr>
    </w:div>
    <w:div w:id="17879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34016884009002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nualreviews.org/doi/pdf/10.1146/annurev-soc-" TargetMode="External"/><Relationship Id="rId12" Type="http://schemas.openxmlformats.org/officeDocument/2006/relationships/hyperlink" Target="https://doi.org/10.1002/cbm.19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gps.930100611" TargetMode="External"/><Relationship Id="rId11" Type="http://schemas.openxmlformats.org/officeDocument/2006/relationships/hyperlink" Target="https://doi.org/10.1177/0306624X7702100108" TargetMode="External"/><Relationship Id="rId5" Type="http://schemas.openxmlformats.org/officeDocument/2006/relationships/hyperlink" Target="https://doi.org/10.1177/0306624X9403800108" TargetMode="External"/><Relationship Id="rId10" Type="http://schemas.openxmlformats.org/officeDocument/2006/relationships/hyperlink" Target="https://doi.org/10.1177/1078345813486445" TargetMode="External"/><Relationship Id="rId4" Type="http://schemas.openxmlformats.org/officeDocument/2006/relationships/hyperlink" Target="https://www.gov.il/BlobFolder/reports/doch_shnati2020/he/%D7%93%D7%95%D7%97%20%D7%A9%D7%A0%D7%AA%D7%99%202020.pdf" TargetMode="External"/><Relationship Id="rId9" Type="http://schemas.openxmlformats.org/officeDocument/2006/relationships/hyperlink" Target="https://doi.org/10.1111/dewb.12206"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10182</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Irit Adamchuk</cp:lastModifiedBy>
  <cp:revision>2</cp:revision>
  <dcterms:created xsi:type="dcterms:W3CDTF">2022-03-03T07:35:00Z</dcterms:created>
  <dcterms:modified xsi:type="dcterms:W3CDTF">2022-03-03T07:35:00Z</dcterms:modified>
</cp:coreProperties>
</file>