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5E" w:rsidRPr="002A2E5E" w:rsidRDefault="002A2E5E" w:rsidP="002A2E5E">
      <w:pPr>
        <w:shd w:val="clear" w:color="auto" w:fill="FFFFFF"/>
        <w:spacing w:after="281" w:line="655" w:lineRule="atLeast"/>
        <w:jc w:val="center"/>
        <w:outlineLvl w:val="0"/>
        <w:rPr>
          <w:rFonts w:ascii="Times New Roman" w:eastAsia="Times New Roman" w:hAnsi="Times New Roman" w:cs="Times New Roman"/>
          <w:color w:val="333333"/>
          <w:kern w:val="36"/>
          <w:sz w:val="37"/>
          <w:szCs w:val="37"/>
          <w:lang w:bidi="ar-SA"/>
        </w:rPr>
      </w:pPr>
      <w:proofErr w:type="spellStart"/>
      <w:r w:rsidRPr="002A2E5E">
        <w:rPr>
          <w:rFonts w:ascii="Times New Roman" w:eastAsia="Times New Roman" w:hAnsi="Times New Roman" w:cs="Times New Roman"/>
          <w:color w:val="333333"/>
          <w:kern w:val="36"/>
          <w:sz w:val="37"/>
          <w:szCs w:val="37"/>
          <w:lang w:bidi="ar-SA"/>
        </w:rPr>
        <w:t>Tzaraat</w:t>
      </w:r>
      <w:proofErr w:type="spellEnd"/>
      <w:r w:rsidRPr="002A2E5E">
        <w:rPr>
          <w:rFonts w:ascii="Times New Roman" w:eastAsia="Times New Roman" w:hAnsi="Times New Roman" w:cs="Times New Roman"/>
          <w:color w:val="333333"/>
          <w:kern w:val="36"/>
          <w:sz w:val="37"/>
          <w:szCs w:val="37"/>
          <w:lang w:bidi="ar-SA"/>
        </w:rPr>
        <w:t xml:space="preserve"> in Light of Its Mesopotamian Parallels</w:t>
      </w:r>
    </w:p>
    <w:p w:rsidR="002A2E5E" w:rsidRPr="002A2E5E" w:rsidRDefault="002A2E5E" w:rsidP="002A2E5E">
      <w:pPr>
        <w:shd w:val="clear" w:color="auto" w:fill="FFFFFF"/>
        <w:spacing w:after="94" w:line="346" w:lineRule="atLeast"/>
        <w:rPr>
          <w:rFonts w:ascii="Times New Roman" w:eastAsia="Times New Roman" w:hAnsi="Times New Roman" w:cs="Times New Roman"/>
          <w:color w:val="333333"/>
          <w:sz w:val="19"/>
          <w:szCs w:val="19"/>
          <w:lang w:bidi="ar-SA"/>
        </w:rPr>
      </w:pPr>
      <w:r w:rsidRPr="002A2E5E">
        <w:rPr>
          <w:rFonts w:ascii="Times New Roman" w:eastAsia="Times New Roman" w:hAnsi="Times New Roman" w:cs="Times New Roman"/>
          <w:color w:val="333333"/>
          <w:sz w:val="19"/>
          <w:szCs w:val="19"/>
          <w:lang w:bidi="ar-SA"/>
        </w:rPr>
        <w:t>Notwithstanding its lengthy coverage of </w:t>
      </w:r>
      <w:proofErr w:type="spellStart"/>
      <w:r w:rsidRPr="0090141D">
        <w:rPr>
          <w:rFonts w:ascii="Times New Roman" w:eastAsia="Times New Roman" w:hAnsi="Times New Roman" w:cs="Times New Roman"/>
          <w:i/>
          <w:iCs/>
          <w:color w:val="333333"/>
          <w:sz w:val="19"/>
          <w:lang w:bidi="ar-SA"/>
        </w:rPr>
        <w:t>tzaraat</w:t>
      </w:r>
      <w:proofErr w:type="spellEnd"/>
      <w:r w:rsidRPr="002A2E5E">
        <w:rPr>
          <w:rFonts w:ascii="Times New Roman" w:eastAsia="Times New Roman" w:hAnsi="Times New Roman" w:cs="Times New Roman"/>
          <w:color w:val="333333"/>
          <w:sz w:val="19"/>
          <w:szCs w:val="19"/>
          <w:lang w:bidi="ar-SA"/>
        </w:rPr>
        <w:t> (</w:t>
      </w:r>
      <w:r w:rsidRPr="002A2E5E">
        <w:rPr>
          <w:rFonts w:ascii="Times New Roman" w:eastAsia="Times New Roman" w:hAnsi="Times New Roman" w:cs="Times New Roman"/>
          <w:color w:val="333333"/>
          <w:sz w:val="19"/>
          <w:szCs w:val="19"/>
          <w:rtl/>
        </w:rPr>
        <w:t>צרעת</w:t>
      </w:r>
      <w:r w:rsidRPr="002A2E5E">
        <w:rPr>
          <w:rFonts w:ascii="Times New Roman" w:eastAsia="Times New Roman" w:hAnsi="Times New Roman" w:cs="Times New Roman"/>
          <w:color w:val="333333"/>
          <w:sz w:val="19"/>
          <w:szCs w:val="19"/>
          <w:lang w:bidi="ar-SA"/>
        </w:rPr>
        <w:t>, biblical “leprosy”), why does the Torah omit discussion of its cause (sin?), its infectiousness, and its treatment? Comparison to the Mesopotamian rituals pertaining to a strikingly similar disease (</w:t>
      </w:r>
      <w:proofErr w:type="spellStart"/>
      <w:r w:rsidRPr="0090141D">
        <w:rPr>
          <w:rFonts w:ascii="Times New Roman" w:eastAsia="Times New Roman" w:hAnsi="Times New Roman" w:cs="Times New Roman"/>
          <w:i/>
          <w:iCs/>
          <w:color w:val="333333"/>
          <w:sz w:val="19"/>
          <w:lang w:bidi="ar-SA"/>
        </w:rPr>
        <w:t>Saḫaršubbû</w:t>
      </w:r>
      <w:proofErr w:type="spellEnd"/>
      <w:r w:rsidRPr="002A2E5E">
        <w:rPr>
          <w:rFonts w:ascii="Times New Roman" w:eastAsia="Times New Roman" w:hAnsi="Times New Roman" w:cs="Times New Roman"/>
          <w:color w:val="333333"/>
          <w:sz w:val="19"/>
          <w:szCs w:val="19"/>
          <w:lang w:bidi="ar-SA"/>
        </w:rPr>
        <w:t>) shows that these omissions were far from accidental.</w:t>
      </w:r>
    </w:p>
    <w:p w:rsidR="002A2E5E" w:rsidRPr="0090141D" w:rsidRDefault="002A2E5E" w:rsidP="002A2E5E">
      <w:pPr>
        <w:shd w:val="clear" w:color="auto" w:fill="FFFFFF"/>
        <w:spacing w:after="0" w:line="240" w:lineRule="auto"/>
        <w:rPr>
          <w:rFonts w:ascii="Times New Roman" w:eastAsia="Times New Roman" w:hAnsi="Times New Roman" w:cs="Times New Roman"/>
          <w:color w:val="2E2E2E"/>
          <w:sz w:val="14"/>
          <w:szCs w:val="14"/>
          <w:lang w:bidi="ar-SA"/>
        </w:rPr>
      </w:pPr>
      <w:r w:rsidRPr="002A2E5E">
        <w:rPr>
          <w:rFonts w:ascii="Times New Roman" w:eastAsia="Times New Roman" w:hAnsi="Times New Roman" w:cs="Times New Roman"/>
          <w:color w:val="333333"/>
          <w:sz w:val="14"/>
          <w:szCs w:val="14"/>
          <w:lang w:bidi="ar-SA"/>
        </w:rPr>
        <w:fldChar w:fldCharType="begin"/>
      </w:r>
      <w:r w:rsidRPr="002A2E5E">
        <w:rPr>
          <w:rFonts w:ascii="Times New Roman" w:eastAsia="Times New Roman" w:hAnsi="Times New Roman" w:cs="Times New Roman"/>
          <w:color w:val="333333"/>
          <w:sz w:val="14"/>
          <w:szCs w:val="14"/>
          <w:lang w:bidi="ar-SA"/>
        </w:rPr>
        <w:instrText xml:space="preserve"> HYPERLINK "https://www.thetorah.com/author/yitzhaq-feder" </w:instrText>
      </w:r>
      <w:r w:rsidRPr="002A2E5E">
        <w:rPr>
          <w:rFonts w:ascii="Times New Roman" w:eastAsia="Times New Roman" w:hAnsi="Times New Roman" w:cs="Times New Roman"/>
          <w:color w:val="333333"/>
          <w:sz w:val="14"/>
          <w:szCs w:val="14"/>
          <w:lang w:bidi="ar-SA"/>
        </w:rPr>
        <w:fldChar w:fldCharType="separate"/>
      </w:r>
    </w:p>
    <w:p w:rsidR="002A2E5E" w:rsidRPr="002A2E5E" w:rsidRDefault="002A2E5E" w:rsidP="002A2E5E">
      <w:pPr>
        <w:shd w:val="clear" w:color="auto" w:fill="FFFFFF"/>
        <w:spacing w:after="0" w:line="337" w:lineRule="atLeast"/>
        <w:ind w:right="150"/>
        <w:rPr>
          <w:rFonts w:ascii="Times New Roman" w:eastAsia="Times New Roman" w:hAnsi="Times New Roman" w:cs="Times New Roman"/>
          <w:sz w:val="19"/>
          <w:szCs w:val="19"/>
          <w:lang w:bidi="ar-SA"/>
        </w:rPr>
      </w:pPr>
      <w:r w:rsidRPr="002A2E5E">
        <w:rPr>
          <w:rFonts w:ascii="Times New Roman" w:eastAsia="Times New Roman" w:hAnsi="Times New Roman" w:cs="Times New Roman"/>
          <w:color w:val="2E2E2E"/>
          <w:sz w:val="19"/>
          <w:szCs w:val="19"/>
          <w:lang w:bidi="ar-SA"/>
        </w:rPr>
        <w:t>Dr.</w:t>
      </w:r>
      <w:r w:rsidRPr="0090141D">
        <w:rPr>
          <w:rFonts w:ascii="Times New Roman" w:eastAsia="Times New Roman" w:hAnsi="Times New Roman" w:cs="Times New Roman"/>
          <w:sz w:val="19"/>
          <w:szCs w:val="19"/>
          <w:lang w:bidi="ar-SA"/>
        </w:rPr>
        <w:t xml:space="preserve"> </w:t>
      </w:r>
      <w:proofErr w:type="spellStart"/>
      <w:r w:rsidRPr="002A2E5E">
        <w:rPr>
          <w:rFonts w:ascii="Times New Roman" w:eastAsia="Times New Roman" w:hAnsi="Times New Roman" w:cs="Times New Roman"/>
          <w:color w:val="2E2E2E"/>
          <w:sz w:val="19"/>
          <w:szCs w:val="19"/>
          <w:lang w:bidi="ar-SA"/>
        </w:rPr>
        <w:t>Yitzhaq</w:t>
      </w:r>
      <w:proofErr w:type="spellEnd"/>
      <w:r w:rsidRPr="002A2E5E">
        <w:rPr>
          <w:rFonts w:ascii="Times New Roman" w:eastAsia="Times New Roman" w:hAnsi="Times New Roman" w:cs="Times New Roman"/>
          <w:color w:val="2E2E2E"/>
          <w:sz w:val="19"/>
          <w:szCs w:val="19"/>
          <w:lang w:bidi="ar-SA"/>
        </w:rPr>
        <w:t xml:space="preserve"> </w:t>
      </w:r>
      <w:proofErr w:type="spellStart"/>
      <w:r w:rsidRPr="002A2E5E">
        <w:rPr>
          <w:rFonts w:ascii="Times New Roman" w:eastAsia="Times New Roman" w:hAnsi="Times New Roman" w:cs="Times New Roman"/>
          <w:color w:val="2E2E2E"/>
          <w:sz w:val="19"/>
          <w:szCs w:val="19"/>
          <w:lang w:bidi="ar-SA"/>
        </w:rPr>
        <w:t>Feder</w:t>
      </w:r>
      <w:proofErr w:type="spellEnd"/>
    </w:p>
    <w:p w:rsidR="002A2E5E" w:rsidRPr="002A2E5E" w:rsidRDefault="002A2E5E" w:rsidP="002A2E5E">
      <w:pPr>
        <w:shd w:val="clear" w:color="auto" w:fill="FFFFFF"/>
        <w:spacing w:after="0" w:line="24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fldChar w:fldCharType="end"/>
      </w:r>
    </w:p>
    <w:p w:rsidR="002A2E5E" w:rsidRPr="002A2E5E" w:rsidRDefault="002A2E5E" w:rsidP="002A2E5E">
      <w:pPr>
        <w:shd w:val="clear" w:color="auto" w:fill="FFFFFF"/>
        <w:spacing w:after="0" w:line="240" w:lineRule="auto"/>
        <w:rPr>
          <w:rFonts w:ascii="Times New Roman" w:eastAsia="Times New Roman" w:hAnsi="Times New Roman" w:cs="Times New Roman"/>
          <w:color w:val="333333"/>
          <w:sz w:val="14"/>
          <w:szCs w:val="14"/>
          <w:lang w:bidi="ar-SA"/>
        </w:rPr>
      </w:pPr>
      <w:r w:rsidRPr="0090141D">
        <w:rPr>
          <w:rFonts w:ascii="Times New Roman" w:eastAsia="Times New Roman" w:hAnsi="Times New Roman" w:cs="Times New Roman"/>
          <w:noProof/>
          <w:color w:val="333333"/>
          <w:sz w:val="14"/>
          <w:szCs w:val="14"/>
          <w:lang w:bidi="ar-SA"/>
        </w:rPr>
        <w:drawing>
          <wp:inline distT="0" distB="0" distL="0" distR="0">
            <wp:extent cx="2759100" cy="2303813"/>
            <wp:effectExtent l="19050" t="0" r="3150" b="0"/>
            <wp:docPr id="4" name="תמונה 4" descr="Tzaraat in Light of Its Mesopotamian Parall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zaraat in Light of Its Mesopotamian Parallels"/>
                    <pic:cNvPicPr>
                      <a:picLocks noChangeAspect="1" noChangeArrowheads="1"/>
                    </pic:cNvPicPr>
                  </pic:nvPicPr>
                  <pic:blipFill>
                    <a:blip r:embed="rId5"/>
                    <a:srcRect/>
                    <a:stretch>
                      <a:fillRect/>
                    </a:stretch>
                  </pic:blipFill>
                  <pic:spPr bwMode="auto">
                    <a:xfrm>
                      <a:off x="0" y="0"/>
                      <a:ext cx="2761096" cy="2305480"/>
                    </a:xfrm>
                    <a:prstGeom prst="rect">
                      <a:avLst/>
                    </a:prstGeom>
                    <a:noFill/>
                    <a:ln w="9525">
                      <a:noFill/>
                      <a:miter lim="800000"/>
                      <a:headEnd/>
                      <a:tailEnd/>
                    </a:ln>
                  </pic:spPr>
                </pic:pic>
              </a:graphicData>
            </a:graphic>
          </wp:inline>
        </w:drawing>
      </w:r>
    </w:p>
    <w:p w:rsidR="002A2E5E" w:rsidRPr="002A2E5E" w:rsidRDefault="002A2E5E" w:rsidP="002A2E5E">
      <w:pPr>
        <w:shd w:val="clear" w:color="auto" w:fill="FFFFFF"/>
        <w:spacing w:after="94" w:line="262" w:lineRule="atLeast"/>
        <w:jc w:val="center"/>
        <w:rPr>
          <w:rFonts w:ascii="Times New Roman" w:eastAsia="Times New Roman" w:hAnsi="Times New Roman" w:cs="Times New Roman"/>
          <w:color w:val="333333"/>
          <w:sz w:val="12"/>
          <w:szCs w:val="12"/>
          <w:lang w:bidi="ar-SA"/>
        </w:rPr>
      </w:pPr>
      <w:proofErr w:type="gramStart"/>
      <w:r w:rsidRPr="002A2E5E">
        <w:rPr>
          <w:rFonts w:ascii="Times New Roman" w:eastAsia="Times New Roman" w:hAnsi="Times New Roman" w:cs="Times New Roman"/>
          <w:color w:val="333333"/>
          <w:sz w:val="12"/>
          <w:szCs w:val="12"/>
          <w:lang w:bidi="ar-SA"/>
        </w:rPr>
        <w:t xml:space="preserve">The </w:t>
      </w:r>
      <w:proofErr w:type="spellStart"/>
      <w:r w:rsidRPr="002A2E5E">
        <w:rPr>
          <w:rFonts w:ascii="Times New Roman" w:eastAsia="Times New Roman" w:hAnsi="Times New Roman" w:cs="Times New Roman"/>
          <w:color w:val="333333"/>
          <w:sz w:val="12"/>
          <w:szCs w:val="12"/>
          <w:lang w:bidi="ar-SA"/>
        </w:rPr>
        <w:t>Metzora</w:t>
      </w:r>
      <w:proofErr w:type="spellEnd"/>
      <w:r w:rsidRPr="002A2E5E">
        <w:rPr>
          <w:rFonts w:ascii="Times New Roman" w:eastAsia="Times New Roman" w:hAnsi="Times New Roman" w:cs="Times New Roman"/>
          <w:color w:val="333333"/>
          <w:sz w:val="12"/>
          <w:szCs w:val="12"/>
          <w:lang w:bidi="ar-SA"/>
        </w:rPr>
        <w:t xml:space="preserve"> being purified with the two birds.</w:t>
      </w:r>
      <w:proofErr w:type="gramEnd"/>
      <w:r w:rsidRPr="002A2E5E">
        <w:rPr>
          <w:rFonts w:ascii="Times New Roman" w:eastAsia="Times New Roman" w:hAnsi="Times New Roman" w:cs="Times New Roman"/>
          <w:color w:val="333333"/>
          <w:sz w:val="12"/>
          <w:szCs w:val="12"/>
          <w:lang w:bidi="ar-SA"/>
        </w:rPr>
        <w:t xml:space="preserve"> </w:t>
      </w:r>
      <w:proofErr w:type="gramStart"/>
      <w:r w:rsidRPr="002A2E5E">
        <w:rPr>
          <w:rFonts w:ascii="Times New Roman" w:eastAsia="Times New Roman" w:hAnsi="Times New Roman" w:cs="Times New Roman"/>
          <w:color w:val="333333"/>
          <w:sz w:val="12"/>
          <w:szCs w:val="12"/>
          <w:lang w:bidi="ar-SA"/>
        </w:rPr>
        <w:t xml:space="preserve">By Dutch engraver Simon </w:t>
      </w:r>
      <w:proofErr w:type="spellStart"/>
      <w:r w:rsidRPr="002A2E5E">
        <w:rPr>
          <w:rFonts w:ascii="Times New Roman" w:eastAsia="Times New Roman" w:hAnsi="Times New Roman" w:cs="Times New Roman"/>
          <w:color w:val="333333"/>
          <w:sz w:val="12"/>
          <w:szCs w:val="12"/>
          <w:lang w:bidi="ar-SA"/>
        </w:rPr>
        <w:t>Fokke</w:t>
      </w:r>
      <w:proofErr w:type="spellEnd"/>
      <w:r w:rsidRPr="002A2E5E">
        <w:rPr>
          <w:rFonts w:ascii="Times New Roman" w:eastAsia="Times New Roman" w:hAnsi="Times New Roman" w:cs="Times New Roman"/>
          <w:color w:val="333333"/>
          <w:sz w:val="12"/>
          <w:szCs w:val="12"/>
          <w:lang w:bidi="ar-SA"/>
        </w:rPr>
        <w:t>, 1712-1784.</w:t>
      </w:r>
      <w:proofErr w:type="gramEnd"/>
      <w:r w:rsidRPr="002A2E5E">
        <w:rPr>
          <w:rFonts w:ascii="Times New Roman" w:eastAsia="Times New Roman" w:hAnsi="Times New Roman" w:cs="Times New Roman"/>
          <w:color w:val="333333"/>
          <w:sz w:val="12"/>
          <w:szCs w:val="12"/>
          <w:lang w:bidi="ar-SA"/>
        </w:rPr>
        <w:t xml:space="preserve"> Rijksmuseum</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He is diagnosed as sick, but never treated. He is banished from the community, but not contagious. He offers a guilt offering (</w:t>
      </w:r>
      <w:r w:rsidRPr="002A2E5E">
        <w:rPr>
          <w:rFonts w:ascii="Times New Roman" w:eastAsia="Times New Roman" w:hAnsi="Times New Roman" w:cs="Times New Roman"/>
          <w:color w:val="000000"/>
          <w:sz w:val="16"/>
          <w:szCs w:val="16"/>
          <w:rtl/>
        </w:rPr>
        <w:t>אשם</w:t>
      </w:r>
      <w:r w:rsidRPr="002A2E5E">
        <w:rPr>
          <w:rFonts w:ascii="Times New Roman" w:eastAsia="Times New Roman" w:hAnsi="Times New Roman" w:cs="Times New Roman"/>
          <w:color w:val="000000"/>
          <w:sz w:val="16"/>
          <w:szCs w:val="16"/>
          <w:lang w:bidi="ar-SA"/>
        </w:rPr>
        <w:t>), but his sin is left unstated. Who is this </w:t>
      </w:r>
      <w:proofErr w:type="spellStart"/>
      <w:r w:rsidRPr="0090141D">
        <w:rPr>
          <w:rFonts w:ascii="Times New Roman" w:eastAsia="Times New Roman" w:hAnsi="Times New Roman" w:cs="Times New Roman"/>
          <w:i/>
          <w:iCs/>
          <w:color w:val="000000"/>
          <w:sz w:val="16"/>
          <w:lang w:bidi="ar-SA"/>
        </w:rPr>
        <w:t>meṣor‘a</w:t>
      </w:r>
      <w:proofErr w:type="spellEnd"/>
      <w:r w:rsidRPr="002A2E5E">
        <w:rPr>
          <w:rFonts w:ascii="Times New Roman" w:eastAsia="Times New Roman" w:hAnsi="Times New Roman" w:cs="Times New Roman"/>
          <w:color w:val="000000"/>
          <w:sz w:val="16"/>
          <w:szCs w:val="16"/>
          <w:lang w:bidi="ar-SA"/>
        </w:rPr>
        <w:t>, and what is this disease called </w:t>
      </w:r>
      <w:proofErr w:type="spellStart"/>
      <w:r w:rsidRPr="0090141D">
        <w:rPr>
          <w:rFonts w:ascii="Times New Roman" w:eastAsia="Times New Roman" w:hAnsi="Times New Roman" w:cs="Times New Roman"/>
          <w:i/>
          <w:iCs/>
          <w:color w:val="000000"/>
          <w:sz w:val="16"/>
          <w:lang w:bidi="ar-SA"/>
        </w:rPr>
        <w:t>tzaraat</w:t>
      </w:r>
      <w:proofErr w:type="spellEnd"/>
      <w:r w:rsidRPr="0090141D">
        <w:rPr>
          <w:rFonts w:ascii="Times New Roman" w:eastAsia="Times New Roman" w:hAnsi="Times New Roman" w:cs="Times New Roman"/>
          <w:i/>
          <w:iCs/>
          <w:color w:val="000000"/>
          <w:sz w:val="16"/>
          <w:lang w:bidi="ar-SA"/>
        </w:rPr>
        <w:t>?</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question of the identity of this disease has been subject to hundreds of academic papers, a fact that may surprise the average reader who would be quite content to ignore this subject entirely. Yet the detailed discussion of skin disease in Leviticus 13–14 has implications that reach far beyond the discussion of this particular disease. These can only be appreciated when recognizing what is missing – perhaps even deliberately concealed – from these chapters.</w:t>
      </w:r>
    </w:p>
    <w:p w:rsidR="002A2E5E" w:rsidRPr="002A2E5E" w:rsidRDefault="002A2E5E" w:rsidP="002A2E5E">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proofErr w:type="gramStart"/>
      <w:r w:rsidRPr="002A2E5E">
        <w:rPr>
          <w:rFonts w:ascii="Times New Roman" w:eastAsia="Times New Roman" w:hAnsi="Times New Roman" w:cs="Times New Roman"/>
          <w:color w:val="000000"/>
          <w:sz w:val="20"/>
          <w:szCs w:val="20"/>
          <w:lang w:bidi="ar-SA"/>
        </w:rPr>
        <w:t>An Imaginary Disease?</w:t>
      </w:r>
      <w:proofErr w:type="gramEnd"/>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This disease cannot simply be identified with “leprosy” (</w:t>
      </w:r>
      <w:proofErr w:type="gramStart"/>
      <w:r w:rsidRPr="002A2E5E">
        <w:rPr>
          <w:rFonts w:ascii="Times New Roman" w:eastAsia="Times New Roman" w:hAnsi="Times New Roman" w:cs="Times New Roman"/>
          <w:color w:val="000000"/>
          <w:sz w:val="16"/>
          <w:szCs w:val="16"/>
          <w:lang w:bidi="ar-SA"/>
        </w:rPr>
        <w:t>Hansen’s Disease</w:t>
      </w:r>
      <w:proofErr w:type="gramEnd"/>
      <w:r w:rsidRPr="002A2E5E">
        <w:rPr>
          <w:rFonts w:ascii="Times New Roman" w:eastAsia="Times New Roman" w:hAnsi="Times New Roman" w:cs="Times New Roman"/>
          <w:color w:val="000000"/>
          <w:sz w:val="16"/>
          <w:szCs w:val="16"/>
          <w:lang w:bidi="ar-SA"/>
        </w:rPr>
        <w:t>), which has a different set of symptoms, nor do its symptoms align with any single disease. For this reason, some scholars have suggested that it is a symbolic or imaginary disease</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1]</w:t>
      </w:r>
      <w:r w:rsidRPr="002A2E5E">
        <w:rPr>
          <w:rFonts w:ascii="Times New Roman" w:eastAsia="Times New Roman" w:hAnsi="Times New Roman" w:cs="Times New Roman"/>
          <w:color w:val="000000"/>
          <w:sz w:val="16"/>
          <w:szCs w:val="16"/>
          <w:lang w:bidi="ar-SA"/>
        </w:rPr>
        <w:t> but this is likely incorrect.</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existence of ancient Near Eastern parallels, and the ubiquitous discussion of this ailment in Second Temple writings, makes clear that the practical ramifications of these prescriptions were taken to be quite real. Without committing myself to a particular diagnosis, the translation “leprosy” will be adopted here for convenience</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2]</w:t>
      </w:r>
    </w:p>
    <w:p w:rsidR="002A2E5E" w:rsidRPr="002A2E5E" w:rsidRDefault="002A2E5E" w:rsidP="002A2E5E">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2A2E5E">
        <w:rPr>
          <w:rFonts w:ascii="Times New Roman" w:eastAsia="Times New Roman" w:hAnsi="Times New Roman" w:cs="Times New Roman"/>
          <w:color w:val="000000"/>
          <w:sz w:val="23"/>
          <w:szCs w:val="23"/>
          <w:lang w:bidi="ar-SA"/>
        </w:rPr>
        <w:t>The Question of Contagiousness</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most perplexing aspect of this disease is the question of its contagiousness. The banishment of lepers is mentioned several times in the Hebrew Bible (Numbers 5:2–5; 12:14). Leviticus 13 depicts their ostracism in explicit terms (vv. 45–46):</w:t>
      </w:r>
    </w:p>
    <w:p w:rsidR="002A2E5E" w:rsidRPr="002A2E5E" w:rsidRDefault="002A2E5E" w:rsidP="002A2E5E">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rtl/>
        </w:rPr>
        <w:t xml:space="preserve">וְהַצָּרוּעַ אֲשֶׁר בּוֹ הַנֶּגַע בְּגָדָיו יִהְיוּ </w:t>
      </w:r>
      <w:proofErr w:type="spellStart"/>
      <w:r w:rsidRPr="002A2E5E">
        <w:rPr>
          <w:rFonts w:ascii="Times New Roman" w:eastAsia="Times New Roman" w:hAnsi="Times New Roman" w:cs="Times New Roman"/>
          <w:color w:val="000000"/>
          <w:sz w:val="16"/>
          <w:szCs w:val="16"/>
          <w:rtl/>
        </w:rPr>
        <w:t>פְרֻמִים</w:t>
      </w:r>
      <w:proofErr w:type="spellEnd"/>
      <w:r w:rsidRPr="002A2E5E">
        <w:rPr>
          <w:rFonts w:ascii="Times New Roman" w:eastAsia="Times New Roman" w:hAnsi="Times New Roman" w:cs="Times New Roman"/>
          <w:color w:val="000000"/>
          <w:sz w:val="16"/>
          <w:szCs w:val="16"/>
          <w:rtl/>
        </w:rPr>
        <w:t xml:space="preserve"> וְרֹאשׁוֹ יִהְיֶה פָרוּעַ וְעַל שָׂפָם יַעְטֶה וְטָמֵא טָמֵא יִקְרָא… בָּדָד יֵשֵׁב מִחוּץ לַמַּחֲנֶה מוֹשָׁבוֹ.</w:t>
      </w:r>
    </w:p>
    <w:p w:rsidR="002A2E5E" w:rsidRPr="002A2E5E" w:rsidRDefault="002A2E5E" w:rsidP="002A2E5E">
      <w:pPr>
        <w:shd w:val="clear" w:color="auto" w:fill="FFFFFF"/>
        <w:spacing w:after="0" w:line="262" w:lineRule="atLeast"/>
        <w:rPr>
          <w:rFonts w:ascii="Times New Roman" w:eastAsia="Times New Roman" w:hAnsi="Times New Roman" w:cs="Times New Roman"/>
          <w:color w:val="000000"/>
          <w:sz w:val="14"/>
          <w:szCs w:val="14"/>
          <w:rtl/>
          <w:lang w:bidi="ar-SA"/>
        </w:rPr>
      </w:pPr>
      <w:r w:rsidRPr="002A2E5E">
        <w:rPr>
          <w:rFonts w:ascii="Times New Roman" w:eastAsia="Times New Roman" w:hAnsi="Times New Roman" w:cs="Times New Roman"/>
          <w:color w:val="000000"/>
          <w:sz w:val="14"/>
          <w:szCs w:val="14"/>
          <w:lang w:bidi="ar-SA"/>
        </w:rPr>
        <w:t> </w:t>
      </w:r>
    </w:p>
    <w:p w:rsidR="002A2E5E" w:rsidRPr="0090141D"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2A2E5E">
        <w:rPr>
          <w:rFonts w:ascii="Times New Roman" w:eastAsia="Times New Roman" w:hAnsi="Times New Roman" w:cs="Times New Roman"/>
          <w:color w:val="000000"/>
          <w:sz w:val="14"/>
          <w:szCs w:val="14"/>
          <w:lang w:bidi="ar-SA"/>
        </w:rPr>
        <w:t xml:space="preserve">The leper who has the affliction: his clothes shall be torn, his hair shall be disheveled, </w:t>
      </w:r>
      <w:proofErr w:type="gramStart"/>
      <w:r w:rsidRPr="002A2E5E">
        <w:rPr>
          <w:rFonts w:ascii="Times New Roman" w:eastAsia="Times New Roman" w:hAnsi="Times New Roman" w:cs="Times New Roman"/>
          <w:color w:val="000000"/>
          <w:sz w:val="14"/>
          <w:szCs w:val="14"/>
          <w:lang w:bidi="ar-SA"/>
        </w:rPr>
        <w:t>he</w:t>
      </w:r>
      <w:proofErr w:type="gramEnd"/>
      <w:r w:rsidRPr="002A2E5E">
        <w:rPr>
          <w:rFonts w:ascii="Times New Roman" w:eastAsia="Times New Roman" w:hAnsi="Times New Roman" w:cs="Times New Roman"/>
          <w:color w:val="000000"/>
          <w:sz w:val="14"/>
          <w:szCs w:val="14"/>
          <w:lang w:bidi="ar-SA"/>
        </w:rPr>
        <w:t xml:space="preserve"> shall cover his moustache and call out: ‘Impure, impure!’…He shall dwell alone. His dwelling shall be outside the camp.</w:t>
      </w:r>
    </w:p>
    <w:p w:rsidR="002A2E5E" w:rsidRPr="002A2E5E"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This banishment is also reflected in the narrative describing the banishment of four lepers in 2 Kings 7:3–10. This account does not associate leprosy with concerns for sanctuary purity, and the numerous attestations to this practice in Second Temple sources (e.g. Temple Scroll 48:14–7; Josephus, </w:t>
      </w:r>
      <w:r w:rsidRPr="0090141D">
        <w:rPr>
          <w:rFonts w:ascii="Times New Roman" w:eastAsia="Times New Roman" w:hAnsi="Times New Roman" w:cs="Times New Roman"/>
          <w:i/>
          <w:iCs/>
          <w:color w:val="000000"/>
          <w:sz w:val="16"/>
          <w:lang w:bidi="ar-SA"/>
        </w:rPr>
        <w:t xml:space="preserve">Against </w:t>
      </w:r>
      <w:proofErr w:type="spellStart"/>
      <w:r w:rsidRPr="0090141D">
        <w:rPr>
          <w:rFonts w:ascii="Times New Roman" w:eastAsia="Times New Roman" w:hAnsi="Times New Roman" w:cs="Times New Roman"/>
          <w:i/>
          <w:iCs/>
          <w:color w:val="000000"/>
          <w:sz w:val="16"/>
          <w:lang w:bidi="ar-SA"/>
        </w:rPr>
        <w:t>Apion</w:t>
      </w:r>
      <w:proofErr w:type="spellEnd"/>
      <w:r w:rsidRPr="002A2E5E">
        <w:rPr>
          <w:rFonts w:ascii="Times New Roman" w:eastAsia="Times New Roman" w:hAnsi="Times New Roman" w:cs="Times New Roman"/>
          <w:color w:val="000000"/>
          <w:sz w:val="16"/>
          <w:szCs w:val="16"/>
          <w:lang w:bidi="ar-SA"/>
        </w:rPr>
        <w:t> I 281), similarly suggest a general trepidation from any contact with these lepers, unrelated to the cultic sphere.</w:t>
      </w:r>
      <w:r w:rsidRPr="002A2E5E">
        <w:rPr>
          <w:rFonts w:ascii="Times New Roman" w:eastAsia="Times New Roman" w:hAnsi="Times New Roman" w:cs="Times New Roman"/>
          <w:color w:val="B22222"/>
          <w:sz w:val="14"/>
          <w:szCs w:val="14"/>
          <w:vertAlign w:val="superscript"/>
          <w:lang w:bidi="ar-SA"/>
        </w:rPr>
        <w:t>[3]</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This might suggest that the banishment was motivated by a concern for contagion, yet there is no hint in Priestly texts that this banishment was motivated by a fear of infection! In fact, the divine imperative mandating the banishment of lepers, </w:t>
      </w:r>
      <w:proofErr w:type="spellStart"/>
      <w:r w:rsidRPr="002A2E5E">
        <w:rPr>
          <w:rFonts w:ascii="Times New Roman" w:eastAsia="Times New Roman" w:hAnsi="Times New Roman" w:cs="Times New Roman"/>
          <w:color w:val="000000"/>
          <w:sz w:val="16"/>
          <w:szCs w:val="16"/>
          <w:lang w:bidi="ar-SA"/>
        </w:rPr>
        <w:t>gonorrheics</w:t>
      </w:r>
      <w:proofErr w:type="spellEnd"/>
      <w:r w:rsidRPr="002A2E5E">
        <w:rPr>
          <w:rFonts w:ascii="Times New Roman" w:eastAsia="Times New Roman" w:hAnsi="Times New Roman" w:cs="Times New Roman"/>
          <w:color w:val="000000"/>
          <w:sz w:val="16"/>
          <w:szCs w:val="16"/>
          <w:lang w:bidi="ar-SA"/>
        </w:rPr>
        <w:t xml:space="preserve"> and bearers of corpse impurity from the Israelite camp in Numbers 5:3 </w:t>
      </w:r>
      <w:proofErr w:type="gramStart"/>
      <w:r w:rsidRPr="002A2E5E">
        <w:rPr>
          <w:rFonts w:ascii="Times New Roman" w:eastAsia="Times New Roman" w:hAnsi="Times New Roman" w:cs="Times New Roman"/>
          <w:color w:val="000000"/>
          <w:sz w:val="16"/>
          <w:szCs w:val="16"/>
          <w:lang w:bidi="ar-SA"/>
        </w:rPr>
        <w:t>gives</w:t>
      </w:r>
      <w:proofErr w:type="gramEnd"/>
      <w:r w:rsidRPr="002A2E5E">
        <w:rPr>
          <w:rFonts w:ascii="Times New Roman" w:eastAsia="Times New Roman" w:hAnsi="Times New Roman" w:cs="Times New Roman"/>
          <w:color w:val="000000"/>
          <w:sz w:val="16"/>
          <w:szCs w:val="16"/>
          <w:lang w:bidi="ar-SA"/>
        </w:rPr>
        <w:t xml:space="preserve"> an entirely different rationale:</w:t>
      </w:r>
    </w:p>
    <w:p w:rsidR="002A2E5E" w:rsidRPr="002A2E5E" w:rsidRDefault="002A2E5E" w:rsidP="002A2E5E">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rtl/>
        </w:rPr>
        <w:t xml:space="preserve">וְלֹא יְטַמְּאוּ אֶת </w:t>
      </w:r>
      <w:proofErr w:type="spellStart"/>
      <w:r w:rsidRPr="002A2E5E">
        <w:rPr>
          <w:rFonts w:ascii="Times New Roman" w:eastAsia="Times New Roman" w:hAnsi="Times New Roman" w:cs="Times New Roman"/>
          <w:color w:val="000000"/>
          <w:sz w:val="16"/>
          <w:szCs w:val="16"/>
          <w:rtl/>
        </w:rPr>
        <w:t>מַחֲנֵיהֶם</w:t>
      </w:r>
      <w:proofErr w:type="spellEnd"/>
      <w:r w:rsidRPr="002A2E5E">
        <w:rPr>
          <w:rFonts w:ascii="Times New Roman" w:eastAsia="Times New Roman" w:hAnsi="Times New Roman" w:cs="Times New Roman"/>
          <w:color w:val="000000"/>
          <w:sz w:val="16"/>
          <w:szCs w:val="16"/>
          <w:rtl/>
        </w:rPr>
        <w:t xml:space="preserve"> אֲשֶׁר אֲנִי שֹׁכֵן בְּתוֹכָם.</w:t>
      </w:r>
    </w:p>
    <w:p w:rsidR="002A2E5E" w:rsidRPr="002A2E5E" w:rsidRDefault="002A2E5E" w:rsidP="002A2E5E">
      <w:pPr>
        <w:shd w:val="clear" w:color="auto" w:fill="FFFFFF"/>
        <w:spacing w:after="0" w:line="262" w:lineRule="atLeast"/>
        <w:rPr>
          <w:rFonts w:ascii="Times New Roman" w:eastAsia="Times New Roman" w:hAnsi="Times New Roman" w:cs="Times New Roman"/>
          <w:color w:val="000000"/>
          <w:sz w:val="14"/>
          <w:szCs w:val="14"/>
          <w:rtl/>
          <w:lang w:bidi="ar-SA"/>
        </w:rPr>
      </w:pPr>
      <w:r w:rsidRPr="002A2E5E">
        <w:rPr>
          <w:rFonts w:ascii="Times New Roman" w:eastAsia="Times New Roman" w:hAnsi="Times New Roman" w:cs="Times New Roman"/>
          <w:color w:val="000000"/>
          <w:sz w:val="14"/>
          <w:szCs w:val="14"/>
          <w:lang w:bidi="ar-SA"/>
        </w:rPr>
        <w:t> </w:t>
      </w:r>
    </w:p>
    <w:p w:rsidR="002A2E5E" w:rsidRPr="0090141D"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2A2E5E">
        <w:rPr>
          <w:rFonts w:ascii="Times New Roman" w:eastAsia="Times New Roman" w:hAnsi="Times New Roman" w:cs="Times New Roman"/>
          <w:color w:val="000000"/>
          <w:sz w:val="14"/>
          <w:szCs w:val="14"/>
          <w:lang w:bidi="ar-SA"/>
        </w:rPr>
        <w:t>So that they do not defile the camp of those in whose midst I dwell.</w:t>
      </w:r>
    </w:p>
    <w:p w:rsidR="002A2E5E" w:rsidRPr="002A2E5E"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Similarly, the corpus of purity laws in Leviticus 11–15 concludes with the rationale (15:31):</w:t>
      </w:r>
    </w:p>
    <w:p w:rsidR="002A2E5E" w:rsidRPr="002A2E5E" w:rsidRDefault="002A2E5E" w:rsidP="002A2E5E">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rtl/>
        </w:rPr>
        <w:t xml:space="preserve">וְהִזַּרְתֶּם אֶת בְּנֵי יִשְׂרָאֵל </w:t>
      </w:r>
      <w:proofErr w:type="spellStart"/>
      <w:r w:rsidRPr="002A2E5E">
        <w:rPr>
          <w:rFonts w:ascii="Times New Roman" w:eastAsia="Times New Roman" w:hAnsi="Times New Roman" w:cs="Times New Roman"/>
          <w:color w:val="000000"/>
          <w:sz w:val="16"/>
          <w:szCs w:val="16"/>
          <w:rtl/>
        </w:rPr>
        <w:t>מִטֻּמְאָתָם</w:t>
      </w:r>
      <w:proofErr w:type="spellEnd"/>
      <w:r w:rsidRPr="002A2E5E">
        <w:rPr>
          <w:rFonts w:ascii="Times New Roman" w:eastAsia="Times New Roman" w:hAnsi="Times New Roman" w:cs="Times New Roman"/>
          <w:color w:val="000000"/>
          <w:sz w:val="16"/>
          <w:szCs w:val="16"/>
          <w:rtl/>
        </w:rPr>
        <w:t xml:space="preserve"> וְלֹא יָמֻתוּ </w:t>
      </w:r>
      <w:proofErr w:type="spellStart"/>
      <w:r w:rsidRPr="002A2E5E">
        <w:rPr>
          <w:rFonts w:ascii="Times New Roman" w:eastAsia="Times New Roman" w:hAnsi="Times New Roman" w:cs="Times New Roman"/>
          <w:color w:val="000000"/>
          <w:sz w:val="16"/>
          <w:szCs w:val="16"/>
          <w:rtl/>
        </w:rPr>
        <w:t>בְּטֻמְאָתָם</w:t>
      </w:r>
      <w:proofErr w:type="spellEnd"/>
      <w:r w:rsidRPr="002A2E5E">
        <w:rPr>
          <w:rFonts w:ascii="Times New Roman" w:eastAsia="Times New Roman" w:hAnsi="Times New Roman" w:cs="Times New Roman"/>
          <w:color w:val="000000"/>
          <w:sz w:val="16"/>
          <w:szCs w:val="16"/>
          <w:rtl/>
        </w:rPr>
        <w:t xml:space="preserve"> בְּטַמְּאָם אֶת מִשְׁכָּנִי אֲשֶׁר בְּתוֹכָם.</w:t>
      </w:r>
    </w:p>
    <w:p w:rsidR="002A2E5E" w:rsidRPr="002A2E5E" w:rsidRDefault="002A2E5E" w:rsidP="002A2E5E">
      <w:pPr>
        <w:shd w:val="clear" w:color="auto" w:fill="FFFFFF"/>
        <w:spacing w:after="0" w:line="262" w:lineRule="atLeast"/>
        <w:rPr>
          <w:rFonts w:ascii="Times New Roman" w:eastAsia="Times New Roman" w:hAnsi="Times New Roman" w:cs="Times New Roman"/>
          <w:color w:val="000000"/>
          <w:sz w:val="14"/>
          <w:szCs w:val="14"/>
          <w:rtl/>
          <w:lang w:bidi="ar-SA"/>
        </w:rPr>
      </w:pPr>
      <w:r w:rsidRPr="002A2E5E">
        <w:rPr>
          <w:rFonts w:ascii="Times New Roman" w:eastAsia="Times New Roman" w:hAnsi="Times New Roman" w:cs="Times New Roman"/>
          <w:color w:val="000000"/>
          <w:sz w:val="14"/>
          <w:szCs w:val="14"/>
          <w:lang w:bidi="ar-SA"/>
        </w:rPr>
        <w:t> </w:t>
      </w:r>
    </w:p>
    <w:p w:rsidR="002A2E5E" w:rsidRPr="0090141D"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2A2E5E">
        <w:rPr>
          <w:rFonts w:ascii="Times New Roman" w:eastAsia="Times New Roman" w:hAnsi="Times New Roman" w:cs="Times New Roman"/>
          <w:color w:val="000000"/>
          <w:sz w:val="14"/>
          <w:szCs w:val="14"/>
          <w:lang w:bidi="ar-SA"/>
        </w:rPr>
        <w:t>You shall put the Israelites on guard against their uncleanness, lest they die through their uncleanness by </w:t>
      </w:r>
      <w:r w:rsidRPr="0090141D">
        <w:rPr>
          <w:rFonts w:ascii="Times New Roman" w:eastAsia="Times New Roman" w:hAnsi="Times New Roman" w:cs="Times New Roman"/>
          <w:i/>
          <w:iCs/>
          <w:color w:val="000000"/>
          <w:sz w:val="14"/>
          <w:lang w:bidi="ar-SA"/>
        </w:rPr>
        <w:t>defiling My Tabernacle</w:t>
      </w:r>
      <w:r w:rsidRPr="002A2E5E">
        <w:rPr>
          <w:rFonts w:ascii="Times New Roman" w:eastAsia="Times New Roman" w:hAnsi="Times New Roman" w:cs="Times New Roman"/>
          <w:color w:val="000000"/>
          <w:sz w:val="14"/>
          <w:szCs w:val="14"/>
          <w:lang w:bidi="ar-SA"/>
        </w:rPr>
        <w:t> which is among them.</w:t>
      </w:r>
    </w:p>
    <w:p w:rsidR="002A2E5E" w:rsidRPr="002A2E5E"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In other words, the motivation for these purity laws is a concern for maintaining the purity of the site of the divine presence, and not – as one might have supposed – an underlying fear of infection. Nevertheless, might this be a post-facto rationale that is covering up the more ancient motives underlying these purity practices?</w:t>
      </w:r>
    </w:p>
    <w:p w:rsidR="002A2E5E" w:rsidRPr="002A2E5E" w:rsidRDefault="002A2E5E" w:rsidP="002A2E5E">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2A2E5E">
        <w:rPr>
          <w:rFonts w:ascii="Times New Roman" w:eastAsia="Times New Roman" w:hAnsi="Times New Roman" w:cs="Times New Roman"/>
          <w:color w:val="000000"/>
          <w:sz w:val="23"/>
          <w:szCs w:val="23"/>
          <w:lang w:bidi="ar-SA"/>
        </w:rPr>
        <w:t>A Mesopotamian Parallel: </w:t>
      </w:r>
      <w:proofErr w:type="spellStart"/>
      <w:r w:rsidRPr="0090141D">
        <w:rPr>
          <w:rFonts w:ascii="Times New Roman" w:eastAsia="Times New Roman" w:hAnsi="Times New Roman" w:cs="Times New Roman"/>
          <w:i/>
          <w:iCs/>
          <w:color w:val="000000"/>
          <w:sz w:val="23"/>
          <w:lang w:bidi="ar-SA"/>
        </w:rPr>
        <w:t>Saḫaršubbû</w:t>
      </w:r>
      <w:proofErr w:type="spellEnd"/>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Before addressing this question, it is important to point out that biblical leprosy shares many characteristics with the </w:t>
      </w:r>
      <w:proofErr w:type="spellStart"/>
      <w:r w:rsidRPr="002A2E5E">
        <w:rPr>
          <w:rFonts w:ascii="Times New Roman" w:eastAsia="Times New Roman" w:hAnsi="Times New Roman" w:cs="Times New Roman"/>
          <w:color w:val="000000"/>
          <w:sz w:val="16"/>
          <w:szCs w:val="16"/>
          <w:lang w:bidi="ar-SA"/>
        </w:rPr>
        <w:t>Akkadian</w:t>
      </w:r>
      <w:proofErr w:type="spellEnd"/>
      <w:r w:rsidRPr="002A2E5E">
        <w:rPr>
          <w:rFonts w:ascii="Times New Roman" w:eastAsia="Times New Roman" w:hAnsi="Times New Roman" w:cs="Times New Roman"/>
          <w:color w:val="000000"/>
          <w:sz w:val="16"/>
          <w:szCs w:val="16"/>
          <w:lang w:bidi="ar-SA"/>
        </w:rPr>
        <w:t xml:space="preserve"> disease called </w:t>
      </w:r>
      <w:proofErr w:type="spellStart"/>
      <w:r w:rsidRPr="0090141D">
        <w:rPr>
          <w:rFonts w:ascii="Times New Roman" w:eastAsia="Times New Roman" w:hAnsi="Times New Roman" w:cs="Times New Roman"/>
          <w:i/>
          <w:iCs/>
          <w:color w:val="000000"/>
          <w:sz w:val="16"/>
          <w:lang w:bidi="ar-SA"/>
        </w:rPr>
        <w:t>saḫaršubbû</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 xml:space="preserve">(a loanword derived from Sumerian </w:t>
      </w:r>
      <w:proofErr w:type="spellStart"/>
      <w:r w:rsidRPr="002A2E5E">
        <w:rPr>
          <w:rFonts w:ascii="Times New Roman" w:eastAsia="Times New Roman" w:hAnsi="Times New Roman" w:cs="Times New Roman"/>
          <w:color w:val="000000"/>
          <w:sz w:val="16"/>
          <w:szCs w:val="16"/>
          <w:lang w:bidi="ar-SA"/>
        </w:rPr>
        <w:t>saḫar.šub.ba</w:t>
      </w:r>
      <w:proofErr w:type="spellEnd"/>
      <w:r w:rsidRPr="002A2E5E">
        <w:rPr>
          <w:rFonts w:ascii="Times New Roman" w:eastAsia="Times New Roman" w:hAnsi="Times New Roman" w:cs="Times New Roman"/>
          <w:color w:val="000000"/>
          <w:sz w:val="16"/>
          <w:szCs w:val="16"/>
          <w:lang w:bidi="ar-SA"/>
        </w:rPr>
        <w:t>: “covered with dust”)</w:t>
      </w:r>
      <w:r w:rsidRPr="0090141D">
        <w:rPr>
          <w:rFonts w:ascii="Times New Roman" w:eastAsia="Times New Roman" w:hAnsi="Times New Roman" w:cs="Times New Roman"/>
          <w:i/>
          <w:iCs/>
          <w:color w:val="000000"/>
          <w:sz w:val="16"/>
          <w:lang w:bidi="ar-SA"/>
        </w:rPr>
        <w:t>.</w:t>
      </w:r>
      <w:r w:rsidRPr="002A2E5E">
        <w:rPr>
          <w:rFonts w:ascii="Times New Roman" w:eastAsia="Times New Roman" w:hAnsi="Times New Roman" w:cs="Times New Roman"/>
          <w:color w:val="B22222"/>
          <w:sz w:val="14"/>
          <w:szCs w:val="14"/>
          <w:vertAlign w:val="superscript"/>
          <w:lang w:bidi="ar-SA"/>
        </w:rPr>
        <w:t>[4]</w:t>
      </w:r>
      <w:r w:rsidRPr="002A2E5E">
        <w:rPr>
          <w:rFonts w:ascii="Times New Roman" w:eastAsia="Times New Roman" w:hAnsi="Times New Roman" w:cs="Times New Roman"/>
          <w:color w:val="000000"/>
          <w:sz w:val="16"/>
          <w:szCs w:val="16"/>
          <w:lang w:bidi="ar-SA"/>
        </w:rPr>
        <w:t> This highly infectious skin disease is mentioned in numerous texts of various genres (lists of workers, incantations, oath-curses, rituals) from the early second millennium</w:t>
      </w:r>
      <w:r w:rsidRPr="002A2E5E">
        <w:rPr>
          <w:rFonts w:ascii="Times New Roman" w:eastAsia="Times New Roman" w:hAnsi="Times New Roman" w:cs="Times New Roman"/>
          <w:smallCaps/>
          <w:color w:val="000000"/>
          <w:sz w:val="16"/>
          <w:szCs w:val="16"/>
          <w:lang w:bidi="ar-SA"/>
        </w:rPr>
        <w:t> BCE </w:t>
      </w:r>
      <w:r w:rsidRPr="002A2E5E">
        <w:rPr>
          <w:rFonts w:ascii="Times New Roman" w:eastAsia="Times New Roman" w:hAnsi="Times New Roman" w:cs="Times New Roman"/>
          <w:color w:val="000000"/>
          <w:sz w:val="16"/>
          <w:szCs w:val="16"/>
          <w:lang w:bidi="ar-SA"/>
        </w:rPr>
        <w:t>and on.</w:t>
      </w:r>
      <w:r w:rsidRPr="002A2E5E">
        <w:rPr>
          <w:rFonts w:ascii="Times New Roman" w:eastAsia="Times New Roman" w:hAnsi="Times New Roman" w:cs="Times New Roman"/>
          <w:color w:val="B22222"/>
          <w:sz w:val="14"/>
          <w:szCs w:val="14"/>
          <w:vertAlign w:val="superscript"/>
          <w:lang w:bidi="ar-SA"/>
        </w:rPr>
        <w:t>[5]</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The </w:t>
      </w:r>
      <w:proofErr w:type="spellStart"/>
      <w:r w:rsidRPr="002A2E5E">
        <w:rPr>
          <w:rFonts w:ascii="Times New Roman" w:eastAsia="Times New Roman" w:hAnsi="Times New Roman" w:cs="Times New Roman"/>
          <w:color w:val="000000"/>
          <w:sz w:val="16"/>
          <w:szCs w:val="16"/>
          <w:lang w:bidi="ar-SA"/>
        </w:rPr>
        <w:t>Akkadian</w:t>
      </w:r>
      <w:proofErr w:type="spellEnd"/>
      <w:r w:rsidRPr="002A2E5E">
        <w:rPr>
          <w:rFonts w:ascii="Times New Roman" w:eastAsia="Times New Roman" w:hAnsi="Times New Roman" w:cs="Times New Roman"/>
          <w:color w:val="000000"/>
          <w:sz w:val="16"/>
          <w:szCs w:val="16"/>
          <w:lang w:bidi="ar-SA"/>
        </w:rPr>
        <w:t xml:space="preserve"> term referred to a condition that covered the body of its victim like a garment and led to his stigmatization and banishment from the community. Often the victim was forced to literally roam the steppe. Like </w:t>
      </w:r>
      <w:proofErr w:type="spellStart"/>
      <w:r w:rsidRPr="0090141D">
        <w:rPr>
          <w:rFonts w:ascii="Times New Roman" w:eastAsia="Times New Roman" w:hAnsi="Times New Roman" w:cs="Times New Roman"/>
          <w:i/>
          <w:iCs/>
          <w:color w:val="000000"/>
          <w:sz w:val="16"/>
          <w:lang w:bidi="ar-SA"/>
        </w:rPr>
        <w:t>tzaraat</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 xml:space="preserve">in non-Priestly biblical sources (Num 12:10; 2 Sam 3:29 2 </w:t>
      </w:r>
      <w:proofErr w:type="spellStart"/>
      <w:r w:rsidRPr="002A2E5E">
        <w:rPr>
          <w:rFonts w:ascii="Times New Roman" w:eastAsia="Times New Roman" w:hAnsi="Times New Roman" w:cs="Times New Roman"/>
          <w:color w:val="000000"/>
          <w:sz w:val="16"/>
          <w:szCs w:val="16"/>
          <w:lang w:bidi="ar-SA"/>
        </w:rPr>
        <w:t>Kgs</w:t>
      </w:r>
      <w:proofErr w:type="spellEnd"/>
      <w:r w:rsidRPr="002A2E5E">
        <w:rPr>
          <w:rFonts w:ascii="Times New Roman" w:eastAsia="Times New Roman" w:hAnsi="Times New Roman" w:cs="Times New Roman"/>
          <w:color w:val="000000"/>
          <w:sz w:val="16"/>
          <w:szCs w:val="16"/>
          <w:lang w:bidi="ar-SA"/>
        </w:rPr>
        <w:t xml:space="preserve"> 5:27; 2 </w:t>
      </w:r>
      <w:proofErr w:type="spellStart"/>
      <w:r w:rsidRPr="002A2E5E">
        <w:rPr>
          <w:rFonts w:ascii="Times New Roman" w:eastAsia="Times New Roman" w:hAnsi="Times New Roman" w:cs="Times New Roman"/>
          <w:color w:val="000000"/>
          <w:sz w:val="16"/>
          <w:szCs w:val="16"/>
          <w:lang w:bidi="ar-SA"/>
        </w:rPr>
        <w:t>Chr</w:t>
      </w:r>
      <w:proofErr w:type="spellEnd"/>
      <w:r w:rsidRPr="002A2E5E">
        <w:rPr>
          <w:rFonts w:ascii="Times New Roman" w:eastAsia="Times New Roman" w:hAnsi="Times New Roman" w:cs="Times New Roman"/>
          <w:color w:val="000000"/>
          <w:sz w:val="16"/>
          <w:szCs w:val="16"/>
          <w:lang w:bidi="ar-SA"/>
        </w:rPr>
        <w:t xml:space="preserve"> 26:19–20), it was often viewed as a divine punishment or curse</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6]</w:t>
      </w:r>
    </w:p>
    <w:p w:rsidR="002A2E5E" w:rsidRPr="002A2E5E" w:rsidRDefault="002A2E5E" w:rsidP="002A2E5E">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2A2E5E">
        <w:rPr>
          <w:rFonts w:ascii="Times New Roman" w:eastAsia="Times New Roman" w:hAnsi="Times New Roman" w:cs="Times New Roman"/>
          <w:color w:val="000000"/>
          <w:sz w:val="20"/>
          <w:szCs w:val="20"/>
          <w:lang w:bidi="ar-SA"/>
        </w:rPr>
        <w:t>Treating the Patient</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Of particular interest is the only known ritual for the treatment of </w:t>
      </w:r>
      <w:proofErr w:type="spellStart"/>
      <w:r w:rsidRPr="0090141D">
        <w:rPr>
          <w:rFonts w:ascii="Times New Roman" w:eastAsia="Times New Roman" w:hAnsi="Times New Roman" w:cs="Times New Roman"/>
          <w:i/>
          <w:iCs/>
          <w:color w:val="000000"/>
          <w:sz w:val="16"/>
          <w:lang w:bidi="ar-SA"/>
        </w:rPr>
        <w:t>saḫaršubbû</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 xml:space="preserve">This ritual was found on a single tablet composed in </w:t>
      </w:r>
      <w:proofErr w:type="spellStart"/>
      <w:r w:rsidRPr="002A2E5E">
        <w:rPr>
          <w:rFonts w:ascii="Times New Roman" w:eastAsia="Times New Roman" w:hAnsi="Times New Roman" w:cs="Times New Roman"/>
          <w:color w:val="000000"/>
          <w:sz w:val="16"/>
          <w:szCs w:val="16"/>
          <w:lang w:bidi="ar-SA"/>
        </w:rPr>
        <w:t>Emar</w:t>
      </w:r>
      <w:proofErr w:type="spellEnd"/>
      <w:r w:rsidRPr="002A2E5E">
        <w:rPr>
          <w:rFonts w:ascii="Times New Roman" w:eastAsia="Times New Roman" w:hAnsi="Times New Roman" w:cs="Times New Roman"/>
          <w:color w:val="000000"/>
          <w:sz w:val="16"/>
          <w:szCs w:val="16"/>
          <w:lang w:bidi="ar-SA"/>
        </w:rPr>
        <w:t xml:space="preserve"> (located on the bend of the Euphrates River in Syria) in the 13</w:t>
      </w:r>
      <w:r w:rsidRPr="002A2E5E">
        <w:rPr>
          <w:rFonts w:ascii="Times New Roman" w:eastAsia="Times New Roman" w:hAnsi="Times New Roman" w:cs="Times New Roman"/>
          <w:color w:val="000000"/>
          <w:sz w:val="12"/>
          <w:szCs w:val="12"/>
          <w:vertAlign w:val="superscript"/>
          <w:lang w:bidi="ar-SA"/>
        </w:rPr>
        <w:t>th</w:t>
      </w:r>
      <w:r w:rsidRPr="002A2E5E">
        <w:rPr>
          <w:rFonts w:ascii="Times New Roman" w:eastAsia="Times New Roman" w:hAnsi="Times New Roman" w:cs="Times New Roman"/>
          <w:color w:val="000000"/>
          <w:sz w:val="16"/>
          <w:szCs w:val="16"/>
          <w:lang w:bidi="ar-SA"/>
        </w:rPr>
        <w:t> cent. BCE,</w:t>
      </w:r>
      <w:r w:rsidRPr="002A2E5E">
        <w:rPr>
          <w:rFonts w:ascii="Times New Roman" w:eastAsia="Times New Roman" w:hAnsi="Times New Roman" w:cs="Times New Roman"/>
          <w:color w:val="B22222"/>
          <w:sz w:val="14"/>
          <w:szCs w:val="14"/>
          <w:vertAlign w:val="superscript"/>
          <w:lang w:bidi="ar-SA"/>
        </w:rPr>
        <w:t>[7]</w:t>
      </w:r>
      <w:r w:rsidRPr="002A2E5E">
        <w:rPr>
          <w:rFonts w:ascii="Times New Roman" w:eastAsia="Times New Roman" w:hAnsi="Times New Roman" w:cs="Times New Roman"/>
          <w:color w:val="000000"/>
          <w:sz w:val="16"/>
          <w:szCs w:val="16"/>
          <w:lang w:bidi="ar-SA"/>
        </w:rPr>
        <w:t> where several other important ritual comparisons were found.</w:t>
      </w:r>
      <w:r w:rsidRPr="002A2E5E">
        <w:rPr>
          <w:rFonts w:ascii="Times New Roman" w:eastAsia="Times New Roman" w:hAnsi="Times New Roman" w:cs="Times New Roman"/>
          <w:color w:val="B22222"/>
          <w:sz w:val="14"/>
          <w:szCs w:val="14"/>
          <w:vertAlign w:val="superscript"/>
          <w:lang w:bidi="ar-SA"/>
        </w:rPr>
        <w:t>[8]</w:t>
      </w:r>
      <w:r w:rsidRPr="002A2E5E">
        <w:rPr>
          <w:rFonts w:ascii="Times New Roman" w:eastAsia="Times New Roman" w:hAnsi="Times New Roman" w:cs="Times New Roman"/>
          <w:color w:val="000000"/>
          <w:sz w:val="16"/>
          <w:szCs w:val="16"/>
          <w:lang w:bidi="ar-SA"/>
        </w:rPr>
        <w:t> This text contains three sections, consisting of an incantation, treatments, and a rite following recovery. The medical treatment section distinguishes between different types of the disease and offers specific instructions for each one, focusing on different skin discolorations (white, yellow, red, black and different combinations). Each one is followed by its appropriate treatment. For example, the text states that,</w:t>
      </w:r>
    </w:p>
    <w:p w:rsidR="002A2E5E" w:rsidRPr="002A2E5E" w:rsidRDefault="002A2E5E" w:rsidP="002A2E5E">
      <w:pPr>
        <w:shd w:val="clear" w:color="auto" w:fill="FFFFFF"/>
        <w:spacing w:after="140"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[If] the </w:t>
      </w:r>
      <w:proofErr w:type="spellStart"/>
      <w:r w:rsidRPr="0090141D">
        <w:rPr>
          <w:rFonts w:ascii="Times New Roman" w:eastAsia="Times New Roman" w:hAnsi="Times New Roman" w:cs="Times New Roman"/>
          <w:i/>
          <w:iCs/>
          <w:color w:val="000000"/>
          <w:sz w:val="16"/>
          <w:lang w:bidi="ar-SA"/>
        </w:rPr>
        <w:t>saḫaršubbû</w:t>
      </w:r>
      <w:proofErr w:type="spellEnd"/>
      <w:r w:rsidRPr="002A2E5E">
        <w:rPr>
          <w:rFonts w:ascii="Times New Roman" w:eastAsia="Times New Roman" w:hAnsi="Times New Roman" w:cs="Times New Roman"/>
          <w:color w:val="000000"/>
          <w:sz w:val="16"/>
          <w:szCs w:val="16"/>
          <w:lang w:bidi="ar-SA"/>
        </w:rPr>
        <w:t xml:space="preserve"> is yellow and red, it is the hand of (the moon god) </w:t>
      </w:r>
      <w:proofErr w:type="spellStart"/>
      <w:r w:rsidRPr="002A2E5E">
        <w:rPr>
          <w:rFonts w:ascii="Times New Roman" w:eastAsia="Times New Roman" w:hAnsi="Times New Roman" w:cs="Times New Roman"/>
          <w:color w:val="000000"/>
          <w:sz w:val="16"/>
          <w:szCs w:val="16"/>
          <w:lang w:bidi="ar-SA"/>
        </w:rPr>
        <w:t>Sîn</w:t>
      </w:r>
      <w:proofErr w:type="spellEnd"/>
      <w:r w:rsidRPr="002A2E5E">
        <w:rPr>
          <w:rFonts w:ascii="Times New Roman" w:eastAsia="Times New Roman" w:hAnsi="Times New Roman" w:cs="Times New Roman"/>
          <w:color w:val="000000"/>
          <w:sz w:val="16"/>
          <w:szCs w:val="16"/>
          <w:lang w:bidi="ar-SA"/>
        </w:rPr>
        <w:t xml:space="preserve">. To remove it, you should </w:t>
      </w:r>
      <w:proofErr w:type="spellStart"/>
      <w:proofErr w:type="gramStart"/>
      <w:r w:rsidRPr="002A2E5E">
        <w:rPr>
          <w:rFonts w:ascii="Times New Roman" w:eastAsia="Times New Roman" w:hAnsi="Times New Roman" w:cs="Times New Roman"/>
          <w:color w:val="000000"/>
          <w:sz w:val="16"/>
          <w:szCs w:val="16"/>
          <w:lang w:bidi="ar-SA"/>
        </w:rPr>
        <w:t>anoin</w:t>
      </w:r>
      <w:proofErr w:type="spellEnd"/>
      <w:r w:rsidRPr="002A2E5E">
        <w:rPr>
          <w:rFonts w:ascii="Times New Roman" w:eastAsia="Times New Roman" w:hAnsi="Times New Roman" w:cs="Times New Roman"/>
          <w:color w:val="000000"/>
          <w:sz w:val="16"/>
          <w:szCs w:val="16"/>
          <w:lang w:bidi="ar-SA"/>
        </w:rPr>
        <w:t>[</w:t>
      </w:r>
      <w:proofErr w:type="gramEnd"/>
      <w:r w:rsidRPr="002A2E5E">
        <w:rPr>
          <w:rFonts w:ascii="Times New Roman" w:eastAsia="Times New Roman" w:hAnsi="Times New Roman" w:cs="Times New Roman"/>
          <w:color w:val="000000"/>
          <w:sz w:val="16"/>
          <w:szCs w:val="16"/>
          <w:lang w:bidi="ar-SA"/>
        </w:rPr>
        <w:t>t him] with human semen for seven days [and he will recover] (line 60).</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These instructions are reminiscent of those of </w:t>
      </w:r>
      <w:proofErr w:type="spellStart"/>
      <w:r w:rsidRPr="0090141D">
        <w:rPr>
          <w:rFonts w:ascii="Times New Roman" w:eastAsia="Times New Roman" w:hAnsi="Times New Roman" w:cs="Times New Roman"/>
          <w:i/>
          <w:iCs/>
          <w:color w:val="000000"/>
          <w:sz w:val="16"/>
          <w:lang w:bidi="ar-SA"/>
        </w:rPr>
        <w:t>ṣara‛at</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in Leviticus 13, where discolorations serve as the primary diagnostic criteria. (Another illuminating parallel comes in the laws of wall </w:t>
      </w:r>
      <w:proofErr w:type="spellStart"/>
      <w:r w:rsidRPr="0090141D">
        <w:rPr>
          <w:rFonts w:ascii="Times New Roman" w:eastAsia="Times New Roman" w:hAnsi="Times New Roman" w:cs="Times New Roman"/>
          <w:i/>
          <w:iCs/>
          <w:color w:val="000000"/>
          <w:sz w:val="16"/>
          <w:lang w:bidi="ar-SA"/>
        </w:rPr>
        <w:t>ṣara‛at</w:t>
      </w:r>
      <w:proofErr w:type="spellEnd"/>
      <w:r w:rsidRPr="002A2E5E">
        <w:rPr>
          <w:rFonts w:ascii="Times New Roman" w:eastAsia="Times New Roman" w:hAnsi="Times New Roman" w:cs="Times New Roman"/>
          <w:color w:val="000000"/>
          <w:sz w:val="16"/>
          <w:szCs w:val="16"/>
          <w:lang w:bidi="ar-SA"/>
        </w:rPr>
        <w:t>; see appendix for details.)</w:t>
      </w:r>
    </w:p>
    <w:p w:rsidR="002A2E5E" w:rsidRPr="002A2E5E" w:rsidRDefault="002A2E5E" w:rsidP="002A2E5E">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2A2E5E">
        <w:rPr>
          <w:rFonts w:ascii="Times New Roman" w:eastAsia="Times New Roman" w:hAnsi="Times New Roman" w:cs="Times New Roman"/>
          <w:color w:val="000000"/>
          <w:sz w:val="20"/>
          <w:szCs w:val="20"/>
          <w:lang w:bidi="ar-SA"/>
        </w:rPr>
        <w:t>Ensuring a Permanent Healing – The Two Birds</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lastRenderedPageBreak/>
        <w:t>An even more striking comparison involves the purification to be performed after the patient has healed. The bandages used in healing the patient are to be removed and thrown in a fire. An incense altar and table with offerings are presented to the sun god (Shamash). Then the following rite takes place:</w:t>
      </w:r>
    </w:p>
    <w:p w:rsidR="002A2E5E" w:rsidRPr="002A2E5E" w:rsidRDefault="002A2E5E" w:rsidP="002A2E5E">
      <w:pPr>
        <w:shd w:val="clear" w:color="auto" w:fill="FFFFFF"/>
        <w:spacing w:after="140"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This patient stands before Shamash. You shall burn one partridge and a crab before Shamash, [and] with (another) partridge you shall wipe his body and he will let (it) go</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9]</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This rite aims to remove any residual impurity after the patient has healed. A crab and a partridge are burned, either as offerings or in order to destroy the impurity (which, according to this understanding, was absorbed into these creatures). Then a second partridge is wiped over the body of the patient and then released, serving to transfer this pollution to a distant location.</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This rite invites a comparison with the purification of the leper in Leviticus 14. After he has been healed, the priest is instructed to perform upon him a rite involving two birds (vv. 4-7). The first of these is slaughtered, and its blood is sprinkled on the patient. The second bird is dipped in the blood and then released into an open field.</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Both of these texts use two birds: one is killed and the other is used to carry the pollution away from the community. Since these rituals pertain to the same types of skin disease, this similarity is quite significant.</w:t>
      </w:r>
    </w:p>
    <w:p w:rsidR="002A2E5E" w:rsidRPr="002A2E5E" w:rsidRDefault="002A2E5E" w:rsidP="002A2E5E">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proofErr w:type="gramStart"/>
      <w:r w:rsidRPr="002A2E5E">
        <w:rPr>
          <w:rFonts w:ascii="Times New Roman" w:eastAsia="Times New Roman" w:hAnsi="Times New Roman" w:cs="Times New Roman"/>
          <w:color w:val="000000"/>
          <w:sz w:val="23"/>
          <w:szCs w:val="23"/>
          <w:lang w:bidi="ar-SA"/>
        </w:rPr>
        <w:t>The Torah’s Treatment?</w:t>
      </w:r>
      <w:proofErr w:type="gramEnd"/>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most significant parallels and differences become clear when we compare the overall structure of these two texts:</w:t>
      </w:r>
    </w:p>
    <w:tbl>
      <w:tblPr>
        <w:tblW w:w="0" w:type="auto"/>
        <w:tblCellMar>
          <w:top w:w="15" w:type="dxa"/>
          <w:left w:w="15" w:type="dxa"/>
          <w:bottom w:w="15" w:type="dxa"/>
          <w:right w:w="15" w:type="dxa"/>
        </w:tblCellMar>
        <w:tblLook w:val="04A0"/>
      </w:tblPr>
      <w:tblGrid>
        <w:gridCol w:w="1325"/>
        <w:gridCol w:w="1992"/>
        <w:gridCol w:w="3806"/>
      </w:tblGrid>
      <w:tr w:rsidR="002A2E5E" w:rsidRPr="002A2E5E" w:rsidTr="002A2E5E">
        <w:tc>
          <w:tcPr>
            <w:tcW w:w="1150"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 </w:t>
            </w:r>
          </w:p>
        </w:tc>
        <w:tc>
          <w:tcPr>
            <w:tcW w:w="1992"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proofErr w:type="spellStart"/>
            <w:r w:rsidRPr="0090141D">
              <w:rPr>
                <w:rFonts w:ascii="Times New Roman" w:eastAsia="Times New Roman" w:hAnsi="Times New Roman" w:cs="Times New Roman"/>
                <w:b/>
                <w:bCs/>
                <w:i/>
                <w:iCs/>
                <w:sz w:val="24"/>
                <w:szCs w:val="24"/>
                <w:lang w:bidi="ar-SA"/>
              </w:rPr>
              <w:t>saḫaršubbû</w:t>
            </w:r>
            <w:proofErr w:type="spellEnd"/>
            <w:r w:rsidRPr="0090141D">
              <w:rPr>
                <w:rFonts w:ascii="Times New Roman" w:eastAsia="Times New Roman" w:hAnsi="Times New Roman" w:cs="Times New Roman"/>
                <w:b/>
                <w:bCs/>
                <w:i/>
                <w:iCs/>
                <w:sz w:val="24"/>
                <w:szCs w:val="24"/>
                <w:lang w:bidi="ar-SA"/>
              </w:rPr>
              <w:t xml:space="preserve"> - </w:t>
            </w:r>
            <w:proofErr w:type="spellStart"/>
            <w:r w:rsidRPr="0090141D">
              <w:rPr>
                <w:rFonts w:ascii="Times New Roman" w:eastAsia="Times New Roman" w:hAnsi="Times New Roman" w:cs="Times New Roman"/>
                <w:b/>
                <w:bCs/>
                <w:sz w:val="24"/>
                <w:szCs w:val="24"/>
                <w:lang w:bidi="ar-SA"/>
              </w:rPr>
              <w:t>Emar</w:t>
            </w:r>
            <w:proofErr w:type="spellEnd"/>
            <w:r w:rsidRPr="0090141D">
              <w:rPr>
                <w:rFonts w:ascii="Times New Roman" w:eastAsia="Times New Roman" w:hAnsi="Times New Roman" w:cs="Times New Roman"/>
                <w:b/>
                <w:bCs/>
                <w:sz w:val="24"/>
                <w:szCs w:val="24"/>
                <w:lang w:bidi="ar-SA"/>
              </w:rPr>
              <w:t xml:space="preserve"> tablet, </w:t>
            </w:r>
            <w:proofErr w:type="spellStart"/>
            <w:r w:rsidRPr="0090141D">
              <w:rPr>
                <w:rFonts w:ascii="Times New Roman" w:eastAsia="Times New Roman" w:hAnsi="Times New Roman" w:cs="Times New Roman"/>
                <w:b/>
                <w:bCs/>
                <w:sz w:val="24"/>
                <w:szCs w:val="24"/>
                <w:lang w:bidi="ar-SA"/>
              </w:rPr>
              <w:t>ll</w:t>
            </w:r>
            <w:proofErr w:type="spellEnd"/>
            <w:r w:rsidRPr="0090141D">
              <w:rPr>
                <w:rFonts w:ascii="Times New Roman" w:eastAsia="Times New Roman" w:hAnsi="Times New Roman" w:cs="Times New Roman"/>
                <w:b/>
                <w:bCs/>
                <w:sz w:val="24"/>
                <w:szCs w:val="24"/>
                <w:lang w:bidi="ar-SA"/>
              </w:rPr>
              <w:t> </w:t>
            </w:r>
            <w:r w:rsidRPr="002A2E5E">
              <w:rPr>
                <w:rFonts w:ascii="Times New Roman" w:eastAsia="Times New Roman" w:hAnsi="Times New Roman" w:cs="Times New Roman"/>
                <w:sz w:val="24"/>
                <w:szCs w:val="24"/>
                <w:lang w:bidi="ar-SA"/>
              </w:rPr>
              <w:t>(examples)</w:t>
            </w:r>
          </w:p>
        </w:tc>
        <w:tc>
          <w:tcPr>
            <w:tcW w:w="3806"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proofErr w:type="spellStart"/>
            <w:r w:rsidRPr="0090141D">
              <w:rPr>
                <w:rFonts w:ascii="Times New Roman" w:eastAsia="Times New Roman" w:hAnsi="Times New Roman" w:cs="Times New Roman"/>
                <w:b/>
                <w:bCs/>
                <w:i/>
                <w:iCs/>
                <w:sz w:val="24"/>
                <w:szCs w:val="24"/>
                <w:lang w:bidi="ar-SA"/>
              </w:rPr>
              <w:t>ṣara‛at</w:t>
            </w:r>
            <w:proofErr w:type="spellEnd"/>
            <w:r w:rsidRPr="0090141D">
              <w:rPr>
                <w:rFonts w:ascii="Times New Roman" w:eastAsia="Times New Roman" w:hAnsi="Times New Roman" w:cs="Times New Roman"/>
                <w:b/>
                <w:bCs/>
                <w:i/>
                <w:iCs/>
                <w:sz w:val="24"/>
                <w:szCs w:val="24"/>
                <w:lang w:bidi="ar-SA"/>
              </w:rPr>
              <w:t xml:space="preserve"> - </w:t>
            </w:r>
            <w:r w:rsidRPr="0090141D">
              <w:rPr>
                <w:rFonts w:ascii="Times New Roman" w:eastAsia="Times New Roman" w:hAnsi="Times New Roman" w:cs="Times New Roman"/>
                <w:b/>
                <w:bCs/>
                <w:sz w:val="24"/>
                <w:szCs w:val="24"/>
                <w:lang w:bidi="ar-SA"/>
              </w:rPr>
              <w:t>Leviticus</w:t>
            </w:r>
            <w:r w:rsidRPr="002A2E5E">
              <w:rPr>
                <w:rFonts w:ascii="Times New Roman" w:eastAsia="Times New Roman" w:hAnsi="Times New Roman" w:cs="Times New Roman"/>
                <w:sz w:val="24"/>
                <w:szCs w:val="24"/>
                <w:lang w:bidi="ar-SA"/>
              </w:rPr>
              <w:t> (examples)</w:t>
            </w:r>
          </w:p>
        </w:tc>
      </w:tr>
      <w:tr w:rsidR="002A2E5E" w:rsidRPr="002A2E5E" w:rsidTr="002A2E5E">
        <w:tc>
          <w:tcPr>
            <w:tcW w:w="1150"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90141D">
              <w:rPr>
                <w:rFonts w:ascii="Times New Roman" w:eastAsia="Times New Roman" w:hAnsi="Times New Roman" w:cs="Times New Roman"/>
                <w:b/>
                <w:bCs/>
                <w:sz w:val="24"/>
                <w:szCs w:val="24"/>
                <w:lang w:bidi="ar-SA"/>
              </w:rPr>
              <w:t>Diagnostic procedures</w:t>
            </w:r>
          </w:p>
        </w:tc>
        <w:tc>
          <w:tcPr>
            <w:tcW w:w="1992"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“If a person has </w:t>
            </w:r>
            <w:proofErr w:type="spellStart"/>
            <w:r w:rsidRPr="0090141D">
              <w:rPr>
                <w:rFonts w:ascii="Times New Roman" w:eastAsia="Times New Roman" w:hAnsi="Times New Roman" w:cs="Times New Roman"/>
                <w:i/>
                <w:iCs/>
                <w:sz w:val="24"/>
                <w:szCs w:val="24"/>
                <w:lang w:bidi="ar-SA"/>
              </w:rPr>
              <w:t>s.</w:t>
            </w:r>
            <w:r w:rsidRPr="002A2E5E">
              <w:rPr>
                <w:rFonts w:ascii="Times New Roman" w:eastAsia="Times New Roman" w:hAnsi="Times New Roman" w:cs="Times New Roman"/>
                <w:sz w:val="24"/>
                <w:szCs w:val="24"/>
                <w:lang w:bidi="ar-SA"/>
              </w:rPr>
              <w:t>and</w:t>
            </w:r>
            <w:proofErr w:type="spellEnd"/>
            <w:r w:rsidRPr="002A2E5E">
              <w:rPr>
                <w:rFonts w:ascii="Times New Roman" w:eastAsia="Times New Roman" w:hAnsi="Times New Roman" w:cs="Times New Roman"/>
                <w:sz w:val="24"/>
                <w:szCs w:val="24"/>
                <w:lang w:bidi="ar-SA"/>
              </w:rPr>
              <w:t xml:space="preserve"> there is white color on his body…” (53)</w:t>
            </w:r>
          </w:p>
        </w:tc>
        <w:tc>
          <w:tcPr>
            <w:tcW w:w="3806"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“And the priest shall see, and look, there is a white lesion in the skin, and it has turned the hair white…” (10)</w:t>
            </w:r>
          </w:p>
        </w:tc>
      </w:tr>
      <w:tr w:rsidR="002A2E5E" w:rsidRPr="002A2E5E" w:rsidTr="002A2E5E">
        <w:tc>
          <w:tcPr>
            <w:tcW w:w="1150"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 </w:t>
            </w:r>
          </w:p>
        </w:tc>
        <w:tc>
          <w:tcPr>
            <w:tcW w:w="1992"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“Likewise if the </w:t>
            </w:r>
            <w:r w:rsidRPr="0090141D">
              <w:rPr>
                <w:rFonts w:ascii="Times New Roman" w:eastAsia="Times New Roman" w:hAnsi="Times New Roman" w:cs="Times New Roman"/>
                <w:i/>
                <w:iCs/>
                <w:sz w:val="24"/>
                <w:szCs w:val="24"/>
                <w:lang w:bidi="ar-SA"/>
              </w:rPr>
              <w:t>s. </w:t>
            </w:r>
            <w:r w:rsidRPr="002A2E5E">
              <w:rPr>
                <w:rFonts w:ascii="Times New Roman" w:eastAsia="Times New Roman" w:hAnsi="Times New Roman" w:cs="Times New Roman"/>
                <w:sz w:val="24"/>
                <w:szCs w:val="24"/>
                <w:lang w:bidi="ar-SA"/>
              </w:rPr>
              <w:t>is yellow and red…” (55)</w:t>
            </w:r>
          </w:p>
        </w:tc>
        <w:tc>
          <w:tcPr>
            <w:tcW w:w="3806"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“And if the flesh on his skin has a burn by fire and the healthy part of the burn on his skin becomes bright, shiny reddish–white or white…” (25)</w:t>
            </w:r>
          </w:p>
        </w:tc>
      </w:tr>
      <w:tr w:rsidR="002A2E5E" w:rsidRPr="002A2E5E" w:rsidTr="002A2E5E">
        <w:tc>
          <w:tcPr>
            <w:tcW w:w="1150"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90141D">
              <w:rPr>
                <w:rFonts w:ascii="Times New Roman" w:eastAsia="Times New Roman" w:hAnsi="Times New Roman" w:cs="Times New Roman"/>
                <w:b/>
                <w:bCs/>
                <w:sz w:val="24"/>
                <w:szCs w:val="24"/>
                <w:lang w:bidi="ar-SA"/>
              </w:rPr>
              <w:t>Treatment of Illness</w:t>
            </w:r>
          </w:p>
        </w:tc>
        <w:tc>
          <w:tcPr>
            <w:tcW w:w="1992"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“…you should take </w:t>
            </w:r>
            <w:proofErr w:type="spellStart"/>
            <w:r w:rsidRPr="0090141D">
              <w:rPr>
                <w:rFonts w:ascii="Times New Roman" w:eastAsia="Times New Roman" w:hAnsi="Times New Roman" w:cs="Times New Roman"/>
                <w:i/>
                <w:iCs/>
                <w:sz w:val="24"/>
                <w:szCs w:val="24"/>
                <w:lang w:bidi="ar-SA"/>
              </w:rPr>
              <w:t>ašāgu</w:t>
            </w:r>
            <w:proofErr w:type="spellEnd"/>
            <w:r w:rsidRPr="0090141D">
              <w:rPr>
                <w:rFonts w:ascii="Times New Roman" w:eastAsia="Times New Roman" w:hAnsi="Times New Roman" w:cs="Times New Roman"/>
                <w:i/>
                <w:iCs/>
                <w:sz w:val="24"/>
                <w:szCs w:val="24"/>
                <w:lang w:bidi="ar-SA"/>
              </w:rPr>
              <w:t> </w:t>
            </w:r>
            <w:r w:rsidRPr="002A2E5E">
              <w:rPr>
                <w:rFonts w:ascii="Times New Roman" w:eastAsia="Times New Roman" w:hAnsi="Times New Roman" w:cs="Times New Roman"/>
                <w:sz w:val="24"/>
                <w:szCs w:val="24"/>
                <w:lang w:bidi="ar-SA"/>
              </w:rPr>
              <w:t>plant, salt, barley, flour…and anoint him and he will get well” (53–54)</w:t>
            </w:r>
          </w:p>
        </w:tc>
        <w:tc>
          <w:tcPr>
            <w:tcW w:w="3806"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 ? -</w:t>
            </w:r>
          </w:p>
        </w:tc>
      </w:tr>
      <w:tr w:rsidR="002A2E5E" w:rsidRPr="002A2E5E" w:rsidTr="002A2E5E">
        <w:tc>
          <w:tcPr>
            <w:tcW w:w="1150"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 </w:t>
            </w:r>
          </w:p>
        </w:tc>
        <w:tc>
          <w:tcPr>
            <w:tcW w:w="1992"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 xml:space="preserve">“…with human semen you should </w:t>
            </w:r>
            <w:proofErr w:type="spellStart"/>
            <w:r w:rsidRPr="002A2E5E">
              <w:rPr>
                <w:rFonts w:ascii="Times New Roman" w:eastAsia="Times New Roman" w:hAnsi="Times New Roman" w:cs="Times New Roman"/>
                <w:sz w:val="24"/>
                <w:szCs w:val="24"/>
                <w:lang w:bidi="ar-SA"/>
              </w:rPr>
              <w:t>anoin</w:t>
            </w:r>
            <w:proofErr w:type="spellEnd"/>
            <w:r w:rsidRPr="002A2E5E">
              <w:rPr>
                <w:rFonts w:ascii="Times New Roman" w:eastAsia="Times New Roman" w:hAnsi="Times New Roman" w:cs="Times New Roman"/>
                <w:sz w:val="24"/>
                <w:szCs w:val="24"/>
                <w:lang w:bidi="ar-SA"/>
              </w:rPr>
              <w:t>[t him] for seven days”(60)</w:t>
            </w:r>
          </w:p>
        </w:tc>
        <w:tc>
          <w:tcPr>
            <w:tcW w:w="3806"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t> </w:t>
            </w:r>
          </w:p>
        </w:tc>
      </w:tr>
      <w:tr w:rsidR="002A2E5E" w:rsidRPr="002A2E5E" w:rsidTr="002A2E5E">
        <w:tc>
          <w:tcPr>
            <w:tcW w:w="1150"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90141D">
              <w:rPr>
                <w:rFonts w:ascii="Times New Roman" w:eastAsia="Times New Roman" w:hAnsi="Times New Roman" w:cs="Times New Roman"/>
                <w:b/>
                <w:bCs/>
                <w:sz w:val="24"/>
                <w:szCs w:val="24"/>
                <w:lang w:bidi="ar-SA"/>
              </w:rPr>
              <w:t xml:space="preserve">Ritual </w:t>
            </w:r>
            <w:r w:rsidRPr="0090141D">
              <w:rPr>
                <w:rFonts w:ascii="Times New Roman" w:eastAsia="Times New Roman" w:hAnsi="Times New Roman" w:cs="Times New Roman"/>
                <w:b/>
                <w:bCs/>
                <w:sz w:val="24"/>
                <w:szCs w:val="24"/>
                <w:lang w:bidi="ar-SA"/>
              </w:rPr>
              <w:lastRenderedPageBreak/>
              <w:t>After Recovery</w:t>
            </w:r>
          </w:p>
        </w:tc>
        <w:tc>
          <w:tcPr>
            <w:tcW w:w="1992"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lastRenderedPageBreak/>
              <w:t xml:space="preserve">“You shall burn </w:t>
            </w:r>
            <w:r w:rsidRPr="002A2E5E">
              <w:rPr>
                <w:rFonts w:ascii="Times New Roman" w:eastAsia="Times New Roman" w:hAnsi="Times New Roman" w:cs="Times New Roman"/>
                <w:sz w:val="24"/>
                <w:szCs w:val="24"/>
                <w:lang w:bidi="ar-SA"/>
              </w:rPr>
              <w:lastRenderedPageBreak/>
              <w:t>one partridge and a crab before Shamash, [and] with (another) partridge you shall wipe his body and he will let (it) go.” (87–9)</w:t>
            </w:r>
          </w:p>
        </w:tc>
        <w:tc>
          <w:tcPr>
            <w:tcW w:w="3806" w:type="dxa"/>
            <w:tcMar>
              <w:top w:w="75" w:type="dxa"/>
              <w:left w:w="122" w:type="dxa"/>
              <w:bottom w:w="84" w:type="dxa"/>
              <w:right w:w="56" w:type="dxa"/>
            </w:tcMar>
            <w:hideMark/>
          </w:tcPr>
          <w:p w:rsidR="002A2E5E" w:rsidRPr="002A2E5E" w:rsidRDefault="002A2E5E" w:rsidP="002A2E5E">
            <w:pPr>
              <w:spacing w:after="187" w:line="290" w:lineRule="atLeast"/>
              <w:rPr>
                <w:rFonts w:ascii="Times New Roman" w:eastAsia="Times New Roman" w:hAnsi="Times New Roman" w:cs="Times New Roman"/>
                <w:sz w:val="24"/>
                <w:szCs w:val="24"/>
                <w:lang w:bidi="ar-SA"/>
              </w:rPr>
            </w:pPr>
            <w:r w:rsidRPr="002A2E5E">
              <w:rPr>
                <w:rFonts w:ascii="Times New Roman" w:eastAsia="Times New Roman" w:hAnsi="Times New Roman" w:cs="Times New Roman"/>
                <w:sz w:val="24"/>
                <w:szCs w:val="24"/>
                <w:lang w:bidi="ar-SA"/>
              </w:rPr>
              <w:lastRenderedPageBreak/>
              <w:t xml:space="preserve">“The priest shall order two live clean </w:t>
            </w:r>
            <w:r w:rsidRPr="002A2E5E">
              <w:rPr>
                <w:rFonts w:ascii="Times New Roman" w:eastAsia="Times New Roman" w:hAnsi="Times New Roman" w:cs="Times New Roman"/>
                <w:sz w:val="24"/>
                <w:szCs w:val="24"/>
                <w:lang w:bidi="ar-SA"/>
              </w:rPr>
              <w:lastRenderedPageBreak/>
              <w:t>birds, cedar wood, crimson stuff, and hyssop to be brought for him who is to be cleansed. The priest shall order one of the birds slaughtered over fresh water in an earthen vessel… and he shall set the live bird free in the open country.” (4–7)</w:t>
            </w:r>
          </w:p>
        </w:tc>
      </w:tr>
    </w:tbl>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lastRenderedPageBreak/>
        <w:t xml:space="preserve">As noted, the elaborate diagnostic procedures outlined in Lev 13 parallels the detailed </w:t>
      </w:r>
      <w:proofErr w:type="spellStart"/>
      <w:r w:rsidRPr="002A2E5E">
        <w:rPr>
          <w:rFonts w:ascii="Times New Roman" w:eastAsia="Times New Roman" w:hAnsi="Times New Roman" w:cs="Times New Roman"/>
          <w:color w:val="000000"/>
          <w:sz w:val="16"/>
          <w:szCs w:val="16"/>
          <w:lang w:bidi="ar-SA"/>
        </w:rPr>
        <w:t>symptomology</w:t>
      </w:r>
      <w:proofErr w:type="spellEnd"/>
      <w:r w:rsidRPr="002A2E5E">
        <w:rPr>
          <w:rFonts w:ascii="Times New Roman" w:eastAsia="Times New Roman" w:hAnsi="Times New Roman" w:cs="Times New Roman"/>
          <w:color w:val="000000"/>
          <w:sz w:val="16"/>
          <w:szCs w:val="16"/>
          <w:lang w:bidi="ar-SA"/>
        </w:rPr>
        <w:t xml:space="preserve"> of </w:t>
      </w:r>
      <w:proofErr w:type="spellStart"/>
      <w:r w:rsidRPr="0090141D">
        <w:rPr>
          <w:rFonts w:ascii="Times New Roman" w:eastAsia="Times New Roman" w:hAnsi="Times New Roman" w:cs="Times New Roman"/>
          <w:i/>
          <w:iCs/>
          <w:color w:val="000000"/>
          <w:sz w:val="16"/>
          <w:lang w:bidi="ar-SA"/>
        </w:rPr>
        <w:t>saḫaršubbû</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 xml:space="preserve">as indicated in ll. 50–84 of the </w:t>
      </w:r>
      <w:proofErr w:type="spellStart"/>
      <w:r w:rsidRPr="002A2E5E">
        <w:rPr>
          <w:rFonts w:ascii="Times New Roman" w:eastAsia="Times New Roman" w:hAnsi="Times New Roman" w:cs="Times New Roman"/>
          <w:color w:val="000000"/>
          <w:sz w:val="16"/>
          <w:szCs w:val="16"/>
          <w:lang w:bidi="ar-SA"/>
        </w:rPr>
        <w:t>Emar</w:t>
      </w:r>
      <w:proofErr w:type="spellEnd"/>
      <w:r w:rsidRPr="002A2E5E">
        <w:rPr>
          <w:rFonts w:ascii="Times New Roman" w:eastAsia="Times New Roman" w:hAnsi="Times New Roman" w:cs="Times New Roman"/>
          <w:color w:val="000000"/>
          <w:sz w:val="16"/>
          <w:szCs w:val="16"/>
          <w:lang w:bidi="ar-SA"/>
        </w:rPr>
        <w:t xml:space="preserve"> tablet. In turn, Lev 14 parallels the section in lines 85–89 of the </w:t>
      </w:r>
      <w:proofErr w:type="spellStart"/>
      <w:r w:rsidRPr="002A2E5E">
        <w:rPr>
          <w:rFonts w:ascii="Times New Roman" w:eastAsia="Times New Roman" w:hAnsi="Times New Roman" w:cs="Times New Roman"/>
          <w:color w:val="000000"/>
          <w:sz w:val="16"/>
          <w:szCs w:val="16"/>
          <w:lang w:bidi="ar-SA"/>
        </w:rPr>
        <w:t>Emar</w:t>
      </w:r>
      <w:proofErr w:type="spellEnd"/>
      <w:r w:rsidRPr="002A2E5E">
        <w:rPr>
          <w:rFonts w:ascii="Times New Roman" w:eastAsia="Times New Roman" w:hAnsi="Times New Roman" w:cs="Times New Roman"/>
          <w:color w:val="000000"/>
          <w:sz w:val="16"/>
          <w:szCs w:val="16"/>
          <w:lang w:bidi="ar-SA"/>
        </w:rPr>
        <w:t xml:space="preserve"> tablet dealing with the patient “after he recovers” (</w:t>
      </w:r>
      <w:proofErr w:type="spellStart"/>
      <w:r w:rsidRPr="0090141D">
        <w:rPr>
          <w:rFonts w:ascii="Times New Roman" w:eastAsia="Times New Roman" w:hAnsi="Times New Roman" w:cs="Times New Roman"/>
          <w:i/>
          <w:iCs/>
          <w:color w:val="000000"/>
          <w:sz w:val="16"/>
          <w:lang w:bidi="ar-SA"/>
        </w:rPr>
        <w:t>kīmê</w:t>
      </w:r>
      <w:proofErr w:type="spellEnd"/>
      <w:r w:rsidRPr="0090141D">
        <w:rPr>
          <w:rFonts w:ascii="Times New Roman" w:eastAsia="Times New Roman" w:hAnsi="Times New Roman" w:cs="Times New Roman"/>
          <w:i/>
          <w:iCs/>
          <w:color w:val="000000"/>
          <w:sz w:val="16"/>
          <w:lang w:bidi="ar-SA"/>
        </w:rPr>
        <w:t xml:space="preserve"> </w:t>
      </w:r>
      <w:proofErr w:type="spellStart"/>
      <w:r w:rsidRPr="0090141D">
        <w:rPr>
          <w:rFonts w:ascii="Times New Roman" w:eastAsia="Times New Roman" w:hAnsi="Times New Roman" w:cs="Times New Roman"/>
          <w:i/>
          <w:iCs/>
          <w:color w:val="000000"/>
          <w:sz w:val="16"/>
          <w:lang w:bidi="ar-SA"/>
        </w:rPr>
        <w:t>ibluṭ</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[TI-</w:t>
      </w:r>
      <w:proofErr w:type="spellStart"/>
      <w:r w:rsidRPr="0090141D">
        <w:rPr>
          <w:rFonts w:ascii="Times New Roman" w:eastAsia="Times New Roman" w:hAnsi="Times New Roman" w:cs="Times New Roman"/>
          <w:i/>
          <w:iCs/>
          <w:color w:val="000000"/>
          <w:sz w:val="16"/>
          <w:lang w:bidi="ar-SA"/>
        </w:rPr>
        <w:t>uṭ</w:t>
      </w:r>
      <w:proofErr w:type="spellEnd"/>
      <w:r w:rsidRPr="002A2E5E">
        <w:rPr>
          <w:rFonts w:ascii="Times New Roman" w:eastAsia="Times New Roman" w:hAnsi="Times New Roman" w:cs="Times New Roman"/>
          <w:color w:val="000000"/>
          <w:sz w:val="16"/>
          <w:szCs w:val="16"/>
          <w:lang w:bidi="ar-SA"/>
        </w:rPr>
        <w:t>]).</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This comparison highlights what is missing in the Bible: the striking absence of any treatment for the leper. The absence of any healing rite in Lev 14 has been noted by scholars well before the </w:t>
      </w:r>
      <w:proofErr w:type="spellStart"/>
      <w:r w:rsidRPr="002A2E5E">
        <w:rPr>
          <w:rFonts w:ascii="Times New Roman" w:eastAsia="Times New Roman" w:hAnsi="Times New Roman" w:cs="Times New Roman"/>
          <w:color w:val="000000"/>
          <w:sz w:val="16"/>
          <w:szCs w:val="16"/>
          <w:lang w:bidi="ar-SA"/>
        </w:rPr>
        <w:t>Emar</w:t>
      </w:r>
      <w:proofErr w:type="spellEnd"/>
      <w:r w:rsidRPr="002A2E5E">
        <w:rPr>
          <w:rFonts w:ascii="Times New Roman" w:eastAsia="Times New Roman" w:hAnsi="Times New Roman" w:cs="Times New Roman"/>
          <w:color w:val="000000"/>
          <w:sz w:val="16"/>
          <w:szCs w:val="16"/>
          <w:lang w:bidi="ar-SA"/>
        </w:rPr>
        <w:t xml:space="preserve"> texts were published,</w:t>
      </w:r>
      <w:r w:rsidRPr="002A2E5E">
        <w:rPr>
          <w:rFonts w:ascii="Times New Roman" w:eastAsia="Times New Roman" w:hAnsi="Times New Roman" w:cs="Times New Roman"/>
          <w:color w:val="B22222"/>
          <w:sz w:val="14"/>
          <w:szCs w:val="14"/>
          <w:vertAlign w:val="superscript"/>
          <w:lang w:bidi="ar-SA"/>
        </w:rPr>
        <w:t>[10]</w:t>
      </w:r>
      <w:r w:rsidRPr="002A2E5E">
        <w:rPr>
          <w:rFonts w:ascii="Times New Roman" w:eastAsia="Times New Roman" w:hAnsi="Times New Roman" w:cs="Times New Roman"/>
          <w:color w:val="000000"/>
          <w:sz w:val="16"/>
          <w:szCs w:val="16"/>
          <w:lang w:bidi="ar-SA"/>
        </w:rPr>
        <w:t xml:space="preserve"> but the otherwise close parallel with the </w:t>
      </w:r>
      <w:proofErr w:type="spellStart"/>
      <w:r w:rsidRPr="002A2E5E">
        <w:rPr>
          <w:rFonts w:ascii="Times New Roman" w:eastAsia="Times New Roman" w:hAnsi="Times New Roman" w:cs="Times New Roman"/>
          <w:color w:val="000000"/>
          <w:sz w:val="16"/>
          <w:szCs w:val="16"/>
          <w:lang w:bidi="ar-SA"/>
        </w:rPr>
        <w:t>Emar</w:t>
      </w:r>
      <w:proofErr w:type="spellEnd"/>
      <w:r w:rsidRPr="002A2E5E">
        <w:rPr>
          <w:rFonts w:ascii="Times New Roman" w:eastAsia="Times New Roman" w:hAnsi="Times New Roman" w:cs="Times New Roman"/>
          <w:color w:val="000000"/>
          <w:sz w:val="16"/>
          <w:szCs w:val="16"/>
          <w:lang w:bidi="ar-SA"/>
        </w:rPr>
        <w:t xml:space="preserve"> ritual makes this omission all the more conspicuous.</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That healing rites did exist among ancient Israelites is attested not only in the extra-biblical evidence from neighboring cultures, but from the abundant array of amulets and figurines found in Judean archaeological sites throughout the Iron Age. These probably served multiple functions, including healing and protection against dangerous forces</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11]</w:t>
      </w:r>
    </w:p>
    <w:p w:rsidR="002A2E5E" w:rsidRPr="002A2E5E" w:rsidRDefault="002A2E5E" w:rsidP="002A2E5E">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2A2E5E">
        <w:rPr>
          <w:rFonts w:ascii="Times New Roman" w:eastAsia="Times New Roman" w:hAnsi="Times New Roman" w:cs="Times New Roman"/>
          <w:color w:val="000000"/>
          <w:sz w:val="20"/>
          <w:szCs w:val="20"/>
          <w:lang w:bidi="ar-SA"/>
        </w:rPr>
        <w:t>Sources of Impurity</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most convincing way to address the paradoxical treatment of the </w:t>
      </w:r>
      <w:proofErr w:type="spellStart"/>
      <w:r w:rsidRPr="0090141D">
        <w:rPr>
          <w:rFonts w:ascii="Times New Roman" w:eastAsia="Times New Roman" w:hAnsi="Times New Roman" w:cs="Times New Roman"/>
          <w:i/>
          <w:iCs/>
          <w:color w:val="000000"/>
          <w:sz w:val="16"/>
          <w:lang w:bidi="ar-SA"/>
        </w:rPr>
        <w:t>meṣor‘</w:t>
      </w:r>
      <w:proofErr w:type="gramStart"/>
      <w:r w:rsidRPr="0090141D">
        <w:rPr>
          <w:rFonts w:ascii="Times New Roman" w:eastAsia="Times New Roman" w:hAnsi="Times New Roman" w:cs="Times New Roman"/>
          <w:i/>
          <w:iCs/>
          <w:color w:val="000000"/>
          <w:sz w:val="16"/>
          <w:lang w:bidi="ar-SA"/>
        </w:rPr>
        <w:t>a</w:t>
      </w:r>
      <w:proofErr w:type="spellEnd"/>
      <w:r w:rsidRPr="002A2E5E">
        <w:rPr>
          <w:rFonts w:ascii="Times New Roman" w:eastAsia="Times New Roman" w:hAnsi="Times New Roman" w:cs="Times New Roman"/>
          <w:color w:val="000000"/>
          <w:sz w:val="16"/>
          <w:szCs w:val="16"/>
          <w:lang w:bidi="ar-SA"/>
        </w:rPr>
        <w:t> is</w:t>
      </w:r>
      <w:proofErr w:type="gramEnd"/>
      <w:r w:rsidRPr="002A2E5E">
        <w:rPr>
          <w:rFonts w:ascii="Times New Roman" w:eastAsia="Times New Roman" w:hAnsi="Times New Roman" w:cs="Times New Roman"/>
          <w:color w:val="000000"/>
          <w:sz w:val="16"/>
          <w:szCs w:val="16"/>
          <w:lang w:bidi="ar-SA"/>
        </w:rPr>
        <w:t xml:space="preserve"> by assuming that this disease has been </w:t>
      </w:r>
      <w:proofErr w:type="spellStart"/>
      <w:r w:rsidRPr="002A2E5E">
        <w:rPr>
          <w:rFonts w:ascii="Times New Roman" w:eastAsia="Times New Roman" w:hAnsi="Times New Roman" w:cs="Times New Roman"/>
          <w:color w:val="000000"/>
          <w:sz w:val="16"/>
          <w:szCs w:val="16"/>
          <w:lang w:bidi="ar-SA"/>
        </w:rPr>
        <w:t>reconceptualized</w:t>
      </w:r>
      <w:proofErr w:type="spellEnd"/>
      <w:r w:rsidRPr="002A2E5E">
        <w:rPr>
          <w:rFonts w:ascii="Times New Roman" w:eastAsia="Times New Roman" w:hAnsi="Times New Roman" w:cs="Times New Roman"/>
          <w:color w:val="000000"/>
          <w:sz w:val="16"/>
          <w:szCs w:val="16"/>
          <w:lang w:bidi="ar-SA"/>
        </w:rPr>
        <w:t>. Indeed, the Bible offers hints of a more ancient conception than the one represented in the Priestly texts. As I have suggested elsewhere, the notion of pollution (</w:t>
      </w:r>
      <w:r w:rsidRPr="002A2E5E">
        <w:rPr>
          <w:rFonts w:ascii="Times New Roman" w:eastAsia="Times New Roman" w:hAnsi="Times New Roman" w:cs="Times New Roman"/>
          <w:color w:val="000000"/>
          <w:sz w:val="16"/>
          <w:szCs w:val="16"/>
          <w:rtl/>
        </w:rPr>
        <w:t>טומאה</w:t>
      </w:r>
      <w:r w:rsidRPr="002A2E5E">
        <w:rPr>
          <w:rFonts w:ascii="Times New Roman" w:eastAsia="Times New Roman" w:hAnsi="Times New Roman" w:cs="Times New Roman"/>
          <w:color w:val="000000"/>
          <w:sz w:val="16"/>
          <w:szCs w:val="16"/>
          <w:lang w:bidi="ar-SA"/>
        </w:rPr>
        <w:t xml:space="preserve">) serves in part as a </w:t>
      </w:r>
      <w:proofErr w:type="spellStart"/>
      <w:r w:rsidRPr="002A2E5E">
        <w:rPr>
          <w:rFonts w:ascii="Times New Roman" w:eastAsia="Times New Roman" w:hAnsi="Times New Roman" w:cs="Times New Roman"/>
          <w:color w:val="000000"/>
          <w:sz w:val="16"/>
          <w:szCs w:val="16"/>
          <w:lang w:bidi="ar-SA"/>
        </w:rPr>
        <w:t>premodern</w:t>
      </w:r>
      <w:proofErr w:type="spellEnd"/>
      <w:r w:rsidRPr="002A2E5E">
        <w:rPr>
          <w:rFonts w:ascii="Times New Roman" w:eastAsia="Times New Roman" w:hAnsi="Times New Roman" w:cs="Times New Roman"/>
          <w:color w:val="000000"/>
          <w:sz w:val="16"/>
          <w:szCs w:val="16"/>
          <w:lang w:bidi="ar-SA"/>
        </w:rPr>
        <w:t xml:space="preserve"> conceptualization of infection</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12]</w:t>
      </w:r>
      <w:r w:rsidRPr="002A2E5E">
        <w:rPr>
          <w:rFonts w:ascii="Times New Roman" w:eastAsia="Times New Roman" w:hAnsi="Times New Roman" w:cs="Times New Roman"/>
          <w:color w:val="000000"/>
          <w:sz w:val="16"/>
          <w:szCs w:val="16"/>
          <w:lang w:bidi="ar-SA"/>
        </w:rPr>
        <w:t>specifically regarding severe conditions such as leprosy and gonorrhea.</w:t>
      </w:r>
      <w:r w:rsidRPr="002A2E5E">
        <w:rPr>
          <w:rFonts w:ascii="Times New Roman" w:eastAsia="Times New Roman" w:hAnsi="Times New Roman" w:cs="Times New Roman"/>
          <w:color w:val="B22222"/>
          <w:sz w:val="14"/>
          <w:szCs w:val="14"/>
          <w:vertAlign w:val="superscript"/>
          <w:lang w:bidi="ar-SA"/>
        </w:rPr>
        <w:t>[13]</w:t>
      </w:r>
      <w:r w:rsidRPr="002A2E5E">
        <w:rPr>
          <w:rFonts w:ascii="Times New Roman" w:eastAsia="Times New Roman" w:hAnsi="Times New Roman" w:cs="Times New Roman"/>
          <w:color w:val="000000"/>
          <w:sz w:val="16"/>
          <w:szCs w:val="16"/>
          <w:lang w:bidi="ar-SA"/>
        </w:rPr>
        <w:t> The severe pollution associated with corpses may stem from a fear associated with the spirits of the deceased.</w:t>
      </w:r>
      <w:r w:rsidRPr="002A2E5E">
        <w:rPr>
          <w:rFonts w:ascii="Times New Roman" w:eastAsia="Times New Roman" w:hAnsi="Times New Roman" w:cs="Times New Roman"/>
          <w:color w:val="B22222"/>
          <w:sz w:val="14"/>
          <w:szCs w:val="14"/>
          <w:vertAlign w:val="superscript"/>
          <w:lang w:bidi="ar-SA"/>
        </w:rPr>
        <w:t>[14]</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David’s curse of </w:t>
      </w:r>
      <w:proofErr w:type="spellStart"/>
      <w:r w:rsidRPr="002A2E5E">
        <w:rPr>
          <w:rFonts w:ascii="Times New Roman" w:eastAsia="Times New Roman" w:hAnsi="Times New Roman" w:cs="Times New Roman"/>
          <w:color w:val="000000"/>
          <w:sz w:val="16"/>
          <w:szCs w:val="16"/>
          <w:lang w:bidi="ar-SA"/>
        </w:rPr>
        <w:t>Joab</w:t>
      </w:r>
      <w:proofErr w:type="spellEnd"/>
      <w:r w:rsidRPr="002A2E5E">
        <w:rPr>
          <w:rFonts w:ascii="Times New Roman" w:eastAsia="Times New Roman" w:hAnsi="Times New Roman" w:cs="Times New Roman"/>
          <w:color w:val="000000"/>
          <w:sz w:val="16"/>
          <w:szCs w:val="16"/>
          <w:lang w:bidi="ar-SA"/>
        </w:rPr>
        <w:t xml:space="preserve"> (2 Samuel 3:28–29) suggests the general fear that was associated with these conditions:</w:t>
      </w:r>
    </w:p>
    <w:p w:rsidR="002A2E5E" w:rsidRPr="002A2E5E" w:rsidRDefault="002A2E5E" w:rsidP="002A2E5E">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2"/>
          <w:szCs w:val="12"/>
          <w:vertAlign w:val="superscript"/>
          <w:rtl/>
        </w:rPr>
        <w:t>שמואל ב ג:כט</w:t>
      </w:r>
      <w:r w:rsidRPr="002A2E5E">
        <w:rPr>
          <w:rFonts w:ascii="Times New Roman" w:eastAsia="Times New Roman" w:hAnsi="Times New Roman" w:cs="Times New Roman"/>
          <w:color w:val="000000"/>
          <w:sz w:val="16"/>
          <w:szCs w:val="16"/>
          <w:rtl/>
          <w:lang w:bidi="ar-SA"/>
        </w:rPr>
        <w:t> …</w:t>
      </w:r>
      <w:r w:rsidRPr="002A2E5E">
        <w:rPr>
          <w:rFonts w:ascii="Times New Roman" w:eastAsia="Times New Roman" w:hAnsi="Times New Roman" w:cs="Times New Roman"/>
          <w:color w:val="000000"/>
          <w:sz w:val="16"/>
          <w:szCs w:val="16"/>
          <w:rtl/>
        </w:rPr>
        <w:t xml:space="preserve">וְאַל </w:t>
      </w:r>
      <w:proofErr w:type="spellStart"/>
      <w:r w:rsidRPr="002A2E5E">
        <w:rPr>
          <w:rFonts w:ascii="Times New Roman" w:eastAsia="Times New Roman" w:hAnsi="Times New Roman" w:cs="Times New Roman"/>
          <w:color w:val="000000"/>
          <w:sz w:val="16"/>
          <w:szCs w:val="16"/>
          <w:rtl/>
        </w:rPr>
        <w:t>יִכָּרֵת</w:t>
      </w:r>
      <w:proofErr w:type="spellEnd"/>
      <w:r w:rsidRPr="002A2E5E">
        <w:rPr>
          <w:rFonts w:ascii="Times New Roman" w:eastAsia="Times New Roman" w:hAnsi="Times New Roman" w:cs="Times New Roman"/>
          <w:color w:val="000000"/>
          <w:sz w:val="16"/>
          <w:szCs w:val="16"/>
          <w:rtl/>
        </w:rPr>
        <w:t xml:space="preserve"> מִבֵּית יוֹאָב זָב </w:t>
      </w:r>
      <w:proofErr w:type="spellStart"/>
      <w:r w:rsidRPr="002A2E5E">
        <w:rPr>
          <w:rFonts w:ascii="Times New Roman" w:eastAsia="Times New Roman" w:hAnsi="Times New Roman" w:cs="Times New Roman"/>
          <w:color w:val="000000"/>
          <w:sz w:val="16"/>
          <w:szCs w:val="16"/>
          <w:rtl/>
        </w:rPr>
        <w:t>וּמְצֹרָע</w:t>
      </w:r>
      <w:proofErr w:type="spellEnd"/>
      <w:r w:rsidRPr="002A2E5E">
        <w:rPr>
          <w:rFonts w:ascii="Times New Roman" w:eastAsia="Times New Roman" w:hAnsi="Times New Roman" w:cs="Times New Roman"/>
          <w:color w:val="000000"/>
          <w:sz w:val="16"/>
          <w:szCs w:val="16"/>
          <w:rtl/>
        </w:rPr>
        <w:t xml:space="preserve"> וּמַחֲזִיק בַּפֶּלֶךְ וְנֹפֵל בַּחֶרֶב וַחֲסַר לָחֶם.</w:t>
      </w:r>
    </w:p>
    <w:p w:rsidR="002A2E5E" w:rsidRPr="002A2E5E" w:rsidRDefault="002A2E5E" w:rsidP="002A2E5E">
      <w:pPr>
        <w:shd w:val="clear" w:color="auto" w:fill="FFFFFF"/>
        <w:spacing w:after="0" w:line="262" w:lineRule="atLeast"/>
        <w:rPr>
          <w:rFonts w:ascii="Times New Roman" w:eastAsia="Times New Roman" w:hAnsi="Times New Roman" w:cs="Times New Roman"/>
          <w:color w:val="000000"/>
          <w:sz w:val="14"/>
          <w:szCs w:val="14"/>
          <w:rtl/>
          <w:lang w:bidi="ar-SA"/>
        </w:rPr>
      </w:pPr>
      <w:r w:rsidRPr="002A2E5E">
        <w:rPr>
          <w:rFonts w:ascii="Times New Roman" w:eastAsia="Times New Roman" w:hAnsi="Times New Roman" w:cs="Times New Roman"/>
          <w:color w:val="000000"/>
          <w:sz w:val="14"/>
          <w:szCs w:val="14"/>
          <w:lang w:bidi="ar-SA"/>
        </w:rPr>
        <w:t> </w:t>
      </w:r>
    </w:p>
    <w:p w:rsidR="002A2E5E" w:rsidRPr="0090141D"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2A2E5E">
        <w:rPr>
          <w:rFonts w:ascii="Times New Roman" w:eastAsia="Times New Roman" w:hAnsi="Times New Roman" w:cs="Times New Roman"/>
          <w:color w:val="000000"/>
          <w:sz w:val="11"/>
          <w:szCs w:val="11"/>
          <w:vertAlign w:val="superscript"/>
          <w:lang w:bidi="ar-SA"/>
        </w:rPr>
        <w:t>2 Sam 3:29</w:t>
      </w:r>
      <w:r w:rsidRPr="002A2E5E">
        <w:rPr>
          <w:rFonts w:ascii="Times New Roman" w:eastAsia="Times New Roman" w:hAnsi="Times New Roman" w:cs="Times New Roman"/>
          <w:color w:val="000000"/>
          <w:sz w:val="14"/>
          <w:szCs w:val="14"/>
          <w:lang w:bidi="ar-SA"/>
        </w:rPr>
        <w:t xml:space="preserve"> …May there never cease to be in the house of </w:t>
      </w:r>
      <w:proofErr w:type="spellStart"/>
      <w:r w:rsidRPr="002A2E5E">
        <w:rPr>
          <w:rFonts w:ascii="Times New Roman" w:eastAsia="Times New Roman" w:hAnsi="Times New Roman" w:cs="Times New Roman"/>
          <w:color w:val="000000"/>
          <w:sz w:val="14"/>
          <w:szCs w:val="14"/>
          <w:lang w:bidi="ar-SA"/>
        </w:rPr>
        <w:t>Joab</w:t>
      </w:r>
      <w:proofErr w:type="spellEnd"/>
      <w:r w:rsidRPr="002A2E5E">
        <w:rPr>
          <w:rFonts w:ascii="Times New Roman" w:eastAsia="Times New Roman" w:hAnsi="Times New Roman" w:cs="Times New Roman"/>
          <w:color w:val="000000"/>
          <w:sz w:val="14"/>
          <w:szCs w:val="14"/>
          <w:lang w:bidi="ar-SA"/>
        </w:rPr>
        <w:t xml:space="preserve"> a </w:t>
      </w:r>
      <w:proofErr w:type="spellStart"/>
      <w:r w:rsidRPr="002A2E5E">
        <w:rPr>
          <w:rFonts w:ascii="Times New Roman" w:eastAsia="Times New Roman" w:hAnsi="Times New Roman" w:cs="Times New Roman"/>
          <w:color w:val="000000"/>
          <w:sz w:val="14"/>
          <w:szCs w:val="14"/>
          <w:lang w:bidi="ar-SA"/>
        </w:rPr>
        <w:t>gonorrheic</w:t>
      </w:r>
      <w:proofErr w:type="spellEnd"/>
      <w:r w:rsidRPr="002A2E5E">
        <w:rPr>
          <w:rFonts w:ascii="Times New Roman" w:eastAsia="Times New Roman" w:hAnsi="Times New Roman" w:cs="Times New Roman"/>
          <w:color w:val="000000"/>
          <w:sz w:val="14"/>
          <w:szCs w:val="14"/>
          <w:lang w:bidi="ar-SA"/>
        </w:rPr>
        <w:t xml:space="preserve"> (</w:t>
      </w:r>
      <w:r w:rsidRPr="002A2E5E">
        <w:rPr>
          <w:rFonts w:ascii="Times New Roman" w:eastAsia="Times New Roman" w:hAnsi="Times New Roman" w:cs="Times New Roman"/>
          <w:color w:val="000000"/>
          <w:sz w:val="14"/>
          <w:szCs w:val="14"/>
          <w:rtl/>
        </w:rPr>
        <w:t>זב</w:t>
      </w:r>
      <w:r w:rsidRPr="002A2E5E">
        <w:rPr>
          <w:rFonts w:ascii="Times New Roman" w:eastAsia="Times New Roman" w:hAnsi="Times New Roman" w:cs="Times New Roman"/>
          <w:color w:val="000000"/>
          <w:sz w:val="14"/>
          <w:szCs w:val="14"/>
          <w:lang w:bidi="ar-SA"/>
        </w:rPr>
        <w:t>), leper (</w:t>
      </w:r>
      <w:r w:rsidRPr="002A2E5E">
        <w:rPr>
          <w:rFonts w:ascii="Times New Roman" w:eastAsia="Times New Roman" w:hAnsi="Times New Roman" w:cs="Times New Roman"/>
          <w:color w:val="000000"/>
          <w:sz w:val="14"/>
          <w:szCs w:val="14"/>
          <w:rtl/>
        </w:rPr>
        <w:t>מצורע</w:t>
      </w:r>
      <w:r w:rsidRPr="002A2E5E">
        <w:rPr>
          <w:rFonts w:ascii="Times New Roman" w:eastAsia="Times New Roman" w:hAnsi="Times New Roman" w:cs="Times New Roman"/>
          <w:color w:val="000000"/>
          <w:sz w:val="14"/>
          <w:szCs w:val="14"/>
          <w:lang w:bidi="ar-SA"/>
        </w:rPr>
        <w:t>), a holder of the spindle,</w:t>
      </w:r>
      <w:r w:rsidRPr="002A2E5E">
        <w:rPr>
          <w:rFonts w:ascii="Times New Roman" w:eastAsia="Times New Roman" w:hAnsi="Times New Roman" w:cs="Times New Roman"/>
          <w:color w:val="B22222"/>
          <w:sz w:val="14"/>
          <w:szCs w:val="14"/>
          <w:vertAlign w:val="superscript"/>
          <w:lang w:bidi="ar-SA"/>
        </w:rPr>
        <w:t>[15]</w:t>
      </w:r>
      <w:r w:rsidRPr="002A2E5E">
        <w:rPr>
          <w:rFonts w:ascii="Times New Roman" w:eastAsia="Times New Roman" w:hAnsi="Times New Roman" w:cs="Times New Roman"/>
          <w:color w:val="000000"/>
          <w:sz w:val="14"/>
          <w:szCs w:val="14"/>
          <w:lang w:bidi="ar-SA"/>
        </w:rPr>
        <w:t> a victim of the sword or a person lacking bread.</w:t>
      </w:r>
    </w:p>
    <w:p w:rsidR="002A2E5E" w:rsidRPr="002A2E5E"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All of these curses involve social ostracism.</w:t>
      </w:r>
      <w:r w:rsidRPr="002A2E5E">
        <w:rPr>
          <w:rFonts w:ascii="Times New Roman" w:eastAsia="Times New Roman" w:hAnsi="Times New Roman" w:cs="Times New Roman"/>
          <w:color w:val="B22222"/>
          <w:sz w:val="14"/>
          <w:szCs w:val="14"/>
          <w:vertAlign w:val="superscript"/>
          <w:lang w:bidi="ar-SA"/>
        </w:rPr>
        <w:t>[16]</w:t>
      </w:r>
      <w:r w:rsidRPr="002A2E5E">
        <w:rPr>
          <w:rFonts w:ascii="Times New Roman" w:eastAsia="Times New Roman" w:hAnsi="Times New Roman" w:cs="Times New Roman"/>
          <w:color w:val="000000"/>
          <w:sz w:val="16"/>
          <w:szCs w:val="16"/>
          <w:lang w:bidi="ar-SA"/>
        </w:rPr>
        <w:t> The presence of leprosy and gonorrhea (as well as corpses) in this list reinforces the impression that these situations were associated with a fear of contagion in ancient Israel, despite the fact that the Priestly source treats them as merely sources of impurity that needed to be distanced from the sanctuary. These types of pollution are exceptional in the Priestly instructions as regards their severity, involving banishment, seven day regimens of purification and expiatory offerings. Yet, Leviticus 13–15 lacks what is explicit in David’s curse, that these conditions are divine punishments</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17]</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Though the Rabbis were quick to reassert this cause in their </w:t>
      </w:r>
      <w:proofErr w:type="spellStart"/>
      <w:r w:rsidRPr="0090141D">
        <w:rPr>
          <w:rFonts w:ascii="Times New Roman" w:eastAsia="Times New Roman" w:hAnsi="Times New Roman" w:cs="Times New Roman"/>
          <w:i/>
          <w:iCs/>
          <w:color w:val="000000"/>
          <w:sz w:val="16"/>
          <w:lang w:bidi="ar-SA"/>
        </w:rPr>
        <w:t>aggadot</w:t>
      </w:r>
      <w:proofErr w:type="spellEnd"/>
      <w:proofErr w:type="gramStart"/>
      <w:r w:rsidRPr="0090141D">
        <w:rPr>
          <w:rFonts w:ascii="Times New Roman" w:eastAsia="Times New Roman" w:hAnsi="Times New Roman" w:cs="Times New Roman"/>
          <w:i/>
          <w:iCs/>
          <w:color w:val="000000"/>
          <w:sz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18]</w:t>
      </w:r>
      <w:r w:rsidRPr="002A2E5E">
        <w:rPr>
          <w:rFonts w:ascii="Times New Roman" w:eastAsia="Times New Roman" w:hAnsi="Times New Roman" w:cs="Times New Roman"/>
          <w:color w:val="000000"/>
          <w:sz w:val="16"/>
          <w:szCs w:val="16"/>
          <w:lang w:bidi="ar-SA"/>
        </w:rPr>
        <w:t> this omission in Leviticus was not accidental. Leviticus systematically distinguishes between sin offerings pertaining to accidental sins (Lev 4–5; Num 15), which involve forgiveness (</w:t>
      </w:r>
      <w:r w:rsidRPr="002A2E5E">
        <w:rPr>
          <w:rFonts w:ascii="Times New Roman" w:eastAsia="Times New Roman" w:hAnsi="Times New Roman" w:cs="Times New Roman"/>
          <w:color w:val="000000"/>
          <w:sz w:val="16"/>
          <w:szCs w:val="16"/>
          <w:rtl/>
        </w:rPr>
        <w:t>ס.ל.ח</w:t>
      </w:r>
      <w:r w:rsidRPr="002A2E5E">
        <w:rPr>
          <w:rFonts w:ascii="Times New Roman" w:eastAsia="Times New Roman" w:hAnsi="Times New Roman" w:cs="Times New Roman"/>
          <w:color w:val="000000"/>
          <w:sz w:val="16"/>
          <w:szCs w:val="16"/>
          <w:lang w:bidi="ar-SA"/>
        </w:rPr>
        <w:t>), and sin offerings performed for bodily conditions (Lev 12; 15)</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19]</w:t>
      </w:r>
      <w:r w:rsidRPr="002A2E5E">
        <w:rPr>
          <w:rFonts w:ascii="Times New Roman" w:eastAsia="Times New Roman" w:hAnsi="Times New Roman" w:cs="Times New Roman"/>
          <w:color w:val="000000"/>
          <w:sz w:val="16"/>
          <w:szCs w:val="16"/>
          <w:lang w:bidi="ar-SA"/>
        </w:rPr>
        <w:t> which only mention purification (</w:t>
      </w:r>
      <w:r w:rsidRPr="002A2E5E">
        <w:rPr>
          <w:rFonts w:ascii="Times New Roman" w:eastAsia="Times New Roman" w:hAnsi="Times New Roman" w:cs="Times New Roman"/>
          <w:color w:val="000000"/>
          <w:sz w:val="16"/>
          <w:szCs w:val="16"/>
          <w:rtl/>
        </w:rPr>
        <w:t>ט.ה.ר</w:t>
      </w:r>
      <w:r w:rsidRPr="002A2E5E">
        <w:rPr>
          <w:rFonts w:ascii="Times New Roman" w:eastAsia="Times New Roman" w:hAnsi="Times New Roman" w:cs="Times New Roman"/>
          <w:color w:val="000000"/>
          <w:sz w:val="16"/>
          <w:szCs w:val="16"/>
          <w:lang w:bidi="ar-SA"/>
        </w:rPr>
        <w:t>). Apparently, the purity laws of leprosy here sought to depict pollution (caused by normal and abnormal bodily conditions) as a “natural” phenomenon, divorced from moral implications.</w:t>
      </w:r>
    </w:p>
    <w:p w:rsidR="002A2E5E" w:rsidRPr="002A2E5E" w:rsidRDefault="002A2E5E" w:rsidP="002A2E5E">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2A2E5E">
        <w:rPr>
          <w:rFonts w:ascii="Times New Roman" w:eastAsia="Times New Roman" w:hAnsi="Times New Roman" w:cs="Times New Roman"/>
          <w:color w:val="000000"/>
          <w:sz w:val="23"/>
          <w:szCs w:val="23"/>
          <w:lang w:bidi="ar-SA"/>
        </w:rPr>
        <w:t>Controlling the (Psychological) Power of the Disease</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Three main features characterize leprosy in Lev 13–14:</w:t>
      </w:r>
    </w:p>
    <w:p w:rsidR="002A2E5E" w:rsidRPr="002A2E5E" w:rsidRDefault="002A2E5E" w:rsidP="002A2E5E">
      <w:pPr>
        <w:shd w:val="clear" w:color="auto" w:fill="FFFFFF"/>
        <w:spacing w:after="140"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lastRenderedPageBreak/>
        <w:t>1. The non-threatening depiction of pollution.</w:t>
      </w:r>
    </w:p>
    <w:p w:rsidR="002A2E5E" w:rsidRPr="002A2E5E" w:rsidRDefault="002A2E5E" w:rsidP="002A2E5E">
      <w:pPr>
        <w:shd w:val="clear" w:color="auto" w:fill="FFFFFF"/>
        <w:spacing w:after="140"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2. The absence of an explicit causal link between sin and disease.</w:t>
      </w:r>
    </w:p>
    <w:p w:rsidR="002A2E5E" w:rsidRPr="002A2E5E" w:rsidRDefault="002A2E5E" w:rsidP="002A2E5E">
      <w:pPr>
        <w:shd w:val="clear" w:color="auto" w:fill="FFFFFF"/>
        <w:spacing w:after="140"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3. The absence of any healing ritual.</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Is there any connection between these characteristics? They are somewhat connected, since the elimination of pollution (1) and sin (2) as causal factors to disease removes the metaphysical basis for ritual therapy (3).</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These observations lend support to a more fundamental point made by </w:t>
      </w:r>
      <w:proofErr w:type="spellStart"/>
      <w:r w:rsidRPr="002A2E5E">
        <w:rPr>
          <w:rFonts w:ascii="Times New Roman" w:eastAsia="Times New Roman" w:hAnsi="Times New Roman" w:cs="Times New Roman"/>
          <w:color w:val="000000"/>
          <w:sz w:val="16"/>
          <w:szCs w:val="16"/>
          <w:lang w:bidi="ar-SA"/>
        </w:rPr>
        <w:t>Yehezkel</w:t>
      </w:r>
      <w:proofErr w:type="spellEnd"/>
      <w:r w:rsidRPr="002A2E5E">
        <w:rPr>
          <w:rFonts w:ascii="Times New Roman" w:eastAsia="Times New Roman" w:hAnsi="Times New Roman" w:cs="Times New Roman"/>
          <w:color w:val="000000"/>
          <w:sz w:val="16"/>
          <w:szCs w:val="16"/>
          <w:lang w:bidi="ar-SA"/>
        </w:rPr>
        <w:t xml:space="preserve"> Kaufmann nearly a century ago:</w:t>
      </w:r>
    </w:p>
    <w:p w:rsidR="002A2E5E" w:rsidRPr="002A2E5E" w:rsidRDefault="002A2E5E" w:rsidP="002A2E5E">
      <w:pPr>
        <w:shd w:val="clear" w:color="auto" w:fill="FFFFFF"/>
        <w:spacing w:after="140"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Now the distinctive feature of biblical purifications when compared with those of paganism is that they are not performed for the purpose of banishing harm or sickness. The pagan seeks to avert harm; his </w:t>
      </w:r>
      <w:proofErr w:type="spellStart"/>
      <w:r w:rsidRPr="002A2E5E">
        <w:rPr>
          <w:rFonts w:ascii="Times New Roman" w:eastAsia="Times New Roman" w:hAnsi="Times New Roman" w:cs="Times New Roman"/>
          <w:color w:val="000000"/>
          <w:sz w:val="16"/>
          <w:szCs w:val="16"/>
          <w:lang w:bidi="ar-SA"/>
        </w:rPr>
        <w:t>purgations</w:t>
      </w:r>
      <w:proofErr w:type="spellEnd"/>
      <w:r w:rsidRPr="002A2E5E">
        <w:rPr>
          <w:rFonts w:ascii="Times New Roman" w:eastAsia="Times New Roman" w:hAnsi="Times New Roman" w:cs="Times New Roman"/>
          <w:color w:val="000000"/>
          <w:sz w:val="16"/>
          <w:szCs w:val="16"/>
          <w:lang w:bidi="ar-SA"/>
        </w:rPr>
        <w:t xml:space="preserve"> are in effect a battle with baleful forces that menace men and gods. Biblical purifications lack this aspect entirely. Lustrations play no part in healing the sick. The woman who bears a child, the leper, the </w:t>
      </w:r>
      <w:proofErr w:type="spellStart"/>
      <w:r w:rsidRPr="002A2E5E">
        <w:rPr>
          <w:rFonts w:ascii="Times New Roman" w:eastAsia="Times New Roman" w:hAnsi="Times New Roman" w:cs="Times New Roman"/>
          <w:color w:val="000000"/>
          <w:sz w:val="16"/>
          <w:szCs w:val="16"/>
          <w:lang w:bidi="ar-SA"/>
        </w:rPr>
        <w:t>gonorrheic</w:t>
      </w:r>
      <w:proofErr w:type="spellEnd"/>
      <w:r w:rsidRPr="002A2E5E">
        <w:rPr>
          <w:rFonts w:ascii="Times New Roman" w:eastAsia="Times New Roman" w:hAnsi="Times New Roman" w:cs="Times New Roman"/>
          <w:color w:val="000000"/>
          <w:sz w:val="16"/>
          <w:szCs w:val="16"/>
          <w:lang w:bidi="ar-SA"/>
        </w:rPr>
        <w:t>, the “leprous” house, are all purified after the crisis or disease has passed</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20]</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Along these lines, it is likely that the ritual in Leviticus seeks to neutralize pollution so as to remove the impetus for various types of </w:t>
      </w:r>
      <w:proofErr w:type="spellStart"/>
      <w:r w:rsidRPr="002A2E5E">
        <w:rPr>
          <w:rFonts w:ascii="Times New Roman" w:eastAsia="Times New Roman" w:hAnsi="Times New Roman" w:cs="Times New Roman"/>
          <w:color w:val="000000"/>
          <w:sz w:val="16"/>
          <w:szCs w:val="16"/>
          <w:lang w:bidi="ar-SA"/>
        </w:rPr>
        <w:t>apotropaic</w:t>
      </w:r>
      <w:proofErr w:type="spellEnd"/>
      <w:r w:rsidRPr="002A2E5E">
        <w:rPr>
          <w:rFonts w:ascii="Times New Roman" w:eastAsia="Times New Roman" w:hAnsi="Times New Roman" w:cs="Times New Roman"/>
          <w:color w:val="000000"/>
          <w:sz w:val="16"/>
          <w:szCs w:val="16"/>
          <w:lang w:bidi="ar-SA"/>
        </w:rPr>
        <w:t xml:space="preserve"> rites aimed at exorcising malicious forces. In other words, to the extent that these diseases were considered to be dangerous, the sick party would be driven to seek some kind of ritual treatment. However, the existing options involved the banishment of malicious forces, involving an underlying worldview which was inimical to monotheism</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21]</w:t>
      </w:r>
      <w:r w:rsidRPr="002A2E5E">
        <w:rPr>
          <w:rFonts w:ascii="Times New Roman" w:eastAsia="Times New Roman" w:hAnsi="Times New Roman" w:cs="Times New Roman"/>
          <w:color w:val="000000"/>
          <w:sz w:val="16"/>
          <w:szCs w:val="16"/>
          <w:lang w:bidi="ar-SA"/>
        </w:rPr>
        <w:t> By reframing pollution (</w:t>
      </w:r>
      <w:r w:rsidRPr="002A2E5E">
        <w:rPr>
          <w:rFonts w:ascii="Times New Roman" w:eastAsia="Times New Roman" w:hAnsi="Times New Roman" w:cs="Times New Roman"/>
          <w:color w:val="000000"/>
          <w:sz w:val="16"/>
          <w:szCs w:val="16"/>
          <w:rtl/>
        </w:rPr>
        <w:t>טמאה</w:t>
      </w:r>
      <w:r w:rsidRPr="002A2E5E">
        <w:rPr>
          <w:rFonts w:ascii="Times New Roman" w:eastAsia="Times New Roman" w:hAnsi="Times New Roman" w:cs="Times New Roman"/>
          <w:color w:val="000000"/>
          <w:sz w:val="16"/>
          <w:szCs w:val="16"/>
          <w:lang w:bidi="ar-SA"/>
        </w:rPr>
        <w:t>) from being viewed as a cause of disease to a secondary effect, bearing only on the sanctuary, the temptation to perform such rites was reduced significantly.</w:t>
      </w:r>
    </w:p>
    <w:p w:rsidR="002A2E5E" w:rsidRPr="002A2E5E" w:rsidRDefault="002A2E5E" w:rsidP="002A2E5E">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proofErr w:type="spellStart"/>
      <w:r w:rsidRPr="002A2E5E">
        <w:rPr>
          <w:rFonts w:ascii="Times New Roman" w:eastAsia="Times New Roman" w:hAnsi="Times New Roman" w:cs="Times New Roman"/>
          <w:color w:val="000000"/>
          <w:sz w:val="23"/>
          <w:szCs w:val="23"/>
          <w:lang w:bidi="ar-SA"/>
        </w:rPr>
        <w:t>Tzaraat</w:t>
      </w:r>
      <w:proofErr w:type="spellEnd"/>
      <w:r w:rsidRPr="002A2E5E">
        <w:rPr>
          <w:rFonts w:ascii="Times New Roman" w:eastAsia="Times New Roman" w:hAnsi="Times New Roman" w:cs="Times New Roman"/>
          <w:color w:val="000000"/>
          <w:sz w:val="23"/>
          <w:szCs w:val="23"/>
          <w:lang w:bidi="ar-SA"/>
        </w:rPr>
        <w:t>: Not What It is, But What It Isn’t</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ostensibly technical discussion of </w:t>
      </w:r>
      <w:proofErr w:type="spellStart"/>
      <w:r w:rsidRPr="0090141D">
        <w:rPr>
          <w:rFonts w:ascii="Times New Roman" w:eastAsia="Times New Roman" w:hAnsi="Times New Roman" w:cs="Times New Roman"/>
          <w:i/>
          <w:iCs/>
          <w:color w:val="000000"/>
          <w:sz w:val="16"/>
          <w:lang w:bidi="ar-SA"/>
        </w:rPr>
        <w:t>ṣara‛at</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in Lev 13–14 disguises the fact that the biblical discussion of this illness represents a radical departure from earlier conceptions of disease in the ancient Near East and, it may be assumed, in ancient Israel. The uniqueness of the Priestly treatment can only be fully appreciated by comparison with the extra-biblical evidence pertaining to </w:t>
      </w:r>
      <w:proofErr w:type="spellStart"/>
      <w:r w:rsidRPr="0090141D">
        <w:rPr>
          <w:rFonts w:ascii="Times New Roman" w:eastAsia="Times New Roman" w:hAnsi="Times New Roman" w:cs="Times New Roman"/>
          <w:i/>
          <w:iCs/>
          <w:color w:val="000000"/>
          <w:sz w:val="16"/>
          <w:lang w:bidi="ar-SA"/>
        </w:rPr>
        <w:t>saḫaršubbû</w:t>
      </w:r>
      <w:proofErr w:type="spellEnd"/>
      <w:r w:rsidRPr="002A2E5E">
        <w:rPr>
          <w:rFonts w:ascii="Times New Roman" w:eastAsia="Times New Roman" w:hAnsi="Times New Roman" w:cs="Times New Roman"/>
          <w:color w:val="000000"/>
          <w:sz w:val="16"/>
          <w:szCs w:val="16"/>
          <w:lang w:bidi="ar-SA"/>
        </w:rPr>
        <w:t> disease.</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absence of any ritual prescription for healing </w:t>
      </w:r>
      <w:proofErr w:type="spellStart"/>
      <w:r w:rsidRPr="0090141D">
        <w:rPr>
          <w:rFonts w:ascii="Times New Roman" w:eastAsia="Times New Roman" w:hAnsi="Times New Roman" w:cs="Times New Roman"/>
          <w:i/>
          <w:iCs/>
          <w:color w:val="000000"/>
          <w:sz w:val="16"/>
          <w:lang w:bidi="ar-SA"/>
        </w:rPr>
        <w:t>tzaraat</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 xml:space="preserve">together with the comparatively benign implications of this disease suggest a deliberate attempt to distance the Israelites from </w:t>
      </w:r>
      <w:proofErr w:type="spellStart"/>
      <w:r w:rsidRPr="002A2E5E">
        <w:rPr>
          <w:rFonts w:ascii="Times New Roman" w:eastAsia="Times New Roman" w:hAnsi="Times New Roman" w:cs="Times New Roman"/>
          <w:color w:val="000000"/>
          <w:sz w:val="16"/>
          <w:szCs w:val="16"/>
          <w:lang w:bidi="ar-SA"/>
        </w:rPr>
        <w:t>apotropaic</w:t>
      </w:r>
      <w:proofErr w:type="spellEnd"/>
      <w:r w:rsidRPr="002A2E5E">
        <w:rPr>
          <w:rFonts w:ascii="Times New Roman" w:eastAsia="Times New Roman" w:hAnsi="Times New Roman" w:cs="Times New Roman"/>
          <w:color w:val="000000"/>
          <w:sz w:val="16"/>
          <w:szCs w:val="16"/>
          <w:lang w:bidi="ar-SA"/>
        </w:rPr>
        <w:t xml:space="preserve"> rituals that they knew. Rather than through programmatic theological statements, it is in the gentle silence (</w:t>
      </w:r>
      <w:r w:rsidRPr="002A2E5E">
        <w:rPr>
          <w:rFonts w:ascii="Times New Roman" w:eastAsia="Times New Roman" w:hAnsi="Times New Roman" w:cs="Times New Roman"/>
          <w:color w:val="B22222"/>
          <w:sz w:val="14"/>
          <w:szCs w:val="14"/>
          <w:vertAlign w:val="superscript"/>
          <w:lang w:bidi="ar-SA"/>
        </w:rPr>
        <w:t>[22</w:t>
      </w:r>
      <w:proofErr w:type="gramStart"/>
      <w:r w:rsidRPr="002A2E5E">
        <w:rPr>
          <w:rFonts w:ascii="Times New Roman" w:eastAsia="Times New Roman" w:hAnsi="Times New Roman" w:cs="Times New Roman"/>
          <w:color w:val="B22222"/>
          <w:sz w:val="14"/>
          <w:szCs w:val="14"/>
          <w:vertAlign w:val="superscript"/>
          <w:lang w:bidi="ar-SA"/>
        </w:rPr>
        <w:t>]</w:t>
      </w:r>
      <w:r w:rsidRPr="002A2E5E">
        <w:rPr>
          <w:rFonts w:ascii="Times New Roman" w:eastAsia="Times New Roman" w:hAnsi="Times New Roman" w:cs="Times New Roman"/>
          <w:color w:val="000000"/>
          <w:sz w:val="16"/>
          <w:szCs w:val="16"/>
          <w:rtl/>
        </w:rPr>
        <w:t>קול</w:t>
      </w:r>
      <w:proofErr w:type="gramEnd"/>
      <w:r w:rsidRPr="002A2E5E">
        <w:rPr>
          <w:rFonts w:ascii="Times New Roman" w:eastAsia="Times New Roman" w:hAnsi="Times New Roman" w:cs="Times New Roman"/>
          <w:color w:val="000000"/>
          <w:sz w:val="16"/>
          <w:szCs w:val="16"/>
          <w:rtl/>
        </w:rPr>
        <w:t xml:space="preserve"> דממה דקה</w:t>
      </w:r>
      <w:r w:rsidRPr="002A2E5E">
        <w:rPr>
          <w:rFonts w:ascii="Times New Roman" w:eastAsia="Times New Roman" w:hAnsi="Times New Roman" w:cs="Times New Roman"/>
          <w:color w:val="000000"/>
          <w:sz w:val="16"/>
          <w:szCs w:val="16"/>
          <w:lang w:bidi="ar-SA"/>
        </w:rPr>
        <w:t>) left by these deliberate omissions that the Priestly source’s revolutionary conception of God is manifested.</w:t>
      </w:r>
    </w:p>
    <w:p w:rsidR="002A2E5E" w:rsidRPr="002A2E5E" w:rsidRDefault="002A2E5E" w:rsidP="002A2E5E">
      <w:pPr>
        <w:shd w:val="clear" w:color="auto" w:fill="FFFFFF"/>
        <w:spacing w:before="421" w:after="94" w:line="346" w:lineRule="atLeast"/>
        <w:outlineLvl w:val="4"/>
        <w:rPr>
          <w:rFonts w:ascii="Times New Roman" w:eastAsia="Times New Roman" w:hAnsi="Times New Roman" w:cs="Times New Roman"/>
          <w:b/>
          <w:bCs/>
          <w:color w:val="000000"/>
          <w:sz w:val="14"/>
          <w:szCs w:val="14"/>
          <w:lang w:bidi="ar-SA"/>
        </w:rPr>
      </w:pPr>
      <w:r w:rsidRPr="002A2E5E">
        <w:rPr>
          <w:rFonts w:ascii="Times New Roman" w:eastAsia="Times New Roman" w:hAnsi="Times New Roman" w:cs="Times New Roman"/>
          <w:b/>
          <w:bCs/>
          <w:color w:val="000000"/>
          <w:sz w:val="14"/>
          <w:szCs w:val="14"/>
          <w:lang w:bidi="ar-SA"/>
        </w:rPr>
        <w:t>Appendix</w:t>
      </w:r>
    </w:p>
    <w:p w:rsidR="002A2E5E" w:rsidRPr="002A2E5E" w:rsidRDefault="002A2E5E" w:rsidP="002A2E5E">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2A2E5E">
        <w:rPr>
          <w:rFonts w:ascii="Times New Roman" w:eastAsia="Times New Roman" w:hAnsi="Times New Roman" w:cs="Times New Roman"/>
          <w:color w:val="000000"/>
          <w:sz w:val="23"/>
          <w:szCs w:val="23"/>
          <w:lang w:bidi="ar-SA"/>
        </w:rPr>
        <w:t>Never Mind the Fungus on the Wall</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An equally illuminating parallel to the one discussed in the main article can be found in the case of </w:t>
      </w:r>
      <w:proofErr w:type="spellStart"/>
      <w:r w:rsidRPr="0090141D">
        <w:rPr>
          <w:rFonts w:ascii="Times New Roman" w:eastAsia="Times New Roman" w:hAnsi="Times New Roman" w:cs="Times New Roman"/>
          <w:i/>
          <w:iCs/>
          <w:color w:val="000000"/>
          <w:sz w:val="16"/>
          <w:lang w:bidi="ar-SA"/>
        </w:rPr>
        <w:t>ṣara‛at</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in a house (Lev 14:33–53), which is comparable to the </w:t>
      </w:r>
      <w:proofErr w:type="spellStart"/>
      <w:r w:rsidRPr="0090141D">
        <w:rPr>
          <w:rFonts w:ascii="Times New Roman" w:eastAsia="Times New Roman" w:hAnsi="Times New Roman" w:cs="Times New Roman"/>
          <w:i/>
          <w:iCs/>
          <w:color w:val="000000"/>
          <w:sz w:val="16"/>
          <w:lang w:bidi="ar-SA"/>
        </w:rPr>
        <w:t>katarru</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fungus described in Mesopotamian omen and ritual texts. While today a home-owner suffering from this malady might prefer Lysol to an exorcist, this was no laughing matter for the Mesopotamians. For example, one text specifies:</w:t>
      </w:r>
    </w:p>
    <w:p w:rsidR="002A2E5E" w:rsidRPr="002A2E5E" w:rsidRDefault="002A2E5E" w:rsidP="002A2E5E">
      <w:pPr>
        <w:shd w:val="clear" w:color="auto" w:fill="FFFFFF"/>
        <w:spacing w:after="140"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[If] there is fungus on a man’s house on the outer northern side, the owner of the house will die and his [house] will be scattered</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23]</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According to this text and others, the </w:t>
      </w:r>
      <w:proofErr w:type="spellStart"/>
      <w:r w:rsidRPr="0090141D">
        <w:rPr>
          <w:rFonts w:ascii="Times New Roman" w:eastAsia="Times New Roman" w:hAnsi="Times New Roman" w:cs="Times New Roman"/>
          <w:i/>
          <w:iCs/>
          <w:color w:val="000000"/>
          <w:sz w:val="16"/>
          <w:lang w:bidi="ar-SA"/>
        </w:rPr>
        <w:t>katarru</w:t>
      </w:r>
      <w:proofErr w:type="spellEnd"/>
      <w:r w:rsidRPr="0090141D">
        <w:rPr>
          <w:rFonts w:ascii="Times New Roman" w:eastAsia="Times New Roman" w:hAnsi="Times New Roman" w:cs="Times New Roman"/>
          <w:i/>
          <w:iCs/>
          <w:color w:val="000000"/>
          <w:sz w:val="16"/>
          <w:lang w:bidi="ar-SA"/>
        </w:rPr>
        <w:t> </w:t>
      </w:r>
      <w:r w:rsidRPr="002A2E5E">
        <w:rPr>
          <w:rFonts w:ascii="Times New Roman" w:eastAsia="Times New Roman" w:hAnsi="Times New Roman" w:cs="Times New Roman"/>
          <w:color w:val="000000"/>
          <w:sz w:val="16"/>
          <w:szCs w:val="16"/>
          <w:lang w:bidi="ar-SA"/>
        </w:rPr>
        <w:t>fungus was viewed as an omen foretelling impending disaster. The text continues with other examples such as, if it is on the east, the victim will be his wife, and so on. Though the biblical instructions address a similar, if not identical, problem, there is no suggestion of any danger to the house’s occupants. In fact, they even limit the economic damage caused by the “impurity” by specifying that all of the belongings be removed from the house before the priest makes his diagnosis:</w:t>
      </w:r>
    </w:p>
    <w:p w:rsidR="002A2E5E" w:rsidRPr="002A2E5E" w:rsidRDefault="002A2E5E" w:rsidP="002A2E5E">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2"/>
          <w:szCs w:val="12"/>
          <w:vertAlign w:val="superscript"/>
          <w:rtl/>
        </w:rPr>
        <w:t>ויקרא יד:לו</w:t>
      </w:r>
      <w:r w:rsidRPr="002A2E5E">
        <w:rPr>
          <w:rFonts w:ascii="Times New Roman" w:eastAsia="Times New Roman" w:hAnsi="Times New Roman" w:cs="Times New Roman"/>
          <w:color w:val="000000"/>
          <w:sz w:val="16"/>
          <w:szCs w:val="16"/>
          <w:rtl/>
          <w:lang w:bidi="ar-SA"/>
        </w:rPr>
        <w:t> </w:t>
      </w:r>
      <w:proofErr w:type="spellStart"/>
      <w:r w:rsidRPr="002A2E5E">
        <w:rPr>
          <w:rFonts w:ascii="Times New Roman" w:eastAsia="Times New Roman" w:hAnsi="Times New Roman" w:cs="Times New Roman"/>
          <w:color w:val="000000"/>
          <w:sz w:val="16"/>
          <w:szCs w:val="16"/>
          <w:rtl/>
        </w:rPr>
        <w:t>וְצִוָּה</w:t>
      </w:r>
      <w:proofErr w:type="spellEnd"/>
      <w:r w:rsidRPr="002A2E5E">
        <w:rPr>
          <w:rFonts w:ascii="Times New Roman" w:eastAsia="Times New Roman" w:hAnsi="Times New Roman" w:cs="Times New Roman"/>
          <w:color w:val="000000"/>
          <w:sz w:val="16"/>
          <w:szCs w:val="16"/>
          <w:rtl/>
        </w:rPr>
        <w:t xml:space="preserve"> הַכֹּהֵן וּפִנּוּ אֶת הַבַּיִת בְּטֶרֶם יָבֹא הַכֹּהֵן לִרְאוֹת אֶת הַנֶּגַע וְלֹא יִטְמָא כָּל אֲשֶׁר בַּבָּיִת וְאַחַר כֵּן יָבֹא הַכֹּהֵן לִרְאוֹת אֶת הַבָּיִת.</w:t>
      </w:r>
    </w:p>
    <w:p w:rsidR="002A2E5E" w:rsidRPr="002A2E5E" w:rsidRDefault="002A2E5E" w:rsidP="002A2E5E">
      <w:pPr>
        <w:shd w:val="clear" w:color="auto" w:fill="FFFFFF"/>
        <w:spacing w:after="0" w:line="262" w:lineRule="atLeast"/>
        <w:rPr>
          <w:rFonts w:ascii="Times New Roman" w:eastAsia="Times New Roman" w:hAnsi="Times New Roman" w:cs="Times New Roman"/>
          <w:color w:val="000000"/>
          <w:sz w:val="14"/>
          <w:szCs w:val="14"/>
          <w:rtl/>
          <w:lang w:bidi="ar-SA"/>
        </w:rPr>
      </w:pPr>
      <w:r w:rsidRPr="002A2E5E">
        <w:rPr>
          <w:rFonts w:ascii="Times New Roman" w:eastAsia="Times New Roman" w:hAnsi="Times New Roman" w:cs="Times New Roman"/>
          <w:color w:val="000000"/>
          <w:sz w:val="14"/>
          <w:szCs w:val="14"/>
          <w:lang w:bidi="ar-SA"/>
        </w:rPr>
        <w:t> </w:t>
      </w:r>
    </w:p>
    <w:p w:rsidR="002A2E5E" w:rsidRPr="0090141D" w:rsidRDefault="002A2E5E" w:rsidP="002A2E5E">
      <w:pPr>
        <w:shd w:val="clear" w:color="auto" w:fill="FFFFFF"/>
        <w:spacing w:after="0" w:line="290" w:lineRule="atLeast"/>
        <w:textAlignment w:val="top"/>
        <w:rPr>
          <w:rFonts w:ascii="Times New Roman" w:eastAsia="Times New Roman" w:hAnsi="Times New Roman" w:cs="Times New Roman"/>
          <w:color w:val="B22222"/>
          <w:sz w:val="14"/>
          <w:szCs w:val="14"/>
          <w:vertAlign w:val="superscript"/>
          <w:lang w:bidi="ar-SA"/>
        </w:rPr>
      </w:pPr>
      <w:r w:rsidRPr="002A2E5E">
        <w:rPr>
          <w:rFonts w:ascii="Times New Roman" w:eastAsia="Times New Roman" w:hAnsi="Times New Roman" w:cs="Times New Roman"/>
          <w:color w:val="000000"/>
          <w:sz w:val="11"/>
          <w:szCs w:val="11"/>
          <w:vertAlign w:val="superscript"/>
          <w:lang w:bidi="ar-SA"/>
        </w:rPr>
        <w:t>Lev 14:36</w:t>
      </w:r>
      <w:r w:rsidRPr="002A2E5E">
        <w:rPr>
          <w:rFonts w:ascii="Times New Roman" w:eastAsia="Times New Roman" w:hAnsi="Times New Roman" w:cs="Times New Roman"/>
          <w:color w:val="000000"/>
          <w:sz w:val="14"/>
          <w:szCs w:val="14"/>
          <w:lang w:bidi="ar-SA"/>
        </w:rPr>
        <w:t> The priest shall order the house cleared before the priest enters to examine the infection, so that nothing in the house may become impure, after that the priest shall enter to examine the house.</w:t>
      </w:r>
      <w:r w:rsidRPr="002A2E5E">
        <w:rPr>
          <w:rFonts w:ascii="Times New Roman" w:eastAsia="Times New Roman" w:hAnsi="Times New Roman" w:cs="Times New Roman"/>
          <w:color w:val="B22222"/>
          <w:sz w:val="14"/>
          <w:szCs w:val="14"/>
          <w:vertAlign w:val="superscript"/>
          <w:lang w:bidi="ar-SA"/>
        </w:rPr>
        <w:t>[24]</w:t>
      </w:r>
    </w:p>
    <w:p w:rsidR="002A2E5E" w:rsidRPr="002A2E5E" w:rsidRDefault="002A2E5E" w:rsidP="002A2E5E">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rationale for this dispensation, as is explicitly stated, is to enable the house-owner to save his possessions from needing to be discarded (or at least purified) as carriers of pollution</w:t>
      </w:r>
      <w:proofErr w:type="gramStart"/>
      <w:r w:rsidRPr="002A2E5E">
        <w:rPr>
          <w:rFonts w:ascii="Times New Roman" w:eastAsia="Times New Roman" w:hAnsi="Times New Roman" w:cs="Times New Roman"/>
          <w:color w:val="000000"/>
          <w:sz w:val="16"/>
          <w:szCs w:val="16"/>
          <w:lang w:bidi="ar-SA"/>
        </w:rPr>
        <w:t>.</w:t>
      </w:r>
      <w:r w:rsidRPr="002A2E5E">
        <w:rPr>
          <w:rFonts w:ascii="Times New Roman" w:eastAsia="Times New Roman" w:hAnsi="Times New Roman" w:cs="Times New Roman"/>
          <w:color w:val="B22222"/>
          <w:sz w:val="14"/>
          <w:szCs w:val="14"/>
          <w:vertAlign w:val="superscript"/>
          <w:lang w:bidi="ar-SA"/>
        </w:rPr>
        <w:t>[</w:t>
      </w:r>
      <w:proofErr w:type="gramEnd"/>
      <w:r w:rsidRPr="002A2E5E">
        <w:rPr>
          <w:rFonts w:ascii="Times New Roman" w:eastAsia="Times New Roman" w:hAnsi="Times New Roman" w:cs="Times New Roman"/>
          <w:color w:val="B22222"/>
          <w:sz w:val="14"/>
          <w:szCs w:val="14"/>
          <w:vertAlign w:val="superscript"/>
          <w:lang w:bidi="ar-SA"/>
        </w:rPr>
        <w:t>25]</w:t>
      </w:r>
    </w:p>
    <w:p w:rsidR="002A2E5E" w:rsidRPr="002A2E5E" w:rsidRDefault="002A2E5E" w:rsidP="002A2E5E">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 xml:space="preserve">More significantly for our purposes, this rule represents a comprehensive downgrading of the seriousness of this fungus. Aside from the absence of any hint of mortal danger associated with this situation, even its ability to defile objects is under the control of the officiating priest. In this case, Jacob </w:t>
      </w:r>
      <w:proofErr w:type="spellStart"/>
      <w:r w:rsidRPr="002A2E5E">
        <w:rPr>
          <w:rFonts w:ascii="Times New Roman" w:eastAsia="Times New Roman" w:hAnsi="Times New Roman" w:cs="Times New Roman"/>
          <w:color w:val="000000"/>
          <w:sz w:val="16"/>
          <w:szCs w:val="16"/>
          <w:lang w:bidi="ar-SA"/>
        </w:rPr>
        <w:t>Milgrom’s</w:t>
      </w:r>
      <w:proofErr w:type="spellEnd"/>
      <w:r w:rsidRPr="002A2E5E">
        <w:rPr>
          <w:rFonts w:ascii="Times New Roman" w:eastAsia="Times New Roman" w:hAnsi="Times New Roman" w:cs="Times New Roman"/>
          <w:color w:val="000000"/>
          <w:sz w:val="16"/>
          <w:szCs w:val="16"/>
          <w:lang w:bidi="ar-SA"/>
        </w:rPr>
        <w:t xml:space="preserve"> conclusion concerning leprosy is indeed compelling: “we are dealing with an impurity that has been eviscerated of its principal potency.”</w:t>
      </w:r>
      <w:r w:rsidRPr="002A2E5E">
        <w:rPr>
          <w:rFonts w:ascii="Times New Roman" w:eastAsia="Times New Roman" w:hAnsi="Times New Roman" w:cs="Times New Roman"/>
          <w:color w:val="B22222"/>
          <w:sz w:val="14"/>
          <w:szCs w:val="14"/>
          <w:vertAlign w:val="superscript"/>
          <w:lang w:bidi="ar-SA"/>
        </w:rPr>
        <w:t>[26]</w:t>
      </w:r>
    </w:p>
    <w:p w:rsidR="002A2E5E" w:rsidRPr="0090141D" w:rsidRDefault="002A2E5E" w:rsidP="002A2E5E">
      <w:pPr>
        <w:shd w:val="clear" w:color="auto" w:fill="FFFFFF"/>
        <w:spacing w:after="0" w:line="240" w:lineRule="auto"/>
        <w:rPr>
          <w:rFonts w:ascii="Times New Roman" w:eastAsia="Times New Roman" w:hAnsi="Times New Roman" w:cs="Times New Roman"/>
          <w:color w:val="2E2E2E"/>
          <w:sz w:val="14"/>
          <w:szCs w:val="14"/>
          <w:lang w:bidi="ar-SA"/>
        </w:rPr>
      </w:pPr>
      <w:r w:rsidRPr="002A2E5E">
        <w:rPr>
          <w:rFonts w:ascii="Times New Roman" w:eastAsia="Times New Roman" w:hAnsi="Times New Roman" w:cs="Times New Roman"/>
          <w:color w:val="333333"/>
          <w:sz w:val="14"/>
          <w:szCs w:val="14"/>
          <w:lang w:bidi="ar-SA"/>
        </w:rPr>
        <w:fldChar w:fldCharType="begin"/>
      </w:r>
      <w:r w:rsidRPr="002A2E5E">
        <w:rPr>
          <w:rFonts w:ascii="Times New Roman" w:eastAsia="Times New Roman" w:hAnsi="Times New Roman" w:cs="Times New Roman"/>
          <w:color w:val="333333"/>
          <w:sz w:val="14"/>
          <w:szCs w:val="14"/>
          <w:lang w:bidi="ar-SA"/>
        </w:rPr>
        <w:instrText xml:space="preserve"> HYPERLINK "https://www.thetorah.com/article/tzaraat-in-light-of-its-mesopotamian-parallels" </w:instrText>
      </w:r>
      <w:r w:rsidRPr="002A2E5E">
        <w:rPr>
          <w:rFonts w:ascii="Times New Roman" w:eastAsia="Times New Roman" w:hAnsi="Times New Roman" w:cs="Times New Roman"/>
          <w:color w:val="333333"/>
          <w:sz w:val="14"/>
          <w:szCs w:val="14"/>
          <w:lang w:bidi="ar-SA"/>
        </w:rPr>
        <w:fldChar w:fldCharType="separate"/>
      </w:r>
    </w:p>
    <w:p w:rsidR="002A2E5E" w:rsidRPr="002A2E5E" w:rsidRDefault="002A2E5E" w:rsidP="002A2E5E">
      <w:pPr>
        <w:shd w:val="clear" w:color="auto" w:fill="FFFFFF"/>
        <w:spacing w:after="0" w:line="240" w:lineRule="auto"/>
        <w:rPr>
          <w:rFonts w:ascii="Times New Roman" w:eastAsia="Times New Roman" w:hAnsi="Times New Roman" w:cs="Times New Roman"/>
          <w:color w:val="C32202"/>
          <w:sz w:val="19"/>
          <w:szCs w:val="19"/>
          <w:lang w:bidi="ar-SA"/>
        </w:rPr>
      </w:pPr>
      <w:r w:rsidRPr="002A2E5E">
        <w:rPr>
          <w:rFonts w:ascii="Times New Roman" w:eastAsia="Times New Roman" w:hAnsi="Times New Roman" w:cs="Times New Roman"/>
          <w:color w:val="C32202"/>
          <w:sz w:val="19"/>
          <w:szCs w:val="19"/>
          <w:lang w:bidi="ar-SA"/>
        </w:rPr>
        <w:t>View Footnotes</w:t>
      </w:r>
    </w:p>
    <w:p w:rsidR="002A2E5E" w:rsidRPr="002A2E5E" w:rsidRDefault="002A2E5E" w:rsidP="002A2E5E">
      <w:pPr>
        <w:shd w:val="clear" w:color="auto" w:fill="FFFFFF"/>
        <w:spacing w:after="0" w:line="24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zaraat-in-light-of-its-mesopotamian-parallels" style="width:23.85pt;height:23.85pt" o:button="t"/>
        </w:pict>
      </w:r>
      <w:r w:rsidRPr="002A2E5E">
        <w:rPr>
          <w:rFonts w:ascii="Times New Roman" w:eastAsia="Times New Roman" w:hAnsi="Times New Roman" w:cs="Times New Roman"/>
          <w:color w:val="333333"/>
          <w:sz w:val="14"/>
          <w:szCs w:val="14"/>
          <w:lang w:bidi="ar-SA"/>
        </w:rPr>
        <w:fldChar w:fldCharType="end"/>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rtl/>
          <w:lang w:bidi="ar-SA"/>
        </w:rPr>
      </w:pPr>
      <w:r w:rsidRPr="002A2E5E">
        <w:rPr>
          <w:rFonts w:ascii="Times New Roman" w:eastAsia="Times New Roman" w:hAnsi="Times New Roman" w:cs="Times New Roman"/>
          <w:color w:val="333333"/>
          <w:sz w:val="14"/>
          <w:szCs w:val="14"/>
          <w:lang w:bidi="ar-SA"/>
        </w:rPr>
        <w:t xml:space="preserve">See especially Jacob </w:t>
      </w:r>
      <w:proofErr w:type="spellStart"/>
      <w:r w:rsidRPr="002A2E5E">
        <w:rPr>
          <w:rFonts w:ascii="Times New Roman" w:eastAsia="Times New Roman" w:hAnsi="Times New Roman" w:cs="Times New Roman"/>
          <w:color w:val="333333"/>
          <w:sz w:val="14"/>
          <w:szCs w:val="14"/>
          <w:lang w:bidi="ar-SA"/>
        </w:rPr>
        <w:t>Milgrom</w:t>
      </w:r>
      <w:proofErr w:type="spellEnd"/>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Leviticus 1 – 16 </w:t>
      </w:r>
      <w:r w:rsidRPr="002A2E5E">
        <w:rPr>
          <w:rFonts w:ascii="Times New Roman" w:eastAsia="Times New Roman" w:hAnsi="Times New Roman" w:cs="Times New Roman"/>
          <w:color w:val="333333"/>
          <w:sz w:val="14"/>
          <w:szCs w:val="14"/>
          <w:lang w:bidi="ar-SA"/>
        </w:rPr>
        <w:t>(New York: Doubleday, 1991), 816–20, 1002–3.</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In a separate TABS article, Dr. </w:t>
      </w:r>
      <w:proofErr w:type="spellStart"/>
      <w:r w:rsidRPr="002A2E5E">
        <w:rPr>
          <w:rFonts w:ascii="Times New Roman" w:eastAsia="Times New Roman" w:hAnsi="Times New Roman" w:cs="Times New Roman"/>
          <w:color w:val="333333"/>
          <w:sz w:val="14"/>
          <w:szCs w:val="14"/>
          <w:lang w:bidi="ar-SA"/>
        </w:rPr>
        <w:t>Chaim</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Trachtman</w:t>
      </w:r>
      <w:proofErr w:type="spellEnd"/>
      <w:r w:rsidRPr="002A2E5E">
        <w:rPr>
          <w:rFonts w:ascii="Times New Roman" w:eastAsia="Times New Roman" w:hAnsi="Times New Roman" w:cs="Times New Roman"/>
          <w:color w:val="333333"/>
          <w:sz w:val="14"/>
          <w:szCs w:val="14"/>
          <w:lang w:bidi="ar-SA"/>
        </w:rPr>
        <w:t xml:space="preserve"> has raised a provocative new possibility that this disease should be identified as a type of cancer (</w:t>
      </w:r>
      <w:hyperlink r:id="rId6" w:tgtFrame="_blank" w:history="1">
        <w:r w:rsidRPr="0090141D">
          <w:rPr>
            <w:rFonts w:ascii="Times New Roman" w:eastAsia="Times New Roman" w:hAnsi="Times New Roman" w:cs="Times New Roman"/>
            <w:color w:val="000080"/>
            <w:sz w:val="14"/>
            <w:u w:val="single"/>
            <w:lang w:bidi="ar-SA"/>
          </w:rPr>
          <w:t>“</w:t>
        </w:r>
        <w:proofErr w:type="spellStart"/>
        <w:r w:rsidRPr="0090141D">
          <w:rPr>
            <w:rFonts w:ascii="Times New Roman" w:eastAsia="Times New Roman" w:hAnsi="Times New Roman" w:cs="Times New Roman"/>
            <w:color w:val="000080"/>
            <w:sz w:val="14"/>
            <w:u w:val="single"/>
            <w:lang w:bidi="ar-SA"/>
          </w:rPr>
          <w:t>Tzaraat</w:t>
        </w:r>
        <w:proofErr w:type="spellEnd"/>
        <w:r w:rsidRPr="0090141D">
          <w:rPr>
            <w:rFonts w:ascii="Times New Roman" w:eastAsia="Times New Roman" w:hAnsi="Times New Roman" w:cs="Times New Roman"/>
            <w:color w:val="000080"/>
            <w:sz w:val="14"/>
            <w:u w:val="single"/>
            <w:lang w:bidi="ar-SA"/>
          </w:rPr>
          <w:t xml:space="preserve"> as Cancer,”</w:t>
        </w:r>
      </w:hyperlink>
      <w:r w:rsidRPr="002A2E5E">
        <w:rPr>
          <w:rFonts w:ascii="Times New Roman" w:eastAsia="Times New Roman" w:hAnsi="Times New Roman" w:cs="Times New Roman"/>
          <w:color w:val="333333"/>
          <w:sz w:val="14"/>
          <w:szCs w:val="14"/>
          <w:lang w:bidi="ar-SA"/>
        </w:rPr>
        <w:t> </w:t>
      </w:r>
      <w:proofErr w:type="gramStart"/>
      <w:r w:rsidRPr="0090141D">
        <w:rPr>
          <w:rFonts w:ascii="Times New Roman" w:eastAsia="Times New Roman" w:hAnsi="Times New Roman" w:cs="Times New Roman"/>
          <w:i/>
          <w:iCs/>
          <w:color w:val="333333"/>
          <w:sz w:val="14"/>
          <w:lang w:bidi="ar-SA"/>
        </w:rPr>
        <w:t>TheTorah.com</w:t>
      </w:r>
      <w:r w:rsidRPr="002A2E5E">
        <w:rPr>
          <w:rFonts w:ascii="Times New Roman" w:eastAsia="Times New Roman" w:hAnsi="Times New Roman" w:cs="Times New Roman"/>
          <w:color w:val="333333"/>
          <w:sz w:val="14"/>
          <w:szCs w:val="14"/>
          <w:lang w:bidi="ar-SA"/>
        </w:rPr>
        <w:t>[</w:t>
      </w:r>
      <w:proofErr w:type="gramEnd"/>
      <w:r w:rsidRPr="002A2E5E">
        <w:rPr>
          <w:rFonts w:ascii="Times New Roman" w:eastAsia="Times New Roman" w:hAnsi="Times New Roman" w:cs="Times New Roman"/>
          <w:color w:val="333333"/>
          <w:sz w:val="14"/>
          <w:szCs w:val="14"/>
          <w:lang w:bidi="ar-SA"/>
        </w:rPr>
        <w:t>2016]), though this is unlikely since the banishment of the patient indicated in numerous biblical sources suggests that this malady was contagious.</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This disease was even the subject of an explicit dispute between the Qumran sectarians and the Rabbis. See my “The Polemic Regarding Skin Disease in 4QMMT,” </w:t>
      </w:r>
      <w:r w:rsidRPr="0090141D">
        <w:rPr>
          <w:rFonts w:ascii="Times New Roman" w:eastAsia="Times New Roman" w:hAnsi="Times New Roman" w:cs="Times New Roman"/>
          <w:i/>
          <w:iCs/>
          <w:color w:val="333333"/>
          <w:sz w:val="14"/>
          <w:lang w:bidi="ar-SA"/>
        </w:rPr>
        <w:t>Dead Sea Discoveries</w:t>
      </w:r>
      <w:r w:rsidRPr="002A2E5E">
        <w:rPr>
          <w:rFonts w:ascii="Times New Roman" w:eastAsia="Times New Roman" w:hAnsi="Times New Roman" w:cs="Times New Roman"/>
          <w:color w:val="333333"/>
          <w:sz w:val="14"/>
          <w:szCs w:val="14"/>
          <w:lang w:bidi="ar-SA"/>
        </w:rPr>
        <w:t xml:space="preserve"> 19 (2012): 55–70. For discussion of relevant New Testament evidence, see T. </w:t>
      </w:r>
      <w:proofErr w:type="spellStart"/>
      <w:r w:rsidRPr="002A2E5E">
        <w:rPr>
          <w:rFonts w:ascii="Times New Roman" w:eastAsia="Times New Roman" w:hAnsi="Times New Roman" w:cs="Times New Roman"/>
          <w:color w:val="333333"/>
          <w:sz w:val="14"/>
          <w:szCs w:val="14"/>
          <w:lang w:bidi="ar-SA"/>
        </w:rPr>
        <w:t>Kazen</w:t>
      </w:r>
      <w:proofErr w:type="spellEnd"/>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 xml:space="preserve">Jesus and Purity </w:t>
      </w:r>
      <w:proofErr w:type="spellStart"/>
      <w:r w:rsidRPr="0090141D">
        <w:rPr>
          <w:rFonts w:ascii="Times New Roman" w:eastAsia="Times New Roman" w:hAnsi="Times New Roman" w:cs="Times New Roman"/>
          <w:i/>
          <w:iCs/>
          <w:color w:val="333333"/>
          <w:sz w:val="14"/>
          <w:lang w:bidi="ar-SA"/>
        </w:rPr>
        <w:t>Halakhah</w:t>
      </w:r>
      <w:proofErr w:type="spellEnd"/>
      <w:r w:rsidRPr="002A2E5E">
        <w:rPr>
          <w:rFonts w:ascii="Times New Roman" w:eastAsia="Times New Roman" w:hAnsi="Times New Roman" w:cs="Times New Roman"/>
          <w:color w:val="333333"/>
          <w:sz w:val="14"/>
          <w:szCs w:val="14"/>
          <w:lang w:bidi="ar-SA"/>
        </w:rPr>
        <w:t xml:space="preserve"> (Stockholm: </w:t>
      </w:r>
      <w:proofErr w:type="spellStart"/>
      <w:r w:rsidRPr="002A2E5E">
        <w:rPr>
          <w:rFonts w:ascii="Times New Roman" w:eastAsia="Times New Roman" w:hAnsi="Times New Roman" w:cs="Times New Roman"/>
          <w:color w:val="333333"/>
          <w:sz w:val="14"/>
          <w:szCs w:val="14"/>
          <w:lang w:bidi="ar-SA"/>
        </w:rPr>
        <w:t>Almqvist</w:t>
      </w:r>
      <w:proofErr w:type="spellEnd"/>
      <w:r w:rsidRPr="002A2E5E">
        <w:rPr>
          <w:rFonts w:ascii="Times New Roman" w:eastAsia="Times New Roman" w:hAnsi="Times New Roman" w:cs="Times New Roman"/>
          <w:color w:val="333333"/>
          <w:sz w:val="14"/>
          <w:szCs w:val="14"/>
          <w:lang w:bidi="ar-SA"/>
        </w:rPr>
        <w:t xml:space="preserve"> &amp; </w:t>
      </w:r>
      <w:proofErr w:type="spellStart"/>
      <w:r w:rsidRPr="002A2E5E">
        <w:rPr>
          <w:rFonts w:ascii="Times New Roman" w:eastAsia="Times New Roman" w:hAnsi="Times New Roman" w:cs="Times New Roman"/>
          <w:color w:val="333333"/>
          <w:sz w:val="14"/>
          <w:szCs w:val="14"/>
          <w:lang w:bidi="ar-SA"/>
        </w:rPr>
        <w:t>Wiksell</w:t>
      </w:r>
      <w:proofErr w:type="spellEnd"/>
      <w:r w:rsidRPr="002A2E5E">
        <w:rPr>
          <w:rFonts w:ascii="Times New Roman" w:eastAsia="Times New Roman" w:hAnsi="Times New Roman" w:cs="Times New Roman"/>
          <w:color w:val="333333"/>
          <w:sz w:val="14"/>
          <w:szCs w:val="14"/>
          <w:lang w:bidi="ar-SA"/>
        </w:rPr>
        <w:t>, 2002), 116–8.</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See Moshe </w:t>
      </w:r>
      <w:proofErr w:type="spellStart"/>
      <w:r w:rsidRPr="002A2E5E">
        <w:rPr>
          <w:rFonts w:ascii="Times New Roman" w:eastAsia="Times New Roman" w:hAnsi="Times New Roman" w:cs="Times New Roman"/>
          <w:color w:val="333333"/>
          <w:sz w:val="14"/>
          <w:szCs w:val="14"/>
          <w:lang w:bidi="ar-SA"/>
        </w:rPr>
        <w:t>Weinfeld</w:t>
      </w:r>
      <w:proofErr w:type="spellEnd"/>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 xml:space="preserve">Deuteronomy and the </w:t>
      </w:r>
      <w:proofErr w:type="spellStart"/>
      <w:r w:rsidRPr="0090141D">
        <w:rPr>
          <w:rFonts w:ascii="Times New Roman" w:eastAsia="Times New Roman" w:hAnsi="Times New Roman" w:cs="Times New Roman"/>
          <w:i/>
          <w:iCs/>
          <w:color w:val="333333"/>
          <w:sz w:val="14"/>
          <w:lang w:bidi="ar-SA"/>
        </w:rPr>
        <w:t>Deuteronomic</w:t>
      </w:r>
      <w:proofErr w:type="spellEnd"/>
      <w:r w:rsidRPr="0090141D">
        <w:rPr>
          <w:rFonts w:ascii="Times New Roman" w:eastAsia="Times New Roman" w:hAnsi="Times New Roman" w:cs="Times New Roman"/>
          <w:i/>
          <w:iCs/>
          <w:color w:val="333333"/>
          <w:sz w:val="14"/>
          <w:lang w:bidi="ar-SA"/>
        </w:rPr>
        <w:t xml:space="preserve"> School, </w:t>
      </w:r>
      <w:r w:rsidRPr="002A2E5E">
        <w:rPr>
          <w:rFonts w:ascii="Times New Roman" w:eastAsia="Times New Roman" w:hAnsi="Times New Roman" w:cs="Times New Roman"/>
          <w:color w:val="333333"/>
          <w:sz w:val="14"/>
          <w:szCs w:val="14"/>
          <w:lang w:bidi="ar-SA"/>
        </w:rPr>
        <w:t>(Oxford: Clarendon, 1972), 117–8, n. 6, who calls attention to Ex 9:8–9: “Then the LORD said to Moses and Aaron, ‘Each of you take handfuls of soot from the kiln, and let Moses throw it toward the sky in the sight of Pharaoh. </w:t>
      </w:r>
      <w:r w:rsidRPr="0090141D">
        <w:rPr>
          <w:rFonts w:ascii="Times New Roman" w:eastAsia="Times New Roman" w:hAnsi="Times New Roman" w:cs="Times New Roman"/>
          <w:i/>
          <w:iCs/>
          <w:color w:val="333333"/>
          <w:sz w:val="14"/>
          <w:lang w:bidi="ar-SA"/>
        </w:rPr>
        <w:t>It shall become a fine dust all over the land of Egypt, and cause an inflammation breaking out in boils</w:t>
      </w:r>
      <w:r w:rsidRPr="002A2E5E">
        <w:rPr>
          <w:rFonts w:ascii="Times New Roman" w:eastAsia="Times New Roman" w:hAnsi="Times New Roman" w:cs="Times New Roman"/>
          <w:color w:val="333333"/>
          <w:sz w:val="14"/>
          <w:szCs w:val="14"/>
          <w:lang w:bidi="ar-SA"/>
        </w:rPr>
        <w:t> on man and beast throughout the land of Egypt” (NJPS).</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See CAD S 36–37; M. </w:t>
      </w:r>
      <w:proofErr w:type="spellStart"/>
      <w:proofErr w:type="gramStart"/>
      <w:r w:rsidRPr="002A2E5E">
        <w:rPr>
          <w:rFonts w:ascii="Times New Roman" w:eastAsia="Times New Roman" w:hAnsi="Times New Roman" w:cs="Times New Roman"/>
          <w:color w:val="333333"/>
          <w:sz w:val="14"/>
          <w:szCs w:val="14"/>
          <w:lang w:bidi="ar-SA"/>
        </w:rPr>
        <w:t>Stol</w:t>
      </w:r>
      <w:proofErr w:type="spellEnd"/>
      <w:proofErr w:type="gramEnd"/>
      <w:r w:rsidRPr="002A2E5E">
        <w:rPr>
          <w:rFonts w:ascii="Times New Roman" w:eastAsia="Times New Roman" w:hAnsi="Times New Roman" w:cs="Times New Roman"/>
          <w:color w:val="333333"/>
          <w:sz w:val="14"/>
          <w:szCs w:val="14"/>
          <w:lang w:bidi="ar-SA"/>
        </w:rPr>
        <w:t xml:space="preserve">, “Leprosy: New Light from Greek and Babylonian </w:t>
      </w:r>
      <w:proofErr w:type="spellStart"/>
      <w:r w:rsidRPr="002A2E5E">
        <w:rPr>
          <w:rFonts w:ascii="Times New Roman" w:eastAsia="Times New Roman" w:hAnsi="Times New Roman" w:cs="Times New Roman"/>
          <w:color w:val="333333"/>
          <w:sz w:val="14"/>
          <w:szCs w:val="14"/>
          <w:lang w:bidi="ar-SA"/>
        </w:rPr>
        <w:t>Sources,”</w:t>
      </w:r>
      <w:r w:rsidRPr="0090141D">
        <w:rPr>
          <w:rFonts w:ascii="Times New Roman" w:eastAsia="Times New Roman" w:hAnsi="Times New Roman" w:cs="Times New Roman"/>
          <w:i/>
          <w:iCs/>
          <w:color w:val="333333"/>
          <w:sz w:val="14"/>
          <w:lang w:bidi="ar-SA"/>
        </w:rPr>
        <w:t>Jaarbericht</w:t>
      </w:r>
      <w:proofErr w:type="spellEnd"/>
      <w:r w:rsidRPr="0090141D">
        <w:rPr>
          <w:rFonts w:ascii="Times New Roman" w:eastAsia="Times New Roman" w:hAnsi="Times New Roman" w:cs="Times New Roman"/>
          <w:i/>
          <w:iCs/>
          <w:color w:val="333333"/>
          <w:sz w:val="14"/>
          <w:lang w:bidi="ar-SA"/>
        </w:rPr>
        <w:t xml:space="preserve"> van het </w:t>
      </w:r>
      <w:proofErr w:type="spellStart"/>
      <w:r w:rsidRPr="0090141D">
        <w:rPr>
          <w:rFonts w:ascii="Times New Roman" w:eastAsia="Times New Roman" w:hAnsi="Times New Roman" w:cs="Times New Roman"/>
          <w:i/>
          <w:iCs/>
          <w:color w:val="333333"/>
          <w:sz w:val="14"/>
          <w:lang w:bidi="ar-SA"/>
        </w:rPr>
        <w:t>Vooraziatisch-Egyptisch</w:t>
      </w:r>
      <w:proofErr w:type="spellEnd"/>
      <w:r w:rsidRPr="0090141D">
        <w:rPr>
          <w:rFonts w:ascii="Times New Roman" w:eastAsia="Times New Roman" w:hAnsi="Times New Roman" w:cs="Times New Roman"/>
          <w:i/>
          <w:iCs/>
          <w:color w:val="333333"/>
          <w:sz w:val="14"/>
          <w:lang w:bidi="ar-SA"/>
        </w:rPr>
        <w:t xml:space="preserve"> </w:t>
      </w:r>
      <w:proofErr w:type="spellStart"/>
      <w:r w:rsidRPr="0090141D">
        <w:rPr>
          <w:rFonts w:ascii="Times New Roman" w:eastAsia="Times New Roman" w:hAnsi="Times New Roman" w:cs="Times New Roman"/>
          <w:i/>
          <w:iCs/>
          <w:color w:val="333333"/>
          <w:sz w:val="14"/>
          <w:lang w:bidi="ar-SA"/>
        </w:rPr>
        <w:t>Genootschap</w:t>
      </w:r>
      <w:proofErr w:type="spellEnd"/>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 xml:space="preserve">Ex </w:t>
      </w:r>
      <w:proofErr w:type="spellStart"/>
      <w:r w:rsidRPr="0090141D">
        <w:rPr>
          <w:rFonts w:ascii="Times New Roman" w:eastAsia="Times New Roman" w:hAnsi="Times New Roman" w:cs="Times New Roman"/>
          <w:i/>
          <w:iCs/>
          <w:color w:val="333333"/>
          <w:sz w:val="14"/>
          <w:lang w:bidi="ar-SA"/>
        </w:rPr>
        <w:t>Oriente</w:t>
      </w:r>
      <w:proofErr w:type="spellEnd"/>
      <w:r w:rsidRPr="0090141D">
        <w:rPr>
          <w:rFonts w:ascii="Times New Roman" w:eastAsia="Times New Roman" w:hAnsi="Times New Roman" w:cs="Times New Roman"/>
          <w:i/>
          <w:iCs/>
          <w:color w:val="333333"/>
          <w:sz w:val="14"/>
          <w:lang w:bidi="ar-SA"/>
        </w:rPr>
        <w:t xml:space="preserve"> </w:t>
      </w:r>
      <w:proofErr w:type="spellStart"/>
      <w:r w:rsidRPr="0090141D">
        <w:rPr>
          <w:rFonts w:ascii="Times New Roman" w:eastAsia="Times New Roman" w:hAnsi="Times New Roman" w:cs="Times New Roman"/>
          <w:i/>
          <w:iCs/>
          <w:color w:val="333333"/>
          <w:sz w:val="14"/>
          <w:lang w:bidi="ar-SA"/>
        </w:rPr>
        <w:t>Lux</w:t>
      </w:r>
      <w:proofErr w:type="spellEnd"/>
      <w:r w:rsidRPr="002A2E5E">
        <w:rPr>
          <w:rFonts w:ascii="Times New Roman" w:eastAsia="Times New Roman" w:hAnsi="Times New Roman" w:cs="Times New Roman"/>
          <w:color w:val="333333"/>
          <w:sz w:val="14"/>
          <w:szCs w:val="14"/>
          <w:lang w:bidi="ar-SA"/>
        </w:rPr>
        <w:t xml:space="preserve">) 30 (1989), 22–31; J. </w:t>
      </w:r>
      <w:proofErr w:type="spellStart"/>
      <w:r w:rsidRPr="002A2E5E">
        <w:rPr>
          <w:rFonts w:ascii="Times New Roman" w:eastAsia="Times New Roman" w:hAnsi="Times New Roman" w:cs="Times New Roman"/>
          <w:color w:val="333333"/>
          <w:sz w:val="14"/>
          <w:szCs w:val="14"/>
          <w:lang w:bidi="ar-SA"/>
        </w:rPr>
        <w:t>Scurlock</w:t>
      </w:r>
      <w:proofErr w:type="spellEnd"/>
      <w:r w:rsidRPr="002A2E5E">
        <w:rPr>
          <w:rFonts w:ascii="Times New Roman" w:eastAsia="Times New Roman" w:hAnsi="Times New Roman" w:cs="Times New Roman"/>
          <w:color w:val="333333"/>
          <w:sz w:val="14"/>
          <w:szCs w:val="14"/>
          <w:lang w:bidi="ar-SA"/>
        </w:rPr>
        <w:t xml:space="preserve"> and B. Andersen, </w:t>
      </w:r>
      <w:r w:rsidRPr="0090141D">
        <w:rPr>
          <w:rFonts w:ascii="Times New Roman" w:eastAsia="Times New Roman" w:hAnsi="Times New Roman" w:cs="Times New Roman"/>
          <w:i/>
          <w:iCs/>
          <w:color w:val="333333"/>
          <w:sz w:val="14"/>
          <w:lang w:bidi="ar-SA"/>
        </w:rPr>
        <w:t>Diagnoses in Assyrian and Babylonian Medicine </w:t>
      </w:r>
      <w:r w:rsidRPr="002A2E5E">
        <w:rPr>
          <w:rFonts w:ascii="Times New Roman" w:eastAsia="Times New Roman" w:hAnsi="Times New Roman" w:cs="Times New Roman"/>
          <w:color w:val="333333"/>
          <w:sz w:val="14"/>
          <w:szCs w:val="14"/>
          <w:lang w:bidi="ar-SA"/>
        </w:rPr>
        <w:t>(Chicago: Indiana University Press, 2005)</w:t>
      </w:r>
      <w:r w:rsidRPr="0090141D">
        <w:rPr>
          <w:rFonts w:ascii="Times New Roman" w:eastAsia="Times New Roman" w:hAnsi="Times New Roman" w:cs="Times New Roman"/>
          <w:i/>
          <w:iCs/>
          <w:color w:val="333333"/>
          <w:sz w:val="14"/>
          <w:lang w:bidi="ar-SA"/>
        </w:rPr>
        <w:t>, </w:t>
      </w:r>
      <w:r w:rsidRPr="002A2E5E">
        <w:rPr>
          <w:rFonts w:ascii="Times New Roman" w:eastAsia="Times New Roman" w:hAnsi="Times New Roman" w:cs="Times New Roman"/>
          <w:color w:val="333333"/>
          <w:sz w:val="14"/>
          <w:szCs w:val="14"/>
          <w:lang w:bidi="ar-SA"/>
        </w:rPr>
        <w:t xml:space="preserve">70–73, 231–33, 723–24, </w:t>
      </w:r>
      <w:proofErr w:type="spellStart"/>
      <w:r w:rsidRPr="002A2E5E">
        <w:rPr>
          <w:rFonts w:ascii="Times New Roman" w:eastAsia="Times New Roman" w:hAnsi="Times New Roman" w:cs="Times New Roman"/>
          <w:color w:val="333333"/>
          <w:sz w:val="14"/>
          <w:szCs w:val="14"/>
          <w:lang w:bidi="ar-SA"/>
        </w:rPr>
        <w:t>nn</w:t>
      </w:r>
      <w:proofErr w:type="spellEnd"/>
      <w:r w:rsidRPr="002A2E5E">
        <w:rPr>
          <w:rFonts w:ascii="Times New Roman" w:eastAsia="Times New Roman" w:hAnsi="Times New Roman" w:cs="Times New Roman"/>
          <w:color w:val="333333"/>
          <w:sz w:val="14"/>
          <w:szCs w:val="14"/>
          <w:lang w:bidi="ar-SA"/>
        </w:rPr>
        <w:t xml:space="preserve">. 139–40; “Disgust, Disease and Defilement: The Experiential Basis for </w:t>
      </w:r>
      <w:proofErr w:type="spellStart"/>
      <w:r w:rsidRPr="002A2E5E">
        <w:rPr>
          <w:rFonts w:ascii="Times New Roman" w:eastAsia="Times New Roman" w:hAnsi="Times New Roman" w:cs="Times New Roman"/>
          <w:color w:val="333333"/>
          <w:sz w:val="14"/>
          <w:szCs w:val="14"/>
          <w:lang w:bidi="ar-SA"/>
        </w:rPr>
        <w:t>Akkadian</w:t>
      </w:r>
      <w:proofErr w:type="spellEnd"/>
      <w:r w:rsidRPr="002A2E5E">
        <w:rPr>
          <w:rFonts w:ascii="Times New Roman" w:eastAsia="Times New Roman" w:hAnsi="Times New Roman" w:cs="Times New Roman"/>
          <w:color w:val="333333"/>
          <w:sz w:val="14"/>
          <w:szCs w:val="14"/>
          <w:lang w:bidi="ar-SA"/>
        </w:rPr>
        <w:t xml:space="preserve"> and Hittite Terms for Pollution,” </w:t>
      </w:r>
      <w:r w:rsidRPr="0090141D">
        <w:rPr>
          <w:rFonts w:ascii="Times New Roman" w:eastAsia="Times New Roman" w:hAnsi="Times New Roman" w:cs="Times New Roman"/>
          <w:i/>
          <w:iCs/>
          <w:color w:val="333333"/>
          <w:sz w:val="14"/>
          <w:lang w:bidi="ar-SA"/>
        </w:rPr>
        <w:t>Journal of the American Oriental Society</w:t>
      </w:r>
      <w:r w:rsidRPr="002A2E5E">
        <w:rPr>
          <w:rFonts w:ascii="Times New Roman" w:eastAsia="Times New Roman" w:hAnsi="Times New Roman" w:cs="Times New Roman"/>
          <w:color w:val="333333"/>
          <w:sz w:val="14"/>
          <w:szCs w:val="14"/>
          <w:lang w:bidi="ar-SA"/>
        </w:rPr>
        <w:t> 136 (2016): 99–116.</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For a detailed analysis of these curse formulas, attested in documents from the 14</w:t>
      </w:r>
      <w:r w:rsidRPr="002A2E5E">
        <w:rPr>
          <w:rFonts w:ascii="Times New Roman" w:eastAsia="Times New Roman" w:hAnsi="Times New Roman" w:cs="Times New Roman"/>
          <w:color w:val="333333"/>
          <w:sz w:val="11"/>
          <w:szCs w:val="11"/>
          <w:vertAlign w:val="superscript"/>
          <w:lang w:bidi="ar-SA"/>
        </w:rPr>
        <w:t>th</w:t>
      </w:r>
      <w:r w:rsidRPr="002A2E5E">
        <w:rPr>
          <w:rFonts w:ascii="Times New Roman" w:eastAsia="Times New Roman" w:hAnsi="Times New Roman" w:cs="Times New Roman"/>
          <w:color w:val="333333"/>
          <w:sz w:val="14"/>
          <w:szCs w:val="14"/>
          <w:lang w:bidi="ar-SA"/>
        </w:rPr>
        <w:t>–7</w:t>
      </w:r>
      <w:r w:rsidRPr="002A2E5E">
        <w:rPr>
          <w:rFonts w:ascii="Times New Roman" w:eastAsia="Times New Roman" w:hAnsi="Times New Roman" w:cs="Times New Roman"/>
          <w:color w:val="333333"/>
          <w:sz w:val="11"/>
          <w:szCs w:val="11"/>
          <w:vertAlign w:val="superscript"/>
          <w:lang w:bidi="ar-SA"/>
        </w:rPr>
        <w:t>th</w:t>
      </w:r>
      <w:r w:rsidRPr="002A2E5E">
        <w:rPr>
          <w:rFonts w:ascii="Times New Roman" w:eastAsia="Times New Roman" w:hAnsi="Times New Roman" w:cs="Times New Roman"/>
          <w:color w:val="333333"/>
          <w:sz w:val="14"/>
          <w:szCs w:val="14"/>
          <w:lang w:bidi="ar-SA"/>
        </w:rPr>
        <w:t xml:space="preserve">cent. BCE, see K. Watanabe, “Die </w:t>
      </w:r>
      <w:proofErr w:type="spellStart"/>
      <w:r w:rsidRPr="002A2E5E">
        <w:rPr>
          <w:rFonts w:ascii="Times New Roman" w:eastAsia="Times New Roman" w:hAnsi="Times New Roman" w:cs="Times New Roman"/>
          <w:color w:val="333333"/>
          <w:sz w:val="14"/>
          <w:szCs w:val="14"/>
          <w:lang w:bidi="ar-SA"/>
        </w:rPr>
        <w:t>literarische</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Überlieferung</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eines</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babylonisch-assyrischen</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Fluchthemas</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mit</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Anrufung</w:t>
      </w:r>
      <w:proofErr w:type="spellEnd"/>
      <w:r w:rsidRPr="002A2E5E">
        <w:rPr>
          <w:rFonts w:ascii="Times New Roman" w:eastAsia="Times New Roman" w:hAnsi="Times New Roman" w:cs="Times New Roman"/>
          <w:color w:val="333333"/>
          <w:sz w:val="14"/>
          <w:szCs w:val="14"/>
          <w:lang w:bidi="ar-SA"/>
        </w:rPr>
        <w:t xml:space="preserve"> des </w:t>
      </w:r>
      <w:proofErr w:type="spellStart"/>
      <w:r w:rsidRPr="002A2E5E">
        <w:rPr>
          <w:rFonts w:ascii="Times New Roman" w:eastAsia="Times New Roman" w:hAnsi="Times New Roman" w:cs="Times New Roman"/>
          <w:color w:val="333333"/>
          <w:sz w:val="14"/>
          <w:szCs w:val="14"/>
          <w:lang w:bidi="ar-SA"/>
        </w:rPr>
        <w:t>Mondgottes</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Sîn</w:t>
      </w:r>
      <w:proofErr w:type="spellEnd"/>
      <w:r w:rsidRPr="002A2E5E">
        <w:rPr>
          <w:rFonts w:ascii="Times New Roman" w:eastAsia="Times New Roman" w:hAnsi="Times New Roman" w:cs="Times New Roman"/>
          <w:color w:val="333333"/>
          <w:sz w:val="14"/>
          <w:szCs w:val="14"/>
          <w:lang w:bidi="ar-SA"/>
        </w:rPr>
        <w:t>,” </w:t>
      </w:r>
      <w:proofErr w:type="spellStart"/>
      <w:r w:rsidRPr="0090141D">
        <w:rPr>
          <w:rFonts w:ascii="Times New Roman" w:eastAsia="Times New Roman" w:hAnsi="Times New Roman" w:cs="Times New Roman"/>
          <w:i/>
          <w:iCs/>
          <w:color w:val="333333"/>
          <w:sz w:val="14"/>
          <w:lang w:bidi="ar-SA"/>
        </w:rPr>
        <w:t>Acta</w:t>
      </w:r>
      <w:proofErr w:type="spellEnd"/>
      <w:r w:rsidRPr="0090141D">
        <w:rPr>
          <w:rFonts w:ascii="Times New Roman" w:eastAsia="Times New Roman" w:hAnsi="Times New Roman" w:cs="Times New Roman"/>
          <w:i/>
          <w:iCs/>
          <w:color w:val="333333"/>
          <w:sz w:val="14"/>
          <w:lang w:bidi="ar-SA"/>
        </w:rPr>
        <w:t xml:space="preserve"> </w:t>
      </w:r>
      <w:proofErr w:type="spellStart"/>
      <w:r w:rsidRPr="0090141D">
        <w:rPr>
          <w:rFonts w:ascii="Times New Roman" w:eastAsia="Times New Roman" w:hAnsi="Times New Roman" w:cs="Times New Roman"/>
          <w:i/>
          <w:iCs/>
          <w:color w:val="333333"/>
          <w:sz w:val="14"/>
          <w:lang w:bidi="ar-SA"/>
        </w:rPr>
        <w:t>Sumerologica</w:t>
      </w:r>
      <w:proofErr w:type="spellEnd"/>
      <w:r w:rsidRPr="0090141D">
        <w:rPr>
          <w:rFonts w:ascii="Times New Roman" w:eastAsia="Times New Roman" w:hAnsi="Times New Roman" w:cs="Times New Roman"/>
          <w:i/>
          <w:iCs/>
          <w:color w:val="333333"/>
          <w:sz w:val="14"/>
          <w:lang w:bidi="ar-SA"/>
        </w:rPr>
        <w:t> </w:t>
      </w:r>
      <w:r w:rsidRPr="002A2E5E">
        <w:rPr>
          <w:rFonts w:ascii="Times New Roman" w:eastAsia="Times New Roman" w:hAnsi="Times New Roman" w:cs="Times New Roman"/>
          <w:color w:val="333333"/>
          <w:sz w:val="14"/>
          <w:szCs w:val="14"/>
          <w:lang w:bidi="ar-SA"/>
        </w:rPr>
        <w:t>6 (1984), 99–119.</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See A. </w:t>
      </w:r>
      <w:proofErr w:type="spellStart"/>
      <w:r w:rsidRPr="002A2E5E">
        <w:rPr>
          <w:rFonts w:ascii="Times New Roman" w:eastAsia="Times New Roman" w:hAnsi="Times New Roman" w:cs="Times New Roman"/>
          <w:color w:val="333333"/>
          <w:sz w:val="14"/>
          <w:szCs w:val="14"/>
          <w:lang w:bidi="ar-SA"/>
        </w:rPr>
        <w:t>Tsukimoto</w:t>
      </w:r>
      <w:proofErr w:type="gramStart"/>
      <w:r w:rsidRPr="002A2E5E">
        <w:rPr>
          <w:rFonts w:ascii="Times New Roman" w:eastAsia="Times New Roman" w:hAnsi="Times New Roman" w:cs="Times New Roman"/>
          <w:color w:val="333333"/>
          <w:sz w:val="14"/>
          <w:szCs w:val="14"/>
          <w:lang w:bidi="ar-SA"/>
        </w:rPr>
        <w:t>,“</w:t>
      </w:r>
      <w:proofErr w:type="gramEnd"/>
      <w:r w:rsidRPr="002A2E5E">
        <w:rPr>
          <w:rFonts w:ascii="Times New Roman" w:eastAsia="Times New Roman" w:hAnsi="Times New Roman" w:cs="Times New Roman"/>
          <w:color w:val="333333"/>
          <w:sz w:val="14"/>
          <w:szCs w:val="14"/>
          <w:lang w:bidi="ar-SA"/>
        </w:rPr>
        <w:t>‘By</w:t>
      </w:r>
      <w:proofErr w:type="spellEnd"/>
      <w:r w:rsidRPr="002A2E5E">
        <w:rPr>
          <w:rFonts w:ascii="Times New Roman" w:eastAsia="Times New Roman" w:hAnsi="Times New Roman" w:cs="Times New Roman"/>
          <w:color w:val="333333"/>
          <w:sz w:val="14"/>
          <w:szCs w:val="14"/>
          <w:lang w:bidi="ar-SA"/>
        </w:rPr>
        <w:t xml:space="preserve"> the Hand of </w:t>
      </w:r>
      <w:proofErr w:type="spellStart"/>
      <w:r w:rsidRPr="002A2E5E">
        <w:rPr>
          <w:rFonts w:ascii="Times New Roman" w:eastAsia="Times New Roman" w:hAnsi="Times New Roman" w:cs="Times New Roman"/>
          <w:color w:val="333333"/>
          <w:sz w:val="14"/>
          <w:szCs w:val="14"/>
          <w:lang w:bidi="ar-SA"/>
        </w:rPr>
        <w:t>Madi</w:t>
      </w:r>
      <w:proofErr w:type="spellEnd"/>
      <w:r w:rsidRPr="002A2E5E">
        <w:rPr>
          <w:rFonts w:ascii="Times New Roman" w:eastAsia="Times New Roman" w:hAnsi="Times New Roman" w:cs="Times New Roman"/>
          <w:color w:val="333333"/>
          <w:sz w:val="14"/>
          <w:szCs w:val="14"/>
          <w:lang w:bidi="ar-SA"/>
        </w:rPr>
        <w:t>-Dagan, the Scribe and </w:t>
      </w:r>
      <w:proofErr w:type="spellStart"/>
      <w:r w:rsidRPr="0090141D">
        <w:rPr>
          <w:rFonts w:ascii="Times New Roman" w:eastAsia="Times New Roman" w:hAnsi="Times New Roman" w:cs="Times New Roman"/>
          <w:i/>
          <w:iCs/>
          <w:color w:val="333333"/>
          <w:sz w:val="14"/>
          <w:lang w:bidi="ar-SA"/>
        </w:rPr>
        <w:t>Apkallu</w:t>
      </w:r>
      <w:proofErr w:type="spellEnd"/>
      <w:r w:rsidRPr="0090141D">
        <w:rPr>
          <w:rFonts w:ascii="Times New Roman" w:eastAsia="Times New Roman" w:hAnsi="Times New Roman" w:cs="Times New Roman"/>
          <w:i/>
          <w:iCs/>
          <w:color w:val="333333"/>
          <w:sz w:val="14"/>
          <w:lang w:bidi="ar-SA"/>
        </w:rPr>
        <w:t>-</w:t>
      </w:r>
      <w:r w:rsidRPr="002A2E5E">
        <w:rPr>
          <w:rFonts w:ascii="Times New Roman" w:eastAsia="Times New Roman" w:hAnsi="Times New Roman" w:cs="Times New Roman"/>
          <w:color w:val="333333"/>
          <w:sz w:val="14"/>
          <w:szCs w:val="14"/>
          <w:lang w:bidi="ar-SA"/>
        </w:rPr>
        <w:t>Priest’ – A Medical Text from the Middle Euphrates Region,” in K. Watanabe (ed.),</w:t>
      </w:r>
      <w:r w:rsidRPr="0090141D">
        <w:rPr>
          <w:rFonts w:ascii="Times New Roman" w:eastAsia="Times New Roman" w:hAnsi="Times New Roman" w:cs="Times New Roman"/>
          <w:i/>
          <w:iCs/>
          <w:color w:val="333333"/>
          <w:sz w:val="14"/>
          <w:lang w:bidi="ar-SA"/>
        </w:rPr>
        <w:t> Priests and Officials in the Ancient Near East </w:t>
      </w:r>
      <w:r w:rsidRPr="002A2E5E">
        <w:rPr>
          <w:rFonts w:ascii="Times New Roman" w:eastAsia="Times New Roman" w:hAnsi="Times New Roman" w:cs="Times New Roman"/>
          <w:color w:val="333333"/>
          <w:sz w:val="14"/>
          <w:szCs w:val="14"/>
          <w:lang w:bidi="ar-SA"/>
        </w:rPr>
        <w:t>(Heidelberg: Winter, 1999), 187–200. The following abbreviated discussion is based on my article: “Behind the Scenes of a Priestly Polemic: Leviticus 14 and its Extra-Biblical Parallels,” </w:t>
      </w:r>
      <w:r w:rsidRPr="0090141D">
        <w:rPr>
          <w:rFonts w:ascii="Times New Roman" w:eastAsia="Times New Roman" w:hAnsi="Times New Roman" w:cs="Times New Roman"/>
          <w:i/>
          <w:iCs/>
          <w:color w:val="333333"/>
          <w:sz w:val="14"/>
          <w:lang w:bidi="ar-SA"/>
        </w:rPr>
        <w:t>Journal of Hebrew Scriptures</w:t>
      </w:r>
      <w:r w:rsidRPr="002A2E5E">
        <w:rPr>
          <w:rFonts w:ascii="Times New Roman" w:eastAsia="Times New Roman" w:hAnsi="Times New Roman" w:cs="Times New Roman"/>
          <w:color w:val="333333"/>
          <w:sz w:val="14"/>
          <w:szCs w:val="14"/>
          <w:lang w:bidi="ar-SA"/>
        </w:rPr>
        <w:t> 15.4 (2015): 1–26 http://www.jhsonline.org/Articles/article_207.pdf</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See further </w:t>
      </w:r>
      <w:proofErr w:type="spellStart"/>
      <w:r w:rsidRPr="002A2E5E">
        <w:rPr>
          <w:rFonts w:ascii="Times New Roman" w:eastAsia="Times New Roman" w:hAnsi="Times New Roman" w:cs="Times New Roman"/>
          <w:color w:val="333333"/>
          <w:sz w:val="14"/>
          <w:szCs w:val="14"/>
          <w:lang w:bidi="ar-SA"/>
        </w:rPr>
        <w:t>Noga</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Ayali-Darshan</w:t>
      </w:r>
      <w:proofErr w:type="spellEnd"/>
      <w:r w:rsidRPr="002A2E5E">
        <w:rPr>
          <w:rFonts w:ascii="Times New Roman" w:eastAsia="Times New Roman" w:hAnsi="Times New Roman" w:cs="Times New Roman"/>
          <w:color w:val="333333"/>
          <w:sz w:val="14"/>
          <w:szCs w:val="14"/>
          <w:lang w:bidi="ar-SA"/>
        </w:rPr>
        <w:t>, </w:t>
      </w:r>
      <w:hyperlink r:id="rId7" w:tgtFrame="_blank" w:history="1">
        <w:r w:rsidRPr="0090141D">
          <w:rPr>
            <w:rFonts w:ascii="Times New Roman" w:eastAsia="Times New Roman" w:hAnsi="Times New Roman" w:cs="Times New Roman"/>
            <w:color w:val="000080"/>
            <w:sz w:val="14"/>
            <w:u w:val="single"/>
            <w:lang w:bidi="ar-SA"/>
          </w:rPr>
          <w:t>“</w:t>
        </w:r>
        <w:proofErr w:type="spellStart"/>
        <w:r w:rsidRPr="0090141D">
          <w:rPr>
            <w:rFonts w:ascii="Times New Roman" w:eastAsia="Times New Roman" w:hAnsi="Times New Roman" w:cs="Times New Roman"/>
            <w:color w:val="000080"/>
            <w:sz w:val="14"/>
            <w:u w:val="single"/>
            <w:lang w:bidi="ar-SA"/>
          </w:rPr>
          <w:t>Sukkot’s</w:t>
        </w:r>
        <w:proofErr w:type="spellEnd"/>
        <w:r w:rsidRPr="0090141D">
          <w:rPr>
            <w:rFonts w:ascii="Times New Roman" w:eastAsia="Times New Roman" w:hAnsi="Times New Roman" w:cs="Times New Roman"/>
            <w:color w:val="000080"/>
            <w:sz w:val="14"/>
            <w:u w:val="single"/>
            <w:lang w:bidi="ar-SA"/>
          </w:rPr>
          <w:t xml:space="preserve"> Seventy Bulls,”</w:t>
        </w:r>
      </w:hyperlink>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TheTorah.com</w:t>
      </w:r>
      <w:r w:rsidRPr="002A2E5E">
        <w:rPr>
          <w:rFonts w:ascii="Times New Roman" w:eastAsia="Times New Roman" w:hAnsi="Times New Roman" w:cs="Times New Roman"/>
          <w:color w:val="333333"/>
          <w:sz w:val="14"/>
          <w:szCs w:val="14"/>
          <w:lang w:bidi="ar-SA"/>
        </w:rPr>
        <w:t> (2016).</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Lines 87–89. My translation differs significantly from that </w:t>
      </w:r>
      <w:proofErr w:type="spellStart"/>
      <w:r w:rsidRPr="002A2E5E">
        <w:rPr>
          <w:rFonts w:ascii="Times New Roman" w:eastAsia="Times New Roman" w:hAnsi="Times New Roman" w:cs="Times New Roman"/>
          <w:color w:val="333333"/>
          <w:sz w:val="14"/>
          <w:szCs w:val="14"/>
          <w:lang w:bidi="ar-SA"/>
        </w:rPr>
        <w:t>Tsukimoto</w:t>
      </w:r>
      <w:proofErr w:type="spellEnd"/>
      <w:r w:rsidRPr="002A2E5E">
        <w:rPr>
          <w:rFonts w:ascii="Times New Roman" w:eastAsia="Times New Roman" w:hAnsi="Times New Roman" w:cs="Times New Roman"/>
          <w:color w:val="333333"/>
          <w:sz w:val="14"/>
          <w:szCs w:val="14"/>
          <w:lang w:bidi="ar-SA"/>
        </w:rPr>
        <w:t>. For further discussion, see my “Behind the Scenes,” 6–8.</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Specifically, see the remarks of </w:t>
      </w:r>
      <w:proofErr w:type="spellStart"/>
      <w:r w:rsidRPr="002A2E5E">
        <w:rPr>
          <w:rFonts w:ascii="Times New Roman" w:eastAsia="Times New Roman" w:hAnsi="Times New Roman" w:cs="Times New Roman"/>
          <w:color w:val="333333"/>
          <w:sz w:val="14"/>
          <w:szCs w:val="14"/>
          <w:lang w:bidi="ar-SA"/>
        </w:rPr>
        <w:t>Yehezkel</w:t>
      </w:r>
      <w:proofErr w:type="spellEnd"/>
      <w:r w:rsidRPr="002A2E5E">
        <w:rPr>
          <w:rFonts w:ascii="Times New Roman" w:eastAsia="Times New Roman" w:hAnsi="Times New Roman" w:cs="Times New Roman"/>
          <w:color w:val="333333"/>
          <w:sz w:val="14"/>
          <w:szCs w:val="14"/>
          <w:lang w:bidi="ar-SA"/>
        </w:rPr>
        <w:t xml:space="preserve"> Kaufmann and Jacob </w:t>
      </w:r>
      <w:proofErr w:type="spellStart"/>
      <w:r w:rsidRPr="002A2E5E">
        <w:rPr>
          <w:rFonts w:ascii="Times New Roman" w:eastAsia="Times New Roman" w:hAnsi="Times New Roman" w:cs="Times New Roman"/>
          <w:color w:val="333333"/>
          <w:sz w:val="14"/>
          <w:szCs w:val="14"/>
          <w:lang w:bidi="ar-SA"/>
        </w:rPr>
        <w:t>Milgrom</w:t>
      </w:r>
      <w:proofErr w:type="spellEnd"/>
      <w:r w:rsidRPr="002A2E5E">
        <w:rPr>
          <w:rFonts w:ascii="Times New Roman" w:eastAsia="Times New Roman" w:hAnsi="Times New Roman" w:cs="Times New Roman"/>
          <w:color w:val="333333"/>
          <w:sz w:val="14"/>
          <w:szCs w:val="14"/>
          <w:lang w:bidi="ar-SA"/>
        </w:rPr>
        <w:t xml:space="preserve"> cited below.</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See J.D. </w:t>
      </w:r>
      <w:proofErr w:type="spellStart"/>
      <w:r w:rsidRPr="002A2E5E">
        <w:rPr>
          <w:rFonts w:ascii="Times New Roman" w:eastAsia="Times New Roman" w:hAnsi="Times New Roman" w:cs="Times New Roman"/>
          <w:color w:val="333333"/>
          <w:sz w:val="14"/>
          <w:szCs w:val="14"/>
          <w:lang w:bidi="ar-SA"/>
        </w:rPr>
        <w:t>Smoak</w:t>
      </w:r>
      <w:proofErr w:type="spellEnd"/>
      <w:r w:rsidRPr="002A2E5E">
        <w:rPr>
          <w:rFonts w:ascii="Times New Roman" w:eastAsia="Times New Roman" w:hAnsi="Times New Roman" w:cs="Times New Roman"/>
          <w:color w:val="333333"/>
          <w:sz w:val="14"/>
          <w:szCs w:val="14"/>
          <w:lang w:bidi="ar-SA"/>
        </w:rPr>
        <w:t xml:space="preserve">, “May YHWH Bless You and Keep You from Evil: The Rhetorical Argument of </w:t>
      </w:r>
      <w:proofErr w:type="spellStart"/>
      <w:r w:rsidRPr="002A2E5E">
        <w:rPr>
          <w:rFonts w:ascii="Times New Roman" w:eastAsia="Times New Roman" w:hAnsi="Times New Roman" w:cs="Times New Roman"/>
          <w:color w:val="333333"/>
          <w:sz w:val="14"/>
          <w:szCs w:val="14"/>
          <w:lang w:bidi="ar-SA"/>
        </w:rPr>
        <w:t>Ketef</w:t>
      </w:r>
      <w:proofErr w:type="spellEnd"/>
      <w:r w:rsidRPr="002A2E5E">
        <w:rPr>
          <w:rFonts w:ascii="Times New Roman" w:eastAsia="Times New Roman" w:hAnsi="Times New Roman" w:cs="Times New Roman"/>
          <w:color w:val="333333"/>
          <w:sz w:val="14"/>
          <w:szCs w:val="14"/>
          <w:lang w:bidi="ar-SA"/>
        </w:rPr>
        <w:t xml:space="preserve"> </w:t>
      </w:r>
      <w:proofErr w:type="spellStart"/>
      <w:r w:rsidRPr="002A2E5E">
        <w:rPr>
          <w:rFonts w:ascii="Times New Roman" w:eastAsia="Times New Roman" w:hAnsi="Times New Roman" w:cs="Times New Roman"/>
          <w:color w:val="333333"/>
          <w:sz w:val="14"/>
          <w:szCs w:val="14"/>
          <w:lang w:bidi="ar-SA"/>
        </w:rPr>
        <w:t>Hinnom</w:t>
      </w:r>
      <w:proofErr w:type="spellEnd"/>
      <w:r w:rsidRPr="002A2E5E">
        <w:rPr>
          <w:rFonts w:ascii="Times New Roman" w:eastAsia="Times New Roman" w:hAnsi="Times New Roman" w:cs="Times New Roman"/>
          <w:color w:val="333333"/>
          <w:sz w:val="14"/>
          <w:szCs w:val="14"/>
          <w:lang w:bidi="ar-SA"/>
        </w:rPr>
        <w:t xml:space="preserve"> Amulet I and the Form of the Prayers for Deliverance in the Psalms,” </w:t>
      </w:r>
      <w:r w:rsidRPr="0090141D">
        <w:rPr>
          <w:rFonts w:ascii="Times New Roman" w:eastAsia="Times New Roman" w:hAnsi="Times New Roman" w:cs="Times New Roman"/>
          <w:i/>
          <w:iCs/>
          <w:color w:val="333333"/>
          <w:sz w:val="14"/>
          <w:lang w:bidi="ar-SA"/>
        </w:rPr>
        <w:t>JANER </w:t>
      </w:r>
      <w:r w:rsidRPr="002A2E5E">
        <w:rPr>
          <w:rFonts w:ascii="Times New Roman" w:eastAsia="Times New Roman" w:hAnsi="Times New Roman" w:cs="Times New Roman"/>
          <w:color w:val="333333"/>
          <w:sz w:val="14"/>
          <w:szCs w:val="14"/>
          <w:lang w:bidi="ar-SA"/>
        </w:rPr>
        <w:t>12 (2012), 202–36; idem, </w:t>
      </w:r>
      <w:r w:rsidRPr="0090141D">
        <w:rPr>
          <w:rFonts w:ascii="Times New Roman" w:eastAsia="Times New Roman" w:hAnsi="Times New Roman" w:cs="Times New Roman"/>
          <w:i/>
          <w:iCs/>
          <w:color w:val="333333"/>
          <w:sz w:val="14"/>
          <w:lang w:bidi="ar-SA"/>
        </w:rPr>
        <w:t>The Priestly Blessing in Inscription and Scripture</w:t>
      </w:r>
      <w:r w:rsidR="0090141D" w:rsidRPr="0090141D">
        <w:rPr>
          <w:rFonts w:ascii="Times New Roman" w:eastAsia="Times New Roman" w:hAnsi="Times New Roman" w:cs="Times New Roman" w:hint="cs"/>
          <w:i/>
          <w:iCs/>
          <w:color w:val="333333"/>
          <w:sz w:val="14"/>
          <w:rtl/>
        </w:rPr>
        <w:t xml:space="preserve"> </w:t>
      </w:r>
      <w:r w:rsidRPr="002A2E5E">
        <w:rPr>
          <w:rFonts w:ascii="Times New Roman" w:eastAsia="Times New Roman" w:hAnsi="Times New Roman" w:cs="Times New Roman"/>
          <w:color w:val="333333"/>
          <w:sz w:val="14"/>
          <w:szCs w:val="14"/>
          <w:lang w:bidi="ar-SA"/>
        </w:rPr>
        <w:t xml:space="preserve">(Oxford: Oxford University Press, 2016); B.B. Schmidt, “The Social Matrix of Early Judean Magic and Divination: From ‘Top Down’ or ‘Bottom Up,’” in B.J. Collins and P. </w:t>
      </w:r>
      <w:proofErr w:type="spellStart"/>
      <w:r w:rsidRPr="002A2E5E">
        <w:rPr>
          <w:rFonts w:ascii="Times New Roman" w:eastAsia="Times New Roman" w:hAnsi="Times New Roman" w:cs="Times New Roman"/>
          <w:color w:val="333333"/>
          <w:sz w:val="14"/>
          <w:szCs w:val="14"/>
          <w:lang w:bidi="ar-SA"/>
        </w:rPr>
        <w:t>Michalowski</w:t>
      </w:r>
      <w:proofErr w:type="spellEnd"/>
      <w:r w:rsidRPr="002A2E5E">
        <w:rPr>
          <w:rFonts w:ascii="Times New Roman" w:eastAsia="Times New Roman" w:hAnsi="Times New Roman" w:cs="Times New Roman"/>
          <w:color w:val="333333"/>
          <w:sz w:val="14"/>
          <w:szCs w:val="14"/>
          <w:lang w:bidi="ar-SA"/>
        </w:rPr>
        <w:t xml:space="preserve"> (eds.),</w:t>
      </w:r>
      <w:r w:rsidRPr="0090141D">
        <w:rPr>
          <w:rFonts w:ascii="Times New Roman" w:eastAsia="Times New Roman" w:hAnsi="Times New Roman" w:cs="Times New Roman"/>
          <w:i/>
          <w:iCs/>
          <w:color w:val="333333"/>
          <w:sz w:val="14"/>
          <w:lang w:bidi="ar-SA"/>
        </w:rPr>
        <w:t xml:space="preserve"> Beyond </w:t>
      </w:r>
      <w:proofErr w:type="spellStart"/>
      <w:r w:rsidRPr="0090141D">
        <w:rPr>
          <w:rFonts w:ascii="Times New Roman" w:eastAsia="Times New Roman" w:hAnsi="Times New Roman" w:cs="Times New Roman"/>
          <w:i/>
          <w:iCs/>
          <w:color w:val="333333"/>
          <w:sz w:val="14"/>
          <w:lang w:bidi="ar-SA"/>
        </w:rPr>
        <w:t>Hatti</w:t>
      </w:r>
      <w:proofErr w:type="spellEnd"/>
      <w:r w:rsidRPr="0090141D">
        <w:rPr>
          <w:rFonts w:ascii="Times New Roman" w:eastAsia="Times New Roman" w:hAnsi="Times New Roman" w:cs="Times New Roman"/>
          <w:i/>
          <w:iCs/>
          <w:color w:val="333333"/>
          <w:sz w:val="14"/>
          <w:lang w:bidi="ar-SA"/>
        </w:rPr>
        <w:t>: A Tribute to Gary Beckman </w:t>
      </w:r>
      <w:r w:rsidRPr="002A2E5E">
        <w:rPr>
          <w:rFonts w:ascii="Times New Roman" w:eastAsia="Times New Roman" w:hAnsi="Times New Roman" w:cs="Times New Roman"/>
          <w:color w:val="333333"/>
          <w:sz w:val="14"/>
          <w:szCs w:val="14"/>
          <w:lang w:bidi="ar-SA"/>
        </w:rPr>
        <w:t>(Atlanta: Lockwood Press, 2013), 279–94; E. Darby, </w:t>
      </w:r>
      <w:r w:rsidRPr="0090141D">
        <w:rPr>
          <w:rFonts w:ascii="Times New Roman" w:eastAsia="Times New Roman" w:hAnsi="Times New Roman" w:cs="Times New Roman"/>
          <w:i/>
          <w:iCs/>
          <w:color w:val="333333"/>
          <w:sz w:val="14"/>
          <w:lang w:bidi="ar-SA"/>
        </w:rPr>
        <w:t xml:space="preserve">Interpreting Judean Pillar Figurines: Gender and Empire in Judean </w:t>
      </w:r>
      <w:proofErr w:type="spellStart"/>
      <w:r w:rsidRPr="0090141D">
        <w:rPr>
          <w:rFonts w:ascii="Times New Roman" w:eastAsia="Times New Roman" w:hAnsi="Times New Roman" w:cs="Times New Roman"/>
          <w:i/>
          <w:iCs/>
          <w:color w:val="333333"/>
          <w:sz w:val="14"/>
          <w:lang w:bidi="ar-SA"/>
        </w:rPr>
        <w:t>Apotropaic</w:t>
      </w:r>
      <w:proofErr w:type="spellEnd"/>
      <w:r w:rsidRPr="0090141D">
        <w:rPr>
          <w:rFonts w:ascii="Times New Roman" w:eastAsia="Times New Roman" w:hAnsi="Times New Roman" w:cs="Times New Roman"/>
          <w:i/>
          <w:iCs/>
          <w:color w:val="333333"/>
          <w:sz w:val="14"/>
          <w:lang w:bidi="ar-SA"/>
        </w:rPr>
        <w:t xml:space="preserve"> Ritual </w:t>
      </w:r>
      <w:r w:rsidRPr="002A2E5E">
        <w:rPr>
          <w:rFonts w:ascii="Times New Roman" w:eastAsia="Times New Roman" w:hAnsi="Times New Roman" w:cs="Times New Roman"/>
          <w:color w:val="333333"/>
          <w:sz w:val="14"/>
          <w:szCs w:val="14"/>
          <w:lang w:bidi="ar-SA"/>
        </w:rPr>
        <w:t xml:space="preserve">(FAT2; </w:t>
      </w:r>
      <w:proofErr w:type="spellStart"/>
      <w:r w:rsidRPr="002A2E5E">
        <w:rPr>
          <w:rFonts w:ascii="Times New Roman" w:eastAsia="Times New Roman" w:hAnsi="Times New Roman" w:cs="Times New Roman"/>
          <w:color w:val="333333"/>
          <w:sz w:val="14"/>
          <w:szCs w:val="14"/>
          <w:lang w:bidi="ar-SA"/>
        </w:rPr>
        <w:t>Tübingen</w:t>
      </w:r>
      <w:proofErr w:type="spellEnd"/>
      <w:r w:rsidRPr="002A2E5E">
        <w:rPr>
          <w:rFonts w:ascii="Times New Roman" w:eastAsia="Times New Roman" w:hAnsi="Times New Roman" w:cs="Times New Roman"/>
          <w:color w:val="333333"/>
          <w:sz w:val="14"/>
          <w:szCs w:val="14"/>
          <w:lang w:bidi="ar-SA"/>
        </w:rPr>
        <w:t xml:space="preserve">: Mohr </w:t>
      </w:r>
      <w:proofErr w:type="spellStart"/>
      <w:r w:rsidRPr="002A2E5E">
        <w:rPr>
          <w:rFonts w:ascii="Times New Roman" w:eastAsia="Times New Roman" w:hAnsi="Times New Roman" w:cs="Times New Roman"/>
          <w:color w:val="333333"/>
          <w:sz w:val="14"/>
          <w:szCs w:val="14"/>
          <w:lang w:bidi="ar-SA"/>
        </w:rPr>
        <w:t>Siebeck</w:t>
      </w:r>
      <w:proofErr w:type="spellEnd"/>
      <w:r w:rsidRPr="002A2E5E">
        <w:rPr>
          <w:rFonts w:ascii="Times New Roman" w:eastAsia="Times New Roman" w:hAnsi="Times New Roman" w:cs="Times New Roman"/>
          <w:color w:val="333333"/>
          <w:sz w:val="14"/>
          <w:szCs w:val="14"/>
          <w:lang w:bidi="ar-SA"/>
        </w:rPr>
        <w:t>, 2014) .</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“Contagion and Cognition: Bodily Experience and the Conceptualization of Pollution (</w:t>
      </w:r>
      <w:proofErr w:type="spellStart"/>
      <w:r w:rsidRPr="0090141D">
        <w:rPr>
          <w:rFonts w:ascii="Times New Roman" w:eastAsia="Times New Roman" w:hAnsi="Times New Roman" w:cs="Times New Roman"/>
          <w:i/>
          <w:iCs/>
          <w:color w:val="333333"/>
          <w:sz w:val="14"/>
          <w:lang w:bidi="ar-SA"/>
        </w:rPr>
        <w:t>ṭum’ah</w:t>
      </w:r>
      <w:proofErr w:type="spellEnd"/>
      <w:r w:rsidRPr="002A2E5E">
        <w:rPr>
          <w:rFonts w:ascii="Times New Roman" w:eastAsia="Times New Roman" w:hAnsi="Times New Roman" w:cs="Times New Roman"/>
          <w:color w:val="333333"/>
          <w:sz w:val="14"/>
          <w:szCs w:val="14"/>
          <w:lang w:bidi="ar-SA"/>
        </w:rPr>
        <w:t>) in the Hebrew Bible,” </w:t>
      </w:r>
      <w:r w:rsidRPr="0090141D">
        <w:rPr>
          <w:rFonts w:ascii="Times New Roman" w:eastAsia="Times New Roman" w:hAnsi="Times New Roman" w:cs="Times New Roman"/>
          <w:i/>
          <w:iCs/>
          <w:color w:val="333333"/>
          <w:sz w:val="14"/>
          <w:lang w:bidi="ar-SA"/>
        </w:rPr>
        <w:t>JNES </w:t>
      </w:r>
      <w:r w:rsidRPr="002A2E5E">
        <w:rPr>
          <w:rFonts w:ascii="Times New Roman" w:eastAsia="Times New Roman" w:hAnsi="Times New Roman" w:cs="Times New Roman"/>
          <w:color w:val="333333"/>
          <w:sz w:val="14"/>
          <w:szCs w:val="14"/>
          <w:lang w:bidi="ar-SA"/>
        </w:rPr>
        <w:t>72 (2013), 159–64.</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The medical anthropologist Edward Green came to a similar conclusion regarding African concepts of impurity: “Pollution…is not so mystical when examined closely. In the anthropological sense, pollution denotes a belief that people will become ill as a result of contact with, or </w:t>
      </w:r>
      <w:r w:rsidRPr="002A2E5E">
        <w:rPr>
          <w:rFonts w:ascii="Times New Roman" w:eastAsia="Times New Roman" w:hAnsi="Times New Roman" w:cs="Times New Roman"/>
          <w:color w:val="333333"/>
          <w:sz w:val="14"/>
          <w:szCs w:val="14"/>
          <w:lang w:bidi="ar-SA"/>
        </w:rPr>
        <w:lastRenderedPageBreak/>
        <w:t>contamination by, a substance or essence considered dangerous because it is unclean or impure.” (</w:t>
      </w:r>
      <w:r w:rsidRPr="0090141D">
        <w:rPr>
          <w:rFonts w:ascii="Times New Roman" w:eastAsia="Times New Roman" w:hAnsi="Times New Roman" w:cs="Times New Roman"/>
          <w:i/>
          <w:iCs/>
          <w:color w:val="333333"/>
          <w:sz w:val="14"/>
          <w:lang w:bidi="ar-SA"/>
        </w:rPr>
        <w:t>Indigenous Theories of Infectious Disease </w:t>
      </w:r>
      <w:r w:rsidRPr="002A2E5E">
        <w:rPr>
          <w:rFonts w:ascii="Times New Roman" w:eastAsia="Times New Roman" w:hAnsi="Times New Roman" w:cs="Times New Roman"/>
          <w:color w:val="333333"/>
          <w:sz w:val="14"/>
          <w:szCs w:val="14"/>
          <w:lang w:bidi="ar-SA"/>
        </w:rPr>
        <w:t xml:space="preserve">[Walnut Creek, CA: </w:t>
      </w:r>
      <w:proofErr w:type="spellStart"/>
      <w:r w:rsidRPr="002A2E5E">
        <w:rPr>
          <w:rFonts w:ascii="Times New Roman" w:eastAsia="Times New Roman" w:hAnsi="Times New Roman" w:cs="Times New Roman"/>
          <w:color w:val="333333"/>
          <w:sz w:val="14"/>
          <w:szCs w:val="14"/>
          <w:lang w:bidi="ar-SA"/>
        </w:rPr>
        <w:t>AltaMira</w:t>
      </w:r>
      <w:proofErr w:type="spellEnd"/>
      <w:r w:rsidRPr="002A2E5E">
        <w:rPr>
          <w:rFonts w:ascii="Times New Roman" w:eastAsia="Times New Roman" w:hAnsi="Times New Roman" w:cs="Times New Roman"/>
          <w:color w:val="333333"/>
          <w:sz w:val="14"/>
          <w:szCs w:val="14"/>
          <w:lang w:bidi="ar-SA"/>
        </w:rPr>
        <w:t>, 1999] 13). Contrasted with beliefs in witchcraft, he notes that the notion of pollution supplies a preferred explanation for “illnesses whose cause-and-effect relationship between exposure or contact and illness is most apparent (e.g., syphilis, measles, leprosy, and cholera)” (248–49). Green’s mention of leprosy and genital diseases is striking, considering the sources of severe pollution described in Leviticus 13–14 and 15, respectively.</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This topic will </w:t>
      </w:r>
      <w:proofErr w:type="gramStart"/>
      <w:r w:rsidRPr="002A2E5E">
        <w:rPr>
          <w:rFonts w:ascii="Times New Roman" w:eastAsia="Times New Roman" w:hAnsi="Times New Roman" w:cs="Times New Roman"/>
          <w:color w:val="333333"/>
          <w:sz w:val="14"/>
          <w:szCs w:val="14"/>
          <w:lang w:bidi="ar-SA"/>
        </w:rPr>
        <w:t>examined</w:t>
      </w:r>
      <w:proofErr w:type="gramEnd"/>
      <w:r w:rsidRPr="002A2E5E">
        <w:rPr>
          <w:rFonts w:ascii="Times New Roman" w:eastAsia="Times New Roman" w:hAnsi="Times New Roman" w:cs="Times New Roman"/>
          <w:color w:val="333333"/>
          <w:sz w:val="14"/>
          <w:szCs w:val="14"/>
          <w:lang w:bidi="ar-SA"/>
        </w:rPr>
        <w:t xml:space="preserve"> in a forthcoming article. For now, see “Contagion and Cognition,” 161–2.</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The holder of a spindle, a symbol of the feminine role throughout the ancient Near East, suggests an effeminate man, probably including a homosexual orientation, For a detailed analysis of this expression and the curse in its entirety, see M. </w:t>
      </w:r>
      <w:proofErr w:type="spellStart"/>
      <w:r w:rsidRPr="002A2E5E">
        <w:rPr>
          <w:rFonts w:ascii="Times New Roman" w:eastAsia="Times New Roman" w:hAnsi="Times New Roman" w:cs="Times New Roman"/>
          <w:color w:val="333333"/>
          <w:sz w:val="14"/>
          <w:szCs w:val="14"/>
          <w:lang w:bidi="ar-SA"/>
        </w:rPr>
        <w:t>Malul</w:t>
      </w:r>
      <w:proofErr w:type="spellEnd"/>
      <w:r w:rsidRPr="002A2E5E">
        <w:rPr>
          <w:rFonts w:ascii="Times New Roman" w:eastAsia="Times New Roman" w:hAnsi="Times New Roman" w:cs="Times New Roman"/>
          <w:color w:val="333333"/>
          <w:sz w:val="14"/>
          <w:szCs w:val="14"/>
          <w:lang w:bidi="ar-SA"/>
        </w:rPr>
        <w:t xml:space="preserve">, “David’s Curse of </w:t>
      </w:r>
      <w:proofErr w:type="spellStart"/>
      <w:r w:rsidRPr="002A2E5E">
        <w:rPr>
          <w:rFonts w:ascii="Times New Roman" w:eastAsia="Times New Roman" w:hAnsi="Times New Roman" w:cs="Times New Roman"/>
          <w:color w:val="333333"/>
          <w:sz w:val="14"/>
          <w:szCs w:val="14"/>
          <w:lang w:bidi="ar-SA"/>
        </w:rPr>
        <w:t>Joab</w:t>
      </w:r>
      <w:proofErr w:type="spellEnd"/>
      <w:r w:rsidRPr="002A2E5E">
        <w:rPr>
          <w:rFonts w:ascii="Times New Roman" w:eastAsia="Times New Roman" w:hAnsi="Times New Roman" w:cs="Times New Roman"/>
          <w:color w:val="333333"/>
          <w:sz w:val="14"/>
          <w:szCs w:val="14"/>
          <w:lang w:bidi="ar-SA"/>
        </w:rPr>
        <w:t xml:space="preserve"> and the Social Significance of </w:t>
      </w:r>
      <w:proofErr w:type="spellStart"/>
      <w:r w:rsidRPr="0090141D">
        <w:rPr>
          <w:rFonts w:ascii="Times New Roman" w:eastAsia="Times New Roman" w:hAnsi="Times New Roman" w:cs="Times New Roman"/>
          <w:i/>
          <w:iCs/>
          <w:color w:val="333333"/>
          <w:sz w:val="14"/>
          <w:lang w:bidi="ar-SA"/>
        </w:rPr>
        <w:t>mḥzyq</w:t>
      </w:r>
      <w:proofErr w:type="spellEnd"/>
      <w:r w:rsidRPr="0090141D">
        <w:rPr>
          <w:rFonts w:ascii="Times New Roman" w:eastAsia="Times New Roman" w:hAnsi="Times New Roman" w:cs="Times New Roman"/>
          <w:i/>
          <w:iCs/>
          <w:color w:val="333333"/>
          <w:sz w:val="14"/>
          <w:lang w:bidi="ar-SA"/>
        </w:rPr>
        <w:t xml:space="preserve"> </w:t>
      </w:r>
      <w:proofErr w:type="spellStart"/>
      <w:r w:rsidRPr="0090141D">
        <w:rPr>
          <w:rFonts w:ascii="Times New Roman" w:eastAsia="Times New Roman" w:hAnsi="Times New Roman" w:cs="Times New Roman"/>
          <w:i/>
          <w:iCs/>
          <w:color w:val="333333"/>
          <w:sz w:val="14"/>
          <w:lang w:bidi="ar-SA"/>
        </w:rPr>
        <w:t>bplk,”Aula</w:t>
      </w:r>
      <w:proofErr w:type="spellEnd"/>
      <w:r w:rsidRPr="0090141D">
        <w:rPr>
          <w:rFonts w:ascii="Times New Roman" w:eastAsia="Times New Roman" w:hAnsi="Times New Roman" w:cs="Times New Roman"/>
          <w:i/>
          <w:iCs/>
          <w:color w:val="333333"/>
          <w:sz w:val="14"/>
          <w:lang w:bidi="ar-SA"/>
        </w:rPr>
        <w:t xml:space="preserve"> </w:t>
      </w:r>
      <w:proofErr w:type="spellStart"/>
      <w:r w:rsidRPr="0090141D">
        <w:rPr>
          <w:rFonts w:ascii="Times New Roman" w:eastAsia="Times New Roman" w:hAnsi="Times New Roman" w:cs="Times New Roman"/>
          <w:i/>
          <w:iCs/>
          <w:color w:val="333333"/>
          <w:sz w:val="14"/>
          <w:lang w:bidi="ar-SA"/>
        </w:rPr>
        <w:t>Orientalis</w:t>
      </w:r>
      <w:proofErr w:type="spellEnd"/>
      <w:r w:rsidRPr="0090141D">
        <w:rPr>
          <w:rFonts w:ascii="Times New Roman" w:eastAsia="Times New Roman" w:hAnsi="Times New Roman" w:cs="Times New Roman"/>
          <w:i/>
          <w:iCs/>
          <w:color w:val="333333"/>
          <w:sz w:val="14"/>
          <w:lang w:bidi="ar-SA"/>
        </w:rPr>
        <w:t> </w:t>
      </w:r>
      <w:r w:rsidRPr="002A2E5E">
        <w:rPr>
          <w:rFonts w:ascii="Times New Roman" w:eastAsia="Times New Roman" w:hAnsi="Times New Roman" w:cs="Times New Roman"/>
          <w:color w:val="333333"/>
          <w:sz w:val="14"/>
          <w:szCs w:val="14"/>
          <w:lang w:bidi="ar-SA"/>
        </w:rPr>
        <w:t>10 (1992), 49–67.</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2A2E5E">
        <w:rPr>
          <w:rFonts w:ascii="Times New Roman" w:eastAsia="Times New Roman" w:hAnsi="Times New Roman" w:cs="Times New Roman"/>
          <w:color w:val="333333"/>
          <w:sz w:val="14"/>
          <w:szCs w:val="14"/>
          <w:lang w:bidi="ar-SA"/>
        </w:rPr>
        <w:t>Malul</w:t>
      </w:r>
      <w:proofErr w:type="spellEnd"/>
      <w:r w:rsidRPr="002A2E5E">
        <w:rPr>
          <w:rFonts w:ascii="Times New Roman" w:eastAsia="Times New Roman" w:hAnsi="Times New Roman" w:cs="Times New Roman"/>
          <w:color w:val="333333"/>
          <w:sz w:val="14"/>
          <w:szCs w:val="14"/>
          <w:lang w:bidi="ar-SA"/>
        </w:rPr>
        <w:t xml:space="preserve"> summarizes (see previous note):</w:t>
      </w:r>
    </w:p>
    <w:p w:rsidR="002A2E5E" w:rsidRPr="002A2E5E" w:rsidRDefault="002A2E5E" w:rsidP="002A2E5E">
      <w:pPr>
        <w:shd w:val="clear" w:color="auto" w:fill="FFFFFF"/>
        <w:spacing w:beforeAutospacing="1" w:after="94" w:line="271" w:lineRule="atLeast"/>
        <w:ind w:left="720"/>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The basic and common theme in all the expressions in David’s curse seems clearly to be social – being chased across the border of civilized society and forced to stay in the lawless sphere. Whether the person is gonorrheal, leprous, poor or has fallen by the sword (and his corpse is assumed to have been left without burial), in all cases he or his spirit is relegated to the status of an outcast from society, having to roam the sphere of outlawry outside society (62).</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J. S. Baden and C. R. Moss, “The Origins and Interpretation of </w:t>
      </w:r>
      <w:proofErr w:type="spellStart"/>
      <w:r w:rsidRPr="0090141D">
        <w:rPr>
          <w:rFonts w:ascii="Times New Roman" w:eastAsia="Times New Roman" w:hAnsi="Times New Roman" w:cs="Times New Roman"/>
          <w:i/>
          <w:iCs/>
          <w:color w:val="333333"/>
          <w:sz w:val="14"/>
          <w:lang w:bidi="ar-SA"/>
        </w:rPr>
        <w:t>ṣaraʿat</w:t>
      </w:r>
      <w:proofErr w:type="spellEnd"/>
      <w:r w:rsidRPr="002A2E5E">
        <w:rPr>
          <w:rFonts w:ascii="Times New Roman" w:eastAsia="Times New Roman" w:hAnsi="Times New Roman" w:cs="Times New Roman"/>
          <w:color w:val="333333"/>
          <w:sz w:val="14"/>
          <w:szCs w:val="14"/>
          <w:lang w:bidi="ar-SA"/>
        </w:rPr>
        <w:t> in Leviticus 13–14,” </w:t>
      </w:r>
      <w:r w:rsidRPr="0090141D">
        <w:rPr>
          <w:rFonts w:ascii="Times New Roman" w:eastAsia="Times New Roman" w:hAnsi="Times New Roman" w:cs="Times New Roman"/>
          <w:i/>
          <w:iCs/>
          <w:color w:val="333333"/>
          <w:sz w:val="14"/>
          <w:lang w:bidi="ar-SA"/>
        </w:rPr>
        <w:t>Journal of Biblical Literature </w:t>
      </w:r>
      <w:r w:rsidRPr="002A2E5E">
        <w:rPr>
          <w:rFonts w:ascii="Times New Roman" w:eastAsia="Times New Roman" w:hAnsi="Times New Roman" w:cs="Times New Roman"/>
          <w:color w:val="333333"/>
          <w:sz w:val="14"/>
          <w:szCs w:val="14"/>
          <w:lang w:bidi="ar-SA"/>
        </w:rPr>
        <w:t>130 (2011): 643–53</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E.g. </w:t>
      </w:r>
      <w:proofErr w:type="spellStart"/>
      <w:r w:rsidRPr="0090141D">
        <w:rPr>
          <w:rFonts w:ascii="Times New Roman" w:eastAsia="Times New Roman" w:hAnsi="Times New Roman" w:cs="Times New Roman"/>
          <w:i/>
          <w:iCs/>
          <w:color w:val="333333"/>
          <w:sz w:val="14"/>
          <w:lang w:bidi="ar-SA"/>
        </w:rPr>
        <w:t>Bavli</w:t>
      </w:r>
      <w:proofErr w:type="spellEnd"/>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w:t>
      </w:r>
      <w:proofErr w:type="spellStart"/>
      <w:r w:rsidRPr="0090141D">
        <w:rPr>
          <w:rFonts w:ascii="Times New Roman" w:eastAsia="Times New Roman" w:hAnsi="Times New Roman" w:cs="Times New Roman"/>
          <w:i/>
          <w:iCs/>
          <w:color w:val="333333"/>
          <w:sz w:val="14"/>
          <w:lang w:bidi="ar-SA"/>
        </w:rPr>
        <w:t>Arakhin</w:t>
      </w:r>
      <w:proofErr w:type="spellEnd"/>
      <w:r w:rsidRPr="002A2E5E">
        <w:rPr>
          <w:rFonts w:ascii="Times New Roman" w:eastAsia="Times New Roman" w:hAnsi="Times New Roman" w:cs="Times New Roman"/>
          <w:color w:val="333333"/>
          <w:sz w:val="14"/>
          <w:szCs w:val="14"/>
          <w:lang w:bidi="ar-SA"/>
        </w:rPr>
        <w:t> 15b; </w:t>
      </w:r>
      <w:r w:rsidRPr="0090141D">
        <w:rPr>
          <w:rFonts w:ascii="Times New Roman" w:eastAsia="Times New Roman" w:hAnsi="Times New Roman" w:cs="Times New Roman"/>
          <w:i/>
          <w:iCs/>
          <w:color w:val="333333"/>
          <w:sz w:val="14"/>
          <w:lang w:bidi="ar-SA"/>
        </w:rPr>
        <w:t>Leviticus</w:t>
      </w:r>
      <w:r w:rsidRPr="002A2E5E">
        <w:rPr>
          <w:rFonts w:ascii="Times New Roman" w:eastAsia="Times New Roman" w:hAnsi="Times New Roman" w:cs="Times New Roman"/>
          <w:color w:val="333333"/>
          <w:sz w:val="14"/>
          <w:szCs w:val="14"/>
          <w:lang w:bidi="ar-SA"/>
        </w:rPr>
        <w:t> </w:t>
      </w:r>
      <w:proofErr w:type="spellStart"/>
      <w:r w:rsidRPr="0090141D">
        <w:rPr>
          <w:rFonts w:ascii="Times New Roman" w:eastAsia="Times New Roman" w:hAnsi="Times New Roman" w:cs="Times New Roman"/>
          <w:i/>
          <w:iCs/>
          <w:color w:val="333333"/>
          <w:sz w:val="14"/>
          <w:lang w:bidi="ar-SA"/>
        </w:rPr>
        <w:t>Rabbah</w:t>
      </w:r>
      <w:proofErr w:type="spellEnd"/>
      <w:r w:rsidRPr="002A2E5E">
        <w:rPr>
          <w:rFonts w:ascii="Times New Roman" w:eastAsia="Times New Roman" w:hAnsi="Times New Roman" w:cs="Times New Roman"/>
          <w:color w:val="333333"/>
          <w:sz w:val="14"/>
          <w:szCs w:val="14"/>
          <w:lang w:bidi="ar-SA"/>
        </w:rPr>
        <w:t> 16.</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See R. </w:t>
      </w:r>
      <w:proofErr w:type="spellStart"/>
      <w:r w:rsidRPr="002A2E5E">
        <w:rPr>
          <w:rFonts w:ascii="Times New Roman" w:eastAsia="Times New Roman" w:hAnsi="Times New Roman" w:cs="Times New Roman"/>
          <w:color w:val="333333"/>
          <w:sz w:val="14"/>
          <w:szCs w:val="14"/>
          <w:lang w:bidi="ar-SA"/>
        </w:rPr>
        <w:t>Gane</w:t>
      </w:r>
      <w:proofErr w:type="spellEnd"/>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Cult and Character: Purification Offerings, Day of Atonement, and Theodicy</w:t>
      </w:r>
      <w:r w:rsidRPr="002A2E5E">
        <w:rPr>
          <w:rFonts w:ascii="Times New Roman" w:eastAsia="Times New Roman" w:hAnsi="Times New Roman" w:cs="Times New Roman"/>
          <w:color w:val="333333"/>
          <w:sz w:val="14"/>
          <w:szCs w:val="14"/>
          <w:lang w:bidi="ar-SA"/>
        </w:rPr>
        <w:t xml:space="preserve"> (Winona Lake: </w:t>
      </w:r>
      <w:proofErr w:type="spellStart"/>
      <w:r w:rsidRPr="002A2E5E">
        <w:rPr>
          <w:rFonts w:ascii="Times New Roman" w:eastAsia="Times New Roman" w:hAnsi="Times New Roman" w:cs="Times New Roman"/>
          <w:color w:val="333333"/>
          <w:sz w:val="14"/>
          <w:szCs w:val="14"/>
          <w:lang w:bidi="ar-SA"/>
        </w:rPr>
        <w:t>Eisenbrauns</w:t>
      </w:r>
      <w:proofErr w:type="spellEnd"/>
      <w:r w:rsidRPr="002A2E5E">
        <w:rPr>
          <w:rFonts w:ascii="Times New Roman" w:eastAsia="Times New Roman" w:hAnsi="Times New Roman" w:cs="Times New Roman"/>
          <w:color w:val="333333"/>
          <w:sz w:val="14"/>
          <w:szCs w:val="14"/>
          <w:lang w:bidi="ar-SA"/>
        </w:rPr>
        <w:t>, 2005), 112–24.</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The Religion of Israel </w:t>
      </w:r>
      <w:r w:rsidRPr="002A2E5E">
        <w:rPr>
          <w:rFonts w:ascii="Times New Roman" w:eastAsia="Times New Roman" w:hAnsi="Times New Roman" w:cs="Times New Roman"/>
          <w:color w:val="333333"/>
          <w:sz w:val="14"/>
          <w:szCs w:val="14"/>
          <w:lang w:bidi="ar-SA"/>
        </w:rPr>
        <w:t>(trans. M. Greenberg; Chicago: University of Chicago, 1960), 107.</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Such rituals contained transfer rites (e.g. </w:t>
      </w:r>
      <w:proofErr w:type="spellStart"/>
      <w:r w:rsidRPr="002A2E5E">
        <w:rPr>
          <w:rFonts w:ascii="Times New Roman" w:eastAsia="Times New Roman" w:hAnsi="Times New Roman" w:cs="Times New Roman"/>
          <w:color w:val="333333"/>
          <w:sz w:val="14"/>
          <w:szCs w:val="14"/>
          <w:lang w:bidi="ar-SA"/>
        </w:rPr>
        <w:t>scape</w:t>
      </w:r>
      <w:proofErr w:type="spellEnd"/>
      <w:r w:rsidRPr="002A2E5E">
        <w:rPr>
          <w:rFonts w:ascii="Times New Roman" w:eastAsia="Times New Roman" w:hAnsi="Times New Roman" w:cs="Times New Roman"/>
          <w:color w:val="333333"/>
          <w:sz w:val="14"/>
          <w:szCs w:val="14"/>
          <w:lang w:bidi="ar-SA"/>
        </w:rPr>
        <w:t xml:space="preserve">-goats) as well as the appeasement of demonic entities. This point brings to mind the </w:t>
      </w:r>
      <w:proofErr w:type="spellStart"/>
      <w:r w:rsidRPr="002A2E5E">
        <w:rPr>
          <w:rFonts w:ascii="Times New Roman" w:eastAsia="Times New Roman" w:hAnsi="Times New Roman" w:cs="Times New Roman"/>
          <w:color w:val="333333"/>
          <w:sz w:val="14"/>
          <w:szCs w:val="14"/>
          <w:lang w:bidi="ar-SA"/>
        </w:rPr>
        <w:t>scape</w:t>
      </w:r>
      <w:proofErr w:type="spellEnd"/>
      <w:r w:rsidRPr="002A2E5E">
        <w:rPr>
          <w:rFonts w:ascii="Times New Roman" w:eastAsia="Times New Roman" w:hAnsi="Times New Roman" w:cs="Times New Roman"/>
          <w:color w:val="333333"/>
          <w:sz w:val="14"/>
          <w:szCs w:val="14"/>
          <w:lang w:bidi="ar-SA"/>
        </w:rPr>
        <w:t xml:space="preserve">-goat rite to </w:t>
      </w:r>
      <w:proofErr w:type="spellStart"/>
      <w:r w:rsidRPr="002A2E5E">
        <w:rPr>
          <w:rFonts w:ascii="Times New Roman" w:eastAsia="Times New Roman" w:hAnsi="Times New Roman" w:cs="Times New Roman"/>
          <w:color w:val="333333"/>
          <w:sz w:val="14"/>
          <w:szCs w:val="14"/>
          <w:lang w:bidi="ar-SA"/>
        </w:rPr>
        <w:t>Azazel</w:t>
      </w:r>
      <w:proofErr w:type="spellEnd"/>
      <w:r w:rsidRPr="002A2E5E">
        <w:rPr>
          <w:rFonts w:ascii="Times New Roman" w:eastAsia="Times New Roman" w:hAnsi="Times New Roman" w:cs="Times New Roman"/>
          <w:color w:val="333333"/>
          <w:sz w:val="14"/>
          <w:szCs w:val="14"/>
          <w:lang w:bidi="ar-SA"/>
        </w:rPr>
        <w:t xml:space="preserve"> in Lev 16, which has long been suspected of being based on an </w:t>
      </w:r>
      <w:proofErr w:type="spellStart"/>
      <w:r w:rsidRPr="002A2E5E">
        <w:rPr>
          <w:rFonts w:ascii="Times New Roman" w:eastAsia="Times New Roman" w:hAnsi="Times New Roman" w:cs="Times New Roman"/>
          <w:color w:val="333333"/>
          <w:sz w:val="14"/>
          <w:szCs w:val="14"/>
          <w:lang w:bidi="ar-SA"/>
        </w:rPr>
        <w:t>apotropaic</w:t>
      </w:r>
      <w:proofErr w:type="spellEnd"/>
      <w:r w:rsidRPr="002A2E5E">
        <w:rPr>
          <w:rFonts w:ascii="Times New Roman" w:eastAsia="Times New Roman" w:hAnsi="Times New Roman" w:cs="Times New Roman"/>
          <w:color w:val="333333"/>
          <w:sz w:val="14"/>
          <w:szCs w:val="14"/>
          <w:lang w:bidi="ar-SA"/>
        </w:rPr>
        <w:t xml:space="preserve"> ritual, Yet, as pointed out by David Wright in his thorough survey of related ancient Near Eastern evidence, the Priestly text depicts </w:t>
      </w:r>
      <w:proofErr w:type="spellStart"/>
      <w:r w:rsidRPr="002A2E5E">
        <w:rPr>
          <w:rFonts w:ascii="Times New Roman" w:eastAsia="Times New Roman" w:hAnsi="Times New Roman" w:cs="Times New Roman"/>
          <w:color w:val="333333"/>
          <w:sz w:val="14"/>
          <w:szCs w:val="14"/>
          <w:lang w:bidi="ar-SA"/>
        </w:rPr>
        <w:t>Azazel</w:t>
      </w:r>
      <w:proofErr w:type="spellEnd"/>
      <w:r w:rsidRPr="002A2E5E">
        <w:rPr>
          <w:rFonts w:ascii="Times New Roman" w:eastAsia="Times New Roman" w:hAnsi="Times New Roman" w:cs="Times New Roman"/>
          <w:color w:val="333333"/>
          <w:sz w:val="14"/>
          <w:szCs w:val="14"/>
          <w:lang w:bidi="ar-SA"/>
        </w:rPr>
        <w:t xml:space="preserve"> in a wholly passive role: “In contrast, </w:t>
      </w:r>
      <w:proofErr w:type="spellStart"/>
      <w:r w:rsidRPr="002A2E5E">
        <w:rPr>
          <w:rFonts w:ascii="Times New Roman" w:eastAsia="Times New Roman" w:hAnsi="Times New Roman" w:cs="Times New Roman"/>
          <w:color w:val="333333"/>
          <w:sz w:val="14"/>
          <w:szCs w:val="14"/>
          <w:lang w:bidi="ar-SA"/>
        </w:rPr>
        <w:t>Azazel</w:t>
      </w:r>
      <w:proofErr w:type="spellEnd"/>
      <w:r w:rsidRPr="002A2E5E">
        <w:rPr>
          <w:rFonts w:ascii="Times New Roman" w:eastAsia="Times New Roman" w:hAnsi="Times New Roman" w:cs="Times New Roman"/>
          <w:color w:val="333333"/>
          <w:sz w:val="14"/>
          <w:szCs w:val="14"/>
          <w:lang w:bidi="ar-SA"/>
        </w:rPr>
        <w:t xml:space="preserve"> does not act; he has no personality. The name refers more to a locale than to a supernatural figure” (</w:t>
      </w:r>
      <w:r w:rsidRPr="0090141D">
        <w:rPr>
          <w:rFonts w:ascii="Times New Roman" w:eastAsia="Times New Roman" w:hAnsi="Times New Roman" w:cs="Times New Roman"/>
          <w:i/>
          <w:iCs/>
          <w:color w:val="333333"/>
          <w:sz w:val="14"/>
          <w:lang w:bidi="ar-SA"/>
        </w:rPr>
        <w:t xml:space="preserve">The Disposal of Impurity: Elimination Rites in the Bible and in Hittite and Mesopotamian </w:t>
      </w:r>
      <w:proofErr w:type="gramStart"/>
      <w:r w:rsidRPr="0090141D">
        <w:rPr>
          <w:rFonts w:ascii="Times New Roman" w:eastAsia="Times New Roman" w:hAnsi="Times New Roman" w:cs="Times New Roman"/>
          <w:i/>
          <w:iCs/>
          <w:color w:val="333333"/>
          <w:sz w:val="14"/>
          <w:lang w:bidi="ar-SA"/>
        </w:rPr>
        <w:t>Literature</w:t>
      </w:r>
      <w:r w:rsidRPr="002A2E5E">
        <w:rPr>
          <w:rFonts w:ascii="Times New Roman" w:eastAsia="Times New Roman" w:hAnsi="Times New Roman" w:cs="Times New Roman"/>
          <w:color w:val="333333"/>
          <w:sz w:val="14"/>
          <w:szCs w:val="14"/>
          <w:lang w:bidi="ar-SA"/>
        </w:rPr>
        <w:t>[</w:t>
      </w:r>
      <w:proofErr w:type="gramEnd"/>
      <w:r w:rsidRPr="002A2E5E">
        <w:rPr>
          <w:rFonts w:ascii="Times New Roman" w:eastAsia="Times New Roman" w:hAnsi="Times New Roman" w:cs="Times New Roman"/>
          <w:color w:val="333333"/>
          <w:sz w:val="14"/>
          <w:szCs w:val="14"/>
          <w:lang w:bidi="ar-SA"/>
        </w:rPr>
        <w:t xml:space="preserve">Atlanta: Scholars Press, 1987] 69. For further discussion, see </w:t>
      </w:r>
      <w:proofErr w:type="spellStart"/>
      <w:r w:rsidRPr="002A2E5E">
        <w:rPr>
          <w:rFonts w:ascii="Times New Roman" w:eastAsia="Times New Roman" w:hAnsi="Times New Roman" w:cs="Times New Roman"/>
          <w:color w:val="333333"/>
          <w:sz w:val="14"/>
          <w:szCs w:val="14"/>
          <w:lang w:bidi="ar-SA"/>
        </w:rPr>
        <w:t>Milgrom</w:t>
      </w:r>
      <w:proofErr w:type="spellEnd"/>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Leviticus 1–16, </w:t>
      </w:r>
      <w:r w:rsidRPr="002A2E5E">
        <w:rPr>
          <w:rFonts w:ascii="Times New Roman" w:eastAsia="Times New Roman" w:hAnsi="Times New Roman" w:cs="Times New Roman"/>
          <w:color w:val="333333"/>
          <w:sz w:val="14"/>
          <w:szCs w:val="14"/>
          <w:lang w:bidi="ar-SA"/>
        </w:rPr>
        <w:t>1071–9.</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1 Kings 19:12.</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xml:space="preserve">See R. </w:t>
      </w:r>
      <w:proofErr w:type="spellStart"/>
      <w:r w:rsidRPr="002A2E5E">
        <w:rPr>
          <w:rFonts w:ascii="Times New Roman" w:eastAsia="Times New Roman" w:hAnsi="Times New Roman" w:cs="Times New Roman"/>
          <w:color w:val="333333"/>
          <w:sz w:val="14"/>
          <w:szCs w:val="14"/>
          <w:lang w:bidi="ar-SA"/>
        </w:rPr>
        <w:t>Caplice</w:t>
      </w:r>
      <w:proofErr w:type="spellEnd"/>
      <w:r w:rsidRPr="002A2E5E">
        <w:rPr>
          <w:rFonts w:ascii="Times New Roman" w:eastAsia="Times New Roman" w:hAnsi="Times New Roman" w:cs="Times New Roman"/>
          <w:color w:val="333333"/>
          <w:sz w:val="14"/>
          <w:szCs w:val="14"/>
          <w:lang w:bidi="ar-SA"/>
        </w:rPr>
        <w:t>, “</w:t>
      </w:r>
      <w:proofErr w:type="spellStart"/>
      <w:r w:rsidRPr="002A2E5E">
        <w:rPr>
          <w:rFonts w:ascii="Times New Roman" w:eastAsia="Times New Roman" w:hAnsi="Times New Roman" w:cs="Times New Roman"/>
          <w:color w:val="333333"/>
          <w:sz w:val="14"/>
          <w:szCs w:val="14"/>
          <w:lang w:bidi="ar-SA"/>
        </w:rPr>
        <w:t>Namburbi</w:t>
      </w:r>
      <w:proofErr w:type="spellEnd"/>
      <w:r w:rsidRPr="002A2E5E">
        <w:rPr>
          <w:rFonts w:ascii="Times New Roman" w:eastAsia="Times New Roman" w:hAnsi="Times New Roman" w:cs="Times New Roman"/>
          <w:color w:val="333333"/>
          <w:sz w:val="14"/>
          <w:szCs w:val="14"/>
          <w:lang w:bidi="ar-SA"/>
        </w:rPr>
        <w:t xml:space="preserve"> Texts in the British Museum,” </w:t>
      </w:r>
      <w:proofErr w:type="spellStart"/>
      <w:r w:rsidRPr="0090141D">
        <w:rPr>
          <w:rFonts w:ascii="Times New Roman" w:eastAsia="Times New Roman" w:hAnsi="Times New Roman" w:cs="Times New Roman"/>
          <w:i/>
          <w:iCs/>
          <w:color w:val="333333"/>
          <w:sz w:val="14"/>
          <w:lang w:bidi="ar-SA"/>
        </w:rPr>
        <w:t>OrNS</w:t>
      </w:r>
      <w:proofErr w:type="spellEnd"/>
      <w:r w:rsidRPr="002A2E5E">
        <w:rPr>
          <w:rFonts w:ascii="Times New Roman" w:eastAsia="Times New Roman" w:hAnsi="Times New Roman" w:cs="Times New Roman"/>
          <w:color w:val="333333"/>
          <w:sz w:val="14"/>
          <w:szCs w:val="14"/>
          <w:lang w:bidi="ar-SA"/>
        </w:rPr>
        <w:t> 40 (1971), 144, l. 23’; idem, </w:t>
      </w:r>
      <w:r w:rsidRPr="0090141D">
        <w:rPr>
          <w:rFonts w:ascii="Times New Roman" w:eastAsia="Times New Roman" w:hAnsi="Times New Roman" w:cs="Times New Roman"/>
          <w:i/>
          <w:iCs/>
          <w:color w:val="333333"/>
          <w:sz w:val="14"/>
          <w:lang w:bidi="ar-SA"/>
        </w:rPr>
        <w:t xml:space="preserve">The </w:t>
      </w:r>
      <w:proofErr w:type="spellStart"/>
      <w:r w:rsidRPr="0090141D">
        <w:rPr>
          <w:rFonts w:ascii="Times New Roman" w:eastAsia="Times New Roman" w:hAnsi="Times New Roman" w:cs="Times New Roman"/>
          <w:i/>
          <w:iCs/>
          <w:color w:val="333333"/>
          <w:sz w:val="14"/>
          <w:lang w:bidi="ar-SA"/>
        </w:rPr>
        <w:t>Akkadian</w:t>
      </w:r>
      <w:proofErr w:type="spellEnd"/>
      <w:r w:rsidRPr="0090141D">
        <w:rPr>
          <w:rFonts w:ascii="Times New Roman" w:eastAsia="Times New Roman" w:hAnsi="Times New Roman" w:cs="Times New Roman"/>
          <w:i/>
          <w:iCs/>
          <w:color w:val="333333"/>
          <w:sz w:val="14"/>
          <w:lang w:bidi="ar-SA"/>
        </w:rPr>
        <w:t xml:space="preserve"> </w:t>
      </w:r>
      <w:proofErr w:type="spellStart"/>
      <w:r w:rsidRPr="0090141D">
        <w:rPr>
          <w:rFonts w:ascii="Times New Roman" w:eastAsia="Times New Roman" w:hAnsi="Times New Roman" w:cs="Times New Roman"/>
          <w:i/>
          <w:iCs/>
          <w:color w:val="333333"/>
          <w:sz w:val="14"/>
          <w:lang w:bidi="ar-SA"/>
        </w:rPr>
        <w:t>Namburbi</w:t>
      </w:r>
      <w:proofErr w:type="spellEnd"/>
      <w:r w:rsidRPr="0090141D">
        <w:rPr>
          <w:rFonts w:ascii="Times New Roman" w:eastAsia="Times New Roman" w:hAnsi="Times New Roman" w:cs="Times New Roman"/>
          <w:i/>
          <w:iCs/>
          <w:color w:val="333333"/>
          <w:sz w:val="14"/>
          <w:lang w:bidi="ar-SA"/>
        </w:rPr>
        <w:t xml:space="preserve"> Texts: </w:t>
      </w:r>
      <w:proofErr w:type="gramStart"/>
      <w:r w:rsidRPr="0090141D">
        <w:rPr>
          <w:rFonts w:ascii="Times New Roman" w:eastAsia="Times New Roman" w:hAnsi="Times New Roman" w:cs="Times New Roman"/>
          <w:i/>
          <w:iCs/>
          <w:color w:val="333333"/>
          <w:sz w:val="14"/>
          <w:lang w:bidi="ar-SA"/>
        </w:rPr>
        <w:t>An</w:t>
      </w:r>
      <w:proofErr w:type="gramEnd"/>
      <w:r w:rsidRPr="0090141D">
        <w:rPr>
          <w:rFonts w:ascii="Times New Roman" w:eastAsia="Times New Roman" w:hAnsi="Times New Roman" w:cs="Times New Roman"/>
          <w:i/>
          <w:iCs/>
          <w:color w:val="333333"/>
          <w:sz w:val="14"/>
          <w:lang w:bidi="ar-SA"/>
        </w:rPr>
        <w:t xml:space="preserve"> Introduction </w:t>
      </w:r>
      <w:r w:rsidRPr="002A2E5E">
        <w:rPr>
          <w:rFonts w:ascii="Times New Roman" w:eastAsia="Times New Roman" w:hAnsi="Times New Roman" w:cs="Times New Roman"/>
          <w:color w:val="333333"/>
          <w:sz w:val="14"/>
          <w:szCs w:val="14"/>
          <w:lang w:bidi="ar-SA"/>
        </w:rPr>
        <w:t xml:space="preserve">(SANE 1/1; Los Angeles: </w:t>
      </w:r>
      <w:proofErr w:type="spellStart"/>
      <w:r w:rsidRPr="002A2E5E">
        <w:rPr>
          <w:rFonts w:ascii="Times New Roman" w:eastAsia="Times New Roman" w:hAnsi="Times New Roman" w:cs="Times New Roman"/>
          <w:color w:val="333333"/>
          <w:sz w:val="14"/>
          <w:szCs w:val="14"/>
          <w:lang w:bidi="ar-SA"/>
        </w:rPr>
        <w:t>Undena</w:t>
      </w:r>
      <w:proofErr w:type="spellEnd"/>
      <w:r w:rsidRPr="002A2E5E">
        <w:rPr>
          <w:rFonts w:ascii="Times New Roman" w:eastAsia="Times New Roman" w:hAnsi="Times New Roman" w:cs="Times New Roman"/>
          <w:color w:val="333333"/>
          <w:sz w:val="14"/>
          <w:szCs w:val="14"/>
          <w:lang w:bidi="ar-SA"/>
        </w:rPr>
        <w:t>; 1974), 18. See also See S. Meier, “House Fungus: Mesopotamia and Israel (Lev 14: 33–53),”</w:t>
      </w:r>
      <w:proofErr w:type="spellStart"/>
      <w:r w:rsidRPr="0090141D">
        <w:rPr>
          <w:rFonts w:ascii="Times New Roman" w:eastAsia="Times New Roman" w:hAnsi="Times New Roman" w:cs="Times New Roman"/>
          <w:i/>
          <w:iCs/>
          <w:color w:val="333333"/>
          <w:sz w:val="14"/>
          <w:lang w:bidi="ar-SA"/>
        </w:rPr>
        <w:t>RevBib</w:t>
      </w:r>
      <w:proofErr w:type="spellEnd"/>
      <w:r w:rsidRPr="0090141D">
        <w:rPr>
          <w:rFonts w:ascii="Times New Roman" w:eastAsia="Times New Roman" w:hAnsi="Times New Roman" w:cs="Times New Roman"/>
          <w:i/>
          <w:iCs/>
          <w:color w:val="333333"/>
          <w:sz w:val="14"/>
          <w:lang w:bidi="ar-SA"/>
        </w:rPr>
        <w:t> </w:t>
      </w:r>
      <w:r w:rsidRPr="002A2E5E">
        <w:rPr>
          <w:rFonts w:ascii="Times New Roman" w:eastAsia="Times New Roman" w:hAnsi="Times New Roman" w:cs="Times New Roman"/>
          <w:color w:val="333333"/>
          <w:sz w:val="14"/>
          <w:szCs w:val="14"/>
          <w:lang w:bidi="ar-SA"/>
        </w:rPr>
        <w:t>96 (1989), 184–92.</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2A2E5E">
        <w:rPr>
          <w:rFonts w:ascii="Times New Roman" w:eastAsia="Times New Roman" w:hAnsi="Times New Roman" w:cs="Times New Roman"/>
          <w:color w:val="333333"/>
          <w:sz w:val="14"/>
          <w:szCs w:val="14"/>
          <w:lang w:bidi="ar-SA"/>
        </w:rPr>
        <w:t>Milgrom’s</w:t>
      </w:r>
      <w:proofErr w:type="spellEnd"/>
      <w:r w:rsidRPr="002A2E5E">
        <w:rPr>
          <w:rFonts w:ascii="Times New Roman" w:eastAsia="Times New Roman" w:hAnsi="Times New Roman" w:cs="Times New Roman"/>
          <w:color w:val="333333"/>
          <w:sz w:val="14"/>
          <w:szCs w:val="14"/>
          <w:lang w:bidi="ar-SA"/>
        </w:rPr>
        <w:t xml:space="preserve"> translation: </w:t>
      </w:r>
      <w:r w:rsidRPr="0090141D">
        <w:rPr>
          <w:rFonts w:ascii="Times New Roman" w:eastAsia="Times New Roman" w:hAnsi="Times New Roman" w:cs="Times New Roman"/>
          <w:i/>
          <w:iCs/>
          <w:color w:val="333333"/>
          <w:sz w:val="14"/>
          <w:lang w:bidi="ar-SA"/>
        </w:rPr>
        <w:t>Leviticus 1–16, </w:t>
      </w:r>
      <w:r w:rsidRPr="002A2E5E">
        <w:rPr>
          <w:rFonts w:ascii="Times New Roman" w:eastAsia="Times New Roman" w:hAnsi="Times New Roman" w:cs="Times New Roman"/>
          <w:color w:val="333333"/>
          <w:sz w:val="14"/>
          <w:szCs w:val="14"/>
          <w:lang w:bidi="ar-SA"/>
        </w:rPr>
        <w:t>828–9.</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The Rabbis cited this law as evidence that the Torah shows concern for Israel’s material possessions (m. </w:t>
      </w:r>
      <w:proofErr w:type="spellStart"/>
      <w:r w:rsidRPr="0090141D">
        <w:rPr>
          <w:rFonts w:ascii="Times New Roman" w:eastAsia="Times New Roman" w:hAnsi="Times New Roman" w:cs="Times New Roman"/>
          <w:i/>
          <w:iCs/>
          <w:color w:val="333333"/>
          <w:sz w:val="14"/>
          <w:lang w:bidi="ar-SA"/>
        </w:rPr>
        <w:t>Negaim</w:t>
      </w:r>
      <w:proofErr w:type="spellEnd"/>
      <w:r w:rsidRPr="0090141D">
        <w:rPr>
          <w:rFonts w:ascii="Times New Roman" w:eastAsia="Times New Roman" w:hAnsi="Times New Roman" w:cs="Times New Roman"/>
          <w:i/>
          <w:iCs/>
          <w:color w:val="333333"/>
          <w:sz w:val="14"/>
          <w:lang w:bidi="ar-SA"/>
        </w:rPr>
        <w:t> </w:t>
      </w:r>
      <w:r w:rsidRPr="002A2E5E">
        <w:rPr>
          <w:rFonts w:ascii="Times New Roman" w:eastAsia="Times New Roman" w:hAnsi="Times New Roman" w:cs="Times New Roman"/>
          <w:color w:val="333333"/>
          <w:sz w:val="14"/>
          <w:szCs w:val="14"/>
          <w:lang w:bidi="ar-SA"/>
        </w:rPr>
        <w:t>12:5).</w:t>
      </w:r>
    </w:p>
    <w:p w:rsidR="002A2E5E" w:rsidRPr="002A2E5E" w:rsidRDefault="002A2E5E" w:rsidP="002A2E5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2A2E5E">
        <w:rPr>
          <w:rFonts w:ascii="Times New Roman" w:eastAsia="Times New Roman" w:hAnsi="Times New Roman" w:cs="Times New Roman"/>
          <w:color w:val="333333"/>
          <w:sz w:val="14"/>
          <w:szCs w:val="14"/>
          <w:lang w:bidi="ar-SA"/>
        </w:rPr>
        <w:t> </w:t>
      </w:r>
      <w:r w:rsidRPr="0090141D">
        <w:rPr>
          <w:rFonts w:ascii="Times New Roman" w:eastAsia="Times New Roman" w:hAnsi="Times New Roman" w:cs="Times New Roman"/>
          <w:i/>
          <w:iCs/>
          <w:color w:val="333333"/>
          <w:sz w:val="14"/>
          <w:lang w:bidi="ar-SA"/>
        </w:rPr>
        <w:t>Leviticus 1–16, </w:t>
      </w:r>
      <w:r w:rsidRPr="002A2E5E">
        <w:rPr>
          <w:rFonts w:ascii="Times New Roman" w:eastAsia="Times New Roman" w:hAnsi="Times New Roman" w:cs="Times New Roman"/>
          <w:color w:val="333333"/>
          <w:sz w:val="14"/>
          <w:szCs w:val="14"/>
          <w:lang w:bidi="ar-SA"/>
        </w:rPr>
        <w:t>889.</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91A30"/>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2A2E5E"/>
    <w:rsid w:val="000E2771"/>
    <w:rsid w:val="001A4EAB"/>
    <w:rsid w:val="002A2E5E"/>
    <w:rsid w:val="004C4437"/>
    <w:rsid w:val="004E1911"/>
    <w:rsid w:val="005837BF"/>
    <w:rsid w:val="005D0922"/>
    <w:rsid w:val="00881C5F"/>
    <w:rsid w:val="0090141D"/>
    <w:rsid w:val="00C170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2A2E5E"/>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2A2E5E"/>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2A2E5E"/>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5">
    <w:name w:val="heading 5"/>
    <w:basedOn w:val="a"/>
    <w:link w:val="50"/>
    <w:uiPriority w:val="9"/>
    <w:qFormat/>
    <w:rsid w:val="002A2E5E"/>
    <w:pPr>
      <w:spacing w:before="100" w:beforeAutospacing="1" w:after="100" w:afterAutospacing="1" w:line="240" w:lineRule="auto"/>
      <w:outlineLvl w:val="4"/>
    </w:pPr>
    <w:rPr>
      <w:rFonts w:ascii="Times New Roman" w:eastAsia="Times New Roman" w:hAnsi="Times New Roman" w:cs="Times New Roman"/>
      <w:b/>
      <w:bCs/>
      <w:sz w:val="20"/>
      <w:szCs w:val="20"/>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A2E5E"/>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2A2E5E"/>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2A2E5E"/>
    <w:rPr>
      <w:rFonts w:ascii="Times New Roman" w:eastAsia="Times New Roman" w:hAnsi="Times New Roman" w:cs="Times New Roman"/>
      <w:b/>
      <w:bCs/>
      <w:sz w:val="27"/>
      <w:szCs w:val="27"/>
      <w:lang w:bidi="ar-SA"/>
    </w:rPr>
  </w:style>
  <w:style w:type="character" w:customStyle="1" w:styleId="50">
    <w:name w:val="כותרת 5 תו"/>
    <w:basedOn w:val="a0"/>
    <w:link w:val="5"/>
    <w:uiPriority w:val="9"/>
    <w:rsid w:val="002A2E5E"/>
    <w:rPr>
      <w:rFonts w:ascii="Times New Roman" w:eastAsia="Times New Roman" w:hAnsi="Times New Roman" w:cs="Times New Roman"/>
      <w:b/>
      <w:bCs/>
      <w:sz w:val="20"/>
      <w:szCs w:val="20"/>
      <w:lang w:bidi="ar-SA"/>
    </w:rPr>
  </w:style>
  <w:style w:type="paragraph" w:styleId="NormalWeb">
    <w:name w:val="Normal (Web)"/>
    <w:basedOn w:val="a"/>
    <w:uiPriority w:val="99"/>
    <w:semiHidden/>
    <w:unhideWhenUsed/>
    <w:rsid w:val="002A2E5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2A2E5E"/>
    <w:rPr>
      <w:i/>
      <w:iCs/>
    </w:rPr>
  </w:style>
  <w:style w:type="character" w:styleId="Hyperlink">
    <w:name w:val="Hyperlink"/>
    <w:basedOn w:val="a0"/>
    <w:uiPriority w:val="99"/>
    <w:semiHidden/>
    <w:unhideWhenUsed/>
    <w:rsid w:val="002A2E5E"/>
    <w:rPr>
      <w:color w:val="0000FF"/>
      <w:u w:val="single"/>
    </w:rPr>
  </w:style>
  <w:style w:type="paragraph" w:customStyle="1" w:styleId="name-big">
    <w:name w:val="name-big"/>
    <w:basedOn w:val="a"/>
    <w:rsid w:val="002A2E5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2A2E5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4">
    <w:name w:val="Strong"/>
    <w:basedOn w:val="a0"/>
    <w:uiPriority w:val="22"/>
    <w:qFormat/>
    <w:rsid w:val="002A2E5E"/>
    <w:rPr>
      <w:b/>
      <w:bCs/>
    </w:rPr>
  </w:style>
  <w:style w:type="paragraph" w:customStyle="1" w:styleId="small-sorce">
    <w:name w:val="small-sorce"/>
    <w:basedOn w:val="a"/>
    <w:rsid w:val="002A2E5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2A2E5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2A2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835194">
      <w:bodyDiv w:val="1"/>
      <w:marLeft w:val="0"/>
      <w:marRight w:val="0"/>
      <w:marTop w:val="0"/>
      <w:marBottom w:val="0"/>
      <w:divBdr>
        <w:top w:val="none" w:sz="0" w:space="0" w:color="auto"/>
        <w:left w:val="none" w:sz="0" w:space="0" w:color="auto"/>
        <w:bottom w:val="none" w:sz="0" w:space="0" w:color="auto"/>
        <w:right w:val="none" w:sz="0" w:space="0" w:color="auto"/>
      </w:divBdr>
      <w:divsChild>
        <w:div w:id="1196775304">
          <w:marLeft w:val="0"/>
          <w:marRight w:val="0"/>
          <w:marTop w:val="0"/>
          <w:marBottom w:val="0"/>
          <w:divBdr>
            <w:top w:val="none" w:sz="0" w:space="0" w:color="auto"/>
            <w:left w:val="none" w:sz="0" w:space="0" w:color="auto"/>
            <w:bottom w:val="none" w:sz="0" w:space="0" w:color="auto"/>
            <w:right w:val="none" w:sz="0" w:space="0" w:color="auto"/>
          </w:divBdr>
          <w:divsChild>
            <w:div w:id="2080398806">
              <w:marLeft w:val="0"/>
              <w:marRight w:val="0"/>
              <w:marTop w:val="0"/>
              <w:marBottom w:val="0"/>
              <w:divBdr>
                <w:top w:val="none" w:sz="0" w:space="0" w:color="auto"/>
                <w:left w:val="none" w:sz="0" w:space="0" w:color="auto"/>
                <w:bottom w:val="none" w:sz="0" w:space="0" w:color="auto"/>
                <w:right w:val="none" w:sz="0" w:space="0" w:color="auto"/>
              </w:divBdr>
            </w:div>
            <w:div w:id="10301970">
              <w:marLeft w:val="0"/>
              <w:marRight w:val="94"/>
              <w:marTop w:val="0"/>
              <w:marBottom w:val="0"/>
              <w:divBdr>
                <w:top w:val="none" w:sz="0" w:space="0" w:color="auto"/>
                <w:left w:val="none" w:sz="0" w:space="0" w:color="auto"/>
                <w:bottom w:val="none" w:sz="0" w:space="0" w:color="auto"/>
                <w:right w:val="none" w:sz="0" w:space="0" w:color="auto"/>
              </w:divBdr>
            </w:div>
            <w:div w:id="2138983446">
              <w:marLeft w:val="-1216"/>
              <w:marRight w:val="-1216"/>
              <w:marTop w:val="0"/>
              <w:marBottom w:val="0"/>
              <w:divBdr>
                <w:top w:val="none" w:sz="0" w:space="0" w:color="auto"/>
                <w:left w:val="none" w:sz="0" w:space="0" w:color="auto"/>
                <w:bottom w:val="none" w:sz="0" w:space="0" w:color="auto"/>
                <w:right w:val="none" w:sz="0" w:space="0" w:color="auto"/>
              </w:divBdr>
              <w:divsChild>
                <w:div w:id="1820682158">
                  <w:marLeft w:val="187"/>
                  <w:marRight w:val="0"/>
                  <w:marTop w:val="0"/>
                  <w:marBottom w:val="0"/>
                  <w:divBdr>
                    <w:top w:val="none" w:sz="0" w:space="0" w:color="auto"/>
                    <w:left w:val="none" w:sz="0" w:space="0" w:color="auto"/>
                    <w:bottom w:val="none" w:sz="0" w:space="0" w:color="auto"/>
                    <w:right w:val="none" w:sz="0" w:space="0" w:color="auto"/>
                  </w:divBdr>
                  <w:divsChild>
                    <w:div w:id="107742133">
                      <w:marLeft w:val="0"/>
                      <w:marRight w:val="0"/>
                      <w:marTop w:val="234"/>
                      <w:marBottom w:val="0"/>
                      <w:divBdr>
                        <w:top w:val="none" w:sz="0" w:space="0" w:color="auto"/>
                        <w:left w:val="none" w:sz="0" w:space="0" w:color="auto"/>
                        <w:bottom w:val="none" w:sz="0" w:space="0" w:color="auto"/>
                        <w:right w:val="none" w:sz="0" w:space="0" w:color="auto"/>
                      </w:divBdr>
                    </w:div>
                    <w:div w:id="1049256673">
                      <w:marLeft w:val="0"/>
                      <w:marRight w:val="0"/>
                      <w:marTop w:val="0"/>
                      <w:marBottom w:val="262"/>
                      <w:divBdr>
                        <w:top w:val="none" w:sz="0" w:space="0" w:color="auto"/>
                        <w:left w:val="none" w:sz="0" w:space="0" w:color="auto"/>
                        <w:bottom w:val="none" w:sz="0" w:space="0" w:color="auto"/>
                        <w:right w:val="none" w:sz="0" w:space="0" w:color="auto"/>
                      </w:divBdr>
                      <w:divsChild>
                        <w:div w:id="1237057601">
                          <w:marLeft w:val="0"/>
                          <w:marRight w:val="0"/>
                          <w:marTop w:val="0"/>
                          <w:marBottom w:val="0"/>
                          <w:divBdr>
                            <w:top w:val="none" w:sz="0" w:space="0" w:color="auto"/>
                            <w:left w:val="none" w:sz="0" w:space="0" w:color="auto"/>
                            <w:bottom w:val="none" w:sz="0" w:space="0" w:color="auto"/>
                            <w:right w:val="none" w:sz="0" w:space="0" w:color="auto"/>
                          </w:divBdr>
                        </w:div>
                        <w:div w:id="1002514686">
                          <w:marLeft w:val="0"/>
                          <w:marRight w:val="0"/>
                          <w:marTop w:val="234"/>
                          <w:marBottom w:val="0"/>
                          <w:divBdr>
                            <w:top w:val="none" w:sz="0" w:space="0" w:color="auto"/>
                            <w:left w:val="none" w:sz="0" w:space="0" w:color="auto"/>
                            <w:bottom w:val="none" w:sz="0" w:space="0" w:color="auto"/>
                            <w:right w:val="none" w:sz="0" w:space="0" w:color="auto"/>
                          </w:divBdr>
                        </w:div>
                      </w:divsChild>
                    </w:div>
                    <w:div w:id="1837525446">
                      <w:marLeft w:val="0"/>
                      <w:marRight w:val="0"/>
                      <w:marTop w:val="0"/>
                      <w:marBottom w:val="262"/>
                      <w:divBdr>
                        <w:top w:val="none" w:sz="0" w:space="0" w:color="auto"/>
                        <w:left w:val="none" w:sz="0" w:space="0" w:color="auto"/>
                        <w:bottom w:val="none" w:sz="0" w:space="0" w:color="auto"/>
                        <w:right w:val="none" w:sz="0" w:space="0" w:color="auto"/>
                      </w:divBdr>
                    </w:div>
                  </w:divsChild>
                </w:div>
                <w:div w:id="87774064">
                  <w:marLeft w:val="0"/>
                  <w:marRight w:val="0"/>
                  <w:marTop w:val="262"/>
                  <w:marBottom w:val="0"/>
                  <w:divBdr>
                    <w:top w:val="single" w:sz="4" w:space="0" w:color="D8D8D8"/>
                    <w:left w:val="none" w:sz="0" w:space="0" w:color="auto"/>
                    <w:bottom w:val="single" w:sz="4" w:space="5" w:color="D8D8D8"/>
                    <w:right w:val="none" w:sz="0" w:space="0" w:color="auto"/>
                  </w:divBdr>
                  <w:divsChild>
                    <w:div w:id="512184215">
                      <w:marLeft w:val="0"/>
                      <w:marRight w:val="0"/>
                      <w:marTop w:val="0"/>
                      <w:marBottom w:val="0"/>
                      <w:divBdr>
                        <w:top w:val="none" w:sz="0" w:space="0" w:color="auto"/>
                        <w:left w:val="none" w:sz="0" w:space="0" w:color="auto"/>
                        <w:bottom w:val="none" w:sz="0" w:space="0" w:color="auto"/>
                        <w:right w:val="none" w:sz="0" w:space="0" w:color="auto"/>
                      </w:divBdr>
                      <w:divsChild>
                        <w:div w:id="283654869">
                          <w:marLeft w:val="0"/>
                          <w:marRight w:val="0"/>
                          <w:marTop w:val="0"/>
                          <w:marBottom w:val="0"/>
                          <w:divBdr>
                            <w:top w:val="none" w:sz="0" w:space="0" w:color="auto"/>
                            <w:left w:val="none" w:sz="0" w:space="0" w:color="auto"/>
                            <w:bottom w:val="none" w:sz="0" w:space="0" w:color="auto"/>
                            <w:right w:val="none" w:sz="0" w:space="0" w:color="auto"/>
                          </w:divBdr>
                          <w:divsChild>
                            <w:div w:id="347752989">
                              <w:marLeft w:val="0"/>
                              <w:marRight w:val="0"/>
                              <w:marTop w:val="0"/>
                              <w:marBottom w:val="0"/>
                              <w:divBdr>
                                <w:top w:val="none" w:sz="0" w:space="0" w:color="auto"/>
                                <w:left w:val="none" w:sz="0" w:space="0" w:color="auto"/>
                                <w:bottom w:val="none" w:sz="0" w:space="0" w:color="auto"/>
                                <w:right w:val="none" w:sz="0" w:space="0" w:color="auto"/>
                              </w:divBdr>
                            </w:div>
                            <w:div w:id="17424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3276">
              <w:marLeft w:val="0"/>
              <w:marRight w:val="0"/>
              <w:marTop w:val="0"/>
              <w:marBottom w:val="94"/>
              <w:divBdr>
                <w:top w:val="none" w:sz="0" w:space="0" w:color="auto"/>
                <w:left w:val="none" w:sz="0" w:space="0" w:color="auto"/>
                <w:bottom w:val="none" w:sz="0" w:space="0" w:color="auto"/>
                <w:right w:val="none" w:sz="0" w:space="0" w:color="auto"/>
              </w:divBdr>
            </w:div>
            <w:div w:id="440074275">
              <w:marLeft w:val="0"/>
              <w:marRight w:val="0"/>
              <w:marTop w:val="0"/>
              <w:marBottom w:val="0"/>
              <w:divBdr>
                <w:top w:val="none" w:sz="0" w:space="0" w:color="auto"/>
                <w:left w:val="none" w:sz="0" w:space="0" w:color="auto"/>
                <w:bottom w:val="none" w:sz="0" w:space="0" w:color="auto"/>
                <w:right w:val="none" w:sz="0" w:space="0" w:color="auto"/>
              </w:divBdr>
              <w:divsChild>
                <w:div w:id="8835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49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38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094">
                  <w:blockQuote w:val="1"/>
                  <w:marLeft w:val="337"/>
                  <w:marRight w:val="337"/>
                  <w:marTop w:val="0"/>
                  <w:marBottom w:val="140"/>
                  <w:divBdr>
                    <w:top w:val="none" w:sz="0" w:space="0" w:color="auto"/>
                    <w:left w:val="none" w:sz="0" w:space="0" w:color="auto"/>
                    <w:bottom w:val="none" w:sz="0" w:space="0" w:color="auto"/>
                    <w:right w:val="none" w:sz="0" w:space="0" w:color="auto"/>
                  </w:divBdr>
                </w:div>
                <w:div w:id="1418287744">
                  <w:blockQuote w:val="1"/>
                  <w:marLeft w:val="337"/>
                  <w:marRight w:val="337"/>
                  <w:marTop w:val="0"/>
                  <w:marBottom w:val="140"/>
                  <w:divBdr>
                    <w:top w:val="none" w:sz="0" w:space="0" w:color="auto"/>
                    <w:left w:val="none" w:sz="0" w:space="0" w:color="auto"/>
                    <w:bottom w:val="none" w:sz="0" w:space="0" w:color="auto"/>
                    <w:right w:val="none" w:sz="0" w:space="0" w:color="auto"/>
                  </w:divBdr>
                </w:div>
                <w:div w:id="1843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63474011">
                  <w:blockQuote w:val="1"/>
                  <w:marLeft w:val="337"/>
                  <w:marRight w:val="337"/>
                  <w:marTop w:val="0"/>
                  <w:marBottom w:val="140"/>
                  <w:divBdr>
                    <w:top w:val="none" w:sz="0" w:space="0" w:color="auto"/>
                    <w:left w:val="none" w:sz="0" w:space="0" w:color="auto"/>
                    <w:bottom w:val="none" w:sz="0" w:space="0" w:color="auto"/>
                    <w:right w:val="none" w:sz="0" w:space="0" w:color="auto"/>
                  </w:divBdr>
                </w:div>
                <w:div w:id="1801342094">
                  <w:blockQuote w:val="1"/>
                  <w:marLeft w:val="337"/>
                  <w:marRight w:val="337"/>
                  <w:marTop w:val="0"/>
                  <w:marBottom w:val="140"/>
                  <w:divBdr>
                    <w:top w:val="none" w:sz="0" w:space="0" w:color="auto"/>
                    <w:left w:val="none" w:sz="0" w:space="0" w:color="auto"/>
                    <w:bottom w:val="none" w:sz="0" w:space="0" w:color="auto"/>
                    <w:right w:val="none" w:sz="0" w:space="0" w:color="auto"/>
                  </w:divBdr>
                </w:div>
                <w:div w:id="131140116">
                  <w:blockQuote w:val="1"/>
                  <w:marLeft w:val="337"/>
                  <w:marRight w:val="337"/>
                  <w:marTop w:val="0"/>
                  <w:marBottom w:val="140"/>
                  <w:divBdr>
                    <w:top w:val="none" w:sz="0" w:space="0" w:color="auto"/>
                    <w:left w:val="none" w:sz="0" w:space="0" w:color="auto"/>
                    <w:bottom w:val="none" w:sz="0" w:space="0" w:color="auto"/>
                    <w:right w:val="none" w:sz="0" w:space="0" w:color="auto"/>
                  </w:divBdr>
                </w:div>
                <w:div w:id="503207050">
                  <w:blockQuote w:val="1"/>
                  <w:marLeft w:val="337"/>
                  <w:marRight w:val="337"/>
                  <w:marTop w:val="0"/>
                  <w:marBottom w:val="140"/>
                  <w:divBdr>
                    <w:top w:val="none" w:sz="0" w:space="0" w:color="auto"/>
                    <w:left w:val="none" w:sz="0" w:space="0" w:color="auto"/>
                    <w:bottom w:val="none" w:sz="0" w:space="0" w:color="auto"/>
                    <w:right w:val="none" w:sz="0" w:space="0" w:color="auto"/>
                  </w:divBdr>
                </w:div>
                <w:div w:id="1497653366">
                  <w:blockQuote w:val="1"/>
                  <w:marLeft w:val="337"/>
                  <w:marRight w:val="337"/>
                  <w:marTop w:val="0"/>
                  <w:marBottom w:val="140"/>
                  <w:divBdr>
                    <w:top w:val="none" w:sz="0" w:space="0" w:color="auto"/>
                    <w:left w:val="none" w:sz="0" w:space="0" w:color="auto"/>
                    <w:bottom w:val="none" w:sz="0" w:space="0" w:color="auto"/>
                    <w:right w:val="none" w:sz="0" w:space="0" w:color="auto"/>
                  </w:divBdr>
                </w:div>
                <w:div w:id="85970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3519041">
          <w:marLeft w:val="0"/>
          <w:marRight w:val="94"/>
          <w:marTop w:val="0"/>
          <w:marBottom w:val="0"/>
          <w:divBdr>
            <w:top w:val="none" w:sz="0" w:space="0" w:color="auto"/>
            <w:left w:val="none" w:sz="0" w:space="0" w:color="auto"/>
            <w:bottom w:val="none" w:sz="0" w:space="0" w:color="auto"/>
            <w:right w:val="none" w:sz="0" w:space="0" w:color="auto"/>
          </w:divBdr>
        </w:div>
        <w:div w:id="350575248">
          <w:marLeft w:val="0"/>
          <w:marRight w:val="0"/>
          <w:marTop w:val="0"/>
          <w:marBottom w:val="0"/>
          <w:divBdr>
            <w:top w:val="none" w:sz="0" w:space="0" w:color="auto"/>
            <w:left w:val="none" w:sz="0" w:space="0" w:color="auto"/>
            <w:bottom w:val="none" w:sz="0" w:space="0" w:color="auto"/>
            <w:right w:val="none" w:sz="0" w:space="0" w:color="auto"/>
          </w:divBdr>
          <w:divsChild>
            <w:div w:id="1114330113">
              <w:marLeft w:val="0"/>
              <w:marRight w:val="0"/>
              <w:marTop w:val="0"/>
              <w:marBottom w:val="0"/>
              <w:divBdr>
                <w:top w:val="none" w:sz="0" w:space="0" w:color="auto"/>
                <w:left w:val="none" w:sz="0" w:space="0" w:color="auto"/>
                <w:bottom w:val="none" w:sz="0" w:space="0" w:color="auto"/>
                <w:right w:val="none" w:sz="0" w:space="0" w:color="auto"/>
              </w:divBdr>
            </w:div>
            <w:div w:id="1248465865">
              <w:marLeft w:val="0"/>
              <w:marRight w:val="0"/>
              <w:marTop w:val="0"/>
              <w:marBottom w:val="0"/>
              <w:divBdr>
                <w:top w:val="none" w:sz="0" w:space="0" w:color="auto"/>
                <w:left w:val="none" w:sz="0" w:space="0" w:color="auto"/>
                <w:bottom w:val="none" w:sz="0" w:space="0" w:color="auto"/>
                <w:right w:val="none" w:sz="0" w:space="0" w:color="auto"/>
              </w:divBdr>
              <w:divsChild>
                <w:div w:id="747121262">
                  <w:blockQuote w:val="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torah.com/sukkots-seventy-bu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tzaraat-as-canc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3807</Words>
  <Characters>20133</Characters>
  <Application>Microsoft Office Word</Application>
  <DocSecurity>0</DocSecurity>
  <Lines>281</Lines>
  <Paragraphs>109</Paragraphs>
  <ScaleCrop>false</ScaleCrop>
  <Company/>
  <LinksUpToDate>false</LinksUpToDate>
  <CharactersWithSpaces>23795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2022-03-06T07:57:00Z</dcterms:created>
  <dcterms:modified xsi:type="dcterms:W3CDTF">2022-03-06T08:30:00Z</dcterms:modified>
</cp:coreProperties>
</file>