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A0E0" w14:textId="62D836AC" w:rsidR="00D41BE5" w:rsidRDefault="00D41BE5" w:rsidP="009B3D73">
      <w:pPr>
        <w:bidi w:val="0"/>
        <w:spacing w:after="120"/>
        <w:jc w:val="center"/>
        <w:rPr>
          <w:sz w:val="24"/>
          <w:szCs w:val="30"/>
        </w:rPr>
      </w:pPr>
      <w:bookmarkStart w:id="0" w:name="_Toc56606566"/>
      <w:bookmarkStart w:id="1" w:name="_Toc60847971"/>
      <w:bookmarkStart w:id="2" w:name="_Toc78880385"/>
      <w:r w:rsidRPr="005B3C54">
        <w:rPr>
          <w:smallCaps/>
          <w:sz w:val="30"/>
          <w:szCs w:val="30"/>
        </w:rPr>
        <w:t xml:space="preserve">Revisiting The Role of Marriage and </w:t>
      </w:r>
      <w:commentRangeStart w:id="3"/>
      <w:proofErr w:type="spellStart"/>
      <w:r w:rsidRPr="005B3C54">
        <w:rPr>
          <w:smallCaps/>
          <w:sz w:val="30"/>
          <w:szCs w:val="30"/>
        </w:rPr>
        <w:t>Couplehood</w:t>
      </w:r>
      <w:proofErr w:type="spellEnd"/>
      <w:r w:rsidRPr="005B3C54">
        <w:rPr>
          <w:smallCaps/>
          <w:sz w:val="30"/>
          <w:szCs w:val="30"/>
        </w:rPr>
        <w:t xml:space="preserve"> </w:t>
      </w:r>
      <w:commentRangeEnd w:id="3"/>
      <w:r w:rsidR="00C24F5A">
        <w:rPr>
          <w:rStyle w:val="CommentReference"/>
          <w:rtl/>
        </w:rPr>
        <w:commentReference w:id="3"/>
      </w:r>
      <w:r w:rsidRPr="005B3C54">
        <w:rPr>
          <w:smallCaps/>
          <w:sz w:val="30"/>
          <w:szCs w:val="30"/>
        </w:rPr>
        <w:t>in Parentage Determination: A Comparative and Normative Analysis</w:t>
      </w:r>
    </w:p>
    <w:p w14:paraId="37618A77" w14:textId="1BB64080" w:rsidR="00D41BE5" w:rsidRPr="003B54BA" w:rsidRDefault="00D41BE5" w:rsidP="00D41BE5">
      <w:pPr>
        <w:spacing w:after="120"/>
        <w:jc w:val="center"/>
        <w:rPr>
          <w:smallCaps/>
          <w:sz w:val="30"/>
          <w:szCs w:val="30"/>
        </w:rPr>
      </w:pPr>
      <w:r>
        <w:rPr>
          <w:sz w:val="24"/>
          <w:szCs w:val="30"/>
        </w:rPr>
        <w:t>[very tentative title]</w:t>
      </w:r>
    </w:p>
    <w:p w14:paraId="7E11AE0E" w14:textId="77777777" w:rsidR="00D41BE5" w:rsidRPr="003B54BA" w:rsidRDefault="00D41BE5" w:rsidP="009E41CA">
      <w:pPr>
        <w:pStyle w:val="Heading1"/>
        <w:bidi w:val="0"/>
        <w:jc w:val="both"/>
      </w:pPr>
      <w:bookmarkStart w:id="4" w:name="_Toc475621703"/>
      <w:bookmarkStart w:id="5" w:name="_Toc475627607"/>
      <w:r w:rsidRPr="003B54BA">
        <w:t>Introduction</w:t>
      </w:r>
      <w:bookmarkEnd w:id="4"/>
      <w:bookmarkEnd w:id="5"/>
    </w:p>
    <w:p w14:paraId="074F5D9A" w14:textId="77777777" w:rsidR="00D41BE5" w:rsidRDefault="00D41BE5" w:rsidP="009E41CA">
      <w:pPr>
        <w:tabs>
          <w:tab w:val="left" w:leader="dot" w:pos="340"/>
          <w:tab w:val="left" w:pos="660"/>
          <w:tab w:val="right" w:leader="dot" w:pos="6840"/>
        </w:tabs>
        <w:bidi w:val="0"/>
        <w:spacing w:beforeLines="20" w:before="48" w:afterLines="20" w:after="48" w:line="276" w:lineRule="auto"/>
        <w:jc w:val="both"/>
        <w:rPr>
          <w:sz w:val="24"/>
          <w:szCs w:val="24"/>
        </w:rPr>
      </w:pPr>
      <w:r>
        <w:rPr>
          <w:sz w:val="24"/>
          <w:szCs w:val="24"/>
        </w:rPr>
        <w:t xml:space="preserve">Motherhood </w:t>
      </w:r>
      <w:proofErr w:type="gramStart"/>
      <w:r>
        <w:rPr>
          <w:sz w:val="24"/>
          <w:szCs w:val="24"/>
        </w:rPr>
        <w:t>was considered to be</w:t>
      </w:r>
      <w:proofErr w:type="gramEnd"/>
      <w:r>
        <w:rPr>
          <w:sz w:val="24"/>
          <w:szCs w:val="24"/>
        </w:rPr>
        <w:t xml:space="preserve"> certain and fatherhood always elusive. Nonetheless, t</w:t>
      </w:r>
      <w:r w:rsidRPr="004B589E">
        <w:rPr>
          <w:sz w:val="24"/>
          <w:szCs w:val="24"/>
        </w:rPr>
        <w:t>he “presumption of marital paternity exists in</w:t>
      </w:r>
      <w:r>
        <w:rPr>
          <w:sz w:val="24"/>
          <w:szCs w:val="24"/>
        </w:rPr>
        <w:t xml:space="preserve"> </w:t>
      </w:r>
      <w:r w:rsidRPr="004B589E">
        <w:rPr>
          <w:sz w:val="24"/>
          <w:szCs w:val="24"/>
        </w:rPr>
        <w:t>Anglo-American law and the civil law of continental Europe, as well as Latin American and Middle Eastern legal systems. It is ‘as close to a</w:t>
      </w:r>
      <w:r>
        <w:rPr>
          <w:sz w:val="24"/>
          <w:szCs w:val="24"/>
        </w:rPr>
        <w:t xml:space="preserve"> </w:t>
      </w:r>
      <w:r w:rsidRPr="004B589E">
        <w:rPr>
          <w:sz w:val="24"/>
          <w:szCs w:val="24"/>
        </w:rPr>
        <w:t>cultural universal in law as we get.’”</w:t>
      </w:r>
      <w:r>
        <w:rPr>
          <w:sz w:val="24"/>
          <w:szCs w:val="24"/>
        </w:rPr>
        <w:t xml:space="preserve"> (</w:t>
      </w:r>
      <w:proofErr w:type="spellStart"/>
      <w:r w:rsidRPr="004B589E">
        <w:rPr>
          <w:sz w:val="24"/>
          <w:szCs w:val="24"/>
        </w:rPr>
        <w:t>M</w:t>
      </w:r>
      <w:r>
        <w:rPr>
          <w:sz w:val="24"/>
          <w:szCs w:val="24"/>
        </w:rPr>
        <w:t>ilanich</w:t>
      </w:r>
      <w:proofErr w:type="spellEnd"/>
      <w:r>
        <w:rPr>
          <w:sz w:val="24"/>
          <w:szCs w:val="24"/>
        </w:rPr>
        <w:t xml:space="preserve"> at p. </w:t>
      </w:r>
      <w:r w:rsidRPr="004B589E">
        <w:rPr>
          <w:sz w:val="24"/>
          <w:szCs w:val="24"/>
        </w:rPr>
        <w:t>197</w:t>
      </w:r>
      <w:r>
        <w:rPr>
          <w:sz w:val="24"/>
          <w:szCs w:val="24"/>
        </w:rPr>
        <w:t xml:space="preserve">). It provided the certainty needed. </w:t>
      </w:r>
    </w:p>
    <w:p w14:paraId="0AC6A302" w14:textId="2B826937" w:rsidR="00D41BE5" w:rsidRDefault="00D41BE5" w:rsidP="009E41CA">
      <w:pPr>
        <w:tabs>
          <w:tab w:val="left" w:leader="dot" w:pos="340"/>
          <w:tab w:val="left" w:pos="660"/>
          <w:tab w:val="right" w:leader="dot" w:pos="6840"/>
        </w:tabs>
        <w:bidi w:val="0"/>
        <w:spacing w:beforeLines="20" w:before="48" w:afterLines="20" w:after="48" w:line="276" w:lineRule="auto"/>
        <w:jc w:val="both"/>
        <w:rPr>
          <w:sz w:val="24"/>
          <w:szCs w:val="24"/>
        </w:rPr>
      </w:pPr>
      <w:r>
        <w:rPr>
          <w:sz w:val="24"/>
          <w:szCs w:val="24"/>
        </w:rPr>
        <w:t>Although it is as close to a cultural universal law as possible, it can be interpreted either as a proxy for biological paternity or as a presumption that signals the significance of marital relationship in and of itself as a factor in parentage determination. Since the last decades of the 20</w:t>
      </w:r>
      <w:r w:rsidRPr="00071AC8">
        <w:rPr>
          <w:sz w:val="24"/>
          <w:szCs w:val="24"/>
          <w:vertAlign w:val="superscript"/>
        </w:rPr>
        <w:t>th</w:t>
      </w:r>
      <w:r>
        <w:rPr>
          <w:sz w:val="24"/>
          <w:szCs w:val="24"/>
        </w:rPr>
        <w:t xml:space="preserve"> century, with the expansion of</w:t>
      </w:r>
      <w:r>
        <w:rPr>
          <w:sz w:val="24"/>
          <w:szCs w:val="24"/>
        </w:rPr>
        <w:t xml:space="preserve"> out of wedlock births,</w:t>
      </w:r>
      <w:r>
        <w:rPr>
          <w:sz w:val="24"/>
          <w:szCs w:val="24"/>
        </w:rPr>
        <w:t xml:space="preserve"> reproductive technologies and same-sex families, legal systems had to provide an interpretation for the presumption, choosing between marriage and genetics. In this article, we review and analyze the different answers given by legal systems (focusing on U.S. law and Israeli law), and we present a normative support for the interpretation that places the marital relationship</w:t>
      </w:r>
      <w:r>
        <w:rPr>
          <w:sz w:val="24"/>
          <w:szCs w:val="24"/>
        </w:rPr>
        <w:t xml:space="preserve"> (or in its modern version – </w:t>
      </w:r>
      <w:proofErr w:type="spellStart"/>
      <w:r>
        <w:rPr>
          <w:sz w:val="24"/>
          <w:szCs w:val="24"/>
        </w:rPr>
        <w:t>couplehood</w:t>
      </w:r>
      <w:proofErr w:type="spellEnd"/>
      <w:r>
        <w:rPr>
          <w:sz w:val="24"/>
          <w:szCs w:val="24"/>
        </w:rPr>
        <w:t>)</w:t>
      </w:r>
      <w:r>
        <w:rPr>
          <w:sz w:val="24"/>
          <w:szCs w:val="24"/>
        </w:rPr>
        <w:t xml:space="preserve"> at the center, rather than genetics.  </w:t>
      </w:r>
    </w:p>
    <w:p w14:paraId="016830D6" w14:textId="2833962C" w:rsidR="00D41BE5" w:rsidRDefault="00D41BE5" w:rsidP="009E41CA">
      <w:pPr>
        <w:tabs>
          <w:tab w:val="left" w:leader="dot" w:pos="340"/>
          <w:tab w:val="left" w:pos="660"/>
          <w:tab w:val="right" w:leader="dot" w:pos="6840"/>
        </w:tabs>
        <w:bidi w:val="0"/>
        <w:spacing w:beforeLines="20" w:before="48" w:afterLines="20" w:after="48" w:line="276" w:lineRule="auto"/>
        <w:jc w:val="both"/>
        <w:rPr>
          <w:sz w:val="24"/>
          <w:szCs w:val="24"/>
        </w:rPr>
      </w:pPr>
      <w:r w:rsidRPr="00D0651C">
        <w:rPr>
          <w:sz w:val="24"/>
          <w:szCs w:val="24"/>
        </w:rPr>
        <w:t xml:space="preserve">Considering marriage as a factor in parentage determination may seem archaic and conservative, against a growing reality where children are born outside of marriage and into diverse family forms. Nonetheless, in this </w:t>
      </w:r>
      <w:r w:rsidR="00C34B15">
        <w:rPr>
          <w:sz w:val="24"/>
          <w:szCs w:val="24"/>
        </w:rPr>
        <w:t>article</w:t>
      </w:r>
      <w:r w:rsidRPr="00D0651C">
        <w:rPr>
          <w:sz w:val="24"/>
          <w:szCs w:val="24"/>
        </w:rPr>
        <w:t xml:space="preserve"> we argue that while marriage per se is becoming less relevant for parenthood determination, relationship between prospective joint parents is becoming more relevant, and should be relevant regarding the recognition (or lack of recognition) of each of them as a parent. In other words, we offer a new understanding of traditional laws that have linked marriage and paternity, and reform them to correspond to today's reality of family life. We argue that the presumption of paternity and similar rules that connect marriage and parentage should not be understood as proxies for biological connection but rather as an example of the significance of relationships. We therefore offer to craft a presumption according to which when adults are involved in a long-term committed relationship, and a child is born into such relationship, the parties to this relationship are the child's legal parents. </w:t>
      </w:r>
      <w:commentRangeStart w:id="6"/>
      <w:r w:rsidRPr="00D0651C">
        <w:rPr>
          <w:sz w:val="24"/>
          <w:szCs w:val="24"/>
        </w:rPr>
        <w:t xml:space="preserve">The most obvious example that comes to mind is that of different or same-sex couples, whether married or not, who have a child together. </w:t>
      </w:r>
      <w:commentRangeEnd w:id="6"/>
      <w:r w:rsidR="00C24F5A">
        <w:rPr>
          <w:rStyle w:val="CommentReference"/>
        </w:rPr>
        <w:commentReference w:id="6"/>
      </w:r>
    </w:p>
    <w:p w14:paraId="1526428F" w14:textId="041CE9F1" w:rsidR="00D41BE5" w:rsidRDefault="00D41BE5" w:rsidP="009E41CA">
      <w:pPr>
        <w:tabs>
          <w:tab w:val="left" w:leader="dot" w:pos="340"/>
          <w:tab w:val="left" w:pos="660"/>
          <w:tab w:val="right" w:leader="dot" w:pos="6840"/>
        </w:tabs>
        <w:bidi w:val="0"/>
        <w:spacing w:beforeLines="20" w:before="48" w:afterLines="20" w:after="48" w:line="276" w:lineRule="auto"/>
        <w:jc w:val="both"/>
        <w:rPr>
          <w:sz w:val="24"/>
          <w:szCs w:val="24"/>
          <w:rtl/>
        </w:rPr>
      </w:pPr>
      <w:r>
        <w:rPr>
          <w:sz w:val="24"/>
          <w:szCs w:val="24"/>
        </w:rPr>
        <w:t>We chose the</w:t>
      </w:r>
      <w:r w:rsidR="00C34B15">
        <w:rPr>
          <w:sz w:val="24"/>
          <w:szCs w:val="24"/>
        </w:rPr>
        <w:t xml:space="preserve"> U.S. </w:t>
      </w:r>
      <w:r>
        <w:rPr>
          <w:sz w:val="24"/>
          <w:szCs w:val="24"/>
        </w:rPr>
        <w:t>system</w:t>
      </w:r>
      <w:r w:rsidR="00C34B15">
        <w:rPr>
          <w:sz w:val="24"/>
          <w:szCs w:val="24"/>
        </w:rPr>
        <w:t xml:space="preserve"> and the Israeli one,</w:t>
      </w:r>
      <w:r>
        <w:rPr>
          <w:sz w:val="24"/>
          <w:szCs w:val="24"/>
        </w:rPr>
        <w:t xml:space="preserve"> because at first glance each chose a different basis for parentage and paternity: Israeli law giving preference to biology while U.S., as a representative of common law, giving preference to marriage… </w:t>
      </w:r>
      <w:r w:rsidRPr="00BC66ED">
        <w:rPr>
          <w:sz w:val="24"/>
          <w:szCs w:val="24"/>
        </w:rPr>
        <w:t xml:space="preserve">It </w:t>
      </w:r>
      <w:r w:rsidRPr="00BC66ED">
        <w:rPr>
          <w:sz w:val="24"/>
          <w:szCs w:val="24"/>
        </w:rPr>
        <w:lastRenderedPageBreak/>
        <w:t xml:space="preserve">would appear that Israeli law and </w:t>
      </w:r>
      <w:proofErr w:type="gramStart"/>
      <w:r w:rsidRPr="00BC66ED">
        <w:rPr>
          <w:sz w:val="24"/>
          <w:szCs w:val="24"/>
        </w:rPr>
        <w:t>North-American</w:t>
      </w:r>
      <w:proofErr w:type="gramEnd"/>
      <w:r w:rsidRPr="00BC66ED">
        <w:rPr>
          <w:sz w:val="24"/>
          <w:szCs w:val="24"/>
        </w:rPr>
        <w:t xml:space="preserve"> law present opposite approaches to the role of marriage in parentage determination, and especially in determining paternity. Whereas traditional common law linked paternity to marriage, Israeli law has never made paternity contingent on the marital status of the parents. Instead, Israeli law has based paternity on biology, that is on a genetic connection between a man and a child (probably as an influence of traditional Jewish law). Upon closer examination, however, the legal reality is more complex. In Israel, the law of evidence made marriage to the birth mother a significant factor in determining paternity in practice. At the same time, </w:t>
      </w:r>
      <w:proofErr w:type="gramStart"/>
      <w:r w:rsidRPr="00BC66ED">
        <w:rPr>
          <w:sz w:val="24"/>
          <w:szCs w:val="24"/>
        </w:rPr>
        <w:t>North-American</w:t>
      </w:r>
      <w:proofErr w:type="gramEnd"/>
      <w:r w:rsidRPr="00BC66ED">
        <w:rPr>
          <w:sz w:val="24"/>
          <w:szCs w:val="24"/>
        </w:rPr>
        <w:t xml:space="preserve"> systems have started to recognize unwed biological fathers as legal fathers, though a relationship with the birth mother has continued to affect a biological father's status as a father.</w:t>
      </w:r>
    </w:p>
    <w:p w14:paraId="64476E88" w14:textId="315C139C" w:rsidR="00C34B15" w:rsidRDefault="00C34B15" w:rsidP="00C34B15">
      <w:pPr>
        <w:tabs>
          <w:tab w:val="left" w:leader="dot" w:pos="340"/>
          <w:tab w:val="left" w:pos="660"/>
          <w:tab w:val="right" w:leader="dot" w:pos="6840"/>
        </w:tabs>
        <w:spacing w:beforeLines="20" w:before="48" w:afterLines="20" w:after="48" w:line="276" w:lineRule="auto"/>
        <w:jc w:val="both"/>
        <w:rPr>
          <w:sz w:val="24"/>
          <w:szCs w:val="24"/>
          <w:rtl/>
        </w:rPr>
      </w:pPr>
      <w:r>
        <w:rPr>
          <w:rFonts w:hint="cs"/>
          <w:sz w:val="24"/>
          <w:szCs w:val="24"/>
          <w:rtl/>
        </w:rPr>
        <w:t>המאמר יבחן לעומק את הדינים בשיטות המשפט האמורות. יציג את המורכבות של הדין ואת ההתפתחות שעבר בעשורים האחרונים</w:t>
      </w:r>
      <w:r w:rsidR="001405B1">
        <w:rPr>
          <w:rFonts w:hint="cs"/>
          <w:sz w:val="24"/>
          <w:szCs w:val="24"/>
          <w:rtl/>
        </w:rPr>
        <w:t xml:space="preserve"> תוך ניסיון להצביע על המודל המוביל להכרה בהורות, או לפחות על מגמה המזהה מודל דומיננטי יותר בשנים האחרונות</w:t>
      </w:r>
      <w:r>
        <w:rPr>
          <w:rFonts w:hint="cs"/>
          <w:sz w:val="24"/>
          <w:szCs w:val="24"/>
          <w:rtl/>
        </w:rPr>
        <w:t>.</w:t>
      </w:r>
    </w:p>
    <w:p w14:paraId="6E37E7B4" w14:textId="70A2B2E9" w:rsidR="00C34B15" w:rsidRDefault="00C34B15" w:rsidP="00C34B15">
      <w:pPr>
        <w:tabs>
          <w:tab w:val="left" w:leader="dot" w:pos="340"/>
          <w:tab w:val="left" w:pos="660"/>
          <w:tab w:val="right" w:leader="dot" w:pos="6840"/>
        </w:tabs>
        <w:spacing w:beforeLines="20" w:before="48" w:afterLines="20" w:after="48" w:line="276" w:lineRule="auto"/>
        <w:jc w:val="both"/>
        <w:rPr>
          <w:sz w:val="24"/>
          <w:szCs w:val="24"/>
          <w:rtl/>
        </w:rPr>
      </w:pPr>
      <w:r>
        <w:rPr>
          <w:rFonts w:hint="cs"/>
          <w:sz w:val="24"/>
          <w:szCs w:val="24"/>
          <w:rtl/>
        </w:rPr>
        <w:t xml:space="preserve">לצד הצגה של הדין, יזקק ההמאמר את </w:t>
      </w:r>
      <w:r w:rsidR="001405B1">
        <w:rPr>
          <w:rFonts w:hint="cs"/>
          <w:sz w:val="24"/>
          <w:szCs w:val="24"/>
          <w:rtl/>
        </w:rPr>
        <w:t>הגישות</w:t>
      </w:r>
      <w:r>
        <w:rPr>
          <w:rFonts w:hint="cs"/>
          <w:sz w:val="24"/>
          <w:szCs w:val="24"/>
          <w:rtl/>
        </w:rPr>
        <w:t xml:space="preserve"> השונ</w:t>
      </w:r>
      <w:r w:rsidR="001405B1">
        <w:rPr>
          <w:rFonts w:hint="cs"/>
          <w:sz w:val="24"/>
          <w:szCs w:val="24"/>
          <w:rtl/>
        </w:rPr>
        <w:t>ות</w:t>
      </w:r>
      <w:r>
        <w:rPr>
          <w:rFonts w:hint="cs"/>
          <w:sz w:val="24"/>
          <w:szCs w:val="24"/>
          <w:rtl/>
        </w:rPr>
        <w:t xml:space="preserve"> להכרה בהורות ובמיוחד יציג זה מול זה את </w:t>
      </w:r>
      <w:r w:rsidR="001405B1">
        <w:rPr>
          <w:rFonts w:hint="cs"/>
          <w:sz w:val="24"/>
          <w:szCs w:val="24"/>
          <w:rtl/>
        </w:rPr>
        <w:t>הגישה/המודל</w:t>
      </w:r>
      <w:r>
        <w:rPr>
          <w:rFonts w:hint="cs"/>
          <w:sz w:val="24"/>
          <w:szCs w:val="24"/>
          <w:rtl/>
        </w:rPr>
        <w:t xml:space="preserve"> הביולוגי ואת </w:t>
      </w:r>
      <w:r w:rsidR="001405B1">
        <w:rPr>
          <w:rFonts w:hint="cs"/>
          <w:sz w:val="24"/>
          <w:szCs w:val="24"/>
          <w:rtl/>
        </w:rPr>
        <w:t>הגישה/</w:t>
      </w:r>
      <w:r>
        <w:rPr>
          <w:rFonts w:hint="cs"/>
          <w:sz w:val="24"/>
          <w:szCs w:val="24"/>
          <w:rtl/>
        </w:rPr>
        <w:t>המודל המושתת על קשר הזוגיות. המאמר יציג את הרציונאלים האידיאולוגים העומדים מאחורי הגישות השונות</w:t>
      </w:r>
      <w:r w:rsidR="001405B1">
        <w:rPr>
          <w:rFonts w:hint="cs"/>
          <w:sz w:val="24"/>
          <w:szCs w:val="24"/>
          <w:rtl/>
        </w:rPr>
        <w:t>, את היתרונות שלהם ויזהה את האינטרסים החברתיים שהם משרתים.</w:t>
      </w:r>
    </w:p>
    <w:p w14:paraId="2CB69A18" w14:textId="7F533AFB" w:rsidR="001405B1" w:rsidRDefault="001405B1" w:rsidP="00C34B15">
      <w:pPr>
        <w:tabs>
          <w:tab w:val="left" w:leader="dot" w:pos="340"/>
          <w:tab w:val="left" w:pos="660"/>
          <w:tab w:val="right" w:leader="dot" w:pos="6840"/>
        </w:tabs>
        <w:spacing w:beforeLines="20" w:before="48" w:afterLines="20" w:after="48" w:line="276" w:lineRule="auto"/>
        <w:jc w:val="both"/>
        <w:rPr>
          <w:sz w:val="24"/>
          <w:szCs w:val="24"/>
          <w:rtl/>
        </w:rPr>
      </w:pPr>
      <w:r>
        <w:rPr>
          <w:rFonts w:hint="cs"/>
          <w:sz w:val="24"/>
          <w:szCs w:val="24"/>
          <w:rtl/>
        </w:rPr>
        <w:t xml:space="preserve">התמונה המתגבשת מלמדת כי על אף ההתחזקות של המודל הגנטי במאה האחרונה, המודל שקושר, כפי שמגדירה זאת </w:t>
      </w:r>
      <w:proofErr w:type="spellStart"/>
      <w:r w:rsidRPr="004B589E">
        <w:rPr>
          <w:sz w:val="24"/>
          <w:szCs w:val="24"/>
        </w:rPr>
        <w:t>M</w:t>
      </w:r>
      <w:r>
        <w:rPr>
          <w:sz w:val="24"/>
          <w:szCs w:val="24"/>
        </w:rPr>
        <w:t>ilanich</w:t>
      </w:r>
      <w:proofErr w:type="spellEnd"/>
      <w:r>
        <w:rPr>
          <w:rFonts w:hint="cs"/>
          <w:sz w:val="24"/>
          <w:szCs w:val="24"/>
          <w:rtl/>
        </w:rPr>
        <w:t xml:space="preserve"> בין </w:t>
      </w:r>
      <w:r w:rsidR="009C6FF1">
        <w:rPr>
          <w:rFonts w:hint="cs"/>
          <w:sz w:val="24"/>
          <w:szCs w:val="24"/>
          <w:rtl/>
        </w:rPr>
        <w:t>זיהוי ההורה</w:t>
      </w:r>
      <w:r>
        <w:rPr>
          <w:rFonts w:hint="cs"/>
          <w:sz w:val="24"/>
          <w:szCs w:val="24"/>
          <w:rtl/>
        </w:rPr>
        <w:t xml:space="preserve"> ל</w:t>
      </w:r>
      <w:r w:rsidR="009C6FF1">
        <w:rPr>
          <w:rFonts w:hint="cs"/>
          <w:sz w:val="24"/>
          <w:szCs w:val="24"/>
          <w:rtl/>
        </w:rPr>
        <w:t>"</w:t>
      </w:r>
      <w:r>
        <w:rPr>
          <w:rFonts w:hint="cs"/>
          <w:sz w:val="24"/>
          <w:szCs w:val="24"/>
          <w:rtl/>
        </w:rPr>
        <w:t>גוף</w:t>
      </w:r>
      <w:r w:rsidR="009C6FF1">
        <w:rPr>
          <w:rFonts w:hint="cs"/>
          <w:sz w:val="24"/>
          <w:szCs w:val="24"/>
          <w:rtl/>
        </w:rPr>
        <w:t>"</w:t>
      </w:r>
      <w:r>
        <w:rPr>
          <w:rFonts w:hint="cs"/>
          <w:sz w:val="24"/>
          <w:szCs w:val="24"/>
          <w:rtl/>
        </w:rPr>
        <w:t xml:space="preserve">, הרי שמודל הזוגיות לא רק שמחזיק יתרונות רבים בימנו הוא ממשיך לשמש בתפקיד מרכזי בדין. </w:t>
      </w:r>
    </w:p>
    <w:p w14:paraId="6371060C" w14:textId="6B904B1C" w:rsidR="00D41BE5" w:rsidRDefault="009C6FF1" w:rsidP="009C6FF1">
      <w:pPr>
        <w:tabs>
          <w:tab w:val="left" w:leader="dot" w:pos="340"/>
          <w:tab w:val="left" w:pos="660"/>
          <w:tab w:val="right" w:leader="dot" w:pos="6840"/>
        </w:tabs>
        <w:spacing w:beforeLines="20" w:before="48" w:afterLines="20" w:after="48" w:line="276" w:lineRule="auto"/>
        <w:jc w:val="both"/>
        <w:rPr>
          <w:sz w:val="24"/>
          <w:szCs w:val="24"/>
        </w:rPr>
      </w:pPr>
      <w:r>
        <w:rPr>
          <w:rFonts w:hint="cs"/>
          <w:sz w:val="24"/>
          <w:szCs w:val="24"/>
          <w:rtl/>
        </w:rPr>
        <w:t>לאור יתרונותיו של המודל, נבקש להציע במאמר הטמעה של חזקת זוגיות בדין ונבחן את התגשמות</w:t>
      </w:r>
      <w:r w:rsidR="00CF30F4">
        <w:rPr>
          <w:rFonts w:hint="cs"/>
          <w:sz w:val="24"/>
          <w:szCs w:val="24"/>
          <w:rtl/>
        </w:rPr>
        <w:t>ה</w:t>
      </w:r>
      <w:r>
        <w:rPr>
          <w:rFonts w:hint="cs"/>
          <w:sz w:val="24"/>
          <w:szCs w:val="24"/>
          <w:rtl/>
        </w:rPr>
        <w:t xml:space="preserve"> </w:t>
      </w:r>
      <w:r w:rsidR="00CF30F4">
        <w:rPr>
          <w:rFonts w:hint="cs"/>
          <w:sz w:val="24"/>
          <w:szCs w:val="24"/>
          <w:rtl/>
        </w:rPr>
        <w:t xml:space="preserve">(תוך התכתבות עם הדין הקיים) </w:t>
      </w:r>
      <w:r>
        <w:rPr>
          <w:rFonts w:hint="cs"/>
          <w:sz w:val="24"/>
          <w:szCs w:val="24"/>
          <w:rtl/>
        </w:rPr>
        <w:t>במגוון סיטואציות מאתגרות בהקשר של קביעת הורות בעידן הנוכחי.</w:t>
      </w:r>
    </w:p>
    <w:p w14:paraId="5BF69DF0" w14:textId="64E70E09" w:rsidR="009E41CA" w:rsidRDefault="009E41CA" w:rsidP="009C6FF1">
      <w:pPr>
        <w:pStyle w:val="FirstPara"/>
        <w:rPr>
          <w:sz w:val="24"/>
          <w:szCs w:val="24"/>
          <w:rtl/>
        </w:rPr>
      </w:pPr>
      <w:r>
        <w:rPr>
          <w:rFonts w:hint="cs"/>
          <w:sz w:val="24"/>
          <w:szCs w:val="24"/>
          <w:rtl/>
        </w:rPr>
        <w:t xml:space="preserve"> </w:t>
      </w:r>
    </w:p>
    <w:p w14:paraId="7FEAC89A" w14:textId="77777777" w:rsidR="009E41CA" w:rsidRDefault="009E41CA" w:rsidP="00D41BE5">
      <w:pPr>
        <w:pStyle w:val="FirstPara"/>
        <w:ind w:firstLine="720"/>
        <w:rPr>
          <w:sz w:val="24"/>
          <w:szCs w:val="24"/>
        </w:rPr>
      </w:pPr>
    </w:p>
    <w:p w14:paraId="6A282738" w14:textId="77777777" w:rsidR="009B3D73" w:rsidRDefault="009B3D73" w:rsidP="00D41BE5">
      <w:pPr>
        <w:pStyle w:val="FirstPara"/>
        <w:ind w:firstLine="720"/>
        <w:rPr>
          <w:b/>
          <w:bCs/>
          <w:sz w:val="24"/>
          <w:szCs w:val="24"/>
          <w:rtl/>
        </w:rPr>
      </w:pPr>
    </w:p>
    <w:p w14:paraId="32FA4319" w14:textId="3F4458E8" w:rsidR="009B3D73" w:rsidRDefault="009B3D73" w:rsidP="009B3D73">
      <w:pPr>
        <w:pStyle w:val="FirstPara"/>
        <w:numPr>
          <w:ilvl w:val="0"/>
          <w:numId w:val="8"/>
        </w:numPr>
        <w:rPr>
          <w:b/>
          <w:bCs/>
          <w:sz w:val="24"/>
          <w:szCs w:val="24"/>
        </w:rPr>
      </w:pPr>
      <w:r>
        <w:rPr>
          <w:b/>
          <w:bCs/>
          <w:sz w:val="24"/>
          <w:szCs w:val="24"/>
        </w:rPr>
        <w:t>Parental Definition – The American Law</w:t>
      </w:r>
    </w:p>
    <w:p w14:paraId="60B4F1A7" w14:textId="21757AF1" w:rsidR="00D41BE5" w:rsidRDefault="009B3D73" w:rsidP="00D41BE5">
      <w:pPr>
        <w:pStyle w:val="FirstPara"/>
        <w:ind w:firstLine="720"/>
        <w:rPr>
          <w:sz w:val="24"/>
          <w:szCs w:val="24"/>
          <w:rtl/>
        </w:rPr>
      </w:pPr>
      <w:r>
        <w:rPr>
          <w:rFonts w:hint="cs"/>
          <w:sz w:val="24"/>
          <w:szCs w:val="24"/>
          <w:rtl/>
        </w:rPr>
        <w:t>כאן יובאו חלקים מהמאמר של איילת התאמות המתחייבות</w:t>
      </w:r>
    </w:p>
    <w:p w14:paraId="714BD3BF" w14:textId="01A10431" w:rsidR="009B3D73" w:rsidRPr="003B54BA" w:rsidRDefault="009C6FF1" w:rsidP="00D41BE5">
      <w:pPr>
        <w:pStyle w:val="FirstPara"/>
        <w:ind w:firstLine="720"/>
        <w:rPr>
          <w:sz w:val="24"/>
          <w:szCs w:val="24"/>
        </w:rPr>
      </w:pPr>
      <w:r>
        <w:rPr>
          <w:rFonts w:hint="cs"/>
          <w:sz w:val="24"/>
          <w:szCs w:val="24"/>
          <w:rtl/>
        </w:rPr>
        <w:t>+ עדכונים</w:t>
      </w:r>
    </w:p>
    <w:p w14:paraId="6721D7E5" w14:textId="18645F36" w:rsidR="00E0078C" w:rsidRDefault="00E0078C" w:rsidP="00E0078C">
      <w:pPr>
        <w:tabs>
          <w:tab w:val="num" w:pos="360"/>
        </w:tabs>
        <w:rPr>
          <w:rtl/>
        </w:rPr>
      </w:pPr>
    </w:p>
    <w:p w14:paraId="4E6687D5" w14:textId="77777777" w:rsidR="00595B37" w:rsidRDefault="00595B37" w:rsidP="00E0078C">
      <w:pPr>
        <w:tabs>
          <w:tab w:val="num" w:pos="360"/>
        </w:tabs>
      </w:pPr>
    </w:p>
    <w:p w14:paraId="3A8A749F" w14:textId="0223A55F" w:rsidR="00E0078C" w:rsidRPr="003D564D" w:rsidRDefault="00E0078C" w:rsidP="009B3D73">
      <w:pPr>
        <w:pStyle w:val="Heading1"/>
        <w:numPr>
          <w:ilvl w:val="0"/>
          <w:numId w:val="9"/>
        </w:numPr>
        <w:spacing w:before="0"/>
        <w:rPr>
          <w:rFonts w:ascii="David" w:hAnsi="David" w:cs="David"/>
          <w:b/>
          <w:bCs/>
          <w:color w:val="auto"/>
          <w:rtl/>
        </w:rPr>
      </w:pPr>
      <w:r>
        <w:rPr>
          <w:rFonts w:ascii="David" w:hAnsi="David" w:cs="David" w:hint="cs"/>
          <w:b/>
          <w:bCs/>
          <w:color w:val="auto"/>
          <w:rtl/>
        </w:rPr>
        <w:t xml:space="preserve">הגדרת הורות </w:t>
      </w:r>
      <w:r w:rsidR="009B3D73">
        <w:rPr>
          <w:rFonts w:ascii="David" w:hAnsi="David" w:cs="David"/>
          <w:b/>
          <w:bCs/>
          <w:color w:val="auto"/>
        </w:rPr>
        <w:t xml:space="preserve">- </w:t>
      </w:r>
      <w:r>
        <w:rPr>
          <w:rFonts w:ascii="David" w:hAnsi="David" w:cs="David" w:hint="cs"/>
          <w:b/>
          <w:bCs/>
          <w:color w:val="auto"/>
          <w:rtl/>
        </w:rPr>
        <w:t xml:space="preserve">משפט </w:t>
      </w:r>
      <w:commentRangeStart w:id="7"/>
      <w:r w:rsidRPr="003D564D">
        <w:rPr>
          <w:rFonts w:ascii="David" w:hAnsi="David" w:cs="David"/>
          <w:b/>
          <w:bCs/>
          <w:color w:val="auto"/>
          <w:rtl/>
        </w:rPr>
        <w:t>הישראלי</w:t>
      </w:r>
      <w:commentRangeEnd w:id="7"/>
      <w:r w:rsidR="00CF30F4">
        <w:rPr>
          <w:rStyle w:val="CommentReference"/>
          <w:rFonts w:asciiTheme="minorHAnsi" w:eastAsiaTheme="minorHAnsi" w:hAnsiTheme="minorHAnsi" w:cstheme="minorBidi"/>
          <w:noProof w:val="0"/>
          <w:color w:val="auto"/>
          <w:rtl/>
        </w:rPr>
        <w:commentReference w:id="7"/>
      </w:r>
      <w:r w:rsidRPr="003D564D">
        <w:rPr>
          <w:rFonts w:ascii="David" w:hAnsi="David" w:cs="David"/>
          <w:b/>
          <w:bCs/>
          <w:color w:val="auto"/>
          <w:rtl/>
        </w:rPr>
        <w:t xml:space="preserve"> </w:t>
      </w:r>
    </w:p>
    <w:p w14:paraId="6CA8C276" w14:textId="228E8120" w:rsidR="00E0078C" w:rsidRDefault="00E0078C" w:rsidP="00E0078C">
      <w:pPr>
        <w:ind w:firstLine="340"/>
        <w:jc w:val="both"/>
        <w:rPr>
          <w:rFonts w:ascii="David" w:hAnsi="David" w:cs="David"/>
          <w:sz w:val="24"/>
          <w:szCs w:val="24"/>
          <w:rtl/>
        </w:rPr>
      </w:pPr>
      <w:r w:rsidRPr="003D564D">
        <w:rPr>
          <w:rFonts w:ascii="David" w:hAnsi="David" w:cs="David"/>
          <w:sz w:val="24"/>
          <w:szCs w:val="24"/>
          <w:rtl/>
        </w:rPr>
        <w:t>נכון להיום ב</w:t>
      </w:r>
      <w:r w:rsidR="002B317C">
        <w:rPr>
          <w:rFonts w:ascii="David" w:hAnsi="David" w:cs="David" w:hint="cs"/>
          <w:sz w:val="24"/>
          <w:szCs w:val="24"/>
          <w:rtl/>
        </w:rPr>
        <w:t>דין ה</w:t>
      </w:r>
      <w:r w:rsidRPr="003D564D">
        <w:rPr>
          <w:rFonts w:ascii="David" w:hAnsi="David" w:cs="David"/>
          <w:sz w:val="24"/>
          <w:szCs w:val="24"/>
          <w:rtl/>
        </w:rPr>
        <w:t>ישראל</w:t>
      </w:r>
      <w:r w:rsidR="002B317C">
        <w:rPr>
          <w:rFonts w:ascii="David" w:hAnsi="David" w:cs="David" w:hint="cs"/>
          <w:sz w:val="24"/>
          <w:szCs w:val="24"/>
          <w:rtl/>
        </w:rPr>
        <w:t>י</w:t>
      </w:r>
      <w:r w:rsidRPr="003D564D">
        <w:rPr>
          <w:rFonts w:ascii="David" w:hAnsi="David" w:cs="David"/>
          <w:sz w:val="24"/>
          <w:szCs w:val="24"/>
          <w:rtl/>
        </w:rPr>
        <w:t xml:space="preserve"> אין חוק המגדיר אימהוּת, אבהוּת או הורוּת ככלל.</w:t>
      </w:r>
      <w:bookmarkStart w:id="8" w:name="_Ref64653083"/>
      <w:r w:rsidRPr="003D564D">
        <w:rPr>
          <w:rStyle w:val="FootnoteReference"/>
          <w:rFonts w:ascii="David" w:hAnsi="David" w:cs="David"/>
          <w:sz w:val="24"/>
          <w:szCs w:val="24"/>
          <w:rtl/>
        </w:rPr>
        <w:footnoteReference w:id="1"/>
      </w:r>
      <w:bookmarkEnd w:id="8"/>
      <w:r w:rsidRPr="003D564D">
        <w:rPr>
          <w:rFonts w:ascii="David" w:hAnsi="David" w:cs="David"/>
          <w:sz w:val="24"/>
          <w:szCs w:val="24"/>
          <w:rtl/>
        </w:rPr>
        <w:t xml:space="preserve"> ישנם דברי חקיקה ספציפיים המתייחסים לשאלת הגדרת ההורות במצבים שאינם שכיחים, כדוגמת הולדה </w:t>
      </w:r>
      <w:r w:rsidRPr="003D564D">
        <w:rPr>
          <w:rFonts w:ascii="David" w:hAnsi="David" w:cs="David"/>
          <w:sz w:val="24"/>
          <w:szCs w:val="24"/>
          <w:rtl/>
        </w:rPr>
        <w:lastRenderedPageBreak/>
        <w:t>בסיוע פונדקאות, או הולדה בסיוע תרומת ביצית</w:t>
      </w:r>
      <w:r>
        <w:rPr>
          <w:rFonts w:ascii="David" w:hAnsi="David" w:cs="David" w:hint="cs"/>
          <w:sz w:val="24"/>
          <w:szCs w:val="24"/>
          <w:rtl/>
        </w:rPr>
        <w:t>,</w:t>
      </w:r>
      <w:bookmarkStart w:id="9" w:name="_Ref64651209"/>
      <w:r w:rsidRPr="003D564D">
        <w:rPr>
          <w:rStyle w:val="FootnoteReference"/>
          <w:rFonts w:ascii="David" w:hAnsi="David" w:cs="David"/>
          <w:sz w:val="24"/>
          <w:szCs w:val="24"/>
          <w:rtl/>
        </w:rPr>
        <w:footnoteReference w:id="2"/>
      </w:r>
      <w:bookmarkEnd w:id="9"/>
      <w:r>
        <w:rPr>
          <w:rFonts w:ascii="David" w:hAnsi="David" w:cs="David" w:hint="cs"/>
          <w:sz w:val="24"/>
          <w:szCs w:val="24"/>
          <w:rtl/>
        </w:rPr>
        <w:t xml:space="preserve"> לצד נהלים פנימיים של משרד הפנים,</w:t>
      </w:r>
      <w:bookmarkStart w:id="10" w:name="_Ref80955951"/>
      <w:r w:rsidRPr="003D564D">
        <w:rPr>
          <w:rStyle w:val="FootnoteReference"/>
          <w:rFonts w:ascii="David" w:hAnsi="David" w:cs="David"/>
          <w:sz w:val="24"/>
          <w:szCs w:val="24"/>
          <w:rtl/>
        </w:rPr>
        <w:footnoteReference w:id="3"/>
      </w:r>
      <w:bookmarkEnd w:id="10"/>
      <w:r>
        <w:rPr>
          <w:rFonts w:ascii="David" w:hAnsi="David" w:cs="David" w:hint="cs"/>
          <w:sz w:val="24"/>
          <w:szCs w:val="24"/>
          <w:rtl/>
        </w:rPr>
        <w:t xml:space="preserve"> </w:t>
      </w:r>
      <w:r w:rsidR="002B317C">
        <w:rPr>
          <w:rFonts w:ascii="David" w:hAnsi="David" w:cs="David" w:hint="cs"/>
          <w:sz w:val="24"/>
          <w:szCs w:val="24"/>
          <w:rtl/>
        </w:rPr>
        <w:t>חלקם</w:t>
      </w:r>
      <w:r>
        <w:rPr>
          <w:rFonts w:ascii="David" w:hAnsi="David" w:cs="David" w:hint="cs"/>
          <w:sz w:val="24"/>
          <w:szCs w:val="24"/>
          <w:rtl/>
        </w:rPr>
        <w:t xml:space="preserve"> אינם מפורסמים ברבים,</w:t>
      </w:r>
      <w:bookmarkStart w:id="11" w:name="_Ref80948282"/>
      <w:r w:rsidRPr="003D564D">
        <w:rPr>
          <w:rStyle w:val="FootnoteReference"/>
          <w:rFonts w:ascii="David" w:hAnsi="David" w:cs="David"/>
          <w:sz w:val="24"/>
          <w:szCs w:val="24"/>
          <w:rtl/>
        </w:rPr>
        <w:footnoteReference w:id="4"/>
      </w:r>
      <w:bookmarkEnd w:id="11"/>
      <w:r>
        <w:rPr>
          <w:rFonts w:ascii="David" w:hAnsi="David" w:cs="David" w:hint="cs"/>
          <w:sz w:val="24"/>
          <w:szCs w:val="24"/>
          <w:rtl/>
        </w:rPr>
        <w:t xml:space="preserve"> ה</w:t>
      </w:r>
      <w:r w:rsidR="000E49B5">
        <w:rPr>
          <w:rFonts w:ascii="David" w:hAnsi="David" w:cs="David" w:hint="cs"/>
          <w:sz w:val="24"/>
          <w:szCs w:val="24"/>
          <w:rtl/>
        </w:rPr>
        <w:t xml:space="preserve">המתייחסים להגדרת ההורות </w:t>
      </w:r>
      <w:r>
        <w:rPr>
          <w:rFonts w:ascii="David" w:hAnsi="David" w:cs="David" w:hint="cs"/>
          <w:sz w:val="24"/>
          <w:szCs w:val="24"/>
          <w:rtl/>
        </w:rPr>
        <w:t xml:space="preserve">במקרים ספציפיים. </w:t>
      </w:r>
      <w:r w:rsidRPr="003D564D">
        <w:rPr>
          <w:rFonts w:ascii="David" w:hAnsi="David" w:cs="David"/>
          <w:sz w:val="24"/>
          <w:szCs w:val="24"/>
          <w:rtl/>
        </w:rPr>
        <w:t>גם הפסיקה לא עסקה בשאלת הגדרת ההורות באופן סדור, אלא לכל היותר נדרשה להכריע בסוגיות קונקרטיות הנוגעות להגדרת ההורות</w:t>
      </w:r>
      <w:r w:rsidR="00CF30F4">
        <w:rPr>
          <w:rFonts w:ascii="David" w:hAnsi="David" w:cs="David" w:hint="cs"/>
          <w:sz w:val="24"/>
          <w:szCs w:val="24"/>
          <w:rtl/>
        </w:rPr>
        <w:t xml:space="preserve"> במקרה ייחודי זה או אחר</w:t>
      </w:r>
      <w:r w:rsidRPr="003D564D">
        <w:rPr>
          <w:rFonts w:ascii="David" w:hAnsi="David" w:cs="David"/>
          <w:sz w:val="24"/>
          <w:szCs w:val="24"/>
          <w:rtl/>
        </w:rPr>
        <w:t>. נוסף על כך, גם שאלת ההליך הפורמלי למיסוד יחסי ההורות ככלל אינה מוסדרת בדין הישראלי.</w:t>
      </w:r>
      <w:r w:rsidRPr="003D564D">
        <w:rPr>
          <w:rStyle w:val="FootnoteReference"/>
          <w:rFonts w:ascii="David" w:hAnsi="David" w:cs="David"/>
          <w:sz w:val="24"/>
          <w:szCs w:val="24"/>
          <w:rtl/>
        </w:rPr>
        <w:footnoteReference w:id="5"/>
      </w:r>
      <w:r w:rsidRPr="003D564D">
        <w:rPr>
          <w:rFonts w:ascii="David" w:hAnsi="David" w:cs="David"/>
          <w:sz w:val="24"/>
          <w:szCs w:val="24"/>
          <w:rtl/>
        </w:rPr>
        <w:t xml:space="preserve"> </w:t>
      </w:r>
      <w:r>
        <w:rPr>
          <w:rFonts w:ascii="David" w:hAnsi="David" w:cs="David" w:hint="cs"/>
          <w:sz w:val="24"/>
          <w:szCs w:val="24"/>
          <w:rtl/>
        </w:rPr>
        <w:t xml:space="preserve">יש לציין כי </w:t>
      </w:r>
      <w:r w:rsidRPr="003D564D">
        <w:rPr>
          <w:rFonts w:ascii="David" w:hAnsi="David" w:cs="David"/>
          <w:sz w:val="24"/>
          <w:szCs w:val="24"/>
          <w:rtl/>
        </w:rPr>
        <w:t>הגדרת ההורות אינה חלק מ"ענייני המעמד האישי" ולפיכך אין היא נקבעת על פי הדינים האישיים-דתיים של אזרחי ישראל ותושביה</w:t>
      </w:r>
      <w:r w:rsidR="002B317C">
        <w:rPr>
          <w:rFonts w:ascii="David" w:hAnsi="David" w:cs="David" w:hint="cs"/>
          <w:sz w:val="24"/>
          <w:szCs w:val="24"/>
          <w:rtl/>
        </w:rPr>
        <w:t xml:space="preserve"> </w:t>
      </w:r>
      <w:r w:rsidR="00CF30F4">
        <w:rPr>
          <w:rFonts w:ascii="David" w:hAnsi="David" w:cs="David" w:hint="cs"/>
          <w:sz w:val="24"/>
          <w:szCs w:val="24"/>
          <w:rtl/>
        </w:rPr>
        <w:t xml:space="preserve">דינים </w:t>
      </w:r>
      <w:r w:rsidR="002B317C">
        <w:rPr>
          <w:rFonts w:ascii="David" w:hAnsi="David" w:cs="David" w:hint="cs"/>
          <w:sz w:val="24"/>
          <w:szCs w:val="24"/>
          <w:rtl/>
        </w:rPr>
        <w:t>החלים, למשל, בסוגיות של נישואים וגירושים</w:t>
      </w:r>
      <w:r w:rsidRPr="003D564D">
        <w:rPr>
          <w:rFonts w:ascii="David" w:hAnsi="David" w:cs="David"/>
          <w:sz w:val="24"/>
          <w:szCs w:val="24"/>
          <w:rtl/>
        </w:rPr>
        <w:t>.</w:t>
      </w:r>
      <w:bookmarkStart w:id="12" w:name="_Ref54597282"/>
      <w:r w:rsidRPr="003D564D">
        <w:rPr>
          <w:rStyle w:val="FootnoteReference"/>
          <w:rFonts w:ascii="David" w:hAnsi="David" w:cs="David"/>
          <w:sz w:val="24"/>
          <w:szCs w:val="24"/>
          <w:rtl/>
        </w:rPr>
        <w:footnoteReference w:id="6"/>
      </w:r>
      <w:bookmarkEnd w:id="12"/>
      <w:r w:rsidRPr="003D564D">
        <w:rPr>
          <w:rFonts w:ascii="David" w:hAnsi="David" w:cs="David"/>
          <w:sz w:val="24"/>
          <w:szCs w:val="24"/>
          <w:rtl/>
        </w:rPr>
        <w:t xml:space="preserve"> עם זאת, כללי הדין האישי לוקחים חלק עקיף בעיצוב ההכרעה המשפטית ביחס להגדרת </w:t>
      </w:r>
      <w:r w:rsidR="002B317C">
        <w:rPr>
          <w:rFonts w:ascii="David" w:hAnsi="David" w:cs="David" w:hint="cs"/>
          <w:sz w:val="24"/>
          <w:szCs w:val="24"/>
          <w:rtl/>
        </w:rPr>
        <w:t>ה</w:t>
      </w:r>
      <w:r w:rsidRPr="003D564D">
        <w:rPr>
          <w:rFonts w:ascii="David" w:hAnsi="David" w:cs="David"/>
          <w:sz w:val="24"/>
          <w:szCs w:val="24"/>
          <w:rtl/>
        </w:rPr>
        <w:t>הורות</w:t>
      </w:r>
      <w:r w:rsidR="002B317C">
        <w:rPr>
          <w:rFonts w:ascii="David" w:hAnsi="David" w:cs="David" w:hint="cs"/>
          <w:sz w:val="24"/>
          <w:szCs w:val="24"/>
          <w:rtl/>
        </w:rPr>
        <w:t xml:space="preserve"> ומיסודה</w:t>
      </w:r>
      <w:r w:rsidR="00D210BD">
        <w:rPr>
          <w:rFonts w:ascii="David" w:hAnsi="David" w:cs="David" w:hint="cs"/>
          <w:sz w:val="24"/>
          <w:szCs w:val="24"/>
          <w:rtl/>
        </w:rPr>
        <w:t xml:space="preserve"> בהשפיעם על עיצוב ההכרעה בחוק ובפסיקה.</w:t>
      </w:r>
      <w:r w:rsidRPr="003D564D">
        <w:rPr>
          <w:rFonts w:ascii="David" w:hAnsi="David" w:cs="David"/>
          <w:sz w:val="24"/>
          <w:szCs w:val="24"/>
          <w:rtl/>
        </w:rPr>
        <w:t xml:space="preserve"> </w:t>
      </w:r>
    </w:p>
    <w:p w14:paraId="21392CBE" w14:textId="5F528C1C" w:rsidR="00E0078C"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בפרק זה של המאמר נסקור את עקרונות הדין הישראלי בנוגע להגדרת הורות, ככל שניתן לחלץ אותם מהחקיקה והפסיקה הקיימות, </w:t>
      </w:r>
      <w:r>
        <w:rPr>
          <w:rFonts w:ascii="David" w:hAnsi="David" w:cs="David" w:hint="cs"/>
          <w:sz w:val="24"/>
          <w:szCs w:val="24"/>
          <w:rtl/>
        </w:rPr>
        <w:t>ו</w:t>
      </w:r>
      <w:r w:rsidRPr="003D564D">
        <w:rPr>
          <w:rFonts w:ascii="David" w:hAnsi="David" w:cs="David"/>
          <w:sz w:val="24"/>
          <w:szCs w:val="24"/>
          <w:rtl/>
        </w:rPr>
        <w:t>נציין את החסרים הקיימים</w:t>
      </w:r>
      <w:r>
        <w:rPr>
          <w:rFonts w:ascii="David" w:hAnsi="David" w:cs="David" w:hint="cs"/>
          <w:sz w:val="24"/>
          <w:szCs w:val="24"/>
          <w:rtl/>
        </w:rPr>
        <w:t>.</w:t>
      </w:r>
      <w:r w:rsidRPr="003D564D">
        <w:rPr>
          <w:rFonts w:ascii="David" w:hAnsi="David" w:cs="David"/>
          <w:sz w:val="24"/>
          <w:szCs w:val="24"/>
          <w:rtl/>
        </w:rPr>
        <w:t xml:space="preserve"> </w:t>
      </w:r>
      <w:r>
        <w:rPr>
          <w:rFonts w:ascii="David" w:hAnsi="David" w:cs="David" w:hint="cs"/>
          <w:sz w:val="24"/>
          <w:szCs w:val="24"/>
          <w:rtl/>
        </w:rPr>
        <w:t xml:space="preserve">כפי שנראה, הדין הישראלי יצא מנקודת מוצא של זיקה ביולוגית להגדרת הורות, אך ההישענות על זיקה זו הולכת ונחלשת, וזיקות חלופיות או משלימות עולות </w:t>
      </w:r>
      <w:r w:rsidR="00CF30F4">
        <w:rPr>
          <w:rFonts w:ascii="David" w:hAnsi="David" w:cs="David" w:hint="cs"/>
          <w:sz w:val="24"/>
          <w:szCs w:val="24"/>
          <w:rtl/>
        </w:rPr>
        <w:t xml:space="preserve">ומתגבשות </w:t>
      </w:r>
      <w:r w:rsidR="000E49B5">
        <w:rPr>
          <w:rFonts w:ascii="David" w:hAnsi="David" w:cs="David" w:hint="cs"/>
          <w:sz w:val="24"/>
          <w:szCs w:val="24"/>
          <w:rtl/>
        </w:rPr>
        <w:t>בדין</w:t>
      </w:r>
      <w:r>
        <w:rPr>
          <w:rFonts w:ascii="David" w:hAnsi="David" w:cs="David" w:hint="cs"/>
          <w:sz w:val="24"/>
          <w:szCs w:val="24"/>
          <w:rtl/>
        </w:rPr>
        <w:t xml:space="preserve">. </w:t>
      </w:r>
      <w:r w:rsidRPr="00D210BD">
        <w:rPr>
          <w:rFonts w:ascii="David" w:hAnsi="David" w:cs="David" w:hint="cs"/>
          <w:strike/>
          <w:sz w:val="24"/>
          <w:szCs w:val="24"/>
          <w:rtl/>
        </w:rPr>
        <w:t xml:space="preserve">סקירה זו מראה כי הדין הישראלי ניצב בפני </w:t>
      </w:r>
      <w:r w:rsidRPr="00D210BD">
        <w:rPr>
          <w:rFonts w:ascii="David" w:hAnsi="David" w:cs="David"/>
          <w:strike/>
          <w:sz w:val="24"/>
          <w:szCs w:val="24"/>
          <w:rtl/>
        </w:rPr>
        <w:t xml:space="preserve">פרשת דרכים </w:t>
      </w:r>
      <w:r w:rsidRPr="00D210BD">
        <w:rPr>
          <w:rFonts w:ascii="David" w:hAnsi="David" w:cs="David" w:hint="cs"/>
          <w:strike/>
          <w:sz w:val="24"/>
          <w:szCs w:val="24"/>
          <w:rtl/>
        </w:rPr>
        <w:t>בגישתו לה</w:t>
      </w:r>
      <w:r w:rsidRPr="00D210BD">
        <w:rPr>
          <w:rFonts w:ascii="David" w:hAnsi="David" w:cs="David"/>
          <w:strike/>
          <w:sz w:val="24"/>
          <w:szCs w:val="24"/>
          <w:rtl/>
        </w:rPr>
        <w:t>גדרת הורות.</w:t>
      </w:r>
    </w:p>
    <w:p w14:paraId="297642E0" w14:textId="77777777" w:rsidR="00E0078C" w:rsidRPr="003D564D" w:rsidRDefault="00E0078C" w:rsidP="00E0078C">
      <w:pPr>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 </w:t>
      </w:r>
    </w:p>
    <w:p w14:paraId="38F05AA6" w14:textId="77777777" w:rsidR="00E0078C" w:rsidRPr="003D564D" w:rsidRDefault="00E0078C" w:rsidP="00E0078C">
      <w:pPr>
        <w:pStyle w:val="Heading2"/>
        <w:numPr>
          <w:ilvl w:val="0"/>
          <w:numId w:val="3"/>
        </w:numPr>
        <w:tabs>
          <w:tab w:val="num" w:pos="360"/>
        </w:tabs>
        <w:spacing w:before="0"/>
        <w:ind w:left="0" w:firstLine="0"/>
        <w:rPr>
          <w:rFonts w:ascii="David" w:hAnsi="David" w:cs="David"/>
          <w:b/>
          <w:bCs/>
          <w:color w:val="auto"/>
          <w:sz w:val="28"/>
          <w:szCs w:val="28"/>
        </w:rPr>
      </w:pPr>
      <w:bookmarkStart w:id="13" w:name="_Toc78880379"/>
      <w:r w:rsidRPr="003D564D">
        <w:rPr>
          <w:rFonts w:ascii="David" w:hAnsi="David" w:cs="David"/>
          <w:b/>
          <w:bCs/>
          <w:color w:val="auto"/>
          <w:sz w:val="28"/>
          <w:szCs w:val="28"/>
          <w:rtl/>
        </w:rPr>
        <w:t>הורות מכוח לידה והולדה</w:t>
      </w:r>
      <w:r w:rsidRPr="003D564D">
        <w:rPr>
          <w:rFonts w:ascii="David" w:hAnsi="David" w:cs="David" w:hint="cs"/>
          <w:b/>
          <w:bCs/>
          <w:color w:val="auto"/>
          <w:sz w:val="28"/>
          <w:szCs w:val="28"/>
          <w:rtl/>
        </w:rPr>
        <w:t xml:space="preserve"> </w:t>
      </w:r>
      <w:r w:rsidRPr="003D564D">
        <w:rPr>
          <w:rFonts w:ascii="David" w:hAnsi="David" w:cs="David"/>
          <w:b/>
          <w:bCs/>
          <w:color w:val="auto"/>
          <w:sz w:val="28"/>
          <w:szCs w:val="28"/>
          <w:rtl/>
        </w:rPr>
        <w:t>–</w:t>
      </w:r>
      <w:r w:rsidRPr="003D564D">
        <w:rPr>
          <w:rFonts w:ascii="David" w:hAnsi="David" w:cs="David" w:hint="cs"/>
          <w:b/>
          <w:bCs/>
          <w:color w:val="auto"/>
          <w:sz w:val="28"/>
          <w:szCs w:val="28"/>
          <w:rtl/>
        </w:rPr>
        <w:t xml:space="preserve"> המבחן הביולוגי כברירת מחדל</w:t>
      </w:r>
      <w:bookmarkEnd w:id="13"/>
      <w:r>
        <w:rPr>
          <w:rFonts w:ascii="David" w:hAnsi="David" w:cs="David" w:hint="cs"/>
          <w:b/>
          <w:bCs/>
          <w:color w:val="auto"/>
          <w:sz w:val="28"/>
          <w:szCs w:val="28"/>
          <w:rtl/>
        </w:rPr>
        <w:t>?</w:t>
      </w:r>
    </w:p>
    <w:p w14:paraId="77D272E2" w14:textId="65FBB2BD" w:rsidR="00E0078C" w:rsidRPr="003D564D" w:rsidRDefault="00E0078C" w:rsidP="00E0078C">
      <w:pPr>
        <w:spacing w:before="120"/>
        <w:jc w:val="both"/>
        <w:rPr>
          <w:rFonts w:cs="David"/>
          <w:b/>
          <w:bCs/>
          <w:sz w:val="24"/>
          <w:szCs w:val="24"/>
          <w:rtl/>
        </w:rPr>
      </w:pPr>
      <w:r w:rsidRPr="003D564D">
        <w:rPr>
          <w:rFonts w:ascii="David" w:hAnsi="David" w:cs="David"/>
          <w:sz w:val="24"/>
          <w:szCs w:val="24"/>
          <w:rtl/>
        </w:rPr>
        <w:t>על אף העדרו</w:t>
      </w:r>
      <w:r w:rsidRPr="003D564D">
        <w:rPr>
          <w:rFonts w:ascii="David" w:hAnsi="David" w:cs="David" w:hint="cs"/>
          <w:sz w:val="24"/>
          <w:szCs w:val="24"/>
          <w:rtl/>
        </w:rPr>
        <w:t>, כאמור,</w:t>
      </w:r>
      <w:r w:rsidRPr="003D564D">
        <w:rPr>
          <w:rFonts w:ascii="David" w:hAnsi="David" w:cs="David"/>
          <w:sz w:val="24"/>
          <w:szCs w:val="24"/>
          <w:rtl/>
        </w:rPr>
        <w:t xml:space="preserve"> של </w:t>
      </w:r>
      <w:r>
        <w:rPr>
          <w:rFonts w:ascii="David" w:hAnsi="David" w:cs="David" w:hint="cs"/>
          <w:sz w:val="24"/>
          <w:szCs w:val="24"/>
          <w:rtl/>
        </w:rPr>
        <w:t xml:space="preserve">דבר חקיקה ראשי, </w:t>
      </w:r>
      <w:r w:rsidRPr="003D564D">
        <w:rPr>
          <w:rFonts w:ascii="David" w:hAnsi="David" w:cs="David"/>
          <w:sz w:val="24"/>
          <w:szCs w:val="24"/>
          <w:rtl/>
        </w:rPr>
        <w:t>הקובע באופן מפורש מיהו הורה, ובהעדר הסדרה כוללת כיצד יש לברר הורות ולמסד אותה, אמירות שונות בפסיקה ובספרות המשפטית מתייחסות לאימהוּת מכוח לידה ולאבהוּת מכוח הולדה כברירות המחדל.</w:t>
      </w:r>
      <w:bookmarkStart w:id="14" w:name="_Ref54597148"/>
      <w:r w:rsidRPr="003D564D">
        <w:rPr>
          <w:rStyle w:val="FootnoteReference"/>
          <w:rFonts w:ascii="David" w:hAnsi="David" w:cs="David"/>
          <w:sz w:val="24"/>
          <w:szCs w:val="24"/>
          <w:rtl/>
        </w:rPr>
        <w:footnoteReference w:id="7"/>
      </w:r>
      <w:bookmarkEnd w:id="14"/>
      <w:r w:rsidRPr="003D564D">
        <w:rPr>
          <w:rFonts w:ascii="David" w:hAnsi="David" w:cs="David"/>
          <w:sz w:val="24"/>
          <w:szCs w:val="24"/>
          <w:rtl/>
        </w:rPr>
        <w:t xml:space="preserve"> כלומר מי שהרתה וילדה היא האם, ומי שממנו הרתה האישה יוגדר כאב. מבחן הלידה וההולדה מתבסס, </w:t>
      </w:r>
      <w:r>
        <w:rPr>
          <w:rFonts w:ascii="David" w:hAnsi="David" w:cs="David" w:hint="cs"/>
          <w:sz w:val="24"/>
          <w:szCs w:val="24"/>
          <w:rtl/>
        </w:rPr>
        <w:t>לכאורה</w:t>
      </w:r>
      <w:r w:rsidRPr="003D564D">
        <w:rPr>
          <w:rFonts w:ascii="David" w:hAnsi="David" w:cs="David"/>
          <w:sz w:val="24"/>
          <w:szCs w:val="24"/>
          <w:rtl/>
        </w:rPr>
        <w:t>, על קשר ביולוגי-</w:t>
      </w:r>
      <w:r w:rsidRPr="003D564D">
        <w:rPr>
          <w:rFonts w:ascii="David" w:hAnsi="David" w:cs="David"/>
          <w:sz w:val="24"/>
          <w:szCs w:val="24"/>
          <w:rtl/>
        </w:rPr>
        <w:lastRenderedPageBreak/>
        <w:t>גנטי לילד. הגבר ממנו הרתה האישה הוא האב הגנטי, וההנחה היא שהאם היולדת היא גם האם הגנטית של הילד.</w:t>
      </w:r>
      <w:bookmarkStart w:id="15" w:name="_Ref64712771"/>
      <w:r w:rsidRPr="003D564D">
        <w:rPr>
          <w:rStyle w:val="FootnoteReference"/>
          <w:rFonts w:ascii="David" w:hAnsi="David" w:cs="David"/>
          <w:sz w:val="24"/>
          <w:szCs w:val="24"/>
          <w:rtl/>
        </w:rPr>
        <w:footnoteReference w:id="8"/>
      </w:r>
      <w:bookmarkEnd w:id="15"/>
      <w:r w:rsidRPr="003D564D">
        <w:rPr>
          <w:rFonts w:ascii="David" w:hAnsi="David" w:cs="David"/>
          <w:sz w:val="24"/>
          <w:szCs w:val="24"/>
          <w:rtl/>
        </w:rPr>
        <w:t xml:space="preserve"> </w:t>
      </w:r>
    </w:p>
    <w:p w14:paraId="713F0115" w14:textId="14DF50BD" w:rsidR="00E0078C" w:rsidRPr="003D564D" w:rsidRDefault="00E0078C" w:rsidP="00E0078C">
      <w:pPr>
        <w:jc w:val="both"/>
        <w:rPr>
          <w:rFonts w:ascii="David" w:hAnsi="David" w:cs="David"/>
          <w:sz w:val="24"/>
          <w:szCs w:val="24"/>
          <w:rtl/>
        </w:rPr>
      </w:pPr>
      <w:r>
        <w:rPr>
          <w:rFonts w:ascii="David" w:hAnsi="David" w:cs="David"/>
          <w:sz w:val="24"/>
          <w:szCs w:val="24"/>
          <w:rtl/>
        </w:rPr>
        <w:tab/>
      </w:r>
      <w:r w:rsidR="009B3D73" w:rsidRPr="005F5FAB">
        <w:rPr>
          <w:rFonts w:ascii="David" w:hAnsi="David" w:cs="David" w:hint="cs"/>
          <w:sz w:val="24"/>
          <w:szCs w:val="24"/>
          <w:highlight w:val="yellow"/>
          <w:rtl/>
        </w:rPr>
        <w:t>זיהוי ההורה הביולוגי כהורה משפטי היא</w:t>
      </w:r>
      <w:r w:rsidR="001C3F9F" w:rsidRPr="005F5FAB">
        <w:rPr>
          <w:rFonts w:ascii="David" w:hAnsi="David" w:cs="David" w:hint="cs"/>
          <w:sz w:val="24"/>
          <w:szCs w:val="24"/>
          <w:highlight w:val="yellow"/>
          <w:rtl/>
        </w:rPr>
        <w:t xml:space="preserve"> </w:t>
      </w:r>
      <w:r w:rsidRPr="005F5FAB">
        <w:rPr>
          <w:rFonts w:ascii="David" w:hAnsi="David" w:cs="David" w:hint="cs"/>
          <w:sz w:val="24"/>
          <w:szCs w:val="24"/>
          <w:highlight w:val="yellow"/>
          <w:rtl/>
        </w:rPr>
        <w:t>הכרעה</w:t>
      </w:r>
      <w:r w:rsidR="009B3D73" w:rsidRPr="005F5FAB">
        <w:rPr>
          <w:rFonts w:ascii="David" w:hAnsi="David" w:cs="David" w:hint="cs"/>
          <w:sz w:val="24"/>
          <w:szCs w:val="24"/>
          <w:highlight w:val="yellow"/>
          <w:rtl/>
        </w:rPr>
        <w:t xml:space="preserve"> חברתית-משפטית</w:t>
      </w:r>
      <w:r w:rsidRPr="005F5FAB">
        <w:rPr>
          <w:rFonts w:ascii="David" w:hAnsi="David" w:cs="David" w:hint="cs"/>
          <w:sz w:val="24"/>
          <w:szCs w:val="24"/>
          <w:highlight w:val="yellow"/>
          <w:rtl/>
        </w:rPr>
        <w:t xml:space="preserve">, </w:t>
      </w:r>
      <w:r w:rsidR="00CF30F4" w:rsidRPr="005F5FAB">
        <w:rPr>
          <w:rFonts w:ascii="David" w:hAnsi="David" w:cs="David" w:hint="cs"/>
          <w:sz w:val="24"/>
          <w:szCs w:val="24"/>
          <w:highlight w:val="yellow"/>
          <w:rtl/>
        </w:rPr>
        <w:t>ה</w:t>
      </w:r>
      <w:r w:rsidR="009B3D73" w:rsidRPr="005F5FAB">
        <w:rPr>
          <w:rFonts w:ascii="David" w:hAnsi="David" w:cs="David" w:hint="cs"/>
          <w:sz w:val="24"/>
          <w:szCs w:val="24"/>
          <w:highlight w:val="yellow"/>
          <w:rtl/>
        </w:rPr>
        <w:t>נתמכת</w:t>
      </w:r>
      <w:r w:rsidRPr="005F5FAB">
        <w:rPr>
          <w:rFonts w:ascii="David" w:hAnsi="David" w:cs="David" w:hint="cs"/>
          <w:sz w:val="24"/>
          <w:szCs w:val="24"/>
          <w:highlight w:val="yellow"/>
          <w:rtl/>
        </w:rPr>
        <w:t xml:space="preserve"> </w:t>
      </w:r>
      <w:r w:rsidR="009B3D73" w:rsidRPr="005F5FAB">
        <w:rPr>
          <w:rFonts w:ascii="David" w:hAnsi="David" w:cs="David" w:hint="cs"/>
          <w:sz w:val="24"/>
          <w:szCs w:val="24"/>
          <w:highlight w:val="yellow"/>
          <w:rtl/>
        </w:rPr>
        <w:t xml:space="preserve">במגוון הצדקות, </w:t>
      </w:r>
      <w:r w:rsidRPr="005F5FAB">
        <w:rPr>
          <w:rFonts w:ascii="David" w:hAnsi="David" w:cs="David" w:hint="cs"/>
          <w:sz w:val="24"/>
          <w:szCs w:val="24"/>
          <w:highlight w:val="yellow"/>
          <w:rtl/>
        </w:rPr>
        <w:t xml:space="preserve">בראשן התפיסה כי מי שהביא לעולם ילד במעשיו יהיה אחראי כלפיו בחובות המשפטיות של הורה, ובכלל זה בחובות של טיפול ותמיכה. </w:t>
      </w:r>
      <w:r w:rsidRPr="005F5FAB">
        <w:rPr>
          <w:rFonts w:cs="David" w:hint="eastAsia"/>
          <w:sz w:val="24"/>
          <w:szCs w:val="24"/>
          <w:highlight w:val="yellow"/>
          <w:rtl/>
        </w:rPr>
        <w:t>במקביל</w:t>
      </w:r>
      <w:r w:rsidRPr="005F5FAB">
        <w:rPr>
          <w:rFonts w:cs="David"/>
          <w:sz w:val="24"/>
          <w:szCs w:val="24"/>
          <w:highlight w:val="yellow"/>
          <w:rtl/>
        </w:rPr>
        <w:t xml:space="preserve">, </w:t>
      </w:r>
      <w:r w:rsidRPr="005F5FAB">
        <w:rPr>
          <w:rFonts w:cs="David" w:hint="eastAsia"/>
          <w:sz w:val="24"/>
          <w:szCs w:val="24"/>
          <w:highlight w:val="yellow"/>
          <w:rtl/>
        </w:rPr>
        <w:t>ההנחה</w:t>
      </w:r>
      <w:r w:rsidRPr="005F5FAB">
        <w:rPr>
          <w:rFonts w:cs="David"/>
          <w:sz w:val="24"/>
          <w:szCs w:val="24"/>
          <w:highlight w:val="yellow"/>
          <w:rtl/>
        </w:rPr>
        <w:t xml:space="preserve"> </w:t>
      </w:r>
      <w:r w:rsidRPr="005F5FAB">
        <w:rPr>
          <w:rFonts w:cs="David" w:hint="eastAsia"/>
          <w:sz w:val="24"/>
          <w:szCs w:val="24"/>
          <w:highlight w:val="yellow"/>
          <w:rtl/>
        </w:rPr>
        <w:t>היא</w:t>
      </w:r>
      <w:r w:rsidRPr="005F5FAB">
        <w:rPr>
          <w:rFonts w:cs="David"/>
          <w:sz w:val="24"/>
          <w:szCs w:val="24"/>
          <w:highlight w:val="yellow"/>
          <w:rtl/>
        </w:rPr>
        <w:t xml:space="preserve"> </w:t>
      </w:r>
      <w:r w:rsidRPr="005F5FAB">
        <w:rPr>
          <w:rFonts w:cs="David" w:hint="eastAsia"/>
          <w:sz w:val="24"/>
          <w:szCs w:val="24"/>
          <w:highlight w:val="yellow"/>
          <w:rtl/>
        </w:rPr>
        <w:t>כי</w:t>
      </w:r>
      <w:r w:rsidRPr="005F5FAB">
        <w:rPr>
          <w:rFonts w:cs="David"/>
          <w:sz w:val="24"/>
          <w:szCs w:val="24"/>
          <w:highlight w:val="yellow"/>
          <w:rtl/>
        </w:rPr>
        <w:t xml:space="preserve"> </w:t>
      </w:r>
      <w:r w:rsidRPr="005F5FAB">
        <w:rPr>
          <w:rFonts w:cs="David" w:hint="eastAsia"/>
          <w:sz w:val="24"/>
          <w:szCs w:val="24"/>
          <w:highlight w:val="yellow"/>
          <w:rtl/>
        </w:rPr>
        <w:t>מי</w:t>
      </w:r>
      <w:r w:rsidRPr="005F5FAB">
        <w:rPr>
          <w:rFonts w:cs="David"/>
          <w:sz w:val="24"/>
          <w:szCs w:val="24"/>
          <w:highlight w:val="yellow"/>
          <w:rtl/>
        </w:rPr>
        <w:t xml:space="preserve"> </w:t>
      </w:r>
      <w:r w:rsidRPr="005F5FAB">
        <w:rPr>
          <w:rFonts w:cs="David" w:hint="eastAsia"/>
          <w:sz w:val="24"/>
          <w:szCs w:val="24"/>
          <w:highlight w:val="yellow"/>
          <w:rtl/>
        </w:rPr>
        <w:t>שפעל</w:t>
      </w:r>
      <w:r w:rsidRPr="005F5FAB">
        <w:rPr>
          <w:rFonts w:cs="David"/>
          <w:sz w:val="24"/>
          <w:szCs w:val="24"/>
          <w:highlight w:val="yellow"/>
          <w:rtl/>
        </w:rPr>
        <w:t xml:space="preserve">, </w:t>
      </w:r>
      <w:r w:rsidRPr="005F5FAB">
        <w:rPr>
          <w:rFonts w:cs="David" w:hint="eastAsia"/>
          <w:sz w:val="24"/>
          <w:szCs w:val="24"/>
          <w:highlight w:val="yellow"/>
          <w:rtl/>
        </w:rPr>
        <w:t>יזם</w:t>
      </w:r>
      <w:r w:rsidRPr="005F5FAB">
        <w:rPr>
          <w:rFonts w:cs="David"/>
          <w:sz w:val="24"/>
          <w:szCs w:val="24"/>
          <w:highlight w:val="yellow"/>
          <w:rtl/>
        </w:rPr>
        <w:t xml:space="preserve"> </w:t>
      </w:r>
      <w:r w:rsidRPr="005F5FAB">
        <w:rPr>
          <w:rFonts w:cs="David" w:hint="eastAsia"/>
          <w:sz w:val="24"/>
          <w:szCs w:val="24"/>
          <w:highlight w:val="yellow"/>
          <w:rtl/>
        </w:rPr>
        <w:t>ו</w:t>
      </w:r>
      <w:r w:rsidRPr="005F5FAB">
        <w:rPr>
          <w:rFonts w:cs="David"/>
          <w:sz w:val="24"/>
          <w:szCs w:val="24"/>
          <w:highlight w:val="yellow"/>
          <w:rtl/>
        </w:rPr>
        <w:t xml:space="preserve">/או </w:t>
      </w:r>
      <w:r w:rsidRPr="005F5FAB">
        <w:rPr>
          <w:rFonts w:cs="David" w:hint="eastAsia"/>
          <w:sz w:val="24"/>
          <w:szCs w:val="24"/>
          <w:highlight w:val="yellow"/>
          <w:rtl/>
        </w:rPr>
        <w:t>השקיע</w:t>
      </w:r>
      <w:r w:rsidRPr="005F5FAB">
        <w:rPr>
          <w:rFonts w:cs="David"/>
          <w:sz w:val="24"/>
          <w:szCs w:val="24"/>
          <w:highlight w:val="yellow"/>
          <w:rtl/>
        </w:rPr>
        <w:t xml:space="preserve"> </w:t>
      </w:r>
      <w:r w:rsidRPr="005F5FAB">
        <w:rPr>
          <w:rFonts w:cs="David" w:hint="eastAsia"/>
          <w:sz w:val="24"/>
          <w:szCs w:val="24"/>
          <w:highlight w:val="yellow"/>
          <w:rtl/>
        </w:rPr>
        <w:t>ממשאביו</w:t>
      </w:r>
      <w:r w:rsidRPr="005F5FAB">
        <w:rPr>
          <w:rFonts w:cs="David"/>
          <w:sz w:val="24"/>
          <w:szCs w:val="24"/>
          <w:highlight w:val="yellow"/>
          <w:rtl/>
        </w:rPr>
        <w:t xml:space="preserve"> </w:t>
      </w:r>
      <w:r w:rsidRPr="005F5FAB">
        <w:rPr>
          <w:rFonts w:cs="David" w:hint="eastAsia"/>
          <w:sz w:val="24"/>
          <w:szCs w:val="24"/>
          <w:highlight w:val="yellow"/>
          <w:rtl/>
        </w:rPr>
        <w:t>הביולוגיים</w:t>
      </w:r>
      <w:r w:rsidRPr="005F5FAB">
        <w:rPr>
          <w:rFonts w:cs="David"/>
          <w:sz w:val="24"/>
          <w:szCs w:val="24"/>
          <w:highlight w:val="yellow"/>
          <w:rtl/>
        </w:rPr>
        <w:t xml:space="preserve">, </w:t>
      </w:r>
      <w:r w:rsidRPr="005F5FAB">
        <w:rPr>
          <w:rFonts w:cs="David" w:hint="eastAsia"/>
          <w:sz w:val="24"/>
          <w:szCs w:val="24"/>
          <w:highlight w:val="yellow"/>
          <w:rtl/>
        </w:rPr>
        <w:t>חפץ</w:t>
      </w:r>
      <w:r w:rsidRPr="005F5FAB">
        <w:rPr>
          <w:rFonts w:cs="David"/>
          <w:sz w:val="24"/>
          <w:szCs w:val="24"/>
          <w:highlight w:val="yellow"/>
          <w:rtl/>
        </w:rPr>
        <w:t xml:space="preserve"> </w:t>
      </w:r>
      <w:r w:rsidRPr="005F5FAB">
        <w:rPr>
          <w:rFonts w:cs="David" w:hint="eastAsia"/>
          <w:sz w:val="24"/>
          <w:szCs w:val="24"/>
          <w:highlight w:val="yellow"/>
          <w:rtl/>
        </w:rPr>
        <w:t>בהגשמת</w:t>
      </w:r>
      <w:r w:rsidRPr="005F5FAB">
        <w:rPr>
          <w:rFonts w:cs="David"/>
          <w:sz w:val="24"/>
          <w:szCs w:val="24"/>
          <w:highlight w:val="yellow"/>
          <w:rtl/>
        </w:rPr>
        <w:t xml:space="preserve"> </w:t>
      </w:r>
      <w:r w:rsidRPr="005F5FAB">
        <w:rPr>
          <w:rFonts w:cs="David" w:hint="eastAsia"/>
          <w:sz w:val="24"/>
          <w:szCs w:val="24"/>
          <w:highlight w:val="yellow"/>
          <w:rtl/>
        </w:rPr>
        <w:t>טובת</w:t>
      </w:r>
      <w:r w:rsidRPr="005F5FAB">
        <w:rPr>
          <w:rFonts w:cs="David"/>
          <w:sz w:val="24"/>
          <w:szCs w:val="24"/>
          <w:highlight w:val="yellow"/>
          <w:rtl/>
        </w:rPr>
        <w:t xml:space="preserve"> </w:t>
      </w:r>
      <w:r w:rsidRPr="005F5FAB">
        <w:rPr>
          <w:rFonts w:cs="David" w:hint="eastAsia"/>
          <w:sz w:val="24"/>
          <w:szCs w:val="24"/>
          <w:highlight w:val="yellow"/>
          <w:rtl/>
        </w:rPr>
        <w:t>צאצאו</w:t>
      </w:r>
      <w:r w:rsidRPr="005F5FAB">
        <w:rPr>
          <w:rFonts w:cs="David"/>
          <w:sz w:val="24"/>
          <w:szCs w:val="24"/>
          <w:highlight w:val="yellow"/>
          <w:rtl/>
        </w:rPr>
        <w:t xml:space="preserve">, </w:t>
      </w:r>
      <w:r w:rsidRPr="005F5FAB">
        <w:rPr>
          <w:rFonts w:cs="David" w:hint="eastAsia"/>
          <w:sz w:val="24"/>
          <w:szCs w:val="24"/>
          <w:highlight w:val="yellow"/>
          <w:rtl/>
        </w:rPr>
        <w:t>הנוצר</w:t>
      </w:r>
      <w:r w:rsidRPr="005F5FAB">
        <w:rPr>
          <w:rFonts w:cs="David"/>
          <w:sz w:val="24"/>
          <w:szCs w:val="24"/>
          <w:highlight w:val="yellow"/>
          <w:rtl/>
        </w:rPr>
        <w:t xml:space="preserve"> </w:t>
      </w:r>
      <w:r w:rsidRPr="005F5FAB">
        <w:rPr>
          <w:rFonts w:cs="David" w:hint="eastAsia"/>
          <w:sz w:val="24"/>
          <w:szCs w:val="24"/>
          <w:highlight w:val="yellow"/>
          <w:rtl/>
        </w:rPr>
        <w:t>מפעילותו</w:t>
      </w:r>
      <w:r w:rsidRPr="005F5FAB">
        <w:rPr>
          <w:rFonts w:cs="David" w:hint="cs"/>
          <w:sz w:val="24"/>
          <w:szCs w:val="24"/>
          <w:highlight w:val="yellow"/>
          <w:rtl/>
        </w:rPr>
        <w:t>.</w:t>
      </w:r>
      <w:r w:rsidRPr="005F5FAB">
        <w:rPr>
          <w:rStyle w:val="FootnoteReference"/>
          <w:rFonts w:ascii="David" w:hAnsi="David" w:cs="David"/>
          <w:sz w:val="24"/>
          <w:szCs w:val="24"/>
          <w:highlight w:val="yellow"/>
          <w:rtl/>
        </w:rPr>
        <w:footnoteReference w:id="9"/>
      </w:r>
      <w:r w:rsidRPr="005F5FAB">
        <w:rPr>
          <w:rFonts w:cs="David" w:hint="cs"/>
          <w:sz w:val="24"/>
          <w:szCs w:val="24"/>
          <w:highlight w:val="yellow"/>
          <w:rtl/>
        </w:rPr>
        <w:t xml:space="preserve"> לא בכדי, עיקר הפנייה לטכנולוגיות ההולדה נעשה על מנת להביא לעולם ילד הקשור בזיקה גנטית או בזיקה של הולדה להורה המיועד.</w:t>
      </w:r>
      <w:r w:rsidRPr="005F5FAB">
        <w:rPr>
          <w:rStyle w:val="FootnoteReference"/>
          <w:rFonts w:ascii="David" w:hAnsi="David" w:cs="David"/>
          <w:sz w:val="24"/>
          <w:szCs w:val="24"/>
          <w:highlight w:val="yellow"/>
          <w:rtl/>
        </w:rPr>
        <w:footnoteReference w:id="10"/>
      </w:r>
      <w:r w:rsidRPr="005F5FAB">
        <w:rPr>
          <w:rFonts w:cs="David" w:hint="cs"/>
          <w:sz w:val="24"/>
          <w:szCs w:val="24"/>
          <w:highlight w:val="yellow"/>
          <w:rtl/>
        </w:rPr>
        <w:t xml:space="preserve">  </w:t>
      </w:r>
      <w:r w:rsidRPr="005F5FAB">
        <w:rPr>
          <w:rFonts w:ascii="David" w:hAnsi="David" w:cs="David" w:hint="cs"/>
          <w:sz w:val="24"/>
          <w:szCs w:val="24"/>
          <w:highlight w:val="yellow"/>
          <w:rtl/>
        </w:rPr>
        <w:t>מכאן, ש</w:t>
      </w:r>
      <w:r w:rsidRPr="005F5FAB">
        <w:rPr>
          <w:rFonts w:ascii="David" w:hAnsi="David" w:cs="David" w:hint="eastAsia"/>
          <w:sz w:val="24"/>
          <w:szCs w:val="24"/>
          <w:highlight w:val="yellow"/>
          <w:rtl/>
        </w:rPr>
        <w:t>לקשר</w:t>
      </w:r>
      <w:r w:rsidRPr="005F5FAB">
        <w:rPr>
          <w:rFonts w:ascii="David" w:hAnsi="David" w:cs="David"/>
          <w:sz w:val="24"/>
          <w:szCs w:val="24"/>
          <w:highlight w:val="yellow"/>
          <w:rtl/>
        </w:rPr>
        <w:t xml:space="preserve"> הייחודי בין הורה לילדו הביולוגי יש חשיבות להורה </w:t>
      </w:r>
      <w:r w:rsidRPr="005F5FAB">
        <w:rPr>
          <w:rFonts w:ascii="David" w:hAnsi="David" w:cs="David" w:hint="eastAsia"/>
          <w:sz w:val="24"/>
          <w:szCs w:val="24"/>
          <w:highlight w:val="yellow"/>
          <w:rtl/>
        </w:rPr>
        <w:t>עצמו</w:t>
      </w:r>
      <w:r w:rsidRPr="005F5FAB">
        <w:rPr>
          <w:rFonts w:ascii="David" w:hAnsi="David" w:cs="David"/>
          <w:sz w:val="24"/>
          <w:szCs w:val="24"/>
          <w:highlight w:val="yellow"/>
          <w:rtl/>
        </w:rPr>
        <w:t xml:space="preserve"> ולא רק לילד</w:t>
      </w:r>
      <w:r w:rsidRPr="005F5FAB">
        <w:rPr>
          <w:rFonts w:ascii="David" w:hAnsi="David" w:cs="David" w:hint="cs"/>
          <w:sz w:val="24"/>
          <w:szCs w:val="24"/>
          <w:highlight w:val="yellow"/>
          <w:rtl/>
        </w:rPr>
        <w:t xml:space="preserve"> ולכן, זיהוי </w:t>
      </w:r>
      <w:r w:rsidRPr="005F5FAB">
        <w:rPr>
          <w:rFonts w:ascii="David" w:hAnsi="David" w:cs="David" w:hint="eastAsia"/>
          <w:sz w:val="24"/>
          <w:szCs w:val="24"/>
          <w:highlight w:val="yellow"/>
          <w:rtl/>
        </w:rPr>
        <w:t>ההורה</w:t>
      </w:r>
      <w:r w:rsidRPr="005F5FAB">
        <w:rPr>
          <w:rFonts w:ascii="David" w:hAnsi="David" w:cs="David"/>
          <w:sz w:val="24"/>
          <w:szCs w:val="24"/>
          <w:highlight w:val="yellow"/>
          <w:rtl/>
        </w:rPr>
        <w:t xml:space="preserve"> הביולוגי כהורה משפטי, </w:t>
      </w:r>
      <w:r w:rsidRPr="005F5FAB">
        <w:rPr>
          <w:rFonts w:ascii="David" w:hAnsi="David" w:cs="David" w:hint="eastAsia"/>
          <w:sz w:val="24"/>
          <w:szCs w:val="24"/>
          <w:highlight w:val="yellow"/>
          <w:rtl/>
        </w:rPr>
        <w:t>נובע</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גם</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מראייה</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המתמקדת</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במבוגרים</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וממכלול</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היחסים</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המשפחתיים</w:t>
      </w:r>
      <w:r w:rsidRPr="005F5FAB">
        <w:rPr>
          <w:rFonts w:ascii="David" w:hAnsi="David" w:cs="David" w:hint="cs"/>
          <w:sz w:val="24"/>
          <w:szCs w:val="24"/>
          <w:highlight w:val="yellow"/>
          <w:rtl/>
        </w:rPr>
        <w:t>. מובן כי</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המבחן</w:t>
      </w:r>
      <w:r w:rsidRPr="005F5FAB">
        <w:rPr>
          <w:rFonts w:ascii="David" w:hAnsi="David" w:cs="David"/>
          <w:sz w:val="24"/>
          <w:szCs w:val="24"/>
          <w:highlight w:val="yellow"/>
          <w:rtl/>
        </w:rPr>
        <w:t xml:space="preserve"> הביולוגי כרוך </w:t>
      </w:r>
      <w:r w:rsidRPr="005F5FAB">
        <w:rPr>
          <w:rFonts w:ascii="David" w:hAnsi="David" w:cs="David" w:hint="eastAsia"/>
          <w:sz w:val="24"/>
          <w:szCs w:val="24"/>
          <w:highlight w:val="yellow"/>
          <w:rtl/>
        </w:rPr>
        <w:t>בעידן</w:t>
      </w:r>
      <w:r w:rsidRPr="005F5FAB">
        <w:rPr>
          <w:rFonts w:ascii="David" w:hAnsi="David" w:cs="David"/>
          <w:sz w:val="24"/>
          <w:szCs w:val="24"/>
          <w:highlight w:val="yellow"/>
          <w:rtl/>
        </w:rPr>
        <w:t xml:space="preserve"> הנוכחי </w:t>
      </w:r>
      <w:r w:rsidRPr="005F5FAB">
        <w:rPr>
          <w:rFonts w:ascii="David" w:hAnsi="David" w:cs="David" w:hint="eastAsia"/>
          <w:sz w:val="24"/>
          <w:szCs w:val="24"/>
          <w:highlight w:val="yellow"/>
          <w:rtl/>
        </w:rPr>
        <w:t>גם</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במקום</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שמיוחס</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לגנטיקה</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בתרבות</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המערב</w:t>
      </w:r>
      <w:r w:rsidRPr="005F5FAB">
        <w:rPr>
          <w:rFonts w:ascii="David" w:hAnsi="David" w:cs="David" w:hint="cs"/>
          <w:sz w:val="24"/>
          <w:szCs w:val="24"/>
          <w:highlight w:val="yellow"/>
          <w:rtl/>
        </w:rPr>
        <w:t xml:space="preserve"> ו</w:t>
      </w:r>
      <w:r w:rsidRPr="005F5FAB">
        <w:rPr>
          <w:rFonts w:ascii="David" w:hAnsi="David" w:cs="David"/>
          <w:sz w:val="24"/>
          <w:szCs w:val="24"/>
          <w:highlight w:val="yellow"/>
          <w:rtl/>
        </w:rPr>
        <w:t xml:space="preserve">במובן זה המקום שמיוחס </w:t>
      </w:r>
      <w:r w:rsidRPr="005F5FAB">
        <w:rPr>
          <w:rFonts w:cs="David" w:hint="eastAsia"/>
          <w:b/>
          <w:bCs/>
          <w:sz w:val="24"/>
          <w:szCs w:val="24"/>
          <w:highlight w:val="yellow"/>
          <w:rtl/>
        </w:rPr>
        <w:t>לאלמנט</w:t>
      </w:r>
      <w:r w:rsidRPr="005F5FAB">
        <w:rPr>
          <w:rFonts w:cs="David"/>
          <w:b/>
          <w:bCs/>
          <w:sz w:val="24"/>
          <w:szCs w:val="24"/>
          <w:highlight w:val="yellow"/>
          <w:rtl/>
        </w:rPr>
        <w:t xml:space="preserve"> </w:t>
      </w:r>
      <w:r w:rsidRPr="005F5FAB">
        <w:rPr>
          <w:rFonts w:cs="David" w:hint="eastAsia"/>
          <w:b/>
          <w:bCs/>
          <w:sz w:val="24"/>
          <w:szCs w:val="24"/>
          <w:highlight w:val="yellow"/>
          <w:rtl/>
        </w:rPr>
        <w:t>הביולוגי</w:t>
      </w:r>
      <w:r w:rsidRPr="005F5FAB">
        <w:rPr>
          <w:rFonts w:cs="David"/>
          <w:b/>
          <w:bCs/>
          <w:sz w:val="24"/>
          <w:szCs w:val="24"/>
          <w:highlight w:val="yellow"/>
          <w:rtl/>
        </w:rPr>
        <w:t>-גנטי</w:t>
      </w:r>
      <w:r w:rsidRPr="005F5FAB">
        <w:rPr>
          <w:rFonts w:cs="David"/>
          <w:sz w:val="24"/>
          <w:szCs w:val="24"/>
          <w:highlight w:val="yellow"/>
          <w:rtl/>
        </w:rPr>
        <w:t xml:space="preserve"> בקביעת ההורות, </w:t>
      </w:r>
      <w:r w:rsidRPr="005F5FAB">
        <w:rPr>
          <w:rFonts w:cs="David" w:hint="eastAsia"/>
          <w:sz w:val="24"/>
          <w:szCs w:val="24"/>
          <w:highlight w:val="yellow"/>
          <w:rtl/>
        </w:rPr>
        <w:t>נובע</w:t>
      </w:r>
      <w:r w:rsidRPr="005F5FAB">
        <w:rPr>
          <w:rFonts w:cs="David"/>
          <w:sz w:val="24"/>
          <w:szCs w:val="24"/>
          <w:highlight w:val="yellow"/>
          <w:rtl/>
        </w:rPr>
        <w:t xml:space="preserve"> מן ההכרה (ו</w:t>
      </w:r>
      <w:r w:rsidRPr="005F5FAB">
        <w:rPr>
          <w:rFonts w:cs="David" w:hint="eastAsia"/>
          <w:sz w:val="24"/>
          <w:szCs w:val="24"/>
          <w:highlight w:val="yellow"/>
          <w:rtl/>
        </w:rPr>
        <w:t>לעיתים</w:t>
      </w:r>
      <w:r w:rsidRPr="005F5FAB">
        <w:rPr>
          <w:rFonts w:cs="David"/>
          <w:sz w:val="24"/>
          <w:szCs w:val="24"/>
          <w:highlight w:val="yellow"/>
          <w:rtl/>
        </w:rPr>
        <w:t xml:space="preserve"> אף </w:t>
      </w:r>
      <w:r w:rsidRPr="005F5FAB">
        <w:rPr>
          <w:rFonts w:cs="David" w:hint="eastAsia"/>
          <w:sz w:val="24"/>
          <w:szCs w:val="24"/>
          <w:highlight w:val="yellow"/>
          <w:rtl/>
        </w:rPr>
        <w:t>מן</w:t>
      </w:r>
      <w:r w:rsidRPr="005F5FAB">
        <w:rPr>
          <w:rFonts w:cs="David"/>
          <w:sz w:val="24"/>
          <w:szCs w:val="24"/>
          <w:highlight w:val="yellow"/>
          <w:rtl/>
        </w:rPr>
        <w:t xml:space="preserve"> ההפרזה) בחשיבות הזהות והמוצא הגנטי. </w:t>
      </w:r>
      <w:r w:rsidRPr="005F5FAB">
        <w:rPr>
          <w:rFonts w:cs="David" w:hint="eastAsia"/>
          <w:sz w:val="24"/>
          <w:szCs w:val="24"/>
          <w:highlight w:val="yellow"/>
          <w:rtl/>
        </w:rPr>
        <w:t>ברי</w:t>
      </w:r>
      <w:r w:rsidRPr="005F5FAB">
        <w:rPr>
          <w:rFonts w:cs="David"/>
          <w:sz w:val="24"/>
          <w:szCs w:val="24"/>
          <w:highlight w:val="yellow"/>
          <w:rtl/>
        </w:rPr>
        <w:t xml:space="preserve"> כי </w:t>
      </w:r>
      <w:r w:rsidRPr="005F5FAB">
        <w:rPr>
          <w:rFonts w:cs="David" w:hint="eastAsia"/>
          <w:sz w:val="24"/>
          <w:szCs w:val="24"/>
          <w:highlight w:val="yellow"/>
          <w:rtl/>
        </w:rPr>
        <w:t>קיומה</w:t>
      </w:r>
      <w:r w:rsidRPr="005F5FAB">
        <w:rPr>
          <w:rFonts w:cs="David"/>
          <w:sz w:val="24"/>
          <w:szCs w:val="24"/>
          <w:highlight w:val="yellow"/>
          <w:rtl/>
        </w:rPr>
        <w:t xml:space="preserve"> </w:t>
      </w:r>
      <w:r w:rsidRPr="005F5FAB">
        <w:rPr>
          <w:rFonts w:cs="David" w:hint="eastAsia"/>
          <w:sz w:val="24"/>
          <w:szCs w:val="24"/>
          <w:highlight w:val="yellow"/>
          <w:rtl/>
        </w:rPr>
        <w:t>וע</w:t>
      </w:r>
      <w:r w:rsidRPr="005F5FAB">
        <w:rPr>
          <w:rFonts w:cs="David" w:hint="cs"/>
          <w:sz w:val="24"/>
          <w:szCs w:val="24"/>
          <w:highlight w:val="yellow"/>
          <w:rtl/>
        </w:rPr>
        <w:t>ו</w:t>
      </w:r>
      <w:r w:rsidRPr="005F5FAB">
        <w:rPr>
          <w:rFonts w:cs="David" w:hint="eastAsia"/>
          <w:sz w:val="24"/>
          <w:szCs w:val="24"/>
          <w:highlight w:val="yellow"/>
          <w:rtl/>
        </w:rPr>
        <w:t>צמתה</w:t>
      </w:r>
      <w:r w:rsidRPr="005F5FAB">
        <w:rPr>
          <w:rFonts w:cs="David"/>
          <w:sz w:val="24"/>
          <w:szCs w:val="24"/>
          <w:highlight w:val="yellow"/>
          <w:rtl/>
        </w:rPr>
        <w:t xml:space="preserve"> של הזיקה האמורה</w:t>
      </w:r>
      <w:r w:rsidRPr="005F5FAB">
        <w:rPr>
          <w:rFonts w:cs="David" w:hint="cs"/>
          <w:sz w:val="24"/>
          <w:szCs w:val="24"/>
          <w:highlight w:val="yellow"/>
          <w:rtl/>
        </w:rPr>
        <w:t>, המכונה גם "קשר הדם"</w:t>
      </w:r>
      <w:r w:rsidRPr="005F5FAB">
        <w:rPr>
          <w:rFonts w:cs="David"/>
          <w:sz w:val="24"/>
          <w:szCs w:val="24"/>
          <w:highlight w:val="yellow"/>
          <w:rtl/>
        </w:rPr>
        <w:t xml:space="preserve"> שואבות את כוחן גם </w:t>
      </w:r>
      <w:r w:rsidRPr="005F5FAB">
        <w:rPr>
          <w:rFonts w:cs="David" w:hint="eastAsia"/>
          <w:sz w:val="24"/>
          <w:szCs w:val="24"/>
          <w:highlight w:val="yellow"/>
          <w:rtl/>
        </w:rPr>
        <w:t>מאלמנטים</w:t>
      </w:r>
      <w:r w:rsidRPr="005F5FAB">
        <w:rPr>
          <w:rFonts w:cs="David"/>
          <w:sz w:val="24"/>
          <w:szCs w:val="24"/>
          <w:highlight w:val="yellow"/>
          <w:rtl/>
        </w:rPr>
        <w:t xml:space="preserve"> חברתיים-תרבותיים. </w:t>
      </w:r>
      <w:r w:rsidRPr="005F5FAB">
        <w:rPr>
          <w:rFonts w:cs="David" w:hint="eastAsia"/>
          <w:sz w:val="24"/>
          <w:szCs w:val="24"/>
          <w:highlight w:val="yellow"/>
          <w:rtl/>
        </w:rPr>
        <w:t>לבסוף</w:t>
      </w:r>
      <w:r w:rsidRPr="005F5FAB">
        <w:rPr>
          <w:rFonts w:cs="David"/>
          <w:sz w:val="24"/>
          <w:szCs w:val="24"/>
          <w:highlight w:val="yellow"/>
          <w:rtl/>
        </w:rPr>
        <w:t xml:space="preserve"> נזכיר כי הדגש </w:t>
      </w:r>
      <w:r w:rsidRPr="005F5FAB">
        <w:rPr>
          <w:rFonts w:ascii="David" w:hAnsi="David" w:cs="David" w:hint="eastAsia"/>
          <w:sz w:val="24"/>
          <w:szCs w:val="24"/>
          <w:highlight w:val="yellow"/>
          <w:rtl/>
        </w:rPr>
        <w:t>שניתן</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לפן</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הביולוגי</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כרוך</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בשיטה</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הישראלית</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בתפיסה</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הבסיסית</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של</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ההלכה</w:t>
      </w:r>
      <w:r w:rsidRPr="005F5FAB">
        <w:rPr>
          <w:rFonts w:ascii="David" w:hAnsi="David" w:cs="David"/>
          <w:sz w:val="24"/>
          <w:szCs w:val="24"/>
          <w:highlight w:val="yellow"/>
          <w:rtl/>
        </w:rPr>
        <w:t xml:space="preserve"> </w:t>
      </w:r>
      <w:r w:rsidRPr="005F5FAB">
        <w:rPr>
          <w:rFonts w:ascii="David" w:hAnsi="David" w:cs="David" w:hint="eastAsia"/>
          <w:sz w:val="24"/>
          <w:szCs w:val="24"/>
          <w:highlight w:val="yellow"/>
          <w:rtl/>
        </w:rPr>
        <w:t>היהודית</w:t>
      </w:r>
      <w:r w:rsidRPr="005F5FAB">
        <w:rPr>
          <w:rFonts w:ascii="David" w:hAnsi="David" w:cs="David" w:hint="cs"/>
          <w:sz w:val="24"/>
          <w:szCs w:val="24"/>
          <w:highlight w:val="yellow"/>
          <w:rtl/>
        </w:rPr>
        <w:t>.</w:t>
      </w:r>
    </w:p>
    <w:p w14:paraId="19197293" w14:textId="707F7698" w:rsidR="00E0078C" w:rsidRPr="003D564D" w:rsidRDefault="00E0078C" w:rsidP="001C3F9F">
      <w:pPr>
        <w:ind w:firstLine="340"/>
        <w:jc w:val="both"/>
        <w:rPr>
          <w:rFonts w:ascii="David" w:hAnsi="David" w:cs="David"/>
          <w:sz w:val="24"/>
          <w:szCs w:val="24"/>
          <w:rtl/>
        </w:rPr>
      </w:pPr>
      <w:r w:rsidRPr="003D564D">
        <w:rPr>
          <w:rFonts w:ascii="David" w:hAnsi="David" w:cs="David"/>
          <w:sz w:val="24"/>
          <w:szCs w:val="24"/>
          <w:rtl/>
        </w:rPr>
        <w:t>הדין הישראלי יוצא</w:t>
      </w:r>
      <w:r w:rsidR="001C3F9F">
        <w:rPr>
          <w:rFonts w:ascii="David" w:hAnsi="David" w:cs="David" w:hint="cs"/>
          <w:sz w:val="24"/>
          <w:szCs w:val="24"/>
          <w:rtl/>
        </w:rPr>
        <w:t>, כאמור,</w:t>
      </w:r>
      <w:r w:rsidRPr="003D564D">
        <w:rPr>
          <w:rFonts w:ascii="David" w:hAnsi="David" w:cs="David"/>
          <w:sz w:val="24"/>
          <w:szCs w:val="24"/>
          <w:rtl/>
        </w:rPr>
        <w:t xml:space="preserve"> מנקודת מוצא המתבססת על קיומו של קשר גנטי. ואולם כאשר עוברים מהשאלה התיאורטית של הגדרת ההורות לשאלת יישומה בפועל בדין, ובפרט לשאלת הצורך בהוכחה ראייתית של האבהות הגנטית, מתקבלת תמונה מורכבת יותר. כפי שנראה בחלקים הבאים של פרק זה, לצד ברירת מחדל המצביעה על לידה והולדה כתשתית להכרה בהורות, מציב המשפט הישראלי (או נמצא בתהליך להצבתן ככאלה) ברירות מחדל נוספות להכרה </w:t>
      </w:r>
      <w:r>
        <w:rPr>
          <w:rFonts w:ascii="David" w:hAnsi="David" w:cs="David" w:hint="cs"/>
          <w:sz w:val="24"/>
          <w:szCs w:val="24"/>
          <w:rtl/>
        </w:rPr>
        <w:t>בה</w:t>
      </w:r>
      <w:r w:rsidRPr="003D564D">
        <w:rPr>
          <w:rFonts w:ascii="David" w:hAnsi="David" w:cs="David"/>
          <w:sz w:val="24"/>
          <w:szCs w:val="24"/>
          <w:rtl/>
        </w:rPr>
        <w:t>.</w:t>
      </w:r>
    </w:p>
    <w:p w14:paraId="004D3345" w14:textId="77777777" w:rsidR="00E0078C" w:rsidRPr="003D564D" w:rsidRDefault="00E0078C" w:rsidP="00E0078C">
      <w:pPr>
        <w:jc w:val="both"/>
        <w:rPr>
          <w:rFonts w:ascii="David" w:hAnsi="David" w:cs="David"/>
          <w:sz w:val="24"/>
          <w:szCs w:val="24"/>
        </w:rPr>
      </w:pPr>
    </w:p>
    <w:p w14:paraId="2CB48495" w14:textId="77777777" w:rsidR="00E0078C" w:rsidRPr="003D564D" w:rsidRDefault="00E0078C" w:rsidP="00E0078C">
      <w:pPr>
        <w:pStyle w:val="Heading2"/>
        <w:numPr>
          <w:ilvl w:val="0"/>
          <w:numId w:val="3"/>
        </w:numPr>
        <w:tabs>
          <w:tab w:val="num" w:pos="360"/>
        </w:tabs>
        <w:spacing w:before="0"/>
        <w:ind w:left="0" w:firstLine="0"/>
        <w:rPr>
          <w:rFonts w:ascii="David" w:hAnsi="David" w:cs="David"/>
          <w:b/>
          <w:bCs/>
          <w:color w:val="auto"/>
          <w:sz w:val="28"/>
          <w:szCs w:val="28"/>
        </w:rPr>
      </w:pPr>
      <w:bookmarkStart w:id="17" w:name="_Toc78880380"/>
      <w:r w:rsidRPr="003D564D">
        <w:rPr>
          <w:rFonts w:ascii="David" w:hAnsi="David" w:cs="David"/>
          <w:b/>
          <w:bCs/>
          <w:color w:val="auto"/>
          <w:sz w:val="28"/>
          <w:szCs w:val="28"/>
          <w:rtl/>
        </w:rPr>
        <w:t>אבהות: בין שתי ברירות מחדל: גנטיקה וזוגיות</w:t>
      </w:r>
      <w:bookmarkEnd w:id="17"/>
    </w:p>
    <w:p w14:paraId="244F098B" w14:textId="77777777" w:rsidR="00E0078C" w:rsidRPr="003D564D" w:rsidRDefault="00E0078C" w:rsidP="00E0078C">
      <w:pPr>
        <w:ind w:firstLine="340"/>
        <w:jc w:val="both"/>
        <w:rPr>
          <w:rFonts w:ascii="David" w:hAnsi="David" w:cs="David"/>
          <w:sz w:val="24"/>
          <w:szCs w:val="24"/>
        </w:rPr>
      </w:pPr>
      <w:r w:rsidRPr="003D564D">
        <w:rPr>
          <w:rFonts w:ascii="David" w:hAnsi="David" w:cs="David"/>
          <w:sz w:val="24"/>
          <w:szCs w:val="24"/>
          <w:rtl/>
        </w:rPr>
        <w:t xml:space="preserve">על פי ברירת המחדל המבוססת על הולדה, נדרש לכאורה להוכיח מיהו הגבר ממנו הרתה האישה, קרי, מיהו הגבר בעל הזיקה הגנטית, וזאת לשם עיגון מעמדו כהורה במשפט. אולם בפועל, </w:t>
      </w:r>
      <w:r w:rsidRPr="00E14ACF">
        <w:rPr>
          <w:rFonts w:ascii="David" w:hAnsi="David" w:cs="David"/>
          <w:b/>
          <w:bCs/>
          <w:sz w:val="24"/>
          <w:szCs w:val="24"/>
          <w:rtl/>
        </w:rPr>
        <w:t>הוכחת</w:t>
      </w:r>
      <w:r w:rsidRPr="003D564D">
        <w:rPr>
          <w:rFonts w:ascii="David" w:hAnsi="David" w:cs="David"/>
          <w:sz w:val="24"/>
          <w:szCs w:val="24"/>
          <w:rtl/>
        </w:rPr>
        <w:t xml:space="preserve"> קשר גנטי של הורות בין גבר לילד, נדרשת </w:t>
      </w:r>
      <w:r w:rsidRPr="003D564D">
        <w:rPr>
          <w:rFonts w:ascii="David" w:hAnsi="David" w:cs="David" w:hint="cs"/>
          <w:sz w:val="24"/>
          <w:szCs w:val="24"/>
          <w:rtl/>
        </w:rPr>
        <w:t>לעיתים רחוקות</w:t>
      </w:r>
      <w:r w:rsidRPr="003D564D">
        <w:rPr>
          <w:rFonts w:ascii="David" w:hAnsi="David" w:cs="David"/>
          <w:sz w:val="24"/>
          <w:szCs w:val="24"/>
          <w:rtl/>
        </w:rPr>
        <w:t xml:space="preserve"> בלבד. שאלת קיומו של בירור להוכחת הזיקה הגנטית בין האב הנטען לילד כרוכה בשאלת מהות הקשר</w:t>
      </w:r>
      <w:r w:rsidRPr="003D564D">
        <w:rPr>
          <w:rFonts w:ascii="David" w:hAnsi="David" w:cs="David"/>
          <w:b/>
          <w:bCs/>
          <w:sz w:val="24"/>
          <w:szCs w:val="24"/>
          <w:rtl/>
        </w:rPr>
        <w:t xml:space="preserve"> </w:t>
      </w:r>
      <w:r w:rsidRPr="003D564D">
        <w:rPr>
          <w:rFonts w:ascii="David" w:hAnsi="David" w:cs="David"/>
          <w:sz w:val="24"/>
          <w:szCs w:val="24"/>
          <w:rtl/>
        </w:rPr>
        <w:t>בין האם היולדת לבין האב הפוטנציאלי, ובפרט בקיומו או היעדרו של קשר נישואים ביניהם. כאשר אם הילד נשואה, מניח הדין הישראלי כי בעלה של האם הוא אבי הילד.</w:t>
      </w:r>
      <w:r w:rsidRPr="003D564D">
        <w:rPr>
          <w:rStyle w:val="FootnoteReference"/>
          <w:rFonts w:ascii="David" w:hAnsi="David" w:cs="David"/>
          <w:sz w:val="24"/>
          <w:szCs w:val="24"/>
          <w:rtl/>
        </w:rPr>
        <w:footnoteReference w:id="11"/>
      </w:r>
      <w:r w:rsidRPr="003D564D">
        <w:rPr>
          <w:rFonts w:ascii="David" w:hAnsi="David" w:cs="David"/>
          <w:sz w:val="24"/>
          <w:szCs w:val="24"/>
          <w:rtl/>
        </w:rPr>
        <w:t xml:space="preserve"> לכאורה, ניתן לטעון כי הנחה זאת כרוכה בהערכה כי בעלה של האישה הוא גם האב המוליד (האב הגנטי), אולם ברי כי הערכה זו אינה נכונה בכל מקרה ומקרה.</w:t>
      </w:r>
    </w:p>
    <w:p w14:paraId="072DF151" w14:textId="67463D31"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lastRenderedPageBreak/>
        <w:t>יתרה מזו, כפי שכבר צוין, כללי הדין הישראלי בהתייחס להגדרת ההורות ומיסודה מושפעים מהדין האישי-הדתי</w:t>
      </w:r>
      <w:r>
        <w:rPr>
          <w:rFonts w:ascii="David" w:hAnsi="David" w:cs="David" w:hint="cs"/>
          <w:sz w:val="24"/>
          <w:szCs w:val="24"/>
          <w:rtl/>
        </w:rPr>
        <w:t>,</w:t>
      </w:r>
      <w:r w:rsidRPr="003D564D">
        <w:rPr>
          <w:rFonts w:ascii="David" w:hAnsi="David" w:cs="David"/>
          <w:sz w:val="24"/>
          <w:szCs w:val="24"/>
          <w:rtl/>
        </w:rPr>
        <w:t xml:space="preserve"> אף שהדין החל בסוגייה הוא דין אזרחי. כך למשל, על פי ההלכה היהודית, ילד שנולד לאישה נשואה שלא מבעלה, עלול להיות מוכרז כממזר, ולפיכך ניתן </w:t>
      </w:r>
      <w:r w:rsidRPr="003D564D">
        <w:rPr>
          <w:rFonts w:ascii="David" w:hAnsi="David" w:cs="David" w:hint="cs"/>
          <w:sz w:val="24"/>
          <w:szCs w:val="24"/>
          <w:rtl/>
        </w:rPr>
        <w:t>לזהות</w:t>
      </w:r>
      <w:r w:rsidRPr="003D564D">
        <w:rPr>
          <w:rFonts w:ascii="David" w:hAnsi="David" w:cs="David"/>
          <w:sz w:val="24"/>
          <w:szCs w:val="24"/>
          <w:rtl/>
        </w:rPr>
        <w:t xml:space="preserve"> בהנח</w:t>
      </w:r>
      <w:r w:rsidRPr="003D564D">
        <w:rPr>
          <w:rFonts w:ascii="David" w:hAnsi="David" w:cs="David" w:hint="cs"/>
          <w:sz w:val="24"/>
          <w:szCs w:val="24"/>
          <w:rtl/>
        </w:rPr>
        <w:t>ת המוצא</w:t>
      </w:r>
      <w:r w:rsidRPr="003D564D">
        <w:rPr>
          <w:rFonts w:ascii="David" w:hAnsi="David" w:cs="David"/>
          <w:sz w:val="24"/>
          <w:szCs w:val="24"/>
          <w:rtl/>
        </w:rPr>
        <w:t xml:space="preserve"> של הדין בדבר אבהות הבעל את השפעת ההלכה והיא כרוכה ברצון </w:t>
      </w:r>
      <w:bookmarkStart w:id="18" w:name="_Hlk54250844"/>
      <w:r w:rsidRPr="003D564D">
        <w:rPr>
          <w:rFonts w:ascii="David" w:hAnsi="David" w:cs="David"/>
          <w:sz w:val="24"/>
          <w:szCs w:val="24"/>
          <w:rtl/>
        </w:rPr>
        <w:t>להגן על הילד מפני השלכותיה</w:t>
      </w:r>
      <w:bookmarkEnd w:id="18"/>
      <w:r w:rsidRPr="003D564D">
        <w:rPr>
          <w:rFonts w:ascii="David" w:hAnsi="David" w:cs="David"/>
          <w:sz w:val="24"/>
          <w:szCs w:val="24"/>
          <w:rtl/>
        </w:rPr>
        <w:t>. למעשה עוצמתו של איום הממזרות כה חזק שהדין, תחילה בפסיקה ומאוחר יותר במסגרת החוק,</w:t>
      </w:r>
      <w:r w:rsidRPr="003D564D">
        <w:rPr>
          <w:rStyle w:val="FootnoteReference"/>
          <w:rFonts w:ascii="David" w:hAnsi="David" w:cs="David"/>
          <w:sz w:val="24"/>
          <w:szCs w:val="24"/>
          <w:rtl/>
        </w:rPr>
        <w:footnoteReference w:id="12"/>
      </w:r>
      <w:r w:rsidRPr="003D564D">
        <w:rPr>
          <w:rFonts w:ascii="David" w:hAnsi="David" w:cs="David"/>
          <w:sz w:val="24"/>
          <w:szCs w:val="24"/>
          <w:rtl/>
        </w:rPr>
        <w:t xml:space="preserve"> אוסרים כמעט לחלוטין עריכת בדיקה גנטית לבירור קשרי אבהות בנסיבות </w:t>
      </w:r>
      <w:r w:rsidRPr="003D564D">
        <w:rPr>
          <w:rFonts w:ascii="David" w:hAnsi="David" w:cs="David" w:hint="cs"/>
          <w:sz w:val="24"/>
          <w:szCs w:val="24"/>
          <w:rtl/>
        </w:rPr>
        <w:t>ש</w:t>
      </w:r>
      <w:r w:rsidRPr="003D564D">
        <w:rPr>
          <w:rFonts w:ascii="David" w:hAnsi="David" w:cs="David"/>
          <w:sz w:val="24"/>
          <w:szCs w:val="24"/>
          <w:rtl/>
        </w:rPr>
        <w:t>בהן אם יהודייה הייתה נשואה לגבר יהודי במועד ההתעברות, ובכך מונעים לכאורה קביעת קשר גנטי של גבר אחר מלבד הבעל לילד.</w:t>
      </w:r>
      <w:bookmarkStart w:id="19" w:name="_Ref64652646"/>
      <w:r w:rsidRPr="003D564D">
        <w:rPr>
          <w:rStyle w:val="FootnoteReference"/>
          <w:rFonts w:ascii="David" w:hAnsi="David" w:cs="David"/>
          <w:sz w:val="24"/>
          <w:szCs w:val="24"/>
          <w:rtl/>
        </w:rPr>
        <w:footnoteReference w:id="13"/>
      </w:r>
      <w:bookmarkEnd w:id="19"/>
      <w:r w:rsidRPr="003D564D">
        <w:rPr>
          <w:rFonts w:ascii="David" w:hAnsi="David" w:cs="David"/>
          <w:sz w:val="24"/>
          <w:szCs w:val="24"/>
          <w:rtl/>
        </w:rPr>
        <w:t xml:space="preserve"> יותר מכך, גם אם הציג הבעל, או האישה או כל אדם אחר, לצורך העניין, ממצא גנטי לפיו גבר אחר הוא האב, לא יקבל בית המשפט את הממצא האמור.</w:t>
      </w:r>
      <w:r w:rsidRPr="003D564D">
        <w:rPr>
          <w:rStyle w:val="FootnoteReference"/>
          <w:rFonts w:ascii="David" w:hAnsi="David" w:cs="David"/>
          <w:sz w:val="24"/>
          <w:szCs w:val="24"/>
          <w:rtl/>
        </w:rPr>
        <w:footnoteReference w:id="14"/>
      </w:r>
      <w:r w:rsidRPr="003D564D">
        <w:rPr>
          <w:rFonts w:ascii="David" w:hAnsi="David" w:cs="David"/>
          <w:sz w:val="24"/>
          <w:szCs w:val="24"/>
          <w:rtl/>
        </w:rPr>
        <w:t xml:space="preserve"> כך, בפועל, מתרופף הקשר בין ההנחה בדבר אבהות הבעל לבין הזיקה הגנטית ומתהווה בסיס אחר</w:t>
      </w:r>
      <w:r w:rsidR="003663AD">
        <w:rPr>
          <w:rFonts w:ascii="David" w:hAnsi="David" w:cs="David" w:hint="cs"/>
          <w:sz w:val="24"/>
          <w:szCs w:val="24"/>
          <w:rtl/>
        </w:rPr>
        <w:t>,</w:t>
      </w:r>
      <w:r w:rsidRPr="003D564D">
        <w:rPr>
          <w:rFonts w:ascii="David" w:hAnsi="David" w:cs="David"/>
          <w:sz w:val="24"/>
          <w:szCs w:val="24"/>
          <w:rtl/>
        </w:rPr>
        <w:t xml:space="preserve"> חברתי</w:t>
      </w:r>
      <w:r w:rsidR="003663AD">
        <w:rPr>
          <w:rFonts w:ascii="David" w:hAnsi="David" w:cs="David" w:hint="cs"/>
          <w:sz w:val="24"/>
          <w:szCs w:val="24"/>
          <w:rtl/>
        </w:rPr>
        <w:t>,</w:t>
      </w:r>
      <w:r w:rsidRPr="003D564D">
        <w:rPr>
          <w:rFonts w:ascii="David" w:hAnsi="David" w:cs="David"/>
          <w:sz w:val="24"/>
          <w:szCs w:val="24"/>
          <w:rtl/>
        </w:rPr>
        <w:t xml:space="preserve"> לקיומה של הנחה זו.</w:t>
      </w:r>
    </w:p>
    <w:p w14:paraId="088F5F69"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ניתן לראות אם כן, שאף שנקודת המוצא להגדרת אבהות של הדין הישראלי שונה מנקודת המוצא להגדרת אבהות במשפט המקובל בכך שהראשונה מתבססת על הזיקה הגנטית והאחרונה על קשר נישואים לאם, הרי שבפועל מגיעות שתי השיטות לתוצאה דומה המעניקה משקל משמעותי לקשר הנישואים בין ההורים כשיקול בהגדרת האבהות המשפטית.</w:t>
      </w:r>
      <w:bookmarkStart w:id="20" w:name="_Ref80977488"/>
      <w:r w:rsidRPr="003D564D">
        <w:rPr>
          <w:rStyle w:val="FootnoteReference"/>
          <w:rFonts w:ascii="David" w:hAnsi="David" w:cs="David"/>
          <w:sz w:val="24"/>
          <w:szCs w:val="24"/>
          <w:rtl/>
        </w:rPr>
        <w:footnoteReference w:id="15"/>
      </w:r>
      <w:bookmarkEnd w:id="20"/>
      <w:r w:rsidRPr="003D564D">
        <w:rPr>
          <w:rFonts w:ascii="David" w:hAnsi="David" w:cs="David"/>
          <w:sz w:val="24"/>
          <w:szCs w:val="24"/>
          <w:rtl/>
        </w:rPr>
        <w:t xml:space="preserve"> </w:t>
      </w:r>
      <w:commentRangeStart w:id="21"/>
      <w:r w:rsidRPr="005F5FAB">
        <w:rPr>
          <w:rFonts w:ascii="David" w:hAnsi="David" w:cs="David"/>
          <w:sz w:val="24"/>
          <w:szCs w:val="24"/>
          <w:highlight w:val="yellow"/>
          <w:rtl/>
        </w:rPr>
        <w:t xml:space="preserve">כפי שנטען </w:t>
      </w:r>
      <w:r w:rsidRPr="005F5FAB">
        <w:rPr>
          <w:rFonts w:ascii="David" w:hAnsi="David" w:cs="David" w:hint="cs"/>
          <w:sz w:val="24"/>
          <w:szCs w:val="24"/>
          <w:highlight w:val="yellow"/>
          <w:rtl/>
        </w:rPr>
        <w:t xml:space="preserve">בהמשך </w:t>
      </w:r>
      <w:r w:rsidRPr="005F5FAB">
        <w:rPr>
          <w:rFonts w:ascii="David" w:hAnsi="David" w:cs="David"/>
          <w:sz w:val="24"/>
          <w:szCs w:val="24"/>
          <w:highlight w:val="yellow"/>
          <w:rtl/>
        </w:rPr>
        <w:t xml:space="preserve">המאמר, הצדקות נורמטיביות חזקות תומכות בהתחשבות במערכת היחסים בין הורים פוטנציאליים כשיקול בהגדרתה של ההורות המשפטית והגישה המסורתית הכורכת את האבהות בקשר נישואים לאם, בין אם ישירות בהגדרת האבהות, ובין אם באמצעות דיני ראיות המביאים להכרה בבעל כאב המשפטי, מהווה ביטוי לשיקול נורמטיבי זה, וזאת הרבה מעבר לנימוק המתמקד בחשש מפני ממזרות. </w:t>
      </w:r>
      <w:commentRangeEnd w:id="21"/>
      <w:r w:rsidR="003663AD" w:rsidRPr="005F5FAB">
        <w:rPr>
          <w:rStyle w:val="CommentReference"/>
          <w:highlight w:val="yellow"/>
          <w:rtl/>
        </w:rPr>
        <w:commentReference w:id="21"/>
      </w:r>
    </w:p>
    <w:p w14:paraId="7F4BEE59" w14:textId="5CD524C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ואולם, לא רק כאשר האם נשואה</w:t>
      </w:r>
      <w:r w:rsidRPr="003D564D">
        <w:rPr>
          <w:rFonts w:ascii="David" w:hAnsi="David" w:cs="David" w:hint="cs"/>
          <w:sz w:val="24"/>
          <w:szCs w:val="24"/>
          <w:rtl/>
        </w:rPr>
        <w:t>,</w:t>
      </w:r>
      <w:r w:rsidRPr="003D564D">
        <w:rPr>
          <w:rFonts w:ascii="David" w:hAnsi="David" w:cs="David"/>
          <w:sz w:val="24"/>
          <w:szCs w:val="24"/>
          <w:rtl/>
        </w:rPr>
        <w:t xml:space="preserve"> המשפט אינו דורש ראייה גנטית לשם מיסוד האבהות. בהעדר נישואים יכולים היולדת, היא האם, והגבר שטוען יחד איתה כי הוא אב, לבקש לרשום אותו כהורה. בנסיבות אלה נעשה הרישום על ידי פקיד הרישום (בבית החולים או בלשכת רישום האוכלוסין) מכוח הצהרת הגבר שניתנה בהסכמת האם. </w:t>
      </w:r>
      <w:bookmarkStart w:id="22" w:name="_Hlk54250989"/>
      <w:r w:rsidRPr="003D564D">
        <w:rPr>
          <w:rFonts w:ascii="David" w:hAnsi="David" w:cs="David"/>
          <w:sz w:val="24"/>
          <w:szCs w:val="24"/>
          <w:rtl/>
        </w:rPr>
        <w:t xml:space="preserve">אמנם, על פי הדין הקיים מעמדו של המרשם כממסד את ההורות המשפטית </w:t>
      </w:r>
      <w:r w:rsidRPr="003D564D">
        <w:rPr>
          <w:rFonts w:ascii="David" w:hAnsi="David" w:cs="David" w:hint="cs"/>
          <w:sz w:val="24"/>
          <w:szCs w:val="24"/>
          <w:rtl/>
        </w:rPr>
        <w:t>אינו ראייה מוחלטת</w:t>
      </w:r>
      <w:r w:rsidRPr="003D564D">
        <w:rPr>
          <w:rFonts w:ascii="David" w:hAnsi="David" w:cs="David"/>
          <w:sz w:val="24"/>
          <w:szCs w:val="24"/>
          <w:rtl/>
        </w:rPr>
        <w:t xml:space="preserve"> (ויהיו הוריו של הילד נשואים, רווקים או בני אותו מין), אך גם על פי חוק מרשם האוכלוסין הרישום מהווה לכל הפחות ראייה לכאורה לנכונותו ככל שהדבר אמור במעמד המשפטי של ההורה.</w:t>
      </w:r>
      <w:bookmarkStart w:id="23" w:name="_Ref80963806"/>
      <w:bookmarkEnd w:id="22"/>
      <w:r w:rsidRPr="003D564D">
        <w:rPr>
          <w:rStyle w:val="FootnoteReference"/>
          <w:rFonts w:ascii="David" w:hAnsi="David" w:cs="David"/>
          <w:sz w:val="24"/>
          <w:szCs w:val="24"/>
          <w:rtl/>
        </w:rPr>
        <w:footnoteReference w:id="16"/>
      </w:r>
      <w:bookmarkEnd w:id="23"/>
      <w:r w:rsidRPr="003D564D">
        <w:rPr>
          <w:rFonts w:ascii="David" w:hAnsi="David" w:cs="David"/>
          <w:sz w:val="24"/>
          <w:szCs w:val="24"/>
          <w:rtl/>
        </w:rPr>
        <w:t xml:space="preserve"> בפועל, רישום במרשם האוכלוסין כהורה של ילד מקנה לאדם הרשום את כל הזכויות והסמכויות ההוריות, ומכפיף אותו לחובות ולאחריות ההורית. עד </w:t>
      </w:r>
      <w:r w:rsidR="003663AD">
        <w:rPr>
          <w:rFonts w:ascii="David" w:hAnsi="David" w:cs="David" w:hint="cs"/>
          <w:sz w:val="24"/>
          <w:szCs w:val="24"/>
          <w:rtl/>
        </w:rPr>
        <w:t>שנת... היתה</w:t>
      </w:r>
      <w:r w:rsidRPr="003D564D">
        <w:rPr>
          <w:rFonts w:ascii="David" w:hAnsi="David" w:cs="David"/>
          <w:sz w:val="24"/>
          <w:szCs w:val="24"/>
          <w:rtl/>
        </w:rPr>
        <w:t xml:space="preserve"> הצהרת הגבר והאישה </w:t>
      </w:r>
      <w:r w:rsidRPr="003D564D">
        <w:rPr>
          <w:rFonts w:ascii="David" w:hAnsi="David" w:cs="David" w:hint="cs"/>
          <w:sz w:val="24"/>
          <w:szCs w:val="24"/>
          <w:rtl/>
        </w:rPr>
        <w:t>בדבר אבהות הגבר</w:t>
      </w:r>
      <w:r w:rsidRPr="003D564D">
        <w:rPr>
          <w:rFonts w:ascii="David" w:hAnsi="David" w:cs="David"/>
          <w:sz w:val="24"/>
          <w:szCs w:val="24"/>
          <w:rtl/>
        </w:rPr>
        <w:t xml:space="preserve"> הצהרה כללית בדבר אבהותו</w:t>
      </w:r>
      <w:r w:rsidRPr="003D564D">
        <w:rPr>
          <w:rFonts w:ascii="David" w:hAnsi="David" w:cs="David" w:hint="cs"/>
          <w:sz w:val="24"/>
          <w:szCs w:val="24"/>
          <w:rtl/>
        </w:rPr>
        <w:t xml:space="preserve"> </w:t>
      </w:r>
      <w:r w:rsidRPr="003D564D">
        <w:rPr>
          <w:rFonts w:ascii="David" w:hAnsi="David" w:cs="David" w:hint="cs"/>
          <w:sz w:val="24"/>
          <w:szCs w:val="24"/>
          <w:rtl/>
        </w:rPr>
        <w:lastRenderedPageBreak/>
        <w:t>ולא נדרשה התייחסות לזיקה הגנטית בינו לבין הצאצא שהאבהות ביחס אליו נקבעת</w:t>
      </w:r>
      <w:r w:rsidRPr="003D564D">
        <w:rPr>
          <w:rFonts w:ascii="David" w:hAnsi="David" w:cs="David"/>
          <w:sz w:val="24"/>
          <w:szCs w:val="24"/>
          <w:rtl/>
        </w:rPr>
        <w:t>.</w:t>
      </w:r>
      <w:r w:rsidRPr="00441196">
        <w:rPr>
          <w:rStyle w:val="FootnoteReference"/>
          <w:rFonts w:ascii="David" w:hAnsi="David" w:cs="David"/>
          <w:sz w:val="24"/>
          <w:szCs w:val="24"/>
          <w:rtl/>
        </w:rPr>
        <w:t xml:space="preserve"> </w:t>
      </w:r>
      <w:r w:rsidRPr="003D564D">
        <w:rPr>
          <w:rStyle w:val="FootnoteReference"/>
          <w:rFonts w:ascii="David" w:hAnsi="David" w:cs="David"/>
          <w:sz w:val="24"/>
          <w:szCs w:val="24"/>
          <w:rtl/>
        </w:rPr>
        <w:footnoteReference w:id="17"/>
      </w:r>
      <w:r w:rsidRPr="003D564D">
        <w:rPr>
          <w:rFonts w:ascii="David" w:hAnsi="David" w:cs="David"/>
          <w:sz w:val="24"/>
          <w:szCs w:val="24"/>
          <w:rtl/>
        </w:rPr>
        <w:t xml:space="preserve"> לגישתנו, ההצהרה הכללית המשותפת של האם היולדת והאב המיועד</w:t>
      </w:r>
      <w:r>
        <w:rPr>
          <w:rFonts w:ascii="David" w:hAnsi="David" w:cs="David" w:hint="cs"/>
          <w:sz w:val="24"/>
          <w:szCs w:val="24"/>
          <w:rtl/>
        </w:rPr>
        <w:t xml:space="preserve"> כפי שנהגה עד לאחרונה,</w:t>
      </w:r>
      <w:r w:rsidRPr="003D564D">
        <w:rPr>
          <w:rFonts w:ascii="David" w:hAnsi="David" w:cs="David"/>
          <w:sz w:val="24"/>
          <w:szCs w:val="24"/>
          <w:rtl/>
        </w:rPr>
        <w:t xml:space="preserve"> </w:t>
      </w:r>
      <w:r>
        <w:rPr>
          <w:rFonts w:ascii="David" w:hAnsi="David" w:cs="David" w:hint="cs"/>
          <w:sz w:val="24"/>
          <w:szCs w:val="24"/>
          <w:rtl/>
        </w:rPr>
        <w:t>ביטאה (ולשיטתנו עדיין מבטאת)</w:t>
      </w:r>
      <w:r w:rsidRPr="003D564D">
        <w:rPr>
          <w:rFonts w:ascii="David" w:hAnsi="David" w:cs="David"/>
          <w:sz w:val="24"/>
          <w:szCs w:val="24"/>
          <w:rtl/>
        </w:rPr>
        <w:t xml:space="preserve"> הכרה בחשיבות הקשר שבין </w:t>
      </w:r>
      <w:r w:rsidRPr="003D564D">
        <w:rPr>
          <w:rFonts w:ascii="David" w:hAnsi="David" w:cs="David" w:hint="cs"/>
          <w:sz w:val="24"/>
          <w:szCs w:val="24"/>
          <w:rtl/>
        </w:rPr>
        <w:t>ה</w:t>
      </w:r>
      <w:r w:rsidRPr="003D564D">
        <w:rPr>
          <w:rFonts w:ascii="David" w:hAnsi="David" w:cs="David"/>
          <w:sz w:val="24"/>
          <w:szCs w:val="24"/>
          <w:rtl/>
        </w:rPr>
        <w:t xml:space="preserve">הורים </w:t>
      </w:r>
      <w:r w:rsidRPr="003D564D">
        <w:rPr>
          <w:rFonts w:ascii="David" w:hAnsi="David" w:cs="David" w:hint="cs"/>
          <w:sz w:val="24"/>
          <w:szCs w:val="24"/>
          <w:rtl/>
        </w:rPr>
        <w:t>ה</w:t>
      </w:r>
      <w:r w:rsidRPr="003D564D">
        <w:rPr>
          <w:rFonts w:ascii="David" w:hAnsi="David" w:cs="David"/>
          <w:sz w:val="24"/>
          <w:szCs w:val="24"/>
          <w:rtl/>
        </w:rPr>
        <w:t>מיועדים</w:t>
      </w:r>
      <w:r w:rsidRPr="003D564D">
        <w:rPr>
          <w:rFonts w:ascii="David" w:hAnsi="David" w:cs="David" w:hint="cs"/>
          <w:sz w:val="24"/>
          <w:szCs w:val="24"/>
          <w:rtl/>
        </w:rPr>
        <w:t xml:space="preserve"> בינם לבין עצמם</w:t>
      </w:r>
      <w:r w:rsidRPr="003D564D">
        <w:rPr>
          <w:rFonts w:ascii="David" w:hAnsi="David" w:cs="David"/>
          <w:sz w:val="24"/>
          <w:szCs w:val="24"/>
          <w:rtl/>
        </w:rPr>
        <w:t xml:space="preserve"> </w:t>
      </w:r>
      <w:r w:rsidRPr="003D564D">
        <w:rPr>
          <w:rFonts w:ascii="David" w:hAnsi="David" w:cs="David" w:hint="cs"/>
          <w:sz w:val="24"/>
          <w:szCs w:val="24"/>
          <w:rtl/>
        </w:rPr>
        <w:t xml:space="preserve">לצורך </w:t>
      </w:r>
      <w:r w:rsidRPr="003D564D">
        <w:rPr>
          <w:rFonts w:ascii="David" w:hAnsi="David" w:cs="David"/>
          <w:sz w:val="24"/>
          <w:szCs w:val="24"/>
          <w:rtl/>
        </w:rPr>
        <w:t>קביעת המעמד שלהם כהורים.</w:t>
      </w:r>
      <w:r w:rsidRPr="003D564D" w:rsidDel="002B04C8">
        <w:rPr>
          <w:rFonts w:ascii="David" w:hAnsi="David" w:cs="David"/>
          <w:sz w:val="24"/>
          <w:szCs w:val="24"/>
          <w:rtl/>
        </w:rPr>
        <w:t xml:space="preserve"> </w:t>
      </w:r>
    </w:p>
    <w:p w14:paraId="1F03B6CF"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בדיקה גנטית לעיגונה של האבהות נערכת רק במקרים של מחלוקת בין האם לאב הנטען או כאשר לא נרשמה אבהות סמוך לאחר </w:t>
      </w:r>
      <w:r>
        <w:rPr>
          <w:rFonts w:ascii="David" w:hAnsi="David" w:cs="David"/>
          <w:sz w:val="24"/>
          <w:szCs w:val="24"/>
          <w:rtl/>
        </w:rPr>
        <w:t>הלידה (והאם אינה נשואה</w:t>
      </w:r>
      <w:r w:rsidRPr="003D564D">
        <w:rPr>
          <w:rFonts w:ascii="David" w:hAnsi="David" w:cs="David"/>
          <w:sz w:val="24"/>
          <w:szCs w:val="24"/>
          <w:rtl/>
        </w:rPr>
        <w:t>). בנסיבות אלה הרי שעם חלוף הזמן נדרשת על פי הנהלים של רשות האוכלוסין וההגירה, התערבות שיפוטית לצורך רישום האב.</w:t>
      </w:r>
      <w:bookmarkStart w:id="24" w:name="_Ref64799696"/>
      <w:r w:rsidRPr="003D564D">
        <w:rPr>
          <w:rStyle w:val="FootnoteReference"/>
          <w:rFonts w:ascii="David" w:hAnsi="David" w:cs="David"/>
          <w:sz w:val="24"/>
          <w:szCs w:val="24"/>
          <w:rtl/>
        </w:rPr>
        <w:footnoteReference w:id="18"/>
      </w:r>
      <w:bookmarkEnd w:id="24"/>
      <w:r w:rsidRPr="003D564D">
        <w:rPr>
          <w:rFonts w:ascii="David" w:hAnsi="David" w:cs="David"/>
          <w:sz w:val="24"/>
          <w:szCs w:val="24"/>
          <w:rtl/>
        </w:rPr>
        <w:t xml:space="preserve"> במצב זה, גם אם יש הסכמה של הצדדים לרישום האיש כאב, ובוודאי כאשר אין הסכמה כזאת, עשויה לעלות דרישה לבדיקה גנטית.</w:t>
      </w:r>
    </w:p>
    <w:p w14:paraId="6C88DB05" w14:textId="08D5BF8D" w:rsidR="00E0078C" w:rsidRPr="003D564D" w:rsidRDefault="00E0078C" w:rsidP="00E0078C">
      <w:pPr>
        <w:ind w:firstLine="340"/>
        <w:jc w:val="both"/>
        <w:rPr>
          <w:rFonts w:ascii="David" w:hAnsi="David" w:cs="David"/>
          <w:sz w:val="24"/>
          <w:szCs w:val="24"/>
          <w:rtl/>
        </w:rPr>
      </w:pPr>
      <w:r>
        <w:rPr>
          <w:rFonts w:ascii="David" w:hAnsi="David" w:cs="David" w:hint="cs"/>
          <w:sz w:val="24"/>
          <w:szCs w:val="24"/>
          <w:rtl/>
        </w:rPr>
        <w:t xml:space="preserve">נקודת מוצא של </w:t>
      </w:r>
      <w:r w:rsidRPr="003D564D">
        <w:rPr>
          <w:rFonts w:ascii="David" w:hAnsi="David" w:cs="David" w:hint="cs"/>
          <w:sz w:val="24"/>
          <w:szCs w:val="24"/>
          <w:rtl/>
        </w:rPr>
        <w:t xml:space="preserve">ברירת מחדל ביולוגית </w:t>
      </w:r>
      <w:r>
        <w:rPr>
          <w:rFonts w:ascii="David" w:hAnsi="David" w:cs="David" w:hint="cs"/>
          <w:sz w:val="24"/>
          <w:szCs w:val="24"/>
          <w:rtl/>
        </w:rPr>
        <w:t xml:space="preserve">כבסיס להגדרת הורות, לצד </w:t>
      </w:r>
      <w:r w:rsidRPr="003D564D">
        <w:rPr>
          <w:rFonts w:ascii="David" w:hAnsi="David" w:cs="David" w:hint="cs"/>
          <w:sz w:val="24"/>
          <w:szCs w:val="24"/>
          <w:rtl/>
        </w:rPr>
        <w:t xml:space="preserve">התבססותה של ברירת מחדל חלופית קיימת גם </w:t>
      </w:r>
      <w:r>
        <w:rPr>
          <w:rFonts w:ascii="David" w:hAnsi="David" w:cs="David" w:hint="cs"/>
          <w:sz w:val="24"/>
          <w:szCs w:val="24"/>
          <w:rtl/>
        </w:rPr>
        <w:t>בגישת</w:t>
      </w:r>
      <w:r w:rsidR="00E95D60">
        <w:rPr>
          <w:rFonts w:ascii="David" w:hAnsi="David" w:cs="David" w:hint="cs"/>
          <w:sz w:val="24"/>
          <w:szCs w:val="24"/>
          <w:rtl/>
        </w:rPr>
        <w:t xml:space="preserve"> הדין</w:t>
      </w:r>
      <w:r>
        <w:rPr>
          <w:rFonts w:ascii="David" w:hAnsi="David" w:cs="David" w:hint="cs"/>
          <w:sz w:val="24"/>
          <w:szCs w:val="24"/>
          <w:rtl/>
        </w:rPr>
        <w:t xml:space="preserve"> הישראלי להגדרת אימהות. תהליך זה החל במקרים של </w:t>
      </w:r>
      <w:r w:rsidRPr="003D564D">
        <w:rPr>
          <w:rFonts w:ascii="David" w:hAnsi="David" w:cs="David" w:hint="cs"/>
          <w:sz w:val="24"/>
          <w:szCs w:val="24"/>
          <w:rtl/>
        </w:rPr>
        <w:t>הולדה בסיוע</w:t>
      </w:r>
      <w:r>
        <w:rPr>
          <w:rFonts w:ascii="David" w:hAnsi="David" w:cs="David" w:hint="cs"/>
          <w:sz w:val="24"/>
          <w:szCs w:val="24"/>
          <w:rtl/>
        </w:rPr>
        <w:t xml:space="preserve"> והתפתח בהמשך במשפחות מאותו מין</w:t>
      </w:r>
      <w:r w:rsidRPr="003D564D">
        <w:rPr>
          <w:rFonts w:ascii="David" w:hAnsi="David" w:cs="David" w:hint="cs"/>
          <w:sz w:val="24"/>
          <w:szCs w:val="24"/>
          <w:rtl/>
        </w:rPr>
        <w:t xml:space="preserve">. </w:t>
      </w:r>
    </w:p>
    <w:p w14:paraId="59473504" w14:textId="77777777" w:rsidR="00E0078C" w:rsidRPr="003D564D" w:rsidRDefault="00E0078C" w:rsidP="00E0078C">
      <w:pPr>
        <w:jc w:val="both"/>
        <w:rPr>
          <w:rFonts w:ascii="David" w:hAnsi="David" w:cs="David"/>
          <w:sz w:val="24"/>
          <w:szCs w:val="24"/>
          <w:rtl/>
        </w:rPr>
      </w:pPr>
    </w:p>
    <w:p w14:paraId="1BC9D15E" w14:textId="77777777" w:rsidR="00E0078C" w:rsidRPr="003D564D" w:rsidRDefault="00E0078C" w:rsidP="00E0078C">
      <w:pPr>
        <w:pStyle w:val="Heading2"/>
        <w:numPr>
          <w:ilvl w:val="0"/>
          <w:numId w:val="3"/>
        </w:numPr>
        <w:tabs>
          <w:tab w:val="num" w:pos="360"/>
        </w:tabs>
        <w:spacing w:before="0"/>
        <w:ind w:left="0" w:firstLine="0"/>
        <w:rPr>
          <w:rFonts w:ascii="David" w:hAnsi="David" w:cs="David"/>
          <w:b/>
          <w:bCs/>
          <w:color w:val="auto"/>
          <w:sz w:val="28"/>
          <w:szCs w:val="28"/>
        </w:rPr>
      </w:pPr>
      <w:bookmarkStart w:id="25" w:name="_Toc78880381"/>
      <w:r w:rsidRPr="003D564D">
        <w:rPr>
          <w:rFonts w:ascii="David" w:hAnsi="David" w:cs="David"/>
          <w:b/>
          <w:bCs/>
          <w:color w:val="auto"/>
          <w:sz w:val="28"/>
          <w:szCs w:val="28"/>
          <w:rtl/>
        </w:rPr>
        <w:t xml:space="preserve">אימהות: </w:t>
      </w:r>
      <w:bookmarkEnd w:id="25"/>
      <w:r>
        <w:rPr>
          <w:rFonts w:ascii="David" w:hAnsi="David" w:cs="David" w:hint="cs"/>
          <w:b/>
          <w:bCs/>
          <w:color w:val="auto"/>
          <w:sz w:val="28"/>
          <w:szCs w:val="28"/>
          <w:rtl/>
        </w:rPr>
        <w:t>בין ביולוגיה לכוונה</w:t>
      </w:r>
    </w:p>
    <w:p w14:paraId="2871C0BE"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בהולדה </w:t>
      </w:r>
      <w:r>
        <w:rPr>
          <w:rFonts w:ascii="David" w:hAnsi="David" w:cs="David" w:hint="cs"/>
          <w:sz w:val="24"/>
          <w:szCs w:val="24"/>
          <w:rtl/>
        </w:rPr>
        <w:t>"</w:t>
      </w:r>
      <w:r w:rsidRPr="003D564D">
        <w:rPr>
          <w:rFonts w:ascii="David" w:hAnsi="David" w:cs="David"/>
          <w:sz w:val="24"/>
          <w:szCs w:val="24"/>
          <w:rtl/>
        </w:rPr>
        <w:t>טבעית</w:t>
      </w:r>
      <w:r>
        <w:rPr>
          <w:rFonts w:ascii="David" w:hAnsi="David" w:cs="David" w:hint="cs"/>
          <w:sz w:val="24"/>
          <w:szCs w:val="24"/>
          <w:rtl/>
        </w:rPr>
        <w:t>"</w:t>
      </w:r>
      <w:r w:rsidRPr="003D564D">
        <w:rPr>
          <w:rFonts w:ascii="David" w:hAnsi="David" w:cs="David"/>
          <w:sz w:val="24"/>
          <w:szCs w:val="24"/>
          <w:rtl/>
        </w:rPr>
        <w:t xml:space="preserve"> האם הגנטית (שמביציותיה נוצר העובר) היא גם האם היולדת ואף עתידה לשמש כהורה פסיכולוגי ומטפל.</w:t>
      </w:r>
      <w:r w:rsidRPr="003D564D">
        <w:rPr>
          <w:rStyle w:val="FootnoteReference"/>
          <w:rFonts w:ascii="David" w:hAnsi="David" w:cs="David"/>
          <w:sz w:val="24"/>
          <w:szCs w:val="24"/>
          <w:rtl/>
        </w:rPr>
        <w:footnoteReference w:id="19"/>
      </w:r>
      <w:r w:rsidRPr="003D564D">
        <w:rPr>
          <w:rFonts w:ascii="David" w:hAnsi="David" w:cs="David"/>
          <w:sz w:val="24"/>
          <w:szCs w:val="24"/>
          <w:rtl/>
        </w:rPr>
        <w:t xml:space="preserve"> בנסיבות של הולדה "טבעית", ללא סיוע גורם א</w:t>
      </w:r>
      <w:r w:rsidRPr="003D564D">
        <w:rPr>
          <w:rFonts w:ascii="David" w:hAnsi="David" w:cs="David" w:hint="cs"/>
          <w:sz w:val="24"/>
          <w:szCs w:val="24"/>
          <w:rtl/>
        </w:rPr>
        <w:t>י</w:t>
      </w:r>
      <w:r w:rsidRPr="003D564D">
        <w:rPr>
          <w:rFonts w:ascii="David" w:hAnsi="David" w:cs="David"/>
          <w:sz w:val="24"/>
          <w:szCs w:val="24"/>
          <w:rtl/>
        </w:rPr>
        <w:t>מהי נוסף, כדוגמת תורמת גמטה או אם נושאת, הרי שהא</w:t>
      </w:r>
      <w:r w:rsidRPr="003D564D">
        <w:rPr>
          <w:rFonts w:ascii="David" w:hAnsi="David" w:cs="David" w:hint="cs"/>
          <w:sz w:val="24"/>
          <w:szCs w:val="24"/>
          <w:rtl/>
        </w:rPr>
        <w:t>י</w:t>
      </w:r>
      <w:r w:rsidRPr="003D564D">
        <w:rPr>
          <w:rFonts w:ascii="David" w:hAnsi="David" w:cs="David"/>
          <w:sz w:val="24"/>
          <w:szCs w:val="24"/>
          <w:rtl/>
        </w:rPr>
        <w:t>מהות מושתתת על ברירת מחדל ביולוגית והינה נתון שאינו נדרש להוכחה. הדין הישראלי, אפשר שבהשראת ההלכה היהודית,</w:t>
      </w:r>
      <w:r w:rsidRPr="003D564D">
        <w:rPr>
          <w:rStyle w:val="FootnoteReference"/>
          <w:rFonts w:ascii="David" w:hAnsi="David" w:cs="David"/>
          <w:sz w:val="24"/>
          <w:szCs w:val="24"/>
          <w:rtl/>
        </w:rPr>
        <w:footnoteReference w:id="20"/>
      </w:r>
      <w:r w:rsidRPr="003D564D">
        <w:rPr>
          <w:rFonts w:ascii="David" w:hAnsi="David" w:cs="David" w:hint="cs"/>
          <w:sz w:val="24"/>
          <w:szCs w:val="24"/>
          <w:rtl/>
        </w:rPr>
        <w:t xml:space="preserve"> </w:t>
      </w:r>
      <w:r w:rsidRPr="003D564D">
        <w:rPr>
          <w:rFonts w:ascii="David" w:hAnsi="David" w:cs="David"/>
          <w:sz w:val="24"/>
          <w:szCs w:val="24"/>
          <w:rtl/>
        </w:rPr>
        <w:t xml:space="preserve">לא דרש שהאם תהיה נשואה לצורך הכרה בה כאם. הילד שנולד לה באופן "טבעי" </w:t>
      </w:r>
      <w:r w:rsidRPr="003D564D">
        <w:rPr>
          <w:rFonts w:ascii="David" w:hAnsi="David" w:cs="David" w:hint="cs"/>
          <w:sz w:val="24"/>
          <w:szCs w:val="24"/>
          <w:rtl/>
        </w:rPr>
        <w:t>הוכר</w:t>
      </w:r>
      <w:r w:rsidRPr="003D564D">
        <w:rPr>
          <w:rFonts w:ascii="David" w:hAnsi="David" w:cs="David"/>
          <w:sz w:val="24"/>
          <w:szCs w:val="24"/>
          <w:rtl/>
        </w:rPr>
        <w:t xml:space="preserve"> </w:t>
      </w:r>
      <w:r w:rsidRPr="003D564D">
        <w:rPr>
          <w:rFonts w:ascii="David" w:hAnsi="David" w:cs="David" w:hint="cs"/>
          <w:sz w:val="24"/>
          <w:szCs w:val="24"/>
          <w:rtl/>
        </w:rPr>
        <w:t>כ</w:t>
      </w:r>
      <w:r w:rsidRPr="003D564D">
        <w:rPr>
          <w:rFonts w:ascii="David" w:hAnsi="David" w:cs="David"/>
          <w:sz w:val="24"/>
          <w:szCs w:val="24"/>
          <w:rtl/>
        </w:rPr>
        <w:t>ילדה לכל דבר ועניין ללא תלות במצבה האישי-משפחתי.</w:t>
      </w:r>
    </w:p>
    <w:p w14:paraId="2EFBF857" w14:textId="17B29887" w:rsidR="00E0078C"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עם זאת, הולדה בשילוב תרומת ביצית או </w:t>
      </w:r>
      <w:r>
        <w:rPr>
          <w:rFonts w:ascii="David" w:hAnsi="David" w:cs="David" w:hint="cs"/>
          <w:sz w:val="24"/>
          <w:szCs w:val="24"/>
          <w:rtl/>
        </w:rPr>
        <w:t xml:space="preserve">בסיוע </w:t>
      </w:r>
      <w:r w:rsidR="00E95D60">
        <w:rPr>
          <w:rFonts w:ascii="David" w:hAnsi="David" w:cs="David" w:hint="cs"/>
          <w:sz w:val="24"/>
          <w:szCs w:val="24"/>
          <w:rtl/>
        </w:rPr>
        <w:t>פונדקאית</w:t>
      </w:r>
      <w:r>
        <w:rPr>
          <w:rFonts w:ascii="David" w:hAnsi="David" w:cs="David" w:hint="cs"/>
          <w:sz w:val="24"/>
          <w:szCs w:val="24"/>
          <w:rtl/>
        </w:rPr>
        <w:t xml:space="preserve"> מאתגרת את ההישענות על הזיקה הביולוגית שכן</w:t>
      </w:r>
      <w:r w:rsidRPr="003D564D">
        <w:rPr>
          <w:rFonts w:ascii="David" w:hAnsi="David" w:cs="David"/>
          <w:sz w:val="24"/>
          <w:szCs w:val="24"/>
          <w:rtl/>
        </w:rPr>
        <w:t>, ההורות המיועדת</w:t>
      </w:r>
      <w:r w:rsidR="00E95D60">
        <w:rPr>
          <w:rFonts w:ascii="David" w:hAnsi="David" w:cs="David" w:hint="cs"/>
          <w:sz w:val="24"/>
          <w:szCs w:val="24"/>
          <w:rtl/>
        </w:rPr>
        <w:t xml:space="preserve"> </w:t>
      </w:r>
      <w:r w:rsidR="00E95D60" w:rsidRPr="00E95D60">
        <w:rPr>
          <w:rFonts w:ascii="David" w:hAnsi="David" w:cs="David"/>
          <w:sz w:val="24"/>
          <w:szCs w:val="24"/>
        </w:rPr>
        <w:t>intended</w:t>
      </w:r>
      <w:r w:rsidR="00E95D60" w:rsidRPr="00E95D60">
        <w:rPr>
          <w:rFonts w:ascii="David" w:hAnsi="David" w:cs="David"/>
          <w:sz w:val="24"/>
          <w:szCs w:val="24"/>
          <w:rtl/>
        </w:rPr>
        <w:t xml:space="preserve"> </w:t>
      </w:r>
      <w:r w:rsidRPr="003D564D">
        <w:rPr>
          <w:rFonts w:ascii="David" w:hAnsi="David" w:cs="David"/>
          <w:sz w:val="24"/>
          <w:szCs w:val="24"/>
          <w:rtl/>
        </w:rPr>
        <w:t>והחברתית עשויה להיות נפרדת מהקשר הביולוגי-גנטי, והקשר הביולוגי עצמו אף הוא מתפצל. שתי נשים עשויות להיות בעלות תרומה ביולוגית – האם הגנטית, בעלת הביצית, והאם הפיזיולוגית שנשאה את ההיריון. אישה נוספת עשויה לקחת חלק בתכנון ההולדה מתוך מטרה לשמש כאם בפועל. באיזו מבין הנשים מכיר המשפט כאם המשפטית, והאם המשפט</w:t>
      </w:r>
      <w:r>
        <w:rPr>
          <w:rFonts w:ascii="David" w:hAnsi="David" w:cs="David" w:hint="cs"/>
          <w:sz w:val="24"/>
          <w:szCs w:val="24"/>
          <w:rtl/>
        </w:rPr>
        <w:t xml:space="preserve"> מאפשר</w:t>
      </w:r>
      <w:r w:rsidRPr="003D564D">
        <w:rPr>
          <w:rFonts w:ascii="David" w:hAnsi="David" w:cs="David"/>
          <w:sz w:val="24"/>
          <w:szCs w:val="24"/>
          <w:rtl/>
        </w:rPr>
        <w:t xml:space="preserve"> להכיר ביותר מאם משפטית אחת? הדין הישראלי אינו מספק תשובה </w:t>
      </w:r>
      <w:r>
        <w:rPr>
          <w:rFonts w:ascii="David" w:hAnsi="David" w:cs="David" w:hint="cs"/>
          <w:sz w:val="24"/>
          <w:szCs w:val="24"/>
          <w:rtl/>
        </w:rPr>
        <w:t>סדורה</w:t>
      </w:r>
      <w:r w:rsidRPr="003D564D">
        <w:rPr>
          <w:rFonts w:ascii="David" w:hAnsi="David" w:cs="David"/>
          <w:sz w:val="24"/>
          <w:szCs w:val="24"/>
          <w:rtl/>
        </w:rPr>
        <w:t xml:space="preserve"> </w:t>
      </w:r>
      <w:r>
        <w:rPr>
          <w:rFonts w:ascii="David" w:hAnsi="David" w:cs="David" w:hint="cs"/>
          <w:sz w:val="24"/>
          <w:szCs w:val="24"/>
          <w:rtl/>
        </w:rPr>
        <w:t>ו</w:t>
      </w:r>
      <w:r w:rsidRPr="003D564D">
        <w:rPr>
          <w:rFonts w:ascii="David" w:hAnsi="David" w:cs="David"/>
          <w:sz w:val="24"/>
          <w:szCs w:val="24"/>
          <w:rtl/>
        </w:rPr>
        <w:t>כוללת, אם כי המחוקק נדרש לכך בשני חוקים שחוקק: חוק תרומת ביציות וחוק הסכמים לנשיאת עוברים. חוק תרומת ביציות מגדיר את מקבלת התרומה, שעתידה לשמש כאם, כאם המשפטית, בין שהיא נושאת את ההיריון בעצמה ובין שהיא אם מיועדת על פי חוק הסכמים לנשיאת עוברים.</w:t>
      </w:r>
      <w:r w:rsidRPr="003D564D">
        <w:rPr>
          <w:rStyle w:val="FootnoteReference"/>
          <w:rFonts w:ascii="David" w:hAnsi="David" w:cs="David"/>
          <w:sz w:val="24"/>
          <w:szCs w:val="24"/>
          <w:rtl/>
        </w:rPr>
        <w:footnoteReference w:id="21"/>
      </w:r>
      <w:r w:rsidRPr="003D564D">
        <w:rPr>
          <w:rFonts w:ascii="David" w:hAnsi="David" w:cs="David"/>
          <w:sz w:val="24"/>
          <w:szCs w:val="24"/>
          <w:rtl/>
        </w:rPr>
        <w:t xml:space="preserve"> בכך ניתן לראות הכרה מוגבלת של הדין הישראלי ביסוד ה"כוונה" (כוונה להפוך </w:t>
      </w:r>
      <w:r w:rsidRPr="003D564D">
        <w:rPr>
          <w:rFonts w:ascii="David" w:hAnsi="David" w:cs="David"/>
          <w:sz w:val="24"/>
          <w:szCs w:val="24"/>
          <w:rtl/>
        </w:rPr>
        <w:lastRenderedPageBreak/>
        <w:t xml:space="preserve">להורה שמניעה את תהליך הבאת הילד לעולם) כרלוונטי להגדרת ההורות, וכמקנה </w:t>
      </w:r>
      <w:r>
        <w:rPr>
          <w:rFonts w:ascii="David" w:hAnsi="David" w:cs="David" w:hint="cs"/>
          <w:sz w:val="24"/>
          <w:szCs w:val="24"/>
          <w:rtl/>
        </w:rPr>
        <w:t xml:space="preserve">לה (לכוונה) </w:t>
      </w:r>
      <w:r w:rsidRPr="003D564D">
        <w:rPr>
          <w:rFonts w:ascii="David" w:hAnsi="David" w:cs="David"/>
          <w:sz w:val="24"/>
          <w:szCs w:val="24"/>
          <w:rtl/>
        </w:rPr>
        <w:t>עדיפות על פני הזיקה הגנטית.</w:t>
      </w:r>
      <w:bookmarkStart w:id="26" w:name="_Ref54610603"/>
      <w:r w:rsidRPr="003D564D">
        <w:rPr>
          <w:rStyle w:val="FootnoteReference"/>
          <w:rFonts w:ascii="David" w:hAnsi="David" w:cs="David"/>
          <w:sz w:val="24"/>
          <w:szCs w:val="24"/>
          <w:rtl/>
        </w:rPr>
        <w:footnoteReference w:id="22"/>
      </w:r>
      <w:bookmarkEnd w:id="26"/>
      <w:r w:rsidRPr="003D564D">
        <w:rPr>
          <w:rFonts w:ascii="David" w:hAnsi="David" w:cs="David"/>
          <w:sz w:val="24"/>
          <w:szCs w:val="24"/>
          <w:rtl/>
        </w:rPr>
        <w:t xml:space="preserve"> </w:t>
      </w:r>
    </w:p>
    <w:p w14:paraId="1372E7BE" w14:textId="761D1F14" w:rsidR="00E0078C" w:rsidRDefault="00E0078C" w:rsidP="00E0078C">
      <w:pPr>
        <w:ind w:firstLine="340"/>
        <w:jc w:val="both"/>
        <w:rPr>
          <w:rFonts w:ascii="David" w:hAnsi="David" w:cs="David"/>
          <w:sz w:val="24"/>
          <w:szCs w:val="24"/>
          <w:rtl/>
        </w:rPr>
      </w:pPr>
      <w:r w:rsidRPr="003D564D">
        <w:rPr>
          <w:rFonts w:ascii="David" w:hAnsi="David" w:cs="David" w:hint="cs"/>
          <w:sz w:val="24"/>
          <w:szCs w:val="24"/>
          <w:rtl/>
        </w:rPr>
        <w:t>מבחן הכוונה נוצר בהקשר של הולדה בסיוע טכניקות הולדה מלאכותיות והוא נועד לסייע בזיהוי האחד שמבקש להיות הורה בהעדר קשר ביולוגי ובזיהוי האחר כ"לא הורה", למרות קיומו של קשר כזה.</w:t>
      </w:r>
      <w:r>
        <w:rPr>
          <w:rFonts w:ascii="David" w:hAnsi="David" w:cs="David" w:hint="cs"/>
          <w:sz w:val="24"/>
          <w:szCs w:val="24"/>
          <w:rtl/>
        </w:rPr>
        <w:t xml:space="preserve"> השימוש העיקרי במבחן הכוונה נעשה כ"שובר שוויון" כאשר המשפט נדרש להכריע בין שתי טוענות למעמד כ"אם" או שני טוענים למעמד כ"אב" (בנסיבות בהן המשפט לא מכיר באימהות או אבהות כפולה). </w:t>
      </w:r>
      <w:r w:rsidRPr="003D564D">
        <w:rPr>
          <w:rFonts w:ascii="David" w:hAnsi="David" w:cs="David" w:hint="cs"/>
          <w:b/>
          <w:bCs/>
          <w:sz w:val="24"/>
          <w:szCs w:val="24"/>
          <w:rtl/>
        </w:rPr>
        <w:t>העדר</w:t>
      </w:r>
      <w:r w:rsidRPr="003D564D">
        <w:rPr>
          <w:rFonts w:ascii="David" w:hAnsi="David" w:cs="David" w:hint="cs"/>
          <w:sz w:val="24"/>
          <w:szCs w:val="24"/>
          <w:rtl/>
        </w:rPr>
        <w:t xml:space="preserve"> הכוונה להיות הורה</w:t>
      </w:r>
      <w:r>
        <w:rPr>
          <w:rFonts w:ascii="David" w:hAnsi="David" w:cs="David" w:hint="cs"/>
          <w:sz w:val="24"/>
          <w:szCs w:val="24"/>
          <w:rtl/>
        </w:rPr>
        <w:t xml:space="preserve"> משמש בסיס לשלילת המעמד ההורי</w:t>
      </w:r>
      <w:r w:rsidRPr="003D564D">
        <w:rPr>
          <w:rFonts w:ascii="David" w:hAnsi="David" w:cs="David" w:hint="cs"/>
          <w:sz w:val="24"/>
          <w:szCs w:val="24"/>
          <w:rtl/>
        </w:rPr>
        <w:t xml:space="preserve"> </w:t>
      </w:r>
      <w:r>
        <w:rPr>
          <w:rFonts w:ascii="David" w:hAnsi="David" w:cs="David" w:hint="cs"/>
          <w:sz w:val="24"/>
          <w:szCs w:val="24"/>
          <w:rtl/>
        </w:rPr>
        <w:t>מ</w:t>
      </w:r>
      <w:r w:rsidRPr="003D564D">
        <w:rPr>
          <w:rFonts w:ascii="David" w:hAnsi="David" w:cs="David" w:hint="cs"/>
          <w:sz w:val="24"/>
          <w:szCs w:val="24"/>
          <w:rtl/>
        </w:rPr>
        <w:t xml:space="preserve">תורם הזרע, תורמת הביצית </w:t>
      </w:r>
      <w:r w:rsidR="00960325">
        <w:rPr>
          <w:rFonts w:ascii="David" w:hAnsi="David" w:cs="David" w:hint="cs"/>
          <w:sz w:val="24"/>
          <w:szCs w:val="24"/>
          <w:rtl/>
        </w:rPr>
        <w:t>והפונדקאית</w:t>
      </w:r>
      <w:r w:rsidRPr="003D564D">
        <w:rPr>
          <w:rFonts w:ascii="David" w:hAnsi="David" w:cs="David" w:hint="cs"/>
          <w:sz w:val="24"/>
          <w:szCs w:val="24"/>
          <w:rtl/>
        </w:rPr>
        <w:t xml:space="preserve"> בהתקשרות לנשיאת עוברים. מי שתכננו להיות הורים, מי שחלמו, יזמו ופעלו להביא ילד לעולם מתוך כוונה לגדלו, מוכרים </w:t>
      </w:r>
      <w:r>
        <w:rPr>
          <w:rFonts w:ascii="David" w:hAnsi="David" w:cs="David" w:hint="cs"/>
          <w:sz w:val="24"/>
          <w:szCs w:val="24"/>
          <w:rtl/>
        </w:rPr>
        <w:t xml:space="preserve">על ידי המשפט </w:t>
      </w:r>
      <w:r w:rsidRPr="003D564D">
        <w:rPr>
          <w:rFonts w:ascii="David" w:hAnsi="David" w:cs="David" w:hint="cs"/>
          <w:sz w:val="24"/>
          <w:szCs w:val="24"/>
          <w:rtl/>
        </w:rPr>
        <w:t>כהורים</w:t>
      </w:r>
      <w:r>
        <w:rPr>
          <w:rFonts w:ascii="David" w:hAnsi="David" w:cs="David" w:hint="cs"/>
          <w:sz w:val="24"/>
          <w:szCs w:val="24"/>
          <w:rtl/>
        </w:rPr>
        <w:t>, על בסיס אותן כוונה ויוזמה.</w:t>
      </w:r>
      <w:bookmarkStart w:id="27" w:name="_Ref80952838"/>
      <w:r w:rsidRPr="003D564D">
        <w:rPr>
          <w:rStyle w:val="FootnoteReference"/>
          <w:rFonts w:ascii="David" w:hAnsi="David" w:cs="David"/>
          <w:sz w:val="24"/>
          <w:szCs w:val="24"/>
          <w:rtl/>
        </w:rPr>
        <w:footnoteReference w:id="23"/>
      </w:r>
      <w:bookmarkEnd w:id="27"/>
      <w:r w:rsidRPr="003D564D">
        <w:rPr>
          <w:rFonts w:ascii="David" w:hAnsi="David" w:cs="David"/>
          <w:sz w:val="24"/>
          <w:szCs w:val="24"/>
          <w:rtl/>
        </w:rPr>
        <w:t xml:space="preserve"> </w:t>
      </w:r>
    </w:p>
    <w:p w14:paraId="3A311819" w14:textId="77777777" w:rsidR="00E0078C" w:rsidRDefault="00E0078C" w:rsidP="00E0078C">
      <w:pPr>
        <w:spacing w:afterLines="160" w:after="384"/>
        <w:ind w:firstLine="340"/>
        <w:contextualSpacing/>
        <w:jc w:val="both"/>
        <w:rPr>
          <w:rFonts w:ascii="David" w:hAnsi="David" w:cs="David"/>
          <w:sz w:val="24"/>
          <w:szCs w:val="24"/>
          <w:rtl/>
        </w:rPr>
      </w:pPr>
      <w:r w:rsidRPr="005F5FAB">
        <w:rPr>
          <w:rFonts w:ascii="David" w:hAnsi="David" w:cs="David" w:hint="cs"/>
          <w:sz w:val="24"/>
          <w:szCs w:val="24"/>
          <w:highlight w:val="yellow"/>
          <w:rtl/>
        </w:rPr>
        <w:t>למבחן הכוונה יתרונות רבים, הן במישור המדיניות הציבורית והן במישור הפנים משפחתי. הוא תואם חירויות וזכויות של האינדיבידואלים הנוטלים חלק בהקמת המשפחה, תואם את טובת הילד, מקדם את ערך השוויון, את הניטרליות המגדרית ואת הפלורליזם המשפחתי הראויים כיום. יחד עם זאת הוא אינו חזות הכל וסובל מחסרונות לא מעטים. כוונה ותכנון הם לעיתים פריבילגי</w:t>
      </w:r>
      <w:r w:rsidRPr="005F5FAB">
        <w:rPr>
          <w:rFonts w:ascii="David" w:hAnsi="David" w:cs="David" w:hint="eastAsia"/>
          <w:sz w:val="24"/>
          <w:szCs w:val="24"/>
          <w:highlight w:val="yellow"/>
          <w:rtl/>
        </w:rPr>
        <w:t>ה</w:t>
      </w:r>
      <w:r w:rsidRPr="005F5FAB">
        <w:rPr>
          <w:rFonts w:ascii="David" w:hAnsi="David" w:cs="David" w:hint="cs"/>
          <w:sz w:val="24"/>
          <w:szCs w:val="24"/>
          <w:highlight w:val="yellow"/>
          <w:rtl/>
        </w:rPr>
        <w:t xml:space="preserve"> של משפחות אמידות כלכלית, בעלות ידע, השכלה ושליטה מוגברת על חייהם.</w:t>
      </w:r>
      <w:r w:rsidRPr="005F5FAB">
        <w:rPr>
          <w:rStyle w:val="FootnoteReference"/>
          <w:rFonts w:ascii="David" w:hAnsi="David" w:cs="David"/>
          <w:sz w:val="24"/>
          <w:szCs w:val="24"/>
          <w:highlight w:val="yellow"/>
          <w:rtl/>
        </w:rPr>
        <w:footnoteReference w:id="24"/>
      </w:r>
      <w:r w:rsidRPr="005F5FAB">
        <w:rPr>
          <w:rFonts w:ascii="David" w:hAnsi="David" w:cs="David" w:hint="cs"/>
          <w:sz w:val="24"/>
          <w:szCs w:val="24"/>
          <w:highlight w:val="yellow"/>
          <w:rtl/>
        </w:rPr>
        <w:t xml:space="preserve"> במציאות לא כל ילד נולד מתוך כוונה ותכנון מראש. למעשה, מידע ממדינות אחרות מלמד שמרבית ההריונות אינם מתוכננים (עם זאת, אין בכך לומר שהם לא רצויים).</w:t>
      </w:r>
      <w:r w:rsidRPr="005F5FAB">
        <w:rPr>
          <w:rStyle w:val="FootnoteReference"/>
          <w:rFonts w:ascii="David" w:hAnsi="David" w:cs="David"/>
          <w:sz w:val="24"/>
          <w:szCs w:val="24"/>
          <w:highlight w:val="yellow"/>
          <w:rtl/>
        </w:rPr>
        <w:footnoteReference w:id="25"/>
      </w:r>
      <w:r w:rsidRPr="005F5FAB">
        <w:rPr>
          <w:rFonts w:ascii="David" w:hAnsi="David" w:cs="David" w:hint="cs"/>
          <w:sz w:val="24"/>
          <w:szCs w:val="24"/>
          <w:highlight w:val="yellow"/>
          <w:rtl/>
        </w:rPr>
        <w:t xml:space="preserve"> בנוסף, וזה נכון גם להולדה מתוכננת, כוונה עשויה להיות קשה להוכחה, בפרט כאשר שניים או יותר מעורבים בהולדה ופער נפער בין רצונותיהם לאורך זמן או שפער כזה התקיים כבר מראש והם חלוקים ברצון לזהות אחד את השנייה כהורים.</w:t>
      </w:r>
    </w:p>
    <w:p w14:paraId="08765A24" w14:textId="77777777" w:rsidR="00E0078C" w:rsidRDefault="00E0078C" w:rsidP="00E0078C">
      <w:pPr>
        <w:jc w:val="both"/>
        <w:rPr>
          <w:rFonts w:ascii="David" w:hAnsi="David" w:cs="David"/>
          <w:sz w:val="24"/>
          <w:szCs w:val="24"/>
          <w:rtl/>
        </w:rPr>
      </w:pPr>
      <w:r w:rsidRPr="00EC4A80">
        <w:rPr>
          <w:rFonts w:ascii="David" w:hAnsi="David" w:cs="David" w:hint="eastAsia"/>
          <w:sz w:val="24"/>
          <w:szCs w:val="24"/>
          <w:rtl/>
        </w:rPr>
        <w:t>כאמור</w:t>
      </w:r>
      <w:r w:rsidRPr="00EC4A80">
        <w:rPr>
          <w:rFonts w:ascii="David" w:hAnsi="David" w:cs="David"/>
          <w:sz w:val="24"/>
          <w:szCs w:val="24"/>
          <w:rtl/>
        </w:rPr>
        <w:t xml:space="preserve">, חוק תרומת ביציות אימץ את מבחן </w:t>
      </w:r>
      <w:r w:rsidRPr="00EC4A80">
        <w:rPr>
          <w:rFonts w:ascii="David" w:hAnsi="David" w:cs="David" w:hint="eastAsia"/>
          <w:sz w:val="24"/>
          <w:szCs w:val="24"/>
          <w:rtl/>
        </w:rPr>
        <w:t>הכוונה</w:t>
      </w:r>
      <w:r w:rsidRPr="00EC4A80">
        <w:rPr>
          <w:rFonts w:ascii="David" w:hAnsi="David" w:cs="David"/>
          <w:sz w:val="24"/>
          <w:szCs w:val="24"/>
          <w:rtl/>
        </w:rPr>
        <w:t xml:space="preserve"> </w:t>
      </w:r>
      <w:r w:rsidRPr="00EC4A80">
        <w:rPr>
          <w:rFonts w:ascii="David" w:hAnsi="David" w:cs="David" w:hint="eastAsia"/>
          <w:sz w:val="24"/>
          <w:szCs w:val="24"/>
          <w:rtl/>
        </w:rPr>
        <w:t>לשלילת</w:t>
      </w:r>
      <w:r w:rsidRPr="00EC4A80">
        <w:rPr>
          <w:rFonts w:ascii="David" w:hAnsi="David" w:cs="David"/>
          <w:sz w:val="24"/>
          <w:szCs w:val="24"/>
          <w:rtl/>
        </w:rPr>
        <w:t xml:space="preserve"> </w:t>
      </w:r>
      <w:r w:rsidRPr="00EC4A80">
        <w:rPr>
          <w:rFonts w:ascii="David" w:hAnsi="David" w:cs="David" w:hint="eastAsia"/>
          <w:sz w:val="24"/>
          <w:szCs w:val="24"/>
          <w:rtl/>
        </w:rPr>
        <w:t>המעמד</w:t>
      </w:r>
      <w:r w:rsidRPr="00EC4A80">
        <w:rPr>
          <w:rFonts w:ascii="David" w:hAnsi="David" w:cs="David"/>
          <w:sz w:val="24"/>
          <w:szCs w:val="24"/>
          <w:rtl/>
        </w:rPr>
        <w:t xml:space="preserve"> </w:t>
      </w:r>
      <w:r w:rsidRPr="00EC4A80">
        <w:rPr>
          <w:rFonts w:ascii="David" w:hAnsi="David" w:cs="David" w:hint="eastAsia"/>
          <w:sz w:val="24"/>
          <w:szCs w:val="24"/>
          <w:rtl/>
        </w:rPr>
        <w:t>ההורי</w:t>
      </w:r>
      <w:r w:rsidRPr="00EC4A80">
        <w:rPr>
          <w:rFonts w:ascii="David" w:hAnsi="David" w:cs="David"/>
          <w:sz w:val="24"/>
          <w:szCs w:val="24"/>
          <w:rtl/>
        </w:rPr>
        <w:t xml:space="preserve"> </w:t>
      </w:r>
      <w:r w:rsidRPr="00EC4A80">
        <w:rPr>
          <w:rFonts w:ascii="David" w:hAnsi="David" w:cs="David" w:hint="eastAsia"/>
          <w:sz w:val="24"/>
          <w:szCs w:val="24"/>
          <w:rtl/>
        </w:rPr>
        <w:t>מתורמת</w:t>
      </w:r>
      <w:r w:rsidRPr="00EC4A80">
        <w:rPr>
          <w:rFonts w:ascii="David" w:hAnsi="David" w:cs="David"/>
          <w:sz w:val="24"/>
          <w:szCs w:val="24"/>
          <w:rtl/>
        </w:rPr>
        <w:t xml:space="preserve"> </w:t>
      </w:r>
      <w:r w:rsidRPr="00EC4A80">
        <w:rPr>
          <w:rFonts w:ascii="David" w:hAnsi="David" w:cs="David" w:hint="eastAsia"/>
          <w:sz w:val="24"/>
          <w:szCs w:val="24"/>
          <w:rtl/>
        </w:rPr>
        <w:t>הביצית</w:t>
      </w:r>
      <w:r w:rsidRPr="00EC4A80">
        <w:rPr>
          <w:rFonts w:ascii="David" w:hAnsi="David" w:cs="David"/>
          <w:sz w:val="24"/>
          <w:szCs w:val="24"/>
          <w:rtl/>
        </w:rPr>
        <w:t xml:space="preserve"> </w:t>
      </w:r>
      <w:r w:rsidRPr="00EC4A80">
        <w:rPr>
          <w:rFonts w:ascii="David" w:hAnsi="David" w:cs="David" w:hint="eastAsia"/>
          <w:sz w:val="24"/>
          <w:szCs w:val="24"/>
          <w:rtl/>
        </w:rPr>
        <w:t>ומהענקת</w:t>
      </w:r>
      <w:r w:rsidRPr="00EC4A80">
        <w:rPr>
          <w:rFonts w:ascii="David" w:hAnsi="David" w:cs="David"/>
          <w:sz w:val="24"/>
          <w:szCs w:val="24"/>
          <w:rtl/>
        </w:rPr>
        <w:t xml:space="preserve"> </w:t>
      </w:r>
      <w:r w:rsidRPr="00EC4A80">
        <w:rPr>
          <w:rFonts w:ascii="David" w:hAnsi="David" w:cs="David" w:hint="eastAsia"/>
          <w:sz w:val="24"/>
          <w:szCs w:val="24"/>
          <w:rtl/>
        </w:rPr>
        <w:t>המעמד</w:t>
      </w:r>
      <w:r w:rsidRPr="00EC4A80">
        <w:rPr>
          <w:rFonts w:ascii="David" w:hAnsi="David" w:cs="David"/>
          <w:sz w:val="24"/>
          <w:szCs w:val="24"/>
          <w:rtl/>
        </w:rPr>
        <w:t xml:space="preserve"> </w:t>
      </w:r>
      <w:r w:rsidRPr="00EC4A80">
        <w:rPr>
          <w:rFonts w:ascii="David" w:hAnsi="David" w:cs="David" w:hint="eastAsia"/>
          <w:sz w:val="24"/>
          <w:szCs w:val="24"/>
          <w:rtl/>
        </w:rPr>
        <w:t>ההורי</w:t>
      </w:r>
      <w:r w:rsidRPr="00EC4A80">
        <w:rPr>
          <w:rFonts w:ascii="David" w:hAnsi="David" w:cs="David"/>
          <w:sz w:val="24"/>
          <w:szCs w:val="24"/>
          <w:rtl/>
        </w:rPr>
        <w:t xml:space="preserve"> </w:t>
      </w:r>
      <w:r w:rsidRPr="00EC4A80">
        <w:rPr>
          <w:rFonts w:ascii="David" w:hAnsi="David" w:cs="David" w:hint="eastAsia"/>
          <w:sz w:val="24"/>
          <w:szCs w:val="24"/>
          <w:rtl/>
        </w:rPr>
        <w:t>למקבלת</w:t>
      </w:r>
      <w:r w:rsidRPr="00EC4A80">
        <w:rPr>
          <w:rFonts w:ascii="David" w:hAnsi="David" w:cs="David"/>
          <w:sz w:val="24"/>
          <w:szCs w:val="24"/>
          <w:rtl/>
        </w:rPr>
        <w:t xml:space="preserve"> </w:t>
      </w:r>
      <w:r w:rsidRPr="00EC4A80">
        <w:rPr>
          <w:rFonts w:ascii="David" w:hAnsi="David" w:cs="David" w:hint="eastAsia"/>
          <w:sz w:val="24"/>
          <w:szCs w:val="24"/>
          <w:rtl/>
        </w:rPr>
        <w:t>התרומה</w:t>
      </w:r>
      <w:r w:rsidRPr="00EC4A80">
        <w:rPr>
          <w:rFonts w:ascii="David" w:hAnsi="David" w:cs="David"/>
          <w:sz w:val="24"/>
          <w:szCs w:val="24"/>
          <w:rtl/>
        </w:rPr>
        <w:t xml:space="preserve">, </w:t>
      </w:r>
      <w:r w:rsidRPr="00EC4A80">
        <w:rPr>
          <w:rFonts w:ascii="David" w:hAnsi="David" w:cs="David" w:hint="eastAsia"/>
          <w:sz w:val="24"/>
          <w:szCs w:val="24"/>
          <w:rtl/>
        </w:rPr>
        <w:t>כאשר</w:t>
      </w:r>
      <w:r w:rsidRPr="00EC4A80">
        <w:rPr>
          <w:rFonts w:ascii="David" w:hAnsi="David" w:cs="David"/>
          <w:sz w:val="24"/>
          <w:szCs w:val="24"/>
          <w:rtl/>
        </w:rPr>
        <w:t xml:space="preserve"> </w:t>
      </w:r>
      <w:r w:rsidRPr="00EC4A80">
        <w:rPr>
          <w:rFonts w:ascii="David" w:hAnsi="David" w:cs="David" w:hint="eastAsia"/>
          <w:sz w:val="24"/>
          <w:szCs w:val="24"/>
          <w:rtl/>
        </w:rPr>
        <w:t>זו</w:t>
      </w:r>
      <w:r w:rsidRPr="00EC4A80">
        <w:rPr>
          <w:rFonts w:ascii="David" w:hAnsi="David" w:cs="David"/>
          <w:sz w:val="24"/>
          <w:szCs w:val="24"/>
          <w:rtl/>
        </w:rPr>
        <w:t xml:space="preserve"> </w:t>
      </w:r>
      <w:r w:rsidRPr="00EC4A80">
        <w:rPr>
          <w:rFonts w:ascii="David" w:hAnsi="David" w:cs="David" w:hint="eastAsia"/>
          <w:sz w:val="24"/>
          <w:szCs w:val="24"/>
          <w:rtl/>
        </w:rPr>
        <w:t>גם</w:t>
      </w:r>
      <w:r w:rsidRPr="00EC4A80">
        <w:rPr>
          <w:rFonts w:ascii="David" w:hAnsi="David" w:cs="David"/>
          <w:sz w:val="24"/>
          <w:szCs w:val="24"/>
          <w:rtl/>
        </w:rPr>
        <w:t xml:space="preserve"> </w:t>
      </w:r>
      <w:r w:rsidRPr="00EC4A80">
        <w:rPr>
          <w:rFonts w:ascii="David" w:hAnsi="David" w:cs="David" w:hint="eastAsia"/>
          <w:sz w:val="24"/>
          <w:szCs w:val="24"/>
          <w:rtl/>
        </w:rPr>
        <w:t>נשאה</w:t>
      </w:r>
      <w:r w:rsidRPr="00EC4A80">
        <w:rPr>
          <w:rFonts w:ascii="David" w:hAnsi="David" w:cs="David"/>
          <w:sz w:val="24"/>
          <w:szCs w:val="24"/>
          <w:rtl/>
        </w:rPr>
        <w:t xml:space="preserve"> </w:t>
      </w:r>
      <w:r w:rsidRPr="00EC4A80">
        <w:rPr>
          <w:rFonts w:ascii="David" w:hAnsi="David" w:cs="David" w:hint="eastAsia"/>
          <w:sz w:val="24"/>
          <w:szCs w:val="24"/>
          <w:rtl/>
        </w:rPr>
        <w:t>את</w:t>
      </w:r>
      <w:r w:rsidRPr="00EC4A80">
        <w:rPr>
          <w:rFonts w:ascii="David" w:hAnsi="David" w:cs="David"/>
          <w:sz w:val="24"/>
          <w:szCs w:val="24"/>
          <w:rtl/>
        </w:rPr>
        <w:t xml:space="preserve"> </w:t>
      </w:r>
      <w:r w:rsidRPr="00EC4A80">
        <w:rPr>
          <w:rFonts w:ascii="David" w:hAnsi="David" w:cs="David" w:hint="eastAsia"/>
          <w:sz w:val="24"/>
          <w:szCs w:val="24"/>
          <w:rtl/>
        </w:rPr>
        <w:t>ההיריון</w:t>
      </w:r>
      <w:r w:rsidRPr="00EC4A80">
        <w:rPr>
          <w:rFonts w:ascii="David" w:hAnsi="David" w:cs="David"/>
          <w:sz w:val="24"/>
          <w:szCs w:val="24"/>
          <w:rtl/>
        </w:rPr>
        <w:t xml:space="preserve">. </w:t>
      </w:r>
      <w:r w:rsidRPr="00EC4A80">
        <w:rPr>
          <w:rFonts w:ascii="David" w:hAnsi="David" w:cs="David" w:hint="eastAsia"/>
          <w:sz w:val="24"/>
          <w:szCs w:val="24"/>
          <w:rtl/>
        </w:rPr>
        <w:t>כאשר</w:t>
      </w:r>
      <w:r w:rsidRPr="00EC4A80">
        <w:rPr>
          <w:rFonts w:ascii="David" w:hAnsi="David" w:cs="David"/>
          <w:sz w:val="24"/>
          <w:szCs w:val="24"/>
          <w:rtl/>
        </w:rPr>
        <w:t xml:space="preserve"> מקבלת התרומה </w:t>
      </w:r>
      <w:r w:rsidRPr="00EC4A80">
        <w:rPr>
          <w:rFonts w:ascii="David" w:hAnsi="David" w:cs="David" w:hint="eastAsia"/>
          <w:sz w:val="24"/>
          <w:szCs w:val="24"/>
          <w:rtl/>
        </w:rPr>
        <w:t>אינה</w:t>
      </w:r>
      <w:r w:rsidRPr="00EC4A80">
        <w:rPr>
          <w:rFonts w:ascii="David" w:hAnsi="David" w:cs="David"/>
          <w:sz w:val="24"/>
          <w:szCs w:val="24"/>
          <w:rtl/>
        </w:rPr>
        <w:t xml:space="preserve"> </w:t>
      </w:r>
      <w:r w:rsidRPr="00EC4A80">
        <w:rPr>
          <w:rFonts w:ascii="David" w:hAnsi="David" w:cs="David" w:hint="eastAsia"/>
          <w:sz w:val="24"/>
          <w:szCs w:val="24"/>
          <w:rtl/>
        </w:rPr>
        <w:t>יכולה</w:t>
      </w:r>
      <w:r w:rsidRPr="00EC4A80">
        <w:rPr>
          <w:rFonts w:ascii="David" w:hAnsi="David" w:cs="David"/>
          <w:sz w:val="24"/>
          <w:szCs w:val="24"/>
          <w:rtl/>
        </w:rPr>
        <w:t xml:space="preserve"> </w:t>
      </w:r>
      <w:r w:rsidRPr="00EC4A80">
        <w:rPr>
          <w:rFonts w:ascii="David" w:hAnsi="David" w:cs="David" w:hint="eastAsia"/>
          <w:sz w:val="24"/>
          <w:szCs w:val="24"/>
          <w:rtl/>
        </w:rPr>
        <w:t>לשאת</w:t>
      </w:r>
      <w:r w:rsidRPr="00EC4A80">
        <w:rPr>
          <w:rFonts w:ascii="David" w:hAnsi="David" w:cs="David"/>
          <w:sz w:val="24"/>
          <w:szCs w:val="24"/>
          <w:rtl/>
        </w:rPr>
        <w:t xml:space="preserve"> </w:t>
      </w:r>
      <w:r w:rsidRPr="00EC4A80">
        <w:rPr>
          <w:rFonts w:ascii="David" w:hAnsi="David" w:cs="David" w:hint="eastAsia"/>
          <w:sz w:val="24"/>
          <w:szCs w:val="24"/>
          <w:rtl/>
        </w:rPr>
        <w:t>היריון</w:t>
      </w:r>
      <w:r w:rsidRPr="00EC4A80">
        <w:rPr>
          <w:rFonts w:ascii="David" w:hAnsi="David" w:cs="David"/>
          <w:sz w:val="24"/>
          <w:szCs w:val="24"/>
          <w:rtl/>
        </w:rPr>
        <w:t xml:space="preserve"> ומבקשת להסתייע באשה אחרת שתישא את ההיריון, הדין הישראלי לא </w:t>
      </w:r>
      <w:r w:rsidRPr="00EC4A80">
        <w:rPr>
          <w:rFonts w:ascii="David" w:hAnsi="David" w:cs="David" w:hint="eastAsia"/>
          <w:sz w:val="24"/>
          <w:szCs w:val="24"/>
          <w:rtl/>
        </w:rPr>
        <w:lastRenderedPageBreak/>
        <w:t>מכיר</w:t>
      </w:r>
      <w:r w:rsidRPr="00EC4A80">
        <w:rPr>
          <w:rFonts w:ascii="David" w:hAnsi="David" w:cs="David"/>
          <w:sz w:val="24"/>
          <w:szCs w:val="24"/>
          <w:rtl/>
        </w:rPr>
        <w:t xml:space="preserve"> </w:t>
      </w:r>
      <w:r w:rsidRPr="00EC4A80">
        <w:rPr>
          <w:rFonts w:ascii="David" w:hAnsi="David" w:cs="David" w:hint="eastAsia"/>
          <w:sz w:val="24"/>
          <w:szCs w:val="24"/>
          <w:rtl/>
        </w:rPr>
        <w:t>במעמדה</w:t>
      </w:r>
      <w:r w:rsidRPr="00EC4A80">
        <w:rPr>
          <w:rFonts w:ascii="David" w:hAnsi="David" w:cs="David"/>
          <w:sz w:val="24"/>
          <w:szCs w:val="24"/>
          <w:rtl/>
        </w:rPr>
        <w:t xml:space="preserve"> </w:t>
      </w:r>
      <w:r w:rsidRPr="00EC4A80">
        <w:rPr>
          <w:rFonts w:ascii="David" w:hAnsi="David" w:cs="David" w:hint="eastAsia"/>
          <w:sz w:val="24"/>
          <w:szCs w:val="24"/>
          <w:rtl/>
        </w:rPr>
        <w:t>כאם</w:t>
      </w:r>
      <w:r w:rsidRPr="00EC4A80">
        <w:rPr>
          <w:rFonts w:ascii="David" w:hAnsi="David" w:cs="David"/>
          <w:sz w:val="24"/>
          <w:szCs w:val="24"/>
          <w:rtl/>
        </w:rPr>
        <w:t xml:space="preserve"> </w:t>
      </w:r>
      <w:r w:rsidRPr="00EC4A80">
        <w:rPr>
          <w:rFonts w:ascii="David" w:hAnsi="David" w:cs="David" w:hint="eastAsia"/>
          <w:sz w:val="24"/>
          <w:szCs w:val="24"/>
          <w:rtl/>
        </w:rPr>
        <w:t>על</w:t>
      </w:r>
      <w:r w:rsidRPr="00EC4A80">
        <w:rPr>
          <w:rFonts w:ascii="David" w:hAnsi="David" w:cs="David"/>
          <w:sz w:val="24"/>
          <w:szCs w:val="24"/>
          <w:rtl/>
        </w:rPr>
        <w:t xml:space="preserve"> </w:t>
      </w:r>
      <w:r w:rsidRPr="00EC4A80">
        <w:rPr>
          <w:rFonts w:ascii="David" w:hAnsi="David" w:cs="David" w:hint="eastAsia"/>
          <w:sz w:val="24"/>
          <w:szCs w:val="24"/>
          <w:rtl/>
        </w:rPr>
        <w:t>בסיס</w:t>
      </w:r>
      <w:r w:rsidRPr="00EC4A80">
        <w:rPr>
          <w:rFonts w:ascii="David" w:hAnsi="David" w:cs="David"/>
          <w:sz w:val="24"/>
          <w:szCs w:val="24"/>
          <w:rtl/>
        </w:rPr>
        <w:t xml:space="preserve"> </w:t>
      </w:r>
      <w:r w:rsidRPr="00EC4A80">
        <w:rPr>
          <w:rFonts w:ascii="David" w:hAnsi="David" w:cs="David" w:hint="eastAsia"/>
          <w:sz w:val="24"/>
          <w:szCs w:val="24"/>
          <w:rtl/>
        </w:rPr>
        <w:t>מבחן</w:t>
      </w:r>
      <w:r w:rsidRPr="00EC4A80">
        <w:rPr>
          <w:rFonts w:ascii="David" w:hAnsi="David" w:cs="David"/>
          <w:sz w:val="24"/>
          <w:szCs w:val="24"/>
          <w:rtl/>
        </w:rPr>
        <w:t xml:space="preserve"> </w:t>
      </w:r>
      <w:r w:rsidRPr="00EC4A80">
        <w:rPr>
          <w:rFonts w:ascii="David" w:hAnsi="David" w:cs="David" w:hint="eastAsia"/>
          <w:sz w:val="24"/>
          <w:szCs w:val="24"/>
          <w:rtl/>
        </w:rPr>
        <w:t>הכוונה</w:t>
      </w:r>
      <w:r w:rsidRPr="00EC4A80">
        <w:rPr>
          <w:rFonts w:ascii="David" w:hAnsi="David" w:cs="David"/>
          <w:sz w:val="24"/>
          <w:szCs w:val="24"/>
          <w:rtl/>
        </w:rPr>
        <w:t>.</w:t>
      </w:r>
      <w:r w:rsidRPr="0035270E">
        <w:rPr>
          <w:rStyle w:val="FootnoteReference"/>
          <w:rFonts w:ascii="David" w:hAnsi="David" w:cs="David"/>
          <w:sz w:val="24"/>
          <w:szCs w:val="24"/>
          <w:rtl/>
        </w:rPr>
        <w:t xml:space="preserve"> </w:t>
      </w:r>
      <w:bookmarkStart w:id="28" w:name="_Ref80963124"/>
      <w:r w:rsidRPr="003953DD">
        <w:rPr>
          <w:rStyle w:val="FootnoteReference"/>
          <w:rFonts w:ascii="David" w:hAnsi="David" w:cs="David"/>
          <w:sz w:val="24"/>
          <w:szCs w:val="24"/>
          <w:rtl/>
        </w:rPr>
        <w:footnoteReference w:id="26"/>
      </w:r>
      <w:bookmarkEnd w:id="28"/>
      <w:r w:rsidRPr="00EC4A80">
        <w:rPr>
          <w:rFonts w:ascii="David" w:hAnsi="David" w:cs="David"/>
          <w:sz w:val="24"/>
          <w:szCs w:val="24"/>
          <w:rtl/>
        </w:rPr>
        <w:t xml:space="preserve"> </w:t>
      </w:r>
      <w:r w:rsidRPr="003953DD">
        <w:rPr>
          <w:rFonts w:ascii="David" w:hAnsi="David" w:cs="David" w:hint="eastAsia"/>
          <w:sz w:val="24"/>
          <w:szCs w:val="24"/>
          <w:rtl/>
        </w:rPr>
        <w:t>בהעדר</w:t>
      </w:r>
      <w:r w:rsidRPr="003953DD">
        <w:rPr>
          <w:rFonts w:ascii="David" w:hAnsi="David" w:cs="David"/>
          <w:sz w:val="24"/>
          <w:szCs w:val="24"/>
          <w:rtl/>
        </w:rPr>
        <w:t xml:space="preserve"> תרומה גנטית או פיזיולוגית בנשיאת ההיריון, אישה יכולה, על פי הדין הקיים כיום, להיות מוכרת בישראל כאם רק אם היא מבקשת להיות אם במשותף עם האב הגנטי, והשניים התקשרו בהסכם להורות משותפת לפי חוק הסכמים לנשיאת עוברים ועמדו בתנאיו. </w:t>
      </w:r>
      <w:r w:rsidRPr="00C50DDA">
        <w:rPr>
          <w:rFonts w:ascii="David" w:hAnsi="David" w:cs="David" w:hint="eastAsia"/>
          <w:sz w:val="24"/>
          <w:szCs w:val="24"/>
          <w:rtl/>
        </w:rPr>
        <w:t>במובן</w:t>
      </w:r>
      <w:r w:rsidRPr="00C50DDA">
        <w:rPr>
          <w:rFonts w:ascii="David" w:hAnsi="David" w:cs="David"/>
          <w:sz w:val="24"/>
          <w:szCs w:val="24"/>
          <w:rtl/>
        </w:rPr>
        <w:t xml:space="preserve"> </w:t>
      </w:r>
      <w:r w:rsidRPr="00C50DDA">
        <w:rPr>
          <w:rFonts w:ascii="David" w:hAnsi="David" w:cs="David" w:hint="eastAsia"/>
          <w:sz w:val="24"/>
          <w:szCs w:val="24"/>
          <w:rtl/>
        </w:rPr>
        <w:t>זה</w:t>
      </w:r>
      <w:r w:rsidRPr="00C50DDA">
        <w:rPr>
          <w:rFonts w:ascii="David" w:hAnsi="David" w:cs="David"/>
          <w:sz w:val="24"/>
          <w:szCs w:val="24"/>
          <w:rtl/>
        </w:rPr>
        <w:t xml:space="preserve">, </w:t>
      </w:r>
      <w:r w:rsidRPr="00C50DDA">
        <w:rPr>
          <w:rFonts w:ascii="David" w:hAnsi="David" w:cs="David" w:hint="eastAsia"/>
          <w:sz w:val="24"/>
          <w:szCs w:val="24"/>
          <w:rtl/>
        </w:rPr>
        <w:t>ככל</w:t>
      </w:r>
      <w:r w:rsidRPr="00C50DDA">
        <w:rPr>
          <w:rFonts w:ascii="David" w:hAnsi="David" w:cs="David"/>
          <w:sz w:val="24"/>
          <w:szCs w:val="24"/>
          <w:rtl/>
        </w:rPr>
        <w:t xml:space="preserve"> </w:t>
      </w:r>
      <w:r w:rsidRPr="00C50DDA">
        <w:rPr>
          <w:rFonts w:ascii="David" w:hAnsi="David" w:cs="David" w:hint="eastAsia"/>
          <w:sz w:val="24"/>
          <w:szCs w:val="24"/>
          <w:rtl/>
        </w:rPr>
        <w:t>שהדין</w:t>
      </w:r>
      <w:r w:rsidRPr="00C50DDA">
        <w:rPr>
          <w:rFonts w:ascii="David" w:hAnsi="David" w:cs="David"/>
          <w:sz w:val="24"/>
          <w:szCs w:val="24"/>
          <w:rtl/>
        </w:rPr>
        <w:t xml:space="preserve"> </w:t>
      </w:r>
      <w:r w:rsidRPr="00C50DDA">
        <w:rPr>
          <w:rFonts w:ascii="David" w:hAnsi="David" w:cs="David" w:hint="eastAsia"/>
          <w:sz w:val="24"/>
          <w:szCs w:val="24"/>
          <w:rtl/>
        </w:rPr>
        <w:t>הישראלי</w:t>
      </w:r>
      <w:r w:rsidRPr="00C50DDA">
        <w:rPr>
          <w:rFonts w:ascii="David" w:hAnsi="David" w:cs="David"/>
          <w:sz w:val="24"/>
          <w:szCs w:val="24"/>
          <w:rtl/>
        </w:rPr>
        <w:t xml:space="preserve"> </w:t>
      </w:r>
      <w:r w:rsidRPr="00C50DDA">
        <w:rPr>
          <w:rFonts w:ascii="David" w:hAnsi="David" w:cs="David" w:hint="eastAsia"/>
          <w:sz w:val="24"/>
          <w:szCs w:val="24"/>
          <w:rtl/>
        </w:rPr>
        <w:t>אימץ</w:t>
      </w:r>
      <w:r w:rsidRPr="00C50DDA">
        <w:rPr>
          <w:rFonts w:ascii="David" w:hAnsi="David" w:cs="David"/>
          <w:sz w:val="24"/>
          <w:szCs w:val="24"/>
          <w:rtl/>
        </w:rPr>
        <w:t xml:space="preserve"> </w:t>
      </w:r>
      <w:r w:rsidRPr="00C50DDA">
        <w:rPr>
          <w:rFonts w:ascii="David" w:hAnsi="David" w:cs="David" w:hint="eastAsia"/>
          <w:sz w:val="24"/>
          <w:szCs w:val="24"/>
          <w:rtl/>
        </w:rPr>
        <w:t>את</w:t>
      </w:r>
      <w:r w:rsidRPr="00C50DDA">
        <w:rPr>
          <w:rFonts w:ascii="David" w:hAnsi="David" w:cs="David"/>
          <w:sz w:val="24"/>
          <w:szCs w:val="24"/>
          <w:rtl/>
        </w:rPr>
        <w:t xml:space="preserve"> </w:t>
      </w:r>
      <w:r w:rsidRPr="00C50DDA">
        <w:rPr>
          <w:rFonts w:ascii="David" w:hAnsi="David" w:cs="David" w:hint="eastAsia"/>
          <w:sz w:val="24"/>
          <w:szCs w:val="24"/>
          <w:rtl/>
        </w:rPr>
        <w:t>מבחן</w:t>
      </w:r>
      <w:r w:rsidRPr="00C50DDA">
        <w:rPr>
          <w:rFonts w:ascii="David" w:hAnsi="David" w:cs="David"/>
          <w:sz w:val="24"/>
          <w:szCs w:val="24"/>
          <w:rtl/>
        </w:rPr>
        <w:t xml:space="preserve"> </w:t>
      </w:r>
      <w:r w:rsidRPr="00C50DDA">
        <w:rPr>
          <w:rFonts w:ascii="David" w:hAnsi="David" w:cs="David" w:hint="eastAsia"/>
          <w:sz w:val="24"/>
          <w:szCs w:val="24"/>
          <w:rtl/>
        </w:rPr>
        <w:t>כוונה</w:t>
      </w:r>
      <w:r w:rsidRPr="00C50DDA">
        <w:rPr>
          <w:rFonts w:ascii="David" w:hAnsi="David" w:cs="David"/>
          <w:sz w:val="24"/>
          <w:szCs w:val="24"/>
          <w:rtl/>
        </w:rPr>
        <w:t xml:space="preserve">, </w:t>
      </w:r>
      <w:r w:rsidRPr="00C50DDA">
        <w:rPr>
          <w:rFonts w:ascii="David" w:hAnsi="David" w:cs="David" w:hint="eastAsia"/>
          <w:sz w:val="24"/>
          <w:szCs w:val="24"/>
          <w:rtl/>
        </w:rPr>
        <w:t>הרי</w:t>
      </w:r>
      <w:r w:rsidRPr="00C50DDA">
        <w:rPr>
          <w:rFonts w:ascii="David" w:hAnsi="David" w:cs="David"/>
          <w:sz w:val="24"/>
          <w:szCs w:val="24"/>
          <w:rtl/>
        </w:rPr>
        <w:t xml:space="preserve"> </w:t>
      </w:r>
      <w:r w:rsidRPr="00C50DDA">
        <w:rPr>
          <w:rFonts w:ascii="David" w:hAnsi="David" w:cs="David" w:hint="eastAsia"/>
          <w:sz w:val="24"/>
          <w:szCs w:val="24"/>
          <w:rtl/>
        </w:rPr>
        <w:t>שמדובר</w:t>
      </w:r>
      <w:r w:rsidRPr="00C50DDA">
        <w:rPr>
          <w:rFonts w:ascii="David" w:hAnsi="David" w:cs="David"/>
          <w:sz w:val="24"/>
          <w:szCs w:val="24"/>
          <w:rtl/>
        </w:rPr>
        <w:t xml:space="preserve"> </w:t>
      </w:r>
      <w:r w:rsidRPr="00C50DDA">
        <w:rPr>
          <w:rFonts w:ascii="David" w:hAnsi="David" w:cs="David" w:hint="eastAsia"/>
          <w:sz w:val="24"/>
          <w:szCs w:val="24"/>
          <w:rtl/>
        </w:rPr>
        <w:t>באימוץ</w:t>
      </w:r>
      <w:r w:rsidRPr="00C50DDA">
        <w:rPr>
          <w:rFonts w:ascii="David" w:hAnsi="David" w:cs="David"/>
          <w:sz w:val="24"/>
          <w:szCs w:val="24"/>
          <w:rtl/>
        </w:rPr>
        <w:t xml:space="preserve"> </w:t>
      </w:r>
      <w:r w:rsidRPr="00C50DDA">
        <w:rPr>
          <w:rFonts w:ascii="David" w:hAnsi="David" w:cs="David" w:hint="eastAsia"/>
          <w:sz w:val="24"/>
          <w:szCs w:val="24"/>
          <w:rtl/>
        </w:rPr>
        <w:t>מוגבל</w:t>
      </w:r>
      <w:r w:rsidRPr="00C50DDA">
        <w:rPr>
          <w:rFonts w:ascii="David" w:hAnsi="David" w:cs="David"/>
          <w:sz w:val="24"/>
          <w:szCs w:val="24"/>
          <w:rtl/>
        </w:rPr>
        <w:t xml:space="preserve"> </w:t>
      </w:r>
      <w:r w:rsidRPr="00C50DDA">
        <w:rPr>
          <w:rFonts w:ascii="David" w:hAnsi="David" w:cs="David" w:hint="eastAsia"/>
          <w:sz w:val="24"/>
          <w:szCs w:val="24"/>
          <w:rtl/>
        </w:rPr>
        <w:t>בלבד</w:t>
      </w:r>
      <w:r>
        <w:rPr>
          <w:rFonts w:ascii="David" w:hAnsi="David" w:cs="David" w:hint="cs"/>
          <w:sz w:val="24"/>
          <w:szCs w:val="24"/>
          <w:rtl/>
        </w:rPr>
        <w:t xml:space="preserve"> כשובר שוויון בין שתי נשים שהיו יכולות לטעון להורות על בסיס ביולוגי, נשיאת היריון או תרומת מטען גנטי</w:t>
      </w:r>
      <w:r w:rsidRPr="00C50DDA">
        <w:rPr>
          <w:rFonts w:ascii="David" w:hAnsi="David" w:cs="David"/>
          <w:sz w:val="24"/>
          <w:szCs w:val="24"/>
          <w:rtl/>
        </w:rPr>
        <w:t xml:space="preserve">. </w:t>
      </w:r>
      <w:r>
        <w:rPr>
          <w:rFonts w:ascii="David" w:hAnsi="David" w:cs="David" w:hint="cs"/>
          <w:sz w:val="24"/>
          <w:szCs w:val="24"/>
          <w:rtl/>
        </w:rPr>
        <w:t xml:space="preserve">למעשה, </w:t>
      </w:r>
      <w:r w:rsidRPr="003953DD">
        <w:rPr>
          <w:rFonts w:ascii="David" w:hAnsi="David" w:cs="David"/>
          <w:sz w:val="24"/>
          <w:szCs w:val="24"/>
          <w:rtl/>
        </w:rPr>
        <w:t>חוק הסכמים לנשיאת עוברים מותיר את שאל</w:t>
      </w:r>
      <w:r w:rsidRPr="003953DD">
        <w:rPr>
          <w:rFonts w:ascii="David" w:hAnsi="David" w:cs="David" w:hint="eastAsia"/>
          <w:sz w:val="24"/>
          <w:szCs w:val="24"/>
          <w:rtl/>
        </w:rPr>
        <w:t>ת</w:t>
      </w:r>
      <w:r w:rsidRPr="003953DD">
        <w:rPr>
          <w:rFonts w:ascii="David" w:hAnsi="David" w:cs="David"/>
          <w:sz w:val="24"/>
          <w:szCs w:val="24"/>
          <w:rtl/>
        </w:rPr>
        <w:t xml:space="preserve"> </w:t>
      </w:r>
      <w:r w:rsidRPr="003953DD">
        <w:rPr>
          <w:rFonts w:ascii="David" w:hAnsi="David" w:cs="David" w:hint="eastAsia"/>
          <w:sz w:val="24"/>
          <w:szCs w:val="24"/>
          <w:rtl/>
        </w:rPr>
        <w:t>הגדרת</w:t>
      </w:r>
      <w:r w:rsidRPr="003953DD">
        <w:rPr>
          <w:rFonts w:ascii="David" w:hAnsi="David" w:cs="David"/>
          <w:sz w:val="24"/>
          <w:szCs w:val="24"/>
          <w:rtl/>
        </w:rPr>
        <w:t xml:space="preserve"> </w:t>
      </w:r>
      <w:r w:rsidRPr="003953DD">
        <w:rPr>
          <w:rFonts w:ascii="David" w:hAnsi="David" w:cs="David" w:hint="eastAsia"/>
          <w:sz w:val="24"/>
          <w:szCs w:val="24"/>
          <w:rtl/>
        </w:rPr>
        <w:t>האימהות</w:t>
      </w:r>
      <w:r w:rsidRPr="003953DD">
        <w:rPr>
          <w:rFonts w:ascii="David" w:hAnsi="David" w:cs="David"/>
          <w:sz w:val="24"/>
          <w:szCs w:val="24"/>
          <w:rtl/>
        </w:rPr>
        <w:t xml:space="preserve">  עמומה</w:t>
      </w:r>
      <w:r>
        <w:rPr>
          <w:rFonts w:ascii="David" w:hAnsi="David" w:cs="David" w:hint="cs"/>
          <w:sz w:val="24"/>
          <w:szCs w:val="24"/>
          <w:rtl/>
        </w:rPr>
        <w:t xml:space="preserve">, כמו גם את הגדרת האבהות. </w:t>
      </w:r>
    </w:p>
    <w:p w14:paraId="3F6CCF80" w14:textId="77777777" w:rsidR="00E0078C" w:rsidRPr="00F21C0B" w:rsidRDefault="00E0078C" w:rsidP="00E0078C">
      <w:pPr>
        <w:jc w:val="both"/>
        <w:rPr>
          <w:rFonts w:ascii="David" w:hAnsi="David" w:cs="David"/>
          <w:sz w:val="24"/>
          <w:szCs w:val="24"/>
        </w:rPr>
      </w:pPr>
    </w:p>
    <w:p w14:paraId="4C6132B9" w14:textId="77777777" w:rsidR="00E0078C" w:rsidRPr="003D564D" w:rsidRDefault="00E0078C" w:rsidP="00E0078C">
      <w:pPr>
        <w:pStyle w:val="Heading2"/>
        <w:numPr>
          <w:ilvl w:val="0"/>
          <w:numId w:val="3"/>
        </w:numPr>
        <w:tabs>
          <w:tab w:val="num" w:pos="360"/>
        </w:tabs>
        <w:spacing w:before="0"/>
        <w:ind w:left="0" w:firstLine="0"/>
        <w:rPr>
          <w:rFonts w:ascii="David" w:hAnsi="David" w:cs="David"/>
          <w:b/>
          <w:bCs/>
          <w:color w:val="auto"/>
          <w:sz w:val="28"/>
          <w:szCs w:val="28"/>
        </w:rPr>
      </w:pPr>
      <w:bookmarkStart w:id="29" w:name="_Toc78880383"/>
      <w:r w:rsidRPr="003D564D">
        <w:rPr>
          <w:rFonts w:ascii="David" w:hAnsi="David" w:cs="David"/>
          <w:b/>
          <w:bCs/>
          <w:color w:val="auto"/>
          <w:sz w:val="28"/>
          <w:szCs w:val="28"/>
          <w:rtl/>
        </w:rPr>
        <w:t>צו הורות מכוח חוק הסכמים לנשיאת עוברים</w:t>
      </w:r>
      <w:bookmarkEnd w:id="29"/>
    </w:p>
    <w:p w14:paraId="47E3B926" w14:textId="77777777" w:rsidR="00E0078C" w:rsidRDefault="00E0078C" w:rsidP="00E0078C">
      <w:pPr>
        <w:ind w:firstLine="340"/>
        <w:jc w:val="both"/>
        <w:rPr>
          <w:rFonts w:ascii="David" w:hAnsi="David" w:cs="David"/>
          <w:sz w:val="24"/>
          <w:szCs w:val="24"/>
          <w:rtl/>
        </w:rPr>
      </w:pPr>
      <w:r>
        <w:rPr>
          <w:rFonts w:ascii="David" w:hAnsi="David" w:cs="David" w:hint="cs"/>
          <w:sz w:val="24"/>
          <w:szCs w:val="24"/>
          <w:rtl/>
        </w:rPr>
        <w:t>בהסדרת ההורות</w:t>
      </w:r>
      <w:r w:rsidRPr="003D564D">
        <w:rPr>
          <w:rFonts w:ascii="David" w:hAnsi="David" w:cs="David"/>
          <w:sz w:val="24"/>
          <w:szCs w:val="24"/>
          <w:rtl/>
        </w:rPr>
        <w:t xml:space="preserve"> על פי חוק הסכמים לנשיאת עוברים, ביחס לילדים שנולדו כתוצאה מהתקשרות לנשיאת עוברים בישראל, </w:t>
      </w:r>
      <w:r>
        <w:rPr>
          <w:rFonts w:ascii="David" w:hAnsi="David" w:cs="David" w:hint="cs"/>
          <w:sz w:val="24"/>
          <w:szCs w:val="24"/>
          <w:rtl/>
        </w:rPr>
        <w:t xml:space="preserve">ניתן למצוא עיגון הן ליסוד הכוונה, הן לזיקה הביולוגית, והן לזיקת הזוגיות, בה אנו קוראים להכיר במסגרת מאמר זה. </w:t>
      </w:r>
      <w:r w:rsidRPr="003D564D">
        <w:rPr>
          <w:rFonts w:ascii="David" w:hAnsi="David" w:cs="David"/>
          <w:sz w:val="24"/>
          <w:szCs w:val="24"/>
          <w:rtl/>
        </w:rPr>
        <w:t xml:space="preserve"> החוק, התקנות הנלוות לו,</w:t>
      </w:r>
      <w:r w:rsidRPr="003D564D">
        <w:rPr>
          <w:rStyle w:val="FootnoteReference"/>
          <w:rFonts w:ascii="David" w:hAnsi="David" w:cs="David"/>
          <w:sz w:val="24"/>
          <w:szCs w:val="24"/>
          <w:rtl/>
        </w:rPr>
        <w:footnoteReference w:id="27"/>
      </w:r>
      <w:r w:rsidRPr="003D564D">
        <w:rPr>
          <w:rFonts w:ascii="David" w:hAnsi="David" w:cs="David"/>
          <w:sz w:val="24"/>
          <w:szCs w:val="24"/>
          <w:rtl/>
        </w:rPr>
        <w:t xml:space="preserve"> והכללים שהוצאו על ידי הוועדה שתפקידה לאשר כל התקשרות לנשיאת עוברים מראש,</w:t>
      </w:r>
      <w:r w:rsidRPr="003D564D">
        <w:rPr>
          <w:rStyle w:val="FootnoteReference"/>
          <w:rFonts w:ascii="David" w:hAnsi="David" w:cs="David"/>
          <w:sz w:val="24"/>
          <w:szCs w:val="24"/>
          <w:rtl/>
        </w:rPr>
        <w:footnoteReference w:id="28"/>
      </w:r>
      <w:r w:rsidRPr="003D564D">
        <w:rPr>
          <w:rFonts w:ascii="David" w:hAnsi="David" w:cs="David"/>
          <w:sz w:val="24"/>
          <w:szCs w:val="24"/>
          <w:rtl/>
        </w:rPr>
        <w:t xml:space="preserve"> נועדו ליצור מסגרת הדוקה להתקשרות ולהבטיח פיקוח שיקנה הגנה מקסימלית לכל הגורמים הנוגעים בדבר, לרבות על אינטרסים חברתיים.</w:t>
      </w:r>
      <w:bookmarkStart w:id="30" w:name="_Ref54601316"/>
      <w:r w:rsidRPr="003D564D">
        <w:rPr>
          <w:rStyle w:val="FootnoteReference"/>
          <w:rFonts w:ascii="David" w:hAnsi="David" w:cs="David"/>
          <w:sz w:val="24"/>
          <w:szCs w:val="24"/>
          <w:rtl/>
        </w:rPr>
        <w:footnoteReference w:id="29"/>
      </w:r>
      <w:bookmarkEnd w:id="30"/>
      <w:r w:rsidRPr="003D564D">
        <w:rPr>
          <w:rFonts w:ascii="David" w:hAnsi="David" w:cs="David"/>
          <w:sz w:val="24"/>
          <w:szCs w:val="24"/>
          <w:rtl/>
        </w:rPr>
        <w:t xml:space="preserve"> בסיומו של תהליך ולאחר הולדת הילד, מוכרת ההורות ביחס אליו, על ידי צו הורות שיוצא על ידי בית המשפט בהליך שיפוטי מכוח החוק.</w:t>
      </w:r>
      <w:r w:rsidRPr="003D564D">
        <w:rPr>
          <w:rStyle w:val="FootnoteReference"/>
          <w:rFonts w:ascii="David" w:hAnsi="David" w:cs="David"/>
          <w:sz w:val="24"/>
          <w:szCs w:val="24"/>
          <w:rtl/>
        </w:rPr>
        <w:footnoteReference w:id="30"/>
      </w:r>
      <w:r w:rsidRPr="003D564D">
        <w:rPr>
          <w:rFonts w:ascii="David" w:hAnsi="David" w:cs="David"/>
          <w:sz w:val="24"/>
          <w:szCs w:val="24"/>
          <w:rtl/>
        </w:rPr>
        <w:t xml:space="preserve"> </w:t>
      </w:r>
    </w:p>
    <w:p w14:paraId="0642CDC3" w14:textId="6757EEEC"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דרך שגרה יוכרו בצו ההורות הוריו המיועדים של הילד</w:t>
      </w:r>
      <w:r w:rsidRPr="003D564D">
        <w:rPr>
          <w:rFonts w:ascii="David" w:hAnsi="David" w:cs="David" w:hint="cs"/>
          <w:sz w:val="24"/>
          <w:szCs w:val="24"/>
          <w:rtl/>
        </w:rPr>
        <w:t>, אותם הורים "בעלי הכוונה", שחלמו, יזמו ופעלו להולדתו</w:t>
      </w:r>
      <w:r>
        <w:rPr>
          <w:rFonts w:ascii="David" w:hAnsi="David" w:cs="David" w:hint="cs"/>
          <w:sz w:val="24"/>
          <w:szCs w:val="24"/>
          <w:rtl/>
        </w:rPr>
        <w:t xml:space="preserve">, ואילו </w:t>
      </w:r>
      <w:r w:rsidR="00FF42F2">
        <w:rPr>
          <w:rFonts w:ascii="David" w:hAnsi="David" w:cs="David" w:hint="cs"/>
          <w:sz w:val="24"/>
          <w:szCs w:val="24"/>
          <w:rtl/>
        </w:rPr>
        <w:t>הפונדקאית</w:t>
      </w:r>
      <w:r w:rsidRPr="003D564D">
        <w:rPr>
          <w:rFonts w:ascii="David" w:hAnsi="David" w:cs="David" w:hint="cs"/>
          <w:sz w:val="24"/>
          <w:szCs w:val="24"/>
          <w:rtl/>
        </w:rPr>
        <w:t xml:space="preserve">, שביקשה לסייע להם (מבלי </w:t>
      </w:r>
      <w:r>
        <w:rPr>
          <w:rFonts w:ascii="David" w:hAnsi="David" w:cs="David" w:hint="cs"/>
          <w:sz w:val="24"/>
          <w:szCs w:val="24"/>
          <w:rtl/>
        </w:rPr>
        <w:t xml:space="preserve">שהתכוונה </w:t>
      </w:r>
      <w:r w:rsidRPr="003D564D">
        <w:rPr>
          <w:rFonts w:ascii="David" w:hAnsi="David" w:cs="David" w:hint="cs"/>
          <w:sz w:val="24"/>
          <w:szCs w:val="24"/>
          <w:rtl/>
        </w:rPr>
        <w:t xml:space="preserve">להיות בעצמה אם) </w:t>
      </w:r>
      <w:r>
        <w:rPr>
          <w:rFonts w:ascii="David" w:hAnsi="David" w:cs="David" w:hint="cs"/>
          <w:sz w:val="24"/>
          <w:szCs w:val="24"/>
          <w:rtl/>
        </w:rPr>
        <w:t>לא תוכר משפטית כאם</w:t>
      </w:r>
      <w:r w:rsidRPr="003D564D">
        <w:rPr>
          <w:rFonts w:ascii="David" w:hAnsi="David" w:cs="David"/>
          <w:sz w:val="24"/>
          <w:szCs w:val="24"/>
          <w:rtl/>
        </w:rPr>
        <w:t xml:space="preserve">. בנסיבות יוצאות דופן </w:t>
      </w:r>
      <w:r>
        <w:rPr>
          <w:rFonts w:ascii="David" w:hAnsi="David" w:cs="David" w:hint="cs"/>
          <w:sz w:val="24"/>
          <w:szCs w:val="24"/>
          <w:rtl/>
        </w:rPr>
        <w:t xml:space="preserve">(לרוב </w:t>
      </w:r>
      <w:r w:rsidRPr="003D564D">
        <w:rPr>
          <w:rFonts w:ascii="David" w:hAnsi="David" w:cs="David"/>
          <w:sz w:val="24"/>
          <w:szCs w:val="24"/>
          <w:rtl/>
        </w:rPr>
        <w:t xml:space="preserve">כאשר חזרה בה </w:t>
      </w:r>
      <w:r w:rsidR="00FF42F2">
        <w:rPr>
          <w:rFonts w:ascii="David" w:hAnsi="David" w:cs="David" w:hint="cs"/>
          <w:sz w:val="24"/>
          <w:szCs w:val="24"/>
          <w:rtl/>
        </w:rPr>
        <w:t>הפונדקאית</w:t>
      </w:r>
      <w:r w:rsidRPr="003D564D">
        <w:rPr>
          <w:rFonts w:ascii="David" w:hAnsi="David" w:cs="David"/>
          <w:sz w:val="24"/>
          <w:szCs w:val="24"/>
          <w:rtl/>
        </w:rPr>
        <w:t xml:space="preserve"> מ</w:t>
      </w:r>
      <w:r>
        <w:rPr>
          <w:rFonts w:ascii="David" w:hAnsi="David" w:cs="David" w:hint="cs"/>
          <w:sz w:val="24"/>
          <w:szCs w:val="24"/>
          <w:rtl/>
        </w:rPr>
        <w:t xml:space="preserve">כוונתה שלא להיות לאם) מאפשר החוק עקרונית להכיר </w:t>
      </w:r>
      <w:r w:rsidR="00FF42F2">
        <w:rPr>
          <w:rFonts w:ascii="David" w:hAnsi="David" w:cs="David" w:hint="cs"/>
          <w:sz w:val="24"/>
          <w:szCs w:val="24"/>
          <w:rtl/>
        </w:rPr>
        <w:t>בפונדקאית</w:t>
      </w:r>
      <w:r>
        <w:rPr>
          <w:rFonts w:ascii="David" w:hAnsi="David" w:cs="David" w:hint="cs"/>
          <w:sz w:val="24"/>
          <w:szCs w:val="24"/>
          <w:rtl/>
        </w:rPr>
        <w:t xml:space="preserve"> כאם המשפטית של הילד</w:t>
      </w:r>
      <w:r w:rsidRPr="003D564D">
        <w:rPr>
          <w:rFonts w:ascii="David" w:hAnsi="David" w:cs="David"/>
          <w:sz w:val="24"/>
          <w:szCs w:val="24"/>
          <w:rtl/>
        </w:rPr>
        <w:t xml:space="preserve"> ב</w:t>
      </w:r>
      <w:r>
        <w:rPr>
          <w:rFonts w:ascii="David" w:hAnsi="David" w:cs="David" w:hint="cs"/>
          <w:sz w:val="24"/>
          <w:szCs w:val="24"/>
          <w:rtl/>
        </w:rPr>
        <w:t xml:space="preserve">אמצעות </w:t>
      </w:r>
      <w:r w:rsidRPr="003D564D">
        <w:rPr>
          <w:rFonts w:ascii="David" w:hAnsi="David" w:cs="David"/>
          <w:sz w:val="24"/>
          <w:szCs w:val="24"/>
          <w:rtl/>
        </w:rPr>
        <w:t xml:space="preserve">צו שיפוטי, </w:t>
      </w:r>
      <w:r>
        <w:rPr>
          <w:rFonts w:ascii="David" w:hAnsi="David" w:cs="David" w:hint="cs"/>
          <w:sz w:val="24"/>
          <w:szCs w:val="24"/>
          <w:rtl/>
        </w:rPr>
        <w:t>ו</w:t>
      </w:r>
      <w:r w:rsidRPr="003D564D">
        <w:rPr>
          <w:rFonts w:ascii="David" w:hAnsi="David" w:cs="David"/>
          <w:sz w:val="24"/>
          <w:szCs w:val="24"/>
          <w:rtl/>
        </w:rPr>
        <w:t>הכל בכפוף לטובתו של הילד.</w:t>
      </w:r>
      <w:r w:rsidRPr="003D564D">
        <w:rPr>
          <w:rStyle w:val="FootnoteReference"/>
          <w:rFonts w:ascii="David" w:hAnsi="David" w:cs="David"/>
          <w:sz w:val="24"/>
          <w:szCs w:val="24"/>
          <w:rtl/>
        </w:rPr>
        <w:footnoteReference w:id="31"/>
      </w:r>
      <w:r w:rsidRPr="003D564D">
        <w:rPr>
          <w:rFonts w:ascii="David" w:hAnsi="David" w:cs="David"/>
          <w:sz w:val="24"/>
          <w:szCs w:val="24"/>
          <w:rtl/>
        </w:rPr>
        <w:t xml:space="preserve"> מן הראוי לציין שעד למועד כתיבת מאמר זה, בחלוף </w:t>
      </w:r>
      <w:r w:rsidR="00FF42F2">
        <w:rPr>
          <w:rFonts w:ascii="David" w:hAnsi="David" w:cs="David" w:hint="cs"/>
          <w:sz w:val="24"/>
          <w:szCs w:val="24"/>
          <w:rtl/>
        </w:rPr>
        <w:t>כמעט שלושה עשורים</w:t>
      </w:r>
      <w:r w:rsidRPr="003D564D">
        <w:rPr>
          <w:rFonts w:ascii="David" w:hAnsi="David" w:cs="David"/>
          <w:sz w:val="24"/>
          <w:szCs w:val="24"/>
          <w:rtl/>
        </w:rPr>
        <w:t xml:space="preserve"> מעת שנחקק החוק</w:t>
      </w:r>
      <w:r w:rsidRPr="003D564D">
        <w:rPr>
          <w:rFonts w:ascii="David" w:hAnsi="David" w:cs="David" w:hint="cs"/>
          <w:sz w:val="24"/>
          <w:szCs w:val="24"/>
          <w:rtl/>
        </w:rPr>
        <w:t>, למיטב יד</w:t>
      </w:r>
      <w:r>
        <w:rPr>
          <w:rFonts w:ascii="David" w:hAnsi="David" w:cs="David" w:hint="cs"/>
          <w:sz w:val="24"/>
          <w:szCs w:val="24"/>
          <w:rtl/>
        </w:rPr>
        <w:t>י</w:t>
      </w:r>
      <w:r w:rsidRPr="003D564D">
        <w:rPr>
          <w:rFonts w:ascii="David" w:hAnsi="David" w:cs="David" w:hint="cs"/>
          <w:sz w:val="24"/>
          <w:szCs w:val="24"/>
          <w:rtl/>
        </w:rPr>
        <w:t>עתנו,</w:t>
      </w:r>
      <w:r w:rsidRPr="003D564D">
        <w:rPr>
          <w:rFonts w:ascii="David" w:hAnsi="David" w:cs="David"/>
          <w:sz w:val="24"/>
          <w:szCs w:val="24"/>
          <w:rtl/>
        </w:rPr>
        <w:t xml:space="preserve"> אין בישראל ולו מקרה אחד </w:t>
      </w:r>
      <w:r w:rsidRPr="003D564D">
        <w:rPr>
          <w:rFonts w:ascii="David" w:hAnsi="David" w:cs="David" w:hint="cs"/>
          <w:sz w:val="24"/>
          <w:szCs w:val="24"/>
          <w:rtl/>
        </w:rPr>
        <w:t>ש</w:t>
      </w:r>
      <w:r w:rsidRPr="003D564D">
        <w:rPr>
          <w:rFonts w:ascii="David" w:hAnsi="David" w:cs="David"/>
          <w:sz w:val="24"/>
          <w:szCs w:val="24"/>
          <w:rtl/>
        </w:rPr>
        <w:t xml:space="preserve">בו התעוררה </w:t>
      </w:r>
      <w:r w:rsidRPr="003D564D">
        <w:rPr>
          <w:rFonts w:ascii="David" w:hAnsi="David" w:cs="David"/>
          <w:sz w:val="24"/>
          <w:szCs w:val="24"/>
          <w:rtl/>
        </w:rPr>
        <w:lastRenderedPageBreak/>
        <w:t xml:space="preserve">מחלוקת לגבי זהות ההורים המשפטיים של תינוק שנולד בסיוע </w:t>
      </w:r>
      <w:r>
        <w:rPr>
          <w:rFonts w:ascii="David" w:hAnsi="David" w:cs="David" w:hint="cs"/>
          <w:sz w:val="24"/>
          <w:szCs w:val="24"/>
          <w:rtl/>
        </w:rPr>
        <w:t xml:space="preserve">הליך </w:t>
      </w:r>
      <w:r w:rsidR="00FF42F2">
        <w:rPr>
          <w:rFonts w:ascii="David" w:hAnsi="David" w:cs="David" w:hint="cs"/>
          <w:sz w:val="24"/>
          <w:szCs w:val="24"/>
          <w:rtl/>
        </w:rPr>
        <w:t>פונדקאות</w:t>
      </w:r>
      <w:r w:rsidRPr="003D564D">
        <w:rPr>
          <w:rFonts w:ascii="David" w:hAnsi="David" w:cs="David"/>
          <w:sz w:val="24"/>
          <w:szCs w:val="24"/>
          <w:rtl/>
        </w:rPr>
        <w:t xml:space="preserve">, ומכאן גם לא מקרה </w:t>
      </w:r>
      <w:r w:rsidRPr="003D564D">
        <w:rPr>
          <w:rFonts w:ascii="David" w:hAnsi="David" w:cs="David" w:hint="cs"/>
          <w:sz w:val="24"/>
          <w:szCs w:val="24"/>
          <w:rtl/>
        </w:rPr>
        <w:t>ש</w:t>
      </w:r>
      <w:r w:rsidRPr="003D564D">
        <w:rPr>
          <w:rFonts w:ascii="David" w:hAnsi="David" w:cs="David"/>
          <w:sz w:val="24"/>
          <w:szCs w:val="24"/>
          <w:rtl/>
        </w:rPr>
        <w:t xml:space="preserve">בו </w:t>
      </w:r>
      <w:r w:rsidR="00FF42F2">
        <w:rPr>
          <w:rFonts w:ascii="David" w:hAnsi="David" w:cs="David" w:hint="cs"/>
          <w:sz w:val="24"/>
          <w:szCs w:val="24"/>
          <w:rtl/>
        </w:rPr>
        <w:t>הפונדקאית</w:t>
      </w:r>
      <w:r w:rsidRPr="003D564D">
        <w:rPr>
          <w:rFonts w:ascii="David" w:hAnsi="David" w:cs="David"/>
          <w:sz w:val="24"/>
          <w:szCs w:val="24"/>
          <w:rtl/>
        </w:rPr>
        <w:t xml:space="preserve"> הוכרה כאם המשפטית.</w:t>
      </w:r>
    </w:p>
    <w:p w14:paraId="4BDC54FB" w14:textId="77777777" w:rsidR="00E0078C"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החוק </w:t>
      </w:r>
      <w:r>
        <w:rPr>
          <w:rFonts w:ascii="David" w:hAnsi="David" w:cs="David" w:hint="cs"/>
          <w:sz w:val="24"/>
          <w:szCs w:val="24"/>
          <w:rtl/>
        </w:rPr>
        <w:t>אוסר על</w:t>
      </w:r>
      <w:r w:rsidRPr="003D564D">
        <w:rPr>
          <w:rFonts w:ascii="David" w:hAnsi="David" w:cs="David"/>
          <w:sz w:val="24"/>
          <w:szCs w:val="24"/>
          <w:rtl/>
        </w:rPr>
        <w:t xml:space="preserve"> שימוש בביצית </w:t>
      </w:r>
      <w:r>
        <w:rPr>
          <w:rFonts w:ascii="David" w:hAnsi="David" w:cs="David" w:hint="cs"/>
          <w:sz w:val="24"/>
          <w:szCs w:val="24"/>
          <w:rtl/>
        </w:rPr>
        <w:t>האישה</w:t>
      </w:r>
      <w:r w:rsidRPr="003D564D">
        <w:rPr>
          <w:rFonts w:ascii="David" w:hAnsi="David" w:cs="David"/>
          <w:sz w:val="24"/>
          <w:szCs w:val="24"/>
          <w:rtl/>
        </w:rPr>
        <w:t xml:space="preserve"> הנושאת את ההיריון.</w:t>
      </w:r>
      <w:r w:rsidRPr="003D564D">
        <w:rPr>
          <w:rStyle w:val="FootnoteReference"/>
          <w:rFonts w:ascii="David" w:hAnsi="David" w:cs="David"/>
          <w:sz w:val="24"/>
          <w:szCs w:val="24"/>
          <w:rtl/>
        </w:rPr>
        <w:footnoteReference w:id="32"/>
      </w:r>
      <w:r w:rsidRPr="003D564D">
        <w:rPr>
          <w:rFonts w:ascii="David" w:hAnsi="David" w:cs="David"/>
          <w:sz w:val="24"/>
          <w:szCs w:val="24"/>
          <w:rtl/>
        </w:rPr>
        <w:t xml:space="preserve"> </w:t>
      </w:r>
      <w:r>
        <w:rPr>
          <w:rFonts w:ascii="David" w:hAnsi="David" w:cs="David" w:hint="cs"/>
          <w:sz w:val="24"/>
          <w:szCs w:val="24"/>
          <w:rtl/>
        </w:rPr>
        <w:t>במקביל</w:t>
      </w:r>
      <w:r w:rsidRPr="003D564D">
        <w:rPr>
          <w:rFonts w:ascii="David" w:hAnsi="David" w:cs="David"/>
          <w:sz w:val="24"/>
          <w:szCs w:val="24"/>
          <w:rtl/>
        </w:rPr>
        <w:t xml:space="preserve"> לדרישה זאת, </w:t>
      </w:r>
      <w:r>
        <w:rPr>
          <w:rFonts w:ascii="David" w:hAnsi="David" w:cs="David" w:hint="cs"/>
          <w:sz w:val="24"/>
          <w:szCs w:val="24"/>
          <w:rtl/>
        </w:rPr>
        <w:t>החוק דורש קשר גנטי בין היילוד לבין הורה מיועד אחד לפחות. ככל שמדובר בבני זוג, גבר ואשה, דורש החוק כי</w:t>
      </w:r>
      <w:r w:rsidRPr="003D564D">
        <w:rPr>
          <w:rFonts w:ascii="David" w:hAnsi="David" w:cs="David"/>
          <w:sz w:val="24"/>
          <w:szCs w:val="24"/>
          <w:rtl/>
        </w:rPr>
        <w:t xml:space="preserve"> זרע האב המיועד ישמש להפריה</w:t>
      </w:r>
      <w:r>
        <w:rPr>
          <w:rFonts w:ascii="David" w:hAnsi="David" w:cs="David" w:hint="cs"/>
          <w:sz w:val="24"/>
          <w:szCs w:val="24"/>
          <w:rtl/>
        </w:rPr>
        <w:t>,</w:t>
      </w:r>
      <w:r w:rsidRPr="003D564D">
        <w:rPr>
          <w:rStyle w:val="FootnoteReference"/>
          <w:rFonts w:ascii="David" w:hAnsi="David" w:cs="David"/>
          <w:sz w:val="24"/>
          <w:szCs w:val="24"/>
          <w:rtl/>
        </w:rPr>
        <w:footnoteReference w:id="33"/>
      </w:r>
      <w:r w:rsidRPr="003D564D">
        <w:rPr>
          <w:rFonts w:ascii="David" w:hAnsi="David" w:cs="David"/>
          <w:sz w:val="24"/>
          <w:szCs w:val="24"/>
          <w:rtl/>
        </w:rPr>
        <w:t xml:space="preserve"> וכאשר האם המיועדת היא יחידנית, מחייב</w:t>
      </w:r>
      <w:r>
        <w:rPr>
          <w:rFonts w:ascii="David" w:hAnsi="David" w:cs="David" w:hint="cs"/>
          <w:sz w:val="24"/>
          <w:szCs w:val="24"/>
          <w:rtl/>
        </w:rPr>
        <w:t xml:space="preserve"> החוק</w:t>
      </w:r>
      <w:r w:rsidRPr="003D564D">
        <w:rPr>
          <w:rFonts w:ascii="David" w:hAnsi="David" w:cs="David"/>
          <w:sz w:val="24"/>
          <w:szCs w:val="24"/>
          <w:rtl/>
        </w:rPr>
        <w:t xml:space="preserve"> שימוש בביציותיה היא.</w:t>
      </w:r>
      <w:r w:rsidRPr="003D564D">
        <w:rPr>
          <w:rStyle w:val="FootnoteReference"/>
          <w:rFonts w:ascii="David" w:hAnsi="David" w:cs="David"/>
          <w:sz w:val="24"/>
          <w:szCs w:val="24"/>
          <w:rtl/>
        </w:rPr>
        <w:footnoteReference w:id="34"/>
      </w:r>
      <w:r w:rsidRPr="003D564D">
        <w:rPr>
          <w:rFonts w:ascii="David" w:hAnsi="David" w:cs="David"/>
          <w:sz w:val="24"/>
          <w:szCs w:val="24"/>
          <w:rtl/>
        </w:rPr>
        <w:t xml:space="preserve"> </w:t>
      </w:r>
      <w:r>
        <w:rPr>
          <w:rFonts w:ascii="David" w:hAnsi="David" w:cs="David" w:hint="cs"/>
          <w:sz w:val="24"/>
          <w:szCs w:val="24"/>
          <w:rtl/>
        </w:rPr>
        <w:t>כך</w:t>
      </w:r>
      <w:r w:rsidRPr="003D564D">
        <w:rPr>
          <w:rFonts w:ascii="David" w:hAnsi="David" w:cs="David"/>
          <w:sz w:val="24"/>
          <w:szCs w:val="24"/>
          <w:rtl/>
        </w:rPr>
        <w:t xml:space="preserve"> </w:t>
      </w:r>
      <w:r>
        <w:rPr>
          <w:rFonts w:ascii="David" w:hAnsi="David" w:cs="David" w:hint="cs"/>
          <w:sz w:val="24"/>
          <w:szCs w:val="24"/>
          <w:rtl/>
        </w:rPr>
        <w:t>המחוקק הישראלי מבטיח</w:t>
      </w:r>
      <w:r w:rsidRPr="003D564D">
        <w:rPr>
          <w:rFonts w:ascii="David" w:hAnsi="David" w:cs="David"/>
          <w:sz w:val="24"/>
          <w:szCs w:val="24"/>
          <w:rtl/>
        </w:rPr>
        <w:t xml:space="preserve"> זיקה גנטית לפחות לאחד ההורים המיועדים וזיקתה של </w:t>
      </w:r>
      <w:r>
        <w:rPr>
          <w:rFonts w:ascii="David" w:hAnsi="David" w:cs="David" w:hint="cs"/>
          <w:sz w:val="24"/>
          <w:szCs w:val="24"/>
          <w:rtl/>
        </w:rPr>
        <w:t>האישה</w:t>
      </w:r>
      <w:r w:rsidRPr="003D564D">
        <w:rPr>
          <w:rFonts w:ascii="David" w:hAnsi="David" w:cs="David"/>
          <w:sz w:val="24"/>
          <w:szCs w:val="24"/>
          <w:rtl/>
        </w:rPr>
        <w:t xml:space="preserve"> הנושאת מצטמצמת לפן הפיזיולוגי.</w:t>
      </w:r>
      <w:r w:rsidRPr="003D564D">
        <w:rPr>
          <w:rStyle w:val="FootnoteReference"/>
          <w:rFonts w:ascii="David" w:hAnsi="David" w:cs="David"/>
          <w:sz w:val="24"/>
          <w:szCs w:val="24"/>
          <w:rtl/>
        </w:rPr>
        <w:footnoteReference w:id="35"/>
      </w:r>
      <w:r w:rsidRPr="003D564D">
        <w:rPr>
          <w:rFonts w:ascii="David" w:hAnsi="David" w:cs="David"/>
          <w:sz w:val="24"/>
          <w:szCs w:val="24"/>
          <w:rtl/>
        </w:rPr>
        <w:t xml:space="preserve"> </w:t>
      </w:r>
      <w:r>
        <w:rPr>
          <w:rFonts w:ascii="David" w:hAnsi="David" w:cs="David" w:hint="cs"/>
          <w:sz w:val="24"/>
          <w:szCs w:val="24"/>
          <w:rtl/>
        </w:rPr>
        <w:t xml:space="preserve">בכך יש ביטוי לזיקה הביולוגית בהגדרת ההורות. </w:t>
      </w:r>
    </w:p>
    <w:p w14:paraId="5EB5024A" w14:textId="77777777" w:rsidR="00E0078C" w:rsidRDefault="00E0078C" w:rsidP="00E0078C">
      <w:pPr>
        <w:ind w:firstLine="340"/>
        <w:jc w:val="both"/>
        <w:rPr>
          <w:rFonts w:ascii="David" w:hAnsi="David" w:cs="David"/>
          <w:sz w:val="24"/>
          <w:szCs w:val="24"/>
          <w:rtl/>
        </w:rPr>
      </w:pPr>
      <w:r>
        <w:rPr>
          <w:rFonts w:ascii="David" w:hAnsi="David" w:cs="David" w:hint="cs"/>
          <w:sz w:val="24"/>
          <w:szCs w:val="24"/>
          <w:rtl/>
        </w:rPr>
        <w:t xml:space="preserve">ואולם, כשם שהחוק לא מתיישב באופן מלא עם מבחן הכוונה, הוא אינו </w:t>
      </w:r>
      <w:r w:rsidRPr="003D564D">
        <w:rPr>
          <w:rFonts w:ascii="David" w:hAnsi="David" w:cs="David"/>
          <w:sz w:val="24"/>
          <w:szCs w:val="24"/>
          <w:rtl/>
        </w:rPr>
        <w:t xml:space="preserve">מתיישב באופן מלא </w:t>
      </w:r>
      <w:r>
        <w:rPr>
          <w:rFonts w:ascii="David" w:hAnsi="David" w:cs="David" w:hint="cs"/>
          <w:sz w:val="24"/>
          <w:szCs w:val="24"/>
          <w:rtl/>
        </w:rPr>
        <w:t xml:space="preserve">גם </w:t>
      </w:r>
      <w:r w:rsidRPr="003D564D">
        <w:rPr>
          <w:rFonts w:ascii="David" w:hAnsi="David" w:cs="David"/>
          <w:sz w:val="24"/>
          <w:szCs w:val="24"/>
          <w:rtl/>
        </w:rPr>
        <w:t>עם עקרון הזיקה הגנטית</w:t>
      </w:r>
      <w:r>
        <w:rPr>
          <w:rFonts w:ascii="David" w:hAnsi="David" w:cs="David" w:hint="cs"/>
          <w:sz w:val="24"/>
          <w:szCs w:val="24"/>
          <w:rtl/>
        </w:rPr>
        <w:t>.</w:t>
      </w:r>
      <w:r w:rsidRPr="003D564D">
        <w:rPr>
          <w:rFonts w:ascii="David" w:hAnsi="David" w:cs="David"/>
          <w:sz w:val="24"/>
          <w:szCs w:val="24"/>
          <w:rtl/>
        </w:rPr>
        <w:t xml:space="preserve"> </w:t>
      </w:r>
      <w:r>
        <w:rPr>
          <w:rFonts w:ascii="David" w:hAnsi="David" w:cs="David" w:hint="cs"/>
          <w:sz w:val="24"/>
          <w:szCs w:val="24"/>
          <w:rtl/>
        </w:rPr>
        <w:t>דרישת החוק לפיה</w:t>
      </w:r>
      <w:r>
        <w:rPr>
          <w:rFonts w:ascii="David" w:hAnsi="David" w:cs="David"/>
          <w:sz w:val="24"/>
          <w:szCs w:val="24"/>
          <w:rtl/>
        </w:rPr>
        <w:t xml:space="preserve"> </w:t>
      </w:r>
      <w:r>
        <w:rPr>
          <w:rFonts w:ascii="David" w:hAnsi="David" w:cs="David" w:hint="cs"/>
          <w:sz w:val="24"/>
          <w:szCs w:val="24"/>
          <w:rtl/>
        </w:rPr>
        <w:t xml:space="preserve">גם כאשר </w:t>
      </w:r>
      <w:r w:rsidRPr="003D564D">
        <w:rPr>
          <w:rFonts w:ascii="David" w:hAnsi="David" w:cs="David"/>
          <w:sz w:val="24"/>
          <w:szCs w:val="24"/>
          <w:rtl/>
        </w:rPr>
        <w:t>ההורים המיועדים קשורים גנטית לילד</w:t>
      </w:r>
      <w:r>
        <w:rPr>
          <w:rFonts w:ascii="David" w:hAnsi="David" w:cs="David" w:hint="cs"/>
          <w:sz w:val="24"/>
          <w:szCs w:val="24"/>
          <w:rtl/>
        </w:rPr>
        <w:t>, יתקיים הליך משפטי של הוצאת צו הורות על מנת להקנות להם מעמד משפטי של הורים, משקפת זאת</w:t>
      </w:r>
      <w:r w:rsidRPr="003D564D">
        <w:rPr>
          <w:rFonts w:ascii="David" w:hAnsi="David" w:cs="David"/>
          <w:sz w:val="24"/>
          <w:szCs w:val="24"/>
          <w:rtl/>
        </w:rPr>
        <w:t>.</w:t>
      </w:r>
      <w:r w:rsidRPr="003D564D">
        <w:rPr>
          <w:rStyle w:val="FootnoteReference"/>
          <w:rFonts w:ascii="David" w:hAnsi="David" w:cs="David"/>
          <w:sz w:val="24"/>
          <w:szCs w:val="24"/>
          <w:rtl/>
        </w:rPr>
        <w:footnoteReference w:id="36"/>
      </w:r>
      <w:r>
        <w:rPr>
          <w:rFonts w:ascii="David" w:hAnsi="David" w:cs="David" w:hint="cs"/>
          <w:sz w:val="24"/>
          <w:szCs w:val="24"/>
          <w:rtl/>
        </w:rPr>
        <w:t xml:space="preserve"> </w:t>
      </w:r>
      <w:r w:rsidRPr="00D67F99">
        <w:rPr>
          <w:rFonts w:ascii="David" w:hAnsi="David" w:cs="David"/>
          <w:sz w:val="24"/>
          <w:szCs w:val="24"/>
          <w:highlight w:val="yellow"/>
          <w:rtl/>
        </w:rPr>
        <w:t xml:space="preserve">יחד עם זאת, לטענתנו, ההליך השיפוטי למיסוד ההורות מכוח חוק הסכמים לנשיאת עוברים נובע משיקולים שהם חיצוניים לדיני הגדרת ההורות בישראל. הולדה בסיועה של אם נושאת היא אפשרות הולדה שנויה במחלוקת. שיטות משפט שונות התמודדו בדרכים מגוונות עם המורכבות האתית והמוסרית הכרוכה בהולדה בסיוע </w:t>
      </w:r>
      <w:r w:rsidRPr="00D67F99">
        <w:rPr>
          <w:rFonts w:ascii="David" w:hAnsi="David" w:cs="David" w:hint="cs"/>
          <w:sz w:val="24"/>
          <w:szCs w:val="24"/>
          <w:highlight w:val="yellow"/>
          <w:rtl/>
        </w:rPr>
        <w:t>הסכם ל</w:t>
      </w:r>
      <w:r w:rsidRPr="00D67F99">
        <w:rPr>
          <w:rFonts w:ascii="David" w:hAnsi="David" w:cs="David"/>
          <w:sz w:val="24"/>
          <w:szCs w:val="24"/>
          <w:highlight w:val="yellow"/>
          <w:rtl/>
        </w:rPr>
        <w:t>נשיאת עוברים. הדין הישראלי, שהיה בין הראשונים להסדיר הולדה בדרך זו בחקיקה ראשית, התמודד עם מורכבויות אלו על ידי קביעת הליך בקרה כפול, אישור ההסכם על ידי ועדה</w:t>
      </w:r>
      <w:r w:rsidRPr="00D67F99">
        <w:rPr>
          <w:rFonts w:ascii="David" w:hAnsi="David" w:cs="David" w:hint="cs"/>
          <w:sz w:val="24"/>
          <w:szCs w:val="24"/>
          <w:highlight w:val="yellow"/>
          <w:rtl/>
        </w:rPr>
        <w:t xml:space="preserve"> </w:t>
      </w:r>
      <w:r w:rsidRPr="00D67F99">
        <w:rPr>
          <w:rFonts w:ascii="David" w:hAnsi="David" w:cs="David"/>
          <w:sz w:val="24"/>
          <w:szCs w:val="24"/>
          <w:highlight w:val="yellow"/>
          <w:rtl/>
        </w:rPr>
        <w:t xml:space="preserve">בתחילת ההליך, </w:t>
      </w:r>
      <w:r w:rsidRPr="00D67F99">
        <w:rPr>
          <w:rFonts w:ascii="David" w:hAnsi="David" w:cs="David" w:hint="cs"/>
          <w:sz w:val="24"/>
          <w:szCs w:val="24"/>
          <w:highlight w:val="yellow"/>
          <w:rtl/>
        </w:rPr>
        <w:t>ולבסוף</w:t>
      </w:r>
      <w:r w:rsidRPr="00D67F99">
        <w:rPr>
          <w:rFonts w:ascii="David" w:hAnsi="David" w:cs="David"/>
          <w:sz w:val="24"/>
          <w:szCs w:val="24"/>
          <w:highlight w:val="yellow"/>
          <w:rtl/>
        </w:rPr>
        <w:t xml:space="preserve"> הליך שיפוטי </w:t>
      </w:r>
      <w:r w:rsidRPr="00D67F99">
        <w:rPr>
          <w:rFonts w:ascii="David" w:hAnsi="David" w:cs="David" w:hint="cs"/>
          <w:sz w:val="24"/>
          <w:szCs w:val="24"/>
          <w:highlight w:val="yellow"/>
          <w:rtl/>
        </w:rPr>
        <w:t>למ</w:t>
      </w:r>
      <w:r w:rsidRPr="00D67F99">
        <w:rPr>
          <w:rFonts w:ascii="David" w:hAnsi="David" w:cs="David"/>
          <w:sz w:val="24"/>
          <w:szCs w:val="24"/>
          <w:highlight w:val="yellow"/>
          <w:rtl/>
        </w:rPr>
        <w:t>תן תוקף למעמד המשפטי של ההורים המיועדים.</w:t>
      </w:r>
      <w:r w:rsidRPr="00D67F99">
        <w:rPr>
          <w:rStyle w:val="FootnoteReference"/>
          <w:rFonts w:ascii="David" w:hAnsi="David" w:cs="David"/>
          <w:sz w:val="24"/>
          <w:szCs w:val="24"/>
          <w:highlight w:val="yellow"/>
          <w:rtl/>
        </w:rPr>
        <w:footnoteReference w:id="37"/>
      </w:r>
      <w:r w:rsidRPr="00D67F99">
        <w:rPr>
          <w:rFonts w:ascii="David" w:hAnsi="David" w:cs="David"/>
          <w:sz w:val="24"/>
          <w:szCs w:val="24"/>
          <w:highlight w:val="yellow"/>
          <w:rtl/>
        </w:rPr>
        <w:t xml:space="preserve"> דאגה לאינטרסים והזכויות של </w:t>
      </w:r>
      <w:r w:rsidRPr="00D67F99">
        <w:rPr>
          <w:rFonts w:ascii="David" w:hAnsi="David" w:cs="David" w:hint="cs"/>
          <w:sz w:val="24"/>
          <w:szCs w:val="24"/>
          <w:highlight w:val="yellow"/>
          <w:rtl/>
        </w:rPr>
        <w:t>האישה</w:t>
      </w:r>
      <w:r w:rsidRPr="00D67F99">
        <w:rPr>
          <w:rFonts w:ascii="David" w:hAnsi="David" w:cs="David"/>
          <w:sz w:val="24"/>
          <w:szCs w:val="24"/>
          <w:highlight w:val="yellow"/>
          <w:rtl/>
        </w:rPr>
        <w:t xml:space="preserve"> הנושאת</w:t>
      </w:r>
      <w:r w:rsidRPr="00D67F99">
        <w:rPr>
          <w:rFonts w:ascii="David" w:hAnsi="David" w:cs="David" w:hint="cs"/>
          <w:sz w:val="24"/>
          <w:szCs w:val="24"/>
          <w:highlight w:val="yellow"/>
          <w:rtl/>
        </w:rPr>
        <w:t>, שהוא יעד בעל חשיבות עליונה בעיננו,</w:t>
      </w:r>
      <w:r w:rsidRPr="00D67F99">
        <w:rPr>
          <w:rFonts w:ascii="David" w:hAnsi="David" w:cs="David"/>
          <w:sz w:val="24"/>
          <w:szCs w:val="24"/>
          <w:highlight w:val="yellow"/>
          <w:rtl/>
        </w:rPr>
        <w:t xml:space="preserve"> יכולה להיעשות מראש, </w:t>
      </w:r>
      <w:r w:rsidRPr="00D67F99">
        <w:rPr>
          <w:rFonts w:ascii="David" w:hAnsi="David" w:cs="David" w:hint="cs"/>
          <w:sz w:val="24"/>
          <w:szCs w:val="24"/>
          <w:highlight w:val="yellow"/>
          <w:rtl/>
        </w:rPr>
        <w:t xml:space="preserve">בתחילת התהליך, </w:t>
      </w:r>
      <w:r w:rsidRPr="00D67F99">
        <w:rPr>
          <w:rFonts w:ascii="David" w:hAnsi="David" w:cs="David"/>
          <w:sz w:val="24"/>
          <w:szCs w:val="24"/>
          <w:highlight w:val="yellow"/>
          <w:rtl/>
        </w:rPr>
        <w:t>תוך כדי ההיריון, וייתכן שאף לאחר הלידה, תוך שהדין מאפשר מיסוד המעמד ההורי של ההורה או ההורים המיועדים בהליך פורמלי שאינו הליך שיפוטי</w:t>
      </w:r>
      <w:r w:rsidRPr="00D67F99">
        <w:rPr>
          <w:rFonts w:ascii="David" w:hAnsi="David" w:cs="David" w:hint="cs"/>
          <w:sz w:val="24"/>
          <w:szCs w:val="24"/>
          <w:highlight w:val="yellow"/>
          <w:rtl/>
        </w:rPr>
        <w:t xml:space="preserve"> דווקא</w:t>
      </w:r>
      <w:r w:rsidRPr="00D67F99">
        <w:rPr>
          <w:rFonts w:ascii="David" w:hAnsi="David" w:cs="David"/>
          <w:sz w:val="24"/>
          <w:szCs w:val="24"/>
          <w:highlight w:val="yellow"/>
          <w:rtl/>
        </w:rPr>
        <w:t>.</w:t>
      </w:r>
      <w:bookmarkStart w:id="31" w:name="_Ref80949650"/>
      <w:r w:rsidRPr="00D67F99">
        <w:rPr>
          <w:rStyle w:val="FootnoteReference"/>
          <w:rFonts w:ascii="David" w:hAnsi="David" w:cs="David"/>
          <w:sz w:val="24"/>
          <w:szCs w:val="24"/>
          <w:highlight w:val="yellow"/>
          <w:rtl/>
        </w:rPr>
        <w:footnoteReference w:id="38"/>
      </w:r>
      <w:bookmarkEnd w:id="31"/>
    </w:p>
    <w:p w14:paraId="6125BA4E" w14:textId="77777777" w:rsidR="00E0078C" w:rsidRDefault="00E0078C" w:rsidP="00E0078C">
      <w:pPr>
        <w:ind w:firstLine="340"/>
        <w:jc w:val="both"/>
        <w:rPr>
          <w:rFonts w:ascii="David" w:hAnsi="David" w:cs="David"/>
          <w:sz w:val="24"/>
          <w:szCs w:val="24"/>
          <w:rtl/>
        </w:rPr>
      </w:pPr>
      <w:r>
        <w:rPr>
          <w:rFonts w:ascii="David" w:hAnsi="David" w:cs="David" w:hint="cs"/>
          <w:sz w:val="24"/>
          <w:szCs w:val="24"/>
          <w:rtl/>
        </w:rPr>
        <w:t xml:space="preserve">כך או כך, כאשר ניתן צו הורות </w:t>
      </w:r>
      <w:r w:rsidRPr="003D564D">
        <w:rPr>
          <w:rFonts w:ascii="David" w:hAnsi="David" w:cs="David"/>
          <w:sz w:val="24"/>
          <w:szCs w:val="24"/>
          <w:rtl/>
        </w:rPr>
        <w:t xml:space="preserve">לאב המיועד אשר </w:t>
      </w:r>
      <w:r w:rsidRPr="004D0DDE">
        <w:rPr>
          <w:rFonts w:ascii="David" w:hAnsi="David" w:cs="David"/>
          <w:sz w:val="24"/>
          <w:szCs w:val="24"/>
          <w:rtl/>
        </w:rPr>
        <w:t>קשור גנטית לעובר ניתן ב</w:t>
      </w:r>
      <w:r w:rsidRPr="004D0DDE">
        <w:rPr>
          <w:rFonts w:ascii="David" w:hAnsi="David" w:cs="David" w:hint="cs"/>
          <w:sz w:val="24"/>
          <w:szCs w:val="24"/>
          <w:rtl/>
        </w:rPr>
        <w:t>ה</w:t>
      </w:r>
      <w:r w:rsidRPr="004D0DDE">
        <w:rPr>
          <w:rFonts w:ascii="David" w:hAnsi="David" w:cs="David"/>
          <w:sz w:val="24"/>
          <w:szCs w:val="24"/>
          <w:rtl/>
        </w:rPr>
        <w:t xml:space="preserve"> בעת ובמסגרת אותו הליך גם צו הורות המכיר באימהותה של בת זוגו, אף אם אין לה זיקה גנטית לילד.</w:t>
      </w:r>
      <w:r w:rsidRPr="004D0DDE">
        <w:rPr>
          <w:rFonts w:ascii="David" w:hAnsi="David" w:cs="David" w:hint="cs"/>
          <w:sz w:val="24"/>
          <w:szCs w:val="24"/>
          <w:rtl/>
        </w:rPr>
        <w:t xml:space="preserve"> אין הבחנה בין בעל הזיקה הגנטית לילד לבין מי שנעדר זיקה כאמור לעניין הליך ההכרה במעמדם כהורים. החוק אינו דורש </w:t>
      </w:r>
      <w:r w:rsidRPr="004D0DDE">
        <w:rPr>
          <w:rFonts w:ascii="David" w:hAnsi="David" w:cs="David"/>
          <w:sz w:val="24"/>
          <w:szCs w:val="24"/>
          <w:rtl/>
        </w:rPr>
        <w:t>הליך נפרד למיסוד אימהות</w:t>
      </w:r>
      <w:r w:rsidRPr="004D0DDE">
        <w:rPr>
          <w:rFonts w:ascii="David" w:hAnsi="David" w:cs="David" w:hint="cs"/>
          <w:sz w:val="24"/>
          <w:szCs w:val="24"/>
          <w:rtl/>
        </w:rPr>
        <w:t xml:space="preserve"> </w:t>
      </w:r>
      <w:r w:rsidRPr="004D0DDE">
        <w:rPr>
          <w:rFonts w:ascii="David" w:hAnsi="David" w:cs="David"/>
          <w:sz w:val="24"/>
          <w:szCs w:val="24"/>
          <w:rtl/>
        </w:rPr>
        <w:t>ה</w:t>
      </w:r>
      <w:r w:rsidRPr="004D0DDE">
        <w:rPr>
          <w:rFonts w:ascii="David" w:hAnsi="David" w:cs="David" w:hint="cs"/>
          <w:sz w:val="24"/>
          <w:szCs w:val="24"/>
          <w:rtl/>
        </w:rPr>
        <w:t>אם המיועדת</w:t>
      </w:r>
      <w:r w:rsidRPr="003D564D">
        <w:rPr>
          <w:rFonts w:ascii="David" w:hAnsi="David" w:cs="David"/>
          <w:sz w:val="24"/>
          <w:szCs w:val="24"/>
          <w:rtl/>
        </w:rPr>
        <w:t>, ומעמדה כהורה כרוך ושלוב במיסוד המעמד ההורי של האב</w:t>
      </w:r>
      <w:r w:rsidRPr="003D564D">
        <w:rPr>
          <w:rFonts w:ascii="David" w:hAnsi="David" w:cs="David" w:hint="cs"/>
          <w:sz w:val="24"/>
          <w:szCs w:val="24"/>
          <w:rtl/>
        </w:rPr>
        <w:t xml:space="preserve"> המיועד</w:t>
      </w:r>
      <w:r>
        <w:rPr>
          <w:rFonts w:ascii="David" w:hAnsi="David" w:cs="David" w:hint="cs"/>
          <w:sz w:val="24"/>
          <w:szCs w:val="24"/>
          <w:rtl/>
        </w:rPr>
        <w:t>,</w:t>
      </w:r>
      <w:r w:rsidRPr="003D564D">
        <w:rPr>
          <w:rFonts w:ascii="David" w:hAnsi="David" w:cs="David" w:hint="cs"/>
          <w:sz w:val="24"/>
          <w:szCs w:val="24"/>
          <w:rtl/>
        </w:rPr>
        <w:t xml:space="preserve"> הוא האב</w:t>
      </w:r>
      <w:r w:rsidRPr="003D564D">
        <w:rPr>
          <w:rFonts w:ascii="David" w:hAnsi="David" w:cs="David"/>
          <w:sz w:val="24"/>
          <w:szCs w:val="24"/>
          <w:rtl/>
        </w:rPr>
        <w:t xml:space="preserve"> הגנטי. </w:t>
      </w:r>
      <w:r>
        <w:rPr>
          <w:rFonts w:ascii="David" w:hAnsi="David" w:cs="David" w:hint="cs"/>
          <w:sz w:val="24"/>
          <w:szCs w:val="24"/>
          <w:rtl/>
        </w:rPr>
        <w:t xml:space="preserve">להבנתנו, עמדה זו של החוק מהווה ביטוי נוסף להחלשת הזיקה הגנטית בהגדרת ההורות ולעלייתן של זיקות הכוונה, ואף יותר מכך של זיקת </w:t>
      </w:r>
      <w:r>
        <w:rPr>
          <w:rFonts w:ascii="David" w:hAnsi="David" w:cs="David" w:hint="cs"/>
          <w:sz w:val="24"/>
          <w:szCs w:val="24"/>
          <w:rtl/>
        </w:rPr>
        <w:lastRenderedPageBreak/>
        <w:t xml:space="preserve">הזוגיות בדיני ההורות הישראליים. ביטוי נוסף לכך אנו מוצאים בכלי המשפטי של צווי הורות פסיקתיים הניתנים על בסיס "זיקה לזיקה".  </w:t>
      </w:r>
    </w:p>
    <w:p w14:paraId="7F6931FA" w14:textId="77777777" w:rsidR="00E0078C" w:rsidRPr="003D564D" w:rsidRDefault="00E0078C" w:rsidP="00E0078C">
      <w:pPr>
        <w:jc w:val="both"/>
        <w:rPr>
          <w:rFonts w:ascii="David" w:hAnsi="David" w:cs="David"/>
          <w:sz w:val="24"/>
          <w:szCs w:val="24"/>
          <w:rtl/>
        </w:rPr>
      </w:pPr>
    </w:p>
    <w:p w14:paraId="01AF3664" w14:textId="77777777" w:rsidR="00E0078C" w:rsidRPr="003D564D" w:rsidRDefault="00E0078C" w:rsidP="00E0078C">
      <w:pPr>
        <w:pStyle w:val="Heading2"/>
        <w:numPr>
          <w:ilvl w:val="0"/>
          <w:numId w:val="3"/>
        </w:numPr>
        <w:tabs>
          <w:tab w:val="num" w:pos="360"/>
        </w:tabs>
        <w:spacing w:before="0"/>
        <w:ind w:left="0" w:firstLine="0"/>
        <w:rPr>
          <w:rFonts w:ascii="David" w:hAnsi="David" w:cs="David"/>
          <w:b/>
          <w:bCs/>
          <w:color w:val="auto"/>
          <w:sz w:val="28"/>
          <w:szCs w:val="28"/>
          <w:rtl/>
        </w:rPr>
      </w:pPr>
      <w:bookmarkStart w:id="32" w:name="_Toc78880384"/>
      <w:r w:rsidRPr="003D564D">
        <w:rPr>
          <w:rFonts w:ascii="David" w:hAnsi="David" w:cs="David"/>
          <w:b/>
          <w:bCs/>
          <w:color w:val="auto"/>
          <w:sz w:val="28"/>
          <w:szCs w:val="28"/>
          <w:rtl/>
        </w:rPr>
        <w:t>צווי הורות פסיקתיים על בסיס "זיקה לזיקה"</w:t>
      </w:r>
      <w:bookmarkEnd w:id="32"/>
    </w:p>
    <w:p w14:paraId="39C64377" w14:textId="77777777" w:rsidR="00E0078C" w:rsidRPr="003D564D" w:rsidRDefault="00E0078C" w:rsidP="00E0078C">
      <w:pPr>
        <w:ind w:firstLine="360"/>
        <w:jc w:val="both"/>
        <w:rPr>
          <w:rFonts w:ascii="David" w:hAnsi="David" w:cs="David"/>
          <w:sz w:val="24"/>
          <w:szCs w:val="24"/>
          <w:rtl/>
        </w:rPr>
      </w:pPr>
      <w:r w:rsidRPr="003D564D">
        <w:rPr>
          <w:rFonts w:ascii="David" w:hAnsi="David" w:cs="David"/>
          <w:sz w:val="24"/>
          <w:szCs w:val="24"/>
          <w:rtl/>
        </w:rPr>
        <w:t xml:space="preserve">צו הורות פסיקתי שהוכר על-ידי בית המשפט העליון בפרשת </w:t>
      </w:r>
      <w:r w:rsidRPr="003D564D">
        <w:rPr>
          <w:rFonts w:ascii="David" w:hAnsi="David" w:cs="David"/>
          <w:b/>
          <w:bCs/>
          <w:sz w:val="24"/>
          <w:szCs w:val="24"/>
          <w:rtl/>
        </w:rPr>
        <w:t>ממט-מגד</w:t>
      </w:r>
      <w:r w:rsidRPr="003D564D">
        <w:rPr>
          <w:rFonts w:ascii="David" w:hAnsi="David" w:cs="David"/>
          <w:sz w:val="24"/>
          <w:szCs w:val="24"/>
          <w:rtl/>
        </w:rPr>
        <w:t>,</w:t>
      </w:r>
      <w:bookmarkStart w:id="33" w:name="_Ref64739387"/>
      <w:r w:rsidRPr="003D564D">
        <w:rPr>
          <w:rStyle w:val="FootnoteReference"/>
          <w:rFonts w:ascii="David" w:hAnsi="David" w:cs="David"/>
          <w:sz w:val="24"/>
          <w:szCs w:val="24"/>
          <w:rtl/>
        </w:rPr>
        <w:footnoteReference w:id="39"/>
      </w:r>
      <w:bookmarkEnd w:id="33"/>
      <w:r w:rsidRPr="003D564D">
        <w:rPr>
          <w:rFonts w:ascii="David" w:hAnsi="David" w:cs="David"/>
          <w:sz w:val="24"/>
          <w:szCs w:val="24"/>
          <w:rtl/>
        </w:rPr>
        <w:t xml:space="preserve"> הפך לכלי משפטי מקובל למיסוד הורות בנסיבות של הולדה פרי התקשרות לנשיאת עוברים עבר-לאומית, וזאת לצורך הכרה</w:t>
      </w:r>
      <w:r>
        <w:rPr>
          <w:rFonts w:ascii="David" w:hAnsi="David" w:cs="David" w:hint="cs"/>
          <w:sz w:val="24"/>
          <w:szCs w:val="24"/>
          <w:rtl/>
        </w:rPr>
        <w:t xml:space="preserve"> בהורה הלא גנטי,</w:t>
      </w:r>
      <w:r w:rsidRPr="003D564D">
        <w:rPr>
          <w:rFonts w:ascii="David" w:hAnsi="David" w:cs="David"/>
          <w:sz w:val="24"/>
          <w:szCs w:val="24"/>
          <w:rtl/>
        </w:rPr>
        <w:t xml:space="preserve"> </w:t>
      </w:r>
      <w:r>
        <w:rPr>
          <w:rFonts w:ascii="David" w:hAnsi="David" w:cs="David" w:hint="cs"/>
          <w:sz w:val="24"/>
          <w:szCs w:val="24"/>
          <w:rtl/>
        </w:rPr>
        <w:t>בן זוגו</w:t>
      </w:r>
      <w:r w:rsidRPr="003D564D">
        <w:rPr>
          <w:rFonts w:ascii="David" w:hAnsi="David" w:cs="David"/>
          <w:sz w:val="24"/>
          <w:szCs w:val="24"/>
          <w:rtl/>
        </w:rPr>
        <w:t xml:space="preserve"> של ההורה הגנטי (הן במשפחות חד</w:t>
      </w:r>
      <w:r w:rsidRPr="003D564D">
        <w:rPr>
          <w:rFonts w:ascii="David" w:hAnsi="David" w:cs="David" w:hint="cs"/>
          <w:sz w:val="24"/>
          <w:szCs w:val="24"/>
          <w:rtl/>
        </w:rPr>
        <w:t>-</w:t>
      </w:r>
      <w:r w:rsidRPr="003D564D">
        <w:rPr>
          <w:rFonts w:ascii="David" w:hAnsi="David" w:cs="David"/>
          <w:sz w:val="24"/>
          <w:szCs w:val="24"/>
          <w:rtl/>
        </w:rPr>
        <w:t>מיניות, הן במשפחות שבראשן בני זוג ממינים שונים). אמצעי זה הוכר גם לצורך הכרה בנסיבות של הולדה לבנות זוג מאותו המין, כאשר האחת ילדה בסיוע תרומת זרע ובת זוגה ליוותה אותה לאורך התהליך מתוך רצון בהורות משותפת.</w:t>
      </w:r>
      <w:bookmarkStart w:id="34" w:name="_Ref64712638"/>
      <w:r w:rsidRPr="003D564D">
        <w:rPr>
          <w:rStyle w:val="FootnoteReference"/>
          <w:rFonts w:ascii="David" w:hAnsi="David" w:cs="David"/>
          <w:sz w:val="24"/>
          <w:szCs w:val="24"/>
          <w:rtl/>
        </w:rPr>
        <w:footnoteReference w:id="40"/>
      </w:r>
      <w:bookmarkEnd w:id="34"/>
      <w:r w:rsidRPr="003D564D">
        <w:rPr>
          <w:rFonts w:ascii="David" w:hAnsi="David" w:cs="David"/>
          <w:sz w:val="24"/>
          <w:szCs w:val="24"/>
          <w:rtl/>
        </w:rPr>
        <w:t xml:space="preserve"> צו ההורות הפסיקתי מהווה מעין "גרסה רזה" לצו אימוץ.</w:t>
      </w:r>
      <w:r w:rsidRPr="003D564D">
        <w:rPr>
          <w:rStyle w:val="FootnoteReference"/>
          <w:rFonts w:ascii="David" w:hAnsi="David" w:cs="David"/>
          <w:sz w:val="24"/>
          <w:szCs w:val="24"/>
          <w:rtl/>
        </w:rPr>
        <w:footnoteReference w:id="41"/>
      </w:r>
      <w:r w:rsidRPr="003D564D">
        <w:rPr>
          <w:rFonts w:ascii="David" w:hAnsi="David" w:cs="David"/>
          <w:sz w:val="24"/>
          <w:szCs w:val="24"/>
          <w:rtl/>
        </w:rPr>
        <w:t xml:space="preserve"> מצד אחד, זאת חלופה המושתתת על צו שיפוטי, כלומר לצורך הכרה בהורות נדרשת מעורבות בית משפט; מצד שני, חלופה זו אינה נדרשת לעמוד בתנאי הסף שקובע חוק אימוץ ילדים, וככזאת אינה מחויבת לעמוד בדרישות זמן מינימליות</w:t>
      </w:r>
      <w:bookmarkStart w:id="35" w:name="_Ref80949354"/>
      <w:r>
        <w:rPr>
          <w:rFonts w:ascii="David" w:hAnsi="David" w:cs="David" w:hint="cs"/>
          <w:sz w:val="24"/>
          <w:szCs w:val="24"/>
          <w:rtl/>
        </w:rPr>
        <w:t>,</w:t>
      </w:r>
      <w:r w:rsidRPr="003D564D">
        <w:rPr>
          <w:rStyle w:val="FootnoteReference"/>
          <w:rFonts w:ascii="David" w:hAnsi="David" w:cs="David"/>
          <w:sz w:val="24"/>
          <w:szCs w:val="24"/>
          <w:rtl/>
        </w:rPr>
        <w:footnoteReference w:id="42"/>
      </w:r>
      <w:bookmarkEnd w:id="35"/>
      <w:r w:rsidRPr="003D564D">
        <w:rPr>
          <w:rFonts w:ascii="David" w:hAnsi="David" w:cs="David"/>
          <w:sz w:val="24"/>
          <w:szCs w:val="24"/>
          <w:rtl/>
        </w:rPr>
        <w:t xml:space="preserve"> ולעי</w:t>
      </w:r>
      <w:r>
        <w:rPr>
          <w:rFonts w:ascii="David" w:hAnsi="David" w:cs="David" w:hint="cs"/>
          <w:sz w:val="24"/>
          <w:szCs w:val="24"/>
          <w:rtl/>
        </w:rPr>
        <w:t xml:space="preserve">תים </w:t>
      </w:r>
      <w:r w:rsidRPr="003D564D">
        <w:rPr>
          <w:rFonts w:ascii="David" w:hAnsi="David" w:cs="David"/>
          <w:sz w:val="24"/>
          <w:szCs w:val="24"/>
          <w:rtl/>
        </w:rPr>
        <w:t>אף</w:t>
      </w:r>
      <w:r>
        <w:rPr>
          <w:rFonts w:ascii="David" w:hAnsi="David" w:cs="David" w:hint="cs"/>
          <w:sz w:val="24"/>
          <w:szCs w:val="24"/>
          <w:rtl/>
        </w:rPr>
        <w:t xml:space="preserve"> לא</w:t>
      </w:r>
      <w:r w:rsidRPr="003D564D">
        <w:rPr>
          <w:rFonts w:ascii="David" w:hAnsi="David" w:cs="David"/>
          <w:sz w:val="24"/>
          <w:szCs w:val="24"/>
          <w:rtl/>
        </w:rPr>
        <w:t xml:space="preserve"> באבחונים של עובדים סוציאליים שתפקידם לבדוק את טיבו של התא המשפחתי.</w:t>
      </w:r>
      <w:r w:rsidRPr="003D564D">
        <w:rPr>
          <w:rStyle w:val="FootnoteReference"/>
          <w:rFonts w:ascii="David" w:hAnsi="David" w:cs="David"/>
          <w:sz w:val="24"/>
          <w:szCs w:val="24"/>
          <w:rtl/>
        </w:rPr>
        <w:footnoteReference w:id="43"/>
      </w:r>
      <w:r w:rsidRPr="003D564D">
        <w:rPr>
          <w:rFonts w:ascii="David" w:hAnsi="David" w:cs="David"/>
          <w:sz w:val="24"/>
          <w:szCs w:val="24"/>
          <w:rtl/>
        </w:rPr>
        <w:t xml:space="preserve"> צו ההורות הפסיקתי ממסד הורות על בסיס המבחן שמכונה "זיקה לזיקה". כינוי זה טבע השופט הנדל בפרשת </w:t>
      </w:r>
      <w:r w:rsidRPr="003D564D">
        <w:rPr>
          <w:rFonts w:ascii="David" w:hAnsi="David" w:cs="David"/>
          <w:b/>
          <w:bCs/>
          <w:sz w:val="24"/>
          <w:szCs w:val="24"/>
          <w:rtl/>
        </w:rPr>
        <w:t>פלונית</w:t>
      </w:r>
      <w:r w:rsidRPr="003D564D">
        <w:rPr>
          <w:rFonts w:ascii="David" w:hAnsi="David" w:cs="David" w:hint="cs"/>
          <w:sz w:val="24"/>
          <w:szCs w:val="24"/>
          <w:rtl/>
        </w:rPr>
        <w:t xml:space="preserve"> (2015)</w:t>
      </w:r>
      <w:r w:rsidRPr="003D564D">
        <w:rPr>
          <w:rFonts w:ascii="David" w:hAnsi="David" w:cs="David"/>
          <w:sz w:val="24"/>
          <w:szCs w:val="24"/>
          <w:rtl/>
        </w:rPr>
        <w:t>,</w:t>
      </w:r>
      <w:bookmarkStart w:id="36" w:name="_Ref80950598"/>
      <w:r w:rsidRPr="003D564D">
        <w:rPr>
          <w:rStyle w:val="FootnoteReference"/>
          <w:rFonts w:ascii="David" w:hAnsi="David" w:cs="David"/>
          <w:sz w:val="24"/>
          <w:szCs w:val="24"/>
          <w:rtl/>
        </w:rPr>
        <w:footnoteReference w:id="44"/>
      </w:r>
      <w:bookmarkEnd w:id="36"/>
      <w:r w:rsidRPr="003D564D">
        <w:rPr>
          <w:rFonts w:ascii="David" w:hAnsi="David" w:cs="David"/>
          <w:sz w:val="24"/>
          <w:szCs w:val="24"/>
          <w:rtl/>
        </w:rPr>
        <w:t xml:space="preserve"> שאף הסביר במפורש כי בסיס זה להכרה בהורות במשפט נשען </w:t>
      </w:r>
      <w:r w:rsidRPr="003D564D">
        <w:rPr>
          <w:rFonts w:ascii="David" w:hAnsi="David" w:cs="David"/>
          <w:sz w:val="24"/>
          <w:szCs w:val="24"/>
          <w:rtl/>
          <w:lang w:eastAsia="he-IL"/>
        </w:rPr>
        <w:t>על "הכרה חברתית במעמדה של הזוגיות</w:t>
      </w:r>
      <w:r w:rsidRPr="003D564D">
        <w:rPr>
          <w:rFonts w:ascii="David" w:hAnsi="David" w:cs="David" w:hint="cs"/>
          <w:sz w:val="24"/>
          <w:szCs w:val="24"/>
          <w:rtl/>
          <w:lang w:eastAsia="he-IL"/>
        </w:rPr>
        <w:t xml:space="preserve"> ובקשר ההדוק של אותו אדם עם בעל הזיקה הגנטית</w:t>
      </w:r>
      <w:r w:rsidRPr="003D564D">
        <w:rPr>
          <w:rFonts w:ascii="David" w:hAnsi="David" w:cs="David"/>
          <w:sz w:val="24"/>
          <w:szCs w:val="24"/>
          <w:rtl/>
          <w:lang w:eastAsia="he-IL"/>
        </w:rPr>
        <w:t>".</w:t>
      </w:r>
      <w:r w:rsidRPr="003D564D">
        <w:rPr>
          <w:rStyle w:val="FootnoteReference"/>
          <w:rFonts w:ascii="David" w:hAnsi="David" w:cs="David"/>
          <w:sz w:val="24"/>
          <w:szCs w:val="24"/>
          <w:rtl/>
          <w:lang w:eastAsia="he-IL"/>
        </w:rPr>
        <w:footnoteReference w:id="45"/>
      </w:r>
      <w:r w:rsidRPr="003D564D">
        <w:rPr>
          <w:rFonts w:ascii="David" w:hAnsi="David" w:cs="David"/>
          <w:sz w:val="24"/>
          <w:szCs w:val="24"/>
          <w:rtl/>
          <w:lang w:eastAsia="he-IL"/>
        </w:rPr>
        <w:t xml:space="preserve"> ניתן אם כן לראות </w:t>
      </w:r>
      <w:r w:rsidRPr="003D564D">
        <w:rPr>
          <w:rFonts w:ascii="David" w:hAnsi="David" w:cs="David"/>
          <w:sz w:val="24"/>
          <w:szCs w:val="24"/>
          <w:rtl/>
        </w:rPr>
        <w:t xml:space="preserve">שצווי ההורות על בסיס "זיקה לזיקה" ממשיכים את הקו שכבר זיהינו ומקנים משקל </w:t>
      </w:r>
      <w:r w:rsidRPr="003D564D">
        <w:rPr>
          <w:rFonts w:ascii="David" w:hAnsi="David" w:cs="David" w:hint="cs"/>
          <w:sz w:val="24"/>
          <w:szCs w:val="24"/>
          <w:rtl/>
        </w:rPr>
        <w:t>מוגבר</w:t>
      </w:r>
      <w:r w:rsidRPr="003D564D">
        <w:rPr>
          <w:rFonts w:ascii="David" w:hAnsi="David" w:cs="David"/>
          <w:sz w:val="24"/>
          <w:szCs w:val="24"/>
          <w:rtl/>
        </w:rPr>
        <w:t xml:space="preserve"> לקשר הזוגי בהגדרת ההורות במשפט.</w:t>
      </w:r>
    </w:p>
    <w:p w14:paraId="0616FB5C" w14:textId="77777777" w:rsidR="00E0078C" w:rsidRDefault="00E0078C" w:rsidP="00E0078C">
      <w:pPr>
        <w:ind w:firstLine="360"/>
        <w:jc w:val="both"/>
        <w:rPr>
          <w:rFonts w:ascii="David" w:hAnsi="David" w:cs="David"/>
          <w:sz w:val="24"/>
          <w:szCs w:val="24"/>
          <w:rtl/>
        </w:rPr>
      </w:pPr>
    </w:p>
    <w:p w14:paraId="3AB5BBB5" w14:textId="77777777" w:rsidR="00E0078C" w:rsidRPr="000D0BBF" w:rsidRDefault="00E0078C" w:rsidP="00E0078C">
      <w:pPr>
        <w:pStyle w:val="Heading2"/>
        <w:numPr>
          <w:ilvl w:val="0"/>
          <w:numId w:val="3"/>
        </w:numPr>
        <w:tabs>
          <w:tab w:val="num" w:pos="360"/>
        </w:tabs>
        <w:spacing w:before="0"/>
        <w:ind w:left="0" w:firstLine="0"/>
        <w:rPr>
          <w:rFonts w:ascii="David" w:hAnsi="David" w:cs="David"/>
          <w:b/>
          <w:bCs/>
          <w:color w:val="auto"/>
          <w:sz w:val="28"/>
          <w:szCs w:val="28"/>
        </w:rPr>
      </w:pPr>
      <w:r w:rsidRPr="000D0BBF">
        <w:rPr>
          <w:rFonts w:ascii="David" w:hAnsi="David" w:cs="David"/>
          <w:b/>
          <w:bCs/>
          <w:color w:val="auto"/>
          <w:sz w:val="28"/>
          <w:szCs w:val="28"/>
          <w:rtl/>
        </w:rPr>
        <w:t>סיכום ביניים</w:t>
      </w:r>
    </w:p>
    <w:p w14:paraId="52FC6E6B" w14:textId="77777777" w:rsidR="009F0762" w:rsidRDefault="00E0078C" w:rsidP="00E0078C">
      <w:pPr>
        <w:jc w:val="both"/>
        <w:rPr>
          <w:rFonts w:ascii="David" w:hAnsi="David" w:cs="David"/>
          <w:sz w:val="24"/>
          <w:szCs w:val="24"/>
          <w:rtl/>
        </w:rPr>
      </w:pPr>
      <w:r w:rsidRPr="00DA6028">
        <w:rPr>
          <w:rFonts w:ascii="David" w:hAnsi="David" w:cs="David"/>
          <w:sz w:val="24"/>
          <w:szCs w:val="24"/>
          <w:rtl/>
        </w:rPr>
        <w:t xml:space="preserve"> ראינו אם כן, שהמשפט הישראלי לא מגדיר א</w:t>
      </w:r>
      <w:r>
        <w:rPr>
          <w:rFonts w:ascii="David" w:hAnsi="David" w:cs="David" w:hint="cs"/>
          <w:sz w:val="24"/>
          <w:szCs w:val="24"/>
          <w:rtl/>
        </w:rPr>
        <w:t>י</w:t>
      </w:r>
      <w:r w:rsidRPr="00DA6028">
        <w:rPr>
          <w:rFonts w:ascii="David" w:hAnsi="David" w:cs="David"/>
          <w:sz w:val="24"/>
          <w:szCs w:val="24"/>
          <w:rtl/>
        </w:rPr>
        <w:t>מהות, אבהות, או הורות בכלל ולא עוסק באופן שיטתי בשאלת מיסוד ההורות במשפט: כיצד, אם בכלל, יש לבסס את קיומה של הזיקה</w:t>
      </w:r>
      <w:r>
        <w:rPr>
          <w:rFonts w:ascii="David" w:hAnsi="David" w:cs="David"/>
          <w:sz w:val="24"/>
          <w:szCs w:val="24"/>
          <w:rtl/>
        </w:rPr>
        <w:t xml:space="preserve"> עליה נשענת ההורות.</w:t>
      </w:r>
      <w:r w:rsidRPr="005E1CC8">
        <w:rPr>
          <w:rFonts w:ascii="David" w:hAnsi="David" w:cs="David"/>
          <w:sz w:val="24"/>
          <w:szCs w:val="24"/>
          <w:rtl/>
        </w:rPr>
        <w:t xml:space="preserve"> ראינו ש</w:t>
      </w:r>
      <w:r>
        <w:rPr>
          <w:rFonts w:ascii="David" w:hAnsi="David" w:cs="David" w:hint="cs"/>
          <w:sz w:val="24"/>
          <w:szCs w:val="24"/>
          <w:rtl/>
        </w:rPr>
        <w:t xml:space="preserve">הדין הישראלי יצא לכאורה מנקודת מוצא לפיה הגדרת ההורות מבוססת על זיקה ביולוגית לילד, אך גישה זו מאותגרת ולצד הזיקה הביולוגית ניכרות זיקות נוספות </w:t>
      </w:r>
      <w:r>
        <w:rPr>
          <w:rFonts w:ascii="David" w:hAnsi="David" w:cs="David" w:hint="cs"/>
          <w:sz w:val="24"/>
          <w:szCs w:val="24"/>
          <w:rtl/>
        </w:rPr>
        <w:lastRenderedPageBreak/>
        <w:t>המבססות הורות. כך, בעלה של האם מוכר</w:t>
      </w:r>
      <w:r w:rsidR="00D67F99">
        <w:rPr>
          <w:rFonts w:ascii="David" w:hAnsi="David" w:cs="David" w:hint="cs"/>
          <w:sz w:val="24"/>
          <w:szCs w:val="24"/>
          <w:rtl/>
        </w:rPr>
        <w:t xml:space="preserve"> מכוח זיקת הנישואים</w:t>
      </w:r>
      <w:r>
        <w:rPr>
          <w:rFonts w:ascii="David" w:hAnsi="David" w:cs="David" w:hint="cs"/>
          <w:sz w:val="24"/>
          <w:szCs w:val="24"/>
          <w:rtl/>
        </w:rPr>
        <w:t xml:space="preserve"> כאב והדין מסרב לבחון את שאלת זיקתו הביולוגית לילד; חוק תרומת ביציות מאמץ את מבחן הכוונה, ולו כשובר שוויון בין שתי נשים בעלות זיקה ביולוגית לילד; וחוק הסכמים לנשיאת עוברים מחד גיסא לא מכיר אוטומטית במעמד ההורי של בעלי הזיקה הגנטית לילד, ומאידך גיסא מכיר בהורות על בסיס חלופי, בין אם כוונה, ובין אם </w:t>
      </w:r>
      <w:r w:rsidRPr="00D5136F">
        <w:rPr>
          <w:rFonts w:ascii="David" w:hAnsi="David" w:cs="David" w:hint="cs"/>
          <w:sz w:val="24"/>
          <w:szCs w:val="24"/>
          <w:rtl/>
        </w:rPr>
        <w:t>זוגיות (או שילוב בין שניהם).</w:t>
      </w:r>
      <w:r>
        <w:rPr>
          <w:rFonts w:ascii="David" w:hAnsi="David" w:cs="David" w:hint="cs"/>
          <w:sz w:val="24"/>
          <w:szCs w:val="24"/>
          <w:rtl/>
        </w:rPr>
        <w:t xml:space="preserve"> </w:t>
      </w:r>
    </w:p>
    <w:p w14:paraId="68EEECF0" w14:textId="5499BF1B" w:rsidR="00E0078C" w:rsidRPr="00665BFC" w:rsidRDefault="00E0078C" w:rsidP="00E0078C">
      <w:pPr>
        <w:jc w:val="both"/>
        <w:rPr>
          <w:rFonts w:ascii="David" w:hAnsi="David" w:cs="David"/>
          <w:sz w:val="24"/>
          <w:szCs w:val="24"/>
          <w:rtl/>
        </w:rPr>
      </w:pPr>
      <w:r>
        <w:rPr>
          <w:rFonts w:ascii="David" w:hAnsi="David" w:cs="David" w:hint="cs"/>
          <w:sz w:val="24"/>
          <w:szCs w:val="24"/>
          <w:rtl/>
        </w:rPr>
        <w:t xml:space="preserve">תמונת מצב זו מראה </w:t>
      </w:r>
      <w:r w:rsidRPr="005E1CC8">
        <w:rPr>
          <w:rFonts w:ascii="David" w:hAnsi="David" w:cs="David"/>
          <w:sz w:val="24"/>
          <w:szCs w:val="24"/>
          <w:rtl/>
        </w:rPr>
        <w:t>שהדין הישראלי</w:t>
      </w:r>
      <w:r w:rsidR="009F0762">
        <w:rPr>
          <w:rFonts w:ascii="David" w:hAnsi="David" w:cs="David" w:hint="cs"/>
          <w:sz w:val="24"/>
          <w:szCs w:val="24"/>
          <w:rtl/>
        </w:rPr>
        <w:t xml:space="preserve">, </w:t>
      </w:r>
      <w:r w:rsidR="009F0762" w:rsidRPr="009F0762">
        <w:rPr>
          <w:rFonts w:ascii="David" w:hAnsi="David" w:cs="David" w:hint="cs"/>
          <w:sz w:val="24"/>
          <w:szCs w:val="24"/>
          <w:highlight w:val="yellow"/>
          <w:rtl/>
        </w:rPr>
        <w:t>כמו הדין האמריקאי</w:t>
      </w:r>
      <w:r w:rsidR="009F0762">
        <w:rPr>
          <w:rFonts w:ascii="David" w:hAnsi="David" w:cs="David" w:hint="cs"/>
          <w:sz w:val="24"/>
          <w:szCs w:val="24"/>
          <w:rtl/>
        </w:rPr>
        <w:t>,</w:t>
      </w:r>
      <w:r w:rsidRPr="005E1CC8">
        <w:rPr>
          <w:rFonts w:ascii="David" w:hAnsi="David" w:cs="David"/>
          <w:sz w:val="24"/>
          <w:szCs w:val="24"/>
          <w:rtl/>
        </w:rPr>
        <w:t xml:space="preserve"> נמצא כעת בפרשת דרכים</w:t>
      </w:r>
      <w:r>
        <w:rPr>
          <w:rFonts w:ascii="David" w:hAnsi="David" w:cs="David" w:hint="cs"/>
          <w:sz w:val="24"/>
          <w:szCs w:val="24"/>
          <w:rtl/>
        </w:rPr>
        <w:t xml:space="preserve"> בכל הקשור להגדרת הורות ולמיסודה</w:t>
      </w:r>
      <w:r w:rsidRPr="00665BFC">
        <w:rPr>
          <w:rFonts w:ascii="David" w:hAnsi="David" w:cs="David"/>
          <w:sz w:val="24"/>
          <w:szCs w:val="24"/>
          <w:rtl/>
        </w:rPr>
        <w:t xml:space="preserve">. </w:t>
      </w:r>
      <w:r>
        <w:rPr>
          <w:rFonts w:ascii="David" w:hAnsi="David" w:cs="David" w:hint="cs"/>
          <w:sz w:val="24"/>
          <w:szCs w:val="24"/>
          <w:rtl/>
        </w:rPr>
        <w:t>אם בעבר המשפט לא נדרש כלל לדיון מקיף וכולל, הרי ש</w:t>
      </w:r>
      <w:r w:rsidRPr="00665BFC">
        <w:rPr>
          <w:rFonts w:ascii="David" w:hAnsi="David" w:cs="David"/>
          <w:sz w:val="24"/>
          <w:szCs w:val="24"/>
          <w:rtl/>
        </w:rPr>
        <w:t xml:space="preserve">טכניקות ההולדה והשינויים החברתיים שעבר מוסד המשפחה הביאו עימם הזדמנות לחשוב באופן מעמיק על שאלות אלו. בחלקו הבא של המאמר נציג את עמדתנו הנורמטיבית התומכת בפרשנות </w:t>
      </w:r>
      <w:r>
        <w:rPr>
          <w:rFonts w:ascii="David" w:hAnsi="David" w:cs="David" w:hint="cs"/>
          <w:sz w:val="24"/>
          <w:szCs w:val="24"/>
          <w:rtl/>
        </w:rPr>
        <w:t xml:space="preserve">לפיה </w:t>
      </w:r>
      <w:r w:rsidRPr="00665BFC">
        <w:rPr>
          <w:rFonts w:ascii="David" w:hAnsi="David" w:cs="David"/>
          <w:sz w:val="24"/>
          <w:szCs w:val="24"/>
          <w:rtl/>
        </w:rPr>
        <w:t>קשר הזוגיות בין ההורים הפוטנציאלים</w:t>
      </w:r>
      <w:r>
        <w:rPr>
          <w:rFonts w:ascii="David" w:hAnsi="David" w:cs="David" w:hint="cs"/>
          <w:sz w:val="24"/>
          <w:szCs w:val="24"/>
          <w:rtl/>
        </w:rPr>
        <w:t xml:space="preserve"> מהווה זיקה עצמאית</w:t>
      </w:r>
      <w:r w:rsidRPr="00665BFC">
        <w:rPr>
          <w:rFonts w:ascii="David" w:hAnsi="David" w:cs="David"/>
          <w:sz w:val="24"/>
          <w:szCs w:val="24"/>
          <w:rtl/>
        </w:rPr>
        <w:t xml:space="preserve"> לזיהוי ההורים </w:t>
      </w:r>
      <w:r w:rsidRPr="007716BD">
        <w:rPr>
          <w:rFonts w:ascii="David" w:hAnsi="David" w:cs="David"/>
          <w:sz w:val="24"/>
          <w:szCs w:val="24"/>
          <w:rtl/>
        </w:rPr>
        <w:t>המשפטיים של הילד</w:t>
      </w:r>
      <w:r w:rsidRPr="007716BD">
        <w:rPr>
          <w:rFonts w:ascii="David" w:hAnsi="David" w:cs="David" w:hint="cs"/>
          <w:sz w:val="24"/>
          <w:szCs w:val="24"/>
          <w:rtl/>
        </w:rPr>
        <w:t xml:space="preserve"> וראוי להבלטה רבה יותר בדין </w:t>
      </w:r>
      <w:r w:rsidR="009F0762">
        <w:rPr>
          <w:rFonts w:ascii="David" w:hAnsi="David" w:cs="David" w:hint="cs"/>
          <w:sz w:val="24"/>
          <w:szCs w:val="24"/>
          <w:rtl/>
        </w:rPr>
        <w:t>דהיום</w:t>
      </w:r>
      <w:r w:rsidRPr="007716BD">
        <w:rPr>
          <w:rFonts w:ascii="David" w:hAnsi="David" w:cs="David"/>
          <w:sz w:val="24"/>
          <w:szCs w:val="24"/>
          <w:rtl/>
        </w:rPr>
        <w:t>.</w:t>
      </w:r>
    </w:p>
    <w:p w14:paraId="0397C804" w14:textId="77777777" w:rsidR="00E0078C" w:rsidRDefault="00E0078C" w:rsidP="00E0078C">
      <w:pPr>
        <w:pStyle w:val="Heading1"/>
        <w:spacing w:before="0"/>
        <w:rPr>
          <w:rFonts w:ascii="David" w:hAnsi="David" w:cs="David"/>
          <w:b/>
          <w:bCs/>
          <w:color w:val="auto"/>
          <w:rtl/>
        </w:rPr>
      </w:pPr>
    </w:p>
    <w:p w14:paraId="46158C0C" w14:textId="23E20EA6" w:rsidR="00E0078C" w:rsidRDefault="000E59F3" w:rsidP="00E0078C">
      <w:pPr>
        <w:pStyle w:val="Heading1"/>
        <w:spacing w:before="0"/>
        <w:ind w:left="360"/>
        <w:rPr>
          <w:rFonts w:ascii="David" w:hAnsi="David" w:cs="David"/>
          <w:b/>
          <w:bCs/>
          <w:color w:val="auto"/>
          <w:sz w:val="28"/>
          <w:szCs w:val="28"/>
          <w:rtl/>
        </w:rPr>
      </w:pPr>
      <w:r w:rsidRPr="000E59F3">
        <w:rPr>
          <w:rFonts w:ascii="David" w:hAnsi="David" w:cs="David" w:hint="cs"/>
          <w:b/>
          <w:bCs/>
          <w:color w:val="auto"/>
          <w:sz w:val="28"/>
          <w:szCs w:val="28"/>
          <w:rtl/>
        </w:rPr>
        <w:t xml:space="preserve">3. </w:t>
      </w:r>
      <w:commentRangeStart w:id="37"/>
      <w:r w:rsidR="00E0078C" w:rsidRPr="000E59F3">
        <w:rPr>
          <w:rFonts w:ascii="David" w:hAnsi="David" w:cs="David"/>
          <w:b/>
          <w:bCs/>
          <w:color w:val="auto"/>
          <w:sz w:val="28"/>
          <w:szCs w:val="28"/>
          <w:rtl/>
        </w:rPr>
        <w:t>המשגה</w:t>
      </w:r>
      <w:commentRangeEnd w:id="37"/>
      <w:r w:rsidR="00577C23" w:rsidRPr="000E59F3">
        <w:rPr>
          <w:rStyle w:val="CommentReference"/>
          <w:rFonts w:asciiTheme="minorHAnsi" w:eastAsiaTheme="minorHAnsi" w:hAnsiTheme="minorHAnsi" w:cstheme="minorBidi"/>
          <w:noProof w:val="0"/>
          <w:color w:val="auto"/>
          <w:sz w:val="28"/>
          <w:szCs w:val="28"/>
          <w:rtl/>
        </w:rPr>
        <w:commentReference w:id="37"/>
      </w:r>
      <w:r w:rsidR="00E0078C" w:rsidRPr="000E59F3">
        <w:rPr>
          <w:rFonts w:ascii="David" w:hAnsi="David" w:cs="David"/>
          <w:b/>
          <w:bCs/>
          <w:color w:val="auto"/>
          <w:sz w:val="28"/>
          <w:szCs w:val="28"/>
          <w:rtl/>
        </w:rPr>
        <w:t xml:space="preserve"> ישנה-חדשה של המבחנים לקביעת הורות</w:t>
      </w:r>
      <w:bookmarkEnd w:id="0"/>
      <w:bookmarkEnd w:id="1"/>
      <w:r w:rsidR="00E0078C" w:rsidRPr="000E59F3">
        <w:rPr>
          <w:rFonts w:ascii="David" w:hAnsi="David" w:cs="David" w:hint="cs"/>
          <w:b/>
          <w:bCs/>
          <w:color w:val="auto"/>
          <w:sz w:val="28"/>
          <w:szCs w:val="28"/>
          <w:rtl/>
        </w:rPr>
        <w:t>: מקומה של הזוגיות</w:t>
      </w:r>
      <w:bookmarkEnd w:id="2"/>
    </w:p>
    <w:p w14:paraId="3258CA00" w14:textId="3DA2A5C8" w:rsidR="000E59F3" w:rsidRPr="000E59F3" w:rsidRDefault="000E59F3" w:rsidP="000E59F3">
      <w:pPr>
        <w:rPr>
          <w:rFonts w:ascii="David" w:hAnsi="David" w:cs="David"/>
          <w:b/>
          <w:bCs/>
          <w:sz w:val="28"/>
          <w:szCs w:val="28"/>
          <w:u w:val="single"/>
          <w:rtl/>
        </w:rPr>
      </w:pPr>
      <w:r w:rsidRPr="000E59F3">
        <w:rPr>
          <w:rFonts w:ascii="David" w:hAnsi="David" w:cs="David"/>
          <w:b/>
          <w:bCs/>
          <w:sz w:val="28"/>
          <w:szCs w:val="28"/>
          <w:u w:val="single"/>
          <w:rtl/>
        </w:rPr>
        <w:t>כללי:</w:t>
      </w:r>
    </w:p>
    <w:p w14:paraId="43AA710A" w14:textId="2E1DB1BC"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בפרק זה נמקד את תשומת הלב בטיעון הנורמטיבי</w:t>
      </w:r>
      <w:r w:rsidR="00B41DD4">
        <w:rPr>
          <w:rFonts w:ascii="David" w:hAnsi="David" w:cs="David" w:hint="cs"/>
          <w:sz w:val="24"/>
          <w:szCs w:val="24"/>
          <w:rtl/>
        </w:rPr>
        <w:t>:</w:t>
      </w:r>
      <w:r w:rsidRPr="003D564D">
        <w:rPr>
          <w:rFonts w:ascii="David" w:hAnsi="David" w:cs="David"/>
          <w:sz w:val="24"/>
          <w:szCs w:val="24"/>
          <w:rtl/>
        </w:rPr>
        <w:t xml:space="preserve"> מדוע ראוי שמערכת היחסים בין הורים פוטנציאליים תהווה שיקול בהגדרת ההורות במשפט. תחילה נציג את הטיעון ואת הנימוקים המבססים אותו. על בסיס הטיעון הנורמטיבי הרחב המתמקד בקשר בין ההורים, נציע להכיר בדין בחזקה מפורשת אותה נכנה כאן "חזקת הזוגיות", ולפיה כאשר ילד נולד לתוך מערכת יחסים זוגית, שני הצדדים למערכת היחסים ייחשבו כנושאים בכל החובות והאחריויות המשפטיות כלפיו, וזכאים לכל הזכויות ההוריות מרגע לידתו, כלומר כהוריו המשפטיים. לבסוף, בחלקו האחרון של הפרק נחזור לדין </w:t>
      </w:r>
      <w:r>
        <w:rPr>
          <w:rFonts w:ascii="David" w:hAnsi="David" w:cs="David" w:hint="cs"/>
          <w:sz w:val="24"/>
          <w:szCs w:val="24"/>
          <w:rtl/>
        </w:rPr>
        <w:t>הקיים</w:t>
      </w:r>
      <w:r w:rsidR="00B41DD4">
        <w:rPr>
          <w:rFonts w:ascii="David" w:hAnsi="David" w:cs="David" w:hint="cs"/>
          <w:sz w:val="24"/>
          <w:szCs w:val="24"/>
          <w:rtl/>
        </w:rPr>
        <w:t>,</w:t>
      </w:r>
      <w:r w:rsidRPr="003D564D">
        <w:rPr>
          <w:rFonts w:ascii="David" w:hAnsi="David" w:cs="David"/>
          <w:sz w:val="24"/>
          <w:szCs w:val="24"/>
          <w:rtl/>
        </w:rPr>
        <w:t xml:space="preserve"> </w:t>
      </w:r>
      <w:r w:rsidRPr="003D564D">
        <w:rPr>
          <w:rFonts w:ascii="David" w:hAnsi="David" w:cs="David"/>
          <w:sz w:val="24"/>
          <w:szCs w:val="24"/>
          <w:rtl/>
        </w:rPr>
        <w:t xml:space="preserve">ונראה כיצד הצעתנו ממשיכה למעשה ליישם עקרונות שכבר הוכרו בדין </w:t>
      </w:r>
      <w:r>
        <w:rPr>
          <w:rFonts w:ascii="David" w:hAnsi="David" w:cs="David" w:hint="cs"/>
          <w:sz w:val="24"/>
          <w:szCs w:val="24"/>
          <w:rtl/>
        </w:rPr>
        <w:t xml:space="preserve">האמריקאי ובדין </w:t>
      </w:r>
      <w:r w:rsidRPr="003D564D">
        <w:rPr>
          <w:rFonts w:ascii="David" w:hAnsi="David" w:cs="David"/>
          <w:sz w:val="24"/>
          <w:szCs w:val="24"/>
          <w:rtl/>
        </w:rPr>
        <w:t>הישראלי למיסוד הורות על בסיס קשר זוגי בין ההורים</w:t>
      </w:r>
      <w:r>
        <w:rPr>
          <w:rFonts w:ascii="David" w:hAnsi="David" w:cs="David" w:hint="cs"/>
          <w:sz w:val="24"/>
          <w:szCs w:val="24"/>
          <w:rtl/>
        </w:rPr>
        <w:t xml:space="preserve">. </w:t>
      </w:r>
    </w:p>
    <w:p w14:paraId="7CBF6DD0" w14:textId="77777777" w:rsidR="00E0078C" w:rsidRPr="003D564D" w:rsidRDefault="00E0078C" w:rsidP="00E0078C">
      <w:pPr>
        <w:pStyle w:val="Heading2"/>
        <w:numPr>
          <w:ilvl w:val="0"/>
          <w:numId w:val="2"/>
        </w:numPr>
        <w:tabs>
          <w:tab w:val="num" w:pos="360"/>
        </w:tabs>
        <w:spacing w:before="0"/>
        <w:ind w:left="0" w:firstLine="0"/>
        <w:rPr>
          <w:rFonts w:ascii="David" w:hAnsi="David" w:cs="David"/>
          <w:b/>
          <w:bCs/>
          <w:color w:val="auto"/>
          <w:sz w:val="28"/>
          <w:szCs w:val="28"/>
          <w:rtl/>
        </w:rPr>
      </w:pPr>
      <w:bookmarkStart w:id="38" w:name="_Toc56606567"/>
      <w:bookmarkStart w:id="39" w:name="_Toc56606568"/>
      <w:bookmarkStart w:id="40" w:name="_Toc60847972"/>
      <w:bookmarkStart w:id="41" w:name="_Toc78880386"/>
      <w:bookmarkEnd w:id="38"/>
      <w:r w:rsidRPr="003D564D">
        <w:rPr>
          <w:rFonts w:ascii="David" w:hAnsi="David" w:cs="David"/>
          <w:b/>
          <w:bCs/>
          <w:color w:val="auto"/>
          <w:sz w:val="28"/>
          <w:szCs w:val="28"/>
          <w:rtl/>
        </w:rPr>
        <w:t>מערכת יחסים בין הורים פוטנציאלים כשיקול בהגדרת ההורות</w:t>
      </w:r>
      <w:bookmarkEnd w:id="39"/>
      <w:bookmarkEnd w:id="40"/>
      <w:bookmarkEnd w:id="41"/>
    </w:p>
    <w:p w14:paraId="56E4B4F4" w14:textId="77777777" w:rsidR="00E0078C" w:rsidRPr="003D564D" w:rsidRDefault="00E0078C" w:rsidP="00E0078C">
      <w:pPr>
        <w:ind w:firstLine="340"/>
        <w:jc w:val="both"/>
        <w:rPr>
          <w:rFonts w:ascii="David" w:hAnsi="David" w:cs="David"/>
          <w:b/>
          <w:bCs/>
          <w:sz w:val="24"/>
          <w:szCs w:val="24"/>
          <w:rtl/>
        </w:rPr>
      </w:pPr>
      <w:r w:rsidRPr="003D564D">
        <w:rPr>
          <w:rFonts w:ascii="David" w:hAnsi="David" w:cs="David"/>
          <w:sz w:val="24"/>
          <w:szCs w:val="24"/>
          <w:rtl/>
        </w:rPr>
        <w:t>אנו טוענים שמערכת היחסים בין הורים פוטנציאליים צריכה להוות שיקול בהגדרה המשפטית של הורות, קרי יש לה משמעות לעניין המעמד המשפטי של "הורה" כברירת מחדל אפשרית, לצד ברירות מחדל משפטיות נוספות, לזיהוי ההורה המשפטי</w:t>
      </w:r>
      <w:r w:rsidRPr="003D564D">
        <w:rPr>
          <w:rFonts w:ascii="David" w:hAnsi="David" w:cs="David" w:hint="cs"/>
          <w:sz w:val="24"/>
          <w:szCs w:val="24"/>
          <w:rtl/>
        </w:rPr>
        <w:t>, זאת הביולוגית וזאת המושתתת על כוונה</w:t>
      </w:r>
      <w:r w:rsidRPr="003D564D">
        <w:rPr>
          <w:rFonts w:ascii="David" w:hAnsi="David" w:cs="David"/>
          <w:sz w:val="24"/>
          <w:szCs w:val="24"/>
          <w:rtl/>
        </w:rPr>
        <w:t>.</w:t>
      </w:r>
      <w:bookmarkStart w:id="42" w:name="_Ref54610223"/>
      <w:r w:rsidRPr="003D564D">
        <w:rPr>
          <w:rStyle w:val="FootnoteReference"/>
          <w:rFonts w:ascii="David" w:hAnsi="David" w:cs="David"/>
          <w:sz w:val="24"/>
          <w:szCs w:val="24"/>
          <w:rtl/>
        </w:rPr>
        <w:footnoteReference w:id="46"/>
      </w:r>
      <w:bookmarkEnd w:id="42"/>
      <w:r w:rsidRPr="003D564D">
        <w:rPr>
          <w:rFonts w:ascii="David" w:hAnsi="David" w:cs="David"/>
          <w:sz w:val="24"/>
          <w:szCs w:val="24"/>
          <w:rtl/>
        </w:rPr>
        <w:t xml:space="preserve"> יודגש, לא מדובר בשיקול בלעדי שיחליף את הזיקה ה</w:t>
      </w:r>
      <w:r w:rsidRPr="003D564D">
        <w:rPr>
          <w:rFonts w:ascii="David" w:hAnsi="David" w:cs="David" w:hint="cs"/>
          <w:sz w:val="24"/>
          <w:szCs w:val="24"/>
          <w:rtl/>
        </w:rPr>
        <w:t xml:space="preserve">ביולוגית שמקומה עדיין מרכזי </w:t>
      </w:r>
      <w:r w:rsidRPr="003D564D">
        <w:rPr>
          <w:rFonts w:ascii="David" w:hAnsi="David" w:cs="David"/>
          <w:sz w:val="24"/>
          <w:szCs w:val="24"/>
          <w:rtl/>
        </w:rPr>
        <w:t>כבסיס לקביעת ההורות במשפט; גם לא בשיקול הכרחי שבהעדרו לא ניתן יהיה להכיר באדם כהורה. מדובר בשיקול אחד שעל המשפט, על פי הנטען, לשקול באופן עצמאי ונפרד ודי בו, במקרים מסוימים, להקנות מעמד של הורה.</w:t>
      </w:r>
      <w:r w:rsidRPr="003D564D">
        <w:rPr>
          <w:rStyle w:val="FootnoteReference"/>
          <w:rFonts w:ascii="David" w:hAnsi="David" w:cs="David"/>
          <w:sz w:val="24"/>
          <w:szCs w:val="24"/>
          <w:rtl/>
        </w:rPr>
        <w:footnoteReference w:id="47"/>
      </w:r>
    </w:p>
    <w:p w14:paraId="1EFEE02A" w14:textId="2F0E6941"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נקודת המוצא לדיון במקומו של הקשר בין ההורים הפוטנציאליים בהגדרת ההורות היא אי</w:t>
      </w:r>
      <w:r w:rsidRPr="003D564D">
        <w:rPr>
          <w:rFonts w:ascii="David" w:hAnsi="David" w:cs="David" w:hint="cs"/>
          <w:sz w:val="24"/>
          <w:szCs w:val="24"/>
          <w:rtl/>
        </w:rPr>
        <w:t>-</w:t>
      </w:r>
      <w:r w:rsidRPr="003D564D">
        <w:rPr>
          <w:rFonts w:ascii="David" w:hAnsi="David" w:cs="David"/>
          <w:sz w:val="24"/>
          <w:szCs w:val="24"/>
          <w:rtl/>
        </w:rPr>
        <w:t xml:space="preserve">התאמתה של הזיקה הביולוגית לשמש בסיס </w:t>
      </w:r>
      <w:r w:rsidRPr="003D564D">
        <w:rPr>
          <w:rFonts w:ascii="David" w:hAnsi="David" w:cs="David"/>
          <w:b/>
          <w:bCs/>
          <w:sz w:val="24"/>
          <w:szCs w:val="24"/>
          <w:rtl/>
        </w:rPr>
        <w:t>בלעדי</w:t>
      </w:r>
      <w:r w:rsidRPr="003D564D">
        <w:rPr>
          <w:rFonts w:ascii="David" w:hAnsi="David" w:cs="David"/>
          <w:sz w:val="24"/>
          <w:szCs w:val="24"/>
          <w:rtl/>
        </w:rPr>
        <w:t xml:space="preserve"> להגדרת ההורות. כפי שהראינו בחלקים קודמים של המאמר, הזיקה הביולוגית</w:t>
      </w:r>
      <w:r w:rsidR="00B41DD4">
        <w:rPr>
          <w:rFonts w:ascii="David" w:hAnsi="David" w:cs="David" w:hint="cs"/>
          <w:sz w:val="24"/>
          <w:szCs w:val="24"/>
          <w:rtl/>
        </w:rPr>
        <w:t>, גם כשעלתה לקדמת הבמה,</w:t>
      </w:r>
      <w:r w:rsidR="00B41DD4">
        <w:rPr>
          <w:rStyle w:val="FootnoteReference"/>
          <w:rFonts w:ascii="David" w:hAnsi="David" w:cs="David"/>
          <w:sz w:val="24"/>
          <w:szCs w:val="24"/>
          <w:rtl/>
        </w:rPr>
        <w:footnoteReference w:id="48"/>
      </w:r>
      <w:r w:rsidRPr="003D564D">
        <w:rPr>
          <w:rFonts w:ascii="David" w:hAnsi="David" w:cs="David"/>
          <w:sz w:val="24"/>
          <w:szCs w:val="24"/>
          <w:rtl/>
        </w:rPr>
        <w:t xml:space="preserve"> לא שימשה מעולם בסיס </w:t>
      </w:r>
      <w:r w:rsidRPr="00577C23">
        <w:rPr>
          <w:rFonts w:ascii="David" w:hAnsi="David" w:cs="David"/>
          <w:sz w:val="24"/>
          <w:szCs w:val="24"/>
          <w:u w:val="single"/>
          <w:rtl/>
        </w:rPr>
        <w:lastRenderedPageBreak/>
        <w:t>יחיד</w:t>
      </w:r>
      <w:r w:rsidRPr="003D564D">
        <w:rPr>
          <w:rFonts w:ascii="David" w:hAnsi="David" w:cs="David"/>
          <w:sz w:val="24"/>
          <w:szCs w:val="24"/>
          <w:rtl/>
        </w:rPr>
        <w:t xml:space="preserve"> להכרה בהורות במשפט, ובפרט באבהות.</w:t>
      </w:r>
      <w:r w:rsidRPr="003D564D">
        <w:rPr>
          <w:rFonts w:ascii="David" w:hAnsi="David" w:cs="David" w:hint="cs"/>
          <w:sz w:val="24"/>
          <w:szCs w:val="24"/>
          <w:rtl/>
        </w:rPr>
        <w:t xml:space="preserve"> מבחן הזוגיות נטל חלק בעיצוב מבחני ההורות וכך גם מבחן הכוונה.</w:t>
      </w:r>
      <w:r w:rsidRPr="003D564D">
        <w:rPr>
          <w:rStyle w:val="FootnoteReference"/>
          <w:rFonts w:ascii="David" w:hAnsi="David" w:cs="David"/>
          <w:sz w:val="24"/>
          <w:szCs w:val="24"/>
          <w:rtl/>
        </w:rPr>
        <w:t xml:space="preserve"> </w:t>
      </w:r>
      <w:r w:rsidRPr="003D564D">
        <w:rPr>
          <w:rFonts w:ascii="David" w:hAnsi="David" w:cs="David"/>
          <w:sz w:val="24"/>
          <w:szCs w:val="24"/>
          <w:rtl/>
        </w:rPr>
        <w:t>שיטות המשפט המקובל מלכתחילה הגדירו אבהות על בסיס קשר נישואים לאם היולדת</w:t>
      </w:r>
      <w:r>
        <w:rPr>
          <w:rFonts w:ascii="David" w:hAnsi="David" w:cs="David" w:hint="cs"/>
          <w:sz w:val="24"/>
          <w:szCs w:val="24"/>
          <w:rtl/>
        </w:rPr>
        <w:t xml:space="preserve"> [</w:t>
      </w:r>
      <w:r w:rsidRPr="00577C23">
        <w:rPr>
          <w:rFonts w:ascii="David" w:hAnsi="David" w:cs="David" w:hint="cs"/>
          <w:sz w:val="24"/>
          <w:szCs w:val="24"/>
          <w:highlight w:val="yellow"/>
          <w:rtl/>
        </w:rPr>
        <w:t>לומר עוד משהו ספציפי על ארה"ב</w:t>
      </w:r>
      <w:r>
        <w:rPr>
          <w:rFonts w:ascii="David" w:hAnsi="David" w:cs="David" w:hint="cs"/>
          <w:sz w:val="24"/>
          <w:szCs w:val="24"/>
          <w:rtl/>
        </w:rPr>
        <w:t>]</w:t>
      </w:r>
      <w:r w:rsidRPr="003D564D">
        <w:rPr>
          <w:rFonts w:ascii="David" w:hAnsi="David" w:cs="David"/>
          <w:sz w:val="24"/>
          <w:szCs w:val="24"/>
          <w:rtl/>
        </w:rPr>
        <w:t>, ואילו שיטת המשפט הישראלית שלכאורה ביססה את האבהות על הזיקה הגנטית, קשרה בין נישואים לאם (בוודאי עבור נשים יהודיות) לבין אבהות, באמצעות כללי הוכחת האבהות ומיסודה</w:t>
      </w:r>
      <w:r>
        <w:rPr>
          <w:rFonts w:ascii="David" w:hAnsi="David" w:cs="David" w:hint="cs"/>
          <w:sz w:val="24"/>
          <w:szCs w:val="24"/>
          <w:rtl/>
        </w:rPr>
        <w:t>.</w:t>
      </w:r>
      <w:r w:rsidRPr="003D564D">
        <w:rPr>
          <w:rFonts w:ascii="David" w:hAnsi="David" w:cs="David" w:hint="cs"/>
          <w:sz w:val="24"/>
          <w:szCs w:val="24"/>
          <w:rtl/>
        </w:rPr>
        <w:t xml:space="preserve"> </w:t>
      </w:r>
      <w:r w:rsidRPr="003D564D">
        <w:rPr>
          <w:rFonts w:ascii="David" w:hAnsi="David" w:cs="David"/>
          <w:sz w:val="24"/>
          <w:szCs w:val="24"/>
          <w:rtl/>
        </w:rPr>
        <w:t xml:space="preserve">במציאות הנוכחית </w:t>
      </w:r>
      <w:r w:rsidRPr="003D564D">
        <w:rPr>
          <w:rFonts w:ascii="David" w:hAnsi="David" w:cs="David" w:hint="cs"/>
          <w:sz w:val="24"/>
          <w:szCs w:val="24"/>
          <w:rtl/>
        </w:rPr>
        <w:t>ש</w:t>
      </w:r>
      <w:r w:rsidRPr="003D564D">
        <w:rPr>
          <w:rFonts w:ascii="David" w:hAnsi="David" w:cs="David"/>
          <w:sz w:val="24"/>
          <w:szCs w:val="24"/>
          <w:rtl/>
        </w:rPr>
        <w:t xml:space="preserve">בה ילדים רבים נולדים בסיוע תרומת גמטה (זרע או ביצית) </w:t>
      </w:r>
      <w:r w:rsidRPr="003D564D">
        <w:rPr>
          <w:rFonts w:ascii="David" w:hAnsi="David" w:cs="David" w:hint="cs"/>
          <w:sz w:val="24"/>
          <w:szCs w:val="24"/>
          <w:rtl/>
        </w:rPr>
        <w:t>דחק מבחן הכוונה, במקרים הרלוונט</w:t>
      </w:r>
      <w:r>
        <w:rPr>
          <w:rFonts w:ascii="David" w:hAnsi="David" w:cs="David" w:hint="cs"/>
          <w:sz w:val="24"/>
          <w:szCs w:val="24"/>
          <w:rtl/>
        </w:rPr>
        <w:t>י</w:t>
      </w:r>
      <w:r w:rsidRPr="003D564D">
        <w:rPr>
          <w:rFonts w:ascii="David" w:hAnsi="David" w:cs="David" w:hint="cs"/>
          <w:sz w:val="24"/>
          <w:szCs w:val="24"/>
          <w:rtl/>
        </w:rPr>
        <w:t xml:space="preserve">ים, את </w:t>
      </w:r>
      <w:r w:rsidRPr="003D564D">
        <w:rPr>
          <w:rFonts w:ascii="David" w:hAnsi="David" w:cs="David"/>
          <w:sz w:val="24"/>
          <w:szCs w:val="24"/>
          <w:rtl/>
        </w:rPr>
        <w:t>הזיקה הגנטית</w:t>
      </w:r>
      <w:r w:rsidRPr="003D564D">
        <w:rPr>
          <w:rFonts w:ascii="David" w:hAnsi="David" w:cs="David" w:hint="cs"/>
          <w:sz w:val="24"/>
          <w:szCs w:val="24"/>
          <w:rtl/>
        </w:rPr>
        <w:t>.</w:t>
      </w:r>
      <w:r w:rsidRPr="003D564D">
        <w:rPr>
          <w:rStyle w:val="FootnoteReference"/>
          <w:rFonts w:ascii="David" w:hAnsi="David" w:cs="David"/>
          <w:sz w:val="24"/>
          <w:szCs w:val="24"/>
          <w:rtl/>
        </w:rPr>
        <w:footnoteReference w:id="49"/>
      </w:r>
      <w:r w:rsidRPr="003D564D">
        <w:rPr>
          <w:rFonts w:ascii="David" w:hAnsi="David" w:cs="David" w:hint="cs"/>
          <w:sz w:val="24"/>
          <w:szCs w:val="24"/>
          <w:rtl/>
        </w:rPr>
        <w:t xml:space="preserve"> </w:t>
      </w:r>
    </w:p>
    <w:p w14:paraId="32EA77D6" w14:textId="7653BFE4"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 xml:space="preserve"> </w:t>
      </w:r>
      <w:r w:rsidRPr="003D564D">
        <w:rPr>
          <w:rFonts w:ascii="David" w:hAnsi="David" w:cs="David" w:hint="cs"/>
          <w:sz w:val="24"/>
          <w:szCs w:val="24"/>
          <w:rtl/>
        </w:rPr>
        <w:t xml:space="preserve">כפי שהוצג כבר, מבחן הכוונה כבר החל </w:t>
      </w:r>
      <w:r>
        <w:rPr>
          <w:rFonts w:ascii="David" w:hAnsi="David" w:cs="David" w:hint="cs"/>
          <w:sz w:val="24"/>
          <w:szCs w:val="24"/>
          <w:rtl/>
        </w:rPr>
        <w:t>לחלחל</w:t>
      </w:r>
      <w:r w:rsidRPr="003D564D">
        <w:rPr>
          <w:rFonts w:ascii="David" w:hAnsi="David" w:cs="David" w:hint="cs"/>
          <w:sz w:val="24"/>
          <w:szCs w:val="24"/>
          <w:rtl/>
        </w:rPr>
        <w:t xml:space="preserve"> </w:t>
      </w:r>
      <w:r>
        <w:rPr>
          <w:rFonts w:ascii="David" w:hAnsi="David" w:cs="David" w:hint="cs"/>
          <w:sz w:val="24"/>
          <w:szCs w:val="24"/>
          <w:rtl/>
        </w:rPr>
        <w:t>ל</w:t>
      </w:r>
      <w:r w:rsidRPr="003D564D">
        <w:rPr>
          <w:rFonts w:ascii="David" w:hAnsi="David" w:cs="David"/>
          <w:sz w:val="24"/>
          <w:szCs w:val="24"/>
          <w:rtl/>
        </w:rPr>
        <w:t xml:space="preserve">שיטות משפט שונות, ואף בספרות האקדמית התייחסו לשיקול ה"כוונה", קרי כוונה להפוך להורה שמניעה את תהליך ההתעברות והבאת הילד לעולם, כשיקול </w:t>
      </w:r>
      <w:r>
        <w:rPr>
          <w:rFonts w:ascii="David" w:hAnsi="David" w:cs="David" w:hint="cs"/>
          <w:sz w:val="24"/>
          <w:szCs w:val="24"/>
          <w:rtl/>
        </w:rPr>
        <w:t>רלוונטי</w:t>
      </w:r>
      <w:r w:rsidRPr="003D564D">
        <w:rPr>
          <w:rFonts w:ascii="David" w:hAnsi="David" w:cs="David"/>
          <w:sz w:val="24"/>
          <w:szCs w:val="24"/>
          <w:rtl/>
        </w:rPr>
        <w:t xml:space="preserve"> לזיהוי ההורה המשפטי.</w:t>
      </w:r>
      <w:r w:rsidRPr="003D564D">
        <w:rPr>
          <w:rStyle w:val="FootnoteReference"/>
          <w:rFonts w:ascii="David" w:hAnsi="David" w:cs="David"/>
          <w:sz w:val="24"/>
          <w:szCs w:val="24"/>
          <w:rtl/>
        </w:rPr>
        <w:footnoteReference w:id="50"/>
      </w:r>
      <w:r w:rsidRPr="003D564D">
        <w:rPr>
          <w:rFonts w:ascii="David" w:hAnsi="David" w:cs="David"/>
          <w:sz w:val="24"/>
          <w:szCs w:val="24"/>
          <w:rtl/>
        </w:rPr>
        <w:t xml:space="preserve"> לגישתנו, במקרים רבים</w:t>
      </w:r>
      <w:r>
        <w:rPr>
          <w:rFonts w:ascii="David" w:hAnsi="David" w:cs="David" w:hint="cs"/>
          <w:sz w:val="24"/>
          <w:szCs w:val="24"/>
          <w:rtl/>
        </w:rPr>
        <w:t xml:space="preserve"> </w:t>
      </w:r>
      <w:r w:rsidRPr="003D564D">
        <w:rPr>
          <w:rFonts w:ascii="David" w:hAnsi="David" w:cs="David"/>
          <w:sz w:val="24"/>
          <w:szCs w:val="24"/>
          <w:rtl/>
        </w:rPr>
        <w:t xml:space="preserve">התמקדות </w:t>
      </w:r>
      <w:r>
        <w:rPr>
          <w:rFonts w:ascii="David" w:hAnsi="David" w:cs="David" w:hint="cs"/>
          <w:sz w:val="24"/>
          <w:szCs w:val="24"/>
          <w:rtl/>
        </w:rPr>
        <w:t>ברכיב הכוונה, על אף ההצדקות התומכות בה,</w:t>
      </w:r>
      <w:r w:rsidRPr="003D564D">
        <w:rPr>
          <w:rFonts w:ascii="David" w:hAnsi="David" w:cs="David"/>
          <w:sz w:val="24"/>
          <w:szCs w:val="24"/>
          <w:rtl/>
        </w:rPr>
        <w:t xml:space="preserve"> יוצרת אי</w:t>
      </w:r>
      <w:r w:rsidRPr="003D564D">
        <w:rPr>
          <w:rFonts w:ascii="David" w:hAnsi="David" w:cs="David" w:hint="cs"/>
          <w:sz w:val="24"/>
          <w:szCs w:val="24"/>
          <w:rtl/>
        </w:rPr>
        <w:t>-</w:t>
      </w:r>
      <w:r w:rsidRPr="003D564D">
        <w:rPr>
          <w:rFonts w:ascii="David" w:hAnsi="David" w:cs="David"/>
          <w:sz w:val="24"/>
          <w:szCs w:val="24"/>
          <w:rtl/>
        </w:rPr>
        <w:t>בהירות וקושי.</w:t>
      </w:r>
      <w:r w:rsidR="007E33FC">
        <w:rPr>
          <w:rStyle w:val="FootnoteReference"/>
          <w:rFonts w:ascii="David" w:hAnsi="David" w:cs="David"/>
          <w:sz w:val="24"/>
          <w:szCs w:val="24"/>
          <w:rtl/>
        </w:rPr>
        <w:footnoteReference w:id="51"/>
      </w:r>
      <w:r w:rsidRPr="003D564D">
        <w:rPr>
          <w:rFonts w:ascii="David" w:hAnsi="David" w:cs="David"/>
          <w:sz w:val="24"/>
          <w:szCs w:val="24"/>
          <w:rtl/>
        </w:rPr>
        <w:t xml:space="preserve"> די אם נציין שמן הבחינה המעשית קיים קושי לבסס ולהוכיח את קיומה של כוונה להפוך להורה במצבים </w:t>
      </w:r>
      <w:r w:rsidRPr="003D564D">
        <w:rPr>
          <w:rFonts w:ascii="David" w:hAnsi="David" w:cs="David" w:hint="cs"/>
          <w:sz w:val="24"/>
          <w:szCs w:val="24"/>
          <w:rtl/>
        </w:rPr>
        <w:t>ש</w:t>
      </w:r>
      <w:r w:rsidRPr="003D564D">
        <w:rPr>
          <w:rFonts w:ascii="David" w:hAnsi="David" w:cs="David"/>
          <w:sz w:val="24"/>
          <w:szCs w:val="24"/>
          <w:rtl/>
        </w:rPr>
        <w:t>בהם לא ניתן לה ביטוי פורמאלי ובדיעבד התעוררו מחלוקות באשר לקיומה או העדרה.</w:t>
      </w:r>
      <w:bookmarkStart w:id="43" w:name="_Ref80952735"/>
      <w:r w:rsidRPr="003D564D">
        <w:rPr>
          <w:rStyle w:val="FootnoteReference"/>
          <w:rFonts w:ascii="David" w:hAnsi="David" w:cs="David"/>
          <w:sz w:val="24"/>
          <w:szCs w:val="24"/>
          <w:rtl/>
        </w:rPr>
        <w:footnoteReference w:id="52"/>
      </w:r>
      <w:bookmarkEnd w:id="43"/>
      <w:r w:rsidRPr="003D564D">
        <w:rPr>
          <w:rFonts w:ascii="David" w:hAnsi="David" w:cs="David"/>
          <w:sz w:val="24"/>
          <w:szCs w:val="24"/>
          <w:rtl/>
        </w:rPr>
        <w:t xml:space="preserve"> כך ארע, למשל, במספר מקרים של פרידה בין שתי אימהות, כאשר רק אחת (זו הקשורה ביולוגית-גנטית) לילד הוכרה כהורה במשפט סמוך לאחר הלידה</w:t>
      </w:r>
      <w:r w:rsidRPr="003D564D">
        <w:rPr>
          <w:rFonts w:ascii="David" w:hAnsi="David" w:cs="David" w:hint="cs"/>
          <w:sz w:val="24"/>
          <w:szCs w:val="24"/>
          <w:rtl/>
        </w:rPr>
        <w:t>, ו</w:t>
      </w:r>
      <w:r w:rsidRPr="003D564D">
        <w:rPr>
          <w:rFonts w:ascii="David" w:hAnsi="David" w:cs="David"/>
          <w:sz w:val="24"/>
          <w:szCs w:val="24"/>
          <w:rtl/>
        </w:rPr>
        <w:t>מעמדה המשפטי של האם הנוספת</w:t>
      </w:r>
      <w:r w:rsidRPr="003D564D">
        <w:rPr>
          <w:rFonts w:ascii="David" w:hAnsi="David" w:cs="David" w:hint="cs"/>
          <w:sz w:val="24"/>
          <w:szCs w:val="24"/>
          <w:rtl/>
        </w:rPr>
        <w:t xml:space="preserve"> לא הוסדר</w:t>
      </w:r>
      <w:r w:rsidRPr="003D564D">
        <w:rPr>
          <w:rFonts w:ascii="David" w:hAnsi="David" w:cs="David"/>
          <w:sz w:val="24"/>
          <w:szCs w:val="24"/>
          <w:rtl/>
        </w:rPr>
        <w:t xml:space="preserve"> כל עוד הן היו במערכת יחסים זוגית.</w:t>
      </w:r>
      <w:r w:rsidRPr="003D564D">
        <w:rPr>
          <w:rStyle w:val="FootnoteReference"/>
          <w:rFonts w:ascii="David" w:hAnsi="David" w:cs="David"/>
          <w:sz w:val="24"/>
          <w:szCs w:val="24"/>
          <w:rtl/>
        </w:rPr>
        <w:footnoteReference w:id="53"/>
      </w:r>
      <w:r w:rsidRPr="003D564D">
        <w:rPr>
          <w:rFonts w:ascii="David" w:hAnsi="David" w:cs="David"/>
          <w:sz w:val="24"/>
          <w:szCs w:val="24"/>
          <w:rtl/>
        </w:rPr>
        <w:t>במקרים אלו שימשה לא אחת מערכת היחסים בין האימהות כאינדיקציה לקיומה של כוונה</w:t>
      </w:r>
      <w:r w:rsidRPr="003D564D">
        <w:rPr>
          <w:rFonts w:ascii="David" w:hAnsi="David" w:cs="David"/>
          <w:b/>
          <w:bCs/>
          <w:sz w:val="24"/>
          <w:szCs w:val="24"/>
          <w:rtl/>
        </w:rPr>
        <w:t xml:space="preserve"> </w:t>
      </w:r>
      <w:r w:rsidRPr="003D564D">
        <w:rPr>
          <w:rFonts w:ascii="David" w:hAnsi="David" w:cs="David"/>
          <w:sz w:val="24"/>
          <w:szCs w:val="24"/>
          <w:rtl/>
        </w:rPr>
        <w:t>מצידה של האם הנוספת להפוך להורה יחד עם האם המוכרת.</w:t>
      </w:r>
      <w:bookmarkStart w:id="44" w:name="_Ref64791006"/>
      <w:r w:rsidRPr="003D564D">
        <w:rPr>
          <w:rStyle w:val="FootnoteReference"/>
          <w:rFonts w:ascii="David" w:hAnsi="David" w:cs="David"/>
          <w:sz w:val="24"/>
          <w:szCs w:val="24"/>
          <w:rtl/>
        </w:rPr>
        <w:footnoteReference w:id="54"/>
      </w:r>
      <w:bookmarkEnd w:id="44"/>
      <w:r w:rsidRPr="003D564D">
        <w:rPr>
          <w:rFonts w:ascii="David" w:hAnsi="David" w:cs="David"/>
          <w:sz w:val="24"/>
          <w:szCs w:val="24"/>
          <w:rtl/>
        </w:rPr>
        <w:t xml:space="preserve"> הטיעון שלנו מבקש להכיר במערכת היחסים כשיקול עצמאי להכרה בהורות ולא רק כאינדיקציה לקיומה של כוונה להפוך להורה. זאת, לצד תפיסתנו הרואה </w:t>
      </w:r>
      <w:r w:rsidRPr="003D564D">
        <w:rPr>
          <w:rFonts w:ascii="David" w:hAnsi="David" w:cs="David"/>
          <w:b/>
          <w:bCs/>
          <w:sz w:val="24"/>
          <w:szCs w:val="24"/>
          <w:rtl/>
        </w:rPr>
        <w:t xml:space="preserve">גם </w:t>
      </w:r>
      <w:r w:rsidRPr="003D564D">
        <w:rPr>
          <w:rFonts w:ascii="David" w:hAnsi="David" w:cs="David"/>
          <w:sz w:val="24"/>
          <w:szCs w:val="24"/>
          <w:rtl/>
        </w:rPr>
        <w:t>ברכיב הכוונה להפוך להורה כרכיב בעל משמעות.</w:t>
      </w:r>
      <w:bookmarkStart w:id="45" w:name="_Ref64712697"/>
      <w:r w:rsidRPr="003D564D">
        <w:rPr>
          <w:rStyle w:val="FootnoteReference"/>
          <w:rFonts w:ascii="David" w:hAnsi="David" w:cs="David"/>
          <w:sz w:val="24"/>
          <w:szCs w:val="24"/>
          <w:rtl/>
        </w:rPr>
        <w:footnoteReference w:id="55"/>
      </w:r>
      <w:bookmarkEnd w:id="45"/>
    </w:p>
    <w:p w14:paraId="680418A4" w14:textId="1736A506"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lastRenderedPageBreak/>
        <w:t xml:space="preserve">ההצעה לראות במערכת היחסים בין ההורים המיועדים כשיקול עצמאי להכרה בהורות במשפט הועלתה </w:t>
      </w:r>
      <w:commentRangeStart w:id="46"/>
      <w:r w:rsidRPr="003D564D">
        <w:rPr>
          <w:rFonts w:ascii="David" w:hAnsi="David" w:cs="David"/>
          <w:sz w:val="24"/>
          <w:szCs w:val="24"/>
          <w:rtl/>
        </w:rPr>
        <w:t xml:space="preserve">לראשונה על ידי בלכר-פריגת. </w:t>
      </w:r>
      <w:commentRangeEnd w:id="46"/>
      <w:r>
        <w:rPr>
          <w:rStyle w:val="CommentReference"/>
          <w:rtl/>
        </w:rPr>
        <w:commentReference w:id="46"/>
      </w:r>
      <w:r w:rsidRPr="003D564D">
        <w:rPr>
          <w:rFonts w:ascii="David" w:hAnsi="David" w:cs="David"/>
          <w:sz w:val="24"/>
          <w:szCs w:val="24"/>
          <w:rtl/>
        </w:rPr>
        <w:t>הצעתה התבססה על כתיבתה לאורך השנים, ולפיה יחסי ההורות אינם רק יחסים אנכיים שבין הורה לילד, אלא ההורות היא גם מערכת יחסים אופקית בין שני אנשים שהם הורים במשותף.</w:t>
      </w:r>
      <w:r w:rsidRPr="003D564D">
        <w:rPr>
          <w:rStyle w:val="FootnoteReference"/>
          <w:rFonts w:ascii="David" w:hAnsi="David" w:cs="David"/>
          <w:sz w:val="24"/>
          <w:szCs w:val="24"/>
          <w:rtl/>
        </w:rPr>
        <w:footnoteReference w:id="56"/>
      </w:r>
      <w:r w:rsidRPr="003D564D">
        <w:rPr>
          <w:rFonts w:ascii="David" w:hAnsi="David" w:cs="David"/>
          <w:sz w:val="24"/>
          <w:szCs w:val="24"/>
          <w:rtl/>
        </w:rPr>
        <w:t xml:space="preserve"> ברוב המכריע של המקרים מכיר המשפט לא בהורה אחד לילד, אלא בשני הורים. קשר זה שבין ההורים במשותף הולך והופך למרכזי במשפט ומטיל על ההורים חובות הדדיות האחד כלפי השני, בפרט חובות של שיתוף פעולה במילוי האחריות ההורית כלפי הילדים המשותפים. גם בספרות האקדמית המשפטית גובר העיסוק במערכת היחסים בין מבוגרים הקשורים באמצעות הורות משותפת לילד או ילדה, וכך גם התפיסה לפיה מערכת יחסים שבין הורים במשותף יוצרת מחויבות עמוקה בין ההורים, מחויבות שאינה נשלטת על ידי אידיאולוגית הפרידה הקלה והנקייה המאפיינת את יחסי הזוגיות.</w:t>
      </w:r>
      <w:r w:rsidRPr="003D564D">
        <w:rPr>
          <w:rStyle w:val="FootnoteReference"/>
          <w:rFonts w:ascii="David" w:hAnsi="David" w:cs="David"/>
          <w:sz w:val="24"/>
          <w:szCs w:val="24"/>
          <w:rtl/>
        </w:rPr>
        <w:footnoteReference w:id="57"/>
      </w:r>
      <w:r w:rsidRPr="003D564D">
        <w:rPr>
          <w:rFonts w:ascii="David" w:hAnsi="David" w:cs="David"/>
          <w:sz w:val="24"/>
          <w:szCs w:val="24"/>
          <w:rtl/>
        </w:rPr>
        <w:t xml:space="preserve"> הורים מחויבים לתמוך ביחסי ההורות של כל אחת ואחד מהם עם הילד גם כאשר הם חיים בנפרד ואינם חולקים מערכת יחסים זוגית, וישנן שיטות משפט שאף מכירות בחובות כלכליות שיש להם האחד כלפי השני מעצם יחסי ההורות (להבדיל מחובות </w:t>
      </w:r>
      <w:r w:rsidRPr="003D564D">
        <w:rPr>
          <w:rFonts w:ascii="David" w:hAnsi="David" w:cs="David" w:hint="cs"/>
          <w:sz w:val="24"/>
          <w:szCs w:val="24"/>
          <w:rtl/>
        </w:rPr>
        <w:t>המבוססים</w:t>
      </w:r>
      <w:r w:rsidRPr="003D564D">
        <w:rPr>
          <w:rFonts w:ascii="David" w:hAnsi="David" w:cs="David"/>
          <w:sz w:val="24"/>
          <w:szCs w:val="24"/>
          <w:rtl/>
        </w:rPr>
        <w:t xml:space="preserve"> על יחסי הזוגיות).</w:t>
      </w:r>
      <w:r w:rsidRPr="003D564D">
        <w:rPr>
          <w:rStyle w:val="FootnoteReference"/>
          <w:rFonts w:ascii="David" w:hAnsi="David" w:cs="David"/>
          <w:sz w:val="24"/>
          <w:szCs w:val="24"/>
          <w:rtl/>
        </w:rPr>
        <w:footnoteReference w:id="58"/>
      </w:r>
    </w:p>
    <w:p w14:paraId="00324BDC"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הבנה זו של יחסי ההורות כיוצרים מחויבות משמעותית ארוכת טווח, הכוללת חובות של שיתוף פעולה, וייתכן שאף חובות כלכליות הדדיות, צריכה</w:t>
      </w:r>
      <w:r w:rsidRPr="003D564D">
        <w:rPr>
          <w:rFonts w:ascii="David" w:hAnsi="David" w:cs="David" w:hint="cs"/>
          <w:sz w:val="24"/>
          <w:szCs w:val="24"/>
          <w:rtl/>
        </w:rPr>
        <w:t>, לשיטתנו,</w:t>
      </w:r>
      <w:r w:rsidRPr="003D564D">
        <w:rPr>
          <w:rFonts w:ascii="David" w:hAnsi="David" w:cs="David"/>
          <w:sz w:val="24"/>
          <w:szCs w:val="24"/>
          <w:rtl/>
        </w:rPr>
        <w:t xml:space="preserve"> להשליך גם על האופן שבו מוגדרת ההורות במשפט מלכתחילה. במילים אחרות, מכיוון שההורות אינה רק קשר אנכי בין הורה לילד, אלא היא יוצרת במקרים רבים, גם קשר אופקי בין ההורים במשותף, קשר שמבחינה נורמטיבית אינו קל לניתוק או לפירוק, מן הראוי שהזיקות שנשקלות על ידי המשפט בהגדרת ההורות המשפטית לא יהיו רק זיקות שבין ההורה המיועד לילד, אלא גם זיקות המתייחסות להורים המיועדים </w:t>
      </w:r>
      <w:r>
        <w:rPr>
          <w:rFonts w:ascii="David" w:hAnsi="David" w:cs="David" w:hint="cs"/>
          <w:sz w:val="24"/>
          <w:szCs w:val="24"/>
          <w:rtl/>
        </w:rPr>
        <w:t>כ</w:t>
      </w:r>
      <w:r w:rsidRPr="003D564D">
        <w:rPr>
          <w:rFonts w:ascii="David" w:hAnsi="David" w:cs="David"/>
          <w:sz w:val="24"/>
          <w:szCs w:val="24"/>
          <w:rtl/>
        </w:rPr>
        <w:t>הורים במשותף. הכנסת שיקול מערכת היחסים כרכיב בהגדרת ההורות</w:t>
      </w:r>
      <w:r w:rsidRPr="003D564D">
        <w:rPr>
          <w:rFonts w:ascii="David" w:hAnsi="David" w:cs="David" w:hint="cs"/>
          <w:sz w:val="24"/>
          <w:szCs w:val="24"/>
          <w:rtl/>
        </w:rPr>
        <w:t>, כהיבט מקביל ומשלים למהלך האמור של בלכר-פריגת,</w:t>
      </w:r>
      <w:r w:rsidRPr="003D564D">
        <w:rPr>
          <w:rFonts w:ascii="David" w:hAnsi="David" w:cs="David"/>
          <w:sz w:val="24"/>
          <w:szCs w:val="24"/>
          <w:rtl/>
        </w:rPr>
        <w:t xml:space="preserve"> מטמיעה ערכים של דאגה, אחריות הדדית, ואכפתיות כערכים בסיסיים בהבניית ההורות</w:t>
      </w:r>
      <w:r>
        <w:rPr>
          <w:rFonts w:ascii="David" w:hAnsi="David" w:cs="David" w:hint="cs"/>
          <w:sz w:val="24"/>
          <w:szCs w:val="24"/>
          <w:rtl/>
        </w:rPr>
        <w:t>.</w:t>
      </w:r>
    </w:p>
    <w:p w14:paraId="2494E933" w14:textId="549E6C56" w:rsidR="00E0078C" w:rsidRPr="003D564D" w:rsidRDefault="00E0078C" w:rsidP="00E0078C">
      <w:pPr>
        <w:ind w:firstLine="340"/>
        <w:jc w:val="both"/>
        <w:rPr>
          <w:rFonts w:ascii="David" w:hAnsi="David" w:cs="David" w:hint="cs"/>
          <w:sz w:val="24"/>
          <w:szCs w:val="24"/>
          <w:rtl/>
        </w:rPr>
      </w:pPr>
      <w:r w:rsidRPr="003D564D">
        <w:rPr>
          <w:rFonts w:ascii="David" w:hAnsi="David" w:cs="David"/>
          <w:sz w:val="24"/>
          <w:szCs w:val="24"/>
          <w:rtl/>
        </w:rPr>
        <w:t>קשר הנישואים, ודאי שבעבר, היווה את הביטוי המובהק של מחויבות עמוקה וארוכת טווח לדאגה וטיפול משותפים בילדים, בין אם דאגה כלכלית ובין אם דאגה וטיפול בצרכים הגופניים והרגשיים של הילדים.</w:t>
      </w:r>
      <w:r w:rsidRPr="003D564D">
        <w:rPr>
          <w:rStyle w:val="BalloonTextChar"/>
          <w:rFonts w:ascii="David" w:hAnsi="David" w:cs="David"/>
          <w:sz w:val="24"/>
          <w:szCs w:val="24"/>
          <w:rtl/>
        </w:rPr>
        <w:t xml:space="preserve"> </w:t>
      </w:r>
      <w:r w:rsidRPr="003D564D">
        <w:rPr>
          <w:rFonts w:ascii="David" w:hAnsi="David" w:cs="David"/>
          <w:sz w:val="24"/>
          <w:szCs w:val="24"/>
          <w:rtl/>
        </w:rPr>
        <w:t xml:space="preserve">כיום, לא ראוי לבסס את הגדרת ההורות על קשר </w:t>
      </w:r>
      <w:r w:rsidRPr="00773142">
        <w:rPr>
          <w:rFonts w:ascii="David" w:hAnsi="David" w:cs="David"/>
          <w:i/>
          <w:iCs/>
          <w:sz w:val="24"/>
          <w:szCs w:val="24"/>
          <w:rtl/>
        </w:rPr>
        <w:t>הנישואים</w:t>
      </w:r>
      <w:r w:rsidRPr="003D564D">
        <w:rPr>
          <w:rFonts w:ascii="David" w:hAnsi="David" w:cs="David"/>
          <w:sz w:val="24"/>
          <w:szCs w:val="24"/>
          <w:rtl/>
        </w:rPr>
        <w:t xml:space="preserve"> דווקא, וזאת לאור העלייה המתמדת בחיי זוגיות, </w:t>
      </w:r>
      <w:r w:rsidR="00773142">
        <w:rPr>
          <w:rFonts w:ascii="David" w:hAnsi="David" w:cs="David" w:hint="cs"/>
          <w:sz w:val="24"/>
          <w:szCs w:val="24"/>
          <w:rtl/>
        </w:rPr>
        <w:t xml:space="preserve">כפי שמציינת </w:t>
      </w:r>
      <w:r w:rsidR="00773142" w:rsidRPr="00F82136">
        <w:rPr>
          <w:rFonts w:ascii="Narkisim" w:hAnsi="Narkisim" w:cs="Narkisim"/>
        </w:rPr>
        <w:t>Clare Huntington,</w:t>
      </w:r>
      <w:r w:rsidR="00773142">
        <w:rPr>
          <w:rFonts w:ascii="Narkisim" w:hAnsi="Narkisim" w:cs="Narkisim" w:hint="cs"/>
          <w:rtl/>
        </w:rPr>
        <w:t xml:space="preserve"> </w:t>
      </w:r>
      <w:r w:rsidR="00773142">
        <w:rPr>
          <w:rFonts w:ascii="David" w:hAnsi="David" w:cs="David" w:hint="cs"/>
          <w:sz w:val="24"/>
          <w:szCs w:val="24"/>
          <w:rtl/>
        </w:rPr>
        <w:t xml:space="preserve">ביחס למצב בארה"ב, </w:t>
      </w:r>
      <w:r w:rsidRPr="003D564D">
        <w:rPr>
          <w:rFonts w:ascii="David" w:hAnsi="David" w:cs="David"/>
          <w:sz w:val="24"/>
          <w:szCs w:val="24"/>
          <w:rtl/>
        </w:rPr>
        <w:t>המתאפיינים במחויבות הדדית ארוכת טווח, מחוץ לקשר הנישואים וכן במספר ההולך וגדל של ילדים הנולדים במסגרת קשרים זוגיים אלו.</w:t>
      </w:r>
      <w:r w:rsidRPr="003D564D">
        <w:rPr>
          <w:rStyle w:val="FootnoteReference"/>
          <w:rFonts w:ascii="David" w:hAnsi="David" w:cs="David"/>
          <w:sz w:val="24"/>
          <w:szCs w:val="24"/>
          <w:rtl/>
        </w:rPr>
        <w:footnoteReference w:id="59"/>
      </w:r>
      <w:r w:rsidRPr="003D564D">
        <w:rPr>
          <w:rFonts w:ascii="David" w:hAnsi="David" w:cs="David"/>
          <w:sz w:val="24"/>
          <w:szCs w:val="24"/>
          <w:rtl/>
        </w:rPr>
        <w:t xml:space="preserve"> נכון הדבר שבישראל קשר הנישואים עדיין תופס </w:t>
      </w:r>
      <w:r w:rsidRPr="003D564D">
        <w:rPr>
          <w:rFonts w:ascii="David" w:hAnsi="David" w:cs="David"/>
          <w:sz w:val="24"/>
          <w:szCs w:val="24"/>
          <w:rtl/>
        </w:rPr>
        <w:lastRenderedPageBreak/>
        <w:t>מקום מרכזי מבחינה חברתית, ומרבית הילדים נולדים לתוך קשר נישואים, אך בשל שליטת הדין הדתי על נישואים בישראל, זוגות רבים מנועים מלהינשא ואחרים מעדיפים שלא להינשא. לפיכך, גם בישראל לא ראוי לבסס את הגדרת ההורות דווקא על קשר משפטי של נישואים. אולם הטענה כי לא ראוי לבסס את הגדרת ההורות על קיומו של קשר נישואים דווקא</w:t>
      </w:r>
      <w:r w:rsidRPr="003D564D">
        <w:rPr>
          <w:rFonts w:ascii="David" w:hAnsi="David" w:cs="David" w:hint="cs"/>
          <w:sz w:val="24"/>
          <w:szCs w:val="24"/>
          <w:rtl/>
        </w:rPr>
        <w:t>,</w:t>
      </w:r>
      <w:r w:rsidRPr="003D564D">
        <w:rPr>
          <w:rFonts w:ascii="David" w:hAnsi="David" w:cs="David"/>
          <w:sz w:val="24"/>
          <w:szCs w:val="24"/>
          <w:rtl/>
        </w:rPr>
        <w:t xml:space="preserve"> אינה מחייבת את זניחת הטענה בדבר חשיבות מערכת היחסים שבין אנשים המועמדים בעיני המשפט להיות הורים יחדיו. עצם ההבנה שמערכת היחסים בין ההורים המיועדים היא משמעותית להגדרת כל אחד מהם כהורה היא ראויה ונכונה, ויש לתת לה ביטוי המתאים יותר לימינו.</w:t>
      </w:r>
    </w:p>
    <w:p w14:paraId="7FC31ECB"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עמדה זאת הקושרת בין הקשר האופקי שבין ההורים במשותף, ויהיו אלה לרוב זוגות,</w:t>
      </w:r>
      <w:r w:rsidRPr="003D564D">
        <w:rPr>
          <w:rStyle w:val="FootnoteReference"/>
          <w:rFonts w:ascii="David" w:hAnsi="David" w:cs="David"/>
          <w:sz w:val="24"/>
          <w:szCs w:val="24"/>
          <w:rtl/>
        </w:rPr>
        <w:footnoteReference w:id="60"/>
      </w:r>
      <w:r w:rsidRPr="003D564D">
        <w:rPr>
          <w:rFonts w:ascii="David" w:hAnsi="David" w:cs="David"/>
          <w:sz w:val="24"/>
          <w:szCs w:val="24"/>
          <w:rtl/>
        </w:rPr>
        <w:t xml:space="preserve"> לבין מעמדם כהורים</w:t>
      </w:r>
      <w:r>
        <w:rPr>
          <w:rFonts w:ascii="David" w:hAnsi="David" w:cs="David" w:hint="cs"/>
          <w:sz w:val="24"/>
          <w:szCs w:val="24"/>
          <w:rtl/>
        </w:rPr>
        <w:t>,</w:t>
      </w:r>
      <w:r w:rsidRPr="003D564D">
        <w:rPr>
          <w:rFonts w:ascii="David" w:hAnsi="David" w:cs="David"/>
          <w:sz w:val="24"/>
          <w:szCs w:val="24"/>
          <w:rtl/>
        </w:rPr>
        <w:t xml:space="preserve"> יכולה להיות מוסברת</w:t>
      </w:r>
      <w:r w:rsidRPr="003D564D">
        <w:rPr>
          <w:rFonts w:ascii="David" w:hAnsi="David" w:cs="David" w:hint="cs"/>
          <w:sz w:val="24"/>
          <w:szCs w:val="24"/>
          <w:rtl/>
        </w:rPr>
        <w:t>,</w:t>
      </w:r>
      <w:r w:rsidRPr="003D564D">
        <w:rPr>
          <w:rFonts w:ascii="David" w:hAnsi="David" w:cs="David"/>
          <w:sz w:val="24"/>
          <w:szCs w:val="24"/>
          <w:rtl/>
        </w:rPr>
        <w:t xml:space="preserve"> בדומה</w:t>
      </w:r>
      <w:r w:rsidRPr="003D564D">
        <w:rPr>
          <w:rFonts w:ascii="David" w:hAnsi="David" w:cs="David" w:hint="cs"/>
          <w:sz w:val="24"/>
          <w:szCs w:val="24"/>
          <w:rtl/>
        </w:rPr>
        <w:t>,</w:t>
      </w:r>
      <w:r w:rsidRPr="003D564D">
        <w:rPr>
          <w:rFonts w:ascii="David" w:hAnsi="David" w:cs="David"/>
          <w:sz w:val="24"/>
          <w:szCs w:val="24"/>
          <w:rtl/>
        </w:rPr>
        <w:t xml:space="preserve"> גם בהיותה מנבא טוב למחויבות טיפולית.</w:t>
      </w:r>
      <w:bookmarkStart w:id="47" w:name="_Ref64789696"/>
      <w:r w:rsidRPr="003D564D">
        <w:rPr>
          <w:rStyle w:val="FootnoteReference"/>
          <w:rFonts w:ascii="David" w:hAnsi="David" w:cs="David"/>
          <w:sz w:val="24"/>
          <w:szCs w:val="24"/>
          <w:rtl/>
        </w:rPr>
        <w:footnoteReference w:id="61"/>
      </w:r>
      <w:bookmarkEnd w:id="47"/>
      <w:r w:rsidRPr="003D564D">
        <w:rPr>
          <w:rFonts w:ascii="David" w:hAnsi="David" w:cs="David" w:hint="cs"/>
          <w:sz w:val="24"/>
          <w:szCs w:val="24"/>
          <w:rtl/>
        </w:rPr>
        <w:t xml:space="preserve"> ניתן להניח כי מערכת יחסים המושתתת על ערכים של אחריות, הסתמכות ודאגה הדדית בטרם הלידה </w:t>
      </w:r>
      <w:r w:rsidRPr="003D564D">
        <w:rPr>
          <w:rFonts w:ascii="David" w:hAnsi="David" w:cs="David"/>
          <w:sz w:val="24"/>
          <w:szCs w:val="24"/>
          <w:rtl/>
        </w:rPr>
        <w:t>–</w:t>
      </w:r>
      <w:r w:rsidRPr="003D564D">
        <w:rPr>
          <w:rFonts w:ascii="David" w:hAnsi="David" w:cs="David" w:hint="cs"/>
          <w:sz w:val="24"/>
          <w:szCs w:val="24"/>
          <w:rtl/>
        </w:rPr>
        <w:t xml:space="preserve"> כזו המאופיינת בהישענות רגשית וכלכלית של כל אחד מבני הזוג על רעהו </w:t>
      </w:r>
      <w:r w:rsidRPr="003D564D">
        <w:rPr>
          <w:rFonts w:ascii="David" w:hAnsi="David" w:cs="David"/>
          <w:sz w:val="24"/>
          <w:szCs w:val="24"/>
          <w:rtl/>
        </w:rPr>
        <w:t>–</w:t>
      </w:r>
      <w:r w:rsidRPr="003D564D">
        <w:rPr>
          <w:rFonts w:ascii="David" w:hAnsi="David" w:cs="David" w:hint="cs"/>
          <w:sz w:val="24"/>
          <w:szCs w:val="24"/>
          <w:rtl/>
        </w:rPr>
        <w:t xml:space="preserve"> תגלם ערכים אלו גם לאחר הלידה, וזאת באמצעות שיתוף במחויבויות הכרוכות בגידול הילד אשר נולד מתוך מערכת יחסים זוגית זו.</w:t>
      </w:r>
    </w:p>
    <w:p w14:paraId="7B815518" w14:textId="77777777" w:rsidR="00E0078C" w:rsidRPr="003D564D" w:rsidRDefault="00E0078C" w:rsidP="00E0078C">
      <w:pPr>
        <w:ind w:firstLine="340"/>
        <w:jc w:val="both"/>
        <w:rPr>
          <w:rFonts w:ascii="David" w:hAnsi="David" w:cs="David"/>
          <w:sz w:val="24"/>
          <w:szCs w:val="24"/>
          <w:rtl/>
        </w:rPr>
      </w:pPr>
      <w:r w:rsidRPr="003D564D">
        <w:rPr>
          <w:rFonts w:ascii="David" w:hAnsi="David" w:cs="David" w:hint="cs"/>
          <w:sz w:val="24"/>
          <w:szCs w:val="24"/>
          <w:rtl/>
        </w:rPr>
        <w:t>יתרון נוסף</w:t>
      </w:r>
      <w:r w:rsidRPr="003D564D">
        <w:rPr>
          <w:rFonts w:ascii="David" w:hAnsi="David" w:cs="David"/>
          <w:sz w:val="24"/>
          <w:szCs w:val="24"/>
          <w:rtl/>
        </w:rPr>
        <w:t xml:space="preserve"> </w:t>
      </w:r>
      <w:r w:rsidRPr="003D564D">
        <w:rPr>
          <w:rFonts w:ascii="David" w:hAnsi="David" w:cs="David" w:hint="cs"/>
          <w:sz w:val="24"/>
          <w:szCs w:val="24"/>
          <w:rtl/>
        </w:rPr>
        <w:t xml:space="preserve">של עמדה זאת, המבקשת להסיט את הדגש מתעצומות ביולוגיות אל מהות הקשר בין ההורים, נעוץ בהצגת </w:t>
      </w:r>
      <w:r w:rsidRPr="003D564D">
        <w:rPr>
          <w:rFonts w:ascii="David" w:hAnsi="David" w:cs="David"/>
          <w:sz w:val="24"/>
          <w:szCs w:val="24"/>
          <w:rtl/>
        </w:rPr>
        <w:t xml:space="preserve">חלופה </w:t>
      </w:r>
      <w:r w:rsidRPr="003D564D">
        <w:rPr>
          <w:rFonts w:ascii="David" w:hAnsi="David" w:cs="David" w:hint="cs"/>
          <w:sz w:val="24"/>
          <w:szCs w:val="24"/>
          <w:rtl/>
        </w:rPr>
        <w:t>ניטרלית</w:t>
      </w:r>
      <w:r w:rsidRPr="003D564D">
        <w:rPr>
          <w:rFonts w:ascii="David" w:hAnsi="David" w:cs="David"/>
          <w:sz w:val="24"/>
          <w:szCs w:val="24"/>
          <w:rtl/>
        </w:rPr>
        <w:t xml:space="preserve"> מגדרית</w:t>
      </w:r>
      <w:r w:rsidRPr="003D564D">
        <w:rPr>
          <w:rFonts w:ascii="David" w:hAnsi="David" w:cs="David" w:hint="cs"/>
          <w:sz w:val="24"/>
          <w:szCs w:val="24"/>
          <w:rtl/>
        </w:rPr>
        <w:t xml:space="preserve"> </w:t>
      </w:r>
      <w:r w:rsidRPr="003D564D">
        <w:rPr>
          <w:rFonts w:ascii="David" w:hAnsi="David" w:cs="David"/>
          <w:sz w:val="24"/>
          <w:szCs w:val="24"/>
          <w:rtl/>
        </w:rPr>
        <w:t xml:space="preserve">המאפשרת הכרה במגוון </w:t>
      </w:r>
      <w:r w:rsidRPr="003D564D">
        <w:rPr>
          <w:rFonts w:ascii="David" w:hAnsi="David" w:cs="David" w:hint="cs"/>
          <w:sz w:val="24"/>
          <w:szCs w:val="24"/>
          <w:rtl/>
        </w:rPr>
        <w:t>תצורות</w:t>
      </w:r>
      <w:r w:rsidRPr="003D564D">
        <w:rPr>
          <w:rFonts w:ascii="David" w:hAnsi="David" w:cs="David"/>
          <w:sz w:val="24"/>
          <w:szCs w:val="24"/>
          <w:rtl/>
        </w:rPr>
        <w:t xml:space="preserve"> משפחתיות.</w:t>
      </w:r>
      <w:bookmarkStart w:id="48" w:name="_Ref64794530"/>
      <w:r w:rsidRPr="003D564D">
        <w:rPr>
          <w:rStyle w:val="FootnoteReference"/>
          <w:rFonts w:ascii="David" w:hAnsi="David" w:cs="David"/>
          <w:sz w:val="24"/>
          <w:szCs w:val="24"/>
          <w:rtl/>
        </w:rPr>
        <w:footnoteReference w:id="62"/>
      </w:r>
      <w:bookmarkEnd w:id="48"/>
      <w:r w:rsidRPr="003D564D">
        <w:rPr>
          <w:rFonts w:ascii="David" w:hAnsi="David" w:cs="David" w:hint="cs"/>
          <w:sz w:val="24"/>
          <w:szCs w:val="24"/>
          <w:rtl/>
        </w:rPr>
        <w:t xml:space="preserve"> עמדה זו שואפת לעצב את המוסד המשפטי של ההורות כך שיהלום את המנעד העשיר של תצורות המשפחה הקיימות כיום, ביניהן משפחות שבהן יש שתי אימהות או שני אבות.</w:t>
      </w:r>
      <w:r w:rsidRPr="003D564D">
        <w:rPr>
          <w:rStyle w:val="FootnoteReference"/>
          <w:rFonts w:ascii="David" w:hAnsi="David" w:cs="David"/>
          <w:sz w:val="24"/>
          <w:szCs w:val="24"/>
          <w:rtl/>
        </w:rPr>
        <w:footnoteReference w:id="63"/>
      </w:r>
    </w:p>
    <w:p w14:paraId="2BAA6398" w14:textId="5CAF0ECF"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רוב הילדים נולדים מ</w:t>
      </w:r>
      <w:r w:rsidRPr="003D564D">
        <w:rPr>
          <w:rFonts w:ascii="David" w:hAnsi="David" w:cs="David" w:hint="cs"/>
          <w:sz w:val="24"/>
          <w:szCs w:val="24"/>
          <w:rtl/>
        </w:rPr>
        <w:t xml:space="preserve">תוך </w:t>
      </w:r>
      <w:r w:rsidRPr="003D564D">
        <w:rPr>
          <w:rFonts w:ascii="David" w:hAnsi="David" w:cs="David"/>
          <w:sz w:val="24"/>
          <w:szCs w:val="24"/>
          <w:rtl/>
        </w:rPr>
        <w:t>קשר זוגי ואל תוכו, ואף עשויים לגדול לאורך השנים בחיק אותה זוגיות</w:t>
      </w:r>
      <w:r w:rsidRPr="003D564D">
        <w:rPr>
          <w:rFonts w:ascii="David" w:hAnsi="David" w:cs="David" w:hint="cs"/>
          <w:sz w:val="24"/>
          <w:szCs w:val="24"/>
          <w:rtl/>
        </w:rPr>
        <w:t>. במובן זה, עמדה זאת משקפת את המציאות החברתית. ראוי כי המשפט יהלום את המציאות המשפחתית-חברתית של חיי הילד, לטובתו ולטובת יתר בני המשפחה.</w:t>
      </w:r>
      <w:r w:rsidR="001F094B">
        <w:rPr>
          <w:rStyle w:val="FootnoteReference"/>
          <w:rFonts w:ascii="David" w:hAnsi="David" w:cs="David"/>
          <w:sz w:val="24"/>
          <w:szCs w:val="24"/>
          <w:rtl/>
        </w:rPr>
        <w:footnoteReference w:id="64"/>
      </w:r>
      <w:r w:rsidRPr="003D564D">
        <w:rPr>
          <w:rFonts w:ascii="David" w:hAnsi="David" w:cs="David" w:hint="cs"/>
          <w:sz w:val="24"/>
          <w:szCs w:val="24"/>
          <w:rtl/>
        </w:rPr>
        <w:t xml:space="preserve"> הכרה במציאות זאת משמרת ודאות ויציבות בחיי הילד ומגנה עליו מפני זעזועים שעלולים להתרחש עם פרידת הוריו. הבנה זו אף תואמת את המציאות החברתית של חיי הזוג.  </w:t>
      </w:r>
      <w:r w:rsidRPr="003D564D">
        <w:rPr>
          <w:rFonts w:ascii="David" w:hAnsi="David" w:cs="David" w:hint="eastAsia"/>
          <w:sz w:val="24"/>
          <w:szCs w:val="24"/>
          <w:rtl/>
        </w:rPr>
        <w:t>מבחן</w:t>
      </w:r>
      <w:r w:rsidRPr="003D564D">
        <w:rPr>
          <w:rFonts w:ascii="David" w:hAnsi="David" w:cs="David"/>
          <w:sz w:val="24"/>
          <w:szCs w:val="24"/>
          <w:rtl/>
        </w:rPr>
        <w:t xml:space="preserve"> </w:t>
      </w:r>
      <w:r w:rsidRPr="003D564D">
        <w:rPr>
          <w:rFonts w:ascii="David" w:hAnsi="David" w:cs="David" w:hint="eastAsia"/>
          <w:sz w:val="24"/>
          <w:szCs w:val="24"/>
          <w:rtl/>
        </w:rPr>
        <w:t>הזוגיות</w:t>
      </w:r>
      <w:r w:rsidRPr="003D564D">
        <w:rPr>
          <w:rFonts w:ascii="David" w:hAnsi="David" w:cs="David"/>
          <w:sz w:val="24"/>
          <w:szCs w:val="24"/>
          <w:rtl/>
        </w:rPr>
        <w:t xml:space="preserve"> </w:t>
      </w:r>
      <w:r w:rsidRPr="003D564D">
        <w:rPr>
          <w:rFonts w:ascii="David" w:hAnsi="David" w:cs="David" w:hint="eastAsia"/>
          <w:sz w:val="24"/>
          <w:szCs w:val="24"/>
          <w:rtl/>
        </w:rPr>
        <w:t>המדגיש</w:t>
      </w:r>
      <w:r w:rsidRPr="003D564D">
        <w:rPr>
          <w:rFonts w:ascii="David" w:hAnsi="David" w:cs="David"/>
          <w:sz w:val="24"/>
          <w:szCs w:val="24"/>
          <w:rtl/>
        </w:rPr>
        <w:t xml:space="preserve"> </w:t>
      </w:r>
      <w:r w:rsidRPr="003D564D">
        <w:rPr>
          <w:rFonts w:ascii="David" w:hAnsi="David" w:cs="David" w:hint="eastAsia"/>
          <w:sz w:val="24"/>
          <w:szCs w:val="24"/>
          <w:rtl/>
        </w:rPr>
        <w:t>את</w:t>
      </w:r>
      <w:r w:rsidRPr="003D564D">
        <w:rPr>
          <w:rFonts w:ascii="David" w:hAnsi="David" w:cs="David"/>
          <w:sz w:val="24"/>
          <w:szCs w:val="24"/>
          <w:rtl/>
        </w:rPr>
        <w:t xml:space="preserve"> </w:t>
      </w:r>
      <w:r w:rsidRPr="003D564D">
        <w:rPr>
          <w:rFonts w:ascii="David" w:hAnsi="David" w:cs="David" w:hint="eastAsia"/>
          <w:sz w:val="24"/>
          <w:szCs w:val="24"/>
          <w:rtl/>
        </w:rPr>
        <w:t>המקום</w:t>
      </w:r>
      <w:r w:rsidRPr="003D564D">
        <w:rPr>
          <w:rFonts w:ascii="David" w:hAnsi="David" w:cs="David"/>
          <w:sz w:val="24"/>
          <w:szCs w:val="24"/>
          <w:rtl/>
        </w:rPr>
        <w:t xml:space="preserve"> </w:t>
      </w:r>
      <w:r w:rsidRPr="003D564D">
        <w:rPr>
          <w:rFonts w:ascii="David" w:hAnsi="David" w:cs="David" w:hint="eastAsia"/>
          <w:sz w:val="24"/>
          <w:szCs w:val="24"/>
          <w:rtl/>
        </w:rPr>
        <w:t>שיש</w:t>
      </w:r>
      <w:r w:rsidRPr="003D564D">
        <w:rPr>
          <w:rFonts w:ascii="David" w:hAnsi="David" w:cs="David"/>
          <w:sz w:val="24"/>
          <w:szCs w:val="24"/>
          <w:rtl/>
        </w:rPr>
        <w:t xml:space="preserve"> </w:t>
      </w:r>
      <w:r w:rsidRPr="003D564D">
        <w:rPr>
          <w:rFonts w:ascii="David" w:hAnsi="David" w:cs="David" w:hint="eastAsia"/>
          <w:sz w:val="24"/>
          <w:szCs w:val="24"/>
          <w:rtl/>
        </w:rPr>
        <w:t>לקשר</w:t>
      </w:r>
      <w:r w:rsidRPr="003D564D">
        <w:rPr>
          <w:rFonts w:ascii="David" w:hAnsi="David" w:cs="David"/>
          <w:sz w:val="24"/>
          <w:szCs w:val="24"/>
          <w:rtl/>
        </w:rPr>
        <w:t xml:space="preserve"> </w:t>
      </w:r>
      <w:r w:rsidRPr="003D564D">
        <w:rPr>
          <w:rFonts w:ascii="David" w:hAnsi="David" w:cs="David" w:hint="eastAsia"/>
          <w:sz w:val="24"/>
          <w:szCs w:val="24"/>
          <w:rtl/>
        </w:rPr>
        <w:t>בין</w:t>
      </w:r>
      <w:r w:rsidRPr="003D564D">
        <w:rPr>
          <w:rFonts w:ascii="David" w:hAnsi="David" w:cs="David"/>
          <w:sz w:val="24"/>
          <w:szCs w:val="24"/>
          <w:rtl/>
        </w:rPr>
        <w:t xml:space="preserve"> </w:t>
      </w:r>
      <w:r w:rsidRPr="003D564D">
        <w:rPr>
          <w:rFonts w:ascii="David" w:hAnsi="David" w:cs="David" w:hint="eastAsia"/>
          <w:sz w:val="24"/>
          <w:szCs w:val="24"/>
          <w:rtl/>
        </w:rPr>
        <w:t>האם</w:t>
      </w:r>
      <w:r w:rsidRPr="003D564D">
        <w:rPr>
          <w:rFonts w:ascii="David" w:hAnsi="David" w:cs="David"/>
          <w:sz w:val="24"/>
          <w:szCs w:val="24"/>
          <w:rtl/>
        </w:rPr>
        <w:t xml:space="preserve"> </w:t>
      </w:r>
      <w:r w:rsidRPr="003D564D">
        <w:rPr>
          <w:rFonts w:ascii="David" w:hAnsi="David" w:cs="David" w:hint="eastAsia"/>
          <w:sz w:val="24"/>
          <w:szCs w:val="24"/>
          <w:rtl/>
        </w:rPr>
        <w:t>ובן</w:t>
      </w:r>
      <w:r w:rsidRPr="003D564D">
        <w:rPr>
          <w:rFonts w:ascii="David" w:hAnsi="David" w:cs="David"/>
          <w:sz w:val="24"/>
          <w:szCs w:val="24"/>
          <w:rtl/>
        </w:rPr>
        <w:t xml:space="preserve"> </w:t>
      </w:r>
      <w:r w:rsidRPr="003D564D">
        <w:rPr>
          <w:rFonts w:ascii="David" w:hAnsi="David" w:cs="David" w:hint="eastAsia"/>
          <w:sz w:val="24"/>
          <w:szCs w:val="24"/>
          <w:rtl/>
        </w:rPr>
        <w:t>זוגה</w:t>
      </w:r>
      <w:r w:rsidRPr="003D564D">
        <w:rPr>
          <w:rFonts w:ascii="David" w:hAnsi="David" w:cs="David"/>
          <w:sz w:val="24"/>
          <w:szCs w:val="24"/>
          <w:rtl/>
        </w:rPr>
        <w:t xml:space="preserve"> </w:t>
      </w:r>
      <w:r w:rsidRPr="003D564D">
        <w:rPr>
          <w:rFonts w:ascii="David" w:hAnsi="David" w:cs="David" w:hint="eastAsia"/>
          <w:sz w:val="24"/>
          <w:szCs w:val="24"/>
          <w:rtl/>
        </w:rPr>
        <w:t>או</w:t>
      </w:r>
      <w:r w:rsidRPr="003D564D">
        <w:rPr>
          <w:rFonts w:ascii="David" w:hAnsi="David" w:cs="David"/>
          <w:sz w:val="24"/>
          <w:szCs w:val="24"/>
          <w:rtl/>
        </w:rPr>
        <w:t xml:space="preserve"> </w:t>
      </w:r>
      <w:r w:rsidRPr="003D564D">
        <w:rPr>
          <w:rFonts w:ascii="David" w:hAnsi="David" w:cs="David" w:hint="eastAsia"/>
          <w:sz w:val="24"/>
          <w:szCs w:val="24"/>
          <w:rtl/>
        </w:rPr>
        <w:t>בת</w:t>
      </w:r>
      <w:r w:rsidRPr="003D564D">
        <w:rPr>
          <w:rFonts w:ascii="David" w:hAnsi="David" w:cs="David"/>
          <w:sz w:val="24"/>
          <w:szCs w:val="24"/>
          <w:rtl/>
        </w:rPr>
        <w:t xml:space="preserve"> </w:t>
      </w:r>
      <w:r w:rsidRPr="003D564D">
        <w:rPr>
          <w:rFonts w:ascii="David" w:hAnsi="David" w:cs="David" w:hint="eastAsia"/>
          <w:sz w:val="24"/>
          <w:szCs w:val="24"/>
          <w:rtl/>
        </w:rPr>
        <w:t>זוגה</w:t>
      </w:r>
      <w:r w:rsidRPr="003D564D">
        <w:rPr>
          <w:rFonts w:ascii="David" w:hAnsi="David" w:cs="David"/>
          <w:sz w:val="24"/>
          <w:szCs w:val="24"/>
          <w:rtl/>
        </w:rPr>
        <w:t xml:space="preserve">, </w:t>
      </w:r>
      <w:r w:rsidRPr="003D564D">
        <w:rPr>
          <w:rFonts w:ascii="David" w:hAnsi="David" w:cs="David" w:hint="eastAsia"/>
          <w:sz w:val="24"/>
          <w:szCs w:val="24"/>
          <w:rtl/>
        </w:rPr>
        <w:t>ובין</w:t>
      </w:r>
      <w:r w:rsidRPr="003D564D">
        <w:rPr>
          <w:rFonts w:ascii="David" w:hAnsi="David" w:cs="David"/>
          <w:sz w:val="24"/>
          <w:szCs w:val="24"/>
          <w:rtl/>
        </w:rPr>
        <w:t xml:space="preserve"> </w:t>
      </w:r>
      <w:r w:rsidRPr="003D564D">
        <w:rPr>
          <w:rFonts w:ascii="David" w:hAnsi="David" w:cs="David" w:hint="eastAsia"/>
          <w:sz w:val="24"/>
          <w:szCs w:val="24"/>
          <w:rtl/>
        </w:rPr>
        <w:t>האב</w:t>
      </w:r>
      <w:r w:rsidRPr="003D564D">
        <w:rPr>
          <w:rFonts w:ascii="David" w:hAnsi="David" w:cs="David"/>
          <w:sz w:val="24"/>
          <w:szCs w:val="24"/>
          <w:rtl/>
        </w:rPr>
        <w:t xml:space="preserve"> </w:t>
      </w:r>
      <w:r w:rsidRPr="003D564D">
        <w:rPr>
          <w:rFonts w:ascii="David" w:hAnsi="David" w:cs="David" w:hint="eastAsia"/>
          <w:sz w:val="24"/>
          <w:szCs w:val="24"/>
          <w:rtl/>
        </w:rPr>
        <w:t>ובן</w:t>
      </w:r>
      <w:r w:rsidRPr="003D564D">
        <w:rPr>
          <w:rFonts w:ascii="David" w:hAnsi="David" w:cs="David"/>
          <w:sz w:val="24"/>
          <w:szCs w:val="24"/>
          <w:rtl/>
        </w:rPr>
        <w:t xml:space="preserve"> </w:t>
      </w:r>
      <w:r w:rsidRPr="003D564D">
        <w:rPr>
          <w:rFonts w:ascii="David" w:hAnsi="David" w:cs="David" w:hint="eastAsia"/>
          <w:sz w:val="24"/>
          <w:szCs w:val="24"/>
          <w:rtl/>
        </w:rPr>
        <w:t>או</w:t>
      </w:r>
      <w:r w:rsidRPr="003D564D">
        <w:rPr>
          <w:rFonts w:ascii="David" w:hAnsi="David" w:cs="David"/>
          <w:sz w:val="24"/>
          <w:szCs w:val="24"/>
          <w:rtl/>
        </w:rPr>
        <w:t xml:space="preserve"> </w:t>
      </w:r>
      <w:r w:rsidRPr="003D564D">
        <w:rPr>
          <w:rFonts w:ascii="David" w:hAnsi="David" w:cs="David" w:hint="eastAsia"/>
          <w:sz w:val="24"/>
          <w:szCs w:val="24"/>
          <w:rtl/>
        </w:rPr>
        <w:t>בת</w:t>
      </w:r>
      <w:r w:rsidRPr="003D564D">
        <w:rPr>
          <w:rFonts w:ascii="David" w:hAnsi="David" w:cs="David"/>
          <w:sz w:val="24"/>
          <w:szCs w:val="24"/>
          <w:rtl/>
        </w:rPr>
        <w:t xml:space="preserve"> </w:t>
      </w:r>
      <w:r w:rsidRPr="003D564D">
        <w:rPr>
          <w:rFonts w:ascii="David" w:hAnsi="David" w:cs="David" w:hint="eastAsia"/>
          <w:sz w:val="24"/>
          <w:szCs w:val="24"/>
          <w:rtl/>
        </w:rPr>
        <w:t>זוגו</w:t>
      </w:r>
      <w:r w:rsidRPr="003D564D">
        <w:rPr>
          <w:rFonts w:ascii="David" w:hAnsi="David" w:cs="David"/>
          <w:sz w:val="24"/>
          <w:szCs w:val="24"/>
          <w:rtl/>
        </w:rPr>
        <w:t xml:space="preserve">, </w:t>
      </w:r>
      <w:r w:rsidRPr="003D564D">
        <w:rPr>
          <w:rFonts w:ascii="David" w:hAnsi="David" w:cs="David" w:hint="eastAsia"/>
          <w:sz w:val="24"/>
          <w:szCs w:val="24"/>
          <w:rtl/>
        </w:rPr>
        <w:t>בקביעת</w:t>
      </w:r>
      <w:r w:rsidRPr="003D564D">
        <w:rPr>
          <w:rFonts w:ascii="David" w:hAnsi="David" w:cs="David"/>
          <w:sz w:val="24"/>
          <w:szCs w:val="24"/>
          <w:rtl/>
        </w:rPr>
        <w:t xml:space="preserve"> </w:t>
      </w:r>
      <w:r w:rsidRPr="003D564D">
        <w:rPr>
          <w:rFonts w:ascii="David" w:hAnsi="David" w:cs="David" w:hint="eastAsia"/>
          <w:sz w:val="24"/>
          <w:szCs w:val="24"/>
          <w:rtl/>
        </w:rPr>
        <w:t>הורותם</w:t>
      </w:r>
      <w:r w:rsidRPr="003D564D">
        <w:rPr>
          <w:rFonts w:ascii="David" w:hAnsi="David" w:cs="David"/>
          <w:sz w:val="24"/>
          <w:szCs w:val="24"/>
          <w:rtl/>
        </w:rPr>
        <w:t xml:space="preserve">, </w:t>
      </w:r>
      <w:r w:rsidRPr="003D564D">
        <w:rPr>
          <w:rFonts w:ascii="David" w:hAnsi="David" w:cs="David" w:hint="eastAsia"/>
          <w:sz w:val="24"/>
          <w:szCs w:val="24"/>
          <w:rtl/>
        </w:rPr>
        <w:t>מניח</w:t>
      </w:r>
      <w:r w:rsidRPr="003D564D">
        <w:rPr>
          <w:rFonts w:ascii="David" w:hAnsi="David" w:cs="David"/>
          <w:sz w:val="24"/>
          <w:szCs w:val="24"/>
          <w:rtl/>
        </w:rPr>
        <w:t xml:space="preserve"> (הנחה </w:t>
      </w:r>
      <w:r w:rsidRPr="003D564D">
        <w:rPr>
          <w:rFonts w:ascii="David" w:hAnsi="David" w:cs="David" w:hint="eastAsia"/>
          <w:sz w:val="24"/>
          <w:szCs w:val="24"/>
          <w:rtl/>
        </w:rPr>
        <w:t>המבוססת</w:t>
      </w:r>
      <w:r w:rsidRPr="003D564D">
        <w:rPr>
          <w:rFonts w:ascii="David" w:hAnsi="David" w:cs="David"/>
          <w:sz w:val="24"/>
          <w:szCs w:val="24"/>
          <w:rtl/>
        </w:rPr>
        <w:t xml:space="preserve"> </w:t>
      </w:r>
      <w:r w:rsidRPr="003D564D">
        <w:rPr>
          <w:rFonts w:ascii="David" w:hAnsi="David" w:cs="David" w:hint="eastAsia"/>
          <w:sz w:val="24"/>
          <w:szCs w:val="24"/>
          <w:rtl/>
        </w:rPr>
        <w:t>על</w:t>
      </w:r>
      <w:r w:rsidRPr="003D564D">
        <w:rPr>
          <w:rFonts w:ascii="David" w:hAnsi="David" w:cs="David"/>
          <w:sz w:val="24"/>
          <w:szCs w:val="24"/>
          <w:rtl/>
        </w:rPr>
        <w:t xml:space="preserve"> </w:t>
      </w:r>
      <w:r w:rsidRPr="003D564D">
        <w:rPr>
          <w:rFonts w:ascii="David" w:hAnsi="David" w:cs="David" w:hint="eastAsia"/>
          <w:sz w:val="24"/>
          <w:szCs w:val="24"/>
          <w:rtl/>
        </w:rPr>
        <w:t>השכל</w:t>
      </w:r>
      <w:r w:rsidRPr="003D564D">
        <w:rPr>
          <w:rFonts w:ascii="David" w:hAnsi="David" w:cs="David"/>
          <w:sz w:val="24"/>
          <w:szCs w:val="24"/>
          <w:rtl/>
        </w:rPr>
        <w:t xml:space="preserve"> </w:t>
      </w:r>
      <w:r w:rsidRPr="003D564D">
        <w:rPr>
          <w:rFonts w:ascii="David" w:hAnsi="David" w:cs="David" w:hint="eastAsia"/>
          <w:sz w:val="24"/>
          <w:szCs w:val="24"/>
          <w:rtl/>
        </w:rPr>
        <w:t>הישר</w:t>
      </w:r>
      <w:r w:rsidRPr="003D564D">
        <w:rPr>
          <w:rFonts w:ascii="David" w:hAnsi="David" w:cs="David"/>
          <w:sz w:val="24"/>
          <w:szCs w:val="24"/>
          <w:rtl/>
        </w:rPr>
        <w:t xml:space="preserve">) </w:t>
      </w:r>
      <w:r w:rsidRPr="003D564D">
        <w:rPr>
          <w:rFonts w:ascii="David" w:hAnsi="David" w:cs="David" w:hint="eastAsia"/>
          <w:sz w:val="24"/>
          <w:szCs w:val="24"/>
          <w:rtl/>
        </w:rPr>
        <w:t>כי</w:t>
      </w:r>
      <w:r w:rsidRPr="003D564D">
        <w:rPr>
          <w:rFonts w:ascii="David" w:hAnsi="David" w:cs="David"/>
          <w:sz w:val="24"/>
          <w:szCs w:val="24"/>
          <w:rtl/>
        </w:rPr>
        <w:t xml:space="preserve"> </w:t>
      </w:r>
      <w:r w:rsidRPr="003D564D">
        <w:rPr>
          <w:rFonts w:ascii="David" w:hAnsi="David" w:cs="David" w:hint="eastAsia"/>
          <w:sz w:val="24"/>
          <w:szCs w:val="24"/>
          <w:rtl/>
        </w:rPr>
        <w:t>בני</w:t>
      </w:r>
      <w:r w:rsidRPr="003D564D">
        <w:rPr>
          <w:rFonts w:ascii="David" w:hAnsi="David" w:cs="David"/>
          <w:sz w:val="24"/>
          <w:szCs w:val="24"/>
          <w:rtl/>
        </w:rPr>
        <w:t xml:space="preserve"> </w:t>
      </w:r>
      <w:r w:rsidRPr="003D564D">
        <w:rPr>
          <w:rFonts w:ascii="David" w:hAnsi="David" w:cs="David" w:hint="eastAsia"/>
          <w:sz w:val="24"/>
          <w:szCs w:val="24"/>
          <w:rtl/>
        </w:rPr>
        <w:t>זוג</w:t>
      </w:r>
      <w:r w:rsidRPr="003D564D">
        <w:rPr>
          <w:rFonts w:ascii="David" w:hAnsi="David" w:cs="David"/>
          <w:sz w:val="24"/>
          <w:szCs w:val="24"/>
          <w:rtl/>
        </w:rPr>
        <w:t xml:space="preserve"> </w:t>
      </w:r>
      <w:r w:rsidRPr="003D564D">
        <w:rPr>
          <w:rFonts w:ascii="David" w:hAnsi="David" w:cs="David" w:hint="eastAsia"/>
          <w:sz w:val="24"/>
          <w:szCs w:val="24"/>
          <w:rtl/>
        </w:rPr>
        <w:t>יוצאים</w:t>
      </w:r>
      <w:r w:rsidRPr="003D564D">
        <w:rPr>
          <w:rFonts w:ascii="David" w:hAnsi="David" w:cs="David"/>
          <w:sz w:val="24"/>
          <w:szCs w:val="24"/>
          <w:rtl/>
        </w:rPr>
        <w:t xml:space="preserve"> </w:t>
      </w:r>
      <w:r w:rsidRPr="003D564D">
        <w:rPr>
          <w:rFonts w:ascii="David" w:hAnsi="David" w:cs="David" w:hint="eastAsia"/>
          <w:sz w:val="24"/>
          <w:szCs w:val="24"/>
          <w:rtl/>
        </w:rPr>
        <w:t>אל</w:t>
      </w:r>
      <w:r w:rsidRPr="003D564D">
        <w:rPr>
          <w:rFonts w:ascii="David" w:hAnsi="David" w:cs="David"/>
          <w:sz w:val="24"/>
          <w:szCs w:val="24"/>
          <w:rtl/>
        </w:rPr>
        <w:t xml:space="preserve"> </w:t>
      </w:r>
      <w:r w:rsidRPr="003D564D">
        <w:rPr>
          <w:rFonts w:ascii="David" w:hAnsi="David" w:cs="David" w:hint="eastAsia"/>
          <w:sz w:val="24"/>
          <w:szCs w:val="24"/>
          <w:rtl/>
        </w:rPr>
        <w:t>מסע</w:t>
      </w:r>
      <w:r w:rsidRPr="003D564D">
        <w:rPr>
          <w:rFonts w:ascii="David" w:hAnsi="David" w:cs="David"/>
          <w:sz w:val="24"/>
          <w:szCs w:val="24"/>
          <w:rtl/>
        </w:rPr>
        <w:t xml:space="preserve"> </w:t>
      </w:r>
      <w:r w:rsidRPr="003D564D">
        <w:rPr>
          <w:rFonts w:ascii="David" w:hAnsi="David" w:cs="David" w:hint="eastAsia"/>
          <w:sz w:val="24"/>
          <w:szCs w:val="24"/>
          <w:rtl/>
        </w:rPr>
        <w:t>ההורות</w:t>
      </w:r>
      <w:r w:rsidRPr="003D564D">
        <w:rPr>
          <w:rFonts w:ascii="David" w:hAnsi="David" w:cs="David"/>
          <w:sz w:val="24"/>
          <w:szCs w:val="24"/>
          <w:rtl/>
        </w:rPr>
        <w:t xml:space="preserve"> </w:t>
      </w:r>
      <w:r w:rsidRPr="003D564D">
        <w:rPr>
          <w:rFonts w:ascii="David" w:hAnsi="David" w:cs="David" w:hint="eastAsia"/>
          <w:sz w:val="24"/>
          <w:szCs w:val="24"/>
          <w:rtl/>
        </w:rPr>
        <w:t>יחד</w:t>
      </w:r>
      <w:r w:rsidRPr="003D564D">
        <w:rPr>
          <w:rFonts w:ascii="David" w:hAnsi="David" w:cs="David"/>
          <w:sz w:val="24"/>
          <w:szCs w:val="24"/>
          <w:rtl/>
        </w:rPr>
        <w:t xml:space="preserve">. </w:t>
      </w:r>
      <w:r w:rsidRPr="003D564D">
        <w:rPr>
          <w:rFonts w:ascii="David" w:hAnsi="David" w:cs="David" w:hint="eastAsia"/>
          <w:sz w:val="24"/>
          <w:szCs w:val="24"/>
          <w:rtl/>
        </w:rPr>
        <w:t>זאת</w:t>
      </w:r>
      <w:r w:rsidRPr="003D564D">
        <w:rPr>
          <w:rFonts w:ascii="David" w:hAnsi="David" w:cs="David"/>
          <w:sz w:val="24"/>
          <w:szCs w:val="24"/>
          <w:rtl/>
        </w:rPr>
        <w:t xml:space="preserve"> </w:t>
      </w:r>
      <w:r w:rsidRPr="003D564D">
        <w:rPr>
          <w:rFonts w:ascii="David" w:hAnsi="David" w:cs="David" w:hint="eastAsia"/>
          <w:sz w:val="24"/>
          <w:szCs w:val="24"/>
          <w:rtl/>
        </w:rPr>
        <w:t>שאיפה</w:t>
      </w:r>
      <w:r w:rsidRPr="003D564D">
        <w:rPr>
          <w:rFonts w:ascii="David" w:hAnsi="David" w:cs="David"/>
          <w:sz w:val="24"/>
          <w:szCs w:val="24"/>
          <w:rtl/>
        </w:rPr>
        <w:t xml:space="preserve"> </w:t>
      </w:r>
      <w:r w:rsidRPr="003D564D">
        <w:rPr>
          <w:rFonts w:ascii="David" w:hAnsi="David" w:cs="David" w:hint="eastAsia"/>
          <w:sz w:val="24"/>
          <w:szCs w:val="24"/>
          <w:rtl/>
        </w:rPr>
        <w:t>הגלומה</w:t>
      </w:r>
      <w:r w:rsidRPr="003D564D">
        <w:rPr>
          <w:rFonts w:ascii="David" w:hAnsi="David" w:cs="David"/>
          <w:sz w:val="24"/>
          <w:szCs w:val="24"/>
          <w:rtl/>
        </w:rPr>
        <w:t xml:space="preserve"> </w:t>
      </w:r>
      <w:r w:rsidRPr="003D564D">
        <w:rPr>
          <w:rFonts w:ascii="David" w:hAnsi="David" w:cs="David" w:hint="eastAsia"/>
          <w:sz w:val="24"/>
          <w:szCs w:val="24"/>
          <w:rtl/>
        </w:rPr>
        <w:t>בקשר</w:t>
      </w:r>
      <w:r w:rsidRPr="003D564D">
        <w:rPr>
          <w:rFonts w:ascii="David" w:hAnsi="David" w:cs="David"/>
          <w:sz w:val="24"/>
          <w:szCs w:val="24"/>
          <w:rtl/>
        </w:rPr>
        <w:t xml:space="preserve"> </w:t>
      </w:r>
      <w:r w:rsidRPr="003D564D">
        <w:rPr>
          <w:rFonts w:ascii="David" w:hAnsi="David" w:cs="David" w:hint="eastAsia"/>
          <w:sz w:val="24"/>
          <w:szCs w:val="24"/>
          <w:rtl/>
        </w:rPr>
        <w:lastRenderedPageBreak/>
        <w:t>הזוגיות</w:t>
      </w:r>
      <w:r w:rsidRPr="003D564D">
        <w:rPr>
          <w:rFonts w:ascii="David" w:hAnsi="David" w:cs="David"/>
          <w:sz w:val="24"/>
          <w:szCs w:val="24"/>
          <w:rtl/>
        </w:rPr>
        <w:t>,</w:t>
      </w:r>
      <w:r w:rsidRPr="003D564D">
        <w:rPr>
          <w:rStyle w:val="FootnoteReference"/>
          <w:rFonts w:ascii="David" w:hAnsi="David" w:cs="David"/>
          <w:sz w:val="24"/>
          <w:szCs w:val="24"/>
          <w:rtl/>
        </w:rPr>
        <w:footnoteReference w:id="65"/>
      </w:r>
      <w:r w:rsidRPr="003D564D">
        <w:rPr>
          <w:rFonts w:ascii="David" w:hAnsi="David" w:cs="David"/>
          <w:sz w:val="24"/>
          <w:szCs w:val="24"/>
          <w:rtl/>
        </w:rPr>
        <w:t xml:space="preserve"> </w:t>
      </w:r>
      <w:r w:rsidRPr="003D564D">
        <w:rPr>
          <w:rFonts w:ascii="David" w:hAnsi="David" w:cs="David" w:hint="eastAsia"/>
          <w:sz w:val="24"/>
          <w:szCs w:val="24"/>
          <w:rtl/>
        </w:rPr>
        <w:t>ובמקרים</w:t>
      </w:r>
      <w:r w:rsidRPr="003D564D">
        <w:rPr>
          <w:rFonts w:ascii="David" w:hAnsi="David" w:cs="David"/>
          <w:sz w:val="24"/>
          <w:szCs w:val="24"/>
          <w:rtl/>
        </w:rPr>
        <w:t xml:space="preserve"> </w:t>
      </w:r>
      <w:r w:rsidRPr="003D564D">
        <w:rPr>
          <w:rFonts w:ascii="David" w:hAnsi="David" w:cs="David" w:hint="eastAsia"/>
          <w:sz w:val="24"/>
          <w:szCs w:val="24"/>
          <w:rtl/>
        </w:rPr>
        <w:t>רבים</w:t>
      </w:r>
      <w:r w:rsidRPr="003D564D">
        <w:rPr>
          <w:rFonts w:ascii="David" w:hAnsi="David" w:cs="David"/>
          <w:sz w:val="24"/>
          <w:szCs w:val="24"/>
          <w:rtl/>
        </w:rPr>
        <w:t xml:space="preserve"> </w:t>
      </w:r>
      <w:r w:rsidRPr="003D564D">
        <w:rPr>
          <w:rFonts w:ascii="David" w:hAnsi="David" w:cs="David" w:hint="eastAsia"/>
          <w:sz w:val="24"/>
          <w:szCs w:val="24"/>
          <w:rtl/>
        </w:rPr>
        <w:t>זוגות</w:t>
      </w:r>
      <w:r w:rsidRPr="003D564D">
        <w:rPr>
          <w:rFonts w:ascii="David" w:hAnsi="David" w:cs="David"/>
          <w:sz w:val="24"/>
          <w:szCs w:val="24"/>
          <w:rtl/>
        </w:rPr>
        <w:t xml:space="preserve"> </w:t>
      </w:r>
      <w:r w:rsidRPr="003D564D">
        <w:rPr>
          <w:rFonts w:ascii="David" w:hAnsi="David" w:cs="David" w:hint="eastAsia"/>
          <w:sz w:val="24"/>
          <w:szCs w:val="24"/>
          <w:rtl/>
        </w:rPr>
        <w:t>בוחרים</w:t>
      </w:r>
      <w:r w:rsidRPr="003D564D">
        <w:rPr>
          <w:rFonts w:ascii="David" w:hAnsi="David" w:cs="David"/>
          <w:sz w:val="24"/>
          <w:szCs w:val="24"/>
          <w:rtl/>
        </w:rPr>
        <w:t xml:space="preserve"> </w:t>
      </w:r>
      <w:r w:rsidRPr="003D564D">
        <w:rPr>
          <w:rFonts w:ascii="David" w:hAnsi="David" w:cs="David" w:hint="eastAsia"/>
          <w:sz w:val="24"/>
          <w:szCs w:val="24"/>
          <w:rtl/>
        </w:rPr>
        <w:t>למסד</w:t>
      </w:r>
      <w:r w:rsidRPr="003D564D">
        <w:rPr>
          <w:rFonts w:ascii="David" w:hAnsi="David" w:cs="David"/>
          <w:sz w:val="24"/>
          <w:szCs w:val="24"/>
          <w:rtl/>
        </w:rPr>
        <w:t xml:space="preserve"> </w:t>
      </w:r>
      <w:r w:rsidRPr="003D564D">
        <w:rPr>
          <w:rFonts w:ascii="David" w:hAnsi="David" w:cs="David" w:hint="eastAsia"/>
          <w:sz w:val="24"/>
          <w:szCs w:val="24"/>
          <w:rtl/>
        </w:rPr>
        <w:t>את</w:t>
      </w:r>
      <w:r w:rsidRPr="003D564D">
        <w:rPr>
          <w:rFonts w:ascii="David" w:hAnsi="David" w:cs="David"/>
          <w:sz w:val="24"/>
          <w:szCs w:val="24"/>
          <w:rtl/>
        </w:rPr>
        <w:t xml:space="preserve"> </w:t>
      </w:r>
      <w:r w:rsidRPr="003D564D">
        <w:rPr>
          <w:rFonts w:ascii="David" w:hAnsi="David" w:cs="David" w:hint="eastAsia"/>
          <w:sz w:val="24"/>
          <w:szCs w:val="24"/>
          <w:rtl/>
        </w:rPr>
        <w:t>הקשר</w:t>
      </w:r>
      <w:r w:rsidRPr="003D564D">
        <w:rPr>
          <w:rFonts w:ascii="David" w:hAnsi="David" w:cs="David"/>
          <w:sz w:val="24"/>
          <w:szCs w:val="24"/>
          <w:rtl/>
        </w:rPr>
        <w:t xml:space="preserve"> </w:t>
      </w:r>
      <w:r w:rsidRPr="003D564D">
        <w:rPr>
          <w:rFonts w:ascii="David" w:hAnsi="David" w:cs="David" w:hint="eastAsia"/>
          <w:sz w:val="24"/>
          <w:szCs w:val="24"/>
          <w:rtl/>
        </w:rPr>
        <w:t>הזוגי</w:t>
      </w:r>
      <w:r w:rsidRPr="003D564D">
        <w:rPr>
          <w:rFonts w:ascii="David" w:hAnsi="David" w:cs="David"/>
          <w:sz w:val="24"/>
          <w:szCs w:val="24"/>
          <w:rtl/>
        </w:rPr>
        <w:t xml:space="preserve"> </w:t>
      </w:r>
      <w:r w:rsidRPr="003D564D">
        <w:rPr>
          <w:rFonts w:ascii="David" w:hAnsi="David" w:cs="David" w:hint="eastAsia"/>
          <w:sz w:val="24"/>
          <w:szCs w:val="24"/>
          <w:rtl/>
        </w:rPr>
        <w:t>כשלב</w:t>
      </w:r>
      <w:r w:rsidRPr="003D564D">
        <w:rPr>
          <w:rFonts w:ascii="David" w:hAnsi="David" w:cs="David"/>
          <w:sz w:val="24"/>
          <w:szCs w:val="24"/>
          <w:rtl/>
        </w:rPr>
        <w:t xml:space="preserve"> </w:t>
      </w:r>
      <w:r w:rsidRPr="003D564D">
        <w:rPr>
          <w:rFonts w:ascii="David" w:hAnsi="David" w:cs="David" w:hint="eastAsia"/>
          <w:sz w:val="24"/>
          <w:szCs w:val="24"/>
          <w:rtl/>
        </w:rPr>
        <w:t>מקדמי</w:t>
      </w:r>
      <w:r w:rsidRPr="003D564D">
        <w:rPr>
          <w:rFonts w:ascii="David" w:hAnsi="David" w:cs="David"/>
          <w:sz w:val="24"/>
          <w:szCs w:val="24"/>
          <w:rtl/>
        </w:rPr>
        <w:t xml:space="preserve"> </w:t>
      </w:r>
      <w:r w:rsidRPr="003D564D">
        <w:rPr>
          <w:rFonts w:ascii="David" w:hAnsi="David" w:cs="David" w:hint="eastAsia"/>
          <w:sz w:val="24"/>
          <w:szCs w:val="24"/>
          <w:rtl/>
        </w:rPr>
        <w:t>להפיכתם</w:t>
      </w:r>
      <w:r w:rsidRPr="003D564D">
        <w:rPr>
          <w:rFonts w:ascii="David" w:hAnsi="David" w:cs="David"/>
          <w:sz w:val="24"/>
          <w:szCs w:val="24"/>
          <w:rtl/>
        </w:rPr>
        <w:t xml:space="preserve"> </w:t>
      </w:r>
      <w:r w:rsidRPr="003D564D">
        <w:rPr>
          <w:rFonts w:ascii="David" w:hAnsi="David" w:cs="David" w:hint="eastAsia"/>
          <w:sz w:val="24"/>
          <w:szCs w:val="24"/>
          <w:rtl/>
        </w:rPr>
        <w:t>להורים</w:t>
      </w:r>
      <w:r w:rsidRPr="003D564D">
        <w:rPr>
          <w:rFonts w:ascii="David" w:hAnsi="David" w:cs="David"/>
          <w:sz w:val="24"/>
          <w:szCs w:val="24"/>
          <w:rtl/>
        </w:rPr>
        <w:t>.</w:t>
      </w:r>
      <w:r w:rsidRPr="003D564D">
        <w:rPr>
          <w:rStyle w:val="FootnoteReference"/>
          <w:rFonts w:ascii="David" w:hAnsi="David" w:cs="David"/>
          <w:sz w:val="24"/>
          <w:szCs w:val="24"/>
          <w:rtl/>
        </w:rPr>
        <w:footnoteReference w:id="66"/>
      </w:r>
      <w:r w:rsidRPr="003D564D">
        <w:rPr>
          <w:rFonts w:ascii="David" w:hAnsi="David" w:cs="David"/>
          <w:sz w:val="24"/>
          <w:szCs w:val="24"/>
          <w:rtl/>
        </w:rPr>
        <w:t xml:space="preserve"> </w:t>
      </w:r>
      <w:r w:rsidRPr="003D564D">
        <w:rPr>
          <w:rFonts w:ascii="David" w:hAnsi="David" w:cs="David" w:hint="cs"/>
          <w:sz w:val="24"/>
          <w:szCs w:val="24"/>
          <w:rtl/>
        </w:rPr>
        <w:t>הנחה</w:t>
      </w:r>
      <w:r>
        <w:rPr>
          <w:rFonts w:ascii="David" w:hAnsi="David" w:cs="David" w:hint="cs"/>
          <w:sz w:val="24"/>
          <w:szCs w:val="24"/>
          <w:rtl/>
        </w:rPr>
        <w:t>,</w:t>
      </w:r>
      <w:r w:rsidRPr="003D564D">
        <w:rPr>
          <w:rFonts w:ascii="David" w:hAnsi="David" w:cs="David"/>
          <w:sz w:val="24"/>
          <w:szCs w:val="24"/>
          <w:rtl/>
        </w:rPr>
        <w:t xml:space="preserve"> שיש בה הגיון, בוודאי במאפיינים התרבותיים של החברה הישראלית, היא שבני זוג צעירים, החיים יחד חיי משפחה, בין אם נשואים ובין אם ידועים בציבור, </w:t>
      </w:r>
      <w:r>
        <w:rPr>
          <w:rFonts w:ascii="David" w:hAnsi="David" w:cs="David" w:hint="cs"/>
          <w:sz w:val="24"/>
          <w:szCs w:val="24"/>
          <w:rtl/>
        </w:rPr>
        <w:t xml:space="preserve"> יביאו לעולם</w:t>
      </w:r>
      <w:r w:rsidRPr="003D564D">
        <w:rPr>
          <w:rFonts w:ascii="David" w:hAnsi="David" w:cs="David"/>
          <w:sz w:val="24"/>
          <w:szCs w:val="24"/>
          <w:rtl/>
        </w:rPr>
        <w:t xml:space="preserve"> ילדים משותפים.</w:t>
      </w:r>
      <w:r w:rsidRPr="003D564D">
        <w:rPr>
          <w:rStyle w:val="FootnoteReference"/>
          <w:rFonts w:ascii="David" w:hAnsi="David" w:cs="David"/>
          <w:sz w:val="24"/>
          <w:szCs w:val="24"/>
          <w:rtl/>
        </w:rPr>
        <w:footnoteReference w:id="67"/>
      </w:r>
    </w:p>
    <w:p w14:paraId="42BB8B05" w14:textId="77777777" w:rsidR="00E0078C" w:rsidRPr="003D564D" w:rsidRDefault="00E0078C" w:rsidP="00E0078C">
      <w:pPr>
        <w:ind w:firstLine="340"/>
        <w:jc w:val="both"/>
        <w:rPr>
          <w:rFonts w:ascii="David" w:hAnsi="David" w:cs="David"/>
          <w:sz w:val="24"/>
          <w:szCs w:val="24"/>
          <w:rtl/>
        </w:rPr>
      </w:pPr>
      <w:r w:rsidRPr="003D564D">
        <w:rPr>
          <w:rFonts w:ascii="David" w:hAnsi="David" w:cs="David"/>
          <w:sz w:val="24"/>
          <w:szCs w:val="24"/>
          <w:rtl/>
        </w:rPr>
        <w:t xml:space="preserve">חשוב להדגיש: איננו טוענים טיעון המצדיק הכרה בשני הורים לילד בכל מקרה ומקרה. טיעוננו אינו טיעון נורמטיבי בעד הכרה בשני הורים, ולפיו המשפט צריך לשאוף לכך שלכל ילד יהיה יותר מהורה אחד (אך לא יותר משניים). טיעוננו בהקשר זה מבוסס על המציאות החברתית-משפטית הקיימת. אנו מכירים בהורות יחידנית ואף תומכים באפשרות להכרה בריבוי הורים. כך, שיקולים הנוגעים לקשר שבין ההורים הפוטנציאלים (או העדרו) עשויים להביא להכרה בהורות יחידנית ולשלול את מעמדו של אדם כהורה. אולם לא במצבים אלו עוסק מאמרנו זה. מאמרנו מתמקד במצבים הטיפוסיים </w:t>
      </w:r>
      <w:r w:rsidRPr="003D564D">
        <w:rPr>
          <w:rFonts w:ascii="David" w:hAnsi="David" w:cs="David" w:hint="cs"/>
          <w:sz w:val="24"/>
          <w:szCs w:val="24"/>
          <w:rtl/>
        </w:rPr>
        <w:t>ש</w:t>
      </w:r>
      <w:r w:rsidRPr="003D564D">
        <w:rPr>
          <w:rFonts w:ascii="David" w:hAnsi="David" w:cs="David"/>
          <w:sz w:val="24"/>
          <w:szCs w:val="24"/>
          <w:rtl/>
        </w:rPr>
        <w:t>בהם ילדים נולדים לתוך מערכת יחסים זוגית, בין אם בני זוג בני אותו מין או בני זוג ממינים שונים, ובין אם הם קשורים מכוח גנטיקה או לידה לשני הצדדים למערכת היחסים הזוגית או רק לאחד מהם.</w:t>
      </w:r>
    </w:p>
    <w:p w14:paraId="2FD11FA0" w14:textId="35A54AA2" w:rsidR="00E0078C" w:rsidRDefault="00E0078C" w:rsidP="00E0078C">
      <w:pPr>
        <w:ind w:firstLine="340"/>
        <w:jc w:val="both"/>
        <w:rPr>
          <w:rFonts w:ascii="David" w:hAnsi="David" w:cs="David"/>
          <w:sz w:val="24"/>
          <w:szCs w:val="24"/>
          <w:rtl/>
        </w:rPr>
      </w:pPr>
      <w:r w:rsidRPr="003D564D">
        <w:rPr>
          <w:rFonts w:ascii="David" w:hAnsi="David" w:cs="David" w:hint="eastAsia"/>
          <w:sz w:val="24"/>
          <w:szCs w:val="24"/>
          <w:rtl/>
        </w:rPr>
        <w:t>יתרונותיה</w:t>
      </w:r>
      <w:r w:rsidRPr="003D564D">
        <w:rPr>
          <w:rFonts w:ascii="David" w:hAnsi="David" w:cs="David"/>
          <w:sz w:val="24"/>
          <w:szCs w:val="24"/>
          <w:rtl/>
        </w:rPr>
        <w:t xml:space="preserve"> </w:t>
      </w:r>
      <w:r w:rsidRPr="003D564D">
        <w:rPr>
          <w:rFonts w:ascii="David" w:hAnsi="David" w:cs="David" w:hint="eastAsia"/>
          <w:sz w:val="24"/>
          <w:szCs w:val="24"/>
          <w:rtl/>
        </w:rPr>
        <w:t>של</w:t>
      </w:r>
      <w:r w:rsidRPr="003D564D">
        <w:rPr>
          <w:rFonts w:ascii="David" w:hAnsi="David" w:cs="David"/>
          <w:sz w:val="24"/>
          <w:szCs w:val="24"/>
          <w:rtl/>
        </w:rPr>
        <w:t xml:space="preserve"> </w:t>
      </w:r>
      <w:r w:rsidRPr="003D564D">
        <w:rPr>
          <w:rFonts w:ascii="David" w:hAnsi="David" w:cs="David" w:hint="eastAsia"/>
          <w:sz w:val="24"/>
          <w:szCs w:val="24"/>
          <w:rtl/>
        </w:rPr>
        <w:t>עמדה</w:t>
      </w:r>
      <w:r w:rsidRPr="003D564D">
        <w:rPr>
          <w:rFonts w:ascii="David" w:hAnsi="David" w:cs="David"/>
          <w:sz w:val="24"/>
          <w:szCs w:val="24"/>
          <w:rtl/>
        </w:rPr>
        <w:t xml:space="preserve"> </w:t>
      </w:r>
      <w:r w:rsidRPr="003D564D">
        <w:rPr>
          <w:rFonts w:ascii="David" w:hAnsi="David" w:cs="David" w:hint="eastAsia"/>
          <w:sz w:val="24"/>
          <w:szCs w:val="24"/>
          <w:rtl/>
        </w:rPr>
        <w:t>זאת</w:t>
      </w:r>
      <w:r w:rsidRPr="003D564D">
        <w:rPr>
          <w:rFonts w:ascii="David" w:hAnsi="David" w:cs="David" w:hint="cs"/>
          <w:sz w:val="24"/>
          <w:szCs w:val="24"/>
          <w:rtl/>
        </w:rPr>
        <w:t>, הקוראת כאמור, לקשור בין קשר הזוגיות למעמד ההורות ומצביעה על יתרונותיה של הזיקה האמורה,</w:t>
      </w:r>
      <w:r w:rsidRPr="003D564D">
        <w:rPr>
          <w:rFonts w:ascii="David" w:hAnsi="David" w:cs="David"/>
          <w:sz w:val="24"/>
          <w:szCs w:val="24"/>
          <w:rtl/>
        </w:rPr>
        <w:t xml:space="preserve"> </w:t>
      </w:r>
      <w:r w:rsidRPr="003D564D">
        <w:rPr>
          <w:rFonts w:ascii="David" w:hAnsi="David" w:cs="David" w:hint="eastAsia"/>
          <w:sz w:val="24"/>
          <w:szCs w:val="24"/>
          <w:rtl/>
        </w:rPr>
        <w:t>מתחדדים</w:t>
      </w:r>
      <w:r w:rsidRPr="003D564D">
        <w:rPr>
          <w:rFonts w:ascii="David" w:hAnsi="David" w:cs="David"/>
          <w:sz w:val="24"/>
          <w:szCs w:val="24"/>
          <w:rtl/>
        </w:rPr>
        <w:t xml:space="preserve"> </w:t>
      </w:r>
      <w:r w:rsidRPr="003D564D">
        <w:rPr>
          <w:rFonts w:ascii="David" w:hAnsi="David" w:cs="David" w:hint="eastAsia"/>
          <w:sz w:val="24"/>
          <w:szCs w:val="24"/>
          <w:rtl/>
        </w:rPr>
        <w:t>מול</w:t>
      </w:r>
      <w:r w:rsidRPr="003D564D">
        <w:rPr>
          <w:rFonts w:ascii="David" w:hAnsi="David" w:cs="David"/>
          <w:sz w:val="24"/>
          <w:szCs w:val="24"/>
          <w:rtl/>
        </w:rPr>
        <w:t xml:space="preserve"> </w:t>
      </w:r>
      <w:r w:rsidRPr="003D564D">
        <w:rPr>
          <w:rFonts w:ascii="David" w:hAnsi="David" w:cs="David" w:hint="eastAsia"/>
          <w:sz w:val="24"/>
          <w:szCs w:val="24"/>
          <w:rtl/>
        </w:rPr>
        <w:t>חולשתם</w:t>
      </w:r>
      <w:r w:rsidRPr="003D564D">
        <w:rPr>
          <w:rFonts w:ascii="David" w:hAnsi="David" w:cs="David"/>
          <w:sz w:val="24"/>
          <w:szCs w:val="24"/>
          <w:rtl/>
        </w:rPr>
        <w:t xml:space="preserve"> </w:t>
      </w:r>
      <w:r w:rsidRPr="003D564D">
        <w:rPr>
          <w:rFonts w:ascii="David" w:hAnsi="David" w:cs="David" w:hint="eastAsia"/>
          <w:sz w:val="24"/>
          <w:szCs w:val="24"/>
          <w:rtl/>
        </w:rPr>
        <w:t>של</w:t>
      </w:r>
      <w:r w:rsidRPr="003D564D">
        <w:rPr>
          <w:rFonts w:ascii="David" w:hAnsi="David" w:cs="David"/>
          <w:sz w:val="24"/>
          <w:szCs w:val="24"/>
          <w:rtl/>
        </w:rPr>
        <w:t xml:space="preserve"> </w:t>
      </w:r>
      <w:r w:rsidRPr="003D564D">
        <w:rPr>
          <w:rFonts w:ascii="David" w:hAnsi="David" w:cs="David" w:hint="eastAsia"/>
          <w:sz w:val="24"/>
          <w:szCs w:val="24"/>
          <w:rtl/>
        </w:rPr>
        <w:t>המודלים</w:t>
      </w:r>
      <w:r w:rsidRPr="003D564D">
        <w:rPr>
          <w:rFonts w:ascii="David" w:hAnsi="David" w:cs="David"/>
          <w:sz w:val="24"/>
          <w:szCs w:val="24"/>
          <w:rtl/>
        </w:rPr>
        <w:t xml:space="preserve"> </w:t>
      </w:r>
      <w:r w:rsidRPr="003D564D">
        <w:rPr>
          <w:rFonts w:ascii="David" w:hAnsi="David" w:cs="David" w:hint="eastAsia"/>
          <w:sz w:val="24"/>
          <w:szCs w:val="24"/>
          <w:rtl/>
        </w:rPr>
        <w:t>האחרים</w:t>
      </w:r>
      <w:r w:rsidRPr="003D564D">
        <w:rPr>
          <w:rFonts w:ascii="David" w:hAnsi="David" w:cs="David"/>
          <w:sz w:val="24"/>
          <w:szCs w:val="24"/>
          <w:rtl/>
        </w:rPr>
        <w:t xml:space="preserve">, </w:t>
      </w:r>
      <w:r w:rsidRPr="003D564D">
        <w:rPr>
          <w:rFonts w:ascii="David" w:hAnsi="David" w:cs="David" w:hint="eastAsia"/>
          <w:sz w:val="24"/>
          <w:szCs w:val="24"/>
          <w:rtl/>
        </w:rPr>
        <w:t>זה</w:t>
      </w:r>
      <w:r w:rsidRPr="003D564D">
        <w:rPr>
          <w:rFonts w:ascii="David" w:hAnsi="David" w:cs="David"/>
          <w:sz w:val="24"/>
          <w:szCs w:val="24"/>
          <w:rtl/>
        </w:rPr>
        <w:t xml:space="preserve"> </w:t>
      </w:r>
      <w:r w:rsidRPr="003D564D">
        <w:rPr>
          <w:rFonts w:ascii="David" w:hAnsi="David" w:cs="David" w:hint="eastAsia"/>
          <w:sz w:val="24"/>
          <w:szCs w:val="24"/>
          <w:rtl/>
        </w:rPr>
        <w:t>הדוגל</w:t>
      </w:r>
      <w:r w:rsidRPr="003D564D">
        <w:rPr>
          <w:rFonts w:ascii="David" w:hAnsi="David" w:cs="David"/>
          <w:sz w:val="24"/>
          <w:szCs w:val="24"/>
          <w:rtl/>
        </w:rPr>
        <w:t xml:space="preserve"> </w:t>
      </w:r>
      <w:r w:rsidRPr="003D564D">
        <w:rPr>
          <w:rFonts w:ascii="David" w:hAnsi="David" w:cs="David" w:hint="eastAsia"/>
          <w:sz w:val="24"/>
          <w:szCs w:val="24"/>
          <w:rtl/>
        </w:rPr>
        <w:t>בזיהוי</w:t>
      </w:r>
      <w:r w:rsidRPr="003D564D">
        <w:rPr>
          <w:rFonts w:ascii="David" w:hAnsi="David" w:cs="David"/>
          <w:sz w:val="24"/>
          <w:szCs w:val="24"/>
          <w:rtl/>
        </w:rPr>
        <w:t xml:space="preserve"> </w:t>
      </w:r>
      <w:r w:rsidRPr="003D564D">
        <w:rPr>
          <w:rFonts w:ascii="David" w:hAnsi="David" w:cs="David" w:hint="eastAsia"/>
          <w:sz w:val="24"/>
          <w:szCs w:val="24"/>
          <w:rtl/>
        </w:rPr>
        <w:t>הורה</w:t>
      </w:r>
      <w:r w:rsidRPr="003D564D">
        <w:rPr>
          <w:rFonts w:ascii="David" w:hAnsi="David" w:cs="David"/>
          <w:sz w:val="24"/>
          <w:szCs w:val="24"/>
          <w:rtl/>
        </w:rPr>
        <w:t xml:space="preserve"> </w:t>
      </w:r>
      <w:r w:rsidRPr="003D564D">
        <w:rPr>
          <w:rFonts w:ascii="David" w:hAnsi="David" w:cs="David" w:hint="eastAsia"/>
          <w:sz w:val="24"/>
          <w:szCs w:val="24"/>
          <w:rtl/>
        </w:rPr>
        <w:t>על</w:t>
      </w:r>
      <w:r w:rsidRPr="003D564D">
        <w:rPr>
          <w:rFonts w:ascii="David" w:hAnsi="David" w:cs="David"/>
          <w:sz w:val="24"/>
          <w:szCs w:val="24"/>
          <w:rtl/>
        </w:rPr>
        <w:t xml:space="preserve"> </w:t>
      </w:r>
      <w:r w:rsidRPr="003D564D">
        <w:rPr>
          <w:rFonts w:ascii="David" w:hAnsi="David" w:cs="David" w:hint="eastAsia"/>
          <w:sz w:val="24"/>
          <w:szCs w:val="24"/>
          <w:rtl/>
        </w:rPr>
        <w:t>בסיס</w:t>
      </w:r>
      <w:r w:rsidRPr="003D564D">
        <w:rPr>
          <w:rFonts w:ascii="David" w:hAnsi="David" w:cs="David"/>
          <w:sz w:val="24"/>
          <w:szCs w:val="24"/>
          <w:rtl/>
        </w:rPr>
        <w:t xml:space="preserve"> </w:t>
      </w:r>
      <w:r w:rsidRPr="003D564D">
        <w:rPr>
          <w:rFonts w:ascii="David" w:hAnsi="David" w:cs="David" w:hint="eastAsia"/>
          <w:sz w:val="24"/>
          <w:szCs w:val="24"/>
          <w:rtl/>
        </w:rPr>
        <w:t>הקשר</w:t>
      </w:r>
      <w:r w:rsidRPr="003D564D">
        <w:rPr>
          <w:rFonts w:ascii="David" w:hAnsi="David" w:cs="David"/>
          <w:sz w:val="24"/>
          <w:szCs w:val="24"/>
          <w:rtl/>
        </w:rPr>
        <w:t xml:space="preserve"> </w:t>
      </w:r>
      <w:r w:rsidRPr="003D564D">
        <w:rPr>
          <w:rFonts w:ascii="David" w:hAnsi="David" w:cs="David" w:hint="eastAsia"/>
          <w:sz w:val="24"/>
          <w:szCs w:val="24"/>
          <w:rtl/>
        </w:rPr>
        <w:t>הביולוגי</w:t>
      </w:r>
      <w:r w:rsidRPr="003D564D">
        <w:rPr>
          <w:rFonts w:ascii="David" w:hAnsi="David" w:cs="David" w:hint="cs"/>
          <w:sz w:val="24"/>
          <w:szCs w:val="24"/>
          <w:rtl/>
        </w:rPr>
        <w:t xml:space="preserve">, שאינו תואם עוד את המציאות החברתית-משפחתית הפלורליסטית, </w:t>
      </w:r>
      <w:r w:rsidRPr="003D564D">
        <w:rPr>
          <w:rFonts w:ascii="David" w:hAnsi="David" w:cs="David" w:hint="eastAsia"/>
          <w:sz w:val="24"/>
          <w:szCs w:val="24"/>
          <w:rtl/>
        </w:rPr>
        <w:t>וזה</w:t>
      </w:r>
      <w:r w:rsidRPr="003D564D">
        <w:rPr>
          <w:rFonts w:ascii="David" w:hAnsi="David" w:cs="David"/>
          <w:sz w:val="24"/>
          <w:szCs w:val="24"/>
          <w:rtl/>
        </w:rPr>
        <w:t xml:space="preserve"> </w:t>
      </w:r>
      <w:r w:rsidRPr="003D564D">
        <w:rPr>
          <w:rFonts w:ascii="David" w:hAnsi="David" w:cs="David" w:hint="eastAsia"/>
          <w:sz w:val="24"/>
          <w:szCs w:val="24"/>
          <w:rtl/>
        </w:rPr>
        <w:t>המדגיש</w:t>
      </w:r>
      <w:r w:rsidRPr="003D564D">
        <w:rPr>
          <w:rFonts w:ascii="David" w:hAnsi="David" w:cs="David"/>
          <w:sz w:val="24"/>
          <w:szCs w:val="24"/>
          <w:rtl/>
        </w:rPr>
        <w:t xml:space="preserve"> </w:t>
      </w:r>
      <w:r w:rsidRPr="003D564D">
        <w:rPr>
          <w:rFonts w:ascii="David" w:hAnsi="David" w:cs="David" w:hint="eastAsia"/>
          <w:sz w:val="24"/>
          <w:szCs w:val="24"/>
          <w:rtl/>
        </w:rPr>
        <w:t>את</w:t>
      </w:r>
      <w:r w:rsidRPr="003D564D">
        <w:rPr>
          <w:rFonts w:ascii="David" w:hAnsi="David" w:cs="David"/>
          <w:sz w:val="24"/>
          <w:szCs w:val="24"/>
          <w:rtl/>
        </w:rPr>
        <w:t xml:space="preserve"> </w:t>
      </w:r>
      <w:r w:rsidRPr="003D564D">
        <w:rPr>
          <w:rFonts w:ascii="David" w:hAnsi="David" w:cs="David" w:hint="eastAsia"/>
          <w:sz w:val="24"/>
          <w:szCs w:val="24"/>
          <w:rtl/>
        </w:rPr>
        <w:t>אלמנט</w:t>
      </w:r>
      <w:r w:rsidRPr="003D564D">
        <w:rPr>
          <w:rFonts w:ascii="David" w:hAnsi="David" w:cs="David"/>
          <w:sz w:val="24"/>
          <w:szCs w:val="24"/>
          <w:rtl/>
        </w:rPr>
        <w:t xml:space="preserve"> </w:t>
      </w:r>
      <w:r w:rsidRPr="003D564D">
        <w:rPr>
          <w:rFonts w:ascii="David" w:hAnsi="David" w:cs="David" w:hint="eastAsia"/>
          <w:sz w:val="24"/>
          <w:szCs w:val="24"/>
          <w:rtl/>
        </w:rPr>
        <w:t>ההסכמה</w:t>
      </w:r>
      <w:r w:rsidRPr="003D564D">
        <w:rPr>
          <w:rFonts w:ascii="David" w:hAnsi="David" w:cs="David" w:hint="cs"/>
          <w:sz w:val="24"/>
          <w:szCs w:val="24"/>
          <w:rtl/>
        </w:rPr>
        <w:t xml:space="preserve"> או הכוונה, העלול, כמתואר לעיל, לחדד מחלוקות בין ההורים (או הטוענים להיות הורים) ובכך לאיים על יציבות חייו של הילד ועל רווחתו</w:t>
      </w:r>
      <w:r w:rsidRPr="003D564D">
        <w:rPr>
          <w:rFonts w:ascii="David" w:hAnsi="David" w:cs="David"/>
          <w:sz w:val="24"/>
          <w:szCs w:val="24"/>
          <w:rtl/>
        </w:rPr>
        <w:t>.</w:t>
      </w:r>
    </w:p>
    <w:p w14:paraId="212D047E" w14:textId="57120EDE" w:rsidR="00303C51" w:rsidRDefault="00303C51" w:rsidP="00E0078C">
      <w:pPr>
        <w:ind w:firstLine="340"/>
        <w:jc w:val="both"/>
        <w:rPr>
          <w:rFonts w:ascii="David" w:hAnsi="David" w:cs="David"/>
          <w:sz w:val="24"/>
          <w:szCs w:val="24"/>
          <w:rtl/>
        </w:rPr>
      </w:pPr>
    </w:p>
    <w:p w14:paraId="7F8424DD" w14:textId="271E032B" w:rsidR="00303C51" w:rsidRPr="00100EFF" w:rsidRDefault="00303C51" w:rsidP="000E59F3">
      <w:pPr>
        <w:pStyle w:val="Heading2"/>
        <w:numPr>
          <w:ilvl w:val="0"/>
          <w:numId w:val="10"/>
        </w:numPr>
        <w:spacing w:before="0"/>
        <w:rPr>
          <w:rFonts w:ascii="David" w:hAnsi="David" w:cs="David"/>
          <w:b/>
          <w:bCs/>
          <w:color w:val="auto"/>
          <w:sz w:val="28"/>
          <w:szCs w:val="28"/>
          <w:rtl/>
        </w:rPr>
      </w:pPr>
      <w:r w:rsidRPr="00100EFF">
        <w:rPr>
          <w:rFonts w:ascii="David" w:hAnsi="David" w:cs="David"/>
          <w:b/>
          <w:bCs/>
          <w:color w:val="auto"/>
          <w:sz w:val="28"/>
          <w:szCs w:val="28"/>
          <w:rtl/>
        </w:rPr>
        <w:t>הורות מתוקף קשר זוגיות בדין הקיים</w:t>
      </w:r>
    </w:p>
    <w:p w14:paraId="0B8720A8" w14:textId="2BF6D726" w:rsidR="00303C51" w:rsidRDefault="00303C51" w:rsidP="00303C51">
      <w:pPr>
        <w:ind w:firstLine="340"/>
        <w:jc w:val="both"/>
        <w:rPr>
          <w:rFonts w:ascii="David" w:hAnsi="David" w:cs="David"/>
          <w:sz w:val="24"/>
          <w:szCs w:val="24"/>
          <w:rtl/>
        </w:rPr>
      </w:pPr>
      <w:r>
        <w:rPr>
          <w:rFonts w:ascii="David" w:hAnsi="David" w:cs="David" w:hint="cs"/>
          <w:sz w:val="24"/>
          <w:szCs w:val="24"/>
          <w:rtl/>
        </w:rPr>
        <w:t>כעת</w:t>
      </w:r>
      <w:r w:rsidRPr="003D564D">
        <w:rPr>
          <w:rFonts w:ascii="David" w:hAnsi="David" w:cs="David"/>
          <w:sz w:val="24"/>
          <w:szCs w:val="24"/>
          <w:rtl/>
        </w:rPr>
        <w:t xml:space="preserve"> נבקש לחזור לדין הקיים</w:t>
      </w:r>
      <w:r w:rsidR="007C5F4C">
        <w:rPr>
          <w:rFonts w:ascii="David" w:hAnsi="David" w:cs="David" w:hint="cs"/>
          <w:sz w:val="24"/>
          <w:szCs w:val="24"/>
          <w:rtl/>
        </w:rPr>
        <w:t xml:space="preserve"> בארה"ב ובישראל</w:t>
      </w:r>
      <w:r w:rsidRPr="003D564D">
        <w:rPr>
          <w:rFonts w:ascii="David" w:hAnsi="David" w:cs="David"/>
          <w:sz w:val="24"/>
          <w:szCs w:val="24"/>
          <w:rtl/>
        </w:rPr>
        <w:t xml:space="preserve"> ולזיקות המשמשות כבסיס להגדרת ההורות במסגרתו. במיוחד נבקש למקד את תשומת הלב להכרה הקיימת כבר בדין למיסוד הורות על בסיס קשר זוגיות בין ההורים המיועדים, </w:t>
      </w:r>
      <w:r>
        <w:rPr>
          <w:rFonts w:ascii="David" w:hAnsi="David" w:cs="David" w:hint="cs"/>
          <w:sz w:val="24"/>
          <w:szCs w:val="24"/>
          <w:rtl/>
        </w:rPr>
        <w:t xml:space="preserve">הכרה עליה הצבענו כבר בחלק הקודם שסקר את התפתחות מערך הדינים </w:t>
      </w:r>
      <w:r w:rsidR="007C5F4C">
        <w:rPr>
          <w:rFonts w:ascii="David" w:hAnsi="David" w:cs="David" w:hint="cs"/>
          <w:sz w:val="24"/>
          <w:szCs w:val="24"/>
          <w:rtl/>
        </w:rPr>
        <w:t>האמריקאי ו</w:t>
      </w:r>
      <w:r>
        <w:rPr>
          <w:rFonts w:ascii="David" w:hAnsi="David" w:cs="David" w:hint="cs"/>
          <w:sz w:val="24"/>
          <w:szCs w:val="24"/>
          <w:rtl/>
        </w:rPr>
        <w:t>הישראלי</w:t>
      </w:r>
      <w:r w:rsidR="007C5F4C">
        <w:rPr>
          <w:rFonts w:ascii="David" w:hAnsi="David" w:cs="David" w:hint="cs"/>
          <w:sz w:val="24"/>
          <w:szCs w:val="24"/>
          <w:rtl/>
        </w:rPr>
        <w:t>,</w:t>
      </w:r>
      <w:r>
        <w:rPr>
          <w:rFonts w:ascii="David" w:hAnsi="David" w:cs="David" w:hint="cs"/>
          <w:sz w:val="24"/>
          <w:szCs w:val="24"/>
          <w:rtl/>
        </w:rPr>
        <w:t xml:space="preserve"> הנוגעים להגדרת הורות. בדיון כאן נסביר</w:t>
      </w:r>
      <w:r w:rsidRPr="003D564D">
        <w:rPr>
          <w:rFonts w:ascii="David" w:hAnsi="David" w:cs="David"/>
          <w:sz w:val="24"/>
          <w:szCs w:val="24"/>
          <w:rtl/>
        </w:rPr>
        <w:t xml:space="preserve"> מדוע ניתן לראות בהצעתנו כממשיכה את הקו הקיים כבר בדין, ולפיכך כניתנת</w:t>
      </w:r>
      <w:r w:rsidRPr="003D564D">
        <w:rPr>
          <w:rFonts w:ascii="David" w:hAnsi="David" w:cs="David" w:hint="cs"/>
          <w:sz w:val="24"/>
          <w:szCs w:val="24"/>
          <w:rtl/>
        </w:rPr>
        <w:t>, וראויה,</w:t>
      </w:r>
      <w:r w:rsidRPr="003D564D">
        <w:rPr>
          <w:rFonts w:ascii="David" w:hAnsi="David" w:cs="David"/>
          <w:sz w:val="24"/>
          <w:szCs w:val="24"/>
          <w:rtl/>
        </w:rPr>
        <w:t xml:space="preserve"> לאימוץ במסגרת הפסיקה הקיימת.</w:t>
      </w:r>
      <w:r w:rsidRPr="003D564D">
        <w:rPr>
          <w:rStyle w:val="FootnoteReference"/>
          <w:rFonts w:ascii="David" w:hAnsi="David" w:cs="David"/>
          <w:sz w:val="24"/>
          <w:szCs w:val="24"/>
          <w:rtl/>
        </w:rPr>
        <w:footnoteReference w:id="68"/>
      </w:r>
    </w:p>
    <w:p w14:paraId="16A43AC2" w14:textId="45C6CE2C" w:rsidR="007C5F4C" w:rsidRPr="007C5F4C" w:rsidRDefault="007C5F4C" w:rsidP="00303C51">
      <w:pPr>
        <w:ind w:firstLine="340"/>
        <w:jc w:val="both"/>
        <w:rPr>
          <w:rFonts w:ascii="David" w:hAnsi="David" w:cs="David"/>
          <w:b/>
          <w:bCs/>
          <w:sz w:val="24"/>
          <w:szCs w:val="24"/>
          <w:rtl/>
        </w:rPr>
      </w:pPr>
      <w:r w:rsidRPr="007C5F4C">
        <w:rPr>
          <w:rFonts w:ascii="David" w:hAnsi="David" w:cs="David" w:hint="cs"/>
          <w:b/>
          <w:bCs/>
          <w:sz w:val="24"/>
          <w:szCs w:val="24"/>
          <w:rtl/>
        </w:rPr>
        <w:t>הדין הקיים בארה"ב</w:t>
      </w:r>
    </w:p>
    <w:p w14:paraId="7A482753" w14:textId="25253BB9" w:rsidR="007C5F4C" w:rsidRDefault="007C5F4C" w:rsidP="00303C51">
      <w:pPr>
        <w:ind w:firstLine="340"/>
        <w:jc w:val="both"/>
        <w:rPr>
          <w:rFonts w:ascii="David" w:hAnsi="David" w:cs="David"/>
          <w:sz w:val="24"/>
          <w:szCs w:val="24"/>
          <w:rtl/>
        </w:rPr>
      </w:pPr>
      <w:r>
        <w:rPr>
          <w:rFonts w:ascii="David" w:hAnsi="David" w:cs="David" w:hint="cs"/>
          <w:sz w:val="24"/>
          <w:szCs w:val="24"/>
          <w:rtl/>
        </w:rPr>
        <w:t>.... [לראות אם אין כאן חזרתיות]</w:t>
      </w:r>
    </w:p>
    <w:p w14:paraId="37A890B1" w14:textId="356EE4B1" w:rsidR="007C5F4C" w:rsidRPr="007C5F4C" w:rsidRDefault="007C5F4C" w:rsidP="00303C51">
      <w:pPr>
        <w:ind w:firstLine="340"/>
        <w:jc w:val="both"/>
        <w:rPr>
          <w:rFonts w:ascii="David" w:hAnsi="David" w:cs="David"/>
          <w:b/>
          <w:bCs/>
          <w:sz w:val="24"/>
          <w:szCs w:val="24"/>
          <w:rtl/>
        </w:rPr>
      </w:pPr>
      <w:r w:rsidRPr="007C5F4C">
        <w:rPr>
          <w:rFonts w:ascii="David" w:hAnsi="David" w:cs="David" w:hint="cs"/>
          <w:b/>
          <w:bCs/>
          <w:sz w:val="24"/>
          <w:szCs w:val="24"/>
          <w:rtl/>
        </w:rPr>
        <w:t>הדין הקיים בישראל</w:t>
      </w:r>
    </w:p>
    <w:p w14:paraId="2E947484" w14:textId="0540C0CE" w:rsidR="007C5F4C" w:rsidRDefault="007C5F4C" w:rsidP="00303C51">
      <w:pPr>
        <w:ind w:firstLine="340"/>
        <w:jc w:val="both"/>
        <w:rPr>
          <w:rFonts w:ascii="David" w:hAnsi="David" w:cs="David"/>
          <w:sz w:val="24"/>
          <w:szCs w:val="24"/>
          <w:rtl/>
        </w:rPr>
      </w:pPr>
      <w:r>
        <w:rPr>
          <w:rFonts w:ascii="David" w:hAnsi="David" w:cs="David" w:hint="cs"/>
          <w:sz w:val="24"/>
          <w:szCs w:val="24"/>
          <w:rtl/>
        </w:rPr>
        <w:lastRenderedPageBreak/>
        <w:t>[</w:t>
      </w:r>
      <w:r w:rsidRPr="00352BCD">
        <w:rPr>
          <w:rFonts w:ascii="David" w:hAnsi="David" w:cs="David" w:hint="cs"/>
          <w:sz w:val="24"/>
          <w:szCs w:val="24"/>
          <w:highlight w:val="yellow"/>
          <w:rtl/>
        </w:rPr>
        <w:t>לראות אם אין כאן חזרתיות</w:t>
      </w:r>
      <w:r w:rsidR="001D6746" w:rsidRPr="00352BCD">
        <w:rPr>
          <w:rFonts w:ascii="David" w:hAnsi="David" w:cs="David" w:hint="cs"/>
          <w:sz w:val="24"/>
          <w:szCs w:val="24"/>
          <w:highlight w:val="yellow"/>
          <w:rtl/>
        </w:rPr>
        <w:t xml:space="preserve"> </w:t>
      </w:r>
      <w:r w:rsidR="001D6746" w:rsidRPr="00352BCD">
        <w:rPr>
          <w:rFonts w:ascii="David" w:hAnsi="David" w:cs="David"/>
          <w:sz w:val="24"/>
          <w:szCs w:val="24"/>
          <w:highlight w:val="yellow"/>
          <w:rtl/>
        </w:rPr>
        <w:t>–</w:t>
      </w:r>
      <w:r w:rsidR="001D6746" w:rsidRPr="00352BCD">
        <w:rPr>
          <w:rFonts w:ascii="David" w:hAnsi="David" w:cs="David" w:hint="cs"/>
          <w:sz w:val="24"/>
          <w:szCs w:val="24"/>
          <w:highlight w:val="yellow"/>
          <w:rtl/>
        </w:rPr>
        <w:t xml:space="preserve"> יש פה סוג של חזרתיות אבל נראה לי שזה בגדר סיכום ממוקד שיכול לשרת אותנו</w:t>
      </w:r>
      <w:r>
        <w:rPr>
          <w:rFonts w:ascii="David" w:hAnsi="David" w:cs="David" w:hint="cs"/>
          <w:sz w:val="24"/>
          <w:szCs w:val="24"/>
          <w:rtl/>
        </w:rPr>
        <w:t>]</w:t>
      </w:r>
    </w:p>
    <w:p w14:paraId="59FC95EF" w14:textId="6A6ED50D" w:rsidR="00303C51" w:rsidRDefault="00303C51" w:rsidP="00303C51">
      <w:pPr>
        <w:ind w:firstLine="340"/>
        <w:jc w:val="both"/>
        <w:rPr>
          <w:rFonts w:ascii="David" w:hAnsi="David" w:cs="David"/>
          <w:sz w:val="24"/>
          <w:szCs w:val="24"/>
          <w:rtl/>
        </w:rPr>
      </w:pPr>
      <w:r w:rsidRPr="003D564D">
        <w:rPr>
          <w:rFonts w:ascii="David" w:hAnsi="David" w:cs="David"/>
          <w:sz w:val="24"/>
          <w:szCs w:val="24"/>
          <w:rtl/>
        </w:rPr>
        <w:t xml:space="preserve">כפי שהדגמנו בפרק </w:t>
      </w:r>
      <w:r w:rsidR="007C5F4C">
        <w:rPr>
          <w:rFonts w:ascii="David" w:hAnsi="David" w:cs="David" w:hint="cs"/>
          <w:sz w:val="24"/>
          <w:szCs w:val="24"/>
          <w:rtl/>
        </w:rPr>
        <w:t>קודם</w:t>
      </w:r>
      <w:r w:rsidRPr="003D564D">
        <w:rPr>
          <w:rFonts w:ascii="David" w:hAnsi="David" w:cs="David"/>
          <w:sz w:val="24"/>
          <w:szCs w:val="24"/>
          <w:rtl/>
        </w:rPr>
        <w:t xml:space="preserve"> של המאמר קשר הנישואים ממלא תפקיד משמעותי בהכרה באבהות המשפטית של הבעל. הצענו גם כי נכון להבין את תפקיד קשר הנישואים בהגדרת האבהות (וההורות ככלל) כמבטא את זיקת הזוגיות בדיני הגדרת ההורות.</w:t>
      </w:r>
      <w:r w:rsidRPr="003D564D">
        <w:rPr>
          <w:rFonts w:ascii="David" w:hAnsi="David" w:cs="David" w:hint="cs"/>
          <w:sz w:val="24"/>
          <w:szCs w:val="24"/>
          <w:rtl/>
        </w:rPr>
        <w:t xml:space="preserve"> </w:t>
      </w:r>
      <w:r w:rsidRPr="003D564D">
        <w:rPr>
          <w:rFonts w:ascii="David" w:hAnsi="David" w:cs="David"/>
          <w:sz w:val="24"/>
          <w:szCs w:val="24"/>
          <w:rtl/>
        </w:rPr>
        <w:t>יש א</w:t>
      </w:r>
      <w:r w:rsidRPr="003D564D">
        <w:rPr>
          <w:rFonts w:ascii="David" w:hAnsi="David" w:cs="David" w:hint="cs"/>
          <w:sz w:val="24"/>
          <w:szCs w:val="24"/>
          <w:rtl/>
        </w:rPr>
        <w:t>ו</w:t>
      </w:r>
      <w:r w:rsidRPr="003D564D">
        <w:rPr>
          <w:rFonts w:ascii="David" w:hAnsi="David" w:cs="David"/>
          <w:sz w:val="24"/>
          <w:szCs w:val="24"/>
          <w:rtl/>
        </w:rPr>
        <w:t xml:space="preserve">מנם המפרשים </w:t>
      </w:r>
      <w:r>
        <w:rPr>
          <w:rFonts w:ascii="David" w:hAnsi="David" w:cs="David" w:hint="cs"/>
          <w:sz w:val="24"/>
          <w:szCs w:val="24"/>
          <w:rtl/>
        </w:rPr>
        <w:t xml:space="preserve">גישה </w:t>
      </w:r>
      <w:r w:rsidRPr="003D564D">
        <w:rPr>
          <w:rFonts w:ascii="David" w:hAnsi="David" w:cs="David"/>
          <w:sz w:val="24"/>
          <w:szCs w:val="24"/>
          <w:rtl/>
        </w:rPr>
        <w:t>זאת כביטוי לזיקה גנטית</w:t>
      </w:r>
      <w:r>
        <w:rPr>
          <w:rFonts w:ascii="David" w:hAnsi="David" w:cs="David" w:hint="cs"/>
          <w:sz w:val="24"/>
          <w:szCs w:val="24"/>
          <w:rtl/>
        </w:rPr>
        <w:t xml:space="preserve"> המשוערת</w:t>
      </w:r>
      <w:r w:rsidRPr="003D564D">
        <w:rPr>
          <w:rFonts w:ascii="David" w:hAnsi="David" w:cs="David"/>
          <w:sz w:val="24"/>
          <w:szCs w:val="24"/>
          <w:rtl/>
        </w:rPr>
        <w:t xml:space="preserve"> בין בעלה של האם לילד.</w:t>
      </w:r>
      <w:r w:rsidRPr="003D564D">
        <w:rPr>
          <w:rStyle w:val="FootnoteReference"/>
          <w:rFonts w:ascii="David" w:hAnsi="David" w:cs="David"/>
          <w:sz w:val="24"/>
          <w:szCs w:val="24"/>
          <w:rtl/>
        </w:rPr>
        <w:footnoteReference w:id="69"/>
      </w:r>
      <w:r w:rsidRPr="003D564D">
        <w:rPr>
          <w:rFonts w:ascii="David" w:hAnsi="David" w:cs="David"/>
          <w:sz w:val="24"/>
          <w:szCs w:val="24"/>
          <w:rtl/>
        </w:rPr>
        <w:t xml:space="preserve"> פרשנות שכזו אפשרית, כמובן, ואולם, </w:t>
      </w:r>
      <w:r w:rsidRPr="003D564D">
        <w:rPr>
          <w:rFonts w:ascii="David" w:hAnsi="David" w:cs="David" w:hint="cs"/>
          <w:sz w:val="24"/>
          <w:szCs w:val="24"/>
          <w:rtl/>
        </w:rPr>
        <w:t>לגישתנו, משלל הטעמים שפורטו בפרק הקודם, ראוי ל</w:t>
      </w:r>
      <w:r>
        <w:rPr>
          <w:rFonts w:ascii="David" w:hAnsi="David" w:cs="David" w:hint="cs"/>
          <w:sz w:val="24"/>
          <w:szCs w:val="24"/>
          <w:rtl/>
        </w:rPr>
        <w:t xml:space="preserve">אמץ פרשנות חלופית הראויה יותר מבחינה נורמטיבית, שגם מתאימה יותר </w:t>
      </w:r>
      <w:r w:rsidRPr="003D564D">
        <w:rPr>
          <w:rFonts w:ascii="David" w:hAnsi="David" w:cs="David" w:hint="cs"/>
          <w:sz w:val="24"/>
          <w:szCs w:val="24"/>
          <w:rtl/>
        </w:rPr>
        <w:t xml:space="preserve">למציאות כיום. </w:t>
      </w:r>
      <w:r w:rsidRPr="003D564D">
        <w:rPr>
          <w:rFonts w:ascii="David" w:hAnsi="David" w:cs="David"/>
          <w:sz w:val="24"/>
          <w:szCs w:val="24"/>
          <w:rtl/>
        </w:rPr>
        <w:t>לגישתנו, פירוש תפקידו של קשר הנישואים כביטוי של חזקת הזוגיות (וחשיבותה של מערכת היחסים בין הורים משותפים פוטנציאלים ככלל) מהווה פירוש ראוי יותר מזה הרואה בקשר הנישואים כעדות לאבהות גנטית ותו לא.</w:t>
      </w:r>
    </w:p>
    <w:p w14:paraId="4A10E7E9" w14:textId="77777777" w:rsidR="00303C51" w:rsidRDefault="00303C51" w:rsidP="00303C51">
      <w:pPr>
        <w:ind w:firstLine="340"/>
        <w:jc w:val="both"/>
        <w:rPr>
          <w:rFonts w:ascii="David" w:hAnsi="David" w:cs="David"/>
          <w:sz w:val="24"/>
          <w:szCs w:val="24"/>
          <w:rtl/>
        </w:rPr>
      </w:pPr>
      <w:r>
        <w:rPr>
          <w:rFonts w:ascii="David" w:hAnsi="David" w:cs="David" w:hint="cs"/>
          <w:sz w:val="24"/>
          <w:szCs w:val="24"/>
          <w:rtl/>
        </w:rPr>
        <w:t xml:space="preserve">עוד </w:t>
      </w:r>
      <w:r w:rsidRPr="003D564D">
        <w:rPr>
          <w:rFonts w:ascii="David" w:hAnsi="David" w:cs="David"/>
          <w:sz w:val="24"/>
          <w:szCs w:val="24"/>
          <w:rtl/>
        </w:rPr>
        <w:t xml:space="preserve">הראנו שניתן למצוא ביטוי לתפקידה של זיקת הזוגיות בדיני ההורות בישראל במסגרת חוק הסכמים לנשיאת עוברים הממסד בצוותא את ההורות של ההורים המיועדים (בין אם שניהם קשורים גנטית ליילוד ובין אם רק האב). כך, כאשר ניתן צו הורות לאב המיועד ניתן בה בעת ובמסגרת אותו הליך גם צו הורות המכיר באימהותה של בת זוגו, </w:t>
      </w:r>
      <w:r w:rsidRPr="003D564D">
        <w:rPr>
          <w:rFonts w:ascii="David" w:hAnsi="David" w:cs="David" w:hint="cs"/>
          <w:sz w:val="24"/>
          <w:szCs w:val="24"/>
          <w:rtl/>
        </w:rPr>
        <w:t>ו</w:t>
      </w:r>
      <w:r w:rsidRPr="003D564D">
        <w:rPr>
          <w:rFonts w:ascii="David" w:hAnsi="David" w:cs="David"/>
          <w:sz w:val="24"/>
          <w:szCs w:val="24"/>
          <w:rtl/>
        </w:rPr>
        <w:t xml:space="preserve">אף אם היא אינה קשורה גנטית לילד </w:t>
      </w:r>
      <w:r w:rsidRPr="003D564D">
        <w:rPr>
          <w:rFonts w:ascii="David" w:hAnsi="David" w:cs="David" w:hint="cs"/>
          <w:sz w:val="24"/>
          <w:szCs w:val="24"/>
          <w:rtl/>
        </w:rPr>
        <w:t>החוק אינו דורש</w:t>
      </w:r>
      <w:r w:rsidRPr="003D564D">
        <w:rPr>
          <w:rFonts w:ascii="David" w:hAnsi="David" w:cs="David"/>
          <w:sz w:val="24"/>
          <w:szCs w:val="24"/>
          <w:rtl/>
        </w:rPr>
        <w:t xml:space="preserve"> הליך נפרד למיסוד אימהותה.</w:t>
      </w:r>
      <w:r>
        <w:rPr>
          <w:rFonts w:ascii="David" w:hAnsi="David" w:cs="David" w:hint="cs"/>
          <w:sz w:val="24"/>
          <w:szCs w:val="24"/>
          <w:rtl/>
        </w:rPr>
        <w:t xml:space="preserve"> למעשה, לטענתנו, בהקשר של חוק הסכמים לנשיאת עוברים מגמת החלשותה של הזיקה הביולוגית להגדרת הורות לצד התגברותה של זיקת הקשר הזוגי מקבלת משנה תוקף עם החלתו של החוק על בני זוג בני אותו המין בעניין ארד-פנקס בחודש יולי 2021,</w:t>
      </w:r>
      <w:bookmarkStart w:id="49" w:name="_Ref80961533"/>
      <w:r>
        <w:rPr>
          <w:rStyle w:val="FootnoteReference"/>
          <w:rFonts w:ascii="David" w:hAnsi="David" w:cs="David"/>
          <w:sz w:val="24"/>
          <w:szCs w:val="24"/>
          <w:rtl/>
        </w:rPr>
        <w:footnoteReference w:id="70"/>
      </w:r>
      <w:bookmarkEnd w:id="49"/>
      <w:r>
        <w:rPr>
          <w:rFonts w:ascii="David" w:hAnsi="David" w:cs="David" w:hint="cs"/>
          <w:sz w:val="24"/>
          <w:szCs w:val="24"/>
          <w:rtl/>
        </w:rPr>
        <w:t xml:space="preserve"> ונסביר. עד לעניין ארד-פנקס, רק בני זוג שהם גבר ואשה (או נשים יחידניות) היו יכולים להסתייע באשה נושאת על מנת להביא ילדים לעולם. מכיוון שהחוק דרש שהאב המיועד יהיה גם האב הגנטי, כאשר בני הזוג הסתייעו גם בתרומת ביצית היה ידוע מיהו ההורה הקשור גנטית לילד ומי ההורה שאינו קשור גנטית לילד (במקרה של אם יחידנית, היא חייבת להיות קשורה גנטית לילד). כיום, לאחר פסיקת בית המשפט העליון, זוגות גברים יכולים אף הם להביא ילדים לעולם בישראל בסיוע אשה נושאת. אמנם, החוק דורש שהזרע של אחד מהם ישמש להפרייה (וממילא הרצון לילד שקשור גנטית לאחד מהם הוא מניע מרכזי לפנות לנשיאת עוברים מלכתחילה), אך אין הכרח לדעת מיהו האב הגנטי לשם הליך ההכרה בהורות ולהוצאת צו הורות לשני בני הזוג. למעשה, עוד בעניין ממט-מגד, הכיר בית המשפט העליון באינטרס של בני זוג מאותו המין שלא לדעת מי מהם הוא ההורה הגנטי של הילד, או לכל הפחות להותיר עובדה זו כעניין פרטי זוגי שלהם.</w:t>
      </w:r>
      <w:r>
        <w:rPr>
          <w:rStyle w:val="FootnoteReference"/>
          <w:rFonts w:ascii="David" w:hAnsi="David" w:cs="David"/>
          <w:sz w:val="24"/>
          <w:szCs w:val="24"/>
          <w:rtl/>
        </w:rPr>
        <w:footnoteReference w:id="71"/>
      </w:r>
      <w:r>
        <w:rPr>
          <w:rFonts w:ascii="David" w:hAnsi="David" w:cs="David" w:hint="cs"/>
          <w:sz w:val="24"/>
          <w:szCs w:val="24"/>
          <w:rtl/>
        </w:rPr>
        <w:t xml:space="preserve">  כך, ההכרה המשפטית בהורות של שני האבות, באמצעות הוצאת צו ההורות, תיעשה בצוותא חדא להורה הגנטי ולבן זוגו, כשהם שווי מעמד לעניין זה בעיני החוק, ומבלי שהזיקה הגנטית תעלה בשלב הקניית המעמד ההורי. </w:t>
      </w:r>
    </w:p>
    <w:p w14:paraId="059DB9AD" w14:textId="77777777" w:rsidR="00303C51" w:rsidRPr="003D564D" w:rsidRDefault="00303C51" w:rsidP="00303C51">
      <w:pPr>
        <w:ind w:firstLine="340"/>
        <w:jc w:val="both"/>
        <w:rPr>
          <w:rFonts w:ascii="David" w:hAnsi="David" w:cs="David"/>
          <w:sz w:val="24"/>
          <w:szCs w:val="24"/>
          <w:rtl/>
        </w:rPr>
      </w:pPr>
      <w:r w:rsidRPr="003D564D">
        <w:rPr>
          <w:rFonts w:ascii="David" w:hAnsi="David" w:cs="David"/>
          <w:sz w:val="24"/>
          <w:szCs w:val="24"/>
          <w:rtl/>
        </w:rPr>
        <w:t xml:space="preserve">תפקידו של הקשר הזוגי בהגדרת ההורות המשפטית בא לידי ביטוי באופן המובהק והמפורש במבחן ה"זיקה לזיקה". כאמור, השופט הנדל, אשר טבע מונח זה בפרשת </w:t>
      </w:r>
      <w:r w:rsidRPr="003D564D">
        <w:rPr>
          <w:rFonts w:ascii="David" w:hAnsi="David" w:cs="David"/>
          <w:b/>
          <w:bCs/>
          <w:sz w:val="24"/>
          <w:szCs w:val="24"/>
          <w:rtl/>
        </w:rPr>
        <w:t>פלונית</w:t>
      </w:r>
      <w:r w:rsidRPr="003D564D">
        <w:rPr>
          <w:rFonts w:ascii="David" w:hAnsi="David" w:cs="David" w:hint="cs"/>
          <w:sz w:val="24"/>
          <w:szCs w:val="24"/>
          <w:rtl/>
        </w:rPr>
        <w:t xml:space="preserve"> (2015)</w:t>
      </w:r>
      <w:r w:rsidRPr="003D564D">
        <w:rPr>
          <w:rFonts w:ascii="David" w:hAnsi="David" w:cs="David"/>
          <w:sz w:val="24"/>
          <w:szCs w:val="24"/>
          <w:rtl/>
        </w:rPr>
        <w:t xml:space="preserve">, הסביר </w:t>
      </w:r>
      <w:r w:rsidRPr="003D564D">
        <w:rPr>
          <w:rFonts w:ascii="David" w:hAnsi="David" w:cs="David"/>
          <w:sz w:val="24"/>
          <w:szCs w:val="24"/>
          <w:rtl/>
        </w:rPr>
        <w:lastRenderedPageBreak/>
        <w:t xml:space="preserve">במפורש כי בסיס זה להכרה בהורות נשען </w:t>
      </w:r>
      <w:r w:rsidRPr="003D564D">
        <w:rPr>
          <w:rFonts w:ascii="David" w:hAnsi="David" w:cs="David"/>
          <w:sz w:val="24"/>
          <w:szCs w:val="24"/>
          <w:rtl/>
          <w:lang w:eastAsia="he-IL"/>
        </w:rPr>
        <w:t>על "הכרה חברתית במעמדה של הזוגיות".</w:t>
      </w:r>
      <w:r w:rsidRPr="003D564D">
        <w:rPr>
          <w:rStyle w:val="FootnoteReference"/>
          <w:rFonts w:ascii="David" w:hAnsi="David" w:cs="David"/>
          <w:sz w:val="24"/>
          <w:szCs w:val="24"/>
          <w:rtl/>
          <w:lang w:eastAsia="he-IL"/>
        </w:rPr>
        <w:footnoteReference w:id="72"/>
      </w:r>
      <w:r w:rsidRPr="003D564D">
        <w:rPr>
          <w:rFonts w:ascii="David" w:hAnsi="David" w:cs="David"/>
          <w:sz w:val="24"/>
          <w:szCs w:val="24"/>
          <w:rtl/>
          <w:lang w:eastAsia="he-IL"/>
        </w:rPr>
        <w:t xml:space="preserve"> השופט הנדל הוסיף ואמר באותו עניין כי "לעתים, אדם יוכר כהורה של היילוד מתוקף קשר זוגיות </w:t>
      </w:r>
      <w:r w:rsidRPr="003D564D">
        <w:rPr>
          <w:rFonts w:ascii="David" w:hAnsi="David" w:cs="David" w:hint="cs"/>
          <w:sz w:val="24"/>
          <w:szCs w:val="24"/>
          <w:rtl/>
          <w:lang w:eastAsia="he-IL"/>
        </w:rPr>
        <w:t>ש</w:t>
      </w:r>
      <w:r w:rsidRPr="003D564D">
        <w:rPr>
          <w:rFonts w:ascii="David" w:hAnsi="David" w:cs="David"/>
          <w:sz w:val="24"/>
          <w:szCs w:val="24"/>
          <w:rtl/>
          <w:lang w:eastAsia="he-IL"/>
        </w:rPr>
        <w:t>בו הוא נמצא, עובר להיריון וללידה, עם בעל או בעלת הזיקה הגנטית ליילוד".</w:t>
      </w:r>
      <w:r w:rsidRPr="003D564D">
        <w:rPr>
          <w:rStyle w:val="FootnoteReference"/>
          <w:rFonts w:ascii="David" w:hAnsi="David" w:cs="David"/>
          <w:sz w:val="24"/>
          <w:szCs w:val="24"/>
          <w:rtl/>
          <w:lang w:eastAsia="he-IL"/>
        </w:rPr>
        <w:footnoteReference w:id="73"/>
      </w:r>
      <w:r>
        <w:rPr>
          <w:rFonts w:ascii="David" w:hAnsi="David" w:cs="David" w:hint="cs"/>
          <w:sz w:val="24"/>
          <w:szCs w:val="24"/>
          <w:rtl/>
        </w:rPr>
        <w:t xml:space="preserve">   </w:t>
      </w:r>
    </w:p>
    <w:p w14:paraId="0EE8E822" w14:textId="180ED4B2" w:rsidR="00303C51" w:rsidRDefault="00303C51" w:rsidP="00303C51">
      <w:pPr>
        <w:ind w:firstLine="340"/>
        <w:jc w:val="both"/>
        <w:rPr>
          <w:rFonts w:ascii="David" w:hAnsi="David" w:cs="David"/>
          <w:sz w:val="24"/>
          <w:szCs w:val="24"/>
          <w:rtl/>
        </w:rPr>
      </w:pPr>
      <w:r>
        <w:rPr>
          <w:rFonts w:ascii="David" w:hAnsi="David" w:cs="David" w:hint="cs"/>
          <w:sz w:val="24"/>
          <w:szCs w:val="24"/>
          <w:rtl/>
        </w:rPr>
        <w:t xml:space="preserve">אם כן, זיקת הזוגיות, שזורה למעשה במרבית ההקשרים בהם עולה שאלת הגדרת ההורות: אבהות של גבר הנשוי לאם היולדת, הורות של בני זוג שהתקשרו בהסכם לנשיאת עוברים, בין אם הם גבר ואשה, ובין אם זוג גברים, והורות של בנות זוג, כאשר אחת מהם היא גם האם הביולוגית. הכרה בה באופן מפורש, לצד הכרה בזיקה הביולוגית, מציעה קו מארגן לדיני ההורות הישראלים, קו שעד </w:t>
      </w:r>
      <w:r w:rsidR="001D6746">
        <w:rPr>
          <w:rFonts w:ascii="David" w:hAnsi="David" w:cs="David" w:hint="cs"/>
          <w:sz w:val="24"/>
          <w:szCs w:val="24"/>
          <w:rtl/>
        </w:rPr>
        <w:t>ה</w:t>
      </w:r>
      <w:r>
        <w:rPr>
          <w:rFonts w:ascii="David" w:hAnsi="David" w:cs="David" w:hint="cs"/>
          <w:sz w:val="24"/>
          <w:szCs w:val="24"/>
          <w:rtl/>
        </w:rPr>
        <w:t xml:space="preserve">יום דינים אלו היו חסרים. </w:t>
      </w:r>
    </w:p>
    <w:p w14:paraId="181E225E" w14:textId="11EB409A" w:rsidR="00303C51" w:rsidRDefault="00303C51" w:rsidP="00303C51">
      <w:pPr>
        <w:ind w:firstLine="340"/>
        <w:jc w:val="both"/>
        <w:rPr>
          <w:rFonts w:ascii="David" w:hAnsi="David" w:cs="David"/>
          <w:sz w:val="24"/>
          <w:szCs w:val="24"/>
          <w:rtl/>
        </w:rPr>
      </w:pPr>
      <w:r>
        <w:rPr>
          <w:rFonts w:ascii="David" w:hAnsi="David" w:cs="David" w:hint="cs"/>
          <w:sz w:val="24"/>
          <w:szCs w:val="24"/>
          <w:rtl/>
        </w:rPr>
        <w:t xml:space="preserve">בהערה לסיום חלק זה נציין כי </w:t>
      </w:r>
      <w:r w:rsidRPr="003D564D">
        <w:rPr>
          <w:rFonts w:ascii="David" w:hAnsi="David" w:cs="David" w:hint="eastAsia"/>
          <w:sz w:val="24"/>
          <w:szCs w:val="24"/>
          <w:rtl/>
        </w:rPr>
        <w:t>הקשר</w:t>
      </w:r>
      <w:r w:rsidRPr="003D564D">
        <w:rPr>
          <w:rFonts w:ascii="David" w:hAnsi="David" w:cs="David"/>
          <w:sz w:val="24"/>
          <w:szCs w:val="24"/>
          <w:rtl/>
        </w:rPr>
        <w:t xml:space="preserve"> נוסף המדגיש את הקשר בין זוגיות להורות הינו זה הנוגע להולדה לאחר המוות. הפסיקה </w:t>
      </w:r>
      <w:r w:rsidR="001D6746">
        <w:rPr>
          <w:rFonts w:ascii="David" w:hAnsi="David" w:cs="David" w:hint="cs"/>
          <w:sz w:val="24"/>
          <w:szCs w:val="24"/>
          <w:rtl/>
        </w:rPr>
        <w:t xml:space="preserve">בישראל </w:t>
      </w:r>
      <w:r w:rsidRPr="003D564D">
        <w:rPr>
          <w:rFonts w:ascii="David" w:hAnsi="David" w:cs="David"/>
          <w:sz w:val="24"/>
          <w:szCs w:val="24"/>
          <w:rtl/>
        </w:rPr>
        <w:t xml:space="preserve">בשנים האחרונות והנחיות היועץ המשפטי לממשלה </w:t>
      </w:r>
      <w:r w:rsidRPr="003D564D">
        <w:rPr>
          <w:rFonts w:ascii="David" w:hAnsi="David" w:cs="David" w:hint="eastAsia"/>
          <w:sz w:val="24"/>
          <w:szCs w:val="24"/>
          <w:rtl/>
        </w:rPr>
        <w:t>המקוריות</w:t>
      </w:r>
      <w:r w:rsidRPr="003D564D">
        <w:rPr>
          <w:rFonts w:ascii="David" w:hAnsi="David" w:cs="David"/>
          <w:sz w:val="24"/>
          <w:szCs w:val="24"/>
          <w:rtl/>
        </w:rPr>
        <w:t xml:space="preserve">, </w:t>
      </w:r>
      <w:r w:rsidRPr="003D564D">
        <w:rPr>
          <w:rFonts w:ascii="David" w:hAnsi="David" w:cs="David" w:hint="eastAsia"/>
          <w:sz w:val="24"/>
          <w:szCs w:val="24"/>
          <w:rtl/>
        </w:rPr>
        <w:t>שפורסמו</w:t>
      </w:r>
      <w:r w:rsidRPr="003D564D">
        <w:rPr>
          <w:rFonts w:ascii="David" w:hAnsi="David" w:cs="David"/>
          <w:sz w:val="24"/>
          <w:szCs w:val="24"/>
          <w:rtl/>
        </w:rPr>
        <w:t xml:space="preserve"> </w:t>
      </w:r>
      <w:r w:rsidRPr="003D564D">
        <w:rPr>
          <w:rFonts w:ascii="David" w:hAnsi="David" w:cs="David" w:hint="eastAsia"/>
          <w:sz w:val="24"/>
          <w:szCs w:val="24"/>
          <w:rtl/>
        </w:rPr>
        <w:t>כבר</w:t>
      </w:r>
      <w:r w:rsidRPr="003D564D">
        <w:rPr>
          <w:rFonts w:ascii="David" w:hAnsi="David" w:cs="David"/>
          <w:sz w:val="24"/>
          <w:szCs w:val="24"/>
          <w:rtl/>
        </w:rPr>
        <w:t xml:space="preserve"> </w:t>
      </w:r>
      <w:r w:rsidRPr="003D564D">
        <w:rPr>
          <w:rFonts w:ascii="David" w:hAnsi="David" w:cs="David" w:hint="eastAsia"/>
          <w:sz w:val="24"/>
          <w:szCs w:val="24"/>
          <w:rtl/>
        </w:rPr>
        <w:t>בשנת</w:t>
      </w:r>
      <w:r w:rsidRPr="003D564D">
        <w:rPr>
          <w:rFonts w:ascii="David" w:hAnsi="David" w:cs="David"/>
          <w:sz w:val="24"/>
          <w:szCs w:val="24"/>
          <w:rtl/>
        </w:rPr>
        <w:t xml:space="preserve"> </w:t>
      </w:r>
      <w:r>
        <w:rPr>
          <w:rFonts w:ascii="David" w:hAnsi="David" w:cs="David" w:hint="cs"/>
          <w:sz w:val="24"/>
          <w:szCs w:val="24"/>
          <w:rtl/>
        </w:rPr>
        <w:t>2003</w:t>
      </w:r>
      <w:r>
        <w:rPr>
          <w:rStyle w:val="FootnoteReference"/>
          <w:rFonts w:ascii="David" w:hAnsi="David" w:cs="David"/>
          <w:sz w:val="24"/>
          <w:szCs w:val="24"/>
          <w:rtl/>
        </w:rPr>
        <w:footnoteReference w:id="74"/>
      </w:r>
      <w:r w:rsidRPr="003D564D">
        <w:rPr>
          <w:rFonts w:ascii="David" w:hAnsi="David" w:cs="David"/>
          <w:sz w:val="24"/>
          <w:szCs w:val="24"/>
          <w:rtl/>
        </w:rPr>
        <w:t xml:space="preserve"> </w:t>
      </w:r>
      <w:r w:rsidRPr="003D564D">
        <w:rPr>
          <w:rFonts w:ascii="David" w:hAnsi="David" w:cs="David" w:hint="eastAsia"/>
          <w:sz w:val="24"/>
          <w:szCs w:val="24"/>
          <w:rtl/>
        </w:rPr>
        <w:t>מחדדות</w:t>
      </w:r>
      <w:r w:rsidRPr="003D564D">
        <w:rPr>
          <w:rFonts w:ascii="David" w:hAnsi="David" w:cs="David"/>
          <w:sz w:val="24"/>
          <w:szCs w:val="24"/>
          <w:rtl/>
        </w:rPr>
        <w:t xml:space="preserve"> </w:t>
      </w:r>
      <w:r w:rsidRPr="003D564D">
        <w:rPr>
          <w:rFonts w:ascii="David" w:hAnsi="David" w:cs="David" w:hint="eastAsia"/>
          <w:sz w:val="24"/>
          <w:szCs w:val="24"/>
          <w:rtl/>
        </w:rPr>
        <w:t>את</w:t>
      </w:r>
      <w:r w:rsidRPr="003D564D">
        <w:rPr>
          <w:rFonts w:ascii="David" w:hAnsi="David" w:cs="David"/>
          <w:sz w:val="24"/>
          <w:szCs w:val="24"/>
          <w:rtl/>
        </w:rPr>
        <w:t xml:space="preserve"> </w:t>
      </w:r>
      <w:r w:rsidRPr="003D564D">
        <w:rPr>
          <w:rFonts w:ascii="David" w:hAnsi="David" w:cs="David" w:hint="eastAsia"/>
          <w:sz w:val="24"/>
          <w:szCs w:val="24"/>
          <w:rtl/>
        </w:rPr>
        <w:t>הזיקה</w:t>
      </w:r>
      <w:r w:rsidRPr="003D564D">
        <w:rPr>
          <w:rFonts w:ascii="David" w:hAnsi="David" w:cs="David"/>
          <w:sz w:val="24"/>
          <w:szCs w:val="24"/>
          <w:rtl/>
        </w:rPr>
        <w:t xml:space="preserve"> </w:t>
      </w:r>
      <w:r w:rsidRPr="003D564D">
        <w:rPr>
          <w:rFonts w:ascii="David" w:hAnsi="David" w:cs="David" w:hint="eastAsia"/>
          <w:sz w:val="24"/>
          <w:szCs w:val="24"/>
          <w:rtl/>
        </w:rPr>
        <w:t>בין</w:t>
      </w:r>
      <w:r w:rsidRPr="003D564D">
        <w:rPr>
          <w:rFonts w:ascii="David" w:hAnsi="David" w:cs="David"/>
          <w:sz w:val="24"/>
          <w:szCs w:val="24"/>
          <w:rtl/>
        </w:rPr>
        <w:t xml:space="preserve"> </w:t>
      </w:r>
      <w:r>
        <w:rPr>
          <w:rFonts w:ascii="David" w:hAnsi="David" w:cs="David" w:hint="cs"/>
          <w:sz w:val="24"/>
          <w:szCs w:val="24"/>
          <w:rtl/>
        </w:rPr>
        <w:t>הורות</w:t>
      </w:r>
      <w:r w:rsidRPr="003D564D">
        <w:rPr>
          <w:rFonts w:ascii="David" w:hAnsi="David" w:cs="David"/>
          <w:sz w:val="24"/>
          <w:szCs w:val="24"/>
          <w:rtl/>
        </w:rPr>
        <w:t xml:space="preserve"> </w:t>
      </w:r>
      <w:r w:rsidRPr="003D564D">
        <w:rPr>
          <w:rFonts w:ascii="David" w:hAnsi="David" w:cs="David" w:hint="eastAsia"/>
          <w:sz w:val="24"/>
          <w:szCs w:val="24"/>
          <w:rtl/>
        </w:rPr>
        <w:t>לזוגיות</w:t>
      </w:r>
      <w:r>
        <w:rPr>
          <w:rFonts w:ascii="David" w:hAnsi="David" w:cs="David" w:hint="cs"/>
          <w:sz w:val="24"/>
          <w:szCs w:val="24"/>
          <w:rtl/>
        </w:rPr>
        <w:t xml:space="preserve">. מלכתחילה מיקד היועץ המשפטי לממשלה בהנחיותיו את האינטרס להולדה מזרע אדם שנפטר, לבת זוגו שנותרה בחיים. ההנחיות קבעו כי שימוש בזרע לאחר המוות יותר לבת הזוג של </w:t>
      </w:r>
      <w:r w:rsidRPr="00B017EA">
        <w:rPr>
          <w:rFonts w:ascii="David" w:hAnsi="David" w:cs="David" w:hint="eastAsia"/>
          <w:sz w:val="24"/>
          <w:szCs w:val="24"/>
          <w:rtl/>
        </w:rPr>
        <w:t>המנוח</w:t>
      </w:r>
      <w:r w:rsidRPr="00B017EA">
        <w:rPr>
          <w:rFonts w:ascii="David" w:hAnsi="David" w:cs="David"/>
          <w:sz w:val="24"/>
          <w:szCs w:val="24"/>
          <w:rtl/>
        </w:rPr>
        <w:t xml:space="preserve"> </w:t>
      </w:r>
      <w:r w:rsidRPr="00B017EA">
        <w:rPr>
          <w:rFonts w:ascii="David" w:hAnsi="David" w:cs="David" w:hint="eastAsia"/>
          <w:sz w:val="24"/>
          <w:szCs w:val="24"/>
          <w:rtl/>
        </w:rPr>
        <w:t>שביקשה</w:t>
      </w:r>
      <w:r w:rsidRPr="00B017EA">
        <w:rPr>
          <w:rFonts w:ascii="David" w:hAnsi="David" w:cs="David"/>
          <w:sz w:val="24"/>
          <w:szCs w:val="24"/>
          <w:rtl/>
        </w:rPr>
        <w:t xml:space="preserve"> </w:t>
      </w:r>
      <w:r w:rsidRPr="00B017EA">
        <w:rPr>
          <w:rFonts w:ascii="David" w:hAnsi="David" w:cs="David" w:hint="eastAsia"/>
          <w:sz w:val="24"/>
          <w:szCs w:val="24"/>
          <w:rtl/>
        </w:rPr>
        <w:t>זאת</w:t>
      </w:r>
      <w:r w:rsidRPr="00B017EA">
        <w:rPr>
          <w:rFonts w:ascii="David" w:hAnsi="David" w:cs="David"/>
          <w:sz w:val="24"/>
          <w:szCs w:val="24"/>
          <w:rtl/>
        </w:rPr>
        <w:t>.</w:t>
      </w:r>
      <w:r w:rsidRPr="00B017EA">
        <w:rPr>
          <w:rStyle w:val="FootnoteReference"/>
          <w:rFonts w:ascii="David" w:hAnsi="David" w:cs="David"/>
          <w:sz w:val="24"/>
          <w:szCs w:val="24"/>
          <w:rtl/>
        </w:rPr>
        <w:footnoteReference w:id="75"/>
      </w:r>
      <w:r w:rsidRPr="00B017EA">
        <w:rPr>
          <w:rFonts w:ascii="David" w:hAnsi="David" w:cs="David"/>
          <w:sz w:val="24"/>
          <w:szCs w:val="24"/>
          <w:rtl/>
        </w:rPr>
        <w:t xml:space="preserve"> </w:t>
      </w:r>
      <w:r w:rsidRPr="00B017EA">
        <w:rPr>
          <w:rFonts w:ascii="David" w:hAnsi="David" w:cs="David" w:hint="eastAsia"/>
          <w:sz w:val="24"/>
          <w:szCs w:val="24"/>
          <w:rtl/>
        </w:rPr>
        <w:t>ההנחיות</w:t>
      </w:r>
      <w:r w:rsidRPr="00B017EA">
        <w:rPr>
          <w:rFonts w:ascii="David" w:hAnsi="David" w:cs="David"/>
          <w:sz w:val="24"/>
          <w:szCs w:val="24"/>
          <w:rtl/>
        </w:rPr>
        <w:t xml:space="preserve"> </w:t>
      </w:r>
      <w:r w:rsidRPr="00B017EA">
        <w:rPr>
          <w:rFonts w:ascii="David" w:hAnsi="David" w:cs="David" w:hint="eastAsia"/>
          <w:sz w:val="24"/>
          <w:szCs w:val="24"/>
          <w:rtl/>
        </w:rPr>
        <w:t>קושרות</w:t>
      </w:r>
      <w:r w:rsidRPr="00B017EA">
        <w:rPr>
          <w:rFonts w:ascii="David" w:hAnsi="David" w:cs="David"/>
          <w:sz w:val="24"/>
          <w:szCs w:val="24"/>
          <w:rtl/>
        </w:rPr>
        <w:t xml:space="preserve"> </w:t>
      </w:r>
      <w:r w:rsidRPr="00B017EA">
        <w:rPr>
          <w:rFonts w:ascii="David" w:hAnsi="David" w:cs="David" w:hint="eastAsia"/>
          <w:sz w:val="24"/>
          <w:szCs w:val="24"/>
          <w:rtl/>
        </w:rPr>
        <w:t>בין</w:t>
      </w:r>
      <w:r w:rsidRPr="00B017EA">
        <w:rPr>
          <w:rFonts w:ascii="David" w:hAnsi="David" w:cs="David"/>
          <w:sz w:val="24"/>
          <w:szCs w:val="24"/>
          <w:rtl/>
        </w:rPr>
        <w:t xml:space="preserve"> </w:t>
      </w:r>
      <w:r w:rsidRPr="00B017EA">
        <w:rPr>
          <w:rFonts w:ascii="David" w:hAnsi="David" w:cs="David" w:hint="eastAsia"/>
          <w:sz w:val="24"/>
          <w:szCs w:val="24"/>
          <w:rtl/>
        </w:rPr>
        <w:t>הזוגיות</w:t>
      </w:r>
      <w:r w:rsidRPr="00B017EA">
        <w:rPr>
          <w:rFonts w:ascii="David" w:hAnsi="David" w:cs="David"/>
          <w:sz w:val="24"/>
          <w:szCs w:val="24"/>
          <w:rtl/>
        </w:rPr>
        <w:t xml:space="preserve"> </w:t>
      </w:r>
      <w:r w:rsidRPr="00B017EA">
        <w:rPr>
          <w:rFonts w:ascii="David" w:hAnsi="David" w:cs="David" w:hint="eastAsia"/>
          <w:sz w:val="24"/>
          <w:szCs w:val="24"/>
          <w:rtl/>
        </w:rPr>
        <w:t>להולדה</w:t>
      </w:r>
      <w:r w:rsidRPr="00B017EA">
        <w:rPr>
          <w:rFonts w:ascii="David" w:hAnsi="David" w:cs="David"/>
          <w:sz w:val="24"/>
          <w:szCs w:val="24"/>
          <w:rtl/>
        </w:rPr>
        <w:t xml:space="preserve"> </w:t>
      </w:r>
      <w:r w:rsidRPr="00B017EA">
        <w:rPr>
          <w:rFonts w:ascii="David" w:hAnsi="David" w:cs="David" w:hint="eastAsia"/>
          <w:sz w:val="24"/>
          <w:szCs w:val="24"/>
          <w:rtl/>
        </w:rPr>
        <w:t>בקביעתם</w:t>
      </w:r>
      <w:r w:rsidRPr="00B017EA">
        <w:rPr>
          <w:rFonts w:ascii="David" w:hAnsi="David" w:cs="David"/>
          <w:sz w:val="24"/>
          <w:szCs w:val="24"/>
          <w:rtl/>
        </w:rPr>
        <w:t xml:space="preserve"> </w:t>
      </w:r>
      <w:r w:rsidRPr="00B017EA">
        <w:rPr>
          <w:rFonts w:ascii="David" w:hAnsi="David" w:cs="David" w:hint="eastAsia"/>
          <w:sz w:val="24"/>
          <w:szCs w:val="24"/>
          <w:rtl/>
        </w:rPr>
        <w:t>כי</w:t>
      </w:r>
      <w:r w:rsidRPr="00B017EA">
        <w:rPr>
          <w:rFonts w:ascii="David" w:hAnsi="David" w:cs="David"/>
          <w:sz w:val="24"/>
          <w:szCs w:val="24"/>
          <w:rtl/>
        </w:rPr>
        <w:t xml:space="preserve"> "</w:t>
      </w:r>
      <w:r w:rsidRPr="00B86EFD">
        <w:rPr>
          <w:rFonts w:ascii="David" w:hAnsi="David" w:cs="David"/>
          <w:sz w:val="24"/>
          <w:szCs w:val="24"/>
          <w:rtl/>
        </w:rPr>
        <w:t>רצון לצאצא כרוך, מטבע הדברים, גם בבת- הזוג למעשה יצירה זה,"</w:t>
      </w:r>
      <w:r w:rsidRPr="00B86EFD">
        <w:rPr>
          <w:rStyle w:val="FootnoteReference"/>
          <w:rFonts w:ascii="David" w:hAnsi="David" w:cs="David"/>
          <w:sz w:val="24"/>
          <w:szCs w:val="24"/>
          <w:rtl/>
        </w:rPr>
        <w:footnoteReference w:id="76"/>
      </w:r>
      <w:r w:rsidRPr="00B86EFD">
        <w:rPr>
          <w:rFonts w:ascii="David" w:hAnsi="David" w:cs="David"/>
          <w:sz w:val="24"/>
          <w:szCs w:val="24"/>
          <w:rtl/>
        </w:rPr>
        <w:t xml:space="preserve"> </w:t>
      </w:r>
      <w:r w:rsidRPr="00B86EFD">
        <w:rPr>
          <w:rFonts w:ascii="David" w:hAnsi="David" w:cs="David" w:hint="eastAsia"/>
          <w:sz w:val="24"/>
          <w:szCs w:val="24"/>
          <w:rtl/>
        </w:rPr>
        <w:t>עד</w:t>
      </w:r>
      <w:r w:rsidRPr="00B86EFD">
        <w:rPr>
          <w:rFonts w:ascii="David" w:hAnsi="David" w:cs="David"/>
          <w:sz w:val="24"/>
          <w:szCs w:val="24"/>
          <w:rtl/>
        </w:rPr>
        <w:t xml:space="preserve"> כי </w:t>
      </w:r>
      <w:r w:rsidRPr="00B86EFD">
        <w:rPr>
          <w:rFonts w:ascii="David" w:hAnsi="David" w:cs="David" w:hint="eastAsia"/>
          <w:sz w:val="24"/>
          <w:szCs w:val="24"/>
          <w:rtl/>
        </w:rPr>
        <w:t>בהעדרה</w:t>
      </w:r>
      <w:r w:rsidRPr="00B86EFD">
        <w:rPr>
          <w:rFonts w:ascii="David" w:hAnsi="David" w:cs="David"/>
          <w:sz w:val="24"/>
          <w:szCs w:val="24"/>
          <w:rtl/>
        </w:rPr>
        <w:t xml:space="preserve"> של בת הזוג, כך על פי ההנחיות, </w:t>
      </w:r>
      <w:r>
        <w:rPr>
          <w:rFonts w:ascii="David" w:hAnsi="David" w:cs="David" w:hint="cs"/>
          <w:sz w:val="24"/>
          <w:szCs w:val="24"/>
          <w:rtl/>
        </w:rPr>
        <w:t xml:space="preserve">אין </w:t>
      </w:r>
      <w:r w:rsidRPr="00B86EFD">
        <w:rPr>
          <w:rFonts w:ascii="David" w:hAnsi="David" w:cs="David" w:hint="eastAsia"/>
          <w:sz w:val="24"/>
          <w:szCs w:val="24"/>
          <w:rtl/>
        </w:rPr>
        <w:t>מקום</w:t>
      </w:r>
      <w:r w:rsidRPr="00B86EFD">
        <w:rPr>
          <w:rFonts w:ascii="David" w:hAnsi="David" w:cs="David"/>
          <w:sz w:val="24"/>
          <w:szCs w:val="24"/>
          <w:rtl/>
        </w:rPr>
        <w:t xml:space="preserve"> </w:t>
      </w:r>
      <w:r w:rsidRPr="00B86EFD">
        <w:rPr>
          <w:rFonts w:ascii="David" w:hAnsi="David" w:cs="David" w:hint="eastAsia"/>
          <w:sz w:val="24"/>
          <w:szCs w:val="24"/>
          <w:rtl/>
        </w:rPr>
        <w:t>להיענות</w:t>
      </w:r>
      <w:r w:rsidRPr="00B86EFD">
        <w:rPr>
          <w:rFonts w:ascii="David" w:hAnsi="David" w:cs="David"/>
          <w:sz w:val="24"/>
          <w:szCs w:val="24"/>
          <w:rtl/>
        </w:rPr>
        <w:t xml:space="preserve"> </w:t>
      </w:r>
      <w:r w:rsidRPr="00B86EFD">
        <w:rPr>
          <w:rFonts w:ascii="David" w:hAnsi="David" w:cs="David" w:hint="eastAsia"/>
          <w:sz w:val="24"/>
          <w:szCs w:val="24"/>
          <w:rtl/>
        </w:rPr>
        <w:t>לבקשה</w:t>
      </w:r>
      <w:r w:rsidRPr="00B86EFD">
        <w:rPr>
          <w:rFonts w:ascii="David" w:hAnsi="David" w:cs="David"/>
          <w:sz w:val="24"/>
          <w:szCs w:val="24"/>
          <w:rtl/>
        </w:rPr>
        <w:t>.</w:t>
      </w:r>
      <w:r>
        <w:rPr>
          <w:rStyle w:val="FootnoteReference"/>
          <w:rFonts w:ascii="David" w:hAnsi="David" w:cs="David"/>
          <w:sz w:val="24"/>
          <w:szCs w:val="24"/>
          <w:rtl/>
        </w:rPr>
        <w:footnoteReference w:id="77"/>
      </w:r>
      <w:r w:rsidRPr="00B86EFD">
        <w:rPr>
          <w:rFonts w:ascii="David" w:hAnsi="David" w:cs="David"/>
          <w:sz w:val="24"/>
          <w:szCs w:val="24"/>
          <w:rtl/>
        </w:rPr>
        <w:t xml:space="preserve"> </w:t>
      </w:r>
      <w:r w:rsidRPr="00B017EA">
        <w:rPr>
          <w:rFonts w:ascii="David" w:hAnsi="David" w:cs="David" w:hint="eastAsia"/>
          <w:sz w:val="24"/>
          <w:szCs w:val="24"/>
          <w:rtl/>
        </w:rPr>
        <w:t>עם</w:t>
      </w:r>
      <w:r>
        <w:rPr>
          <w:rFonts w:ascii="David" w:hAnsi="David" w:cs="David" w:hint="cs"/>
          <w:sz w:val="24"/>
          <w:szCs w:val="24"/>
          <w:rtl/>
        </w:rPr>
        <w:t xml:space="preserve"> השנים הרחיב, אמנם, בית המשפט את הזכאות לבקש לעשות שימוש בזרע המנוח גם להוריו של המנוח בנסיבות בהן נעדר בת זוג בחייו או אפילו כאשר היתה בת זוג אך זאת סירבה לשימוש,</w:t>
      </w:r>
      <w:r>
        <w:rPr>
          <w:rStyle w:val="FootnoteReference"/>
          <w:rFonts w:ascii="David" w:hAnsi="David" w:cs="David"/>
          <w:sz w:val="24"/>
          <w:szCs w:val="24"/>
          <w:rtl/>
        </w:rPr>
        <w:footnoteReference w:id="78"/>
      </w:r>
      <w:r>
        <w:rPr>
          <w:rFonts w:ascii="David" w:hAnsi="David" w:cs="David" w:hint="cs"/>
          <w:sz w:val="24"/>
          <w:szCs w:val="24"/>
          <w:rtl/>
        </w:rPr>
        <w:t xml:space="preserve"> אך הרחבה זאת צומצמה בשנים האחרונות כאשר מיקד בית </w:t>
      </w:r>
      <w:r w:rsidRPr="0072044C">
        <w:rPr>
          <w:rFonts w:ascii="David" w:hAnsi="David" w:cs="David" w:hint="cs"/>
          <w:sz w:val="24"/>
          <w:szCs w:val="24"/>
          <w:rtl/>
        </w:rPr>
        <w:t xml:space="preserve">המשפט </w:t>
      </w:r>
      <w:r w:rsidRPr="00B86EFD">
        <w:rPr>
          <w:rFonts w:ascii="David" w:hAnsi="David" w:cs="David" w:hint="eastAsia"/>
          <w:sz w:val="24"/>
          <w:szCs w:val="24"/>
          <w:rtl/>
        </w:rPr>
        <w:t>העליון</w:t>
      </w:r>
      <w:r w:rsidRPr="00B86EFD">
        <w:rPr>
          <w:rFonts w:ascii="David" w:hAnsi="David" w:cs="David"/>
          <w:sz w:val="24"/>
          <w:szCs w:val="24"/>
          <w:rtl/>
        </w:rPr>
        <w:t xml:space="preserve"> שוב את הזכאות לבת הזוג.</w:t>
      </w:r>
      <w:r>
        <w:rPr>
          <w:rStyle w:val="FootnoteReference"/>
          <w:rFonts w:ascii="David" w:hAnsi="David" w:cs="David"/>
          <w:sz w:val="24"/>
          <w:szCs w:val="24"/>
          <w:rtl/>
        </w:rPr>
        <w:footnoteReference w:id="79"/>
      </w:r>
      <w:r w:rsidRPr="00B86EFD">
        <w:rPr>
          <w:rFonts w:ascii="David" w:hAnsi="David" w:cs="David"/>
          <w:sz w:val="24"/>
          <w:szCs w:val="24"/>
          <w:rtl/>
        </w:rPr>
        <w:t xml:space="preserve"> במובן זה הן היועץ המשפטי לממשלה והן בית המשפט העליון הדגיש</w:t>
      </w:r>
      <w:r w:rsidRPr="00B86EFD">
        <w:rPr>
          <w:rFonts w:ascii="David" w:hAnsi="David" w:cs="David" w:hint="eastAsia"/>
          <w:sz w:val="24"/>
          <w:szCs w:val="24"/>
          <w:rtl/>
        </w:rPr>
        <w:t>ו</w:t>
      </w:r>
      <w:r w:rsidRPr="00B86EFD">
        <w:rPr>
          <w:rFonts w:ascii="David" w:hAnsi="David" w:cs="David"/>
          <w:sz w:val="24"/>
          <w:szCs w:val="24"/>
          <w:rtl/>
        </w:rPr>
        <w:t xml:space="preserve"> את ההורות כאלמנט זוגי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כזה הצומח מן הזוגיות וכרוך בה באופן בלתי ניתן לניתוק.</w:t>
      </w:r>
      <w:r w:rsidRPr="0072044C">
        <w:rPr>
          <w:rStyle w:val="FootnoteReference"/>
          <w:rFonts w:ascii="David" w:hAnsi="David" w:cs="David"/>
          <w:sz w:val="24"/>
          <w:szCs w:val="24"/>
          <w:rtl/>
        </w:rPr>
        <w:footnoteReference w:id="80"/>
      </w:r>
    </w:p>
    <w:p w14:paraId="57192499" w14:textId="77777777" w:rsidR="00303C51" w:rsidRPr="003D564D" w:rsidRDefault="00303C51" w:rsidP="00303C51">
      <w:pPr>
        <w:jc w:val="both"/>
        <w:rPr>
          <w:rFonts w:ascii="David" w:hAnsi="David" w:cs="David"/>
          <w:sz w:val="24"/>
          <w:szCs w:val="24"/>
          <w:rtl/>
        </w:rPr>
      </w:pPr>
    </w:p>
    <w:p w14:paraId="7A9DE11D" w14:textId="77777777" w:rsidR="00303C51" w:rsidRPr="003D564D" w:rsidRDefault="00303C51" w:rsidP="000E59F3">
      <w:pPr>
        <w:pStyle w:val="Heading2"/>
        <w:numPr>
          <w:ilvl w:val="0"/>
          <w:numId w:val="10"/>
        </w:numPr>
        <w:tabs>
          <w:tab w:val="num" w:pos="360"/>
        </w:tabs>
        <w:spacing w:before="0"/>
        <w:ind w:left="0" w:firstLine="0"/>
        <w:rPr>
          <w:rFonts w:ascii="David" w:hAnsi="David" w:cs="David"/>
          <w:b/>
          <w:bCs/>
          <w:color w:val="auto"/>
          <w:sz w:val="28"/>
          <w:szCs w:val="28"/>
          <w:rtl/>
        </w:rPr>
      </w:pPr>
      <w:bookmarkStart w:id="50" w:name="_Toc78880387"/>
      <w:r w:rsidRPr="003D564D">
        <w:rPr>
          <w:rFonts w:ascii="David" w:hAnsi="David" w:cs="David"/>
          <w:b/>
          <w:bCs/>
          <w:color w:val="auto"/>
          <w:sz w:val="28"/>
          <w:szCs w:val="28"/>
          <w:rtl/>
        </w:rPr>
        <w:t>חזקת הזוגיות</w:t>
      </w:r>
      <w:bookmarkEnd w:id="50"/>
    </w:p>
    <w:p w14:paraId="15D20615" w14:textId="3AC58F1A" w:rsidR="00303C51" w:rsidRDefault="00303C51" w:rsidP="00303C51">
      <w:pPr>
        <w:ind w:firstLine="340"/>
        <w:jc w:val="both"/>
        <w:rPr>
          <w:rFonts w:ascii="David" w:hAnsi="David" w:cs="David"/>
          <w:sz w:val="24"/>
          <w:szCs w:val="24"/>
          <w:rtl/>
        </w:rPr>
      </w:pPr>
      <w:r w:rsidRPr="003D564D">
        <w:rPr>
          <w:rFonts w:ascii="David" w:hAnsi="David" w:cs="David" w:hint="cs"/>
          <w:sz w:val="24"/>
          <w:szCs w:val="24"/>
          <w:rtl/>
        </w:rPr>
        <w:t xml:space="preserve">לאור העמדה הנורמטיבית שהובעה בחלק הקודם, לפיה </w:t>
      </w:r>
      <w:r w:rsidRPr="003D564D">
        <w:rPr>
          <w:rFonts w:ascii="David" w:hAnsi="David" w:cs="David"/>
          <w:sz w:val="24"/>
          <w:szCs w:val="24"/>
          <w:rtl/>
        </w:rPr>
        <w:t>מערכת יחסים המתאפיינת במחויבות ארוכת טווח, אחריות ודאגה הדדית ראויה להוות בסיס להכרה בהורות</w:t>
      </w:r>
      <w:r w:rsidRPr="003D564D">
        <w:rPr>
          <w:rFonts w:ascii="David" w:hAnsi="David" w:cs="David" w:hint="cs"/>
          <w:sz w:val="24"/>
          <w:szCs w:val="24"/>
          <w:rtl/>
        </w:rPr>
        <w:t xml:space="preserve">, </w:t>
      </w:r>
      <w:r w:rsidRPr="003D564D">
        <w:rPr>
          <w:rFonts w:ascii="David" w:hAnsi="David" w:cs="David"/>
          <w:sz w:val="24"/>
          <w:szCs w:val="24"/>
          <w:rtl/>
        </w:rPr>
        <w:t xml:space="preserve">ומתוך תפיסתנו לפיה ראוי שהמשפט בתחום דיני המשפחה יפעל באמצעות כללים מוגדרים מראש ויצמצם את שיקול הדעת </w:t>
      </w:r>
      <w:r w:rsidRPr="003D564D">
        <w:rPr>
          <w:rFonts w:ascii="David" w:hAnsi="David" w:cs="David"/>
          <w:sz w:val="24"/>
          <w:szCs w:val="24"/>
          <w:rtl/>
        </w:rPr>
        <w:lastRenderedPageBreak/>
        <w:t>השיפוטי בהכרעה במקרים ספציפיים,</w:t>
      </w:r>
      <w:r w:rsidRPr="003D564D">
        <w:rPr>
          <w:rStyle w:val="FootnoteReference"/>
          <w:rFonts w:ascii="David" w:hAnsi="David" w:cs="David"/>
          <w:sz w:val="24"/>
          <w:szCs w:val="24"/>
          <w:rtl/>
        </w:rPr>
        <w:footnoteReference w:id="81"/>
      </w:r>
      <w:r w:rsidRPr="003D564D">
        <w:rPr>
          <w:rFonts w:ascii="David" w:hAnsi="David" w:cs="David"/>
          <w:sz w:val="24"/>
          <w:szCs w:val="24"/>
          <w:rtl/>
        </w:rPr>
        <w:t xml:space="preserve"> אנחנו מבקשים להציע חזקה משפטית לפיה כאשר ילד נולד לתוך מערכת יחסים זוגית,</w:t>
      </w:r>
      <w:r>
        <w:rPr>
          <w:rFonts w:ascii="David" w:hAnsi="David" w:cs="David" w:hint="cs"/>
          <w:sz w:val="24"/>
          <w:szCs w:val="24"/>
          <w:rtl/>
        </w:rPr>
        <w:t xml:space="preserve"> שאינה מוגבלת לזוג נשוי שלא מאותו מין,</w:t>
      </w:r>
      <w:r w:rsidRPr="003D564D">
        <w:rPr>
          <w:rFonts w:ascii="David" w:hAnsi="David" w:cs="David"/>
          <w:sz w:val="24"/>
          <w:szCs w:val="24"/>
          <w:rtl/>
        </w:rPr>
        <w:t xml:space="preserve"> אזי שני הצדדים למערכת היחסים הזוגית הם הוריהם</w:t>
      </w:r>
      <w:r w:rsidRPr="003D564D">
        <w:rPr>
          <w:rFonts w:ascii="David" w:hAnsi="David" w:cs="David" w:hint="cs"/>
          <w:sz w:val="24"/>
          <w:szCs w:val="24"/>
          <w:rtl/>
        </w:rPr>
        <w:t xml:space="preserve">. </w:t>
      </w:r>
    </w:p>
    <w:p w14:paraId="35400083" w14:textId="77777777" w:rsidR="00303C51" w:rsidRPr="003D564D" w:rsidRDefault="00303C51" w:rsidP="00303C51">
      <w:pPr>
        <w:ind w:firstLine="340"/>
        <w:jc w:val="both"/>
        <w:rPr>
          <w:rFonts w:ascii="David" w:hAnsi="David" w:cs="David"/>
          <w:sz w:val="24"/>
          <w:szCs w:val="24"/>
          <w:rtl/>
        </w:rPr>
      </w:pPr>
      <w:r w:rsidRPr="003D564D">
        <w:rPr>
          <w:rFonts w:ascii="David" w:hAnsi="David" w:cs="David"/>
          <w:sz w:val="24"/>
          <w:szCs w:val="24"/>
          <w:rtl/>
        </w:rPr>
        <w:t xml:space="preserve">אחד היתרונות המרכזים של ביסוס הורות במשפט על זיקות כדוגמת זיקה ביולוגית או קשר נישואים פורמלי לאם, הוא היכולת לבסס את המעמד ההורי במשפט על מערכת של כללים ברורה וקלה להוכחה באופן שיצמצם את שיקול הדעת המשפטי לקבוע את המעמד של אדם כהורה בכל מקרה ומקרה (בייחוד כיום לאור היכולת המדעית לקבוע קיומו של קשר גנטי בין </w:t>
      </w:r>
      <w:r>
        <w:rPr>
          <w:rFonts w:ascii="David" w:hAnsi="David" w:cs="David" w:hint="cs"/>
          <w:sz w:val="24"/>
          <w:szCs w:val="24"/>
          <w:rtl/>
        </w:rPr>
        <w:t>מבוגר</w:t>
      </w:r>
      <w:r w:rsidRPr="003D564D">
        <w:rPr>
          <w:rFonts w:ascii="David" w:hAnsi="David" w:cs="David"/>
          <w:sz w:val="24"/>
          <w:szCs w:val="24"/>
          <w:rtl/>
        </w:rPr>
        <w:t xml:space="preserve"> לבין ילד) וזאת בעיקר על מנת להבטיח ודאות ויציבות. כל אחת ואחד מכותבי מאמר זה טענו בכתיבה נפרדת בהרחבה בדבר החשיבות של ביסוס דיני המשפחה על מערכת של כללים וצמצום הסטנדרטים הפתוחים המאפשרים שיקול דעת בהכרעת כל מקרה.</w:t>
      </w:r>
      <w:r w:rsidRPr="003D564D">
        <w:rPr>
          <w:rStyle w:val="FootnoteReference"/>
          <w:rFonts w:ascii="David" w:hAnsi="David" w:cs="David"/>
          <w:sz w:val="24"/>
          <w:szCs w:val="24"/>
          <w:rtl/>
        </w:rPr>
        <w:footnoteReference w:id="82"/>
      </w:r>
      <w:r w:rsidRPr="003D564D">
        <w:rPr>
          <w:rFonts w:ascii="David" w:hAnsi="David" w:cs="David"/>
          <w:sz w:val="24"/>
          <w:szCs w:val="24"/>
          <w:rtl/>
        </w:rPr>
        <w:t xml:space="preserve"> הדבר חשוב במיוחד במערך הדינים החולש על הגדרת ההורות מכיוון שיצירת וודאות במעמד ההורי משרתת את טובתם של ילדים ככלל, מכיוון שההורים המשפטיים הם הנושאים באחריות המשפטית לדאגה לילד וכפופים למגוון החובות שחב הורה כלפי ילדו.</w:t>
      </w:r>
      <w:r w:rsidRPr="003D564D">
        <w:rPr>
          <w:rStyle w:val="FootnoteReference"/>
          <w:rFonts w:ascii="David" w:hAnsi="David" w:cs="David"/>
          <w:sz w:val="24"/>
          <w:szCs w:val="24"/>
          <w:rtl/>
        </w:rPr>
        <w:footnoteReference w:id="83"/>
      </w:r>
      <w:r w:rsidRPr="003D564D">
        <w:rPr>
          <w:rFonts w:ascii="David" w:hAnsi="David" w:cs="David"/>
          <w:sz w:val="24"/>
          <w:szCs w:val="24"/>
          <w:rtl/>
        </w:rPr>
        <w:t xml:space="preserve"> וודאות ויציבות לגבי זהות אלו הנושאים באחריות וחבים חובות הוריות כלפי ילדים היא קריטית. מובן כי גם מנקודת מבטם של ההורים הפוטנציאליים וודאות לגבי מעמדם המשפטי ביחס לילדים היא בעלת חשיבות עליונה, הן לאור המשמעות של ההורות לזהותם האישית – ובפרט לאופן שזהות זו מתפתחת בהתאם לסטטוס המשפטי המיוחס לזהות זו – והן לאור המשמעות של ההכרה הפורמלית בהורות למערך היחסים בין הנפשות השונות במשפחה.</w:t>
      </w:r>
      <w:r w:rsidRPr="003D564D">
        <w:rPr>
          <w:rStyle w:val="FootnoteReference"/>
          <w:rFonts w:ascii="David" w:hAnsi="David" w:cs="David"/>
          <w:sz w:val="24"/>
          <w:szCs w:val="24"/>
          <w:rtl/>
        </w:rPr>
        <w:footnoteReference w:id="84"/>
      </w:r>
    </w:p>
    <w:p w14:paraId="736073DC" w14:textId="77777777" w:rsidR="00303C51" w:rsidRDefault="00303C51" w:rsidP="00303C51">
      <w:pPr>
        <w:ind w:firstLine="340"/>
        <w:jc w:val="both"/>
        <w:rPr>
          <w:rFonts w:ascii="David" w:hAnsi="David" w:cs="David"/>
          <w:sz w:val="24"/>
          <w:szCs w:val="24"/>
          <w:rtl/>
        </w:rPr>
      </w:pPr>
      <w:r>
        <w:rPr>
          <w:rFonts w:ascii="David" w:hAnsi="David" w:cs="David" w:hint="cs"/>
          <w:sz w:val="24"/>
          <w:szCs w:val="24"/>
          <w:rtl/>
        </w:rPr>
        <w:t>לכאורה</w:t>
      </w:r>
      <w:r w:rsidRPr="003D564D">
        <w:rPr>
          <w:rFonts w:ascii="David" w:hAnsi="David" w:cs="David"/>
          <w:sz w:val="24"/>
          <w:szCs w:val="24"/>
          <w:rtl/>
        </w:rPr>
        <w:t>, טיעון בדבר חשיבותה של מערכת היחסים בין שני מבוגרים העשויים להיות הורים במשותף כשיקול בהגדרת המעמד ההורי של כל אחד מהם נוגד להעדפותינו לביסוס ההורות במשפט על כללים וזאת לנוכח הקושי לאפיין ולזהות "מערכת יחסים מספקת" שתשמש כתשתית להכרה בהורות. עם זאת, לטענתנו ניתן להיעזר בכלי המשפטי של חזקות על מנת להפוך דיני הגדרת הורות המייחסים חשיבות למערכות יחסים</w:t>
      </w:r>
      <w:r w:rsidRPr="003D564D">
        <w:rPr>
          <w:rFonts w:ascii="David" w:hAnsi="David" w:cs="David" w:hint="cs"/>
          <w:sz w:val="24"/>
          <w:szCs w:val="24"/>
          <w:rtl/>
        </w:rPr>
        <w:t>,</w:t>
      </w:r>
      <w:r w:rsidRPr="003D564D">
        <w:rPr>
          <w:rFonts w:ascii="David" w:hAnsi="David" w:cs="David"/>
          <w:sz w:val="24"/>
          <w:szCs w:val="24"/>
          <w:rtl/>
        </w:rPr>
        <w:t xml:space="preserve"> לדינים המבוססים על כללים.</w:t>
      </w:r>
      <w:r w:rsidRPr="003D564D">
        <w:rPr>
          <w:rStyle w:val="FootnoteReference"/>
          <w:rFonts w:ascii="David" w:hAnsi="David" w:cs="David"/>
          <w:sz w:val="24"/>
          <w:szCs w:val="24"/>
          <w:rtl/>
        </w:rPr>
        <w:footnoteReference w:id="85"/>
      </w:r>
      <w:r w:rsidRPr="003D564D">
        <w:rPr>
          <w:rFonts w:ascii="David" w:hAnsi="David" w:cs="David"/>
          <w:sz w:val="24"/>
          <w:szCs w:val="24"/>
          <w:rtl/>
        </w:rPr>
        <w:t xml:space="preserve"> החזקה הקובעת אבהות משפטית על בסיס נישואים לאמא היא בעינינו פרדיגמה לחזקה שכזו, שעל בסיסה ניתן לעצב את החזקה הראויה ולהתאימה למציאות העכשווית של חיי משפחה</w:t>
      </w:r>
      <w:r w:rsidRPr="003D564D">
        <w:rPr>
          <w:rFonts w:ascii="David" w:hAnsi="David" w:cs="David" w:hint="cs"/>
          <w:sz w:val="24"/>
          <w:szCs w:val="24"/>
          <w:rtl/>
        </w:rPr>
        <w:t xml:space="preserve">. </w:t>
      </w:r>
      <w:r w:rsidRPr="003D564D">
        <w:rPr>
          <w:rFonts w:ascii="David" w:hAnsi="David" w:cs="David"/>
          <w:sz w:val="24"/>
          <w:szCs w:val="24"/>
          <w:rtl/>
        </w:rPr>
        <w:t>כאמור, אנו מציעים לקבוע שכאשר ילד נולד לתוך מערכת יחסים זוגית, קרי כאשר האם היולדת או האב המוליד מצויים במערכת יחסים זוגית המתאפיינת במחויבות הדדית וארוכת טווח</w:t>
      </w:r>
      <w:r w:rsidRPr="003D564D">
        <w:rPr>
          <w:rFonts w:ascii="David" w:hAnsi="David" w:cs="David" w:hint="cs"/>
          <w:sz w:val="24"/>
          <w:szCs w:val="24"/>
          <w:rtl/>
        </w:rPr>
        <w:t>,</w:t>
      </w:r>
      <w:r w:rsidRPr="003D564D">
        <w:rPr>
          <w:rFonts w:ascii="David" w:hAnsi="David" w:cs="David"/>
          <w:sz w:val="24"/>
          <w:szCs w:val="24"/>
          <w:rtl/>
        </w:rPr>
        <w:t xml:space="preserve"> חזקה כי שני הצדדים למערכת היחסים הזוגית הם הורי הילד.</w:t>
      </w:r>
      <w:r w:rsidRPr="003D564D">
        <w:rPr>
          <w:rFonts w:ascii="David" w:hAnsi="David" w:cs="David" w:hint="cs"/>
          <w:sz w:val="24"/>
          <w:szCs w:val="24"/>
          <w:rtl/>
        </w:rPr>
        <w:t xml:space="preserve"> </w:t>
      </w:r>
    </w:p>
    <w:p w14:paraId="5649A9B2" w14:textId="77777777" w:rsidR="00303C51" w:rsidRPr="003D564D" w:rsidRDefault="00303C51" w:rsidP="00303C51">
      <w:pPr>
        <w:ind w:firstLine="340"/>
        <w:jc w:val="both"/>
        <w:rPr>
          <w:rFonts w:ascii="David" w:hAnsi="David" w:cs="David"/>
          <w:sz w:val="24"/>
          <w:szCs w:val="24"/>
          <w:rtl/>
        </w:rPr>
      </w:pPr>
      <w:r w:rsidRPr="003D564D">
        <w:rPr>
          <w:rFonts w:ascii="David" w:hAnsi="David" w:cs="David" w:hint="cs"/>
          <w:sz w:val="24"/>
          <w:szCs w:val="24"/>
          <w:rtl/>
        </w:rPr>
        <w:lastRenderedPageBreak/>
        <w:t>לעניות דעתנו, על מנת לשוות לזוגיות את המקום הראוי לה, הזוגיות שיכולה לבסס את החזקה המשפטית, צריכה להיות כזאת שהחלה להתבסס כשנה לפני מועד ההתעברות.</w:t>
      </w:r>
      <w:r w:rsidRPr="003D564D">
        <w:rPr>
          <w:rStyle w:val="FootnoteReference"/>
          <w:rFonts w:ascii="David" w:hAnsi="David" w:cs="David"/>
          <w:sz w:val="24"/>
          <w:szCs w:val="24"/>
          <w:rtl/>
        </w:rPr>
        <w:footnoteReference w:id="86"/>
      </w:r>
      <w:r w:rsidRPr="003D564D">
        <w:rPr>
          <w:rFonts w:ascii="David" w:hAnsi="David" w:cs="David"/>
          <w:sz w:val="24"/>
          <w:szCs w:val="24"/>
          <w:rtl/>
        </w:rPr>
        <w:t xml:space="preserve"> </w:t>
      </w:r>
      <w:r w:rsidRPr="003D564D">
        <w:rPr>
          <w:rFonts w:ascii="David" w:hAnsi="David" w:cs="David" w:hint="cs"/>
          <w:sz w:val="24"/>
          <w:szCs w:val="24"/>
          <w:rtl/>
        </w:rPr>
        <w:t>ביסוס זה יילמד ממגורים משותפים של בני הזוג במסגרת בעלת אופי משפחתי.</w:t>
      </w:r>
      <w:r w:rsidRPr="003D564D">
        <w:rPr>
          <w:rStyle w:val="FootnoteReference"/>
          <w:rFonts w:ascii="David" w:hAnsi="David" w:cs="David"/>
          <w:sz w:val="24"/>
          <w:szCs w:val="24"/>
          <w:rtl/>
        </w:rPr>
        <w:footnoteReference w:id="87"/>
      </w:r>
      <w:r w:rsidRPr="003D564D">
        <w:rPr>
          <w:rFonts w:ascii="David" w:hAnsi="David" w:cs="David"/>
          <w:sz w:val="24"/>
          <w:szCs w:val="24"/>
          <w:rtl/>
        </w:rPr>
        <w:t xml:space="preserve"> </w:t>
      </w:r>
      <w:r w:rsidRPr="003D564D">
        <w:rPr>
          <w:rFonts w:ascii="David" w:hAnsi="David" w:cs="David" w:hint="cs"/>
          <w:sz w:val="24"/>
          <w:szCs w:val="24"/>
          <w:rtl/>
        </w:rPr>
        <w:t xml:space="preserve"> קיצור פרק הזמן האמור אפשרי כאשר בני הזוג בחרו למסד את היחסים ביניהם על ידי טקס נישואים המוכר על ידי שיטת המשפט המקומית או על ידי שיטת המשפט הזרה, בה נערך הטקס.</w:t>
      </w:r>
      <w:r w:rsidRPr="003D564D">
        <w:rPr>
          <w:rStyle w:val="FootnoteReference"/>
          <w:rFonts w:ascii="David" w:hAnsi="David" w:cs="David"/>
          <w:sz w:val="24"/>
          <w:szCs w:val="24"/>
          <w:rtl/>
        </w:rPr>
        <w:footnoteReference w:id="88"/>
      </w:r>
      <w:r w:rsidRPr="003D564D">
        <w:rPr>
          <w:rFonts w:ascii="David" w:hAnsi="David" w:cs="David" w:hint="cs"/>
          <w:sz w:val="24"/>
          <w:szCs w:val="24"/>
          <w:rtl/>
        </w:rPr>
        <w:t xml:space="preserve"> </w:t>
      </w:r>
    </w:p>
    <w:p w14:paraId="62FFE55B" w14:textId="77777777" w:rsidR="00303C51" w:rsidRPr="001D6746" w:rsidRDefault="00303C51" w:rsidP="00303C51">
      <w:pPr>
        <w:ind w:firstLine="340"/>
        <w:jc w:val="both"/>
        <w:rPr>
          <w:rFonts w:ascii="David" w:hAnsi="David" w:cs="David"/>
          <w:strike/>
          <w:sz w:val="24"/>
          <w:szCs w:val="24"/>
          <w:rtl/>
        </w:rPr>
      </w:pPr>
      <w:r w:rsidRPr="003D564D">
        <w:rPr>
          <w:rFonts w:ascii="David" w:hAnsi="David" w:cs="David" w:hint="cs"/>
          <w:sz w:val="24"/>
          <w:szCs w:val="24"/>
          <w:rtl/>
        </w:rPr>
        <w:t xml:space="preserve">כפי שכבר נרמז, </w:t>
      </w:r>
      <w:r w:rsidRPr="003D564D">
        <w:rPr>
          <w:rFonts w:ascii="David" w:hAnsi="David" w:cs="David"/>
          <w:sz w:val="24"/>
          <w:szCs w:val="24"/>
          <w:rtl/>
        </w:rPr>
        <w:t>הצעתנו אינה שוללת הכרה בהורות משפטית על בסיס זיקה אחרת שאינה מבוססת על זוגיות</w:t>
      </w:r>
      <w:r w:rsidRPr="003D564D">
        <w:rPr>
          <w:rFonts w:ascii="David" w:hAnsi="David" w:cs="David" w:hint="cs"/>
          <w:sz w:val="24"/>
          <w:szCs w:val="24"/>
          <w:rtl/>
        </w:rPr>
        <w:t xml:space="preserve"> ממושכת שהחלה לפחות כשנה לפני ההתעברות</w:t>
      </w:r>
      <w:r w:rsidRPr="003D564D">
        <w:rPr>
          <w:rFonts w:ascii="David" w:hAnsi="David" w:cs="David"/>
          <w:sz w:val="24"/>
          <w:szCs w:val="24"/>
          <w:rtl/>
        </w:rPr>
        <w:t>. כך למשל</w:t>
      </w:r>
      <w:r w:rsidRPr="003D564D">
        <w:rPr>
          <w:rFonts w:ascii="David" w:hAnsi="David" w:cs="David" w:hint="cs"/>
          <w:sz w:val="24"/>
          <w:szCs w:val="24"/>
          <w:rtl/>
        </w:rPr>
        <w:t>,</w:t>
      </w:r>
      <w:r w:rsidRPr="003D564D">
        <w:rPr>
          <w:rFonts w:ascii="David" w:hAnsi="David" w:cs="David"/>
          <w:sz w:val="24"/>
          <w:szCs w:val="24"/>
          <w:rtl/>
        </w:rPr>
        <w:t xml:space="preserve"> הבענו את הדעה (שלא נדונה לעומק במסגרת מאמר זה) לפיה כוונה להביא ילד לעולם וליטול אחריות הורית כלפיו ראויה אף היא לשמש כשיקול להכרה בהורות משפטית. </w:t>
      </w:r>
      <w:r>
        <w:rPr>
          <w:rFonts w:ascii="David" w:hAnsi="David" w:cs="David" w:hint="cs"/>
          <w:sz w:val="24"/>
          <w:szCs w:val="24"/>
          <w:rtl/>
        </w:rPr>
        <w:t xml:space="preserve">כך, אפשר שבני זוג שמערכת היחסים ביניהם קצרה יותר משנה, יתכוונו להפוך להורים במשותף ויוכלו לבסס את הורות בן או בת הזוג של ההורה הביולוגי על בסיס מבחן הכוונה.  </w:t>
      </w:r>
      <w:r w:rsidRPr="003D564D">
        <w:rPr>
          <w:rFonts w:ascii="David" w:hAnsi="David" w:cs="David"/>
          <w:sz w:val="24"/>
          <w:szCs w:val="24"/>
          <w:rtl/>
        </w:rPr>
        <w:t>באופן דומה, כאשר אישה הרתה כתוצאה מקיום יחסי מין חד פעמיים וללא שהיא והגבר ממנו הרתה מקיימים מערכת יחסים זוגית, איננו טוענים כי יש לשלול הכרה במעמד ההורי של הגבר</w:t>
      </w:r>
      <w:r w:rsidRPr="003D564D">
        <w:rPr>
          <w:rFonts w:ascii="David" w:hAnsi="David" w:cs="David" w:hint="cs"/>
          <w:sz w:val="24"/>
          <w:szCs w:val="24"/>
          <w:rtl/>
        </w:rPr>
        <w:t xml:space="preserve"> בשל העדר הזוגיות בינהם</w:t>
      </w:r>
      <w:r w:rsidRPr="003D564D">
        <w:rPr>
          <w:rFonts w:ascii="David" w:hAnsi="David" w:cs="David"/>
          <w:sz w:val="24"/>
          <w:szCs w:val="24"/>
          <w:rtl/>
        </w:rPr>
        <w:t xml:space="preserve">. </w:t>
      </w:r>
      <w:r w:rsidRPr="003D564D">
        <w:rPr>
          <w:rFonts w:ascii="David" w:hAnsi="David" w:cs="David" w:hint="cs"/>
          <w:sz w:val="24"/>
          <w:szCs w:val="24"/>
          <w:rtl/>
        </w:rPr>
        <w:t xml:space="preserve">מכאן אפשר </w:t>
      </w:r>
      <w:r w:rsidRPr="003D564D">
        <w:rPr>
          <w:rFonts w:ascii="David" w:hAnsi="David" w:cs="David"/>
          <w:sz w:val="24"/>
          <w:szCs w:val="24"/>
          <w:rtl/>
        </w:rPr>
        <w:t>שבמקרים שלא יתקיימו התנאים להכרה בהורות על בסיס חזקת הזוגיות עדיין תוכר הורות במשפט.</w:t>
      </w:r>
      <w:r w:rsidRPr="003D564D">
        <w:rPr>
          <w:rStyle w:val="FootnoteReference"/>
          <w:rFonts w:ascii="David" w:hAnsi="David" w:cs="David"/>
          <w:sz w:val="24"/>
          <w:szCs w:val="24"/>
          <w:rtl/>
        </w:rPr>
        <w:footnoteReference w:id="89"/>
      </w:r>
      <w:r w:rsidRPr="003D564D">
        <w:rPr>
          <w:rFonts w:ascii="David" w:hAnsi="David" w:cs="David"/>
          <w:sz w:val="24"/>
          <w:szCs w:val="24"/>
          <w:rtl/>
        </w:rPr>
        <w:t xml:space="preserve"> מערכת יחסים ממושכת המתאפיינת במחויבות הדדית </w:t>
      </w:r>
      <w:r w:rsidRPr="00E60969">
        <w:rPr>
          <w:rFonts w:ascii="David" w:hAnsi="David" w:cs="David"/>
          <w:b/>
          <w:bCs/>
          <w:sz w:val="24"/>
          <w:szCs w:val="24"/>
          <w:rtl/>
        </w:rPr>
        <w:t>אינה תנאי הכרחי</w:t>
      </w:r>
      <w:r w:rsidRPr="003D564D">
        <w:rPr>
          <w:rFonts w:ascii="David" w:hAnsi="David" w:cs="David"/>
          <w:sz w:val="24"/>
          <w:szCs w:val="24"/>
          <w:rtl/>
        </w:rPr>
        <w:t xml:space="preserve"> בעינינו להכרה בהורות, אך אנו טוענים כי היא </w:t>
      </w:r>
      <w:r w:rsidRPr="003D564D">
        <w:rPr>
          <w:rFonts w:ascii="David" w:hAnsi="David" w:cs="David"/>
          <w:b/>
          <w:bCs/>
          <w:sz w:val="24"/>
          <w:szCs w:val="24"/>
          <w:rtl/>
        </w:rPr>
        <w:t>תנאי מספיק ליצירת חזקה בדבר הורות</w:t>
      </w:r>
      <w:r>
        <w:rPr>
          <w:rFonts w:ascii="David" w:hAnsi="David" w:cs="David" w:hint="cs"/>
          <w:sz w:val="24"/>
          <w:szCs w:val="24"/>
          <w:rtl/>
        </w:rPr>
        <w:t>.</w:t>
      </w:r>
      <w:r w:rsidRPr="003D564D" w:rsidDel="00EA2279">
        <w:rPr>
          <w:rFonts w:ascii="David" w:hAnsi="David" w:cs="David"/>
          <w:sz w:val="24"/>
          <w:szCs w:val="24"/>
          <w:rtl/>
        </w:rPr>
        <w:t xml:space="preserve"> </w:t>
      </w:r>
      <w:r w:rsidRPr="001D6746">
        <w:rPr>
          <w:rFonts w:ascii="David" w:hAnsi="David" w:cs="David"/>
          <w:strike/>
          <w:sz w:val="24"/>
          <w:szCs w:val="24"/>
          <w:rtl/>
        </w:rPr>
        <w:t>מכיוון שדיני ההורות בישראל נשענים על הלכה פסוקה</w:t>
      </w:r>
      <w:r w:rsidRPr="001D6746">
        <w:rPr>
          <w:rFonts w:ascii="David" w:hAnsi="David" w:cs="David" w:hint="cs"/>
          <w:strike/>
          <w:sz w:val="24"/>
          <w:szCs w:val="24"/>
          <w:rtl/>
        </w:rPr>
        <w:t xml:space="preserve"> ונהלי משרד הפנים,</w:t>
      </w:r>
      <w:r w:rsidRPr="001D6746">
        <w:rPr>
          <w:rFonts w:ascii="David" w:hAnsi="David" w:cs="David"/>
          <w:strike/>
          <w:sz w:val="24"/>
          <w:szCs w:val="24"/>
          <w:rtl/>
        </w:rPr>
        <w:t xml:space="preserve"> ולא על חקיקה</w:t>
      </w:r>
      <w:r w:rsidRPr="001D6746">
        <w:rPr>
          <w:rFonts w:ascii="David" w:hAnsi="David" w:cs="David" w:hint="cs"/>
          <w:strike/>
          <w:sz w:val="24"/>
          <w:szCs w:val="24"/>
          <w:rtl/>
        </w:rPr>
        <w:t>,</w:t>
      </w:r>
      <w:r w:rsidRPr="001D6746">
        <w:rPr>
          <w:rFonts w:ascii="David" w:hAnsi="David" w:cs="David"/>
          <w:strike/>
          <w:sz w:val="24"/>
          <w:szCs w:val="24"/>
          <w:rtl/>
        </w:rPr>
        <w:t xml:space="preserve"> אין כל קושי לאמץ את חזקת הדין שהצענו במסגרת הפסיקה.</w:t>
      </w:r>
    </w:p>
    <w:p w14:paraId="0E0ED025" w14:textId="77777777" w:rsidR="00303C51" w:rsidRDefault="00303C51" w:rsidP="00303C51">
      <w:pPr>
        <w:ind w:firstLine="340"/>
        <w:jc w:val="both"/>
        <w:rPr>
          <w:rFonts w:ascii="David" w:hAnsi="David" w:cs="David"/>
          <w:sz w:val="24"/>
          <w:szCs w:val="24"/>
          <w:rtl/>
        </w:rPr>
      </w:pPr>
    </w:p>
    <w:p w14:paraId="6953C71F" w14:textId="77777777" w:rsidR="00303C51" w:rsidRPr="003D564D" w:rsidRDefault="00303C51" w:rsidP="000E59F3">
      <w:pPr>
        <w:pStyle w:val="Heading2"/>
        <w:numPr>
          <w:ilvl w:val="0"/>
          <w:numId w:val="10"/>
        </w:numPr>
        <w:tabs>
          <w:tab w:val="num" w:pos="360"/>
        </w:tabs>
        <w:spacing w:before="0"/>
        <w:ind w:left="0" w:firstLine="0"/>
        <w:rPr>
          <w:rFonts w:ascii="David" w:hAnsi="David" w:cs="David"/>
          <w:b/>
          <w:bCs/>
          <w:color w:val="auto"/>
          <w:sz w:val="28"/>
          <w:szCs w:val="28"/>
          <w:rtl/>
        </w:rPr>
      </w:pPr>
      <w:r>
        <w:rPr>
          <w:rFonts w:ascii="David" w:hAnsi="David" w:cs="David" w:hint="cs"/>
          <w:b/>
          <w:bCs/>
          <w:color w:val="auto"/>
          <w:sz w:val="28"/>
          <w:szCs w:val="28"/>
          <w:rtl/>
        </w:rPr>
        <w:t xml:space="preserve">יישום </w:t>
      </w:r>
      <w:r w:rsidRPr="003D564D">
        <w:rPr>
          <w:rFonts w:ascii="David" w:hAnsi="David" w:cs="David"/>
          <w:b/>
          <w:bCs/>
          <w:color w:val="auto"/>
          <w:sz w:val="28"/>
          <w:szCs w:val="28"/>
          <w:rtl/>
        </w:rPr>
        <w:t>חזקת הזוגיות</w:t>
      </w:r>
      <w:r>
        <w:rPr>
          <w:rFonts w:ascii="David" w:hAnsi="David" w:cs="David" w:hint="cs"/>
          <w:b/>
          <w:bCs/>
          <w:color w:val="auto"/>
          <w:sz w:val="28"/>
          <w:szCs w:val="28"/>
          <w:rtl/>
        </w:rPr>
        <w:t xml:space="preserve"> ככלל ובנסיבות מורכבות</w:t>
      </w:r>
    </w:p>
    <w:p w14:paraId="4E0AEC7E" w14:textId="4603A25E" w:rsidR="00303C51" w:rsidRDefault="00303C51" w:rsidP="00303C51">
      <w:pPr>
        <w:ind w:firstLine="340"/>
        <w:jc w:val="both"/>
        <w:rPr>
          <w:rFonts w:ascii="David" w:hAnsi="David" w:cs="David"/>
          <w:sz w:val="24"/>
          <w:szCs w:val="24"/>
          <w:rtl/>
        </w:rPr>
      </w:pPr>
      <w:r w:rsidRPr="00A62CC9">
        <w:rPr>
          <w:rFonts w:ascii="David" w:hAnsi="David" w:cs="David" w:hint="cs"/>
          <w:sz w:val="24"/>
          <w:szCs w:val="24"/>
          <w:rtl/>
        </w:rPr>
        <w:t xml:space="preserve">יישום חזקת הזוגיות רלוונטי, לעניות דעתנו, במיוחד בנסיבות של הולדה משותפת לבני זוג, כאשר במועד הלידה בני הזוג חיים יחד ואין כל מחלוקת ביניהם ביחס לזהות כהורים יחד. חזקת הזוגיות תכיר בבן הזוג או בבת הזוג כהורה, גם ללא זיקה גנטית לילד. </w:t>
      </w:r>
      <w:r w:rsidRPr="00BF22DC">
        <w:rPr>
          <w:rFonts w:ascii="David" w:hAnsi="David" w:cs="David" w:hint="cs"/>
          <w:sz w:val="24"/>
          <w:szCs w:val="24"/>
          <w:highlight w:val="yellow"/>
          <w:rtl/>
        </w:rPr>
        <w:t>מציאות זאת הרלוונטית לרוב רובם של המקרים בהם בני או בנות זוג מביאים לעולם ילד, יוסבר בסופו של חלק זה.</w:t>
      </w:r>
    </w:p>
    <w:p w14:paraId="141F7DC2" w14:textId="73305FE3" w:rsidR="00303C51" w:rsidRDefault="00303C51" w:rsidP="00303C51">
      <w:pPr>
        <w:ind w:firstLine="340"/>
        <w:jc w:val="both"/>
        <w:rPr>
          <w:rFonts w:ascii="David" w:hAnsi="David" w:cs="David"/>
          <w:sz w:val="24"/>
          <w:szCs w:val="24"/>
          <w:rtl/>
        </w:rPr>
      </w:pPr>
      <w:r>
        <w:rPr>
          <w:rFonts w:ascii="David" w:hAnsi="David" w:cs="David" w:hint="cs"/>
          <w:sz w:val="24"/>
          <w:szCs w:val="24"/>
          <w:rtl/>
        </w:rPr>
        <w:lastRenderedPageBreak/>
        <w:t xml:space="preserve">יישום חזקת הזוגיות יכול כמובן לסייע גם במקרים בהם ילד נולד לבני זוג, כאשר רק אחד מהם קשור ביולוגית לילד ולא נעשה הליך להסדרת המעמד ההורי של בן הזוג סמוך ללידה. במקרה שכזה, אם מתעורר סכסוך באשר למעמד בן הזוג כהורה, בעקבות סיום מערכת היחסים הזוגית, יתייתר הצורך בדיון ראייתי בנוגע לכוונת כל אחד מהצדדים למערכת היחסים הזוגית, ועצם קיומה של מערכת היחסים וההולדה לתוך מערכת היחסים תקים חזקה בדבר המעמד ההורי של בן הזוג. </w:t>
      </w:r>
      <w:r w:rsidRPr="00E046E9">
        <w:rPr>
          <w:rFonts w:ascii="David" w:hAnsi="David" w:cs="David"/>
          <w:sz w:val="24"/>
          <w:szCs w:val="24"/>
          <w:rtl/>
        </w:rPr>
        <w:t>בדרך כלל מדובר בב</w:t>
      </w:r>
      <w:r>
        <w:rPr>
          <w:rFonts w:ascii="David" w:hAnsi="David" w:cs="David" w:hint="cs"/>
          <w:sz w:val="24"/>
          <w:szCs w:val="24"/>
          <w:rtl/>
        </w:rPr>
        <w:t>נ</w:t>
      </w:r>
      <w:r w:rsidRPr="00E046E9">
        <w:rPr>
          <w:rFonts w:ascii="David" w:hAnsi="David" w:cs="David"/>
          <w:sz w:val="24"/>
          <w:szCs w:val="24"/>
          <w:rtl/>
        </w:rPr>
        <w:t>י זוג בני אותו המין,</w:t>
      </w:r>
      <w:r>
        <w:rPr>
          <w:rFonts w:ascii="David" w:hAnsi="David" w:cs="David" w:hint="cs"/>
          <w:sz w:val="24"/>
          <w:szCs w:val="24"/>
          <w:rtl/>
        </w:rPr>
        <w:t xml:space="preserve"> ובעיקר בנות זוג, </w:t>
      </w:r>
      <w:r w:rsidRPr="00E046E9">
        <w:rPr>
          <w:rFonts w:ascii="David" w:hAnsi="David" w:cs="David"/>
          <w:sz w:val="24"/>
          <w:szCs w:val="24"/>
          <w:rtl/>
        </w:rPr>
        <w:t xml:space="preserve">אולם </w:t>
      </w:r>
      <w:r w:rsidR="00916646">
        <w:rPr>
          <w:rFonts w:ascii="David" w:hAnsi="David" w:cs="David" w:hint="cs"/>
          <w:sz w:val="24"/>
          <w:szCs w:val="24"/>
          <w:rtl/>
        </w:rPr>
        <w:t>אפשר שיתעוררו</w:t>
      </w:r>
      <w:r w:rsidRPr="00E046E9">
        <w:rPr>
          <w:rFonts w:ascii="David" w:hAnsi="David" w:cs="David"/>
          <w:sz w:val="24"/>
          <w:szCs w:val="24"/>
          <w:rtl/>
        </w:rPr>
        <w:t xml:space="preserve"> סוגיות</w:t>
      </w:r>
      <w:r>
        <w:rPr>
          <w:rFonts w:ascii="David" w:hAnsi="David" w:cs="David" w:hint="cs"/>
          <w:sz w:val="24"/>
          <w:szCs w:val="24"/>
          <w:rtl/>
        </w:rPr>
        <w:t xml:space="preserve"> </w:t>
      </w:r>
      <w:r w:rsidRPr="00E046E9">
        <w:rPr>
          <w:rFonts w:ascii="David" w:hAnsi="David" w:cs="David"/>
          <w:sz w:val="24"/>
          <w:szCs w:val="24"/>
          <w:rtl/>
        </w:rPr>
        <w:t>הקשורות למעמד ההורי של גבר שהיה במערכת יחסים זוגית עם אשה, ללא נישואים ובמהלך חייהם הזוגיים ילדה האשה ילד תוך הסתייעות בתרומת זרע בשל קשיי פוריות של הגבר.</w:t>
      </w:r>
      <w:r>
        <w:rPr>
          <w:rFonts w:ascii="David" w:hAnsi="David" w:cs="David" w:hint="cs"/>
          <w:sz w:val="24"/>
          <w:szCs w:val="24"/>
          <w:rtl/>
        </w:rPr>
        <w:t xml:space="preserve"> גם כאן, אם מעמדו של הגבר כאב לא הוסדר בסמוך ללידה, סיום מערכת היחסים הזוגית עשוי להביא לקריאת תיגר על מעמדו המשפטי כהורה.</w:t>
      </w:r>
      <w:r>
        <w:rPr>
          <w:rStyle w:val="FootnoteReference"/>
          <w:rFonts w:ascii="David" w:hAnsi="David" w:cs="David"/>
          <w:sz w:val="24"/>
          <w:szCs w:val="24"/>
          <w:rtl/>
        </w:rPr>
        <w:footnoteReference w:id="90"/>
      </w:r>
      <w:r>
        <w:rPr>
          <w:rFonts w:ascii="David" w:hAnsi="David" w:cs="David" w:hint="cs"/>
          <w:sz w:val="24"/>
          <w:szCs w:val="24"/>
          <w:rtl/>
        </w:rPr>
        <w:t xml:space="preserve"> על פי הצעתנו, תקום חזקה בדבר אבהותו. </w:t>
      </w:r>
      <w:r w:rsidR="009134A3">
        <w:rPr>
          <w:rFonts w:ascii="David" w:hAnsi="David" w:cs="David" w:hint="cs"/>
          <w:sz w:val="24"/>
          <w:szCs w:val="24"/>
          <w:rtl/>
        </w:rPr>
        <w:t>[</w:t>
      </w:r>
      <w:r w:rsidR="009134A3" w:rsidRPr="00365E9D">
        <w:rPr>
          <w:rFonts w:ascii="David" w:hAnsi="David" w:cs="David" w:hint="cs"/>
          <w:sz w:val="24"/>
          <w:szCs w:val="24"/>
          <w:highlight w:val="yellow"/>
          <w:rtl/>
        </w:rPr>
        <w:t>מה לגבי הסיטואציה של בגידה?</w:t>
      </w:r>
      <w:r w:rsidR="009134A3">
        <w:rPr>
          <w:rFonts w:ascii="David" w:hAnsi="David" w:cs="David" w:hint="cs"/>
          <w:sz w:val="24"/>
          <w:szCs w:val="24"/>
          <w:rtl/>
        </w:rPr>
        <w:t>]</w:t>
      </w:r>
    </w:p>
    <w:p w14:paraId="1728491B" w14:textId="07D8446F" w:rsidR="00303C51" w:rsidRDefault="00303C51" w:rsidP="00303C51">
      <w:pPr>
        <w:ind w:firstLine="340"/>
        <w:jc w:val="both"/>
        <w:rPr>
          <w:rFonts w:ascii="David" w:hAnsi="David" w:cs="David"/>
          <w:sz w:val="24"/>
          <w:szCs w:val="24"/>
          <w:rtl/>
        </w:rPr>
      </w:pPr>
      <w:r w:rsidRPr="00CC371B">
        <w:rPr>
          <w:rFonts w:ascii="David" w:hAnsi="David" w:cs="David" w:hint="eastAsia"/>
          <w:sz w:val="24"/>
          <w:szCs w:val="24"/>
          <w:rtl/>
        </w:rPr>
        <w:t>כ</w:t>
      </w:r>
      <w:r>
        <w:rPr>
          <w:rFonts w:ascii="David" w:hAnsi="David" w:cs="David" w:hint="cs"/>
          <w:sz w:val="24"/>
          <w:szCs w:val="24"/>
          <w:rtl/>
        </w:rPr>
        <w:t>אן תעלה שאלה בהתייחס למצב דברים בו בן-הזוג של ההורה הביולוגי</w:t>
      </w:r>
      <w:r w:rsidRPr="003D564D">
        <w:rPr>
          <w:rFonts w:ascii="David" w:hAnsi="David" w:cs="David" w:hint="cs"/>
          <w:sz w:val="24"/>
          <w:szCs w:val="24"/>
          <w:rtl/>
        </w:rPr>
        <w:t xml:space="preserve"> הכריז כי הוא אינו מעוניין להיות מוכר כהורה</w:t>
      </w:r>
      <w:r>
        <w:rPr>
          <w:rFonts w:ascii="David" w:hAnsi="David" w:cs="David" w:hint="cs"/>
          <w:sz w:val="24"/>
          <w:szCs w:val="24"/>
          <w:rtl/>
        </w:rPr>
        <w:t>, או שההורה הביולוגי התנגד לכך שבן זוגו ישמש כהורה</w:t>
      </w:r>
      <w:r w:rsidRPr="003D564D">
        <w:rPr>
          <w:rFonts w:ascii="David" w:hAnsi="David" w:cs="David" w:hint="cs"/>
          <w:sz w:val="24"/>
          <w:szCs w:val="24"/>
          <w:rtl/>
        </w:rPr>
        <w:t xml:space="preserve">. המורכבות המתעוררת בנסיבות אלו נובעת מההתנגשות בין הזיקה הזוגית לזיקת הכוונה. לגישתנו ראוי לאפשר התניה </w:t>
      </w:r>
      <w:r>
        <w:rPr>
          <w:rFonts w:ascii="David" w:hAnsi="David" w:cs="David" w:hint="cs"/>
          <w:sz w:val="24"/>
          <w:szCs w:val="24"/>
          <w:rtl/>
        </w:rPr>
        <w:t>על חזקת הזוגיות,</w:t>
      </w:r>
      <w:r>
        <w:rPr>
          <w:rStyle w:val="FootnoteReference"/>
          <w:rFonts w:ascii="David" w:hAnsi="David" w:cs="David"/>
          <w:sz w:val="24"/>
          <w:szCs w:val="24"/>
          <w:rtl/>
        </w:rPr>
        <w:footnoteReference w:id="91"/>
      </w:r>
      <w:r w:rsidRPr="003D564D">
        <w:rPr>
          <w:rFonts w:ascii="David" w:hAnsi="David" w:cs="David" w:hint="cs"/>
          <w:sz w:val="24"/>
          <w:szCs w:val="24"/>
          <w:rtl/>
        </w:rPr>
        <w:t xml:space="preserve"> </w:t>
      </w:r>
      <w:r>
        <w:rPr>
          <w:rFonts w:ascii="David" w:hAnsi="David" w:cs="David" w:hint="cs"/>
          <w:sz w:val="24"/>
          <w:szCs w:val="24"/>
          <w:rtl/>
        </w:rPr>
        <w:t>אך</w:t>
      </w:r>
      <w:r w:rsidRPr="003D564D">
        <w:rPr>
          <w:rFonts w:ascii="David" w:hAnsi="David" w:cs="David" w:hint="cs"/>
          <w:sz w:val="24"/>
          <w:szCs w:val="24"/>
          <w:rtl/>
        </w:rPr>
        <w:t xml:space="preserve"> הדבר מחויב להתבצע בצורה מפורשת</w:t>
      </w:r>
      <w:r>
        <w:rPr>
          <w:rFonts w:ascii="David" w:hAnsi="David" w:cs="David" w:hint="cs"/>
          <w:sz w:val="24"/>
          <w:szCs w:val="24"/>
          <w:rtl/>
        </w:rPr>
        <w:t xml:space="preserve">, </w:t>
      </w:r>
      <w:r w:rsidRPr="003D564D">
        <w:rPr>
          <w:rFonts w:ascii="David" w:hAnsi="David" w:cs="David" w:hint="cs"/>
          <w:sz w:val="24"/>
          <w:szCs w:val="24"/>
          <w:rtl/>
        </w:rPr>
        <w:t>בטרם ההתעברות</w:t>
      </w:r>
      <w:r>
        <w:rPr>
          <w:rFonts w:ascii="David" w:hAnsi="David" w:cs="David" w:hint="cs"/>
          <w:sz w:val="24"/>
          <w:szCs w:val="24"/>
          <w:rtl/>
        </w:rPr>
        <w:t>, המועד המשמש אבן בוחן לחזקת הזוגיות, כמוסבר לעיל</w:t>
      </w:r>
      <w:r w:rsidRPr="003D564D">
        <w:rPr>
          <w:rFonts w:ascii="David" w:hAnsi="David" w:cs="David" w:hint="cs"/>
          <w:sz w:val="24"/>
          <w:szCs w:val="24"/>
          <w:rtl/>
        </w:rPr>
        <w:t xml:space="preserve">. </w:t>
      </w:r>
      <w:r>
        <w:rPr>
          <w:rFonts w:ascii="David" w:hAnsi="David" w:cs="David" w:hint="cs"/>
          <w:sz w:val="24"/>
          <w:szCs w:val="24"/>
          <w:rtl/>
        </w:rPr>
        <w:t>קביעת כלל זה אומנם משית</w:t>
      </w:r>
      <w:r w:rsidRPr="00A87660">
        <w:rPr>
          <w:rFonts w:ascii="David" w:hAnsi="David" w:cs="David"/>
          <w:sz w:val="24"/>
          <w:szCs w:val="24"/>
          <w:rtl/>
        </w:rPr>
        <w:t xml:space="preserve"> </w:t>
      </w:r>
      <w:r w:rsidRPr="00A87660">
        <w:rPr>
          <w:rFonts w:ascii="David" w:hAnsi="David" w:cs="David" w:hint="cs"/>
          <w:sz w:val="24"/>
          <w:szCs w:val="24"/>
          <w:rtl/>
        </w:rPr>
        <w:t>נטל</w:t>
      </w:r>
      <w:r w:rsidRPr="00A87660">
        <w:rPr>
          <w:rFonts w:ascii="David" w:hAnsi="David" w:cs="David"/>
          <w:sz w:val="24"/>
          <w:szCs w:val="24"/>
          <w:rtl/>
        </w:rPr>
        <w:t xml:space="preserve"> </w:t>
      </w:r>
      <w:r>
        <w:rPr>
          <w:rFonts w:ascii="David" w:hAnsi="David" w:cs="David" w:hint="cs"/>
          <w:sz w:val="24"/>
          <w:szCs w:val="24"/>
          <w:rtl/>
        </w:rPr>
        <w:t>(</w:t>
      </w:r>
      <w:r w:rsidRPr="00A87660">
        <w:rPr>
          <w:rFonts w:ascii="David" w:hAnsi="David" w:cs="David" w:hint="cs"/>
          <w:sz w:val="24"/>
          <w:szCs w:val="24"/>
          <w:rtl/>
        </w:rPr>
        <w:t>באופן</w:t>
      </w:r>
      <w:r w:rsidRPr="00A87660">
        <w:rPr>
          <w:rFonts w:ascii="David" w:hAnsi="David" w:cs="David"/>
          <w:sz w:val="24"/>
          <w:szCs w:val="24"/>
          <w:rtl/>
        </w:rPr>
        <w:t xml:space="preserve"> </w:t>
      </w:r>
      <w:r w:rsidRPr="00A87660">
        <w:rPr>
          <w:rFonts w:ascii="David" w:hAnsi="David" w:cs="David" w:hint="cs"/>
          <w:sz w:val="24"/>
          <w:szCs w:val="24"/>
          <w:rtl/>
        </w:rPr>
        <w:t>א</w:t>
      </w:r>
      <w:r>
        <w:rPr>
          <w:rFonts w:ascii="David" w:hAnsi="David" w:cs="David" w:hint="cs"/>
          <w:sz w:val="24"/>
          <w:szCs w:val="24"/>
          <w:rtl/>
        </w:rPr>
        <w:t>-</w:t>
      </w:r>
      <w:r w:rsidRPr="00A87660">
        <w:rPr>
          <w:rFonts w:ascii="David" w:hAnsi="David" w:cs="David" w:hint="cs"/>
          <w:sz w:val="24"/>
          <w:szCs w:val="24"/>
          <w:rtl/>
        </w:rPr>
        <w:t>פריורי</w:t>
      </w:r>
      <w:r>
        <w:rPr>
          <w:rFonts w:ascii="David" w:hAnsi="David" w:cs="David" w:hint="cs"/>
          <w:sz w:val="24"/>
          <w:szCs w:val="24"/>
          <w:rtl/>
        </w:rPr>
        <w:t>)</w:t>
      </w:r>
      <w:r w:rsidRPr="00A87660">
        <w:rPr>
          <w:rFonts w:ascii="David" w:hAnsi="David" w:cs="David"/>
          <w:sz w:val="24"/>
          <w:szCs w:val="24"/>
          <w:rtl/>
        </w:rPr>
        <w:t xml:space="preserve"> </w:t>
      </w:r>
      <w:r w:rsidRPr="00A87660">
        <w:rPr>
          <w:rFonts w:ascii="David" w:hAnsi="David" w:cs="David" w:hint="cs"/>
          <w:sz w:val="24"/>
          <w:szCs w:val="24"/>
          <w:rtl/>
        </w:rPr>
        <w:t>על</w:t>
      </w:r>
      <w:r w:rsidRPr="00A87660">
        <w:rPr>
          <w:rFonts w:ascii="David" w:hAnsi="David" w:cs="David"/>
          <w:sz w:val="24"/>
          <w:szCs w:val="24"/>
          <w:rtl/>
        </w:rPr>
        <w:t xml:space="preserve"> </w:t>
      </w:r>
      <w:r w:rsidRPr="00A87660">
        <w:rPr>
          <w:rFonts w:ascii="David" w:hAnsi="David" w:cs="David" w:hint="cs"/>
          <w:sz w:val="24"/>
          <w:szCs w:val="24"/>
          <w:rtl/>
        </w:rPr>
        <w:t>הצד</w:t>
      </w:r>
      <w:r w:rsidRPr="00A87660">
        <w:rPr>
          <w:rFonts w:ascii="David" w:hAnsi="David" w:cs="David"/>
          <w:sz w:val="24"/>
          <w:szCs w:val="24"/>
          <w:rtl/>
        </w:rPr>
        <w:t xml:space="preserve"> </w:t>
      </w:r>
      <w:r>
        <w:rPr>
          <w:rFonts w:ascii="David" w:hAnsi="David" w:cs="David" w:hint="cs"/>
          <w:sz w:val="24"/>
          <w:szCs w:val="24"/>
          <w:rtl/>
        </w:rPr>
        <w:t>המתנגד (בין אם מדובר על ההורה הביולוגי ובין אם מדובר על בן הזוג) להביע התנגדות באופן מפורש בטרם ההתעברות,</w:t>
      </w:r>
      <w:r w:rsidRPr="003D564D">
        <w:rPr>
          <w:rStyle w:val="FootnoteReference"/>
          <w:rFonts w:ascii="David" w:hAnsi="David" w:cs="David"/>
          <w:sz w:val="24"/>
          <w:szCs w:val="24"/>
          <w:rtl/>
        </w:rPr>
        <w:footnoteReference w:id="92"/>
      </w:r>
      <w:r>
        <w:rPr>
          <w:rStyle w:val="FootnoteReference"/>
          <w:rFonts w:ascii="David" w:hAnsi="David" w:cs="David" w:hint="cs"/>
          <w:sz w:val="24"/>
          <w:szCs w:val="24"/>
          <w:rtl/>
        </w:rPr>
        <w:t xml:space="preserve"> </w:t>
      </w:r>
      <w:r>
        <w:rPr>
          <w:rFonts w:ascii="David" w:hAnsi="David" w:cs="David" w:hint="cs"/>
          <w:sz w:val="24"/>
          <w:szCs w:val="24"/>
          <w:rtl/>
        </w:rPr>
        <w:t>שמא תוכר הורות של בן הזוג לאחר הלידה במצבי מחלוקת.</w:t>
      </w:r>
      <w:r>
        <w:rPr>
          <w:rStyle w:val="FootnoteReference"/>
          <w:rFonts w:ascii="David" w:hAnsi="David" w:cs="David"/>
          <w:sz w:val="24"/>
          <w:szCs w:val="24"/>
          <w:rtl/>
        </w:rPr>
        <w:footnoteReference w:id="93"/>
      </w:r>
      <w:r>
        <w:rPr>
          <w:rFonts w:ascii="David" w:hAnsi="David" w:cs="David" w:hint="cs"/>
          <w:sz w:val="24"/>
          <w:szCs w:val="24"/>
          <w:rtl/>
        </w:rPr>
        <w:t xml:space="preserve"> אולם, אנו סבורים כי כלל זה, המאפשר להתנות על חזקת הזוגיות, אך באופן מותחם ומוגדר, מגלם את</w:t>
      </w:r>
      <w:r w:rsidRPr="003D564D">
        <w:rPr>
          <w:rFonts w:ascii="David" w:hAnsi="David" w:cs="David" w:hint="cs"/>
          <w:sz w:val="24"/>
          <w:szCs w:val="24"/>
          <w:rtl/>
        </w:rPr>
        <w:t xml:space="preserve"> האיזון הראוי בהתנגשות בין זיקת הזוגיות </w:t>
      </w:r>
      <w:r>
        <w:rPr>
          <w:rFonts w:ascii="David" w:hAnsi="David" w:cs="David" w:hint="cs"/>
          <w:sz w:val="24"/>
          <w:szCs w:val="24"/>
          <w:rtl/>
        </w:rPr>
        <w:t>לזיקת הכ</w:t>
      </w:r>
      <w:r w:rsidRPr="003D564D">
        <w:rPr>
          <w:rFonts w:ascii="David" w:hAnsi="David" w:cs="David" w:hint="cs"/>
          <w:sz w:val="24"/>
          <w:szCs w:val="24"/>
          <w:rtl/>
        </w:rPr>
        <w:t>וונה</w:t>
      </w:r>
      <w:r>
        <w:rPr>
          <w:rFonts w:ascii="David" w:hAnsi="David" w:cs="David" w:hint="cs"/>
          <w:sz w:val="24"/>
          <w:szCs w:val="24"/>
          <w:rtl/>
        </w:rPr>
        <w:t>. הכלל מותיר את האפשרות לצדדים לממש את הסכמתם ביחס להורות של בן הזוג רק כאשר הדברים התבצעו בצורה מפורשת, ובכך הוא אף עשוי לצמצם התדיינויות משפטיות במחלוקות שעלולות להתעורר בדיעבד, לאחר הלידה, סביב שאלת ההסכמה, שלא תמיד ניתנת לאומדנה בנקל. כלל זה לוקח בחשבון את המציאות כי הבאת ילד לעולם במסגרת מערכת יחסים זוגית עשויה להיות מונעת ממגוון מניעים שונים, לעיתים מורכבים וסותרים, אך אין באלה כדי לשלול את ההכרה בהורות של בן הזוג שהיה שותף, בין אם במפורש ובין אם במשתמע, ב</w:t>
      </w:r>
      <w:r w:rsidR="00365E9D">
        <w:rPr>
          <w:rFonts w:ascii="David" w:hAnsi="David" w:cs="David" w:hint="cs"/>
          <w:sz w:val="24"/>
          <w:szCs w:val="24"/>
          <w:rtl/>
        </w:rPr>
        <w:t xml:space="preserve">הליך </w:t>
      </w:r>
      <w:r>
        <w:rPr>
          <w:rFonts w:ascii="David" w:hAnsi="David" w:cs="David" w:hint="cs"/>
          <w:sz w:val="24"/>
          <w:szCs w:val="24"/>
          <w:rtl/>
        </w:rPr>
        <w:t xml:space="preserve">הבאת הילד לעולם. </w:t>
      </w:r>
      <w:r w:rsidRPr="00E329D8">
        <w:rPr>
          <w:rFonts w:ascii="David" w:hAnsi="David" w:cs="David" w:hint="cs"/>
          <w:sz w:val="24"/>
          <w:szCs w:val="24"/>
          <w:rtl/>
        </w:rPr>
        <w:t xml:space="preserve">לא אחת זוגיות במשבר מובילה להבאת ילד לעולם מתוך ציפייה שהתינוק יעזור בשיקום היחסים </w:t>
      </w:r>
      <w:r>
        <w:rPr>
          <w:rFonts w:ascii="David" w:hAnsi="David" w:cs="David" w:hint="cs"/>
          <w:sz w:val="24"/>
          <w:szCs w:val="24"/>
          <w:rtl/>
        </w:rPr>
        <w:t xml:space="preserve">או </w:t>
      </w:r>
      <w:r w:rsidRPr="00E329D8">
        <w:rPr>
          <w:rFonts w:ascii="David" w:hAnsi="David" w:cs="David" w:hint="cs"/>
          <w:sz w:val="24"/>
          <w:szCs w:val="24"/>
          <w:rtl/>
        </w:rPr>
        <w:t xml:space="preserve">כאולטימטום שמגיע מאחד מבני הזוג. אם בכל אחד מן המצבים האלה נאפשר לפתוח את הדיון בשאלת ההסכמה להביא </w:t>
      </w:r>
      <w:r w:rsidRPr="00E329D8">
        <w:rPr>
          <w:rFonts w:ascii="David" w:hAnsi="David" w:cs="David" w:hint="cs"/>
          <w:sz w:val="24"/>
          <w:szCs w:val="24"/>
          <w:rtl/>
        </w:rPr>
        <w:lastRenderedPageBreak/>
        <w:t>ילד</w:t>
      </w:r>
      <w:r>
        <w:rPr>
          <w:rFonts w:ascii="David" w:hAnsi="David" w:cs="David" w:hint="cs"/>
          <w:sz w:val="24"/>
          <w:szCs w:val="24"/>
          <w:rtl/>
        </w:rPr>
        <w:t xml:space="preserve"> לעולם,</w:t>
      </w:r>
      <w:r w:rsidRPr="00E329D8">
        <w:rPr>
          <w:rFonts w:ascii="David" w:hAnsi="David" w:cs="David" w:hint="cs"/>
          <w:sz w:val="24"/>
          <w:szCs w:val="24"/>
          <w:rtl/>
        </w:rPr>
        <w:t xml:space="preserve"> אנו מסתכנים בחוסר וודאות ואחידות </w:t>
      </w:r>
      <w:r>
        <w:rPr>
          <w:rFonts w:ascii="David" w:hAnsi="David" w:cs="David" w:hint="cs"/>
          <w:sz w:val="24"/>
          <w:szCs w:val="24"/>
          <w:rtl/>
        </w:rPr>
        <w:t xml:space="preserve">במיוחד </w:t>
      </w:r>
      <w:r w:rsidRPr="00E329D8">
        <w:rPr>
          <w:rFonts w:ascii="David" w:hAnsi="David" w:cs="David" w:hint="cs"/>
          <w:sz w:val="24"/>
          <w:szCs w:val="24"/>
          <w:rtl/>
        </w:rPr>
        <w:t>בכל הנוגע להסדרת מעמדם של זוגות שמאותו מין</w:t>
      </w:r>
      <w:r>
        <w:rPr>
          <w:rFonts w:ascii="David" w:hAnsi="David" w:cs="David" w:hint="cs"/>
          <w:sz w:val="24"/>
          <w:szCs w:val="24"/>
          <w:rtl/>
        </w:rPr>
        <w:t>.</w:t>
      </w:r>
    </w:p>
    <w:p w14:paraId="7F894B2D" w14:textId="5D49DAFF" w:rsidR="00303C51" w:rsidRDefault="00303C51" w:rsidP="00303C51">
      <w:pPr>
        <w:jc w:val="both"/>
        <w:rPr>
          <w:rFonts w:ascii="David" w:hAnsi="David" w:cs="David"/>
          <w:sz w:val="24"/>
          <w:szCs w:val="24"/>
          <w:rtl/>
        </w:rPr>
      </w:pPr>
      <w:r>
        <w:rPr>
          <w:rFonts w:ascii="David" w:hAnsi="David" w:cs="David" w:hint="cs"/>
          <w:sz w:val="24"/>
          <w:szCs w:val="24"/>
          <w:rtl/>
        </w:rPr>
        <w:t xml:space="preserve">דילמות אחרות יכולות להתעורר בהתנגשות בין הזיקה הביולוגית לבין זיקת הזוגיות. </w:t>
      </w:r>
      <w:r w:rsidR="003204B9">
        <w:rPr>
          <w:rFonts w:ascii="David" w:hAnsi="David" w:cs="David" w:hint="cs"/>
          <w:sz w:val="24"/>
          <w:szCs w:val="24"/>
          <w:rtl/>
        </w:rPr>
        <w:t xml:space="preserve">ראינו כי </w:t>
      </w:r>
      <w:r>
        <w:rPr>
          <w:rFonts w:ascii="David" w:hAnsi="David" w:cs="David" w:hint="cs"/>
          <w:sz w:val="24"/>
          <w:szCs w:val="24"/>
          <w:rtl/>
        </w:rPr>
        <w:t xml:space="preserve">כאשר מדובר בזוג נשוי, גבר ואשה, </w:t>
      </w:r>
      <w:r w:rsidR="00365E9D">
        <w:rPr>
          <w:rFonts w:ascii="David" w:hAnsi="David" w:cs="David" w:hint="cs"/>
          <w:sz w:val="24"/>
          <w:szCs w:val="24"/>
          <w:rtl/>
        </w:rPr>
        <w:t>הדין (בארה"ב ואף בישראל)</w:t>
      </w:r>
      <w:r>
        <w:rPr>
          <w:rFonts w:ascii="David" w:hAnsi="David" w:cs="David" w:hint="cs"/>
          <w:sz w:val="24"/>
          <w:szCs w:val="24"/>
          <w:rtl/>
        </w:rPr>
        <w:t xml:space="preserve"> לא בהכרח מקנה עדיפות לבעל הזיקה הגנטית</w:t>
      </w:r>
      <w:r w:rsidR="00365E9D">
        <w:rPr>
          <w:rFonts w:ascii="David" w:hAnsi="David" w:cs="David" w:hint="cs"/>
          <w:sz w:val="24"/>
          <w:szCs w:val="24"/>
          <w:rtl/>
        </w:rPr>
        <w:t xml:space="preserve">. </w:t>
      </w:r>
      <w:r>
        <w:rPr>
          <w:rFonts w:ascii="David" w:hAnsi="David" w:cs="David" w:hint="cs"/>
          <w:sz w:val="24"/>
          <w:szCs w:val="24"/>
          <w:rtl/>
        </w:rPr>
        <w:t>כך, לפני עריכת בדיקה גנטית אשר עשויה לשלול את הזיקה הגנטית בין הבעל לילד, או לקבוע את קיומה של זיקה גנטית בין הילד לגבר שאינו הבעל, על בית המשפט לשקול את טובת הילד</w:t>
      </w:r>
      <w:r w:rsidR="003204B9">
        <w:rPr>
          <w:rFonts w:ascii="David" w:hAnsi="David" w:cs="David" w:hint="cs"/>
          <w:sz w:val="24"/>
          <w:szCs w:val="24"/>
          <w:rtl/>
        </w:rPr>
        <w:t xml:space="preserve"> [</w:t>
      </w:r>
      <w:r w:rsidR="003204B9" w:rsidRPr="003204B9">
        <w:rPr>
          <w:rFonts w:ascii="David" w:hAnsi="David" w:cs="David" w:hint="cs"/>
          <w:sz w:val="24"/>
          <w:szCs w:val="24"/>
          <w:highlight w:val="yellow"/>
          <w:rtl/>
        </w:rPr>
        <w:t>זה נכון בישראל, מה המצב בארה"ב?</w:t>
      </w:r>
      <w:r w:rsidR="003204B9">
        <w:rPr>
          <w:rFonts w:ascii="David" w:hAnsi="David" w:cs="David" w:hint="cs"/>
          <w:sz w:val="24"/>
          <w:szCs w:val="24"/>
          <w:rtl/>
        </w:rPr>
        <w:t>]</w:t>
      </w:r>
      <w:r>
        <w:rPr>
          <w:rFonts w:ascii="David" w:hAnsi="David" w:cs="David" w:hint="cs"/>
          <w:sz w:val="24"/>
          <w:szCs w:val="24"/>
          <w:rtl/>
        </w:rPr>
        <w:t>.</w:t>
      </w:r>
      <w:r>
        <w:rPr>
          <w:rStyle w:val="FootnoteReference"/>
          <w:rFonts w:ascii="David" w:hAnsi="David" w:cs="David"/>
          <w:sz w:val="24"/>
          <w:szCs w:val="24"/>
          <w:rtl/>
        </w:rPr>
        <w:footnoteReference w:id="94"/>
      </w:r>
      <w:r>
        <w:rPr>
          <w:rFonts w:ascii="David" w:hAnsi="David" w:cs="David" w:hint="cs"/>
          <w:sz w:val="24"/>
          <w:szCs w:val="24"/>
          <w:rtl/>
        </w:rPr>
        <w:t xml:space="preserve"> ואולם, האם כאשר מדובר בבנות זוג יאמץ הדין גישה דומה, בנסיבות בהן אחת מבנות הזוג תהרה בעקבות יחסי מין עם גבר מחוץ לקשר הזוגי? ומה כאשר בנות זוג התקשרו עם גבר על מנת לביא יחד ילד לעולם מתוך כוונה שלילד יהיו שלושה הורים? כל עוד הדין לא מכיר בריבוי הורים, אחד מבין השלושה לא יוכר כהורה. במקרה שכזה, האם בהכרח צריכה להיות עדיפות לזיקה הגנטית על פני זיקת הזוגיות? ראוי לציין שלפחות חלק משיטות המשפט</w:t>
      </w:r>
      <w:r w:rsidR="003204B9">
        <w:rPr>
          <w:rFonts w:ascii="David" w:hAnsi="David" w:cs="David" w:hint="cs"/>
          <w:sz w:val="24"/>
          <w:szCs w:val="24"/>
          <w:rtl/>
        </w:rPr>
        <w:t xml:space="preserve"> [</w:t>
      </w:r>
      <w:r w:rsidR="003204B9" w:rsidRPr="003204B9">
        <w:rPr>
          <w:rFonts w:ascii="David" w:hAnsi="David" w:cs="David" w:hint="cs"/>
          <w:sz w:val="24"/>
          <w:szCs w:val="24"/>
          <w:highlight w:val="yellow"/>
          <w:rtl/>
        </w:rPr>
        <w:t>כדאי להיות ספציפיים</w:t>
      </w:r>
      <w:r w:rsidR="003204B9">
        <w:rPr>
          <w:rFonts w:ascii="David" w:hAnsi="David" w:cs="David" w:hint="cs"/>
          <w:sz w:val="24"/>
          <w:szCs w:val="24"/>
          <w:rtl/>
        </w:rPr>
        <w:t>]</w:t>
      </w:r>
      <w:r>
        <w:rPr>
          <w:rFonts w:ascii="David" w:hAnsi="David" w:cs="David" w:hint="cs"/>
          <w:sz w:val="24"/>
          <w:szCs w:val="24"/>
          <w:rtl/>
        </w:rPr>
        <w:t xml:space="preserve">, יותירו במקרה שכזה את הגבר בעל הזיקה הגנטית ללא מעמד הורי ויראו בו תורם זרע. אנו סבורים שבמקרים מסוימים מן הראוי להכיר ביותר משני הורים, ובמקרה שאין הכרה כזו שאלת ההכרעה בין בעל הזיקה הגנטית לבעל הזיקה הזוגית אינה יכולה לקבל מענה כללי, אלא להיות מוכרעת בכל מקרה לגופו.       </w:t>
      </w:r>
    </w:p>
    <w:p w14:paraId="0AB07FEA" w14:textId="77777777" w:rsidR="003204B9" w:rsidRDefault="00303C51" w:rsidP="00303C51">
      <w:pPr>
        <w:ind w:firstLine="340"/>
        <w:jc w:val="both"/>
        <w:rPr>
          <w:rFonts w:ascii="David" w:hAnsi="David" w:cs="David"/>
          <w:sz w:val="24"/>
          <w:szCs w:val="24"/>
          <w:rtl/>
          <w:lang w:eastAsia="he-IL"/>
        </w:rPr>
      </w:pPr>
      <w:r>
        <w:rPr>
          <w:rFonts w:ascii="David" w:hAnsi="David" w:cs="David" w:hint="cs"/>
          <w:sz w:val="24"/>
          <w:szCs w:val="24"/>
          <w:rtl/>
        </w:rPr>
        <w:t xml:space="preserve">הדיון בחלק זה עסק ביישומה של חזקת הזוגיות בהסדרה </w:t>
      </w:r>
      <w:r>
        <w:rPr>
          <w:rFonts w:ascii="David" w:hAnsi="David" w:cs="David" w:hint="cs"/>
          <w:b/>
          <w:bCs/>
          <w:sz w:val="24"/>
          <w:szCs w:val="24"/>
          <w:rtl/>
        </w:rPr>
        <w:t>בדיעבד</w:t>
      </w:r>
      <w:r>
        <w:rPr>
          <w:rFonts w:ascii="David" w:hAnsi="David" w:cs="David" w:hint="cs"/>
          <w:sz w:val="24"/>
          <w:szCs w:val="24"/>
          <w:rtl/>
        </w:rPr>
        <w:t xml:space="preserve"> של המעמד ההורי ונגע בעיקר לנסיבות בהן התעוררה מחלוקת בין ההורים הפוטנציאלים. ואולם השימוש המרכזי הצפוי בחזקה רלוונטי, כאמור, בנסיבות בהן </w:t>
      </w:r>
      <w:r>
        <w:rPr>
          <w:rFonts w:ascii="David" w:hAnsi="David" w:cs="David" w:hint="cs"/>
          <w:sz w:val="24"/>
          <w:szCs w:val="24"/>
          <w:rtl/>
          <w:lang w:eastAsia="he-IL"/>
        </w:rPr>
        <w:t>מתבקשת ההכרה במעד ההורי וה</w:t>
      </w:r>
      <w:r w:rsidRPr="003D564D">
        <w:rPr>
          <w:rFonts w:ascii="David" w:hAnsi="David" w:cs="David"/>
          <w:sz w:val="24"/>
          <w:szCs w:val="24"/>
          <w:rtl/>
          <w:lang w:eastAsia="he-IL"/>
        </w:rPr>
        <w:t>מיסוד</w:t>
      </w:r>
      <w:r>
        <w:rPr>
          <w:rFonts w:ascii="David" w:hAnsi="David" w:cs="David" w:hint="cs"/>
          <w:sz w:val="24"/>
          <w:szCs w:val="24"/>
          <w:rtl/>
          <w:lang w:eastAsia="he-IL"/>
        </w:rPr>
        <w:t xml:space="preserve"> שלו </w:t>
      </w:r>
      <w:r w:rsidRPr="003D564D">
        <w:rPr>
          <w:rFonts w:ascii="David" w:hAnsi="David" w:cs="David"/>
          <w:sz w:val="24"/>
          <w:szCs w:val="24"/>
          <w:rtl/>
          <w:lang w:eastAsia="he-IL"/>
        </w:rPr>
        <w:t xml:space="preserve"> </w:t>
      </w:r>
      <w:r w:rsidRPr="00E60969">
        <w:rPr>
          <w:rFonts w:ascii="David" w:hAnsi="David" w:cs="David"/>
          <w:b/>
          <w:bCs/>
          <w:sz w:val="24"/>
          <w:szCs w:val="24"/>
          <w:rtl/>
          <w:lang w:eastAsia="he-IL"/>
        </w:rPr>
        <w:t>מראש, ומיד לאחר הלידה</w:t>
      </w:r>
      <w:r>
        <w:rPr>
          <w:rFonts w:ascii="David" w:hAnsi="David" w:cs="David" w:hint="cs"/>
          <w:sz w:val="24"/>
          <w:szCs w:val="24"/>
          <w:rtl/>
          <w:lang w:eastAsia="he-IL"/>
        </w:rPr>
        <w:t>.</w:t>
      </w:r>
      <w:r w:rsidRPr="003D564D">
        <w:rPr>
          <w:rFonts w:ascii="David" w:hAnsi="David" w:cs="David"/>
          <w:sz w:val="24"/>
          <w:szCs w:val="24"/>
          <w:rtl/>
          <w:lang w:eastAsia="he-IL"/>
        </w:rPr>
        <w:t xml:space="preserve"> </w:t>
      </w:r>
    </w:p>
    <w:p w14:paraId="1D52F0A2" w14:textId="77777777" w:rsidR="009B3D73" w:rsidRDefault="009B3D73" w:rsidP="00E0078C">
      <w:pPr>
        <w:jc w:val="both"/>
      </w:pPr>
    </w:p>
    <w:sectPr w:rsidR="009B3D7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afran Ruth" w:date="2022-03-21T13:03:00Z" w:initials="ZR">
    <w:p w14:paraId="3767B41B" w14:textId="77777777" w:rsidR="00C24F5A" w:rsidRDefault="00C24F5A">
      <w:pPr>
        <w:pStyle w:val="CommentText"/>
        <w:rPr>
          <w:noProof/>
          <w:rtl/>
        </w:rPr>
      </w:pPr>
      <w:r>
        <w:rPr>
          <w:rStyle w:val="CommentReference"/>
        </w:rPr>
        <w:annotationRef/>
      </w:r>
      <w:r w:rsidR="000100AA">
        <w:rPr>
          <w:rFonts w:hint="cs"/>
          <w:noProof/>
          <w:rtl/>
        </w:rPr>
        <w:t>אני לא אוהבת את המילה הזאת</w:t>
      </w:r>
    </w:p>
    <w:p w14:paraId="0CC7648D" w14:textId="77777777" w:rsidR="00C24F5A" w:rsidRDefault="000100AA">
      <w:pPr>
        <w:pStyle w:val="CommentText"/>
        <w:rPr>
          <w:noProof/>
          <w:rtl/>
        </w:rPr>
      </w:pPr>
      <w:r>
        <w:rPr>
          <w:rFonts w:hint="cs"/>
          <w:noProof/>
          <w:rtl/>
        </w:rPr>
        <w:t>מה דעתכם על</w:t>
      </w:r>
    </w:p>
    <w:p w14:paraId="07EF626B" w14:textId="51324CEA" w:rsidR="00C24F5A" w:rsidRDefault="000100AA">
      <w:pPr>
        <w:pStyle w:val="CommentText"/>
        <w:rPr>
          <w:noProof/>
        </w:rPr>
      </w:pPr>
      <w:r>
        <w:rPr>
          <w:noProof/>
        </w:rPr>
        <w:t>romantic</w:t>
      </w:r>
      <w:r>
        <w:rPr>
          <w:noProof/>
        </w:rPr>
        <w:t xml:space="preserve">/intimate </w:t>
      </w:r>
      <w:r>
        <w:rPr>
          <w:noProof/>
        </w:rPr>
        <w:t xml:space="preserve"> reltionship</w:t>
      </w:r>
    </w:p>
    <w:p w14:paraId="692A9F48" w14:textId="0713C7E4" w:rsidR="00C24F5A" w:rsidRDefault="000100AA">
      <w:pPr>
        <w:pStyle w:val="CommentText"/>
      </w:pPr>
      <w:r>
        <w:rPr>
          <w:noProof/>
        </w:rPr>
        <w:t>?</w:t>
      </w:r>
    </w:p>
  </w:comment>
  <w:comment w:id="6" w:author="Zafran Ruth" w:date="2022-03-21T13:09:00Z" w:initials="ZR">
    <w:p w14:paraId="1531E802" w14:textId="77777777" w:rsidR="00C24F5A" w:rsidRDefault="00C24F5A">
      <w:pPr>
        <w:pStyle w:val="CommentText"/>
        <w:rPr>
          <w:noProof/>
          <w:rtl/>
        </w:rPr>
      </w:pPr>
      <w:r>
        <w:rPr>
          <w:rStyle w:val="CommentReference"/>
        </w:rPr>
        <w:annotationRef/>
      </w:r>
      <w:r w:rsidR="000100AA">
        <w:rPr>
          <w:rFonts w:hint="cs"/>
          <w:noProof/>
          <w:rtl/>
        </w:rPr>
        <w:t>למה זה מוגדר כא</w:t>
      </w:r>
      <w:r w:rsidR="000100AA">
        <w:rPr>
          <w:rFonts w:hint="cs"/>
          <w:noProof/>
          <w:rtl/>
        </w:rPr>
        <w:t xml:space="preserve">ן </w:t>
      </w:r>
      <w:r w:rsidR="000100AA">
        <w:rPr>
          <w:rFonts w:hint="cs"/>
          <w:noProof/>
          <w:rtl/>
        </w:rPr>
        <w:t>כדוגמה? זה לא הדבר עצמו? איזו עוד דוגמה קיימת לדיון שלנו?</w:t>
      </w:r>
    </w:p>
    <w:p w14:paraId="5AA70630" w14:textId="4C19CF48" w:rsidR="00C24F5A" w:rsidRDefault="00C24F5A">
      <w:pPr>
        <w:pStyle w:val="CommentText"/>
        <w:rPr>
          <w:rFonts w:hint="cs"/>
        </w:rPr>
      </w:pPr>
    </w:p>
  </w:comment>
  <w:comment w:id="7" w:author="Zafran Ruth" w:date="2022-03-23T12:25:00Z" w:initials="ZR">
    <w:p w14:paraId="199E6F47" w14:textId="064CCA3F" w:rsidR="00CF30F4" w:rsidRDefault="00CF30F4">
      <w:pPr>
        <w:pStyle w:val="CommentText"/>
      </w:pPr>
      <w:r>
        <w:rPr>
          <w:rStyle w:val="CommentReference"/>
        </w:rPr>
        <w:annotationRef/>
      </w:r>
      <w:r w:rsidR="000100AA">
        <w:rPr>
          <w:rFonts w:hint="cs"/>
          <w:noProof/>
          <w:rtl/>
        </w:rPr>
        <w:t>משימה לעוזרת מחקר - למפות את המקורות באנגלית שד</w:t>
      </w:r>
      <w:r w:rsidR="000100AA">
        <w:rPr>
          <w:rFonts w:hint="cs"/>
          <w:noProof/>
          <w:rtl/>
        </w:rPr>
        <w:t>נים בנושא ולהציע שיבוץ הפניות לאורך ה</w:t>
      </w:r>
      <w:r w:rsidR="000100AA">
        <w:rPr>
          <w:rFonts w:hint="cs"/>
          <w:noProof/>
          <w:rtl/>
        </w:rPr>
        <w:t>פרק</w:t>
      </w:r>
    </w:p>
  </w:comment>
  <w:comment w:id="21" w:author="Zafran Ruth" w:date="2022-03-23T12:51:00Z" w:initials="ZR">
    <w:p w14:paraId="0CA67039" w14:textId="08F26839" w:rsidR="003663AD" w:rsidRDefault="003663AD">
      <w:pPr>
        <w:pStyle w:val="CommentText"/>
      </w:pPr>
      <w:r>
        <w:rPr>
          <w:rStyle w:val="CommentReference"/>
        </w:rPr>
        <w:annotationRef/>
      </w:r>
      <w:r w:rsidR="000100AA">
        <w:rPr>
          <w:rFonts w:hint="cs"/>
          <w:noProof/>
          <w:rtl/>
        </w:rPr>
        <w:t xml:space="preserve">זאת כבר הצצה נורמטיבית להמשך. </w:t>
      </w:r>
      <w:r w:rsidR="000100AA">
        <w:rPr>
          <w:rFonts w:hint="cs"/>
          <w:noProof/>
          <w:rtl/>
        </w:rPr>
        <w:t>בינתיים לתרגם, לחשוב לה</w:t>
      </w:r>
      <w:r w:rsidR="000100AA">
        <w:rPr>
          <w:rFonts w:hint="cs"/>
          <w:noProof/>
          <w:rtl/>
        </w:rPr>
        <w:t>משך.</w:t>
      </w:r>
    </w:p>
  </w:comment>
  <w:comment w:id="37" w:author="Zafran Ruth" w:date="2022-03-24T10:00:00Z" w:initials="ZR">
    <w:p w14:paraId="7781163E" w14:textId="106D3EB0" w:rsidR="00577C23" w:rsidRDefault="00577C23">
      <w:pPr>
        <w:pStyle w:val="CommentText"/>
      </w:pPr>
      <w:r>
        <w:rPr>
          <w:rStyle w:val="CommentReference"/>
        </w:rPr>
        <w:annotationRef/>
      </w:r>
      <w:r w:rsidR="000100AA">
        <w:rPr>
          <w:rFonts w:hint="cs"/>
          <w:noProof/>
          <w:rtl/>
        </w:rPr>
        <w:t>לראות איך ואיפה לשלב את חברינו מ</w:t>
      </w:r>
      <w:r w:rsidR="000100AA">
        <w:rPr>
          <w:rFonts w:hint="cs"/>
          <w:noProof/>
          <w:rtl/>
        </w:rPr>
        <w:t>ארה"</w:t>
      </w:r>
      <w:r w:rsidR="000100AA">
        <w:rPr>
          <w:rFonts w:hint="cs"/>
          <w:noProof/>
        </w:rPr>
        <w:t>C</w:t>
      </w:r>
      <w:r w:rsidR="000100AA">
        <w:rPr>
          <w:rFonts w:hint="cs"/>
          <w:noProof/>
          <w:rtl/>
        </w:rPr>
        <w:t>?</w:t>
      </w:r>
    </w:p>
  </w:comment>
  <w:comment w:id="46" w:author="Zafran Ruth" w:date="2022-03-21T09:22:00Z" w:initials="ZR">
    <w:p w14:paraId="7D21689C" w14:textId="77777777" w:rsidR="00E0078C" w:rsidRDefault="00E0078C" w:rsidP="00E0078C">
      <w:pPr>
        <w:pStyle w:val="CommentText"/>
      </w:pPr>
      <w:r>
        <w:rPr>
          <w:rStyle w:val="CommentReference"/>
        </w:rPr>
        <w:annotationRef/>
      </w:r>
      <w:r>
        <w:rPr>
          <w:rFonts w:hint="cs"/>
          <w:noProof/>
          <w:rtl/>
        </w:rPr>
        <w:t>מה קורה בארה"ב? האם יש מישהו שצריך לתת לו קרדיט בהקשר 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A9F48" w15:done="0"/>
  <w15:commentEx w15:paraId="5AA70630" w15:done="0"/>
  <w15:commentEx w15:paraId="199E6F47" w15:done="0"/>
  <w15:commentEx w15:paraId="0CA67039" w15:done="0"/>
  <w15:commentEx w15:paraId="7781163E" w15:done="0"/>
  <w15:commentEx w15:paraId="7D2168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F634" w16cex:dateUtc="2022-03-21T11:03:00Z"/>
  <w16cex:commentExtensible w16cex:durableId="25E2F79A" w16cex:dateUtc="2022-03-21T11:09:00Z"/>
  <w16cex:commentExtensible w16cex:durableId="25E5901D" w16cex:dateUtc="2022-03-23T10:25:00Z"/>
  <w16cex:commentExtensible w16cex:durableId="25E59642" w16cex:dateUtc="2022-03-23T10:51:00Z"/>
  <w16cex:commentExtensible w16cex:durableId="25E6BFA5" w16cex:dateUtc="2022-03-24T08:00:00Z"/>
  <w16cex:commentExtensible w16cex:durableId="25E2C25E" w16cex:dateUtc="2022-03-2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A9F48" w16cid:durableId="25E2F634"/>
  <w16cid:commentId w16cid:paraId="5AA70630" w16cid:durableId="25E2F79A"/>
  <w16cid:commentId w16cid:paraId="199E6F47" w16cid:durableId="25E5901D"/>
  <w16cid:commentId w16cid:paraId="0CA67039" w16cid:durableId="25E59642"/>
  <w16cid:commentId w16cid:paraId="7781163E" w16cid:durableId="25E6BFA5"/>
  <w16cid:commentId w16cid:paraId="7D21689C" w16cid:durableId="25E2C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E1E2" w14:textId="77777777" w:rsidR="000100AA" w:rsidRDefault="000100AA" w:rsidP="00E0078C">
      <w:pPr>
        <w:spacing w:line="240" w:lineRule="auto"/>
      </w:pPr>
      <w:r>
        <w:separator/>
      </w:r>
    </w:p>
  </w:endnote>
  <w:endnote w:type="continuationSeparator" w:id="0">
    <w:p w14:paraId="4516C7A4" w14:textId="77777777" w:rsidR="000100AA" w:rsidRDefault="000100AA" w:rsidP="00E00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4428" w14:textId="77777777" w:rsidR="000100AA" w:rsidRDefault="000100AA" w:rsidP="00E0078C">
      <w:pPr>
        <w:spacing w:line="240" w:lineRule="auto"/>
      </w:pPr>
      <w:r>
        <w:separator/>
      </w:r>
    </w:p>
  </w:footnote>
  <w:footnote w:type="continuationSeparator" w:id="0">
    <w:p w14:paraId="6EB7FBC7" w14:textId="77777777" w:rsidR="000100AA" w:rsidRDefault="000100AA" w:rsidP="00E0078C">
      <w:pPr>
        <w:spacing w:line="240" w:lineRule="auto"/>
      </w:pPr>
      <w:r>
        <w:continuationSeparator/>
      </w:r>
    </w:p>
  </w:footnote>
  <w:footnote w:id="1">
    <w:p w14:paraId="31049964" w14:textId="0C4A4D20"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איילת בלכר-פריגת ורות זפרן "'ילדים זה שמחה': הורות בסיוע טכניקות הולדה מלאכותיות על ידי בני זוג בני אותו מין" </w:t>
      </w:r>
      <w:r w:rsidRPr="00F82136">
        <w:rPr>
          <w:rFonts w:ascii="Narkisim" w:hAnsi="Narkisim" w:cs="Narkisim"/>
          <w:b/>
          <w:bCs/>
          <w:rtl/>
        </w:rPr>
        <w:t>זכויות הקהילה הגאה בישראל: משפט, נטייה מינית וזהות מגדרית</w:t>
      </w:r>
      <w:r w:rsidRPr="00F82136">
        <w:rPr>
          <w:rFonts w:ascii="Narkisim" w:hAnsi="Narkisim" w:cs="Narkisim"/>
          <w:rtl/>
        </w:rPr>
        <w:t xml:space="preserve"> 395 (עינב מורגנשטרן, יניב לושינסקי ואלון הראל עורכים, 2016)</w:t>
      </w:r>
      <w:r>
        <w:rPr>
          <w:rFonts w:ascii="Narkisim" w:hAnsi="Narkisim" w:cs="Narkisim" w:hint="cs"/>
          <w:rtl/>
        </w:rPr>
        <w:t xml:space="preserve"> (להלן: בלכר-פריגת וזפרן, 'ילדים זה שמחה').</w:t>
      </w:r>
      <w:r w:rsidR="006520F9">
        <w:rPr>
          <w:rFonts w:ascii="Narkisim" w:hAnsi="Narkisim" w:cs="Narkisim" w:hint="cs"/>
          <w:rtl/>
        </w:rPr>
        <w:t xml:space="preserve"> פרק זה מושתת על...</w:t>
      </w:r>
    </w:p>
  </w:footnote>
  <w:footnote w:id="2">
    <w:p w14:paraId="0BD4124D" w14:textId="53E7A35B" w:rsidR="00E0078C" w:rsidRPr="00F82136" w:rsidRDefault="00E0078C" w:rsidP="00453CAA">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ראו </w:t>
      </w:r>
      <w:r w:rsidRPr="00F82136">
        <w:rPr>
          <w:rFonts w:ascii="Narkisim" w:hAnsi="Narkisim" w:cs="Narkisim"/>
          <w:rtl/>
        </w:rPr>
        <w:t xml:space="preserve">חוק הסכמים לנשיאת עוברים (אישור הסכם ומעמד היילוד), התשנ"ו-1996 (להלן: חוק הסכמים לנשיאת עוברים), וכן חוק תרומת ביציות, התש"ע-2010. לבחינת הדילמות שמתעוררות סביב הגדרת ההורות בנסיבות של הליך נשיאת עוברים ותרומת ביציות, ראו רות זפרן "המשפחה בעידן הגנטי – הגדרת הורות בנסיבות של ‏הולדה מלאכותית כמקרה מבחן" </w:t>
      </w:r>
      <w:r w:rsidRPr="00F82136">
        <w:rPr>
          <w:rFonts w:ascii="Narkisim" w:hAnsi="Narkisim" w:cs="Narkisim"/>
          <w:b/>
          <w:bCs/>
          <w:rtl/>
        </w:rPr>
        <w:t>דין ודברים</w:t>
      </w:r>
      <w:r w:rsidRPr="00F82136">
        <w:rPr>
          <w:rFonts w:ascii="Narkisim" w:hAnsi="Narkisim" w:cs="Narkisim"/>
          <w:rtl/>
        </w:rPr>
        <w:t xml:space="preserve"> ב 223, 234 (2005) (להלן: זפרן "המשפחה בעידן הגנטי"). </w:t>
      </w:r>
    </w:p>
  </w:footnote>
  <w:footnote w:id="3">
    <w:p w14:paraId="61CEC80C"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ראו </w:t>
      </w:r>
      <w:r w:rsidRPr="00F82136">
        <w:rPr>
          <w:rFonts w:ascii="Narkisim" w:hAnsi="Narkisim" w:cs="Narkisim"/>
          <w:rtl/>
        </w:rPr>
        <w:t xml:space="preserve">לעניין זה "נוהל רישום לידה בארץ" משרד הפנים-מינהל אוכלוסין (מספר נוהל 2.2.0001), זמין באתר: </w:t>
      </w:r>
      <w:r>
        <w:fldChar w:fldCharType="begin"/>
      </w:r>
      <w:r>
        <w:instrText xml:space="preserve"> HYPERLINK "https://www.gov.il/BlobFolder/policy/birth_registry_in_israel_procedure/he/2.2.0001.pdf" </w:instrText>
      </w:r>
      <w:r>
        <w:fldChar w:fldCharType="separate"/>
      </w:r>
      <w:r w:rsidRPr="00F82136">
        <w:rPr>
          <w:rStyle w:val="Hyperlink"/>
          <w:rFonts w:ascii="Narkisim" w:hAnsi="Narkisim" w:cs="Narkisim"/>
        </w:rPr>
        <w:t>https://www.gov.il/BlobFolder/policy/birth_registry_in_israel_procedure/he/2.2.0001.pdf</w:t>
      </w:r>
      <w:r>
        <w:rPr>
          <w:rStyle w:val="Hyperlink"/>
          <w:rFonts w:ascii="Narkisim" w:hAnsi="Narkisim" w:cs="Narkisim"/>
        </w:rPr>
        <w:fldChar w:fldCharType="end"/>
      </w:r>
      <w:r w:rsidRPr="00F82136">
        <w:rPr>
          <w:rFonts w:ascii="Narkisim" w:hAnsi="Narkisim" w:cs="Narkisim"/>
          <w:rtl/>
        </w:rPr>
        <w:t xml:space="preserve"> (להלן: נוהל </w:t>
      </w:r>
      <w:r w:rsidRPr="00F82136">
        <w:rPr>
          <w:rFonts w:ascii="Narkisim" w:hAnsi="Narkisim" w:cs="Narkisim"/>
          <w:b/>
          <w:bCs/>
          <w:rtl/>
        </w:rPr>
        <w:t>רישום לידה בארץ</w:t>
      </w:r>
      <w:r w:rsidRPr="00F82136">
        <w:rPr>
          <w:rFonts w:ascii="Narkisim" w:hAnsi="Narkisim" w:cs="Narkisim"/>
          <w:rtl/>
        </w:rPr>
        <w:t xml:space="preserve">) וכן ראו נוהל רשות האוכלוסין וההגירה 2.2.0008 "נוהל הטיפול לרישום נולדים בישראל והכללת הזכאים לכך במרשם האוכלוסין" (1.12.2020) </w:t>
      </w:r>
      <w:r>
        <w:fldChar w:fldCharType="begin"/>
      </w:r>
      <w:r>
        <w:instrText xml:space="preserve"> HYPERLINK "https://www.gov.il/BlobFolder/policy/policy_registration_of_birth_in_general_registry/he/2.2.0008.pdf" </w:instrText>
      </w:r>
      <w:r>
        <w:fldChar w:fldCharType="separate"/>
      </w:r>
      <w:r w:rsidRPr="00F82136">
        <w:rPr>
          <w:rStyle w:val="Hyperlink"/>
          <w:rFonts w:ascii="Narkisim" w:hAnsi="Narkisim" w:cs="Narkisim"/>
        </w:rPr>
        <w:t>www.gov.il/BlobFolder/policy/policy_registration_of_birth_in_general_registry/he/2.2.0008.pdf</w:t>
      </w:r>
      <w:r>
        <w:rPr>
          <w:rStyle w:val="Hyperlink"/>
          <w:rFonts w:ascii="Narkisim" w:hAnsi="Narkisim" w:cs="Narkisim"/>
        </w:rPr>
        <w:fldChar w:fldCharType="end"/>
      </w:r>
      <w:r w:rsidRPr="00F82136">
        <w:rPr>
          <w:rFonts w:ascii="Narkisim" w:hAnsi="Narkisim" w:cs="Narkisim"/>
          <w:rtl/>
        </w:rPr>
        <w:t xml:space="preserve"> (להלן: נוהל הטיפול לרישום נולדים בישראל). לביקורת על אופן הסדרה זו, ראו צבי טריגר "על הרגולציה של שירותי הפריון בישראל" </w:t>
      </w:r>
      <w:r w:rsidRPr="00F82136">
        <w:rPr>
          <w:rFonts w:ascii="Narkisim" w:hAnsi="Narkisim" w:cs="Narkisim"/>
          <w:b/>
          <w:bCs/>
          <w:rtl/>
        </w:rPr>
        <w:t>מסדירים רגולציה: משפט ומדיניות</w:t>
      </w:r>
      <w:r w:rsidRPr="00F82136">
        <w:rPr>
          <w:rFonts w:ascii="Narkisim" w:hAnsi="Narkisim" w:cs="Narkisim"/>
          <w:rtl/>
        </w:rPr>
        <w:t xml:space="preserve"> 269, 287–288 (ישי בלכר, דוד לוי-פאור ורועי קרייטנר עורכים, 2016)</w:t>
      </w:r>
      <w:r>
        <w:rPr>
          <w:rFonts w:ascii="Narkisim" w:hAnsi="Narkisim" w:cs="Narkisim" w:hint="cs"/>
          <w:rtl/>
        </w:rPr>
        <w:t xml:space="preserve"> (להלן: </w:t>
      </w:r>
      <w:r w:rsidRPr="00F82136">
        <w:rPr>
          <w:rFonts w:ascii="Narkisim" w:hAnsi="Narkisim" w:cs="Narkisim"/>
          <w:rtl/>
        </w:rPr>
        <w:t>טריגר "על הרגולציה של שירותי הפריון</w:t>
      </w:r>
      <w:r>
        <w:rPr>
          <w:rFonts w:ascii="Narkisim" w:hAnsi="Narkisim" w:cs="Narkisim" w:hint="cs"/>
          <w:rtl/>
        </w:rPr>
        <w:t>")</w:t>
      </w:r>
      <w:r w:rsidRPr="00F82136">
        <w:rPr>
          <w:rFonts w:ascii="Narkisim" w:hAnsi="Narkisim" w:cs="Narkisim"/>
          <w:rtl/>
        </w:rPr>
        <w:t xml:space="preserve">. </w:t>
      </w:r>
    </w:p>
  </w:footnote>
  <w:footnote w:id="4">
    <w:p w14:paraId="54DD576A"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 </w:t>
      </w:r>
      <w:r w:rsidRPr="00F82136">
        <w:rPr>
          <w:rFonts w:ascii="Narkisim" w:hAnsi="Narkisim" w:cs="Narkisim"/>
          <w:rtl/>
        </w:rPr>
        <w:t xml:space="preserve">ראו את "נוהל חו"ל" של משרד הפנים, שאינו מפורסם ברבים, המסדיר את קביעת ההורות במקרי פונדקאות טרנס-לאומית. בג"ץ 566/11 </w:t>
      </w:r>
      <w:r w:rsidRPr="00F82136">
        <w:rPr>
          <w:rFonts w:ascii="Narkisim" w:hAnsi="Narkisim" w:cs="Narkisim"/>
          <w:b/>
          <w:bCs/>
          <w:rtl/>
        </w:rPr>
        <w:t>ממט-מגד נ' משרד הפנים</w:t>
      </w:r>
      <w:r w:rsidRPr="00F82136">
        <w:rPr>
          <w:rFonts w:ascii="Narkisim" w:hAnsi="Narkisim" w:cs="Narkisim"/>
          <w:rtl/>
        </w:rPr>
        <w:t xml:space="preserve">, פ"ד סו(3) 493 (2014), בפס' 8 לפסק-דינה של המשנָה לנשיא נאור (להלן: עניין </w:t>
      </w:r>
      <w:r w:rsidRPr="00F82136">
        <w:rPr>
          <w:rFonts w:ascii="Narkisim" w:hAnsi="Narkisim" w:cs="Narkisim"/>
          <w:b/>
          <w:bCs/>
          <w:rtl/>
        </w:rPr>
        <w:t>ממט-מגד</w:t>
      </w:r>
      <w:r w:rsidRPr="00F82136">
        <w:rPr>
          <w:rFonts w:ascii="Narkisim" w:hAnsi="Narkisim" w:cs="Narkisim"/>
          <w:rtl/>
        </w:rPr>
        <w:t>)</w:t>
      </w:r>
      <w:r>
        <w:rPr>
          <w:rFonts w:ascii="Narkisim" w:hAnsi="Narkisim" w:cs="Narkisim" w:hint="cs"/>
          <w:rtl/>
        </w:rPr>
        <w:t>;</w:t>
      </w:r>
      <w:r w:rsidRPr="00F82136">
        <w:rPr>
          <w:rFonts w:ascii="Narkisim" w:hAnsi="Narkisim" w:cs="Narkisim"/>
          <w:rtl/>
        </w:rPr>
        <w:t xml:space="preserve"> </w:t>
      </w:r>
      <w:r w:rsidRPr="00F82136">
        <w:rPr>
          <w:rFonts w:ascii="Narkisim" w:hAnsi="Narkisim" w:cs="Narkisim"/>
          <w:lang w:eastAsia="he-IL"/>
        </w:rPr>
        <w:t xml:space="preserve">Ruth Zafran &amp; Dafna Hacker, </w:t>
      </w:r>
      <w:r w:rsidRPr="00F82136">
        <w:rPr>
          <w:rFonts w:ascii="Narkisim" w:hAnsi="Narkisim" w:cs="Narkisim"/>
          <w:i/>
          <w:iCs/>
          <w:lang w:eastAsia="he-IL"/>
        </w:rPr>
        <w:t>Who Will Safeguard Transnational Surrogates' Interests? Lessons from the Israeli Case Study</w:t>
      </w:r>
      <w:r w:rsidRPr="00F82136">
        <w:rPr>
          <w:rFonts w:ascii="Narkisim" w:hAnsi="Narkisim" w:cs="Narkisim"/>
          <w:lang w:eastAsia="he-IL"/>
        </w:rPr>
        <w:t xml:space="preserve">, 44 </w:t>
      </w:r>
      <w:r w:rsidRPr="00F82136">
        <w:rPr>
          <w:rFonts w:ascii="Narkisim" w:hAnsi="Narkisim" w:cs="Narkisim"/>
          <w:smallCaps/>
          <w:lang w:eastAsia="he-IL"/>
        </w:rPr>
        <w:t>L. &amp; Soc. Inquiry</w:t>
      </w:r>
      <w:r w:rsidRPr="00F82136">
        <w:rPr>
          <w:rFonts w:ascii="Narkisim" w:hAnsi="Narkisim" w:cs="Narkisim"/>
          <w:lang w:eastAsia="he-IL"/>
        </w:rPr>
        <w:t xml:space="preserve"> 1141 (2019)</w:t>
      </w:r>
    </w:p>
  </w:footnote>
  <w:footnote w:id="5">
    <w:p w14:paraId="4A6F5C4B" w14:textId="7872C4FA"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 xml:space="preserve">כפי שנפרט במאמר, ההורות היא "מוסד משפטי". המשפט הוא שקובע מיהם ההורים מבחינה משפטית, בין אם הקביעה המשפטית היא שהורות במשפט תתבסס על זיקה ביולוגית-גנטית, ובין אם ההורות המשפטית מתבססת על זיקות אחרות. </w:t>
      </w:r>
    </w:p>
  </w:footnote>
  <w:footnote w:id="6">
    <w:p w14:paraId="2D347A78" w14:textId="5B061EFA"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יותר </w:t>
      </w:r>
      <w:r w:rsidRPr="00F82136">
        <w:rPr>
          <w:rFonts w:ascii="Narkisim" w:hAnsi="Narkisim" w:cs="Narkisim"/>
          <w:rtl/>
        </w:rPr>
        <w:t xml:space="preserve">מכך, בעיקרו הכריז בית המשפט העליון על אבהות אזרחית המנותקת ממבחניו הקונקרטיים של דין אישי זה או אחר, וראו ע"א 3077/90 </w:t>
      </w:r>
      <w:r w:rsidRPr="00F82136">
        <w:rPr>
          <w:rFonts w:ascii="Narkisim" w:hAnsi="Narkisim" w:cs="Narkisim"/>
          <w:b/>
          <w:bCs/>
          <w:rtl/>
        </w:rPr>
        <w:t>פלונית נ' פלוני</w:t>
      </w:r>
      <w:r w:rsidRPr="00F82136">
        <w:rPr>
          <w:rFonts w:ascii="Narkisim" w:hAnsi="Narkisim" w:cs="Narkisim"/>
          <w:rtl/>
        </w:rPr>
        <w:t xml:space="preserve">, פ"ד מט(2) 578 (1995). </w:t>
      </w:r>
    </w:p>
  </w:footnote>
  <w:footnote w:id="7">
    <w:p w14:paraId="4A9F25B8"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שם, בעמ' 315–316.</w:t>
      </w:r>
    </w:p>
  </w:footnote>
  <w:footnote w:id="8">
    <w:p w14:paraId="2C706E3A"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bookmarkStart w:id="16" w:name="_Hlk50980244"/>
      <w:r w:rsidRPr="00F82136">
        <w:rPr>
          <w:rStyle w:val="FootnoteReference"/>
          <w:rFonts w:ascii="Narkisim" w:hAnsi="Narkisim" w:cs="Narkisim"/>
          <w:rtl/>
        </w:rPr>
        <w:tab/>
      </w:r>
      <w:r w:rsidRPr="00F82136">
        <w:rPr>
          <w:rFonts w:ascii="Narkisim" w:hAnsi="Narkisim" w:cs="Narkisim"/>
          <w:rtl/>
        </w:rPr>
        <w:t>זפרן "המשפחה בעידן הגנטי",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Ref64651209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4</w:t>
      </w:r>
      <w:r>
        <w:rPr>
          <w:rFonts w:ascii="Narkisim" w:hAnsi="Narkisim" w:cs="Narkisim"/>
          <w:rtl/>
        </w:rPr>
        <w:fldChar w:fldCharType="end"/>
      </w:r>
      <w:r w:rsidRPr="00F82136">
        <w:rPr>
          <w:rFonts w:ascii="Narkisim" w:hAnsi="Narkisim" w:cs="Narkisim"/>
          <w:rtl/>
        </w:rPr>
        <w:t>, בעמ' 234–235</w:t>
      </w:r>
      <w:bookmarkEnd w:id="16"/>
      <w:r w:rsidRPr="00F82136">
        <w:rPr>
          <w:rFonts w:ascii="Narkisim" w:hAnsi="Narkisim" w:cs="Narkisim"/>
          <w:rtl/>
        </w:rPr>
        <w:t xml:space="preserve">; איילת בלכר-פריגת ודפנה הקר "הורים או זרים: מעמדם המשפטי המצוי והרצוי של בני-זוג של הורים" </w:t>
      </w:r>
      <w:r w:rsidRPr="00F82136">
        <w:rPr>
          <w:rFonts w:ascii="Narkisim" w:hAnsi="Narkisim" w:cs="Narkisim"/>
          <w:b/>
          <w:bCs/>
          <w:rtl/>
        </w:rPr>
        <w:t>משפטים</w:t>
      </w:r>
      <w:r w:rsidRPr="00F82136">
        <w:rPr>
          <w:rFonts w:ascii="Narkisim" w:hAnsi="Narkisim" w:cs="Narkisim"/>
          <w:rtl/>
        </w:rPr>
        <w:t xml:space="preserve"> מ 5</w:t>
      </w:r>
      <w:r w:rsidRPr="00F82136">
        <w:rPr>
          <w:rFonts w:ascii="Narkisim" w:hAnsi="Narkisim" w:cs="Narkisim"/>
        </w:rPr>
        <w:t>,</w:t>
      </w:r>
      <w:r w:rsidRPr="00F82136">
        <w:rPr>
          <w:rFonts w:ascii="Narkisim" w:hAnsi="Narkisim" w:cs="Narkisim"/>
          <w:rtl/>
        </w:rPr>
        <w:t xml:space="preserve"> 9 (2010)</w:t>
      </w:r>
      <w:r>
        <w:rPr>
          <w:rFonts w:ascii="Narkisim" w:hAnsi="Narkisim" w:cs="Narkisim" w:hint="cs"/>
          <w:rtl/>
        </w:rPr>
        <w:t xml:space="preserve"> </w:t>
      </w:r>
      <w:r w:rsidRPr="00F82136">
        <w:rPr>
          <w:rFonts w:ascii="Narkisim" w:hAnsi="Narkisim" w:cs="Narkisim"/>
          <w:rtl/>
        </w:rPr>
        <w:t>(להלן: בלכר-פריגת והקר</w:t>
      </w:r>
      <w:r>
        <w:rPr>
          <w:rFonts w:ascii="Narkisim" w:hAnsi="Narkisim" w:cs="Narkisim" w:hint="cs"/>
          <w:rtl/>
        </w:rPr>
        <w:t>,</w:t>
      </w:r>
      <w:r w:rsidRPr="00F82136">
        <w:rPr>
          <w:rFonts w:ascii="Narkisim" w:hAnsi="Narkisim" w:cs="Narkisim"/>
          <w:rtl/>
        </w:rPr>
        <w:t xml:space="preserve"> "הורים או זרים")</w:t>
      </w:r>
      <w:r>
        <w:rPr>
          <w:rFonts w:ascii="Narkisim" w:hAnsi="Narkisim" w:cs="Narkisim" w:hint="cs"/>
          <w:rtl/>
        </w:rPr>
        <w:t>.</w:t>
      </w:r>
    </w:p>
  </w:footnote>
  <w:footnote w:id="9">
    <w:p w14:paraId="5F275CEE"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הנחה זו, כפי שרות זפרן, הדגישה בכתיבתה, מבוססת על שני טיעונים: האחד, הנוגע לאלמנט הדמיון וההמשכיות; והאחר, בעל אופי-קנייני, נוגע לרצונו של האדם, כבעלים של גופו, לשלוט על התוצרים של גופו. ראו לעניין זה שם בעמ' 232, ה"ש 24 ולרשימת המקורות הספרותיים המובאים בהערה זו.</w:t>
      </w:r>
    </w:p>
  </w:footnote>
  <w:footnote w:id="10">
    <w:p w14:paraId="0424FF24"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ראו </w:t>
      </w:r>
      <w:r w:rsidRPr="00F82136">
        <w:rPr>
          <w:rFonts w:ascii="Narkisim" w:hAnsi="Narkisim" w:cs="Narkisim"/>
        </w:rPr>
        <w:t>Blecher-Prigat</w:t>
      </w:r>
      <w:r>
        <w:rPr>
          <w:rFonts w:ascii="Narkisim" w:hAnsi="Narkisim" w:cs="Narkisim" w:hint="cs"/>
          <w:rtl/>
        </w:rPr>
        <w:t>,</w:t>
      </w:r>
      <w:r w:rsidRPr="00F82136">
        <w:rPr>
          <w:rFonts w:ascii="Narkisim" w:hAnsi="Narkisim" w:cs="Narkisim"/>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Ref64710202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sidRPr="00F82136">
        <w:rPr>
          <w:rFonts w:ascii="Narkisim" w:hAnsi="Narkisim" w:cs="Narkisim"/>
          <w:rtl/>
        </w:rPr>
        <w:t>, בעמ' 152.</w:t>
      </w:r>
    </w:p>
  </w:footnote>
  <w:footnote w:id="11">
    <w:p w14:paraId="1A5CB20A" w14:textId="70B332A6"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בדין הישראלי</w:t>
      </w:r>
      <w:r w:rsidR="00453CAA">
        <w:rPr>
          <w:rFonts w:ascii="Narkisim" w:hAnsi="Narkisim" w:cs="Narkisim" w:hint="cs"/>
          <w:rtl/>
        </w:rPr>
        <w:t xml:space="preserve"> אין חזקה קבועה בפסיקת בית המשפט העליון לפיה בעלה של האם הוא האב, </w:t>
      </w:r>
      <w:r w:rsidRPr="00F82136">
        <w:rPr>
          <w:rFonts w:ascii="Narkisim" w:hAnsi="Narkisim" w:cs="Narkisim"/>
          <w:rtl/>
        </w:rPr>
        <w:t>אלא בנהלי משרד הפנים לרישום לידות</w:t>
      </w:r>
      <w:r>
        <w:rPr>
          <w:rFonts w:ascii="Narkisim" w:hAnsi="Narkisim" w:cs="Narkisim" w:hint="cs"/>
          <w:rtl/>
        </w:rPr>
        <w:t xml:space="preserve"> (ראו להלן ה"ש </w:t>
      </w:r>
      <w:r w:rsidR="006520F9">
        <w:rPr>
          <w:rFonts w:ascii="Narkisim" w:hAnsi="Narkisim" w:cs="Narkisim" w:hint="cs"/>
          <w:rtl/>
        </w:rPr>
        <w:t>...</w:t>
      </w:r>
      <w:r>
        <w:rPr>
          <w:rFonts w:ascii="Narkisim" w:hAnsi="Narkisim" w:cs="Narkisim" w:hint="cs"/>
          <w:rtl/>
        </w:rPr>
        <w:t xml:space="preserve">). </w:t>
      </w:r>
      <w:r w:rsidRPr="00F82136">
        <w:rPr>
          <w:rFonts w:ascii="Narkisim" w:hAnsi="Narkisim" w:cs="Narkisim"/>
          <w:rtl/>
        </w:rPr>
        <w:t>כפי שציינו בפתחו של הפרק, אין חוק בישראל המגדיר הורות, ואין הלכה פסוקה שקבעה כך. לפיכך, אנו משתמשים במונח "הנחה" ולא במונח "חזקה".</w:t>
      </w:r>
    </w:p>
  </w:footnote>
  <w:footnote w:id="12">
    <w:p w14:paraId="7126F8AE"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 xml:space="preserve">ס' </w:t>
      </w:r>
      <w:r w:rsidRPr="00F82136">
        <w:rPr>
          <w:rFonts w:ascii="Narkisim" w:hAnsi="Narkisim" w:cs="Narkisim"/>
          <w:rtl/>
        </w:rPr>
        <w:t>28ה לחוק מידע גנטי, התשס"א-2000.</w:t>
      </w:r>
    </w:p>
  </w:footnote>
  <w:footnote w:id="13">
    <w:p w14:paraId="7F1F1D40" w14:textId="304BA1AC"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בנסיבות </w:t>
      </w:r>
      <w:r w:rsidRPr="00F82136">
        <w:rPr>
          <w:rFonts w:ascii="Narkisim" w:hAnsi="Narkisim" w:cs="Narkisim"/>
          <w:rtl/>
        </w:rPr>
        <w:t>מיוחדות</w:t>
      </w:r>
      <w:r>
        <w:rPr>
          <w:rFonts w:ascii="Narkisim" w:hAnsi="Narkisim" w:cs="Narkisim" w:hint="cs"/>
          <w:rtl/>
        </w:rPr>
        <w:t xml:space="preserve">, </w:t>
      </w:r>
      <w:r w:rsidRPr="00F82136">
        <w:rPr>
          <w:rFonts w:ascii="Narkisim" w:hAnsi="Narkisim" w:cs="Narkisim"/>
          <w:rtl/>
        </w:rPr>
        <w:t>שבהן לא נדון בהרחבה במאמר זה</w:t>
      </w:r>
      <w:r>
        <w:rPr>
          <w:rFonts w:ascii="Narkisim" w:hAnsi="Narkisim" w:cs="Narkisim" w:hint="cs"/>
          <w:rtl/>
        </w:rPr>
        <w:t>,</w:t>
      </w:r>
      <w:r w:rsidRPr="00F82136">
        <w:rPr>
          <w:rFonts w:ascii="Narkisim" w:hAnsi="Narkisim" w:cs="Narkisim"/>
          <w:rtl/>
        </w:rPr>
        <w:t xml:space="preserve"> </w:t>
      </w:r>
      <w:r>
        <w:rPr>
          <w:rFonts w:ascii="Narkisim" w:hAnsi="Narkisim" w:cs="Narkisim" w:hint="cs"/>
          <w:rtl/>
        </w:rPr>
        <w:t>כאשר</w:t>
      </w:r>
      <w:r w:rsidRPr="00F82136">
        <w:rPr>
          <w:rFonts w:ascii="Narkisim" w:hAnsi="Narkisim" w:cs="Narkisim"/>
          <w:rtl/>
        </w:rPr>
        <w:t xml:space="preserve"> נוצר צורך מיוחד להכיר באב אחר, מצאו בתי המשפט פתרונות יצירתיים להכרה בו, כגון אימוץ או </w:t>
      </w:r>
      <w:r w:rsidR="00A6061C">
        <w:rPr>
          <w:rFonts w:ascii="Narkisim" w:hAnsi="Narkisim" w:cs="Narkisim" w:hint="cs"/>
          <w:rtl/>
        </w:rPr>
        <w:t>הכרה ב</w:t>
      </w:r>
      <w:r w:rsidRPr="00F82136">
        <w:rPr>
          <w:rFonts w:ascii="Narkisim" w:hAnsi="Narkisim" w:cs="Narkisim"/>
          <w:rtl/>
        </w:rPr>
        <w:t>הורה פסיכולוגי. ראו</w:t>
      </w:r>
      <w:r>
        <w:rPr>
          <w:rFonts w:ascii="Narkisim" w:hAnsi="Narkisim" w:cs="Narkisim" w:hint="cs"/>
          <w:rtl/>
        </w:rPr>
        <w:t xml:space="preserve"> </w:t>
      </w:r>
      <w:r w:rsidRPr="00F82136">
        <w:rPr>
          <w:rFonts w:ascii="Narkisim" w:hAnsi="Narkisim" w:cs="Narkisim"/>
          <w:rtl/>
        </w:rPr>
        <w:t xml:space="preserve">תמ"ש (משפחה חי') 31880-07 </w:t>
      </w:r>
      <w:r w:rsidRPr="00F82136">
        <w:rPr>
          <w:rFonts w:ascii="Narkisim" w:hAnsi="Narkisim" w:cs="Narkisim"/>
          <w:b/>
          <w:bCs/>
          <w:rtl/>
        </w:rPr>
        <w:t xml:space="preserve">א.ג.ז. נ' א.ז. </w:t>
      </w:r>
      <w:r w:rsidRPr="00F82136">
        <w:rPr>
          <w:rFonts w:ascii="Narkisim" w:hAnsi="Narkisim" w:cs="Narkisim"/>
          <w:rtl/>
        </w:rPr>
        <w:t xml:space="preserve">(פורסם בנבו, 5.11.2013). באמצעים אלה נעשה שימוש לעיתים גם בנסיבות שאינן קשורות לממזרות, למשל, אצל מוסלמים, ראו תמ"ש (משפחה נצ') 29182-07-14 </w:t>
      </w:r>
      <w:r w:rsidRPr="00F82136">
        <w:rPr>
          <w:rFonts w:ascii="Narkisim" w:hAnsi="Narkisim" w:cs="Narkisim"/>
          <w:b/>
          <w:bCs/>
          <w:rtl/>
        </w:rPr>
        <w:t>מ'. י' נ' נ'. ז.</w:t>
      </w:r>
      <w:r w:rsidRPr="00F82136">
        <w:rPr>
          <w:rFonts w:ascii="Narkisim" w:hAnsi="Narkisim" w:cs="Narkisim"/>
          <w:rtl/>
        </w:rPr>
        <w:t xml:space="preserve"> (פורסם בנבו, 27.2.2017)</w:t>
      </w:r>
      <w:r>
        <w:rPr>
          <w:rFonts w:ascii="Narkisim" w:hAnsi="Narkisim" w:cs="Narkisim" w:hint="cs"/>
        </w:rPr>
        <w:t xml:space="preserve"> </w:t>
      </w:r>
      <w:r>
        <w:rPr>
          <w:rFonts w:ascii="Narkisim" w:hAnsi="Narkisim" w:cs="Narkisim" w:hint="cs"/>
          <w:rtl/>
        </w:rPr>
        <w:t xml:space="preserve">(להלן: עניין </w:t>
      </w:r>
      <w:r w:rsidRPr="00F82136">
        <w:rPr>
          <w:rFonts w:ascii="Narkisim" w:hAnsi="Narkisim" w:cs="Narkisim"/>
          <w:b/>
          <w:bCs/>
          <w:rtl/>
        </w:rPr>
        <w:t>מ.' י'</w:t>
      </w:r>
      <w:r>
        <w:rPr>
          <w:rFonts w:ascii="Narkisim" w:hAnsi="Narkisim" w:cs="Narkisim" w:hint="cs"/>
          <w:rtl/>
        </w:rPr>
        <w:t>).</w:t>
      </w:r>
    </w:p>
  </w:footnote>
  <w:footnote w:id="14">
    <w:p w14:paraId="67B20BC5"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ס' 28יב לחוק מידע גנטי. אם האם או הבעל (לרבות הגרוש, שלו הייתה נשואה האם במועד ההתעברות) מסרבים לרישומו כאב, לא יירשם לילד כל אב, ובדיקה גנטית לא תותר, אלא בצו בית משפט שיינתן רק במקרים נדירים.</w:t>
      </w:r>
    </w:p>
  </w:footnote>
  <w:footnote w:id="15">
    <w:p w14:paraId="347A7795"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עמדה </w:t>
      </w:r>
      <w:r w:rsidRPr="00F82136">
        <w:rPr>
          <w:rFonts w:ascii="Narkisim" w:hAnsi="Narkisim" w:cs="Narkisim"/>
          <w:rtl/>
        </w:rPr>
        <w:t xml:space="preserve">זאת המכירה בבעל כאב אינה ייחודית רק לבני זוג יהודים. ראו, למשל, עניין </w:t>
      </w:r>
      <w:r w:rsidRPr="00F82136">
        <w:rPr>
          <w:rFonts w:ascii="Narkisim" w:hAnsi="Narkisim" w:cs="Narkisim"/>
          <w:b/>
          <w:bCs/>
          <w:rtl/>
        </w:rPr>
        <w:t>מ.' י'</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Ref64652646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25</w:t>
      </w:r>
      <w:r>
        <w:rPr>
          <w:rFonts w:ascii="Narkisim" w:hAnsi="Narkisim" w:cs="Narkisim"/>
          <w:rtl/>
        </w:rPr>
        <w:fldChar w:fldCharType="end"/>
      </w:r>
      <w:r w:rsidRPr="00F82136">
        <w:rPr>
          <w:rFonts w:ascii="Narkisim" w:hAnsi="Narkisim" w:cs="Narkisim"/>
          <w:rtl/>
        </w:rPr>
        <w:t xml:space="preserve">; תמ"ש (משפחה טב') 27090-01-11 </w:t>
      </w:r>
      <w:r w:rsidRPr="00F82136">
        <w:rPr>
          <w:rFonts w:ascii="Narkisim" w:hAnsi="Narkisim" w:cs="Narkisim"/>
          <w:b/>
          <w:bCs/>
          <w:rtl/>
        </w:rPr>
        <w:t>ע.א.ז נ' ח.מ</w:t>
      </w:r>
      <w:r w:rsidRPr="00F82136">
        <w:rPr>
          <w:rFonts w:ascii="Narkisim" w:hAnsi="Narkisim" w:cs="Narkisim"/>
          <w:rtl/>
        </w:rPr>
        <w:t xml:space="preserve"> (פורסם בנבו, 28.10.2011).</w:t>
      </w:r>
    </w:p>
  </w:footnote>
  <w:footnote w:id="16">
    <w:p w14:paraId="594A6200"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ס' </w:t>
      </w:r>
      <w:r w:rsidRPr="00F82136">
        <w:rPr>
          <w:rFonts w:ascii="Narkisim" w:hAnsi="Narkisim" w:cs="Narkisim"/>
          <w:rtl/>
        </w:rPr>
        <w:t>3 לחוק מרשם האוכלוסין, התשכ"ה-1965.</w:t>
      </w:r>
    </w:p>
  </w:footnote>
  <w:footnote w:id="17">
    <w:p w14:paraId="159E6FCC" w14:textId="24CA676E"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E97371">
        <w:rPr>
          <w:rFonts w:ascii="Narkisim" w:hAnsi="Narkisim" w:cs="Narkisim" w:hint="cs"/>
          <w:rtl/>
        </w:rPr>
        <w:t xml:space="preserve">כיום </w:t>
      </w:r>
      <w:r w:rsidRPr="00E97371">
        <w:rPr>
          <w:rFonts w:ascii="Narkisim" w:hAnsi="Narkisim" w:cs="Narkisim" w:hint="cs"/>
          <w:rtl/>
        </w:rPr>
        <w:t xml:space="preserve">מחייבים הנהלים כי האב יוסיף ויצהיר כי הוא האב </w:t>
      </w:r>
      <w:r w:rsidRPr="00A6061C">
        <w:rPr>
          <w:rFonts w:ascii="Narkisim" w:hAnsi="Narkisim" w:cs="Narkisim" w:hint="cs"/>
          <w:u w:val="single"/>
          <w:rtl/>
        </w:rPr>
        <w:t>הגנטי</w:t>
      </w:r>
      <w:r w:rsidRPr="00E97371">
        <w:rPr>
          <w:rFonts w:ascii="Narkisim" w:hAnsi="Narkisim" w:cs="Narkisim" w:hint="cs"/>
          <w:rtl/>
        </w:rPr>
        <w:t xml:space="preserve"> של הצאצא</w:t>
      </w:r>
      <w:r w:rsidR="00A6061C">
        <w:rPr>
          <w:rFonts w:ascii="Narkisim" w:hAnsi="Narkisim" w:cs="Narkisim" w:hint="cs"/>
          <w:rtl/>
        </w:rPr>
        <w:t xml:space="preserve"> ואולם מדובר בשינוי שהוכנס לאחרונה ונועד לטרפד מאבק משפטי להכרה באמהות בת הזוג של האם היולדת</w:t>
      </w:r>
      <w:r w:rsidR="006520F9">
        <w:rPr>
          <w:rFonts w:ascii="Narkisim" w:hAnsi="Narkisim" w:cs="Narkisim" w:hint="cs"/>
          <w:rtl/>
        </w:rPr>
        <w:t xml:space="preserve"> (להפנות צור-ויסלברג ולחלק הרלוונטי במאמר המשותף)</w:t>
      </w:r>
      <w:r w:rsidRPr="00E97371">
        <w:rPr>
          <w:rFonts w:ascii="Narkisim" w:hAnsi="Narkisim" w:cs="Narkisim" w:hint="cs"/>
          <w:rtl/>
        </w:rPr>
        <w:t>.</w:t>
      </w:r>
    </w:p>
  </w:footnote>
  <w:footnote w:id="18">
    <w:p w14:paraId="7A3397C2"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ראו </w:t>
      </w:r>
      <w:r w:rsidRPr="00F82136">
        <w:rPr>
          <w:rFonts w:ascii="Narkisim" w:hAnsi="Narkisim" w:cs="Narkisim"/>
          <w:rtl/>
        </w:rPr>
        <w:t xml:space="preserve">ס' 3, 4.9 ו-4.10 לנוהל של רשות האוכלוסין וההגירה 2.2.0007 "נוהל הוספת פרטי אב לקטין תושב ישראל הרשות במרשם האוכלוסין" (5.8.2020) </w:t>
      </w:r>
      <w:r>
        <w:fldChar w:fldCharType="begin"/>
      </w:r>
      <w:r>
        <w:instrText xml:space="preserve"> HYPERLINK "http://www.gov.il/BlobFolder/policy/adding_parent_to_minor_israeli_register_2014/he/2.2.0007.pdf" </w:instrText>
      </w:r>
      <w:r>
        <w:fldChar w:fldCharType="separate"/>
      </w:r>
      <w:r w:rsidRPr="00F82136">
        <w:rPr>
          <w:rStyle w:val="Hyperlink"/>
          <w:rFonts w:ascii="Narkisim" w:hAnsi="Narkisim" w:cs="Narkisim"/>
        </w:rPr>
        <w:t>www.gov.il/BlobFolder/policy/adding_parent_to_minor_israeli_register_2014/he/2.2.0007.pdf</w:t>
      </w:r>
      <w:r>
        <w:rPr>
          <w:rStyle w:val="Hyperlink"/>
          <w:rFonts w:ascii="Narkisim" w:hAnsi="Narkisim" w:cs="Narkisim"/>
        </w:rPr>
        <w:fldChar w:fldCharType="end"/>
      </w:r>
      <w:r w:rsidRPr="00F82136">
        <w:rPr>
          <w:rFonts w:ascii="Narkisim" w:hAnsi="Narkisim" w:cs="Narkisim"/>
          <w:rtl/>
        </w:rPr>
        <w:t xml:space="preserve"> (להלן: "נוהל הוספת פרטי אב").</w:t>
      </w:r>
    </w:p>
  </w:footnote>
  <w:footnote w:id="19">
    <w:p w14:paraId="2851E597"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חלק </w:t>
      </w:r>
      <w:r w:rsidRPr="00F82136">
        <w:rPr>
          <w:rFonts w:ascii="Narkisim" w:hAnsi="Narkisim" w:cs="Narkisim"/>
          <w:rtl/>
        </w:rPr>
        <w:t xml:space="preserve">זה לקוח מבלכר-פריגת וזפרן, </w:t>
      </w:r>
      <w:r>
        <w:rPr>
          <w:rFonts w:ascii="Narkisim" w:hAnsi="Narkisim" w:cs="Narkisim" w:hint="cs"/>
          <w:rtl/>
        </w:rPr>
        <w:t xml:space="preserve">'ילדים זה שמחה' </w:t>
      </w:r>
      <w:r w:rsidRPr="00F82136">
        <w:rPr>
          <w:rFonts w:ascii="Narkisim" w:hAnsi="Narkisim" w:cs="Narkisim"/>
          <w:rtl/>
        </w:rPr>
        <w:t xml:space="preserve">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Ref64653083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3</w:t>
      </w:r>
      <w:r>
        <w:rPr>
          <w:rFonts w:ascii="Narkisim" w:hAnsi="Narkisim" w:cs="Narkisim"/>
          <w:rtl/>
        </w:rPr>
        <w:fldChar w:fldCharType="end"/>
      </w:r>
      <w:r>
        <w:rPr>
          <w:rFonts w:ascii="Narkisim" w:hAnsi="Narkisim" w:cs="Narkisim" w:hint="cs"/>
          <w:rtl/>
        </w:rPr>
        <w:t>,</w:t>
      </w:r>
      <w:r w:rsidRPr="00F82136">
        <w:rPr>
          <w:rFonts w:ascii="Narkisim" w:hAnsi="Narkisim" w:cs="Narkisim"/>
          <w:rtl/>
        </w:rPr>
        <w:t xml:space="preserve"> בעמ' 422–430.</w:t>
      </w:r>
    </w:p>
  </w:footnote>
  <w:footnote w:id="20">
    <w:p w14:paraId="68E18BEC"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 xml:space="preserve">תפיסה </w:t>
      </w:r>
      <w:r w:rsidRPr="00F82136">
        <w:rPr>
          <w:rFonts w:ascii="Narkisim" w:hAnsi="Narkisim" w:cs="Narkisim"/>
          <w:rtl/>
        </w:rPr>
        <w:t>זו משותפת לכל מערכת המשפט בעת העתיקה, ובפרט באמירה השאובה מן המשפט הרומי "</w:t>
      </w:r>
      <w:r w:rsidRPr="00F82136">
        <w:rPr>
          <w:rFonts w:ascii="Narkisim" w:hAnsi="Narkisim" w:cs="Narkisim"/>
        </w:rPr>
        <w:t xml:space="preserve">Mater semper </w:t>
      </w:r>
      <w:proofErr w:type="spellStart"/>
      <w:r w:rsidRPr="00F82136">
        <w:rPr>
          <w:rFonts w:ascii="Narkisim" w:hAnsi="Narkisim" w:cs="Narkisim"/>
        </w:rPr>
        <w:t>certa</w:t>
      </w:r>
      <w:proofErr w:type="spellEnd"/>
      <w:r w:rsidRPr="00F82136">
        <w:rPr>
          <w:rFonts w:ascii="Narkisim" w:hAnsi="Narkisim" w:cs="Narkisim"/>
        </w:rPr>
        <w:t xml:space="preserve"> </w:t>
      </w:r>
      <w:proofErr w:type="spellStart"/>
      <w:r w:rsidRPr="00F82136">
        <w:rPr>
          <w:rFonts w:ascii="Narkisim" w:hAnsi="Narkisim" w:cs="Narkisim"/>
        </w:rPr>
        <w:t>est</w:t>
      </w:r>
      <w:proofErr w:type="spellEnd"/>
      <w:r w:rsidRPr="00F82136">
        <w:rPr>
          <w:rFonts w:ascii="Narkisim" w:hAnsi="Narkisim" w:cs="Narkisim"/>
          <w:rtl/>
        </w:rPr>
        <w:t xml:space="preserve">" (האימהוּת תמיד וודאית). תפיסה זו השתמרה בשיטות המשפט כיום, שבהן האישה היולדת היא האם המשפטית באופן </w:t>
      </w:r>
      <w:r w:rsidRPr="00F82136">
        <w:rPr>
          <w:rFonts w:ascii="Narkisim" w:hAnsi="Narkisim" w:cs="Narkisim" w:hint="cs"/>
          <w:rtl/>
        </w:rPr>
        <w:t>אוט</w:t>
      </w:r>
      <w:r>
        <w:rPr>
          <w:rFonts w:ascii="Narkisim" w:hAnsi="Narkisim" w:cs="Narkisim" w:hint="cs"/>
          <w:rtl/>
        </w:rPr>
        <w:t>ו</w:t>
      </w:r>
      <w:r w:rsidRPr="00F82136">
        <w:rPr>
          <w:rFonts w:ascii="Narkisim" w:hAnsi="Narkisim" w:cs="Narkisim" w:hint="cs"/>
          <w:rtl/>
        </w:rPr>
        <w:t>מטי</w:t>
      </w:r>
      <w:r w:rsidRPr="00F82136">
        <w:rPr>
          <w:rFonts w:ascii="Narkisim" w:hAnsi="Narkisim" w:cs="Narkisim"/>
          <w:rtl/>
        </w:rPr>
        <w:t xml:space="preserve">. ראו טריגר, </w:t>
      </w:r>
      <w:r w:rsidRPr="00BE4EB0">
        <w:rPr>
          <w:rFonts w:ascii="Narkisim" w:hAnsi="Narkisim" w:cs="Narkisim"/>
          <w:b/>
          <w:bCs/>
          <w:rtl/>
        </w:rPr>
        <w:t xml:space="preserve">פשעים נגד </w:t>
      </w:r>
      <w:r w:rsidRPr="00BE4EB0">
        <w:rPr>
          <w:rFonts w:ascii="Narkisim" w:hAnsi="Narkisim" w:cs="Narkisim" w:hint="cs"/>
          <w:b/>
          <w:bCs/>
          <w:rtl/>
        </w:rPr>
        <w:t>הפטריארכי</w:t>
      </w:r>
      <w:r w:rsidRPr="00BE4EB0">
        <w:rPr>
          <w:rFonts w:ascii="Narkisim" w:hAnsi="Narkisim" w:cs="Narkisim" w:hint="eastAsia"/>
          <w:b/>
          <w:bCs/>
          <w:rtl/>
        </w:rPr>
        <w:t>ה</w:t>
      </w:r>
      <w:r w:rsidRPr="00F82136">
        <w:rPr>
          <w:rFonts w:ascii="Narkisim" w:hAnsi="Narkisim" w:cs="Narkisim"/>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Ref80948971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11</w:t>
      </w:r>
      <w:r>
        <w:rPr>
          <w:rFonts w:ascii="Narkisim" w:hAnsi="Narkisim" w:cs="Narkisim"/>
          <w:rtl/>
        </w:rPr>
        <w:fldChar w:fldCharType="end"/>
      </w:r>
      <w:r w:rsidRPr="00F82136">
        <w:rPr>
          <w:rFonts w:ascii="Narkisim" w:hAnsi="Narkisim" w:cs="Narkisim"/>
          <w:rtl/>
        </w:rPr>
        <w:t>.</w:t>
      </w:r>
    </w:p>
  </w:footnote>
  <w:footnote w:id="21">
    <w:p w14:paraId="2FC1D42C"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ס' 2 (הגדרת "נתרמת"), 11 ו-42(א) לחוק תרומת ביציות.</w:t>
      </w:r>
    </w:p>
  </w:footnote>
  <w:footnote w:id="22">
    <w:p w14:paraId="39F563FE"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יחזקאל </w:t>
      </w:r>
      <w:r w:rsidRPr="00F82136">
        <w:rPr>
          <w:rFonts w:ascii="Narkisim" w:hAnsi="Narkisim" w:cs="Narkisim"/>
          <w:rtl/>
        </w:rPr>
        <w:t xml:space="preserve">מרגלית "לקראת קביעת הורות משפטית בהסכמה בישראל" </w:t>
      </w:r>
      <w:r w:rsidRPr="00F82136">
        <w:rPr>
          <w:rFonts w:ascii="Narkisim" w:hAnsi="Narkisim" w:cs="Narkisim"/>
          <w:b/>
          <w:bCs/>
          <w:rtl/>
        </w:rPr>
        <w:t>משפטים</w:t>
      </w:r>
      <w:r w:rsidRPr="00F82136">
        <w:rPr>
          <w:rFonts w:ascii="Narkisim" w:hAnsi="Narkisim" w:cs="Narkisim"/>
          <w:rtl/>
        </w:rPr>
        <w:t xml:space="preserve"> מב 835, 857–858 (2012) (להלן: מרגלית "הורות משפטית בהסכמה"). </w:t>
      </w:r>
    </w:p>
  </w:footnote>
  <w:footnote w:id="23">
    <w:p w14:paraId="1609D01B"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חשוב </w:t>
      </w:r>
      <w:r w:rsidRPr="00F82136">
        <w:rPr>
          <w:rFonts w:ascii="Narkisim" w:hAnsi="Narkisim" w:cs="Narkisim"/>
          <w:rtl/>
        </w:rPr>
        <w:t xml:space="preserve">לעמוד כאן על בלבול שאנחנו מזהים בין מבחן הכוונה למבחן ההסכמה. מבחן ההסכמה הובא לשיח המשפטי הישראלי על ידי יחזקאל מרגלית. ראו: יחזקאל מרגלית "על קביעת הורות משפטית בהסכמה כמענה לאתגרי קביעת ההורות המשפטית בעת החדשה" </w:t>
      </w:r>
      <w:r w:rsidRPr="00F82136">
        <w:rPr>
          <w:rFonts w:ascii="Narkisim" w:hAnsi="Narkisim" w:cs="Narkisim"/>
          <w:b/>
          <w:bCs/>
          <w:rtl/>
        </w:rPr>
        <w:t>דין ודברים</w:t>
      </w:r>
      <w:r w:rsidRPr="00F82136">
        <w:rPr>
          <w:rFonts w:ascii="Narkisim" w:hAnsi="Narkisim" w:cs="Narkisim"/>
          <w:rtl/>
        </w:rPr>
        <w:t xml:space="preserve"> ו 553 (2012) (להלן: מרגלית "על קביעת הורות");  </w:t>
      </w:r>
      <w:r>
        <w:rPr>
          <w:rFonts w:ascii="Narkisim" w:hAnsi="Narkisim" w:cs="Narkisim" w:hint="cs"/>
          <w:rtl/>
        </w:rPr>
        <w:t>מרגלית, "</w:t>
      </w:r>
      <w:r w:rsidRPr="00F82136">
        <w:rPr>
          <w:rFonts w:ascii="Narkisim" w:hAnsi="Narkisim" w:cs="Narkisim"/>
          <w:rtl/>
        </w:rPr>
        <w:t>הורות משפטית בהסכמה</w:t>
      </w:r>
      <w:r>
        <w:rPr>
          <w:rFonts w:ascii="Narkisim" w:hAnsi="Narkisim" w:cs="Narkisim" w:hint="cs"/>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Ref54610603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34</w:t>
      </w:r>
      <w:r>
        <w:rPr>
          <w:rFonts w:ascii="Narkisim" w:hAnsi="Narkisim" w:cs="Narkisim"/>
          <w:rtl/>
        </w:rPr>
        <w:fldChar w:fldCharType="end"/>
      </w:r>
      <w:r>
        <w:rPr>
          <w:rFonts w:ascii="Narkisim" w:hAnsi="Narkisim" w:cs="Narkisim" w:hint="cs"/>
          <w:rtl/>
        </w:rPr>
        <w:t xml:space="preserve">. </w:t>
      </w:r>
      <w:r w:rsidRPr="00F82136">
        <w:rPr>
          <w:rFonts w:ascii="Narkisim" w:hAnsi="Narkisim" w:cs="Narkisim"/>
          <w:rtl/>
        </w:rPr>
        <w:t xml:space="preserve">מרגלית מדגיש את האלמנט החוזי בדיני משפחה ובפרט בהקשר של הגדרת יחסי הורים ילדים. לשיטתו אין להסתפק בכוונה משוערת או משתמעת, והוא מבקש להצמיח את ההורות על בסיס חוזה מפורש בין שני ההורים, חוזה שנערך כדין ואושר בפני רשות מוסמכת. ראו </w:t>
      </w:r>
      <w:r>
        <w:rPr>
          <w:rFonts w:ascii="Narkisim" w:hAnsi="Narkisim" w:cs="Narkisim" w:hint="cs"/>
          <w:rtl/>
        </w:rPr>
        <w:t xml:space="preserve">גם </w:t>
      </w:r>
      <w:r w:rsidRPr="00F82136">
        <w:rPr>
          <w:rFonts w:ascii="Narkisim" w:hAnsi="Narkisim" w:cs="Narkisim"/>
          <w:rtl/>
        </w:rPr>
        <w:t xml:space="preserve">יחזקאל מרגלית "הורות משפטית מן הדין ומן הצדק – גבולותיו הנורמטיביים הראויים של צו ההורות הפסיקתי" </w:t>
      </w:r>
      <w:r w:rsidRPr="00F82136">
        <w:rPr>
          <w:rFonts w:ascii="Narkisim" w:hAnsi="Narkisim" w:cs="Narkisim"/>
          <w:b/>
          <w:bCs/>
          <w:rtl/>
        </w:rPr>
        <w:t>משפטים</w:t>
      </w:r>
      <w:r w:rsidRPr="00F82136">
        <w:rPr>
          <w:rFonts w:ascii="Narkisim" w:hAnsi="Narkisim" w:cs="Narkisim"/>
          <w:rtl/>
        </w:rPr>
        <w:t xml:space="preserve"> מז 113, 117 (2017). ואולם, הישענות על הסכם מחייבת ברירת מחדל, נקודת מוצא, ממנה הצדדים מבקשים לסטות בהסכם. נראה כי מרגלית מניח כנקודת מוצא שמי שיש לו או לה זיקה ביולוגית לילד הם בעלי זכאות ראשונית והם יכולים להסכים לוותר על זיקה זו או לחלוק בה. אנו סבורים, כפי שציינו לעיל, כי אין ברירת מחדל טבעית או מובנת מאליה, וכי יש לדון בברירת המחדל עצמה. שאלה נפרדת היא האם יש לאפשר לצדדים לסטות בהסכם מברירת המחדל שקובע הדין. בעניין זה גישתו של המשפט הישראלי היא כי הורות אינה עניין פרטי המסור להחלטת הצדדים, אולם מאמר זה לא דן בשאלה זו.  </w:t>
      </w:r>
    </w:p>
  </w:footnote>
  <w:footnote w:id="24">
    <w:p w14:paraId="11816491" w14:textId="77777777" w:rsidR="00E0078C" w:rsidRPr="00F82136" w:rsidRDefault="00E0078C" w:rsidP="00E0078C">
      <w:pPr>
        <w:pStyle w:val="FootnoteText"/>
        <w:spacing w:before="120" w:after="120"/>
        <w:ind w:left="454" w:hanging="454"/>
        <w:jc w:val="both"/>
        <w:rPr>
          <w:rFonts w:ascii="Narkisim" w:hAnsi="Narkisim" w:cs="Narkisim"/>
          <w:rtl/>
        </w:rPr>
      </w:pPr>
      <w:r w:rsidRPr="0033345F">
        <w:rPr>
          <w:rStyle w:val="FootnoteReference"/>
          <w:rFonts w:ascii="Narkisim" w:hAnsi="Narkisim" w:cs="Narkisim"/>
        </w:rPr>
        <w:footnoteRef/>
      </w:r>
      <w:r w:rsidRPr="0033345F">
        <w:rPr>
          <w:rStyle w:val="FootnoteReference"/>
          <w:rtl/>
        </w:rPr>
        <w:t xml:space="preserve"> </w:t>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יש </w:t>
      </w:r>
      <w:r w:rsidRPr="00F82136">
        <w:rPr>
          <w:rFonts w:ascii="Narkisim" w:hAnsi="Narkisim" w:cs="Narkisim"/>
          <w:rtl/>
        </w:rPr>
        <w:t xml:space="preserve">הסבורים כי יש ליתן תשומת לב לפערי הכוחות בין הצדדים במסגרת הפעלת מבחן הכוונה, ראו, לדוגמא </w:t>
      </w:r>
      <w:r w:rsidRPr="00F82136">
        <w:rPr>
          <w:rFonts w:ascii="Narkisim" w:hAnsi="Narkisim" w:cs="Narkisim"/>
        </w:rPr>
        <w:t xml:space="preserve">Libby Adler, </w:t>
      </w:r>
      <w:r w:rsidRPr="00F82136">
        <w:rPr>
          <w:rFonts w:ascii="Narkisim" w:hAnsi="Narkisim" w:cs="Narkisim"/>
          <w:i/>
          <w:iCs/>
        </w:rPr>
        <w:t>Inconceivable: Status, Contract, And the Search For A Legal Basis For Gay &amp; Lesbian Parenthood</w:t>
      </w:r>
      <w:r w:rsidRPr="00F82136">
        <w:rPr>
          <w:rFonts w:ascii="Narkisim" w:hAnsi="Narkisim" w:cs="Narkisim"/>
        </w:rPr>
        <w:t>, 123 PENN STATE LAW REVIEW 1, 27-33</w:t>
      </w:r>
      <w:r>
        <w:rPr>
          <w:rFonts w:ascii="Narkisim" w:hAnsi="Narkisim" w:cs="Narkisim"/>
        </w:rPr>
        <w:t>d (2018)</w:t>
      </w:r>
      <w:r w:rsidRPr="00F82136">
        <w:rPr>
          <w:rFonts w:ascii="Narkisim" w:hAnsi="Narkisim" w:cs="Narkisim"/>
        </w:rPr>
        <w:t xml:space="preserve"> (To the extent that gay and lesbian parenting rights increasingly rely on contract, critiques of contract should be on our radar. Issues of bargaining power ……  are all worth careful attention</w:t>
      </w:r>
      <w:r w:rsidRPr="00F82136">
        <w:rPr>
          <w:rFonts w:ascii="Narkisim" w:hAnsi="Narkisim" w:cs="Narkisim"/>
          <w:rtl/>
        </w:rPr>
        <w:t>".</w:t>
      </w:r>
    </w:p>
  </w:footnote>
  <w:footnote w:id="25">
    <w:p w14:paraId="2BFBD077" w14:textId="77777777" w:rsidR="00E0078C" w:rsidRPr="00F82136" w:rsidRDefault="00E0078C" w:rsidP="00E0078C">
      <w:pPr>
        <w:pStyle w:val="FootnoteText"/>
        <w:spacing w:before="120" w:after="120"/>
        <w:ind w:left="454" w:hanging="454"/>
        <w:rPr>
          <w:rFonts w:ascii="Narkisim" w:hAnsi="Narkisim" w:cs="Narkisim"/>
          <w:rtl/>
        </w:rPr>
      </w:pPr>
      <w:r w:rsidRPr="0033345F">
        <w:rPr>
          <w:rStyle w:val="FootnoteReference"/>
          <w:rFonts w:ascii="Narkisim" w:hAnsi="Narkisim" w:cs="Narkisim"/>
        </w:rPr>
        <w:footnoteRef/>
      </w:r>
      <w:r w:rsidRPr="00F82136">
        <w:rPr>
          <w:rFonts w:ascii="Narkisim" w:hAnsi="Narkisim" w:cs="Narkisim"/>
          <w:rtl/>
        </w:rPr>
        <w:t xml:space="preserve"> </w:t>
      </w:r>
      <w:r w:rsidRPr="00F82136">
        <w:rPr>
          <w:rFonts w:ascii="Narkisim" w:hAnsi="Narkisim" w:cs="Narkisim"/>
        </w:rPr>
        <w:t>Blecher-Prigat</w:t>
      </w:r>
      <w:r>
        <w:rPr>
          <w:rFonts w:ascii="Narkisim" w:hAnsi="Narkisim" w:cs="Narkisim"/>
        </w:rPr>
        <w:t xml:space="preserve"> </w:t>
      </w:r>
      <w:proofErr w:type="gramStart"/>
      <w:r>
        <w:rPr>
          <w:rFonts w:ascii="Narkisim" w:hAnsi="Narkisim" w:cs="Narkisim"/>
        </w:rPr>
        <w:t xml:space="preserve">  </w:t>
      </w:r>
      <w:r w:rsidRPr="00F82136">
        <w:rPr>
          <w:rFonts w:ascii="Narkisim" w:hAnsi="Narkisim" w:cs="Narkisim"/>
          <w:rtl/>
        </w:rPr>
        <w:t>,</w:t>
      </w:r>
      <w:proofErr w:type="gramEnd"/>
      <w:r w:rsidRPr="00F82136">
        <w:rPr>
          <w:rFonts w:ascii="Narkisim" w:hAnsi="Narkisim" w:cs="Narkisim"/>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Ref64710202 \h</w:instrText>
      </w:r>
      <w:r>
        <w:rPr>
          <w:rFonts w:ascii="Narkisim" w:hAnsi="Narkisim" w:cs="Narkisim"/>
          <w:rtl/>
        </w:rPr>
        <w:instrText xml:space="preserve">  \* </w:instrText>
      </w:r>
      <w:r>
        <w:rPr>
          <w:rFonts w:ascii="Narkisim" w:hAnsi="Narkisim" w:cs="Narkisim"/>
        </w:rPr>
        <w:instrText>MERGEFORMAT</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Pr>
          <w:rFonts w:ascii="Narkisim" w:hAnsi="Narkisim" w:cs="Narkisim" w:hint="cs"/>
          <w:rtl/>
        </w:rPr>
        <w:t>.</w:t>
      </w:r>
    </w:p>
  </w:footnote>
  <w:footnote w:id="26">
    <w:p w14:paraId="76792B23"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 xml:space="preserve">לגישתנו, עמדת בית המשפט בבע"ם 1118/14 </w:t>
      </w:r>
      <w:r w:rsidRPr="00F82136">
        <w:rPr>
          <w:rFonts w:ascii="Narkisim" w:hAnsi="Narkisim" w:cs="Narkisim"/>
          <w:b/>
          <w:bCs/>
          <w:rtl/>
        </w:rPr>
        <w:t>פלונית נגד משרד הרווחה והשירותים החברתיים</w:t>
      </w:r>
      <w:r w:rsidRPr="00F82136">
        <w:rPr>
          <w:rFonts w:ascii="Narkisim" w:hAnsi="Narkisim" w:cs="Narkisim"/>
          <w:rtl/>
        </w:rPr>
        <w:t xml:space="preserve"> (פורסם באר"ש, 1.4.2015) (להלן:</w:t>
      </w:r>
      <w:r>
        <w:rPr>
          <w:rFonts w:ascii="Narkisim" w:hAnsi="Narkisim" w:cs="Narkisim" w:hint="cs"/>
          <w:rtl/>
        </w:rPr>
        <w:t xml:space="preserve"> עניין</w:t>
      </w:r>
      <w:r w:rsidRPr="00F82136">
        <w:rPr>
          <w:rFonts w:ascii="Narkisim" w:hAnsi="Narkisim" w:cs="Narkisim"/>
          <w:rtl/>
        </w:rPr>
        <w:t xml:space="preserve"> </w:t>
      </w:r>
      <w:r w:rsidRPr="00422702">
        <w:rPr>
          <w:rFonts w:ascii="Narkisim" w:hAnsi="Narkisim" w:cs="Narkisim"/>
          <w:b/>
          <w:bCs/>
          <w:rtl/>
        </w:rPr>
        <w:t>פלונית</w:t>
      </w:r>
      <w:r w:rsidRPr="00422702">
        <w:rPr>
          <w:rFonts w:ascii="Narkisim" w:hAnsi="Narkisim" w:cs="Narkisim"/>
          <w:rtl/>
        </w:rPr>
        <w:t xml:space="preserve"> 2015</w:t>
      </w:r>
      <w:r>
        <w:rPr>
          <w:rFonts w:ascii="Narkisim" w:hAnsi="Narkisim" w:cs="Narkisim" w:hint="cs"/>
          <w:rtl/>
        </w:rPr>
        <w:t>ב))</w:t>
      </w:r>
      <w:r>
        <w:rPr>
          <w:rFonts w:ascii="Narkisim" w:hAnsi="Narkisim" w:cs="Narkisim" w:hint="cs"/>
        </w:rPr>
        <w:t xml:space="preserve"> </w:t>
      </w:r>
      <w:r w:rsidRPr="00F82136">
        <w:rPr>
          <w:rFonts w:ascii="Narkisim" w:hAnsi="Narkisim" w:cs="Narkisim"/>
          <w:rtl/>
        </w:rPr>
        <w:t>אשר שללה באופן מוחלט את האפשרות להכיר במי שיזמה הולדה בסיוע שלושה גורמים חיצוניים ליחידה המשפחתית – תורמת ביצית, תורם זרע ואם נושאת – כאם, טעונה עיון נוסף.</w:t>
      </w:r>
    </w:p>
  </w:footnote>
  <w:footnote w:id="27">
    <w:p w14:paraId="2178C99D"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תקנות </w:t>
      </w:r>
      <w:r w:rsidRPr="00F82136">
        <w:rPr>
          <w:rFonts w:ascii="Narkisim" w:hAnsi="Narkisim" w:cs="Narkisim"/>
          <w:rtl/>
        </w:rPr>
        <w:t>הסכמים לנשיאת עוברים (אישור הסכם ומעמד היילוד) (הודעות, בקשות וצווים), התשנ"ח-1998; תקנות הסכמים לנשיאת עוברים (אישור הסכם ומעמד היילוד) (רישום בפנקס), התשנ"ח-1998.</w:t>
      </w:r>
    </w:p>
  </w:footnote>
  <w:footnote w:id="28">
    <w:p w14:paraId="31DB5517"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ראו </w:t>
      </w:r>
      <w:r w:rsidRPr="00F82136">
        <w:rPr>
          <w:rFonts w:ascii="Narkisim" w:hAnsi="Narkisim" w:cs="Narkisim"/>
          <w:rtl/>
        </w:rPr>
        <w:t xml:space="preserve">את רשימת ההנחיות המפורסמת באתר </w:t>
      </w:r>
      <w:r w:rsidRPr="00F82136">
        <w:rPr>
          <w:rFonts w:ascii="Narkisim" w:hAnsi="Narkisim" w:cs="Narkisim"/>
          <w:b/>
          <w:bCs/>
          <w:rtl/>
        </w:rPr>
        <w:t>משרד הבריאות</w:t>
      </w:r>
      <w:r w:rsidRPr="00F82136">
        <w:rPr>
          <w:rFonts w:ascii="Narkisim" w:hAnsi="Narkisim" w:cs="Narkisim"/>
          <w:rtl/>
        </w:rPr>
        <w:t xml:space="preserve"> </w:t>
      </w:r>
      <w:hyperlink r:id="rId1" w:history="1">
        <w:r w:rsidRPr="00F82136">
          <w:rPr>
            <w:rStyle w:val="Hyperlink"/>
            <w:rFonts w:ascii="Narkisim" w:hAnsi="Narkisim" w:cs="Narkisim"/>
          </w:rPr>
          <w:t>www.health.gov.il/Services/Committee/Embryo_Carrying_Agreements/Pages/Surrogacy.aspx</w:t>
        </w:r>
      </w:hyperlink>
      <w:r w:rsidRPr="00F82136">
        <w:rPr>
          <w:rFonts w:ascii="Narkisim" w:hAnsi="Narkisim" w:cs="Narkisim"/>
          <w:rtl/>
        </w:rPr>
        <w:t xml:space="preserve"> – "פנייה לוועדה לצורך קבלת הכרה לזכאות לחוק ההסכמים" (יולי 2020), "תנאים להתאמה לתהליך עבור בני הזוג והאם הנושאת" (פברואר 2018), "הכנת המסמכים הנדרשים לצורך הגשת הבקשה לאישור הסכם נשיאת עוברים" (נובמבר 2018) ועוד.</w:t>
      </w:r>
    </w:p>
  </w:footnote>
  <w:footnote w:id="29">
    <w:p w14:paraId="465C3104"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הליך </w:t>
      </w:r>
      <w:r w:rsidRPr="00F82136">
        <w:rPr>
          <w:rFonts w:ascii="Narkisim" w:hAnsi="Narkisim" w:cs="Narkisim"/>
          <w:rtl/>
        </w:rPr>
        <w:t xml:space="preserve">נשיאת עוברים טומן בחובו מורכבויות חברתיות, רגשיות ואתיות, לנוכח שילוב גורם שלישי שנושא את העובר. </w:t>
      </w:r>
      <w:r w:rsidRPr="00F82136">
        <w:rPr>
          <w:rFonts w:ascii="Narkisim" w:hAnsi="Narkisim" w:cs="Narkisim"/>
          <w:rtl/>
          <w:lang w:eastAsia="he-IL"/>
        </w:rPr>
        <w:t xml:space="preserve">ראו לעניין זה נופר ליפקין ואתי סממה "ממעשה הרואי למוצר־מדף: נורמטיביזציה זוחלת של פונדקאות בישראל" </w:t>
      </w:r>
      <w:r w:rsidRPr="00F82136">
        <w:rPr>
          <w:rFonts w:ascii="Narkisim" w:hAnsi="Narkisim" w:cs="Narkisim"/>
          <w:b/>
          <w:bCs/>
          <w:rtl/>
          <w:lang w:eastAsia="he-IL"/>
        </w:rPr>
        <w:t>משפט וממשל</w:t>
      </w:r>
      <w:r w:rsidRPr="00F82136">
        <w:rPr>
          <w:rFonts w:ascii="Narkisim" w:hAnsi="Narkisim" w:cs="Narkisim"/>
          <w:rtl/>
          <w:lang w:eastAsia="he-IL"/>
        </w:rPr>
        <w:t xml:space="preserve"> טו 435 (2013). למורכבויות הייחודיות הנוגעות להליך נשיאת עוברים בחו"ל, ראו </w:t>
      </w:r>
      <w:r w:rsidRPr="00F82136">
        <w:rPr>
          <w:rFonts w:ascii="Narkisim" w:hAnsi="Narkisim" w:cs="Narkisim"/>
          <w:lang w:eastAsia="he-IL"/>
        </w:rPr>
        <w:t>Ruth Zafran &amp; Dafna Hacker,</w:t>
      </w:r>
      <w:r>
        <w:rPr>
          <w:rFonts w:ascii="Narkisim" w:hAnsi="Narkisim" w:cs="Narkisim" w:hint="cs"/>
          <w:rtl/>
          <w:lang w:eastAsia="he-IL"/>
        </w:rPr>
        <w:t xml:space="preserve"> לעיל ה"ש </w:t>
      </w:r>
      <w:r>
        <w:rPr>
          <w:rFonts w:ascii="Narkisim" w:hAnsi="Narkisim" w:cs="Narkisim"/>
          <w:rtl/>
          <w:lang w:eastAsia="he-IL"/>
        </w:rPr>
        <w:fldChar w:fldCharType="begin"/>
      </w:r>
      <w:r>
        <w:rPr>
          <w:rFonts w:ascii="Narkisim" w:hAnsi="Narkisim" w:cs="Narkisim"/>
          <w:rtl/>
          <w:lang w:eastAsia="he-IL"/>
        </w:rPr>
        <w:instrText xml:space="preserve"> </w:instrText>
      </w:r>
      <w:r>
        <w:rPr>
          <w:rFonts w:ascii="Narkisim" w:hAnsi="Narkisim" w:cs="Narkisim" w:hint="cs"/>
          <w:lang w:eastAsia="he-IL"/>
        </w:rPr>
        <w:instrText>NOTEREF</w:instrText>
      </w:r>
      <w:r>
        <w:rPr>
          <w:rFonts w:ascii="Narkisim" w:hAnsi="Narkisim" w:cs="Narkisim" w:hint="cs"/>
          <w:rtl/>
          <w:lang w:eastAsia="he-IL"/>
        </w:rPr>
        <w:instrText xml:space="preserve"> _</w:instrText>
      </w:r>
      <w:r>
        <w:rPr>
          <w:rFonts w:ascii="Narkisim" w:hAnsi="Narkisim" w:cs="Narkisim" w:hint="cs"/>
          <w:lang w:eastAsia="he-IL"/>
        </w:rPr>
        <w:instrText>Ref80948282 \h</w:instrText>
      </w:r>
      <w:r>
        <w:rPr>
          <w:rFonts w:ascii="Narkisim" w:hAnsi="Narkisim" w:cs="Narkisim"/>
          <w:rtl/>
          <w:lang w:eastAsia="he-IL"/>
        </w:rPr>
        <w:instrText xml:space="preserve"> </w:instrText>
      </w:r>
      <w:r>
        <w:rPr>
          <w:rFonts w:ascii="Narkisim" w:hAnsi="Narkisim" w:cs="Narkisim"/>
          <w:rtl/>
          <w:lang w:eastAsia="he-IL"/>
        </w:rPr>
      </w:r>
      <w:r>
        <w:rPr>
          <w:rFonts w:ascii="Narkisim" w:hAnsi="Narkisim" w:cs="Narkisim"/>
          <w:rtl/>
          <w:lang w:eastAsia="he-IL"/>
        </w:rPr>
        <w:fldChar w:fldCharType="separate"/>
      </w:r>
      <w:r>
        <w:rPr>
          <w:rFonts w:ascii="Narkisim" w:hAnsi="Narkisim" w:cs="Narkisim"/>
          <w:rtl/>
          <w:lang w:eastAsia="he-IL"/>
        </w:rPr>
        <w:t>6</w:t>
      </w:r>
      <w:r>
        <w:rPr>
          <w:rFonts w:ascii="Narkisim" w:hAnsi="Narkisim" w:cs="Narkisim"/>
          <w:rtl/>
          <w:lang w:eastAsia="he-IL"/>
        </w:rPr>
        <w:fldChar w:fldCharType="end"/>
      </w:r>
      <w:r>
        <w:rPr>
          <w:rFonts w:ascii="Narkisim" w:hAnsi="Narkisim" w:cs="Narkisim" w:hint="cs"/>
          <w:rtl/>
          <w:lang w:eastAsia="he-IL"/>
        </w:rPr>
        <w:t>.</w:t>
      </w:r>
      <w:r w:rsidRPr="00F82136">
        <w:rPr>
          <w:rFonts w:ascii="Narkisim" w:hAnsi="Narkisim" w:cs="Narkisim"/>
          <w:rtl/>
          <w:lang w:eastAsia="he-IL"/>
        </w:rPr>
        <w:t xml:space="preserve"> למורכבויות ייחודיות הנוגעות להורים המיועדים בחו"ל, ראו צבי טריגר "מסע אחר: חוויות של הורי פונדקאות ישראלים בהודו" </w:t>
      </w:r>
      <w:r w:rsidRPr="00F82136">
        <w:rPr>
          <w:rFonts w:ascii="Narkisim" w:hAnsi="Narkisim" w:cs="Narkisim"/>
          <w:b/>
          <w:bCs/>
          <w:rtl/>
          <w:lang w:eastAsia="he-IL"/>
        </w:rPr>
        <w:t>תיאוריה וביקורת</w:t>
      </w:r>
      <w:r w:rsidRPr="00F82136">
        <w:rPr>
          <w:rFonts w:ascii="Narkisim" w:hAnsi="Narkisim" w:cs="Narkisim"/>
          <w:rtl/>
          <w:lang w:eastAsia="he-IL"/>
        </w:rPr>
        <w:t xml:space="preserve"> 44 ,177 (2015).</w:t>
      </w:r>
    </w:p>
  </w:footnote>
  <w:footnote w:id="30">
    <w:p w14:paraId="59D1423D"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ס' </w:t>
      </w:r>
      <w:r w:rsidRPr="00F82136">
        <w:rPr>
          <w:rFonts w:ascii="Narkisim" w:hAnsi="Narkisim" w:cs="Narkisim"/>
          <w:rtl/>
        </w:rPr>
        <w:t xml:space="preserve">11 לחוק הסכמים לנשיאת עוברים. מחלוקת קיימת בין מלומדים ביחס לזהות ההורים של ילד שנולד מהתקשרות לנשיאת עוברים ברגע הלידה. לפי אחת הגישות – הנתמכת על זפרן "המשפחה בעידן הגנטי",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Ref64651209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4</w:t>
      </w:r>
      <w:r>
        <w:rPr>
          <w:rFonts w:ascii="Narkisim" w:hAnsi="Narkisim" w:cs="Narkisim"/>
          <w:rtl/>
        </w:rPr>
        <w:fldChar w:fldCharType="end"/>
      </w:r>
      <w:r w:rsidRPr="00F82136">
        <w:rPr>
          <w:rFonts w:ascii="Narkisim" w:hAnsi="Narkisim" w:cs="Narkisim"/>
          <w:rtl/>
        </w:rPr>
        <w:t xml:space="preserve"> – נראה כי לילד זה עשויים להיות יותר משני הורים במועד הלידה: האם היולדת (הנושאת את ההיריון) מכוח הלידה; האב המיועד מכוח הזיקה הגנטית לצאצא השלובה באלמנט הכוונה; בת זוגו, היא האם המיועדת, מכוח זיקתה אליו השלובה בכוונתה להיות אם. גישה אחרת עשויה לסבור כי לילד אין ולו הורה אחד במועד הלידה. ניתן לסבור כי לפחות ברמה האידיאולוגית גישה זאת אינה ראויה ואין להסכים עם מצב שבו לילד לא יהיו הורים במועד הלידה.</w:t>
      </w:r>
    </w:p>
  </w:footnote>
  <w:footnote w:id="31">
    <w:p w14:paraId="4BE70B8E"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ס' </w:t>
      </w:r>
      <w:r w:rsidRPr="00F82136">
        <w:rPr>
          <w:rFonts w:ascii="Narkisim" w:hAnsi="Narkisim" w:cs="Narkisim"/>
          <w:rtl/>
        </w:rPr>
        <w:t>13(א) לחוק הסכמים לנשיאת עוברים.</w:t>
      </w:r>
    </w:p>
  </w:footnote>
  <w:footnote w:id="32">
    <w:p w14:paraId="79B327EA"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ס' </w:t>
      </w:r>
      <w:r w:rsidRPr="00F82136">
        <w:rPr>
          <w:rFonts w:ascii="Narkisim" w:hAnsi="Narkisim" w:cs="Narkisim"/>
          <w:rtl/>
        </w:rPr>
        <w:t>2(1) לחוק הסכמים לנשיאת עוברים.</w:t>
      </w:r>
    </w:p>
  </w:footnote>
  <w:footnote w:id="33">
    <w:p w14:paraId="690F3A56" w14:textId="03EEBBDC"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ס' </w:t>
      </w:r>
      <w:r w:rsidRPr="00F82136">
        <w:rPr>
          <w:rFonts w:ascii="Narkisim" w:hAnsi="Narkisim" w:cs="Narkisim"/>
          <w:rtl/>
        </w:rPr>
        <w:t xml:space="preserve">2(2) לחוק הסכמים לנשיאת עוברים. על פי לשון החוק זרעו של האב המיועד תמיד צריך לשמש להפריה. ואולם, כיום לאחר הכרעת בית המשפט העליון בעניין ארד-פנקס לפיה יש להחיל את החוק גם על זוגות מאותו המין, מובן כי רק אחד מהאבות המיועדים יכול להיות קשור גנטית לילד, ולפיכך יש לפרש את החוק כך שנדרש קשר גנטי לאחד ההורים. ראו: בג"ץ 781/15 </w:t>
      </w:r>
      <w:r w:rsidRPr="00F82136">
        <w:rPr>
          <w:rFonts w:ascii="Narkisim" w:hAnsi="Narkisim" w:cs="Narkisim"/>
          <w:b/>
          <w:bCs/>
          <w:rtl/>
        </w:rPr>
        <w:t>ארד-פנקס נ' הוועדה לאישור הסכמים לנשיאת עוברים,</w:t>
      </w:r>
      <w:r w:rsidRPr="00F82136">
        <w:rPr>
          <w:rFonts w:ascii="Narkisim" w:hAnsi="Narkisim" w:cs="Narkisim"/>
          <w:rtl/>
        </w:rPr>
        <w:t xml:space="preserve"> פס' 6 (פורסם בנבו, 11.07.2021). </w:t>
      </w:r>
    </w:p>
  </w:footnote>
  <w:footnote w:id="34">
    <w:p w14:paraId="083DD8AD"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שם.</w:t>
      </w:r>
    </w:p>
  </w:footnote>
  <w:footnote w:id="35">
    <w:p w14:paraId="47AE19BF" w14:textId="78A992AD"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עמדה של המחוקק</w:t>
      </w:r>
      <w:r>
        <w:rPr>
          <w:rFonts w:ascii="Narkisim" w:hAnsi="Narkisim" w:cs="Narkisim" w:hint="cs"/>
          <w:rtl/>
        </w:rPr>
        <w:t xml:space="preserve"> </w:t>
      </w:r>
      <w:r>
        <w:rPr>
          <w:rFonts w:ascii="Narkisim" w:hAnsi="Narkisim" w:cs="Narkisim"/>
          <w:rtl/>
        </w:rPr>
        <w:t>–</w:t>
      </w:r>
      <w:r w:rsidRPr="00F82136">
        <w:rPr>
          <w:rFonts w:ascii="Narkisim" w:hAnsi="Narkisim" w:cs="Narkisim"/>
          <w:rtl/>
        </w:rPr>
        <w:t xml:space="preserve"> המתנגדת לשימוש בתרומת תאי רבייה גם בביצית וגם בזרע</w:t>
      </w:r>
      <w:r>
        <w:rPr>
          <w:rFonts w:ascii="Narkisim" w:hAnsi="Narkisim" w:cs="Narkisim" w:hint="cs"/>
          <w:rtl/>
        </w:rPr>
        <w:t xml:space="preserve"> </w:t>
      </w:r>
      <w:r>
        <w:rPr>
          <w:rFonts w:ascii="Narkisim" w:hAnsi="Narkisim" w:cs="Narkisim"/>
          <w:rtl/>
        </w:rPr>
        <w:t>–</w:t>
      </w:r>
      <w:r w:rsidRPr="00F82136">
        <w:rPr>
          <w:rFonts w:ascii="Narkisim" w:hAnsi="Narkisim" w:cs="Narkisim"/>
          <w:rtl/>
        </w:rPr>
        <w:t xml:space="preserve"> קיבלה חיזוק לאחרונה בבג"ץ 781/15 </w:t>
      </w:r>
      <w:r w:rsidRPr="00F82136">
        <w:rPr>
          <w:rFonts w:ascii="Narkisim" w:hAnsi="Narkisim" w:cs="Narkisim"/>
          <w:b/>
          <w:bCs/>
          <w:rtl/>
        </w:rPr>
        <w:t>ארד-פנקס נ' הוועדה לאישור הסכמים לנשיאת עוברים</w:t>
      </w:r>
      <w:r w:rsidRPr="00F82136">
        <w:rPr>
          <w:rFonts w:ascii="Narkisim" w:hAnsi="Narkisim" w:cs="Narkisim"/>
          <w:rtl/>
        </w:rPr>
        <w:t xml:space="preserve"> (פורסם בנבו, 03.08.2017) (פסק הדין דחה את עתירת נשים יחידניות אשר בשל בעיה רפואית אינן מסוגלות לשאת היריון ואף לא לתרום ביצית משלהן, שטענו כנגד הדרישה לזיקה גנטית בהליך הפונדקאות לפי חוק הסכמים לנשיאת עוברים). </w:t>
      </w:r>
    </w:p>
  </w:footnote>
  <w:footnote w:id="36">
    <w:p w14:paraId="7D1E975D"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ס' 11 לחוק הסכמים לנשיאת עוברים.</w:t>
      </w:r>
      <w:r w:rsidRPr="00F82136">
        <w:rPr>
          <w:rFonts w:ascii="Narkisim" w:eastAsia="Times New Roman" w:hAnsi="Narkisim" w:cs="Narkisim"/>
          <w:rtl/>
        </w:rPr>
        <w:t xml:space="preserve"> </w:t>
      </w:r>
    </w:p>
  </w:footnote>
  <w:footnote w:id="37">
    <w:p w14:paraId="19A1C8F8"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Zafran &amp; Hacker</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Ref80948282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6</w:t>
      </w:r>
      <w:r>
        <w:rPr>
          <w:rFonts w:ascii="Narkisim" w:hAnsi="Narkisim" w:cs="Narkisim"/>
          <w:rtl/>
        </w:rPr>
        <w:fldChar w:fldCharType="end"/>
      </w:r>
      <w:r w:rsidRPr="00F82136">
        <w:rPr>
          <w:rFonts w:ascii="Narkisim" w:hAnsi="Narkisim" w:cs="Narkisim"/>
          <w:rtl/>
        </w:rPr>
        <w:t>.</w:t>
      </w:r>
    </w:p>
  </w:footnote>
  <w:footnote w:id="38">
    <w:p w14:paraId="6EA78112" w14:textId="421B83AB"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לדיון בחסרונות של הליך שיפוטי למיסוד ההורות לאחר הלידה ולכך שראוי להגן על האינטרסים של האישה הנושאת,</w:t>
      </w:r>
      <w:r>
        <w:rPr>
          <w:rFonts w:ascii="Narkisim" w:hAnsi="Narkisim" w:cs="Narkisim" w:hint="cs"/>
          <w:rtl/>
        </w:rPr>
        <w:t xml:space="preserve"> ראו</w:t>
      </w:r>
      <w:r w:rsidRPr="00F82136">
        <w:rPr>
          <w:rFonts w:ascii="Narkisim" w:hAnsi="Narkisim" w:cs="Narkisim"/>
          <w:rtl/>
        </w:rPr>
        <w:t xml:space="preserve"> </w:t>
      </w:r>
      <w:r>
        <w:rPr>
          <w:rFonts w:ascii="Narkisim" w:hAnsi="Narkisim" w:cs="Narkisim" w:hint="cs"/>
        </w:rPr>
        <w:t>N</w:t>
      </w:r>
      <w:r>
        <w:rPr>
          <w:rFonts w:ascii="Narkisim" w:hAnsi="Narkisim" w:cs="Narkisim"/>
        </w:rPr>
        <w:t xml:space="preserve">oy Naaman, </w:t>
      </w:r>
      <w:r w:rsidRPr="0050417D">
        <w:rPr>
          <w:rFonts w:ascii="Narkisim" w:hAnsi="Narkisim" w:cs="Narkisim"/>
          <w:i/>
          <w:iCs/>
        </w:rPr>
        <w:t>Timing Legal Parenthood</w:t>
      </w:r>
      <w:r>
        <w:rPr>
          <w:rFonts w:ascii="Narkisim" w:hAnsi="Narkisim" w:cs="Narkisim"/>
        </w:rPr>
        <w:t xml:space="preserve"> (forthcoming)</w:t>
      </w:r>
      <w:r>
        <w:rPr>
          <w:rFonts w:ascii="Narkisim" w:hAnsi="Narkisim" w:cs="Narkisim" w:hint="cs"/>
          <w:rtl/>
        </w:rPr>
        <w:t xml:space="preserve"> (</w:t>
      </w:r>
      <w:r w:rsidR="006520F9" w:rsidRPr="006520F9">
        <w:rPr>
          <w:rFonts w:ascii="Narkisim" w:hAnsi="Narkisim" w:cs="Narkisim" w:hint="cs"/>
          <w:highlight w:val="yellow"/>
          <w:rtl/>
        </w:rPr>
        <w:t>לעדכן</w:t>
      </w:r>
      <w:r w:rsidRPr="00F82136">
        <w:rPr>
          <w:rFonts w:ascii="Narkisim" w:hAnsi="Narkisim" w:cs="Narkisim"/>
          <w:rtl/>
        </w:rPr>
        <w:t>)</w:t>
      </w:r>
      <w:r>
        <w:rPr>
          <w:rFonts w:ascii="Narkisim" w:hAnsi="Narkisim" w:cs="Narkisim" w:hint="cs"/>
          <w:rtl/>
        </w:rPr>
        <w:t xml:space="preserve"> (להלן: </w:t>
      </w:r>
      <w:r>
        <w:rPr>
          <w:rFonts w:ascii="Narkisim" w:hAnsi="Narkisim" w:cs="Narkisim" w:hint="cs"/>
        </w:rPr>
        <w:t>N</w:t>
      </w:r>
      <w:r>
        <w:rPr>
          <w:rFonts w:ascii="Narkisim" w:hAnsi="Narkisim" w:cs="Narkisim"/>
        </w:rPr>
        <w:t>aaman</w:t>
      </w:r>
      <w:r>
        <w:rPr>
          <w:rFonts w:ascii="Narkisim" w:hAnsi="Narkisim" w:cs="Narkisim" w:hint="cs"/>
          <w:rtl/>
        </w:rPr>
        <w:t>).</w:t>
      </w:r>
    </w:p>
  </w:footnote>
  <w:footnote w:id="39">
    <w:p w14:paraId="2B0F8B79" w14:textId="548BB09B"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עניין </w:t>
      </w:r>
      <w:r w:rsidRPr="00F82136">
        <w:rPr>
          <w:rFonts w:ascii="Narkisim" w:hAnsi="Narkisim" w:cs="Narkisim"/>
          <w:b/>
          <w:bCs/>
          <w:rtl/>
        </w:rPr>
        <w:t xml:space="preserve">ממט-מגד, </w:t>
      </w:r>
      <w:r w:rsidRPr="00F82136">
        <w:rPr>
          <w:rFonts w:ascii="Narkisim" w:hAnsi="Narkisim" w:cs="Narkisim"/>
          <w:rtl/>
        </w:rPr>
        <w:t xml:space="preserve">לעיל ה"ש </w:t>
      </w:r>
      <w:r w:rsidRPr="00F82136">
        <w:rPr>
          <w:rFonts w:ascii="Narkisim" w:hAnsi="Narkisim" w:cs="Narkisim"/>
          <w:rtl/>
        </w:rPr>
        <w:fldChar w:fldCharType="begin"/>
      </w:r>
      <w:r w:rsidRPr="00F82136">
        <w:rPr>
          <w:rFonts w:ascii="Narkisim" w:hAnsi="Narkisim" w:cs="Narkisim"/>
          <w:rtl/>
        </w:rPr>
        <w:instrText xml:space="preserve"> </w:instrText>
      </w:r>
      <w:r w:rsidRPr="00F82136">
        <w:rPr>
          <w:rFonts w:ascii="Narkisim" w:hAnsi="Narkisim" w:cs="Narkisim"/>
        </w:rPr>
        <w:instrText>NOTEREF</w:instrText>
      </w:r>
      <w:r w:rsidRPr="00F82136">
        <w:rPr>
          <w:rFonts w:ascii="Narkisim" w:hAnsi="Narkisim" w:cs="Narkisim"/>
          <w:rtl/>
        </w:rPr>
        <w:instrText xml:space="preserve"> _</w:instrText>
      </w:r>
      <w:r w:rsidRPr="00F82136">
        <w:rPr>
          <w:rFonts w:ascii="Narkisim" w:hAnsi="Narkisim" w:cs="Narkisim"/>
        </w:rPr>
        <w:instrText>Ref80948282 \h</w:instrText>
      </w:r>
      <w:r w:rsidRPr="00F82136">
        <w:rPr>
          <w:rFonts w:ascii="Narkisim" w:hAnsi="Narkisim" w:cs="Narkisim"/>
          <w:rtl/>
        </w:rPr>
        <w:instrText xml:space="preserve">  \* </w:instrText>
      </w:r>
      <w:r w:rsidRPr="00F82136">
        <w:rPr>
          <w:rFonts w:ascii="Narkisim" w:hAnsi="Narkisim" w:cs="Narkisim"/>
        </w:rPr>
        <w:instrText>MERGEFORMAT</w:instrText>
      </w:r>
      <w:r w:rsidRPr="00F82136">
        <w:rPr>
          <w:rFonts w:ascii="Narkisim" w:hAnsi="Narkisim" w:cs="Narkisim"/>
          <w:rtl/>
        </w:rPr>
        <w:instrText xml:space="preserve"> </w:instrText>
      </w:r>
      <w:r w:rsidRPr="00F82136">
        <w:rPr>
          <w:rFonts w:ascii="Narkisim" w:hAnsi="Narkisim" w:cs="Narkisim"/>
          <w:rtl/>
        </w:rPr>
      </w:r>
      <w:r w:rsidRPr="00F82136">
        <w:rPr>
          <w:rFonts w:ascii="Narkisim" w:hAnsi="Narkisim" w:cs="Narkisim"/>
          <w:rtl/>
        </w:rPr>
        <w:fldChar w:fldCharType="separate"/>
      </w:r>
      <w:r>
        <w:rPr>
          <w:rFonts w:ascii="Narkisim" w:hAnsi="Narkisim" w:cs="Narkisim"/>
          <w:rtl/>
        </w:rPr>
        <w:t>6</w:t>
      </w:r>
      <w:r w:rsidRPr="00F82136">
        <w:rPr>
          <w:rFonts w:ascii="Narkisim" w:hAnsi="Narkisim" w:cs="Narkisim"/>
          <w:rtl/>
        </w:rPr>
        <w:fldChar w:fldCharType="end"/>
      </w:r>
      <w:r w:rsidRPr="00F82136">
        <w:rPr>
          <w:rFonts w:ascii="Narkisim" w:hAnsi="Narkisim" w:cs="Narkisim"/>
          <w:rtl/>
        </w:rPr>
        <w:t xml:space="preserve">. צו הורות פסיקתי פוּתח מספר שנים קודם לכן בעניינן של זוג נשים. לעניין זה ראו תמ"ש (משפחה ת"א) 60320-07 </w:t>
      </w:r>
      <w:r w:rsidRPr="00F82136">
        <w:rPr>
          <w:rFonts w:ascii="Narkisim" w:hAnsi="Narkisim" w:cs="Narkisim"/>
          <w:b/>
          <w:bCs/>
          <w:rtl/>
        </w:rPr>
        <w:t>ת.צ נ' היועמ"ש לממשלה – פרקליטות מחוז תל אביב</w:t>
      </w:r>
      <w:r w:rsidRPr="00F82136">
        <w:rPr>
          <w:rFonts w:ascii="Narkisim" w:hAnsi="Narkisim" w:cs="Narkisim"/>
          <w:rtl/>
        </w:rPr>
        <w:t xml:space="preserve"> (פורסם בנבו, 4.3.2012), שבו סללה השופטת מילר את השימוש בצו הורות פסיקתי, אם כי להכרה בהורות על בסיס קשר גנטי (שם היה מדובר בבנות זוג שאחת מהן נשאה את העובר והאחרת תרמה את הביציות). </w:t>
      </w:r>
    </w:p>
  </w:footnote>
  <w:footnote w:id="40">
    <w:p w14:paraId="0945DB08" w14:textId="319125E3" w:rsidR="00E0078C" w:rsidRPr="00F82136" w:rsidRDefault="00E0078C" w:rsidP="00B948BD">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אמ"ץ </w:t>
      </w:r>
      <w:r w:rsidRPr="00F82136">
        <w:rPr>
          <w:rFonts w:ascii="Narkisim" w:hAnsi="Narkisim" w:cs="Narkisim"/>
          <w:rtl/>
        </w:rPr>
        <w:t xml:space="preserve">(משפחה ת"א) 57740-12-13 </w:t>
      </w:r>
      <w:r w:rsidRPr="00F82136">
        <w:rPr>
          <w:rFonts w:ascii="Narkisim" w:hAnsi="Narkisim" w:cs="Narkisim"/>
          <w:b/>
          <w:bCs/>
          <w:rtl/>
        </w:rPr>
        <w:t>פלונית נ' היועץ המשפטי לממשלה</w:t>
      </w:r>
      <w:r w:rsidRPr="00F82136">
        <w:rPr>
          <w:rFonts w:ascii="Narkisim" w:hAnsi="Narkisim" w:cs="Narkisim"/>
          <w:rtl/>
        </w:rPr>
        <w:t xml:space="preserve"> (לא פורסם, 1.3.2015). בהליך זה הוגשה עמדת היוע</w:t>
      </w:r>
      <w:r>
        <w:rPr>
          <w:rFonts w:ascii="Narkisim" w:hAnsi="Narkisim" w:cs="Narkisim" w:hint="cs"/>
          <w:rtl/>
        </w:rPr>
        <w:t xml:space="preserve">מ"ש </w:t>
      </w:r>
      <w:r w:rsidRPr="00F82136">
        <w:rPr>
          <w:rFonts w:ascii="Narkisim" w:hAnsi="Narkisim" w:cs="Narkisim"/>
          <w:rtl/>
        </w:rPr>
        <w:t xml:space="preserve">ולפיה בנסיבות הולדה בסיוע של תרומת זרע אנונימית מסכימה המדינה ליתן צו הורות לבת הזוג של האם הביולוגית. עמדה זו פורסמה במסגרת "הודעה לעיתונות: היועץ המשפטי לממשלה אינו מתנגד למתן צו הורות </w:t>
      </w:r>
      <w:r>
        <w:rPr>
          <w:rFonts w:ascii="Narkisim" w:hAnsi="Narkisim" w:cs="Narkisim" w:hint="cs"/>
          <w:rtl/>
        </w:rPr>
        <w:t>כדי</w:t>
      </w:r>
      <w:r w:rsidRPr="00F82136">
        <w:rPr>
          <w:rFonts w:ascii="Narkisim" w:hAnsi="Narkisim" w:cs="Narkisim"/>
          <w:rtl/>
        </w:rPr>
        <w:t xml:space="preserve"> להכיר בבת זוג של אם ביולוגית כאם נוספת" (דוברות משרד המשפטים, 8.2.2015). להחלטה קדמה אִמרת-אגב של בית המשפט העליון (מפי השופט פוגלמן) </w:t>
      </w:r>
      <w:r>
        <w:rPr>
          <w:rFonts w:ascii="Narkisim" w:hAnsi="Narkisim" w:cs="Narkisim" w:hint="cs"/>
          <w:rtl/>
        </w:rPr>
        <w:t>כי</w:t>
      </w:r>
      <w:r w:rsidRPr="00F82136">
        <w:rPr>
          <w:rFonts w:ascii="Narkisim" w:hAnsi="Narkisim" w:cs="Narkisim"/>
          <w:rtl/>
        </w:rPr>
        <w:t xml:space="preserve"> ניתן מבחינה עקרונית ליתן צו הורות פסיקתי</w:t>
      </w:r>
      <w:r>
        <w:rPr>
          <w:rFonts w:ascii="Narkisim" w:hAnsi="Narkisim" w:cs="Narkisim" w:hint="cs"/>
          <w:rtl/>
        </w:rPr>
        <w:t xml:space="preserve"> גם</w:t>
      </w:r>
      <w:r w:rsidRPr="00F82136">
        <w:rPr>
          <w:rFonts w:ascii="Narkisim" w:hAnsi="Narkisim" w:cs="Narkisim"/>
          <w:rtl/>
        </w:rPr>
        <w:t xml:space="preserve"> ביחס לבת הזוג של האם הביולוגית. ראו בע"ם 4890/14 </w:t>
      </w:r>
      <w:r w:rsidRPr="00F82136">
        <w:rPr>
          <w:rFonts w:ascii="Narkisim" w:hAnsi="Narkisim" w:cs="Narkisim"/>
          <w:b/>
          <w:bCs/>
          <w:rtl/>
        </w:rPr>
        <w:t>פלונית נ' פלונית,</w:t>
      </w:r>
      <w:r w:rsidRPr="00F82136">
        <w:rPr>
          <w:rFonts w:ascii="Narkisim" w:hAnsi="Narkisim" w:cs="Narkisim"/>
          <w:rtl/>
        </w:rPr>
        <w:t xml:space="preserve"> פס' 7 לפסק דינו של השופט פוגלמן (פורסם באר"ש, 2.9.2014). אפשר שאִמר</w:t>
      </w:r>
      <w:r>
        <w:rPr>
          <w:rFonts w:ascii="Narkisim" w:hAnsi="Narkisim" w:cs="Narkisim" w:hint="cs"/>
          <w:rtl/>
        </w:rPr>
        <w:t>ה</w:t>
      </w:r>
      <w:r w:rsidRPr="00F82136">
        <w:rPr>
          <w:rFonts w:ascii="Narkisim" w:hAnsi="Narkisim" w:cs="Narkisim"/>
          <w:rtl/>
        </w:rPr>
        <w:t xml:space="preserve"> זו סללה את ההרחבה של המודל ביחס לזוגות נשים כשנה לאחר מכן</w:t>
      </w:r>
      <w:r>
        <w:rPr>
          <w:rFonts w:ascii="Narkisim" w:hAnsi="Narkisim" w:cs="Narkisim" w:hint="cs"/>
          <w:rtl/>
        </w:rPr>
        <w:t xml:space="preserve">. תמ"ש 57740-12-13 </w:t>
      </w:r>
      <w:r>
        <w:rPr>
          <w:rFonts w:ascii="Narkisim" w:hAnsi="Narkisim" w:cs="Narkisim" w:hint="cs"/>
          <w:b/>
          <w:bCs/>
          <w:rtl/>
        </w:rPr>
        <w:t xml:space="preserve">פלונית נ' היועץ המשפטי לממשלה </w:t>
      </w:r>
      <w:r w:rsidRPr="00877905">
        <w:rPr>
          <w:rFonts w:ascii="Narkisim" w:hAnsi="Narkisim" w:cs="Narkisim" w:hint="cs"/>
          <w:rtl/>
        </w:rPr>
        <w:t>(</w:t>
      </w:r>
      <w:r>
        <w:rPr>
          <w:rFonts w:ascii="Narkisim" w:hAnsi="Narkisim" w:cs="Narkisim" w:hint="cs"/>
          <w:rtl/>
        </w:rPr>
        <w:t xml:space="preserve">לא פורסם, 1.3.2015) (עניין </w:t>
      </w:r>
      <w:r w:rsidRPr="00877905">
        <w:rPr>
          <w:rFonts w:ascii="Narkisim" w:hAnsi="Narkisim" w:cs="Narkisim" w:hint="cs"/>
          <w:b/>
          <w:bCs/>
          <w:rtl/>
        </w:rPr>
        <w:t>פלונית 2015א</w:t>
      </w:r>
      <w:r>
        <w:rPr>
          <w:rFonts w:ascii="Narkisim" w:hAnsi="Narkisim" w:cs="Narkisim" w:hint="cs"/>
          <w:rtl/>
        </w:rPr>
        <w:t>).</w:t>
      </w:r>
    </w:p>
  </w:footnote>
  <w:footnote w:id="41">
    <w:p w14:paraId="57F07289"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זפרן </w:t>
      </w:r>
      <w:r w:rsidRPr="00F82136">
        <w:rPr>
          <w:rFonts w:ascii="Narkisim" w:hAnsi="Narkisim" w:cs="Narkisim"/>
          <w:rtl/>
        </w:rPr>
        <w:t>"המשפחה בעידן הגנטי",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Ref64651209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4</w:t>
      </w:r>
      <w:r>
        <w:rPr>
          <w:rFonts w:ascii="Narkisim" w:hAnsi="Narkisim" w:cs="Narkisim"/>
          <w:rtl/>
        </w:rPr>
        <w:fldChar w:fldCharType="end"/>
      </w:r>
      <w:r w:rsidRPr="00F82136">
        <w:rPr>
          <w:rFonts w:ascii="Narkisim" w:hAnsi="Narkisim" w:cs="Narkisim"/>
          <w:rtl/>
        </w:rPr>
        <w:t>, בעמ' 223, ה"ש 144.</w:t>
      </w:r>
    </w:p>
  </w:footnote>
  <w:footnote w:id="42">
    <w:p w14:paraId="3E66C730" w14:textId="598A9A7E"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Pr>
          <w:rFonts w:ascii="Narkisim" w:hAnsi="Narkisim" w:cs="Narkisim" w:hint="cs"/>
          <w:rtl/>
        </w:rPr>
        <w:t xml:space="preserve">לקריאה </w:t>
      </w:r>
      <w:r>
        <w:rPr>
          <w:rFonts w:ascii="Narkisim" w:hAnsi="Narkisim" w:cs="Narkisim" w:hint="cs"/>
          <w:rtl/>
        </w:rPr>
        <w:t>נוספת בעניין זה,</w:t>
      </w:r>
      <w:r w:rsidRPr="00F82136">
        <w:rPr>
          <w:rFonts w:ascii="Narkisim" w:hAnsi="Narkisim" w:cs="Narkisim"/>
          <w:rtl/>
        </w:rPr>
        <w:t xml:space="preserve"> ראו</w:t>
      </w:r>
      <w:r>
        <w:rPr>
          <w:rFonts w:ascii="Narkisim" w:hAnsi="Narkisim" w:cs="Narkisim" w:hint="cs"/>
          <w:rtl/>
        </w:rPr>
        <w:t xml:space="preserve"> נוי</w:t>
      </w:r>
      <w:r w:rsidRPr="00F82136">
        <w:rPr>
          <w:rFonts w:ascii="Narkisim" w:hAnsi="Narkisim" w:cs="Narkisim"/>
          <w:rtl/>
        </w:rPr>
        <w:t xml:space="preserve"> נעמן "תזמון ההורות במשפט</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צו ההורות הפסיקתי כמקרה בוחן</w:t>
      </w:r>
      <w:r w:rsidRPr="00F82136">
        <w:rPr>
          <w:rFonts w:ascii="Narkisim" w:hAnsi="Narkisim" w:cs="Narkisim"/>
          <w:rtl/>
        </w:rPr>
        <w:t>"</w:t>
      </w:r>
      <w:r>
        <w:rPr>
          <w:rFonts w:ascii="Narkisim" w:hAnsi="Narkisim" w:cs="Narkisim" w:hint="cs"/>
          <w:rtl/>
        </w:rPr>
        <w:t xml:space="preserve"> כה </w:t>
      </w:r>
      <w:r w:rsidRPr="00F82136">
        <w:rPr>
          <w:rFonts w:ascii="Narkisim" w:hAnsi="Narkisim" w:cs="Narkisim"/>
          <w:b/>
          <w:bCs/>
          <w:rtl/>
        </w:rPr>
        <w:t>משפט וממשל</w:t>
      </w:r>
      <w:r w:rsidRPr="00F82136">
        <w:rPr>
          <w:rFonts w:ascii="Narkisim" w:hAnsi="Narkisim" w:cs="Narkisim"/>
          <w:rtl/>
        </w:rPr>
        <w:t xml:space="preserve"> (</w:t>
      </w:r>
      <w:r w:rsidR="00B948BD" w:rsidRPr="00B948BD">
        <w:rPr>
          <w:rFonts w:ascii="Narkisim" w:hAnsi="Narkisim" w:cs="Narkisim" w:hint="cs"/>
          <w:highlight w:val="yellow"/>
          <w:rtl/>
        </w:rPr>
        <w:t>לעדכן</w:t>
      </w:r>
      <w:r w:rsidRPr="00F82136">
        <w:rPr>
          <w:rFonts w:ascii="Narkisim" w:hAnsi="Narkisim" w:cs="Narkisim"/>
          <w:rtl/>
        </w:rPr>
        <w:t>)  (להלן: נעמן, "תזמון ההורות")</w:t>
      </w:r>
      <w:r>
        <w:rPr>
          <w:rFonts w:ascii="Narkisim" w:hAnsi="Narkisim" w:cs="Narkisim" w:hint="cs"/>
          <w:rtl/>
        </w:rPr>
        <w:t>.</w:t>
      </w:r>
    </w:p>
  </w:footnote>
  <w:footnote w:id="43">
    <w:p w14:paraId="07F458FA"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דרישת </w:t>
      </w:r>
      <w:r w:rsidRPr="00F82136">
        <w:rPr>
          <w:rFonts w:ascii="Narkisim" w:hAnsi="Narkisim" w:cs="Narkisim"/>
          <w:rtl/>
        </w:rPr>
        <w:t>התסקיר רוככה עם השנים במהלך דו-שלבי, תחילה על-ידי בית המשפט ולאחר מכן על-ידי היועץ המשפטי לממשלה ומשרד הרווחה והעבודה. ראו שם</w:t>
      </w:r>
      <w:r>
        <w:rPr>
          <w:rFonts w:ascii="Narkisim" w:hAnsi="Narkisim" w:cs="Narkisim" w:hint="cs"/>
          <w:rtl/>
        </w:rPr>
        <w:t>, בה"ש 77 והטקסט הנלווה לה.</w:t>
      </w:r>
    </w:p>
  </w:footnote>
  <w:footnote w:id="44">
    <w:p w14:paraId="44062ECF"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Pr>
          <w:rFonts w:ascii="Narkisim" w:hAnsi="Narkisim" w:cs="Narkisim" w:hint="cs"/>
          <w:rtl/>
        </w:rPr>
        <w:t>עניין</w:t>
      </w:r>
      <w:r w:rsidRPr="00422702">
        <w:rPr>
          <w:rFonts w:ascii="Narkisim" w:hAnsi="Narkisim" w:cs="Narkisim"/>
          <w:rtl/>
        </w:rPr>
        <w:t xml:space="preserve"> </w:t>
      </w:r>
      <w:r w:rsidRPr="00422702">
        <w:rPr>
          <w:rFonts w:ascii="Narkisim" w:hAnsi="Narkisim" w:cs="Narkisim"/>
          <w:b/>
          <w:bCs/>
          <w:rtl/>
        </w:rPr>
        <w:t>פלונית</w:t>
      </w:r>
      <w:r w:rsidRPr="00422702">
        <w:rPr>
          <w:rFonts w:ascii="Narkisim" w:hAnsi="Narkisim" w:cs="Narkisim"/>
          <w:rtl/>
        </w:rPr>
        <w:t xml:space="preserve"> 2015</w:t>
      </w:r>
      <w:r>
        <w:rPr>
          <w:rFonts w:ascii="Narkisim" w:hAnsi="Narkisim" w:cs="Narkisim" w:hint="cs"/>
          <w:rtl/>
        </w:rPr>
        <w:t>ב,</w:t>
      </w:r>
      <w:r w:rsidRPr="00422702">
        <w:rPr>
          <w:rFonts w:ascii="Narkisim" w:hAnsi="Narkisim" w:cs="Narkisim"/>
          <w:rtl/>
        </w:rPr>
        <w:t xml:space="preserve"> </w:t>
      </w:r>
      <w:r>
        <w:rPr>
          <w:rFonts w:ascii="Narkisim" w:hAnsi="Narkisim" w:cs="Narkisim" w:hint="cs"/>
          <w:rtl/>
        </w:rPr>
        <w:t xml:space="preserve">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Ref80963124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38</w:t>
      </w:r>
      <w:r>
        <w:rPr>
          <w:rFonts w:ascii="Narkisim" w:hAnsi="Narkisim" w:cs="Narkisim"/>
          <w:rtl/>
        </w:rPr>
        <w:fldChar w:fldCharType="end"/>
      </w:r>
      <w:r>
        <w:rPr>
          <w:rFonts w:ascii="Narkisim" w:hAnsi="Narkisim" w:cs="Narkisim" w:hint="cs"/>
          <w:rtl/>
        </w:rPr>
        <w:t xml:space="preserve">, </w:t>
      </w:r>
      <w:r w:rsidRPr="00F82136">
        <w:rPr>
          <w:rFonts w:ascii="Narkisim" w:hAnsi="Narkisim" w:cs="Narkisim"/>
          <w:rtl/>
        </w:rPr>
        <w:t>פס' 7 לפסק</w:t>
      </w:r>
      <w:r w:rsidRPr="00F82136">
        <w:rPr>
          <w:rFonts w:ascii="Narkisim" w:hAnsi="Narkisim" w:cs="Narkisim"/>
        </w:rPr>
        <w:t xml:space="preserve"> </w:t>
      </w:r>
      <w:r w:rsidRPr="00F82136">
        <w:rPr>
          <w:rFonts w:ascii="Narkisim" w:hAnsi="Narkisim" w:cs="Narkisim"/>
          <w:rtl/>
        </w:rPr>
        <w:t>דינו</w:t>
      </w:r>
      <w:r w:rsidRPr="00F82136">
        <w:rPr>
          <w:rFonts w:ascii="Narkisim" w:hAnsi="Narkisim" w:cs="Narkisim"/>
        </w:rPr>
        <w:t xml:space="preserve"> </w:t>
      </w:r>
      <w:r w:rsidRPr="00F82136">
        <w:rPr>
          <w:rFonts w:ascii="Narkisim" w:hAnsi="Narkisim" w:cs="Narkisim"/>
          <w:rtl/>
        </w:rPr>
        <w:t>של</w:t>
      </w:r>
      <w:r w:rsidRPr="00F82136">
        <w:rPr>
          <w:rFonts w:ascii="Narkisim" w:hAnsi="Narkisim" w:cs="Narkisim"/>
        </w:rPr>
        <w:t xml:space="preserve"> </w:t>
      </w:r>
      <w:r w:rsidRPr="00F82136">
        <w:rPr>
          <w:rFonts w:ascii="Narkisim" w:hAnsi="Narkisim" w:cs="Narkisim"/>
          <w:rtl/>
        </w:rPr>
        <w:t>השופט</w:t>
      </w:r>
      <w:r w:rsidRPr="00F82136">
        <w:rPr>
          <w:rFonts w:ascii="Narkisim" w:hAnsi="Narkisim" w:cs="Narkisim"/>
        </w:rPr>
        <w:t xml:space="preserve"> </w:t>
      </w:r>
      <w:r w:rsidRPr="00F82136">
        <w:rPr>
          <w:rFonts w:ascii="Narkisim" w:hAnsi="Narkisim" w:cs="Narkisim"/>
          <w:rtl/>
        </w:rPr>
        <w:t>הנדל</w:t>
      </w:r>
      <w:r>
        <w:rPr>
          <w:rFonts w:ascii="Narkisim" w:hAnsi="Narkisim" w:cs="Narkisim" w:hint="cs"/>
          <w:rtl/>
        </w:rPr>
        <w:t xml:space="preserve">. </w:t>
      </w:r>
      <w:r w:rsidRPr="00F82136">
        <w:rPr>
          <w:rFonts w:ascii="Narkisim" w:hAnsi="Narkisim" w:cs="Narkisim"/>
          <w:rtl/>
        </w:rPr>
        <w:t>נבהיר כי הכינוי נטבע לאחר שהפרקטיקה של צווי הורות פסיקתיים בלא תסקיר לזוגות של גברים התבססה בבתי המשפט לענייני משפחה במהלך 2014.</w:t>
      </w:r>
    </w:p>
  </w:footnote>
  <w:footnote w:id="45">
    <w:p w14:paraId="3C3E99AF" w14:textId="77777777" w:rsidR="00E0078C" w:rsidRPr="00F82136"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שם.</w:t>
      </w:r>
    </w:p>
  </w:footnote>
  <w:footnote w:id="46">
    <w:p w14:paraId="05B719BE"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את הטענה זו העלתה לראשונה בלכר-פריגת (</w:t>
      </w:r>
      <w:r w:rsidRPr="00F82136">
        <w:rPr>
          <w:rFonts w:ascii="Narkisim" w:hAnsi="Narkisim" w:cs="Narkisim"/>
        </w:rPr>
        <w:t>Blecher-Prigat</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Ref64710202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sidRPr="00F82136">
        <w:rPr>
          <w:rFonts w:ascii="Narkisim" w:hAnsi="Narkisim" w:cs="Narkisim"/>
          <w:rtl/>
        </w:rPr>
        <w:t>).</w:t>
      </w:r>
    </w:p>
  </w:footnote>
  <w:footnote w:id="47">
    <w:p w14:paraId="5C63453F"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שם. בעמ' 140 ו-154–157.</w:t>
      </w:r>
    </w:p>
  </w:footnote>
  <w:footnote w:id="48">
    <w:p w14:paraId="4ADF8CE6" w14:textId="527E58C4" w:rsidR="00B41DD4" w:rsidRDefault="00B41DD4" w:rsidP="00B41DD4">
      <w:pPr>
        <w:pStyle w:val="FootnoteText"/>
        <w:ind w:left="720" w:hanging="720"/>
        <w:rPr>
          <w:rFonts w:hint="cs"/>
          <w:rtl/>
        </w:rPr>
      </w:pPr>
      <w:r>
        <w:rPr>
          <w:rStyle w:val="FootnoteReference"/>
        </w:rPr>
        <w:footnoteRef/>
      </w:r>
      <w:r>
        <w:rPr>
          <w:rtl/>
        </w:rPr>
        <w:t xml:space="preserve"> </w:t>
      </w:r>
      <w:r>
        <w:t xml:space="preserve"> </w:t>
      </w:r>
      <w:r>
        <w:rPr>
          <w:rFonts w:hint="cs"/>
          <w:rtl/>
        </w:rPr>
        <w:t xml:space="preserve">להפנות לספר של </w:t>
      </w:r>
      <w:proofErr w:type="spellStart"/>
      <w:r w:rsidRPr="004B589E">
        <w:rPr>
          <w:sz w:val="24"/>
          <w:szCs w:val="24"/>
        </w:rPr>
        <w:t>M</w:t>
      </w:r>
      <w:r>
        <w:rPr>
          <w:sz w:val="24"/>
          <w:szCs w:val="24"/>
        </w:rPr>
        <w:t>ilanich</w:t>
      </w:r>
      <w:proofErr w:type="spellEnd"/>
    </w:p>
  </w:footnote>
  <w:footnote w:id="49">
    <w:p w14:paraId="676456B4"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כמובן שעשויות להתעורר דילמות במקרים של התנגשות בין הזיקות השונות. למשל, אישה המקיימת מערכת יחסים ארוכה ומחייבת עם גבר או עם אישה, אלא שהיא נכנסת להיריון מיחסי מין מזדמנים שהיא קיימה עם גבר. נניח שבן או בת הזוג הקבועים של האישה היולדת מעוניינים להיות מוכרים כהורים לילד שנולד כתוצאה מאותם יחסי מין, ואולם גם האב הגנטי מבקש להיות מוכר כאב משפטי. האם על המשפט להעניק עדיפות לבן או בת הזוג של היולדת או לאב הגנטי, או אולי בכלל להכיר בריבוי הורים במצב דברים מעין זה? אלו הן שאלות חשובות אך במסגרת מאמר זה נבקש להתמקד בטיעון העקרוני התומך בהוספת מערכת היחסים כשיקול בהגדרת ההורות ונתייחס למקרים הנפוצים שבהם עולה שאלת ההתחשבות בזיקת הזוגיות.</w:t>
      </w:r>
    </w:p>
  </w:footnote>
  <w:footnote w:id="50">
    <w:p w14:paraId="0F5F28E9" w14:textId="2334F4A2" w:rsidR="00E0078C" w:rsidRDefault="00E0078C" w:rsidP="00E0078C">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 xml:space="preserve">Richard F. Storrow, </w:t>
      </w:r>
      <w:r w:rsidRPr="00F82136">
        <w:rPr>
          <w:rFonts w:ascii="Narkisim" w:hAnsi="Narkisim" w:cs="Narkisim"/>
          <w:i/>
          <w:iCs/>
        </w:rPr>
        <w:t>Parenthood by Pure Intention: Assisted Reproduction and the Functional Approach to Parentage</w:t>
      </w:r>
      <w:r w:rsidRPr="00F82136">
        <w:rPr>
          <w:rFonts w:ascii="Narkisim" w:hAnsi="Narkisim" w:cs="Narkisim"/>
        </w:rPr>
        <w:t xml:space="preserve">, 53 </w:t>
      </w:r>
      <w:r w:rsidRPr="00F82136">
        <w:rPr>
          <w:rFonts w:ascii="Narkisim" w:hAnsi="Narkisim" w:cs="Narkisim"/>
          <w:smallCaps/>
        </w:rPr>
        <w:t>Hastings L.J.</w:t>
      </w:r>
      <w:r w:rsidRPr="00F82136">
        <w:rPr>
          <w:rFonts w:ascii="Narkisim" w:hAnsi="Narkisim" w:cs="Narkisim"/>
        </w:rPr>
        <w:t xml:space="preserve"> 597, 599 (2002)</w:t>
      </w:r>
      <w:r w:rsidRPr="00F82136">
        <w:rPr>
          <w:rFonts w:ascii="Narkisim" w:hAnsi="Narkisim" w:cs="Narkisim"/>
          <w:rtl/>
        </w:rPr>
        <w:t xml:space="preserve">; </w:t>
      </w:r>
      <w:r w:rsidRPr="00F82136">
        <w:rPr>
          <w:rFonts w:ascii="Narkisim" w:hAnsi="Narkisim" w:cs="Narkisim"/>
        </w:rPr>
        <w:t>Jacobs</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Ref54604246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16</w:t>
      </w:r>
      <w:r>
        <w:rPr>
          <w:rFonts w:ascii="Narkisim" w:hAnsi="Narkisim" w:cs="Narkisim"/>
          <w:rtl/>
        </w:rPr>
        <w:fldChar w:fldCharType="end"/>
      </w:r>
      <w:r w:rsidRPr="00F82136">
        <w:rPr>
          <w:rFonts w:ascii="Narkisim" w:hAnsi="Narkisim" w:cs="Narkisim"/>
          <w:rtl/>
        </w:rPr>
        <w:t>, בעמ' 465.</w:t>
      </w:r>
    </w:p>
    <w:p w14:paraId="15A969DD" w14:textId="029DB6F9" w:rsidR="00577C23" w:rsidRPr="00F82136" w:rsidRDefault="00577C23" w:rsidP="00E0078C">
      <w:pPr>
        <w:pStyle w:val="FootnoteText"/>
        <w:spacing w:before="120" w:after="120"/>
        <w:ind w:left="454" w:hanging="454"/>
        <w:jc w:val="both"/>
        <w:rPr>
          <w:rFonts w:ascii="Narkisim" w:hAnsi="Narkisim" w:cs="Narkisim" w:hint="cs"/>
          <w:rtl/>
        </w:rPr>
      </w:pPr>
      <w:r w:rsidRPr="00577C23">
        <w:rPr>
          <w:rFonts w:ascii="Narkisim" w:hAnsi="Narkisim" w:cs="Narkisim" w:hint="cs"/>
          <w:highlight w:val="yellow"/>
          <w:rtl/>
        </w:rPr>
        <w:t>האם כאן ואיפה עוד לשלב את דאגלס?</w:t>
      </w:r>
    </w:p>
  </w:footnote>
  <w:footnote w:id="51">
    <w:p w14:paraId="05F57B74" w14:textId="1AA886CE" w:rsidR="007E33FC" w:rsidRDefault="007E33FC">
      <w:pPr>
        <w:pStyle w:val="FootnoteText"/>
        <w:rPr>
          <w:rFonts w:hint="cs"/>
        </w:rPr>
      </w:pPr>
      <w:r>
        <w:rPr>
          <w:rStyle w:val="FootnoteReference"/>
        </w:rPr>
        <w:footnoteRef/>
      </w:r>
      <w:r>
        <w:rPr>
          <w:rtl/>
        </w:rPr>
        <w:t xml:space="preserve"> </w:t>
      </w:r>
      <w:r w:rsidRPr="007E33FC">
        <w:rPr>
          <w:rFonts w:hint="cs"/>
          <w:highlight w:val="yellow"/>
          <w:rtl/>
        </w:rPr>
        <w:t>האם יש מישהו בספרות האמרקאית שמעלה ביקורת כזאת? לשלב</w:t>
      </w:r>
    </w:p>
  </w:footnote>
  <w:footnote w:id="52">
    <w:p w14:paraId="50B12D3D"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 xml:space="preserve">Susan </w:t>
      </w:r>
      <w:proofErr w:type="spellStart"/>
      <w:r w:rsidRPr="00F82136">
        <w:rPr>
          <w:rFonts w:ascii="Narkisim" w:hAnsi="Narkisim" w:cs="Narkisim"/>
        </w:rPr>
        <w:t>Frelich</w:t>
      </w:r>
      <w:proofErr w:type="spellEnd"/>
      <w:r w:rsidRPr="00F82136">
        <w:rPr>
          <w:rFonts w:ascii="Narkisim" w:hAnsi="Narkisim" w:cs="Narkisim"/>
        </w:rPr>
        <w:t xml:space="preserve"> Appleton, </w:t>
      </w:r>
      <w:r w:rsidRPr="00F82136">
        <w:rPr>
          <w:rFonts w:ascii="Narkisim" w:hAnsi="Narkisim" w:cs="Narkisim"/>
          <w:i/>
          <w:iCs/>
        </w:rPr>
        <w:t>Presuming Women: Revisiting the Presumption of Legitimacy in the Same-Sex Couples Era</w:t>
      </w:r>
      <w:r w:rsidRPr="00F82136">
        <w:rPr>
          <w:rFonts w:ascii="Narkisim" w:hAnsi="Narkisim" w:cs="Narkisim"/>
        </w:rPr>
        <w:t xml:space="preserve">, 86 </w:t>
      </w:r>
      <w:r w:rsidRPr="00F82136">
        <w:rPr>
          <w:rFonts w:ascii="Narkisim" w:hAnsi="Narkisim" w:cs="Narkisim"/>
          <w:smallCaps/>
        </w:rPr>
        <w:t>Boston U. L. Rev.</w:t>
      </w:r>
      <w:r w:rsidRPr="00F82136">
        <w:rPr>
          <w:rFonts w:ascii="Narkisim" w:hAnsi="Narkisim" w:cs="Narkisim"/>
        </w:rPr>
        <w:t xml:space="preserve"> 227, 282 (2006); Dara E. Purvis, </w:t>
      </w:r>
      <w:r w:rsidRPr="00F82136">
        <w:rPr>
          <w:rFonts w:ascii="Narkisim" w:hAnsi="Narkisim" w:cs="Narkisim"/>
          <w:i/>
          <w:iCs/>
        </w:rPr>
        <w:t xml:space="preserve">Intended </w:t>
      </w:r>
      <w:proofErr w:type="gramStart"/>
      <w:r w:rsidRPr="00F82136">
        <w:rPr>
          <w:rFonts w:ascii="Narkisim" w:hAnsi="Narkisim" w:cs="Narkisim"/>
          <w:i/>
          <w:iCs/>
        </w:rPr>
        <w:t>Parents</w:t>
      </w:r>
      <w:proofErr w:type="gramEnd"/>
      <w:r w:rsidRPr="00F82136">
        <w:rPr>
          <w:rFonts w:ascii="Narkisim" w:hAnsi="Narkisim" w:cs="Narkisim"/>
          <w:i/>
          <w:iCs/>
        </w:rPr>
        <w:t xml:space="preserve"> and the Problem of Perspective</w:t>
      </w:r>
      <w:r w:rsidRPr="00F82136">
        <w:rPr>
          <w:rFonts w:ascii="Narkisim" w:hAnsi="Narkisim" w:cs="Narkisim"/>
        </w:rPr>
        <w:t xml:space="preserve">, 24 </w:t>
      </w:r>
      <w:r w:rsidRPr="00F82136">
        <w:rPr>
          <w:rFonts w:ascii="Narkisim" w:hAnsi="Narkisim" w:cs="Narkisim"/>
          <w:smallCaps/>
        </w:rPr>
        <w:t>Yale J.L. &amp; Feminism</w:t>
      </w:r>
      <w:r w:rsidRPr="00F82136">
        <w:rPr>
          <w:rFonts w:ascii="Narkisim" w:hAnsi="Narkisim" w:cs="Narkisim"/>
        </w:rPr>
        <w:t xml:space="preserve"> 210, 249 (2012); Jessica Feinberg, </w:t>
      </w:r>
      <w:r w:rsidRPr="00F82136">
        <w:rPr>
          <w:rFonts w:ascii="Narkisim" w:hAnsi="Narkisim" w:cs="Narkisim"/>
          <w:i/>
          <w:iCs/>
        </w:rPr>
        <w:t>Restructuring Rebuttal of the Marital Presumption for the Modern Era</w:t>
      </w:r>
      <w:r w:rsidRPr="00F82136">
        <w:rPr>
          <w:rFonts w:ascii="Narkisim" w:hAnsi="Narkisim" w:cs="Narkisim"/>
        </w:rPr>
        <w:t>, 104 </w:t>
      </w:r>
      <w:r w:rsidRPr="00F82136">
        <w:rPr>
          <w:rFonts w:ascii="Narkisim" w:hAnsi="Narkisim" w:cs="Narkisim"/>
          <w:smallCaps/>
        </w:rPr>
        <w:t>Minn. L. Rev.</w:t>
      </w:r>
      <w:r w:rsidRPr="00F82136">
        <w:rPr>
          <w:rFonts w:ascii="Narkisim" w:hAnsi="Narkisim" w:cs="Narkisim"/>
        </w:rPr>
        <w:t> 243, 274 (2019)</w:t>
      </w:r>
      <w:r w:rsidRPr="00F82136">
        <w:rPr>
          <w:rFonts w:ascii="Narkisim" w:hAnsi="Narkisim" w:cs="Narkisim"/>
          <w:rtl/>
        </w:rPr>
        <w:t>.</w:t>
      </w:r>
    </w:p>
  </w:footnote>
  <w:footnote w:id="53">
    <w:p w14:paraId="382158A6" w14:textId="36DA84B4" w:rsidR="00E0078C" w:rsidRPr="00F82136" w:rsidRDefault="00E0078C" w:rsidP="00E0078C">
      <w:pPr>
        <w:pStyle w:val="FootnoteText"/>
        <w:spacing w:before="120" w:after="120"/>
        <w:ind w:left="454" w:hanging="454"/>
        <w:jc w:val="both"/>
        <w:rPr>
          <w:rFonts w:ascii="Narkisim" w:hAnsi="Narkisim" w:cs="Narkisim"/>
        </w:rPr>
      </w:pPr>
      <w:r w:rsidRPr="00F82136">
        <w:rPr>
          <w:rFonts w:ascii="Narkisim" w:hAnsi="Narkisim" w:cs="Narkisim"/>
        </w:rPr>
        <w:footnoteRef/>
      </w:r>
      <w:r w:rsidRPr="00F82136">
        <w:rPr>
          <w:rFonts w:ascii="Narkisim" w:hAnsi="Narkisim" w:cs="Narkisim"/>
          <w:rtl/>
        </w:rPr>
        <w:tab/>
      </w:r>
      <w:r w:rsidRPr="00F82136">
        <w:rPr>
          <w:rFonts w:ascii="Narkisim" w:hAnsi="Narkisim" w:cs="Narkisim"/>
          <w:rtl/>
        </w:rPr>
        <w:t>התלבטנו כיצד לכנות את האם שמיסוד מעמדה כאם נמצא במרכזו של המאמר. לגישתנו, המובאת בהרחבה במאמר זה, כאשר ילד נולד לתוך מערכת יחסים זוגית, שני הצדדים למערכת היחסים הם הורים שווי מעמד. הכינוי שבו בחרנו, "האם הנוספת", משקף את המציאות המשפטית והעובדתית הקיימת אנו מודעים לכך שהביטוי עצמו עשוי לחזק גישות אחרות, כאלה המייצרות עליונות של האם הביולוגית, כאם "טבעית", כזאת שמעמדה אינו דורש הכרה או ככזאת המצויה מעל האם הלא ביולוגית במדרג ההורי. בהיעדר חלופה אחרת ולנוכח ההכרח "לסמן" לצורך הדיון את האימהות באופן מובחן, תכונה האחת "אם ביולוגית" או "אם יולדת", והשנייה תכונה האם הנוספת או בת הזוג.</w:t>
      </w:r>
    </w:p>
  </w:footnote>
  <w:footnote w:id="54">
    <w:p w14:paraId="7252A9D3" w14:textId="7821B817" w:rsidR="00E0078C" w:rsidRPr="00F82136" w:rsidRDefault="00E0078C" w:rsidP="00E0078C">
      <w:pPr>
        <w:pStyle w:val="FootnoteText"/>
        <w:spacing w:before="120" w:after="120"/>
        <w:ind w:left="454" w:hanging="454"/>
        <w:jc w:val="both"/>
        <w:rPr>
          <w:rFonts w:ascii="Narkisim" w:hAnsi="Narkisim" w:cs="Narkisim"/>
        </w:rPr>
      </w:pPr>
      <w:r w:rsidRPr="00F82136">
        <w:rPr>
          <w:rFonts w:ascii="Narkisim" w:hAnsi="Narkisim" w:cs="Narkisim"/>
        </w:rPr>
        <w:footnoteRef/>
      </w:r>
      <w:r w:rsidRPr="00F82136">
        <w:rPr>
          <w:rFonts w:ascii="Narkisim" w:hAnsi="Narkisim" w:cs="Narkisim"/>
          <w:rtl/>
        </w:rPr>
        <w:tab/>
      </w:r>
      <w:r w:rsidRPr="00F82136">
        <w:rPr>
          <w:rFonts w:ascii="Narkisim" w:hAnsi="Narkisim" w:cs="Narkisim"/>
          <w:rtl/>
        </w:rPr>
        <w:t xml:space="preserve">מעניין </w:t>
      </w:r>
      <w:r w:rsidRPr="00F82136">
        <w:rPr>
          <w:rFonts w:ascii="Narkisim" w:hAnsi="Narkisim" w:cs="Narkisim"/>
          <w:rtl/>
        </w:rPr>
        <w:t xml:space="preserve">לציין כיצד נבחנת הזוגיות; למשל באמצעות אופן החצנת הזוגיות כלפי כולי עלמא, כדוגמת איחוד שמות משפחה. ראו בתלה"ם (משפחה אשד') 8095-04-18‏ </w:t>
      </w:r>
      <w:r w:rsidRPr="00F82136">
        <w:rPr>
          <w:rFonts w:ascii="Narkisim" w:hAnsi="Narkisim" w:cs="Narkisim"/>
          <w:b/>
          <w:bCs/>
          <w:rtl/>
        </w:rPr>
        <w:t>מאמי נ' אמא</w:t>
      </w:r>
      <w:r w:rsidRPr="00F82136">
        <w:rPr>
          <w:rFonts w:ascii="Narkisim" w:hAnsi="Narkisim" w:cs="Narkisim"/>
          <w:rtl/>
        </w:rPr>
        <w:t>, פס' 51 לפסק הדין (פורסם בנבו, 1.3.2020) (שם נידון איחוד שמות משפחה כאינדיקציה להסכמה לגדל את הילד במשותף)</w:t>
      </w:r>
      <w:r>
        <w:rPr>
          <w:rFonts w:ascii="Narkisim" w:hAnsi="Narkisim" w:cs="Narkisim" w:hint="cs"/>
          <w:rtl/>
        </w:rPr>
        <w:t xml:space="preserve"> (להלן: עניין </w:t>
      </w:r>
      <w:r w:rsidRPr="00DA719C">
        <w:rPr>
          <w:rFonts w:ascii="Narkisim" w:hAnsi="Narkisim" w:cs="Narkisim" w:hint="cs"/>
          <w:b/>
          <w:bCs/>
          <w:rtl/>
        </w:rPr>
        <w:t>מאמי</w:t>
      </w:r>
      <w:r>
        <w:rPr>
          <w:rFonts w:ascii="Narkisim" w:hAnsi="Narkisim" w:cs="Narkisim" w:hint="cs"/>
          <w:rtl/>
        </w:rPr>
        <w:t>)</w:t>
      </w:r>
      <w:r w:rsidRPr="00F82136">
        <w:rPr>
          <w:rFonts w:ascii="Narkisim" w:hAnsi="Narkisim" w:cs="Narkisim"/>
          <w:rtl/>
        </w:rPr>
        <w:t xml:space="preserve">. </w:t>
      </w:r>
    </w:p>
  </w:footnote>
  <w:footnote w:id="55">
    <w:p w14:paraId="6849F577" w14:textId="73EE476A"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שיקול הכוונה לא הוכר בישראל במישרין כשיקול בלעדי להכרה בהורות המשפטית, אף כי הוא מהווה, כאמור לעיל, רציונאל שובר שוויון בנסיבות של הולדה בסיוע לפחות בהקשר של בני זוג ממינים שונים, בהסתייעות בתרומת זרע, ביצית ובהקשר של הסדר לנשיאת עוברים על פי החוק המקומי. למגבלות תחולתו בישראל ראו עניין </w:t>
      </w:r>
      <w:r w:rsidRPr="00F82136">
        <w:rPr>
          <w:rFonts w:ascii="Narkisim" w:hAnsi="Narkisim" w:cs="Narkisim"/>
          <w:b/>
          <w:bCs/>
          <w:rtl/>
        </w:rPr>
        <w:t>פלונית</w:t>
      </w:r>
      <w:r w:rsidRPr="00F82136">
        <w:rPr>
          <w:rFonts w:ascii="Narkisim" w:hAnsi="Narkisim" w:cs="Narkisim"/>
          <w:rtl/>
        </w:rPr>
        <w:t xml:space="preserve"> </w:t>
      </w:r>
      <w:r>
        <w:rPr>
          <w:rFonts w:ascii="Narkisim" w:hAnsi="Narkisim" w:cs="Narkisim" w:hint="cs"/>
          <w:rtl/>
        </w:rPr>
        <w:t xml:space="preserve">2015ב, </w:t>
      </w:r>
      <w:r w:rsidRPr="00F82136">
        <w:rPr>
          <w:rFonts w:ascii="Narkisim" w:hAnsi="Narkisim" w:cs="Narkisim"/>
          <w:rtl/>
        </w:rPr>
        <w:t>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Ref80963124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38</w:t>
      </w:r>
      <w:r>
        <w:rPr>
          <w:rFonts w:ascii="Narkisim" w:hAnsi="Narkisim" w:cs="Narkisim"/>
          <w:rtl/>
        </w:rPr>
        <w:fldChar w:fldCharType="end"/>
      </w:r>
      <w:r>
        <w:rPr>
          <w:rFonts w:ascii="Narkisim" w:hAnsi="Narkisim" w:cs="Narkisim" w:hint="cs"/>
          <w:rtl/>
        </w:rPr>
        <w:t>.</w:t>
      </w:r>
      <w:r w:rsidRPr="00F82136">
        <w:rPr>
          <w:rFonts w:ascii="Narkisim" w:hAnsi="Narkisim" w:cs="Narkisim"/>
          <w:rtl/>
        </w:rPr>
        <w:t xml:space="preserve"> כמו כן ראו בהרחבה שחר ליפשיץ "שלילת אבהות בהסכמה" </w:t>
      </w:r>
      <w:r w:rsidRPr="00F82136">
        <w:rPr>
          <w:rFonts w:ascii="Narkisim" w:hAnsi="Narkisim" w:cs="Narkisim"/>
          <w:b/>
          <w:bCs/>
          <w:rtl/>
        </w:rPr>
        <w:t>משפטים</w:t>
      </w:r>
      <w:r w:rsidRPr="00F82136">
        <w:rPr>
          <w:rFonts w:ascii="Narkisim" w:hAnsi="Narkisim" w:cs="Narkisim"/>
          <w:rtl/>
        </w:rPr>
        <w:t xml:space="preserve"> נא, הטקסט שליד ה"ש 64 (צפוי להתפרסם ב-2021)</w:t>
      </w:r>
      <w:r>
        <w:rPr>
          <w:rFonts w:ascii="Narkisim" w:hAnsi="Narkisim" w:cs="Narkisim" w:hint="cs"/>
          <w:rtl/>
        </w:rPr>
        <w:t xml:space="preserve"> (להלן: </w:t>
      </w:r>
      <w:r w:rsidRPr="00F82136">
        <w:rPr>
          <w:rFonts w:ascii="Narkisim" w:hAnsi="Narkisim" w:cs="Narkisim"/>
          <w:rtl/>
        </w:rPr>
        <w:t>ליפשיץ "שלילת אבהות בהסכמה</w:t>
      </w:r>
      <w:r>
        <w:rPr>
          <w:rFonts w:ascii="Narkisim" w:hAnsi="Narkisim" w:cs="Narkisim" w:hint="cs"/>
          <w:rtl/>
        </w:rPr>
        <w:t>").</w:t>
      </w:r>
      <w:r w:rsidR="007E33FC">
        <w:rPr>
          <w:rFonts w:ascii="Narkisim" w:hAnsi="Narkisim" w:cs="Narkisim" w:hint="cs"/>
          <w:rtl/>
        </w:rPr>
        <w:t xml:space="preserve"> </w:t>
      </w:r>
      <w:r w:rsidR="007E33FC" w:rsidRPr="007E33FC">
        <w:rPr>
          <w:rFonts w:ascii="Narkisim" w:hAnsi="Narkisim" w:cs="Narkisim" w:hint="cs"/>
          <w:highlight w:val="yellow"/>
          <w:rtl/>
        </w:rPr>
        <w:t>ספרות זרה</w:t>
      </w:r>
    </w:p>
  </w:footnote>
  <w:footnote w:id="56">
    <w:p w14:paraId="785AD322"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 xml:space="preserve">Ayelet Blecher-Prigat, </w:t>
      </w:r>
      <w:r w:rsidRPr="00F82136">
        <w:rPr>
          <w:rFonts w:ascii="Narkisim" w:hAnsi="Narkisim" w:cs="Narkisim"/>
          <w:i/>
          <w:iCs/>
        </w:rPr>
        <w:t>The Costs of Raising Children: Toward a Theory of Financial Obligations Between Co-Parents</w:t>
      </w:r>
      <w:r w:rsidRPr="00F82136">
        <w:rPr>
          <w:rFonts w:ascii="Narkisim" w:hAnsi="Narkisim" w:cs="Narkisim"/>
        </w:rPr>
        <w:t xml:space="preserve">, 13 </w:t>
      </w:r>
      <w:r w:rsidRPr="00F82136">
        <w:rPr>
          <w:rFonts w:ascii="Narkisim" w:hAnsi="Narkisim" w:cs="Narkisim"/>
          <w:smallCaps/>
        </w:rPr>
        <w:t>Theoretical Inquiries L.</w:t>
      </w:r>
      <w:r w:rsidRPr="00F82136">
        <w:rPr>
          <w:rFonts w:ascii="Narkisim" w:hAnsi="Narkisim" w:cs="Narkisim"/>
        </w:rPr>
        <w:t xml:space="preserve"> 179, 193–196 (2012)</w:t>
      </w:r>
      <w:r w:rsidRPr="00F82136">
        <w:rPr>
          <w:rFonts w:ascii="Narkisim" w:hAnsi="Narkisim" w:cs="Narkisim"/>
          <w:rtl/>
        </w:rPr>
        <w:t xml:space="preserve">; איילת בלכר-פריגת "מזוגיות להורות משותפת – מסגרת משפטית להסדרת היחסים הכלכליים בין הורים במשותף" </w:t>
      </w:r>
      <w:r w:rsidRPr="00F82136">
        <w:rPr>
          <w:rFonts w:ascii="Narkisim" w:hAnsi="Narkisim" w:cs="Narkisim"/>
          <w:b/>
          <w:bCs/>
          <w:rtl/>
        </w:rPr>
        <w:t>משפט ועסקים</w:t>
      </w:r>
      <w:r w:rsidRPr="00F82136">
        <w:rPr>
          <w:rFonts w:ascii="Narkisim" w:hAnsi="Narkisim" w:cs="Narkisim"/>
          <w:rtl/>
        </w:rPr>
        <w:t xml:space="preserve"> יט 821, 848 (2016). </w:t>
      </w:r>
      <w:r w:rsidRPr="00F82136">
        <w:rPr>
          <w:rFonts w:ascii="Narkisim" w:hAnsi="Narkisim" w:cs="Narkisim"/>
          <w:rtl/>
        </w:rPr>
        <w:t xml:space="preserve">חוקרת נוספת שמביעה עמדה זו באופן בהיר ונחרץ היא </w:t>
      </w:r>
      <w:r w:rsidRPr="00F82136">
        <w:rPr>
          <w:rFonts w:ascii="Narkisim" w:hAnsi="Narkisim" w:cs="Narkisim"/>
        </w:rPr>
        <w:t>Merle H. Weiner</w:t>
      </w:r>
      <w:r w:rsidRPr="00F82136">
        <w:rPr>
          <w:rFonts w:ascii="Narkisim" w:hAnsi="Narkisim" w:cs="Narkisim"/>
          <w:rtl/>
        </w:rPr>
        <w:t xml:space="preserve"> בספרה, ראו </w:t>
      </w:r>
      <w:r w:rsidRPr="00F82136">
        <w:rPr>
          <w:rFonts w:ascii="Narkisim" w:hAnsi="Narkisim" w:cs="Narkisim"/>
          <w:smallCaps/>
        </w:rPr>
        <w:t>Merle H. Weiner, A Parent-Partner Status for American Family Law</w:t>
      </w:r>
      <w:r w:rsidRPr="00F82136">
        <w:rPr>
          <w:rFonts w:ascii="Narkisim" w:hAnsi="Narkisim" w:cs="Narkisim"/>
        </w:rPr>
        <w:t xml:space="preserve"> (2015)</w:t>
      </w:r>
      <w:r w:rsidRPr="00F82136">
        <w:rPr>
          <w:rFonts w:ascii="Narkisim" w:hAnsi="Narkisim" w:cs="Narkisim"/>
          <w:rtl/>
        </w:rPr>
        <w:t xml:space="preserve">. כן ראו </w:t>
      </w:r>
      <w:r w:rsidRPr="00F82136">
        <w:rPr>
          <w:rFonts w:ascii="Narkisim" w:hAnsi="Narkisim" w:cs="Narkisim"/>
        </w:rPr>
        <w:t xml:space="preserve">Merle H. Weiner, </w:t>
      </w:r>
      <w:proofErr w:type="gramStart"/>
      <w:r w:rsidRPr="00F82136">
        <w:rPr>
          <w:rFonts w:ascii="Narkisim" w:hAnsi="Narkisim" w:cs="Narkisim"/>
          <w:i/>
          <w:iCs/>
        </w:rPr>
        <w:t>When</w:t>
      </w:r>
      <w:proofErr w:type="gramEnd"/>
      <w:r w:rsidRPr="00F82136">
        <w:rPr>
          <w:rFonts w:ascii="Narkisim" w:hAnsi="Narkisim" w:cs="Narkisim"/>
          <w:i/>
          <w:iCs/>
        </w:rPr>
        <w:t xml:space="preserve"> a Parent Is Not Apparent</w:t>
      </w:r>
      <w:r w:rsidRPr="00F82136">
        <w:rPr>
          <w:rFonts w:ascii="Narkisim" w:hAnsi="Narkisim" w:cs="Narkisim"/>
        </w:rPr>
        <w:t xml:space="preserve">, 80 </w:t>
      </w:r>
      <w:r w:rsidRPr="00F82136">
        <w:rPr>
          <w:rFonts w:ascii="Narkisim" w:hAnsi="Narkisim" w:cs="Narkisim"/>
          <w:smallCaps/>
        </w:rPr>
        <w:t>U. Pitt. L. Rev.</w:t>
      </w:r>
      <w:r w:rsidRPr="00F82136">
        <w:rPr>
          <w:rFonts w:ascii="Narkisim" w:hAnsi="Narkisim" w:cs="Narkisim"/>
        </w:rPr>
        <w:t xml:space="preserve"> 533 (2019)</w:t>
      </w:r>
      <w:r w:rsidRPr="00F82136">
        <w:rPr>
          <w:rFonts w:ascii="Narkisim" w:hAnsi="Narkisim" w:cs="Narkisim"/>
          <w:rtl/>
        </w:rPr>
        <w:t>.</w:t>
      </w:r>
    </w:p>
  </w:footnote>
  <w:footnote w:id="57">
    <w:p w14:paraId="4F62B7B0"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שם.</w:t>
      </w:r>
    </w:p>
  </w:footnote>
  <w:footnote w:id="58">
    <w:p w14:paraId="192DA9FD" w14:textId="4049ADAE"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והיה אף מי שהציע להרחיב את מערכת החובות ההדדיות אל מעבר ליחסי ההורים במשותף ולכלול בה גם את בני הזוג החדשים של הורים אלה, ככל שהפכו לדמויות הוריות בעצמם. ראו בהקשר זה </w:t>
      </w:r>
      <w:r w:rsidRPr="00F82136">
        <w:rPr>
          <w:rFonts w:ascii="Narkisim" w:hAnsi="Narkisim" w:cs="Narkisim"/>
        </w:rPr>
        <w:t xml:space="preserve">Ruth Zafran, </w:t>
      </w:r>
      <w:r w:rsidRPr="00F82136">
        <w:rPr>
          <w:rFonts w:ascii="Narkisim" w:hAnsi="Narkisim" w:cs="Narkisim"/>
          <w:i/>
          <w:iCs/>
        </w:rPr>
        <w:t>Step-Parent as Fiduciary</w:t>
      </w:r>
      <w:r w:rsidRPr="00F82136">
        <w:rPr>
          <w:rFonts w:ascii="Narkisim" w:hAnsi="Narkisim" w:cs="Narkisim"/>
        </w:rPr>
        <w:t xml:space="preserve"> </w:t>
      </w:r>
      <w:r w:rsidRPr="00F82136">
        <w:rPr>
          <w:rFonts w:ascii="Narkisim" w:hAnsi="Narkisim" w:cs="Narkisim"/>
          <w:rtl/>
        </w:rPr>
        <w:t xml:space="preserve"> (</w:t>
      </w:r>
      <w:r w:rsidR="00B948BD" w:rsidRPr="00B948BD">
        <w:rPr>
          <w:rFonts w:ascii="Narkisim" w:hAnsi="Narkisim" w:cs="Narkisim" w:hint="cs"/>
          <w:highlight w:val="yellow"/>
          <w:rtl/>
        </w:rPr>
        <w:t>לעדכן</w:t>
      </w:r>
      <w:r w:rsidRPr="00F82136">
        <w:rPr>
          <w:rFonts w:ascii="Narkisim" w:hAnsi="Narkisim" w:cs="Narkisim"/>
          <w:rtl/>
        </w:rPr>
        <w:t>).</w:t>
      </w:r>
    </w:p>
  </w:footnote>
  <w:footnote w:id="59">
    <w:p w14:paraId="07DF1A97"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קלייר </w:t>
      </w:r>
      <w:r w:rsidRPr="00F82136">
        <w:rPr>
          <w:rFonts w:ascii="Narkisim" w:hAnsi="Narkisim" w:cs="Narkisim"/>
          <w:rtl/>
        </w:rPr>
        <w:t xml:space="preserve">האנטינגנטון סוברת כי אנו חיים בעידן "פוסט-נישואים", שבו נישואים כבר לא משמשים בסיס לחיי המשפחה. ראו </w:t>
      </w:r>
      <w:r w:rsidRPr="00F82136">
        <w:rPr>
          <w:rFonts w:ascii="Narkisim" w:hAnsi="Narkisim" w:cs="Narkisim"/>
        </w:rPr>
        <w:t xml:space="preserve">Clare Huntington, </w:t>
      </w:r>
      <w:proofErr w:type="spellStart"/>
      <w:r w:rsidRPr="00F82136">
        <w:rPr>
          <w:rFonts w:ascii="Narkisim" w:hAnsi="Narkisim" w:cs="Narkisim"/>
          <w:i/>
          <w:iCs/>
        </w:rPr>
        <w:t>Postmarital</w:t>
      </w:r>
      <w:proofErr w:type="spellEnd"/>
      <w:r w:rsidRPr="00F82136">
        <w:rPr>
          <w:rFonts w:ascii="Narkisim" w:hAnsi="Narkisim" w:cs="Narkisim"/>
          <w:i/>
          <w:iCs/>
        </w:rPr>
        <w:t xml:space="preserve"> Family Law: A Legal Structure for Nonmarital Families</w:t>
      </w:r>
      <w:r w:rsidRPr="00F82136">
        <w:rPr>
          <w:rFonts w:ascii="Narkisim" w:hAnsi="Narkisim" w:cs="Narkisim"/>
        </w:rPr>
        <w:t xml:space="preserve">, 67 </w:t>
      </w:r>
      <w:r w:rsidRPr="00F82136">
        <w:rPr>
          <w:rFonts w:ascii="Narkisim" w:hAnsi="Narkisim" w:cs="Narkisim"/>
          <w:smallCaps/>
        </w:rPr>
        <w:t>Stan. L. Rev.</w:t>
      </w:r>
      <w:r w:rsidRPr="00F82136">
        <w:rPr>
          <w:rFonts w:ascii="Narkisim" w:hAnsi="Narkisim" w:cs="Narkisim"/>
        </w:rPr>
        <w:t xml:space="preserve"> 167, 169–175 (2015)</w:t>
      </w:r>
      <w:r w:rsidRPr="00F82136">
        <w:rPr>
          <w:rFonts w:ascii="Narkisim" w:hAnsi="Narkisim" w:cs="Narkisim"/>
          <w:rtl/>
        </w:rPr>
        <w:t xml:space="preserve">. בעוד שהנטינגנטון מצביעה על מגמה זו בהקשר האמריקני, נדמה שמגמה זו אינה פוסחת על החברה הישראלית ומהווה חלק בלתי נפרד מהתמורות הסוציולוגיות הפוסט-מודרניות ביחס למוסד המשפחה. לפני יותר משני עשורים, זיהתה הסוציולוגית סילביה פוגל-ביז'אוי מגמה זו בחברה הישראלית, ותמכה אותה בירידה בשיעור הנישואין לצד עלייה בשיעור הילדים הנולדים מחוץ לנישואים, תוך נורמליזציה של ניהול משק בית משותף ללא נישואים. ראו סילביה פוגל-ביז'אוי "משפחות בישראל: בין משפחתיות לפוסט מודרניות" </w:t>
      </w:r>
      <w:r w:rsidRPr="00F82136">
        <w:rPr>
          <w:rFonts w:ascii="Narkisim" w:hAnsi="Narkisim" w:cs="Narkisim"/>
          <w:b/>
          <w:bCs/>
          <w:rtl/>
        </w:rPr>
        <w:t>מין מיגדר פוליטיקה</w:t>
      </w:r>
      <w:r w:rsidRPr="00F82136">
        <w:rPr>
          <w:rFonts w:ascii="Narkisim" w:hAnsi="Narkisim" w:cs="Narkisim"/>
          <w:rtl/>
        </w:rPr>
        <w:t xml:space="preserve"> 107 (דפנה יזרעאלי ואח' עורכות, 1999). ראו גם סלביה פוגל-ביזאוי "האישי, הלאומי, הגלובלי – מבט עכשווי על משפחות בישראל" </w:t>
      </w:r>
      <w:r w:rsidRPr="00F82136">
        <w:rPr>
          <w:rFonts w:ascii="Narkisim" w:hAnsi="Narkisim" w:cs="Narkisim"/>
          <w:b/>
          <w:bCs/>
          <w:rtl/>
        </w:rPr>
        <w:t>מאזני משפט</w:t>
      </w:r>
      <w:r w:rsidRPr="00F82136">
        <w:rPr>
          <w:rFonts w:ascii="Narkisim" w:hAnsi="Narkisim" w:cs="Narkisim"/>
          <w:rtl/>
        </w:rPr>
        <w:t xml:space="preserve"> יג 15, 22–24 (2020).</w:t>
      </w:r>
    </w:p>
  </w:footnote>
  <w:footnote w:id="60">
    <w:p w14:paraId="150BD7DE"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אפשר </w:t>
      </w:r>
      <w:r w:rsidRPr="00F82136">
        <w:rPr>
          <w:rFonts w:ascii="Narkisim" w:hAnsi="Narkisim" w:cs="Narkisim"/>
          <w:rtl/>
        </w:rPr>
        <w:t xml:space="preserve">כי גם מערכות יחסים קרובות שאינן אינטימיות מטיבן יכולות לשמש מצע להכרה בהורות משותפת. בהקשר זה ראו </w:t>
      </w:r>
      <w:r w:rsidRPr="00F82136">
        <w:rPr>
          <w:rFonts w:ascii="Narkisim" w:hAnsi="Narkisim" w:cs="Narkisim"/>
        </w:rPr>
        <w:t>Blecher-Prigat</w:t>
      </w:r>
      <w:r w:rsidRPr="00F82136">
        <w:rPr>
          <w:rFonts w:ascii="Narkisim" w:hAnsi="Narkisim" w:cs="Narkisim"/>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Ref64710202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Pr>
          <w:rFonts w:ascii="Narkisim" w:hAnsi="Narkisim" w:cs="Narkisim" w:hint="cs"/>
          <w:rtl/>
        </w:rPr>
        <w:t>.</w:t>
      </w:r>
    </w:p>
  </w:footnote>
  <w:footnote w:id="61">
    <w:p w14:paraId="02651E4B" w14:textId="0223AD2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 xml:space="preserve">על מחויבות טיפולית, שמירה והגנה על יחסי משפחה דאוגים, הסתמכות ואחריות ארוכת טווח, כאלמנטים הלוקחים חלק בזיהוי ההורה המשפטי ראו רות זפרן "שיח היחסים כתשתית להכרעה בסוגיות מתחום המשפחה: מספר הערות על דאגה וצדק" </w:t>
      </w:r>
      <w:r w:rsidRPr="00F82136">
        <w:rPr>
          <w:rFonts w:ascii="Narkisim" w:hAnsi="Narkisim" w:cs="Narkisim"/>
          <w:b/>
          <w:bCs/>
          <w:rtl/>
        </w:rPr>
        <w:t>משפטים על אהבה</w:t>
      </w:r>
      <w:r w:rsidRPr="00F82136">
        <w:rPr>
          <w:rFonts w:ascii="Narkisim" w:hAnsi="Narkisim" w:cs="Narkisim"/>
          <w:rtl/>
        </w:rPr>
        <w:t xml:space="preserve"> 605 (ארנה בן-נפתלי וחנה נוה עורכות, 2005) (להלן: זפרן "שיח היחסים"); זפרן "המשפחה בעידן הגנטי",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Ref64651209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4</w:t>
      </w:r>
      <w:r>
        <w:rPr>
          <w:rFonts w:ascii="Narkisim" w:hAnsi="Narkisim" w:cs="Narkisim"/>
          <w:rtl/>
        </w:rPr>
        <w:fldChar w:fldCharType="end"/>
      </w:r>
      <w:r>
        <w:rPr>
          <w:rFonts w:ascii="Narkisim" w:hAnsi="Narkisim" w:cs="Narkisim" w:hint="cs"/>
          <w:rtl/>
        </w:rPr>
        <w:t>.</w:t>
      </w:r>
      <w:r w:rsidR="00B31A9C">
        <w:rPr>
          <w:rFonts w:ascii="Narkisim" w:hAnsi="Narkisim" w:cs="Narkisim" w:hint="cs"/>
          <w:rtl/>
        </w:rPr>
        <w:t xml:space="preserve"> (</w:t>
      </w:r>
      <w:r w:rsidR="00B31A9C" w:rsidRPr="00B31A9C">
        <w:rPr>
          <w:rFonts w:ascii="Narkisim" w:hAnsi="Narkisim" w:cs="Narkisim" w:hint="cs"/>
          <w:highlight w:val="yellow"/>
          <w:rtl/>
        </w:rPr>
        <w:t>לראות אם יש משהו באנגלית שמתאים</w:t>
      </w:r>
      <w:r w:rsidR="00B31A9C">
        <w:rPr>
          <w:rFonts w:ascii="Narkisim" w:hAnsi="Narkisim" w:cs="Narkisim" w:hint="cs"/>
          <w:rtl/>
        </w:rPr>
        <w:t>)</w:t>
      </w:r>
    </w:p>
  </w:footnote>
  <w:footnote w:id="62">
    <w:p w14:paraId="7C47D106"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טיעון זה קיבל תשומת לב מרובה בשנים האחרונות בספרות, ראו, לדוגמה, </w:t>
      </w:r>
      <w:r w:rsidRPr="00F82136">
        <w:rPr>
          <w:rFonts w:ascii="Narkisim" w:hAnsi="Narkisim" w:cs="Narkisim"/>
        </w:rPr>
        <w:t xml:space="preserve">Douglas NeJaime, The Nature of Parenthood, 126 </w:t>
      </w:r>
      <w:r w:rsidRPr="00F82136">
        <w:rPr>
          <w:rFonts w:ascii="Narkisim" w:hAnsi="Narkisim" w:cs="Narkisim"/>
          <w:smallCaps/>
        </w:rPr>
        <w:t>Yale L.J.</w:t>
      </w:r>
      <w:r w:rsidRPr="00F82136">
        <w:rPr>
          <w:rFonts w:ascii="Narkisim" w:hAnsi="Narkisim" w:cs="Narkisim"/>
        </w:rPr>
        <w:t xml:space="preserve"> 2260, 2268 (2017); Courtney G. Joslin, </w:t>
      </w:r>
      <w:r w:rsidRPr="00F82136">
        <w:rPr>
          <w:rFonts w:ascii="Narkisim" w:hAnsi="Narkisim" w:cs="Narkisim"/>
          <w:i/>
          <w:iCs/>
        </w:rPr>
        <w:t>Nurturing Parenthood Through the UPA</w:t>
      </w:r>
      <w:r w:rsidRPr="00F82136">
        <w:rPr>
          <w:rFonts w:ascii="Narkisim" w:hAnsi="Narkisim" w:cs="Narkisim"/>
        </w:rPr>
        <w:t xml:space="preserve">, 127 </w:t>
      </w:r>
      <w:r w:rsidRPr="00F82136">
        <w:rPr>
          <w:rFonts w:ascii="Narkisim" w:hAnsi="Narkisim" w:cs="Narkisim"/>
          <w:smallCaps/>
        </w:rPr>
        <w:t>Yale L.J.F.</w:t>
      </w:r>
      <w:r w:rsidRPr="00F82136">
        <w:rPr>
          <w:rFonts w:ascii="Narkisim" w:hAnsi="Narkisim" w:cs="Narkisim"/>
        </w:rPr>
        <w:t xml:space="preserve"> 589, 560–562 (2018)</w:t>
      </w:r>
      <w:r w:rsidRPr="00F82136">
        <w:rPr>
          <w:rFonts w:ascii="Narkisim" w:hAnsi="Narkisim" w:cs="Narkisim"/>
          <w:rtl/>
        </w:rPr>
        <w:t xml:space="preserve">. </w:t>
      </w:r>
    </w:p>
  </w:footnote>
  <w:footnote w:id="63">
    <w:p w14:paraId="6A2AD2B5" w14:textId="77777777" w:rsidR="00E0078C" w:rsidRPr="00F82136" w:rsidRDefault="00E0078C" w:rsidP="00E0078C">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נכון </w:t>
      </w:r>
      <w:r w:rsidRPr="00F82136">
        <w:rPr>
          <w:rFonts w:ascii="Narkisim" w:hAnsi="Narkisim" w:cs="Narkisim"/>
          <w:rtl/>
        </w:rPr>
        <w:t xml:space="preserve">להיום לא נערך מחקר מובחן על אוכלוסיית הלהט"ב, ובכלל זה משקי בית של זוגות מאותו מין. ראו רמי שוורץ </w:t>
      </w:r>
      <w:r w:rsidRPr="00F82136">
        <w:rPr>
          <w:rFonts w:ascii="Narkisim" w:hAnsi="Narkisim" w:cs="Narkisim"/>
          <w:b/>
          <w:bCs/>
          <w:rtl/>
        </w:rPr>
        <w:t>סטטיסטיקה לאומית על אוכלוסיית הלהט"ב ועל משקי בית חד-מיניים – סקירה משווה</w:t>
      </w:r>
      <w:r w:rsidRPr="00F82136">
        <w:rPr>
          <w:rFonts w:ascii="Narkisim" w:hAnsi="Narkisim" w:cs="Narkisim"/>
          <w:rtl/>
        </w:rPr>
        <w:t xml:space="preserve"> (הכנסת – מרכז המחקר והמידע, 3.12.2020) </w:t>
      </w:r>
      <w:hyperlink r:id="rId2" w:history="1">
        <w:r w:rsidRPr="00F82136">
          <w:rPr>
            <w:rStyle w:val="Hyperlink"/>
            <w:rFonts w:ascii="Narkisim" w:hAnsi="Narkisim" w:cs="Narkisim"/>
          </w:rPr>
          <w:t>fs.knesset.gov.il/globaldocs/MMM/9819fd22-85e0-ea11-8118-00155d0af32a/2_9819fd22-85e0-ea11-8118-00155d0af32a_11_16528.pdf</w:t>
        </w:r>
      </w:hyperlink>
      <w:r w:rsidRPr="00F82136">
        <w:rPr>
          <w:rFonts w:ascii="Narkisim" w:hAnsi="Narkisim" w:cs="Narkisim"/>
          <w:rtl/>
        </w:rPr>
        <w:t>. אולם, ניתן ללמוד על עלייה של משפחות מאותו מין מהעלייה במספר פסקי הדין שהותרו לפרסום הנוגעים לצווי הורות במשפחות אלה.</w:t>
      </w:r>
    </w:p>
  </w:footnote>
  <w:footnote w:id="64">
    <w:p w14:paraId="42D81243" w14:textId="632E3D74" w:rsidR="001F094B" w:rsidRDefault="001F094B">
      <w:pPr>
        <w:pStyle w:val="FootnoteText"/>
        <w:rPr>
          <w:rFonts w:hint="cs"/>
        </w:rPr>
      </w:pPr>
      <w:r w:rsidRPr="001F094B">
        <w:rPr>
          <w:rStyle w:val="FootnoteReference"/>
          <w:highlight w:val="yellow"/>
        </w:rPr>
        <w:footnoteRef/>
      </w:r>
      <w:r w:rsidRPr="001F094B">
        <w:rPr>
          <w:highlight w:val="yellow"/>
          <w:rtl/>
        </w:rPr>
        <w:t xml:space="preserve"> </w:t>
      </w:r>
      <w:r w:rsidRPr="001F094B">
        <w:rPr>
          <w:rFonts w:hint="cs"/>
          <w:highlight w:val="yellow"/>
          <w:rtl/>
        </w:rPr>
        <w:t>לחפש עוגן בכתיבה תיאורטית</w:t>
      </w:r>
    </w:p>
  </w:footnote>
  <w:footnote w:id="65">
    <w:p w14:paraId="07E26085" w14:textId="1DA10A26" w:rsidR="00E0078C" w:rsidRPr="00F82136" w:rsidRDefault="00E0078C" w:rsidP="00E0078C">
      <w:pPr>
        <w:pStyle w:val="FootnoteText"/>
        <w:spacing w:before="120" w:after="120"/>
        <w:ind w:left="454" w:hanging="454"/>
        <w:jc w:val="both"/>
        <w:rPr>
          <w:rFonts w:ascii="Narkisim" w:hAnsi="Narkisim" w:cs="Narkisim"/>
          <w:rtl/>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rtl/>
        </w:rPr>
        <w:tab/>
      </w:r>
      <w:r w:rsidRPr="007959C7">
        <w:rPr>
          <w:rFonts w:ascii="Narkisim" w:hAnsi="Narkisim" w:cs="Narkisim" w:hint="cs"/>
          <w:rtl/>
        </w:rPr>
        <w:t xml:space="preserve">ראו לעניין זה גם </w:t>
      </w:r>
      <w:r w:rsidRPr="007959C7">
        <w:rPr>
          <w:rFonts w:ascii="Narkisim" w:hAnsi="Narkisim" w:cs="Narkisim"/>
          <w:rtl/>
        </w:rPr>
        <w:t xml:space="preserve">עניין </w:t>
      </w:r>
      <w:r w:rsidRPr="007959C7">
        <w:rPr>
          <w:rFonts w:ascii="Narkisim" w:hAnsi="Narkisim" w:cs="Narkisim"/>
          <w:b/>
          <w:bCs/>
          <w:rtl/>
        </w:rPr>
        <w:t>ממט-מגד</w:t>
      </w:r>
      <w:r w:rsidRPr="007959C7">
        <w:rPr>
          <w:rFonts w:ascii="Narkisim" w:hAnsi="Narkisim" w:cs="Narkisim"/>
          <w:rtl/>
        </w:rPr>
        <w:t xml:space="preserve">, לעיל ה"ש </w:t>
      </w:r>
      <w:r w:rsidRPr="007959C7">
        <w:rPr>
          <w:rFonts w:ascii="Narkisim" w:hAnsi="Narkisim" w:cs="Narkisim"/>
          <w:rtl/>
        </w:rPr>
        <w:fldChar w:fldCharType="begin"/>
      </w:r>
      <w:r w:rsidRPr="007959C7">
        <w:rPr>
          <w:rFonts w:ascii="Narkisim" w:hAnsi="Narkisim" w:cs="Narkisim"/>
          <w:rtl/>
        </w:rPr>
        <w:instrText xml:space="preserve"> </w:instrText>
      </w:r>
      <w:r w:rsidRPr="007959C7">
        <w:rPr>
          <w:rFonts w:ascii="Narkisim" w:hAnsi="Narkisim" w:cs="Narkisim"/>
        </w:rPr>
        <w:instrText>NOTEREF</w:instrText>
      </w:r>
      <w:r w:rsidRPr="007959C7">
        <w:rPr>
          <w:rFonts w:ascii="Narkisim" w:hAnsi="Narkisim" w:cs="Narkisim"/>
          <w:rtl/>
        </w:rPr>
        <w:instrText xml:space="preserve"> _</w:instrText>
      </w:r>
      <w:r w:rsidRPr="007959C7">
        <w:rPr>
          <w:rFonts w:ascii="Narkisim" w:hAnsi="Narkisim" w:cs="Narkisim"/>
        </w:rPr>
        <w:instrText>Ref80948282 \h</w:instrText>
      </w:r>
      <w:r w:rsidRPr="007959C7">
        <w:rPr>
          <w:rFonts w:ascii="Narkisim" w:hAnsi="Narkisim" w:cs="Narkisim"/>
          <w:rtl/>
        </w:rPr>
        <w:instrText xml:space="preserve">  \* </w:instrText>
      </w:r>
      <w:r w:rsidRPr="007959C7">
        <w:rPr>
          <w:rFonts w:ascii="Narkisim" w:hAnsi="Narkisim" w:cs="Narkisim"/>
        </w:rPr>
        <w:instrText>MERGEFORMAT</w:instrText>
      </w:r>
      <w:r w:rsidRPr="007959C7">
        <w:rPr>
          <w:rFonts w:ascii="Narkisim" w:hAnsi="Narkisim" w:cs="Narkisim"/>
          <w:rtl/>
        </w:rPr>
        <w:instrText xml:space="preserve"> </w:instrText>
      </w:r>
      <w:r w:rsidRPr="007959C7">
        <w:rPr>
          <w:rFonts w:ascii="Narkisim" w:hAnsi="Narkisim" w:cs="Narkisim"/>
          <w:rtl/>
        </w:rPr>
      </w:r>
      <w:r w:rsidRPr="007959C7">
        <w:rPr>
          <w:rFonts w:ascii="Narkisim" w:hAnsi="Narkisim" w:cs="Narkisim"/>
          <w:rtl/>
        </w:rPr>
        <w:fldChar w:fldCharType="separate"/>
      </w:r>
      <w:r>
        <w:rPr>
          <w:rFonts w:ascii="Narkisim" w:hAnsi="Narkisim" w:cs="Narkisim"/>
          <w:rtl/>
        </w:rPr>
        <w:t>6</w:t>
      </w:r>
      <w:r w:rsidRPr="007959C7">
        <w:rPr>
          <w:rFonts w:ascii="Narkisim" w:hAnsi="Narkisim" w:cs="Narkisim"/>
          <w:rtl/>
        </w:rPr>
        <w:fldChar w:fldCharType="end"/>
      </w:r>
      <w:r w:rsidRPr="007959C7">
        <w:rPr>
          <w:rFonts w:ascii="Narkisim" w:hAnsi="Narkisim" w:cs="Narkisim"/>
          <w:rtl/>
        </w:rPr>
        <w:t>, בפסק</w:t>
      </w:r>
      <w:r w:rsidRPr="007959C7">
        <w:rPr>
          <w:rFonts w:ascii="Narkisim" w:hAnsi="Narkisim" w:cs="Narkisim" w:hint="cs"/>
          <w:rtl/>
        </w:rPr>
        <w:t>אות 1-2 לפסק דינו של השופט דנציגר; עניין פ</w:t>
      </w:r>
      <w:r w:rsidRPr="007959C7">
        <w:rPr>
          <w:rFonts w:ascii="Narkisim" w:hAnsi="Narkisim" w:cs="Narkisim" w:hint="cs"/>
          <w:b/>
          <w:bCs/>
          <w:rtl/>
        </w:rPr>
        <w:t>לונית 2015ב</w:t>
      </w:r>
      <w:r w:rsidRPr="007959C7">
        <w:rPr>
          <w:rFonts w:ascii="Narkisim" w:hAnsi="Narkisim" w:cs="Narkisim" w:hint="cs"/>
          <w:rtl/>
        </w:rPr>
        <w:t xml:space="preserve">, לעיל ה"ש </w:t>
      </w:r>
      <w:r w:rsidRPr="007959C7">
        <w:rPr>
          <w:rFonts w:ascii="Narkisim" w:hAnsi="Narkisim" w:cs="Narkisim"/>
          <w:rtl/>
        </w:rPr>
        <w:fldChar w:fldCharType="begin"/>
      </w:r>
      <w:r w:rsidRPr="007959C7">
        <w:rPr>
          <w:rFonts w:ascii="Narkisim" w:hAnsi="Narkisim" w:cs="Narkisim"/>
          <w:rtl/>
        </w:rPr>
        <w:instrText xml:space="preserve"> </w:instrText>
      </w:r>
      <w:r w:rsidRPr="007959C7">
        <w:rPr>
          <w:rFonts w:ascii="Narkisim" w:hAnsi="Narkisim" w:cs="Narkisim" w:hint="cs"/>
        </w:rPr>
        <w:instrText>NOTEREF</w:instrText>
      </w:r>
      <w:r w:rsidRPr="007959C7">
        <w:rPr>
          <w:rFonts w:ascii="Narkisim" w:hAnsi="Narkisim" w:cs="Narkisim" w:hint="cs"/>
          <w:rtl/>
        </w:rPr>
        <w:instrText xml:space="preserve"> _</w:instrText>
      </w:r>
      <w:r w:rsidRPr="007959C7">
        <w:rPr>
          <w:rFonts w:ascii="Narkisim" w:hAnsi="Narkisim" w:cs="Narkisim" w:hint="cs"/>
        </w:rPr>
        <w:instrText>Ref80963124 \h</w:instrText>
      </w:r>
      <w:r w:rsidRPr="007959C7">
        <w:rPr>
          <w:rFonts w:ascii="Narkisim" w:hAnsi="Narkisim" w:cs="Narkisim"/>
          <w:rtl/>
        </w:rPr>
        <w:instrText xml:space="preserve"> </w:instrText>
      </w:r>
      <w:r>
        <w:rPr>
          <w:rFonts w:ascii="Narkisim" w:hAnsi="Narkisim" w:cs="Narkisim"/>
          <w:rtl/>
        </w:rPr>
        <w:instrText xml:space="preserve"> \* </w:instrText>
      </w:r>
      <w:r>
        <w:rPr>
          <w:rFonts w:ascii="Narkisim" w:hAnsi="Narkisim" w:cs="Narkisim"/>
        </w:rPr>
        <w:instrText>MERGEFORMAT</w:instrText>
      </w:r>
      <w:r>
        <w:rPr>
          <w:rFonts w:ascii="Narkisim" w:hAnsi="Narkisim" w:cs="Narkisim"/>
          <w:rtl/>
        </w:rPr>
        <w:instrText xml:space="preserve"> </w:instrText>
      </w:r>
      <w:r w:rsidRPr="007959C7">
        <w:rPr>
          <w:rFonts w:ascii="Narkisim" w:hAnsi="Narkisim" w:cs="Narkisim"/>
          <w:rtl/>
        </w:rPr>
      </w:r>
      <w:r w:rsidRPr="007959C7">
        <w:rPr>
          <w:rFonts w:ascii="Narkisim" w:hAnsi="Narkisim" w:cs="Narkisim"/>
          <w:rtl/>
        </w:rPr>
        <w:fldChar w:fldCharType="separate"/>
      </w:r>
      <w:r>
        <w:rPr>
          <w:rFonts w:ascii="Narkisim" w:hAnsi="Narkisim" w:cs="Narkisim"/>
          <w:rtl/>
        </w:rPr>
        <w:t>38</w:t>
      </w:r>
      <w:r w:rsidRPr="007959C7">
        <w:rPr>
          <w:rFonts w:ascii="Narkisim" w:hAnsi="Narkisim" w:cs="Narkisim"/>
          <w:rtl/>
        </w:rPr>
        <w:fldChar w:fldCharType="end"/>
      </w:r>
      <w:r w:rsidRPr="007959C7">
        <w:rPr>
          <w:rFonts w:ascii="Narkisim" w:hAnsi="Narkisim" w:cs="Narkisim" w:hint="cs"/>
          <w:rtl/>
        </w:rPr>
        <w:t xml:space="preserve">, בפס' 8 (ד) לפסק שינו של השופט הנדל. </w:t>
      </w:r>
    </w:p>
  </w:footnote>
  <w:footnote w:id="66">
    <w:p w14:paraId="129D7DF9" w14:textId="77777777" w:rsidR="00E0078C" w:rsidRPr="00F82136" w:rsidRDefault="00E0078C" w:rsidP="00E0078C">
      <w:pPr>
        <w:pStyle w:val="FootnoteText"/>
        <w:spacing w:before="120" w:after="120"/>
        <w:ind w:left="454" w:hanging="454"/>
        <w:jc w:val="both"/>
        <w:rPr>
          <w:rFonts w:ascii="Narkisim" w:hAnsi="Narkisim" w:cs="Narkisim"/>
        </w:rPr>
      </w:pPr>
      <w:r w:rsidRPr="00F21C0B">
        <w:rPr>
          <w:rStyle w:val="FootnoteReference"/>
          <w:rFonts w:ascii="Narkisim" w:hAnsi="Narkisim" w:cs="Narkisim"/>
        </w:rPr>
        <w:footnoteRef/>
      </w:r>
      <w:r w:rsidRPr="00F21C0B">
        <w:rPr>
          <w:rStyle w:val="FootnoteReference"/>
          <w:rFonts w:hint="cs"/>
          <w:rtl/>
        </w:rPr>
        <w:t xml:space="preserve"> </w:t>
      </w:r>
      <w:r>
        <w:rPr>
          <w:rFonts w:ascii="Narkisim" w:hAnsi="Narkisim" w:cs="Narkisim"/>
          <w:rtl/>
        </w:rPr>
        <w:tab/>
      </w:r>
      <w:r w:rsidRPr="006C4C3E">
        <w:rPr>
          <w:rFonts w:ascii="Narkisim" w:hAnsi="Narkisim" w:cs="Narkisim"/>
          <w:rtl/>
        </w:rPr>
        <w:t xml:space="preserve">תעיד </w:t>
      </w:r>
      <w:r w:rsidRPr="006C4C3E">
        <w:rPr>
          <w:rFonts w:ascii="Narkisim" w:hAnsi="Narkisim" w:cs="Narkisim"/>
          <w:rtl/>
        </w:rPr>
        <w:t xml:space="preserve">על כך הסטטיסטיקה הישראלית </w:t>
      </w:r>
      <w:r>
        <w:rPr>
          <w:rFonts w:ascii="Narkisim" w:hAnsi="Narkisim" w:cs="Narkisim" w:hint="cs"/>
          <w:rtl/>
        </w:rPr>
        <w:t xml:space="preserve">לפיה 92% מהילדים מתגוררים עם שני הורים וכי רק 11% מכלל המשפחות עם ילדים מתחת לגיל 17 הן משפחות חד הוריות, רובן משפחות של הורים גרושים שככל הנראה הקימו משפחה כזוג. ראו </w:t>
      </w:r>
      <w:r w:rsidRPr="001F61C0">
        <w:rPr>
          <w:rFonts w:ascii="Narkisim" w:hAnsi="Narkisim" w:cs="Narkisim"/>
          <w:rtl/>
        </w:rPr>
        <w:t xml:space="preserve">לשכה המרכזית לסטטיסטיקה "הודעה לתקשורת: משפחות בישראל – נתונים לרגל יום המשפחה" </w:t>
      </w:r>
      <w:r>
        <w:rPr>
          <w:rFonts w:ascii="Narkisim" w:hAnsi="Narkisim" w:cs="Narkisim" w:hint="cs"/>
          <w:rtl/>
        </w:rPr>
        <w:t xml:space="preserve">6 </w:t>
      </w:r>
      <w:r w:rsidRPr="001F61C0">
        <w:rPr>
          <w:rFonts w:ascii="Narkisim" w:hAnsi="Narkisim" w:cs="Narkisim"/>
          <w:rtl/>
        </w:rPr>
        <w:t>(</w:t>
      </w:r>
      <w:r>
        <w:rPr>
          <w:rFonts w:ascii="Narkisim" w:hAnsi="Narkisim" w:cs="Narkisim" w:hint="cs"/>
          <w:rtl/>
        </w:rPr>
        <w:t>10.02.2021</w:t>
      </w:r>
      <w:r w:rsidRPr="001F61C0">
        <w:rPr>
          <w:rFonts w:ascii="Narkisim" w:hAnsi="Narkisim" w:cs="Narkisim"/>
          <w:rtl/>
        </w:rPr>
        <w:t>)</w:t>
      </w:r>
      <w:r>
        <w:rPr>
          <w:rFonts w:ascii="Narkisim" w:hAnsi="Narkisim" w:cs="Narkisim" w:hint="cs"/>
          <w:rtl/>
        </w:rPr>
        <w:t xml:space="preserve"> .</w:t>
      </w:r>
      <w:r w:rsidRPr="006C4C3E">
        <w:rPr>
          <w:rFonts w:ascii="Narkisim" w:hAnsi="Narkisim" w:cs="Narkisim"/>
        </w:rPr>
        <w:t>https://www.cbs.gov.il/he/mediarelease/DocLib/2021/047/11_21_047b.pdf</w:t>
      </w:r>
      <w:r>
        <w:rPr>
          <w:rFonts w:ascii="Narkisim" w:hAnsi="Narkisim" w:cs="Narkisim" w:hint="cs"/>
          <w:rtl/>
        </w:rPr>
        <w:t xml:space="preserve">. </w:t>
      </w:r>
    </w:p>
  </w:footnote>
  <w:footnote w:id="67">
    <w:p w14:paraId="3EF68104" w14:textId="77777777" w:rsidR="00E0078C" w:rsidRPr="00F82136" w:rsidRDefault="00E0078C" w:rsidP="00E0078C">
      <w:pPr>
        <w:pStyle w:val="FootnoteText"/>
        <w:spacing w:before="120" w:after="120"/>
        <w:ind w:left="397" w:hanging="397"/>
        <w:jc w:val="both"/>
        <w:rPr>
          <w:rFonts w:ascii="Narkisim" w:hAnsi="Narkisim" w:cs="Narkisim"/>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rtl/>
        </w:rPr>
        <w:tab/>
      </w:r>
      <w:r w:rsidRPr="00F82136">
        <w:rPr>
          <w:rFonts w:ascii="Narkisim" w:hAnsi="Narkisim" w:cs="Narkisim"/>
          <w:rtl/>
        </w:rPr>
        <w:t xml:space="preserve">ביטוי </w:t>
      </w:r>
      <w:r w:rsidRPr="00F82136">
        <w:rPr>
          <w:rFonts w:ascii="Narkisim" w:hAnsi="Narkisim" w:cs="Narkisim"/>
          <w:rtl/>
        </w:rPr>
        <w:t xml:space="preserve">מובהק להנחה זאת ניתן למצוא בסעיף 8 להנחיות היועץ המשפטי לממשלה בעניין נטילת זרע לאחר המוות ושימוש בו משנת 2003: "ילד בא לעולם, בדרך הטבע, בהסכמה משותפת של איש ואישה. כאשר זוג - איש ואישה, חיים ביחד ומקימים תא משפחתי, אזי ההליך הטבעי והמקובל, וכך בחברה הישראלית, הוא שבשלב מסוים הם מביאים ילד לעולם". </w:t>
      </w:r>
      <w:r>
        <w:rPr>
          <w:rFonts w:ascii="Narkisim" w:hAnsi="Narkisim" w:cs="Narkisim" w:hint="cs"/>
          <w:rtl/>
        </w:rPr>
        <w:t xml:space="preserve">החוקרת כנרת להד מצביעה על ההולדה כתחנה מצופה ומתבקשת מכל זוג בישראל (כאשר הזוגיות כשלעצמה היא תחנה מצופה ומתבקשת שכזאת). ראו בהקשר זה, </w:t>
      </w:r>
      <w:r>
        <w:rPr>
          <w:rFonts w:ascii="Narkisim" w:hAnsi="Narkisim" w:cs="Narkisim" w:hint="cs"/>
        </w:rPr>
        <w:t>K</w:t>
      </w:r>
      <w:r>
        <w:rPr>
          <w:rFonts w:ascii="Narkisim" w:hAnsi="Narkisim" w:cs="Narkisim"/>
        </w:rPr>
        <w:t xml:space="preserve">inneret Lahad, A Table for One – A Critical Reading of Singlehood, Gender and Time (2017), p. 26-37.  </w:t>
      </w:r>
      <w:r>
        <w:rPr>
          <w:rFonts w:ascii="Narkisim" w:hAnsi="Narkisim" w:cs="Narkisim" w:hint="cs"/>
          <w:rtl/>
        </w:rPr>
        <w:t xml:space="preserve"> </w:t>
      </w:r>
      <w:r w:rsidRPr="00F82136">
        <w:rPr>
          <w:rFonts w:ascii="Narkisim" w:hAnsi="Narkisim" w:cs="Narkisim"/>
          <w:rtl/>
        </w:rPr>
        <w:t>יוער, כי על הורות/אי הורות, על אף שהופכת למוכרת יותר, נחשבת עדיין נדירה בישראל</w:t>
      </w:r>
      <w:r>
        <w:rPr>
          <w:rFonts w:ascii="Narkisim" w:hAnsi="Narkisim" w:cs="Narkisim" w:hint="cs"/>
          <w:rtl/>
        </w:rPr>
        <w:t xml:space="preserve"> ובפרט חריגה</w:t>
      </w:r>
      <w:r w:rsidRPr="00F82136">
        <w:rPr>
          <w:rFonts w:ascii="Narkisim" w:hAnsi="Narkisim" w:cs="Narkisim"/>
          <w:rtl/>
        </w:rPr>
        <w:t>, ראו ארנה דונת</w:t>
      </w:r>
      <w:r>
        <w:rPr>
          <w:rFonts w:ascii="Narkisim" w:hAnsi="Narkisim" w:cs="Narkisim" w:hint="cs"/>
          <w:rtl/>
        </w:rPr>
        <w:t>,</w:t>
      </w:r>
      <w:r w:rsidRPr="00F82136">
        <w:rPr>
          <w:rFonts w:ascii="Narkisim" w:hAnsi="Narkisim" w:cs="Narkisim"/>
          <w:rtl/>
        </w:rPr>
        <w:t xml:space="preserve"> </w:t>
      </w:r>
      <w:r>
        <w:rPr>
          <w:rFonts w:ascii="Narkisim" w:hAnsi="Narkisim" w:cs="Narkisim" w:hint="cs"/>
          <w:rtl/>
        </w:rPr>
        <w:t>"</w:t>
      </w:r>
      <w:r w:rsidRPr="009164F2">
        <w:rPr>
          <w:rFonts w:ascii="Narkisim" w:hAnsi="Narkisim" w:cs="Narkisim"/>
          <w:rtl/>
        </w:rPr>
        <w:t>ממני והלאה: הבחירה בחיים בלי ילדים בישראל</w:t>
      </w:r>
      <w:r>
        <w:rPr>
          <w:rFonts w:ascii="Narkisim" w:hAnsi="Narkisim" w:cs="Narkisim" w:hint="cs"/>
          <w:rtl/>
        </w:rPr>
        <w:t>"</w:t>
      </w:r>
      <w:r w:rsidRPr="00F82136">
        <w:rPr>
          <w:rFonts w:ascii="Narkisim" w:hAnsi="Narkisim" w:cs="Narkisim"/>
          <w:rtl/>
        </w:rPr>
        <w:t xml:space="preserve"> (רונן וודלינגר עורך, 2011).</w:t>
      </w:r>
    </w:p>
  </w:footnote>
  <w:footnote w:id="68">
    <w:p w14:paraId="74D22B6B" w14:textId="77777777" w:rsidR="00303C51" w:rsidRPr="00F82136" w:rsidRDefault="00303C51" w:rsidP="00303C51">
      <w:pPr>
        <w:pStyle w:val="FootnoteText"/>
        <w:spacing w:before="120" w:after="120"/>
        <w:ind w:left="454" w:hanging="454"/>
        <w:jc w:val="both"/>
        <w:rPr>
          <w:rFonts w:ascii="Narkisim" w:hAnsi="Narkisim" w:cs="Narkisim"/>
        </w:rPr>
      </w:pPr>
      <w:r w:rsidRPr="00F82136">
        <w:rPr>
          <w:rStyle w:val="FootnoteReference"/>
          <w:rFonts w:ascii="Narkisim" w:hAnsi="Narkisim" w:cs="Narkisim"/>
        </w:rPr>
        <w:footnoteRef/>
      </w:r>
      <w:r w:rsidRPr="00F82136">
        <w:rPr>
          <w:rFonts w:ascii="Narkisim" w:hAnsi="Narkisim" w:cs="Narkisim"/>
          <w:rtl/>
        </w:rPr>
        <w:tab/>
      </w:r>
      <w:r w:rsidRPr="00F82136">
        <w:rPr>
          <w:rFonts w:ascii="Narkisim" w:hAnsi="Narkisim" w:cs="Narkisim"/>
          <w:rtl/>
        </w:rPr>
        <w:t>שחר ליפשיץ "שלילת אבהות בהסכמה"</w:t>
      </w:r>
      <w:r>
        <w:rPr>
          <w:rFonts w:ascii="Narkisim" w:hAnsi="Narkisim" w:cs="Narkisim" w:hint="cs"/>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Ref64712697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65</w:t>
      </w:r>
      <w:r>
        <w:rPr>
          <w:rFonts w:ascii="Narkisim" w:hAnsi="Narkisim" w:cs="Narkisim"/>
          <w:rtl/>
        </w:rPr>
        <w:fldChar w:fldCharType="end"/>
      </w:r>
      <w:r>
        <w:rPr>
          <w:rFonts w:ascii="Narkisim" w:hAnsi="Narkisim" w:cs="Narkisim" w:hint="cs"/>
          <w:rtl/>
        </w:rPr>
        <w:t xml:space="preserve">, </w:t>
      </w:r>
      <w:r w:rsidRPr="00F82136">
        <w:rPr>
          <w:rFonts w:ascii="Narkisim" w:hAnsi="Narkisim" w:cs="Narkisim"/>
          <w:rtl/>
        </w:rPr>
        <w:t xml:space="preserve">הטקסט שליד ה"ש </w:t>
      </w:r>
      <w:r>
        <w:rPr>
          <w:rFonts w:ascii="Narkisim" w:hAnsi="Narkisim" w:cs="Narkisim" w:hint="cs"/>
          <w:rtl/>
        </w:rPr>
        <w:t>40.</w:t>
      </w:r>
    </w:p>
  </w:footnote>
  <w:footnote w:id="69">
    <w:p w14:paraId="3DD8A706"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פרשנות זו</w:t>
      </w:r>
      <w:r w:rsidRPr="00F82136">
        <w:rPr>
          <w:rFonts w:ascii="Narkisim" w:hAnsi="Narkisim" w:cs="Narkisim"/>
        </w:rPr>
        <w:t xml:space="preserve"> </w:t>
      </w:r>
      <w:r w:rsidRPr="00F82136">
        <w:rPr>
          <w:rFonts w:ascii="Narkisim" w:hAnsi="Narkisim" w:cs="Narkisim"/>
          <w:rtl/>
        </w:rPr>
        <w:t xml:space="preserve">מוצאת לה ביטוי בפסק דינם של השופטים בבג"ץ </w:t>
      </w:r>
      <w:r w:rsidRPr="00F82136">
        <w:rPr>
          <w:rFonts w:ascii="Narkisim" w:hAnsi="Narkisim" w:cs="Narkisim"/>
          <w:b/>
          <w:bCs/>
          <w:rtl/>
        </w:rPr>
        <w:t>צור-וייסלברג</w:t>
      </w:r>
      <w:r w:rsidRPr="00F82136">
        <w:rPr>
          <w:rFonts w:ascii="Narkisim" w:hAnsi="Narkisim" w:cs="Narkisim"/>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Ref80948643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2</w:t>
      </w:r>
      <w:r>
        <w:rPr>
          <w:rFonts w:ascii="Narkisim" w:hAnsi="Narkisim" w:cs="Narkisim"/>
          <w:rtl/>
        </w:rPr>
        <w:fldChar w:fldCharType="end"/>
      </w:r>
      <w:r>
        <w:rPr>
          <w:rFonts w:ascii="Narkisim" w:hAnsi="Narkisim" w:cs="Narkisim" w:hint="cs"/>
          <w:rtl/>
        </w:rPr>
        <w:t>.</w:t>
      </w:r>
      <w:r w:rsidRPr="00F82136">
        <w:rPr>
          <w:rFonts w:ascii="Narkisim" w:hAnsi="Narkisim" w:cs="Narkisim"/>
          <w:rtl/>
        </w:rPr>
        <w:t xml:space="preserve"> ראו את הדיון להלן בפרק </w:t>
      </w:r>
      <w:r>
        <w:rPr>
          <w:rFonts w:ascii="Narkisim" w:hAnsi="Narkisim" w:cs="Narkisim" w:hint="cs"/>
          <w:rtl/>
        </w:rPr>
        <w:t>ד</w:t>
      </w:r>
      <w:r w:rsidRPr="00F82136">
        <w:rPr>
          <w:rFonts w:ascii="Narkisim" w:hAnsi="Narkisim" w:cs="Narkisim"/>
          <w:rtl/>
        </w:rPr>
        <w:t>1.</w:t>
      </w:r>
    </w:p>
  </w:footnote>
  <w:footnote w:id="70">
    <w:p w14:paraId="165CA032" w14:textId="77777777" w:rsidR="00303C51" w:rsidRPr="00F82136" w:rsidRDefault="00303C51" w:rsidP="00303C51">
      <w:pPr>
        <w:pStyle w:val="FootnoteText"/>
        <w:spacing w:before="120" w:after="120"/>
        <w:ind w:left="454" w:hanging="454"/>
        <w:rPr>
          <w:rFonts w:ascii="Narkisim" w:hAnsi="Narkisim" w:cs="Narkisim"/>
          <w:rtl/>
        </w:rPr>
      </w:pPr>
      <w:r w:rsidRPr="00F21C0B">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בג"ץ 781/15 </w:t>
      </w:r>
      <w:r w:rsidRPr="00F82136">
        <w:rPr>
          <w:rFonts w:ascii="Narkisim" w:hAnsi="Narkisim" w:cs="Narkisim"/>
          <w:b/>
          <w:bCs/>
          <w:rtl/>
        </w:rPr>
        <w:t>ארד-פנקס נ' הוועדה לאישור הסכמים לנשיאת עוברים</w:t>
      </w:r>
      <w:r w:rsidRPr="00F82136">
        <w:rPr>
          <w:rFonts w:ascii="Narkisim" w:hAnsi="Narkisim" w:cs="Narkisim"/>
          <w:rtl/>
        </w:rPr>
        <w:t xml:space="preserve"> (פורסם בנבו, 27.2.2020)</w:t>
      </w:r>
      <w:r>
        <w:rPr>
          <w:rFonts w:ascii="Narkisim" w:hAnsi="Narkisim" w:cs="Narkisim" w:hint="cs"/>
          <w:rtl/>
        </w:rPr>
        <w:t xml:space="preserve"> (להלן: עניין </w:t>
      </w:r>
      <w:r w:rsidRPr="00AA46A4">
        <w:rPr>
          <w:rFonts w:ascii="Narkisim" w:hAnsi="Narkisim" w:cs="Narkisim" w:hint="cs"/>
          <w:b/>
          <w:bCs/>
          <w:rtl/>
        </w:rPr>
        <w:t>ארד פנקס 2020</w:t>
      </w:r>
      <w:r>
        <w:rPr>
          <w:rFonts w:ascii="Narkisim" w:hAnsi="Narkisim" w:cs="Narkisim" w:hint="cs"/>
          <w:rtl/>
        </w:rPr>
        <w:t>)</w:t>
      </w:r>
      <w:r w:rsidRPr="00F82136">
        <w:rPr>
          <w:rFonts w:ascii="Narkisim" w:hAnsi="Narkisim" w:cs="Narkisim"/>
          <w:rtl/>
        </w:rPr>
        <w:t>.</w:t>
      </w:r>
    </w:p>
  </w:footnote>
  <w:footnote w:id="71">
    <w:p w14:paraId="7A7A6305" w14:textId="77777777" w:rsidR="00303C51" w:rsidRPr="00F82136" w:rsidRDefault="00303C51" w:rsidP="00303C51">
      <w:pPr>
        <w:pStyle w:val="FootnoteText"/>
        <w:spacing w:before="120" w:after="120"/>
        <w:ind w:left="454" w:hanging="454"/>
        <w:rPr>
          <w:rFonts w:ascii="Narkisim" w:hAnsi="Narkisim" w:cs="Narkisim"/>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rtl/>
        </w:rPr>
        <w:tab/>
      </w:r>
      <w:r>
        <w:rPr>
          <w:rFonts w:ascii="Narkisim" w:hAnsi="Narkisim" w:cs="Narkisim" w:hint="cs"/>
          <w:rtl/>
        </w:rPr>
        <w:t xml:space="preserve">עניין </w:t>
      </w:r>
      <w:r w:rsidRPr="001E28A7">
        <w:rPr>
          <w:rFonts w:ascii="Narkisim" w:hAnsi="Narkisim" w:cs="Narkisim" w:hint="cs"/>
          <w:b/>
          <w:bCs/>
          <w:rtl/>
        </w:rPr>
        <w:t>ממט</w:t>
      </w:r>
      <w:r>
        <w:rPr>
          <w:rFonts w:ascii="Narkisim" w:hAnsi="Narkisim" w:cs="Narkisim" w:hint="cs"/>
          <w:rtl/>
        </w:rPr>
        <w:t xml:space="preserve">, לעיל </w:t>
      </w:r>
      <w:r w:rsidRPr="00F82136">
        <w:rPr>
          <w:rFonts w:ascii="Narkisim" w:hAnsi="Narkisim" w:cs="Narkisim"/>
          <w:rtl/>
        </w:rPr>
        <w:t xml:space="preserve">ה"ש </w:t>
      </w:r>
      <w:r w:rsidRPr="00F82136">
        <w:rPr>
          <w:rFonts w:ascii="Narkisim" w:hAnsi="Narkisim" w:cs="Narkisim"/>
          <w:rtl/>
        </w:rPr>
        <w:fldChar w:fldCharType="begin"/>
      </w:r>
      <w:r w:rsidRPr="00F82136">
        <w:rPr>
          <w:rFonts w:ascii="Narkisim" w:hAnsi="Narkisim" w:cs="Narkisim"/>
          <w:rtl/>
        </w:rPr>
        <w:instrText xml:space="preserve"> </w:instrText>
      </w:r>
      <w:r w:rsidRPr="00F82136">
        <w:rPr>
          <w:rFonts w:ascii="Narkisim" w:hAnsi="Narkisim" w:cs="Narkisim"/>
        </w:rPr>
        <w:instrText>NOTEREF</w:instrText>
      </w:r>
      <w:r w:rsidRPr="00F82136">
        <w:rPr>
          <w:rFonts w:ascii="Narkisim" w:hAnsi="Narkisim" w:cs="Narkisim"/>
          <w:rtl/>
        </w:rPr>
        <w:instrText xml:space="preserve"> _</w:instrText>
      </w:r>
      <w:r w:rsidRPr="00F82136">
        <w:rPr>
          <w:rFonts w:ascii="Narkisim" w:hAnsi="Narkisim" w:cs="Narkisim"/>
        </w:rPr>
        <w:instrText>Ref80948282 \h</w:instrText>
      </w:r>
      <w:r w:rsidRPr="00F82136">
        <w:rPr>
          <w:rFonts w:ascii="Narkisim" w:hAnsi="Narkisim" w:cs="Narkisim"/>
          <w:rtl/>
        </w:rPr>
        <w:instrText xml:space="preserve">  \* </w:instrText>
      </w:r>
      <w:r w:rsidRPr="00F82136">
        <w:rPr>
          <w:rFonts w:ascii="Narkisim" w:hAnsi="Narkisim" w:cs="Narkisim"/>
        </w:rPr>
        <w:instrText>MERGEFORMAT</w:instrText>
      </w:r>
      <w:r w:rsidRPr="00F82136">
        <w:rPr>
          <w:rFonts w:ascii="Narkisim" w:hAnsi="Narkisim" w:cs="Narkisim"/>
          <w:rtl/>
        </w:rPr>
        <w:instrText xml:space="preserve"> </w:instrText>
      </w:r>
      <w:r w:rsidRPr="00F82136">
        <w:rPr>
          <w:rFonts w:ascii="Narkisim" w:hAnsi="Narkisim" w:cs="Narkisim"/>
          <w:rtl/>
        </w:rPr>
      </w:r>
      <w:r w:rsidRPr="00F82136">
        <w:rPr>
          <w:rFonts w:ascii="Narkisim" w:hAnsi="Narkisim" w:cs="Narkisim"/>
          <w:rtl/>
        </w:rPr>
        <w:fldChar w:fldCharType="separate"/>
      </w:r>
      <w:r>
        <w:rPr>
          <w:rFonts w:ascii="Narkisim" w:hAnsi="Narkisim" w:cs="Narkisim"/>
          <w:rtl/>
        </w:rPr>
        <w:t>6</w:t>
      </w:r>
      <w:r w:rsidRPr="00F82136">
        <w:rPr>
          <w:rFonts w:ascii="Narkisim" w:hAnsi="Narkisim" w:cs="Narkisim"/>
          <w:rtl/>
        </w:rPr>
        <w:fldChar w:fldCharType="end"/>
      </w:r>
      <w:r>
        <w:rPr>
          <w:rFonts w:ascii="Narkisim" w:hAnsi="Narkisim" w:cs="Narkisim" w:hint="cs"/>
          <w:rtl/>
        </w:rPr>
        <w:t>, פס' 20-21 לפסק דינה של המשנה לנשיאה נאור;</w:t>
      </w:r>
      <w:r>
        <w:rPr>
          <w:rFonts w:ascii="Narkisim" w:hAnsi="Narkisim" w:cs="Narkisim" w:hint="cs"/>
        </w:rPr>
        <w:t xml:space="preserve"> </w:t>
      </w:r>
      <w:r>
        <w:rPr>
          <w:rFonts w:ascii="Narkisim" w:hAnsi="Narkisim" w:cs="Narkisim" w:hint="cs"/>
          <w:rtl/>
        </w:rPr>
        <w:t>פס' 6א לפסק דינה של השופטת ארבל.</w:t>
      </w:r>
      <w:r>
        <w:rPr>
          <w:rFonts w:ascii="Narkisim" w:hAnsi="Narkisim" w:cs="Narkisim" w:hint="cs"/>
        </w:rPr>
        <w:t xml:space="preserve"> </w:t>
      </w:r>
      <w:r>
        <w:rPr>
          <w:rFonts w:ascii="Narkisim" w:hAnsi="Narkisim" w:cs="Narkisim" w:hint="cs"/>
          <w:rtl/>
        </w:rPr>
        <w:t>ואף נראה שגם השופט ג'ובראן (שם, בפס' 42 לפסק דינו) והשופט רובינשטיי</w:t>
      </w:r>
      <w:r>
        <w:rPr>
          <w:rFonts w:ascii="Narkisim" w:hAnsi="Narkisim" w:cs="Narkisim" w:hint="eastAsia"/>
          <w:rtl/>
        </w:rPr>
        <w:t>ן</w:t>
      </w:r>
      <w:r>
        <w:rPr>
          <w:rFonts w:ascii="Narkisim" w:hAnsi="Narkisim" w:cs="Narkisim" w:hint="cs"/>
          <w:rtl/>
        </w:rPr>
        <w:t xml:space="preserve"> (שם, בפס' 11(ד) לפסק דינו) הסכימו לעניין חשיבות אינטרס זה.</w:t>
      </w:r>
    </w:p>
  </w:footnote>
  <w:footnote w:id="72">
    <w:p w14:paraId="4435B43F" w14:textId="77777777" w:rsidR="00303C51" w:rsidRPr="00F82136" w:rsidRDefault="00303C51" w:rsidP="00303C51">
      <w:pPr>
        <w:pStyle w:val="FootnoteText"/>
        <w:spacing w:before="120" w:after="120"/>
        <w:ind w:left="454" w:hanging="454"/>
        <w:jc w:val="both"/>
        <w:rPr>
          <w:rFonts w:ascii="Narkisim" w:hAnsi="Narkisim" w:cs="Narkisim"/>
          <w:lang w:eastAsia="he-IL"/>
        </w:rPr>
      </w:pPr>
      <w:r w:rsidRPr="00F21C0B">
        <w:rPr>
          <w:rStyle w:val="FootnoteReference"/>
          <w:rFonts w:ascii="Narkisim" w:hAnsi="Narkisim" w:cs="Narkisim"/>
        </w:rPr>
        <w:footnoteRef/>
      </w:r>
      <w:r w:rsidRPr="00F21C0B">
        <w:rPr>
          <w:rStyle w:val="FootnoteReference"/>
          <w:rFonts w:hint="cs"/>
          <w:rtl/>
        </w:rPr>
        <w:t xml:space="preserve"> </w:t>
      </w:r>
      <w:r>
        <w:rPr>
          <w:rFonts w:ascii="Narkisim" w:hAnsi="Narkisim" w:cs="Narkisim"/>
          <w:rtl/>
          <w:lang w:eastAsia="he-IL"/>
        </w:rPr>
        <w:tab/>
      </w:r>
      <w:r w:rsidRPr="00F82136">
        <w:rPr>
          <w:rFonts w:ascii="Narkisim" w:hAnsi="Narkisim" w:cs="Narkisim"/>
          <w:rtl/>
          <w:lang w:eastAsia="he-IL"/>
        </w:rPr>
        <w:t xml:space="preserve">ראו </w:t>
      </w:r>
      <w:r w:rsidRPr="00F82136">
        <w:rPr>
          <w:rFonts w:ascii="Narkisim" w:hAnsi="Narkisim" w:cs="Narkisim"/>
          <w:rtl/>
          <w:lang w:eastAsia="he-IL"/>
        </w:rPr>
        <w:t xml:space="preserve">עניין </w:t>
      </w:r>
      <w:r w:rsidRPr="00F82136">
        <w:rPr>
          <w:rFonts w:ascii="Narkisim" w:hAnsi="Narkisim" w:cs="Narkisim"/>
          <w:b/>
          <w:bCs/>
          <w:rtl/>
          <w:lang w:eastAsia="he-IL"/>
        </w:rPr>
        <w:t>פלונית</w:t>
      </w:r>
      <w:r w:rsidRPr="00F82136">
        <w:rPr>
          <w:rFonts w:ascii="Narkisim" w:hAnsi="Narkisim" w:cs="Narkisim"/>
          <w:rtl/>
          <w:lang w:eastAsia="he-IL"/>
        </w:rPr>
        <w:t xml:space="preserve"> </w:t>
      </w:r>
      <w:r>
        <w:rPr>
          <w:rFonts w:ascii="Narkisim" w:hAnsi="Narkisim" w:cs="Narkisim" w:hint="cs"/>
          <w:rtl/>
          <w:lang w:eastAsia="he-IL"/>
        </w:rPr>
        <w:t xml:space="preserve">2015ב, </w:t>
      </w:r>
      <w:r w:rsidRPr="00F82136">
        <w:rPr>
          <w:rFonts w:ascii="Narkisim" w:hAnsi="Narkisim" w:cs="Narkisim"/>
          <w:rtl/>
        </w:rPr>
        <w:t>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Ref80950598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56</w:t>
      </w:r>
      <w:r>
        <w:rPr>
          <w:rFonts w:ascii="Narkisim" w:hAnsi="Narkisim" w:cs="Narkisim"/>
          <w:rtl/>
        </w:rPr>
        <w:fldChar w:fldCharType="end"/>
      </w:r>
      <w:r w:rsidRPr="00F82136">
        <w:rPr>
          <w:rFonts w:ascii="Narkisim" w:hAnsi="Narkisim" w:cs="Narkisim"/>
          <w:rtl/>
          <w:lang w:eastAsia="he-IL"/>
        </w:rPr>
        <w:t>, פס' 8 לפסק דינו של השופט הנדל.</w:t>
      </w:r>
    </w:p>
  </w:footnote>
  <w:footnote w:id="73">
    <w:p w14:paraId="5B50B16C" w14:textId="77777777" w:rsidR="00303C51" w:rsidRPr="00F82136" w:rsidRDefault="00303C51" w:rsidP="00303C51">
      <w:pPr>
        <w:pStyle w:val="FootnoteText"/>
        <w:spacing w:before="120" w:after="120"/>
        <w:ind w:left="454" w:hanging="454"/>
        <w:jc w:val="both"/>
        <w:rPr>
          <w:rFonts w:ascii="Narkisim" w:hAnsi="Narkisim" w:cs="Narkisim"/>
          <w:rtl/>
        </w:rPr>
      </w:pPr>
      <w:r w:rsidRPr="00F21C0B">
        <w:rPr>
          <w:rStyle w:val="FootnoteReference"/>
          <w:rFonts w:ascii="Narkisim" w:hAnsi="Narkisim" w:cs="Narkisim"/>
        </w:rPr>
        <w:footnoteRef/>
      </w:r>
      <w:r w:rsidRPr="00F82136">
        <w:rPr>
          <w:rFonts w:ascii="Narkisim" w:hAnsi="Narkisim" w:cs="Narkisim"/>
          <w:rtl/>
          <w:lang w:eastAsia="he-IL"/>
        </w:rPr>
        <w:tab/>
      </w:r>
      <w:r w:rsidRPr="00F82136">
        <w:rPr>
          <w:rFonts w:ascii="Narkisim" w:hAnsi="Narkisim" w:cs="Narkisim"/>
          <w:rtl/>
          <w:lang w:eastAsia="he-IL"/>
        </w:rPr>
        <w:t>שם.</w:t>
      </w:r>
    </w:p>
  </w:footnote>
  <w:footnote w:id="74">
    <w:p w14:paraId="41B36296" w14:textId="77777777" w:rsidR="00303C51" w:rsidRPr="00BD5D8A" w:rsidRDefault="00303C51" w:rsidP="00303C51">
      <w:pPr>
        <w:pStyle w:val="FootnoteText"/>
        <w:spacing w:before="120" w:after="120"/>
        <w:ind w:left="454" w:hanging="454"/>
        <w:jc w:val="both"/>
        <w:rPr>
          <w:rFonts w:ascii="Narkisim" w:hAnsi="Narkisim" w:cs="Narkisim"/>
          <w:rtl/>
        </w:rPr>
      </w:pPr>
      <w:r w:rsidRPr="00F21C0B">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BD5D8A">
        <w:rPr>
          <w:rFonts w:ascii="Narkisim" w:hAnsi="Narkisim" w:cs="Narkisim" w:hint="cs"/>
        </w:rPr>
        <w:t>"</w:t>
      </w:r>
      <w:r w:rsidRPr="00BD5D8A">
        <w:rPr>
          <w:rFonts w:ascii="Narkisim" w:hAnsi="Narkisim" w:cs="Narkisim" w:hint="cs"/>
          <w:rtl/>
        </w:rPr>
        <w:t>נטילת זרע לאחר המוות ושימוש בו</w:t>
      </w:r>
      <w:r>
        <w:rPr>
          <w:rFonts w:ascii="Narkisim" w:hAnsi="Narkisim" w:cs="Narkisim" w:hint="cs"/>
          <w:rtl/>
        </w:rPr>
        <w:t>"</w:t>
      </w:r>
      <w:r w:rsidRPr="00BD5D8A">
        <w:rPr>
          <w:rFonts w:ascii="Narkisim" w:hAnsi="Narkisim" w:cs="Narkisim" w:hint="cs"/>
        </w:rPr>
        <w:t> </w:t>
      </w:r>
      <w:r w:rsidRPr="00BD5D8A">
        <w:rPr>
          <w:rFonts w:ascii="Narkisim" w:hAnsi="Narkisim" w:cs="Narkisim" w:hint="cs"/>
          <w:b/>
          <w:bCs/>
          <w:rtl/>
        </w:rPr>
        <w:t>הנחיות היועץ המשפטי לממשלה</w:t>
      </w:r>
      <w:r w:rsidRPr="00BD5D8A">
        <w:rPr>
          <w:rFonts w:ascii="Narkisim" w:hAnsi="Narkisim" w:cs="Narkisim" w:hint="cs"/>
          <w:rtl/>
        </w:rPr>
        <w:t> </w:t>
      </w:r>
      <w:r>
        <w:rPr>
          <w:rFonts w:ascii="Narkisim" w:hAnsi="Narkisim" w:cs="Narkisim" w:hint="cs"/>
          <w:rtl/>
        </w:rPr>
        <w:t>(אוקטובר, 2003; מספר הנחיה: 1.2200)'',</w:t>
      </w:r>
      <w:r>
        <w:rPr>
          <w:rFonts w:ascii="Narkisim" w:hAnsi="Narkisim" w:cs="Narkisim" w:hint="cs"/>
        </w:rPr>
        <w:t xml:space="preserve"> </w:t>
      </w:r>
      <w:r>
        <w:rPr>
          <w:rFonts w:ascii="Narkisim" w:hAnsi="Narkisim" w:cs="Narkisim"/>
        </w:rPr>
        <w:t xml:space="preserve"> </w:t>
      </w:r>
      <w:hyperlink r:id="rId3" w:history="1">
        <w:r w:rsidRPr="00E30AEA">
          <w:rPr>
            <w:rStyle w:val="Hyperlink"/>
            <w:rFonts w:ascii="Narkisim" w:hAnsi="Narkisim" w:cs="Narkisim"/>
          </w:rPr>
          <w:t>https://www.justice.gov.il/Units/YoezMespati/HanchayotNew/Seven/12202.pdf</w:t>
        </w:r>
      </w:hyperlink>
      <w:r>
        <w:rPr>
          <w:rFonts w:ascii="Narkisim" w:hAnsi="Narkisim" w:cs="Narkisim"/>
        </w:rPr>
        <w:t xml:space="preserve"> </w:t>
      </w:r>
      <w:r>
        <w:rPr>
          <w:rFonts w:ascii="Narkisim" w:hAnsi="Narkisim" w:cs="Narkisim" w:hint="cs"/>
          <w:rtl/>
        </w:rPr>
        <w:t>(</w:t>
      </w:r>
      <w:r w:rsidRPr="00BD5D8A">
        <w:rPr>
          <w:rFonts w:ascii="Narkisim" w:hAnsi="Narkisim" w:cs="Narkisim" w:hint="cs"/>
          <w:rtl/>
        </w:rPr>
        <w:t>ל</w:t>
      </w:r>
      <w:r>
        <w:rPr>
          <w:rFonts w:ascii="Narkisim" w:hAnsi="Narkisim" w:cs="Narkisim" w:hint="cs"/>
          <w:rtl/>
        </w:rPr>
        <w:t>הלן: הנחיות היועץ).</w:t>
      </w:r>
    </w:p>
  </w:footnote>
  <w:footnote w:id="75">
    <w:p w14:paraId="19D9F2FB" w14:textId="77777777" w:rsidR="00303C51" w:rsidRPr="00F82136" w:rsidRDefault="00303C51" w:rsidP="00303C51">
      <w:pPr>
        <w:pStyle w:val="FootnoteText"/>
        <w:spacing w:before="120" w:after="120"/>
        <w:ind w:left="454" w:hanging="454"/>
        <w:jc w:val="both"/>
        <w:rPr>
          <w:rFonts w:ascii="Narkisim" w:hAnsi="Narkisim" w:cs="Narkisim"/>
          <w:lang w:eastAsia="he-IL"/>
        </w:rPr>
      </w:pPr>
      <w:r w:rsidRPr="00F21C0B">
        <w:rPr>
          <w:rStyle w:val="FootnoteReference"/>
          <w:rFonts w:ascii="Narkisim" w:hAnsi="Narkisim" w:cs="Narkisim"/>
        </w:rPr>
        <w:footnoteRef/>
      </w:r>
      <w:r w:rsidRPr="00F21C0B">
        <w:rPr>
          <w:rStyle w:val="FootnoteReference"/>
          <w:rtl/>
        </w:rPr>
        <w:t xml:space="preserve"> </w:t>
      </w:r>
      <w:r>
        <w:rPr>
          <w:rtl/>
        </w:rPr>
        <w:tab/>
      </w:r>
      <w:r w:rsidRPr="001206E6">
        <w:rPr>
          <w:rFonts w:ascii="Narkisim" w:hAnsi="Narkisim" w:cs="Narkisim" w:hint="cs"/>
          <w:rtl/>
          <w:lang w:eastAsia="he-IL"/>
        </w:rPr>
        <w:t xml:space="preserve">שם, </w:t>
      </w:r>
      <w:r w:rsidRPr="001206E6">
        <w:rPr>
          <w:rFonts w:ascii="Narkisim" w:hAnsi="Narkisim" w:cs="Narkisim" w:hint="cs"/>
          <w:rtl/>
          <w:lang w:eastAsia="he-IL"/>
        </w:rPr>
        <w:t>ב</w:t>
      </w:r>
      <w:r w:rsidRPr="00F82136">
        <w:rPr>
          <w:rFonts w:ascii="Narkisim" w:hAnsi="Narkisim" w:cs="Narkisim"/>
          <w:rtl/>
          <w:lang w:eastAsia="he-IL"/>
        </w:rPr>
        <w:t>סעיף 3</w:t>
      </w:r>
      <w:r>
        <w:rPr>
          <w:rFonts w:ascii="Narkisim" w:hAnsi="Narkisim" w:cs="Narkisim" w:hint="cs"/>
          <w:rtl/>
          <w:lang w:eastAsia="he-IL"/>
        </w:rPr>
        <w:t>.</w:t>
      </w:r>
    </w:p>
  </w:footnote>
  <w:footnote w:id="76">
    <w:p w14:paraId="594B3C88" w14:textId="77777777" w:rsidR="00303C51" w:rsidRPr="00F82136" w:rsidRDefault="00303C51" w:rsidP="00303C51">
      <w:pPr>
        <w:pStyle w:val="FootnoteText"/>
        <w:spacing w:before="120" w:after="120"/>
        <w:ind w:left="454" w:hanging="454"/>
        <w:jc w:val="both"/>
        <w:rPr>
          <w:rFonts w:ascii="Narkisim" w:hAnsi="Narkisim" w:cs="Narkisim"/>
          <w:lang w:eastAsia="he-IL"/>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rtl/>
        </w:rPr>
        <w:tab/>
      </w:r>
      <w:r w:rsidRPr="001206E6">
        <w:rPr>
          <w:rFonts w:ascii="Narkisim" w:hAnsi="Narkisim" w:cs="Narkisim" w:hint="cs"/>
          <w:rtl/>
          <w:lang w:eastAsia="he-IL"/>
        </w:rPr>
        <w:t>שם, ב</w:t>
      </w:r>
      <w:r w:rsidRPr="00F82136">
        <w:rPr>
          <w:rFonts w:ascii="Narkisim" w:hAnsi="Narkisim" w:cs="Narkisim"/>
          <w:rtl/>
          <w:lang w:eastAsia="he-IL"/>
        </w:rPr>
        <w:t xml:space="preserve">סעיף </w:t>
      </w:r>
      <w:r>
        <w:rPr>
          <w:rFonts w:ascii="Narkisim" w:hAnsi="Narkisim" w:cs="Narkisim" w:hint="cs"/>
          <w:rtl/>
          <w:lang w:eastAsia="he-IL"/>
        </w:rPr>
        <w:t>19.</w:t>
      </w:r>
    </w:p>
  </w:footnote>
  <w:footnote w:id="77">
    <w:p w14:paraId="365E13D6" w14:textId="77777777" w:rsidR="00303C51" w:rsidRPr="00F82136" w:rsidRDefault="00303C51" w:rsidP="00303C51">
      <w:pPr>
        <w:pStyle w:val="FootnoteText"/>
        <w:spacing w:before="120" w:after="120"/>
        <w:ind w:left="454" w:hanging="454"/>
        <w:jc w:val="both"/>
        <w:rPr>
          <w:rFonts w:ascii="Narkisim" w:hAnsi="Narkisim" w:cs="Narkisim"/>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rtl/>
        </w:rPr>
        <w:tab/>
      </w:r>
      <w:r w:rsidRPr="00F82136">
        <w:rPr>
          <w:rFonts w:ascii="Narkisim" w:hAnsi="Narkisim" w:cs="Narkisim"/>
          <w:rtl/>
        </w:rPr>
        <w:t xml:space="preserve">שם. </w:t>
      </w:r>
    </w:p>
  </w:footnote>
  <w:footnote w:id="78">
    <w:p w14:paraId="522BB7D5" w14:textId="77777777" w:rsidR="00303C51" w:rsidRPr="00F82136" w:rsidRDefault="00303C51" w:rsidP="00303C51">
      <w:pPr>
        <w:pStyle w:val="FootnoteText"/>
        <w:spacing w:before="120" w:after="120"/>
        <w:ind w:left="454" w:hanging="454"/>
        <w:jc w:val="both"/>
        <w:rPr>
          <w:rFonts w:ascii="Narkisim" w:hAnsi="Narkisim" w:cs="Narkisim"/>
          <w:rtl/>
        </w:rPr>
      </w:pPr>
      <w:r w:rsidRPr="00F21C0B">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לסקירת ההתפתחויות בפסיקה בהקשר זה ראו יחזקאל מרגלית "מת ל(ה)חיות – על הגבולות הנורמטיביים הרצויים של עשיית שימוש ברצון הנפטר להולדת ילדים לאחר מותו" כד </w:t>
      </w:r>
      <w:r w:rsidRPr="00F82136">
        <w:rPr>
          <w:rFonts w:ascii="Narkisim" w:hAnsi="Narkisim" w:cs="Narkisim"/>
          <w:b/>
          <w:bCs/>
          <w:rtl/>
        </w:rPr>
        <w:t>משפט ועסקים</w:t>
      </w:r>
      <w:r w:rsidRPr="00F82136">
        <w:rPr>
          <w:rFonts w:ascii="Narkisim" w:hAnsi="Narkisim" w:cs="Narkisim"/>
          <w:rtl/>
        </w:rPr>
        <w:t xml:space="preserve"> 223 (צפוי להתפרסם 2021).</w:t>
      </w:r>
    </w:p>
  </w:footnote>
  <w:footnote w:id="79">
    <w:p w14:paraId="72383DF8" w14:textId="77777777" w:rsidR="00303C51" w:rsidRDefault="00303C51" w:rsidP="00303C51">
      <w:pPr>
        <w:pStyle w:val="FootnoteText"/>
        <w:spacing w:before="120" w:after="120"/>
        <w:ind w:left="397" w:hanging="397"/>
        <w:jc w:val="both"/>
        <w:rPr>
          <w:rtl/>
        </w:rPr>
      </w:pPr>
      <w:r w:rsidRPr="00F21C0B">
        <w:rPr>
          <w:rStyle w:val="FootnoteReference"/>
          <w:rFonts w:ascii="Narkisim" w:hAnsi="Narkisim" w:cs="Narkisim"/>
        </w:rPr>
        <w:footnoteRef/>
      </w:r>
      <w:r w:rsidRPr="00F21C0B">
        <w:rPr>
          <w:rStyle w:val="FootnoteReference"/>
          <w:rFonts w:ascii="Narkisim" w:hAnsi="Narkisim" w:cs="Narkisim"/>
          <w:rtl/>
        </w:rPr>
        <w:t xml:space="preserve"> </w:t>
      </w:r>
      <w:r>
        <w:rPr>
          <w:rtl/>
        </w:rPr>
        <w:tab/>
      </w:r>
      <w:r w:rsidRPr="00F82136">
        <w:rPr>
          <w:rFonts w:ascii="Narkisim" w:hAnsi="Narkisim" w:cs="Narkisim"/>
          <w:rtl/>
        </w:rPr>
        <w:t xml:space="preserve">בע"מ </w:t>
      </w:r>
      <w:r w:rsidRPr="00F82136">
        <w:rPr>
          <w:rFonts w:ascii="Narkisim" w:hAnsi="Narkisim" w:cs="Narkisim"/>
          <w:rtl/>
        </w:rPr>
        <w:t xml:space="preserve">7141/15 </w:t>
      </w:r>
      <w:r w:rsidRPr="00F82136">
        <w:rPr>
          <w:rFonts w:ascii="Narkisim" w:hAnsi="Narkisim" w:cs="Narkisim"/>
          <w:b/>
          <w:bCs/>
          <w:rtl/>
        </w:rPr>
        <w:t>פלונית נ' פלונית</w:t>
      </w:r>
      <w:r w:rsidRPr="00F82136">
        <w:rPr>
          <w:rFonts w:ascii="Narkisim" w:hAnsi="Narkisim" w:cs="Narkisim"/>
          <w:rtl/>
        </w:rPr>
        <w:t xml:space="preserve"> (פורסם בנבו, ‏22.12.16)</w:t>
      </w:r>
      <w:r>
        <w:rPr>
          <w:rFonts w:ascii="Narkisim" w:hAnsi="Narkisim" w:cs="Narkisim" w:hint="cs"/>
          <w:rtl/>
        </w:rPr>
        <w:t xml:space="preserve">. </w:t>
      </w:r>
      <w:r w:rsidRPr="00F82136">
        <w:rPr>
          <w:rFonts w:ascii="Narkisim" w:hAnsi="Narkisim" w:cs="Narkisim"/>
          <w:rtl/>
        </w:rPr>
        <w:t>עם זאת חשוב לציין כי בערכאות הדיוניות קוראים תיגר על מגמת הצמצום שהוכתבה בבית המשפט העליון ומבקשים להקנות מעמד בהחלטה להוריו של המנוח.</w:t>
      </w:r>
    </w:p>
  </w:footnote>
  <w:footnote w:id="80">
    <w:p w14:paraId="72AE39E5" w14:textId="77777777" w:rsidR="00303C51" w:rsidRPr="00F82136" w:rsidRDefault="00303C51" w:rsidP="00303C51">
      <w:pPr>
        <w:pStyle w:val="FootnoteText"/>
        <w:spacing w:before="120" w:after="120"/>
        <w:ind w:left="454" w:hanging="454"/>
        <w:jc w:val="both"/>
        <w:rPr>
          <w:rFonts w:ascii="Narkisim" w:hAnsi="Narkisim" w:cs="Narkisim"/>
          <w:rtl/>
        </w:rPr>
      </w:pPr>
      <w:r w:rsidRPr="00F21C0B">
        <w:rPr>
          <w:rStyle w:val="FootnoteReference"/>
          <w:rFonts w:ascii="Narkisim" w:hAnsi="Narkisim" w:cs="Narkisim"/>
        </w:rPr>
        <w:footnoteRef/>
      </w:r>
      <w:r w:rsidRPr="00F21C0B">
        <w:rPr>
          <w:rStyle w:val="FootnoteReference"/>
          <w:rtl/>
        </w:rPr>
        <w:t xml:space="preserve"> </w:t>
      </w:r>
      <w:r>
        <w:rPr>
          <w:rFonts w:ascii="Narkisim" w:hAnsi="Narkisim" w:cs="Narkisim" w:hint="cs"/>
          <w:lang w:eastAsia="he-IL"/>
        </w:rPr>
        <w:t xml:space="preserve">    </w:t>
      </w:r>
      <w:r w:rsidRPr="00F82136">
        <w:rPr>
          <w:rFonts w:ascii="Narkisim" w:hAnsi="Narkisim" w:cs="Narkisim"/>
          <w:rtl/>
          <w:lang w:eastAsia="he-IL"/>
        </w:rPr>
        <w:t xml:space="preserve">לעמדה </w:t>
      </w:r>
      <w:r w:rsidRPr="00F82136">
        <w:rPr>
          <w:rFonts w:ascii="Narkisim" w:hAnsi="Narkisim" w:cs="Narkisim"/>
          <w:rtl/>
          <w:lang w:eastAsia="he-IL"/>
        </w:rPr>
        <w:t xml:space="preserve">המתנגדת להדגשת האלמנט הזוגי בהולדה לאחר המוות, ראו צבי טריגר, </w:t>
      </w:r>
      <w:r>
        <w:rPr>
          <w:rFonts w:ascii="Narkisim" w:hAnsi="Narkisim" w:cs="Narkisim" w:hint="cs"/>
          <w:rtl/>
          <w:lang w:eastAsia="he-IL"/>
        </w:rPr>
        <w:t>"</w:t>
      </w:r>
      <w:r w:rsidRPr="002C32EC">
        <w:rPr>
          <w:rFonts w:ascii="Narkisim" w:hAnsi="Narkisim" w:cs="Narkisim"/>
          <w:rtl/>
          <w:lang w:eastAsia="he-IL"/>
        </w:rPr>
        <w:t>מוֹתוֹ שֶׁל זֶה הוּא חַיָּיו שֶׁל זֶה: הולדה לאחר המוות מזרעו של גבר מת על ידי הוריו והאידיאולוגיה של ההורות הישראלית-יהודית</w:t>
      </w:r>
      <w:r>
        <w:rPr>
          <w:rFonts w:ascii="Narkisim" w:hAnsi="Narkisim" w:cs="Narkisim" w:hint="cs"/>
          <w:rtl/>
          <w:lang w:eastAsia="he-IL"/>
        </w:rPr>
        <w:t>"</w:t>
      </w:r>
      <w:r w:rsidRPr="002C32EC">
        <w:rPr>
          <w:rFonts w:ascii="Narkisim" w:hAnsi="Narkisim" w:cs="Narkisim" w:hint="cs"/>
          <w:rtl/>
          <w:lang w:eastAsia="he-IL"/>
        </w:rPr>
        <w:t>,</w:t>
      </w:r>
      <w:r w:rsidRPr="002C32EC">
        <w:rPr>
          <w:rFonts w:ascii="Narkisim" w:hAnsi="Narkisim" w:cs="Narkisim"/>
          <w:b/>
          <w:bCs/>
          <w:rtl/>
          <w:lang w:eastAsia="he-IL"/>
        </w:rPr>
        <w:t xml:space="preserve"> </w:t>
      </w:r>
      <w:r w:rsidRPr="00F82136">
        <w:rPr>
          <w:rFonts w:ascii="Narkisim" w:hAnsi="Narkisim" w:cs="Narkisim"/>
          <w:b/>
          <w:bCs/>
          <w:rtl/>
          <w:lang w:eastAsia="he-IL"/>
        </w:rPr>
        <w:t>תיאוריה וביקורת</w:t>
      </w:r>
      <w:r w:rsidRPr="00F82136">
        <w:rPr>
          <w:rFonts w:ascii="Narkisim" w:hAnsi="Narkisim" w:cs="Narkisim"/>
          <w:rtl/>
          <w:lang w:eastAsia="he-IL"/>
        </w:rPr>
        <w:t xml:space="preserve"> 49</w:t>
      </w:r>
      <w:r>
        <w:rPr>
          <w:rFonts w:ascii="Narkisim" w:hAnsi="Narkisim" w:cs="Narkisim" w:hint="cs"/>
          <w:rtl/>
          <w:lang w:eastAsia="he-IL"/>
        </w:rPr>
        <w:t>, 67 (2017)</w:t>
      </w:r>
      <w:r w:rsidRPr="00F82136">
        <w:rPr>
          <w:rFonts w:ascii="Narkisim" w:hAnsi="Narkisim" w:cs="Narkisim"/>
          <w:rtl/>
          <w:lang w:eastAsia="he-IL"/>
        </w:rPr>
        <w:t>. טריגר נכון להרחיק לכת ולהכיר בסבים שיזמו את ההריון מזרע בנם המנוח כהוריו של הצאצא.</w:t>
      </w:r>
      <w:r w:rsidRPr="00F82136">
        <w:rPr>
          <w:rFonts w:ascii="Narkisim" w:hAnsi="Narkisim" w:cs="Narkisim"/>
          <w:rtl/>
        </w:rPr>
        <w:t xml:space="preserve"> </w:t>
      </w:r>
    </w:p>
  </w:footnote>
  <w:footnote w:id="81">
    <w:p w14:paraId="20EFE820"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Laufer-Ukeles &amp; Blecher-Prigat</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Ref64712638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52</w:t>
      </w:r>
      <w:r>
        <w:rPr>
          <w:rFonts w:ascii="Narkisim" w:hAnsi="Narkisim" w:cs="Narkisim"/>
          <w:rtl/>
        </w:rPr>
        <w:fldChar w:fldCharType="end"/>
      </w:r>
      <w:r w:rsidRPr="00F82136">
        <w:rPr>
          <w:rFonts w:ascii="Narkisim" w:hAnsi="Narkisim" w:cs="Narkisim"/>
          <w:rtl/>
        </w:rPr>
        <w:t xml:space="preserve">, בעמ' 464–465; ליפשיץ, </w:t>
      </w:r>
      <w:r>
        <w:rPr>
          <w:rFonts w:ascii="Narkisim" w:hAnsi="Narkisim" w:cs="Narkisim" w:hint="cs"/>
          <w:rtl/>
        </w:rPr>
        <w:t xml:space="preserve">"שלילת אבהות בהסכמה", </w:t>
      </w:r>
      <w:r w:rsidRPr="00F82136">
        <w:rPr>
          <w:rFonts w:ascii="Narkisim" w:hAnsi="Narkisim" w:cs="Narkisim"/>
          <w:rtl/>
        </w:rPr>
        <w:t xml:space="preserve">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Ref64712697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65</w:t>
      </w:r>
      <w:r>
        <w:rPr>
          <w:rFonts w:ascii="Narkisim" w:hAnsi="Narkisim" w:cs="Narkisim"/>
          <w:rtl/>
        </w:rPr>
        <w:fldChar w:fldCharType="end"/>
      </w:r>
      <w:r>
        <w:rPr>
          <w:rFonts w:ascii="Narkisim" w:hAnsi="Narkisim" w:cs="Narkisim" w:hint="cs"/>
          <w:rtl/>
        </w:rPr>
        <w:t>,</w:t>
      </w:r>
      <w:r w:rsidRPr="00F82136">
        <w:rPr>
          <w:rFonts w:ascii="Narkisim" w:hAnsi="Narkisim" w:cs="Narkisim"/>
          <w:rtl/>
        </w:rPr>
        <w:t xml:space="preserve"> </w:t>
      </w:r>
      <w:r>
        <w:rPr>
          <w:rFonts w:ascii="Narkisim" w:hAnsi="Narkisim" w:cs="Narkisim" w:hint="cs"/>
          <w:rtl/>
        </w:rPr>
        <w:t xml:space="preserve"> </w:t>
      </w:r>
      <w:r w:rsidRPr="00F82136">
        <w:rPr>
          <w:rFonts w:ascii="Narkisim" w:hAnsi="Narkisim" w:cs="Narkisim"/>
          <w:rtl/>
        </w:rPr>
        <w:t>בעמ' 33.</w:t>
      </w:r>
    </w:p>
  </w:footnote>
  <w:footnote w:id="82">
    <w:p w14:paraId="2EA8D6B0"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בלכר-פריגת </w:t>
      </w:r>
      <w:r w:rsidRPr="00F82136">
        <w:rPr>
          <w:rFonts w:ascii="Narkisim" w:hAnsi="Narkisim" w:cs="Narkisim"/>
          <w:rtl/>
        </w:rPr>
        <w:t>והקר,</w:t>
      </w:r>
      <w:r>
        <w:rPr>
          <w:rFonts w:ascii="Narkisim" w:hAnsi="Narkisim" w:cs="Narkisim" w:hint="cs"/>
          <w:rtl/>
        </w:rPr>
        <w:t xml:space="preserve"> "הורים או זרים",</w:t>
      </w:r>
      <w:r w:rsidRPr="00F82136">
        <w:rPr>
          <w:rFonts w:ascii="Narkisim" w:hAnsi="Narkisim" w:cs="Narkisim"/>
          <w:rtl/>
        </w:rPr>
        <w:t xml:space="preserve">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Ref64712771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12</w:t>
      </w:r>
      <w:r>
        <w:rPr>
          <w:rFonts w:ascii="Narkisim" w:hAnsi="Narkisim" w:cs="Narkisim"/>
          <w:rtl/>
        </w:rPr>
        <w:fldChar w:fldCharType="end"/>
      </w:r>
      <w:r w:rsidRPr="00F82136">
        <w:rPr>
          <w:rFonts w:ascii="Narkisim" w:hAnsi="Narkisim" w:cs="Narkisim"/>
          <w:rtl/>
        </w:rPr>
        <w:t xml:space="preserve">, בעמ' 22; רות זפרן "אחים ואחיות במשפט" </w:t>
      </w:r>
      <w:r w:rsidRPr="00F82136">
        <w:rPr>
          <w:rFonts w:ascii="Narkisim" w:hAnsi="Narkisim" w:cs="Narkisim"/>
          <w:b/>
          <w:bCs/>
          <w:rtl/>
        </w:rPr>
        <w:t>עיוני משפט</w:t>
      </w:r>
      <w:r w:rsidRPr="00F82136">
        <w:rPr>
          <w:rFonts w:ascii="Narkisim" w:hAnsi="Narkisim" w:cs="Narkisim"/>
          <w:rtl/>
        </w:rPr>
        <w:t xml:space="preserve"> מא 5, 58 (2018); נעמן "תזמון ההורות ",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Ref80949354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54</w:t>
      </w:r>
      <w:r>
        <w:rPr>
          <w:rFonts w:ascii="Narkisim" w:hAnsi="Narkisim" w:cs="Narkisim"/>
          <w:rtl/>
        </w:rPr>
        <w:fldChar w:fldCharType="end"/>
      </w:r>
      <w:r>
        <w:rPr>
          <w:rFonts w:ascii="Narkisim" w:hAnsi="Narkisim" w:cs="Narkisim" w:hint="cs"/>
          <w:rtl/>
        </w:rPr>
        <w:t>.</w:t>
      </w:r>
    </w:p>
  </w:footnote>
  <w:footnote w:id="83">
    <w:p w14:paraId="1E40E738"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חוק הכשרות המשפטית והאפוטרופסות מגדיר את ההורים כאפוטרופסים הטבעיים של הילד. הגדרה זו מקנה להורים את החובה והזכות לדאוג לשלומו הפיזי ונפשי של הילד, לרבות את חינוכו, מקום מגוריו ודתו. החוק קובע כי הקטין מחויב לציית להוריו בכל הנוגע לאפוטרופסות תוך כיבודם. ראו ס' 14–16 לחוק הכשרות המשפטית והאפוטרופסות, התשכ"ב-1962. לצד זאת, חוקים נוספים, והפסיקה שבעקבותיהם, מקנים להורים זכויות וחובות נוספות, ביניהן הזכות לקבוע את שמו של הילד והחובה בדבר תשלום מזונות. ראו טלי מרקוס "צריך (רק) שניים לטנגו? על האפשרות להכיר ביותר משני הורים לילד אחד" </w:t>
      </w:r>
      <w:r w:rsidRPr="00F82136">
        <w:rPr>
          <w:rFonts w:ascii="Narkisim" w:hAnsi="Narkisim" w:cs="Narkisim"/>
          <w:b/>
          <w:bCs/>
          <w:rtl/>
        </w:rPr>
        <w:t>משפטים</w:t>
      </w:r>
      <w:r w:rsidRPr="00F82136">
        <w:rPr>
          <w:rFonts w:ascii="Narkisim" w:hAnsi="Narkisim" w:cs="Narkisim"/>
          <w:rtl/>
        </w:rPr>
        <w:t xml:space="preserve"> מד 415, 421 (2014).</w:t>
      </w:r>
    </w:p>
  </w:footnote>
  <w:footnote w:id="84">
    <w:p w14:paraId="3AF31B8C"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לדיון בחשיבות המתאם שבין התפיסה העצמית לבין הזהות המשפטית המיוחסת לזהות זו, תוך שימת דגש על מועד הלידה, ראו</w:t>
      </w:r>
      <w:r>
        <w:rPr>
          <w:rFonts w:ascii="Narkisim" w:hAnsi="Narkisim" w:cs="Narkisim" w:hint="cs"/>
          <w:rtl/>
        </w:rPr>
        <w:t>,</w:t>
      </w:r>
      <w:r w:rsidRPr="00F82136">
        <w:rPr>
          <w:rFonts w:ascii="Narkisim" w:hAnsi="Narkisim" w:cs="Narkisim"/>
          <w:rtl/>
        </w:rPr>
        <w:t xml:space="preserve"> </w:t>
      </w:r>
      <w:r>
        <w:rPr>
          <w:rFonts w:ascii="Narkisim" w:hAnsi="Narkisim" w:cs="Narkisim"/>
        </w:rPr>
        <w:t xml:space="preserve">Naaman </w:t>
      </w:r>
      <w:r>
        <w:rPr>
          <w:rFonts w:ascii="Narkisim" w:hAnsi="Narkisim" w:cs="Narkisim" w:hint="cs"/>
          <w:rtl/>
        </w:rPr>
        <w:t xml:space="preserve">,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Ref80949650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50</w:t>
      </w:r>
      <w:r>
        <w:rPr>
          <w:rFonts w:ascii="Narkisim" w:hAnsi="Narkisim" w:cs="Narkisim"/>
          <w:rtl/>
        </w:rPr>
        <w:fldChar w:fldCharType="end"/>
      </w:r>
      <w:r>
        <w:rPr>
          <w:rFonts w:ascii="Narkisim" w:hAnsi="Narkisim" w:cs="Narkisim" w:hint="cs"/>
          <w:rtl/>
        </w:rPr>
        <w:t>.</w:t>
      </w:r>
    </w:p>
  </w:footnote>
  <w:footnote w:id="85">
    <w:p w14:paraId="1B749949"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Blecher-Prigat</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Ref64710202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sidRPr="00F82136">
        <w:rPr>
          <w:rFonts w:ascii="Narkisim" w:hAnsi="Narkisim" w:cs="Narkisim"/>
          <w:rtl/>
        </w:rPr>
        <w:t>, בעמ' 153–154.</w:t>
      </w:r>
    </w:p>
  </w:footnote>
  <w:footnote w:id="86">
    <w:p w14:paraId="63294DAC"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מעניין </w:t>
      </w:r>
      <w:r w:rsidRPr="00F82136">
        <w:rPr>
          <w:rFonts w:ascii="Narkisim" w:hAnsi="Narkisim" w:cs="Narkisim"/>
          <w:rtl/>
        </w:rPr>
        <w:t>לציין כדוגמה את התיקונים שבוצעו במחוזות</w:t>
      </w:r>
      <w:r>
        <w:rPr>
          <w:rFonts w:ascii="Narkisim" w:hAnsi="Narkisim" w:cs="Narkisim" w:hint="cs"/>
          <w:rtl/>
        </w:rPr>
        <w:t xml:space="preserve"> פדרליים בקנדה</w:t>
      </w:r>
      <w:r w:rsidRPr="00F82136">
        <w:rPr>
          <w:rFonts w:ascii="Narkisim" w:hAnsi="Narkisim" w:cs="Narkisim"/>
          <w:rtl/>
        </w:rPr>
        <w:t>. ראו, לדוגמה, את סעיף 8 ל-</w:t>
      </w:r>
      <w:r w:rsidRPr="00F82136">
        <w:rPr>
          <w:rFonts w:ascii="Narkisim" w:hAnsi="Narkisim" w:cs="Narkisim"/>
        </w:rPr>
        <w:t>All Families Are Equal Act</w:t>
      </w:r>
      <w:r w:rsidRPr="00F82136">
        <w:rPr>
          <w:rFonts w:ascii="Narkisim" w:hAnsi="Narkisim" w:cs="Narkisim"/>
          <w:rtl/>
        </w:rPr>
        <w:t xml:space="preserve"> במחוז אונטריו משנת 2016. סעיף זה מגדיר את מועד הכניסה להיריון כמועד הרלבנטי לבחינת הזוגיות ללא קשר למשך הזוגיות טרם מועד זה. ראו </w:t>
      </w:r>
      <w:r w:rsidRPr="00F82136">
        <w:rPr>
          <w:rFonts w:ascii="Narkisim" w:hAnsi="Narkisim" w:cs="Narkisim"/>
        </w:rPr>
        <w:t>All Families Are Equal Act (Parentage and Related Registrations Statute Law Amendment), S.O. 2016 c. 23 § 8(1) (Can.), ("If the birth parent of a child conceived through assisted reproduction had a spouse at the time of the child’s conception, the spouse is, and shall be recognized in law to be, a parent of the child")</w:t>
      </w:r>
      <w:r w:rsidRPr="00F82136">
        <w:rPr>
          <w:rFonts w:ascii="Narkisim" w:hAnsi="Narkisim" w:cs="Narkisim"/>
          <w:rtl/>
        </w:rPr>
        <w:t xml:space="preserve">. </w:t>
      </w:r>
      <w:r>
        <w:rPr>
          <w:rFonts w:ascii="Narkisim" w:hAnsi="Narkisim" w:cs="Narkisim" w:hint="cs"/>
          <w:rtl/>
        </w:rPr>
        <w:t xml:space="preserve">כמו-כן, </w:t>
      </w:r>
      <w:r w:rsidRPr="00F82136">
        <w:rPr>
          <w:rFonts w:ascii="Narkisim" w:hAnsi="Narkisim" w:cs="Narkisim"/>
          <w:rtl/>
        </w:rPr>
        <w:t>בסעיף ההגדרות</w:t>
      </w:r>
      <w:r>
        <w:rPr>
          <w:rFonts w:ascii="Narkisim" w:hAnsi="Narkisim" w:cs="Narkisim" w:hint="cs"/>
          <w:rtl/>
        </w:rPr>
        <w:t>,</w:t>
      </w:r>
      <w:r w:rsidRPr="00F82136">
        <w:rPr>
          <w:rFonts w:ascii="Narkisim" w:hAnsi="Narkisim" w:cs="Narkisim"/>
          <w:rtl/>
        </w:rPr>
        <w:t xml:space="preserve"> החוק מוסיף את הגדרת המונח </w:t>
      </w:r>
      <w:r w:rsidRPr="00F82136">
        <w:rPr>
          <w:rFonts w:ascii="Narkisim" w:hAnsi="Narkisim" w:cs="Narkisim"/>
        </w:rPr>
        <w:t>spouse</w:t>
      </w:r>
      <w:r w:rsidRPr="00F82136">
        <w:rPr>
          <w:rFonts w:ascii="Narkisim" w:hAnsi="Narkisim" w:cs="Narkisim"/>
          <w:rtl/>
        </w:rPr>
        <w:t xml:space="preserve"> ככזה הכולל גם בן זוג: “</w:t>
      </w:r>
      <w:r w:rsidRPr="00F82136">
        <w:rPr>
          <w:rFonts w:ascii="Narkisim" w:hAnsi="Narkisim" w:cs="Narkisim"/>
        </w:rPr>
        <w:t>"spouse” means the person to whom a person is married or with whom the person is living in a conjugal relationship outside marriage; (“conjoint”)</w:t>
      </w:r>
      <w:r w:rsidRPr="00F82136">
        <w:rPr>
          <w:rFonts w:ascii="Narkisim" w:hAnsi="Narkisim" w:cs="Narkisim"/>
          <w:rtl/>
        </w:rPr>
        <w:t>.</w:t>
      </w:r>
    </w:p>
  </w:footnote>
  <w:footnote w:id="87">
    <w:p w14:paraId="4295BC9D"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Pr>
        <w:t>Blecher-Prigat</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Ref64710202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17</w:t>
      </w:r>
      <w:r>
        <w:rPr>
          <w:rFonts w:ascii="Narkisim" w:hAnsi="Narkisim" w:cs="Narkisim"/>
          <w:rtl/>
        </w:rPr>
        <w:fldChar w:fldCharType="end"/>
      </w:r>
      <w:r w:rsidRPr="00F82136">
        <w:rPr>
          <w:rFonts w:ascii="Narkisim" w:hAnsi="Narkisim" w:cs="Narkisim"/>
          <w:rtl/>
        </w:rPr>
        <w:t xml:space="preserve">, בעמ' 153–154. </w:t>
      </w:r>
      <w:r w:rsidRPr="00F82136">
        <w:rPr>
          <w:rFonts w:ascii="Narkisim" w:hAnsi="Narkisim" w:cs="Narkisim"/>
          <w:rtl/>
        </w:rPr>
        <w:t>להבדיל, למשל, משותפים לדירה שאינם מקיימים מערכת זוגית.</w:t>
      </w:r>
    </w:p>
  </w:footnote>
  <w:footnote w:id="88">
    <w:p w14:paraId="0571B9EA" w14:textId="4A66C9CE" w:rsidR="00303C51" w:rsidRPr="00F82136" w:rsidRDefault="00303C51" w:rsidP="00303C51">
      <w:pPr>
        <w:pStyle w:val="FootnoteText"/>
        <w:spacing w:before="120" w:after="120"/>
        <w:ind w:left="454" w:hanging="454"/>
        <w:jc w:val="both"/>
        <w:rPr>
          <w:rFonts w:ascii="Narkisim" w:hAnsi="Narkisim" w:cs="Narkisim"/>
        </w:rPr>
      </w:pPr>
      <w:r w:rsidRPr="00291656">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אנו </w:t>
      </w:r>
      <w:r w:rsidRPr="00F82136">
        <w:rPr>
          <w:rFonts w:ascii="Narkisim" w:hAnsi="Narkisim" w:cs="Narkisim"/>
          <w:rtl/>
        </w:rPr>
        <w:t xml:space="preserve">ערים למתח שקיים ביחס לשימוש בקריטריון של כניסה למוסד הנישואים כקריטריון לקיצור פרק הזמן. מצד אחד, השימוש בקריטריון עלול לסתור את אחד הרציונליים עליו מבוססת המודל </w:t>
      </w:r>
      <w:r>
        <w:rPr>
          <w:rFonts w:ascii="Narkisim" w:hAnsi="Narkisim" w:cs="Narkisim" w:hint="cs"/>
          <w:rtl/>
        </w:rPr>
        <w:t>(</w:t>
      </w:r>
      <w:r w:rsidRPr="00F82136">
        <w:rPr>
          <w:rFonts w:ascii="Narkisim" w:hAnsi="Narkisim" w:cs="Narkisim"/>
          <w:rtl/>
        </w:rPr>
        <w:t>שוויון בין מגוון תצורות המשפחה</w:t>
      </w:r>
      <w:r>
        <w:rPr>
          <w:rFonts w:ascii="Narkisim" w:hAnsi="Narkisim" w:cs="Narkisim" w:hint="cs"/>
          <w:rtl/>
        </w:rPr>
        <w:t>)</w:t>
      </w:r>
      <w:r w:rsidRPr="00F82136">
        <w:rPr>
          <w:rFonts w:ascii="Narkisim" w:hAnsi="Narkisim" w:cs="Narkisim"/>
          <w:rtl/>
        </w:rPr>
        <w:t xml:space="preserve"> שכן זוגות מאותו-מין מנועים מלהינשא בישראל. שימוש בקריטריון זה עלול להיות אף בעייתי בעיני אותם פרטים שבחרו להימנע מלהיכנס למוסד הנישואים משיקולים אידאולוגיים</w:t>
      </w:r>
      <w:r w:rsidR="000C0CD8">
        <w:rPr>
          <w:rFonts w:ascii="Narkisim" w:hAnsi="Narkisim" w:cs="Narkisim" w:hint="cs"/>
          <w:rtl/>
        </w:rPr>
        <w:t>, הן בישראל והן בארה"ב</w:t>
      </w:r>
      <w:r w:rsidRPr="00F82136">
        <w:rPr>
          <w:rFonts w:ascii="Narkisim" w:hAnsi="Narkisim" w:cs="Narkisim"/>
          <w:rtl/>
        </w:rPr>
        <w:t xml:space="preserve">. מנגד, קיימים טיעונים התומכים בשימוש בקריטריון הנישואים לקיצור פרק הזמן. כיום, בנסיבות של הפריה באמצעות תרומת זרע, הבעל של האישה היולדת, אינו נדרש להכרה בהורותו באמצעות הליך שיפוטי, שהרי הנישואים מהווים חזקה לקיומה של זיקה גנטית (ראו </w:t>
      </w:r>
      <w:r w:rsidR="000C0CD8">
        <w:rPr>
          <w:rFonts w:ascii="Narkisim" w:hAnsi="Narkisim" w:cs="Narkisim" w:hint="cs"/>
          <w:rtl/>
        </w:rPr>
        <w:t>... ביחס לדין בארה"ב ואת ... ביחס לדין בישראל</w:t>
      </w:r>
      <w:r w:rsidRPr="00F82136">
        <w:rPr>
          <w:rFonts w:ascii="Narkisim" w:hAnsi="Narkisim" w:cs="Narkisim"/>
          <w:rtl/>
        </w:rPr>
        <w:t>). לכן, אי קביעת קיומו של קריטריון עלול לקפח זוגות שמאותו מין שרשומים כנשואים (לאחר שנישאו בחו"ל) ו</w:t>
      </w:r>
      <w:r>
        <w:rPr>
          <w:rFonts w:ascii="Narkisim" w:hAnsi="Narkisim" w:cs="Narkisim" w:hint="cs"/>
          <w:rtl/>
        </w:rPr>
        <w:t>ש</w:t>
      </w:r>
      <w:r w:rsidRPr="00F82136">
        <w:rPr>
          <w:rFonts w:ascii="Narkisim" w:hAnsi="Narkisim" w:cs="Narkisim"/>
          <w:rtl/>
        </w:rPr>
        <w:t xml:space="preserve">לא קיימו את פרק הזמן הקבוע בחזקה. באיזון בין שני צדי המתרס, </w:t>
      </w:r>
      <w:r>
        <w:rPr>
          <w:rFonts w:ascii="Narkisim" w:hAnsi="Narkisim" w:cs="Narkisim" w:hint="cs"/>
          <w:rtl/>
        </w:rPr>
        <w:t xml:space="preserve">וכדי לייעל את המנגנון, </w:t>
      </w:r>
      <w:r w:rsidRPr="00F82136">
        <w:rPr>
          <w:rFonts w:ascii="Narkisim" w:hAnsi="Narkisim" w:cs="Narkisim"/>
          <w:rtl/>
        </w:rPr>
        <w:t>אנו סבורים כי ראוי שכניסה למוסד הנישואים תאפשר קיצור של פרק הזמן הדרוש.</w:t>
      </w:r>
    </w:p>
  </w:footnote>
  <w:footnote w:id="89">
    <w:p w14:paraId="76F6088B" w14:textId="77777777" w:rsidR="00303C51" w:rsidRPr="00F82136" w:rsidRDefault="00303C51" w:rsidP="00303C51">
      <w:pPr>
        <w:pStyle w:val="FootnoteText"/>
        <w:spacing w:before="120" w:after="120"/>
        <w:ind w:left="454" w:hanging="454"/>
        <w:jc w:val="both"/>
        <w:rPr>
          <w:rFonts w:ascii="Narkisim" w:hAnsi="Narkisim" w:cs="Narkisim"/>
          <w:rtl/>
        </w:rPr>
      </w:pPr>
      <w:r w:rsidRPr="00F82136">
        <w:rPr>
          <w:rStyle w:val="FootnoteReference"/>
          <w:rFonts w:ascii="Narkisim" w:hAnsi="Narkisim" w:cs="Narkisim"/>
        </w:rPr>
        <w:footnoteRef/>
      </w:r>
      <w:r w:rsidRPr="00F82136">
        <w:rPr>
          <w:rStyle w:val="FootnoteReference"/>
          <w:rFonts w:ascii="Narkisim" w:hAnsi="Narkisim" w:cs="Narkisim"/>
          <w:rtl/>
        </w:rPr>
        <w:tab/>
      </w:r>
      <w:r w:rsidRPr="00F82136">
        <w:rPr>
          <w:rFonts w:ascii="Narkisim" w:hAnsi="Narkisim" w:cs="Narkisim"/>
          <w:rtl/>
        </w:rPr>
        <w:t xml:space="preserve">מרגלית </w:t>
      </w:r>
      <w:r w:rsidRPr="00F82136">
        <w:rPr>
          <w:rFonts w:ascii="Narkisim" w:hAnsi="Narkisim" w:cs="Narkisim"/>
          <w:rtl/>
        </w:rPr>
        <w:t xml:space="preserve">"הורות משפטית בהסכמה", לעיל ה"ש </w:t>
      </w:r>
      <w:r>
        <w:rPr>
          <w:rFonts w:ascii="Narkisim" w:hAnsi="Narkisim" w:cs="Narkisim"/>
          <w:rtl/>
        </w:rPr>
        <w:fldChar w:fldCharType="begin"/>
      </w:r>
      <w:r>
        <w:rPr>
          <w:rFonts w:ascii="Narkisim" w:hAnsi="Narkisim" w:cs="Narkisim"/>
          <w:rtl/>
        </w:rPr>
        <w:instrText xml:space="preserve"> </w:instrText>
      </w:r>
      <w:r>
        <w:rPr>
          <w:rFonts w:ascii="Narkisim" w:hAnsi="Narkisim" w:cs="Narkisim"/>
        </w:rPr>
        <w:instrText>NOTEREF</w:instrText>
      </w:r>
      <w:r>
        <w:rPr>
          <w:rFonts w:ascii="Narkisim" w:hAnsi="Narkisim" w:cs="Narkisim"/>
          <w:rtl/>
        </w:rPr>
        <w:instrText xml:space="preserve"> _</w:instrText>
      </w:r>
      <w:r>
        <w:rPr>
          <w:rFonts w:ascii="Narkisim" w:hAnsi="Narkisim" w:cs="Narkisim"/>
        </w:rPr>
        <w:instrText>Ref54610603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34</w:t>
      </w:r>
      <w:r>
        <w:rPr>
          <w:rFonts w:ascii="Narkisim" w:hAnsi="Narkisim" w:cs="Narkisim"/>
          <w:rtl/>
        </w:rPr>
        <w:fldChar w:fldCharType="end"/>
      </w:r>
      <w:r>
        <w:rPr>
          <w:rFonts w:ascii="Narkisim" w:hAnsi="Narkisim" w:cs="Narkisim" w:hint="cs"/>
          <w:rtl/>
        </w:rPr>
        <w:t>.</w:t>
      </w:r>
    </w:p>
  </w:footnote>
  <w:footnote w:id="90">
    <w:p w14:paraId="7AF31F54" w14:textId="39D0A5BD" w:rsidR="00303C51" w:rsidRPr="00F82136" w:rsidRDefault="00303C51" w:rsidP="00303C51">
      <w:pPr>
        <w:pStyle w:val="FootnoteText"/>
        <w:spacing w:before="120" w:after="120"/>
        <w:ind w:left="454" w:hanging="454"/>
        <w:rPr>
          <w:rFonts w:ascii="Narkisim" w:hAnsi="Narkisim" w:cs="Narkisim"/>
          <w:rtl/>
        </w:rPr>
      </w:pPr>
      <w:r w:rsidRPr="00291656">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ראו למשל תמ״ש (י־ם) 10681/98 </w:t>
      </w:r>
      <w:r w:rsidRPr="00F82136">
        <w:rPr>
          <w:rFonts w:ascii="Narkisim" w:hAnsi="Narkisim" w:cs="Narkisim"/>
          <w:b/>
          <w:bCs/>
          <w:rtl/>
        </w:rPr>
        <w:t>פלונים נ׳ אלמוני</w:t>
      </w:r>
      <w:r>
        <w:rPr>
          <w:rFonts w:ascii="Narkisim" w:hAnsi="Narkisim" w:cs="Narkisim" w:hint="cs"/>
          <w:rtl/>
        </w:rPr>
        <w:t xml:space="preserve"> </w:t>
      </w:r>
      <w:r w:rsidRPr="00F82136">
        <w:rPr>
          <w:rFonts w:ascii="Narkisim" w:hAnsi="Narkisim" w:cs="Narkisim"/>
          <w:rtl/>
        </w:rPr>
        <w:t>(פורסם בנבו 19.9.00)</w:t>
      </w:r>
      <w:r w:rsidRPr="00A04FAE">
        <w:rPr>
          <w:rFonts w:ascii="Narkisim" w:hAnsi="Narkisim" w:cs="Narkisim"/>
          <w:rtl/>
        </w:rPr>
        <w:t>.</w:t>
      </w:r>
    </w:p>
  </w:footnote>
  <w:footnote w:id="91">
    <w:p w14:paraId="5C05D3A6" w14:textId="77777777" w:rsidR="00303C51" w:rsidRPr="00F82136" w:rsidRDefault="00303C51" w:rsidP="00303C51">
      <w:pPr>
        <w:pStyle w:val="FootnoteText"/>
        <w:spacing w:before="120" w:after="120"/>
        <w:ind w:left="454" w:hanging="454"/>
        <w:jc w:val="both"/>
        <w:rPr>
          <w:rFonts w:ascii="Narkisim" w:hAnsi="Narkisim" w:cs="Narkisim"/>
        </w:rPr>
      </w:pPr>
      <w:r w:rsidRPr="00291656">
        <w:rPr>
          <w:rStyle w:val="FootnoteReference"/>
          <w:rFonts w:ascii="Narkisim" w:hAnsi="Narkisim" w:cs="Narkisim"/>
        </w:rPr>
        <w:footnoteRef/>
      </w:r>
      <w:r w:rsidRPr="00291656">
        <w:rPr>
          <w:rStyle w:val="FootnoteReference"/>
          <w:rtl/>
        </w:rPr>
        <w:t xml:space="preserve"> </w:t>
      </w:r>
      <w:r>
        <w:rPr>
          <w:rFonts w:ascii="Narkisim" w:hAnsi="Narkisim" w:cs="Narkisim"/>
          <w:rtl/>
        </w:rPr>
        <w:tab/>
      </w:r>
      <w:r w:rsidRPr="00F82136">
        <w:rPr>
          <w:rFonts w:ascii="Narkisim" w:hAnsi="Narkisim" w:cs="Narkisim"/>
          <w:rtl/>
        </w:rPr>
        <w:t xml:space="preserve">בישראל קובע ס' 3 לחוק אימוץ ילדים, התשמ"א-1981, ש"אין אימוץ אלא על ידי איש ואשתו יחד". בפסק הדין של בית המשפט המחוזי בעניין </w:t>
      </w:r>
      <w:r w:rsidRPr="00F82136">
        <w:rPr>
          <w:rFonts w:ascii="Narkisim" w:hAnsi="Narkisim" w:cs="Narkisim"/>
          <w:b/>
          <w:bCs/>
          <w:rtl/>
        </w:rPr>
        <w:t>ירוס-חקק</w:t>
      </w:r>
      <w:r w:rsidRPr="00F82136">
        <w:rPr>
          <w:rFonts w:ascii="Narkisim" w:hAnsi="Narkisim" w:cs="Narkisim"/>
          <w:rtl/>
        </w:rPr>
        <w:t xml:space="preserve"> (ע"מ (מחוזי ת"א) 10/99 </w:t>
      </w:r>
      <w:r w:rsidRPr="00F82136">
        <w:rPr>
          <w:rFonts w:ascii="Narkisim" w:hAnsi="Narkisim" w:cs="Narkisim"/>
          <w:b/>
          <w:bCs/>
          <w:rtl/>
        </w:rPr>
        <w:t>פלונית נ' היועץ המשפטי לממשלה</w:t>
      </w:r>
      <w:r w:rsidRPr="00F82136">
        <w:rPr>
          <w:rFonts w:ascii="Narkisim" w:hAnsi="Narkisim" w:cs="Narkisim"/>
          <w:rtl/>
        </w:rPr>
        <w:t xml:space="preserve">, פ"מ התשס"א 831 (2001)) הובאה עמדת המערערות לפיה יש לפרש את הסעיף תוך שימת דגש על המילה יחד (ולא על הצירוף "איש ואשתו"). כך מטרת הסעיף היא למנוע מצב שבו אדם נשוי מבקש לבדו לאמץ קטין, בעוד שבן-זוגו לא נושא במחויבות הורית כלשהן. פרשנות זו נדחתה על ידי דעת הרב בבית המשפט המחוזי, ולא נדונה שוב בבית המשפט העליון (עניין </w:t>
      </w:r>
      <w:r w:rsidRPr="00F82136">
        <w:rPr>
          <w:rFonts w:ascii="Narkisim" w:hAnsi="Narkisim" w:cs="Narkisim"/>
          <w:b/>
          <w:bCs/>
          <w:rtl/>
        </w:rPr>
        <w:t>ירוס-חקק</w:t>
      </w:r>
      <w:r w:rsidRPr="00F82136">
        <w:rPr>
          <w:rFonts w:ascii="Narkisim" w:hAnsi="Narkisim" w:cs="Narkisim"/>
          <w:rtl/>
        </w:rPr>
        <w:t>, לעיל ה"ש</w:t>
      </w:r>
      <w:r>
        <w:rPr>
          <w:rFonts w:ascii="Narkisim" w:hAnsi="Narkisim" w:cs="Narkisim" w:hint="cs"/>
          <w:rtl/>
        </w:rPr>
        <w:t xml:space="preserve"> </w:t>
      </w:r>
      <w:r>
        <w:rPr>
          <w:rFonts w:ascii="Narkisim" w:hAnsi="Narkisim" w:cs="Narkisim"/>
          <w:rtl/>
        </w:rPr>
        <w:fldChar w:fldCharType="begin"/>
      </w:r>
      <w:r>
        <w:rPr>
          <w:rFonts w:ascii="Narkisim" w:hAnsi="Narkisim" w:cs="Narkisim"/>
          <w:rtl/>
        </w:rPr>
        <w:instrText xml:space="preserve"> </w:instrText>
      </w:r>
      <w:r>
        <w:rPr>
          <w:rFonts w:ascii="Narkisim" w:hAnsi="Narkisim" w:cs="Narkisim" w:hint="cs"/>
        </w:rPr>
        <w:instrText>NOTEREF</w:instrText>
      </w:r>
      <w:r>
        <w:rPr>
          <w:rFonts w:ascii="Narkisim" w:hAnsi="Narkisim" w:cs="Narkisim" w:hint="cs"/>
          <w:rtl/>
        </w:rPr>
        <w:instrText xml:space="preserve"> _</w:instrText>
      </w:r>
      <w:r>
        <w:rPr>
          <w:rFonts w:ascii="Narkisim" w:hAnsi="Narkisim" w:cs="Narkisim" w:hint="cs"/>
        </w:rPr>
        <w:instrText>Ref64712638 \h</w:instrText>
      </w:r>
      <w:r>
        <w:rPr>
          <w:rFonts w:ascii="Narkisim" w:hAnsi="Narkisim" w:cs="Narkisim"/>
          <w:rtl/>
        </w:rPr>
        <w:instrText xml:space="preserve"> </w:instrText>
      </w:r>
      <w:r>
        <w:rPr>
          <w:rFonts w:ascii="Narkisim" w:hAnsi="Narkisim" w:cs="Narkisim"/>
          <w:rtl/>
        </w:rPr>
      </w:r>
      <w:r>
        <w:rPr>
          <w:rFonts w:ascii="Narkisim" w:hAnsi="Narkisim" w:cs="Narkisim"/>
          <w:rtl/>
        </w:rPr>
        <w:fldChar w:fldCharType="separate"/>
      </w:r>
      <w:r>
        <w:rPr>
          <w:rFonts w:ascii="Narkisim" w:hAnsi="Narkisim" w:cs="Narkisim"/>
          <w:rtl/>
        </w:rPr>
        <w:t>52</w:t>
      </w:r>
      <w:r>
        <w:rPr>
          <w:rFonts w:ascii="Narkisim" w:hAnsi="Narkisim" w:cs="Narkisim"/>
          <w:rtl/>
        </w:rPr>
        <w:fldChar w:fldCharType="end"/>
      </w:r>
      <w:r w:rsidRPr="00F82136">
        <w:rPr>
          <w:rFonts w:ascii="Narkisim" w:hAnsi="Narkisim" w:cs="Narkisim"/>
          <w:rtl/>
        </w:rPr>
        <w:t xml:space="preserve">). אולם, אף אם נקבל פרשנות זו, אין בכך בהכרח כדי לשלול אפשרות של הבאת ילד לעולם כאשר רק אחד מבני הזוג הוא ההורה המשפטי של הילד. דיני אימוץ עוסקים בטובתם של ילדים חיים וקיימים, ואילו בדיני הולדה גם כעניין של דין נוהג וגם כעניין של דין רצוי, טובת הילד </w:t>
      </w:r>
      <w:r w:rsidRPr="00F82136">
        <w:rPr>
          <w:rFonts w:ascii="Narkisim" w:hAnsi="Narkisim" w:cs="Narkisim" w:hint="cs"/>
          <w:rtl/>
        </w:rPr>
        <w:t>שייוול</w:t>
      </w:r>
      <w:r w:rsidRPr="00F82136">
        <w:rPr>
          <w:rFonts w:ascii="Narkisim" w:hAnsi="Narkisim" w:cs="Narkisim" w:hint="eastAsia"/>
          <w:rtl/>
        </w:rPr>
        <w:t>ד</w:t>
      </w:r>
      <w:r w:rsidRPr="00F82136">
        <w:rPr>
          <w:rFonts w:ascii="Narkisim" w:hAnsi="Narkisim" w:cs="Narkisim"/>
          <w:rtl/>
        </w:rPr>
        <w:t xml:space="preserve"> לא יכולה להוות שיקול.</w:t>
      </w:r>
    </w:p>
  </w:footnote>
  <w:footnote w:id="92">
    <w:p w14:paraId="66956424" w14:textId="77777777" w:rsidR="00303C51" w:rsidRPr="00F82136" w:rsidRDefault="00303C51" w:rsidP="00303C51">
      <w:pPr>
        <w:pStyle w:val="FootnoteText"/>
        <w:spacing w:before="120" w:after="120"/>
        <w:ind w:left="454" w:hanging="454"/>
        <w:jc w:val="both"/>
        <w:rPr>
          <w:rFonts w:ascii="Narkisim" w:hAnsi="Narkisim" w:cs="Narkisim"/>
        </w:rPr>
      </w:pPr>
      <w:r w:rsidRPr="00291656">
        <w:rPr>
          <w:rStyle w:val="FootnoteReference"/>
          <w:rFonts w:ascii="Narkisim" w:hAnsi="Narkisim" w:cs="Narkisim"/>
        </w:rPr>
        <w:footnoteRef/>
      </w:r>
      <w:r w:rsidRPr="00291656">
        <w:rPr>
          <w:rStyle w:val="FootnoteReference"/>
          <w:rtl/>
        </w:rPr>
        <w:t xml:space="preserve"> </w:t>
      </w:r>
      <w:r w:rsidRPr="00F82136">
        <w:rPr>
          <w:rFonts w:ascii="Narkisim" w:hAnsi="Narkisim" w:cs="Narkisim"/>
          <w:rtl/>
        </w:rPr>
        <w:t xml:space="preserve"> </w:t>
      </w:r>
      <w:r>
        <w:rPr>
          <w:rFonts w:ascii="Narkisim" w:hAnsi="Narkisim" w:cs="Narkisim"/>
          <w:rtl/>
        </w:rPr>
        <w:tab/>
      </w:r>
      <w:r w:rsidRPr="00F82136">
        <w:rPr>
          <w:rFonts w:ascii="Narkisim" w:hAnsi="Narkisim" w:cs="Narkisim"/>
          <w:rtl/>
        </w:rPr>
        <w:t xml:space="preserve">שאלה </w:t>
      </w:r>
      <w:r w:rsidRPr="00F82136">
        <w:rPr>
          <w:rFonts w:ascii="Narkisim" w:hAnsi="Narkisim" w:cs="Narkisim"/>
          <w:rtl/>
        </w:rPr>
        <w:t>שעולה כאן היא מהו הנטל שעליו לעמוד בו. האם הצד המתנגד נדרש להביע את התנגדותו בעל-פה או בכתב? האם הבעת התנגדות יכולה לעשות בין הצדדי בלבד או בפני גורם חיצוני, כדוגמת עורך דין או גורם שיפוטי?</w:t>
      </w:r>
    </w:p>
  </w:footnote>
  <w:footnote w:id="93">
    <w:p w14:paraId="0C2F94F2" w14:textId="77777777" w:rsidR="00303C51" w:rsidRPr="00F82136" w:rsidRDefault="00303C51" w:rsidP="00303C51">
      <w:pPr>
        <w:pStyle w:val="FootnoteText"/>
        <w:spacing w:before="120" w:after="120"/>
        <w:ind w:left="454" w:hanging="454"/>
        <w:jc w:val="both"/>
        <w:rPr>
          <w:rFonts w:ascii="Narkisim" w:hAnsi="Narkisim" w:cs="Narkisim"/>
        </w:rPr>
      </w:pPr>
      <w:r w:rsidRPr="00291656">
        <w:rPr>
          <w:rStyle w:val="FootnoteReference"/>
          <w:rFonts w:ascii="Narkisim" w:hAnsi="Narkisim" w:cs="Narkisim"/>
        </w:rPr>
        <w:footnoteRef/>
      </w:r>
      <w:r w:rsidRPr="00291656">
        <w:rPr>
          <w:rStyle w:val="FootnoteReference"/>
          <w:rtl/>
        </w:rPr>
        <w:t xml:space="preserve"> </w:t>
      </w:r>
      <w:r>
        <w:rPr>
          <w:rFonts w:ascii="Narkisim" w:hAnsi="Narkisim" w:cs="Narkisim"/>
          <w:rtl/>
        </w:rPr>
        <w:tab/>
      </w:r>
      <w:r w:rsidRPr="00F82136">
        <w:rPr>
          <w:rFonts w:ascii="Narkisim" w:hAnsi="Narkisim" w:cs="Narkisim"/>
          <w:rtl/>
        </w:rPr>
        <w:t xml:space="preserve">מחלוקת </w:t>
      </w:r>
      <w:r w:rsidRPr="00F82136">
        <w:rPr>
          <w:rFonts w:ascii="Narkisim" w:hAnsi="Narkisim" w:cs="Narkisim"/>
          <w:rtl/>
        </w:rPr>
        <w:t xml:space="preserve">כזאת עלולה להתעורר בדיעבד </w:t>
      </w:r>
      <w:r>
        <w:rPr>
          <w:rFonts w:ascii="Narkisim" w:hAnsi="Narkisim" w:cs="Narkisim" w:hint="cs"/>
          <w:rtl/>
        </w:rPr>
        <w:t>ו</w:t>
      </w:r>
      <w:r w:rsidRPr="00F82136">
        <w:rPr>
          <w:rFonts w:ascii="Narkisim" w:hAnsi="Narkisim" w:cs="Narkisim"/>
          <w:rtl/>
        </w:rPr>
        <w:t xml:space="preserve">לאחר הלידה. הכרעה בנסיבות של מחלוקת ראוי, לגישתנו, שתתברר לעולם בפני בית המשפט. </w:t>
      </w:r>
    </w:p>
  </w:footnote>
  <w:footnote w:id="94">
    <w:p w14:paraId="5C68916F" w14:textId="77777777" w:rsidR="00303C51" w:rsidRPr="00F82136" w:rsidRDefault="00303C51" w:rsidP="00303C51">
      <w:pPr>
        <w:pStyle w:val="FootnoteText"/>
        <w:spacing w:before="120" w:after="120"/>
        <w:ind w:left="397" w:hanging="397"/>
        <w:rPr>
          <w:rFonts w:ascii="Narkisim" w:hAnsi="Narkisim" w:cs="Narkisim"/>
          <w:rtl/>
        </w:rPr>
      </w:pPr>
      <w:r w:rsidRPr="00291656">
        <w:rPr>
          <w:rStyle w:val="FootnoteReference"/>
          <w:rFonts w:ascii="Narkisim" w:hAnsi="Narkisim" w:cs="Narkisim"/>
        </w:rPr>
        <w:footnoteRef/>
      </w:r>
      <w:r w:rsidRPr="00F82136">
        <w:rPr>
          <w:rFonts w:ascii="Narkisim" w:hAnsi="Narkisim" w:cs="Narkisim"/>
          <w:rtl/>
        </w:rPr>
        <w:t xml:space="preserve"> </w:t>
      </w:r>
      <w:r>
        <w:rPr>
          <w:rFonts w:ascii="Narkisim" w:hAnsi="Narkisim" w:cs="Narkisim"/>
          <w:rtl/>
        </w:rPr>
        <w:tab/>
      </w:r>
      <w:r w:rsidRPr="00F82136">
        <w:rPr>
          <w:rFonts w:ascii="Narkisim" w:hAnsi="Narkisim" w:cs="Narkisim"/>
          <w:rtl/>
        </w:rPr>
        <w:t>סעיף 28ד לחוק מידע גנטי</w:t>
      </w:r>
      <w:r>
        <w:rPr>
          <w:rFonts w:ascii="Narkisim" w:hAnsi="Narkisim" w:cs="Narkisim"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528"/>
    <w:multiLevelType w:val="hybridMultilevel"/>
    <w:tmpl w:val="6E506BAE"/>
    <w:lvl w:ilvl="0" w:tplc="4DFEA08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6291C"/>
    <w:multiLevelType w:val="hybridMultilevel"/>
    <w:tmpl w:val="21FE689C"/>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D411CB5"/>
    <w:multiLevelType w:val="hybridMultilevel"/>
    <w:tmpl w:val="959AC1C6"/>
    <w:lvl w:ilvl="0" w:tplc="49967B88">
      <w:start w:val="1"/>
      <w:numFmt w:val="hebrew1"/>
      <w:lvlText w:val="%1."/>
      <w:lvlJc w:val="left"/>
      <w:pPr>
        <w:ind w:left="720" w:hanging="360"/>
      </w:pPr>
      <w:rPr>
        <w:rFonts w:asciiTheme="minorHAnsi" w:eastAsiaTheme="minorHAnsi" w:hAnsiTheme="minorHAnsi" w:cstheme="minorBidi"/>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B0F5C"/>
    <w:multiLevelType w:val="hybridMultilevel"/>
    <w:tmpl w:val="C6A2BA0A"/>
    <w:lvl w:ilvl="0" w:tplc="6434A88E">
      <w:start w:val="2"/>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BA97AD8"/>
    <w:multiLevelType w:val="hybridMultilevel"/>
    <w:tmpl w:val="0C660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82504"/>
    <w:multiLevelType w:val="hybridMultilevel"/>
    <w:tmpl w:val="7DF6D2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B68AA"/>
    <w:multiLevelType w:val="hybridMultilevel"/>
    <w:tmpl w:val="B50C38F2"/>
    <w:lvl w:ilvl="0" w:tplc="1000000F">
      <w:start w:val="4"/>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5E663A84"/>
    <w:multiLevelType w:val="hybridMultilevel"/>
    <w:tmpl w:val="74FC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0700C"/>
    <w:multiLevelType w:val="hybridMultilevel"/>
    <w:tmpl w:val="63704176"/>
    <w:lvl w:ilvl="0" w:tplc="CD6E8450">
      <w:start w:val="1"/>
      <w:numFmt w:val="hebrew1"/>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0"/>
  </w:num>
  <w:num w:numId="5">
    <w:abstractNumId w:val="0"/>
    <w:lvlOverride w:ilvl="0">
      <w:startOverride w:val="1"/>
    </w:lvlOverride>
  </w:num>
  <w:num w:numId="6">
    <w:abstractNumId w:val="4"/>
  </w:num>
  <w:num w:numId="7">
    <w:abstractNumId w:val="8"/>
  </w:num>
  <w:num w:numId="8">
    <w:abstractNumId w:val="1"/>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fran Ruth">
    <w15:presenceInfo w15:providerId="AD" w15:userId="S::rzafran@idc.ac.il::b758a8d6-df5d-4c1f-b89e-15a1be8f4b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8C"/>
    <w:rsid w:val="000100AA"/>
    <w:rsid w:val="000C0CD8"/>
    <w:rsid w:val="000E49B5"/>
    <w:rsid w:val="000E59F3"/>
    <w:rsid w:val="00110103"/>
    <w:rsid w:val="001405B1"/>
    <w:rsid w:val="001C3F9F"/>
    <w:rsid w:val="001D6746"/>
    <w:rsid w:val="001F094B"/>
    <w:rsid w:val="00221CE6"/>
    <w:rsid w:val="002B317C"/>
    <w:rsid w:val="00303C51"/>
    <w:rsid w:val="003204B9"/>
    <w:rsid w:val="00352BCD"/>
    <w:rsid w:val="00365E9D"/>
    <w:rsid w:val="003663AD"/>
    <w:rsid w:val="00453CAA"/>
    <w:rsid w:val="00577C23"/>
    <w:rsid w:val="00595B37"/>
    <w:rsid w:val="005F5FAB"/>
    <w:rsid w:val="006413CE"/>
    <w:rsid w:val="006520F9"/>
    <w:rsid w:val="006F00FB"/>
    <w:rsid w:val="00773142"/>
    <w:rsid w:val="007C5F4C"/>
    <w:rsid w:val="007E33FC"/>
    <w:rsid w:val="008724E1"/>
    <w:rsid w:val="009134A3"/>
    <w:rsid w:val="00916646"/>
    <w:rsid w:val="009270B0"/>
    <w:rsid w:val="00960325"/>
    <w:rsid w:val="009B3D73"/>
    <w:rsid w:val="009C6FF1"/>
    <w:rsid w:val="009E41CA"/>
    <w:rsid w:val="009F0762"/>
    <w:rsid w:val="00A17A7A"/>
    <w:rsid w:val="00A6061C"/>
    <w:rsid w:val="00AD6AB0"/>
    <w:rsid w:val="00B31A9C"/>
    <w:rsid w:val="00B41DD4"/>
    <w:rsid w:val="00B93B98"/>
    <w:rsid w:val="00B948BD"/>
    <w:rsid w:val="00BF22DC"/>
    <w:rsid w:val="00C24F5A"/>
    <w:rsid w:val="00C34B15"/>
    <w:rsid w:val="00CF30F4"/>
    <w:rsid w:val="00D210BD"/>
    <w:rsid w:val="00D41BE5"/>
    <w:rsid w:val="00D67F99"/>
    <w:rsid w:val="00D739E3"/>
    <w:rsid w:val="00E0078C"/>
    <w:rsid w:val="00E95D60"/>
    <w:rsid w:val="00FF42F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5B30"/>
  <w15:chartTrackingRefBased/>
  <w15:docId w15:val="{ED66374F-F43C-4D31-A578-53AE576C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8C"/>
    <w:pPr>
      <w:bidi/>
      <w:spacing w:after="0" w:line="360" w:lineRule="auto"/>
    </w:pPr>
    <w:rPr>
      <w:lang w:val="en-US"/>
    </w:rPr>
  </w:style>
  <w:style w:type="paragraph" w:styleId="Heading1">
    <w:name w:val="heading 1"/>
    <w:basedOn w:val="Normal"/>
    <w:next w:val="Normal"/>
    <w:link w:val="Heading1Char"/>
    <w:uiPriority w:val="9"/>
    <w:qFormat/>
    <w:rsid w:val="00E0078C"/>
    <w:pPr>
      <w:keepNext/>
      <w:keepLines/>
      <w:spacing w:before="240"/>
      <w:outlineLvl w:val="0"/>
    </w:pPr>
    <w:rPr>
      <w:rFonts w:ascii="Calibri Light" w:eastAsia="Times New Roman" w:hAnsi="Calibri Light" w:cs="Times New Roman"/>
      <w:noProof/>
      <w:color w:val="2F5496"/>
      <w:sz w:val="32"/>
      <w:szCs w:val="32"/>
    </w:rPr>
  </w:style>
  <w:style w:type="paragraph" w:styleId="Heading2">
    <w:name w:val="heading 2"/>
    <w:aliases w:val="Heading2"/>
    <w:basedOn w:val="Normal"/>
    <w:next w:val="Normal"/>
    <w:link w:val="Heading2Char"/>
    <w:unhideWhenUsed/>
    <w:qFormat/>
    <w:rsid w:val="00E0078C"/>
    <w:pPr>
      <w:keepNext/>
      <w:keepLines/>
      <w:spacing w:before="40"/>
      <w:outlineLvl w:val="1"/>
    </w:pPr>
    <w:rPr>
      <w:rFonts w:ascii="Calibri Light" w:eastAsia="Times New Roman" w:hAnsi="Calibri Light" w:cs="Times New Roman"/>
      <w:noProof/>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78C"/>
    <w:rPr>
      <w:rFonts w:ascii="Calibri Light" w:eastAsia="Times New Roman" w:hAnsi="Calibri Light" w:cs="Times New Roman"/>
      <w:noProof/>
      <w:color w:val="2F5496"/>
      <w:sz w:val="32"/>
      <w:szCs w:val="32"/>
      <w:lang w:val="en-US"/>
    </w:rPr>
  </w:style>
  <w:style w:type="character" w:customStyle="1" w:styleId="Heading2Char">
    <w:name w:val="Heading 2 Char"/>
    <w:basedOn w:val="DefaultParagraphFont"/>
    <w:link w:val="Heading2"/>
    <w:uiPriority w:val="9"/>
    <w:rsid w:val="00E0078C"/>
    <w:rPr>
      <w:rFonts w:ascii="Calibri Light" w:eastAsia="Times New Roman" w:hAnsi="Calibri Light" w:cs="Times New Roman"/>
      <w:noProof/>
      <w:color w:val="2F5496"/>
      <w:sz w:val="26"/>
      <w:szCs w:val="26"/>
      <w:lang w:val="en-US"/>
    </w:rPr>
  </w:style>
  <w:style w:type="paragraph" w:styleId="BalloonText">
    <w:name w:val="Balloon Text"/>
    <w:basedOn w:val="Normal"/>
    <w:link w:val="BalloonTextChar"/>
    <w:uiPriority w:val="99"/>
    <w:semiHidden/>
    <w:unhideWhenUsed/>
    <w:rsid w:val="00E0078C"/>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0078C"/>
    <w:rPr>
      <w:rFonts w:ascii="Tahoma" w:hAnsi="Tahoma" w:cs="Tahoma"/>
      <w:sz w:val="18"/>
      <w:szCs w:val="18"/>
      <w:lang w:val="en-US"/>
    </w:rPr>
  </w:style>
  <w:style w:type="paragraph" w:styleId="FootnoteText">
    <w:name w:val="footnote text"/>
    <w:aliases w:val="Char,טקסט הערות שוליים תו תו תו,טקסט הערות שוליים תו תו תו תו,טקסט הערות שוליים תו תו,תו"/>
    <w:basedOn w:val="Normal"/>
    <w:link w:val="FootnoteTextChar"/>
    <w:unhideWhenUsed/>
    <w:rsid w:val="00E0078C"/>
    <w:pPr>
      <w:spacing w:line="240" w:lineRule="auto"/>
    </w:pPr>
    <w:rPr>
      <w:sz w:val="20"/>
      <w:szCs w:val="20"/>
    </w:rPr>
  </w:style>
  <w:style w:type="character" w:customStyle="1" w:styleId="FootnoteTextChar">
    <w:name w:val="Footnote Text Char"/>
    <w:aliases w:val="Char Char,טקסט הערות שוליים תו תו תו Char,טקסט הערות שוליים תו תו תו תו Char,טקסט הערות שוליים תו תו Char,תו Char"/>
    <w:basedOn w:val="DefaultParagraphFont"/>
    <w:link w:val="FootnoteText"/>
    <w:rsid w:val="00E0078C"/>
    <w:rPr>
      <w:sz w:val="20"/>
      <w:szCs w:val="20"/>
      <w:lang w:val="en-US"/>
    </w:rPr>
  </w:style>
  <w:style w:type="character" w:styleId="FootnoteReference">
    <w:name w:val="footnote reference"/>
    <w:unhideWhenUsed/>
    <w:rsid w:val="00E0078C"/>
    <w:rPr>
      <w:vertAlign w:val="superscript"/>
    </w:rPr>
  </w:style>
  <w:style w:type="paragraph" w:styleId="CommentText">
    <w:name w:val="annotation text"/>
    <w:basedOn w:val="Normal"/>
    <w:link w:val="CommentTextChar"/>
    <w:uiPriority w:val="99"/>
    <w:unhideWhenUsed/>
    <w:rsid w:val="00E0078C"/>
    <w:pPr>
      <w:spacing w:line="240" w:lineRule="auto"/>
    </w:pPr>
    <w:rPr>
      <w:sz w:val="20"/>
      <w:szCs w:val="20"/>
    </w:rPr>
  </w:style>
  <w:style w:type="character" w:customStyle="1" w:styleId="CommentTextChar">
    <w:name w:val="Comment Text Char"/>
    <w:basedOn w:val="DefaultParagraphFont"/>
    <w:link w:val="CommentText"/>
    <w:uiPriority w:val="99"/>
    <w:rsid w:val="00E0078C"/>
    <w:rPr>
      <w:sz w:val="20"/>
      <w:szCs w:val="20"/>
      <w:lang w:val="en-US"/>
    </w:rPr>
  </w:style>
  <w:style w:type="character" w:styleId="CommentReference">
    <w:name w:val="annotation reference"/>
    <w:uiPriority w:val="99"/>
    <w:semiHidden/>
    <w:unhideWhenUsed/>
    <w:rsid w:val="00E0078C"/>
    <w:rPr>
      <w:sz w:val="16"/>
      <w:szCs w:val="16"/>
    </w:rPr>
  </w:style>
  <w:style w:type="character" w:styleId="Hyperlink">
    <w:name w:val="Hyperlink"/>
    <w:uiPriority w:val="99"/>
    <w:unhideWhenUsed/>
    <w:rsid w:val="00E0078C"/>
    <w:rPr>
      <w:color w:val="0563C1"/>
      <w:u w:val="single"/>
    </w:rPr>
  </w:style>
  <w:style w:type="paragraph" w:styleId="ListParagraph">
    <w:name w:val="List Paragraph"/>
    <w:basedOn w:val="Normal"/>
    <w:uiPriority w:val="34"/>
    <w:qFormat/>
    <w:rsid w:val="00E0078C"/>
    <w:pPr>
      <w:ind w:left="720"/>
      <w:contextualSpacing/>
    </w:pPr>
  </w:style>
  <w:style w:type="paragraph" w:customStyle="1" w:styleId="Footnote">
    <w:name w:val="Footnote"/>
    <w:basedOn w:val="FootnoteText"/>
    <w:link w:val="FootnoteChar"/>
    <w:autoRedefine/>
    <w:qFormat/>
    <w:rsid w:val="00D41BE5"/>
    <w:pPr>
      <w:bidi w:val="0"/>
      <w:jc w:val="both"/>
    </w:pPr>
    <w:rPr>
      <w:rFonts w:ascii="Times New Roman" w:eastAsia="Times New Roman" w:hAnsi="Times New Roman" w:cs="Times New Roman"/>
    </w:rPr>
  </w:style>
  <w:style w:type="character" w:customStyle="1" w:styleId="FootnoteChar">
    <w:name w:val="Footnote Char"/>
    <w:basedOn w:val="FootnoteTextChar"/>
    <w:link w:val="Footnote"/>
    <w:rsid w:val="00D41BE5"/>
    <w:rPr>
      <w:rFonts w:ascii="Times New Roman" w:eastAsia="Times New Roman" w:hAnsi="Times New Roman" w:cs="Times New Roman"/>
      <w:sz w:val="20"/>
      <w:szCs w:val="20"/>
      <w:lang w:val="en-US"/>
    </w:rPr>
  </w:style>
  <w:style w:type="paragraph" w:customStyle="1" w:styleId="FirstPara">
    <w:name w:val="First Para"/>
    <w:basedOn w:val="Normal"/>
    <w:link w:val="FirstParaChar"/>
    <w:qFormat/>
    <w:rsid w:val="00D41BE5"/>
    <w:pPr>
      <w:bidi w:val="0"/>
      <w:spacing w:line="240" w:lineRule="auto"/>
      <w:jc w:val="both"/>
    </w:pPr>
    <w:rPr>
      <w:rFonts w:ascii="Times New Roman" w:eastAsia="Times New Roman" w:hAnsi="Times New Roman" w:cs="Times New Roman"/>
    </w:rPr>
  </w:style>
  <w:style w:type="character" w:customStyle="1" w:styleId="FirstParaChar">
    <w:name w:val="First Para Char"/>
    <w:link w:val="FirstPara"/>
    <w:rsid w:val="00D41BE5"/>
    <w:rPr>
      <w:rFonts w:ascii="Times New Roman" w:eastAsia="Times New Roman" w:hAnsi="Times New Roman" w:cs="Times New Roman"/>
      <w:lang w:val="en-US"/>
    </w:rPr>
  </w:style>
  <w:style w:type="paragraph" w:customStyle="1" w:styleId="11">
    <w:name w:val="כותרת 11"/>
    <w:link w:val="Heading10"/>
    <w:qFormat/>
    <w:rsid w:val="00D41BE5"/>
    <w:pPr>
      <w:spacing w:after="120" w:line="360" w:lineRule="auto"/>
      <w:jc w:val="center"/>
    </w:pPr>
    <w:rPr>
      <w:rFonts w:ascii="Times New Roman" w:eastAsia="Times New Roman" w:hAnsi="Times New Roman" w:cs="Times New Roman"/>
      <w:smallCaps/>
      <w:sz w:val="24"/>
      <w:szCs w:val="24"/>
      <w:lang w:val="en-US"/>
    </w:rPr>
  </w:style>
  <w:style w:type="character" w:customStyle="1" w:styleId="Heading10">
    <w:name w:val="Heading 1 תו"/>
    <w:basedOn w:val="DefaultParagraphFont"/>
    <w:link w:val="11"/>
    <w:rsid w:val="00D41BE5"/>
    <w:rPr>
      <w:rFonts w:ascii="Times New Roman" w:eastAsia="Times New Roman" w:hAnsi="Times New Roman" w:cs="Times New Roman"/>
      <w:smallCaps/>
      <w:sz w:val="24"/>
      <w:szCs w:val="24"/>
      <w:lang w:val="en-US"/>
    </w:rPr>
  </w:style>
  <w:style w:type="paragraph" w:styleId="CommentSubject">
    <w:name w:val="annotation subject"/>
    <w:basedOn w:val="CommentText"/>
    <w:next w:val="CommentText"/>
    <w:link w:val="CommentSubjectChar"/>
    <w:uiPriority w:val="99"/>
    <w:semiHidden/>
    <w:unhideWhenUsed/>
    <w:rsid w:val="00C24F5A"/>
    <w:rPr>
      <w:b/>
      <w:bCs/>
    </w:rPr>
  </w:style>
  <w:style w:type="character" w:customStyle="1" w:styleId="CommentSubjectChar">
    <w:name w:val="Comment Subject Char"/>
    <w:basedOn w:val="CommentTextChar"/>
    <w:link w:val="CommentSubject"/>
    <w:uiPriority w:val="99"/>
    <w:semiHidden/>
    <w:rsid w:val="00C24F5A"/>
    <w:rPr>
      <w:b/>
      <w:bCs/>
      <w:sz w:val="20"/>
      <w:szCs w:val="20"/>
      <w:lang w:val="en-US"/>
    </w:rPr>
  </w:style>
  <w:style w:type="paragraph" w:styleId="Revision">
    <w:name w:val="Revision"/>
    <w:hidden/>
    <w:uiPriority w:val="99"/>
    <w:semiHidden/>
    <w:rsid w:val="00C24F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il/Units/YoezMespati/HanchayotNew/Seven/12202.pdf" TargetMode="External"/><Relationship Id="rId2" Type="http://schemas.openxmlformats.org/officeDocument/2006/relationships/hyperlink" Target="https://fs.knesset.gov.il/globaldocs/MMM/9819fd22-85e0-ea11-8118-00155d0af32a/2_9819fd22-85e0-ea11-8118-00155d0af32a_11_16528.pdf" TargetMode="External"/><Relationship Id="rId1" Type="http://schemas.openxmlformats.org/officeDocument/2006/relationships/hyperlink" Target="http://www.health.gov.il/Services/Committee/Embryo_Carrying_Agreements/Pages/Surroga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89FE-FA65-4920-9E47-7B177C71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21</Pages>
  <Words>6176</Words>
  <Characters>35206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Zafran Ruth</cp:lastModifiedBy>
  <cp:revision>16</cp:revision>
  <dcterms:created xsi:type="dcterms:W3CDTF">2022-03-21T07:42:00Z</dcterms:created>
  <dcterms:modified xsi:type="dcterms:W3CDTF">2022-03-24T15:21:00Z</dcterms:modified>
</cp:coreProperties>
</file>