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CBF88" w14:textId="77777777" w:rsidR="00A84BDF" w:rsidRDefault="00A84BDF" w:rsidP="009958C6">
      <w:pPr>
        <w:ind w:firstLine="0"/>
        <w:rPr>
          <w:b/>
          <w:bCs/>
        </w:rPr>
      </w:pPr>
    </w:p>
    <w:p w14:paraId="3FE2D5FF" w14:textId="6CF6B5C3" w:rsidR="00251DC9" w:rsidRDefault="00251DC9" w:rsidP="000873A3">
      <w:pPr>
        <w:ind w:firstLine="0"/>
        <w:jc w:val="center"/>
        <w:rPr>
          <w:b/>
          <w:bCs/>
        </w:rPr>
      </w:pPr>
      <w:r w:rsidRPr="0082385C">
        <w:rPr>
          <w:b/>
          <w:bCs/>
        </w:rPr>
        <w:t xml:space="preserve">The </w:t>
      </w:r>
      <w:r>
        <w:rPr>
          <w:b/>
          <w:bCs/>
        </w:rPr>
        <w:t>r</w:t>
      </w:r>
      <w:r w:rsidRPr="0082385C">
        <w:rPr>
          <w:b/>
          <w:bCs/>
        </w:rPr>
        <w:t xml:space="preserve">ole of </w:t>
      </w:r>
      <w:r w:rsidR="00927A0E">
        <w:rPr>
          <w:b/>
          <w:bCs/>
        </w:rPr>
        <w:t xml:space="preserve">the timing of </w:t>
      </w:r>
      <w:r>
        <w:rPr>
          <w:b/>
          <w:bCs/>
        </w:rPr>
        <w:t>p</w:t>
      </w:r>
      <w:r w:rsidRPr="0082385C">
        <w:rPr>
          <w:b/>
          <w:bCs/>
        </w:rPr>
        <w:t xml:space="preserve">revious </w:t>
      </w:r>
      <w:r>
        <w:rPr>
          <w:b/>
          <w:bCs/>
        </w:rPr>
        <w:t>s</w:t>
      </w:r>
      <w:r w:rsidRPr="0082385C">
        <w:rPr>
          <w:b/>
          <w:bCs/>
        </w:rPr>
        <w:t xml:space="preserve">tressful </w:t>
      </w:r>
      <w:r>
        <w:rPr>
          <w:b/>
          <w:bCs/>
        </w:rPr>
        <w:t>e</w:t>
      </w:r>
      <w:r w:rsidRPr="0082385C">
        <w:rPr>
          <w:b/>
          <w:bCs/>
        </w:rPr>
        <w:t>vents in</w:t>
      </w:r>
      <w:r w:rsidRPr="005E703A">
        <w:rPr>
          <w:b/>
          <w:bCs/>
        </w:rPr>
        <w:t xml:space="preserve"> </w:t>
      </w:r>
      <w:r>
        <w:rPr>
          <w:b/>
          <w:bCs/>
        </w:rPr>
        <w:t>m</w:t>
      </w:r>
      <w:r w:rsidRPr="005E703A">
        <w:rPr>
          <w:b/>
          <w:bCs/>
        </w:rPr>
        <w:t xml:space="preserve">oderating the </w:t>
      </w:r>
      <w:r>
        <w:rPr>
          <w:b/>
          <w:bCs/>
        </w:rPr>
        <w:t>r</w:t>
      </w:r>
      <w:r w:rsidRPr="005E703A">
        <w:rPr>
          <w:b/>
          <w:bCs/>
        </w:rPr>
        <w:t xml:space="preserve">elationship </w:t>
      </w:r>
      <w:r>
        <w:rPr>
          <w:b/>
          <w:bCs/>
        </w:rPr>
        <w:t>b</w:t>
      </w:r>
      <w:r w:rsidRPr="005E703A">
        <w:rPr>
          <w:b/>
          <w:bCs/>
        </w:rPr>
        <w:t xml:space="preserve">etween </w:t>
      </w:r>
      <w:r>
        <w:rPr>
          <w:b/>
          <w:bCs/>
        </w:rPr>
        <w:t>a</w:t>
      </w:r>
      <w:r w:rsidRPr="005E703A">
        <w:rPr>
          <w:b/>
          <w:bCs/>
        </w:rPr>
        <w:t xml:space="preserve">cute </w:t>
      </w:r>
      <w:r>
        <w:rPr>
          <w:b/>
          <w:bCs/>
        </w:rPr>
        <w:t>s</w:t>
      </w:r>
      <w:r w:rsidRPr="005E703A">
        <w:rPr>
          <w:b/>
          <w:bCs/>
        </w:rPr>
        <w:t xml:space="preserve">tress </w:t>
      </w:r>
      <w:r>
        <w:rPr>
          <w:b/>
          <w:bCs/>
        </w:rPr>
        <w:t>d</w:t>
      </w:r>
      <w:r w:rsidRPr="005E703A">
        <w:rPr>
          <w:b/>
          <w:bCs/>
        </w:rPr>
        <w:t xml:space="preserve">isorder and </w:t>
      </w:r>
      <w:r>
        <w:rPr>
          <w:b/>
          <w:bCs/>
        </w:rPr>
        <w:t>p</w:t>
      </w:r>
      <w:r w:rsidRPr="005E703A">
        <w:rPr>
          <w:b/>
          <w:bCs/>
        </w:rPr>
        <w:t xml:space="preserve">osttraumatic </w:t>
      </w:r>
      <w:r>
        <w:rPr>
          <w:b/>
          <w:bCs/>
        </w:rPr>
        <w:t>s</w:t>
      </w:r>
      <w:r w:rsidRPr="005E703A">
        <w:rPr>
          <w:b/>
          <w:bCs/>
        </w:rPr>
        <w:t>tress</w:t>
      </w:r>
    </w:p>
    <w:p w14:paraId="74798E30" w14:textId="25CE5F09" w:rsidR="004B0505" w:rsidRDefault="00B34FBB" w:rsidP="000873A3">
      <w:pPr>
        <w:ind w:firstLine="0"/>
        <w:jc w:val="center"/>
        <w:rPr>
          <w:b/>
          <w:bCs/>
        </w:rPr>
      </w:pPr>
      <w:bookmarkStart w:id="0" w:name="_GoBack"/>
      <w:bookmarkEnd w:id="0"/>
      <w:proofErr w:type="spellStart"/>
      <w:r>
        <w:rPr>
          <w:color w:val="222222"/>
        </w:rPr>
        <w:t>Eti</w:t>
      </w:r>
      <w:proofErr w:type="spellEnd"/>
      <w:r>
        <w:rPr>
          <w:color w:val="222222"/>
        </w:rPr>
        <w:t xml:space="preserve"> Boehm - </w:t>
      </w:r>
      <w:proofErr w:type="spellStart"/>
      <w:r>
        <w:rPr>
          <w:color w:val="222222"/>
        </w:rPr>
        <w:t>Tabib</w:t>
      </w:r>
      <w:proofErr w:type="spellEnd"/>
      <w:r>
        <w:rPr>
          <w:color w:val="222222"/>
        </w:rPr>
        <w:t xml:space="preserve"> and </w:t>
      </w:r>
      <w:r w:rsidRPr="00550EDA">
        <w:rPr>
          <w:color w:val="222222"/>
        </w:rPr>
        <w:t xml:space="preserve">Marc </w:t>
      </w:r>
      <w:proofErr w:type="spellStart"/>
      <w:r w:rsidRPr="00550EDA">
        <w:rPr>
          <w:color w:val="222222"/>
        </w:rPr>
        <w:t>Gelkopf</w:t>
      </w:r>
      <w:proofErr w:type="spellEnd"/>
    </w:p>
    <w:p w14:paraId="7D4AF696" w14:textId="20F3597C" w:rsidR="00251DC9" w:rsidRDefault="00251DC9" w:rsidP="00251DC9">
      <w:pPr>
        <w:spacing w:before="100" w:beforeAutospacing="1" w:after="100" w:afterAutospacing="1"/>
        <w:ind w:firstLine="0"/>
        <w:jc w:val="center"/>
        <w:rPr>
          <w:b/>
          <w:bCs/>
        </w:rPr>
      </w:pPr>
      <w:r>
        <w:rPr>
          <w:b/>
          <w:bCs/>
        </w:rPr>
        <w:t>Abstract</w:t>
      </w:r>
    </w:p>
    <w:p w14:paraId="297E90C0" w14:textId="49EF441E" w:rsidR="00251DC9" w:rsidRPr="00B642E8" w:rsidRDefault="00A84BDF" w:rsidP="00F02349">
      <w:pPr>
        <w:spacing w:before="100" w:beforeAutospacing="1" w:after="100" w:afterAutospacing="1"/>
        <w:ind w:firstLine="0"/>
        <w:rPr>
          <w:rFonts w:asciiTheme="majorBidi" w:eastAsia="Calibri" w:hAnsiTheme="majorBidi" w:cstheme="majorBidi"/>
        </w:rPr>
      </w:pPr>
      <w:r w:rsidRPr="00B642E8">
        <w:rPr>
          <w:b/>
          <w:bCs/>
        </w:rPr>
        <w:t>Background and Objectives</w:t>
      </w:r>
      <w:r w:rsidRPr="000873A3">
        <w:t>:</w:t>
      </w:r>
      <w:r w:rsidR="00F02349" w:rsidRPr="00B642E8">
        <w:rPr>
          <w:rFonts w:ascii="Arial" w:eastAsia="Calibri" w:hAnsi="Arial" w:cs="David"/>
        </w:rPr>
        <w:t xml:space="preserve"> </w:t>
      </w:r>
      <w:r w:rsidR="00251DC9" w:rsidRPr="00B642E8">
        <w:rPr>
          <w:rFonts w:asciiTheme="majorBidi" w:eastAsia="Calibri" w:hAnsiTheme="majorBidi" w:cstheme="majorBidi"/>
        </w:rPr>
        <w:t xml:space="preserve">Many studies suggest a relationship between previous experience of stressful events and posttraumatic stress (PTS), but little </w:t>
      </w:r>
      <w:proofErr w:type="gramStart"/>
      <w:r w:rsidR="00251DC9" w:rsidRPr="00B642E8">
        <w:rPr>
          <w:rFonts w:asciiTheme="majorBidi" w:eastAsia="Calibri" w:hAnsiTheme="majorBidi" w:cstheme="majorBidi"/>
        </w:rPr>
        <w:t>is known</w:t>
      </w:r>
      <w:proofErr w:type="gramEnd"/>
      <w:r w:rsidR="00251DC9" w:rsidRPr="00B642E8">
        <w:rPr>
          <w:rFonts w:asciiTheme="majorBidi" w:eastAsia="Calibri" w:hAnsiTheme="majorBidi" w:cstheme="majorBidi"/>
        </w:rPr>
        <w:t xml:space="preserve"> about the</w:t>
      </w:r>
      <w:r w:rsidR="00F02349" w:rsidRPr="00B642E8">
        <w:rPr>
          <w:rFonts w:asciiTheme="majorBidi" w:eastAsia="Calibri" w:hAnsiTheme="majorBidi" w:cstheme="majorBidi"/>
        </w:rPr>
        <w:t xml:space="preserve"> influence of the timing of these events. The aim of the present study was to examine the moderating (buffering</w:t>
      </w:r>
      <w:r w:rsidR="00AC4C98">
        <w:rPr>
          <w:rFonts w:asciiTheme="majorBidi" w:eastAsia="Calibri" w:hAnsiTheme="majorBidi" w:cstheme="majorBidi"/>
        </w:rPr>
        <w:t>/</w:t>
      </w:r>
      <w:r w:rsidR="00F02349" w:rsidRPr="00B642E8">
        <w:rPr>
          <w:rFonts w:asciiTheme="majorBidi" w:eastAsia="Calibri" w:hAnsiTheme="majorBidi" w:cstheme="majorBidi"/>
        </w:rPr>
        <w:t xml:space="preserve">intensifying) </w:t>
      </w:r>
      <w:r w:rsidR="00744C71" w:rsidRPr="00B642E8">
        <w:rPr>
          <w:rFonts w:asciiTheme="majorBidi" w:eastAsia="Calibri" w:hAnsiTheme="majorBidi" w:cstheme="majorBidi"/>
        </w:rPr>
        <w:t xml:space="preserve">effect </w:t>
      </w:r>
      <w:r w:rsidR="00F02349" w:rsidRPr="00B642E8">
        <w:rPr>
          <w:rFonts w:asciiTheme="majorBidi" w:eastAsia="Calibri" w:hAnsiTheme="majorBidi" w:cstheme="majorBidi"/>
        </w:rPr>
        <w:t xml:space="preserve">of stressful events on the </w:t>
      </w:r>
      <w:proofErr w:type="gramStart"/>
      <w:r w:rsidR="007644E4">
        <w:rPr>
          <w:rFonts w:asciiTheme="majorBidi" w:eastAsia="Calibri" w:hAnsiTheme="majorBidi" w:cstheme="majorBidi"/>
        </w:rPr>
        <w:t>relationship</w:t>
      </w:r>
      <w:proofErr w:type="gramEnd"/>
      <w:r w:rsidR="007644E4" w:rsidRPr="00B642E8">
        <w:rPr>
          <w:rFonts w:asciiTheme="majorBidi" w:eastAsia="Calibri" w:hAnsiTheme="majorBidi" w:cstheme="majorBidi"/>
        </w:rPr>
        <w:t xml:space="preserve"> </w:t>
      </w:r>
      <w:r w:rsidR="007644E4">
        <w:rPr>
          <w:rFonts w:asciiTheme="majorBidi" w:eastAsia="Calibri" w:hAnsiTheme="majorBidi" w:cstheme="majorBidi"/>
        </w:rPr>
        <w:t xml:space="preserve">between </w:t>
      </w:r>
      <w:r w:rsidR="00F02349" w:rsidRPr="00B642E8">
        <w:rPr>
          <w:rFonts w:asciiTheme="majorBidi" w:eastAsia="Calibri" w:hAnsiTheme="majorBidi" w:cstheme="majorBidi"/>
        </w:rPr>
        <w:t xml:space="preserve">acute stress disorder (ASD) and PTS, distinguishing between events </w:t>
      </w:r>
      <w:r w:rsidR="00744C71">
        <w:rPr>
          <w:rFonts w:asciiTheme="majorBidi" w:eastAsia="Calibri" w:hAnsiTheme="majorBidi" w:cstheme="majorBidi"/>
        </w:rPr>
        <w:t>occurring</w:t>
      </w:r>
      <w:r w:rsidR="00F02349" w:rsidRPr="00B642E8">
        <w:rPr>
          <w:rFonts w:asciiTheme="majorBidi" w:eastAsia="Calibri" w:hAnsiTheme="majorBidi" w:cstheme="majorBidi"/>
        </w:rPr>
        <w:t xml:space="preserve"> before ASD and between ASD and PTS.</w:t>
      </w:r>
      <w:r w:rsidR="00251DC9" w:rsidRPr="00B642E8">
        <w:rPr>
          <w:rFonts w:asciiTheme="majorBidi" w:eastAsia="Calibri" w:hAnsiTheme="majorBidi" w:cstheme="majorBidi"/>
        </w:rPr>
        <w:t xml:space="preserve">  </w:t>
      </w:r>
    </w:p>
    <w:p w14:paraId="264F2043" w14:textId="2B6BA53B" w:rsidR="00A84BDF" w:rsidRDefault="00A84BDF" w:rsidP="00F02349">
      <w:pPr>
        <w:spacing w:after="200"/>
        <w:ind w:firstLine="0"/>
        <w:rPr>
          <w:rFonts w:asciiTheme="majorBidi" w:eastAsia="Calibri" w:hAnsiTheme="majorBidi" w:cstheme="majorBidi"/>
        </w:rPr>
      </w:pPr>
      <w:r w:rsidRPr="00B642E8">
        <w:rPr>
          <w:rFonts w:asciiTheme="majorBidi" w:hAnsiTheme="majorBidi" w:cstheme="majorBidi"/>
          <w:b/>
          <w:bCs/>
          <w:lang w:val="en"/>
        </w:rPr>
        <w:t>Design and Methods</w:t>
      </w:r>
      <w:r w:rsidR="00F02349" w:rsidRPr="000873A3">
        <w:rPr>
          <w:rFonts w:asciiTheme="majorBidi" w:eastAsia="Calibri" w:hAnsiTheme="majorBidi" w:cstheme="majorBidi"/>
        </w:rPr>
        <w:t>:</w:t>
      </w:r>
      <w:r w:rsidR="00F02349" w:rsidRPr="00B642E8">
        <w:rPr>
          <w:rFonts w:asciiTheme="majorBidi" w:eastAsia="Calibri" w:hAnsiTheme="majorBidi" w:cstheme="majorBidi"/>
        </w:rPr>
        <w:t xml:space="preserve"> </w:t>
      </w:r>
      <w:r w:rsidR="007B70C1">
        <w:rPr>
          <w:rFonts w:asciiTheme="majorBidi" w:eastAsia="Calibri" w:hAnsiTheme="majorBidi" w:cstheme="majorBidi"/>
        </w:rPr>
        <w:t xml:space="preserve">This longitudinal study </w:t>
      </w:r>
      <w:proofErr w:type="gramStart"/>
      <w:r w:rsidR="007B70C1">
        <w:rPr>
          <w:rFonts w:asciiTheme="majorBidi" w:eastAsia="Calibri" w:hAnsiTheme="majorBidi" w:cstheme="majorBidi"/>
        </w:rPr>
        <w:t>was based</w:t>
      </w:r>
      <w:proofErr w:type="gramEnd"/>
      <w:r w:rsidR="007B70C1">
        <w:rPr>
          <w:rFonts w:asciiTheme="majorBidi" w:eastAsia="Calibri" w:hAnsiTheme="majorBidi" w:cstheme="majorBidi"/>
        </w:rPr>
        <w:t xml:space="preserve"> on questionnaires administered to 301 home front civilians in Israel during the Second Lebanon War measuring ASD—and PTS 6 years later. </w:t>
      </w:r>
      <w:r w:rsidR="007644E4">
        <w:rPr>
          <w:rFonts w:asciiTheme="majorBidi" w:eastAsia="Calibri" w:hAnsiTheme="majorBidi" w:cstheme="majorBidi"/>
        </w:rPr>
        <w:t>We examined previous</w:t>
      </w:r>
      <w:r w:rsidR="00B642E8" w:rsidRPr="00B642E8">
        <w:rPr>
          <w:rFonts w:asciiTheme="majorBidi" w:eastAsia="Calibri" w:hAnsiTheme="majorBidi" w:cstheme="majorBidi"/>
        </w:rPr>
        <w:t xml:space="preserve"> experience of stressful events </w:t>
      </w:r>
      <w:r w:rsidR="00AC4C98">
        <w:rPr>
          <w:rFonts w:asciiTheme="majorBidi" w:eastAsia="Calibri" w:hAnsiTheme="majorBidi" w:cstheme="majorBidi"/>
        </w:rPr>
        <w:t>occurring</w:t>
      </w:r>
      <w:r w:rsidR="00AC4C98" w:rsidRPr="00B642E8">
        <w:rPr>
          <w:rFonts w:asciiTheme="majorBidi" w:eastAsia="Calibri" w:hAnsiTheme="majorBidi" w:cstheme="majorBidi"/>
        </w:rPr>
        <w:t xml:space="preserve"> </w:t>
      </w:r>
      <w:r w:rsidR="00B642E8" w:rsidRPr="00B642E8">
        <w:rPr>
          <w:rFonts w:asciiTheme="majorBidi" w:eastAsia="Calibri" w:hAnsiTheme="majorBidi" w:cstheme="majorBidi"/>
        </w:rPr>
        <w:t xml:space="preserve">at two time points: before the war and in the </w:t>
      </w:r>
      <w:r w:rsidR="008720B0">
        <w:rPr>
          <w:rFonts w:asciiTheme="majorBidi" w:eastAsia="Calibri" w:hAnsiTheme="majorBidi" w:cstheme="majorBidi"/>
        </w:rPr>
        <w:t xml:space="preserve">6 </w:t>
      </w:r>
      <w:r w:rsidR="00B642E8" w:rsidRPr="00B642E8">
        <w:rPr>
          <w:rFonts w:asciiTheme="majorBidi" w:eastAsia="Calibri" w:hAnsiTheme="majorBidi" w:cstheme="majorBidi"/>
        </w:rPr>
        <w:t>years following the war.</w:t>
      </w:r>
    </w:p>
    <w:p w14:paraId="3A6597FB" w14:textId="2AB90CC0" w:rsidR="00B642E8" w:rsidRDefault="00B642E8" w:rsidP="00F02349">
      <w:pPr>
        <w:spacing w:after="200"/>
        <w:ind w:firstLine="0"/>
        <w:rPr>
          <w:rFonts w:asciiTheme="majorBidi" w:eastAsia="Calibri" w:hAnsiTheme="majorBidi" w:cstheme="majorBidi"/>
        </w:rPr>
      </w:pPr>
      <w:r w:rsidRPr="00B642E8">
        <w:rPr>
          <w:rFonts w:asciiTheme="majorBidi" w:eastAsia="Calibri" w:hAnsiTheme="majorBidi" w:cstheme="majorBidi"/>
          <w:b/>
          <w:bCs/>
        </w:rPr>
        <w:t>Results</w:t>
      </w:r>
      <w:r w:rsidRPr="000873A3">
        <w:rPr>
          <w:rFonts w:asciiTheme="majorBidi" w:eastAsia="Calibri" w:hAnsiTheme="majorBidi" w:cstheme="majorBidi"/>
        </w:rPr>
        <w:t>:</w:t>
      </w:r>
      <w:r w:rsidRPr="00B642E8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ASD </w:t>
      </w:r>
      <w:r w:rsidR="00AC4C98">
        <w:rPr>
          <w:rFonts w:asciiTheme="majorBidi" w:eastAsia="Calibri" w:hAnsiTheme="majorBidi" w:cstheme="majorBidi"/>
        </w:rPr>
        <w:t xml:space="preserve">reaction </w:t>
      </w:r>
      <w:r>
        <w:rPr>
          <w:rFonts w:asciiTheme="majorBidi" w:eastAsia="Calibri" w:hAnsiTheme="majorBidi" w:cstheme="majorBidi"/>
        </w:rPr>
        <w:t xml:space="preserve">predicts PTS symptoms. Additionally, </w:t>
      </w:r>
      <w:r w:rsidR="008720B0">
        <w:rPr>
          <w:rFonts w:asciiTheme="majorBidi" w:eastAsia="Calibri" w:hAnsiTheme="majorBidi" w:cstheme="majorBidi"/>
        </w:rPr>
        <w:t xml:space="preserve">we found </w:t>
      </w:r>
      <w:r>
        <w:rPr>
          <w:rFonts w:asciiTheme="majorBidi" w:eastAsia="Calibri" w:hAnsiTheme="majorBidi" w:cstheme="majorBidi"/>
        </w:rPr>
        <w:t xml:space="preserve">a negative relationship between stressful events that occurred more than 6 years previously (before the war) and PTS, </w:t>
      </w:r>
      <w:r w:rsidR="008720B0">
        <w:rPr>
          <w:rFonts w:asciiTheme="majorBidi" w:eastAsia="Calibri" w:hAnsiTheme="majorBidi" w:cstheme="majorBidi"/>
        </w:rPr>
        <w:t>and</w:t>
      </w:r>
      <w:r>
        <w:rPr>
          <w:rFonts w:asciiTheme="majorBidi" w:eastAsia="Calibri" w:hAnsiTheme="majorBidi" w:cstheme="majorBidi"/>
        </w:rPr>
        <w:t xml:space="preserve"> a positive relationship between stressful events that occurred during the last 6 years (after the war) and PTS.</w:t>
      </w:r>
    </w:p>
    <w:p w14:paraId="77110C1A" w14:textId="1D9FF524" w:rsidR="00B642E8" w:rsidRPr="00B642E8" w:rsidRDefault="00B642E8" w:rsidP="00F02349">
      <w:pPr>
        <w:spacing w:after="200"/>
        <w:ind w:firstLine="0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Conclusions</w:t>
      </w:r>
      <w:r w:rsidRPr="000873A3">
        <w:rPr>
          <w:rFonts w:asciiTheme="majorBidi" w:eastAsia="Calibri" w:hAnsiTheme="majorBidi" w:cstheme="majorBidi"/>
        </w:rPr>
        <w:t>:</w:t>
      </w:r>
      <w:r>
        <w:rPr>
          <w:rFonts w:asciiTheme="majorBidi" w:eastAsia="Calibri" w:hAnsiTheme="majorBidi" w:cstheme="majorBidi"/>
        </w:rPr>
        <w:t xml:space="preserve"> The article discusses the moderating effect of previous stressful events </w:t>
      </w:r>
      <w:r w:rsidR="00744C71">
        <w:rPr>
          <w:rFonts w:asciiTheme="majorBidi" w:eastAsia="Calibri" w:hAnsiTheme="majorBidi" w:cstheme="majorBidi"/>
        </w:rPr>
        <w:t>o</w:t>
      </w:r>
      <w:r>
        <w:rPr>
          <w:rFonts w:asciiTheme="majorBidi" w:eastAsia="Calibri" w:hAnsiTheme="majorBidi" w:cstheme="majorBidi"/>
        </w:rPr>
        <w:t>n the ASD–PTS relationship</w:t>
      </w:r>
      <w:r w:rsidR="008720B0">
        <w:rPr>
          <w:rFonts w:asciiTheme="majorBidi" w:eastAsia="Calibri" w:hAnsiTheme="majorBidi" w:cstheme="majorBidi"/>
        </w:rPr>
        <w:t xml:space="preserve"> and</w:t>
      </w:r>
      <w:r w:rsidR="008720B0" w:rsidRPr="005E703A">
        <w:t xml:space="preserve"> suggest</w:t>
      </w:r>
      <w:r w:rsidR="008720B0">
        <w:t>s</w:t>
      </w:r>
      <w:r w:rsidR="008720B0" w:rsidRPr="005E703A">
        <w:t xml:space="preserve"> another way to examine the effect of previous stressful experiences</w:t>
      </w:r>
      <w:r w:rsidR="008720B0">
        <w:t>—</w:t>
      </w:r>
      <w:r w:rsidR="008720B0" w:rsidRPr="005E703A">
        <w:t>in terms of the</w:t>
      </w:r>
      <w:r w:rsidR="008720B0">
        <w:t>ir</w:t>
      </w:r>
      <w:r w:rsidR="008720B0" w:rsidRPr="005E703A">
        <w:t xml:space="preserve"> timing.</w:t>
      </w:r>
    </w:p>
    <w:p w14:paraId="11AA3B2B" w14:textId="1A89896C" w:rsidR="00A84BDF" w:rsidRDefault="00890AFE" w:rsidP="009958C6">
      <w:pPr>
        <w:ind w:firstLine="0"/>
        <w:rPr>
          <w:b/>
          <w:bCs/>
        </w:rPr>
      </w:pPr>
      <w:r w:rsidRPr="000873A3">
        <w:rPr>
          <w:b/>
          <w:bCs/>
        </w:rPr>
        <w:lastRenderedPageBreak/>
        <w:t>Keywords</w:t>
      </w:r>
      <w:r w:rsidRPr="000873A3">
        <w:t>:</w:t>
      </w:r>
      <w:r w:rsidRPr="00826AD3">
        <w:t xml:space="preserve"> acute stress disorder; posttraumatic stress; previous stress-related events; home front</w:t>
      </w:r>
    </w:p>
    <w:p w14:paraId="706FF9E0" w14:textId="77777777" w:rsidR="00A84BDF" w:rsidRDefault="00A84BDF" w:rsidP="00847095">
      <w:pPr>
        <w:ind w:firstLine="0"/>
        <w:jc w:val="center"/>
        <w:rPr>
          <w:b/>
          <w:bCs/>
        </w:rPr>
      </w:pPr>
    </w:p>
    <w:p w14:paraId="0B84D518" w14:textId="77777777" w:rsidR="0062222E" w:rsidRDefault="0062222E" w:rsidP="008F25E8">
      <w:pPr>
        <w:ind w:firstLine="0"/>
        <w:jc w:val="center"/>
        <w:rPr>
          <w:b/>
          <w:bCs/>
        </w:rPr>
      </w:pPr>
      <w:r w:rsidRPr="0082385C">
        <w:rPr>
          <w:b/>
          <w:bCs/>
        </w:rPr>
        <w:t xml:space="preserve">The </w:t>
      </w:r>
      <w:r>
        <w:rPr>
          <w:b/>
          <w:bCs/>
        </w:rPr>
        <w:t>r</w:t>
      </w:r>
      <w:r w:rsidRPr="0082385C">
        <w:rPr>
          <w:b/>
          <w:bCs/>
        </w:rPr>
        <w:t xml:space="preserve">ole of </w:t>
      </w:r>
      <w:r>
        <w:rPr>
          <w:b/>
          <w:bCs/>
        </w:rPr>
        <w:t>the timing of p</w:t>
      </w:r>
      <w:r w:rsidRPr="0082385C">
        <w:rPr>
          <w:b/>
          <w:bCs/>
        </w:rPr>
        <w:t xml:space="preserve">revious </w:t>
      </w:r>
      <w:r>
        <w:rPr>
          <w:b/>
          <w:bCs/>
        </w:rPr>
        <w:t>s</w:t>
      </w:r>
      <w:r w:rsidRPr="0082385C">
        <w:rPr>
          <w:b/>
          <w:bCs/>
        </w:rPr>
        <w:t xml:space="preserve">tressful </w:t>
      </w:r>
      <w:r>
        <w:rPr>
          <w:b/>
          <w:bCs/>
        </w:rPr>
        <w:t>e</w:t>
      </w:r>
      <w:r w:rsidRPr="0082385C">
        <w:rPr>
          <w:b/>
          <w:bCs/>
        </w:rPr>
        <w:t>vents in</w:t>
      </w:r>
      <w:r w:rsidRPr="005E703A">
        <w:rPr>
          <w:b/>
          <w:bCs/>
        </w:rPr>
        <w:t xml:space="preserve"> </w:t>
      </w:r>
      <w:r>
        <w:rPr>
          <w:b/>
          <w:bCs/>
        </w:rPr>
        <w:t>m</w:t>
      </w:r>
      <w:r w:rsidRPr="005E703A">
        <w:rPr>
          <w:b/>
          <w:bCs/>
        </w:rPr>
        <w:t xml:space="preserve">oderating the </w:t>
      </w:r>
      <w:r>
        <w:rPr>
          <w:b/>
          <w:bCs/>
        </w:rPr>
        <w:t>r</w:t>
      </w:r>
      <w:r w:rsidRPr="005E703A">
        <w:rPr>
          <w:b/>
          <w:bCs/>
        </w:rPr>
        <w:t xml:space="preserve">elationship </w:t>
      </w:r>
      <w:r>
        <w:rPr>
          <w:b/>
          <w:bCs/>
        </w:rPr>
        <w:t>b</w:t>
      </w:r>
      <w:r w:rsidRPr="005E703A">
        <w:rPr>
          <w:b/>
          <w:bCs/>
        </w:rPr>
        <w:t xml:space="preserve">etween </w:t>
      </w:r>
      <w:r>
        <w:rPr>
          <w:b/>
          <w:bCs/>
        </w:rPr>
        <w:t>a</w:t>
      </w:r>
      <w:r w:rsidRPr="005E703A">
        <w:rPr>
          <w:b/>
          <w:bCs/>
        </w:rPr>
        <w:t xml:space="preserve">cute </w:t>
      </w:r>
      <w:r>
        <w:rPr>
          <w:b/>
          <w:bCs/>
        </w:rPr>
        <w:t>s</w:t>
      </w:r>
      <w:r w:rsidRPr="005E703A">
        <w:rPr>
          <w:b/>
          <w:bCs/>
        </w:rPr>
        <w:t xml:space="preserve">tress </w:t>
      </w:r>
      <w:r>
        <w:rPr>
          <w:b/>
          <w:bCs/>
        </w:rPr>
        <w:t>d</w:t>
      </w:r>
      <w:r w:rsidRPr="005E703A">
        <w:rPr>
          <w:b/>
          <w:bCs/>
        </w:rPr>
        <w:t xml:space="preserve">isorder and </w:t>
      </w:r>
      <w:r>
        <w:rPr>
          <w:b/>
          <w:bCs/>
        </w:rPr>
        <w:t>p</w:t>
      </w:r>
      <w:r w:rsidRPr="005E703A">
        <w:rPr>
          <w:b/>
          <w:bCs/>
        </w:rPr>
        <w:t xml:space="preserve">osttraumatic </w:t>
      </w:r>
      <w:r>
        <w:rPr>
          <w:b/>
          <w:bCs/>
        </w:rPr>
        <w:t>s</w:t>
      </w:r>
      <w:r w:rsidRPr="005E703A">
        <w:rPr>
          <w:b/>
          <w:bCs/>
        </w:rPr>
        <w:t>tress</w:t>
      </w:r>
      <w:r>
        <w:rPr>
          <w:b/>
          <w:bCs/>
        </w:rPr>
        <w:t xml:space="preserve"> </w:t>
      </w:r>
    </w:p>
    <w:p w14:paraId="7FCBFD2F" w14:textId="77777777" w:rsidR="0062222E" w:rsidRDefault="0062222E" w:rsidP="008F25E8">
      <w:pPr>
        <w:ind w:firstLine="0"/>
        <w:jc w:val="center"/>
        <w:rPr>
          <w:b/>
          <w:bCs/>
        </w:rPr>
      </w:pPr>
    </w:p>
    <w:p w14:paraId="6254144B" w14:textId="3424B8A2" w:rsidR="00C93292" w:rsidRPr="005E703A" w:rsidRDefault="00C93292" w:rsidP="008F25E8">
      <w:pPr>
        <w:ind w:firstLine="0"/>
        <w:jc w:val="center"/>
        <w:rPr>
          <w:b/>
          <w:bCs/>
        </w:rPr>
      </w:pPr>
      <w:r>
        <w:rPr>
          <w:b/>
          <w:bCs/>
        </w:rPr>
        <w:t>Introduction</w:t>
      </w:r>
    </w:p>
    <w:p w14:paraId="698F1567" w14:textId="0F81BB1A" w:rsidR="004955D0" w:rsidRPr="005E703A" w:rsidRDefault="0052710B" w:rsidP="000328A7">
      <w:r w:rsidRPr="005E703A">
        <w:t xml:space="preserve">ASD was first </w:t>
      </w:r>
      <w:r w:rsidR="00877BAE" w:rsidRPr="005E703A">
        <w:t>defined in</w:t>
      </w:r>
      <w:r w:rsidR="00E401AC" w:rsidRPr="005E703A">
        <w:t xml:space="preserve"> </w:t>
      </w:r>
      <w:r w:rsidR="00724113" w:rsidRPr="005E703A">
        <w:t xml:space="preserve">the </w:t>
      </w:r>
      <w:r w:rsidR="00724113" w:rsidRPr="00AA47BB">
        <w:rPr>
          <w:i/>
          <w:iCs/>
        </w:rPr>
        <w:t>Diagnostic and Statistical Manual of Mental Disorders</w:t>
      </w:r>
      <w:r w:rsidR="00E401AC" w:rsidRPr="005E703A">
        <w:t xml:space="preserve"> (</w:t>
      </w:r>
      <w:r w:rsidR="00724113" w:rsidRPr="005E703A">
        <w:t>4</w:t>
      </w:r>
      <w:r w:rsidR="00724113" w:rsidRPr="005E703A">
        <w:rPr>
          <w:vertAlign w:val="superscript"/>
        </w:rPr>
        <w:t>th</w:t>
      </w:r>
      <w:r w:rsidR="00724113" w:rsidRPr="005E703A">
        <w:t xml:space="preserve"> ed.; </w:t>
      </w:r>
      <w:r w:rsidR="00724113" w:rsidRPr="005E703A">
        <w:rPr>
          <w:i/>
          <w:iCs/>
        </w:rPr>
        <w:t>DSM-</w:t>
      </w:r>
      <w:r w:rsidR="00AA47BB">
        <w:rPr>
          <w:i/>
          <w:iCs/>
        </w:rPr>
        <w:t>4</w:t>
      </w:r>
      <w:r w:rsidR="00724113" w:rsidRPr="005E703A">
        <w:rPr>
          <w:i/>
          <w:iCs/>
        </w:rPr>
        <w:t>;</w:t>
      </w:r>
      <w:r w:rsidR="00724113" w:rsidRPr="005E703A">
        <w:t xml:space="preserve"> American Psychiatric Association, </w:t>
      </w:r>
      <w:r w:rsidR="00E401AC" w:rsidRPr="005E703A">
        <w:t>1994</w:t>
      </w:r>
      <w:r w:rsidR="00AC7E8D" w:rsidRPr="005E703A">
        <w:t>)</w:t>
      </w:r>
      <w:r w:rsidR="00B955EE" w:rsidRPr="005E703A">
        <w:t xml:space="preserve">, to diagnose </w:t>
      </w:r>
      <w:r w:rsidR="00724113" w:rsidRPr="005E703A">
        <w:t>symptoms of stress in the short term</w:t>
      </w:r>
      <w:r w:rsidR="00832BDE" w:rsidRPr="005E703A">
        <w:t xml:space="preserve"> (</w:t>
      </w:r>
      <w:r w:rsidR="00724113" w:rsidRPr="005E703A">
        <w:t>within</w:t>
      </w:r>
      <w:r w:rsidR="00877BAE" w:rsidRPr="005E703A">
        <w:t xml:space="preserve"> the first month </w:t>
      </w:r>
      <w:r w:rsidR="00724113" w:rsidRPr="005E703A">
        <w:t xml:space="preserve">after </w:t>
      </w:r>
      <w:r w:rsidR="00E401AC" w:rsidRPr="005E703A">
        <w:t>exposure to</w:t>
      </w:r>
      <w:r w:rsidR="006B39FB" w:rsidRPr="005E703A">
        <w:t xml:space="preserve"> </w:t>
      </w:r>
      <w:r w:rsidR="00E401AC" w:rsidRPr="005E703A">
        <w:t>trauma</w:t>
      </w:r>
      <w:r w:rsidR="00832BDE" w:rsidRPr="005E703A">
        <w:t xml:space="preserve">), </w:t>
      </w:r>
      <w:r w:rsidR="00724113" w:rsidRPr="005E703A">
        <w:t xml:space="preserve">before </w:t>
      </w:r>
      <w:r w:rsidR="00E401AC" w:rsidRPr="005E703A">
        <w:t>diagnosis of posttraumatic stress disorder (PTSD)</w:t>
      </w:r>
      <w:r w:rsidR="00832BDE" w:rsidRPr="005E703A">
        <w:t xml:space="preserve">, which </w:t>
      </w:r>
      <w:r w:rsidR="00B955EE" w:rsidRPr="005E703A">
        <w:t>can be examined at least</w:t>
      </w:r>
      <w:r w:rsidR="00E401AC" w:rsidRPr="005E703A">
        <w:t xml:space="preserve"> one month after </w:t>
      </w:r>
      <w:r w:rsidR="00832BDE" w:rsidRPr="005E703A">
        <w:t xml:space="preserve">a </w:t>
      </w:r>
      <w:r w:rsidR="008C5FB3" w:rsidRPr="005E703A">
        <w:t>stressful</w:t>
      </w:r>
      <w:r w:rsidRPr="005E703A">
        <w:t xml:space="preserve"> </w:t>
      </w:r>
      <w:r w:rsidR="00E401AC" w:rsidRPr="005E703A">
        <w:t xml:space="preserve">event. </w:t>
      </w:r>
      <w:r w:rsidR="00B955EE" w:rsidRPr="005E703A">
        <w:t>The addition of</w:t>
      </w:r>
      <w:r w:rsidR="00E401AC" w:rsidRPr="005E703A">
        <w:t xml:space="preserve"> ASD </w:t>
      </w:r>
      <w:r w:rsidR="00B955EE" w:rsidRPr="005E703A">
        <w:t xml:space="preserve">to </w:t>
      </w:r>
      <w:r w:rsidR="00E401AC" w:rsidRPr="00050C09">
        <w:rPr>
          <w:i/>
          <w:iCs/>
        </w:rPr>
        <w:t>DSM-</w:t>
      </w:r>
      <w:r w:rsidR="00B955EE" w:rsidRPr="00050C09">
        <w:rPr>
          <w:i/>
          <w:iCs/>
        </w:rPr>
        <w:t>IV</w:t>
      </w:r>
      <w:r w:rsidR="00832BDE" w:rsidRPr="005E703A">
        <w:t xml:space="preserve"> </w:t>
      </w:r>
      <w:r w:rsidR="00B955EE" w:rsidRPr="005E703A">
        <w:t xml:space="preserve">responded to </w:t>
      </w:r>
      <w:r w:rsidR="00E401AC" w:rsidRPr="005E703A">
        <w:t xml:space="preserve">the need to identify </w:t>
      </w:r>
      <w:r w:rsidR="00B955EE" w:rsidRPr="005E703A">
        <w:t xml:space="preserve">people </w:t>
      </w:r>
      <w:r w:rsidR="00CD6A5A">
        <w:t xml:space="preserve">who are </w:t>
      </w:r>
      <w:r w:rsidR="00E401AC" w:rsidRPr="005E703A">
        <w:t>at risk of developing PTSD (</w:t>
      </w:r>
      <w:r w:rsidR="004E694C" w:rsidRPr="005E703A">
        <w:t>Bryant</w:t>
      </w:r>
      <w:r w:rsidR="00AC7E8D" w:rsidRPr="005E703A">
        <w:t xml:space="preserve"> et al.</w:t>
      </w:r>
      <w:r w:rsidR="004E694C" w:rsidRPr="005E703A">
        <w:t xml:space="preserve">, </w:t>
      </w:r>
      <w:r w:rsidR="00E401AC" w:rsidRPr="005E703A">
        <w:t>2000).</w:t>
      </w:r>
      <w:r w:rsidR="00877BAE" w:rsidRPr="005E703A" w:rsidDel="00877BAE">
        <w:rPr>
          <w:rtl/>
        </w:rPr>
        <w:t xml:space="preserve"> </w:t>
      </w:r>
      <w:r w:rsidR="00E647E2" w:rsidRPr="005E703A">
        <w:t xml:space="preserve">Indeed, some studies </w:t>
      </w:r>
      <w:r w:rsidR="00877BAE" w:rsidRPr="005E703A">
        <w:t xml:space="preserve">have shown </w:t>
      </w:r>
      <w:r w:rsidR="00E647E2" w:rsidRPr="005E703A">
        <w:t xml:space="preserve">that ASD in the first month </w:t>
      </w:r>
      <w:r w:rsidRPr="005E703A">
        <w:t>after the</w:t>
      </w:r>
      <w:r w:rsidR="00E647E2" w:rsidRPr="005E703A">
        <w:t xml:space="preserve"> trauma predicts </w:t>
      </w:r>
      <w:r w:rsidR="00B955EE" w:rsidRPr="005E703A">
        <w:t xml:space="preserve">later </w:t>
      </w:r>
      <w:r w:rsidR="00E647E2" w:rsidRPr="005E703A">
        <w:t>PTSD (</w:t>
      </w:r>
      <w:r w:rsidR="00BD1BEE" w:rsidRPr="005E703A">
        <w:rPr>
          <w:rStyle w:val="citation"/>
          <w:rFonts w:cstheme="majorBidi"/>
        </w:rPr>
        <w:t xml:space="preserve">Bryant, 2018; </w:t>
      </w:r>
      <w:r w:rsidR="00526B78" w:rsidRPr="005E703A">
        <w:rPr>
          <w:lang w:val="en"/>
        </w:rPr>
        <w:t>Bryant et al., 2015</w:t>
      </w:r>
      <w:r w:rsidR="00526B78" w:rsidRPr="005E703A">
        <w:rPr>
          <w:rStyle w:val="citation"/>
          <w:rFonts w:cstheme="majorBidi"/>
        </w:rPr>
        <w:t xml:space="preserve">; </w:t>
      </w:r>
      <w:proofErr w:type="spellStart"/>
      <w:r w:rsidR="004033D2" w:rsidRPr="005E703A">
        <w:t>McKibben</w:t>
      </w:r>
      <w:proofErr w:type="spellEnd"/>
      <w:r w:rsidR="00AC7E8D" w:rsidRPr="005E703A">
        <w:t xml:space="preserve"> et al., </w:t>
      </w:r>
      <w:r w:rsidR="00E647E2" w:rsidRPr="005E703A">
        <w:rPr>
          <w:rStyle w:val="citation"/>
          <w:rFonts w:cstheme="majorBidi"/>
        </w:rPr>
        <w:t>2008).</w:t>
      </w:r>
      <w:r w:rsidR="004033D2" w:rsidRPr="005E703A">
        <w:t xml:space="preserve"> </w:t>
      </w:r>
    </w:p>
    <w:p w14:paraId="02AA880D" w14:textId="5C482B33" w:rsidR="00F601C0" w:rsidRPr="005E703A" w:rsidRDefault="00CD6A5A" w:rsidP="000328A7">
      <w:r>
        <w:t>Even though s</w:t>
      </w:r>
      <w:r w:rsidRPr="005E703A">
        <w:t xml:space="preserve">everal </w:t>
      </w:r>
      <w:r w:rsidR="00E647E2" w:rsidRPr="005E703A">
        <w:t>studies</w:t>
      </w:r>
      <w:r w:rsidR="00877BAE" w:rsidRPr="005E703A">
        <w:t xml:space="preserve"> </w:t>
      </w:r>
      <w:proofErr w:type="gramStart"/>
      <w:r w:rsidR="00877BAE" w:rsidRPr="005E703A">
        <w:t>have been conducted</w:t>
      </w:r>
      <w:proofErr w:type="gramEnd"/>
      <w:r w:rsidR="00877BAE" w:rsidRPr="005E703A">
        <w:t xml:space="preserve"> on ASD</w:t>
      </w:r>
      <w:r w:rsidR="003D6154" w:rsidRPr="005E703A">
        <w:t xml:space="preserve">, </w:t>
      </w:r>
      <w:r w:rsidR="00877BAE" w:rsidRPr="005E703A">
        <w:t xml:space="preserve">there is </w:t>
      </w:r>
      <w:r>
        <w:t>still</w:t>
      </w:r>
      <w:r w:rsidRPr="005E703A">
        <w:t xml:space="preserve"> </w:t>
      </w:r>
      <w:r w:rsidR="00E647E2" w:rsidRPr="005E703A">
        <w:t>a lack of research</w:t>
      </w:r>
      <w:r w:rsidR="00C32D7A" w:rsidRPr="005E703A">
        <w:t xml:space="preserve"> (especially longitudinal studies)</w:t>
      </w:r>
      <w:r w:rsidR="00E647E2" w:rsidRPr="005E703A">
        <w:t xml:space="preserve"> on the </w:t>
      </w:r>
      <w:r w:rsidR="0052710B" w:rsidRPr="005E703A">
        <w:t xml:space="preserve">relationship </w:t>
      </w:r>
      <w:r w:rsidR="00E647E2" w:rsidRPr="005E703A">
        <w:t>between ASD</w:t>
      </w:r>
      <w:r w:rsidR="000328A7">
        <w:t>,</w:t>
      </w:r>
      <w:r w:rsidR="00E647E2" w:rsidRPr="005E703A">
        <w:t xml:space="preserve"> among </w:t>
      </w:r>
      <w:r w:rsidR="00B955EE" w:rsidRPr="005E703A">
        <w:t xml:space="preserve">people </w:t>
      </w:r>
      <w:r w:rsidR="005D401B" w:rsidRPr="005E703A">
        <w:t xml:space="preserve">who experience </w:t>
      </w:r>
      <w:r w:rsidR="00E647E2" w:rsidRPr="005E703A">
        <w:t>a home</w:t>
      </w:r>
      <w:r w:rsidR="00B955EE" w:rsidRPr="005E703A">
        <w:t xml:space="preserve"> </w:t>
      </w:r>
      <w:r w:rsidR="00E647E2" w:rsidRPr="005E703A">
        <w:t>front war</w:t>
      </w:r>
      <w:r w:rsidR="000328A7">
        <w:t>,</w:t>
      </w:r>
      <w:r w:rsidR="00E647E2" w:rsidRPr="005E703A">
        <w:t xml:space="preserve"> and PTS (</w:t>
      </w:r>
      <w:r w:rsidR="00E647E2" w:rsidRPr="005E703A">
        <w:rPr>
          <w:lang w:val="en"/>
        </w:rPr>
        <w:t>Boehm-</w:t>
      </w:r>
      <w:proofErr w:type="spellStart"/>
      <w:r w:rsidR="00E647E2" w:rsidRPr="005E703A">
        <w:rPr>
          <w:lang w:val="en"/>
        </w:rPr>
        <w:t>Tabib</w:t>
      </w:r>
      <w:proofErr w:type="spellEnd"/>
      <w:r w:rsidR="00E647E2" w:rsidRPr="005E703A">
        <w:rPr>
          <w:lang w:val="en"/>
        </w:rPr>
        <w:t xml:space="preserve">, 2016; </w:t>
      </w:r>
      <w:r w:rsidR="00026A5C" w:rsidRPr="005E703A">
        <w:rPr>
          <w:lang w:val="en"/>
        </w:rPr>
        <w:t>Stein</w:t>
      </w:r>
      <w:r w:rsidR="00AC7E8D" w:rsidRPr="005E703A">
        <w:rPr>
          <w:lang w:val="en"/>
        </w:rPr>
        <w:t xml:space="preserve"> et al.</w:t>
      </w:r>
      <w:r w:rsidR="00026A5C" w:rsidRPr="005E703A">
        <w:rPr>
          <w:lang w:val="en"/>
        </w:rPr>
        <w:t xml:space="preserve">, </w:t>
      </w:r>
      <w:r w:rsidR="00E647E2" w:rsidRPr="005E703A">
        <w:rPr>
          <w:lang w:val="en"/>
        </w:rPr>
        <w:t xml:space="preserve">2018). </w:t>
      </w:r>
      <w:r w:rsidR="005D401B" w:rsidRPr="005E703A">
        <w:rPr>
          <w:lang w:val="en"/>
        </w:rPr>
        <w:t>In</w:t>
      </w:r>
      <w:r w:rsidR="00E647E2" w:rsidRPr="005E703A">
        <w:rPr>
          <w:lang w:val="en"/>
        </w:rPr>
        <w:t xml:space="preserve"> particular</w:t>
      </w:r>
      <w:r w:rsidR="005D401B" w:rsidRPr="005E703A">
        <w:rPr>
          <w:lang w:val="en"/>
        </w:rPr>
        <w:t>, little</w:t>
      </w:r>
      <w:r w:rsidR="00E647E2" w:rsidRPr="005E703A">
        <w:rPr>
          <w:lang w:val="en"/>
        </w:rPr>
        <w:t xml:space="preserve"> knowledge </w:t>
      </w:r>
      <w:r>
        <w:rPr>
          <w:lang w:val="en"/>
        </w:rPr>
        <w:t xml:space="preserve">exists </w:t>
      </w:r>
      <w:r w:rsidR="005D401B" w:rsidRPr="005E703A">
        <w:rPr>
          <w:lang w:val="en"/>
        </w:rPr>
        <w:t xml:space="preserve">regarding </w:t>
      </w:r>
      <w:r w:rsidR="00E647E2" w:rsidRPr="005E703A">
        <w:rPr>
          <w:lang w:val="en"/>
        </w:rPr>
        <w:t xml:space="preserve">the </w:t>
      </w:r>
      <w:r w:rsidR="005D401B" w:rsidRPr="005E703A">
        <w:rPr>
          <w:lang w:val="en"/>
        </w:rPr>
        <w:t xml:space="preserve">moderating </w:t>
      </w:r>
      <w:r w:rsidR="00E647E2" w:rsidRPr="005E703A">
        <w:rPr>
          <w:lang w:val="en"/>
        </w:rPr>
        <w:t xml:space="preserve">factors </w:t>
      </w:r>
      <w:r w:rsidR="005D401B" w:rsidRPr="005E703A">
        <w:rPr>
          <w:lang w:val="en"/>
        </w:rPr>
        <w:t xml:space="preserve">that explain the </w:t>
      </w:r>
      <w:r w:rsidR="00E647E2" w:rsidRPr="005E703A">
        <w:rPr>
          <w:lang w:val="en"/>
        </w:rPr>
        <w:t>variance in the development of ASD (</w:t>
      </w:r>
      <w:r w:rsidR="005D401B" w:rsidRPr="005E703A">
        <w:t xml:space="preserve">Bryant, 2017; </w:t>
      </w:r>
      <w:r w:rsidR="00E647E2" w:rsidRPr="005E703A">
        <w:t>Bryant</w:t>
      </w:r>
      <w:r w:rsidR="005D401B" w:rsidRPr="005E703A">
        <w:t xml:space="preserve"> et al.</w:t>
      </w:r>
      <w:r w:rsidR="00E647E2" w:rsidRPr="005E703A">
        <w:t xml:space="preserve">, 2015; </w:t>
      </w:r>
      <w:r w:rsidR="004033D2" w:rsidRPr="005E703A">
        <w:t>Gil</w:t>
      </w:r>
      <w:r w:rsidR="00AC7E8D" w:rsidRPr="005E703A">
        <w:t xml:space="preserve"> et al.</w:t>
      </w:r>
      <w:r w:rsidR="004033D2" w:rsidRPr="005E703A">
        <w:t xml:space="preserve">, </w:t>
      </w:r>
      <w:r w:rsidR="00E647E2" w:rsidRPr="005E703A">
        <w:t xml:space="preserve">2016; </w:t>
      </w:r>
      <w:proofErr w:type="spellStart"/>
      <w:r w:rsidR="00026A5C" w:rsidRPr="005E703A">
        <w:t>Giupponi</w:t>
      </w:r>
      <w:proofErr w:type="spellEnd"/>
      <w:r w:rsidR="00436B90" w:rsidRPr="005E703A">
        <w:t xml:space="preserve"> et al.</w:t>
      </w:r>
      <w:r w:rsidR="00026A5C" w:rsidRPr="005E703A">
        <w:t xml:space="preserve">, </w:t>
      </w:r>
      <w:r w:rsidR="00E647E2" w:rsidRPr="005E703A">
        <w:t>2019).</w:t>
      </w:r>
      <w:r w:rsidR="00026A5C" w:rsidRPr="005E703A">
        <w:t xml:space="preserve"> </w:t>
      </w:r>
      <w:r w:rsidR="00E647E2" w:rsidRPr="005E703A">
        <w:t xml:space="preserve">In the </w:t>
      </w:r>
      <w:r w:rsidR="005D401B" w:rsidRPr="005E703A">
        <w:t xml:space="preserve">present </w:t>
      </w:r>
      <w:r w:rsidR="000328A7">
        <w:t>study,</w:t>
      </w:r>
      <w:r w:rsidR="000328A7" w:rsidRPr="005E703A">
        <w:t xml:space="preserve"> </w:t>
      </w:r>
      <w:r w:rsidR="00E647E2" w:rsidRPr="005E703A">
        <w:t xml:space="preserve">we </w:t>
      </w:r>
      <w:r w:rsidR="00B955EE" w:rsidRPr="005E703A">
        <w:t>examined</w:t>
      </w:r>
      <w:r w:rsidR="006B4F4D" w:rsidRPr="005E703A">
        <w:t xml:space="preserve"> individuals’</w:t>
      </w:r>
      <w:r w:rsidR="00E647E2" w:rsidRPr="005E703A">
        <w:t xml:space="preserve"> </w:t>
      </w:r>
      <w:r w:rsidR="006B4F4D" w:rsidRPr="005E703A">
        <w:t xml:space="preserve">previous </w:t>
      </w:r>
      <w:r w:rsidR="00E647E2" w:rsidRPr="005E703A">
        <w:t>experienc</w:t>
      </w:r>
      <w:r w:rsidR="006B4F4D" w:rsidRPr="005E703A">
        <w:t>es</w:t>
      </w:r>
      <w:r w:rsidR="00E647E2" w:rsidRPr="005E703A">
        <w:t xml:space="preserve"> of </w:t>
      </w:r>
      <w:r w:rsidR="008C5FB3" w:rsidRPr="005E703A">
        <w:t>stressful</w:t>
      </w:r>
      <w:r w:rsidR="006B4F4D" w:rsidRPr="005E703A">
        <w:t xml:space="preserve"> events </w:t>
      </w:r>
      <w:r w:rsidR="00E647E2" w:rsidRPr="005E703A">
        <w:t>as a factor</w:t>
      </w:r>
      <w:r w:rsidR="005940BE" w:rsidRPr="005E703A">
        <w:t xml:space="preserve"> </w:t>
      </w:r>
      <w:r w:rsidR="005D401B" w:rsidRPr="005E703A">
        <w:t xml:space="preserve">that moderates </w:t>
      </w:r>
      <w:r w:rsidR="00F601C0" w:rsidRPr="005E703A">
        <w:t xml:space="preserve">the development of </w:t>
      </w:r>
      <w:r w:rsidR="00E647E2" w:rsidRPr="005E703A">
        <w:t>PTS</w:t>
      </w:r>
      <w:r w:rsidR="005D401B" w:rsidRPr="005E703A">
        <w:t xml:space="preserve"> </w:t>
      </w:r>
      <w:r w:rsidR="00F601C0" w:rsidRPr="005E703A">
        <w:t>after</w:t>
      </w:r>
      <w:r w:rsidR="00E647E2" w:rsidRPr="005E703A">
        <w:t xml:space="preserve"> </w:t>
      </w:r>
      <w:r w:rsidR="009937DD" w:rsidRPr="005E703A">
        <w:t xml:space="preserve">a traumatic event </w:t>
      </w:r>
      <w:r w:rsidR="00837F1F">
        <w:t>during</w:t>
      </w:r>
      <w:r w:rsidR="00837F1F" w:rsidRPr="005E703A">
        <w:t xml:space="preserve"> </w:t>
      </w:r>
      <w:r w:rsidR="009937DD" w:rsidRPr="005E703A">
        <w:t xml:space="preserve">which </w:t>
      </w:r>
      <w:r w:rsidR="00E647E2" w:rsidRPr="005E703A">
        <w:t>ASD</w:t>
      </w:r>
      <w:r w:rsidR="009937DD" w:rsidRPr="005E703A">
        <w:t xml:space="preserve"> </w:t>
      </w:r>
      <w:proofErr w:type="gramStart"/>
      <w:r w:rsidR="009937DD" w:rsidRPr="005E703A">
        <w:t>was measured</w:t>
      </w:r>
      <w:proofErr w:type="gramEnd"/>
      <w:r w:rsidR="00E647E2" w:rsidRPr="005E703A">
        <w:t xml:space="preserve">. </w:t>
      </w:r>
      <w:r w:rsidR="005D401B" w:rsidRPr="005E703A">
        <w:t>Many</w:t>
      </w:r>
      <w:r w:rsidR="00E647E2" w:rsidRPr="005E703A">
        <w:t xml:space="preserve"> </w:t>
      </w:r>
      <w:r w:rsidR="005D401B" w:rsidRPr="005E703A">
        <w:t xml:space="preserve">people experience </w:t>
      </w:r>
      <w:r w:rsidR="00C85F0B" w:rsidRPr="005E703A">
        <w:t xml:space="preserve">numerous </w:t>
      </w:r>
      <w:r w:rsidR="008C5FB3" w:rsidRPr="005E703A">
        <w:t>stressful</w:t>
      </w:r>
      <w:r w:rsidR="005D401B" w:rsidRPr="005E703A">
        <w:t xml:space="preserve"> events </w:t>
      </w:r>
      <w:r w:rsidR="00C85F0B" w:rsidRPr="005E703A">
        <w:t xml:space="preserve">in </w:t>
      </w:r>
      <w:r w:rsidR="00E647E2" w:rsidRPr="005E703A">
        <w:t>the course of their lives (</w:t>
      </w:r>
      <w:proofErr w:type="spellStart"/>
      <w:r w:rsidR="00E647E2" w:rsidRPr="005E703A">
        <w:t>Bonanno</w:t>
      </w:r>
      <w:proofErr w:type="spellEnd"/>
      <w:r w:rsidR="00E647E2" w:rsidRPr="005E703A">
        <w:t xml:space="preserve"> &amp; Mancini, 2012; Mayo</w:t>
      </w:r>
      <w:r w:rsidR="005D401B" w:rsidRPr="005E703A">
        <w:t xml:space="preserve"> et al.</w:t>
      </w:r>
      <w:r w:rsidR="00E647E2" w:rsidRPr="005E703A">
        <w:t>, 2017).</w:t>
      </w:r>
      <w:r w:rsidR="00C85F0B" w:rsidRPr="005E703A" w:rsidDel="00C85F0B">
        <w:t xml:space="preserve"> </w:t>
      </w:r>
      <w:r w:rsidR="00E647E2" w:rsidRPr="005E703A">
        <w:t xml:space="preserve">Therefore, </w:t>
      </w:r>
      <w:r w:rsidR="00270632" w:rsidRPr="005E703A">
        <w:t>it is</w:t>
      </w:r>
      <w:r w:rsidR="006B4F4D" w:rsidRPr="005E703A">
        <w:t xml:space="preserve"> </w:t>
      </w:r>
      <w:r w:rsidR="00E647E2" w:rsidRPr="005E703A">
        <w:t xml:space="preserve">difficult to </w:t>
      </w:r>
      <w:r w:rsidR="000328A7">
        <w:t>distinguish</w:t>
      </w:r>
      <w:r w:rsidR="000328A7" w:rsidRPr="005E703A">
        <w:t xml:space="preserve"> </w:t>
      </w:r>
      <w:r w:rsidR="00E647E2" w:rsidRPr="005E703A">
        <w:t xml:space="preserve">the effect of </w:t>
      </w:r>
      <w:r w:rsidR="006B4F4D" w:rsidRPr="005E703A">
        <w:lastRenderedPageBreak/>
        <w:t>a</w:t>
      </w:r>
      <w:r w:rsidR="00C85F0B" w:rsidRPr="005E703A">
        <w:t>ny given</w:t>
      </w:r>
      <w:r w:rsidR="006B4F4D" w:rsidRPr="005E703A">
        <w:t xml:space="preserve"> </w:t>
      </w:r>
      <w:r w:rsidR="00E647E2" w:rsidRPr="005E703A">
        <w:t xml:space="preserve">event. </w:t>
      </w:r>
      <w:r w:rsidR="00791BC6" w:rsidRPr="005E703A">
        <w:t>Moreover,</w:t>
      </w:r>
      <w:r w:rsidR="003D6154" w:rsidRPr="005E703A">
        <w:t xml:space="preserve"> </w:t>
      </w:r>
      <w:r w:rsidR="00C85F0B" w:rsidRPr="005E703A">
        <w:t>research has</w:t>
      </w:r>
      <w:r w:rsidR="00791BC6" w:rsidRPr="005E703A">
        <w:t xml:space="preserve"> indicate</w:t>
      </w:r>
      <w:r w:rsidR="00C85F0B" w:rsidRPr="005E703A">
        <w:t>d</w:t>
      </w:r>
      <w:r w:rsidR="00791BC6" w:rsidRPr="005E703A">
        <w:t xml:space="preserve"> </w:t>
      </w:r>
      <w:r w:rsidR="007C1EB2" w:rsidRPr="005E703A">
        <w:t xml:space="preserve">that </w:t>
      </w:r>
      <w:r w:rsidR="00791BC6" w:rsidRPr="005E703A">
        <w:t>experienc</w:t>
      </w:r>
      <w:r w:rsidR="007C1EB2" w:rsidRPr="005E703A">
        <w:t>ing</w:t>
      </w:r>
      <w:r w:rsidR="00791BC6" w:rsidRPr="005E703A">
        <w:t xml:space="preserve"> </w:t>
      </w:r>
      <w:r w:rsidR="008C5FB3" w:rsidRPr="005E703A">
        <w:t>stressful</w:t>
      </w:r>
      <w:r w:rsidR="006B4F4D" w:rsidRPr="005E703A">
        <w:t xml:space="preserve"> events</w:t>
      </w:r>
      <w:r w:rsidR="00C85F0B" w:rsidRPr="005E703A">
        <w:t xml:space="preserve"> </w:t>
      </w:r>
      <w:r w:rsidR="005940BE" w:rsidRPr="005E703A">
        <w:t xml:space="preserve">may result </w:t>
      </w:r>
      <w:r w:rsidR="006B4F4D" w:rsidRPr="005E703A">
        <w:t xml:space="preserve">in vulnerability </w:t>
      </w:r>
      <w:r w:rsidR="00CD2648">
        <w:t>(</w:t>
      </w:r>
      <w:proofErr w:type="spellStart"/>
      <w:r w:rsidR="00CD2648" w:rsidRPr="005E703A">
        <w:t>Jakob</w:t>
      </w:r>
      <w:proofErr w:type="spellEnd"/>
      <w:r w:rsidR="00CD2648" w:rsidRPr="005E703A">
        <w:t xml:space="preserve"> et al., 2017</w:t>
      </w:r>
      <w:r w:rsidR="00CD2648">
        <w:t xml:space="preserve">) </w:t>
      </w:r>
      <w:r w:rsidR="00791BC6" w:rsidRPr="005E703A">
        <w:t>or</w:t>
      </w:r>
      <w:r w:rsidR="00C85F0B" w:rsidRPr="005E703A">
        <w:t>,</w:t>
      </w:r>
      <w:r w:rsidR="00791BC6" w:rsidRPr="005E703A">
        <w:t xml:space="preserve"> </w:t>
      </w:r>
      <w:r w:rsidR="00C85F0B" w:rsidRPr="005E703A">
        <w:t>alternatively,</w:t>
      </w:r>
      <w:r w:rsidR="007C1EB2" w:rsidRPr="005E703A">
        <w:t xml:space="preserve"> </w:t>
      </w:r>
      <w:r w:rsidR="006B4F4D" w:rsidRPr="005E703A">
        <w:t xml:space="preserve">build </w:t>
      </w:r>
      <w:r w:rsidR="00791BC6" w:rsidRPr="005E703A">
        <w:t>resilience</w:t>
      </w:r>
      <w:r w:rsidR="009937DD" w:rsidRPr="005E703A">
        <w:t xml:space="preserve"> </w:t>
      </w:r>
      <w:r w:rsidR="009937DD" w:rsidRPr="00CD2648">
        <w:t>(</w:t>
      </w:r>
      <w:r w:rsidR="00CD2648" w:rsidRPr="00CD2648">
        <w:rPr>
          <w:lang w:val="en-GB"/>
        </w:rPr>
        <w:t>Graham et al., 2016</w:t>
      </w:r>
      <w:r w:rsidR="009937DD" w:rsidRPr="00CD2648">
        <w:t>)</w:t>
      </w:r>
      <w:r w:rsidR="00791BC6" w:rsidRPr="00CD2648">
        <w:t>.</w:t>
      </w:r>
      <w:r w:rsidR="00C85F0B" w:rsidRPr="005E703A">
        <w:t xml:space="preserve"> </w:t>
      </w:r>
    </w:p>
    <w:p w14:paraId="78F9D7B9" w14:textId="3EE302CC" w:rsidR="005F79E4" w:rsidRPr="005E703A" w:rsidRDefault="00C85F0B" w:rsidP="004F5728">
      <w:r w:rsidRPr="005E703A">
        <w:t xml:space="preserve">Researchers have presented conflicting results </w:t>
      </w:r>
      <w:r w:rsidR="00791BC6" w:rsidRPr="005E703A">
        <w:t>regarding the effect of previous experience on PTS.</w:t>
      </w:r>
      <w:r w:rsidR="00F601C0" w:rsidRPr="005E703A">
        <w:t xml:space="preserve"> For example, </w:t>
      </w:r>
      <w:r w:rsidR="007C76A2">
        <w:t>a</w:t>
      </w:r>
      <w:r w:rsidR="007C76A2" w:rsidRPr="005E703A">
        <w:t xml:space="preserve">ccording </w:t>
      </w:r>
      <w:r w:rsidR="00791BC6" w:rsidRPr="005E703A">
        <w:t xml:space="preserve">to several studies, previous experience of </w:t>
      </w:r>
      <w:r w:rsidR="008C5FB3" w:rsidRPr="005E703A">
        <w:t>stressful</w:t>
      </w:r>
      <w:r w:rsidR="006B4F4D" w:rsidRPr="005E703A">
        <w:t xml:space="preserve"> events results in vulnerability</w:t>
      </w:r>
      <w:r w:rsidRPr="005E703A">
        <w:t xml:space="preserve"> to</w:t>
      </w:r>
      <w:r w:rsidR="00862AAE" w:rsidRPr="005E703A">
        <w:t xml:space="preserve"> </w:t>
      </w:r>
      <w:r w:rsidR="00791BC6" w:rsidRPr="005E703A">
        <w:t>PTS (</w:t>
      </w:r>
      <w:proofErr w:type="spellStart"/>
      <w:r w:rsidR="005F79E4" w:rsidRPr="005E703A">
        <w:rPr>
          <w:lang w:val="en"/>
        </w:rPr>
        <w:t>Briere</w:t>
      </w:r>
      <w:proofErr w:type="spellEnd"/>
      <w:r w:rsidR="00436B90" w:rsidRPr="005E703A">
        <w:rPr>
          <w:lang w:val="en"/>
        </w:rPr>
        <w:t xml:space="preserve"> et al.</w:t>
      </w:r>
      <w:r w:rsidR="005F79E4" w:rsidRPr="005E703A">
        <w:rPr>
          <w:lang w:val="en"/>
        </w:rPr>
        <w:t xml:space="preserve">, </w:t>
      </w:r>
      <w:r w:rsidRPr="005E703A">
        <w:t xml:space="preserve">2016; </w:t>
      </w:r>
      <w:proofErr w:type="spellStart"/>
      <w:r w:rsidR="00791BC6" w:rsidRPr="005E703A">
        <w:t>Gelkopf</w:t>
      </w:r>
      <w:proofErr w:type="spellEnd"/>
      <w:r w:rsidR="00791BC6" w:rsidRPr="005E703A">
        <w:t xml:space="preserve">, </w:t>
      </w:r>
      <w:r w:rsidR="004F5728" w:rsidRPr="005E703A">
        <w:t>201</w:t>
      </w:r>
      <w:r w:rsidR="004F5728">
        <w:t>2</w:t>
      </w:r>
      <w:r w:rsidR="00791BC6" w:rsidRPr="005E703A">
        <w:t xml:space="preserve">; </w:t>
      </w:r>
      <w:proofErr w:type="spellStart"/>
      <w:r w:rsidR="005F79E4" w:rsidRPr="005E703A">
        <w:t>Jakob</w:t>
      </w:r>
      <w:proofErr w:type="spellEnd"/>
      <w:r w:rsidR="00436B90" w:rsidRPr="005E703A">
        <w:t xml:space="preserve"> et al.</w:t>
      </w:r>
      <w:r w:rsidR="005F79E4" w:rsidRPr="005E703A">
        <w:t>, 2017</w:t>
      </w:r>
      <w:r w:rsidRPr="005E703A">
        <w:t>; Si</w:t>
      </w:r>
      <w:r w:rsidR="00526B78" w:rsidRPr="005E703A">
        <w:t>l</w:t>
      </w:r>
      <w:r w:rsidRPr="005E703A">
        <w:t>ver</w:t>
      </w:r>
      <w:r w:rsidR="00526B78" w:rsidRPr="005E703A">
        <w:t xml:space="preserve"> et al.</w:t>
      </w:r>
      <w:r w:rsidRPr="005E703A">
        <w:t>, 2006</w:t>
      </w:r>
      <w:r w:rsidR="00791BC6" w:rsidRPr="005E703A">
        <w:t>).</w:t>
      </w:r>
      <w:r w:rsidRPr="005E703A">
        <w:t xml:space="preserve"> Research with</w:t>
      </w:r>
      <w:r w:rsidR="00862AAE" w:rsidRPr="005E703A">
        <w:t xml:space="preserve"> refugees who escaped from wars found that prior experience </w:t>
      </w:r>
      <w:r w:rsidR="006B4F4D" w:rsidRPr="005E703A">
        <w:t xml:space="preserve">of </w:t>
      </w:r>
      <w:r w:rsidR="008C5FB3" w:rsidRPr="005E703A">
        <w:t>stressful</w:t>
      </w:r>
      <w:r w:rsidR="006B4F4D" w:rsidRPr="005E703A">
        <w:t xml:space="preserve"> events </w:t>
      </w:r>
      <w:r w:rsidR="00862AAE" w:rsidRPr="005E703A">
        <w:t>contributed to the development of PTS (</w:t>
      </w:r>
      <w:proofErr w:type="spellStart"/>
      <w:r w:rsidR="005F79E4" w:rsidRPr="005E703A">
        <w:t>Mollica</w:t>
      </w:r>
      <w:proofErr w:type="spellEnd"/>
      <w:r w:rsidR="00436B90" w:rsidRPr="005E703A">
        <w:t xml:space="preserve"> et al.</w:t>
      </w:r>
      <w:r w:rsidR="005F79E4" w:rsidRPr="005E703A">
        <w:t>, 1999;</w:t>
      </w:r>
      <w:r w:rsidR="005F79E4" w:rsidRPr="005E703A">
        <w:rPr>
          <w:rFonts w:ascii="Arial" w:hAnsi="Arial" w:cs="Arial"/>
        </w:rPr>
        <w:t xml:space="preserve"> </w:t>
      </w:r>
      <w:r w:rsidR="005F79E4" w:rsidRPr="005E703A">
        <w:t>Steel</w:t>
      </w:r>
      <w:r w:rsidR="00436B90" w:rsidRPr="005E703A">
        <w:t xml:space="preserve"> et al.</w:t>
      </w:r>
      <w:r w:rsidR="005F79E4" w:rsidRPr="005E703A">
        <w:t xml:space="preserve">, </w:t>
      </w:r>
      <w:r w:rsidR="00862AAE" w:rsidRPr="005E703A">
        <w:t xml:space="preserve">2002). </w:t>
      </w:r>
    </w:p>
    <w:p w14:paraId="65436048" w14:textId="458202C5" w:rsidR="00862AAE" w:rsidRPr="005E703A" w:rsidRDefault="00C85F0B" w:rsidP="007C76A2">
      <w:r w:rsidRPr="005E703A">
        <w:t xml:space="preserve">Similarly, </w:t>
      </w:r>
      <w:r w:rsidR="00787158" w:rsidRPr="005E703A">
        <w:t>a study</w:t>
      </w:r>
      <w:r w:rsidR="00862AAE" w:rsidRPr="005E703A">
        <w:t xml:space="preserve"> conducted in four conflict areas (Cambodia, Algeria, Ethiopia</w:t>
      </w:r>
      <w:r w:rsidR="00787158" w:rsidRPr="005E703A">
        <w:t>,</w:t>
      </w:r>
      <w:r w:rsidR="00862AAE" w:rsidRPr="005E703A">
        <w:t xml:space="preserve"> and the Gaza Strip</w:t>
      </w:r>
      <w:r w:rsidR="00787158" w:rsidRPr="005E703A">
        <w:t xml:space="preserve">) indicated </w:t>
      </w:r>
      <w:r w:rsidR="00862AAE" w:rsidRPr="005E703A">
        <w:t xml:space="preserve">a relationship between </w:t>
      </w:r>
      <w:r w:rsidR="006B4F4D" w:rsidRPr="005E703A">
        <w:t xml:space="preserve">previous </w:t>
      </w:r>
      <w:r w:rsidR="00862AAE" w:rsidRPr="005E703A">
        <w:t xml:space="preserve">experience of </w:t>
      </w:r>
      <w:r w:rsidR="008C5FB3" w:rsidRPr="005E703A">
        <w:t>stressful</w:t>
      </w:r>
      <w:r w:rsidR="006B4F4D" w:rsidRPr="005E703A">
        <w:t xml:space="preserve"> events </w:t>
      </w:r>
      <w:r w:rsidR="00862AAE" w:rsidRPr="005E703A">
        <w:t>and PTS (</w:t>
      </w:r>
      <w:r w:rsidR="00D35072">
        <w:t>D</w:t>
      </w:r>
      <w:r w:rsidR="00862AAE" w:rsidRPr="005E703A">
        <w:t xml:space="preserve">e Jong et al., 2001). </w:t>
      </w:r>
      <w:r w:rsidR="00424AD6">
        <w:t xml:space="preserve">A study by </w:t>
      </w:r>
      <w:r w:rsidR="00787158" w:rsidRPr="005E703A">
        <w:t>Si</w:t>
      </w:r>
      <w:r w:rsidR="00DD22AB" w:rsidRPr="005E703A">
        <w:t>l</w:t>
      </w:r>
      <w:r w:rsidR="00787158" w:rsidRPr="005E703A">
        <w:t xml:space="preserve">ver </w:t>
      </w:r>
      <w:r w:rsidR="007C76A2" w:rsidRPr="005E703A">
        <w:t>e</w:t>
      </w:r>
      <w:r w:rsidR="007C76A2">
        <w:t>t</w:t>
      </w:r>
      <w:r w:rsidR="007C76A2" w:rsidRPr="005E703A">
        <w:t xml:space="preserve"> </w:t>
      </w:r>
      <w:r w:rsidR="00DD22AB" w:rsidRPr="005E703A">
        <w:t xml:space="preserve">al. </w:t>
      </w:r>
      <w:r w:rsidR="00787158" w:rsidRPr="005E703A">
        <w:t>(2006)</w:t>
      </w:r>
      <w:r w:rsidR="00862AAE" w:rsidRPr="005E703A">
        <w:t xml:space="preserve"> </w:t>
      </w:r>
      <w:r w:rsidR="00787158" w:rsidRPr="005E703A">
        <w:t>on the</w:t>
      </w:r>
      <w:r w:rsidR="00862AAE" w:rsidRPr="005E703A">
        <w:t xml:space="preserve"> aftermath of 9/11 </w:t>
      </w:r>
      <w:r w:rsidR="00787158" w:rsidRPr="005E703A">
        <w:t xml:space="preserve">showed </w:t>
      </w:r>
      <w:r w:rsidR="00862AAE" w:rsidRPr="005E703A">
        <w:t xml:space="preserve">that past trauma </w:t>
      </w:r>
      <w:r w:rsidR="00787158" w:rsidRPr="005E703A">
        <w:t xml:space="preserve">contributed </w:t>
      </w:r>
      <w:r w:rsidR="00862AAE" w:rsidRPr="005E703A">
        <w:t>to PTS</w:t>
      </w:r>
      <w:r w:rsidR="00D02669">
        <w:t>.</w:t>
      </w:r>
      <w:r w:rsidR="00D02669" w:rsidRPr="005E703A">
        <w:t xml:space="preserve"> </w:t>
      </w:r>
      <w:r w:rsidR="00D02669">
        <w:t>A</w:t>
      </w:r>
      <w:r w:rsidR="00862AAE" w:rsidRPr="005E703A">
        <w:t xml:space="preserve"> </w:t>
      </w:r>
      <w:r w:rsidR="00424AD6">
        <w:t>7</w:t>
      </w:r>
      <w:r w:rsidR="00862AAE" w:rsidRPr="005E703A">
        <w:t>-year longitudinal study conducted in the Gaza Strip</w:t>
      </w:r>
      <w:r w:rsidR="00D02669">
        <w:t xml:space="preserve"> revealed the same</w:t>
      </w:r>
      <w:r w:rsidR="00787158" w:rsidRPr="005E703A">
        <w:t xml:space="preserve"> </w:t>
      </w:r>
      <w:r w:rsidR="00862AAE" w:rsidRPr="005E703A">
        <w:t>(</w:t>
      </w:r>
      <w:proofErr w:type="spellStart"/>
      <w:r w:rsidR="00C3500A" w:rsidRPr="005E703A">
        <w:t>Gelkopf</w:t>
      </w:r>
      <w:proofErr w:type="spellEnd"/>
      <w:r w:rsidR="00526B78" w:rsidRPr="005E703A">
        <w:t xml:space="preserve"> et al.</w:t>
      </w:r>
      <w:r w:rsidR="00C3500A" w:rsidRPr="005E703A">
        <w:t xml:space="preserve">, </w:t>
      </w:r>
      <w:r w:rsidR="00C3500A" w:rsidRPr="005E703A">
        <w:rPr>
          <w:rtl/>
        </w:rPr>
        <w:t>2012</w:t>
      </w:r>
      <w:r w:rsidR="00C3500A" w:rsidRPr="005E703A">
        <w:t>)</w:t>
      </w:r>
      <w:r w:rsidR="00862AAE" w:rsidRPr="005E703A">
        <w:t xml:space="preserve">. </w:t>
      </w:r>
      <w:r w:rsidR="00787158" w:rsidRPr="005E703A">
        <w:t xml:space="preserve">This evidence </w:t>
      </w:r>
      <w:r w:rsidR="00CD6A5A">
        <w:t>indicates the need to explore</w:t>
      </w:r>
      <w:r w:rsidR="00787158" w:rsidRPr="005E703A">
        <w:t xml:space="preserve"> </w:t>
      </w:r>
      <w:r w:rsidR="00862AAE" w:rsidRPr="005E703A">
        <w:t>experience</w:t>
      </w:r>
      <w:r w:rsidR="00D17C8D">
        <w:t>s</w:t>
      </w:r>
      <w:r w:rsidR="00862AAE" w:rsidRPr="005E703A">
        <w:t xml:space="preserve"> of </w:t>
      </w:r>
      <w:r w:rsidR="008C5FB3" w:rsidRPr="005E703A">
        <w:t>stressful</w:t>
      </w:r>
      <w:r w:rsidR="006B4F4D" w:rsidRPr="005E703A">
        <w:t xml:space="preserve"> events </w:t>
      </w:r>
      <w:r w:rsidR="005940BE" w:rsidRPr="005E703A">
        <w:t xml:space="preserve">that </w:t>
      </w:r>
      <w:r w:rsidR="00862AAE" w:rsidRPr="005E703A">
        <w:t xml:space="preserve">occurred </w:t>
      </w:r>
      <w:r w:rsidR="00CD6A5A">
        <w:t>in the distant past</w:t>
      </w:r>
      <w:r w:rsidR="005940BE" w:rsidRPr="005E703A">
        <w:t xml:space="preserve"> </w:t>
      </w:r>
      <w:r w:rsidR="00CD6A5A">
        <w:t>while examining</w:t>
      </w:r>
      <w:r w:rsidR="005940BE" w:rsidRPr="005E703A">
        <w:t xml:space="preserve"> </w:t>
      </w:r>
      <w:r w:rsidR="00862AAE" w:rsidRPr="005E703A">
        <w:t xml:space="preserve">PTS </w:t>
      </w:r>
      <w:r w:rsidR="005940BE" w:rsidRPr="005E703A">
        <w:t>symptoms</w:t>
      </w:r>
      <w:r w:rsidR="00862AAE" w:rsidRPr="005E703A">
        <w:t>.</w:t>
      </w:r>
    </w:p>
    <w:p w14:paraId="57EC3AD6" w14:textId="53EF1735" w:rsidR="003A1A04" w:rsidRPr="005E703A" w:rsidRDefault="003F40C0" w:rsidP="007C76A2">
      <w:pPr>
        <w:rPr>
          <w:b/>
          <w:bCs/>
        </w:rPr>
      </w:pPr>
      <w:r>
        <w:t>Other</w:t>
      </w:r>
      <w:r w:rsidR="00862AAE" w:rsidRPr="005E703A">
        <w:t xml:space="preserve"> </w:t>
      </w:r>
      <w:r w:rsidR="00787158" w:rsidRPr="005E703A">
        <w:t>researchers</w:t>
      </w:r>
      <w:r>
        <w:t>, however,</w:t>
      </w:r>
      <w:r w:rsidR="00787158" w:rsidRPr="005E703A">
        <w:t xml:space="preserve"> have reported</w:t>
      </w:r>
      <w:r w:rsidR="00862AAE" w:rsidRPr="005E703A">
        <w:t xml:space="preserve"> </w:t>
      </w:r>
      <w:r>
        <w:t>the</w:t>
      </w:r>
      <w:r w:rsidRPr="005E703A">
        <w:t xml:space="preserve"> </w:t>
      </w:r>
      <w:r w:rsidR="00862AAE" w:rsidRPr="005E703A">
        <w:t>opposite effect</w:t>
      </w:r>
      <w:r w:rsidR="006B4F4D" w:rsidRPr="005E703A">
        <w:t>:</w:t>
      </w:r>
      <w:r w:rsidR="003A1A04" w:rsidRPr="005E703A">
        <w:t xml:space="preserve"> </w:t>
      </w:r>
      <w:r>
        <w:t>T</w:t>
      </w:r>
      <w:r w:rsidR="00787158" w:rsidRPr="005E703A">
        <w:t xml:space="preserve">hey found that </w:t>
      </w:r>
      <w:r>
        <w:t>having experienced</w:t>
      </w:r>
      <w:r w:rsidR="003A1A04" w:rsidRPr="005E703A">
        <w:t xml:space="preserve"> </w:t>
      </w:r>
      <w:r w:rsidR="008C5FB3" w:rsidRPr="005E703A">
        <w:t>stressful</w:t>
      </w:r>
      <w:r w:rsidR="006B4F4D" w:rsidRPr="005E703A">
        <w:t xml:space="preserve"> events</w:t>
      </w:r>
      <w:r w:rsidR="003E0881" w:rsidRPr="005E703A">
        <w:t xml:space="preserve"> </w:t>
      </w:r>
      <w:r>
        <w:t xml:space="preserve">in the </w:t>
      </w:r>
      <w:proofErr w:type="gramStart"/>
      <w:r>
        <w:t xml:space="preserve">past </w:t>
      </w:r>
      <w:r w:rsidR="003E0881" w:rsidRPr="005E703A">
        <w:t>strengthen</w:t>
      </w:r>
      <w:r w:rsidR="00F601C0" w:rsidRPr="005E703A">
        <w:t>ed</w:t>
      </w:r>
      <w:proofErr w:type="gramEnd"/>
      <w:r w:rsidR="00787158" w:rsidRPr="005E703A">
        <w:t xml:space="preserve"> </w:t>
      </w:r>
      <w:r>
        <w:t>study participants</w:t>
      </w:r>
      <w:r w:rsidRPr="005E703A">
        <w:t>’</w:t>
      </w:r>
      <w:r>
        <w:t xml:space="preserve"> </w:t>
      </w:r>
      <w:r w:rsidR="00787158" w:rsidRPr="005E703A">
        <w:t>resilience</w:t>
      </w:r>
      <w:r>
        <w:t>,</w:t>
      </w:r>
      <w:r w:rsidR="006B4F4D" w:rsidRPr="005E703A">
        <w:t xml:space="preserve"> </w:t>
      </w:r>
      <w:r w:rsidR="005279E4">
        <w:t>thus</w:t>
      </w:r>
      <w:r w:rsidR="003D6154" w:rsidRPr="005E703A">
        <w:t xml:space="preserve"> </w:t>
      </w:r>
      <w:r w:rsidR="005279E4" w:rsidRPr="005E703A">
        <w:t>reduc</w:t>
      </w:r>
      <w:r w:rsidR="005279E4">
        <w:t>ing</w:t>
      </w:r>
      <w:r w:rsidR="005279E4" w:rsidRPr="005E703A">
        <w:t xml:space="preserve"> </w:t>
      </w:r>
      <w:r>
        <w:t xml:space="preserve">their </w:t>
      </w:r>
      <w:r w:rsidR="004D1F1D" w:rsidRPr="005E703A">
        <w:t>vulnerability</w:t>
      </w:r>
      <w:r w:rsidR="00787158" w:rsidRPr="005E703A">
        <w:t xml:space="preserve"> to </w:t>
      </w:r>
      <w:r w:rsidR="003A1A04" w:rsidRPr="005E703A">
        <w:t>PTS (</w:t>
      </w:r>
      <w:proofErr w:type="spellStart"/>
      <w:r w:rsidR="003A1A04" w:rsidRPr="005E703A">
        <w:t>Breznitz</w:t>
      </w:r>
      <w:proofErr w:type="spellEnd"/>
      <w:r w:rsidR="003A1A04" w:rsidRPr="005E703A">
        <w:t xml:space="preserve"> &amp; </w:t>
      </w:r>
      <w:proofErr w:type="spellStart"/>
      <w:r w:rsidR="003A1A04" w:rsidRPr="005E703A">
        <w:t>Eshel</w:t>
      </w:r>
      <w:proofErr w:type="spellEnd"/>
      <w:r w:rsidR="003A1A04" w:rsidRPr="005E703A">
        <w:t xml:space="preserve">, 1983; </w:t>
      </w:r>
      <w:r w:rsidR="00B40C43" w:rsidRPr="005E703A">
        <w:rPr>
          <w:lang w:val="en-GB"/>
        </w:rPr>
        <w:t>Graham</w:t>
      </w:r>
      <w:r w:rsidR="00526B78" w:rsidRPr="005E703A">
        <w:rPr>
          <w:lang w:val="en-GB"/>
        </w:rPr>
        <w:t xml:space="preserve"> et al.</w:t>
      </w:r>
      <w:r w:rsidR="00B40C43" w:rsidRPr="005E703A">
        <w:rPr>
          <w:lang w:val="en-GB"/>
        </w:rPr>
        <w:t>, 2016</w:t>
      </w:r>
      <w:r w:rsidR="00872723" w:rsidRPr="005E703A">
        <w:rPr>
          <w:lang w:val="en-GB"/>
        </w:rPr>
        <w:t xml:space="preserve">; </w:t>
      </w:r>
      <w:r w:rsidR="003A1A04" w:rsidRPr="005E703A">
        <w:t xml:space="preserve">Mineka &amp; </w:t>
      </w:r>
      <w:proofErr w:type="spellStart"/>
      <w:r w:rsidR="003A1A04" w:rsidRPr="005E703A">
        <w:t>Zi</w:t>
      </w:r>
      <w:r w:rsidR="00A03EBE">
        <w:t>n</w:t>
      </w:r>
      <w:r w:rsidR="003A1A04" w:rsidRPr="005E703A">
        <w:t>barg</w:t>
      </w:r>
      <w:proofErr w:type="spellEnd"/>
      <w:r w:rsidR="003A1A04" w:rsidRPr="005E703A">
        <w:t xml:space="preserve">, 2006). For example, </w:t>
      </w:r>
      <w:proofErr w:type="spellStart"/>
      <w:r w:rsidR="003A1A04" w:rsidRPr="005E703A">
        <w:t>Breznitz</w:t>
      </w:r>
      <w:proofErr w:type="spellEnd"/>
      <w:r w:rsidR="003A1A04" w:rsidRPr="005E703A">
        <w:t xml:space="preserve"> and </w:t>
      </w:r>
      <w:proofErr w:type="spellStart"/>
      <w:r w:rsidR="003A1A04" w:rsidRPr="005E703A">
        <w:t>Eshel</w:t>
      </w:r>
      <w:proofErr w:type="spellEnd"/>
      <w:r w:rsidR="003A1A04" w:rsidRPr="005E703A">
        <w:t xml:space="preserve"> (</w:t>
      </w:r>
      <w:r w:rsidR="00422563" w:rsidRPr="005E703A">
        <w:t>1</w:t>
      </w:r>
      <w:r w:rsidR="003A1A04" w:rsidRPr="005E703A">
        <w:t>983)</w:t>
      </w:r>
      <w:r w:rsidR="00787158" w:rsidRPr="005E703A">
        <w:t xml:space="preserve"> </w:t>
      </w:r>
      <w:r w:rsidR="00954C5C">
        <w:t>examined resilience among Israelis</w:t>
      </w:r>
      <w:r w:rsidR="00954C5C" w:rsidRPr="005E703A">
        <w:t xml:space="preserve"> </w:t>
      </w:r>
      <w:r w:rsidR="00100E8F">
        <w:t>in view of the country</w:t>
      </w:r>
      <w:r w:rsidR="00100E8F" w:rsidRPr="005E703A">
        <w:t>’</w:t>
      </w:r>
      <w:r w:rsidR="00100E8F">
        <w:t>s</w:t>
      </w:r>
      <w:r w:rsidR="003A1A04" w:rsidRPr="005E703A">
        <w:t xml:space="preserve"> many</w:t>
      </w:r>
      <w:r w:rsidR="006B4F4D" w:rsidRPr="005E703A">
        <w:t xml:space="preserve"> </w:t>
      </w:r>
      <w:r w:rsidR="008C5FB3" w:rsidRPr="005E703A">
        <w:t>stressful</w:t>
      </w:r>
      <w:r w:rsidR="006B4F4D" w:rsidRPr="005E703A">
        <w:t xml:space="preserve"> </w:t>
      </w:r>
      <w:r w:rsidR="003A1A04" w:rsidRPr="005E703A">
        <w:t>wars and terror attacks</w:t>
      </w:r>
      <w:r w:rsidR="00954C5C">
        <w:t>. They</w:t>
      </w:r>
      <w:r w:rsidR="00787158" w:rsidRPr="005E703A">
        <w:t xml:space="preserve"> concluded that i</w:t>
      </w:r>
      <w:r w:rsidR="003A1A04" w:rsidRPr="005E703A">
        <w:t>nvolvement in previous</w:t>
      </w:r>
      <w:r w:rsidR="006B4F4D" w:rsidRPr="005E703A">
        <w:t xml:space="preserve"> </w:t>
      </w:r>
      <w:r w:rsidR="008C5FB3" w:rsidRPr="005E703A">
        <w:t>stressful</w:t>
      </w:r>
      <w:r w:rsidR="006B4F4D" w:rsidRPr="005E703A">
        <w:t xml:space="preserve"> events</w:t>
      </w:r>
      <w:r w:rsidR="003A1A04" w:rsidRPr="005E703A">
        <w:t xml:space="preserve"> </w:t>
      </w:r>
      <w:r w:rsidR="005279E4">
        <w:t xml:space="preserve">had </w:t>
      </w:r>
      <w:r w:rsidR="005279E4" w:rsidRPr="005E703A">
        <w:t>help</w:t>
      </w:r>
      <w:r w:rsidR="005279E4">
        <w:t>ed</w:t>
      </w:r>
      <w:r w:rsidR="005279E4" w:rsidRPr="005E703A">
        <w:t xml:space="preserve"> </w:t>
      </w:r>
      <w:r w:rsidR="003A1A04" w:rsidRPr="005E703A">
        <w:t>individual</w:t>
      </w:r>
      <w:r w:rsidR="00422563" w:rsidRPr="005E703A">
        <w:t>s</w:t>
      </w:r>
      <w:r w:rsidR="003A1A04" w:rsidRPr="005E703A">
        <w:t xml:space="preserve"> deal with </w:t>
      </w:r>
      <w:r w:rsidR="006B4F4D" w:rsidRPr="005E703A">
        <w:t xml:space="preserve">these types of </w:t>
      </w:r>
      <w:r w:rsidR="003A1A04" w:rsidRPr="005E703A">
        <w:t>experiences by serving as a type of immunizing agent.</w:t>
      </w:r>
      <w:r w:rsidR="009774B9" w:rsidRPr="005E703A">
        <w:t xml:space="preserve"> </w:t>
      </w:r>
      <w:r w:rsidR="007C76A2">
        <w:t>In another study</w:t>
      </w:r>
      <w:r w:rsidR="009774B9" w:rsidRPr="005E703A">
        <w:t xml:space="preserve">, </w:t>
      </w:r>
      <w:proofErr w:type="spellStart"/>
      <w:r w:rsidR="009774B9" w:rsidRPr="005E703A">
        <w:t>Bartone</w:t>
      </w:r>
      <w:proofErr w:type="spellEnd"/>
      <w:r w:rsidR="009774B9" w:rsidRPr="005E703A">
        <w:t xml:space="preserve"> (1999) found that previous experience </w:t>
      </w:r>
      <w:r w:rsidR="00422563" w:rsidRPr="005E703A">
        <w:t xml:space="preserve">of </w:t>
      </w:r>
      <w:r w:rsidR="008C5FB3" w:rsidRPr="005E703A">
        <w:lastRenderedPageBreak/>
        <w:t>stressful</w:t>
      </w:r>
      <w:r w:rsidR="006B4F4D" w:rsidRPr="005E703A">
        <w:t xml:space="preserve"> events </w:t>
      </w:r>
      <w:r w:rsidR="009774B9" w:rsidRPr="005E703A">
        <w:t>“trains” individual</w:t>
      </w:r>
      <w:r w:rsidR="00787158" w:rsidRPr="005E703A">
        <w:t>s</w:t>
      </w:r>
      <w:r w:rsidR="009774B9" w:rsidRPr="005E703A">
        <w:t>,</w:t>
      </w:r>
      <w:r w:rsidR="006B4F4D" w:rsidRPr="005E703A">
        <w:t xml:space="preserve"> </w:t>
      </w:r>
      <w:r w:rsidR="009774B9" w:rsidRPr="005E703A">
        <w:t xml:space="preserve">teaching </w:t>
      </w:r>
      <w:r w:rsidR="00787158" w:rsidRPr="005E703A">
        <w:t xml:space="preserve">them </w:t>
      </w:r>
      <w:r w:rsidR="009774B9" w:rsidRPr="005E703A">
        <w:t xml:space="preserve">more effective coping skills when faced with </w:t>
      </w:r>
      <w:r w:rsidR="006B4F4D" w:rsidRPr="005E703A">
        <w:t xml:space="preserve">similar </w:t>
      </w:r>
      <w:r w:rsidR="009774B9" w:rsidRPr="005E703A">
        <w:t xml:space="preserve">situations. </w:t>
      </w:r>
    </w:p>
    <w:p w14:paraId="5EA160C2" w14:textId="1A990DB3" w:rsidR="00BE42B4" w:rsidRPr="005E703A" w:rsidRDefault="009774B9" w:rsidP="003875BA">
      <w:pPr>
        <w:rPr>
          <w:rtl/>
        </w:rPr>
      </w:pPr>
      <w:r w:rsidRPr="005E703A">
        <w:t>Graham et al. (2016) found that military veterans who</w:t>
      </w:r>
      <w:r w:rsidR="00BE42B4" w:rsidRPr="005E703A">
        <w:t xml:space="preserve"> </w:t>
      </w:r>
      <w:r w:rsidR="00787158" w:rsidRPr="005E703A">
        <w:t xml:space="preserve">had </w:t>
      </w:r>
      <w:r w:rsidR="00BE42B4" w:rsidRPr="005E703A">
        <w:t>experience</w:t>
      </w:r>
      <w:r w:rsidR="00787158" w:rsidRPr="005E703A">
        <w:t>d</w:t>
      </w:r>
      <w:r w:rsidR="00BE42B4" w:rsidRPr="005E703A">
        <w:t xml:space="preserve"> more trauma in their civilian lives </w:t>
      </w:r>
      <w:r w:rsidR="006B4F4D" w:rsidRPr="005E703A">
        <w:t>exhibit</w:t>
      </w:r>
      <w:r w:rsidR="00787158" w:rsidRPr="005E703A">
        <w:t>ed</w:t>
      </w:r>
      <w:r w:rsidR="00BE42B4" w:rsidRPr="005E703A">
        <w:t xml:space="preserve"> </w:t>
      </w:r>
      <w:r w:rsidR="006B4F4D" w:rsidRPr="005E703A">
        <w:t xml:space="preserve">fewer </w:t>
      </w:r>
      <w:r w:rsidR="00BE42B4" w:rsidRPr="005E703A">
        <w:t xml:space="preserve">PTSD criteria and </w:t>
      </w:r>
      <w:r w:rsidR="006B4F4D" w:rsidRPr="005E703A">
        <w:t xml:space="preserve">fewer </w:t>
      </w:r>
      <w:r w:rsidR="00BE42B4" w:rsidRPr="005E703A">
        <w:t>PTSD symptoms</w:t>
      </w:r>
      <w:r w:rsidR="00787158" w:rsidRPr="005E703A">
        <w:t xml:space="preserve"> </w:t>
      </w:r>
      <w:r w:rsidR="00847A4B">
        <w:t>than</w:t>
      </w:r>
      <w:r w:rsidR="00787158" w:rsidRPr="005E703A">
        <w:t xml:space="preserve"> those with less previous </w:t>
      </w:r>
      <w:r w:rsidR="00847A4B">
        <w:t xml:space="preserve">exposure to </w:t>
      </w:r>
      <w:r w:rsidR="00787158" w:rsidRPr="005E703A">
        <w:t>trauma</w:t>
      </w:r>
      <w:r w:rsidR="00BE42B4" w:rsidRPr="005E703A">
        <w:t xml:space="preserve">. Mineka and </w:t>
      </w:r>
      <w:proofErr w:type="spellStart"/>
      <w:r w:rsidR="00BE42B4" w:rsidRPr="005E703A">
        <w:t>Zi</w:t>
      </w:r>
      <w:r w:rsidR="00A03EBE">
        <w:t>n</w:t>
      </w:r>
      <w:r w:rsidR="00BE42B4" w:rsidRPr="005E703A">
        <w:t>barg</w:t>
      </w:r>
      <w:proofErr w:type="spellEnd"/>
      <w:r w:rsidR="00BE42B4" w:rsidRPr="005E703A">
        <w:t xml:space="preserve"> (2006) used learning theory to explain the positive effect of previous experience. </w:t>
      </w:r>
      <w:r w:rsidR="00787158" w:rsidRPr="005E703A">
        <w:t>They found</w:t>
      </w:r>
      <w:r w:rsidR="00BE42B4" w:rsidRPr="005E703A">
        <w:t xml:space="preserve"> that individuals who </w:t>
      </w:r>
      <w:r w:rsidR="00787158" w:rsidRPr="005E703A">
        <w:t xml:space="preserve">had </w:t>
      </w:r>
      <w:r w:rsidR="00BE42B4" w:rsidRPr="005E703A">
        <w:t xml:space="preserve">experienced </w:t>
      </w:r>
      <w:r w:rsidR="008C5FB3" w:rsidRPr="005E703A">
        <w:t>stressful</w:t>
      </w:r>
      <w:r w:rsidR="006B4F4D" w:rsidRPr="005E703A">
        <w:t xml:space="preserve"> events </w:t>
      </w:r>
      <w:r w:rsidR="0092246B" w:rsidRPr="005E703A">
        <w:t xml:space="preserve">in the past </w:t>
      </w:r>
      <w:r w:rsidR="00BE42B4" w:rsidRPr="005E703A">
        <w:t>cope</w:t>
      </w:r>
      <w:r w:rsidR="00787158" w:rsidRPr="005E703A">
        <w:t>d</w:t>
      </w:r>
      <w:r w:rsidR="00BE42B4" w:rsidRPr="005E703A">
        <w:t xml:space="preserve"> </w:t>
      </w:r>
      <w:r w:rsidR="00787158" w:rsidRPr="005E703A">
        <w:t xml:space="preserve">with similar situations </w:t>
      </w:r>
      <w:r w:rsidR="00BE42B4" w:rsidRPr="005E703A">
        <w:t>more effectively</w:t>
      </w:r>
      <w:r w:rsidR="0092246B" w:rsidRPr="005E703A">
        <w:t xml:space="preserve"> </w:t>
      </w:r>
      <w:r w:rsidR="00787158" w:rsidRPr="005E703A">
        <w:t xml:space="preserve">than those who </w:t>
      </w:r>
      <w:r w:rsidR="00847A4B">
        <w:t>had</w:t>
      </w:r>
      <w:r w:rsidR="00847A4B" w:rsidRPr="005E703A">
        <w:t xml:space="preserve"> </w:t>
      </w:r>
      <w:r w:rsidR="00787158" w:rsidRPr="005E703A">
        <w:t xml:space="preserve">not </w:t>
      </w:r>
      <w:r w:rsidR="00847A4B" w:rsidRPr="005E703A">
        <w:t>ha</w:t>
      </w:r>
      <w:r w:rsidR="00847A4B">
        <w:t>d</w:t>
      </w:r>
      <w:r w:rsidR="00847A4B" w:rsidRPr="005E703A">
        <w:t xml:space="preserve"> </w:t>
      </w:r>
      <w:r w:rsidR="00787158" w:rsidRPr="005E703A">
        <w:t>such experience</w:t>
      </w:r>
      <w:r w:rsidR="008E7CAA">
        <w:t>s</w:t>
      </w:r>
      <w:r w:rsidR="00BE42B4" w:rsidRPr="005E703A">
        <w:t>. The</w:t>
      </w:r>
      <w:r w:rsidR="00F601C0" w:rsidRPr="005E703A">
        <w:t>se</w:t>
      </w:r>
      <w:r w:rsidR="00BE42B4" w:rsidRPr="005E703A">
        <w:t xml:space="preserve"> researchers emphasize</w:t>
      </w:r>
      <w:r w:rsidR="00F601C0" w:rsidRPr="005E703A">
        <w:t>d</w:t>
      </w:r>
      <w:r w:rsidR="00BE42B4" w:rsidRPr="005E703A">
        <w:t xml:space="preserve"> </w:t>
      </w:r>
      <w:r w:rsidR="00847A4B">
        <w:t xml:space="preserve">that </w:t>
      </w:r>
      <w:r w:rsidR="00BE42B4" w:rsidRPr="005E703A">
        <w:t xml:space="preserve">learning and experience </w:t>
      </w:r>
      <w:r w:rsidR="00847A4B">
        <w:t>are</w:t>
      </w:r>
      <w:r w:rsidR="00847A4B" w:rsidRPr="005E703A">
        <w:t xml:space="preserve"> </w:t>
      </w:r>
      <w:r w:rsidR="00BE42B4" w:rsidRPr="005E703A">
        <w:t xml:space="preserve">factors that </w:t>
      </w:r>
      <w:r w:rsidR="003875BA">
        <w:t>strengthen</w:t>
      </w:r>
      <w:r w:rsidR="00BE42B4" w:rsidRPr="005E703A">
        <w:t xml:space="preserve"> the development of resilience.</w:t>
      </w:r>
    </w:p>
    <w:p w14:paraId="473A1FB2" w14:textId="420CD8FE" w:rsidR="004C66B8" w:rsidRPr="005E703A" w:rsidRDefault="00F601C0" w:rsidP="007104D7">
      <w:r w:rsidRPr="005E703A">
        <w:t>Finally,</w:t>
      </w:r>
      <w:r w:rsidR="001531DE" w:rsidRPr="005E703A">
        <w:t xml:space="preserve"> in contrast to the two trends discussed above, other studies </w:t>
      </w:r>
      <w:r w:rsidR="004018E4" w:rsidRPr="005E703A">
        <w:t xml:space="preserve">have </w:t>
      </w:r>
      <w:r w:rsidR="001531DE" w:rsidRPr="005E703A">
        <w:t>indicate</w:t>
      </w:r>
      <w:r w:rsidR="004018E4" w:rsidRPr="005E703A">
        <w:t>d</w:t>
      </w:r>
      <w:r w:rsidR="001531DE" w:rsidRPr="005E703A">
        <w:t xml:space="preserve"> a curvilinear effect. </w:t>
      </w:r>
      <w:proofErr w:type="gramStart"/>
      <w:r w:rsidR="0092246B" w:rsidRPr="005E703A">
        <w:t>Experiencing a</w:t>
      </w:r>
      <w:r w:rsidR="001531DE" w:rsidRPr="005E703A">
        <w:t xml:space="preserve"> moderate </w:t>
      </w:r>
      <w:r w:rsidR="0092246B" w:rsidRPr="005E703A">
        <w:t xml:space="preserve">number </w:t>
      </w:r>
      <w:r w:rsidR="001531DE" w:rsidRPr="005E703A">
        <w:t xml:space="preserve">of </w:t>
      </w:r>
      <w:r w:rsidR="008C5FB3" w:rsidRPr="005E703A">
        <w:t>stressful</w:t>
      </w:r>
      <w:r w:rsidR="0092246B" w:rsidRPr="005E703A">
        <w:t xml:space="preserve"> events </w:t>
      </w:r>
      <w:r w:rsidR="001531DE" w:rsidRPr="005E703A">
        <w:t xml:space="preserve">serves to create resilience, </w:t>
      </w:r>
      <w:r w:rsidR="004018E4" w:rsidRPr="005E703A">
        <w:t xml:space="preserve">but </w:t>
      </w:r>
      <w:r w:rsidR="0092246B" w:rsidRPr="005E703A">
        <w:t xml:space="preserve">experiencing </w:t>
      </w:r>
      <w:r w:rsidR="00847A4B">
        <w:t>either</w:t>
      </w:r>
      <w:proofErr w:type="gramEnd"/>
      <w:r w:rsidR="00847A4B">
        <w:t xml:space="preserve"> </w:t>
      </w:r>
      <w:r w:rsidR="0092246B" w:rsidRPr="005E703A">
        <w:t>a</w:t>
      </w:r>
      <w:r w:rsidR="001531DE" w:rsidRPr="005E703A">
        <w:t xml:space="preserve"> very high or </w:t>
      </w:r>
      <w:r w:rsidR="00847A4B">
        <w:t xml:space="preserve">a </w:t>
      </w:r>
      <w:r w:rsidR="001531DE" w:rsidRPr="005E703A">
        <w:t xml:space="preserve">very low </w:t>
      </w:r>
      <w:r w:rsidR="0092246B" w:rsidRPr="005E703A">
        <w:t xml:space="preserve">number of such events </w:t>
      </w:r>
      <w:r w:rsidR="001531DE" w:rsidRPr="005E703A">
        <w:t>(or</w:t>
      </w:r>
      <w:r w:rsidR="0092246B" w:rsidRPr="005E703A">
        <w:t xml:space="preserve"> none at all</w:t>
      </w:r>
      <w:r w:rsidR="001531DE" w:rsidRPr="005E703A">
        <w:t>) contributes to increas</w:t>
      </w:r>
      <w:r w:rsidR="0092246B" w:rsidRPr="005E703A">
        <w:t>ed</w:t>
      </w:r>
      <w:r w:rsidR="001531DE" w:rsidRPr="005E703A">
        <w:t xml:space="preserve"> PTS (Gerber</w:t>
      </w:r>
      <w:r w:rsidR="004018E4" w:rsidRPr="005E703A">
        <w:t xml:space="preserve"> et al.</w:t>
      </w:r>
      <w:r w:rsidR="001531DE" w:rsidRPr="005E703A">
        <w:t xml:space="preserve">, 2018; </w:t>
      </w:r>
      <w:proofErr w:type="spellStart"/>
      <w:r w:rsidR="00EA4119" w:rsidRPr="005E703A">
        <w:t>Seery</w:t>
      </w:r>
      <w:proofErr w:type="spellEnd"/>
      <w:r w:rsidR="00526B78" w:rsidRPr="005E703A">
        <w:t xml:space="preserve"> et al.</w:t>
      </w:r>
      <w:r w:rsidR="00EA4119" w:rsidRPr="005E703A">
        <w:t xml:space="preserve">, </w:t>
      </w:r>
      <w:r w:rsidR="001531DE" w:rsidRPr="005E703A">
        <w:t xml:space="preserve">2010). </w:t>
      </w:r>
      <w:r w:rsidR="00C2080C" w:rsidRPr="005E703A">
        <w:t>I</w:t>
      </w:r>
      <w:r w:rsidR="004C66B8" w:rsidRPr="005E703A">
        <w:t xml:space="preserve">n a study conducted in the </w:t>
      </w:r>
      <w:r w:rsidR="00847A4B">
        <w:t>United States</w:t>
      </w:r>
      <w:r w:rsidR="004C66B8" w:rsidRPr="005E703A">
        <w:t xml:space="preserve">, which included a national sample, </w:t>
      </w:r>
      <w:proofErr w:type="spellStart"/>
      <w:r w:rsidR="004C66B8" w:rsidRPr="005E703A">
        <w:t>Seery</w:t>
      </w:r>
      <w:proofErr w:type="spellEnd"/>
      <w:r w:rsidR="004C66B8" w:rsidRPr="005E703A">
        <w:t xml:space="preserve"> et al. (2010) found that people who experienced a limited number of traumatic events reported better quality of life and mental health, not only </w:t>
      </w:r>
      <w:r w:rsidR="00847A4B">
        <w:t>compared to</w:t>
      </w:r>
      <w:r w:rsidR="004018E4" w:rsidRPr="005E703A">
        <w:t xml:space="preserve"> </w:t>
      </w:r>
      <w:r w:rsidR="004C66B8" w:rsidRPr="005E703A">
        <w:t>those who experienced a greater number of traumatic events, but also</w:t>
      </w:r>
      <w:r w:rsidR="0092246B" w:rsidRPr="005E703A">
        <w:t xml:space="preserve"> </w:t>
      </w:r>
      <w:r w:rsidR="00847A4B">
        <w:t>to</w:t>
      </w:r>
      <w:r w:rsidR="004018E4" w:rsidRPr="005E703A">
        <w:t xml:space="preserve"> </w:t>
      </w:r>
      <w:r w:rsidR="004C66B8" w:rsidRPr="005E703A">
        <w:t>those who experienced no traumatic events. The curvilinear effect indicates that</w:t>
      </w:r>
      <w:r w:rsidR="0092246B" w:rsidRPr="005E703A">
        <w:t xml:space="preserve"> experiencing</w:t>
      </w:r>
      <w:r w:rsidR="004C66B8" w:rsidRPr="005E703A">
        <w:t xml:space="preserve"> limited (but not zero) </w:t>
      </w:r>
      <w:r w:rsidR="008C5FB3" w:rsidRPr="005E703A">
        <w:t>stressful</w:t>
      </w:r>
      <w:r w:rsidR="0092246B" w:rsidRPr="005E703A">
        <w:t xml:space="preserve"> events </w:t>
      </w:r>
      <w:r w:rsidR="004C66B8" w:rsidRPr="005E703A">
        <w:t xml:space="preserve">predicts </w:t>
      </w:r>
      <w:r w:rsidR="00DE6D30">
        <w:t>lower functional impairment</w:t>
      </w:r>
      <w:r w:rsidR="004C66B8" w:rsidRPr="005E703A">
        <w:t xml:space="preserve">, </w:t>
      </w:r>
      <w:r w:rsidR="0092246B" w:rsidRPr="005E703A">
        <w:t xml:space="preserve">fewer </w:t>
      </w:r>
      <w:r w:rsidR="004C66B8" w:rsidRPr="005E703A">
        <w:t>PTS symptoms</w:t>
      </w:r>
      <w:r w:rsidR="004018E4" w:rsidRPr="005E703A">
        <w:t>,</w:t>
      </w:r>
      <w:r w:rsidR="004C66B8" w:rsidRPr="005E703A">
        <w:t xml:space="preserve"> and increased </w:t>
      </w:r>
      <w:r w:rsidR="00DE6D30">
        <w:t xml:space="preserve">life </w:t>
      </w:r>
      <w:r w:rsidR="004C66B8" w:rsidRPr="005E703A">
        <w:t xml:space="preserve">satisfaction. </w:t>
      </w:r>
      <w:proofErr w:type="spellStart"/>
      <w:r w:rsidR="004C66B8" w:rsidRPr="005E703A">
        <w:t>Seery</w:t>
      </w:r>
      <w:proofErr w:type="spellEnd"/>
      <w:r w:rsidR="004C66B8" w:rsidRPr="005E703A">
        <w:t xml:space="preserve"> et al. (2010) claim</w:t>
      </w:r>
      <w:r w:rsidR="004018E4" w:rsidRPr="005E703A">
        <w:t>ed</w:t>
      </w:r>
      <w:r w:rsidR="004C66B8" w:rsidRPr="005E703A">
        <w:t xml:space="preserve"> that </w:t>
      </w:r>
      <w:r w:rsidR="0092246B" w:rsidRPr="005E703A">
        <w:t>experiencing a</w:t>
      </w:r>
      <w:r w:rsidR="004C66B8" w:rsidRPr="005E703A">
        <w:t xml:space="preserve"> moderate </w:t>
      </w:r>
      <w:r w:rsidR="0092246B" w:rsidRPr="005E703A">
        <w:t xml:space="preserve">number </w:t>
      </w:r>
      <w:r w:rsidR="004C66B8" w:rsidRPr="005E703A">
        <w:t xml:space="preserve">of </w:t>
      </w:r>
      <w:r w:rsidR="0092246B" w:rsidRPr="005E703A">
        <w:t xml:space="preserve">previous </w:t>
      </w:r>
      <w:r w:rsidR="008C5FB3" w:rsidRPr="005E703A">
        <w:t>stressful</w:t>
      </w:r>
      <w:r w:rsidR="0092246B" w:rsidRPr="005E703A">
        <w:t xml:space="preserve"> events </w:t>
      </w:r>
      <w:r w:rsidR="004C66B8" w:rsidRPr="005E703A">
        <w:t xml:space="preserve">contributes to </w:t>
      </w:r>
      <w:r w:rsidR="00334422" w:rsidRPr="005E703A">
        <w:t xml:space="preserve">more </w:t>
      </w:r>
      <w:r w:rsidR="004C66B8" w:rsidRPr="005E703A">
        <w:t>effective coping with</w:t>
      </w:r>
      <w:r w:rsidR="0092246B" w:rsidRPr="005E703A">
        <w:t xml:space="preserve"> future </w:t>
      </w:r>
      <w:r w:rsidR="008C5FB3" w:rsidRPr="005E703A">
        <w:t>stressful</w:t>
      </w:r>
      <w:r w:rsidR="0092246B" w:rsidRPr="005E703A">
        <w:t xml:space="preserve"> events</w:t>
      </w:r>
      <w:r w:rsidR="00535918">
        <w:t>.</w:t>
      </w:r>
      <w:r w:rsidR="00535918" w:rsidRPr="005E703A">
        <w:t xml:space="preserve"> </w:t>
      </w:r>
      <w:r w:rsidR="00535918">
        <w:t xml:space="preserve">This </w:t>
      </w:r>
      <w:proofErr w:type="gramStart"/>
      <w:r w:rsidR="00535918">
        <w:t xml:space="preserve">is </w:t>
      </w:r>
      <w:r w:rsidR="004C66B8" w:rsidRPr="005E703A">
        <w:t>based</w:t>
      </w:r>
      <w:proofErr w:type="gramEnd"/>
      <w:r w:rsidR="004C66B8" w:rsidRPr="005E703A">
        <w:t xml:space="preserve"> on previous studies</w:t>
      </w:r>
      <w:r w:rsidR="004018E4" w:rsidRPr="005E703A">
        <w:t xml:space="preserve"> that</w:t>
      </w:r>
      <w:r w:rsidR="004C66B8" w:rsidRPr="005E703A">
        <w:t xml:space="preserve"> </w:t>
      </w:r>
      <w:r w:rsidR="00334422" w:rsidRPr="005E703A">
        <w:t>indicate</w:t>
      </w:r>
      <w:r w:rsidR="004018E4" w:rsidRPr="005E703A">
        <w:t>d</w:t>
      </w:r>
      <w:r w:rsidR="00334422" w:rsidRPr="005E703A">
        <w:t xml:space="preserve"> </w:t>
      </w:r>
      <w:r w:rsidR="00535918">
        <w:t xml:space="preserve">a </w:t>
      </w:r>
      <w:r w:rsidR="00535918" w:rsidRPr="005E703A">
        <w:t xml:space="preserve">positive toughening effect </w:t>
      </w:r>
      <w:r w:rsidR="00535918">
        <w:t>of</w:t>
      </w:r>
      <w:r w:rsidR="00535918" w:rsidRPr="005E703A">
        <w:t xml:space="preserve"> </w:t>
      </w:r>
      <w:r w:rsidR="004C66B8" w:rsidRPr="005E703A">
        <w:t xml:space="preserve">prior exposure to </w:t>
      </w:r>
      <w:r w:rsidR="008C5FB3" w:rsidRPr="005E703A">
        <w:t>stressful</w:t>
      </w:r>
      <w:r w:rsidR="0092246B" w:rsidRPr="005E703A">
        <w:t xml:space="preserve"> events</w:t>
      </w:r>
      <w:r w:rsidR="004C66B8" w:rsidRPr="005E703A">
        <w:t>, which creates an opportunity for</w:t>
      </w:r>
      <w:r w:rsidR="0092246B" w:rsidRPr="005E703A">
        <w:t xml:space="preserve"> successful</w:t>
      </w:r>
      <w:r w:rsidR="004C66B8" w:rsidRPr="005E703A">
        <w:t xml:space="preserve"> recovery (</w:t>
      </w:r>
      <w:proofErr w:type="spellStart"/>
      <w:r w:rsidR="004C66B8" w:rsidRPr="005E703A">
        <w:t>Dienstbier</w:t>
      </w:r>
      <w:proofErr w:type="spellEnd"/>
      <w:r w:rsidR="004C66B8" w:rsidRPr="005E703A">
        <w:t>, 1992)</w:t>
      </w:r>
      <w:r w:rsidR="00334422" w:rsidRPr="005E703A">
        <w:t>.</w:t>
      </w:r>
      <w:r w:rsidR="004C66B8" w:rsidRPr="005E703A">
        <w:t xml:space="preserve"> </w:t>
      </w:r>
      <w:r w:rsidRPr="005E703A">
        <w:t>Theories</w:t>
      </w:r>
      <w:r w:rsidR="004C66B8" w:rsidRPr="005E703A">
        <w:t xml:space="preserve"> of anxiety </w:t>
      </w:r>
      <w:r w:rsidRPr="005E703A">
        <w:lastRenderedPageBreak/>
        <w:t xml:space="preserve">have stressed </w:t>
      </w:r>
      <w:r w:rsidR="004C66B8" w:rsidRPr="005E703A">
        <w:t xml:space="preserve">the </w:t>
      </w:r>
      <w:r w:rsidR="002E07D4" w:rsidRPr="005E703A">
        <w:t xml:space="preserve">benefits </w:t>
      </w:r>
      <w:r w:rsidR="004C66B8" w:rsidRPr="005E703A">
        <w:t>of experiencing</w:t>
      </w:r>
      <w:r w:rsidR="00334422" w:rsidRPr="005E703A">
        <w:t xml:space="preserve"> </w:t>
      </w:r>
      <w:r w:rsidR="004C66B8" w:rsidRPr="005E703A">
        <w:t>control</w:t>
      </w:r>
      <w:r w:rsidR="00334422" w:rsidRPr="005E703A">
        <w:t xml:space="preserve"> and monitoring related to</w:t>
      </w:r>
      <w:r w:rsidR="0092246B" w:rsidRPr="005E703A">
        <w:t xml:space="preserve"> </w:t>
      </w:r>
      <w:r w:rsidR="008C5FB3" w:rsidRPr="005E703A">
        <w:t>stressful</w:t>
      </w:r>
      <w:r w:rsidR="0092246B" w:rsidRPr="005E703A">
        <w:t xml:space="preserve"> events</w:t>
      </w:r>
      <w:r w:rsidR="004C66B8" w:rsidRPr="005E703A">
        <w:t xml:space="preserve">, </w:t>
      </w:r>
      <w:r w:rsidR="00334422" w:rsidRPr="005E703A">
        <w:t>lead</w:t>
      </w:r>
      <w:r w:rsidR="007104D7">
        <w:t>ing</w:t>
      </w:r>
      <w:r w:rsidR="00334422" w:rsidRPr="005E703A">
        <w:t xml:space="preserve"> to</w:t>
      </w:r>
      <w:r w:rsidR="004C66B8" w:rsidRPr="005E703A">
        <w:t xml:space="preserve"> the development of coping patterns</w:t>
      </w:r>
      <w:r w:rsidR="00334422" w:rsidRPr="005E703A">
        <w:t xml:space="preserve"> and behaviors</w:t>
      </w:r>
      <w:r w:rsidR="004C66B8" w:rsidRPr="005E703A">
        <w:t xml:space="preserve"> (Mineka &amp; </w:t>
      </w:r>
      <w:proofErr w:type="spellStart"/>
      <w:r w:rsidR="00A03EBE" w:rsidRPr="005E703A">
        <w:t>Zi</w:t>
      </w:r>
      <w:r w:rsidR="00A03EBE">
        <w:t>n</w:t>
      </w:r>
      <w:r w:rsidR="00A03EBE" w:rsidRPr="005E703A">
        <w:t>barg</w:t>
      </w:r>
      <w:proofErr w:type="spellEnd"/>
      <w:r w:rsidR="004C66B8" w:rsidRPr="005E703A">
        <w:t>, 2006).</w:t>
      </w:r>
    </w:p>
    <w:p w14:paraId="1BDEC7B5" w14:textId="53C0E2ED" w:rsidR="00334422" w:rsidRPr="005E703A" w:rsidRDefault="002E567E" w:rsidP="00537685">
      <w:proofErr w:type="spellStart"/>
      <w:r w:rsidRPr="005E703A">
        <w:t>Seery</w:t>
      </w:r>
      <w:proofErr w:type="spellEnd"/>
      <w:r w:rsidRPr="005E703A">
        <w:t xml:space="preserve"> et al. (2010) conclude</w:t>
      </w:r>
      <w:r w:rsidR="004018E4" w:rsidRPr="005E703A">
        <w:t>d</w:t>
      </w:r>
      <w:r w:rsidRPr="005E703A">
        <w:t xml:space="preserve"> that in cases of</w:t>
      </w:r>
      <w:r w:rsidR="0092246B" w:rsidRPr="005E703A">
        <w:t xml:space="preserve"> a</w:t>
      </w:r>
      <w:r w:rsidRPr="005E703A">
        <w:t xml:space="preserve"> moderate</w:t>
      </w:r>
      <w:r w:rsidR="0092246B" w:rsidRPr="005E703A">
        <w:t xml:space="preserve"> number of</w:t>
      </w:r>
      <w:r w:rsidRPr="005E703A">
        <w:t xml:space="preserve"> experience</w:t>
      </w:r>
      <w:r w:rsidR="0092246B" w:rsidRPr="005E703A">
        <w:t>s</w:t>
      </w:r>
      <w:r w:rsidRPr="005E703A">
        <w:t>, “what doesn’t kill us makes us stronger</w:t>
      </w:r>
      <w:r w:rsidR="004018E4" w:rsidRPr="005E703A">
        <w:t>.</w:t>
      </w:r>
      <w:r w:rsidRPr="005E703A">
        <w:t>” Gerber et al. (2018) emphasize</w:t>
      </w:r>
      <w:r w:rsidR="004018E4" w:rsidRPr="005E703A">
        <w:t>d</w:t>
      </w:r>
      <w:r w:rsidRPr="005E703A">
        <w:t xml:space="preserve"> </w:t>
      </w:r>
      <w:r w:rsidR="0092246B" w:rsidRPr="005E703A">
        <w:t xml:space="preserve">the </w:t>
      </w:r>
      <w:r w:rsidRPr="005E703A">
        <w:t xml:space="preserve">need to identify </w:t>
      </w:r>
      <w:r w:rsidR="0092246B" w:rsidRPr="005E703A">
        <w:t xml:space="preserve">a </w:t>
      </w:r>
      <w:r w:rsidRPr="005E703A">
        <w:t>threshold</w:t>
      </w:r>
      <w:r w:rsidR="00A26F57" w:rsidRPr="005E703A">
        <w:t>, based on the findings that a</w:t>
      </w:r>
      <w:r w:rsidR="003027C1" w:rsidRPr="005E703A">
        <w:t xml:space="preserve"> l</w:t>
      </w:r>
      <w:r w:rsidRPr="005E703A">
        <w:t xml:space="preserve">ow </w:t>
      </w:r>
      <w:r w:rsidR="0092246B" w:rsidRPr="005E703A">
        <w:t xml:space="preserve">number </w:t>
      </w:r>
      <w:r w:rsidRPr="005E703A">
        <w:t>of previous experience</w:t>
      </w:r>
      <w:r w:rsidR="0092246B" w:rsidRPr="005E703A">
        <w:t>s</w:t>
      </w:r>
      <w:r w:rsidRPr="005E703A">
        <w:t xml:space="preserve"> contribute</w:t>
      </w:r>
      <w:r w:rsidR="003027C1" w:rsidRPr="005E703A">
        <w:t>s</w:t>
      </w:r>
      <w:r w:rsidRPr="005E703A">
        <w:t xml:space="preserve"> to positive coping and reduced stress symptoms, while </w:t>
      </w:r>
      <w:r w:rsidR="003027C1" w:rsidRPr="005E703A">
        <w:t xml:space="preserve">a </w:t>
      </w:r>
      <w:r w:rsidRPr="005E703A">
        <w:t xml:space="preserve">high </w:t>
      </w:r>
      <w:r w:rsidR="0092246B" w:rsidRPr="005E703A">
        <w:t xml:space="preserve">number of such experiences </w:t>
      </w:r>
      <w:r w:rsidRPr="005E703A">
        <w:t>contribute</w:t>
      </w:r>
      <w:r w:rsidR="003027C1" w:rsidRPr="005E703A">
        <w:t>s</w:t>
      </w:r>
      <w:r w:rsidRPr="005E703A">
        <w:t xml:space="preserve"> to increased stress symptoms.</w:t>
      </w:r>
    </w:p>
    <w:p w14:paraId="3530FC71" w14:textId="4076D01C" w:rsidR="00A064E1" w:rsidRPr="005E703A" w:rsidRDefault="00A064E1" w:rsidP="00201D15">
      <w:r w:rsidRPr="005E703A">
        <w:t xml:space="preserve">For the most part, previous research did not consider the timing of previous experiences of stress. In the present longitudinal </w:t>
      </w:r>
      <w:r w:rsidR="00201D15">
        <w:t>study</w:t>
      </w:r>
      <w:r w:rsidRPr="005E703A">
        <w:t xml:space="preserve">, we were able to examine this aspect. ASD was assessed </w:t>
      </w:r>
      <w:r w:rsidR="00201D15">
        <w:t xml:space="preserve">in 2006 </w:t>
      </w:r>
      <w:r w:rsidRPr="005E703A">
        <w:t xml:space="preserve">during the Second Lebanon War (T1) and PTS was examined six years later (T2). In addition, the experience of stressful situations before the war </w:t>
      </w:r>
      <w:proofErr w:type="gramStart"/>
      <w:r w:rsidRPr="005E703A">
        <w:t>was examined</w:t>
      </w:r>
      <w:proofErr w:type="gramEnd"/>
      <w:r w:rsidRPr="005E703A">
        <w:t xml:space="preserve"> at T1, and the experience of additional stressful situations, since the war, was examined at T2. </w:t>
      </w:r>
    </w:p>
    <w:p w14:paraId="382A12C9" w14:textId="6FDF5C54" w:rsidR="009B4FC1" w:rsidRPr="005E703A" w:rsidRDefault="004018E4" w:rsidP="00200EAF">
      <w:r w:rsidRPr="005E703A">
        <w:t xml:space="preserve">In light of the previous research reviewed above, the </w:t>
      </w:r>
      <w:r w:rsidR="008E7CAA">
        <w:t xml:space="preserve">aim of the </w:t>
      </w:r>
      <w:r w:rsidRPr="005E703A">
        <w:t xml:space="preserve">present study </w:t>
      </w:r>
      <w:r w:rsidR="008E7CAA">
        <w:t>was</w:t>
      </w:r>
      <w:r w:rsidR="008E7CAA" w:rsidRPr="005E703A">
        <w:t xml:space="preserve"> </w:t>
      </w:r>
      <w:r w:rsidRPr="005E703A">
        <w:t xml:space="preserve">to address </w:t>
      </w:r>
      <w:r w:rsidR="009D4BC3">
        <w:t>two</w:t>
      </w:r>
      <w:r w:rsidR="009D4BC3" w:rsidRPr="005E703A">
        <w:t xml:space="preserve"> </w:t>
      </w:r>
      <w:r w:rsidRPr="005E703A">
        <w:t xml:space="preserve">questions. </w:t>
      </w:r>
      <w:r w:rsidR="009B4FC1" w:rsidRPr="005E703A">
        <w:t xml:space="preserve">The first research question </w:t>
      </w:r>
      <w:r w:rsidR="00F377BD">
        <w:t>examines</w:t>
      </w:r>
      <w:r w:rsidR="00DE6D30" w:rsidRPr="005E703A">
        <w:t xml:space="preserve"> </w:t>
      </w:r>
      <w:r w:rsidR="00511E1B" w:rsidRPr="005E703A">
        <w:t xml:space="preserve">the relationship between ASD and PTS. The second question </w:t>
      </w:r>
      <w:r w:rsidR="00F377BD">
        <w:t>examines</w:t>
      </w:r>
      <w:r w:rsidR="00DE6D30" w:rsidRPr="005E703A">
        <w:t xml:space="preserve"> </w:t>
      </w:r>
      <w:r w:rsidR="00511E1B" w:rsidRPr="005E703A">
        <w:t>the mo</w:t>
      </w:r>
      <w:r w:rsidR="00A064E1" w:rsidRPr="005E703A">
        <w:t>d</w:t>
      </w:r>
      <w:r w:rsidR="00511E1B" w:rsidRPr="005E703A">
        <w:t xml:space="preserve">erating role </w:t>
      </w:r>
      <w:r w:rsidR="007F4974" w:rsidRPr="005E703A">
        <w:t xml:space="preserve">of stressful events </w:t>
      </w:r>
      <w:r w:rsidR="00CB4A55" w:rsidRPr="005E703A">
        <w:t xml:space="preserve">in </w:t>
      </w:r>
      <w:r w:rsidR="006761FC" w:rsidRPr="005E703A">
        <w:t>th</w:t>
      </w:r>
      <w:r w:rsidR="006761FC">
        <w:t>is</w:t>
      </w:r>
      <w:r w:rsidR="006761FC" w:rsidRPr="005E703A">
        <w:t xml:space="preserve"> </w:t>
      </w:r>
      <w:r w:rsidR="00CB4A55" w:rsidRPr="005E703A">
        <w:t xml:space="preserve">relationship. These events </w:t>
      </w:r>
      <w:r w:rsidR="007F4974" w:rsidRPr="005E703A">
        <w:t xml:space="preserve">occurred </w:t>
      </w:r>
      <w:r w:rsidR="00FE695D" w:rsidRPr="005E703A">
        <w:t xml:space="preserve">a) </w:t>
      </w:r>
      <w:r w:rsidR="007F4974" w:rsidRPr="005E703A">
        <w:t xml:space="preserve">prior to the first measurement (ASD) and </w:t>
      </w:r>
      <w:r w:rsidR="00FE695D" w:rsidRPr="005E703A">
        <w:t xml:space="preserve">b) </w:t>
      </w:r>
      <w:r w:rsidR="007F4974" w:rsidRPr="005E703A">
        <w:t>between the</w:t>
      </w:r>
      <w:r w:rsidR="00FE695D" w:rsidRPr="005E703A">
        <w:t xml:space="preserve"> </w:t>
      </w:r>
      <w:r w:rsidR="007F4974" w:rsidRPr="005E703A">
        <w:t>first and second measurements (between ASD and PTS).</w:t>
      </w:r>
      <w:r w:rsidR="00FE695D" w:rsidRPr="005E703A">
        <w:t xml:space="preserve"> </w:t>
      </w:r>
      <w:r w:rsidR="009B4FC1" w:rsidRPr="005E703A">
        <w:t>The relationship</w:t>
      </w:r>
      <w:r w:rsidR="00FE695D" w:rsidRPr="005E703A">
        <w:t>s</w:t>
      </w:r>
      <w:r w:rsidR="009B4FC1" w:rsidRPr="005E703A">
        <w:t xml:space="preserve"> m</w:t>
      </w:r>
      <w:r w:rsidR="00FE695D" w:rsidRPr="005E703A">
        <w:t>ay</w:t>
      </w:r>
      <w:r w:rsidR="009B4FC1" w:rsidRPr="005E703A">
        <w:t xml:space="preserve"> be </w:t>
      </w:r>
      <w:r w:rsidR="00FE695D" w:rsidRPr="005E703A">
        <w:t xml:space="preserve">linear or </w:t>
      </w:r>
      <w:r w:rsidR="004D1F1D" w:rsidRPr="005E703A">
        <w:t>curvilinear</w:t>
      </w:r>
      <w:r w:rsidR="00FE695D" w:rsidRPr="005E703A">
        <w:t>. If curvilinear</w:t>
      </w:r>
      <w:r w:rsidR="009B4FC1" w:rsidRPr="005E703A">
        <w:t xml:space="preserve">, PTS </w:t>
      </w:r>
      <w:r w:rsidR="00FE695D" w:rsidRPr="005E703A">
        <w:t>after</w:t>
      </w:r>
      <w:r w:rsidR="009B4FC1" w:rsidRPr="005E703A">
        <w:t xml:space="preserve"> ASD </w:t>
      </w:r>
      <w:r w:rsidR="00FE695D" w:rsidRPr="005E703A">
        <w:t>is</w:t>
      </w:r>
      <w:r w:rsidR="009B4FC1" w:rsidRPr="005E703A">
        <w:t xml:space="preserve"> </w:t>
      </w:r>
      <w:r w:rsidR="008300EB">
        <w:t>more severe</w:t>
      </w:r>
      <w:r w:rsidR="008300EB" w:rsidRPr="005E703A">
        <w:t xml:space="preserve"> </w:t>
      </w:r>
      <w:r w:rsidR="009B4FC1" w:rsidRPr="005E703A">
        <w:t>when the number of previous experiences is high</w:t>
      </w:r>
      <w:r w:rsidR="00FE695D" w:rsidRPr="005E703A">
        <w:t xml:space="preserve"> or low</w:t>
      </w:r>
      <w:r w:rsidR="009B4FC1" w:rsidRPr="005E703A">
        <w:t xml:space="preserve"> </w:t>
      </w:r>
      <w:r w:rsidR="008300EB">
        <w:t>and</w:t>
      </w:r>
      <w:r w:rsidR="008300EB" w:rsidRPr="005E703A">
        <w:t xml:space="preserve"> </w:t>
      </w:r>
      <w:r w:rsidR="00872B9F">
        <w:t xml:space="preserve">is </w:t>
      </w:r>
      <w:r w:rsidR="008300EB">
        <w:t>milder</w:t>
      </w:r>
      <w:r w:rsidR="008300EB" w:rsidRPr="005E703A">
        <w:t xml:space="preserve"> </w:t>
      </w:r>
      <w:r w:rsidR="008300EB">
        <w:t>when</w:t>
      </w:r>
      <w:r w:rsidR="008300EB" w:rsidRPr="005E703A">
        <w:t xml:space="preserve"> </w:t>
      </w:r>
      <w:r w:rsidR="009B4FC1" w:rsidRPr="005E703A">
        <w:t xml:space="preserve">the number of experiences of stressful situations is </w:t>
      </w:r>
      <w:r w:rsidR="00FE695D" w:rsidRPr="005E703A">
        <w:t>moderate (U shape)</w:t>
      </w:r>
      <w:r w:rsidR="009B4FC1" w:rsidRPr="005E703A">
        <w:t>.</w:t>
      </w:r>
    </w:p>
    <w:p w14:paraId="0206C220" w14:textId="77777777" w:rsidR="00E80885" w:rsidRPr="005E703A" w:rsidRDefault="00E80885">
      <w:pPr>
        <w:pStyle w:val="Heading1"/>
      </w:pPr>
      <w:r w:rsidRPr="005E703A">
        <w:lastRenderedPageBreak/>
        <w:t>Method</w:t>
      </w:r>
    </w:p>
    <w:p w14:paraId="178CE7E7" w14:textId="2134B602" w:rsidR="00CB4A55" w:rsidRPr="005E703A" w:rsidRDefault="00CB4A55" w:rsidP="00CB4A55">
      <w:r w:rsidRPr="005E703A">
        <w:t>In the first stage of the study,</w:t>
      </w:r>
      <w:r w:rsidR="005E1CDF">
        <w:t xml:space="preserve"> we examined</w:t>
      </w:r>
      <w:r w:rsidRPr="005E703A">
        <w:t xml:space="preserve"> </w:t>
      </w:r>
      <w:r w:rsidRPr="005E703A">
        <w:rPr>
          <w:rStyle w:val="surname"/>
        </w:rPr>
        <w:t>ASD in a</w:t>
      </w:r>
      <w:r w:rsidR="00872B9F">
        <w:rPr>
          <w:rStyle w:val="surname"/>
        </w:rPr>
        <w:t xml:space="preserve"> geographical</w:t>
      </w:r>
      <w:r w:rsidRPr="005E703A">
        <w:rPr>
          <w:rStyle w:val="surname"/>
        </w:rPr>
        <w:t xml:space="preserve"> area where missiles had fallen during the Second Lebanon War (T1). </w:t>
      </w:r>
      <w:r w:rsidRPr="005E703A">
        <w:t xml:space="preserve">The war lasted 17 days, ending with a ceasefire in August 2006. At the time, over 100 rockets </w:t>
      </w:r>
      <w:proofErr w:type="gramStart"/>
      <w:r w:rsidRPr="005E703A">
        <w:t>were fired</w:t>
      </w:r>
      <w:proofErr w:type="gramEnd"/>
      <w:r w:rsidRPr="005E703A">
        <w:t xml:space="preserve"> on the area every day, causing emotional stress and property damage. Six years later, in December 2012</w:t>
      </w:r>
      <w:r w:rsidR="007759A4">
        <w:t>–</w:t>
      </w:r>
      <w:r w:rsidRPr="005E703A">
        <w:t xml:space="preserve">January 2013 </w:t>
      </w:r>
      <w:r w:rsidRPr="005E703A">
        <w:rPr>
          <w:rStyle w:val="surname"/>
        </w:rPr>
        <w:t xml:space="preserve">(T2), </w:t>
      </w:r>
      <w:r w:rsidR="005E1CDF" w:rsidRPr="005E703A">
        <w:rPr>
          <w:rStyle w:val="surname"/>
        </w:rPr>
        <w:t>w</w:t>
      </w:r>
      <w:r w:rsidR="005E1CDF">
        <w:rPr>
          <w:rStyle w:val="surname"/>
        </w:rPr>
        <w:t>e</w:t>
      </w:r>
      <w:r w:rsidR="005E1CDF" w:rsidRPr="005E703A">
        <w:rPr>
          <w:rStyle w:val="surname"/>
        </w:rPr>
        <w:t xml:space="preserve"> </w:t>
      </w:r>
      <w:r w:rsidRPr="005E703A">
        <w:rPr>
          <w:rStyle w:val="surname"/>
        </w:rPr>
        <w:t xml:space="preserve">examined </w:t>
      </w:r>
      <w:r w:rsidR="005E1CDF" w:rsidRPr="005E703A">
        <w:rPr>
          <w:rStyle w:val="surname"/>
        </w:rPr>
        <w:t xml:space="preserve">PTS </w:t>
      </w:r>
      <w:r w:rsidRPr="005E703A">
        <w:rPr>
          <w:rStyle w:val="surname"/>
        </w:rPr>
        <w:t>among these same civilians</w:t>
      </w:r>
      <w:r w:rsidRPr="005E703A">
        <w:t xml:space="preserve">. </w:t>
      </w:r>
    </w:p>
    <w:p w14:paraId="1453F948" w14:textId="77777777" w:rsidR="00CB4A55" w:rsidRPr="00BE72F1" w:rsidRDefault="00CB4A55" w:rsidP="00CB4A55">
      <w:pPr>
        <w:pStyle w:val="Heading2"/>
        <w:rPr>
          <w:i/>
          <w:iCs/>
          <w:rtl/>
        </w:rPr>
      </w:pPr>
      <w:r w:rsidRPr="00BE72F1">
        <w:rPr>
          <w:i/>
          <w:iCs/>
        </w:rPr>
        <w:t>Participants</w:t>
      </w:r>
    </w:p>
    <w:p w14:paraId="5F903E1B" w14:textId="62BCFD26" w:rsidR="00EC4ED1" w:rsidRPr="005E703A" w:rsidRDefault="00A26F57" w:rsidP="00200EAF">
      <w:r w:rsidRPr="005E703A">
        <w:t xml:space="preserve">All participants lived within shooting range of the rockets, </w:t>
      </w:r>
      <w:proofErr w:type="gramStart"/>
      <w:r w:rsidRPr="005E703A">
        <w:t>at a distance of</w:t>
      </w:r>
      <w:r w:rsidR="00CB4A55" w:rsidRPr="005E703A">
        <w:t xml:space="preserve"> up to</w:t>
      </w:r>
      <w:r w:rsidRPr="005E703A">
        <w:t xml:space="preserve"> 30 km from </w:t>
      </w:r>
      <w:r w:rsidR="007759A4">
        <w:t>Israel</w:t>
      </w:r>
      <w:r w:rsidR="007759A4" w:rsidRPr="005E703A">
        <w:t>’</w:t>
      </w:r>
      <w:r w:rsidR="007759A4">
        <w:t>s</w:t>
      </w:r>
      <w:r w:rsidR="007759A4" w:rsidRPr="005E703A">
        <w:t xml:space="preserve"> </w:t>
      </w:r>
      <w:r w:rsidRPr="005E703A">
        <w:t>border</w:t>
      </w:r>
      <w:r w:rsidR="007759A4">
        <w:t xml:space="preserve"> with Lebanon</w:t>
      </w:r>
      <w:proofErr w:type="gramEnd"/>
      <w:r w:rsidRPr="005E703A">
        <w:t>.</w:t>
      </w:r>
      <w:r w:rsidR="00CB4A55" w:rsidRPr="005E703A">
        <w:t xml:space="preserve"> </w:t>
      </w:r>
      <w:r w:rsidR="00425A24" w:rsidRPr="005E703A">
        <w:t xml:space="preserve">The study </w:t>
      </w:r>
      <w:proofErr w:type="gramStart"/>
      <w:r w:rsidR="004D5FE3" w:rsidRPr="005E703A">
        <w:t xml:space="preserve">was </w:t>
      </w:r>
      <w:r w:rsidR="00425A24" w:rsidRPr="005E703A">
        <w:t>based</w:t>
      </w:r>
      <w:proofErr w:type="gramEnd"/>
      <w:r w:rsidR="00425A24" w:rsidRPr="005E703A">
        <w:t xml:space="preserve"> on a convenience sample. </w:t>
      </w:r>
      <w:r w:rsidR="003027C1" w:rsidRPr="005E703A">
        <w:t>At T1</w:t>
      </w:r>
      <w:r w:rsidR="00425A24" w:rsidRPr="005E703A">
        <w:t xml:space="preserve"> (during the war), </w:t>
      </w:r>
      <w:r w:rsidR="00362411">
        <w:t xml:space="preserve">participants were </w:t>
      </w:r>
      <w:r w:rsidR="00425A24" w:rsidRPr="005E703A">
        <w:t>370 civilians over the age of 18</w:t>
      </w:r>
      <w:r w:rsidR="00CB4A55" w:rsidRPr="005E703A">
        <w:t xml:space="preserve">, </w:t>
      </w:r>
      <w:r w:rsidR="005D103D">
        <w:t xml:space="preserve">who resided </w:t>
      </w:r>
      <w:r w:rsidR="00425A24" w:rsidRPr="005E703A">
        <w:t xml:space="preserve">in </w:t>
      </w:r>
      <w:proofErr w:type="gramStart"/>
      <w:r w:rsidR="003027C1" w:rsidRPr="005E703A">
        <w:t>five</w:t>
      </w:r>
      <w:proofErr w:type="gramEnd"/>
      <w:r w:rsidR="00425A24" w:rsidRPr="005E703A">
        <w:t xml:space="preserve"> cities and 11 villages. </w:t>
      </w:r>
      <w:r w:rsidR="003027C1" w:rsidRPr="005E703A">
        <w:t>At T2</w:t>
      </w:r>
      <w:r w:rsidR="00425A24" w:rsidRPr="005E703A">
        <w:t xml:space="preserve">, </w:t>
      </w:r>
      <w:r w:rsidR="005D103D">
        <w:t>6</w:t>
      </w:r>
      <w:r w:rsidR="005D103D" w:rsidRPr="005E703A">
        <w:t xml:space="preserve"> </w:t>
      </w:r>
      <w:r w:rsidR="00425A24" w:rsidRPr="005E703A">
        <w:t xml:space="preserve">years </w:t>
      </w:r>
      <w:r w:rsidR="00CB4A55" w:rsidRPr="005E703A">
        <w:t>l</w:t>
      </w:r>
      <w:r w:rsidR="00425A24" w:rsidRPr="005E703A">
        <w:t xml:space="preserve">ater, </w:t>
      </w:r>
      <w:r w:rsidR="00E15ED6" w:rsidRPr="005E703A">
        <w:t>69 of the original</w:t>
      </w:r>
      <w:r w:rsidR="00425A24" w:rsidRPr="005E703A">
        <w:t xml:space="preserve"> 370 participants from </w:t>
      </w:r>
      <w:r w:rsidR="007159E4" w:rsidRPr="005E703A">
        <w:t>T</w:t>
      </w:r>
      <w:r w:rsidR="00425A24" w:rsidRPr="005E703A">
        <w:t xml:space="preserve">1 dropped out, </w:t>
      </w:r>
      <w:r w:rsidR="00E15ED6" w:rsidRPr="005E703A">
        <w:t xml:space="preserve">leaving </w:t>
      </w:r>
      <w:proofErr w:type="gramStart"/>
      <w:r w:rsidR="00425A24" w:rsidRPr="005E703A">
        <w:t>a total of 301</w:t>
      </w:r>
      <w:proofErr w:type="gramEnd"/>
      <w:r w:rsidR="00425A24" w:rsidRPr="005E703A">
        <w:t xml:space="preserve"> </w:t>
      </w:r>
      <w:r w:rsidR="005D103D" w:rsidRPr="005E703A">
        <w:t xml:space="preserve">participants </w:t>
      </w:r>
      <w:r w:rsidR="00425A24" w:rsidRPr="005E703A">
        <w:t>(</w:t>
      </w:r>
      <w:r w:rsidR="00362411" w:rsidRPr="005E703A">
        <w:t>response rate</w:t>
      </w:r>
      <w:r w:rsidR="00362411">
        <w:t xml:space="preserve"> o</w:t>
      </w:r>
      <w:r w:rsidR="00CF73BC">
        <w:t>f</w:t>
      </w:r>
      <w:r w:rsidR="00362411" w:rsidRPr="005E703A" w:rsidDel="00362411">
        <w:t xml:space="preserve"> </w:t>
      </w:r>
      <w:r w:rsidR="00425A24" w:rsidRPr="005E703A">
        <w:t>81.35%). Reasons for dropout were as follows:</w:t>
      </w:r>
      <w:r w:rsidR="004D5FE3" w:rsidRPr="005E703A">
        <w:t xml:space="preserve"> </w:t>
      </w:r>
      <w:r w:rsidR="00EC4ED1" w:rsidRPr="005E703A">
        <w:t>33</w:t>
      </w:r>
      <w:r w:rsidR="00A05EED" w:rsidRPr="005E703A">
        <w:t xml:space="preserve"> participants</w:t>
      </w:r>
      <w:r w:rsidR="00EC4ED1" w:rsidRPr="005E703A">
        <w:t xml:space="preserve"> (8.92%) had changed their address and telephone number and could not be </w:t>
      </w:r>
      <w:r w:rsidR="003027C1" w:rsidRPr="005E703A">
        <w:t>reached</w:t>
      </w:r>
      <w:r w:rsidR="00EC4ED1" w:rsidRPr="005E703A">
        <w:t xml:space="preserve">; 18 (4.86%) refused to respond; 11 (2.97%) were </w:t>
      </w:r>
      <w:proofErr w:type="gramStart"/>
      <w:r w:rsidR="00EC4ED1" w:rsidRPr="005E703A">
        <w:t>deceased</w:t>
      </w:r>
      <w:r w:rsidR="00CF73BC">
        <w:t>,</w:t>
      </w:r>
      <w:proofErr w:type="gramEnd"/>
      <w:r w:rsidR="00CF73BC" w:rsidRPr="005E703A">
        <w:t xml:space="preserve"> </w:t>
      </w:r>
      <w:r w:rsidR="00EC4ED1" w:rsidRPr="005E703A">
        <w:t>and seven (1.89%) were abroad.</w:t>
      </w:r>
      <w:r w:rsidR="00CB4A55" w:rsidRPr="005E703A">
        <w:t xml:space="preserve"> </w:t>
      </w:r>
      <w:r w:rsidR="005D103D">
        <w:t>We found no</w:t>
      </w:r>
      <w:r w:rsidR="005D103D" w:rsidRPr="005E703A">
        <w:t xml:space="preserve"> </w:t>
      </w:r>
      <w:r w:rsidR="00CB4A55" w:rsidRPr="005E703A">
        <w:t>significant differences in backgroun</w:t>
      </w:r>
      <w:r w:rsidR="00F84FCE" w:rsidRPr="005E703A">
        <w:t>d</w:t>
      </w:r>
      <w:r w:rsidR="00CB4A55" w:rsidRPr="005E703A">
        <w:t xml:space="preserve"> variables or ASD </w:t>
      </w:r>
      <w:r w:rsidR="00F84FCE" w:rsidRPr="005E703A">
        <w:t>between participants who were available at T2 and those who dropped out.</w:t>
      </w:r>
    </w:p>
    <w:p w14:paraId="16F74C5A" w14:textId="07488249" w:rsidR="00533FA1" w:rsidRPr="005E703A" w:rsidRDefault="00F84FCE" w:rsidP="00200EAF">
      <w:r w:rsidRPr="005E703A">
        <w:t>P</w:t>
      </w:r>
      <w:r w:rsidR="0032402E" w:rsidRPr="005E703A">
        <w:t xml:space="preserve">articipants resided </w:t>
      </w:r>
      <w:r w:rsidR="00E15ED6" w:rsidRPr="005E703A">
        <w:t xml:space="preserve">at </w:t>
      </w:r>
      <w:r w:rsidR="0032402E" w:rsidRPr="005E703A">
        <w:t>an average of 13.56 km from the northern border (</w:t>
      </w:r>
      <w:r w:rsidR="0032402E" w:rsidRPr="005E703A">
        <w:rPr>
          <w:i/>
          <w:iCs/>
        </w:rPr>
        <w:t>SD</w:t>
      </w:r>
      <w:r w:rsidR="003D42CE" w:rsidRPr="005E703A">
        <w:t xml:space="preserve"> </w:t>
      </w:r>
      <w:r w:rsidR="0032402E" w:rsidRPr="005E703A">
        <w:t>=</w:t>
      </w:r>
      <w:r w:rsidR="003D42CE" w:rsidRPr="005E703A">
        <w:t xml:space="preserve"> </w:t>
      </w:r>
      <w:r w:rsidR="0032402E" w:rsidRPr="005E703A">
        <w:t>0.85).</w:t>
      </w:r>
      <w:r w:rsidR="00A26F57" w:rsidRPr="005E703A" w:rsidDel="00A26F57">
        <w:rPr>
          <w:i/>
          <w:iCs/>
        </w:rPr>
        <w:t xml:space="preserve"> </w:t>
      </w:r>
      <w:r w:rsidR="00533FA1" w:rsidRPr="005E703A">
        <w:t>Personal exposure and exposure of an acquaintance</w:t>
      </w:r>
      <w:r w:rsidR="00533FA1" w:rsidRPr="005E703A">
        <w:rPr>
          <w:i/>
          <w:iCs/>
        </w:rPr>
        <w:t xml:space="preserve"> </w:t>
      </w:r>
      <w:r w:rsidR="00533FA1" w:rsidRPr="005E703A">
        <w:t>were defined on a scale of 0</w:t>
      </w:r>
      <w:r w:rsidR="00CF73BC">
        <w:t>–</w:t>
      </w:r>
      <w:r w:rsidR="00533FA1" w:rsidRPr="005E703A">
        <w:t>3 with a mean of 1.03 (</w:t>
      </w:r>
      <w:r w:rsidR="00533FA1" w:rsidRPr="005E703A">
        <w:rPr>
          <w:i/>
          <w:iCs/>
        </w:rPr>
        <w:t>SD</w:t>
      </w:r>
      <w:r w:rsidR="00533FA1" w:rsidRPr="005E703A">
        <w:t xml:space="preserve"> = 0.85) for personal exposure, and 1.07 (</w:t>
      </w:r>
      <w:r w:rsidR="00533FA1" w:rsidRPr="005E703A">
        <w:rPr>
          <w:i/>
          <w:iCs/>
        </w:rPr>
        <w:t>SD</w:t>
      </w:r>
      <w:r w:rsidR="00533FA1" w:rsidRPr="005E703A">
        <w:t xml:space="preserve"> = 1.20) for exposure of an acquaintance.</w:t>
      </w:r>
    </w:p>
    <w:p w14:paraId="2838C85A" w14:textId="297E64CE" w:rsidR="00410333" w:rsidRPr="005E703A" w:rsidRDefault="0032402E" w:rsidP="00200EAF">
      <w:pPr>
        <w:rPr>
          <w:rtl/>
        </w:rPr>
      </w:pPr>
      <w:proofErr w:type="gramStart"/>
      <w:r w:rsidRPr="005E703A">
        <w:t>A total of 35</w:t>
      </w:r>
      <w:proofErr w:type="gramEnd"/>
      <w:r w:rsidRPr="005E703A">
        <w:t>% of the study participants live</w:t>
      </w:r>
      <w:r w:rsidR="003D42CE" w:rsidRPr="005E703A">
        <w:t>d</w:t>
      </w:r>
      <w:r w:rsidRPr="005E703A">
        <w:t xml:space="preserve"> in cities; the rest live</w:t>
      </w:r>
      <w:r w:rsidR="003D42CE" w:rsidRPr="005E703A">
        <w:t>d</w:t>
      </w:r>
      <w:r w:rsidRPr="005E703A">
        <w:t xml:space="preserve"> in</w:t>
      </w:r>
      <w:r w:rsidR="00E15ED6" w:rsidRPr="005E703A">
        <w:t xml:space="preserve"> </w:t>
      </w:r>
      <w:r w:rsidR="00F80C9F">
        <w:t>villages</w:t>
      </w:r>
      <w:r w:rsidRPr="005E703A">
        <w:rPr>
          <w:i/>
          <w:iCs/>
        </w:rPr>
        <w:t xml:space="preserve">. </w:t>
      </w:r>
      <w:r w:rsidRPr="005E703A">
        <w:t xml:space="preserve">Most of the participants were women (65%). </w:t>
      </w:r>
      <w:r w:rsidR="003D42CE" w:rsidRPr="005E703A">
        <w:t xml:space="preserve">At </w:t>
      </w:r>
      <w:r w:rsidRPr="005E703A">
        <w:t>T1 (during the war), participants had been living in these types of residential areas for an average of 2</w:t>
      </w:r>
      <w:r w:rsidR="00213457" w:rsidRPr="005E703A">
        <w:t>2.6</w:t>
      </w:r>
      <w:r w:rsidRPr="005E703A">
        <w:t>3 years</w:t>
      </w:r>
      <w:r w:rsidR="00213457" w:rsidRPr="005E703A">
        <w:t xml:space="preserve"> (</w:t>
      </w:r>
      <w:r w:rsidR="00213457" w:rsidRPr="00C64722">
        <w:rPr>
          <w:i/>
          <w:iCs/>
        </w:rPr>
        <w:t>SD</w:t>
      </w:r>
      <w:r w:rsidR="00213457" w:rsidRPr="005E703A">
        <w:t xml:space="preserve"> = 13.98)</w:t>
      </w:r>
      <w:r w:rsidRPr="005E703A">
        <w:t>, the</w:t>
      </w:r>
      <w:r w:rsidR="003D42CE" w:rsidRPr="005E703A">
        <w:t>ir</w:t>
      </w:r>
      <w:r w:rsidRPr="005E703A">
        <w:t xml:space="preserve"> average age was 4</w:t>
      </w:r>
      <w:r w:rsidR="00213457" w:rsidRPr="005E703A">
        <w:t>2.67 (</w:t>
      </w:r>
      <w:r w:rsidR="00213457" w:rsidRPr="00C64722">
        <w:rPr>
          <w:i/>
          <w:iCs/>
        </w:rPr>
        <w:t>SD</w:t>
      </w:r>
      <w:r w:rsidR="00213457" w:rsidRPr="005E703A">
        <w:t xml:space="preserve"> = 13.49)</w:t>
      </w:r>
      <w:r w:rsidRPr="005E703A">
        <w:t xml:space="preserve">, average </w:t>
      </w:r>
      <w:r w:rsidR="003B70CD">
        <w:t xml:space="preserve">number of </w:t>
      </w:r>
      <w:r w:rsidR="003B70CD">
        <w:lastRenderedPageBreak/>
        <w:t xml:space="preserve">years of formal </w:t>
      </w:r>
      <w:r w:rsidRPr="005E703A">
        <w:t xml:space="preserve">education was 14 </w:t>
      </w:r>
      <w:r w:rsidR="00213457" w:rsidRPr="005E703A">
        <w:t>(</w:t>
      </w:r>
      <w:r w:rsidR="00213457" w:rsidRPr="00C64722">
        <w:rPr>
          <w:i/>
          <w:iCs/>
        </w:rPr>
        <w:t>SD</w:t>
      </w:r>
      <w:r w:rsidR="00213457" w:rsidRPr="005E703A">
        <w:t xml:space="preserve"> = 2.70)</w:t>
      </w:r>
      <w:r w:rsidRPr="005E703A">
        <w:t xml:space="preserve">, and </w:t>
      </w:r>
      <w:r w:rsidR="00F377BD">
        <w:t xml:space="preserve">the </w:t>
      </w:r>
      <w:r w:rsidRPr="005E703A">
        <w:t xml:space="preserve">average </w:t>
      </w:r>
      <w:r w:rsidR="00F377BD">
        <w:t xml:space="preserve">number </w:t>
      </w:r>
      <w:r w:rsidRPr="005E703A">
        <w:t xml:space="preserve">of </w:t>
      </w:r>
      <w:r w:rsidR="00F377BD" w:rsidRPr="005E703A">
        <w:t>people</w:t>
      </w:r>
      <w:r w:rsidR="00F377BD">
        <w:t xml:space="preserve"> living in each household was</w:t>
      </w:r>
      <w:r w:rsidR="00F377BD" w:rsidRPr="005E703A">
        <w:t xml:space="preserve"> </w:t>
      </w:r>
      <w:r w:rsidR="003D42CE" w:rsidRPr="005E703A">
        <w:t>4</w:t>
      </w:r>
      <w:r w:rsidR="00213457" w:rsidRPr="005E703A">
        <w:t>.32</w:t>
      </w:r>
      <w:r w:rsidR="003D42CE" w:rsidRPr="005E703A">
        <w:t xml:space="preserve"> </w:t>
      </w:r>
      <w:r w:rsidR="00213457" w:rsidRPr="005E703A">
        <w:t>(</w:t>
      </w:r>
      <w:r w:rsidR="00213457" w:rsidRPr="00C64722">
        <w:rPr>
          <w:i/>
          <w:iCs/>
        </w:rPr>
        <w:t>SD</w:t>
      </w:r>
      <w:r w:rsidR="00213457" w:rsidRPr="005E703A">
        <w:t xml:space="preserve"> = 1.63)</w:t>
      </w:r>
      <w:r w:rsidRPr="005E703A">
        <w:t>. Most (69%) of the participants were married; the rest were single</w:t>
      </w:r>
      <w:r w:rsidR="00213457" w:rsidRPr="005E703A">
        <w:t xml:space="preserve"> (24%)</w:t>
      </w:r>
      <w:r w:rsidRPr="005E703A">
        <w:t>, divorced, separated</w:t>
      </w:r>
      <w:r w:rsidR="003D42CE" w:rsidRPr="005E703A">
        <w:t>,</w:t>
      </w:r>
      <w:r w:rsidRPr="005E703A">
        <w:t xml:space="preserve"> or widowed</w:t>
      </w:r>
      <w:r w:rsidR="00213457" w:rsidRPr="005E703A">
        <w:t xml:space="preserve"> (7%)</w:t>
      </w:r>
      <w:r w:rsidRPr="005E703A">
        <w:t xml:space="preserve">. Most (60%) of the participants defined their </w:t>
      </w:r>
      <w:r w:rsidR="00C52D65">
        <w:t>financial</w:t>
      </w:r>
      <w:r w:rsidR="00C52D65" w:rsidRPr="005E703A">
        <w:t xml:space="preserve"> </w:t>
      </w:r>
      <w:r w:rsidRPr="005E703A">
        <w:t>situation as average. A comparison of background characteristics</w:t>
      </w:r>
      <w:r w:rsidR="003F55D9" w:rsidRPr="005E703A">
        <w:t xml:space="preserve"> between T1 (during the war) and T2 (</w:t>
      </w:r>
      <w:r w:rsidR="00B301A4">
        <w:t>6</w:t>
      </w:r>
      <w:r w:rsidR="00B301A4" w:rsidRPr="005E703A">
        <w:t xml:space="preserve"> </w:t>
      </w:r>
      <w:r w:rsidR="003F55D9" w:rsidRPr="005E703A">
        <w:t xml:space="preserve">years after the war) </w:t>
      </w:r>
      <w:r w:rsidR="003D42CE" w:rsidRPr="005E703A">
        <w:t xml:space="preserve">reflected relative </w:t>
      </w:r>
      <w:r w:rsidR="003F55D9" w:rsidRPr="005E703A">
        <w:t xml:space="preserve">stability. Most of the participants </w:t>
      </w:r>
      <w:r w:rsidR="003D42CE" w:rsidRPr="005E703A">
        <w:t xml:space="preserve">had </w:t>
      </w:r>
      <w:r w:rsidR="003F55D9" w:rsidRPr="005E703A">
        <w:t>maintained their marital status (82</w:t>
      </w:r>
      <w:r w:rsidR="003D42CE" w:rsidRPr="005E703A">
        <w:t xml:space="preserve">%); </w:t>
      </w:r>
      <w:r w:rsidR="00213457" w:rsidRPr="005E703A">
        <w:t>some</w:t>
      </w:r>
      <w:r w:rsidR="003D42CE" w:rsidRPr="005E703A">
        <w:t xml:space="preserve"> </w:t>
      </w:r>
      <w:r w:rsidR="00B301A4">
        <w:t xml:space="preserve">had </w:t>
      </w:r>
      <w:r w:rsidR="00213457" w:rsidRPr="005E703A">
        <w:t>got</w:t>
      </w:r>
      <w:r w:rsidR="003D42CE" w:rsidRPr="005E703A">
        <w:t xml:space="preserve"> </w:t>
      </w:r>
      <w:r w:rsidR="003F55D9" w:rsidRPr="005E703A">
        <w:t xml:space="preserve">married (12%) </w:t>
      </w:r>
      <w:r w:rsidR="00213457" w:rsidRPr="005E703A">
        <w:t xml:space="preserve">and others </w:t>
      </w:r>
      <w:r w:rsidR="00B301A4">
        <w:t xml:space="preserve">had </w:t>
      </w:r>
      <w:r w:rsidR="003F55D9" w:rsidRPr="005E703A">
        <w:t xml:space="preserve">separated (6%). </w:t>
      </w:r>
      <w:r w:rsidR="00410333" w:rsidRPr="005E703A">
        <w:t>Two-thirds</w:t>
      </w:r>
      <w:r w:rsidR="00167870">
        <w:t xml:space="preserve"> (69%)</w:t>
      </w:r>
      <w:r w:rsidR="00410333" w:rsidRPr="005E703A">
        <w:t xml:space="preserve"> of the participants reported no change in years of education</w:t>
      </w:r>
      <w:r w:rsidR="00213457" w:rsidRPr="005E703A">
        <w:t>, and</w:t>
      </w:r>
      <w:r w:rsidR="00410333" w:rsidRPr="005E703A">
        <w:t xml:space="preserve"> the rest </w:t>
      </w:r>
      <w:r w:rsidR="003D42CE" w:rsidRPr="005E703A">
        <w:t xml:space="preserve">had </w:t>
      </w:r>
      <w:r w:rsidR="00B301A4">
        <w:t>studied for</w:t>
      </w:r>
      <w:r w:rsidR="003D42CE" w:rsidRPr="005E703A">
        <w:t xml:space="preserve"> between </w:t>
      </w:r>
      <w:r w:rsidR="00410333" w:rsidRPr="005E703A">
        <w:t xml:space="preserve">1 </w:t>
      </w:r>
      <w:r w:rsidR="003D42CE" w:rsidRPr="005E703A">
        <w:t xml:space="preserve">and </w:t>
      </w:r>
      <w:r w:rsidR="00410333" w:rsidRPr="005E703A">
        <w:t xml:space="preserve">6 years. Most </w:t>
      </w:r>
      <w:r w:rsidR="003D42CE" w:rsidRPr="005E703A">
        <w:t xml:space="preserve">of the </w:t>
      </w:r>
      <w:r w:rsidR="00410333" w:rsidRPr="005E703A">
        <w:t xml:space="preserve">participants reported no change in their </w:t>
      </w:r>
      <w:r w:rsidR="00C52D65">
        <w:t>financial</w:t>
      </w:r>
      <w:r w:rsidR="00C52D65" w:rsidRPr="005E703A">
        <w:t xml:space="preserve"> </w:t>
      </w:r>
      <w:r w:rsidR="00410333" w:rsidRPr="005E703A">
        <w:t>situation (6</w:t>
      </w:r>
      <w:r w:rsidR="00213457" w:rsidRPr="005E703A">
        <w:t>3</w:t>
      </w:r>
      <w:r w:rsidR="00410333" w:rsidRPr="005E703A">
        <w:t>%)</w:t>
      </w:r>
      <w:r w:rsidR="00213457" w:rsidRPr="005E703A">
        <w:t xml:space="preserve"> and</w:t>
      </w:r>
      <w:r w:rsidR="00410333" w:rsidRPr="005E703A">
        <w:t xml:space="preserve"> others reported a </w:t>
      </w:r>
      <w:r w:rsidR="00C52D65">
        <w:t>deterioration</w:t>
      </w:r>
      <w:r w:rsidR="00C52D65" w:rsidRPr="005E703A">
        <w:t xml:space="preserve"> </w:t>
      </w:r>
      <w:r w:rsidR="00410333" w:rsidRPr="005E703A">
        <w:t>(14%) or a</w:t>
      </w:r>
      <w:r w:rsidR="00C52D65">
        <w:t>n</w:t>
      </w:r>
      <w:r w:rsidR="00410333" w:rsidRPr="005E703A">
        <w:t xml:space="preserve"> </w:t>
      </w:r>
      <w:r w:rsidR="00C52D65">
        <w:t>improvement</w:t>
      </w:r>
      <w:r w:rsidR="00C52D65" w:rsidRPr="005E703A">
        <w:t xml:space="preserve"> </w:t>
      </w:r>
      <w:r w:rsidR="00410333" w:rsidRPr="005E703A">
        <w:t xml:space="preserve">(23%). </w:t>
      </w:r>
    </w:p>
    <w:p w14:paraId="5CFC70AA" w14:textId="70EDFD4D" w:rsidR="00E80885" w:rsidRPr="00C64722" w:rsidRDefault="00E80885" w:rsidP="00927428">
      <w:pPr>
        <w:pStyle w:val="Heading2"/>
        <w:rPr>
          <w:i/>
          <w:iCs/>
        </w:rPr>
      </w:pPr>
      <w:r w:rsidRPr="00C64722">
        <w:rPr>
          <w:i/>
          <w:iCs/>
        </w:rPr>
        <w:t xml:space="preserve">Research </w:t>
      </w:r>
      <w:r w:rsidR="00EF2DE5" w:rsidRPr="00C64722">
        <w:rPr>
          <w:i/>
          <w:iCs/>
        </w:rPr>
        <w:t>i</w:t>
      </w:r>
      <w:r w:rsidRPr="00C64722">
        <w:rPr>
          <w:i/>
          <w:iCs/>
        </w:rPr>
        <w:t>nstruments</w:t>
      </w:r>
    </w:p>
    <w:p w14:paraId="526EEC2E" w14:textId="4EEE11EB" w:rsidR="00537685" w:rsidRPr="00C64722" w:rsidRDefault="00E80885" w:rsidP="00927428">
      <w:pPr>
        <w:pStyle w:val="Heading3"/>
        <w:rPr>
          <w:b w:val="0"/>
          <w:bCs w:val="0"/>
        </w:rPr>
      </w:pPr>
      <w:r w:rsidRPr="00C64722">
        <w:rPr>
          <w:b w:val="0"/>
          <w:bCs w:val="0"/>
        </w:rPr>
        <w:t xml:space="preserve">Exposure to </w:t>
      </w:r>
      <w:r w:rsidR="00EF2DE5">
        <w:rPr>
          <w:b w:val="0"/>
          <w:bCs w:val="0"/>
        </w:rPr>
        <w:t>w</w:t>
      </w:r>
      <w:r w:rsidR="00537685" w:rsidRPr="00C64722">
        <w:rPr>
          <w:b w:val="0"/>
          <w:bCs w:val="0"/>
        </w:rPr>
        <w:t xml:space="preserve">ar </w:t>
      </w:r>
      <w:r w:rsidRPr="00C64722">
        <w:rPr>
          <w:b w:val="0"/>
          <w:bCs w:val="0"/>
        </w:rPr>
        <w:t xml:space="preserve">on the </w:t>
      </w:r>
      <w:r w:rsidR="00EF2DE5">
        <w:rPr>
          <w:b w:val="0"/>
          <w:bCs w:val="0"/>
        </w:rPr>
        <w:t>h</w:t>
      </w:r>
      <w:r w:rsidR="00537685" w:rsidRPr="00C64722">
        <w:rPr>
          <w:b w:val="0"/>
          <w:bCs w:val="0"/>
        </w:rPr>
        <w:t xml:space="preserve">ome </w:t>
      </w:r>
      <w:r w:rsidR="00EF2DE5">
        <w:rPr>
          <w:b w:val="0"/>
          <w:bCs w:val="0"/>
        </w:rPr>
        <w:t>f</w:t>
      </w:r>
      <w:r w:rsidR="00537685" w:rsidRPr="00C64722">
        <w:rPr>
          <w:b w:val="0"/>
          <w:bCs w:val="0"/>
        </w:rPr>
        <w:t>ront</w:t>
      </w:r>
    </w:p>
    <w:p w14:paraId="5B7B0DF0" w14:textId="26A6B209" w:rsidR="00E80885" w:rsidRPr="005E703A" w:rsidRDefault="003D42CE" w:rsidP="00F57043">
      <w:pPr>
        <w:rPr>
          <w:strike/>
        </w:rPr>
      </w:pPr>
      <w:r w:rsidRPr="005E703A">
        <w:t xml:space="preserve">The </w:t>
      </w:r>
      <w:r w:rsidR="006743A8" w:rsidRPr="005E703A">
        <w:t xml:space="preserve">participants’ </w:t>
      </w:r>
      <w:r w:rsidRPr="005E703A">
        <w:t xml:space="preserve">exposure to war </w:t>
      </w:r>
      <w:proofErr w:type="gramStart"/>
      <w:r w:rsidR="003B3FFD" w:rsidRPr="005E703A">
        <w:t>was measured</w:t>
      </w:r>
      <w:proofErr w:type="gramEnd"/>
      <w:r w:rsidR="00FC4A68" w:rsidRPr="005E703A">
        <w:t xml:space="preserve"> </w:t>
      </w:r>
      <w:r w:rsidR="00D855AC" w:rsidRPr="005E703A">
        <w:t xml:space="preserve">at T1 </w:t>
      </w:r>
      <w:r w:rsidR="00713BBE" w:rsidRPr="005E703A">
        <w:t xml:space="preserve">using </w:t>
      </w:r>
      <w:r w:rsidR="00E80885" w:rsidRPr="005E703A">
        <w:t xml:space="preserve">a questionnaire </w:t>
      </w:r>
      <w:r w:rsidR="006743A8" w:rsidRPr="005E703A">
        <w:t>on exposure to terrorism</w:t>
      </w:r>
      <w:r w:rsidR="006743A8">
        <w:t>,</w:t>
      </w:r>
      <w:r w:rsidR="006743A8" w:rsidRPr="005E703A">
        <w:t xml:space="preserve"> </w:t>
      </w:r>
      <w:r w:rsidR="00E80885" w:rsidRPr="005E703A">
        <w:t xml:space="preserve">developed by </w:t>
      </w:r>
      <w:proofErr w:type="spellStart"/>
      <w:r w:rsidR="00E80885" w:rsidRPr="005E703A">
        <w:t>Somer</w:t>
      </w:r>
      <w:proofErr w:type="spellEnd"/>
      <w:r w:rsidR="00E80885" w:rsidRPr="005E703A">
        <w:t xml:space="preserve"> et al. (2008)</w:t>
      </w:r>
      <w:r w:rsidR="006743A8">
        <w:t>,</w:t>
      </w:r>
      <w:r w:rsidR="00E80885" w:rsidRPr="005E703A">
        <w:t xml:space="preserve"> and adapted accordingly. </w:t>
      </w:r>
      <w:proofErr w:type="gramStart"/>
      <w:r w:rsidR="00F212F1" w:rsidRPr="005E703A">
        <w:t xml:space="preserve">The participants were asked to indicate their exposure to war </w:t>
      </w:r>
      <w:r w:rsidR="00713BBE" w:rsidRPr="005E703A">
        <w:t xml:space="preserve">using </w:t>
      </w:r>
      <w:r w:rsidR="00F212F1" w:rsidRPr="005E703A">
        <w:t>the following scale</w:t>
      </w:r>
      <w:r w:rsidR="005A4B2C" w:rsidRPr="005E703A">
        <w:t>s</w:t>
      </w:r>
      <w:r w:rsidR="00F212F1" w:rsidRPr="005E703A">
        <w:t xml:space="preserve">: </w:t>
      </w:r>
      <w:r w:rsidR="005A4B2C" w:rsidRPr="005E703A">
        <w:t xml:space="preserve">(a) </w:t>
      </w:r>
      <w:r w:rsidRPr="005E703A">
        <w:t xml:space="preserve">falling </w:t>
      </w:r>
      <w:r w:rsidR="00E80885" w:rsidRPr="005E703A">
        <w:t>missiles (0</w:t>
      </w:r>
      <w:r w:rsidRPr="005E703A">
        <w:t xml:space="preserve"> – </w:t>
      </w:r>
      <w:r w:rsidR="00E80885" w:rsidRPr="005E703A">
        <w:t>no, 1</w:t>
      </w:r>
      <w:r w:rsidRPr="005E703A">
        <w:t xml:space="preserve"> – </w:t>
      </w:r>
      <w:r w:rsidR="00E80885" w:rsidRPr="005E703A">
        <w:t xml:space="preserve">yes, in the town/neighborhood, </w:t>
      </w:r>
      <w:r w:rsidR="005A4B2C" w:rsidRPr="005E703A">
        <w:t>2 –</w:t>
      </w:r>
      <w:r w:rsidRPr="005E703A">
        <w:t xml:space="preserve"> </w:t>
      </w:r>
      <w:r w:rsidR="00E80885" w:rsidRPr="005E703A">
        <w:t xml:space="preserve">near the home, in the home; </w:t>
      </w:r>
      <w:r w:rsidR="005A4B2C" w:rsidRPr="005E703A">
        <w:t xml:space="preserve">(b) </w:t>
      </w:r>
      <w:r w:rsidRPr="005E703A">
        <w:t xml:space="preserve">property </w:t>
      </w:r>
      <w:r w:rsidR="00713BBE" w:rsidRPr="005E703A">
        <w:t>damage</w:t>
      </w:r>
      <w:r w:rsidR="00E80885" w:rsidRPr="005E703A">
        <w:t xml:space="preserve"> (0</w:t>
      </w:r>
      <w:r w:rsidRPr="005E703A">
        <w:t xml:space="preserve"> – </w:t>
      </w:r>
      <w:r w:rsidR="00E80885" w:rsidRPr="005E703A">
        <w:t>no, 1</w:t>
      </w:r>
      <w:r w:rsidRPr="005E703A">
        <w:t xml:space="preserve"> – </w:t>
      </w:r>
      <w:r w:rsidR="00E80885" w:rsidRPr="005E703A">
        <w:t xml:space="preserve">yes); </w:t>
      </w:r>
      <w:r w:rsidR="005A4B2C" w:rsidRPr="005E703A">
        <w:t>(c)</w:t>
      </w:r>
      <w:r w:rsidR="00E80885" w:rsidRPr="005E703A">
        <w:t xml:space="preserve"> </w:t>
      </w:r>
      <w:r w:rsidRPr="005E703A">
        <w:t xml:space="preserve">acquaintance </w:t>
      </w:r>
      <w:r w:rsidR="00E80885" w:rsidRPr="005E703A">
        <w:t>with a physically injured person (0</w:t>
      </w:r>
      <w:r w:rsidRPr="005E703A">
        <w:t xml:space="preserve"> – </w:t>
      </w:r>
      <w:r w:rsidR="00E80885" w:rsidRPr="005E703A">
        <w:t>no, 1</w:t>
      </w:r>
      <w:r w:rsidRPr="005E703A">
        <w:t xml:space="preserve"> – </w:t>
      </w:r>
      <w:r w:rsidR="00E80885" w:rsidRPr="005E703A">
        <w:t xml:space="preserve">yes); </w:t>
      </w:r>
      <w:r w:rsidR="005A4B2C" w:rsidRPr="005E703A">
        <w:t>(d)</w:t>
      </w:r>
      <w:r w:rsidR="00E80885" w:rsidRPr="005E703A">
        <w:t xml:space="preserve"> </w:t>
      </w:r>
      <w:r w:rsidRPr="005E703A">
        <w:t xml:space="preserve">acquaintance </w:t>
      </w:r>
      <w:r w:rsidR="00E80885" w:rsidRPr="005E703A">
        <w:t>with a mentally injured person (0</w:t>
      </w:r>
      <w:r w:rsidRPr="005E703A">
        <w:t xml:space="preserve"> – </w:t>
      </w:r>
      <w:r w:rsidR="00E80885" w:rsidRPr="005E703A">
        <w:t>no, 1</w:t>
      </w:r>
      <w:r w:rsidRPr="005E703A">
        <w:t xml:space="preserve"> – </w:t>
      </w:r>
      <w:r w:rsidR="00E80885" w:rsidRPr="005E703A">
        <w:t>yes)</w:t>
      </w:r>
      <w:r w:rsidR="006743A8">
        <w:t>,</w:t>
      </w:r>
      <w:r w:rsidR="00713BBE" w:rsidRPr="005E703A">
        <w:t xml:space="preserve"> and</w:t>
      </w:r>
      <w:r w:rsidR="00E80885" w:rsidRPr="005E703A">
        <w:t xml:space="preserve"> </w:t>
      </w:r>
      <w:r w:rsidR="005A4B2C" w:rsidRPr="005E703A">
        <w:t>(e)</w:t>
      </w:r>
      <w:r w:rsidR="00E80885" w:rsidRPr="005E703A">
        <w:t xml:space="preserve"> </w:t>
      </w:r>
      <w:r w:rsidRPr="005E703A">
        <w:t xml:space="preserve">acquaintance </w:t>
      </w:r>
      <w:r w:rsidR="00E80885" w:rsidRPr="005E703A">
        <w:t>with someone who was killed (0</w:t>
      </w:r>
      <w:r w:rsidRPr="005E703A">
        <w:t xml:space="preserve"> – </w:t>
      </w:r>
      <w:r w:rsidR="00E80885" w:rsidRPr="005E703A">
        <w:t>no, 1</w:t>
      </w:r>
      <w:r w:rsidRPr="005E703A">
        <w:t xml:space="preserve"> – </w:t>
      </w:r>
      <w:r w:rsidR="00E80885" w:rsidRPr="005E703A">
        <w:t>yes).</w:t>
      </w:r>
      <w:proofErr w:type="gramEnd"/>
      <w:r w:rsidR="00E80885" w:rsidRPr="005E703A">
        <w:t xml:space="preserve"> Two exposure variables </w:t>
      </w:r>
      <w:proofErr w:type="gramStart"/>
      <w:r w:rsidR="00E80885" w:rsidRPr="005E703A">
        <w:t>were defined</w:t>
      </w:r>
      <w:proofErr w:type="gramEnd"/>
      <w:r w:rsidR="00E80885" w:rsidRPr="005E703A">
        <w:t xml:space="preserve">: personal exposure and </w:t>
      </w:r>
      <w:r w:rsidR="00713BBE" w:rsidRPr="005E703A">
        <w:t>the</w:t>
      </w:r>
      <w:r w:rsidR="00E80885" w:rsidRPr="005E703A">
        <w:t xml:space="preserve"> exposure of an acquaintance. The correlation between personal exposure and exposure of an acquaintance was </w:t>
      </w:r>
      <w:r w:rsidR="00E80885" w:rsidRPr="005E703A">
        <w:rPr>
          <w:i/>
          <w:iCs/>
        </w:rPr>
        <w:t>r</w:t>
      </w:r>
      <w:r w:rsidR="00E80885" w:rsidRPr="005E703A">
        <w:t xml:space="preserve"> = .13 (</w:t>
      </w:r>
      <w:r w:rsidR="00E80885" w:rsidRPr="005E703A">
        <w:rPr>
          <w:i/>
          <w:iCs/>
        </w:rPr>
        <w:t>p</w:t>
      </w:r>
      <w:r w:rsidR="00200EAF" w:rsidRPr="005E703A">
        <w:t xml:space="preserve"> = .029). </w:t>
      </w:r>
    </w:p>
    <w:p w14:paraId="21C8B4F5" w14:textId="1E2F23E8" w:rsidR="00537685" w:rsidRPr="00C64722" w:rsidRDefault="00A74948" w:rsidP="00537685">
      <w:pPr>
        <w:pStyle w:val="Heading3"/>
        <w:rPr>
          <w:b w:val="0"/>
          <w:bCs w:val="0"/>
        </w:rPr>
      </w:pPr>
      <w:r w:rsidRPr="00C64722">
        <w:rPr>
          <w:b w:val="0"/>
          <w:bCs w:val="0"/>
        </w:rPr>
        <w:t>Acute Stress Disorder (ASD</w:t>
      </w:r>
      <w:r w:rsidR="00537685" w:rsidRPr="00C64722">
        <w:rPr>
          <w:b w:val="0"/>
          <w:bCs w:val="0"/>
        </w:rPr>
        <w:t>)</w:t>
      </w:r>
      <w:r w:rsidR="00EF2DE5">
        <w:rPr>
          <w:b w:val="0"/>
          <w:bCs w:val="0"/>
        </w:rPr>
        <w:t xml:space="preserve"> Scale</w:t>
      </w:r>
    </w:p>
    <w:p w14:paraId="1AD28469" w14:textId="04125C76" w:rsidR="00373A1F" w:rsidRPr="005E703A" w:rsidRDefault="003D42CE" w:rsidP="00537685">
      <w:r w:rsidRPr="005E703A">
        <w:lastRenderedPageBreak/>
        <w:t>The</w:t>
      </w:r>
      <w:r w:rsidR="00A74948" w:rsidRPr="005E703A">
        <w:t xml:space="preserve"> Acute Stress Disorder Scale (</w:t>
      </w:r>
      <w:r w:rsidR="00E80885" w:rsidRPr="005E703A">
        <w:t xml:space="preserve">Bryant &amp; Harvey, 2000) was </w:t>
      </w:r>
      <w:r w:rsidR="00A05EED" w:rsidRPr="005E703A">
        <w:t>adapted</w:t>
      </w:r>
      <w:r w:rsidRPr="005E703A">
        <w:t xml:space="preserve"> for this </w:t>
      </w:r>
      <w:r w:rsidR="006743A8">
        <w:t>study</w:t>
      </w:r>
      <w:r w:rsidR="006743A8" w:rsidRPr="005E703A">
        <w:t xml:space="preserve"> </w:t>
      </w:r>
      <w:r w:rsidR="00A05EED" w:rsidRPr="005E703A">
        <w:t xml:space="preserve">to fit </w:t>
      </w:r>
      <w:r w:rsidR="00E80885" w:rsidRPr="005E703A">
        <w:t>the experience of war on the home front. The</w:t>
      </w:r>
      <w:r w:rsidR="00A74948" w:rsidRPr="005E703A">
        <w:t xml:space="preserve"> 19</w:t>
      </w:r>
      <w:r w:rsidR="00A05EED" w:rsidRPr="005E703A">
        <w:t>-</w:t>
      </w:r>
      <w:r w:rsidR="00373A1F" w:rsidRPr="005E703A">
        <w:t xml:space="preserve">item scale </w:t>
      </w:r>
      <w:r w:rsidR="00E80885" w:rsidRPr="005E703A">
        <w:t xml:space="preserve">was based on the </w:t>
      </w:r>
      <w:r w:rsidR="00E80885" w:rsidRPr="005E703A">
        <w:rPr>
          <w:i/>
        </w:rPr>
        <w:t>Diagnostic</w:t>
      </w:r>
      <w:r w:rsidR="00E80885" w:rsidRPr="005E703A">
        <w:t xml:space="preserve"> </w:t>
      </w:r>
      <w:r w:rsidR="00E80885" w:rsidRPr="005E703A">
        <w:rPr>
          <w:i/>
        </w:rPr>
        <w:t xml:space="preserve">and Statistical Manual of Mental Disorders </w:t>
      </w:r>
      <w:r w:rsidR="00E80885" w:rsidRPr="005E703A">
        <w:t>(</w:t>
      </w:r>
      <w:r w:rsidR="00AA47BB">
        <w:t>4</w:t>
      </w:r>
      <w:r w:rsidR="00AA47BB" w:rsidRPr="00C64722">
        <w:rPr>
          <w:vertAlign w:val="superscript"/>
        </w:rPr>
        <w:t>th</w:t>
      </w:r>
      <w:r w:rsidR="00AA47BB">
        <w:t xml:space="preserve"> ed.; </w:t>
      </w:r>
      <w:r w:rsidR="00AA47BB">
        <w:rPr>
          <w:i/>
          <w:iCs/>
        </w:rPr>
        <w:t>DSM-</w:t>
      </w:r>
      <w:r w:rsidR="00AA47BB" w:rsidRPr="00C64722">
        <w:t>4</w:t>
      </w:r>
      <w:r w:rsidR="00AA47BB">
        <w:t xml:space="preserve">; </w:t>
      </w:r>
      <w:r w:rsidR="00E80885" w:rsidRPr="00AA47BB">
        <w:t>American</w:t>
      </w:r>
      <w:r w:rsidR="00E80885" w:rsidRPr="005E703A">
        <w:t xml:space="preserve"> Psychiatric Association, 1994), </w:t>
      </w:r>
      <w:r w:rsidR="00713BBE" w:rsidRPr="005E703A">
        <w:t xml:space="preserve">and </w:t>
      </w:r>
      <w:r w:rsidR="00267038" w:rsidRPr="005E703A">
        <w:t xml:space="preserve">included </w:t>
      </w:r>
      <w:r w:rsidR="00E80885" w:rsidRPr="005E703A">
        <w:t xml:space="preserve">four criteria: dissociation (five items), </w:t>
      </w:r>
      <w:proofErr w:type="spellStart"/>
      <w:r w:rsidR="00E80885" w:rsidRPr="005E703A">
        <w:t>reexperience</w:t>
      </w:r>
      <w:proofErr w:type="spellEnd"/>
      <w:r w:rsidR="00E80885" w:rsidRPr="005E703A">
        <w:t xml:space="preserve"> of the traumatic event (four items), avoidance (four items), and increased arousal (four items).</w:t>
      </w:r>
    </w:p>
    <w:p w14:paraId="192E69EB" w14:textId="17242195" w:rsidR="00E80885" w:rsidRPr="005E703A" w:rsidRDefault="00B67AB0" w:rsidP="00200EAF">
      <w:r w:rsidRPr="005E703A">
        <w:t xml:space="preserve">The participants </w:t>
      </w:r>
      <w:r w:rsidR="00373A1F" w:rsidRPr="005E703A">
        <w:t>were asked to rank</w:t>
      </w:r>
      <w:r w:rsidR="00FB37F3">
        <w:t>,</w:t>
      </w:r>
      <w:r w:rsidR="00373A1F" w:rsidRPr="005E703A">
        <w:t xml:space="preserve"> on a </w:t>
      </w:r>
      <w:r w:rsidR="006743A8">
        <w:t>6</w:t>
      </w:r>
      <w:r w:rsidR="00143BFF" w:rsidRPr="005E703A">
        <w:t>-</w:t>
      </w:r>
      <w:r w:rsidR="00373A1F" w:rsidRPr="005E703A">
        <w:t>point scale</w:t>
      </w:r>
      <w:r w:rsidR="00FB37F3">
        <w:t>,</w:t>
      </w:r>
      <w:r w:rsidR="00373A1F" w:rsidRPr="005E703A">
        <w:t xml:space="preserve"> how often</w:t>
      </w:r>
      <w:r w:rsidR="00D7405C" w:rsidRPr="005E703A">
        <w:t xml:space="preserve"> they felt anxious about rockets falling, </w:t>
      </w:r>
      <w:r w:rsidR="00373A1F" w:rsidRPr="005E703A">
        <w:t xml:space="preserve">from </w:t>
      </w:r>
      <w:proofErr w:type="gramStart"/>
      <w:r w:rsidR="00373A1F" w:rsidRPr="005E703A">
        <w:t>0</w:t>
      </w:r>
      <w:proofErr w:type="gramEnd"/>
      <w:r w:rsidR="00373A1F" w:rsidRPr="005E703A">
        <w:t xml:space="preserve"> (not at all) to 5 (very often). </w:t>
      </w:r>
      <w:r w:rsidR="00E80885" w:rsidRPr="005E703A">
        <w:t>Based on</w:t>
      </w:r>
      <w:r w:rsidR="00143BFF" w:rsidRPr="005E703A">
        <w:t xml:space="preserve"> </w:t>
      </w:r>
      <w:r w:rsidR="00E80885" w:rsidRPr="005E703A">
        <w:rPr>
          <w:i/>
          <w:iCs/>
        </w:rPr>
        <w:t>DSM-IV-TR</w:t>
      </w:r>
      <w:r w:rsidR="00333188">
        <w:rPr>
          <w:iCs/>
        </w:rPr>
        <w:t xml:space="preserve"> (American Psychological Association, 2000)</w:t>
      </w:r>
      <w:r w:rsidR="00E80885" w:rsidRPr="005E703A">
        <w:rPr>
          <w:i/>
        </w:rPr>
        <w:t xml:space="preserve">, </w:t>
      </w:r>
      <w:r w:rsidR="00E80885" w:rsidRPr="005E703A">
        <w:t>respondents were defined as suffering from ASD if they displayed at least three dissociation symptoms</w:t>
      </w:r>
      <w:r w:rsidR="005A4B2C" w:rsidRPr="005E703A">
        <w:t xml:space="preserve">, </w:t>
      </w:r>
      <w:r w:rsidR="00E80885" w:rsidRPr="005E703A">
        <w:t xml:space="preserve">one or more </w:t>
      </w:r>
      <w:proofErr w:type="spellStart"/>
      <w:r w:rsidR="00E80885" w:rsidRPr="005E703A">
        <w:t>reexperience</w:t>
      </w:r>
      <w:proofErr w:type="spellEnd"/>
      <w:r w:rsidR="00E80885" w:rsidRPr="005E703A">
        <w:t xml:space="preserve"> symptom</w:t>
      </w:r>
      <w:r w:rsidR="00683066" w:rsidRPr="005E703A">
        <w:t>s</w:t>
      </w:r>
      <w:r w:rsidR="005A4B2C" w:rsidRPr="005E703A">
        <w:t xml:space="preserve">, </w:t>
      </w:r>
      <w:r w:rsidR="00E80885" w:rsidRPr="005E703A">
        <w:t>one or more arousal symptom</w:t>
      </w:r>
      <w:r w:rsidR="00683066" w:rsidRPr="005E703A">
        <w:t>s</w:t>
      </w:r>
      <w:r w:rsidR="005A4B2C" w:rsidRPr="005E703A">
        <w:t xml:space="preserve">, </w:t>
      </w:r>
      <w:r w:rsidR="00E80885" w:rsidRPr="005E703A">
        <w:t>and at least one avoidance symptom. The internal consistency of the overall index was found to be good (α</w:t>
      </w:r>
      <w:r w:rsidR="00E80885" w:rsidRPr="005E703A">
        <w:rPr>
          <w:b/>
        </w:rPr>
        <w:t xml:space="preserve"> </w:t>
      </w:r>
      <w:r w:rsidR="00E80885" w:rsidRPr="005E703A">
        <w:t>= .94</w:t>
      </w:r>
      <w:r w:rsidR="006743A8">
        <w:t>;</w:t>
      </w:r>
      <w:r w:rsidR="00267038" w:rsidRPr="005E703A">
        <w:t xml:space="preserve"> a</w:t>
      </w:r>
      <w:r w:rsidR="00E80885" w:rsidRPr="005E703A">
        <w:t>pplied at T1</w:t>
      </w:r>
      <w:r w:rsidR="00143BFF" w:rsidRPr="005E703A">
        <w:t>)</w:t>
      </w:r>
      <w:r w:rsidR="005A4B2C" w:rsidRPr="005E703A">
        <w:t>.</w:t>
      </w:r>
    </w:p>
    <w:p w14:paraId="3CB36786" w14:textId="4CC74219" w:rsidR="00537685" w:rsidRPr="003D7CBF" w:rsidRDefault="00C54981" w:rsidP="00927428">
      <w:pPr>
        <w:pStyle w:val="Heading3"/>
        <w:rPr>
          <w:b w:val="0"/>
          <w:bCs w:val="0"/>
        </w:rPr>
      </w:pPr>
      <w:r w:rsidRPr="00C64722">
        <w:rPr>
          <w:b w:val="0"/>
          <w:bCs w:val="0"/>
        </w:rPr>
        <w:t xml:space="preserve">Prior Traumatic Event Experience </w:t>
      </w:r>
      <w:r w:rsidRPr="003D7CBF">
        <w:rPr>
          <w:b w:val="0"/>
          <w:bCs w:val="0"/>
        </w:rPr>
        <w:t>Questionnaire</w:t>
      </w:r>
    </w:p>
    <w:p w14:paraId="24A21192" w14:textId="2C78BE2A" w:rsidR="00C54981" w:rsidRPr="005E703A" w:rsidRDefault="00683066" w:rsidP="00200EAF">
      <w:r w:rsidRPr="005E703A">
        <w:t xml:space="preserve">A questionnaire </w:t>
      </w:r>
      <w:proofErr w:type="gramStart"/>
      <w:r w:rsidRPr="005E703A">
        <w:t>was developed</w:t>
      </w:r>
      <w:proofErr w:type="gramEnd"/>
      <w:r w:rsidRPr="005E703A">
        <w:t xml:space="preserve"> based </w:t>
      </w:r>
      <w:r w:rsidR="00C54981" w:rsidRPr="005E703A">
        <w:t>on the Traumatic Event Questionnaire (</w:t>
      </w:r>
      <w:proofErr w:type="spellStart"/>
      <w:r w:rsidR="00C54981" w:rsidRPr="005E703A">
        <w:t>Vrana</w:t>
      </w:r>
      <w:proofErr w:type="spellEnd"/>
      <w:r w:rsidR="00C54981" w:rsidRPr="005E703A">
        <w:t xml:space="preserve"> &amp; </w:t>
      </w:r>
      <w:proofErr w:type="spellStart"/>
      <w:r w:rsidR="00C54981" w:rsidRPr="005E703A">
        <w:t>Lauterbach</w:t>
      </w:r>
      <w:proofErr w:type="spellEnd"/>
      <w:r w:rsidR="00C54981" w:rsidRPr="005E703A">
        <w:t>, 1994).</w:t>
      </w:r>
      <w:r w:rsidR="00267038" w:rsidRPr="005E703A">
        <w:t xml:space="preserve"> </w:t>
      </w:r>
      <w:r w:rsidR="00C54981" w:rsidRPr="005E703A">
        <w:t>The participants reported whether or not they had experience</w:t>
      </w:r>
      <w:r w:rsidR="006472B5" w:rsidRPr="005E703A">
        <w:t>d</w:t>
      </w:r>
      <w:r w:rsidR="00C54981" w:rsidRPr="005E703A">
        <w:t xml:space="preserve"> each of seven traumatic events</w:t>
      </w:r>
      <w:r w:rsidR="006472B5" w:rsidRPr="005E703A">
        <w:t>:</w:t>
      </w:r>
      <w:r w:rsidR="00C54981" w:rsidRPr="005E703A">
        <w:t xml:space="preserve"> </w:t>
      </w:r>
      <w:r w:rsidR="006472B5" w:rsidRPr="005E703A">
        <w:t xml:space="preserve">a) prior to the war (prior to T1) and b) between </w:t>
      </w:r>
      <w:r w:rsidR="006743A8">
        <w:t>T1</w:t>
      </w:r>
      <w:r w:rsidR="006472B5" w:rsidRPr="005E703A">
        <w:t xml:space="preserve"> and T2. Events were</w:t>
      </w:r>
      <w:r w:rsidR="006743A8">
        <w:t xml:space="preserve"> as follows</w:t>
      </w:r>
      <w:r w:rsidR="006472B5" w:rsidRPr="005E703A">
        <w:t xml:space="preserve">: </w:t>
      </w:r>
      <w:r w:rsidR="006743A8">
        <w:t xml:space="preserve">the </w:t>
      </w:r>
      <w:r w:rsidR="00C54981" w:rsidRPr="005E703A">
        <w:t xml:space="preserve">death of someone close, danger of injury or death, a </w:t>
      </w:r>
      <w:r w:rsidR="006743A8">
        <w:t>serious</w:t>
      </w:r>
      <w:r w:rsidR="006743A8" w:rsidRPr="005E703A">
        <w:t xml:space="preserve"> </w:t>
      </w:r>
      <w:r w:rsidR="00C54981" w:rsidRPr="005E703A">
        <w:t xml:space="preserve">car accident, a war, a terror attack, another type of </w:t>
      </w:r>
      <w:r w:rsidR="006472B5" w:rsidRPr="005E703A">
        <w:t>stressful</w:t>
      </w:r>
      <w:r w:rsidR="00C54981" w:rsidRPr="005E703A">
        <w:t xml:space="preserve"> event. </w:t>
      </w:r>
      <w:r w:rsidR="006743A8">
        <w:t>The</w:t>
      </w:r>
      <w:r w:rsidR="00C54981" w:rsidRPr="005E703A">
        <w:t xml:space="preserve"> participants </w:t>
      </w:r>
      <w:proofErr w:type="gramStart"/>
      <w:r w:rsidR="006743A8">
        <w:t>stated</w:t>
      </w:r>
      <w:r w:rsidR="006743A8" w:rsidRPr="005E703A">
        <w:t xml:space="preserve"> </w:t>
      </w:r>
      <w:r w:rsidR="00C54981" w:rsidRPr="005E703A">
        <w:t>if they had</w:t>
      </w:r>
      <w:r w:rsidR="00D855AC" w:rsidRPr="005E703A">
        <w:t>/</w:t>
      </w:r>
      <w:r w:rsidR="006743A8">
        <w:t>had</w:t>
      </w:r>
      <w:r w:rsidR="006743A8" w:rsidRPr="005E703A">
        <w:t xml:space="preserve"> </w:t>
      </w:r>
      <w:r w:rsidR="00D855AC" w:rsidRPr="005E703A">
        <w:t xml:space="preserve">not </w:t>
      </w:r>
      <w:r w:rsidRPr="005E703A">
        <w:t>(1</w:t>
      </w:r>
      <w:r w:rsidR="00D855AC" w:rsidRPr="005E703A">
        <w:t>/0</w:t>
      </w:r>
      <w:r w:rsidRPr="005E703A">
        <w:t>)</w:t>
      </w:r>
      <w:r w:rsidR="006743A8">
        <w:t xml:space="preserve"> experienced each event</w:t>
      </w:r>
      <w:proofErr w:type="gramEnd"/>
      <w:r w:rsidR="00D855AC" w:rsidRPr="005E703A">
        <w:t>.</w:t>
      </w:r>
      <w:r w:rsidR="00C54981" w:rsidRPr="005E703A">
        <w:t xml:space="preserve"> </w:t>
      </w:r>
      <w:r w:rsidR="00D855AC" w:rsidRPr="005E703A">
        <w:t>T</w:t>
      </w:r>
      <w:r w:rsidR="006472B5" w:rsidRPr="005E703A">
        <w:t>wo t</w:t>
      </w:r>
      <w:r w:rsidR="00D855AC" w:rsidRPr="005E703A">
        <w:t xml:space="preserve">otal </w:t>
      </w:r>
      <w:r w:rsidR="00C54981" w:rsidRPr="005E703A">
        <w:t xml:space="preserve">exposure </w:t>
      </w:r>
      <w:r w:rsidR="00D855AC" w:rsidRPr="005E703A">
        <w:t>score</w:t>
      </w:r>
      <w:r w:rsidR="006472B5" w:rsidRPr="005E703A">
        <w:t>s, for events preceding T1 and events between T1 and T2,</w:t>
      </w:r>
      <w:r w:rsidR="00D855AC" w:rsidRPr="005E703A">
        <w:t xml:space="preserve"> w</w:t>
      </w:r>
      <w:r w:rsidR="006472B5" w:rsidRPr="005E703A">
        <w:t>ere</w:t>
      </w:r>
      <w:r w:rsidR="00D855AC" w:rsidRPr="005E703A">
        <w:t xml:space="preserve"> </w:t>
      </w:r>
      <w:r w:rsidR="00C54981" w:rsidRPr="005E703A">
        <w:t xml:space="preserve">calculated according to the number of </w:t>
      </w:r>
      <w:r w:rsidR="006472B5" w:rsidRPr="005E703A">
        <w:t xml:space="preserve">positive </w:t>
      </w:r>
      <w:r w:rsidR="00C54981" w:rsidRPr="005E703A">
        <w:t xml:space="preserve">answers, ranging </w:t>
      </w:r>
      <w:r w:rsidR="00110BB3">
        <w:t xml:space="preserve">from </w:t>
      </w:r>
      <w:proofErr w:type="gramStart"/>
      <w:r w:rsidR="00C54981" w:rsidRPr="005E703A">
        <w:t>0</w:t>
      </w:r>
      <w:proofErr w:type="gramEnd"/>
      <w:r w:rsidR="00C54981" w:rsidRPr="005E703A">
        <w:t xml:space="preserve"> to 7. The higher the score, the </w:t>
      </w:r>
      <w:r w:rsidR="00535911">
        <w:t>higher the number of</w:t>
      </w:r>
      <w:r w:rsidR="00535911" w:rsidRPr="005E703A">
        <w:t xml:space="preserve"> </w:t>
      </w:r>
      <w:r w:rsidR="006472B5" w:rsidRPr="005E703A">
        <w:t>stressful</w:t>
      </w:r>
      <w:r w:rsidR="00C54981" w:rsidRPr="005E703A">
        <w:t xml:space="preserve"> events </w:t>
      </w:r>
      <w:r w:rsidR="00110BB3">
        <w:t>had been</w:t>
      </w:r>
      <w:r w:rsidR="00110BB3" w:rsidRPr="005E703A">
        <w:t xml:space="preserve"> </w:t>
      </w:r>
      <w:r w:rsidR="00C54981" w:rsidRPr="005E703A">
        <w:t>experienced.</w:t>
      </w:r>
      <w:r w:rsidR="00D855AC" w:rsidRPr="005E703A">
        <w:t xml:space="preserve"> </w:t>
      </w:r>
    </w:p>
    <w:p w14:paraId="1629E443" w14:textId="2F242135" w:rsidR="00537685" w:rsidRPr="00362C29" w:rsidRDefault="002E07D4" w:rsidP="00927428">
      <w:pPr>
        <w:pStyle w:val="Heading3"/>
        <w:rPr>
          <w:b w:val="0"/>
          <w:bCs w:val="0"/>
        </w:rPr>
      </w:pPr>
      <w:r w:rsidRPr="00362C29">
        <w:rPr>
          <w:b w:val="0"/>
          <w:bCs w:val="0"/>
        </w:rPr>
        <w:t xml:space="preserve">Posttraumatic Stress Disorder Questionnaire </w:t>
      </w:r>
      <w:r w:rsidR="007A4C4C" w:rsidRPr="00362C29">
        <w:rPr>
          <w:b w:val="0"/>
          <w:bCs w:val="0"/>
        </w:rPr>
        <w:t>(</w:t>
      </w:r>
      <w:r w:rsidR="003908CF" w:rsidRPr="00362C29">
        <w:rPr>
          <w:b w:val="0"/>
          <w:bCs w:val="0"/>
        </w:rPr>
        <w:t>PCL – PTSD Checklist</w:t>
      </w:r>
      <w:r w:rsidR="00537685" w:rsidRPr="00362C29">
        <w:rPr>
          <w:b w:val="0"/>
          <w:bCs w:val="0"/>
        </w:rPr>
        <w:t>)</w:t>
      </w:r>
    </w:p>
    <w:p w14:paraId="3700B6BD" w14:textId="6B03D3DC" w:rsidR="00F34887" w:rsidRPr="005E703A" w:rsidRDefault="00537685" w:rsidP="00927428">
      <w:r w:rsidRPr="005E703A">
        <w:rPr>
          <w:b/>
          <w:bCs/>
        </w:rPr>
        <w:lastRenderedPageBreak/>
        <w:t xml:space="preserve"> </w:t>
      </w:r>
      <w:r w:rsidR="00683066" w:rsidRPr="005E703A">
        <w:t xml:space="preserve">PTS </w:t>
      </w:r>
      <w:proofErr w:type="gramStart"/>
      <w:r w:rsidR="00683066" w:rsidRPr="005E703A">
        <w:t>was measured</w:t>
      </w:r>
      <w:proofErr w:type="gramEnd"/>
      <w:r w:rsidR="00683066" w:rsidRPr="005E703A">
        <w:t xml:space="preserve"> </w:t>
      </w:r>
      <w:r w:rsidR="00110BB3">
        <w:t>using</w:t>
      </w:r>
      <w:r w:rsidR="00110BB3" w:rsidRPr="005E703A">
        <w:t xml:space="preserve"> </w:t>
      </w:r>
      <w:r w:rsidR="00D855AC" w:rsidRPr="005E703A">
        <w:t>the</w:t>
      </w:r>
      <w:r w:rsidR="003908CF" w:rsidRPr="005E703A">
        <w:t xml:space="preserve"> questionnaire developed by Weathers et</w:t>
      </w:r>
      <w:r w:rsidR="00E15ED6" w:rsidRPr="005E703A">
        <w:t xml:space="preserve"> </w:t>
      </w:r>
      <w:r w:rsidR="003908CF" w:rsidRPr="005E703A">
        <w:t>al. (1993</w:t>
      </w:r>
      <w:r w:rsidR="00683066" w:rsidRPr="005E703A">
        <w:t xml:space="preserve">). The checklist </w:t>
      </w:r>
      <w:r w:rsidR="003908CF" w:rsidRPr="005E703A">
        <w:t>includes 17 items that measure sym</w:t>
      </w:r>
      <w:r w:rsidR="00D238E9" w:rsidRPr="005E703A">
        <w:t>p</w:t>
      </w:r>
      <w:r w:rsidR="003908CF" w:rsidRPr="005E703A">
        <w:t>toms</w:t>
      </w:r>
      <w:r w:rsidR="00D238E9" w:rsidRPr="005E703A">
        <w:t xml:space="preserve"> of </w:t>
      </w:r>
      <w:proofErr w:type="spellStart"/>
      <w:r w:rsidR="00D855AC" w:rsidRPr="005E703A">
        <w:t>re</w:t>
      </w:r>
      <w:r w:rsidR="00D238E9" w:rsidRPr="005E703A">
        <w:t>experience</w:t>
      </w:r>
      <w:proofErr w:type="spellEnd"/>
      <w:r w:rsidR="00D238E9" w:rsidRPr="005E703A">
        <w:t>, avoidance</w:t>
      </w:r>
      <w:r w:rsidR="00683066" w:rsidRPr="005E703A">
        <w:t>,</w:t>
      </w:r>
      <w:r w:rsidR="00D238E9" w:rsidRPr="005E703A">
        <w:t xml:space="preserve"> and </w:t>
      </w:r>
      <w:proofErr w:type="spellStart"/>
      <w:r w:rsidR="00D238E9" w:rsidRPr="005E703A">
        <w:t>hyper</w:t>
      </w:r>
      <w:r w:rsidR="00524C54" w:rsidRPr="005E703A">
        <w:t>arousal</w:t>
      </w:r>
      <w:proofErr w:type="spellEnd"/>
      <w:r w:rsidR="00110BB3">
        <w:t>.</w:t>
      </w:r>
      <w:r w:rsidR="00110BB3" w:rsidRPr="005E703A">
        <w:t xml:space="preserve"> </w:t>
      </w:r>
      <w:r w:rsidR="00110BB3">
        <w:t xml:space="preserve">Responses </w:t>
      </w:r>
      <w:proofErr w:type="gramStart"/>
      <w:r w:rsidR="00110BB3">
        <w:t xml:space="preserve">are </w:t>
      </w:r>
      <w:r w:rsidR="00333188">
        <w:t>given</w:t>
      </w:r>
      <w:proofErr w:type="gramEnd"/>
      <w:r w:rsidR="00333188">
        <w:t xml:space="preserve"> </w:t>
      </w:r>
      <w:r w:rsidR="00110BB3">
        <w:t>on</w:t>
      </w:r>
      <w:r w:rsidR="00524C54" w:rsidRPr="005E703A">
        <w:t xml:space="preserve"> a 5-</w:t>
      </w:r>
      <w:r w:rsidR="00683066" w:rsidRPr="005E703A">
        <w:t xml:space="preserve">point </w:t>
      </w:r>
      <w:r w:rsidR="00524C54" w:rsidRPr="005E703A">
        <w:t>scale</w:t>
      </w:r>
      <w:r w:rsidR="00110BB3">
        <w:t>,</w:t>
      </w:r>
      <w:r w:rsidR="00524C54" w:rsidRPr="005E703A">
        <w:t xml:space="preserve"> </w:t>
      </w:r>
      <w:r w:rsidR="00267038" w:rsidRPr="005E703A">
        <w:t xml:space="preserve">ranging </w:t>
      </w:r>
      <w:r w:rsidR="00524C54" w:rsidRPr="005E703A">
        <w:t xml:space="preserve">from </w:t>
      </w:r>
      <w:r w:rsidR="00110BB3" w:rsidRPr="005E703A">
        <w:t>“</w:t>
      </w:r>
      <w:r w:rsidR="00683066" w:rsidRPr="005E703A">
        <w:t>not at all</w:t>
      </w:r>
      <w:r w:rsidR="00110BB3" w:rsidRPr="005E703A">
        <w:t>”</w:t>
      </w:r>
      <w:r w:rsidR="00683066" w:rsidRPr="005E703A">
        <w:t xml:space="preserve"> (</w:t>
      </w:r>
      <w:r w:rsidR="00524C54" w:rsidRPr="005E703A">
        <w:t>0</w:t>
      </w:r>
      <w:r w:rsidR="00683066" w:rsidRPr="005E703A">
        <w:t>)</w:t>
      </w:r>
      <w:r w:rsidR="00524C54" w:rsidRPr="005E703A">
        <w:t xml:space="preserve"> to </w:t>
      </w:r>
      <w:r w:rsidR="00110BB3" w:rsidRPr="005E703A">
        <w:t>“</w:t>
      </w:r>
      <w:r w:rsidR="00683066" w:rsidRPr="005E703A">
        <w:t>to a great extent</w:t>
      </w:r>
      <w:r w:rsidR="00110BB3" w:rsidRPr="005E703A">
        <w:t>”</w:t>
      </w:r>
      <w:r w:rsidR="00683066" w:rsidRPr="005E703A">
        <w:t xml:space="preserve"> (</w:t>
      </w:r>
      <w:r w:rsidR="00524C54" w:rsidRPr="005E703A">
        <w:t>4</w:t>
      </w:r>
      <w:r w:rsidR="00683066" w:rsidRPr="005E703A">
        <w:t>).</w:t>
      </w:r>
      <w:r w:rsidR="004048FF" w:rsidRPr="005E703A">
        <w:t xml:space="preserve"> </w:t>
      </w:r>
      <w:r w:rsidR="00D855AC" w:rsidRPr="005E703A">
        <w:t xml:space="preserve">Total score for </w:t>
      </w:r>
      <w:r w:rsidR="004048FF" w:rsidRPr="005E703A">
        <w:t>the 17 items rang</w:t>
      </w:r>
      <w:r w:rsidR="00D855AC" w:rsidRPr="005E703A">
        <w:t>ed</w:t>
      </w:r>
      <w:r w:rsidR="004048FF" w:rsidRPr="005E703A">
        <w:t xml:space="preserve"> from </w:t>
      </w:r>
      <w:proofErr w:type="gramStart"/>
      <w:r w:rsidR="004048FF" w:rsidRPr="005E703A">
        <w:t>0</w:t>
      </w:r>
      <w:proofErr w:type="gramEnd"/>
      <w:r w:rsidR="00683066" w:rsidRPr="005E703A">
        <w:t xml:space="preserve"> to </w:t>
      </w:r>
      <w:r w:rsidR="004048FF" w:rsidRPr="005E703A">
        <w:t>68. In the current study, the internal consistenc</w:t>
      </w:r>
      <w:r w:rsidR="00A04F6B" w:rsidRPr="005E703A">
        <w:t>y</w:t>
      </w:r>
      <w:r w:rsidR="004048FF" w:rsidRPr="005E703A">
        <w:t xml:space="preserve"> </w:t>
      </w:r>
      <w:r w:rsidR="00A04F6B" w:rsidRPr="005E703A">
        <w:t>was</w:t>
      </w:r>
      <w:r w:rsidR="0055645D" w:rsidRPr="005E703A">
        <w:t xml:space="preserve"> high</w:t>
      </w:r>
      <w:r w:rsidR="00A04F6B" w:rsidRPr="005E703A">
        <w:t xml:space="preserve"> </w:t>
      </w:r>
      <w:r w:rsidR="00110BB3" w:rsidRPr="005E703A">
        <w:t>(</w:t>
      </w:r>
      <w:r w:rsidR="004048FF" w:rsidRPr="005E703A">
        <w:sym w:font="Symbol" w:char="F061"/>
      </w:r>
      <w:r w:rsidR="004048FF" w:rsidRPr="005E703A">
        <w:t xml:space="preserve"> = .93</w:t>
      </w:r>
      <w:r w:rsidR="00110BB3">
        <w:t>;</w:t>
      </w:r>
      <w:r w:rsidR="004048FF" w:rsidRPr="005E703A">
        <w:t xml:space="preserve"> applied at T2).</w:t>
      </w:r>
      <w:r w:rsidR="00F608D8" w:rsidRPr="005E703A">
        <w:rPr>
          <w:rtl/>
        </w:rPr>
        <w:t xml:space="preserve"> </w:t>
      </w:r>
    </w:p>
    <w:p w14:paraId="1516E759" w14:textId="77777777" w:rsidR="00E80885" w:rsidRPr="00362C29" w:rsidRDefault="00E80885" w:rsidP="00927428">
      <w:pPr>
        <w:pStyle w:val="Heading2"/>
        <w:rPr>
          <w:i/>
          <w:iCs/>
        </w:rPr>
      </w:pPr>
      <w:r w:rsidRPr="00362C29">
        <w:rPr>
          <w:i/>
          <w:iCs/>
        </w:rPr>
        <w:t>Research Procedure</w:t>
      </w:r>
    </w:p>
    <w:p w14:paraId="232127FE" w14:textId="319CED60" w:rsidR="00F81517" w:rsidRPr="005E703A" w:rsidRDefault="00683066" w:rsidP="00D974C0">
      <w:r w:rsidRPr="005E703A">
        <w:t xml:space="preserve">The </w:t>
      </w:r>
      <w:proofErr w:type="gramStart"/>
      <w:r w:rsidR="00E80885" w:rsidRPr="005E703A">
        <w:t xml:space="preserve">study was approved by the </w:t>
      </w:r>
      <w:r w:rsidR="004D1F1D" w:rsidRPr="005E703A">
        <w:t xml:space="preserve">[details withheld for blind review] </w:t>
      </w:r>
      <w:r w:rsidR="00E80885" w:rsidRPr="005E703A">
        <w:t>ethics committee</w:t>
      </w:r>
      <w:proofErr w:type="gramEnd"/>
      <w:r w:rsidR="00E80885" w:rsidRPr="005E703A">
        <w:t>.</w:t>
      </w:r>
      <w:r w:rsidR="005A4B2C" w:rsidRPr="005E703A" w:rsidDel="005A4B2C">
        <w:t xml:space="preserve"> </w:t>
      </w:r>
      <w:r w:rsidR="00524C54" w:rsidRPr="005E703A">
        <w:t>At both time points (</w:t>
      </w:r>
      <w:r w:rsidR="00267038" w:rsidRPr="005E703A">
        <w:t xml:space="preserve">T1, </w:t>
      </w:r>
      <w:r w:rsidR="00E15ED6" w:rsidRPr="005E703A">
        <w:t xml:space="preserve">during </w:t>
      </w:r>
      <w:r w:rsidR="00524C54" w:rsidRPr="005E703A">
        <w:t>the Second Lebanon War</w:t>
      </w:r>
      <w:r w:rsidRPr="005E703A">
        <w:t xml:space="preserve">, </w:t>
      </w:r>
      <w:r w:rsidR="00524C54" w:rsidRPr="005E703A">
        <w:t>and</w:t>
      </w:r>
      <w:r w:rsidR="00267038" w:rsidRPr="005E703A">
        <w:t xml:space="preserve"> T2,</w:t>
      </w:r>
      <w:r w:rsidR="00524C54" w:rsidRPr="005E703A">
        <w:t xml:space="preserve"> </w:t>
      </w:r>
      <w:r w:rsidR="00333188">
        <w:t>6</w:t>
      </w:r>
      <w:r w:rsidR="00333188" w:rsidRPr="005E703A">
        <w:t xml:space="preserve"> </w:t>
      </w:r>
      <w:r w:rsidR="00524C54" w:rsidRPr="005E703A">
        <w:t>years after the war), four trained interviewers</w:t>
      </w:r>
      <w:r w:rsidR="0055645D" w:rsidRPr="005E703A">
        <w:t xml:space="preserve"> </w:t>
      </w:r>
      <w:r w:rsidR="00524C54" w:rsidRPr="005E703A">
        <w:t xml:space="preserve">distributed structured questionnaires </w:t>
      </w:r>
      <w:r w:rsidR="0055645D" w:rsidRPr="005E703A">
        <w:t xml:space="preserve">to a convenience sample </w:t>
      </w:r>
      <w:r w:rsidR="00524C54" w:rsidRPr="005E703A">
        <w:t xml:space="preserve">and </w:t>
      </w:r>
      <w:r w:rsidR="00B64385" w:rsidRPr="005E703A">
        <w:t xml:space="preserve">asked the </w:t>
      </w:r>
      <w:r w:rsidR="00524C54" w:rsidRPr="005E703A">
        <w:t>participants to fill them out. Before doing so, the voluntary nature</w:t>
      </w:r>
      <w:r w:rsidR="00B64385" w:rsidRPr="005E703A">
        <w:t xml:space="preserve"> of participation </w:t>
      </w:r>
      <w:proofErr w:type="gramStart"/>
      <w:r w:rsidR="00B64385" w:rsidRPr="005E703A">
        <w:t>was explained</w:t>
      </w:r>
      <w:proofErr w:type="gramEnd"/>
      <w:r w:rsidR="00B64385" w:rsidRPr="005E703A">
        <w:t xml:space="preserve"> and </w:t>
      </w:r>
      <w:r w:rsidR="00524C54" w:rsidRPr="005E703A">
        <w:t xml:space="preserve">confidentiality </w:t>
      </w:r>
      <w:r w:rsidR="00B64385" w:rsidRPr="005E703A">
        <w:t>was assured. The p</w:t>
      </w:r>
      <w:r w:rsidR="00524C54" w:rsidRPr="005E703A">
        <w:t>articipants also received the telephone numbers of help centers</w:t>
      </w:r>
      <w:r w:rsidR="00B64385" w:rsidRPr="005E703A">
        <w:t xml:space="preserve"> that</w:t>
      </w:r>
      <w:r w:rsidR="00F81517" w:rsidRPr="005E703A">
        <w:t xml:space="preserve"> they could call if the need arose. </w:t>
      </w:r>
      <w:r w:rsidR="0054641D">
        <w:t>At</w:t>
      </w:r>
      <w:r w:rsidR="0054641D" w:rsidRPr="005E703A">
        <w:t xml:space="preserve"> </w:t>
      </w:r>
      <w:r w:rsidR="0055645D" w:rsidRPr="005E703A">
        <w:t>T1</w:t>
      </w:r>
      <w:r w:rsidR="00F81517" w:rsidRPr="005E703A">
        <w:t xml:space="preserve">, most of the questionnaires </w:t>
      </w:r>
      <w:proofErr w:type="gramStart"/>
      <w:r w:rsidR="00F81517" w:rsidRPr="005E703A">
        <w:t>were collected</w:t>
      </w:r>
      <w:proofErr w:type="gramEnd"/>
      <w:r w:rsidR="00F81517" w:rsidRPr="005E703A">
        <w:t xml:space="preserve"> in </w:t>
      </w:r>
      <w:r w:rsidR="00E15ED6" w:rsidRPr="005E703A">
        <w:t>b</w:t>
      </w:r>
      <w:r w:rsidR="00F81517" w:rsidRPr="005E703A">
        <w:t xml:space="preserve">omb shelters and safe rooms. </w:t>
      </w:r>
      <w:r w:rsidR="0054641D">
        <w:t>Of the</w:t>
      </w:r>
      <w:r w:rsidR="00F81517" w:rsidRPr="005E703A">
        <w:t xml:space="preserve"> 400 civilians asked to complete the questionnaire</w:t>
      </w:r>
      <w:r w:rsidR="00333188">
        <w:t>s</w:t>
      </w:r>
      <w:r w:rsidR="0054641D">
        <w:t>,</w:t>
      </w:r>
      <w:r w:rsidR="00F81517" w:rsidRPr="005E703A">
        <w:t xml:space="preserve"> 10 refused (97.5%). Out of the 390 questionnaires that were distributed, 20 </w:t>
      </w:r>
      <w:proofErr w:type="gramStart"/>
      <w:r w:rsidR="00F81517" w:rsidRPr="005E703A">
        <w:t>were not returned</w:t>
      </w:r>
      <w:proofErr w:type="gramEnd"/>
      <w:r w:rsidR="00F81517" w:rsidRPr="005E703A">
        <w:t xml:space="preserve"> (</w:t>
      </w:r>
      <w:r w:rsidR="00267038" w:rsidRPr="005E703A">
        <w:t xml:space="preserve">a </w:t>
      </w:r>
      <w:r w:rsidR="00F81517" w:rsidRPr="005E703A">
        <w:t xml:space="preserve">95% return rate). </w:t>
      </w:r>
      <w:r w:rsidR="0055645D" w:rsidRPr="005E703A">
        <w:t>At T2</w:t>
      </w:r>
      <w:r w:rsidR="00F81517" w:rsidRPr="005E703A">
        <w:t xml:space="preserve">, the questionnaires </w:t>
      </w:r>
      <w:proofErr w:type="gramStart"/>
      <w:r w:rsidR="00F81517" w:rsidRPr="005E703A">
        <w:t>were distributed</w:t>
      </w:r>
      <w:proofErr w:type="gramEnd"/>
      <w:r w:rsidR="00F81517" w:rsidRPr="005E703A">
        <w:t xml:space="preserve"> to the participants from </w:t>
      </w:r>
      <w:r w:rsidR="0054641D">
        <w:t>T</w:t>
      </w:r>
      <w:r w:rsidR="00F81517" w:rsidRPr="005E703A">
        <w:t xml:space="preserve">1. Some of the participants </w:t>
      </w:r>
      <w:proofErr w:type="gramStart"/>
      <w:r w:rsidR="00F81517" w:rsidRPr="005E703A">
        <w:t>could not be reached</w:t>
      </w:r>
      <w:proofErr w:type="gramEnd"/>
      <w:r w:rsidR="00F81517" w:rsidRPr="005E703A">
        <w:t xml:space="preserve">, and </w:t>
      </w:r>
      <w:r w:rsidR="00333188">
        <w:t>we</w:t>
      </w:r>
      <w:r w:rsidR="00333188" w:rsidRPr="005E703A">
        <w:t xml:space="preserve"> </w:t>
      </w:r>
      <w:r w:rsidR="00F81517" w:rsidRPr="005E703A">
        <w:t>attempt</w:t>
      </w:r>
      <w:r w:rsidR="00333188">
        <w:t>ed</w:t>
      </w:r>
      <w:r w:rsidR="00F81517" w:rsidRPr="005E703A">
        <w:t xml:space="preserve"> to locate them through neighbors, neighborhood committees, local councils</w:t>
      </w:r>
      <w:r w:rsidR="00D3667D" w:rsidRPr="005E703A">
        <w:t>,</w:t>
      </w:r>
      <w:r w:rsidR="00F81517" w:rsidRPr="005E703A">
        <w:t xml:space="preserve"> and telephone centers. As </w:t>
      </w:r>
      <w:r w:rsidR="0054641D">
        <w:t>stated</w:t>
      </w:r>
      <w:r w:rsidR="00F81517" w:rsidRPr="005E703A">
        <w:t xml:space="preserve">, 69 of the 370 participants from </w:t>
      </w:r>
      <w:r w:rsidR="0055645D" w:rsidRPr="005E703A">
        <w:t xml:space="preserve">T1 </w:t>
      </w:r>
      <w:r w:rsidR="00F81517" w:rsidRPr="005E703A">
        <w:t xml:space="preserve">did not </w:t>
      </w:r>
      <w:r w:rsidR="00B17AB2">
        <w:t>take part</w:t>
      </w:r>
      <w:r w:rsidR="00B17AB2" w:rsidRPr="005E703A">
        <w:t xml:space="preserve"> </w:t>
      </w:r>
      <w:r w:rsidR="00E55F80">
        <w:t>at</w:t>
      </w:r>
      <w:r w:rsidR="00E55F80" w:rsidRPr="005E703A">
        <w:t xml:space="preserve"> </w:t>
      </w:r>
      <w:r w:rsidR="0055645D" w:rsidRPr="005E703A">
        <w:t>T2</w:t>
      </w:r>
      <w:r w:rsidR="00F81517" w:rsidRPr="005E703A">
        <w:t>.</w:t>
      </w:r>
    </w:p>
    <w:p w14:paraId="2F1F7940" w14:textId="77777777" w:rsidR="000979CC" w:rsidRPr="009833BF" w:rsidRDefault="000979CC" w:rsidP="00927428">
      <w:pPr>
        <w:pStyle w:val="Heading2"/>
        <w:rPr>
          <w:i/>
          <w:iCs/>
        </w:rPr>
      </w:pPr>
      <w:r w:rsidRPr="009833BF">
        <w:rPr>
          <w:i/>
          <w:iCs/>
        </w:rPr>
        <w:t>Data Analysis</w:t>
      </w:r>
    </w:p>
    <w:p w14:paraId="657B4891" w14:textId="532D6C1F" w:rsidR="005A4B2C" w:rsidRPr="005E703A" w:rsidRDefault="00E6380E" w:rsidP="00200EAF">
      <w:r>
        <w:t>We</w:t>
      </w:r>
      <w:r w:rsidR="0055645D" w:rsidRPr="005E703A">
        <w:t xml:space="preserve"> </w:t>
      </w:r>
      <w:r w:rsidR="000979CC" w:rsidRPr="005E703A">
        <w:t>analy</w:t>
      </w:r>
      <w:r w:rsidR="0055645D" w:rsidRPr="005E703A">
        <w:t>zed</w:t>
      </w:r>
      <w:r w:rsidR="000979CC" w:rsidRPr="005E703A">
        <w:t xml:space="preserve"> </w:t>
      </w:r>
      <w:r>
        <w:t xml:space="preserve">the data </w:t>
      </w:r>
      <w:r w:rsidR="000979CC" w:rsidRPr="005E703A">
        <w:t xml:space="preserve">using </w:t>
      </w:r>
      <w:r w:rsidR="00D3667D" w:rsidRPr="005E703A">
        <w:t xml:space="preserve">SPSS </w:t>
      </w:r>
      <w:r w:rsidR="000979CC" w:rsidRPr="005E703A">
        <w:t xml:space="preserve">22.0. All </w:t>
      </w:r>
      <w:r w:rsidR="00D3667D" w:rsidRPr="005E703A">
        <w:t xml:space="preserve">the </w:t>
      </w:r>
      <w:r w:rsidR="000979CC" w:rsidRPr="005E703A">
        <w:t xml:space="preserve">analyses </w:t>
      </w:r>
      <w:proofErr w:type="gramStart"/>
      <w:r w:rsidR="008F1BE5" w:rsidRPr="005E703A">
        <w:t>were based</w:t>
      </w:r>
      <w:proofErr w:type="gramEnd"/>
      <w:r w:rsidR="008F1BE5" w:rsidRPr="005E703A">
        <w:t xml:space="preserve"> on </w:t>
      </w:r>
      <w:r w:rsidR="000979CC" w:rsidRPr="005E703A">
        <w:t xml:space="preserve">the 301 </w:t>
      </w:r>
      <w:r w:rsidR="00D3667D" w:rsidRPr="005E703A">
        <w:t xml:space="preserve">people </w:t>
      </w:r>
      <w:r w:rsidR="000979CC" w:rsidRPr="005E703A">
        <w:t xml:space="preserve">who </w:t>
      </w:r>
      <w:r w:rsidR="00D3667D" w:rsidRPr="005E703A">
        <w:t xml:space="preserve">participated in both stages of </w:t>
      </w:r>
      <w:r w:rsidR="000979CC" w:rsidRPr="005E703A">
        <w:t xml:space="preserve">the study. Collinearity was not found in the data (maximum condition index = 2.25). Multiple regression analysis was </w:t>
      </w:r>
      <w:r w:rsidR="0055645D" w:rsidRPr="005E703A">
        <w:t xml:space="preserve">calculated </w:t>
      </w:r>
      <w:r w:rsidR="000979CC" w:rsidRPr="005E703A">
        <w:t xml:space="preserve">to predict PTS </w:t>
      </w:r>
      <w:r w:rsidR="0055645D" w:rsidRPr="005E703A">
        <w:t>from</w:t>
      </w:r>
      <w:r w:rsidR="000979CC" w:rsidRPr="005E703A">
        <w:t xml:space="preserve"> ASD</w:t>
      </w:r>
      <w:r w:rsidR="003F39A6" w:rsidRPr="005E703A">
        <w:t xml:space="preserve"> scores</w:t>
      </w:r>
      <w:r w:rsidR="000979CC" w:rsidRPr="005E703A">
        <w:t xml:space="preserve">, and to assess the moderating effect </w:t>
      </w:r>
      <w:r w:rsidR="00070DB9" w:rsidRPr="005E703A">
        <w:t xml:space="preserve">of </w:t>
      </w:r>
      <w:r w:rsidR="000979CC" w:rsidRPr="005E703A">
        <w:t xml:space="preserve">previous </w:t>
      </w:r>
      <w:r w:rsidR="000979CC" w:rsidRPr="005E703A">
        <w:lastRenderedPageBreak/>
        <w:t xml:space="preserve">experience with </w:t>
      </w:r>
      <w:r w:rsidR="003F39A6" w:rsidRPr="005E703A">
        <w:t>stressful</w:t>
      </w:r>
      <w:r w:rsidR="000979CC" w:rsidRPr="005E703A">
        <w:t xml:space="preserve"> events (</w:t>
      </w:r>
      <w:r w:rsidR="003F39A6" w:rsidRPr="005E703A">
        <w:t>preceding</w:t>
      </w:r>
      <w:r w:rsidR="0055645D" w:rsidRPr="005E703A">
        <w:t xml:space="preserve"> the wa</w:t>
      </w:r>
      <w:r w:rsidR="003F39A6" w:rsidRPr="005E703A">
        <w:t>r</w:t>
      </w:r>
      <w:r w:rsidR="0055645D" w:rsidRPr="005E703A">
        <w:t xml:space="preserve"> and between T1 and T2) </w:t>
      </w:r>
      <w:r w:rsidR="000979CC" w:rsidRPr="005E703A">
        <w:t xml:space="preserve">on the relationship between ASD and PTS. All predictors were standardized. </w:t>
      </w:r>
    </w:p>
    <w:p w14:paraId="459BC4FB" w14:textId="73417669" w:rsidR="000979CC" w:rsidRPr="005E703A" w:rsidRDefault="000979CC" w:rsidP="00200EAF">
      <w:r w:rsidRPr="005E703A">
        <w:t xml:space="preserve">For control purposes, Step 1 included background variables </w:t>
      </w:r>
      <w:proofErr w:type="gramStart"/>
      <w:r w:rsidRPr="005E703A">
        <w:t xml:space="preserve">found to </w:t>
      </w:r>
      <w:r w:rsidR="0055645D" w:rsidRPr="005E703A">
        <w:t xml:space="preserve">be </w:t>
      </w:r>
      <w:r w:rsidRPr="005E703A">
        <w:t>relate</w:t>
      </w:r>
      <w:r w:rsidR="0055645D" w:rsidRPr="005E703A">
        <w:t>d</w:t>
      </w:r>
      <w:proofErr w:type="gramEnd"/>
      <w:r w:rsidR="0055645D" w:rsidRPr="005E703A">
        <w:t xml:space="preserve"> </w:t>
      </w:r>
      <w:r w:rsidR="00B17AB2">
        <w:t>to</w:t>
      </w:r>
      <w:r w:rsidR="00B17AB2" w:rsidRPr="005E703A">
        <w:t xml:space="preserve"> </w:t>
      </w:r>
      <w:r w:rsidRPr="005E703A">
        <w:t>PTS. Step 2 included the predictor (ASD), and in Step 3</w:t>
      </w:r>
      <w:r w:rsidR="00D42CC6" w:rsidRPr="005E703A">
        <w:t>,</w:t>
      </w:r>
      <w:r w:rsidRPr="005E703A">
        <w:t xml:space="preserve"> the moderating variable</w:t>
      </w:r>
      <w:r w:rsidR="0055645D" w:rsidRPr="005E703A">
        <w:t>,</w:t>
      </w:r>
      <w:r w:rsidRPr="005E703A">
        <w:t xml:space="preserve"> entered hierarchically. Step 4 included interactions between the predictor and </w:t>
      </w:r>
      <w:r w:rsidR="0055645D" w:rsidRPr="005E703A">
        <w:t xml:space="preserve">the </w:t>
      </w:r>
      <w:r w:rsidRPr="005E703A">
        <w:t>moderating variables</w:t>
      </w:r>
      <w:r w:rsidR="0055645D" w:rsidRPr="005E703A">
        <w:t>, entered in a stepwise manner</w:t>
      </w:r>
      <w:r w:rsidRPr="005E703A">
        <w:t xml:space="preserve">. </w:t>
      </w:r>
      <w:r w:rsidR="003F39A6" w:rsidRPr="005E703A">
        <w:t xml:space="preserve">The curvilinear effect </w:t>
      </w:r>
      <w:proofErr w:type="gramStart"/>
      <w:r w:rsidR="003F39A6" w:rsidRPr="005E703A">
        <w:t>was assessed</w:t>
      </w:r>
      <w:proofErr w:type="gramEnd"/>
      <w:r w:rsidR="003F39A6" w:rsidRPr="005E703A">
        <w:t xml:space="preserve"> using quadratic terms. </w:t>
      </w:r>
      <w:r w:rsidRPr="005E703A">
        <w:t xml:space="preserve">Significant moderation </w:t>
      </w:r>
      <w:proofErr w:type="gramStart"/>
      <w:r w:rsidRPr="005E703A">
        <w:t>was analyzed and graphed with simple slopes analysis (Aiken &amp; West, 1991; Dawson, 2014)</w:t>
      </w:r>
      <w:proofErr w:type="gramEnd"/>
      <w:r w:rsidRPr="005E703A">
        <w:t xml:space="preserve">. </w:t>
      </w:r>
    </w:p>
    <w:p w14:paraId="5ED9C228" w14:textId="77777777" w:rsidR="00C66474" w:rsidRPr="005E703A" w:rsidRDefault="004048FF">
      <w:pPr>
        <w:pStyle w:val="Heading1"/>
        <w:rPr>
          <w:rtl/>
        </w:rPr>
      </w:pPr>
      <w:r w:rsidRPr="005E703A">
        <w:t>Findings</w:t>
      </w:r>
    </w:p>
    <w:p w14:paraId="2808E788" w14:textId="114E8829" w:rsidR="000D0266" w:rsidRPr="005E703A" w:rsidRDefault="008A5701" w:rsidP="004F62B3">
      <w:r w:rsidRPr="005E703A">
        <w:t>About 75% of the partic</w:t>
      </w:r>
      <w:r w:rsidR="004F62B3" w:rsidRPr="005E703A">
        <w:t>i</w:t>
      </w:r>
      <w:r w:rsidRPr="005E703A">
        <w:t xml:space="preserve">pants reported </w:t>
      </w:r>
      <w:r w:rsidR="00B17AB2">
        <w:t>direct exposure</w:t>
      </w:r>
      <w:r w:rsidRPr="005E703A">
        <w:t xml:space="preserve"> to missile attacks and about 30% reported knowing someone who was physically injured. </w:t>
      </w:r>
      <w:r w:rsidR="000D0266" w:rsidRPr="005E703A">
        <w:t xml:space="preserve">The participants’ overall </w:t>
      </w:r>
      <w:r w:rsidRPr="005E703A">
        <w:t xml:space="preserve">mean </w:t>
      </w:r>
      <w:r w:rsidR="000D0266" w:rsidRPr="005E703A">
        <w:t xml:space="preserve">ASD </w:t>
      </w:r>
      <w:r w:rsidR="004F62B3" w:rsidRPr="005E703A">
        <w:t xml:space="preserve">at T1 </w:t>
      </w:r>
      <w:r w:rsidR="000D0266" w:rsidRPr="005E703A">
        <w:t xml:space="preserve">was </w:t>
      </w:r>
      <w:r w:rsidR="000D0266" w:rsidRPr="005E703A">
        <w:rPr>
          <w:i/>
          <w:iCs/>
        </w:rPr>
        <w:t>M</w:t>
      </w:r>
      <w:r w:rsidR="000D0266" w:rsidRPr="005E703A">
        <w:t xml:space="preserve"> = 2.18 (</w:t>
      </w:r>
      <w:r w:rsidR="000D0266" w:rsidRPr="005E703A">
        <w:rPr>
          <w:i/>
          <w:iCs/>
        </w:rPr>
        <w:t xml:space="preserve">SD </w:t>
      </w:r>
      <w:r w:rsidR="000D0266" w:rsidRPr="005E703A">
        <w:t>= 0.87</w:t>
      </w:r>
      <w:r w:rsidRPr="005E703A">
        <w:t>, range 1</w:t>
      </w:r>
      <w:r w:rsidR="00B17AB2">
        <w:t>–</w:t>
      </w:r>
      <w:r w:rsidRPr="005E703A">
        <w:t>5</w:t>
      </w:r>
      <w:r w:rsidR="000D0266" w:rsidRPr="005E703A">
        <w:t xml:space="preserve">). </w:t>
      </w:r>
      <w:r w:rsidR="00B17AB2">
        <w:t xml:space="preserve">In this category, </w:t>
      </w:r>
      <w:r w:rsidRPr="005E703A">
        <w:t xml:space="preserve">56 participants (18.9%) </w:t>
      </w:r>
      <w:proofErr w:type="gramStart"/>
      <w:r w:rsidRPr="005E703A">
        <w:t>were classified</w:t>
      </w:r>
      <w:proofErr w:type="gramEnd"/>
      <w:r w:rsidRPr="005E703A">
        <w:t xml:space="preserve"> in the clinical range for ASD and another 65 participants (21.8%) were classified as borderline. </w:t>
      </w:r>
      <w:r w:rsidR="004F62B3" w:rsidRPr="005E703A">
        <w:t>O</w:t>
      </w:r>
      <w:r w:rsidR="000D0266" w:rsidRPr="005E703A">
        <w:t xml:space="preserve">verall PTS index </w:t>
      </w:r>
      <w:r w:rsidR="004F62B3" w:rsidRPr="005E703A">
        <w:t xml:space="preserve">at T2 </w:t>
      </w:r>
      <w:r w:rsidR="000D0266" w:rsidRPr="005E703A">
        <w:t xml:space="preserve">was </w:t>
      </w:r>
      <w:r w:rsidR="004F62B3" w:rsidRPr="005E703A">
        <w:rPr>
          <w:i/>
          <w:iCs/>
        </w:rPr>
        <w:t>M</w:t>
      </w:r>
      <w:r w:rsidR="004F62B3" w:rsidRPr="005E703A">
        <w:t> = 8.38 (</w:t>
      </w:r>
      <w:r w:rsidR="004F62B3" w:rsidRPr="005E703A">
        <w:rPr>
          <w:i/>
          <w:iCs/>
        </w:rPr>
        <w:t>SD</w:t>
      </w:r>
      <w:r w:rsidR="004F62B3" w:rsidRPr="005E703A">
        <w:t xml:space="preserve"> = 10.43, range 0-68). </w:t>
      </w:r>
      <w:proofErr w:type="gramStart"/>
      <w:r w:rsidR="000D0266" w:rsidRPr="005E703A">
        <w:t xml:space="preserve">The number of past </w:t>
      </w:r>
      <w:r w:rsidR="004F62B3" w:rsidRPr="005E703A">
        <w:t xml:space="preserve">stressful </w:t>
      </w:r>
      <w:r w:rsidR="000D0266" w:rsidRPr="005E703A">
        <w:t>experiences was defined by a 0</w:t>
      </w:r>
      <w:r w:rsidR="00B17AB2">
        <w:t>–</w:t>
      </w:r>
      <w:r w:rsidR="004F62B3" w:rsidRPr="005E703A">
        <w:t>7</w:t>
      </w:r>
      <w:r w:rsidR="000D0266" w:rsidRPr="005E703A">
        <w:t xml:space="preserve"> range</w:t>
      </w:r>
      <w:proofErr w:type="gramEnd"/>
      <w:r w:rsidR="000D0266" w:rsidRPr="005E703A">
        <w:t xml:space="preserve">. The average </w:t>
      </w:r>
      <w:r w:rsidR="004F62B3" w:rsidRPr="005E703A">
        <w:t>at</w:t>
      </w:r>
      <w:r w:rsidR="000D0266" w:rsidRPr="005E703A">
        <w:t xml:space="preserve"> T1 was</w:t>
      </w:r>
      <w:r w:rsidR="004F62B3" w:rsidRPr="005E703A">
        <w:t xml:space="preserve"> </w:t>
      </w:r>
      <w:r w:rsidR="004F62B3" w:rsidRPr="005E703A">
        <w:rPr>
          <w:i/>
          <w:iCs/>
        </w:rPr>
        <w:t>M</w:t>
      </w:r>
      <w:r w:rsidR="004F62B3" w:rsidRPr="005E703A">
        <w:t xml:space="preserve"> =</w:t>
      </w:r>
      <w:r w:rsidR="000D0266" w:rsidRPr="005E703A">
        <w:t xml:space="preserve"> 1.62 (</w:t>
      </w:r>
      <w:r w:rsidR="000D0266" w:rsidRPr="005E703A">
        <w:rPr>
          <w:i/>
          <w:iCs/>
        </w:rPr>
        <w:t>SD</w:t>
      </w:r>
      <w:r w:rsidR="000D0266" w:rsidRPr="005E703A">
        <w:t xml:space="preserve"> = 1.24)</w:t>
      </w:r>
      <w:r w:rsidR="004F62B3" w:rsidRPr="005E703A">
        <w:t xml:space="preserve"> and at </w:t>
      </w:r>
      <w:r w:rsidR="000D0266" w:rsidRPr="005E703A">
        <w:t xml:space="preserve">T2 </w:t>
      </w:r>
      <w:r w:rsidR="007E20F0">
        <w:t>was</w:t>
      </w:r>
      <w:r w:rsidR="007E20F0" w:rsidRPr="005E703A">
        <w:t xml:space="preserve"> </w:t>
      </w:r>
      <w:r w:rsidR="004F62B3" w:rsidRPr="005E703A">
        <w:rPr>
          <w:i/>
          <w:iCs/>
        </w:rPr>
        <w:t>M</w:t>
      </w:r>
      <w:r w:rsidR="004F62B3" w:rsidRPr="005E703A">
        <w:t xml:space="preserve"> = </w:t>
      </w:r>
      <w:r w:rsidR="000D0266" w:rsidRPr="005E703A">
        <w:t>1.19 (</w:t>
      </w:r>
      <w:r w:rsidR="000D0266" w:rsidRPr="005E703A">
        <w:rPr>
          <w:i/>
          <w:iCs/>
        </w:rPr>
        <w:t>SD</w:t>
      </w:r>
      <w:r w:rsidR="000D0266" w:rsidRPr="005E703A">
        <w:t xml:space="preserve"> = 1.09).</w:t>
      </w:r>
    </w:p>
    <w:p w14:paraId="49EDA54C" w14:textId="123AC3C9" w:rsidR="004F62B3" w:rsidRPr="005E703A" w:rsidRDefault="005B7E75" w:rsidP="00927428">
      <w:r>
        <w:t>We performed a</w:t>
      </w:r>
      <w:r w:rsidRPr="005E703A">
        <w:t xml:space="preserve"> </w:t>
      </w:r>
      <w:r w:rsidR="00B14015" w:rsidRPr="005E703A">
        <w:t>m</w:t>
      </w:r>
      <w:r w:rsidR="007A0783" w:rsidRPr="005E703A">
        <w:t xml:space="preserve">ultiple </w:t>
      </w:r>
      <w:r w:rsidR="004048FF" w:rsidRPr="005E703A">
        <w:t xml:space="preserve">regression </w:t>
      </w:r>
      <w:r w:rsidR="005A4B2C" w:rsidRPr="005E703A">
        <w:t>analysis</w:t>
      </w:r>
      <w:r w:rsidR="00B14015" w:rsidRPr="005E703A">
        <w:t>,</w:t>
      </w:r>
      <w:r w:rsidR="007A0783" w:rsidRPr="005E703A">
        <w:t xml:space="preserve"> in which the dependent variable was PTS </w:t>
      </w:r>
      <w:r w:rsidR="004F62B3" w:rsidRPr="005E703A">
        <w:t>at T2</w:t>
      </w:r>
      <w:r w:rsidR="007A0783" w:rsidRPr="005E703A">
        <w:t>. The goal was to examine whether experiences</w:t>
      </w:r>
      <w:r w:rsidR="00814A0B">
        <w:t xml:space="preserve"> that had occurred</w:t>
      </w:r>
      <w:r w:rsidR="007A0783" w:rsidRPr="005E703A">
        <w:t xml:space="preserve"> before a traumatic event (T1) and between the event and</w:t>
      </w:r>
      <w:r w:rsidR="00B14015" w:rsidRPr="005E703A">
        <w:t xml:space="preserve"> </w:t>
      </w:r>
      <w:r w:rsidR="004F62B3" w:rsidRPr="005E703A">
        <w:t xml:space="preserve">the </w:t>
      </w:r>
      <w:r w:rsidR="007A0783" w:rsidRPr="005E703A">
        <w:t xml:space="preserve">PTS </w:t>
      </w:r>
      <w:r w:rsidR="00814A0B" w:rsidRPr="005E703A">
        <w:t xml:space="preserve">evaluation </w:t>
      </w:r>
      <w:r w:rsidR="007A0783" w:rsidRPr="005E703A">
        <w:t xml:space="preserve">(T2) </w:t>
      </w:r>
      <w:r w:rsidR="00D42CC6" w:rsidRPr="005E703A">
        <w:t xml:space="preserve">moderated </w:t>
      </w:r>
      <w:r w:rsidR="007A0783" w:rsidRPr="005E703A">
        <w:t>(</w:t>
      </w:r>
      <w:r>
        <w:t xml:space="preserve">either </w:t>
      </w:r>
      <w:r w:rsidR="00814A0B" w:rsidRPr="005E703A">
        <w:t>intensif</w:t>
      </w:r>
      <w:r w:rsidR="00814A0B">
        <w:t>ied</w:t>
      </w:r>
      <w:r w:rsidR="00814A0B" w:rsidRPr="005E703A">
        <w:t xml:space="preserve"> </w:t>
      </w:r>
      <w:r w:rsidR="004F62B3" w:rsidRPr="005E703A">
        <w:t xml:space="preserve">or </w:t>
      </w:r>
      <w:r w:rsidR="00814A0B" w:rsidRPr="005E703A">
        <w:t>buffer</w:t>
      </w:r>
      <w:r w:rsidR="00814A0B">
        <w:t>ed</w:t>
      </w:r>
      <w:r w:rsidR="007A0783" w:rsidRPr="005E703A">
        <w:t xml:space="preserve">) the relationship between ASD and PTS. </w:t>
      </w:r>
    </w:p>
    <w:p w14:paraId="3CD16329" w14:textId="3EF295C5" w:rsidR="00434E26" w:rsidRPr="005E703A" w:rsidRDefault="00BA6FDF" w:rsidP="003574C0">
      <w:r w:rsidRPr="005E703A">
        <w:t>Prior to</w:t>
      </w:r>
      <w:r w:rsidR="007A0783" w:rsidRPr="005E703A">
        <w:t xml:space="preserve"> the regression analysis, Pearson </w:t>
      </w:r>
      <w:r w:rsidR="004F62B3" w:rsidRPr="005E703A">
        <w:t xml:space="preserve">correlations </w:t>
      </w:r>
      <w:proofErr w:type="gramStart"/>
      <w:r w:rsidR="004F62B3" w:rsidRPr="005E703A">
        <w:t>were calculated</w:t>
      </w:r>
      <w:proofErr w:type="gramEnd"/>
      <w:r w:rsidR="004F62B3" w:rsidRPr="005E703A">
        <w:t xml:space="preserve"> to </w:t>
      </w:r>
      <w:r w:rsidR="007A0783" w:rsidRPr="005E703A">
        <w:t xml:space="preserve">examine the </w:t>
      </w:r>
      <w:r w:rsidR="00B14015" w:rsidRPr="005E703A">
        <w:t xml:space="preserve">associations </w:t>
      </w:r>
      <w:r w:rsidR="003574C0" w:rsidRPr="005E703A">
        <w:t>between</w:t>
      </w:r>
      <w:r w:rsidR="00D42CC6" w:rsidRPr="005E703A">
        <w:t xml:space="preserve"> </w:t>
      </w:r>
      <w:r w:rsidR="007A0783" w:rsidRPr="005E703A">
        <w:t xml:space="preserve">the background variables </w:t>
      </w:r>
      <w:r w:rsidR="003574C0" w:rsidRPr="005E703A">
        <w:t xml:space="preserve">and </w:t>
      </w:r>
      <w:r w:rsidR="007A0783" w:rsidRPr="005E703A">
        <w:t>PTS</w:t>
      </w:r>
      <w:r w:rsidR="003574C0" w:rsidRPr="005E703A">
        <w:t xml:space="preserve">: </w:t>
      </w:r>
      <w:r w:rsidR="00434E26" w:rsidRPr="005E703A">
        <w:t xml:space="preserve">distance from the border, personal exposure, the exposure of an acquaintance, age, education, number of household members, length of residence in the area, and </w:t>
      </w:r>
      <w:r w:rsidR="00C52D65">
        <w:t>financial situation</w:t>
      </w:r>
      <w:r w:rsidR="00434E26" w:rsidRPr="005E703A">
        <w:t>.</w:t>
      </w:r>
      <w:r w:rsidR="003574C0" w:rsidRPr="005E703A">
        <w:t xml:space="preserve"> </w:t>
      </w:r>
      <w:r w:rsidR="00A8084A">
        <w:lastRenderedPageBreak/>
        <w:t>We found two</w:t>
      </w:r>
      <w:r w:rsidR="00A8084A" w:rsidRPr="005E703A">
        <w:t xml:space="preserve"> </w:t>
      </w:r>
      <w:r w:rsidR="00434E26" w:rsidRPr="005E703A">
        <w:t xml:space="preserve">significant results: the higher the </w:t>
      </w:r>
      <w:r w:rsidR="00A8084A">
        <w:t>formal</w:t>
      </w:r>
      <w:r w:rsidR="00434E26" w:rsidRPr="005E703A">
        <w:t xml:space="preserve"> education</w:t>
      </w:r>
      <w:r w:rsidR="00A8084A">
        <w:t xml:space="preserve"> level</w:t>
      </w:r>
      <w:r w:rsidR="00434E26" w:rsidRPr="005E703A">
        <w:t xml:space="preserve">, the </w:t>
      </w:r>
      <w:r w:rsidR="003574C0" w:rsidRPr="005E703A">
        <w:t xml:space="preserve">lower the PTS </w:t>
      </w:r>
      <w:r w:rsidR="00434E26" w:rsidRPr="005E703A">
        <w:t>(</w:t>
      </w:r>
      <w:r w:rsidR="00434E26" w:rsidRPr="005E703A">
        <w:rPr>
          <w:i/>
          <w:iCs/>
        </w:rPr>
        <w:t>r</w:t>
      </w:r>
      <w:r w:rsidR="00434E26" w:rsidRPr="005E703A">
        <w:t xml:space="preserve"> = </w:t>
      </w:r>
      <w:r w:rsidR="003574C0" w:rsidRPr="005E703A">
        <w:t>-</w:t>
      </w:r>
      <w:r w:rsidR="00434E26" w:rsidRPr="005E703A">
        <w:t xml:space="preserve">0.31, </w:t>
      </w:r>
      <w:r w:rsidR="00434E26" w:rsidRPr="005E703A">
        <w:rPr>
          <w:i/>
          <w:iCs/>
        </w:rPr>
        <w:t>p</w:t>
      </w:r>
      <w:r w:rsidR="00434E26" w:rsidRPr="005E703A">
        <w:t xml:space="preserve"> &lt; .001</w:t>
      </w:r>
      <w:r w:rsidR="00814A0B" w:rsidRPr="005E703A">
        <w:t xml:space="preserve">) </w:t>
      </w:r>
      <w:r w:rsidR="00103F6A" w:rsidRPr="005E703A">
        <w:t>and</w:t>
      </w:r>
      <w:r w:rsidR="00434E26" w:rsidRPr="005E703A">
        <w:t xml:space="preserve"> the </w:t>
      </w:r>
      <w:r w:rsidR="00C52D65">
        <w:t>better</w:t>
      </w:r>
      <w:r w:rsidR="00C52D65" w:rsidRPr="005E703A">
        <w:t xml:space="preserve"> </w:t>
      </w:r>
      <w:r w:rsidR="00434E26" w:rsidRPr="005E703A">
        <w:t xml:space="preserve">the </w:t>
      </w:r>
      <w:r w:rsidR="00C52D65">
        <w:t>financial situation</w:t>
      </w:r>
      <w:r w:rsidR="00434E26" w:rsidRPr="005E703A">
        <w:t xml:space="preserve">, the </w:t>
      </w:r>
      <w:r w:rsidR="003574C0" w:rsidRPr="005E703A">
        <w:t xml:space="preserve">lower </w:t>
      </w:r>
      <w:r w:rsidR="00434E26" w:rsidRPr="005E703A">
        <w:t xml:space="preserve">the </w:t>
      </w:r>
      <w:r w:rsidR="003574C0" w:rsidRPr="005E703A">
        <w:t xml:space="preserve">PTS </w:t>
      </w:r>
      <w:r w:rsidR="00434E26" w:rsidRPr="005E703A">
        <w:t>(</w:t>
      </w:r>
      <w:r w:rsidR="00434E26" w:rsidRPr="005E703A">
        <w:rPr>
          <w:i/>
          <w:iCs/>
        </w:rPr>
        <w:t>r</w:t>
      </w:r>
      <w:r w:rsidR="00434E26" w:rsidRPr="005E703A">
        <w:t xml:space="preserve"> = -0.27, </w:t>
      </w:r>
      <w:r w:rsidR="00434E26" w:rsidRPr="005E703A">
        <w:rPr>
          <w:i/>
          <w:iCs/>
        </w:rPr>
        <w:t>p</w:t>
      </w:r>
      <w:r w:rsidR="00434E26" w:rsidRPr="005E703A">
        <w:t xml:space="preserve"> &lt; .001).</w:t>
      </w:r>
      <w:r w:rsidR="006669A2" w:rsidRPr="005E703A">
        <w:t xml:space="preserve"> In addition,</w:t>
      </w:r>
      <w:r w:rsidR="00A8084A">
        <w:t xml:space="preserve"> we performed</w:t>
      </w:r>
      <w:r w:rsidR="006669A2" w:rsidRPr="005E703A">
        <w:t xml:space="preserve"> </w:t>
      </w:r>
      <w:r w:rsidR="00D42CC6" w:rsidRPr="005E703A">
        <w:rPr>
          <w:i/>
          <w:iCs/>
        </w:rPr>
        <w:t>t</w:t>
      </w:r>
      <w:r w:rsidR="005A4B2C" w:rsidRPr="005E703A">
        <w:t>-</w:t>
      </w:r>
      <w:r w:rsidR="006669A2" w:rsidRPr="005E703A">
        <w:t>test</w:t>
      </w:r>
      <w:r w:rsidR="003574C0" w:rsidRPr="005E703A">
        <w:t>s</w:t>
      </w:r>
      <w:r w:rsidR="006669A2" w:rsidRPr="005E703A">
        <w:t xml:space="preserve"> to examine differences in </w:t>
      </w:r>
      <w:r w:rsidR="003574C0" w:rsidRPr="005E703A">
        <w:t>PTS</w:t>
      </w:r>
      <w:r w:rsidR="00B14015" w:rsidRPr="005E703A">
        <w:t>,</w:t>
      </w:r>
      <w:r w:rsidR="006669A2" w:rsidRPr="005E703A">
        <w:t xml:space="preserve"> </w:t>
      </w:r>
      <w:r w:rsidR="003574C0" w:rsidRPr="005E703A">
        <w:t xml:space="preserve">by </w:t>
      </w:r>
      <w:r w:rsidR="006669A2" w:rsidRPr="005E703A">
        <w:t>gender and family status (married/not married</w:t>
      </w:r>
      <w:r w:rsidR="00A8084A" w:rsidRPr="005E703A">
        <w:t>)</w:t>
      </w:r>
      <w:r w:rsidR="001B5C40">
        <w:t>,</w:t>
      </w:r>
      <w:r w:rsidR="00A8084A">
        <w:t xml:space="preserve"> and detected</w:t>
      </w:r>
      <w:r w:rsidR="00A8084A" w:rsidRPr="005E703A">
        <w:t xml:space="preserve"> </w:t>
      </w:r>
      <w:r w:rsidR="00A8084A">
        <w:t>n</w:t>
      </w:r>
      <w:r w:rsidR="006669A2" w:rsidRPr="005E703A">
        <w:t>o significant differences.</w:t>
      </w:r>
    </w:p>
    <w:p w14:paraId="47D5F3A3" w14:textId="15ABFE70" w:rsidR="006669A2" w:rsidRPr="005E703A" w:rsidRDefault="006669A2">
      <w:r w:rsidRPr="005E703A">
        <w:t>In the first step</w:t>
      </w:r>
      <w:r w:rsidR="00EA41F4" w:rsidRPr="005E703A">
        <w:t xml:space="preserve"> of the regression, </w:t>
      </w:r>
      <w:r w:rsidR="000E1674" w:rsidRPr="005E703A">
        <w:t xml:space="preserve">education and </w:t>
      </w:r>
      <w:r w:rsidR="001B5C40">
        <w:t>financial situation</w:t>
      </w:r>
      <w:r w:rsidR="00EA41F4" w:rsidRPr="005E703A">
        <w:t xml:space="preserve"> </w:t>
      </w:r>
      <w:proofErr w:type="gramStart"/>
      <w:r w:rsidR="00D42CC6" w:rsidRPr="005E703A">
        <w:t>were entered</w:t>
      </w:r>
      <w:proofErr w:type="gramEnd"/>
      <w:r w:rsidR="00EA41F4" w:rsidRPr="005E703A">
        <w:t xml:space="preserve">. In the second step, ASD </w:t>
      </w:r>
      <w:proofErr w:type="gramStart"/>
      <w:r w:rsidR="00EA41F4" w:rsidRPr="005E703A">
        <w:t>was entered</w:t>
      </w:r>
      <w:proofErr w:type="gramEnd"/>
      <w:r w:rsidR="00EA41F4" w:rsidRPr="005E703A">
        <w:t xml:space="preserve">. In the third step, two variables related to previous experience </w:t>
      </w:r>
      <w:r w:rsidR="00814A0B">
        <w:t>of</w:t>
      </w:r>
      <w:r w:rsidR="00814A0B" w:rsidRPr="005E703A">
        <w:t xml:space="preserve"> </w:t>
      </w:r>
      <w:r w:rsidR="008C5FB3" w:rsidRPr="005E703A">
        <w:t>stressful</w:t>
      </w:r>
      <w:r w:rsidR="00EA41F4" w:rsidRPr="005E703A">
        <w:t xml:space="preserve"> events </w:t>
      </w:r>
      <w:proofErr w:type="gramStart"/>
      <w:r w:rsidR="00EA41F4" w:rsidRPr="005E703A">
        <w:t>were entered</w:t>
      </w:r>
      <w:proofErr w:type="gramEnd"/>
      <w:r w:rsidR="00EA41F4" w:rsidRPr="005E703A">
        <w:t xml:space="preserve">. </w:t>
      </w:r>
      <w:r w:rsidR="005513E7" w:rsidRPr="005E703A">
        <w:t xml:space="preserve">The first three steps </w:t>
      </w:r>
      <w:proofErr w:type="gramStart"/>
      <w:r w:rsidR="005513E7" w:rsidRPr="005E703A">
        <w:t>were defined</w:t>
      </w:r>
      <w:proofErr w:type="gramEnd"/>
      <w:r w:rsidR="005513E7" w:rsidRPr="005E703A">
        <w:t xml:space="preserve"> in a hierarchic</w:t>
      </w:r>
      <w:r w:rsidR="00D42CC6" w:rsidRPr="005E703A">
        <w:t>al</w:t>
      </w:r>
      <w:r w:rsidR="005513E7" w:rsidRPr="005E703A">
        <w:t xml:space="preserve"> manner. In the fourth step</w:t>
      </w:r>
      <w:r w:rsidR="0078018A" w:rsidRPr="005E703A">
        <w:t xml:space="preserve">, the interactions between ASD and previous experience </w:t>
      </w:r>
      <w:r w:rsidR="00814A0B">
        <w:t>of</w:t>
      </w:r>
      <w:r w:rsidR="00814A0B" w:rsidRPr="005E703A">
        <w:t xml:space="preserve"> </w:t>
      </w:r>
      <w:r w:rsidR="008C5FB3" w:rsidRPr="005E703A">
        <w:t>stressful</w:t>
      </w:r>
      <w:r w:rsidR="0078018A" w:rsidRPr="005E703A">
        <w:t xml:space="preserve"> events </w:t>
      </w:r>
      <w:proofErr w:type="gramStart"/>
      <w:r w:rsidR="0078018A" w:rsidRPr="005E703A">
        <w:t>were entered</w:t>
      </w:r>
      <w:proofErr w:type="gramEnd"/>
      <w:r w:rsidR="0078018A" w:rsidRPr="005E703A">
        <w:t xml:space="preserve"> in a stepwise manner. T</w:t>
      </w:r>
      <w:r w:rsidR="004D1F1D" w:rsidRPr="005E703A">
        <w:t xml:space="preserve">he results of the regression </w:t>
      </w:r>
      <w:proofErr w:type="gramStart"/>
      <w:r w:rsidR="004D1F1D" w:rsidRPr="005E703A">
        <w:t>are presented</w:t>
      </w:r>
      <w:proofErr w:type="gramEnd"/>
      <w:r w:rsidR="004D1F1D" w:rsidRPr="005E703A">
        <w:t xml:space="preserve"> in T</w:t>
      </w:r>
      <w:r w:rsidR="0078018A" w:rsidRPr="005E703A">
        <w:t>able 1.</w:t>
      </w:r>
    </w:p>
    <w:p w14:paraId="26CEB48C" w14:textId="2696D396" w:rsidR="00F56B15" w:rsidRPr="005E703A" w:rsidRDefault="0078018A" w:rsidP="00200EAF">
      <w:pPr>
        <w:rPr>
          <w:strike/>
          <w:rtl/>
        </w:rPr>
      </w:pPr>
      <w:r w:rsidRPr="005E703A">
        <w:t xml:space="preserve">Table </w:t>
      </w:r>
      <w:proofErr w:type="gramStart"/>
      <w:r w:rsidRPr="005E703A">
        <w:t>1</w:t>
      </w:r>
      <w:proofErr w:type="gramEnd"/>
      <w:r w:rsidRPr="005E703A">
        <w:t xml:space="preserve"> shows that the regression model for PTS </w:t>
      </w:r>
      <w:r w:rsidR="004D1F1D" w:rsidRPr="005E703A">
        <w:t xml:space="preserve">was </w:t>
      </w:r>
      <w:r w:rsidRPr="005E703A">
        <w:t xml:space="preserve">significant, </w:t>
      </w:r>
      <w:r w:rsidR="00A076C9" w:rsidRPr="005E703A">
        <w:t xml:space="preserve">with </w:t>
      </w:r>
      <w:r w:rsidRPr="005E703A">
        <w:t xml:space="preserve">29% of </w:t>
      </w:r>
      <w:r w:rsidR="00A076C9" w:rsidRPr="005E703A">
        <w:t xml:space="preserve">explained </w:t>
      </w:r>
      <w:r w:rsidRPr="005E703A">
        <w:t>variance. The regression findings (Step 4) show that</w:t>
      </w:r>
      <w:r w:rsidR="004D1F1D" w:rsidRPr="005E703A">
        <w:t xml:space="preserve"> </w:t>
      </w:r>
      <w:r w:rsidR="001536AF">
        <w:t>fewer years</w:t>
      </w:r>
      <w:r w:rsidRPr="005E703A">
        <w:t xml:space="preserve"> o</w:t>
      </w:r>
      <w:r w:rsidR="00103F6A" w:rsidRPr="005E703A">
        <w:t>f</w:t>
      </w:r>
      <w:r w:rsidRPr="005E703A">
        <w:t xml:space="preserve"> </w:t>
      </w:r>
      <w:r w:rsidR="001536AF">
        <w:t xml:space="preserve">formal </w:t>
      </w:r>
      <w:r w:rsidRPr="005E703A">
        <w:t xml:space="preserve">education, </w:t>
      </w:r>
      <w:r w:rsidR="00E04CDE">
        <w:t>a poorer financial situation</w:t>
      </w:r>
      <w:r w:rsidRPr="005E703A">
        <w:t xml:space="preserve">, </w:t>
      </w:r>
      <w:r w:rsidR="001536AF">
        <w:t>more severe</w:t>
      </w:r>
      <w:r w:rsidR="001536AF" w:rsidRPr="005E703A">
        <w:t xml:space="preserve"> </w:t>
      </w:r>
      <w:r w:rsidRPr="005E703A">
        <w:t xml:space="preserve">ASD, and fewer past experiences of </w:t>
      </w:r>
      <w:r w:rsidR="00F933EB" w:rsidRPr="005E703A">
        <w:t>stress</w:t>
      </w:r>
      <w:r w:rsidR="00A017AC" w:rsidRPr="005E703A">
        <w:t xml:space="preserve">ful </w:t>
      </w:r>
      <w:r w:rsidRPr="005E703A">
        <w:t>events before T1</w:t>
      </w:r>
      <w:r w:rsidR="00A076C9" w:rsidRPr="005E703A">
        <w:t xml:space="preserve"> were related </w:t>
      </w:r>
      <w:r w:rsidR="001536AF">
        <w:t>to</w:t>
      </w:r>
      <w:r w:rsidR="001536AF" w:rsidRPr="005E703A">
        <w:t xml:space="preserve"> </w:t>
      </w:r>
      <w:r w:rsidR="001536AF">
        <w:t>more severe</w:t>
      </w:r>
      <w:r w:rsidR="001536AF" w:rsidRPr="005E703A">
        <w:t xml:space="preserve"> </w:t>
      </w:r>
      <w:r w:rsidR="00A076C9" w:rsidRPr="005E703A">
        <w:t>PTS</w:t>
      </w:r>
      <w:r w:rsidR="00B14015" w:rsidRPr="005E703A">
        <w:t xml:space="preserve">. </w:t>
      </w:r>
      <w:r w:rsidR="005A4B2C" w:rsidRPr="005E703A">
        <w:t xml:space="preserve">In addition, the higher the number of </w:t>
      </w:r>
      <w:r w:rsidR="008C5FB3" w:rsidRPr="005E703A">
        <w:t>stressful</w:t>
      </w:r>
      <w:r w:rsidR="005A4B2C" w:rsidRPr="005E703A">
        <w:t xml:space="preserve"> events experienced by the individual since T1, the higher was the level of </w:t>
      </w:r>
      <w:r w:rsidR="00B66BA5" w:rsidRPr="005E703A">
        <w:t>PTS</w:t>
      </w:r>
      <w:r w:rsidRPr="005E703A">
        <w:t xml:space="preserve">. The </w:t>
      </w:r>
      <w:r w:rsidR="00A017AC" w:rsidRPr="005E703A">
        <w:t xml:space="preserve">linear </w:t>
      </w:r>
      <w:r w:rsidRPr="005E703A">
        <w:t xml:space="preserve">interaction between ASD and </w:t>
      </w:r>
      <w:r w:rsidR="00F933EB" w:rsidRPr="005E703A">
        <w:t>stress</w:t>
      </w:r>
      <w:r w:rsidR="00A017AC" w:rsidRPr="005E703A">
        <w:t>ful</w:t>
      </w:r>
      <w:r w:rsidRPr="005E703A">
        <w:t xml:space="preserve"> events experienced since T1 </w:t>
      </w:r>
      <w:r w:rsidR="00B14015" w:rsidRPr="005E703A">
        <w:t xml:space="preserve">was </w:t>
      </w:r>
      <w:r w:rsidRPr="005E703A">
        <w:t>significant</w:t>
      </w:r>
      <w:r w:rsidR="00A076C9" w:rsidRPr="005E703A">
        <w:t xml:space="preserve"> and </w:t>
      </w:r>
      <w:proofErr w:type="gramStart"/>
      <w:r w:rsidR="00A076C9" w:rsidRPr="005E703A">
        <w:t xml:space="preserve">is </w:t>
      </w:r>
      <w:r w:rsidRPr="005E703A">
        <w:t>presented</w:t>
      </w:r>
      <w:proofErr w:type="gramEnd"/>
      <w:r w:rsidRPr="005E703A">
        <w:t xml:space="preserve"> in Figure </w:t>
      </w:r>
      <w:r w:rsidR="00A017AC" w:rsidRPr="005E703A">
        <w:t>1</w:t>
      </w:r>
      <w:r w:rsidR="00200261">
        <w:t>.</w:t>
      </w:r>
      <w:r w:rsidRPr="005E703A">
        <w:t xml:space="preserve"> (</w:t>
      </w:r>
      <w:r w:rsidR="00200261">
        <w:t>N</w:t>
      </w:r>
      <w:r w:rsidRPr="005E703A">
        <w:t xml:space="preserve">ote that the regression illustrates the linear contribution of </w:t>
      </w:r>
      <w:r w:rsidR="00F933EB" w:rsidRPr="005E703A">
        <w:t>stress</w:t>
      </w:r>
      <w:r w:rsidR="00A017AC" w:rsidRPr="005E703A">
        <w:t>ful</w:t>
      </w:r>
      <w:r w:rsidRPr="005E703A">
        <w:t xml:space="preserve"> events</w:t>
      </w:r>
      <w:r w:rsidR="004D1F1D" w:rsidRPr="005E703A">
        <w:t xml:space="preserve">; </w:t>
      </w:r>
      <w:r w:rsidR="00103F6A" w:rsidRPr="005E703A">
        <w:t>e</w:t>
      </w:r>
      <w:r w:rsidRPr="005E703A">
        <w:t xml:space="preserve">xamination of the curvilinear contribution of this variable yielded </w:t>
      </w:r>
      <w:proofErr w:type="spellStart"/>
      <w:r w:rsidR="00A017AC" w:rsidRPr="005E703A">
        <w:t>nonsignificant</w:t>
      </w:r>
      <w:proofErr w:type="spellEnd"/>
      <w:r w:rsidR="004D1F1D" w:rsidRPr="005E703A">
        <w:t xml:space="preserve"> </w:t>
      </w:r>
      <w:r w:rsidRPr="005E703A">
        <w:t>findings</w:t>
      </w:r>
      <w:r w:rsidR="00200261">
        <w:t>.</w:t>
      </w:r>
      <w:r w:rsidRPr="005E703A">
        <w:t xml:space="preserve">) </w:t>
      </w:r>
    </w:p>
    <w:p w14:paraId="0F14137C" w14:textId="024C1A7F" w:rsidR="0084229C" w:rsidRPr="005E703A" w:rsidRDefault="00C739E1">
      <w:r w:rsidRPr="005E703A">
        <w:t xml:space="preserve">Figure </w:t>
      </w:r>
      <w:r w:rsidR="00A017AC" w:rsidRPr="005E703A">
        <w:t>1</w:t>
      </w:r>
      <w:r w:rsidR="00B14015" w:rsidRPr="005E703A">
        <w:t xml:space="preserve"> </w:t>
      </w:r>
      <w:r w:rsidR="0026728E" w:rsidRPr="005E703A">
        <w:t xml:space="preserve">illustrates </w:t>
      </w:r>
      <w:r w:rsidRPr="005E703A">
        <w:t xml:space="preserve">the </w:t>
      </w:r>
      <w:r w:rsidR="004D1F1D" w:rsidRPr="005E703A">
        <w:t xml:space="preserve">moderating </w:t>
      </w:r>
      <w:r w:rsidRPr="005E703A">
        <w:t xml:space="preserve">effect of </w:t>
      </w:r>
      <w:r w:rsidR="008C5FB3" w:rsidRPr="005E703A">
        <w:t>stressful</w:t>
      </w:r>
      <w:r w:rsidRPr="005E703A">
        <w:t xml:space="preserve"> events</w:t>
      </w:r>
      <w:r w:rsidR="00CD33AC" w:rsidRPr="005E703A">
        <w:t xml:space="preserve"> that occurred</w:t>
      </w:r>
      <w:r w:rsidRPr="005E703A">
        <w:t xml:space="preserve"> </w:t>
      </w:r>
      <w:r w:rsidR="00F76838" w:rsidRPr="005E703A">
        <w:t>after</w:t>
      </w:r>
      <w:r w:rsidR="004D1F1D" w:rsidRPr="005E703A">
        <w:t xml:space="preserve"> </w:t>
      </w:r>
      <w:r w:rsidRPr="005E703A">
        <w:t>T1 on the relationship between ASD and PTS</w:t>
      </w:r>
      <w:r w:rsidR="004D1F1D" w:rsidRPr="005E703A">
        <w:t>. It</w:t>
      </w:r>
      <w:r w:rsidR="00B14015" w:rsidRPr="005E703A">
        <w:t xml:space="preserve"> clearly </w:t>
      </w:r>
      <w:r w:rsidR="004D1F1D" w:rsidRPr="005E703A">
        <w:t xml:space="preserve">indicates </w:t>
      </w:r>
      <w:r w:rsidRPr="005E703A">
        <w:t xml:space="preserve">that </w:t>
      </w:r>
      <w:r w:rsidR="00F933EB" w:rsidRPr="005E703A">
        <w:t>stress</w:t>
      </w:r>
      <w:r w:rsidR="00A017AC" w:rsidRPr="005E703A">
        <w:t>ful</w:t>
      </w:r>
      <w:r w:rsidRPr="005E703A">
        <w:t xml:space="preserve"> events</w:t>
      </w:r>
      <w:r w:rsidR="00F76838" w:rsidRPr="005E703A">
        <w:t xml:space="preserve"> that had occurred</w:t>
      </w:r>
      <w:r w:rsidRPr="005E703A">
        <w:t xml:space="preserve"> </w:t>
      </w:r>
      <w:r w:rsidR="00FB58C1" w:rsidRPr="005E703A">
        <w:t xml:space="preserve">since </w:t>
      </w:r>
      <w:r w:rsidRPr="005E703A">
        <w:t xml:space="preserve">T1 </w:t>
      </w:r>
      <w:r w:rsidR="00FB58C1" w:rsidRPr="005E703A">
        <w:t xml:space="preserve">moderated </w:t>
      </w:r>
      <w:r w:rsidRPr="005E703A">
        <w:t xml:space="preserve">the relationship between ASD and PTS. For a low level of </w:t>
      </w:r>
      <w:proofErr w:type="gramStart"/>
      <w:r w:rsidRPr="005E703A">
        <w:t>past experience</w:t>
      </w:r>
      <w:proofErr w:type="gramEnd"/>
      <w:r w:rsidRPr="005E703A">
        <w:t xml:space="preserve"> </w:t>
      </w:r>
      <w:r w:rsidR="0026728E" w:rsidRPr="005E703A">
        <w:t xml:space="preserve">of </w:t>
      </w:r>
      <w:r w:rsidR="00F933EB" w:rsidRPr="005E703A">
        <w:t>stress</w:t>
      </w:r>
      <w:r w:rsidR="00A017AC" w:rsidRPr="005E703A">
        <w:t>ful</w:t>
      </w:r>
      <w:r w:rsidRPr="005E703A">
        <w:t xml:space="preserve"> life events, a slope of </w:t>
      </w:r>
      <w:r w:rsidRPr="005E703A">
        <w:rPr>
          <w:i/>
          <w:iCs/>
        </w:rPr>
        <w:t>B</w:t>
      </w:r>
      <w:r w:rsidR="00FB58C1" w:rsidRPr="005E703A">
        <w:t xml:space="preserve"> </w:t>
      </w:r>
      <w:r w:rsidRPr="005E703A">
        <w:t>=</w:t>
      </w:r>
      <w:r w:rsidR="00FB58C1" w:rsidRPr="005E703A">
        <w:t xml:space="preserve"> </w:t>
      </w:r>
      <w:r w:rsidRPr="005E703A">
        <w:t xml:space="preserve">4.99, </w:t>
      </w:r>
      <w:r w:rsidRPr="005E703A">
        <w:rPr>
          <w:i/>
          <w:iCs/>
        </w:rPr>
        <w:t>t</w:t>
      </w:r>
      <w:r w:rsidR="00FB58C1" w:rsidRPr="005E703A">
        <w:t xml:space="preserve"> </w:t>
      </w:r>
      <w:r w:rsidRPr="005E703A">
        <w:t>=</w:t>
      </w:r>
      <w:r w:rsidR="00FB58C1" w:rsidRPr="005E703A">
        <w:t xml:space="preserve"> </w:t>
      </w:r>
      <w:r w:rsidRPr="005E703A">
        <w:t xml:space="preserve">6.68, </w:t>
      </w:r>
      <w:r w:rsidRPr="005E703A">
        <w:rPr>
          <w:i/>
          <w:iCs/>
        </w:rPr>
        <w:t>p</w:t>
      </w:r>
      <w:r w:rsidR="00FB58C1" w:rsidRPr="005E703A">
        <w:t xml:space="preserve"> </w:t>
      </w:r>
      <w:r w:rsidRPr="005E703A">
        <w:t>&lt;</w:t>
      </w:r>
      <w:r w:rsidR="00FB58C1" w:rsidRPr="005E703A">
        <w:t xml:space="preserve"> </w:t>
      </w:r>
      <w:r w:rsidRPr="005E703A">
        <w:t xml:space="preserve">.001 was found; for a high level of past experience </w:t>
      </w:r>
      <w:r w:rsidR="0026728E" w:rsidRPr="005E703A">
        <w:t xml:space="preserve">of </w:t>
      </w:r>
      <w:r w:rsidR="00F933EB" w:rsidRPr="005E703A">
        <w:t>stress</w:t>
      </w:r>
      <w:r w:rsidR="00A017AC" w:rsidRPr="005E703A">
        <w:t>ful</w:t>
      </w:r>
      <w:r w:rsidRPr="005E703A">
        <w:t xml:space="preserve"> life events, a slope of </w:t>
      </w:r>
      <w:r w:rsidRPr="005E703A">
        <w:rPr>
          <w:i/>
          <w:iCs/>
        </w:rPr>
        <w:t>B</w:t>
      </w:r>
      <w:r w:rsidR="00FB58C1" w:rsidRPr="005E703A">
        <w:t xml:space="preserve"> </w:t>
      </w:r>
      <w:r w:rsidRPr="005E703A">
        <w:lastRenderedPageBreak/>
        <w:t>=</w:t>
      </w:r>
      <w:r w:rsidR="00FB58C1" w:rsidRPr="005E703A">
        <w:t xml:space="preserve"> </w:t>
      </w:r>
      <w:r w:rsidRPr="005E703A">
        <w:t xml:space="preserve">2.03, </w:t>
      </w:r>
      <w:r w:rsidRPr="005E703A">
        <w:rPr>
          <w:i/>
          <w:iCs/>
        </w:rPr>
        <w:t>t</w:t>
      </w:r>
      <w:r w:rsidR="00FB58C1" w:rsidRPr="005E703A">
        <w:t xml:space="preserve"> </w:t>
      </w:r>
      <w:r w:rsidRPr="005E703A">
        <w:t>=</w:t>
      </w:r>
      <w:r w:rsidR="00FB58C1" w:rsidRPr="005E703A">
        <w:t xml:space="preserve"> </w:t>
      </w:r>
      <w:r w:rsidRPr="005E703A">
        <w:t xml:space="preserve">2.46, </w:t>
      </w:r>
      <w:r w:rsidRPr="005E703A">
        <w:rPr>
          <w:i/>
          <w:iCs/>
        </w:rPr>
        <w:t>p</w:t>
      </w:r>
      <w:r w:rsidR="00FB58C1" w:rsidRPr="005E703A">
        <w:t xml:space="preserve"> </w:t>
      </w:r>
      <w:r w:rsidRPr="005E703A">
        <w:t>=</w:t>
      </w:r>
      <w:r w:rsidR="00FB58C1" w:rsidRPr="005E703A">
        <w:t xml:space="preserve"> </w:t>
      </w:r>
      <w:r w:rsidRPr="005E703A">
        <w:t xml:space="preserve">.014 was found. Accordingly, </w:t>
      </w:r>
      <w:r w:rsidR="0026728E" w:rsidRPr="005E703A">
        <w:t xml:space="preserve">the relationship between ASD and PTS </w:t>
      </w:r>
      <w:proofErr w:type="gramStart"/>
      <w:r w:rsidR="0026728E" w:rsidRPr="005E703A">
        <w:t>was found</w:t>
      </w:r>
      <w:proofErr w:type="gramEnd"/>
      <w:r w:rsidR="0026728E" w:rsidRPr="005E703A">
        <w:t xml:space="preserve"> to be stronger </w:t>
      </w:r>
      <w:r w:rsidR="00E552BF" w:rsidRPr="005E703A">
        <w:t>among</w:t>
      </w:r>
      <w:r w:rsidR="0026728E" w:rsidRPr="005E703A">
        <w:t xml:space="preserve"> those with</w:t>
      </w:r>
      <w:r w:rsidR="00103F6A" w:rsidRPr="005E703A">
        <w:t xml:space="preserve"> </w:t>
      </w:r>
      <w:r w:rsidR="001105ED">
        <w:t>a low level of</w:t>
      </w:r>
      <w:r w:rsidR="001105ED" w:rsidRPr="005E703A">
        <w:t xml:space="preserve"> </w:t>
      </w:r>
      <w:r w:rsidR="0026728E" w:rsidRPr="005E703A">
        <w:t>experience</w:t>
      </w:r>
      <w:r w:rsidRPr="005E703A">
        <w:t xml:space="preserve"> of </w:t>
      </w:r>
      <w:r w:rsidR="00F933EB" w:rsidRPr="005E703A">
        <w:t>stress</w:t>
      </w:r>
      <w:r w:rsidR="00A017AC" w:rsidRPr="005E703A">
        <w:t>ful</w:t>
      </w:r>
      <w:r w:rsidR="00103F6A" w:rsidRPr="005E703A">
        <w:t xml:space="preserve"> </w:t>
      </w:r>
      <w:r w:rsidRPr="005E703A">
        <w:t xml:space="preserve">life events compared </w:t>
      </w:r>
      <w:r w:rsidR="0026728E" w:rsidRPr="005E703A">
        <w:t xml:space="preserve">with </w:t>
      </w:r>
      <w:r w:rsidRPr="005E703A">
        <w:t xml:space="preserve">a high level of </w:t>
      </w:r>
      <w:r w:rsidR="00F933EB" w:rsidRPr="005E703A">
        <w:t>stress</w:t>
      </w:r>
      <w:r w:rsidR="00A017AC" w:rsidRPr="005E703A">
        <w:t>ful</w:t>
      </w:r>
      <w:r w:rsidR="00103F6A" w:rsidRPr="005E703A">
        <w:t xml:space="preserve"> </w:t>
      </w:r>
      <w:r w:rsidRPr="005E703A">
        <w:t>life events.</w:t>
      </w:r>
    </w:p>
    <w:p w14:paraId="6BA5175B" w14:textId="7BA20165" w:rsidR="00A017AC" w:rsidRPr="005E703A" w:rsidRDefault="00C739E1">
      <w:r w:rsidRPr="005E703A">
        <w:t xml:space="preserve">In conclusion, </w:t>
      </w:r>
      <w:r w:rsidR="00200261">
        <w:t xml:space="preserve">we found </w:t>
      </w:r>
      <w:r w:rsidRPr="005E703A">
        <w:t xml:space="preserve">a positive and significant relationship between ASD and PTS. </w:t>
      </w:r>
      <w:r w:rsidR="00F76838" w:rsidRPr="005E703A">
        <w:t>I</w:t>
      </w:r>
      <w:r w:rsidRPr="005E703A">
        <w:t xml:space="preserve">ndividuals who </w:t>
      </w:r>
      <w:r w:rsidR="00301B0B" w:rsidRPr="005E703A">
        <w:t xml:space="preserve">had </w:t>
      </w:r>
      <w:r w:rsidRPr="005E703A">
        <w:t xml:space="preserve">experienced a low level of </w:t>
      </w:r>
      <w:r w:rsidR="00F933EB" w:rsidRPr="005E703A">
        <w:t>stress</w:t>
      </w:r>
      <w:r w:rsidR="00A017AC" w:rsidRPr="005E703A">
        <w:t>ful</w:t>
      </w:r>
      <w:r w:rsidRPr="005E703A">
        <w:t xml:space="preserve"> life events </w:t>
      </w:r>
      <w:r w:rsidRPr="005E703A">
        <w:rPr>
          <w:i/>
          <w:iCs/>
        </w:rPr>
        <w:t>befo</w:t>
      </w:r>
      <w:r w:rsidR="00103F6A" w:rsidRPr="005E703A">
        <w:rPr>
          <w:i/>
          <w:iCs/>
        </w:rPr>
        <w:t>re</w:t>
      </w:r>
      <w:r w:rsidRPr="005E703A">
        <w:t xml:space="preserve"> T1 </w:t>
      </w:r>
      <w:r w:rsidR="00A017AC" w:rsidRPr="005E703A">
        <w:t>had higher PTS levels. I</w:t>
      </w:r>
      <w:r w:rsidRPr="005E703A">
        <w:t>n contrast</w:t>
      </w:r>
      <w:r w:rsidR="00103F6A" w:rsidRPr="005E703A">
        <w:t>,</w:t>
      </w:r>
      <w:r w:rsidRPr="005E703A">
        <w:t xml:space="preserve"> </w:t>
      </w:r>
      <w:r w:rsidR="00A017AC" w:rsidRPr="005E703A">
        <w:t xml:space="preserve">a higher level of stressful life events </w:t>
      </w:r>
      <w:r w:rsidRPr="005E703A">
        <w:rPr>
          <w:i/>
          <w:iCs/>
        </w:rPr>
        <w:t>since</w:t>
      </w:r>
      <w:r w:rsidRPr="005E703A">
        <w:t xml:space="preserve"> T1</w:t>
      </w:r>
      <w:r w:rsidR="00A017AC" w:rsidRPr="005E703A">
        <w:t xml:space="preserve"> </w:t>
      </w:r>
      <w:proofErr w:type="gramStart"/>
      <w:r w:rsidR="00A017AC" w:rsidRPr="005E703A">
        <w:t>was related</w:t>
      </w:r>
      <w:proofErr w:type="gramEnd"/>
      <w:r w:rsidR="00A017AC" w:rsidRPr="005E703A">
        <w:t xml:space="preserve"> </w:t>
      </w:r>
      <w:r w:rsidR="005D28D9">
        <w:t>to</w:t>
      </w:r>
      <w:r w:rsidR="005D28D9" w:rsidRPr="005E703A">
        <w:t xml:space="preserve"> </w:t>
      </w:r>
      <w:r w:rsidRPr="005E703A">
        <w:t xml:space="preserve">higher PTS. </w:t>
      </w:r>
      <w:r w:rsidR="008C5FB3" w:rsidRPr="005E703A">
        <w:t>T</w:t>
      </w:r>
      <w:r w:rsidR="00A017AC" w:rsidRPr="005E703A">
        <w:t>he relationship between ASD and PTS was stronger for individuals with less experience of stressful life events between T1 and T2.</w:t>
      </w:r>
    </w:p>
    <w:p w14:paraId="08018DA8" w14:textId="77777777" w:rsidR="006E7C07" w:rsidRPr="005E703A" w:rsidRDefault="006E7C07">
      <w:pPr>
        <w:pStyle w:val="Heading1"/>
      </w:pPr>
      <w:r w:rsidRPr="005E703A">
        <w:t>Discussion</w:t>
      </w:r>
    </w:p>
    <w:p w14:paraId="3EA41250" w14:textId="4BE2DF7E" w:rsidR="000B64B4" w:rsidRPr="005E703A" w:rsidRDefault="000B64B4" w:rsidP="00927428">
      <w:r w:rsidRPr="005E703A">
        <w:t xml:space="preserve">The main </w:t>
      </w:r>
      <w:r w:rsidR="005C0EBC">
        <w:t>aim</w:t>
      </w:r>
      <w:r w:rsidR="005C0EBC" w:rsidRPr="005E703A">
        <w:t xml:space="preserve"> </w:t>
      </w:r>
      <w:r w:rsidR="004716CA" w:rsidRPr="005E703A">
        <w:t xml:space="preserve">of the present </w:t>
      </w:r>
      <w:r w:rsidR="005C0EBC">
        <w:t>study</w:t>
      </w:r>
      <w:r w:rsidR="005C0EBC" w:rsidRPr="005E703A">
        <w:t xml:space="preserve"> </w:t>
      </w:r>
      <w:r w:rsidRPr="005E703A">
        <w:t xml:space="preserve">was to examine whether prior experience of </w:t>
      </w:r>
      <w:r w:rsidR="008C5FB3" w:rsidRPr="005E703A">
        <w:t>stressful</w:t>
      </w:r>
      <w:r w:rsidRPr="005E703A">
        <w:t xml:space="preserve"> events </w:t>
      </w:r>
      <w:r w:rsidR="004716CA" w:rsidRPr="005E703A">
        <w:t xml:space="preserve">moderates </w:t>
      </w:r>
      <w:r w:rsidRPr="005E703A">
        <w:t>the relationship between ASD and PTS</w:t>
      </w:r>
      <w:r w:rsidR="007574F9" w:rsidRPr="005E703A">
        <w:t xml:space="preserve">, and </w:t>
      </w:r>
      <w:r w:rsidR="007574F9" w:rsidRPr="001105ED">
        <w:t xml:space="preserve">whether </w:t>
      </w:r>
      <w:r w:rsidR="007574F9" w:rsidRPr="0049701F">
        <w:t xml:space="preserve">low or high levels of prior experience of </w:t>
      </w:r>
      <w:r w:rsidR="008C5FB3" w:rsidRPr="001105ED">
        <w:t>stressful</w:t>
      </w:r>
      <w:r w:rsidR="007574F9" w:rsidRPr="001105ED">
        <w:t xml:space="preserve"> events</w:t>
      </w:r>
      <w:r w:rsidRPr="001105ED">
        <w:t xml:space="preserve"> strengthen</w:t>
      </w:r>
      <w:r w:rsidR="008841F4" w:rsidRPr="001105ED">
        <w:t>s or weakens</w:t>
      </w:r>
      <w:r w:rsidRPr="001105ED">
        <w:t xml:space="preserve"> th</w:t>
      </w:r>
      <w:r w:rsidRPr="005E703A">
        <w:t>e relationship between ASD and PTS</w:t>
      </w:r>
      <w:r w:rsidR="008841F4" w:rsidRPr="005E703A">
        <w:t xml:space="preserve">. In addition, </w:t>
      </w:r>
      <w:r w:rsidR="00BC1133">
        <w:t xml:space="preserve">we examined </w:t>
      </w:r>
      <w:r w:rsidR="008841F4" w:rsidRPr="005E703A">
        <w:t xml:space="preserve">the curvilinear effect of previous experience. </w:t>
      </w:r>
      <w:r w:rsidR="00BC1133">
        <w:t>We</w:t>
      </w:r>
      <w:r w:rsidR="006D28DF" w:rsidRPr="005E703A">
        <w:t xml:space="preserve"> also </w:t>
      </w:r>
      <w:r w:rsidR="00BC1133">
        <w:t>attempted</w:t>
      </w:r>
      <w:r w:rsidR="00BC1133" w:rsidRPr="005E703A">
        <w:t xml:space="preserve"> </w:t>
      </w:r>
      <w:r w:rsidR="006D28DF" w:rsidRPr="005E703A">
        <w:t>to</w:t>
      </w:r>
      <w:r w:rsidR="008841F4" w:rsidRPr="005E703A">
        <w:t xml:space="preserve"> </w:t>
      </w:r>
      <w:r w:rsidR="006D28DF" w:rsidRPr="005E703A">
        <w:t>compare the effect of</w:t>
      </w:r>
      <w:r w:rsidR="008841F4" w:rsidRPr="005E703A">
        <w:t xml:space="preserve"> </w:t>
      </w:r>
      <w:r w:rsidR="006D28DF" w:rsidRPr="005E703A">
        <w:t>previous</w:t>
      </w:r>
      <w:r w:rsidR="008841F4" w:rsidRPr="005E703A">
        <w:t xml:space="preserve"> </w:t>
      </w:r>
      <w:r w:rsidR="00F933EB" w:rsidRPr="005E703A">
        <w:t>stress</w:t>
      </w:r>
      <w:r w:rsidR="008C5FB3" w:rsidRPr="005E703A">
        <w:t>ful</w:t>
      </w:r>
      <w:r w:rsidR="008841F4" w:rsidRPr="005E703A">
        <w:t xml:space="preserve"> events that occurred at two time points: </w:t>
      </w:r>
      <w:r w:rsidR="005C0EBC">
        <w:t>the first</w:t>
      </w:r>
      <w:r w:rsidR="008841F4" w:rsidRPr="005E703A">
        <w:t xml:space="preserve"> during the years before</w:t>
      </w:r>
      <w:r w:rsidR="00B14015" w:rsidRPr="005E703A">
        <w:rPr>
          <w:i/>
          <w:iCs/>
        </w:rPr>
        <w:t xml:space="preserve"> </w:t>
      </w:r>
      <w:r w:rsidR="008841F4" w:rsidRPr="005E703A">
        <w:t>the war (</w:t>
      </w:r>
      <w:r w:rsidR="006D28DF" w:rsidRPr="005E703A">
        <w:t xml:space="preserve">prior to </w:t>
      </w:r>
      <w:r w:rsidR="008841F4" w:rsidRPr="005E703A">
        <w:t xml:space="preserve">T1) and the second </w:t>
      </w:r>
      <w:r w:rsidR="00103F6A" w:rsidRPr="005E703A">
        <w:t xml:space="preserve">during the </w:t>
      </w:r>
      <w:r w:rsidR="00F34DFA">
        <w:t>6</w:t>
      </w:r>
      <w:r w:rsidR="00F34DFA" w:rsidRPr="005E703A">
        <w:t xml:space="preserve"> </w:t>
      </w:r>
      <w:r w:rsidR="008841F4" w:rsidRPr="005E703A">
        <w:t xml:space="preserve">years </w:t>
      </w:r>
      <w:r w:rsidR="006D28DF" w:rsidRPr="005E703A">
        <w:t xml:space="preserve">between </w:t>
      </w:r>
      <w:r w:rsidR="008841F4" w:rsidRPr="005E703A">
        <w:t xml:space="preserve">the </w:t>
      </w:r>
      <w:r w:rsidR="00BC3AEB" w:rsidRPr="005E703A">
        <w:t xml:space="preserve">war </w:t>
      </w:r>
      <w:r w:rsidR="006D28DF" w:rsidRPr="005E703A">
        <w:t>and</w:t>
      </w:r>
      <w:r w:rsidR="008841F4" w:rsidRPr="005E703A">
        <w:t xml:space="preserve"> the PTS diagnosis (between T1 and T2).</w:t>
      </w:r>
    </w:p>
    <w:p w14:paraId="375F6E51" w14:textId="133DC86D" w:rsidR="00F87204" w:rsidRPr="005E703A" w:rsidRDefault="00066939">
      <w:r w:rsidRPr="005E703A">
        <w:t xml:space="preserve">Before discussing the </w:t>
      </w:r>
      <w:r w:rsidR="006D28DF" w:rsidRPr="005E703A">
        <w:t xml:space="preserve">present </w:t>
      </w:r>
      <w:r w:rsidRPr="005E703A">
        <w:t xml:space="preserve">findings, it is important to note that, </w:t>
      </w:r>
      <w:r w:rsidR="00F87204" w:rsidRPr="005E703A">
        <w:t>in line with</w:t>
      </w:r>
      <w:r w:rsidRPr="005E703A">
        <w:t xml:space="preserve"> </w:t>
      </w:r>
      <w:r w:rsidR="00BC3AEB" w:rsidRPr="005E703A">
        <w:t>earlier</w:t>
      </w:r>
      <w:r w:rsidRPr="005E703A">
        <w:t xml:space="preserve"> studies, the current </w:t>
      </w:r>
      <w:r w:rsidR="006D28DF" w:rsidRPr="005E703A">
        <w:t xml:space="preserve">research results </w:t>
      </w:r>
      <w:r w:rsidRPr="005E703A">
        <w:t>indicate a relationship between ASD and PTS (</w:t>
      </w:r>
      <w:r w:rsidR="004A7EBD" w:rsidRPr="005E703A">
        <w:t>Bryant</w:t>
      </w:r>
      <w:r w:rsidR="00BC07CC" w:rsidRPr="005E703A">
        <w:t xml:space="preserve"> et al.</w:t>
      </w:r>
      <w:r w:rsidR="004A7EBD" w:rsidRPr="005E703A">
        <w:t>, 2011</w:t>
      </w:r>
      <w:r w:rsidRPr="005E703A">
        <w:t xml:space="preserve">; </w:t>
      </w:r>
      <w:proofErr w:type="spellStart"/>
      <w:r w:rsidRPr="005E703A">
        <w:t>Kutz</w:t>
      </w:r>
      <w:proofErr w:type="spellEnd"/>
      <w:r w:rsidRPr="005E703A">
        <w:t xml:space="preserve"> &amp; </w:t>
      </w:r>
      <w:proofErr w:type="spellStart"/>
      <w:r w:rsidRPr="005E703A">
        <w:t>Dekel</w:t>
      </w:r>
      <w:proofErr w:type="spellEnd"/>
      <w:r w:rsidRPr="005E703A">
        <w:t>, 2006)</w:t>
      </w:r>
      <w:r w:rsidR="00F87204" w:rsidRPr="005E703A">
        <w:t xml:space="preserve">. </w:t>
      </w:r>
      <w:r w:rsidR="00724AFA">
        <w:t>In the</w:t>
      </w:r>
      <w:r w:rsidR="00F87204" w:rsidRPr="005E703A">
        <w:t xml:space="preserve"> current study</w:t>
      </w:r>
      <w:r w:rsidR="00724AFA">
        <w:t>, we</w:t>
      </w:r>
      <w:r w:rsidR="00F87204" w:rsidRPr="005E703A">
        <w:t xml:space="preserve"> </w:t>
      </w:r>
      <w:r w:rsidR="006D28DF" w:rsidRPr="005E703A">
        <w:t>focused</w:t>
      </w:r>
      <w:r w:rsidR="00F87204" w:rsidRPr="005E703A">
        <w:t xml:space="preserve"> </w:t>
      </w:r>
      <w:r w:rsidR="00BC3AEB" w:rsidRPr="005E703A">
        <w:t xml:space="preserve">specifically </w:t>
      </w:r>
      <w:r w:rsidR="00F87204" w:rsidRPr="005E703A">
        <w:t xml:space="preserve">on the relationship between ASD and PTS symptoms among a civilian population </w:t>
      </w:r>
      <w:r w:rsidR="00734078">
        <w:t>living</w:t>
      </w:r>
      <w:r w:rsidR="006D28DF" w:rsidRPr="005E703A">
        <w:t xml:space="preserve"> </w:t>
      </w:r>
      <w:r w:rsidR="00F87204" w:rsidRPr="005E703A">
        <w:t>on the front</w:t>
      </w:r>
      <w:r w:rsidR="00103F6A" w:rsidRPr="005E703A">
        <w:t xml:space="preserve"> line</w:t>
      </w:r>
      <w:r w:rsidR="00F87204" w:rsidRPr="005E703A">
        <w:t xml:space="preserve"> during a military conflict</w:t>
      </w:r>
      <w:r w:rsidR="00B14015" w:rsidRPr="005E703A">
        <w:t>. Furthermore,</w:t>
      </w:r>
      <w:r w:rsidR="00F87204" w:rsidRPr="005E703A">
        <w:t xml:space="preserve"> </w:t>
      </w:r>
      <w:r w:rsidR="00724AFA">
        <w:t>we</w:t>
      </w:r>
      <w:r w:rsidR="00724AFA" w:rsidRPr="005E703A">
        <w:t xml:space="preserve"> </w:t>
      </w:r>
      <w:r w:rsidR="006D28DF" w:rsidRPr="005E703A">
        <w:t xml:space="preserve">examined </w:t>
      </w:r>
      <w:r w:rsidR="00F87204" w:rsidRPr="005E703A">
        <w:t xml:space="preserve">PTS </w:t>
      </w:r>
      <w:r w:rsidR="006D28DF" w:rsidRPr="005E703A">
        <w:t>after a long period</w:t>
      </w:r>
      <w:r w:rsidR="00F87204" w:rsidRPr="005E703A">
        <w:t xml:space="preserve">, </w:t>
      </w:r>
      <w:r w:rsidR="0016364A">
        <w:t>6</w:t>
      </w:r>
      <w:r w:rsidR="0016364A" w:rsidRPr="005E703A">
        <w:t xml:space="preserve"> </w:t>
      </w:r>
      <w:r w:rsidR="00F87204" w:rsidRPr="005E703A">
        <w:t>years after the crisis. Th</w:t>
      </w:r>
      <w:r w:rsidR="00BC3AEB" w:rsidRPr="005E703A">
        <w:t>us</w:t>
      </w:r>
      <w:r w:rsidR="00C91AB4">
        <w:t>,</w:t>
      </w:r>
      <w:r w:rsidR="00BC3AEB" w:rsidRPr="005E703A">
        <w:t xml:space="preserve"> th</w:t>
      </w:r>
      <w:r w:rsidR="00F87204" w:rsidRPr="005E703A">
        <w:t xml:space="preserve">e findings </w:t>
      </w:r>
      <w:r w:rsidR="006D28DF" w:rsidRPr="005E703A">
        <w:t xml:space="preserve">shed light on the effect of </w:t>
      </w:r>
      <w:r w:rsidR="00F87204" w:rsidRPr="005E703A">
        <w:t>previous experience</w:t>
      </w:r>
      <w:r w:rsidR="00103F6A" w:rsidRPr="005E703A">
        <w:t xml:space="preserve"> </w:t>
      </w:r>
      <w:r w:rsidR="006D28DF" w:rsidRPr="005E703A">
        <w:t>on</w:t>
      </w:r>
      <w:r w:rsidR="00F87204" w:rsidRPr="005E703A">
        <w:t xml:space="preserve"> these relationships.</w:t>
      </w:r>
    </w:p>
    <w:p w14:paraId="6317D870" w14:textId="273F5A75" w:rsidR="005A2C43" w:rsidRDefault="00F87204" w:rsidP="003030EC">
      <w:r w:rsidRPr="005E703A">
        <w:lastRenderedPageBreak/>
        <w:t xml:space="preserve">The </w:t>
      </w:r>
      <w:r w:rsidR="00F34DFA">
        <w:t>study</w:t>
      </w:r>
      <w:r w:rsidR="00F34DFA" w:rsidRPr="005E703A">
        <w:t xml:space="preserve"> </w:t>
      </w:r>
      <w:r w:rsidR="006D28DF" w:rsidRPr="005E703A">
        <w:t xml:space="preserve">focused </w:t>
      </w:r>
      <w:r w:rsidR="00103F6A" w:rsidRPr="005E703A">
        <w:t>on</w:t>
      </w:r>
      <w:r w:rsidRPr="005E703A">
        <w:t xml:space="preserve"> understand</w:t>
      </w:r>
      <w:r w:rsidR="006D28DF" w:rsidRPr="005E703A">
        <w:t>ing</w:t>
      </w:r>
      <w:r w:rsidRPr="005E703A">
        <w:t xml:space="preserve"> the </w:t>
      </w:r>
      <w:r w:rsidR="008C5FB3" w:rsidRPr="005E703A">
        <w:t>relationship</w:t>
      </w:r>
      <w:r w:rsidRPr="005E703A">
        <w:t xml:space="preserve"> </w:t>
      </w:r>
      <w:r w:rsidR="00C91AB4">
        <w:t>regarding</w:t>
      </w:r>
      <w:r w:rsidR="00C91AB4" w:rsidRPr="005E703A">
        <w:t xml:space="preserve"> </w:t>
      </w:r>
      <w:r w:rsidRPr="005E703A">
        <w:t xml:space="preserve">two aspects </w:t>
      </w:r>
      <w:r w:rsidR="006D28DF" w:rsidRPr="005E703A">
        <w:t>of</w:t>
      </w:r>
      <w:r w:rsidRPr="005E703A">
        <w:t xml:space="preserve"> previous experience. One </w:t>
      </w:r>
      <w:r w:rsidR="006D28DF" w:rsidRPr="005E703A">
        <w:t>was</w:t>
      </w:r>
      <w:r w:rsidRPr="005E703A">
        <w:t xml:space="preserve"> the intensity of the experience, and the second</w:t>
      </w:r>
      <w:r w:rsidR="006D28DF" w:rsidRPr="005E703A">
        <w:t xml:space="preserve">, its </w:t>
      </w:r>
      <w:r w:rsidR="00103F6A" w:rsidRPr="00443395">
        <w:rPr>
          <w:i/>
          <w:iCs/>
        </w:rPr>
        <w:t>timing</w:t>
      </w:r>
      <w:r w:rsidR="00C91AB4">
        <w:t>—</w:t>
      </w:r>
      <w:r w:rsidRPr="005E703A">
        <w:t xml:space="preserve">the period when </w:t>
      </w:r>
      <w:r w:rsidR="00103F6A" w:rsidRPr="005E703A">
        <w:t xml:space="preserve">the </w:t>
      </w:r>
      <w:r w:rsidRPr="005E703A">
        <w:t xml:space="preserve">experience </w:t>
      </w:r>
      <w:r w:rsidR="006D28DF" w:rsidRPr="005E703A">
        <w:t>occur</w:t>
      </w:r>
      <w:r w:rsidR="00BC3AEB" w:rsidRPr="005E703A">
        <w:t>r</w:t>
      </w:r>
      <w:r w:rsidR="006D28DF" w:rsidRPr="005E703A">
        <w:t>ed</w:t>
      </w:r>
      <w:r w:rsidRPr="005E703A">
        <w:t xml:space="preserve">. </w:t>
      </w:r>
      <w:r w:rsidR="006571B3">
        <w:t>For individuals with a low</w:t>
      </w:r>
      <w:r w:rsidRPr="005E703A">
        <w:t xml:space="preserve"> </w:t>
      </w:r>
      <w:r w:rsidR="00A82DB6" w:rsidRPr="005E703A">
        <w:t xml:space="preserve">number </w:t>
      </w:r>
      <w:r w:rsidRPr="005E703A">
        <w:t xml:space="preserve">of </w:t>
      </w:r>
      <w:r w:rsidR="008C5FB3" w:rsidRPr="005E703A">
        <w:t>stressful</w:t>
      </w:r>
      <w:r w:rsidRPr="005E703A">
        <w:t xml:space="preserve"> experience</w:t>
      </w:r>
      <w:r w:rsidR="00A82DB6" w:rsidRPr="005E703A">
        <w:t>s</w:t>
      </w:r>
      <w:r w:rsidR="00103F6A" w:rsidRPr="005E703A">
        <w:t xml:space="preserve"> </w:t>
      </w:r>
      <w:r w:rsidR="006D28DF" w:rsidRPr="005E703A">
        <w:t xml:space="preserve">that occurred </w:t>
      </w:r>
      <w:r w:rsidRPr="005E703A">
        <w:t>after T1 (</w:t>
      </w:r>
      <w:r w:rsidR="006D28DF" w:rsidRPr="005E703A">
        <w:t>during the first</w:t>
      </w:r>
      <w:r w:rsidRPr="005E703A">
        <w:t xml:space="preserve"> </w:t>
      </w:r>
      <w:r w:rsidR="0016364A">
        <w:t>6</w:t>
      </w:r>
      <w:r w:rsidR="0016364A" w:rsidRPr="005E703A">
        <w:t xml:space="preserve"> </w:t>
      </w:r>
      <w:r w:rsidRPr="005E703A">
        <w:t xml:space="preserve">years after the war), the relationship between ASD and PTS </w:t>
      </w:r>
      <w:r w:rsidR="00103F6A" w:rsidRPr="005E703A">
        <w:t>was</w:t>
      </w:r>
      <w:r w:rsidRPr="005E703A">
        <w:t xml:space="preserve"> stronger</w:t>
      </w:r>
      <w:r w:rsidR="006571B3">
        <w:t xml:space="preserve"> than for individuals with</w:t>
      </w:r>
      <w:r w:rsidR="00671DBC">
        <w:t xml:space="preserve"> </w:t>
      </w:r>
      <w:r w:rsidR="006571B3">
        <w:t>higher</w:t>
      </w:r>
      <w:r w:rsidR="00671DBC">
        <w:t xml:space="preserve"> numbers of</w:t>
      </w:r>
      <w:r w:rsidR="00A82DB6" w:rsidRPr="005E703A">
        <w:t xml:space="preserve"> </w:t>
      </w:r>
      <w:r w:rsidR="008C5FB3" w:rsidRPr="005E703A">
        <w:t>stressful</w:t>
      </w:r>
      <w:r w:rsidR="00200EAF" w:rsidRPr="005E703A">
        <w:t xml:space="preserve"> events.</w:t>
      </w:r>
      <w:r w:rsidR="002A6893" w:rsidRPr="005E703A">
        <w:t xml:space="preserve"> </w:t>
      </w:r>
      <w:r w:rsidR="008C5FB3" w:rsidRPr="005E703A">
        <w:t>Overall</w:t>
      </w:r>
      <w:r w:rsidR="002A6893" w:rsidRPr="005E703A">
        <w:t xml:space="preserve">, the relationship between ASD (T1) and PTS (T2) </w:t>
      </w:r>
      <w:proofErr w:type="gramStart"/>
      <w:r w:rsidR="002A6893" w:rsidRPr="005E703A">
        <w:t>was found</w:t>
      </w:r>
      <w:proofErr w:type="gramEnd"/>
      <w:r w:rsidR="002A6893" w:rsidRPr="005E703A">
        <w:t xml:space="preserve"> to be significant.</w:t>
      </w:r>
    </w:p>
    <w:p w14:paraId="24D737AD" w14:textId="2FD09834" w:rsidR="002A6893" w:rsidRPr="005E703A" w:rsidRDefault="007C087F">
      <w:r w:rsidRPr="005E703A">
        <w:t>The findings of the</w:t>
      </w:r>
      <w:r w:rsidR="002A6893" w:rsidRPr="005E703A">
        <w:t xml:space="preserve"> current </w:t>
      </w:r>
      <w:r w:rsidR="00C91AB4">
        <w:t>study</w:t>
      </w:r>
      <w:r w:rsidR="00C91AB4" w:rsidRPr="005E703A">
        <w:t xml:space="preserve"> </w:t>
      </w:r>
      <w:r w:rsidR="003F39A6" w:rsidRPr="005E703A">
        <w:t xml:space="preserve">partly </w:t>
      </w:r>
      <w:r w:rsidR="002A6893" w:rsidRPr="005E703A">
        <w:t xml:space="preserve">contradict the </w:t>
      </w:r>
      <w:r w:rsidR="007A4C4C" w:rsidRPr="005E703A">
        <w:t xml:space="preserve">common </w:t>
      </w:r>
      <w:r w:rsidRPr="005E703A">
        <w:t>wisdom</w:t>
      </w:r>
      <w:r w:rsidR="002A6893" w:rsidRPr="005E703A">
        <w:t xml:space="preserve"> that the more numerous an individual’s past experience</w:t>
      </w:r>
      <w:r w:rsidR="00C91AB4">
        <w:t>s</w:t>
      </w:r>
      <w:r w:rsidR="002A6893" w:rsidRPr="005E703A">
        <w:t xml:space="preserve"> of </w:t>
      </w:r>
      <w:r w:rsidR="008C5FB3" w:rsidRPr="005E703A">
        <w:t>stressful</w:t>
      </w:r>
      <w:r w:rsidR="002A6893" w:rsidRPr="005E703A">
        <w:t xml:space="preserve"> events, the more they contribute to reinforcement of PTS symptoms (</w:t>
      </w:r>
      <w:proofErr w:type="spellStart"/>
      <w:r w:rsidRPr="005E703A">
        <w:t>Br</w:t>
      </w:r>
      <w:r w:rsidR="00764611">
        <w:t>i</w:t>
      </w:r>
      <w:r w:rsidRPr="005E703A">
        <w:t>ere</w:t>
      </w:r>
      <w:proofErr w:type="spellEnd"/>
      <w:r w:rsidRPr="005E703A">
        <w:t xml:space="preserve"> et al., 2016; </w:t>
      </w:r>
      <w:proofErr w:type="spellStart"/>
      <w:r w:rsidRPr="005E703A">
        <w:t>Gelkopf</w:t>
      </w:r>
      <w:proofErr w:type="spellEnd"/>
      <w:r w:rsidR="00A03EBE">
        <w:t xml:space="preserve"> et al.</w:t>
      </w:r>
      <w:r w:rsidRPr="005E703A">
        <w:t>, 201</w:t>
      </w:r>
      <w:r w:rsidR="00385010" w:rsidRPr="005E703A">
        <w:t>2</w:t>
      </w:r>
      <w:r w:rsidRPr="005E703A">
        <w:t xml:space="preserve">; </w:t>
      </w:r>
      <w:proofErr w:type="spellStart"/>
      <w:r w:rsidR="00764611" w:rsidRPr="005E703A">
        <w:t>Ja</w:t>
      </w:r>
      <w:r w:rsidR="00764611">
        <w:t>k</w:t>
      </w:r>
      <w:r w:rsidR="00764611" w:rsidRPr="005E703A">
        <w:t>ob</w:t>
      </w:r>
      <w:proofErr w:type="spellEnd"/>
      <w:r w:rsidR="00764611" w:rsidRPr="005E703A">
        <w:t xml:space="preserve"> </w:t>
      </w:r>
      <w:r w:rsidRPr="005E703A">
        <w:t xml:space="preserve">et al., 2017; </w:t>
      </w:r>
      <w:r w:rsidR="002A6893" w:rsidRPr="005E703A">
        <w:t>Si</w:t>
      </w:r>
      <w:r w:rsidR="00DD22AB" w:rsidRPr="005E703A">
        <w:t>l</w:t>
      </w:r>
      <w:r w:rsidR="002A6893" w:rsidRPr="005E703A">
        <w:t>ver</w:t>
      </w:r>
      <w:r w:rsidR="00DD22AB" w:rsidRPr="005E703A">
        <w:t xml:space="preserve"> et al., </w:t>
      </w:r>
      <w:r w:rsidR="002A6893" w:rsidRPr="005E703A">
        <w:t>2006). However, it is important to note that in both cases</w:t>
      </w:r>
      <w:r w:rsidR="00C91AB4">
        <w:t xml:space="preserve">—of </w:t>
      </w:r>
      <w:r w:rsidR="00432F31" w:rsidRPr="005E703A">
        <w:t xml:space="preserve">numerous or few experiences </w:t>
      </w:r>
      <w:r w:rsidR="002A6893" w:rsidRPr="005E703A">
        <w:t xml:space="preserve">of previous </w:t>
      </w:r>
      <w:r w:rsidR="008C5FB3" w:rsidRPr="005E703A">
        <w:t>stressful</w:t>
      </w:r>
      <w:r w:rsidR="002A6893" w:rsidRPr="005E703A">
        <w:t xml:space="preserve"> events</w:t>
      </w:r>
      <w:r w:rsidR="00C91AB4">
        <w:t>—</w:t>
      </w:r>
      <w:r w:rsidR="002A6893" w:rsidRPr="005E703A">
        <w:t xml:space="preserve">the high level of PTS was similar (Figure </w:t>
      </w:r>
      <w:r w:rsidR="008C5FB3" w:rsidRPr="005E703A">
        <w:t>1</w:t>
      </w:r>
      <w:r w:rsidR="002A6893" w:rsidRPr="005E703A">
        <w:t xml:space="preserve">). </w:t>
      </w:r>
      <w:r w:rsidR="00A82DB6" w:rsidRPr="00541966">
        <w:t>Therefore, a</w:t>
      </w:r>
      <w:r w:rsidR="002A6893" w:rsidRPr="00541966">
        <w:t xml:space="preserve"> high PTS level </w:t>
      </w:r>
      <w:r w:rsidR="00432F31" w:rsidRPr="00541966">
        <w:t xml:space="preserve">was </w:t>
      </w:r>
      <w:r w:rsidR="002A6893" w:rsidRPr="00541966">
        <w:t>not dependent on</w:t>
      </w:r>
      <w:r w:rsidR="00432F31" w:rsidRPr="00541966">
        <w:t xml:space="preserve"> the </w:t>
      </w:r>
      <w:r w:rsidR="00BC3AEB" w:rsidRPr="00541966">
        <w:t>number of</w:t>
      </w:r>
      <w:r w:rsidR="00BA4383" w:rsidRPr="00541966">
        <w:t xml:space="preserve"> </w:t>
      </w:r>
      <w:r w:rsidR="008C5FB3" w:rsidRPr="00541966">
        <w:t>stressful</w:t>
      </w:r>
      <w:r w:rsidR="00BA4383" w:rsidRPr="00541966">
        <w:t xml:space="preserve"> events, </w:t>
      </w:r>
      <w:r w:rsidR="008C5FB3" w:rsidRPr="005E703A">
        <w:t>but mainly on ASD</w:t>
      </w:r>
      <w:r w:rsidR="00220588">
        <w:t>,</w:t>
      </w:r>
      <w:r w:rsidR="00220588" w:rsidRPr="00220588">
        <w:t xml:space="preserve"> </w:t>
      </w:r>
      <w:r w:rsidR="00220588" w:rsidRPr="00541966">
        <w:t xml:space="preserve">as </w:t>
      </w:r>
      <w:proofErr w:type="gramStart"/>
      <w:r w:rsidR="00220588">
        <w:t xml:space="preserve">will be </w:t>
      </w:r>
      <w:r w:rsidR="00220588" w:rsidRPr="00541966">
        <w:t>discussed</w:t>
      </w:r>
      <w:proofErr w:type="gramEnd"/>
      <w:r w:rsidR="00220588" w:rsidRPr="00541966">
        <w:t xml:space="preserve"> later</w:t>
      </w:r>
      <w:r w:rsidR="00BA4383" w:rsidRPr="005E703A">
        <w:t xml:space="preserve">. The </w:t>
      </w:r>
      <w:r w:rsidR="00BC3AEB" w:rsidRPr="005E703A">
        <w:t xml:space="preserve">results of the </w:t>
      </w:r>
      <w:r w:rsidR="00BA4383" w:rsidRPr="005E703A">
        <w:t xml:space="preserve">regression </w:t>
      </w:r>
      <w:r w:rsidR="00BC3AEB" w:rsidRPr="005E703A">
        <w:t xml:space="preserve">analysis </w:t>
      </w:r>
      <w:r w:rsidR="00BA4383" w:rsidRPr="005E703A">
        <w:t xml:space="preserve">(Table 1) show that ASD and </w:t>
      </w:r>
      <w:r w:rsidR="008C5FB3" w:rsidRPr="005E703A">
        <w:t>stressful</w:t>
      </w:r>
      <w:r w:rsidR="00BA4383" w:rsidRPr="005E703A">
        <w:t xml:space="preserve"> events </w:t>
      </w:r>
      <w:r w:rsidR="00432F31" w:rsidRPr="005E703A">
        <w:t xml:space="preserve">that occurred </w:t>
      </w:r>
      <w:r w:rsidR="00BA4383" w:rsidRPr="005E703A">
        <w:t xml:space="preserve">after the trauma event </w:t>
      </w:r>
      <w:r w:rsidR="00432F31" w:rsidRPr="005E703A">
        <w:t xml:space="preserve">were </w:t>
      </w:r>
      <w:r w:rsidR="00BA4383" w:rsidRPr="005E703A">
        <w:t>direct predictors of PTS</w:t>
      </w:r>
      <w:r w:rsidR="00432F31" w:rsidRPr="005E703A">
        <w:t>:</w:t>
      </w:r>
      <w:r w:rsidR="00BA4383" w:rsidRPr="005E703A">
        <w:t xml:space="preserve"> </w:t>
      </w:r>
      <w:r w:rsidR="00841855">
        <w:t>T</w:t>
      </w:r>
      <w:r w:rsidR="00841855" w:rsidRPr="005E703A">
        <w:t xml:space="preserve">he </w:t>
      </w:r>
      <w:r w:rsidR="00BA4383" w:rsidRPr="005E703A">
        <w:t xml:space="preserve">more ASD </w:t>
      </w:r>
      <w:proofErr w:type="gramStart"/>
      <w:r w:rsidR="008C5FB3" w:rsidRPr="005E703A">
        <w:t xml:space="preserve">was </w:t>
      </w:r>
      <w:r w:rsidR="00BA4383" w:rsidRPr="005E703A">
        <w:t>experienced</w:t>
      </w:r>
      <w:proofErr w:type="gramEnd"/>
      <w:r w:rsidR="00BA4383" w:rsidRPr="005E703A">
        <w:t xml:space="preserve"> during the war and the higher the number of </w:t>
      </w:r>
      <w:r w:rsidR="008C5FB3" w:rsidRPr="005E703A">
        <w:t>stressful</w:t>
      </w:r>
      <w:r w:rsidR="00BA4383" w:rsidRPr="005E703A">
        <w:t xml:space="preserve"> events experienced since the war, the higher </w:t>
      </w:r>
      <w:r w:rsidR="00432F31" w:rsidRPr="005E703A">
        <w:t xml:space="preserve">was </w:t>
      </w:r>
      <w:r w:rsidR="00BA4383" w:rsidRPr="005E703A">
        <w:t>the PTS level</w:t>
      </w:r>
      <w:r w:rsidR="00432F31" w:rsidRPr="005E703A">
        <w:t>.</w:t>
      </w:r>
    </w:p>
    <w:p w14:paraId="0E6A4A32" w14:textId="308739C0" w:rsidR="00BA4383" w:rsidRPr="005E703A" w:rsidRDefault="00BA4383">
      <w:r w:rsidRPr="005E703A">
        <w:t xml:space="preserve">In addition, the relationship between ASD and PTS </w:t>
      </w:r>
      <w:r w:rsidR="00A82DB6" w:rsidRPr="005E703A">
        <w:t>was</w:t>
      </w:r>
      <w:r w:rsidRPr="005E703A">
        <w:t xml:space="preserve"> stronger than the relationship between </w:t>
      </w:r>
      <w:r w:rsidR="008C5FB3" w:rsidRPr="005E703A">
        <w:t>stressful</w:t>
      </w:r>
      <w:r w:rsidRPr="005E703A">
        <w:t xml:space="preserve"> events and PTS. ASD </w:t>
      </w:r>
      <w:r w:rsidR="00432F31" w:rsidRPr="005E703A">
        <w:t xml:space="preserve">was </w:t>
      </w:r>
      <w:r w:rsidRPr="005E703A">
        <w:t>the main predictor of PTS</w:t>
      </w:r>
      <w:r w:rsidR="00BC3AEB" w:rsidRPr="005E703A">
        <w:t xml:space="preserve">; therefore, </w:t>
      </w:r>
      <w:r w:rsidR="00841855">
        <w:t>for individuals with</w:t>
      </w:r>
      <w:r w:rsidRPr="005E703A">
        <w:t xml:space="preserve"> high levels of ASD</w:t>
      </w:r>
      <w:r w:rsidR="008C5FB3" w:rsidRPr="005E703A">
        <w:t xml:space="preserve">, </w:t>
      </w:r>
      <w:r w:rsidR="00432F31" w:rsidRPr="005E703A">
        <w:t>regardless of</w:t>
      </w:r>
      <w:r w:rsidRPr="005E703A">
        <w:t xml:space="preserve"> </w:t>
      </w:r>
      <w:r w:rsidR="00A82DB6" w:rsidRPr="005E703A">
        <w:t xml:space="preserve">the </w:t>
      </w:r>
      <w:r w:rsidR="00432F31" w:rsidRPr="005E703A">
        <w:t>number</w:t>
      </w:r>
      <w:r w:rsidRPr="005E703A">
        <w:t xml:space="preserve"> of </w:t>
      </w:r>
      <w:r w:rsidR="008C5FB3" w:rsidRPr="005E703A">
        <w:t>stressful</w:t>
      </w:r>
      <w:r w:rsidRPr="005E703A">
        <w:t xml:space="preserve"> events</w:t>
      </w:r>
      <w:r w:rsidR="008C5FB3" w:rsidRPr="005E703A">
        <w:t xml:space="preserve">, </w:t>
      </w:r>
      <w:r w:rsidRPr="005E703A">
        <w:t xml:space="preserve">PTS was higher than </w:t>
      </w:r>
      <w:r w:rsidR="00841855">
        <w:t xml:space="preserve">for </w:t>
      </w:r>
      <w:r w:rsidR="001B5C40">
        <w:t>individuals</w:t>
      </w:r>
      <w:r w:rsidR="00841855">
        <w:t xml:space="preserve"> with</w:t>
      </w:r>
      <w:r w:rsidR="00BC3AEB" w:rsidRPr="005E703A">
        <w:t xml:space="preserve"> </w:t>
      </w:r>
      <w:r w:rsidR="00FB215E">
        <w:t xml:space="preserve">low </w:t>
      </w:r>
      <w:r w:rsidRPr="005E703A">
        <w:t>ASD.</w:t>
      </w:r>
    </w:p>
    <w:p w14:paraId="1EAD2660" w14:textId="4C6C22B8" w:rsidR="00812E27" w:rsidRPr="005E703A" w:rsidRDefault="00706BAE">
      <w:r w:rsidRPr="005E703A">
        <w:t xml:space="preserve">The findings show that </w:t>
      </w:r>
      <w:r w:rsidR="008C5FB3" w:rsidRPr="005E703A">
        <w:t>stressful</w:t>
      </w:r>
      <w:r w:rsidRPr="005E703A">
        <w:t xml:space="preserve"> events </w:t>
      </w:r>
      <w:r w:rsidR="00432F31" w:rsidRPr="005E703A">
        <w:t xml:space="preserve">that </w:t>
      </w:r>
      <w:r w:rsidRPr="005E703A">
        <w:t xml:space="preserve">occurred after the war had a </w:t>
      </w:r>
      <w:r w:rsidR="00432F31" w:rsidRPr="005E703A">
        <w:t xml:space="preserve">moderate </w:t>
      </w:r>
      <w:r w:rsidRPr="005E703A">
        <w:t>effect</w:t>
      </w:r>
      <w:r w:rsidR="00432F31" w:rsidRPr="005E703A">
        <w:t xml:space="preserve"> on</w:t>
      </w:r>
      <w:r w:rsidRPr="005E703A">
        <w:t xml:space="preserve"> PTS</w:t>
      </w:r>
      <w:r w:rsidR="00432F31" w:rsidRPr="005E703A">
        <w:t xml:space="preserve"> that </w:t>
      </w:r>
      <w:r w:rsidR="00FB215E">
        <w:t xml:space="preserve">had </w:t>
      </w:r>
      <w:r w:rsidR="00432F31" w:rsidRPr="005E703A">
        <w:t>resulted</w:t>
      </w:r>
      <w:r w:rsidR="00A82DB6" w:rsidRPr="005E703A">
        <w:t xml:space="preserve"> from </w:t>
      </w:r>
      <w:r w:rsidRPr="005E703A">
        <w:t xml:space="preserve">ASD. The limited influence of previous </w:t>
      </w:r>
      <w:r w:rsidR="008C5FB3" w:rsidRPr="005E703A">
        <w:t>stressful</w:t>
      </w:r>
      <w:r w:rsidRPr="005E703A">
        <w:t xml:space="preserve"> events </w:t>
      </w:r>
      <w:proofErr w:type="gramStart"/>
      <w:r w:rsidR="00BC3AEB" w:rsidRPr="005E703A">
        <w:t xml:space="preserve">might </w:t>
      </w:r>
      <w:r w:rsidRPr="005E703A">
        <w:t>be explained</w:t>
      </w:r>
      <w:proofErr w:type="gramEnd"/>
      <w:r w:rsidRPr="005E703A">
        <w:t xml:space="preserve"> by the simultaneous contrasting </w:t>
      </w:r>
      <w:r w:rsidRPr="005E703A">
        <w:lastRenderedPageBreak/>
        <w:t xml:space="preserve">influence of </w:t>
      </w:r>
      <w:r w:rsidR="008C5FB3" w:rsidRPr="005E703A">
        <w:t>stressful</w:t>
      </w:r>
      <w:r w:rsidRPr="005E703A">
        <w:t xml:space="preserve"> events: </w:t>
      </w:r>
      <w:r w:rsidR="00FB215E">
        <w:t>O</w:t>
      </w:r>
      <w:r w:rsidRPr="005E703A">
        <w:t xml:space="preserve">n one hand, </w:t>
      </w:r>
      <w:r w:rsidR="00A82DB6" w:rsidRPr="005E703A">
        <w:t>these events</w:t>
      </w:r>
      <w:r w:rsidRPr="005E703A">
        <w:t xml:space="preserve"> </w:t>
      </w:r>
      <w:r w:rsidR="00F868D0" w:rsidRPr="005E703A">
        <w:t>le</w:t>
      </w:r>
      <w:r w:rsidR="008C5FB3" w:rsidRPr="005E703A">
        <w:t>a</w:t>
      </w:r>
      <w:r w:rsidR="00F868D0" w:rsidRPr="005E703A">
        <w:t xml:space="preserve">d to </w:t>
      </w:r>
      <w:r w:rsidRPr="005E703A">
        <w:t>vulnerability (</w:t>
      </w:r>
      <w:r w:rsidR="004A7EBD" w:rsidRPr="005E703A">
        <w:t>Breslau</w:t>
      </w:r>
      <w:r w:rsidR="00BC07CC" w:rsidRPr="005E703A">
        <w:t xml:space="preserve"> et al.</w:t>
      </w:r>
      <w:r w:rsidR="004A7EBD" w:rsidRPr="005E703A">
        <w:t>, 1999</w:t>
      </w:r>
      <w:r w:rsidR="005D2BFF">
        <w:t>;</w:t>
      </w:r>
      <w:r w:rsidR="005D2BFF" w:rsidRPr="005E703A">
        <w:t xml:space="preserve"> </w:t>
      </w:r>
      <w:proofErr w:type="spellStart"/>
      <w:r w:rsidRPr="005E703A">
        <w:t>Gelkopf</w:t>
      </w:r>
      <w:proofErr w:type="spellEnd"/>
      <w:r w:rsidRPr="005E703A">
        <w:t xml:space="preserve"> et al., 201</w:t>
      </w:r>
      <w:r w:rsidR="00DD22AB" w:rsidRPr="005E703A">
        <w:t>2</w:t>
      </w:r>
      <w:r w:rsidRPr="005E703A">
        <w:t xml:space="preserve">; </w:t>
      </w:r>
      <w:r w:rsidR="004A7EBD" w:rsidRPr="005E703A">
        <w:t>Steel</w:t>
      </w:r>
      <w:r w:rsidR="00BC07CC" w:rsidRPr="005E703A">
        <w:t xml:space="preserve"> et al.</w:t>
      </w:r>
      <w:r w:rsidR="004A7EBD" w:rsidRPr="005E703A">
        <w:t>, 2002)</w:t>
      </w:r>
      <w:r w:rsidRPr="005E703A">
        <w:t xml:space="preserve"> </w:t>
      </w:r>
      <w:r w:rsidR="00FB215E">
        <w:t xml:space="preserve">and </w:t>
      </w:r>
      <w:r w:rsidRPr="005E703A">
        <w:t xml:space="preserve">on the other hand, </w:t>
      </w:r>
      <w:r w:rsidR="00A82DB6" w:rsidRPr="005E703A">
        <w:t xml:space="preserve">they may </w:t>
      </w:r>
      <w:r w:rsidR="00F868D0" w:rsidRPr="005E703A">
        <w:t xml:space="preserve">help develop </w:t>
      </w:r>
      <w:r w:rsidRPr="005E703A">
        <w:t>resilience (</w:t>
      </w:r>
      <w:r w:rsidR="001C7C06" w:rsidRPr="005E703A">
        <w:t>Gunnar</w:t>
      </w:r>
      <w:r w:rsidR="00BC07CC" w:rsidRPr="005E703A">
        <w:t xml:space="preserve"> et al.</w:t>
      </w:r>
      <w:r w:rsidR="001C7C06" w:rsidRPr="005E703A">
        <w:t>, 2009</w:t>
      </w:r>
      <w:r w:rsidRPr="005E703A">
        <w:t xml:space="preserve">; </w:t>
      </w:r>
      <w:proofErr w:type="spellStart"/>
      <w:r w:rsidRPr="005E703A">
        <w:t>Seery</w:t>
      </w:r>
      <w:proofErr w:type="spellEnd"/>
      <w:r w:rsidRPr="005E703A">
        <w:t xml:space="preserve"> et al., 2010).</w:t>
      </w:r>
    </w:p>
    <w:p w14:paraId="3F58754E" w14:textId="13E21E46" w:rsidR="00706BAE" w:rsidRPr="005E703A" w:rsidRDefault="00CD48C4" w:rsidP="00200EAF">
      <w:r w:rsidRPr="005E703A">
        <w:t xml:space="preserve">The </w:t>
      </w:r>
      <w:r w:rsidR="00706BAE" w:rsidRPr="005E703A">
        <w:t xml:space="preserve">findings </w:t>
      </w:r>
      <w:r w:rsidRPr="005E703A">
        <w:t xml:space="preserve">also indicate </w:t>
      </w:r>
      <w:r w:rsidR="00FB215E">
        <w:t>the importan</w:t>
      </w:r>
      <w:r w:rsidR="005D2BFF">
        <w:t>t influence</w:t>
      </w:r>
      <w:r w:rsidR="00FB215E">
        <w:t xml:space="preserve"> of</w:t>
      </w:r>
      <w:r w:rsidR="00FB215E" w:rsidRPr="005E703A">
        <w:t xml:space="preserve"> </w:t>
      </w:r>
      <w:r w:rsidR="008C5FB3" w:rsidRPr="005E703A">
        <w:t>stressful</w:t>
      </w:r>
      <w:r w:rsidR="00706BAE" w:rsidRPr="005E703A">
        <w:t xml:space="preserve"> events, regardless of </w:t>
      </w:r>
      <w:r w:rsidR="00A82DB6" w:rsidRPr="005E703A">
        <w:t>whether</w:t>
      </w:r>
      <w:r w:rsidR="00706BAE" w:rsidRPr="005E703A">
        <w:t xml:space="preserve"> they occurred before or after the war. Previous experience of </w:t>
      </w:r>
      <w:r w:rsidR="008C5FB3" w:rsidRPr="005E703A">
        <w:t>stressful</w:t>
      </w:r>
      <w:r w:rsidR="00706BAE" w:rsidRPr="005E703A">
        <w:t xml:space="preserve"> events before the war (more than </w:t>
      </w:r>
      <w:r w:rsidR="0016364A">
        <w:t>6</w:t>
      </w:r>
      <w:r w:rsidR="0016364A" w:rsidRPr="005E703A">
        <w:t xml:space="preserve"> </w:t>
      </w:r>
      <w:r w:rsidR="00706BAE" w:rsidRPr="005E703A">
        <w:t xml:space="preserve">years </w:t>
      </w:r>
      <w:r w:rsidRPr="005E703A">
        <w:t>before diagnosis</w:t>
      </w:r>
      <w:r w:rsidR="00706BAE" w:rsidRPr="005E703A">
        <w:t>) negatively and significantly predict</w:t>
      </w:r>
      <w:r w:rsidR="00A82DB6" w:rsidRPr="005E703A">
        <w:t>ed</w:t>
      </w:r>
      <w:r w:rsidR="00706BAE" w:rsidRPr="005E703A">
        <w:t xml:space="preserve"> PTS.</w:t>
      </w:r>
      <w:r w:rsidR="008C5FB3" w:rsidRPr="005E703A">
        <w:t xml:space="preserve"> </w:t>
      </w:r>
      <w:r w:rsidR="00706BAE" w:rsidRPr="005E703A">
        <w:t xml:space="preserve">In contrast, previous experience of </w:t>
      </w:r>
      <w:r w:rsidR="008C5FB3" w:rsidRPr="005E703A">
        <w:t>stressful</w:t>
      </w:r>
      <w:r w:rsidR="00706BAE" w:rsidRPr="005E703A">
        <w:t xml:space="preserve"> events after the war </w:t>
      </w:r>
      <w:r w:rsidR="004F0DD8" w:rsidRPr="005E703A">
        <w:t xml:space="preserve">had </w:t>
      </w:r>
      <w:r w:rsidR="00FB215E">
        <w:t>a</w:t>
      </w:r>
      <w:r w:rsidR="00FB215E" w:rsidRPr="005E703A">
        <w:t xml:space="preserve"> </w:t>
      </w:r>
      <w:r w:rsidR="008C5FB3" w:rsidRPr="005E703A">
        <w:t>positive</w:t>
      </w:r>
      <w:r w:rsidR="00706BAE" w:rsidRPr="005E703A">
        <w:t xml:space="preserve"> </w:t>
      </w:r>
      <w:r w:rsidR="004F0DD8" w:rsidRPr="005E703A">
        <w:t>effect</w:t>
      </w:r>
      <w:r w:rsidRPr="005E703A">
        <w:t xml:space="preserve"> on </w:t>
      </w:r>
      <w:r w:rsidR="008C5FB3" w:rsidRPr="005E703A">
        <w:t>PTS</w:t>
      </w:r>
      <w:r w:rsidR="00706BAE" w:rsidRPr="005E703A">
        <w:t>.</w:t>
      </w:r>
      <w:r w:rsidR="0071070A" w:rsidRPr="005E703A">
        <w:t xml:space="preserve"> In other words, previous experience of </w:t>
      </w:r>
      <w:r w:rsidR="008C5FB3" w:rsidRPr="005E703A">
        <w:t>stressful</w:t>
      </w:r>
      <w:r w:rsidR="0071070A" w:rsidRPr="005E703A">
        <w:t xml:space="preserve"> events that occurred before </w:t>
      </w:r>
      <w:r w:rsidR="00FB215E">
        <w:t>exposure</w:t>
      </w:r>
      <w:r w:rsidR="0071070A" w:rsidRPr="005E703A">
        <w:t xml:space="preserve"> to the war (before T1) </w:t>
      </w:r>
      <w:r w:rsidR="008C5FB3" w:rsidRPr="005E703A">
        <w:t xml:space="preserve">might have </w:t>
      </w:r>
      <w:r w:rsidR="00A82DB6" w:rsidRPr="005E703A">
        <w:t xml:space="preserve">led to the development of resilience, </w:t>
      </w:r>
      <w:r w:rsidRPr="005E703A">
        <w:t xml:space="preserve">but </w:t>
      </w:r>
      <w:r w:rsidR="008C5FB3" w:rsidRPr="005E703A">
        <w:t>stressful</w:t>
      </w:r>
      <w:r w:rsidR="00A82DB6" w:rsidRPr="005E703A">
        <w:t xml:space="preserve"> events experienced during the </w:t>
      </w:r>
      <w:r w:rsidR="0016364A">
        <w:t>6</w:t>
      </w:r>
      <w:r w:rsidR="0016364A" w:rsidRPr="005E703A">
        <w:t xml:space="preserve"> </w:t>
      </w:r>
      <w:r w:rsidR="00A82DB6" w:rsidRPr="005E703A">
        <w:t xml:space="preserve">years after the war (between T1 and </w:t>
      </w:r>
      <w:r w:rsidR="00A70C04" w:rsidRPr="005E703A">
        <w:t>T</w:t>
      </w:r>
      <w:r w:rsidR="00A82DB6" w:rsidRPr="005E703A">
        <w:t>2) led to vulnerability.</w:t>
      </w:r>
      <w:r w:rsidR="004F0DD8" w:rsidRPr="005E703A">
        <w:t xml:space="preserve"> Thus</w:t>
      </w:r>
      <w:r w:rsidR="00A82DB6" w:rsidRPr="005E703A">
        <w:t>,</w:t>
      </w:r>
      <w:r w:rsidR="004F0DD8" w:rsidRPr="005E703A">
        <w:t xml:space="preserve"> we conclude that</w:t>
      </w:r>
      <w:r w:rsidR="00A82DB6" w:rsidRPr="005E703A">
        <w:t xml:space="preserve"> experience </w:t>
      </w:r>
      <w:r w:rsidR="005D2BFF">
        <w:t>prior to</w:t>
      </w:r>
      <w:r w:rsidR="005D2BFF" w:rsidRPr="005E703A">
        <w:t xml:space="preserve"> </w:t>
      </w:r>
      <w:r w:rsidR="00A82DB6" w:rsidRPr="005E703A">
        <w:t xml:space="preserve">the event </w:t>
      </w:r>
      <w:r w:rsidR="00A70C04" w:rsidRPr="005E703A">
        <w:t>may buffer</w:t>
      </w:r>
      <w:r w:rsidR="00A82DB6" w:rsidRPr="005E703A">
        <w:t xml:space="preserve"> PTS, while the same experience after the ev</w:t>
      </w:r>
      <w:r w:rsidR="004F0DD8" w:rsidRPr="005E703A">
        <w:t>e</w:t>
      </w:r>
      <w:r w:rsidR="00A82DB6" w:rsidRPr="005E703A">
        <w:t xml:space="preserve">nt </w:t>
      </w:r>
      <w:r w:rsidR="00A70C04" w:rsidRPr="005E703A">
        <w:t xml:space="preserve">may </w:t>
      </w:r>
      <w:r w:rsidR="00A82DB6" w:rsidRPr="005E703A">
        <w:t>strengthen PTS.</w:t>
      </w:r>
    </w:p>
    <w:p w14:paraId="3F991092" w14:textId="32B61B6B" w:rsidR="001815AB" w:rsidRPr="005E703A" w:rsidRDefault="00A82DB6">
      <w:pPr>
        <w:rPr>
          <w:rtl/>
        </w:rPr>
      </w:pPr>
      <w:r w:rsidRPr="005E703A">
        <w:t>These findings shed new light</w:t>
      </w:r>
      <w:r w:rsidR="001A018A" w:rsidRPr="005E703A">
        <w:t xml:space="preserve"> on the three </w:t>
      </w:r>
      <w:r w:rsidR="007A4C4C" w:rsidRPr="005E703A">
        <w:t xml:space="preserve">common </w:t>
      </w:r>
      <w:r w:rsidR="001A018A" w:rsidRPr="005E703A">
        <w:t xml:space="preserve">approaches in the literature </w:t>
      </w:r>
      <w:r w:rsidR="00F933EB" w:rsidRPr="005E703A">
        <w:t xml:space="preserve">regarding </w:t>
      </w:r>
      <w:r w:rsidR="001A018A" w:rsidRPr="005E703A">
        <w:t xml:space="preserve">past experience of </w:t>
      </w:r>
      <w:r w:rsidR="008C5FB3" w:rsidRPr="005E703A">
        <w:t>stressful</w:t>
      </w:r>
      <w:r w:rsidR="001A018A" w:rsidRPr="005E703A">
        <w:t xml:space="preserve"> events. According to the first approach, past experience of </w:t>
      </w:r>
      <w:r w:rsidR="008C5FB3" w:rsidRPr="005E703A">
        <w:t>stressful</w:t>
      </w:r>
      <w:r w:rsidR="001A018A" w:rsidRPr="005E703A">
        <w:t xml:space="preserve"> events results in vulnerability, which contributes to PTS (</w:t>
      </w:r>
      <w:proofErr w:type="spellStart"/>
      <w:r w:rsidR="001A018A" w:rsidRPr="005E703A">
        <w:t>Br</w:t>
      </w:r>
      <w:r w:rsidR="00764611">
        <w:t>i</w:t>
      </w:r>
      <w:r w:rsidR="001A018A" w:rsidRPr="005E703A">
        <w:t>ere</w:t>
      </w:r>
      <w:proofErr w:type="spellEnd"/>
      <w:r w:rsidR="00CD48C4" w:rsidRPr="005E703A">
        <w:t xml:space="preserve"> et al.</w:t>
      </w:r>
      <w:r w:rsidR="001A018A" w:rsidRPr="005E703A">
        <w:t>, 2016</w:t>
      </w:r>
      <w:r w:rsidR="00CD48C4" w:rsidRPr="005E703A">
        <w:t xml:space="preserve">; </w:t>
      </w:r>
      <w:proofErr w:type="spellStart"/>
      <w:r w:rsidR="001A018A" w:rsidRPr="005E703A">
        <w:t>Gelkopf</w:t>
      </w:r>
      <w:proofErr w:type="spellEnd"/>
      <w:r w:rsidR="001A018A" w:rsidRPr="005E703A">
        <w:t>, 201</w:t>
      </w:r>
      <w:r w:rsidR="00DD22AB" w:rsidRPr="005E703A">
        <w:t>2</w:t>
      </w:r>
      <w:r w:rsidR="001A018A" w:rsidRPr="005E703A">
        <w:t>;</w:t>
      </w:r>
      <w:r w:rsidR="0082289B" w:rsidRPr="005E703A">
        <w:t xml:space="preserve"> </w:t>
      </w:r>
      <w:proofErr w:type="spellStart"/>
      <w:r w:rsidR="001A018A" w:rsidRPr="005E703A">
        <w:t>Ja</w:t>
      </w:r>
      <w:r w:rsidR="00764611">
        <w:t>k</w:t>
      </w:r>
      <w:r w:rsidR="001A018A" w:rsidRPr="005E703A">
        <w:t>ob</w:t>
      </w:r>
      <w:proofErr w:type="spellEnd"/>
      <w:r w:rsidR="00CD48C4" w:rsidRPr="005E703A">
        <w:t xml:space="preserve"> et al.</w:t>
      </w:r>
      <w:r w:rsidR="001A018A" w:rsidRPr="005E703A">
        <w:t>, 2017).</w:t>
      </w:r>
      <w:r w:rsidR="0082289B" w:rsidRPr="005E703A">
        <w:t xml:space="preserve"> The second (contrasting) approach states that previous experience of </w:t>
      </w:r>
      <w:r w:rsidR="008C5FB3" w:rsidRPr="005E703A">
        <w:t>stressful</w:t>
      </w:r>
      <w:r w:rsidR="0082289B" w:rsidRPr="005E703A">
        <w:t xml:space="preserve"> events leads to resilience</w:t>
      </w:r>
      <w:r w:rsidR="001815AB" w:rsidRPr="005E703A">
        <w:t xml:space="preserve">, which </w:t>
      </w:r>
      <w:r w:rsidR="00A70C04" w:rsidRPr="005E703A">
        <w:t xml:space="preserve">buffers </w:t>
      </w:r>
      <w:r w:rsidR="001815AB" w:rsidRPr="005E703A">
        <w:t>PTS (</w:t>
      </w:r>
      <w:proofErr w:type="spellStart"/>
      <w:r w:rsidR="001815AB" w:rsidRPr="005E703A">
        <w:t>Breznitz</w:t>
      </w:r>
      <w:proofErr w:type="spellEnd"/>
      <w:r w:rsidR="001815AB" w:rsidRPr="005E703A">
        <w:t xml:space="preserve"> &amp; </w:t>
      </w:r>
      <w:proofErr w:type="spellStart"/>
      <w:r w:rsidR="001815AB" w:rsidRPr="005E703A">
        <w:t>Eshel</w:t>
      </w:r>
      <w:proofErr w:type="spellEnd"/>
      <w:r w:rsidR="001815AB" w:rsidRPr="005E703A">
        <w:t>, 1983; Graham</w:t>
      </w:r>
      <w:r w:rsidR="00CD48C4" w:rsidRPr="005E703A">
        <w:t xml:space="preserve"> et al.</w:t>
      </w:r>
      <w:r w:rsidR="001815AB" w:rsidRPr="005E703A">
        <w:t xml:space="preserve">, 2016; Mineka &amp; </w:t>
      </w:r>
      <w:proofErr w:type="spellStart"/>
      <w:r w:rsidR="00A03EBE" w:rsidRPr="005E703A">
        <w:t>Zi</w:t>
      </w:r>
      <w:r w:rsidR="00A03EBE">
        <w:t>n</w:t>
      </w:r>
      <w:r w:rsidR="00A03EBE" w:rsidRPr="005E703A">
        <w:t>barg</w:t>
      </w:r>
      <w:proofErr w:type="spellEnd"/>
      <w:r w:rsidR="001815AB" w:rsidRPr="005E703A">
        <w:t xml:space="preserve">, 2006). The third approach emphasizes </w:t>
      </w:r>
      <w:r w:rsidR="00CD48C4" w:rsidRPr="005E703A">
        <w:t xml:space="preserve">a </w:t>
      </w:r>
      <w:r w:rsidR="001815AB" w:rsidRPr="005E703A">
        <w:t xml:space="preserve">curvilinear, U-shaped effect, according to which a low number of previous </w:t>
      </w:r>
      <w:r w:rsidR="008C5FB3" w:rsidRPr="005E703A">
        <w:t>stressful</w:t>
      </w:r>
      <w:r w:rsidR="001815AB" w:rsidRPr="005E703A">
        <w:t xml:space="preserve"> events, compared </w:t>
      </w:r>
      <w:r w:rsidR="00CD48C4" w:rsidRPr="005E703A">
        <w:t xml:space="preserve">with </w:t>
      </w:r>
      <w:r w:rsidR="001815AB" w:rsidRPr="005E703A">
        <w:t xml:space="preserve">a high number of </w:t>
      </w:r>
      <w:r w:rsidR="00F933EB" w:rsidRPr="005E703A">
        <w:t xml:space="preserve">previous </w:t>
      </w:r>
      <w:r w:rsidR="008C5FB3" w:rsidRPr="005E703A">
        <w:t>stressful</w:t>
      </w:r>
      <w:r w:rsidR="001815AB" w:rsidRPr="005E703A">
        <w:t xml:space="preserve"> </w:t>
      </w:r>
      <w:r w:rsidR="00F933EB" w:rsidRPr="005E703A">
        <w:t xml:space="preserve">events </w:t>
      </w:r>
      <w:r w:rsidR="001815AB" w:rsidRPr="005E703A">
        <w:t xml:space="preserve">or no previous </w:t>
      </w:r>
      <w:r w:rsidR="008C5FB3" w:rsidRPr="005E703A">
        <w:t>stressful</w:t>
      </w:r>
      <w:r w:rsidR="001815AB" w:rsidRPr="005E703A">
        <w:t xml:space="preserve"> experience, contributes to resilience (Gerber</w:t>
      </w:r>
      <w:r w:rsidR="00CD48C4" w:rsidRPr="005E703A">
        <w:t xml:space="preserve"> et al.</w:t>
      </w:r>
      <w:r w:rsidR="001815AB" w:rsidRPr="005E703A">
        <w:t xml:space="preserve">, 2018; </w:t>
      </w:r>
      <w:proofErr w:type="spellStart"/>
      <w:r w:rsidR="001815AB" w:rsidRPr="005E703A">
        <w:t>Seery</w:t>
      </w:r>
      <w:proofErr w:type="spellEnd"/>
      <w:r w:rsidR="001815AB" w:rsidRPr="005E703A">
        <w:t xml:space="preserve"> et al., 2010).</w:t>
      </w:r>
    </w:p>
    <w:p w14:paraId="6E1D85B5" w14:textId="539FD689" w:rsidR="001815AB" w:rsidRPr="005E703A" w:rsidRDefault="001815AB" w:rsidP="007E3604">
      <w:r w:rsidRPr="005E703A">
        <w:t xml:space="preserve">The current study findings </w:t>
      </w:r>
      <w:r w:rsidR="007E3604">
        <w:t>illustrate</w:t>
      </w:r>
      <w:r w:rsidR="007E3604" w:rsidRPr="005E703A">
        <w:t xml:space="preserve"> </w:t>
      </w:r>
      <w:r w:rsidR="00CD48C4" w:rsidRPr="005E703A">
        <w:t xml:space="preserve">the </w:t>
      </w:r>
      <w:r w:rsidRPr="005E703A">
        <w:t xml:space="preserve">need to examine the different influences of </w:t>
      </w:r>
      <w:r w:rsidR="008C5FB3" w:rsidRPr="005E703A">
        <w:t>stressful</w:t>
      </w:r>
      <w:r w:rsidRPr="005E703A">
        <w:t xml:space="preserve"> events</w:t>
      </w:r>
      <w:r w:rsidR="00681B06">
        <w:t>, since</w:t>
      </w:r>
      <w:r w:rsidR="007E3604">
        <w:t xml:space="preserve"> </w:t>
      </w:r>
      <w:r w:rsidR="00681B06">
        <w:t>e</w:t>
      </w:r>
      <w:r w:rsidR="007E3604" w:rsidRPr="005E703A">
        <w:t xml:space="preserve">xperiencing numerous stressful events after the </w:t>
      </w:r>
      <w:r w:rsidR="007E3604" w:rsidRPr="005E703A">
        <w:lastRenderedPageBreak/>
        <w:t>war (between T1 and T2) was a positive predictor of PTS</w:t>
      </w:r>
      <w:r w:rsidR="007E3604">
        <w:t xml:space="preserve"> whereas</w:t>
      </w:r>
      <w:r w:rsidR="007E3604" w:rsidRPr="005E703A">
        <w:t xml:space="preserve"> experiencing stressful events before the war (prior to T1) was a negative predictor of PTS.</w:t>
      </w:r>
      <w:r w:rsidR="007E3604">
        <w:t xml:space="preserve"> Therefore, i</w:t>
      </w:r>
      <w:r w:rsidR="006E02C0" w:rsidRPr="005E703A">
        <w:t xml:space="preserve">nstead of focusing only on the frequency </w:t>
      </w:r>
      <w:r w:rsidR="001105ED">
        <w:t xml:space="preserve">and/or intensity </w:t>
      </w:r>
      <w:r w:rsidR="006E02C0" w:rsidRPr="005E703A">
        <w:t xml:space="preserve">of </w:t>
      </w:r>
      <w:proofErr w:type="gramStart"/>
      <w:r w:rsidR="006E02C0" w:rsidRPr="005E703A">
        <w:t xml:space="preserve">past </w:t>
      </w:r>
      <w:r w:rsidR="006E02C0" w:rsidRPr="001105ED">
        <w:t>experience</w:t>
      </w:r>
      <w:proofErr w:type="gramEnd"/>
      <w:r w:rsidR="006E02C0" w:rsidRPr="001105ED">
        <w:t xml:space="preserve"> of </w:t>
      </w:r>
      <w:r w:rsidR="008C5FB3" w:rsidRPr="001105ED">
        <w:t>stressful</w:t>
      </w:r>
      <w:r w:rsidR="006E02C0" w:rsidRPr="001105ED">
        <w:t xml:space="preserve"> events, it is</w:t>
      </w:r>
      <w:r w:rsidR="006E02C0" w:rsidRPr="005E703A">
        <w:t xml:space="preserve"> important </w:t>
      </w:r>
      <w:r w:rsidR="00681B06" w:rsidRPr="005E703A">
        <w:t xml:space="preserve">also </w:t>
      </w:r>
      <w:r w:rsidR="006E02C0" w:rsidRPr="005E703A">
        <w:t xml:space="preserve">to examine the timing of </w:t>
      </w:r>
      <w:r w:rsidR="00CD48C4" w:rsidRPr="005E703A">
        <w:t>such</w:t>
      </w:r>
      <w:r w:rsidR="006E02C0" w:rsidRPr="005E703A">
        <w:t xml:space="preserve"> events</w:t>
      </w:r>
      <w:r w:rsidR="007E3604">
        <w:t>—</w:t>
      </w:r>
      <w:r w:rsidR="00CD48C4" w:rsidRPr="005E703A">
        <w:t>whether they</w:t>
      </w:r>
      <w:r w:rsidR="006E02C0" w:rsidRPr="005E703A">
        <w:t xml:space="preserve"> occurred recently</w:t>
      </w:r>
      <w:r w:rsidR="00B22763">
        <w:t xml:space="preserve"> or in the distant past</w:t>
      </w:r>
      <w:r w:rsidR="006E02C0" w:rsidRPr="005E703A">
        <w:t xml:space="preserve">. </w:t>
      </w:r>
    </w:p>
    <w:p w14:paraId="7D9F5455" w14:textId="7DB0B0BE" w:rsidR="006E02C0" w:rsidRPr="005E703A" w:rsidRDefault="001A0FB5" w:rsidP="00200EAF">
      <w:r>
        <w:t>To</w:t>
      </w:r>
      <w:r w:rsidR="006E02C0" w:rsidRPr="005E703A">
        <w:t xml:space="preserve"> </w:t>
      </w:r>
      <w:r w:rsidR="00F933EB" w:rsidRPr="005E703A">
        <w:t xml:space="preserve">explore </w:t>
      </w:r>
      <w:r w:rsidR="006E02C0" w:rsidRPr="005E703A">
        <w:t>this aspect</w:t>
      </w:r>
      <w:r>
        <w:t xml:space="preserve"> further</w:t>
      </w:r>
      <w:r w:rsidR="006E02C0" w:rsidRPr="005E703A">
        <w:t xml:space="preserve">, we examined the relationship between </w:t>
      </w:r>
      <w:proofErr w:type="gramStart"/>
      <w:r w:rsidR="006E02C0" w:rsidRPr="005E703A">
        <w:t>past experience</w:t>
      </w:r>
      <w:proofErr w:type="gramEnd"/>
      <w:r w:rsidR="006E02C0" w:rsidRPr="005E703A">
        <w:t xml:space="preserve"> of </w:t>
      </w:r>
      <w:r w:rsidR="008C5FB3" w:rsidRPr="005E703A">
        <w:t>stressful</w:t>
      </w:r>
      <w:r w:rsidR="006E02C0" w:rsidRPr="005E703A">
        <w:t xml:space="preserve"> events</w:t>
      </w:r>
      <w:r w:rsidR="00DC4A07" w:rsidRPr="005E703A">
        <w:t xml:space="preserve"> before the war </w:t>
      </w:r>
      <w:r w:rsidR="00F933EB" w:rsidRPr="005E703A">
        <w:t>(</w:t>
      </w:r>
      <w:r w:rsidR="00DC4A07" w:rsidRPr="005E703A">
        <w:t>at T1</w:t>
      </w:r>
      <w:r w:rsidR="00F933EB" w:rsidRPr="005E703A">
        <w:t>)</w:t>
      </w:r>
      <w:r w:rsidR="00DC4A07" w:rsidRPr="005E703A">
        <w:t xml:space="preserve"> and ASD</w:t>
      </w:r>
      <w:r w:rsidR="00F933EB" w:rsidRPr="005E703A">
        <w:t xml:space="preserve">; </w:t>
      </w:r>
      <w:r w:rsidR="00DC4A07" w:rsidRPr="005E703A">
        <w:t xml:space="preserve">no significant relationship was found (linear relationship </w:t>
      </w:r>
      <w:r w:rsidR="00DC4A07" w:rsidRPr="005E703A">
        <w:rPr>
          <w:i/>
          <w:iCs/>
        </w:rPr>
        <w:t>p</w:t>
      </w:r>
      <w:r w:rsidR="00DC4A07" w:rsidRPr="005E703A">
        <w:t xml:space="preserve"> = .09</w:t>
      </w:r>
      <w:r w:rsidR="0062230C" w:rsidRPr="005E703A">
        <w:t xml:space="preserve">; </w:t>
      </w:r>
      <w:r w:rsidR="00DC4A07" w:rsidRPr="005E703A">
        <w:t xml:space="preserve">curvilinear relationship </w:t>
      </w:r>
      <w:r w:rsidR="0062230C" w:rsidRPr="005E703A">
        <w:rPr>
          <w:i/>
          <w:iCs/>
        </w:rPr>
        <w:t>p</w:t>
      </w:r>
      <w:r w:rsidR="0062230C" w:rsidRPr="005E703A">
        <w:t> = </w:t>
      </w:r>
      <w:r w:rsidR="00DC4A07" w:rsidRPr="005E703A">
        <w:t>.08). In contrast, past experience of</w:t>
      </w:r>
      <w:r w:rsidR="00F933EB" w:rsidRPr="005E703A">
        <w:t xml:space="preserve"> (the same)</w:t>
      </w:r>
      <w:r w:rsidR="00DC4A07" w:rsidRPr="005E703A">
        <w:t xml:space="preserve"> </w:t>
      </w:r>
      <w:r w:rsidR="008C5FB3" w:rsidRPr="005E703A">
        <w:t>stressful</w:t>
      </w:r>
      <w:r w:rsidR="00DC4A07" w:rsidRPr="005E703A">
        <w:t xml:space="preserve"> events after the war was a factor that explained PTS </w:t>
      </w:r>
      <w:r w:rsidR="00B96B0B">
        <w:t>6</w:t>
      </w:r>
      <w:r w:rsidR="00B96B0B" w:rsidRPr="005E703A">
        <w:t xml:space="preserve"> </w:t>
      </w:r>
      <w:r w:rsidR="00DC4A07" w:rsidRPr="005E703A">
        <w:t xml:space="preserve">years later. In other words, the same </w:t>
      </w:r>
      <w:r w:rsidR="008C5FB3" w:rsidRPr="005E703A">
        <w:t>stressful</w:t>
      </w:r>
      <w:r w:rsidR="00DC4A07" w:rsidRPr="005E703A">
        <w:t xml:space="preserve"> events that occurred before exposure to the war (before T1</w:t>
      </w:r>
      <w:r w:rsidR="00681B06" w:rsidRPr="005E703A">
        <w:t>)</w:t>
      </w:r>
      <w:r w:rsidR="00A73B5E">
        <w:t>,</w:t>
      </w:r>
      <w:r w:rsidR="00681B06">
        <w:t xml:space="preserve"> and</w:t>
      </w:r>
      <w:r w:rsidR="00681B06" w:rsidRPr="005E703A">
        <w:t xml:space="preserve"> </w:t>
      </w:r>
      <w:r w:rsidR="00681B06">
        <w:t>that</w:t>
      </w:r>
      <w:r w:rsidR="00B96B0B" w:rsidRPr="005E703A">
        <w:t xml:space="preserve"> </w:t>
      </w:r>
      <w:r w:rsidR="00DC4A07" w:rsidRPr="005E703A">
        <w:t xml:space="preserve">did not explain </w:t>
      </w:r>
      <w:r w:rsidR="0097175A" w:rsidRPr="005E703A">
        <w:t xml:space="preserve">ASD </w:t>
      </w:r>
      <w:r w:rsidR="00DC4A07" w:rsidRPr="005E703A">
        <w:t>at T1</w:t>
      </w:r>
      <w:r w:rsidR="0097175A" w:rsidRPr="005E703A">
        <w:t xml:space="preserve">, </w:t>
      </w:r>
      <w:r w:rsidR="00DC4A07" w:rsidRPr="005E703A">
        <w:t xml:space="preserve">contributed to the prevention of PTS </w:t>
      </w:r>
      <w:r w:rsidR="00B96B0B">
        <w:t>6</w:t>
      </w:r>
      <w:r w:rsidR="00B96B0B" w:rsidRPr="005E703A">
        <w:t xml:space="preserve"> </w:t>
      </w:r>
      <w:r w:rsidR="00DC4A07" w:rsidRPr="005E703A">
        <w:t>years later.</w:t>
      </w:r>
    </w:p>
    <w:p w14:paraId="64732A27" w14:textId="4226BAD9" w:rsidR="00177B66" w:rsidRPr="005E703A" w:rsidRDefault="00033CED" w:rsidP="00200EAF">
      <w:proofErr w:type="gramStart"/>
      <w:r w:rsidRPr="005E703A">
        <w:t xml:space="preserve">It is possible that processing </w:t>
      </w:r>
      <w:r w:rsidR="008C5FB3" w:rsidRPr="005E703A">
        <w:t>stressful</w:t>
      </w:r>
      <w:r w:rsidRPr="005E703A">
        <w:t xml:space="preserve"> events over </w:t>
      </w:r>
      <w:r w:rsidR="0097175A" w:rsidRPr="005E703A">
        <w:t>time</w:t>
      </w:r>
      <w:r w:rsidRPr="005E703A">
        <w:t xml:space="preserve"> may</w:t>
      </w:r>
      <w:proofErr w:type="gramEnd"/>
      <w:r w:rsidRPr="005E703A">
        <w:t xml:space="preserve"> ease the</w:t>
      </w:r>
      <w:r w:rsidR="00F933EB" w:rsidRPr="005E703A">
        <w:t xml:space="preserve"> individual’s</w:t>
      </w:r>
      <w:r w:rsidRPr="005E703A">
        <w:t xml:space="preserve"> </w:t>
      </w:r>
      <w:r w:rsidR="00F933EB" w:rsidRPr="005E703A">
        <w:t xml:space="preserve">perception </w:t>
      </w:r>
      <w:r w:rsidRPr="005E703A">
        <w:t xml:space="preserve">of exposure to the </w:t>
      </w:r>
      <w:r w:rsidR="00F933EB" w:rsidRPr="005E703A">
        <w:t xml:space="preserve">traumatic </w:t>
      </w:r>
      <w:r w:rsidRPr="005E703A">
        <w:t>event as a threatening factor</w:t>
      </w:r>
      <w:r w:rsidR="00F933EB" w:rsidRPr="005E703A">
        <w:t>,</w:t>
      </w:r>
      <w:r w:rsidRPr="005E703A">
        <w:t xml:space="preserve"> or even turn the event into a learning experience </w:t>
      </w:r>
      <w:r w:rsidR="00681B06">
        <w:t>that</w:t>
      </w:r>
      <w:r w:rsidR="00681B06" w:rsidRPr="005E703A">
        <w:t xml:space="preserve"> </w:t>
      </w:r>
      <w:r w:rsidRPr="005E703A">
        <w:t xml:space="preserve">protects the individual from developing additional PTS symptoms. This explanation is </w:t>
      </w:r>
      <w:r w:rsidR="00B96B0B">
        <w:t>inconsistent</w:t>
      </w:r>
      <w:r w:rsidRPr="005E703A">
        <w:t xml:space="preserve"> with the hypothesis </w:t>
      </w:r>
      <w:r w:rsidR="00E900DF" w:rsidRPr="005E703A">
        <w:t xml:space="preserve">that </w:t>
      </w:r>
      <w:r w:rsidRPr="005E703A">
        <w:t xml:space="preserve">stress recedes over time, according to which the effect of </w:t>
      </w:r>
      <w:r w:rsidR="008C5FB3" w:rsidRPr="005E703A">
        <w:t>stressful</w:t>
      </w:r>
      <w:r w:rsidRPr="005E703A">
        <w:t xml:space="preserve"> events from </w:t>
      </w:r>
      <w:r w:rsidR="00B96B0B">
        <w:t>the distant past</w:t>
      </w:r>
      <w:r w:rsidRPr="005E703A">
        <w:t xml:space="preserve"> </w:t>
      </w:r>
      <w:r w:rsidR="00B96B0B">
        <w:t>w</w:t>
      </w:r>
      <w:r w:rsidR="00B96B0B" w:rsidRPr="005E703A">
        <w:t xml:space="preserve">ould </w:t>
      </w:r>
      <w:r w:rsidRPr="005E703A">
        <w:t>diminish over time (</w:t>
      </w:r>
      <w:proofErr w:type="spellStart"/>
      <w:r w:rsidRPr="005E703A">
        <w:t>Bonanno</w:t>
      </w:r>
      <w:proofErr w:type="spellEnd"/>
      <w:r w:rsidRPr="005E703A">
        <w:t xml:space="preserve">, 2004; </w:t>
      </w:r>
      <w:proofErr w:type="spellStart"/>
      <w:r w:rsidR="00A03EBE" w:rsidRPr="005E703A">
        <w:t>Fig</w:t>
      </w:r>
      <w:r w:rsidR="00A03EBE">
        <w:t>le</w:t>
      </w:r>
      <w:r w:rsidR="00A03EBE" w:rsidRPr="005E703A">
        <w:t>y</w:t>
      </w:r>
      <w:proofErr w:type="spellEnd"/>
      <w:r w:rsidRPr="005E703A">
        <w:t xml:space="preserve">, 1978). Instead, the </w:t>
      </w:r>
      <w:r w:rsidR="00B96B0B">
        <w:t xml:space="preserve">perception of the </w:t>
      </w:r>
      <w:r w:rsidRPr="005E703A">
        <w:t xml:space="preserve">effect of </w:t>
      </w:r>
      <w:r w:rsidR="008C5FB3" w:rsidRPr="005E703A">
        <w:t>stressful</w:t>
      </w:r>
      <w:r w:rsidRPr="005E703A">
        <w:t xml:space="preserve"> events from </w:t>
      </w:r>
      <w:r w:rsidR="00B96B0B">
        <w:t>the distant past</w:t>
      </w:r>
      <w:r w:rsidRPr="005E703A">
        <w:t xml:space="preserve"> </w:t>
      </w:r>
      <w:r w:rsidR="00B96B0B">
        <w:t xml:space="preserve">has </w:t>
      </w:r>
      <w:r w:rsidRPr="005E703A">
        <w:t>change</w:t>
      </w:r>
      <w:r w:rsidR="00224CE9" w:rsidRPr="005E703A">
        <w:t>d</w:t>
      </w:r>
      <w:r w:rsidR="00B96B0B">
        <w:t>—</w:t>
      </w:r>
      <w:r w:rsidRPr="005E703A">
        <w:t>from threatening</w:t>
      </w:r>
      <w:r w:rsidR="00B96B0B">
        <w:t xml:space="preserve"> </w:t>
      </w:r>
      <w:r w:rsidRPr="005E703A">
        <w:t xml:space="preserve">to </w:t>
      </w:r>
      <w:proofErr w:type="gramStart"/>
      <w:r w:rsidR="00B96B0B">
        <w:t>strengthening</w:t>
      </w:r>
      <w:proofErr w:type="gramEnd"/>
      <w:r w:rsidRPr="005E703A">
        <w:t xml:space="preserve"> the individual.</w:t>
      </w:r>
      <w:r w:rsidR="00AF61FD" w:rsidRPr="005E703A">
        <w:t xml:space="preserve"> </w:t>
      </w:r>
      <w:r w:rsidR="00B96B0B">
        <w:t>Th</w:t>
      </w:r>
      <w:r w:rsidR="00FD07AE">
        <w:t>us</w:t>
      </w:r>
      <w:r w:rsidR="00AF61FD" w:rsidRPr="005E703A">
        <w:t xml:space="preserve">, although </w:t>
      </w:r>
      <w:r w:rsidR="00224CE9" w:rsidRPr="005E703A">
        <w:t xml:space="preserve">the </w:t>
      </w:r>
      <w:r w:rsidR="008C5FB3" w:rsidRPr="005E703A">
        <w:t>stressful</w:t>
      </w:r>
      <w:r w:rsidR="00224CE9" w:rsidRPr="005E703A">
        <w:t xml:space="preserve"> events remained the same in terms of content</w:t>
      </w:r>
      <w:r w:rsidR="00AF61FD" w:rsidRPr="005E703A">
        <w:t>,</w:t>
      </w:r>
      <w:r w:rsidR="00224CE9" w:rsidRPr="005E703A">
        <w:t xml:space="preserve"> </w:t>
      </w:r>
      <w:r w:rsidR="00AF61FD" w:rsidRPr="005E703A">
        <w:t>the</w:t>
      </w:r>
      <w:r w:rsidR="00F933EB" w:rsidRPr="005E703A">
        <w:t xml:space="preserve"> </w:t>
      </w:r>
      <w:r w:rsidR="00FD07AE" w:rsidRPr="005E703A">
        <w:t>pass</w:t>
      </w:r>
      <w:r w:rsidR="00FD07AE">
        <w:t>age of</w:t>
      </w:r>
      <w:r w:rsidR="00FD07AE" w:rsidRPr="005E703A">
        <w:t xml:space="preserve"> </w:t>
      </w:r>
      <w:r w:rsidR="00AF61FD" w:rsidRPr="005E703A">
        <w:t>time</w:t>
      </w:r>
      <w:r w:rsidR="00F933EB" w:rsidRPr="005E703A">
        <w:t xml:space="preserve"> </w:t>
      </w:r>
      <w:r w:rsidR="00224CE9" w:rsidRPr="005E703A">
        <w:t xml:space="preserve">was </w:t>
      </w:r>
      <w:r w:rsidR="00F933EB" w:rsidRPr="005E703A">
        <w:t>beneficial</w:t>
      </w:r>
      <w:r w:rsidR="00224CE9" w:rsidRPr="005E703A">
        <w:t xml:space="preserve"> from the individual’s perspective</w:t>
      </w:r>
      <w:r w:rsidR="00F933EB" w:rsidRPr="005E703A">
        <w:t xml:space="preserve">. </w:t>
      </w:r>
      <w:r w:rsidR="00FD07AE">
        <w:t>People</w:t>
      </w:r>
      <w:r w:rsidR="00224CE9" w:rsidRPr="005E703A">
        <w:t xml:space="preserve"> </w:t>
      </w:r>
      <w:r w:rsidR="00FD07AE">
        <w:t xml:space="preserve">were able, over time, </w:t>
      </w:r>
      <w:r w:rsidR="00AF61FD" w:rsidRPr="005E703A">
        <w:t xml:space="preserve">to minimize the </w:t>
      </w:r>
      <w:r w:rsidR="00224CE9" w:rsidRPr="005E703A">
        <w:t xml:space="preserve">sense </w:t>
      </w:r>
      <w:r w:rsidR="00AF61FD" w:rsidRPr="005E703A">
        <w:t>of threat they experienced from the events</w:t>
      </w:r>
      <w:r w:rsidR="00224CE9" w:rsidRPr="005E703A">
        <w:t xml:space="preserve"> </w:t>
      </w:r>
      <w:r w:rsidR="00F933EB" w:rsidRPr="005E703A">
        <w:t xml:space="preserve">and </w:t>
      </w:r>
      <w:r w:rsidR="00FD07AE">
        <w:t>had the opportunity</w:t>
      </w:r>
      <w:r w:rsidR="00AF61FD" w:rsidRPr="005E703A">
        <w:t xml:space="preserve"> to benefit from their learning experience. </w:t>
      </w:r>
      <w:r w:rsidR="00072984" w:rsidRPr="005E703A">
        <w:t xml:space="preserve">Therefore, </w:t>
      </w:r>
      <w:r w:rsidR="00224CE9" w:rsidRPr="005E703A">
        <w:t>it would be interesting to</w:t>
      </w:r>
      <w:r w:rsidR="00AF61FD" w:rsidRPr="005E703A">
        <w:t xml:space="preserve"> investigate this aspect in future studies.</w:t>
      </w:r>
    </w:p>
    <w:p w14:paraId="3DC6C535" w14:textId="1BAABEAE" w:rsidR="00070F63" w:rsidRPr="005E703A" w:rsidRDefault="00681B06" w:rsidP="00443395">
      <w:r>
        <w:lastRenderedPageBreak/>
        <w:t>We suggest a</w:t>
      </w:r>
      <w:r w:rsidRPr="005E703A">
        <w:t xml:space="preserve">nother </w:t>
      </w:r>
      <w:r w:rsidR="00224CE9" w:rsidRPr="005E703A">
        <w:t>explanation of</w:t>
      </w:r>
      <w:r w:rsidR="00AF61FD" w:rsidRPr="005E703A">
        <w:t xml:space="preserve"> the findings</w:t>
      </w:r>
      <w:r>
        <w:t>:</w:t>
      </w:r>
      <w:r w:rsidR="00AF61FD" w:rsidRPr="005E703A">
        <w:t xml:space="preserve"> </w:t>
      </w:r>
      <w:r w:rsidR="00A70C04" w:rsidRPr="005E703A">
        <w:t>R</w:t>
      </w:r>
      <w:r w:rsidR="00224CE9" w:rsidRPr="005E703A">
        <w:t>esearch has indicated</w:t>
      </w:r>
      <w:r w:rsidR="00AF61FD" w:rsidRPr="005E703A">
        <w:t xml:space="preserve"> </w:t>
      </w:r>
      <w:r w:rsidR="00FD07AE">
        <w:t>the</w:t>
      </w:r>
      <w:r w:rsidR="00FD07AE" w:rsidRPr="005E703A">
        <w:t xml:space="preserve"> </w:t>
      </w:r>
      <w:r w:rsidR="00AF61FD" w:rsidRPr="005E703A">
        <w:t xml:space="preserve">need to examine not only pathogenic responses, such as PTS, but also </w:t>
      </w:r>
      <w:proofErr w:type="spellStart"/>
      <w:r w:rsidR="00AF61FD" w:rsidRPr="005E703A">
        <w:t>salutogenic</w:t>
      </w:r>
      <w:proofErr w:type="spellEnd"/>
      <w:r w:rsidR="00AF61FD" w:rsidRPr="005E703A">
        <w:t xml:space="preserve"> responses that reflect a tendency to report significant positive changes </w:t>
      </w:r>
      <w:r w:rsidR="00224CE9" w:rsidRPr="005E703A">
        <w:t xml:space="preserve">in </w:t>
      </w:r>
      <w:r w:rsidR="00AF61FD" w:rsidRPr="005E703A">
        <w:t>self-perceptions and relations</w:t>
      </w:r>
      <w:r w:rsidR="00072984" w:rsidRPr="005E703A">
        <w:t>hips</w:t>
      </w:r>
      <w:r w:rsidR="00AF61FD" w:rsidRPr="005E703A">
        <w:t xml:space="preserve"> with others following exposure to traumatic experience</w:t>
      </w:r>
      <w:r w:rsidR="00072984" w:rsidRPr="005E703A">
        <w:t>s</w:t>
      </w:r>
      <w:r w:rsidR="00AF61FD" w:rsidRPr="005E703A">
        <w:t xml:space="preserve"> (Joseph &amp; Linley, 2008; </w:t>
      </w:r>
      <w:proofErr w:type="spellStart"/>
      <w:r w:rsidR="00224CE9" w:rsidRPr="005E703A">
        <w:t>Leiva</w:t>
      </w:r>
      <w:proofErr w:type="spellEnd"/>
      <w:r w:rsidR="00224CE9" w:rsidRPr="005E703A">
        <w:t xml:space="preserve">-Bianchi &amp; </w:t>
      </w:r>
      <w:proofErr w:type="spellStart"/>
      <w:r w:rsidR="00224CE9" w:rsidRPr="005E703A">
        <w:t>Areneda</w:t>
      </w:r>
      <w:proofErr w:type="spellEnd"/>
      <w:r w:rsidR="00224CE9" w:rsidRPr="005E703A">
        <w:t xml:space="preserve">, 2015; </w:t>
      </w:r>
      <w:proofErr w:type="spellStart"/>
      <w:r w:rsidR="00BC729D" w:rsidRPr="005E703A">
        <w:t>Tedeschi</w:t>
      </w:r>
      <w:proofErr w:type="spellEnd"/>
      <w:r w:rsidR="00BC07CC" w:rsidRPr="005E703A">
        <w:t xml:space="preserve"> et al.</w:t>
      </w:r>
      <w:r w:rsidR="00BC729D" w:rsidRPr="005E703A">
        <w:t>, 2007).</w:t>
      </w:r>
      <w:r w:rsidR="00AF61FD" w:rsidRPr="005E703A">
        <w:t xml:space="preserve"> Calhoun </w:t>
      </w:r>
      <w:r w:rsidR="00750FE5" w:rsidRPr="005E703A">
        <w:t xml:space="preserve">and </w:t>
      </w:r>
      <w:proofErr w:type="spellStart"/>
      <w:r w:rsidR="00750FE5" w:rsidRPr="005E703A">
        <w:t>Tedeschi</w:t>
      </w:r>
      <w:proofErr w:type="spellEnd"/>
      <w:r w:rsidR="00750FE5" w:rsidRPr="005E703A">
        <w:t xml:space="preserve"> </w:t>
      </w:r>
      <w:r w:rsidR="00750FE5">
        <w:t xml:space="preserve">(2004) </w:t>
      </w:r>
      <w:r w:rsidR="00AF61FD" w:rsidRPr="005E703A">
        <w:t xml:space="preserve">conceptualized the </w:t>
      </w:r>
      <w:proofErr w:type="spellStart"/>
      <w:r w:rsidR="00AF61FD" w:rsidRPr="005E703A">
        <w:t>salutogenic</w:t>
      </w:r>
      <w:proofErr w:type="spellEnd"/>
      <w:r w:rsidR="00AF61FD" w:rsidRPr="005E703A">
        <w:t xml:space="preserve"> response as a change</w:t>
      </w:r>
      <w:r w:rsidR="00072984" w:rsidRPr="005E703A">
        <w:t xml:space="preserve">, </w:t>
      </w:r>
      <w:r w:rsidR="00224CE9" w:rsidRPr="005E703A">
        <w:t>which they referred to as</w:t>
      </w:r>
      <w:r w:rsidR="00AF61FD" w:rsidRPr="005E703A">
        <w:t xml:space="preserve"> </w:t>
      </w:r>
      <w:r w:rsidR="00AF61FD" w:rsidRPr="005E703A">
        <w:rPr>
          <w:i/>
          <w:iCs/>
        </w:rPr>
        <w:t>pos</w:t>
      </w:r>
      <w:r w:rsidR="00070F63" w:rsidRPr="005E703A">
        <w:rPr>
          <w:i/>
          <w:iCs/>
        </w:rPr>
        <w:t>t</w:t>
      </w:r>
      <w:r w:rsidR="00AF61FD" w:rsidRPr="005E703A">
        <w:rPr>
          <w:i/>
          <w:iCs/>
        </w:rPr>
        <w:t>traumatic growth</w:t>
      </w:r>
      <w:r w:rsidR="00AF61FD" w:rsidRPr="005E703A">
        <w:t xml:space="preserve"> (PTG</w:t>
      </w:r>
      <w:r w:rsidR="00443395">
        <w:t>;</w:t>
      </w:r>
      <w:r w:rsidR="00AF61FD" w:rsidRPr="005E703A">
        <w:t xml:space="preserve"> Calhoun &amp; </w:t>
      </w:r>
      <w:proofErr w:type="spellStart"/>
      <w:r w:rsidR="00AF61FD" w:rsidRPr="005E703A">
        <w:t>Tedeschi</w:t>
      </w:r>
      <w:proofErr w:type="spellEnd"/>
      <w:r w:rsidR="00AF61FD" w:rsidRPr="005E703A">
        <w:t xml:space="preserve">, 2004; </w:t>
      </w:r>
      <w:proofErr w:type="spellStart"/>
      <w:r w:rsidR="00AF61FD" w:rsidRPr="005E703A">
        <w:t>Tedeschi</w:t>
      </w:r>
      <w:proofErr w:type="spellEnd"/>
      <w:r w:rsidR="00AF61FD" w:rsidRPr="005E703A">
        <w:t xml:space="preserve">, 2011; </w:t>
      </w:r>
      <w:proofErr w:type="spellStart"/>
      <w:r w:rsidR="00BC729D" w:rsidRPr="005E703A">
        <w:rPr>
          <w:rStyle w:val="hlfld-contribauthor"/>
          <w:lang w:val="en"/>
        </w:rPr>
        <w:t>Tedeschi</w:t>
      </w:r>
      <w:proofErr w:type="spellEnd"/>
      <w:r w:rsidR="00BC07CC" w:rsidRPr="005E703A">
        <w:rPr>
          <w:rStyle w:val="hlfld-contribauthor"/>
          <w:lang w:val="en"/>
        </w:rPr>
        <w:t xml:space="preserve"> et al.,</w:t>
      </w:r>
      <w:r w:rsidR="00BC729D" w:rsidRPr="005E703A">
        <w:rPr>
          <w:lang w:val="en"/>
        </w:rPr>
        <w:t xml:space="preserve"> </w:t>
      </w:r>
      <w:r w:rsidR="00AF61FD" w:rsidRPr="005E703A">
        <w:t>2018).</w:t>
      </w:r>
      <w:r w:rsidR="00443395">
        <w:t xml:space="preserve"> </w:t>
      </w:r>
      <w:r w:rsidR="00AF61FD" w:rsidRPr="005E703A">
        <w:t>They</w:t>
      </w:r>
      <w:r w:rsidR="006F6E39" w:rsidRPr="005E703A">
        <w:t xml:space="preserve"> define</w:t>
      </w:r>
      <w:r w:rsidR="00224CE9" w:rsidRPr="005E703A">
        <w:t>d</w:t>
      </w:r>
      <w:r w:rsidR="006F6E39" w:rsidRPr="005E703A">
        <w:t xml:space="preserve"> posttraumatic growth as a unique experience, a positive and meaningful change </w:t>
      </w:r>
      <w:r w:rsidR="00070F63" w:rsidRPr="005E703A">
        <w:t xml:space="preserve">that </w:t>
      </w:r>
      <w:r w:rsidR="00072984" w:rsidRPr="005E703A">
        <w:t xml:space="preserve">evolves from struggling </w:t>
      </w:r>
      <w:r w:rsidR="006F6E39" w:rsidRPr="005E703A">
        <w:t xml:space="preserve">and coping with the trauma and its concrete and psychological results. </w:t>
      </w:r>
      <w:r w:rsidR="00443395">
        <w:t>PTG might be a</w:t>
      </w:r>
      <w:r w:rsidR="006F6E39" w:rsidRPr="005E703A">
        <w:t xml:space="preserve"> possible </w:t>
      </w:r>
      <w:r w:rsidR="00443395">
        <w:t>explanation for</w:t>
      </w:r>
      <w:r w:rsidR="006F6E39" w:rsidRPr="005E703A">
        <w:t xml:space="preserve"> </w:t>
      </w:r>
      <w:r w:rsidR="00070F63" w:rsidRPr="005E703A">
        <w:t xml:space="preserve">moderation </w:t>
      </w:r>
      <w:r w:rsidR="006F6E39" w:rsidRPr="005E703A">
        <w:t xml:space="preserve">of PTS following </w:t>
      </w:r>
      <w:r w:rsidR="00072984" w:rsidRPr="005E703A">
        <w:t xml:space="preserve">a </w:t>
      </w:r>
      <w:r w:rsidR="006F6E39" w:rsidRPr="005E703A">
        <w:t>past</w:t>
      </w:r>
      <w:r w:rsidR="00072984" w:rsidRPr="005E703A">
        <w:t xml:space="preserve"> traumatic</w:t>
      </w:r>
      <w:r w:rsidR="006F6E39" w:rsidRPr="005E703A">
        <w:t xml:space="preserve"> experience. </w:t>
      </w:r>
      <w:r w:rsidR="000F307F" w:rsidRPr="005E703A">
        <w:t xml:space="preserve">Individuals who </w:t>
      </w:r>
      <w:r w:rsidR="00B80D05">
        <w:t xml:space="preserve">have </w:t>
      </w:r>
      <w:r w:rsidR="000F307F" w:rsidRPr="005E703A">
        <w:t xml:space="preserve">experienced </w:t>
      </w:r>
      <w:r w:rsidR="008C5FB3" w:rsidRPr="005E703A">
        <w:t>stressful</w:t>
      </w:r>
      <w:r w:rsidR="000F307F" w:rsidRPr="005E703A">
        <w:t xml:space="preserve"> events in the past are better equipped to cope with new </w:t>
      </w:r>
      <w:r w:rsidR="00B80D05">
        <w:t>stressful</w:t>
      </w:r>
      <w:r w:rsidR="00B80D05" w:rsidRPr="005E703A">
        <w:t xml:space="preserve"> </w:t>
      </w:r>
      <w:r w:rsidR="000F307F" w:rsidRPr="005E703A">
        <w:t xml:space="preserve">events </w:t>
      </w:r>
      <w:proofErr w:type="gramStart"/>
      <w:r w:rsidR="000F307F" w:rsidRPr="005E703A">
        <w:t>as a result</w:t>
      </w:r>
      <w:proofErr w:type="gramEnd"/>
      <w:r w:rsidR="000F307F" w:rsidRPr="005E703A">
        <w:t xml:space="preserve"> of the</w:t>
      </w:r>
      <w:r w:rsidR="00B80D05">
        <w:t>ir</w:t>
      </w:r>
      <w:r w:rsidR="000F307F" w:rsidRPr="005E703A">
        <w:t xml:space="preserve"> PTG. </w:t>
      </w:r>
      <w:r w:rsidR="00072984" w:rsidRPr="005E703A">
        <w:t xml:space="preserve">Therefore, </w:t>
      </w:r>
      <w:r w:rsidR="00B80D05">
        <w:t xml:space="preserve">we recommend investigating </w:t>
      </w:r>
      <w:r w:rsidR="000F307F" w:rsidRPr="005E703A">
        <w:t>this idea</w:t>
      </w:r>
      <w:r w:rsidR="00070F63" w:rsidRPr="005E703A">
        <w:t xml:space="preserve"> </w:t>
      </w:r>
      <w:r w:rsidR="0047649E" w:rsidRPr="005E703A">
        <w:t>in future studies. Nevertheless, the findings of the current study show that it is</w:t>
      </w:r>
      <w:r w:rsidR="00072984" w:rsidRPr="005E703A">
        <w:t xml:space="preserve"> worthwhile</w:t>
      </w:r>
      <w:r w:rsidR="0047649E" w:rsidRPr="005E703A">
        <w:t xml:space="preserve"> to examine</w:t>
      </w:r>
      <w:r w:rsidR="000F307F" w:rsidRPr="005E703A">
        <w:t xml:space="preserve"> the development of PTG and its </w:t>
      </w:r>
      <w:r w:rsidR="00B80D05">
        <w:t xml:space="preserve">longitudinal </w:t>
      </w:r>
      <w:r w:rsidR="000F307F" w:rsidRPr="005E703A">
        <w:t>benefit</w:t>
      </w:r>
      <w:r w:rsidR="00072984" w:rsidRPr="005E703A">
        <w:t>s</w:t>
      </w:r>
      <w:r w:rsidR="000F307F" w:rsidRPr="005E703A">
        <w:t>, to determine whether</w:t>
      </w:r>
      <w:r w:rsidR="0047649E" w:rsidRPr="005E703A">
        <w:t xml:space="preserve"> </w:t>
      </w:r>
      <w:r>
        <w:t>it</w:t>
      </w:r>
      <w:r w:rsidRPr="005E703A">
        <w:t xml:space="preserve"> </w:t>
      </w:r>
      <w:r w:rsidR="0047649E" w:rsidRPr="005E703A">
        <w:t>increases over time.</w:t>
      </w:r>
    </w:p>
    <w:p w14:paraId="43C050B3" w14:textId="0061E185" w:rsidR="007F2333" w:rsidRPr="00750FE5" w:rsidRDefault="007F2333" w:rsidP="00927428">
      <w:pPr>
        <w:pStyle w:val="Heading2"/>
        <w:rPr>
          <w:i/>
          <w:iCs/>
          <w:rtl/>
        </w:rPr>
      </w:pPr>
      <w:r w:rsidRPr="00750FE5">
        <w:rPr>
          <w:i/>
          <w:iCs/>
        </w:rPr>
        <w:t xml:space="preserve">Limitations and </w:t>
      </w:r>
      <w:r w:rsidR="0061229E">
        <w:rPr>
          <w:i/>
          <w:iCs/>
        </w:rPr>
        <w:t>d</w:t>
      </w:r>
      <w:r w:rsidRPr="00750FE5">
        <w:rPr>
          <w:i/>
          <w:iCs/>
        </w:rPr>
        <w:t>irections</w:t>
      </w:r>
      <w:r w:rsidR="0061229E">
        <w:rPr>
          <w:i/>
          <w:iCs/>
        </w:rPr>
        <w:t xml:space="preserve"> for future research</w:t>
      </w:r>
    </w:p>
    <w:p w14:paraId="43E4C6E8" w14:textId="6B04B8F1" w:rsidR="006E7C07" w:rsidRPr="005E703A" w:rsidRDefault="006E7C07" w:rsidP="00927428">
      <w:r w:rsidRPr="005E703A">
        <w:t xml:space="preserve">As a prospective </w:t>
      </w:r>
      <w:r w:rsidR="00657AFA" w:rsidRPr="005E703A">
        <w:t xml:space="preserve">longitudinal </w:t>
      </w:r>
      <w:r w:rsidRPr="005E703A">
        <w:t xml:space="preserve">study, the current </w:t>
      </w:r>
      <w:r w:rsidR="00070F63" w:rsidRPr="005E703A">
        <w:t xml:space="preserve">research offers an important contribution </w:t>
      </w:r>
      <w:r w:rsidR="00072984" w:rsidRPr="005E703A">
        <w:t>because</w:t>
      </w:r>
      <w:r w:rsidR="003F3666" w:rsidRPr="005E703A">
        <w:t xml:space="preserve"> it</w:t>
      </w:r>
      <w:r w:rsidRPr="005E703A">
        <w:t xml:space="preserve"> </w:t>
      </w:r>
      <w:r w:rsidR="00070F63" w:rsidRPr="005E703A">
        <w:t xml:space="preserve">examined </w:t>
      </w:r>
      <w:r w:rsidRPr="005E703A">
        <w:t>participants in real-time</w:t>
      </w:r>
      <w:r w:rsidR="0083035F">
        <w:t>—</w:t>
      </w:r>
      <w:r w:rsidRPr="005E703A">
        <w:t xml:space="preserve">during </w:t>
      </w:r>
      <w:r w:rsidR="00070F63" w:rsidRPr="005E703A">
        <w:t xml:space="preserve">a </w:t>
      </w:r>
      <w:r w:rsidRPr="005E703A">
        <w:t>war</w:t>
      </w:r>
      <w:r w:rsidR="0083035F">
        <w:t>—</w:t>
      </w:r>
      <w:r w:rsidRPr="005E703A">
        <w:t xml:space="preserve">and </w:t>
      </w:r>
      <w:r w:rsidR="007A37C7" w:rsidRPr="005E703A">
        <w:t>throughout the</w:t>
      </w:r>
      <w:r w:rsidR="003F3666" w:rsidRPr="005E703A">
        <w:t xml:space="preserve"> </w:t>
      </w:r>
      <w:r w:rsidR="00070F63" w:rsidRPr="005E703A">
        <w:t xml:space="preserve">research </w:t>
      </w:r>
      <w:r w:rsidR="003F3666" w:rsidRPr="005E703A">
        <w:t xml:space="preserve">period </w:t>
      </w:r>
      <w:r w:rsidR="007A37C7" w:rsidRPr="005E703A">
        <w:t>at two time points.</w:t>
      </w:r>
      <w:r w:rsidR="00072984" w:rsidRPr="005E703A">
        <w:t xml:space="preserve"> F</w:t>
      </w:r>
      <w:r w:rsidR="007A37C7" w:rsidRPr="005E703A">
        <w:t xml:space="preserve">uture studies </w:t>
      </w:r>
      <w:r w:rsidR="0083035F">
        <w:t>are recommended to</w:t>
      </w:r>
      <w:r w:rsidR="0083035F" w:rsidRPr="005E703A">
        <w:t xml:space="preserve"> </w:t>
      </w:r>
      <w:r w:rsidR="007A37C7" w:rsidRPr="005E703A">
        <w:t xml:space="preserve">examine additional </w:t>
      </w:r>
      <w:proofErr w:type="gramStart"/>
      <w:r w:rsidR="007A37C7" w:rsidRPr="005E703A">
        <w:t>time periods</w:t>
      </w:r>
      <w:r w:rsidR="0083035F">
        <w:t>—</w:t>
      </w:r>
      <w:proofErr w:type="gramEnd"/>
      <w:r w:rsidR="007A37C7" w:rsidRPr="005E703A">
        <w:t xml:space="preserve">before </w:t>
      </w:r>
      <w:r w:rsidR="00070F63" w:rsidRPr="005E703A">
        <w:t xml:space="preserve">a </w:t>
      </w:r>
      <w:r w:rsidR="007A37C7" w:rsidRPr="005E703A">
        <w:t>war</w:t>
      </w:r>
      <w:r w:rsidR="00070F63" w:rsidRPr="005E703A">
        <w:t xml:space="preserve"> </w:t>
      </w:r>
      <w:r w:rsidR="007A37C7" w:rsidRPr="005E703A">
        <w:t xml:space="preserve">and </w:t>
      </w:r>
      <w:r w:rsidR="0083035F">
        <w:t xml:space="preserve">during </w:t>
      </w:r>
      <w:r w:rsidR="007A37C7" w:rsidRPr="005E703A">
        <w:t>other intermediary periods between the war and</w:t>
      </w:r>
      <w:r w:rsidR="00072984" w:rsidRPr="005E703A">
        <w:t xml:space="preserve"> </w:t>
      </w:r>
      <w:r w:rsidR="00681B06">
        <w:t xml:space="preserve">in </w:t>
      </w:r>
      <w:r w:rsidR="0083035F">
        <w:t>subsequent</w:t>
      </w:r>
      <w:r w:rsidR="007A37C7" w:rsidRPr="005E703A">
        <w:t xml:space="preserve"> years.</w:t>
      </w:r>
    </w:p>
    <w:p w14:paraId="3AAF90FE" w14:textId="0C525C26" w:rsidR="00B67919" w:rsidRDefault="00C21870" w:rsidP="00684CC5">
      <w:r>
        <w:t>Despite the focus</w:t>
      </w:r>
      <w:r w:rsidR="00070F63" w:rsidRPr="005E703A">
        <w:t xml:space="preserve"> on </w:t>
      </w:r>
      <w:r w:rsidR="007A37C7" w:rsidRPr="005E703A">
        <w:t>a diverse population</w:t>
      </w:r>
      <w:r>
        <w:t>, the study group was limited n</w:t>
      </w:r>
      <w:r w:rsidR="00A73B5E">
        <w:t>one</w:t>
      </w:r>
      <w:r>
        <w:t>theless,</w:t>
      </w:r>
      <w:r w:rsidR="007A37C7" w:rsidRPr="005E703A">
        <w:t xml:space="preserve"> </w:t>
      </w:r>
      <w:r>
        <w:t>and</w:t>
      </w:r>
      <w:r w:rsidR="007A37C7" w:rsidRPr="005E703A">
        <w:t xml:space="preserve"> future studies </w:t>
      </w:r>
      <w:r>
        <w:t>c</w:t>
      </w:r>
      <w:r w:rsidRPr="005E703A">
        <w:t xml:space="preserve">ould </w:t>
      </w:r>
      <w:r w:rsidR="007A37C7" w:rsidRPr="005E703A">
        <w:t xml:space="preserve">include </w:t>
      </w:r>
      <w:r w:rsidR="00070F63" w:rsidRPr="005E703A">
        <w:t xml:space="preserve">additional </w:t>
      </w:r>
      <w:r w:rsidR="007A37C7" w:rsidRPr="005E703A">
        <w:t xml:space="preserve">population groups that </w:t>
      </w:r>
      <w:proofErr w:type="gramStart"/>
      <w:r w:rsidR="00070F63" w:rsidRPr="005E703A">
        <w:t>were not represented</w:t>
      </w:r>
      <w:proofErr w:type="gramEnd"/>
      <w:r w:rsidR="007A37C7" w:rsidRPr="005E703A">
        <w:t xml:space="preserve"> </w:t>
      </w:r>
      <w:r>
        <w:t>here</w:t>
      </w:r>
      <w:r w:rsidR="00440195">
        <w:t>, such as</w:t>
      </w:r>
      <w:r>
        <w:t xml:space="preserve"> the Israeli</w:t>
      </w:r>
      <w:r w:rsidR="00657AFA" w:rsidRPr="005E703A">
        <w:t xml:space="preserve"> </w:t>
      </w:r>
      <w:r w:rsidR="007A37C7" w:rsidRPr="005E703A">
        <w:t xml:space="preserve">Arab population. </w:t>
      </w:r>
      <w:r w:rsidR="00440195">
        <w:t xml:space="preserve">When we approached </w:t>
      </w:r>
      <w:r w:rsidR="00A73B5E">
        <w:lastRenderedPageBreak/>
        <w:t xml:space="preserve">members of </w:t>
      </w:r>
      <w:r w:rsidR="00440195">
        <w:t>this population at</w:t>
      </w:r>
      <w:r w:rsidR="007A37C7" w:rsidRPr="005E703A">
        <w:t xml:space="preserve"> T1, </w:t>
      </w:r>
      <w:r w:rsidR="00440195">
        <w:t>many of them</w:t>
      </w:r>
      <w:r w:rsidR="007A37C7" w:rsidRPr="005E703A">
        <w:t xml:space="preserve"> required translation of the questionnaire</w:t>
      </w:r>
      <w:r w:rsidR="00440195">
        <w:t>.</w:t>
      </w:r>
      <w:r w:rsidR="00440195" w:rsidRPr="005E703A">
        <w:t xml:space="preserve"> </w:t>
      </w:r>
      <w:r w:rsidR="00440195">
        <w:t>As this was</w:t>
      </w:r>
      <w:r w:rsidR="003F3666" w:rsidRPr="005E703A">
        <w:t xml:space="preserve"> impossible </w:t>
      </w:r>
      <w:r w:rsidR="00440195">
        <w:t>in</w:t>
      </w:r>
      <w:r w:rsidR="00F933EB" w:rsidRPr="005E703A">
        <w:t xml:space="preserve"> the</w:t>
      </w:r>
      <w:r w:rsidR="007A4C4C" w:rsidRPr="005E703A">
        <w:t xml:space="preserve"> </w:t>
      </w:r>
      <w:proofErr w:type="gramStart"/>
      <w:r w:rsidR="007A4C4C" w:rsidRPr="005E703A">
        <w:t>crisis situation</w:t>
      </w:r>
      <w:proofErr w:type="gramEnd"/>
      <w:r w:rsidR="00440195">
        <w:t>, we excluded them from the study</w:t>
      </w:r>
      <w:r w:rsidR="007A37C7" w:rsidRPr="005E703A">
        <w:t xml:space="preserve">. Second, the study </w:t>
      </w:r>
      <w:r w:rsidR="007A4C4C" w:rsidRPr="005E703A">
        <w:t>did not include</w:t>
      </w:r>
      <w:r w:rsidR="007A37C7" w:rsidRPr="005E703A">
        <w:t xml:space="preserve"> </w:t>
      </w:r>
      <w:r>
        <w:t>home front residents</w:t>
      </w:r>
      <w:r w:rsidRPr="005E703A">
        <w:t xml:space="preserve"> </w:t>
      </w:r>
      <w:r w:rsidR="00070F63" w:rsidRPr="005E703A">
        <w:t>who</w:t>
      </w:r>
      <w:r w:rsidR="00A73B5E">
        <w:t xml:space="preserve"> had</w:t>
      </w:r>
      <w:r w:rsidR="007A37C7" w:rsidRPr="005E703A">
        <w:t xml:space="preserve"> evacuated or </w:t>
      </w:r>
      <w:r w:rsidR="00751258">
        <w:t>moved away to</w:t>
      </w:r>
      <w:r w:rsidR="007A37C7" w:rsidRPr="005E703A">
        <w:t xml:space="preserve"> safer areas. </w:t>
      </w:r>
      <w:r w:rsidR="00751258">
        <w:t>Investigation of</w:t>
      </w:r>
      <w:r w:rsidR="007A37C7" w:rsidRPr="005E703A">
        <w:t xml:space="preserve"> these populations in future studies</w:t>
      </w:r>
      <w:r w:rsidR="00751258">
        <w:t xml:space="preserve"> is important</w:t>
      </w:r>
      <w:r w:rsidR="007A37C7" w:rsidRPr="005E703A">
        <w:t xml:space="preserve">. Third, the present study </w:t>
      </w:r>
      <w:r w:rsidR="00070F63" w:rsidRPr="005E703A">
        <w:t xml:space="preserve">focused </w:t>
      </w:r>
      <w:r w:rsidR="007A37C7" w:rsidRPr="005E703A">
        <w:t xml:space="preserve">on a specific </w:t>
      </w:r>
      <w:r w:rsidR="008C5FB3" w:rsidRPr="005E703A">
        <w:t>stressful</w:t>
      </w:r>
      <w:r w:rsidR="007A37C7" w:rsidRPr="005E703A">
        <w:t xml:space="preserve"> event</w:t>
      </w:r>
      <w:r w:rsidR="00751258">
        <w:t xml:space="preserve">—a </w:t>
      </w:r>
      <w:r w:rsidR="007A37C7" w:rsidRPr="005E703A">
        <w:t>war on the home</w:t>
      </w:r>
      <w:r w:rsidR="007A4C4C" w:rsidRPr="005E703A">
        <w:t xml:space="preserve"> </w:t>
      </w:r>
      <w:r w:rsidR="007A37C7" w:rsidRPr="005E703A">
        <w:t xml:space="preserve">front. Future studies </w:t>
      </w:r>
      <w:r w:rsidR="00A73B5E">
        <w:t>c</w:t>
      </w:r>
      <w:r w:rsidR="00A73B5E" w:rsidRPr="005E703A">
        <w:t xml:space="preserve">ould </w:t>
      </w:r>
      <w:r w:rsidR="007A37C7" w:rsidRPr="005E703A">
        <w:t xml:space="preserve">focus on </w:t>
      </w:r>
      <w:r w:rsidR="009B53C2" w:rsidRPr="005E703A">
        <w:t xml:space="preserve">victims of </w:t>
      </w:r>
      <w:r w:rsidR="007A37C7" w:rsidRPr="005E703A">
        <w:t xml:space="preserve">other types of </w:t>
      </w:r>
      <w:r w:rsidR="008C5FB3" w:rsidRPr="005E703A">
        <w:t>stressful</w:t>
      </w:r>
      <w:r w:rsidR="007A37C7" w:rsidRPr="005E703A">
        <w:t xml:space="preserve"> events, such as car accidents, </w:t>
      </w:r>
      <w:r w:rsidR="0025631E" w:rsidRPr="005E703A">
        <w:t xml:space="preserve">serious </w:t>
      </w:r>
      <w:r w:rsidR="007A37C7" w:rsidRPr="005E703A">
        <w:t>illnesses, economic crises</w:t>
      </w:r>
      <w:r w:rsidR="009B53C2" w:rsidRPr="005E703A">
        <w:t>,</w:t>
      </w:r>
      <w:r w:rsidR="007A37C7" w:rsidRPr="005E703A">
        <w:t xml:space="preserve"> and </w:t>
      </w:r>
      <w:r w:rsidR="00DC4014">
        <w:t>epidemic</w:t>
      </w:r>
      <w:r w:rsidR="007A37C7" w:rsidRPr="005E703A">
        <w:t>s.</w:t>
      </w:r>
      <w:r w:rsidR="00B67919" w:rsidRPr="005E703A">
        <w:t xml:space="preserve"> </w:t>
      </w:r>
      <w:r w:rsidR="0025631E" w:rsidRPr="005E703A">
        <w:t>It would be particularly interesting</w:t>
      </w:r>
      <w:r w:rsidR="00B67919" w:rsidRPr="005E703A">
        <w:t xml:space="preserve"> to examine whether </w:t>
      </w:r>
      <w:r w:rsidR="0025631E" w:rsidRPr="005E703A">
        <w:t>in these groups</w:t>
      </w:r>
      <w:r w:rsidR="00681B06">
        <w:t>,</w:t>
      </w:r>
      <w:r w:rsidR="008A4719">
        <w:t xml:space="preserve"> as well</w:t>
      </w:r>
      <w:r w:rsidR="0025631E" w:rsidRPr="005E703A">
        <w:t xml:space="preserve">, </w:t>
      </w:r>
      <w:r w:rsidR="00B67919" w:rsidRPr="005E703A">
        <w:t>the same factors of vulnerability and resilience contribute to the development of post</w:t>
      </w:r>
      <w:r w:rsidR="00A903ED">
        <w:t xml:space="preserve"> </w:t>
      </w:r>
      <w:r w:rsidR="00B67919" w:rsidRPr="005E703A">
        <w:t>trauma following ASD. Furthermore, the current study examined</w:t>
      </w:r>
      <w:r w:rsidR="00684CC5">
        <w:t xml:space="preserve"> </w:t>
      </w:r>
      <w:r w:rsidR="00B67919" w:rsidRPr="005E703A">
        <w:t xml:space="preserve">the relationship between ASD and PTS. </w:t>
      </w:r>
      <w:r w:rsidR="00681B06">
        <w:t>Additional</w:t>
      </w:r>
      <w:r w:rsidR="00B67919" w:rsidRPr="005E703A">
        <w:t xml:space="preserve"> </w:t>
      </w:r>
      <w:r w:rsidR="008C5FB3" w:rsidRPr="005E703A">
        <w:t>stressful</w:t>
      </w:r>
      <w:r w:rsidR="00B67919" w:rsidRPr="005E703A">
        <w:t xml:space="preserve"> responses, such as depression</w:t>
      </w:r>
      <w:r w:rsidR="0025631E" w:rsidRPr="005E703A">
        <w:t>,</w:t>
      </w:r>
      <w:r w:rsidR="00B67919" w:rsidRPr="005E703A">
        <w:t xml:space="preserve"> adaptation</w:t>
      </w:r>
      <w:r w:rsidR="0025631E" w:rsidRPr="005E703A">
        <w:t>,</w:t>
      </w:r>
      <w:r w:rsidR="00B67919" w:rsidRPr="005E703A">
        <w:t xml:space="preserve"> and behavior disorders</w:t>
      </w:r>
      <w:r w:rsidR="008A4719">
        <w:t xml:space="preserve">, </w:t>
      </w:r>
      <w:r w:rsidR="00681B06">
        <w:t>could be included</w:t>
      </w:r>
      <w:r w:rsidR="008A4719">
        <w:t xml:space="preserve"> in future studies</w:t>
      </w:r>
      <w:r w:rsidR="00B67919" w:rsidRPr="005E703A">
        <w:t>.</w:t>
      </w:r>
    </w:p>
    <w:p w14:paraId="4DB3087F" w14:textId="75220FD1" w:rsidR="008270FD" w:rsidRPr="00750FE5" w:rsidRDefault="008270FD" w:rsidP="00750FE5">
      <w:pPr>
        <w:jc w:val="center"/>
        <w:rPr>
          <w:b/>
          <w:bCs/>
          <w:rtl/>
        </w:rPr>
      </w:pPr>
      <w:r>
        <w:rPr>
          <w:b/>
          <w:bCs/>
        </w:rPr>
        <w:t>Conclusion</w:t>
      </w:r>
    </w:p>
    <w:p w14:paraId="7C5A2A86" w14:textId="4150D793" w:rsidR="00B67919" w:rsidRPr="005E703A" w:rsidRDefault="00B67919">
      <w:r w:rsidRPr="005E703A">
        <w:t xml:space="preserve">In conclusion, the </w:t>
      </w:r>
      <w:r w:rsidR="0025631E" w:rsidRPr="005E703A">
        <w:t>present</w:t>
      </w:r>
      <w:r w:rsidRPr="005E703A">
        <w:t xml:space="preserve"> findings indicate that ASD </w:t>
      </w:r>
      <w:r w:rsidR="008A4719">
        <w:t>resulting</w:t>
      </w:r>
      <w:r w:rsidR="009B53C2" w:rsidRPr="005E703A">
        <w:t xml:space="preserve"> from</w:t>
      </w:r>
      <w:r w:rsidRPr="005E703A">
        <w:t xml:space="preserve"> war on the home</w:t>
      </w:r>
      <w:r w:rsidR="00072984" w:rsidRPr="005E703A">
        <w:t xml:space="preserve"> </w:t>
      </w:r>
      <w:r w:rsidRPr="005E703A">
        <w:t xml:space="preserve">front contributes to </w:t>
      </w:r>
      <w:r w:rsidR="009B53C2" w:rsidRPr="005E703A">
        <w:t>later</w:t>
      </w:r>
      <w:r w:rsidRPr="005E703A">
        <w:t xml:space="preserve"> development of </w:t>
      </w:r>
      <w:proofErr w:type="gramStart"/>
      <w:r w:rsidRPr="005E703A">
        <w:t>PTS,</w:t>
      </w:r>
      <w:proofErr w:type="gramEnd"/>
      <w:r w:rsidRPr="005E703A">
        <w:t xml:space="preserve"> even </w:t>
      </w:r>
      <w:r w:rsidR="00174B49">
        <w:t>6</w:t>
      </w:r>
      <w:r w:rsidR="00174B49" w:rsidRPr="005E703A">
        <w:t xml:space="preserve"> </w:t>
      </w:r>
      <w:r w:rsidRPr="005E703A">
        <w:t xml:space="preserve">years after the </w:t>
      </w:r>
      <w:r w:rsidR="0025631E" w:rsidRPr="005E703A">
        <w:t xml:space="preserve">initial </w:t>
      </w:r>
      <w:r w:rsidR="00072984" w:rsidRPr="005E703A">
        <w:t>symptom</w:t>
      </w:r>
      <w:r w:rsidR="0025631E" w:rsidRPr="005E703A">
        <w:t>s</w:t>
      </w:r>
      <w:r w:rsidR="00072984" w:rsidRPr="005E703A">
        <w:t xml:space="preserve"> </w:t>
      </w:r>
      <w:r w:rsidR="00BC5077">
        <w:t xml:space="preserve">appear </w:t>
      </w:r>
      <w:r w:rsidRPr="005E703A">
        <w:t xml:space="preserve">(ASD). These findings reinforce the need to diagnose ASD in </w:t>
      </w:r>
      <w:r w:rsidR="00072984" w:rsidRPr="005E703A">
        <w:t xml:space="preserve">its </w:t>
      </w:r>
      <w:r w:rsidR="0079775B" w:rsidRPr="005E703A">
        <w:t xml:space="preserve">early </w:t>
      </w:r>
      <w:r w:rsidRPr="005E703A">
        <w:t>stages</w:t>
      </w:r>
      <w:r w:rsidR="0079775B" w:rsidRPr="005E703A">
        <w:t>, soon</w:t>
      </w:r>
      <w:r w:rsidRPr="005E703A">
        <w:t xml:space="preserve"> </w:t>
      </w:r>
      <w:r w:rsidR="00072984" w:rsidRPr="005E703A">
        <w:t>after</w:t>
      </w:r>
      <w:r w:rsidR="00410B06" w:rsidRPr="005E703A">
        <w:t xml:space="preserve"> </w:t>
      </w:r>
      <w:r w:rsidR="0079775B" w:rsidRPr="005E703A">
        <w:t xml:space="preserve">the </w:t>
      </w:r>
      <w:r w:rsidR="008C5FB3" w:rsidRPr="005E703A">
        <w:t>stressful</w:t>
      </w:r>
      <w:r w:rsidRPr="005E703A">
        <w:t xml:space="preserve"> events.</w:t>
      </w:r>
    </w:p>
    <w:p w14:paraId="2A1E571C" w14:textId="650AD5C1" w:rsidR="00B67919" w:rsidRPr="005E703A" w:rsidRDefault="00410B06" w:rsidP="00200EAF">
      <w:r w:rsidRPr="005E703A">
        <w:t>The</w:t>
      </w:r>
      <w:r w:rsidR="00072984" w:rsidRPr="005E703A">
        <w:t xml:space="preserve"> </w:t>
      </w:r>
      <w:r w:rsidRPr="005E703A">
        <w:t xml:space="preserve">main goal </w:t>
      </w:r>
      <w:r w:rsidR="0079775B" w:rsidRPr="005E703A">
        <w:t xml:space="preserve">of the present </w:t>
      </w:r>
      <w:r w:rsidR="00174B49">
        <w:t>study</w:t>
      </w:r>
      <w:r w:rsidR="00174B49" w:rsidRPr="005E703A">
        <w:t xml:space="preserve"> </w:t>
      </w:r>
      <w:r w:rsidRPr="005E703A">
        <w:t xml:space="preserve">was to </w:t>
      </w:r>
      <w:r w:rsidR="00072984" w:rsidRPr="005E703A">
        <w:t xml:space="preserve">identify the </w:t>
      </w:r>
      <w:r w:rsidRPr="005E703A">
        <w:t>factors</w:t>
      </w:r>
      <w:r w:rsidR="00072984" w:rsidRPr="005E703A">
        <w:t xml:space="preserve"> that</w:t>
      </w:r>
      <w:r w:rsidRPr="005E703A">
        <w:t xml:space="preserve"> strengthen and </w:t>
      </w:r>
      <w:r w:rsidR="00295ABC" w:rsidRPr="005E703A">
        <w:t>buffer</w:t>
      </w:r>
      <w:r w:rsidR="00072984" w:rsidRPr="005E703A">
        <w:t xml:space="preserve"> </w:t>
      </w:r>
      <w:r w:rsidRPr="005E703A">
        <w:t xml:space="preserve">PTS following ASD. In addition, </w:t>
      </w:r>
      <w:r w:rsidR="00BC5077">
        <w:t>we</w:t>
      </w:r>
      <w:r w:rsidRPr="005E703A">
        <w:t xml:space="preserve"> focused on </w:t>
      </w:r>
      <w:proofErr w:type="gramStart"/>
      <w:r w:rsidRPr="005E703A">
        <w:t>past experience</w:t>
      </w:r>
      <w:proofErr w:type="gramEnd"/>
      <w:r w:rsidRPr="005E703A">
        <w:t xml:space="preserve"> of </w:t>
      </w:r>
      <w:r w:rsidR="008C5FB3" w:rsidRPr="005E703A">
        <w:t>stressful</w:t>
      </w:r>
      <w:r w:rsidRPr="005E703A">
        <w:t xml:space="preserve"> events. The findings indicate that</w:t>
      </w:r>
      <w:r w:rsidR="00072984" w:rsidRPr="005E703A">
        <w:t xml:space="preserve"> after several years have passed,</w:t>
      </w:r>
      <w:r w:rsidRPr="005E703A">
        <w:t xml:space="preserve"> </w:t>
      </w:r>
      <w:r w:rsidR="00174B49">
        <w:t>previous</w:t>
      </w:r>
      <w:r w:rsidR="00174B49" w:rsidRPr="005E703A">
        <w:t xml:space="preserve"> </w:t>
      </w:r>
      <w:r w:rsidRPr="005E703A">
        <w:t xml:space="preserve">experience of </w:t>
      </w:r>
      <w:r w:rsidR="008C5FB3" w:rsidRPr="005E703A">
        <w:t>stressful</w:t>
      </w:r>
      <w:r w:rsidRPr="005E703A">
        <w:t xml:space="preserve"> events</w:t>
      </w:r>
      <w:r w:rsidR="00FE0E25" w:rsidRPr="005E703A">
        <w:t xml:space="preserve"> has a linear effect </w:t>
      </w:r>
      <w:r w:rsidR="00BC5077" w:rsidRPr="005E703A">
        <w:t>on PTS</w:t>
      </w:r>
      <w:r w:rsidR="00BC5077">
        <w:t>,</w:t>
      </w:r>
      <w:r w:rsidR="00BC5077" w:rsidRPr="005E703A">
        <w:t xml:space="preserve"> </w:t>
      </w:r>
      <w:r w:rsidR="00FE0E25" w:rsidRPr="005E703A">
        <w:t xml:space="preserve">as a </w:t>
      </w:r>
      <w:r w:rsidR="0079775B" w:rsidRPr="005E703A">
        <w:t xml:space="preserve">moderating </w:t>
      </w:r>
      <w:r w:rsidR="00FE0E25" w:rsidRPr="005E703A">
        <w:t xml:space="preserve">factor. These findings </w:t>
      </w:r>
      <w:proofErr w:type="gramStart"/>
      <w:r w:rsidR="00FE0E25" w:rsidRPr="005E703A">
        <w:t>were explained</w:t>
      </w:r>
      <w:proofErr w:type="gramEnd"/>
      <w:r w:rsidR="00FE0E25" w:rsidRPr="005E703A">
        <w:t xml:space="preserve"> </w:t>
      </w:r>
      <w:r w:rsidR="00072984" w:rsidRPr="005E703A">
        <w:t>by</w:t>
      </w:r>
      <w:r w:rsidR="00FE0E25" w:rsidRPr="005E703A">
        <w:t xml:space="preserve"> the significant contribution of </w:t>
      </w:r>
      <w:r w:rsidR="00BC5077" w:rsidRPr="005E703A">
        <w:t>A</w:t>
      </w:r>
      <w:r w:rsidR="00BC5077">
        <w:t>SD</w:t>
      </w:r>
      <w:r w:rsidR="00BC5077" w:rsidRPr="005E703A">
        <w:t xml:space="preserve"> </w:t>
      </w:r>
      <w:r w:rsidR="0079775B" w:rsidRPr="005E703A">
        <w:t xml:space="preserve">to </w:t>
      </w:r>
      <w:r w:rsidR="00BC5077">
        <w:t>understanding</w:t>
      </w:r>
      <w:r w:rsidR="00BC5077" w:rsidRPr="005E703A">
        <w:t xml:space="preserve"> </w:t>
      </w:r>
      <w:r w:rsidR="00FE0E25" w:rsidRPr="005E703A">
        <w:t xml:space="preserve">PTS, compared </w:t>
      </w:r>
      <w:r w:rsidR="0079775B" w:rsidRPr="005E703A">
        <w:t xml:space="preserve">with </w:t>
      </w:r>
      <w:r w:rsidR="00FE0E25" w:rsidRPr="005E703A">
        <w:t xml:space="preserve">the </w:t>
      </w:r>
      <w:r w:rsidR="0079775B" w:rsidRPr="005E703A">
        <w:t xml:space="preserve">moderate </w:t>
      </w:r>
      <w:r w:rsidR="00FE0E25" w:rsidRPr="005E703A">
        <w:t xml:space="preserve">effect of additional past experiences. These findings encourage future studies </w:t>
      </w:r>
      <w:r w:rsidR="00072984" w:rsidRPr="005E703A">
        <w:t xml:space="preserve">to </w:t>
      </w:r>
      <w:r w:rsidR="00FE0E25" w:rsidRPr="005E703A">
        <w:t xml:space="preserve">examine other factors that may </w:t>
      </w:r>
      <w:r w:rsidR="0079775B" w:rsidRPr="005E703A">
        <w:t xml:space="preserve">moderate </w:t>
      </w:r>
      <w:r w:rsidR="00FE0E25" w:rsidRPr="005E703A">
        <w:lastRenderedPageBreak/>
        <w:t>(</w:t>
      </w:r>
      <w:r w:rsidR="00174B49">
        <w:t xml:space="preserve">either </w:t>
      </w:r>
      <w:r w:rsidR="00FE0E25" w:rsidRPr="005E703A">
        <w:t>strengthen or</w:t>
      </w:r>
      <w:r w:rsidR="00072984" w:rsidRPr="005E703A">
        <w:t xml:space="preserve"> </w:t>
      </w:r>
      <w:r w:rsidR="00295ABC" w:rsidRPr="005E703A">
        <w:t>buffer</w:t>
      </w:r>
      <w:r w:rsidR="00FE0E25" w:rsidRPr="005E703A">
        <w:t>) PTS, following ASD</w:t>
      </w:r>
      <w:r w:rsidR="00A646AF" w:rsidRPr="005E703A">
        <w:t>, such as</w:t>
      </w:r>
      <w:r w:rsidR="00FE0E25" w:rsidRPr="005E703A">
        <w:t xml:space="preserve"> coping strategies</w:t>
      </w:r>
      <w:r w:rsidR="00072984" w:rsidRPr="005E703A">
        <w:t>, as well as</w:t>
      </w:r>
      <w:r w:rsidR="00FE0E25" w:rsidRPr="005E703A">
        <w:t xml:space="preserve"> personal and social resources.</w:t>
      </w:r>
    </w:p>
    <w:p w14:paraId="69008D88" w14:textId="136E22F3" w:rsidR="00D7755E" w:rsidRPr="005E703A" w:rsidRDefault="00295ABC">
      <w:r w:rsidRPr="005E703A">
        <w:t>Finally, i</w:t>
      </w:r>
      <w:r w:rsidR="00A646AF" w:rsidRPr="005E703A">
        <w:t xml:space="preserve">t is customary to examine the impact of past </w:t>
      </w:r>
      <w:r w:rsidR="008C5FB3" w:rsidRPr="005E703A">
        <w:t>stressful</w:t>
      </w:r>
      <w:r w:rsidR="00A646AF" w:rsidRPr="005E703A">
        <w:t xml:space="preserve"> events on PTS symptoms as a linear (positive or negative) or </w:t>
      </w:r>
      <w:r w:rsidR="00174B49">
        <w:t xml:space="preserve">a </w:t>
      </w:r>
      <w:r w:rsidR="00A646AF" w:rsidRPr="005E703A">
        <w:t xml:space="preserve">curvilinear relationship. The findings of the current study </w:t>
      </w:r>
      <w:r w:rsidR="00EC7096" w:rsidRPr="005E703A">
        <w:t xml:space="preserve">suggest </w:t>
      </w:r>
      <w:r w:rsidR="00A646AF" w:rsidRPr="005E703A">
        <w:t xml:space="preserve">another way to examine the effect of previous </w:t>
      </w:r>
      <w:r w:rsidR="008C5FB3" w:rsidRPr="005E703A">
        <w:t>stressful</w:t>
      </w:r>
      <w:r w:rsidR="00A646AF" w:rsidRPr="005E703A">
        <w:t xml:space="preserve"> experiences</w:t>
      </w:r>
      <w:r w:rsidR="00EC7096" w:rsidRPr="005E703A">
        <w:t xml:space="preserve">, namely in terms of </w:t>
      </w:r>
      <w:r w:rsidRPr="005E703A">
        <w:t xml:space="preserve">the timing of the </w:t>
      </w:r>
      <w:r w:rsidR="00A646AF" w:rsidRPr="005E703A">
        <w:t>event</w:t>
      </w:r>
      <w:r w:rsidR="00EC7096" w:rsidRPr="005E703A">
        <w:t>s</w:t>
      </w:r>
      <w:r w:rsidR="00A646AF" w:rsidRPr="005E703A">
        <w:t xml:space="preserve">. The current findings suggest that the </w:t>
      </w:r>
      <w:r w:rsidR="00174B49">
        <w:t>more</w:t>
      </w:r>
      <w:r w:rsidR="00A646AF" w:rsidRPr="005E703A">
        <w:t xml:space="preserve"> time</w:t>
      </w:r>
      <w:r w:rsidR="00174B49">
        <w:t xml:space="preserve"> has passed</w:t>
      </w:r>
      <w:r w:rsidR="00A646AF" w:rsidRPr="005E703A">
        <w:t xml:space="preserve"> since the event occurred,</w:t>
      </w:r>
      <w:r w:rsidR="00D7755E" w:rsidRPr="005E703A">
        <w:t xml:space="preserve"> the </w:t>
      </w:r>
      <w:r w:rsidR="00184298" w:rsidRPr="005E703A">
        <w:t>less</w:t>
      </w:r>
      <w:r w:rsidR="00D7755E" w:rsidRPr="005E703A">
        <w:t xml:space="preserve"> impact </w:t>
      </w:r>
      <w:r w:rsidR="00184298" w:rsidRPr="005E703A">
        <w:t xml:space="preserve">it has on </w:t>
      </w:r>
      <w:r w:rsidR="00D7755E" w:rsidRPr="005E703A">
        <w:t>increas</w:t>
      </w:r>
      <w:r w:rsidR="00184298" w:rsidRPr="005E703A">
        <w:t>ing</w:t>
      </w:r>
      <w:r w:rsidR="00D7755E" w:rsidRPr="005E703A">
        <w:t xml:space="preserve"> PTS</w:t>
      </w:r>
      <w:r w:rsidR="00174B49">
        <w:t xml:space="preserve"> and,</w:t>
      </w:r>
      <w:r w:rsidR="00174B49" w:rsidRPr="005E703A">
        <w:t xml:space="preserve"> </w:t>
      </w:r>
      <w:r w:rsidR="00184298" w:rsidRPr="005E703A">
        <w:t xml:space="preserve">in fact, </w:t>
      </w:r>
      <w:r w:rsidR="00D7755E" w:rsidRPr="005E703A">
        <w:t>becomes</w:t>
      </w:r>
      <w:r w:rsidR="00072984" w:rsidRPr="005E703A">
        <w:t xml:space="preserve"> a</w:t>
      </w:r>
      <w:r w:rsidR="00D7755E" w:rsidRPr="005E703A">
        <w:t xml:space="preserve"> source of resilience </w:t>
      </w:r>
      <w:r w:rsidR="00184298" w:rsidRPr="005E703A">
        <w:t xml:space="preserve">to </w:t>
      </w:r>
      <w:r w:rsidR="00072984" w:rsidRPr="005E703A">
        <w:t>PTS</w:t>
      </w:r>
      <w:r w:rsidR="00D7755E" w:rsidRPr="005E703A">
        <w:t>.</w:t>
      </w:r>
      <w:r w:rsidR="00C32D7A" w:rsidRPr="005E703A">
        <w:t xml:space="preserve"> </w:t>
      </w:r>
      <w:r w:rsidR="00174B49">
        <w:t>Therefore</w:t>
      </w:r>
      <w:r w:rsidR="00C32D7A" w:rsidRPr="005E703A">
        <w:t>,</w:t>
      </w:r>
      <w:r w:rsidR="00D7755E" w:rsidRPr="005E703A">
        <w:t xml:space="preserve"> </w:t>
      </w:r>
      <w:r w:rsidR="00C32D7A" w:rsidRPr="005E703A">
        <w:t>i</w:t>
      </w:r>
      <w:r w:rsidR="00D7755E" w:rsidRPr="005E703A">
        <w:t xml:space="preserve">t is </w:t>
      </w:r>
      <w:r w:rsidR="00174B49">
        <w:t>reasonable to assume</w:t>
      </w:r>
      <w:r w:rsidR="00174B49" w:rsidRPr="005E703A">
        <w:t xml:space="preserve"> </w:t>
      </w:r>
      <w:r w:rsidR="00D7755E" w:rsidRPr="005E703A">
        <w:t xml:space="preserve">that the </w:t>
      </w:r>
      <w:r w:rsidR="00174B49">
        <w:t>longer the passage of</w:t>
      </w:r>
      <w:r w:rsidR="00174B49" w:rsidRPr="005E703A">
        <w:t xml:space="preserve"> </w:t>
      </w:r>
      <w:r w:rsidR="00D7755E" w:rsidRPr="005E703A">
        <w:t>time</w:t>
      </w:r>
      <w:r w:rsidR="00C32D7A" w:rsidRPr="005E703A">
        <w:t>, the more</w:t>
      </w:r>
      <w:r w:rsidR="00D7755E" w:rsidRPr="005E703A">
        <w:t xml:space="preserve"> these same </w:t>
      </w:r>
      <w:r w:rsidR="008C5FB3" w:rsidRPr="005E703A">
        <w:t>stressful</w:t>
      </w:r>
      <w:r w:rsidR="00D7755E" w:rsidRPr="005E703A">
        <w:t xml:space="preserve"> events</w:t>
      </w:r>
      <w:r w:rsidR="005F33AB">
        <w:t xml:space="preserve"> that</w:t>
      </w:r>
      <w:r w:rsidR="00D7755E" w:rsidRPr="005E703A">
        <w:t xml:space="preserve"> once led to vulnerability</w:t>
      </w:r>
      <w:r w:rsidR="00C32D7A" w:rsidRPr="005E703A">
        <w:t xml:space="preserve"> </w:t>
      </w:r>
      <w:r w:rsidR="00184298" w:rsidRPr="005E703A">
        <w:t xml:space="preserve">will </w:t>
      </w:r>
      <w:r w:rsidR="00837379" w:rsidRPr="005E703A">
        <w:t>become a source of resilience.</w:t>
      </w:r>
    </w:p>
    <w:p w14:paraId="55429BBB" w14:textId="77777777" w:rsidR="00327989" w:rsidRDefault="00327989">
      <w:r>
        <w:br w:type="page"/>
      </w:r>
    </w:p>
    <w:p w14:paraId="775D4267" w14:textId="4F7595BD" w:rsidR="00327989" w:rsidRDefault="00327989" w:rsidP="00927428">
      <w:pPr>
        <w:pStyle w:val="Heading1"/>
      </w:pPr>
      <w:r w:rsidRPr="00177B66">
        <w:lastRenderedPageBreak/>
        <w:t xml:space="preserve">References </w:t>
      </w:r>
    </w:p>
    <w:p w14:paraId="0D54430D" w14:textId="34F16892" w:rsidR="00973275" w:rsidRPr="004A03E4" w:rsidRDefault="00973275" w:rsidP="00C10259">
      <w:pPr>
        <w:ind w:left="720" w:hanging="720"/>
        <w:rPr>
          <w:rFonts w:asciiTheme="majorBidi" w:eastAsia="Calibri" w:hAnsiTheme="majorBidi" w:cstheme="majorBidi"/>
        </w:rPr>
      </w:pPr>
    </w:p>
    <w:p w14:paraId="0C5156B6" w14:textId="26F23A27" w:rsidR="0092322A" w:rsidRPr="00DA162D" w:rsidRDefault="0092322A" w:rsidP="0092322A">
      <w:pPr>
        <w:ind w:left="720" w:hanging="720"/>
        <w:rPr>
          <w:rFonts w:asciiTheme="majorBidi" w:eastAsia="Calibri" w:hAnsiTheme="majorBidi" w:cstheme="majorBidi"/>
        </w:rPr>
      </w:pPr>
      <w:r w:rsidRPr="00DA162D">
        <w:rPr>
          <w:rFonts w:asciiTheme="majorBidi" w:eastAsia="Calibri" w:hAnsiTheme="majorBidi" w:cstheme="majorBidi"/>
        </w:rPr>
        <w:t xml:space="preserve">Aiken, L. S., &amp; West, S. G. (1991). </w:t>
      </w:r>
      <w:r w:rsidRPr="00DA162D">
        <w:rPr>
          <w:rFonts w:asciiTheme="majorBidi" w:eastAsia="Calibri" w:hAnsiTheme="majorBidi" w:cstheme="majorBidi"/>
          <w:i/>
        </w:rPr>
        <w:t>Multiple regression: Testing and interpreting interactions.</w:t>
      </w:r>
      <w:r w:rsidRPr="00DA162D">
        <w:rPr>
          <w:rFonts w:asciiTheme="majorBidi" w:eastAsia="Calibri" w:hAnsiTheme="majorBidi" w:cstheme="majorBidi"/>
        </w:rPr>
        <w:t xml:space="preserve"> Sage.</w:t>
      </w:r>
    </w:p>
    <w:p w14:paraId="306D6570" w14:textId="4CF9F309" w:rsidR="00AA47BB" w:rsidRPr="00F53F54" w:rsidRDefault="00AA47BB" w:rsidP="00E458AD">
      <w:pPr>
        <w:ind w:left="567" w:hanging="567"/>
        <w:rPr>
          <w:rFonts w:asciiTheme="majorBidi" w:hAnsiTheme="majorBidi" w:cstheme="majorBidi"/>
        </w:rPr>
      </w:pPr>
      <w:r w:rsidRPr="00750FE5">
        <w:rPr>
          <w:rFonts w:asciiTheme="majorBidi" w:hAnsiTheme="majorBidi" w:cstheme="majorBidi"/>
        </w:rPr>
        <w:t xml:space="preserve">American </w:t>
      </w:r>
      <w:r w:rsidRPr="00F53F54">
        <w:rPr>
          <w:rFonts w:asciiTheme="majorBidi" w:hAnsiTheme="majorBidi" w:cstheme="majorBidi"/>
        </w:rPr>
        <w:t xml:space="preserve">Psychiatric Association. (1994). </w:t>
      </w:r>
      <w:r w:rsidRPr="00F53F54">
        <w:rPr>
          <w:rFonts w:asciiTheme="majorBidi" w:hAnsiTheme="majorBidi" w:cstheme="majorBidi"/>
          <w:i/>
          <w:iCs/>
        </w:rPr>
        <w:t>Diagnostic and statistical manual of Mental disorders</w:t>
      </w:r>
      <w:r w:rsidRPr="00F53F54">
        <w:rPr>
          <w:rFonts w:asciiTheme="majorBidi" w:hAnsiTheme="majorBidi" w:cstheme="majorBidi"/>
        </w:rPr>
        <w:t xml:space="preserve"> (</w:t>
      </w:r>
      <w:proofErr w:type="gramStart"/>
      <w:r w:rsidRPr="00F53F54">
        <w:rPr>
          <w:rFonts w:asciiTheme="majorBidi" w:hAnsiTheme="majorBidi" w:cstheme="majorBidi"/>
        </w:rPr>
        <w:t>4</w:t>
      </w:r>
      <w:r w:rsidRPr="00F53F54">
        <w:rPr>
          <w:rFonts w:asciiTheme="majorBidi" w:hAnsiTheme="majorBidi" w:cstheme="majorBidi"/>
          <w:vertAlign w:val="superscript"/>
        </w:rPr>
        <w:t>th</w:t>
      </w:r>
      <w:proofErr w:type="gramEnd"/>
      <w:r w:rsidRPr="00F53F54">
        <w:rPr>
          <w:rFonts w:asciiTheme="majorBidi" w:hAnsiTheme="majorBidi" w:cstheme="majorBidi"/>
        </w:rPr>
        <w:t xml:space="preserve"> ed.). </w:t>
      </w:r>
      <w:hyperlink r:id="rId8" w:history="1">
        <w:r w:rsidR="001C1D69" w:rsidRPr="00F53F54">
          <w:rPr>
            <w:rStyle w:val="Hyperlink"/>
            <w:rFonts w:asciiTheme="majorBidi" w:hAnsiTheme="majorBidi" w:cstheme="majorBidi"/>
            <w:color w:val="auto"/>
          </w:rPr>
          <w:t>https://doi:10.1001/jama.1994.03520100096046</w:t>
        </w:r>
      </w:hyperlink>
    </w:p>
    <w:p w14:paraId="4A603178" w14:textId="6AE76DD0" w:rsidR="001C1D69" w:rsidRPr="00F53F54" w:rsidRDefault="001C1D69" w:rsidP="00537685">
      <w:pPr>
        <w:pStyle w:val="apareference"/>
        <w:rPr>
          <w:rFonts w:asciiTheme="majorBidi" w:hAnsiTheme="majorBidi" w:cstheme="majorBidi"/>
        </w:rPr>
      </w:pPr>
      <w:r w:rsidRPr="00F53F54">
        <w:rPr>
          <w:rFonts w:asciiTheme="majorBidi" w:hAnsiTheme="majorBidi" w:cstheme="majorBidi"/>
        </w:rPr>
        <w:t xml:space="preserve">American Psychiatric Association. (2000). </w:t>
      </w:r>
      <w:proofErr w:type="gramStart"/>
      <w:r w:rsidRPr="00F53F54">
        <w:rPr>
          <w:rFonts w:asciiTheme="majorBidi" w:hAnsiTheme="majorBidi" w:cstheme="majorBidi"/>
          <w:i/>
          <w:iCs/>
        </w:rPr>
        <w:t>Diagnostic</w:t>
      </w:r>
      <w:proofErr w:type="gramEnd"/>
      <w:r w:rsidRPr="00F53F54">
        <w:rPr>
          <w:rFonts w:asciiTheme="majorBidi" w:hAnsiTheme="majorBidi" w:cstheme="majorBidi"/>
          <w:i/>
          <w:iCs/>
        </w:rPr>
        <w:t xml:space="preserve"> and statistical manual of mental disorders: DSM-IV-TR</w:t>
      </w:r>
      <w:r w:rsidRPr="00F53F54">
        <w:rPr>
          <w:rFonts w:asciiTheme="majorBidi" w:hAnsiTheme="majorBidi" w:cstheme="majorBidi"/>
        </w:rPr>
        <w:t>. Author</w:t>
      </w:r>
    </w:p>
    <w:p w14:paraId="426D9A99" w14:textId="033F77D5" w:rsidR="001640F8" w:rsidRPr="00F53F54" w:rsidRDefault="00CC44DA" w:rsidP="00537685">
      <w:pPr>
        <w:pStyle w:val="apareference"/>
      </w:pPr>
      <w:proofErr w:type="spellStart"/>
      <w:r w:rsidRPr="00F53F54">
        <w:t>Bartone</w:t>
      </w:r>
      <w:proofErr w:type="spellEnd"/>
      <w:r w:rsidRPr="00F53F54">
        <w:t>, P. T. (</w:t>
      </w:r>
      <w:r w:rsidRPr="00F53F54">
        <w:rPr>
          <w:rStyle w:val="nlmyear"/>
        </w:rPr>
        <w:t>1999</w:t>
      </w:r>
      <w:r w:rsidRPr="00F53F54">
        <w:t xml:space="preserve">). </w:t>
      </w:r>
      <w:r w:rsidRPr="00F53F54">
        <w:rPr>
          <w:rStyle w:val="nlmarticle-title"/>
        </w:rPr>
        <w:t xml:space="preserve">Hardiness protects against war related stress, in </w:t>
      </w:r>
      <w:r w:rsidR="00BC07CC" w:rsidRPr="00F53F54">
        <w:rPr>
          <w:rStyle w:val="nlmarticle-title"/>
        </w:rPr>
        <w:t xml:space="preserve">army </w:t>
      </w:r>
      <w:r w:rsidRPr="00F53F54">
        <w:rPr>
          <w:rStyle w:val="nlmarticle-title"/>
        </w:rPr>
        <w:t>reserves</w:t>
      </w:r>
      <w:r w:rsidRPr="00F53F54">
        <w:t xml:space="preserve">. </w:t>
      </w:r>
      <w:r w:rsidRPr="00F53F54">
        <w:rPr>
          <w:i/>
          <w:iCs/>
        </w:rPr>
        <w:t>Consulting Psychology Journal: Practice and Research,</w:t>
      </w:r>
      <w:r w:rsidRPr="00F53F54">
        <w:t xml:space="preserve"> </w:t>
      </w:r>
      <w:r w:rsidRPr="00F53F54">
        <w:rPr>
          <w:i/>
          <w:iCs/>
        </w:rPr>
        <w:t>51</w:t>
      </w:r>
      <w:r w:rsidRPr="00F53F54">
        <w:t xml:space="preserve">(2), </w:t>
      </w:r>
      <w:r w:rsidRPr="00F53F54">
        <w:rPr>
          <w:rStyle w:val="nlmfpage"/>
        </w:rPr>
        <w:t>72</w:t>
      </w:r>
      <w:r w:rsidR="0049701F" w:rsidRPr="00F53F54">
        <w:t>–</w:t>
      </w:r>
      <w:r w:rsidRPr="00F53F54">
        <w:rPr>
          <w:rStyle w:val="nlmlpage"/>
        </w:rPr>
        <w:t>82</w:t>
      </w:r>
      <w:r w:rsidRPr="00F53F54">
        <w:t xml:space="preserve">. </w:t>
      </w:r>
      <w:hyperlink r:id="rId9" w:tgtFrame="_blank" w:history="1">
        <w:r w:rsidRPr="00F53F54">
          <w:rPr>
            <w:shd w:val="clear" w:color="auto" w:fill="FFFFFF"/>
          </w:rPr>
          <w:t>https://doi.org/10.1037/1061-4087.51.2.72</w:t>
        </w:r>
      </w:hyperlink>
    </w:p>
    <w:p w14:paraId="41B09B86" w14:textId="4A587A4D" w:rsidR="001640F8" w:rsidRPr="00F53F54" w:rsidRDefault="006659EF" w:rsidP="00537685">
      <w:pPr>
        <w:pStyle w:val="apareference"/>
      </w:pPr>
      <w:r w:rsidRPr="00F53F54">
        <w:t>Boehm-</w:t>
      </w:r>
      <w:proofErr w:type="spellStart"/>
      <w:r w:rsidRPr="00F53F54">
        <w:t>Tabib</w:t>
      </w:r>
      <w:proofErr w:type="spellEnd"/>
      <w:r w:rsidRPr="00F53F54">
        <w:t>, E.  (201</w:t>
      </w:r>
      <w:r w:rsidRPr="00F53F54">
        <w:rPr>
          <w:rtl/>
        </w:rPr>
        <w:t>6</w:t>
      </w:r>
      <w:r w:rsidRPr="00F53F54">
        <w:t xml:space="preserve">). </w:t>
      </w:r>
      <w:proofErr w:type="gramStart"/>
      <w:r w:rsidRPr="00F53F54">
        <w:t>Acute</w:t>
      </w:r>
      <w:proofErr w:type="gramEnd"/>
      <w:r w:rsidRPr="00F53F54">
        <w:t xml:space="preserve"> stress disorder among civilians during a war and post traumatic growth six years later: The impact of personal and social resources. </w:t>
      </w:r>
      <w:r w:rsidRPr="00F53F54">
        <w:rPr>
          <w:i/>
          <w:iCs/>
        </w:rPr>
        <w:t>Anxiety, Stress &amp; Coping, 29</w:t>
      </w:r>
      <w:r w:rsidRPr="00F53F54">
        <w:t>(3), 318</w:t>
      </w:r>
      <w:r w:rsidR="0049701F" w:rsidRPr="00F53F54">
        <w:t>–</w:t>
      </w:r>
      <w:r w:rsidRPr="00F53F54">
        <w:t xml:space="preserve">333. </w:t>
      </w:r>
      <w:hyperlink r:id="rId10" w:history="1">
        <w:r w:rsidR="00BC07CC" w:rsidRPr="00F53F54">
          <w:t>https://doi.org/10.1080/10615806.2015.1053806</w:t>
        </w:r>
      </w:hyperlink>
    </w:p>
    <w:p w14:paraId="65743B71" w14:textId="205BAEDC" w:rsidR="001640F8" w:rsidRPr="00F53F54" w:rsidRDefault="00CC44DA">
      <w:pPr>
        <w:pStyle w:val="apareference"/>
      </w:pPr>
      <w:proofErr w:type="spellStart"/>
      <w:r w:rsidRPr="00F53F54">
        <w:t>Bonan</w:t>
      </w:r>
      <w:r w:rsidR="00A03EBE" w:rsidRPr="00F53F54">
        <w:t>n</w:t>
      </w:r>
      <w:r w:rsidRPr="00F53F54">
        <w:t>o</w:t>
      </w:r>
      <w:proofErr w:type="spellEnd"/>
      <w:r w:rsidRPr="00F53F54">
        <w:t>, G.</w:t>
      </w:r>
      <w:r w:rsidR="0049701F" w:rsidRPr="00F53F54">
        <w:t xml:space="preserve"> </w:t>
      </w:r>
      <w:r w:rsidRPr="00F53F54">
        <w:t xml:space="preserve">A. (2004). Loss, </w:t>
      </w:r>
      <w:r w:rsidR="0049701F" w:rsidRPr="00F53F54">
        <w:t>t</w:t>
      </w:r>
      <w:r w:rsidRPr="00F53F54">
        <w:t xml:space="preserve">rauma, and </w:t>
      </w:r>
      <w:r w:rsidR="0049701F" w:rsidRPr="00F53F54">
        <w:t>h</w:t>
      </w:r>
      <w:r w:rsidRPr="00F53F54">
        <w:t xml:space="preserve">uman </w:t>
      </w:r>
      <w:r w:rsidR="0049701F" w:rsidRPr="00F53F54">
        <w:t>r</w:t>
      </w:r>
      <w:r w:rsidRPr="00F53F54">
        <w:t xml:space="preserve">esilience. Have we </w:t>
      </w:r>
      <w:r w:rsidR="0049701F" w:rsidRPr="00F53F54">
        <w:t>u</w:t>
      </w:r>
      <w:r w:rsidRPr="00F53F54">
        <w:t xml:space="preserve">nderestimated the </w:t>
      </w:r>
      <w:r w:rsidR="0049701F" w:rsidRPr="00F53F54">
        <w:t>h</w:t>
      </w:r>
      <w:r w:rsidRPr="00F53F54">
        <w:t xml:space="preserve">uman </w:t>
      </w:r>
      <w:r w:rsidR="0049701F" w:rsidRPr="00F53F54">
        <w:t>c</w:t>
      </w:r>
      <w:r w:rsidRPr="00F53F54">
        <w:t xml:space="preserve">apacity to </w:t>
      </w:r>
      <w:r w:rsidR="0049701F" w:rsidRPr="00F53F54">
        <w:t>t</w:t>
      </w:r>
      <w:r w:rsidRPr="00F53F54">
        <w:t xml:space="preserve">hrive </w:t>
      </w:r>
      <w:r w:rsidR="0049701F" w:rsidRPr="00F53F54">
        <w:t>a</w:t>
      </w:r>
      <w:r w:rsidRPr="00F53F54">
        <w:t xml:space="preserve">fter </w:t>
      </w:r>
      <w:proofErr w:type="gramStart"/>
      <w:r w:rsidR="0049701F" w:rsidRPr="00F53F54">
        <w:t>e</w:t>
      </w:r>
      <w:r w:rsidRPr="00F53F54">
        <w:t xml:space="preserve">xtremely </w:t>
      </w:r>
      <w:r w:rsidR="0049701F" w:rsidRPr="00F53F54">
        <w:t>a</w:t>
      </w:r>
      <w:r w:rsidRPr="00F53F54">
        <w:t>versive</w:t>
      </w:r>
      <w:proofErr w:type="gramEnd"/>
      <w:r w:rsidRPr="00F53F54">
        <w:t xml:space="preserve"> </w:t>
      </w:r>
      <w:r w:rsidR="0049701F" w:rsidRPr="00F53F54">
        <w:t>e</w:t>
      </w:r>
      <w:r w:rsidRPr="00F53F54">
        <w:t xml:space="preserve">vents? </w:t>
      </w:r>
      <w:r w:rsidRPr="00F53F54">
        <w:rPr>
          <w:i/>
          <w:iCs/>
        </w:rPr>
        <w:t>American Psychologist, 59</w:t>
      </w:r>
      <w:r w:rsidRPr="00F53F54">
        <w:t>(1), 20</w:t>
      </w:r>
      <w:r w:rsidR="0049701F" w:rsidRPr="00F53F54">
        <w:t>–</w:t>
      </w:r>
      <w:r w:rsidRPr="00F53F54">
        <w:t xml:space="preserve">28. </w:t>
      </w:r>
      <w:hyperlink r:id="rId11" w:tgtFrame="_blank" w:history="1">
        <w:r w:rsidR="00BC07CC" w:rsidRPr="00F53F54">
          <w:t>https://doi.org/10.1037/0003-066X.59.1.20</w:t>
        </w:r>
      </w:hyperlink>
    </w:p>
    <w:p w14:paraId="0B349DA5" w14:textId="784FEE0F" w:rsidR="001640F8" w:rsidRPr="00F53F54" w:rsidRDefault="00CC44DA">
      <w:pPr>
        <w:pStyle w:val="apareference"/>
      </w:pPr>
      <w:proofErr w:type="spellStart"/>
      <w:r w:rsidRPr="00F53F54">
        <w:t>Bonanno</w:t>
      </w:r>
      <w:proofErr w:type="spellEnd"/>
      <w:r w:rsidRPr="00F53F54">
        <w:t>, G. A.</w:t>
      </w:r>
      <w:r w:rsidR="0049701F" w:rsidRPr="00F53F54">
        <w:t>,</w:t>
      </w:r>
      <w:r w:rsidRPr="00F53F54">
        <w:t xml:space="preserve"> &amp; Mancini, A. D. (2012). Beyond resilience and PTSD: Mapping the heterogeneity of responses to potential trauma. </w:t>
      </w:r>
      <w:r w:rsidRPr="00F53F54">
        <w:rPr>
          <w:i/>
          <w:iCs/>
        </w:rPr>
        <w:t>Psychological Trauma: Theory, Research, Practice and Policy, 4</w:t>
      </w:r>
      <w:r w:rsidRPr="00F53F54">
        <w:t>(1), 74</w:t>
      </w:r>
      <w:r w:rsidR="0049701F" w:rsidRPr="00F53F54">
        <w:t>–</w:t>
      </w:r>
      <w:r w:rsidRPr="00F53F54">
        <w:t xml:space="preserve">83. </w:t>
      </w:r>
      <w:hyperlink r:id="rId12" w:tgtFrame="_blank" w:history="1">
        <w:r w:rsidRPr="00F53F54">
          <w:t>https://doi.org/10.1037/a0017829</w:t>
        </w:r>
      </w:hyperlink>
    </w:p>
    <w:p w14:paraId="1E77F550" w14:textId="2D6CA1DF" w:rsidR="001640F8" w:rsidRPr="00F53F54" w:rsidRDefault="000728A7">
      <w:pPr>
        <w:pStyle w:val="apareference"/>
      </w:pPr>
      <w:r w:rsidRPr="00F53F54">
        <w:t xml:space="preserve">Breslau, N., </w:t>
      </w:r>
      <w:proofErr w:type="spellStart"/>
      <w:r w:rsidRPr="00F53F54">
        <w:t>Chilcoat</w:t>
      </w:r>
      <w:proofErr w:type="spellEnd"/>
      <w:r w:rsidRPr="00F53F54">
        <w:t>, H.</w:t>
      </w:r>
      <w:r w:rsidR="0049701F" w:rsidRPr="00F53F54">
        <w:t xml:space="preserve"> </w:t>
      </w:r>
      <w:r w:rsidRPr="00F53F54">
        <w:t>D., Kessler, R.</w:t>
      </w:r>
      <w:r w:rsidR="0049701F" w:rsidRPr="00F53F54">
        <w:t xml:space="preserve"> </w:t>
      </w:r>
      <w:r w:rsidRPr="00F53F54">
        <w:t>C., &amp; Davis, G.</w:t>
      </w:r>
      <w:r w:rsidR="0049701F" w:rsidRPr="00F53F54">
        <w:t xml:space="preserve"> </w:t>
      </w:r>
      <w:r w:rsidRPr="00F53F54">
        <w:t xml:space="preserve">C. (1999). Previous exposure to trauma and PTSD effects of subsequent trauma: Results from the Detroit </w:t>
      </w:r>
      <w:r w:rsidRPr="00F53F54">
        <w:lastRenderedPageBreak/>
        <w:t xml:space="preserve">Area Survey of Trauma. </w:t>
      </w:r>
      <w:r w:rsidRPr="00F53F54">
        <w:rPr>
          <w:i/>
          <w:iCs/>
        </w:rPr>
        <w:t>American Journal of Psychiatry, 156</w:t>
      </w:r>
      <w:r w:rsidR="00C71873" w:rsidRPr="00F53F54">
        <w:t>(6)</w:t>
      </w:r>
      <w:r w:rsidRPr="00F53F54">
        <w:rPr>
          <w:i/>
          <w:iCs/>
        </w:rPr>
        <w:t>,</w:t>
      </w:r>
      <w:r w:rsidRPr="00F53F54">
        <w:t xml:space="preserve"> 902</w:t>
      </w:r>
      <w:r w:rsidR="0049701F" w:rsidRPr="00F53F54">
        <w:t>–</w:t>
      </w:r>
      <w:r w:rsidRPr="00F53F54">
        <w:t>907.</w:t>
      </w:r>
      <w:r w:rsidR="00464726" w:rsidRPr="00F53F54">
        <w:t xml:space="preserve"> </w:t>
      </w:r>
      <w:hyperlink r:id="rId13" w:history="1">
        <w:r w:rsidR="00BC07CC" w:rsidRPr="00F53F54">
          <w:t>https://doi.org/10.1176/ajp.156.6.902</w:t>
        </w:r>
      </w:hyperlink>
    </w:p>
    <w:p w14:paraId="336F96A1" w14:textId="3B8ABB8F" w:rsidR="001640F8" w:rsidRPr="00F53F54" w:rsidRDefault="00CC44DA">
      <w:pPr>
        <w:pStyle w:val="apareference"/>
        <w:rPr>
          <w:lang w:val="en"/>
        </w:rPr>
      </w:pPr>
      <w:proofErr w:type="spellStart"/>
      <w:r w:rsidRPr="00F53F54">
        <w:t>Breznitz</w:t>
      </w:r>
      <w:proofErr w:type="spellEnd"/>
      <w:r w:rsidRPr="00F53F54">
        <w:t xml:space="preserve">, S., &amp; </w:t>
      </w:r>
      <w:proofErr w:type="spellStart"/>
      <w:r w:rsidRPr="00F53F54">
        <w:t>Eshel</w:t>
      </w:r>
      <w:proofErr w:type="spellEnd"/>
      <w:r w:rsidRPr="00F53F54">
        <w:t>, Y. (1983). Life events: Stressful ordeal or valuable experience? In S</w:t>
      </w:r>
      <w:r w:rsidR="0049701F" w:rsidRPr="00F53F54">
        <w:t>.</w:t>
      </w:r>
      <w:r w:rsidRPr="00F53F54">
        <w:t xml:space="preserve"> </w:t>
      </w:r>
      <w:proofErr w:type="spellStart"/>
      <w:r w:rsidRPr="00F53F54">
        <w:t>Breznitz</w:t>
      </w:r>
      <w:proofErr w:type="spellEnd"/>
      <w:r w:rsidRPr="00F53F54">
        <w:t xml:space="preserve"> (Ed.),</w:t>
      </w:r>
      <w:r w:rsidR="006F2F75" w:rsidRPr="00F53F54">
        <w:t xml:space="preserve"> </w:t>
      </w:r>
      <w:r w:rsidRPr="00F53F54">
        <w:rPr>
          <w:i/>
          <w:iCs/>
        </w:rPr>
        <w:t>Stress in Israel</w:t>
      </w:r>
      <w:r w:rsidRPr="00F53F54">
        <w:t xml:space="preserve"> (pp. 228–261).</w:t>
      </w:r>
      <w:r w:rsidR="00BC07CC" w:rsidRPr="00F53F54">
        <w:t xml:space="preserve"> </w:t>
      </w:r>
      <w:r w:rsidRPr="00F53F54">
        <w:t xml:space="preserve">Van </w:t>
      </w:r>
      <w:proofErr w:type="spellStart"/>
      <w:r w:rsidRPr="00F53F54">
        <w:t>Nostrand</w:t>
      </w:r>
      <w:proofErr w:type="spellEnd"/>
      <w:r w:rsidRPr="00F53F54">
        <w:t xml:space="preserve"> Reinhold Co</w:t>
      </w:r>
      <w:r w:rsidR="00D42BCD" w:rsidRPr="00F53F54">
        <w:t>mpany</w:t>
      </w:r>
      <w:r w:rsidRPr="00F53F54">
        <w:t>.</w:t>
      </w:r>
    </w:p>
    <w:p w14:paraId="00893140" w14:textId="24D93D5B" w:rsidR="001640F8" w:rsidRPr="00F53F54" w:rsidRDefault="006659EF">
      <w:pPr>
        <w:pStyle w:val="apareference"/>
      </w:pPr>
      <w:proofErr w:type="spellStart"/>
      <w:r w:rsidRPr="00F53F54">
        <w:t>Briere</w:t>
      </w:r>
      <w:proofErr w:type="spellEnd"/>
      <w:r w:rsidRPr="00F53F54">
        <w:t xml:space="preserve">, J., Agee, E., &amp; Dietrich, A. (2016). Cumulative trauma and current posttraumatic stress disorder status in general population and inmate samples. </w:t>
      </w:r>
      <w:r w:rsidRPr="00F53F54">
        <w:rPr>
          <w:i/>
          <w:iCs/>
        </w:rPr>
        <w:t>Psychological Trauma: Theory, Research, Practice, and Policy,</w:t>
      </w:r>
      <w:r w:rsidRPr="00F53F54">
        <w:t xml:space="preserve"> </w:t>
      </w:r>
      <w:r w:rsidRPr="00F53F54">
        <w:rPr>
          <w:i/>
          <w:iCs/>
        </w:rPr>
        <w:t>8</w:t>
      </w:r>
      <w:r w:rsidRPr="00F53F54">
        <w:t>(4), 439</w:t>
      </w:r>
      <w:r w:rsidR="00D42BCD" w:rsidRPr="00F53F54">
        <w:t>–</w:t>
      </w:r>
      <w:r w:rsidRPr="00F53F54">
        <w:t xml:space="preserve">446. </w:t>
      </w:r>
      <w:hyperlink r:id="rId14" w:history="1">
        <w:r w:rsidR="00BD24CC" w:rsidRPr="00F53F54">
          <w:rPr>
            <w:rStyle w:val="Hyperlink"/>
            <w:color w:val="auto"/>
          </w:rPr>
          <w:t>http://dx.doi.org/10.1037/tra0000107</w:t>
        </w:r>
      </w:hyperlink>
    </w:p>
    <w:p w14:paraId="4DF9164D" w14:textId="77777777" w:rsidR="00BD24CC" w:rsidRPr="00F53F54" w:rsidRDefault="00BD24CC" w:rsidP="00BD24CC">
      <w:pPr>
        <w:pStyle w:val="apareference"/>
        <w:rPr>
          <w:lang w:val="en"/>
        </w:rPr>
      </w:pPr>
      <w:r w:rsidRPr="00F53F54">
        <w:t xml:space="preserve">Bryant, R. A. (2017). Acute stress disorder. </w:t>
      </w:r>
      <w:r w:rsidRPr="00F53F54">
        <w:rPr>
          <w:i/>
          <w:iCs/>
        </w:rPr>
        <w:t>Current Opinion in Psychology</w:t>
      </w:r>
      <w:r w:rsidRPr="00F53F54">
        <w:t xml:space="preserve">, </w:t>
      </w:r>
      <w:r w:rsidRPr="00F53F54">
        <w:rPr>
          <w:i/>
          <w:iCs/>
        </w:rPr>
        <w:t>14</w:t>
      </w:r>
      <w:r w:rsidRPr="00F53F54">
        <w:t xml:space="preserve">, 127–131. </w:t>
      </w:r>
      <w:hyperlink r:id="rId15" w:tgtFrame="_blank" w:history="1">
        <w:r w:rsidRPr="00F53F54">
          <w:rPr>
            <w:shd w:val="clear" w:color="auto" w:fill="FFFFFF"/>
          </w:rPr>
          <w:t>https://doi.org/10.1016/j.copsyc.2017.01.005</w:t>
        </w:r>
      </w:hyperlink>
    </w:p>
    <w:p w14:paraId="67D9724B" w14:textId="77777777" w:rsidR="00BD24CC" w:rsidRPr="00F53F54" w:rsidRDefault="00BD24CC" w:rsidP="00BD24CC">
      <w:pPr>
        <w:pStyle w:val="apareference"/>
      </w:pPr>
      <w:r w:rsidRPr="00F53F54">
        <w:rPr>
          <w:lang w:val="en"/>
        </w:rPr>
        <w:t xml:space="preserve">Bryant, R. A. (2018). The current evidence for acute stress disorder. </w:t>
      </w:r>
      <w:r w:rsidRPr="00F53F54">
        <w:rPr>
          <w:i/>
          <w:iCs/>
          <w:lang w:val="en"/>
        </w:rPr>
        <w:t>Current Psychiatry Report</w:t>
      </w:r>
      <w:r w:rsidRPr="00F53F54">
        <w:rPr>
          <w:lang w:val="en"/>
        </w:rPr>
        <w:t xml:space="preserve"> </w:t>
      </w:r>
      <w:r w:rsidRPr="00F53F54">
        <w:rPr>
          <w:i/>
          <w:iCs/>
          <w:lang w:val="en"/>
        </w:rPr>
        <w:t>20</w:t>
      </w:r>
      <w:r w:rsidRPr="00F53F54">
        <w:rPr>
          <w:lang w:val="en"/>
        </w:rPr>
        <w:t>,</w:t>
      </w:r>
      <w:r w:rsidRPr="00F53F54">
        <w:rPr>
          <w:b/>
          <w:bCs/>
          <w:lang w:val="en"/>
        </w:rPr>
        <w:t xml:space="preserve"> </w:t>
      </w:r>
      <w:r w:rsidRPr="00F53F54">
        <w:rPr>
          <w:lang w:val="en"/>
        </w:rPr>
        <w:t xml:space="preserve">Article 111. </w:t>
      </w:r>
      <w:hyperlink r:id="rId16" w:history="1">
        <w:r w:rsidRPr="00F53F54">
          <w:rPr>
            <w:rStyle w:val="Hyperlink"/>
            <w:rFonts w:eastAsia="Calibri"/>
            <w:color w:val="auto"/>
            <w:shd w:val="clear" w:color="auto" w:fill="FCFCFC"/>
          </w:rPr>
          <w:t>https://doi.org/10.1007/s11920-018-0976-x</w:t>
        </w:r>
      </w:hyperlink>
    </w:p>
    <w:p w14:paraId="1EFA4BF3" w14:textId="5CE0DEED" w:rsidR="001640F8" w:rsidRPr="00F53F54" w:rsidRDefault="006659EF">
      <w:pPr>
        <w:pStyle w:val="apareference"/>
      </w:pPr>
      <w:r w:rsidRPr="00F53F54">
        <w:rPr>
          <w:lang w:val="en"/>
        </w:rPr>
        <w:t xml:space="preserve">Bryant, R. A., Creamer, M., O’Donnell, M., </w:t>
      </w:r>
      <w:proofErr w:type="spellStart"/>
      <w:r w:rsidRPr="00F53F54">
        <w:rPr>
          <w:lang w:val="en"/>
        </w:rPr>
        <w:t>Silove</w:t>
      </w:r>
      <w:proofErr w:type="spellEnd"/>
      <w:r w:rsidRPr="00F53F54">
        <w:rPr>
          <w:lang w:val="en"/>
        </w:rPr>
        <w:t xml:space="preserve">, D., McFarlane, A. C., &amp; Forbes, D. (2015). A comparison of the capacity of DSM-IV and DSM-5 acute stress disorder definitions to predict posttraumatic stress disorder and related disorders. </w:t>
      </w:r>
      <w:r w:rsidRPr="00F53F54">
        <w:rPr>
          <w:i/>
          <w:iCs/>
          <w:lang w:val="en"/>
        </w:rPr>
        <w:t>Journal of Clinical Psychiatry,</w:t>
      </w:r>
      <w:r w:rsidRPr="00F53F54">
        <w:rPr>
          <w:lang w:val="en"/>
        </w:rPr>
        <w:t xml:space="preserve"> </w:t>
      </w:r>
      <w:r w:rsidRPr="00F53F54">
        <w:rPr>
          <w:i/>
          <w:iCs/>
          <w:lang w:val="en"/>
        </w:rPr>
        <w:t>76</w:t>
      </w:r>
      <w:r w:rsidR="00AC05EC" w:rsidRPr="00F53F54">
        <w:rPr>
          <w:lang w:val="en"/>
        </w:rPr>
        <w:t>(4)</w:t>
      </w:r>
      <w:r w:rsidRPr="00F53F54">
        <w:rPr>
          <w:lang w:val="en"/>
        </w:rPr>
        <w:t xml:space="preserve">, 391–397. </w:t>
      </w:r>
      <w:hyperlink r:id="rId17" w:history="1">
        <w:r w:rsidR="002F4420" w:rsidRPr="00F53F54">
          <w:rPr>
            <w:rStyle w:val="Hyperlink"/>
            <w:rFonts w:eastAsia="Calibri"/>
            <w:color w:val="auto"/>
            <w:shd w:val="clear" w:color="auto" w:fill="FFFFFF"/>
          </w:rPr>
          <w:t>https://doi.org/10.4088/JCP.13m08731</w:t>
        </w:r>
      </w:hyperlink>
    </w:p>
    <w:p w14:paraId="0EEFB93C" w14:textId="1DA1E620" w:rsidR="00A265D0" w:rsidRPr="00F53F54" w:rsidRDefault="00A265D0" w:rsidP="00A265D0">
      <w:pPr>
        <w:pStyle w:val="apareference"/>
      </w:pPr>
      <w:r w:rsidRPr="00F53F54">
        <w:t xml:space="preserve">Bryant, R. A., Friedman, M. J., Spiegel, D., </w:t>
      </w:r>
      <w:proofErr w:type="spellStart"/>
      <w:r w:rsidRPr="00F53F54">
        <w:t>Ursano</w:t>
      </w:r>
      <w:proofErr w:type="spellEnd"/>
      <w:r w:rsidRPr="00F53F54">
        <w:t xml:space="preserve">, R., &amp; Strain, J. A. (2011). Review of acute stress disorder in DSM-5. </w:t>
      </w:r>
      <w:r w:rsidRPr="00F53F54">
        <w:rPr>
          <w:i/>
          <w:iCs/>
        </w:rPr>
        <w:t>Depression and Anxiety, 28</w:t>
      </w:r>
      <w:r w:rsidRPr="00F53F54">
        <w:t xml:space="preserve">(9), 802–817. </w:t>
      </w:r>
      <w:hyperlink r:id="rId18" w:history="1">
        <w:r w:rsidRPr="00F53F54">
          <w:t>https://doi.org/10.1002/da.20737</w:t>
        </w:r>
      </w:hyperlink>
    </w:p>
    <w:p w14:paraId="6A26C5CF" w14:textId="53A18A83" w:rsidR="00A265D0" w:rsidRPr="00F53F54" w:rsidRDefault="00A265D0" w:rsidP="00A265D0">
      <w:pPr>
        <w:ind w:left="720" w:hanging="720"/>
        <w:rPr>
          <w:rFonts w:asciiTheme="majorBidi" w:eastAsia="Calibri" w:hAnsiTheme="majorBidi" w:cstheme="majorBidi"/>
          <w:b/>
          <w:bCs/>
        </w:rPr>
      </w:pPr>
      <w:r w:rsidRPr="00F53F54">
        <w:rPr>
          <w:rFonts w:asciiTheme="majorBidi" w:eastAsia="Calibri" w:hAnsiTheme="majorBidi" w:cstheme="majorBidi"/>
          <w:lang w:val="en-GB"/>
        </w:rPr>
        <w:t xml:space="preserve">Bryant, R. A., &amp; Harvey, A. G. (2000). </w:t>
      </w:r>
      <w:r w:rsidRPr="00F53F54">
        <w:rPr>
          <w:rFonts w:asciiTheme="majorBidi" w:eastAsia="Calibri" w:hAnsiTheme="majorBidi" w:cstheme="majorBidi"/>
          <w:i/>
          <w:iCs/>
          <w:lang w:val="en-GB"/>
        </w:rPr>
        <w:t>Acute stress disorder: A handbook of theory, assessment and treatment.</w:t>
      </w:r>
      <w:r w:rsidRPr="00F53F54">
        <w:rPr>
          <w:rFonts w:asciiTheme="majorBidi" w:eastAsia="Calibri" w:hAnsiTheme="majorBidi" w:cstheme="majorBidi"/>
          <w:lang w:val="en-GB"/>
        </w:rPr>
        <w:t xml:space="preserve"> American Psychological Association</w:t>
      </w:r>
      <w:r w:rsidRPr="00F53F54">
        <w:rPr>
          <w:rFonts w:asciiTheme="majorBidi" w:eastAsia="Calibri" w:hAnsiTheme="majorBidi" w:cstheme="majorBidi"/>
          <w:b/>
          <w:bCs/>
        </w:rPr>
        <w:t xml:space="preserve">. </w:t>
      </w:r>
    </w:p>
    <w:p w14:paraId="45073E9F" w14:textId="62DB79B6" w:rsidR="00BD24CC" w:rsidRPr="00F53F54" w:rsidRDefault="00BD24CC" w:rsidP="00BD24CC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Bidi" w:eastAsia="Calibri" w:hAnsiTheme="majorBidi" w:cstheme="majorBidi"/>
        </w:rPr>
      </w:pPr>
      <w:r w:rsidRPr="00F53F54">
        <w:rPr>
          <w:rFonts w:asciiTheme="majorBidi" w:eastAsia="Calibri" w:hAnsiTheme="majorBidi" w:cstheme="majorBidi"/>
        </w:rPr>
        <w:t xml:space="preserve">Bryant, R. A., </w:t>
      </w:r>
      <w:proofErr w:type="spellStart"/>
      <w:r w:rsidRPr="00F53F54">
        <w:rPr>
          <w:rFonts w:asciiTheme="majorBidi" w:eastAsia="Calibri" w:hAnsiTheme="majorBidi" w:cstheme="majorBidi"/>
        </w:rPr>
        <w:t>Moulds</w:t>
      </w:r>
      <w:proofErr w:type="spellEnd"/>
      <w:r w:rsidRPr="00F53F54">
        <w:rPr>
          <w:rFonts w:asciiTheme="majorBidi" w:eastAsia="Calibri" w:hAnsiTheme="majorBidi" w:cstheme="majorBidi"/>
        </w:rPr>
        <w:t xml:space="preserve">, M., &amp; Guthrie, R. (2000). Acute stress disorder scale: A self-report measure of acute stress disorder. </w:t>
      </w:r>
      <w:r w:rsidRPr="00F53F54">
        <w:rPr>
          <w:rFonts w:asciiTheme="majorBidi" w:eastAsia="Calibri" w:hAnsiTheme="majorBidi" w:cstheme="majorBidi"/>
          <w:i/>
          <w:iCs/>
        </w:rPr>
        <w:t>Psychological Assessment, 12</w:t>
      </w:r>
      <w:r w:rsidRPr="00F53F54">
        <w:rPr>
          <w:rFonts w:asciiTheme="majorBidi" w:eastAsia="Calibri" w:hAnsiTheme="majorBidi" w:cstheme="majorBidi"/>
        </w:rPr>
        <w:t xml:space="preserve">(1), 61–68. </w:t>
      </w:r>
      <w:hyperlink r:id="rId19" w:tgtFrame="_blank" w:history="1">
        <w:r w:rsidRPr="00F53F54">
          <w:rPr>
            <w:rFonts w:asciiTheme="majorBidi" w:hAnsiTheme="majorBidi" w:cstheme="majorBidi"/>
            <w:lang w:val="en"/>
          </w:rPr>
          <w:t>https://doi.org/10.1037/1040-3590.12.1.61</w:t>
        </w:r>
      </w:hyperlink>
    </w:p>
    <w:p w14:paraId="32538383" w14:textId="5276639C" w:rsidR="0092322A" w:rsidRPr="00F53F54" w:rsidRDefault="0092322A" w:rsidP="0092322A">
      <w:pPr>
        <w:ind w:left="720" w:hanging="720"/>
        <w:rPr>
          <w:rFonts w:asciiTheme="majorBidi" w:eastAsia="Calibri" w:hAnsiTheme="majorBidi" w:cstheme="majorBidi"/>
        </w:rPr>
      </w:pPr>
      <w:r w:rsidRPr="00F53F54">
        <w:rPr>
          <w:rFonts w:asciiTheme="majorBidi" w:eastAsia="Calibri" w:hAnsiTheme="majorBidi" w:cstheme="majorBidi"/>
        </w:rPr>
        <w:lastRenderedPageBreak/>
        <w:t xml:space="preserve">Calhoun, L. G., &amp; </w:t>
      </w:r>
      <w:proofErr w:type="spellStart"/>
      <w:r w:rsidRPr="00F53F54">
        <w:rPr>
          <w:rFonts w:asciiTheme="majorBidi" w:eastAsia="Calibri" w:hAnsiTheme="majorBidi" w:cstheme="majorBidi"/>
        </w:rPr>
        <w:t>Tedeschi</w:t>
      </w:r>
      <w:proofErr w:type="spellEnd"/>
      <w:r w:rsidRPr="00F53F54">
        <w:rPr>
          <w:rFonts w:asciiTheme="majorBidi" w:eastAsia="Calibri" w:hAnsiTheme="majorBidi" w:cstheme="majorBidi"/>
        </w:rPr>
        <w:t xml:space="preserve">, R. G. (2004). The foundations of posttraumatic growth: New considerations. </w:t>
      </w:r>
      <w:r w:rsidRPr="00F53F54">
        <w:rPr>
          <w:rFonts w:asciiTheme="majorBidi" w:eastAsia="Calibri" w:hAnsiTheme="majorBidi" w:cstheme="majorBidi"/>
          <w:i/>
          <w:iCs/>
        </w:rPr>
        <w:t>Psychological Inquiry, 15</w:t>
      </w:r>
      <w:r w:rsidRPr="00F53F54">
        <w:rPr>
          <w:rFonts w:asciiTheme="majorBidi" w:eastAsia="Calibri" w:hAnsiTheme="majorBidi" w:cstheme="majorBidi"/>
        </w:rPr>
        <w:t>(1)</w:t>
      </w:r>
      <w:r w:rsidRPr="00F53F54">
        <w:rPr>
          <w:rFonts w:asciiTheme="majorBidi" w:eastAsia="Calibri" w:hAnsiTheme="majorBidi" w:cstheme="majorBidi"/>
          <w:i/>
          <w:iCs/>
        </w:rPr>
        <w:t xml:space="preserve">, </w:t>
      </w:r>
      <w:r w:rsidRPr="00F53F54">
        <w:rPr>
          <w:rFonts w:asciiTheme="majorBidi" w:eastAsia="Calibri" w:hAnsiTheme="majorBidi" w:cstheme="majorBidi"/>
        </w:rPr>
        <w:t xml:space="preserve">93–102. </w:t>
      </w:r>
      <w:hyperlink r:id="rId20" w:tgtFrame="_blank" w:history="1">
        <w:r w:rsidRPr="00F53F54">
          <w:rPr>
            <w:rStyle w:val="Hyperlink"/>
            <w:rFonts w:asciiTheme="majorBidi" w:eastAsia="Calibri" w:hAnsiTheme="majorBidi" w:cstheme="majorBidi"/>
            <w:color w:val="auto"/>
            <w:shd w:val="clear" w:color="auto" w:fill="FFFFFF"/>
          </w:rPr>
          <w:t>https://doi.org/10.1207/s15327965pli1501_03</w:t>
        </w:r>
      </w:hyperlink>
    </w:p>
    <w:p w14:paraId="4E9D2E9C" w14:textId="100150B8" w:rsidR="0092322A" w:rsidRPr="00F53F54" w:rsidRDefault="0092322A" w:rsidP="0092322A">
      <w:pPr>
        <w:ind w:left="720" w:hanging="720"/>
      </w:pPr>
      <w:r w:rsidRPr="00F53F54">
        <w:rPr>
          <w:rFonts w:asciiTheme="majorBidi" w:eastAsia="Calibri" w:hAnsiTheme="majorBidi" w:cstheme="majorBidi"/>
        </w:rPr>
        <w:t>Dawson, J. F. (2014). Moderation in management research: What, why, when and how. </w:t>
      </w:r>
      <w:r w:rsidRPr="00F53F54">
        <w:rPr>
          <w:rFonts w:asciiTheme="majorBidi" w:eastAsia="Calibri" w:hAnsiTheme="majorBidi" w:cstheme="majorBidi"/>
          <w:i/>
        </w:rPr>
        <w:t>Journal of Business &amp; Psychology, 29</w:t>
      </w:r>
      <w:r w:rsidRPr="00F53F54">
        <w:rPr>
          <w:rFonts w:asciiTheme="majorBidi" w:eastAsia="Calibri" w:hAnsiTheme="majorBidi" w:cstheme="majorBidi"/>
          <w:iCs/>
        </w:rPr>
        <w:t>(1)</w:t>
      </w:r>
      <w:r w:rsidRPr="00F53F54">
        <w:rPr>
          <w:rFonts w:asciiTheme="majorBidi" w:eastAsia="Calibri" w:hAnsiTheme="majorBidi" w:cstheme="majorBidi"/>
        </w:rPr>
        <w:t xml:space="preserve">, 1–19. </w:t>
      </w:r>
      <w:hyperlink r:id="rId21" w:history="1">
        <w:r w:rsidR="0049366A" w:rsidRPr="00F53F54">
          <w:rPr>
            <w:rStyle w:val="Hyperlink"/>
            <w:rFonts w:asciiTheme="majorBidi" w:hAnsiTheme="majorBidi" w:cstheme="majorBidi"/>
            <w:color w:val="auto"/>
            <w:shd w:val="clear" w:color="auto" w:fill="FCFCFC"/>
          </w:rPr>
          <w:t>https://doi.org/10.1007/s10869-013-9308-7</w:t>
        </w:r>
      </w:hyperlink>
    </w:p>
    <w:p w14:paraId="1348F194" w14:textId="77777777" w:rsidR="0049366A" w:rsidRPr="00F53F54" w:rsidRDefault="0049366A" w:rsidP="0049366A">
      <w:pPr>
        <w:pStyle w:val="apareference"/>
      </w:pPr>
      <w:r w:rsidRPr="00F53F54">
        <w:rPr>
          <w:lang w:val="en"/>
        </w:rPr>
        <w:t xml:space="preserve">De Jong, J. T. V. M., </w:t>
      </w:r>
      <w:proofErr w:type="spellStart"/>
      <w:r w:rsidRPr="00F53F54">
        <w:rPr>
          <w:lang w:val="en"/>
        </w:rPr>
        <w:t>Komproe</w:t>
      </w:r>
      <w:proofErr w:type="spellEnd"/>
      <w:r w:rsidRPr="00F53F54">
        <w:rPr>
          <w:lang w:val="en"/>
        </w:rPr>
        <w:t xml:space="preserve">, I. H., Van </w:t>
      </w:r>
      <w:proofErr w:type="spellStart"/>
      <w:r w:rsidRPr="00F53F54">
        <w:rPr>
          <w:lang w:val="en"/>
        </w:rPr>
        <w:t>Ommeren</w:t>
      </w:r>
      <w:proofErr w:type="spellEnd"/>
      <w:r w:rsidRPr="00F53F54">
        <w:rPr>
          <w:lang w:val="en"/>
        </w:rPr>
        <w:t xml:space="preserve">, M., El </w:t>
      </w:r>
      <w:proofErr w:type="spellStart"/>
      <w:r w:rsidRPr="00F53F54">
        <w:rPr>
          <w:lang w:val="en"/>
        </w:rPr>
        <w:t>Masri</w:t>
      </w:r>
      <w:proofErr w:type="spellEnd"/>
      <w:r w:rsidRPr="00F53F54">
        <w:rPr>
          <w:lang w:val="en"/>
        </w:rPr>
        <w:t xml:space="preserve">, M., Araya, M., Khaled, N., Van de Put, W., &amp; </w:t>
      </w:r>
      <w:proofErr w:type="spellStart"/>
      <w:r w:rsidRPr="00F53F54">
        <w:rPr>
          <w:lang w:val="en"/>
        </w:rPr>
        <w:t>Somasundaram</w:t>
      </w:r>
      <w:proofErr w:type="spellEnd"/>
      <w:r w:rsidRPr="00F53F54">
        <w:rPr>
          <w:lang w:val="en"/>
        </w:rPr>
        <w:t xml:space="preserve">, D. (2001). Lifetime events and posttraumatic stress disorder in four </w:t>
      </w:r>
      <w:proofErr w:type="spellStart"/>
      <w:r w:rsidRPr="00F53F54">
        <w:rPr>
          <w:lang w:val="en"/>
        </w:rPr>
        <w:t>postconflict</w:t>
      </w:r>
      <w:proofErr w:type="spellEnd"/>
      <w:r w:rsidRPr="00F53F54">
        <w:rPr>
          <w:lang w:val="en"/>
        </w:rPr>
        <w:t xml:space="preserve"> settings. </w:t>
      </w:r>
      <w:r w:rsidRPr="00F53F54">
        <w:rPr>
          <w:i/>
          <w:iCs/>
          <w:lang w:val="en"/>
        </w:rPr>
        <w:t>Journal of American Academy of Child and Adolescent Psychiatry</w:t>
      </w:r>
      <w:r w:rsidRPr="00F53F54">
        <w:rPr>
          <w:lang w:val="en"/>
        </w:rPr>
        <w:t xml:space="preserve">, </w:t>
      </w:r>
      <w:r w:rsidRPr="00F53F54">
        <w:rPr>
          <w:i/>
          <w:iCs/>
          <w:lang w:val="en"/>
        </w:rPr>
        <w:t>286</w:t>
      </w:r>
      <w:r w:rsidRPr="00F53F54">
        <w:rPr>
          <w:lang w:val="en"/>
        </w:rPr>
        <w:t>(5), 555–562</w:t>
      </w:r>
      <w:r w:rsidRPr="00F53F54">
        <w:t xml:space="preserve">. </w:t>
      </w:r>
      <w:r w:rsidRPr="00F53F54">
        <w:rPr>
          <w:shd w:val="clear" w:color="auto" w:fill="FFFFFF"/>
        </w:rPr>
        <w:t>http://dx.doi.org/10.1001/jama.286.5.555</w:t>
      </w:r>
    </w:p>
    <w:p w14:paraId="106EE91B" w14:textId="1E67357A" w:rsidR="001640F8" w:rsidRPr="00F53F54" w:rsidRDefault="00687A34">
      <w:pPr>
        <w:pStyle w:val="apareference"/>
      </w:pPr>
      <w:proofErr w:type="spellStart"/>
      <w:r w:rsidRPr="00F53F54">
        <w:t>Dienstbier</w:t>
      </w:r>
      <w:proofErr w:type="spellEnd"/>
      <w:r w:rsidRPr="00F53F54">
        <w:t xml:space="preserve">, R. A. (1992). Mutual impacts of toughening on crises and losses. In L. </w:t>
      </w:r>
      <w:proofErr w:type="spellStart"/>
      <w:r w:rsidRPr="00F53F54">
        <w:t>Montada</w:t>
      </w:r>
      <w:proofErr w:type="spellEnd"/>
      <w:r w:rsidRPr="00F53F54">
        <w:t>, S.</w:t>
      </w:r>
      <w:r w:rsidR="00A557D6" w:rsidRPr="00F53F54">
        <w:t xml:space="preserve"> </w:t>
      </w:r>
      <w:r w:rsidRPr="00F53F54">
        <w:t xml:space="preserve">H. </w:t>
      </w:r>
      <w:proofErr w:type="spellStart"/>
      <w:r w:rsidRPr="00F53F54">
        <w:t>Filipp</w:t>
      </w:r>
      <w:proofErr w:type="spellEnd"/>
      <w:r w:rsidR="00A557D6" w:rsidRPr="00F53F54">
        <w:t>,</w:t>
      </w:r>
      <w:r w:rsidRPr="00F53F54">
        <w:t xml:space="preserve"> &amp; M. J. Lerner (Eds.), </w:t>
      </w:r>
      <w:r w:rsidRPr="00F53F54">
        <w:rPr>
          <w:i/>
          <w:iCs/>
        </w:rPr>
        <w:t xml:space="preserve">Life crises and experiences of loss in adulthood </w:t>
      </w:r>
      <w:r w:rsidRPr="00F53F54">
        <w:t>(pp. 367–384). Erlbaum.</w:t>
      </w:r>
    </w:p>
    <w:p w14:paraId="3B67364A" w14:textId="2E209C11" w:rsidR="001640F8" w:rsidRPr="00F53F54" w:rsidRDefault="00CC44DA">
      <w:pPr>
        <w:pStyle w:val="apareference"/>
      </w:pPr>
      <w:proofErr w:type="spellStart"/>
      <w:r w:rsidRPr="00F53F54">
        <w:t>Figley</w:t>
      </w:r>
      <w:proofErr w:type="spellEnd"/>
      <w:r w:rsidRPr="00F53F54">
        <w:t xml:space="preserve">, C.R. (1978). Symptoms of delayed combat stress among a college sample </w:t>
      </w:r>
      <w:r w:rsidR="00843CA3" w:rsidRPr="00F53F54">
        <w:t xml:space="preserve">of </w:t>
      </w:r>
      <w:r w:rsidRPr="00F53F54">
        <w:rPr>
          <w:rFonts w:asciiTheme="majorBidi" w:hAnsiTheme="majorBidi" w:cstheme="majorBidi"/>
        </w:rPr>
        <w:t xml:space="preserve">Vietnam veterans. </w:t>
      </w:r>
      <w:r w:rsidRPr="00F53F54">
        <w:rPr>
          <w:rFonts w:asciiTheme="majorBidi" w:hAnsiTheme="majorBidi" w:cstheme="majorBidi"/>
          <w:i/>
          <w:iCs/>
        </w:rPr>
        <w:t>Military Medicine</w:t>
      </w:r>
      <w:r w:rsidRPr="00F53F54">
        <w:rPr>
          <w:rFonts w:asciiTheme="majorBidi" w:hAnsiTheme="majorBidi" w:cstheme="majorBidi"/>
        </w:rPr>
        <w:t xml:space="preserve">, </w:t>
      </w:r>
      <w:r w:rsidRPr="00F53F54">
        <w:rPr>
          <w:rFonts w:asciiTheme="majorBidi" w:hAnsiTheme="majorBidi" w:cstheme="majorBidi"/>
          <w:i/>
          <w:iCs/>
        </w:rPr>
        <w:t>143</w:t>
      </w:r>
      <w:r w:rsidRPr="00F53F54">
        <w:rPr>
          <w:rFonts w:asciiTheme="majorBidi" w:hAnsiTheme="majorBidi" w:cstheme="majorBidi"/>
        </w:rPr>
        <w:t>(2), 107</w:t>
      </w:r>
      <w:r w:rsidR="00843CA3" w:rsidRPr="00F53F54">
        <w:rPr>
          <w:rFonts w:asciiTheme="majorBidi" w:hAnsiTheme="majorBidi" w:cstheme="majorBidi"/>
          <w:lang w:val="en"/>
        </w:rPr>
        <w:t>–</w:t>
      </w:r>
      <w:r w:rsidRPr="00F53F54">
        <w:rPr>
          <w:rFonts w:asciiTheme="majorBidi" w:hAnsiTheme="majorBidi" w:cstheme="majorBidi"/>
        </w:rPr>
        <w:t>110.</w:t>
      </w:r>
      <w:r w:rsidR="00C71873" w:rsidRPr="00F53F54">
        <w:rPr>
          <w:rFonts w:asciiTheme="majorBidi" w:hAnsiTheme="majorBidi" w:cstheme="majorBidi"/>
        </w:rPr>
        <w:t xml:space="preserve"> </w:t>
      </w:r>
      <w:hyperlink r:id="rId22" w:history="1">
        <w:r w:rsidR="00C71873" w:rsidRPr="00F53F54">
          <w:rPr>
            <w:rStyle w:val="Hyperlink"/>
            <w:rFonts w:asciiTheme="majorBidi" w:eastAsia="Calibri" w:hAnsiTheme="majorBidi" w:cstheme="majorBidi"/>
            <w:color w:val="auto"/>
            <w:bdr w:val="none" w:sz="0" w:space="0" w:color="auto" w:frame="1"/>
            <w:shd w:val="clear" w:color="auto" w:fill="FFFFFF"/>
          </w:rPr>
          <w:t>https://doi.org/10.1093/milmed/143.2.107</w:t>
        </w:r>
      </w:hyperlink>
    </w:p>
    <w:p w14:paraId="65071DA2" w14:textId="340FF53E" w:rsidR="001640F8" w:rsidRPr="00F53F54" w:rsidRDefault="00CC44DA">
      <w:pPr>
        <w:pStyle w:val="apareference"/>
      </w:pPr>
      <w:proofErr w:type="spellStart"/>
      <w:r w:rsidRPr="00F53F54">
        <w:t>Gelkopf</w:t>
      </w:r>
      <w:proofErr w:type="spellEnd"/>
      <w:r w:rsidRPr="00F53F54">
        <w:t xml:space="preserve">, M., Berger, R., </w:t>
      </w:r>
      <w:proofErr w:type="spellStart"/>
      <w:r w:rsidRPr="00F53F54">
        <w:t>Bleich</w:t>
      </w:r>
      <w:proofErr w:type="spellEnd"/>
      <w:r w:rsidRPr="00F53F54">
        <w:t>, A., &amp; Cohen-Silver, R. (</w:t>
      </w:r>
      <w:r w:rsidRPr="00F53F54">
        <w:rPr>
          <w:rtl/>
        </w:rPr>
        <w:t>2012</w:t>
      </w:r>
      <w:r w:rsidRPr="00F53F54">
        <w:t xml:space="preserve">). </w:t>
      </w:r>
      <w:r w:rsidRPr="00F53F54">
        <w:rPr>
          <w:rFonts w:eastAsia="Arial Unicode MS"/>
        </w:rPr>
        <w:t xml:space="preserve">Protective factors and predictors of vulnerability to chronic stress: A comparative study of </w:t>
      </w:r>
      <w:proofErr w:type="gramStart"/>
      <w:r w:rsidRPr="00F53F54">
        <w:rPr>
          <w:rFonts w:eastAsia="Arial Unicode MS"/>
        </w:rPr>
        <w:t>4</w:t>
      </w:r>
      <w:proofErr w:type="gramEnd"/>
      <w:r w:rsidRPr="00F53F54">
        <w:rPr>
          <w:rFonts w:eastAsia="Arial Unicode MS"/>
        </w:rPr>
        <w:t xml:space="preserve"> communities after 7 years of continuous rocket fire. S</w:t>
      </w:r>
      <w:r w:rsidRPr="00F53F54">
        <w:rPr>
          <w:rFonts w:eastAsia="Arial Unicode MS"/>
          <w:i/>
          <w:iCs/>
        </w:rPr>
        <w:t>ocial Science and Medicine, 74</w:t>
      </w:r>
      <w:r w:rsidR="001756AF" w:rsidRPr="00F53F54">
        <w:rPr>
          <w:rFonts w:eastAsia="Arial Unicode MS"/>
        </w:rPr>
        <w:t>(5)</w:t>
      </w:r>
      <w:r w:rsidRPr="00F53F54">
        <w:rPr>
          <w:rFonts w:eastAsia="Arial Unicode MS"/>
        </w:rPr>
        <w:t>, 757</w:t>
      </w:r>
      <w:r w:rsidR="00C71873" w:rsidRPr="00F53F54">
        <w:rPr>
          <w:rFonts w:eastAsia="Arial Unicode MS"/>
        </w:rPr>
        <w:t>–</w:t>
      </w:r>
      <w:r w:rsidRPr="00F53F54">
        <w:rPr>
          <w:rFonts w:eastAsia="Arial Unicode MS"/>
        </w:rPr>
        <w:t xml:space="preserve">766. </w:t>
      </w:r>
      <w:hyperlink r:id="rId23" w:tgtFrame="_blank" w:tooltip="Persistent link using digital object identifier" w:history="1">
        <w:r w:rsidR="006F2F75" w:rsidRPr="00F53F54">
          <w:rPr>
            <w:rStyle w:val="Hyperlink"/>
            <w:rFonts w:eastAsia="Calibri"/>
            <w:color w:val="auto"/>
          </w:rPr>
          <w:t>https://doi.org/10.1016/j.socscimed.2011.10.022</w:t>
        </w:r>
      </w:hyperlink>
    </w:p>
    <w:p w14:paraId="78084992" w14:textId="4DFBD5DE" w:rsidR="001640F8" w:rsidRPr="00927428" w:rsidRDefault="006659EF">
      <w:pPr>
        <w:pStyle w:val="apareference"/>
        <w:rPr>
          <w:lang w:val="en-GB"/>
        </w:rPr>
      </w:pPr>
      <w:r w:rsidRPr="00F53F54">
        <w:rPr>
          <w:lang w:val="en"/>
        </w:rPr>
        <w:t xml:space="preserve">Gerber, M., Frankfurt, S. B., Contractor, A. A., </w:t>
      </w:r>
      <w:proofErr w:type="spellStart"/>
      <w:r w:rsidRPr="00F53F54">
        <w:rPr>
          <w:lang w:val="en"/>
        </w:rPr>
        <w:t>Oudshoorn</w:t>
      </w:r>
      <w:proofErr w:type="spellEnd"/>
      <w:r w:rsidRPr="00F53F54">
        <w:rPr>
          <w:lang w:val="en"/>
        </w:rPr>
        <w:t xml:space="preserve">, K., </w:t>
      </w:r>
      <w:proofErr w:type="spellStart"/>
      <w:r w:rsidRPr="00F53F54">
        <w:rPr>
          <w:lang w:val="en"/>
        </w:rPr>
        <w:t>Dranger</w:t>
      </w:r>
      <w:proofErr w:type="spellEnd"/>
      <w:r w:rsidRPr="00F53F54">
        <w:rPr>
          <w:lang w:val="en"/>
        </w:rPr>
        <w:t xml:space="preserve">, P., &amp; Brown, L. A. (2018). Influence of multiple traumatic event types on mental health outcomes: Does count matter? </w:t>
      </w:r>
      <w:r w:rsidRPr="00F53F54">
        <w:rPr>
          <w:i/>
          <w:iCs/>
          <w:spacing w:val="1"/>
          <w:lang w:val="en-GB"/>
        </w:rPr>
        <w:t xml:space="preserve">Journal of Psychopathology </w:t>
      </w:r>
      <w:r w:rsidRPr="001640F8">
        <w:rPr>
          <w:i/>
          <w:iCs/>
          <w:spacing w:val="1"/>
          <w:lang w:val="en-GB"/>
        </w:rPr>
        <w:t xml:space="preserve">and </w:t>
      </w:r>
      <w:proofErr w:type="spellStart"/>
      <w:r w:rsidRPr="001640F8">
        <w:rPr>
          <w:i/>
          <w:iCs/>
          <w:spacing w:val="1"/>
          <w:lang w:val="en-GB"/>
        </w:rPr>
        <w:lastRenderedPageBreak/>
        <w:t>Behavioral</w:t>
      </w:r>
      <w:proofErr w:type="spellEnd"/>
      <w:r w:rsidRPr="001640F8">
        <w:rPr>
          <w:i/>
          <w:iCs/>
          <w:spacing w:val="1"/>
          <w:lang w:val="en-GB"/>
        </w:rPr>
        <w:t xml:space="preserve"> Assessment</w:t>
      </w:r>
      <w:r w:rsidRPr="001640F8">
        <w:rPr>
          <w:spacing w:val="1"/>
          <w:lang w:val="en-GB"/>
        </w:rPr>
        <w:t xml:space="preserve">, </w:t>
      </w:r>
      <w:r w:rsidRPr="001640F8">
        <w:rPr>
          <w:i/>
          <w:iCs/>
          <w:spacing w:val="1"/>
          <w:lang w:val="en-GB"/>
        </w:rPr>
        <w:t>40</w:t>
      </w:r>
      <w:r w:rsidRPr="001640F8">
        <w:rPr>
          <w:spacing w:val="1"/>
          <w:lang w:val="en-GB"/>
        </w:rPr>
        <w:t>(4), 645–654.</w:t>
      </w:r>
      <w:r w:rsidRPr="001640F8">
        <w:t xml:space="preserve"> </w:t>
      </w:r>
      <w:hyperlink r:id="rId24" w:history="1">
        <w:r w:rsidRPr="001640F8">
          <w:t>https://doi.org/10.1007/s10862-018-9682-6</w:t>
        </w:r>
      </w:hyperlink>
      <w:r w:rsidRPr="001640F8">
        <w:rPr>
          <w:spacing w:val="1"/>
          <w:lang w:val="en-GB"/>
        </w:rPr>
        <w:t xml:space="preserve"> </w:t>
      </w:r>
    </w:p>
    <w:p w14:paraId="6B00CEE9" w14:textId="634026C9" w:rsidR="001640F8" w:rsidRDefault="006659EF">
      <w:pPr>
        <w:pStyle w:val="apareference"/>
      </w:pPr>
      <w:r w:rsidRPr="007804A6">
        <w:t xml:space="preserve">Gil, S., Weinberg, M., </w:t>
      </w:r>
      <w:proofErr w:type="spellStart"/>
      <w:r w:rsidRPr="007804A6">
        <w:t>Shamai</w:t>
      </w:r>
      <w:proofErr w:type="spellEnd"/>
      <w:r w:rsidRPr="007804A6">
        <w:t xml:space="preserve">, M., Ron, P., </w:t>
      </w:r>
      <w:proofErr w:type="spellStart"/>
      <w:r w:rsidRPr="007804A6">
        <w:t>Harel</w:t>
      </w:r>
      <w:proofErr w:type="spellEnd"/>
      <w:r w:rsidRPr="007804A6">
        <w:t xml:space="preserve">, H., &amp; Or-Chen, K. (2016). Risk factors for DSM–5 posttraumatic stress symptoms (PTSS) among Israeli civilians during the 2014 Israel-Hamas war. </w:t>
      </w:r>
      <w:r w:rsidRPr="00151B70">
        <w:rPr>
          <w:i/>
          <w:iCs/>
        </w:rPr>
        <w:t>Psychological Trauma: Theory, Research, Practice, and Policy</w:t>
      </w:r>
      <w:r w:rsidRPr="00151B70">
        <w:t xml:space="preserve">, </w:t>
      </w:r>
      <w:r w:rsidRPr="0008606B">
        <w:rPr>
          <w:i/>
          <w:iCs/>
        </w:rPr>
        <w:t>8</w:t>
      </w:r>
      <w:r w:rsidRPr="0008606B">
        <w:t>(1), 49</w:t>
      </w:r>
      <w:r w:rsidR="006062B3">
        <w:t>–</w:t>
      </w:r>
      <w:r w:rsidRPr="0008606B">
        <w:t xml:space="preserve">54. </w:t>
      </w:r>
      <w:hyperlink r:id="rId25" w:tgtFrame="_blank" w:history="1">
        <w:r w:rsidRPr="001640F8">
          <w:rPr>
            <w:shd w:val="clear" w:color="auto" w:fill="FFFFFF"/>
          </w:rPr>
          <w:t>https://doi.org/10.1037/tra0000063</w:t>
        </w:r>
      </w:hyperlink>
    </w:p>
    <w:p w14:paraId="23D5862F" w14:textId="7C1EF27C" w:rsidR="004E375D" w:rsidRPr="004E375D" w:rsidRDefault="004E375D">
      <w:pPr>
        <w:pStyle w:val="apareference"/>
      </w:pPr>
      <w:proofErr w:type="spellStart"/>
      <w:r>
        <w:t>Giupponi</w:t>
      </w:r>
      <w:proofErr w:type="spellEnd"/>
      <w:r>
        <w:t xml:space="preserve">, G., </w:t>
      </w:r>
      <w:proofErr w:type="spellStart"/>
      <w:r>
        <w:t>Thoma</w:t>
      </w:r>
      <w:proofErr w:type="spellEnd"/>
      <w:r>
        <w:t xml:space="preserve">, H., </w:t>
      </w:r>
      <w:proofErr w:type="spellStart"/>
      <w:r>
        <w:t>Lamis</w:t>
      </w:r>
      <w:proofErr w:type="spellEnd"/>
      <w:r>
        <w:t xml:space="preserve">, D., Forte, A., </w:t>
      </w:r>
      <w:proofErr w:type="spellStart"/>
      <w:r>
        <w:t>Pompili</w:t>
      </w:r>
      <w:proofErr w:type="spellEnd"/>
      <w:r>
        <w:t xml:space="preserve">, M., &amp; </w:t>
      </w:r>
      <w:proofErr w:type="spellStart"/>
      <w:r>
        <w:t>Kapfhammer</w:t>
      </w:r>
      <w:proofErr w:type="spellEnd"/>
      <w:r>
        <w:t>, H. P. (2019). Posttraumatic stress reactions of underground drivers after suicides by jumping to arriving trains</w:t>
      </w:r>
      <w:r w:rsidR="003349FE">
        <w:t>; f</w:t>
      </w:r>
      <w:r>
        <w:t xml:space="preserve">easibility of an early stepped care outpatient intervention. </w:t>
      </w:r>
      <w:r>
        <w:rPr>
          <w:i/>
          <w:iCs/>
        </w:rPr>
        <w:t>Journal of Trauma &amp; Dissociation, 20</w:t>
      </w:r>
      <w:r>
        <w:t xml:space="preserve">(5), 495–510. </w:t>
      </w:r>
      <w:hyperlink r:id="rId26" w:history="1">
        <w:r w:rsidRPr="001640F8">
          <w:t>https://doi.org/10.1080/15299732.2019.1597810</w:t>
        </w:r>
      </w:hyperlink>
    </w:p>
    <w:p w14:paraId="4D0284CF" w14:textId="4A497DC0" w:rsidR="001640F8" w:rsidRPr="003349FE" w:rsidRDefault="006659EF">
      <w:pPr>
        <w:pStyle w:val="apareference"/>
      </w:pPr>
      <w:r w:rsidRPr="001640F8">
        <w:rPr>
          <w:lang w:val="en-GB"/>
        </w:rPr>
        <w:t xml:space="preserve">Graham, J., </w:t>
      </w:r>
      <w:proofErr w:type="spellStart"/>
      <w:r w:rsidRPr="001640F8">
        <w:rPr>
          <w:lang w:val="en-GB"/>
        </w:rPr>
        <w:t>Legarreta</w:t>
      </w:r>
      <w:proofErr w:type="spellEnd"/>
      <w:r w:rsidRPr="001640F8">
        <w:rPr>
          <w:lang w:val="en-GB"/>
        </w:rPr>
        <w:t xml:space="preserve">, M., North, L., </w:t>
      </w:r>
      <w:proofErr w:type="spellStart"/>
      <w:r w:rsidRPr="001640F8">
        <w:rPr>
          <w:lang w:val="en-GB"/>
        </w:rPr>
        <w:t>DiMuzio</w:t>
      </w:r>
      <w:proofErr w:type="spellEnd"/>
      <w:r w:rsidRPr="001640F8">
        <w:rPr>
          <w:lang w:val="en-GB"/>
        </w:rPr>
        <w:t xml:space="preserve">, J., </w:t>
      </w:r>
      <w:proofErr w:type="spellStart"/>
      <w:r w:rsidRPr="001640F8">
        <w:rPr>
          <w:lang w:val="en-GB"/>
        </w:rPr>
        <w:t>McGlade</w:t>
      </w:r>
      <w:proofErr w:type="spellEnd"/>
      <w:r w:rsidRPr="001640F8">
        <w:rPr>
          <w:lang w:val="en-GB"/>
        </w:rPr>
        <w:t>, E., &amp;</w:t>
      </w:r>
      <w:r w:rsidR="003349FE">
        <w:rPr>
          <w:lang w:val="en-GB"/>
        </w:rPr>
        <w:t xml:space="preserve"> </w:t>
      </w:r>
      <w:proofErr w:type="spellStart"/>
      <w:r w:rsidRPr="001640F8">
        <w:rPr>
          <w:lang w:val="en-GB"/>
        </w:rPr>
        <w:t>Yurgelun</w:t>
      </w:r>
      <w:proofErr w:type="spellEnd"/>
      <w:r w:rsidRPr="001640F8">
        <w:rPr>
          <w:lang w:val="en-GB"/>
        </w:rPr>
        <w:t xml:space="preserve">-Todd, D. (2016). A preliminary study of DSM-5 PTSD symptom patterns in veterans by trauma type. </w:t>
      </w:r>
      <w:r w:rsidRPr="001640F8">
        <w:rPr>
          <w:i/>
          <w:iCs/>
          <w:lang w:val="en-GB"/>
        </w:rPr>
        <w:t>Military Psychology</w:t>
      </w:r>
      <w:r w:rsidRPr="001640F8">
        <w:rPr>
          <w:lang w:val="en-GB"/>
        </w:rPr>
        <w:t xml:space="preserve">, </w:t>
      </w:r>
      <w:r w:rsidRPr="001640F8">
        <w:rPr>
          <w:i/>
          <w:iCs/>
          <w:lang w:val="en-GB"/>
        </w:rPr>
        <w:t>28</w:t>
      </w:r>
      <w:r w:rsidRPr="001640F8">
        <w:rPr>
          <w:lang w:val="en-GB"/>
        </w:rPr>
        <w:t>(2), 115–122.</w:t>
      </w:r>
      <w:r w:rsidRPr="001640F8">
        <w:t xml:space="preserve"> </w:t>
      </w:r>
      <w:hyperlink r:id="rId27" w:history="1">
        <w:r w:rsidR="006F2F75" w:rsidRPr="00750FE5">
          <w:rPr>
            <w:rStyle w:val="Hyperlink"/>
            <w:color w:val="auto"/>
          </w:rPr>
          <w:t>https://doi.org/10.1037/mil0000092</w:t>
        </w:r>
      </w:hyperlink>
    </w:p>
    <w:p w14:paraId="7168CCED" w14:textId="3A4A10FD" w:rsidR="001640F8" w:rsidRPr="003349FE" w:rsidRDefault="00CC44DA">
      <w:pPr>
        <w:pStyle w:val="apareference"/>
      </w:pPr>
      <w:r w:rsidRPr="001640F8">
        <w:t>Gunnar, M.</w:t>
      </w:r>
      <w:r w:rsidR="003349FE">
        <w:t xml:space="preserve"> </w:t>
      </w:r>
      <w:r w:rsidRPr="001640F8">
        <w:t xml:space="preserve">R., </w:t>
      </w:r>
      <w:proofErr w:type="spellStart"/>
      <w:r w:rsidRPr="001640F8">
        <w:t>Frenn</w:t>
      </w:r>
      <w:proofErr w:type="spellEnd"/>
      <w:r w:rsidRPr="001640F8">
        <w:t xml:space="preserve">, K., </w:t>
      </w:r>
      <w:proofErr w:type="spellStart"/>
      <w:r w:rsidRPr="001640F8">
        <w:t>Wewerka</w:t>
      </w:r>
      <w:proofErr w:type="spellEnd"/>
      <w:r w:rsidRPr="001640F8">
        <w:t>, S.</w:t>
      </w:r>
      <w:r w:rsidR="003349FE">
        <w:t xml:space="preserve"> </w:t>
      </w:r>
      <w:r w:rsidRPr="001640F8">
        <w:t xml:space="preserve">S., &amp; Van </w:t>
      </w:r>
      <w:proofErr w:type="spellStart"/>
      <w:r w:rsidRPr="001640F8">
        <w:t>Ryzin</w:t>
      </w:r>
      <w:proofErr w:type="spellEnd"/>
      <w:r w:rsidRPr="001640F8">
        <w:t>, M.</w:t>
      </w:r>
      <w:r w:rsidR="003349FE">
        <w:t xml:space="preserve"> </w:t>
      </w:r>
      <w:r w:rsidRPr="001640F8">
        <w:t>J. (2009). Moderate versus severe early life stress: Associations with stress reactivity and regulation in 10</w:t>
      </w:r>
      <w:r w:rsidR="003349FE">
        <w:t>–</w:t>
      </w:r>
      <w:r w:rsidRPr="001640F8">
        <w:t xml:space="preserve">12-year-old children. </w:t>
      </w:r>
      <w:proofErr w:type="spellStart"/>
      <w:r w:rsidRPr="001640F8">
        <w:rPr>
          <w:i/>
          <w:iCs/>
        </w:rPr>
        <w:t>Psychoneuroendocrinology</w:t>
      </w:r>
      <w:proofErr w:type="spellEnd"/>
      <w:r w:rsidRPr="001640F8">
        <w:rPr>
          <w:i/>
          <w:iCs/>
        </w:rPr>
        <w:t>, 34</w:t>
      </w:r>
      <w:r w:rsidR="003349FE">
        <w:t>(1)</w:t>
      </w:r>
      <w:r w:rsidRPr="001640F8">
        <w:rPr>
          <w:i/>
          <w:iCs/>
        </w:rPr>
        <w:t xml:space="preserve">, </w:t>
      </w:r>
      <w:r w:rsidRPr="001640F8">
        <w:t>62</w:t>
      </w:r>
      <w:r w:rsidR="003349FE">
        <w:t>–</w:t>
      </w:r>
      <w:r w:rsidRPr="001640F8">
        <w:t>75.</w:t>
      </w:r>
      <w:r w:rsidR="006F2F75" w:rsidRPr="001640F8">
        <w:t xml:space="preserve"> </w:t>
      </w:r>
      <w:hyperlink r:id="rId28" w:tgtFrame="_blank" w:tooltip="Persistent link using digital object identifier" w:history="1">
        <w:r w:rsidR="006F2F75" w:rsidRPr="00750FE5">
          <w:rPr>
            <w:rStyle w:val="Hyperlink"/>
            <w:rFonts w:eastAsia="Calibri"/>
            <w:color w:val="auto"/>
          </w:rPr>
          <w:t>https://doi.org/10.1016/j.psyneuen.2008.08.013</w:t>
        </w:r>
      </w:hyperlink>
    </w:p>
    <w:p w14:paraId="24BE2099" w14:textId="7BA2DC2F" w:rsidR="001640F8" w:rsidRPr="001640F8" w:rsidRDefault="006659EF">
      <w:pPr>
        <w:pStyle w:val="apareference"/>
        <w:rPr>
          <w:rStyle w:val="hlfld-contribauthor"/>
          <w:lang w:val="en"/>
        </w:rPr>
      </w:pPr>
      <w:proofErr w:type="spellStart"/>
      <w:r w:rsidRPr="0008606B">
        <w:t>Jakob</w:t>
      </w:r>
      <w:proofErr w:type="spellEnd"/>
      <w:r w:rsidRPr="0008606B">
        <w:t xml:space="preserve">, J., Lamp, K., Rauch, S., Smith, E. R., &amp; Buchholz, K. R. (2017). </w:t>
      </w:r>
      <w:r w:rsidRPr="001C28E8">
        <w:rPr>
          <w:kern w:val="36"/>
        </w:rPr>
        <w:t xml:space="preserve">The impact of trauma type or number of traumatic events on PTSD diagnosis and symptom severity in treatment seeking veterans. </w:t>
      </w:r>
      <w:r w:rsidRPr="001C28E8">
        <w:rPr>
          <w:i/>
          <w:iCs/>
        </w:rPr>
        <w:t>Journal of Nervous and Mental</w:t>
      </w:r>
      <w:r w:rsidRPr="0071513D">
        <w:rPr>
          <w:i/>
          <w:iCs/>
        </w:rPr>
        <w:t xml:space="preserve"> Disease</w:t>
      </w:r>
      <w:r w:rsidRPr="0071513D">
        <w:t xml:space="preserve">, </w:t>
      </w:r>
      <w:r w:rsidRPr="00537685">
        <w:rPr>
          <w:i/>
          <w:iCs/>
        </w:rPr>
        <w:t>205</w:t>
      </w:r>
      <w:r w:rsidRPr="00537685">
        <w:t xml:space="preserve">(2), 83–86. </w:t>
      </w:r>
      <w:r w:rsidR="006F2F75" w:rsidRPr="00537685">
        <w:t>https://doi.org/</w:t>
      </w:r>
      <w:hyperlink r:id="rId29" w:tgtFrame="_blank" w:history="1">
        <w:r w:rsidRPr="001640F8">
          <w:t>10.1097/NMD.0000000000000581</w:t>
        </w:r>
      </w:hyperlink>
    </w:p>
    <w:p w14:paraId="512CB6F0" w14:textId="673E0186" w:rsidR="001640F8" w:rsidRPr="001640F8" w:rsidRDefault="00CC44DA">
      <w:pPr>
        <w:pStyle w:val="apareference"/>
      </w:pPr>
      <w:r w:rsidRPr="001640F8">
        <w:lastRenderedPageBreak/>
        <w:t xml:space="preserve">Joseph, S., &amp; Linley, P.A. (2008). Reflections on theory and practice in trauma, recovery and growth: A paradigm shift for the field of traumatic stress. In S. Joseph, &amp; P. A. Linley (Eds.), </w:t>
      </w:r>
      <w:r w:rsidRPr="001640F8">
        <w:rPr>
          <w:i/>
          <w:iCs/>
        </w:rPr>
        <w:t xml:space="preserve">Trauma, recovery, and growth </w:t>
      </w:r>
      <w:r w:rsidRPr="001640F8">
        <w:t>(pp. 339</w:t>
      </w:r>
      <w:r w:rsidR="00AA63FD">
        <w:t>–</w:t>
      </w:r>
      <w:r w:rsidRPr="001640F8">
        <w:t>353). Wiley.</w:t>
      </w:r>
    </w:p>
    <w:p w14:paraId="70188ABB" w14:textId="5EA85228" w:rsidR="001640F8" w:rsidRPr="001640F8" w:rsidRDefault="00CC44DA">
      <w:pPr>
        <w:pStyle w:val="apareference"/>
      </w:pPr>
      <w:proofErr w:type="spellStart"/>
      <w:r w:rsidRPr="001640F8">
        <w:t>Kutz</w:t>
      </w:r>
      <w:proofErr w:type="spellEnd"/>
      <w:r w:rsidRPr="001640F8">
        <w:t xml:space="preserve">, I., &amp; </w:t>
      </w:r>
      <w:proofErr w:type="spellStart"/>
      <w:r w:rsidRPr="001640F8">
        <w:t>Dekel</w:t>
      </w:r>
      <w:proofErr w:type="spellEnd"/>
      <w:r w:rsidRPr="001640F8">
        <w:t xml:space="preserve">, R. </w:t>
      </w:r>
      <w:r w:rsidRPr="001640F8">
        <w:rPr>
          <w:rStyle w:val="nlmyear"/>
        </w:rPr>
        <w:t>(2006</w:t>
      </w:r>
      <w:r w:rsidRPr="001640F8">
        <w:t xml:space="preserve">). </w:t>
      </w:r>
      <w:r w:rsidRPr="001640F8">
        <w:rPr>
          <w:rStyle w:val="nlmarticle-title"/>
        </w:rPr>
        <w:t>Follow-up of victims of one terrorist attack in Israel: ASD, PTSD, and the perceived threat of Iraqi missile attacks</w:t>
      </w:r>
      <w:r w:rsidRPr="001640F8">
        <w:t xml:space="preserve">. </w:t>
      </w:r>
      <w:r w:rsidRPr="001640F8">
        <w:rPr>
          <w:i/>
          <w:iCs/>
        </w:rPr>
        <w:t>Personality and Individual Differences</w:t>
      </w:r>
      <w:r w:rsidRPr="001640F8">
        <w:t xml:space="preserve">, </w:t>
      </w:r>
      <w:r w:rsidRPr="00750FE5">
        <w:rPr>
          <w:i/>
          <w:iCs/>
        </w:rPr>
        <w:t>40</w:t>
      </w:r>
      <w:r w:rsidRPr="001640F8">
        <w:t>(8</w:t>
      </w:r>
      <w:r w:rsidR="00957DA7" w:rsidRPr="001640F8">
        <w:t>)</w:t>
      </w:r>
      <w:r w:rsidR="00957DA7">
        <w:t>,</w:t>
      </w:r>
      <w:r w:rsidR="00957DA7" w:rsidRPr="001640F8">
        <w:t xml:space="preserve"> </w:t>
      </w:r>
      <w:r w:rsidRPr="001640F8">
        <w:rPr>
          <w:rStyle w:val="nlmfpage"/>
        </w:rPr>
        <w:t>1579</w:t>
      </w:r>
      <w:r w:rsidR="00957DA7">
        <w:t>–15</w:t>
      </w:r>
      <w:r w:rsidRPr="001640F8">
        <w:rPr>
          <w:rStyle w:val="nlmlpage"/>
        </w:rPr>
        <w:t>89</w:t>
      </w:r>
      <w:r w:rsidRPr="001640F8">
        <w:t>.</w:t>
      </w:r>
    </w:p>
    <w:p w14:paraId="7D30A20C" w14:textId="0622753C" w:rsidR="001640F8" w:rsidRPr="001640F8" w:rsidRDefault="006659EF">
      <w:pPr>
        <w:pStyle w:val="apareference"/>
      </w:pPr>
      <w:proofErr w:type="spellStart"/>
      <w:r w:rsidRPr="001640F8">
        <w:rPr>
          <w:rStyle w:val="hlfld-contribauthor"/>
          <w:lang w:val="en"/>
        </w:rPr>
        <w:t>Leiva</w:t>
      </w:r>
      <w:proofErr w:type="spellEnd"/>
      <w:r w:rsidRPr="001640F8">
        <w:rPr>
          <w:rStyle w:val="hlfld-contribauthor"/>
          <w:lang w:val="en"/>
        </w:rPr>
        <w:t xml:space="preserve">-Bianchi, </w:t>
      </w:r>
      <w:r w:rsidRPr="001640F8">
        <w:rPr>
          <w:rStyle w:val="nlmgiven-names"/>
          <w:lang w:val="en"/>
        </w:rPr>
        <w:t>M. C.</w:t>
      </w:r>
      <w:r w:rsidRPr="001640F8">
        <w:rPr>
          <w:lang w:val="en"/>
        </w:rPr>
        <w:t>, &amp;</w:t>
      </w:r>
      <w:r w:rsidR="009300EB">
        <w:rPr>
          <w:lang w:val="en"/>
        </w:rPr>
        <w:t xml:space="preserve"> </w:t>
      </w:r>
      <w:r w:rsidRPr="001640F8">
        <w:rPr>
          <w:rStyle w:val="hlfld-contribauthor"/>
          <w:lang w:val="en"/>
        </w:rPr>
        <w:t xml:space="preserve">Araneda, </w:t>
      </w:r>
      <w:r w:rsidRPr="001640F8">
        <w:rPr>
          <w:rStyle w:val="nlmgiven-names"/>
          <w:lang w:val="en"/>
        </w:rPr>
        <w:t>A. C. (2015)</w:t>
      </w:r>
      <w:r w:rsidRPr="001640F8">
        <w:rPr>
          <w:lang w:val="en"/>
        </w:rPr>
        <w:t xml:space="preserve">. </w:t>
      </w:r>
      <w:r w:rsidRPr="001640F8">
        <w:rPr>
          <w:rStyle w:val="nlmarticle-title"/>
          <w:lang w:val="en"/>
        </w:rPr>
        <w:t xml:space="preserve">Confirmatory factor analysis of the </w:t>
      </w:r>
      <w:r w:rsidR="009300EB">
        <w:rPr>
          <w:rStyle w:val="nlmarticle-title"/>
          <w:lang w:val="en"/>
        </w:rPr>
        <w:t>P</w:t>
      </w:r>
      <w:r w:rsidRPr="001640F8">
        <w:rPr>
          <w:rStyle w:val="nlmarticle-title"/>
          <w:lang w:val="en"/>
        </w:rPr>
        <w:t xml:space="preserve">ost-traumatic Growth Inventory after </w:t>
      </w:r>
      <w:r w:rsidR="009300EB">
        <w:rPr>
          <w:rStyle w:val="nlmarticle-title"/>
          <w:lang w:val="en"/>
        </w:rPr>
        <w:t xml:space="preserve">the </w:t>
      </w:r>
      <w:r w:rsidRPr="001640F8">
        <w:rPr>
          <w:rStyle w:val="nlmarticle-title"/>
          <w:lang w:val="en"/>
        </w:rPr>
        <w:t>Chilean earthquake</w:t>
      </w:r>
      <w:r w:rsidRPr="001640F8">
        <w:rPr>
          <w:lang w:val="en"/>
        </w:rPr>
        <w:t xml:space="preserve">. </w:t>
      </w:r>
      <w:r w:rsidRPr="001640F8">
        <w:rPr>
          <w:i/>
          <w:iCs/>
          <w:lang w:val="en"/>
        </w:rPr>
        <w:t>Journal of Loss and Trauma: International Perspectives on Stress &amp; Coping</w:t>
      </w:r>
      <w:r w:rsidRPr="001640F8">
        <w:rPr>
          <w:lang w:val="en"/>
        </w:rPr>
        <w:t xml:space="preserve">, </w:t>
      </w:r>
      <w:r w:rsidRPr="001640F8">
        <w:rPr>
          <w:i/>
          <w:iCs/>
          <w:lang w:val="en"/>
        </w:rPr>
        <w:t>20</w:t>
      </w:r>
      <w:r w:rsidRPr="001640F8">
        <w:rPr>
          <w:lang w:val="en"/>
        </w:rPr>
        <w:t xml:space="preserve">(4): </w:t>
      </w:r>
      <w:r w:rsidRPr="001640F8">
        <w:rPr>
          <w:rStyle w:val="nlmfpage"/>
          <w:lang w:val="en"/>
        </w:rPr>
        <w:t>297</w:t>
      </w:r>
      <w:r w:rsidRPr="001640F8">
        <w:rPr>
          <w:lang w:val="en"/>
        </w:rPr>
        <w:t>–</w:t>
      </w:r>
      <w:r w:rsidRPr="001640F8">
        <w:rPr>
          <w:rStyle w:val="nlmlpage"/>
          <w:lang w:val="en"/>
        </w:rPr>
        <w:t>305</w:t>
      </w:r>
      <w:r w:rsidRPr="001640F8">
        <w:rPr>
          <w:lang w:val="en"/>
        </w:rPr>
        <w:t>.</w:t>
      </w:r>
      <w:r w:rsidRPr="001640F8">
        <w:t xml:space="preserve"> </w:t>
      </w:r>
      <w:hyperlink r:id="rId30" w:history="1">
        <w:r w:rsidR="006F2F75" w:rsidRPr="001640F8">
          <w:rPr>
            <w:rStyle w:val="Hyperlink"/>
          </w:rPr>
          <w:t xml:space="preserve"> </w:t>
        </w:r>
        <w:r w:rsidR="006F2F75" w:rsidRPr="00750FE5">
          <w:rPr>
            <w:rStyle w:val="Hyperlink"/>
            <w:color w:val="auto"/>
          </w:rPr>
          <w:t>https://doi.org/10.1080/15325024.2013.873223</w:t>
        </w:r>
      </w:hyperlink>
    </w:p>
    <w:p w14:paraId="7495550D" w14:textId="34BF0F59" w:rsidR="001640F8" w:rsidRPr="001640F8" w:rsidRDefault="006659EF">
      <w:pPr>
        <w:pStyle w:val="apareference"/>
      </w:pPr>
      <w:r w:rsidRPr="001640F8">
        <w:rPr>
          <w:rStyle w:val="element-citation"/>
          <w:lang w:val="en"/>
        </w:rPr>
        <w:t xml:space="preserve">Mayo, D., Corey, S., Kelly, L. H., </w:t>
      </w:r>
      <w:proofErr w:type="spellStart"/>
      <w:r w:rsidRPr="001640F8">
        <w:rPr>
          <w:rStyle w:val="element-citation"/>
          <w:lang w:val="en"/>
        </w:rPr>
        <w:t>Yohannes</w:t>
      </w:r>
      <w:proofErr w:type="spellEnd"/>
      <w:r w:rsidRPr="001640F8">
        <w:rPr>
          <w:rStyle w:val="element-citation"/>
          <w:lang w:val="en"/>
        </w:rPr>
        <w:t xml:space="preserve">, S., </w:t>
      </w:r>
      <w:proofErr w:type="spellStart"/>
      <w:r w:rsidRPr="001640F8">
        <w:rPr>
          <w:rStyle w:val="element-citation"/>
          <w:lang w:val="en"/>
        </w:rPr>
        <w:t>Youngquist</w:t>
      </w:r>
      <w:proofErr w:type="spellEnd"/>
      <w:r w:rsidRPr="001640F8">
        <w:rPr>
          <w:rStyle w:val="element-citation"/>
          <w:lang w:val="en"/>
        </w:rPr>
        <w:t xml:space="preserve">, A. L., Stuart, B. K., &amp; Loewy, R. L. (2017). The role of trauma and </w:t>
      </w:r>
      <w:r w:rsidR="008C5FB3">
        <w:rPr>
          <w:rStyle w:val="element-citation"/>
          <w:lang w:val="en"/>
        </w:rPr>
        <w:t>stressful</w:t>
      </w:r>
      <w:r w:rsidRPr="001640F8">
        <w:rPr>
          <w:rStyle w:val="element-citation"/>
          <w:lang w:val="en"/>
        </w:rPr>
        <w:t xml:space="preserve"> life events among individuals at clinical high risk for psychosis: </w:t>
      </w:r>
      <w:r w:rsidR="009300EB">
        <w:rPr>
          <w:rStyle w:val="element-citation"/>
          <w:lang w:val="en"/>
        </w:rPr>
        <w:t>A</w:t>
      </w:r>
      <w:r w:rsidRPr="001640F8">
        <w:rPr>
          <w:rStyle w:val="element-citation"/>
          <w:lang w:val="en"/>
        </w:rPr>
        <w:t xml:space="preserve"> review. </w:t>
      </w:r>
      <w:r w:rsidRPr="001640F8">
        <w:rPr>
          <w:rStyle w:val="ref-journal"/>
          <w:i/>
          <w:iCs/>
          <w:lang w:val="en"/>
        </w:rPr>
        <w:t>Frontiers in Psychiatry</w:t>
      </w:r>
      <w:r w:rsidR="009300EB">
        <w:rPr>
          <w:rStyle w:val="ref-journal"/>
          <w:i/>
          <w:iCs/>
          <w:lang w:val="en"/>
        </w:rPr>
        <w:t>, 8</w:t>
      </w:r>
      <w:r w:rsidR="001B20EC">
        <w:rPr>
          <w:rStyle w:val="ref-journal"/>
          <w:lang w:val="en"/>
        </w:rPr>
        <w:t xml:space="preserve">, </w:t>
      </w:r>
      <w:r w:rsidR="00D83246">
        <w:rPr>
          <w:rStyle w:val="ref-journal"/>
          <w:lang w:val="en"/>
        </w:rPr>
        <w:t xml:space="preserve">Article </w:t>
      </w:r>
      <w:r w:rsidR="001B20EC">
        <w:rPr>
          <w:rStyle w:val="ref-journal"/>
          <w:lang w:val="en"/>
        </w:rPr>
        <w:t>55</w:t>
      </w:r>
      <w:r w:rsidRPr="001640F8">
        <w:rPr>
          <w:rStyle w:val="ref-journal"/>
          <w:i/>
          <w:iCs/>
          <w:lang w:val="en"/>
        </w:rPr>
        <w:t>.</w:t>
      </w:r>
      <w:r w:rsidRPr="001640F8">
        <w:rPr>
          <w:rStyle w:val="ref-journal"/>
          <w:lang w:val="en"/>
        </w:rPr>
        <w:t xml:space="preserve"> </w:t>
      </w:r>
      <w:hyperlink r:id="rId31" w:history="1">
        <w:r w:rsidR="006F2F75" w:rsidRPr="00750FE5">
          <w:rPr>
            <w:color w:val="020202"/>
            <w:shd w:val="clear" w:color="auto" w:fill="FFFFFF"/>
          </w:rPr>
          <w:t>https://doi.org/10.3389/fpsyt.2017.00055</w:t>
        </w:r>
      </w:hyperlink>
    </w:p>
    <w:p w14:paraId="1841BCF1" w14:textId="3D6BA429" w:rsidR="001640F8" w:rsidRPr="001640F8" w:rsidRDefault="00CC44DA">
      <w:pPr>
        <w:pStyle w:val="apareference"/>
      </w:pPr>
      <w:proofErr w:type="spellStart"/>
      <w:r w:rsidRPr="001640F8">
        <w:t>McKibben</w:t>
      </w:r>
      <w:proofErr w:type="spellEnd"/>
      <w:r w:rsidRPr="001640F8">
        <w:t xml:space="preserve">, J. B., </w:t>
      </w:r>
      <w:hyperlink r:id="rId32" w:history="1">
        <w:r w:rsidRPr="001640F8">
          <w:t>Bresnick, M. G</w:t>
        </w:r>
      </w:hyperlink>
      <w:r w:rsidRPr="001640F8">
        <w:t>., </w:t>
      </w:r>
      <w:hyperlink r:id="rId33" w:history="1">
        <w:r w:rsidRPr="001640F8">
          <w:t xml:space="preserve">Wiechman Askay, S. </w:t>
        </w:r>
        <w:proofErr w:type="gramStart"/>
        <w:r w:rsidRPr="001640F8">
          <w:t>A</w:t>
        </w:r>
      </w:hyperlink>
      <w:r w:rsidRPr="001640F8">
        <w:t xml:space="preserve">., &amp; </w:t>
      </w:r>
      <w:hyperlink r:id="rId34" w:history="1">
        <w:r w:rsidRPr="001640F8">
          <w:t>Fauerbach</w:t>
        </w:r>
        <w:proofErr w:type="gramEnd"/>
        <w:r w:rsidRPr="001640F8">
          <w:t xml:space="preserve"> J. A</w:t>
        </w:r>
      </w:hyperlink>
      <w:r w:rsidRPr="001640F8">
        <w:t xml:space="preserve">. (2008). </w:t>
      </w:r>
      <w:proofErr w:type="gramStart"/>
      <w:r w:rsidRPr="001640F8">
        <w:t>Acute</w:t>
      </w:r>
      <w:proofErr w:type="gramEnd"/>
      <w:r w:rsidRPr="001640F8">
        <w:t xml:space="preserve"> stress disorder and posttraumatic stress disorder: </w:t>
      </w:r>
      <w:r w:rsidR="00FA78DA">
        <w:t>A</w:t>
      </w:r>
      <w:r w:rsidRPr="001640F8">
        <w:t xml:space="preserve"> prospective study of prevalence, course, and predictors in a sample with major burn injuries. </w:t>
      </w:r>
      <w:r w:rsidRPr="001640F8">
        <w:rPr>
          <w:i/>
          <w:iCs/>
        </w:rPr>
        <w:t>Journal of Burn</w:t>
      </w:r>
      <w:hyperlink r:id="rId35" w:history="1">
        <w:r w:rsidRPr="001640F8">
          <w:rPr>
            <w:i/>
            <w:iCs/>
          </w:rPr>
          <w:t xml:space="preserve"> Care &amp; Research</w:t>
        </w:r>
      </w:hyperlink>
      <w:r w:rsidRPr="001640F8">
        <w:rPr>
          <w:i/>
          <w:iCs/>
        </w:rPr>
        <w:t>, 29</w:t>
      </w:r>
      <w:r w:rsidRPr="001640F8">
        <w:t>(1), 22</w:t>
      </w:r>
      <w:r w:rsidR="00FA78DA">
        <w:t>–</w:t>
      </w:r>
      <w:r w:rsidRPr="001640F8">
        <w:t xml:space="preserve">35. </w:t>
      </w:r>
      <w:r w:rsidR="006F2F75" w:rsidRPr="001640F8">
        <w:t>https://doi.org/</w:t>
      </w:r>
      <w:hyperlink r:id="rId36" w:tgtFrame="_blank" w:history="1">
        <w:r w:rsidRPr="001640F8">
          <w:t>10.1097/BCR.0b013e31815f59c4</w:t>
        </w:r>
      </w:hyperlink>
    </w:p>
    <w:p w14:paraId="59537FF9" w14:textId="65859461" w:rsidR="001640F8" w:rsidRPr="001640F8" w:rsidRDefault="00CC44DA">
      <w:pPr>
        <w:pStyle w:val="apareference"/>
      </w:pPr>
      <w:r w:rsidRPr="001640F8">
        <w:t xml:space="preserve">Mineka, S., &amp; </w:t>
      </w:r>
      <w:proofErr w:type="spellStart"/>
      <w:r w:rsidRPr="001640F8">
        <w:t>Zinbarg</w:t>
      </w:r>
      <w:proofErr w:type="spellEnd"/>
      <w:r w:rsidRPr="001640F8">
        <w:t xml:space="preserve">, R. (2006). A contemporary learning theory perspective on the etiology of anxiety disorders: </w:t>
      </w:r>
      <w:proofErr w:type="gramStart"/>
      <w:r w:rsidRPr="001640F8">
        <w:t>It’s</w:t>
      </w:r>
      <w:proofErr w:type="gramEnd"/>
      <w:r w:rsidRPr="001640F8">
        <w:t xml:space="preserve"> not what you thought it was. </w:t>
      </w:r>
      <w:r w:rsidRPr="001640F8">
        <w:rPr>
          <w:i/>
          <w:iCs/>
        </w:rPr>
        <w:t>American Psychologist, 61</w:t>
      </w:r>
      <w:r w:rsidR="00FD0C5B">
        <w:t>(1)</w:t>
      </w:r>
      <w:r w:rsidRPr="001640F8">
        <w:rPr>
          <w:i/>
          <w:iCs/>
        </w:rPr>
        <w:t xml:space="preserve">, </w:t>
      </w:r>
      <w:r w:rsidRPr="001640F8">
        <w:t xml:space="preserve">10–26 </w:t>
      </w:r>
      <w:r w:rsidR="006F2F75" w:rsidRPr="001640F8">
        <w:t>https://doi.org/</w:t>
      </w:r>
      <w:hyperlink r:id="rId37" w:history="1">
        <w:r w:rsidRPr="001640F8">
          <w:rPr>
            <w:bdr w:val="none" w:sz="0" w:space="0" w:color="auto" w:frame="1"/>
          </w:rPr>
          <w:t>10.1037/0003-066X.61.1.10</w:t>
        </w:r>
      </w:hyperlink>
    </w:p>
    <w:p w14:paraId="4F08A08D" w14:textId="509A451F" w:rsidR="001640F8" w:rsidRPr="001640F8" w:rsidRDefault="00CC44DA">
      <w:pPr>
        <w:pStyle w:val="apareference"/>
      </w:pPr>
      <w:proofErr w:type="spellStart"/>
      <w:r w:rsidRPr="001640F8">
        <w:t>Mollica</w:t>
      </w:r>
      <w:proofErr w:type="spellEnd"/>
      <w:r w:rsidRPr="001640F8">
        <w:t>, R.</w:t>
      </w:r>
      <w:r w:rsidR="003138E1">
        <w:t xml:space="preserve"> </w:t>
      </w:r>
      <w:r w:rsidRPr="001640F8">
        <w:t xml:space="preserve">F., </w:t>
      </w:r>
      <w:proofErr w:type="spellStart"/>
      <w:r w:rsidRPr="001640F8">
        <w:t>McInnes</w:t>
      </w:r>
      <w:proofErr w:type="spellEnd"/>
      <w:r w:rsidRPr="001640F8">
        <w:t xml:space="preserve">, K., </w:t>
      </w:r>
      <w:proofErr w:type="spellStart"/>
      <w:r w:rsidRPr="001640F8">
        <w:t>Sarajlic</w:t>
      </w:r>
      <w:proofErr w:type="spellEnd"/>
      <w:r w:rsidRPr="001640F8">
        <w:t xml:space="preserve">, N., Lavelle, J., </w:t>
      </w:r>
      <w:proofErr w:type="spellStart"/>
      <w:r w:rsidRPr="001640F8">
        <w:t>Sarajlic</w:t>
      </w:r>
      <w:proofErr w:type="spellEnd"/>
      <w:r w:rsidRPr="001640F8">
        <w:t xml:space="preserve">, I., &amp; </w:t>
      </w:r>
      <w:proofErr w:type="spellStart"/>
      <w:r w:rsidRPr="001640F8">
        <w:t>Massagli</w:t>
      </w:r>
      <w:proofErr w:type="spellEnd"/>
      <w:r w:rsidRPr="001640F8">
        <w:t>, M.</w:t>
      </w:r>
      <w:r w:rsidR="003138E1">
        <w:t xml:space="preserve"> </w:t>
      </w:r>
      <w:r w:rsidRPr="001640F8">
        <w:t xml:space="preserve">P. (1999). Disability associated with psychiatric comorbidity and health status in </w:t>
      </w:r>
      <w:r w:rsidRPr="001640F8">
        <w:lastRenderedPageBreak/>
        <w:t xml:space="preserve">Bosnian refugees living in Croatia. </w:t>
      </w:r>
      <w:r w:rsidRPr="001640F8">
        <w:rPr>
          <w:i/>
          <w:iCs/>
        </w:rPr>
        <w:t>JAMA: Journal of the American Medical Association, 282</w:t>
      </w:r>
      <w:r w:rsidR="003138E1">
        <w:t>(5)</w:t>
      </w:r>
      <w:r w:rsidRPr="001640F8">
        <w:rPr>
          <w:i/>
          <w:iCs/>
        </w:rPr>
        <w:t xml:space="preserve">, </w:t>
      </w:r>
      <w:r w:rsidRPr="001640F8">
        <w:t>433</w:t>
      </w:r>
      <w:r w:rsidR="003138E1">
        <w:t>–</w:t>
      </w:r>
      <w:r w:rsidRPr="001640F8">
        <w:t xml:space="preserve">439. </w:t>
      </w:r>
      <w:r w:rsidR="006F2F75" w:rsidRPr="001640F8">
        <w:t>https://doi.org/</w:t>
      </w:r>
      <w:r w:rsidRPr="001640F8">
        <w:t>10.1001/jama.282.5.433</w:t>
      </w:r>
    </w:p>
    <w:p w14:paraId="16B833B8" w14:textId="495AA814" w:rsidR="001640F8" w:rsidRPr="001640F8" w:rsidRDefault="00CC44DA">
      <w:pPr>
        <w:pStyle w:val="apareference"/>
      </w:pPr>
      <w:proofErr w:type="spellStart"/>
      <w:r w:rsidRPr="001640F8">
        <w:t>Seery</w:t>
      </w:r>
      <w:proofErr w:type="spellEnd"/>
      <w:r w:rsidRPr="001640F8">
        <w:t xml:space="preserve">, M., Holman, D., Alison, E., &amp; Silver, R. (2010). Whatever does not kill us: Cumulative lifetime adversity, vulnerability, and </w:t>
      </w:r>
      <w:proofErr w:type="gramStart"/>
      <w:r w:rsidRPr="001640F8">
        <w:t>resilience.</w:t>
      </w:r>
      <w:proofErr w:type="gramEnd"/>
      <w:r w:rsidRPr="001640F8">
        <w:t xml:space="preserve"> </w:t>
      </w:r>
      <w:r w:rsidRPr="001640F8">
        <w:rPr>
          <w:i/>
          <w:iCs/>
        </w:rPr>
        <w:t>Journal of Personality and Social Psychology</w:t>
      </w:r>
      <w:r w:rsidRPr="001640F8">
        <w:t xml:space="preserve">, </w:t>
      </w:r>
      <w:r w:rsidRPr="00750FE5">
        <w:rPr>
          <w:i/>
          <w:iCs/>
        </w:rPr>
        <w:t>99</w:t>
      </w:r>
      <w:r w:rsidR="00DF5C11">
        <w:t>(6)</w:t>
      </w:r>
      <w:r w:rsidRPr="001640F8">
        <w:t>, 1025</w:t>
      </w:r>
      <w:r w:rsidR="00DF5C11" w:rsidRPr="001640F8">
        <w:t>–</w:t>
      </w:r>
      <w:r w:rsidRPr="001640F8">
        <w:t xml:space="preserve">1041. </w:t>
      </w:r>
      <w:r w:rsidR="006F2F75" w:rsidRPr="001640F8">
        <w:t>https://doi.org/</w:t>
      </w:r>
      <w:hyperlink r:id="rId38" w:history="1">
        <w:r w:rsidRPr="001640F8">
          <w:rPr>
            <w:bdr w:val="none" w:sz="0" w:space="0" w:color="auto" w:frame="1"/>
          </w:rPr>
          <w:t>10.1037/a0021344</w:t>
        </w:r>
      </w:hyperlink>
    </w:p>
    <w:p w14:paraId="02ECEBA1" w14:textId="5C7F997A" w:rsidR="001640F8" w:rsidRDefault="00CC44DA">
      <w:pPr>
        <w:pStyle w:val="apareference"/>
      </w:pPr>
      <w:r w:rsidRPr="001640F8">
        <w:rPr>
          <w:shd w:val="clear" w:color="auto" w:fill="FFFFFF"/>
        </w:rPr>
        <w:t xml:space="preserve">Silver, R. C., Holman, E. A., McIntosh, D. N., </w:t>
      </w:r>
      <w:proofErr w:type="spellStart"/>
      <w:r w:rsidRPr="001640F8">
        <w:rPr>
          <w:shd w:val="clear" w:color="auto" w:fill="FFFFFF"/>
        </w:rPr>
        <w:t>Poulin</w:t>
      </w:r>
      <w:proofErr w:type="spellEnd"/>
      <w:r w:rsidRPr="001640F8">
        <w:rPr>
          <w:shd w:val="clear" w:color="auto" w:fill="FFFFFF"/>
        </w:rPr>
        <w:t>, M., Gil-Rivas, V., Pizarro, J. (</w:t>
      </w:r>
      <w:r w:rsidRPr="001640F8">
        <w:rPr>
          <w:rStyle w:val="nlmyear"/>
          <w:shd w:val="clear" w:color="auto" w:fill="FFFFFF"/>
        </w:rPr>
        <w:t>2006</w:t>
      </w:r>
      <w:r w:rsidRPr="001640F8">
        <w:rPr>
          <w:shd w:val="clear" w:color="auto" w:fill="FFFFFF"/>
        </w:rPr>
        <w:t>). </w:t>
      </w:r>
      <w:r w:rsidRPr="001640F8">
        <w:rPr>
          <w:rStyle w:val="nlmarticle-title"/>
          <w:shd w:val="clear" w:color="auto" w:fill="FFFFFF"/>
        </w:rPr>
        <w:t xml:space="preserve">Coping with a national trauma: A nationwide longitudinal study of responses to the terrorist attacks of September </w:t>
      </w:r>
      <w:proofErr w:type="gramStart"/>
      <w:r w:rsidRPr="001640F8">
        <w:rPr>
          <w:rStyle w:val="nlmarticle-title"/>
          <w:shd w:val="clear" w:color="auto" w:fill="FFFFFF"/>
        </w:rPr>
        <w:t>11th</w:t>
      </w:r>
      <w:proofErr w:type="gramEnd"/>
      <w:r w:rsidRPr="001640F8">
        <w:rPr>
          <w:shd w:val="clear" w:color="auto" w:fill="FFFFFF"/>
        </w:rPr>
        <w:t xml:space="preserve">. In </w:t>
      </w:r>
      <w:r w:rsidR="00C775AA" w:rsidRPr="001640F8">
        <w:rPr>
          <w:shd w:val="clear" w:color="auto" w:fill="FFFFFF"/>
        </w:rPr>
        <w:t>Y.</w:t>
      </w:r>
      <w:r w:rsidR="00C775AA">
        <w:rPr>
          <w:shd w:val="clear" w:color="auto" w:fill="FFFFFF"/>
        </w:rPr>
        <w:t xml:space="preserve"> </w:t>
      </w:r>
      <w:proofErr w:type="spellStart"/>
      <w:r w:rsidRPr="001640F8">
        <w:rPr>
          <w:shd w:val="clear" w:color="auto" w:fill="FFFFFF"/>
        </w:rPr>
        <w:t>Neria</w:t>
      </w:r>
      <w:proofErr w:type="spellEnd"/>
      <w:r w:rsidRPr="001640F8">
        <w:rPr>
          <w:shd w:val="clear" w:color="auto" w:fill="FFFFFF"/>
        </w:rPr>
        <w:t xml:space="preserve">, </w:t>
      </w:r>
      <w:r w:rsidR="00C775AA">
        <w:rPr>
          <w:shd w:val="clear" w:color="auto" w:fill="FFFFFF"/>
        </w:rPr>
        <w:t>R.</w:t>
      </w:r>
      <w:r w:rsidRPr="001640F8">
        <w:rPr>
          <w:shd w:val="clear" w:color="auto" w:fill="FFFFFF"/>
        </w:rPr>
        <w:t xml:space="preserve"> Gross, </w:t>
      </w:r>
      <w:r w:rsidR="00C775AA">
        <w:rPr>
          <w:shd w:val="clear" w:color="auto" w:fill="FFFFFF"/>
        </w:rPr>
        <w:t xml:space="preserve">R. </w:t>
      </w:r>
      <w:r w:rsidRPr="001640F8">
        <w:rPr>
          <w:shd w:val="clear" w:color="auto" w:fill="FFFFFF"/>
        </w:rPr>
        <w:t xml:space="preserve">Marshall, </w:t>
      </w:r>
      <w:r w:rsidR="00C775AA">
        <w:rPr>
          <w:shd w:val="clear" w:color="auto" w:fill="FFFFFF"/>
        </w:rPr>
        <w:t>&amp; E.</w:t>
      </w:r>
      <w:r w:rsidRPr="001640F8">
        <w:rPr>
          <w:shd w:val="clear" w:color="auto" w:fill="FFFFFF"/>
        </w:rPr>
        <w:t xml:space="preserve"> </w:t>
      </w:r>
      <w:proofErr w:type="spellStart"/>
      <w:r w:rsidRPr="001640F8">
        <w:rPr>
          <w:shd w:val="clear" w:color="auto" w:fill="FFFFFF"/>
        </w:rPr>
        <w:t>Susser</w:t>
      </w:r>
      <w:proofErr w:type="spellEnd"/>
      <w:r w:rsidRPr="001640F8">
        <w:rPr>
          <w:shd w:val="clear" w:color="auto" w:fill="FFFFFF"/>
        </w:rPr>
        <w:t xml:space="preserve"> (Eds.), </w:t>
      </w:r>
      <w:r w:rsidRPr="00750FE5">
        <w:rPr>
          <w:i/>
          <w:iCs/>
          <w:shd w:val="clear" w:color="auto" w:fill="FFFFFF"/>
        </w:rPr>
        <w:t>9/11: Mental health in the wake of terrorist attacks</w:t>
      </w:r>
      <w:r w:rsidRPr="001640F8">
        <w:rPr>
          <w:shd w:val="clear" w:color="auto" w:fill="FFFFFF"/>
        </w:rPr>
        <w:t xml:space="preserve"> (pp. </w:t>
      </w:r>
      <w:r w:rsidRPr="001640F8">
        <w:rPr>
          <w:rStyle w:val="nlmfpage"/>
          <w:shd w:val="clear" w:color="auto" w:fill="FFFFFF"/>
        </w:rPr>
        <w:t>45</w:t>
      </w:r>
      <w:r w:rsidRPr="001640F8">
        <w:rPr>
          <w:shd w:val="clear" w:color="auto" w:fill="FFFFFF"/>
        </w:rPr>
        <w:t>–</w:t>
      </w:r>
      <w:r w:rsidRPr="001640F8">
        <w:rPr>
          <w:rStyle w:val="nlmlpage"/>
          <w:shd w:val="clear" w:color="auto" w:fill="FFFFFF"/>
        </w:rPr>
        <w:t>70</w:t>
      </w:r>
      <w:r w:rsidRPr="001640F8">
        <w:rPr>
          <w:shd w:val="clear" w:color="auto" w:fill="FFFFFF"/>
        </w:rPr>
        <w:t>). </w:t>
      </w:r>
      <w:r w:rsidR="00C775AA" w:rsidRPr="001640F8" w:rsidDel="00C775AA">
        <w:rPr>
          <w:rStyle w:val="nlmpublisher-loc"/>
          <w:shd w:val="clear" w:color="auto" w:fill="FFFFFF"/>
        </w:rPr>
        <w:t xml:space="preserve"> </w:t>
      </w:r>
      <w:r w:rsidRPr="001640F8">
        <w:rPr>
          <w:rStyle w:val="nlmpublisher-name"/>
          <w:shd w:val="clear" w:color="auto" w:fill="FFFFFF"/>
        </w:rPr>
        <w:t>Cambridge University Press</w:t>
      </w:r>
      <w:r w:rsidRPr="001640F8">
        <w:rPr>
          <w:shd w:val="clear" w:color="auto" w:fill="FFFFFF"/>
        </w:rPr>
        <w:t>.</w:t>
      </w:r>
    </w:p>
    <w:p w14:paraId="262FC3C0" w14:textId="0930EF43" w:rsidR="00A265D0" w:rsidRPr="00A265D0" w:rsidRDefault="00A265D0">
      <w:pPr>
        <w:pStyle w:val="apareference"/>
      </w:pPr>
      <w:proofErr w:type="spellStart"/>
      <w:r w:rsidRPr="00A265D0">
        <w:t>Somer</w:t>
      </w:r>
      <w:proofErr w:type="spellEnd"/>
      <w:r w:rsidRPr="00A265D0">
        <w:t xml:space="preserve">, E., </w:t>
      </w:r>
      <w:proofErr w:type="spellStart"/>
      <w:r w:rsidRPr="00A265D0">
        <w:t>Maguen</w:t>
      </w:r>
      <w:proofErr w:type="spellEnd"/>
      <w:r w:rsidRPr="00A265D0">
        <w:t xml:space="preserve">, S. </w:t>
      </w:r>
      <w:proofErr w:type="spellStart"/>
      <w:r w:rsidRPr="00A265D0">
        <w:t>Moin</w:t>
      </w:r>
      <w:proofErr w:type="spellEnd"/>
      <w:r w:rsidRPr="00A265D0">
        <w:t xml:space="preserve">, V., Boehm, A., &amp; </w:t>
      </w:r>
      <w:proofErr w:type="spellStart"/>
      <w:r w:rsidRPr="00A265D0">
        <w:t>Litz</w:t>
      </w:r>
      <w:proofErr w:type="spellEnd"/>
      <w:r w:rsidRPr="00A265D0">
        <w:t xml:space="preserve">, B. T. (2008). </w:t>
      </w:r>
      <w:r w:rsidRPr="00A265D0">
        <w:rPr>
          <w:rFonts w:asciiTheme="majorBidi" w:hAnsiTheme="majorBidi" w:cstheme="majorBidi"/>
        </w:rPr>
        <w:t>The effects of perceived community cohesion on stress: Symptoms following a terrorist attack.</w:t>
      </w:r>
      <w:r w:rsidRPr="00A265D0">
        <w:t xml:space="preserve"> </w:t>
      </w:r>
      <w:r w:rsidRPr="00A265D0">
        <w:rPr>
          <w:rStyle w:val="text1"/>
          <w:rFonts w:asciiTheme="majorBidi" w:hAnsiTheme="majorBidi" w:cstheme="majorBidi"/>
          <w:i/>
          <w:iCs/>
          <w:color w:val="auto"/>
          <w:sz w:val="24"/>
        </w:rPr>
        <w:t>Journal of Psychological Trauma</w:t>
      </w:r>
      <w:r w:rsidRPr="00A265D0">
        <w:t xml:space="preserve">, </w:t>
      </w:r>
      <w:r w:rsidRPr="00A265D0">
        <w:rPr>
          <w:i/>
          <w:iCs/>
        </w:rPr>
        <w:t>7</w:t>
      </w:r>
      <w:r w:rsidRPr="00A265D0">
        <w:t xml:space="preserve">(2), 73–90. </w:t>
      </w:r>
      <w:hyperlink r:id="rId39" w:history="1">
        <w:r w:rsidRPr="00A265D0">
          <w:rPr>
            <w:rFonts w:ascii="Open Sans" w:hAnsi="Open Sans"/>
            <w:lang w:val="en"/>
          </w:rPr>
          <w:t>https://doi.org/10.1080/19322880802231759</w:t>
        </w:r>
      </w:hyperlink>
    </w:p>
    <w:p w14:paraId="1E22728F" w14:textId="5B6E2CEE" w:rsidR="001640F8" w:rsidRPr="001640F8" w:rsidRDefault="000728A7">
      <w:pPr>
        <w:pStyle w:val="apareference"/>
      </w:pPr>
      <w:r w:rsidRPr="001640F8">
        <w:t xml:space="preserve">Steel, Z., </w:t>
      </w:r>
      <w:proofErr w:type="spellStart"/>
      <w:r w:rsidRPr="001640F8">
        <w:t>Silove</w:t>
      </w:r>
      <w:proofErr w:type="spellEnd"/>
      <w:r w:rsidRPr="001640F8">
        <w:t xml:space="preserve">, D., Phan, T., &amp; Bauman, A. (2002). Long-term effect of psychological trauma on the mental health of Vietnamese refugees resettled in Australia: A population-based study. </w:t>
      </w:r>
      <w:r w:rsidRPr="001640F8">
        <w:rPr>
          <w:i/>
          <w:iCs/>
        </w:rPr>
        <w:t>The Lancet, 360</w:t>
      </w:r>
      <w:r w:rsidR="009C4C64">
        <w:t>(9339)</w:t>
      </w:r>
      <w:r w:rsidRPr="001640F8">
        <w:rPr>
          <w:i/>
          <w:iCs/>
        </w:rPr>
        <w:t xml:space="preserve">, </w:t>
      </w:r>
      <w:r w:rsidRPr="001640F8">
        <w:t>1056</w:t>
      </w:r>
      <w:r w:rsidR="009C4C64" w:rsidRPr="001640F8">
        <w:rPr>
          <w:shd w:val="clear" w:color="auto" w:fill="FFFFFF"/>
        </w:rPr>
        <w:t>–</w:t>
      </w:r>
      <w:r w:rsidRPr="001640F8">
        <w:t>1062.</w:t>
      </w:r>
      <w:r w:rsidR="00464726" w:rsidRPr="001640F8">
        <w:t xml:space="preserve"> </w:t>
      </w:r>
      <w:r w:rsidR="006F2F75" w:rsidRPr="001640F8">
        <w:t>https://doi.org/</w:t>
      </w:r>
      <w:hyperlink r:id="rId40" w:tgtFrame="_blank" w:history="1">
        <w:r w:rsidR="00464726" w:rsidRPr="001640F8">
          <w:t>10.1016/S0140-6736(02)11142-1</w:t>
        </w:r>
      </w:hyperlink>
    </w:p>
    <w:p w14:paraId="1544D571" w14:textId="59378F41" w:rsidR="001640F8" w:rsidRDefault="006659EF">
      <w:pPr>
        <w:pStyle w:val="apareference"/>
        <w:rPr>
          <w:lang w:val="en"/>
        </w:rPr>
      </w:pPr>
      <w:r w:rsidRPr="001640F8">
        <w:rPr>
          <w:lang w:val="en"/>
        </w:rPr>
        <w:t xml:space="preserve">Stein, J. Y., Levin, Y., </w:t>
      </w:r>
      <w:proofErr w:type="spellStart"/>
      <w:r w:rsidRPr="001640F8">
        <w:rPr>
          <w:lang w:val="en"/>
        </w:rPr>
        <w:t>Gelkopf</w:t>
      </w:r>
      <w:proofErr w:type="spellEnd"/>
      <w:r w:rsidRPr="001640F8">
        <w:rPr>
          <w:lang w:val="en"/>
        </w:rPr>
        <w:t xml:space="preserve">, M., </w:t>
      </w:r>
      <w:proofErr w:type="spellStart"/>
      <w:r w:rsidRPr="001640F8">
        <w:rPr>
          <w:lang w:val="en"/>
        </w:rPr>
        <w:t>Tangir</w:t>
      </w:r>
      <w:proofErr w:type="spellEnd"/>
      <w:r w:rsidRPr="001640F8">
        <w:rPr>
          <w:lang w:val="en"/>
        </w:rPr>
        <w:t xml:space="preserve">, G., &amp; Solomon, Z. (2018). Traumatization or habituation? A four-wave investigation of exposure to continuous traumatic stress in Israel. </w:t>
      </w:r>
      <w:r w:rsidRPr="00927428">
        <w:rPr>
          <w:rStyle w:val="Emphasis"/>
          <w:lang w:val="en"/>
        </w:rPr>
        <w:t>International Journal of Stress Management, 25</w:t>
      </w:r>
      <w:r w:rsidRPr="001640F8">
        <w:rPr>
          <w:lang w:val="en"/>
        </w:rPr>
        <w:t>(S1), 137</w:t>
      </w:r>
      <w:r w:rsidR="009C4C64">
        <w:rPr>
          <w:lang w:val="en"/>
        </w:rPr>
        <w:t>–</w:t>
      </w:r>
      <w:r w:rsidRPr="001640F8">
        <w:rPr>
          <w:lang w:val="en"/>
        </w:rPr>
        <w:t>153</w:t>
      </w:r>
      <w:r w:rsidR="006F2F75" w:rsidRPr="001640F8">
        <w:rPr>
          <w:lang w:val="en"/>
        </w:rPr>
        <w:t xml:space="preserve">. </w:t>
      </w:r>
      <w:r w:rsidR="006F2F75" w:rsidRPr="001640F8">
        <w:t>https://doi.org/</w:t>
      </w:r>
      <w:hyperlink r:id="rId41" w:tgtFrame="_blank" w:history="1">
        <w:r w:rsidRPr="001640F8">
          <w:rPr>
            <w:shd w:val="clear" w:color="auto" w:fill="FFFFFF"/>
          </w:rPr>
          <w:t>10.1037/str0000084</w:t>
        </w:r>
      </w:hyperlink>
    </w:p>
    <w:p w14:paraId="1381412E" w14:textId="77777777" w:rsidR="00E458AD" w:rsidRPr="001640F8" w:rsidRDefault="00E458AD" w:rsidP="00E458AD">
      <w:pPr>
        <w:pStyle w:val="apareference"/>
        <w:rPr>
          <w:rStyle w:val="hlfld-contribauthor"/>
          <w:lang w:val="en"/>
        </w:rPr>
      </w:pPr>
      <w:proofErr w:type="spellStart"/>
      <w:r w:rsidRPr="001640F8">
        <w:lastRenderedPageBreak/>
        <w:t>Tedeschi</w:t>
      </w:r>
      <w:proofErr w:type="spellEnd"/>
      <w:r w:rsidRPr="001640F8">
        <w:t xml:space="preserve">, R. G. (2011). Posttraumatic growth in combat veterans. </w:t>
      </w:r>
      <w:r w:rsidRPr="001640F8">
        <w:rPr>
          <w:i/>
          <w:iCs/>
        </w:rPr>
        <w:t xml:space="preserve">Journal of Clinical Psychology in Medical Settings, 18, </w:t>
      </w:r>
      <w:r w:rsidRPr="001640F8">
        <w:t>137</w:t>
      </w:r>
      <w:r>
        <w:rPr>
          <w:lang w:val="en"/>
        </w:rPr>
        <w:t>–</w:t>
      </w:r>
      <w:r w:rsidRPr="001640F8">
        <w:t xml:space="preserve">144. </w:t>
      </w:r>
      <w:r w:rsidRPr="001640F8">
        <w:rPr>
          <w:shd w:val="clear" w:color="auto" w:fill="FFFFFF"/>
        </w:rPr>
        <w:t> </w:t>
      </w:r>
      <w:hyperlink r:id="rId42" w:tgtFrame="_blank" w:history="1">
        <w:r w:rsidRPr="001640F8">
          <w:rPr>
            <w:shd w:val="clear" w:color="auto" w:fill="FFFFFF"/>
          </w:rPr>
          <w:t>https://doi.org/10.1007/s10880-011-9255-2</w:t>
        </w:r>
      </w:hyperlink>
    </w:p>
    <w:p w14:paraId="67261794" w14:textId="0F305578" w:rsidR="001640F8" w:rsidRPr="001640F8" w:rsidRDefault="000728A7">
      <w:pPr>
        <w:pStyle w:val="apareference"/>
      </w:pPr>
      <w:proofErr w:type="spellStart"/>
      <w:r w:rsidRPr="001640F8">
        <w:t>Tedeschi</w:t>
      </w:r>
      <w:proofErr w:type="spellEnd"/>
      <w:r w:rsidRPr="001640F8">
        <w:t xml:space="preserve">, R. G., Calhoun, L. G., &amp; </w:t>
      </w:r>
      <w:proofErr w:type="spellStart"/>
      <w:r w:rsidRPr="001640F8">
        <w:t>Cann</w:t>
      </w:r>
      <w:proofErr w:type="spellEnd"/>
      <w:r w:rsidRPr="001640F8">
        <w:t xml:space="preserve">, A. (2007). Evaluating resource gain: Understanding and </w:t>
      </w:r>
      <w:r w:rsidRPr="00750FE5">
        <w:t xml:space="preserve">misunderstanding posttraumatic growth. </w:t>
      </w:r>
      <w:r w:rsidRPr="006F6F68">
        <w:rPr>
          <w:i/>
          <w:iCs/>
        </w:rPr>
        <w:t>Applied Psychology, 56</w:t>
      </w:r>
      <w:r w:rsidR="00FE65B9" w:rsidRPr="00BD24CC">
        <w:t>(3)</w:t>
      </w:r>
      <w:r w:rsidRPr="00BD24CC">
        <w:t>,</w:t>
      </w:r>
      <w:r w:rsidR="007E059F" w:rsidRPr="00BD24CC">
        <w:t xml:space="preserve"> </w:t>
      </w:r>
      <w:r w:rsidRPr="00A265D0">
        <w:t>396</w:t>
      </w:r>
      <w:r w:rsidR="00FE65B9" w:rsidRPr="00A265D0">
        <w:rPr>
          <w:lang w:val="en"/>
        </w:rPr>
        <w:t>–</w:t>
      </w:r>
      <w:r w:rsidRPr="00A265D0">
        <w:t>406.</w:t>
      </w:r>
      <w:r w:rsidR="007E059F" w:rsidRPr="00A265D0">
        <w:t xml:space="preserve"> </w:t>
      </w:r>
      <w:hyperlink r:id="rId43" w:history="1">
        <w:r w:rsidR="00014247" w:rsidRPr="004A03E4">
          <w:rPr>
            <w:rStyle w:val="Hyperlink"/>
            <w:color w:val="auto"/>
            <w:shd w:val="clear" w:color="auto" w:fill="FFFFFF"/>
          </w:rPr>
          <w:t>https://doi.org/10.1111/j.1464-597.2007.00299.x</w:t>
        </w:r>
      </w:hyperlink>
    </w:p>
    <w:p w14:paraId="24E273B5" w14:textId="3D72C2BF" w:rsidR="001640F8" w:rsidRDefault="006659EF">
      <w:pPr>
        <w:pStyle w:val="apareference"/>
        <w:rPr>
          <w:rtl/>
        </w:rPr>
      </w:pPr>
      <w:proofErr w:type="spellStart"/>
      <w:r w:rsidRPr="001640F8">
        <w:rPr>
          <w:rStyle w:val="hlfld-contribauthor"/>
          <w:lang w:val="en"/>
        </w:rPr>
        <w:t>Tedeschi</w:t>
      </w:r>
      <w:proofErr w:type="spellEnd"/>
      <w:r w:rsidRPr="001640F8">
        <w:rPr>
          <w:rStyle w:val="hlfld-contribauthor"/>
          <w:lang w:val="en"/>
        </w:rPr>
        <w:t xml:space="preserve">, </w:t>
      </w:r>
      <w:r w:rsidRPr="001640F8">
        <w:rPr>
          <w:rStyle w:val="nlmgiven-names"/>
          <w:lang w:val="en"/>
        </w:rPr>
        <w:t>R. G.</w:t>
      </w:r>
      <w:r w:rsidRPr="001640F8">
        <w:rPr>
          <w:lang w:val="en"/>
        </w:rPr>
        <w:t xml:space="preserve">, </w:t>
      </w:r>
      <w:r w:rsidRPr="001640F8">
        <w:rPr>
          <w:rStyle w:val="hlfld-contribauthor"/>
          <w:lang w:val="en"/>
        </w:rPr>
        <w:t>Shakespeare-Finch</w:t>
      </w:r>
      <w:r w:rsidRPr="001640F8">
        <w:rPr>
          <w:lang w:val="en"/>
        </w:rPr>
        <w:t xml:space="preserve">, </w:t>
      </w:r>
      <w:r w:rsidRPr="001640F8">
        <w:rPr>
          <w:rStyle w:val="nlmgiven-names"/>
          <w:lang w:val="en"/>
        </w:rPr>
        <w:t>J.,</w:t>
      </w:r>
      <w:r w:rsidRPr="001640F8">
        <w:rPr>
          <w:rStyle w:val="hlfld-contribauthor"/>
          <w:lang w:val="en"/>
        </w:rPr>
        <w:t xml:space="preserve"> </w:t>
      </w:r>
      <w:proofErr w:type="spellStart"/>
      <w:r w:rsidRPr="001640F8">
        <w:rPr>
          <w:rStyle w:val="hlfld-contribauthor"/>
          <w:lang w:val="en"/>
        </w:rPr>
        <w:t>Taku</w:t>
      </w:r>
      <w:proofErr w:type="spellEnd"/>
      <w:r w:rsidRPr="001640F8">
        <w:rPr>
          <w:lang w:val="en"/>
        </w:rPr>
        <w:t xml:space="preserve">, </w:t>
      </w:r>
      <w:r w:rsidRPr="001640F8">
        <w:rPr>
          <w:rStyle w:val="nlmgiven-names"/>
          <w:lang w:val="en"/>
        </w:rPr>
        <w:t>K.,</w:t>
      </w:r>
      <w:r w:rsidRPr="001640F8">
        <w:rPr>
          <w:rStyle w:val="hlfld-contribauthor"/>
          <w:lang w:val="en"/>
        </w:rPr>
        <w:t xml:space="preserve"> </w:t>
      </w:r>
      <w:r w:rsidRPr="001640F8">
        <w:rPr>
          <w:lang w:val="en"/>
        </w:rPr>
        <w:t xml:space="preserve">&amp; </w:t>
      </w:r>
      <w:r w:rsidRPr="001640F8">
        <w:rPr>
          <w:rStyle w:val="hlfld-contribauthor"/>
          <w:lang w:val="en"/>
        </w:rPr>
        <w:t>Calhoun,</w:t>
      </w:r>
      <w:r w:rsidRPr="001640F8">
        <w:rPr>
          <w:rStyle w:val="nlmgiven-names"/>
          <w:lang w:val="en"/>
        </w:rPr>
        <w:t xml:space="preserve"> L. G.</w:t>
      </w:r>
      <w:r w:rsidRPr="001640F8">
        <w:rPr>
          <w:lang w:val="en"/>
        </w:rPr>
        <w:t xml:space="preserve"> (</w:t>
      </w:r>
      <w:r w:rsidRPr="001640F8">
        <w:rPr>
          <w:rStyle w:val="nlmyear"/>
          <w:lang w:val="en"/>
        </w:rPr>
        <w:t>2018)</w:t>
      </w:r>
      <w:r w:rsidRPr="001640F8">
        <w:rPr>
          <w:lang w:val="en"/>
        </w:rPr>
        <w:t xml:space="preserve">. </w:t>
      </w:r>
      <w:r w:rsidRPr="001640F8">
        <w:rPr>
          <w:i/>
          <w:iCs/>
          <w:lang w:val="en"/>
        </w:rPr>
        <w:t>Posttraumatic growth: Theory, research and applications</w:t>
      </w:r>
      <w:r w:rsidRPr="001640F8">
        <w:rPr>
          <w:lang w:val="en"/>
        </w:rPr>
        <w:t xml:space="preserve">. </w:t>
      </w:r>
      <w:r w:rsidRPr="001640F8">
        <w:rPr>
          <w:rStyle w:val="nlmpublisher-name"/>
          <w:lang w:val="en"/>
        </w:rPr>
        <w:t>Routledge</w:t>
      </w:r>
      <w:r w:rsidRPr="001640F8">
        <w:rPr>
          <w:lang w:val="en"/>
        </w:rPr>
        <w:t>.</w:t>
      </w:r>
      <w:r w:rsidRPr="00DD22AB">
        <w:rPr>
          <w:lang w:val="en"/>
        </w:rPr>
        <w:t> </w:t>
      </w:r>
    </w:p>
    <w:p w14:paraId="4BC48AA0" w14:textId="70EF870E" w:rsidR="0051461F" w:rsidRPr="0049366A" w:rsidRDefault="0051461F" w:rsidP="0051461F">
      <w:pPr>
        <w:pStyle w:val="apareference"/>
        <w:rPr>
          <w:lang w:val="en"/>
        </w:rPr>
      </w:pPr>
      <w:proofErr w:type="spellStart"/>
      <w:r w:rsidRPr="00DA162D">
        <w:rPr>
          <w:rFonts w:asciiTheme="majorBidi" w:hAnsiTheme="majorBidi" w:cstheme="majorBidi"/>
        </w:rPr>
        <w:t>Vrana</w:t>
      </w:r>
      <w:proofErr w:type="spellEnd"/>
      <w:r w:rsidRPr="00DA162D">
        <w:rPr>
          <w:rFonts w:asciiTheme="majorBidi" w:hAnsiTheme="majorBidi" w:cstheme="majorBidi"/>
        </w:rPr>
        <w:t xml:space="preserve">, S., &amp; </w:t>
      </w:r>
      <w:proofErr w:type="spellStart"/>
      <w:r w:rsidRPr="00DA162D">
        <w:rPr>
          <w:rFonts w:asciiTheme="majorBidi" w:hAnsiTheme="majorBidi" w:cstheme="majorBidi"/>
        </w:rPr>
        <w:t>Lauterbach</w:t>
      </w:r>
      <w:proofErr w:type="spellEnd"/>
      <w:r w:rsidRPr="00DA162D">
        <w:rPr>
          <w:rFonts w:asciiTheme="majorBidi" w:hAnsiTheme="majorBidi" w:cstheme="majorBidi"/>
        </w:rPr>
        <w:t>, D. (</w:t>
      </w:r>
      <w:r w:rsidRPr="00DA162D">
        <w:rPr>
          <w:rStyle w:val="nlmyear"/>
          <w:rFonts w:asciiTheme="majorBidi" w:hAnsiTheme="majorBidi" w:cstheme="majorBidi"/>
        </w:rPr>
        <w:t>1994</w:t>
      </w:r>
      <w:r w:rsidRPr="00DA162D">
        <w:rPr>
          <w:rFonts w:asciiTheme="majorBidi" w:hAnsiTheme="majorBidi" w:cstheme="majorBidi"/>
        </w:rPr>
        <w:t xml:space="preserve">). </w:t>
      </w:r>
      <w:r w:rsidRPr="00DA162D">
        <w:rPr>
          <w:rStyle w:val="nlmarticle-title"/>
          <w:rFonts w:asciiTheme="majorBidi" w:hAnsiTheme="majorBidi" w:cstheme="majorBidi"/>
        </w:rPr>
        <w:t>Prevalence of traumatic events and post-traumatic psychological symptoms in a nonclinical sample of college students</w:t>
      </w:r>
      <w:r w:rsidRPr="00DA162D">
        <w:rPr>
          <w:rFonts w:asciiTheme="majorBidi" w:hAnsiTheme="majorBidi" w:cstheme="majorBidi"/>
        </w:rPr>
        <w:t xml:space="preserve">. </w:t>
      </w:r>
      <w:r w:rsidRPr="004A03E4">
        <w:rPr>
          <w:rFonts w:asciiTheme="majorBidi" w:hAnsiTheme="majorBidi" w:cstheme="majorBidi"/>
          <w:i/>
          <w:iCs/>
        </w:rPr>
        <w:t>Journal of Traumatic Stress, 7</w:t>
      </w:r>
      <w:r>
        <w:rPr>
          <w:rFonts w:asciiTheme="majorBidi" w:hAnsiTheme="majorBidi" w:cstheme="majorBidi"/>
        </w:rPr>
        <w:t>(2)</w:t>
      </w:r>
      <w:r w:rsidRPr="00DA162D">
        <w:rPr>
          <w:rFonts w:asciiTheme="majorBidi" w:hAnsiTheme="majorBidi" w:cstheme="majorBidi"/>
        </w:rPr>
        <w:t xml:space="preserve">, </w:t>
      </w:r>
      <w:r w:rsidRPr="00DA162D">
        <w:rPr>
          <w:rStyle w:val="nlmfpage"/>
          <w:rFonts w:asciiTheme="majorBidi" w:hAnsiTheme="majorBidi" w:cstheme="majorBidi"/>
        </w:rPr>
        <w:t>289</w:t>
      </w:r>
      <w:r>
        <w:rPr>
          <w:rFonts w:asciiTheme="majorBidi" w:hAnsiTheme="majorBidi" w:cstheme="majorBidi"/>
        </w:rPr>
        <w:t>–</w:t>
      </w:r>
      <w:r w:rsidRPr="00DA162D">
        <w:rPr>
          <w:rStyle w:val="nlmlpage"/>
          <w:rFonts w:asciiTheme="majorBidi" w:hAnsiTheme="majorBidi" w:cstheme="majorBidi"/>
        </w:rPr>
        <w:t>302</w:t>
      </w:r>
      <w:r>
        <w:rPr>
          <w:rStyle w:val="nlmlpage"/>
          <w:rFonts w:asciiTheme="majorBidi" w:hAnsiTheme="majorBidi" w:cstheme="majorBidi"/>
        </w:rPr>
        <w:t xml:space="preserve">. </w:t>
      </w:r>
      <w:hyperlink r:id="rId44" w:history="1">
        <w:r w:rsidRPr="0049366A">
          <w:rPr>
            <w:rStyle w:val="Hyperlink"/>
            <w:color w:val="auto"/>
            <w:lang w:val="en"/>
          </w:rPr>
          <w:t>https://doi.org/10.1007/BF02102949</w:t>
        </w:r>
      </w:hyperlink>
    </w:p>
    <w:p w14:paraId="35851A99" w14:textId="3E9BFA78" w:rsidR="0051461F" w:rsidRPr="0051461F" w:rsidRDefault="0051461F" w:rsidP="0051461F">
      <w:pPr>
        <w:pStyle w:val="apareference"/>
        <w:rPr>
          <w:rFonts w:asciiTheme="majorBidi" w:hAnsiTheme="majorBidi" w:cstheme="majorBidi"/>
        </w:rPr>
      </w:pPr>
      <w:r w:rsidRPr="00DA162D">
        <w:rPr>
          <w:rFonts w:asciiTheme="majorBidi" w:eastAsia="Calibri" w:hAnsiTheme="majorBidi" w:cstheme="majorBidi"/>
        </w:rPr>
        <w:t xml:space="preserve">Weathers, F. W., </w:t>
      </w:r>
      <w:proofErr w:type="spellStart"/>
      <w:r w:rsidRPr="00DA162D">
        <w:rPr>
          <w:rFonts w:asciiTheme="majorBidi" w:eastAsia="Calibri" w:hAnsiTheme="majorBidi" w:cstheme="majorBidi"/>
        </w:rPr>
        <w:t>Litz</w:t>
      </w:r>
      <w:proofErr w:type="spellEnd"/>
      <w:r w:rsidRPr="00DA162D">
        <w:rPr>
          <w:rFonts w:asciiTheme="majorBidi" w:eastAsia="Calibri" w:hAnsiTheme="majorBidi" w:cstheme="majorBidi"/>
        </w:rPr>
        <w:t xml:space="preserve">, B. T., Herman, D. S., </w:t>
      </w:r>
      <w:proofErr w:type="spellStart"/>
      <w:r w:rsidRPr="00DA162D">
        <w:rPr>
          <w:rFonts w:asciiTheme="majorBidi" w:eastAsia="Calibri" w:hAnsiTheme="majorBidi" w:cstheme="majorBidi"/>
        </w:rPr>
        <w:t>Huska</w:t>
      </w:r>
      <w:proofErr w:type="spellEnd"/>
      <w:r w:rsidRPr="00DA162D">
        <w:rPr>
          <w:rFonts w:asciiTheme="majorBidi" w:eastAsia="Calibri" w:hAnsiTheme="majorBidi" w:cstheme="majorBidi"/>
        </w:rPr>
        <w:t>, J. A., &amp; Keane</w:t>
      </w:r>
      <w:r w:rsidRPr="00DA162D">
        <w:rPr>
          <w:rFonts w:asciiTheme="majorBidi" w:eastAsia="Calibri" w:hAnsiTheme="majorBidi" w:cstheme="majorBidi"/>
          <w:rtl/>
        </w:rPr>
        <w:t>,</w:t>
      </w:r>
      <w:r w:rsidRPr="00DA162D">
        <w:rPr>
          <w:rFonts w:asciiTheme="majorBidi" w:eastAsia="Calibri" w:hAnsiTheme="majorBidi" w:cstheme="majorBidi"/>
        </w:rPr>
        <w:t xml:space="preserve"> T. M. (1993, May). </w:t>
      </w:r>
      <w:r w:rsidRPr="00DA162D">
        <w:rPr>
          <w:rFonts w:asciiTheme="majorBidi" w:eastAsia="Calibri" w:hAnsiTheme="majorBidi" w:cstheme="majorBidi"/>
          <w:i/>
          <w:iCs/>
        </w:rPr>
        <w:t>The PTSD Checklist: Reliability, validity and diagnostic utility</w:t>
      </w:r>
      <w:r w:rsidRPr="00DA162D">
        <w:rPr>
          <w:rFonts w:asciiTheme="majorBidi" w:eastAsia="Calibri" w:hAnsiTheme="majorBidi" w:cstheme="majorBidi"/>
        </w:rPr>
        <w:t xml:space="preserve">. </w:t>
      </w:r>
      <w:r>
        <w:rPr>
          <w:rFonts w:asciiTheme="majorBidi" w:eastAsia="Calibri" w:hAnsiTheme="majorBidi" w:cstheme="majorBidi"/>
        </w:rPr>
        <w:t>[</w:t>
      </w:r>
      <w:r w:rsidRPr="00DA162D">
        <w:rPr>
          <w:rFonts w:asciiTheme="majorBidi" w:eastAsia="Calibri" w:hAnsiTheme="majorBidi" w:cstheme="majorBidi"/>
        </w:rPr>
        <w:t>Paper present</w:t>
      </w:r>
      <w:r>
        <w:rPr>
          <w:rFonts w:asciiTheme="majorBidi" w:eastAsia="Calibri" w:hAnsiTheme="majorBidi" w:cstheme="majorBidi"/>
        </w:rPr>
        <w:t>ation].</w:t>
      </w:r>
      <w:r w:rsidRPr="00DA162D">
        <w:rPr>
          <w:rFonts w:asciiTheme="majorBidi" w:eastAsia="Calibri" w:hAnsiTheme="majorBidi" w:cstheme="majorBidi"/>
        </w:rPr>
        <w:t xml:space="preserve"> International Society for Traumatic Stress Studies</w:t>
      </w:r>
      <w:r w:rsidR="00E715DA">
        <w:rPr>
          <w:rFonts w:asciiTheme="majorBidi" w:eastAsia="Calibri" w:hAnsiTheme="majorBidi" w:cstheme="majorBidi"/>
        </w:rPr>
        <w:t xml:space="preserve"> Annual Meeting</w:t>
      </w:r>
      <w:r w:rsidRPr="00DA162D">
        <w:rPr>
          <w:rFonts w:asciiTheme="majorBidi" w:eastAsia="Calibri" w:hAnsiTheme="majorBidi" w:cstheme="majorBidi"/>
        </w:rPr>
        <w:t>, San Antonio</w:t>
      </w:r>
      <w:r w:rsidR="00E715DA">
        <w:rPr>
          <w:rFonts w:asciiTheme="majorBidi" w:eastAsia="Calibri" w:hAnsiTheme="majorBidi" w:cstheme="majorBidi"/>
        </w:rPr>
        <w:t xml:space="preserve"> {</w:t>
      </w:r>
      <w:r w:rsidRPr="00DA162D">
        <w:rPr>
          <w:rFonts w:asciiTheme="majorBidi" w:eastAsia="Calibri" w:hAnsiTheme="majorBidi" w:cstheme="majorBidi"/>
        </w:rPr>
        <w:t>TX</w:t>
      </w:r>
      <w:r w:rsidR="00E715DA">
        <w:rPr>
          <w:rFonts w:asciiTheme="majorBidi" w:eastAsia="Calibri" w:hAnsiTheme="majorBidi" w:cstheme="majorBidi"/>
        </w:rPr>
        <w:t xml:space="preserve">}, </w:t>
      </w:r>
      <w:r w:rsidR="001E624A">
        <w:rPr>
          <w:rFonts w:asciiTheme="majorBidi" w:eastAsia="Calibri" w:hAnsiTheme="majorBidi" w:cstheme="majorBidi"/>
        </w:rPr>
        <w:t>US</w:t>
      </w:r>
      <w:r>
        <w:rPr>
          <w:rFonts w:asciiTheme="majorBidi" w:eastAsia="Calibri" w:hAnsiTheme="majorBidi" w:cstheme="majorBidi"/>
        </w:rPr>
        <w:t>.</w:t>
      </w:r>
    </w:p>
    <w:p w14:paraId="6087A4C2" w14:textId="77777777" w:rsidR="00184298" w:rsidRDefault="00184298" w:rsidP="00927428">
      <w:r>
        <w:br w:type="page"/>
      </w:r>
    </w:p>
    <w:p w14:paraId="20BCE694" w14:textId="57232D3C" w:rsidR="001C28E8" w:rsidRPr="00927428" w:rsidRDefault="00D7755E" w:rsidP="001C28E8">
      <w:pPr>
        <w:ind w:firstLine="0"/>
        <w:rPr>
          <w:rStyle w:val="surname"/>
          <w:b/>
          <w:bCs/>
        </w:rPr>
      </w:pPr>
      <w:r w:rsidRPr="00927428">
        <w:rPr>
          <w:rStyle w:val="surname"/>
          <w:b/>
          <w:bCs/>
        </w:rPr>
        <w:lastRenderedPageBreak/>
        <w:t>Table 1</w:t>
      </w:r>
    </w:p>
    <w:p w14:paraId="7A8A392F" w14:textId="2571E0B6" w:rsidR="00B3090F" w:rsidRPr="00882D2A" w:rsidRDefault="00D7755E" w:rsidP="001C28E8">
      <w:pPr>
        <w:ind w:firstLine="0"/>
        <w:rPr>
          <w:rStyle w:val="surname"/>
        </w:rPr>
      </w:pPr>
      <w:r w:rsidRPr="00927428">
        <w:rPr>
          <w:rStyle w:val="surname"/>
          <w:i/>
          <w:iCs/>
        </w:rPr>
        <w:t xml:space="preserve">Multiple </w:t>
      </w:r>
      <w:r w:rsidR="001F0751" w:rsidRPr="00927428">
        <w:rPr>
          <w:rStyle w:val="surname"/>
          <w:i/>
          <w:iCs/>
        </w:rPr>
        <w:t xml:space="preserve">Regression for Predicting </w:t>
      </w:r>
      <w:r w:rsidRPr="00927428">
        <w:rPr>
          <w:rStyle w:val="surname"/>
          <w:i/>
          <w:iCs/>
        </w:rPr>
        <w:t xml:space="preserve">PTS, from </w:t>
      </w:r>
      <w:r w:rsidR="001F0751" w:rsidRPr="00927428">
        <w:rPr>
          <w:rStyle w:val="surname"/>
          <w:i/>
          <w:iCs/>
        </w:rPr>
        <w:t>Background Variables</w:t>
      </w:r>
      <w:r w:rsidRPr="00927428">
        <w:rPr>
          <w:rStyle w:val="surname"/>
          <w:i/>
          <w:iCs/>
        </w:rPr>
        <w:t xml:space="preserve">, ASD, and </w:t>
      </w:r>
      <w:r w:rsidR="001F0751" w:rsidRPr="00927428">
        <w:rPr>
          <w:rStyle w:val="surname"/>
          <w:i/>
          <w:iCs/>
        </w:rPr>
        <w:t xml:space="preserve">Previous Experience </w:t>
      </w:r>
      <w:r w:rsidRPr="00927428">
        <w:rPr>
          <w:rStyle w:val="surname"/>
          <w:i/>
          <w:iCs/>
        </w:rPr>
        <w:t xml:space="preserve">of </w:t>
      </w:r>
      <w:r w:rsidR="008C5FB3">
        <w:rPr>
          <w:rStyle w:val="surname"/>
          <w:i/>
          <w:iCs/>
        </w:rPr>
        <w:t>Stressful</w:t>
      </w:r>
      <w:r w:rsidR="001F0751" w:rsidRPr="00927428">
        <w:rPr>
          <w:rStyle w:val="surname"/>
          <w:i/>
          <w:iCs/>
        </w:rPr>
        <w:t xml:space="preserve"> Events</w:t>
      </w:r>
      <w:r w:rsidR="001F0751" w:rsidRPr="001F0751">
        <w:rPr>
          <w:rStyle w:val="surname"/>
        </w:rPr>
        <w:t xml:space="preserve"> </w:t>
      </w:r>
      <w:r w:rsidRPr="00882D2A">
        <w:rPr>
          <w:rStyle w:val="surname"/>
        </w:rPr>
        <w:t>(</w:t>
      </w:r>
      <w:r w:rsidRPr="00882D2A">
        <w:rPr>
          <w:rStyle w:val="surname"/>
          <w:i/>
          <w:iCs/>
        </w:rPr>
        <w:t>N</w:t>
      </w:r>
      <w:r w:rsidRPr="00882D2A">
        <w:rPr>
          <w:rStyle w:val="surname"/>
        </w:rPr>
        <w:t xml:space="preserve"> = 301)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649"/>
        <w:gridCol w:w="1677"/>
        <w:gridCol w:w="636"/>
      </w:tblGrid>
      <w:tr w:rsidR="00376F41" w:rsidRPr="00267038" w14:paraId="37A638D6" w14:textId="77777777" w:rsidTr="00882D2A">
        <w:tc>
          <w:tcPr>
            <w:tcW w:w="0" w:type="auto"/>
            <w:tcBorders>
              <w:top w:val="single" w:sz="4" w:space="0" w:color="auto"/>
              <w:bottom w:val="single" w:sz="6" w:space="0" w:color="008000"/>
            </w:tcBorders>
          </w:tcPr>
          <w:p w14:paraId="23C0A7B4" w14:textId="73975645" w:rsidR="00376F41" w:rsidRPr="00D34F3E" w:rsidRDefault="0071513D" w:rsidP="00927428">
            <w:pPr>
              <w:spacing w:line="360" w:lineRule="auto"/>
              <w:ind w:firstLine="0"/>
              <w:jc w:val="center"/>
            </w:pPr>
            <w:r>
              <w:t>Step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8000"/>
            </w:tcBorders>
          </w:tcPr>
          <w:p w14:paraId="30EE5FF6" w14:textId="77777777" w:rsidR="00376F41" w:rsidRPr="00C21FD4" w:rsidRDefault="00376F41">
            <w:pPr>
              <w:spacing w:line="360" w:lineRule="auto"/>
              <w:ind w:firstLine="0"/>
              <w:jc w:val="center"/>
            </w:pPr>
            <w:r w:rsidRPr="00C21FD4">
              <w:t xml:space="preserve">PTS </w:t>
            </w:r>
            <w:r w:rsidR="004E6A31">
              <w:t>s</w:t>
            </w:r>
            <w:r w:rsidRPr="00C21FD4">
              <w:t>ymptoms</w:t>
            </w:r>
          </w:p>
          <w:p w14:paraId="43E4235A" w14:textId="77777777" w:rsidR="00376F41" w:rsidRPr="00D34F3E" w:rsidRDefault="00376F41">
            <w:pPr>
              <w:spacing w:line="360" w:lineRule="auto"/>
              <w:ind w:firstLine="0"/>
              <w:jc w:val="center"/>
            </w:pPr>
            <w:r w:rsidRPr="00D34F3E">
              <w:sym w:font="Symbol" w:char="F062"/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8000"/>
            </w:tcBorders>
          </w:tcPr>
          <w:p w14:paraId="222D1C5F" w14:textId="77777777" w:rsidR="00376F41" w:rsidRPr="00D34F3E" w:rsidRDefault="00376F41">
            <w:pPr>
              <w:spacing w:line="360" w:lineRule="auto"/>
              <w:ind w:firstLine="0"/>
              <w:jc w:val="center"/>
            </w:pPr>
            <w:r>
              <w:t>SE</w:t>
            </w:r>
          </w:p>
        </w:tc>
      </w:tr>
      <w:tr w:rsidR="00376F41" w:rsidRPr="00267038" w14:paraId="5FFF1CFD" w14:textId="77777777" w:rsidTr="00882D2A">
        <w:tc>
          <w:tcPr>
            <w:tcW w:w="0" w:type="auto"/>
          </w:tcPr>
          <w:p w14:paraId="54928F6C" w14:textId="77777777" w:rsidR="00376F41" w:rsidRPr="00D34F3E" w:rsidRDefault="00376F41" w:rsidP="0071513D">
            <w:pPr>
              <w:spacing w:line="360" w:lineRule="auto"/>
              <w:ind w:firstLine="0"/>
              <w:rPr>
                <w:rtl/>
              </w:rPr>
            </w:pPr>
            <w:r>
              <w:t xml:space="preserve">Step </w:t>
            </w:r>
            <w:r w:rsidRPr="00D34F3E">
              <w:rPr>
                <w:rtl/>
              </w:rPr>
              <w:t>1</w:t>
            </w:r>
          </w:p>
        </w:tc>
        <w:tc>
          <w:tcPr>
            <w:tcW w:w="0" w:type="auto"/>
          </w:tcPr>
          <w:p w14:paraId="15950DC2" w14:textId="77777777" w:rsidR="00376F41" w:rsidRPr="00D34F3E" w:rsidRDefault="00376F4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14:paraId="123D980E" w14:textId="77777777" w:rsidR="00376F41" w:rsidRPr="00D34F3E" w:rsidRDefault="00376F41">
            <w:pPr>
              <w:spacing w:line="360" w:lineRule="auto"/>
              <w:ind w:firstLine="0"/>
            </w:pPr>
          </w:p>
        </w:tc>
      </w:tr>
      <w:tr w:rsidR="00376F41" w:rsidRPr="00267038" w14:paraId="652F3A8D" w14:textId="77777777" w:rsidTr="00882D2A">
        <w:tc>
          <w:tcPr>
            <w:tcW w:w="0" w:type="auto"/>
          </w:tcPr>
          <w:p w14:paraId="5907EFD3" w14:textId="77777777" w:rsidR="00376F41" w:rsidRPr="00D34F3E" w:rsidRDefault="00376F41" w:rsidP="00927428">
            <w:pPr>
              <w:spacing w:line="360" w:lineRule="auto"/>
              <w:ind w:left="320" w:firstLine="0"/>
            </w:pPr>
            <w:r>
              <w:t>Education</w:t>
            </w:r>
          </w:p>
        </w:tc>
        <w:tc>
          <w:tcPr>
            <w:tcW w:w="0" w:type="auto"/>
          </w:tcPr>
          <w:p w14:paraId="20884A4B" w14:textId="77777777" w:rsidR="00376F41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-.25</w:t>
            </w:r>
            <w:r w:rsidRPr="00882D2A">
              <w:rPr>
                <w:vertAlign w:val="superscript"/>
              </w:rPr>
              <w:t>***</w:t>
            </w:r>
            <w:r w:rsidRPr="00D34F3E">
              <w:t xml:space="preserve">  </w:t>
            </w:r>
          </w:p>
        </w:tc>
        <w:tc>
          <w:tcPr>
            <w:tcW w:w="0" w:type="auto"/>
          </w:tcPr>
          <w:p w14:paraId="2796F484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0.61</w:t>
            </w:r>
          </w:p>
        </w:tc>
      </w:tr>
      <w:tr w:rsidR="00376F41" w:rsidRPr="00267038" w14:paraId="05A2C515" w14:textId="77777777" w:rsidTr="00882D2A">
        <w:tc>
          <w:tcPr>
            <w:tcW w:w="0" w:type="auto"/>
          </w:tcPr>
          <w:p w14:paraId="5FE621D1" w14:textId="5DA407AC" w:rsidR="00376F41" w:rsidRPr="00D34F3E" w:rsidRDefault="00C52D65" w:rsidP="00927428">
            <w:pPr>
              <w:spacing w:line="360" w:lineRule="auto"/>
              <w:ind w:left="320" w:firstLine="0"/>
            </w:pPr>
            <w:r>
              <w:t xml:space="preserve">Financial </w:t>
            </w:r>
            <w:r w:rsidR="00376F41">
              <w:t>situation</w:t>
            </w:r>
          </w:p>
        </w:tc>
        <w:tc>
          <w:tcPr>
            <w:tcW w:w="0" w:type="auto"/>
          </w:tcPr>
          <w:p w14:paraId="1AAC2CAA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-.18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5A3A3226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0.61</w:t>
            </w:r>
          </w:p>
        </w:tc>
      </w:tr>
      <w:tr w:rsidR="00376F41" w:rsidRPr="00267038" w14:paraId="05CD4B6C" w14:textId="77777777" w:rsidTr="00882D2A">
        <w:tc>
          <w:tcPr>
            <w:tcW w:w="0" w:type="auto"/>
          </w:tcPr>
          <w:p w14:paraId="506F71F9" w14:textId="77777777" w:rsidR="00376F41" w:rsidRPr="00D34F3E" w:rsidRDefault="00376F41" w:rsidP="00927428">
            <w:pPr>
              <w:spacing w:line="360" w:lineRule="auto"/>
              <w:ind w:left="320" w:firstLine="0"/>
            </w:pPr>
            <w:r w:rsidRPr="00D34F3E">
              <w:rPr>
                <w:i/>
                <w:iCs/>
              </w:rPr>
              <w:t>R</w:t>
            </w:r>
            <w:r w:rsidRPr="00D34F3E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E7431E6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.125</w:t>
            </w:r>
            <w:r w:rsidRPr="002A658A">
              <w:rPr>
                <w:vertAlign w:val="superscript"/>
              </w:rPr>
              <w:t>***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2AAB3998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7EC0238B" w14:textId="77777777" w:rsidTr="00882D2A">
        <w:tc>
          <w:tcPr>
            <w:tcW w:w="0" w:type="auto"/>
          </w:tcPr>
          <w:p w14:paraId="2FD3217D" w14:textId="77777777" w:rsidR="00376F41" w:rsidRPr="00D34F3E" w:rsidRDefault="00376F41">
            <w:pPr>
              <w:spacing w:line="360" w:lineRule="auto"/>
              <w:ind w:firstLine="0"/>
            </w:pPr>
            <w:r>
              <w:t xml:space="preserve">Step </w:t>
            </w:r>
            <w:r w:rsidRPr="00D34F3E">
              <w:rPr>
                <w:rtl/>
              </w:rPr>
              <w:t>2</w:t>
            </w:r>
          </w:p>
        </w:tc>
        <w:tc>
          <w:tcPr>
            <w:tcW w:w="0" w:type="auto"/>
          </w:tcPr>
          <w:p w14:paraId="51B8752D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</w:p>
        </w:tc>
        <w:tc>
          <w:tcPr>
            <w:tcW w:w="0" w:type="auto"/>
          </w:tcPr>
          <w:p w14:paraId="2C74251A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0D7A14B8" w14:textId="77777777" w:rsidTr="00882D2A">
        <w:tc>
          <w:tcPr>
            <w:tcW w:w="0" w:type="auto"/>
          </w:tcPr>
          <w:p w14:paraId="2C20882E" w14:textId="77777777" w:rsidR="00376F41" w:rsidRDefault="00376F41" w:rsidP="00927428">
            <w:pPr>
              <w:spacing w:line="360" w:lineRule="auto"/>
              <w:ind w:left="320" w:firstLine="0"/>
            </w:pPr>
            <w:r>
              <w:t>Education</w:t>
            </w:r>
          </w:p>
        </w:tc>
        <w:tc>
          <w:tcPr>
            <w:tcW w:w="0" w:type="auto"/>
          </w:tcPr>
          <w:p w14:paraId="771509C6" w14:textId="77777777" w:rsidR="00376F41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-.17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7D24F28D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0.58</w:t>
            </w:r>
          </w:p>
        </w:tc>
      </w:tr>
      <w:tr w:rsidR="00376F41" w:rsidRPr="00267038" w14:paraId="50E51FA5" w14:textId="77777777" w:rsidTr="00882D2A">
        <w:tc>
          <w:tcPr>
            <w:tcW w:w="0" w:type="auto"/>
          </w:tcPr>
          <w:p w14:paraId="1F79964F" w14:textId="78C74399" w:rsidR="00376F41" w:rsidRPr="00C52D65" w:rsidRDefault="00C52D65" w:rsidP="00927428">
            <w:pPr>
              <w:spacing w:line="360" w:lineRule="auto"/>
              <w:ind w:left="320" w:firstLine="0"/>
            </w:pPr>
            <w:r>
              <w:t>Financial</w:t>
            </w:r>
            <w:r w:rsidR="00376F41" w:rsidRPr="00C52D65">
              <w:t xml:space="preserve"> situation</w:t>
            </w:r>
          </w:p>
        </w:tc>
        <w:tc>
          <w:tcPr>
            <w:tcW w:w="0" w:type="auto"/>
          </w:tcPr>
          <w:p w14:paraId="168828C6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-.12</w:t>
            </w:r>
            <w:r w:rsidRPr="00882D2A">
              <w:rPr>
                <w:vertAlign w:val="superscript"/>
              </w:rPr>
              <w:t>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0090DFC4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0.57</w:t>
            </w:r>
          </w:p>
        </w:tc>
      </w:tr>
      <w:tr w:rsidR="00376F41" w:rsidRPr="00267038" w14:paraId="0D793C91" w14:textId="77777777" w:rsidTr="00882D2A">
        <w:tc>
          <w:tcPr>
            <w:tcW w:w="0" w:type="auto"/>
          </w:tcPr>
          <w:p w14:paraId="00FBD4B0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t>ASD</w:t>
            </w:r>
          </w:p>
        </w:tc>
        <w:tc>
          <w:tcPr>
            <w:tcW w:w="0" w:type="auto"/>
          </w:tcPr>
          <w:p w14:paraId="581B1769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.37</w:t>
            </w:r>
            <w:r w:rsidRPr="002A658A">
              <w:rPr>
                <w:vertAlign w:val="superscript"/>
              </w:rPr>
              <w:t>***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225E0F2F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0.55</w:t>
            </w:r>
          </w:p>
        </w:tc>
      </w:tr>
      <w:tr w:rsidR="00376F41" w:rsidRPr="00267038" w14:paraId="61B12920" w14:textId="77777777" w:rsidTr="00882D2A">
        <w:tc>
          <w:tcPr>
            <w:tcW w:w="0" w:type="auto"/>
          </w:tcPr>
          <w:p w14:paraId="7F154CE1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sym w:font="Symbol" w:char="F044"/>
            </w:r>
            <w:r w:rsidRPr="00C52D65">
              <w:t>R2</w:t>
            </w:r>
          </w:p>
        </w:tc>
        <w:tc>
          <w:tcPr>
            <w:tcW w:w="0" w:type="auto"/>
          </w:tcPr>
          <w:p w14:paraId="6F335B81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.121</w:t>
            </w:r>
            <w:r w:rsidRPr="002A658A"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204A692A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7A0FB1BF" w14:textId="77777777" w:rsidTr="00882D2A">
        <w:tc>
          <w:tcPr>
            <w:tcW w:w="0" w:type="auto"/>
          </w:tcPr>
          <w:p w14:paraId="6483ABA8" w14:textId="77777777" w:rsidR="00376F41" w:rsidRPr="00C52D65" w:rsidRDefault="00376F41">
            <w:pPr>
              <w:spacing w:line="360" w:lineRule="auto"/>
              <w:ind w:firstLine="0"/>
            </w:pPr>
            <w:r w:rsidRPr="00C52D65">
              <w:t xml:space="preserve">Step </w:t>
            </w:r>
            <w:r w:rsidRPr="00C52D65">
              <w:rPr>
                <w:rtl/>
              </w:rPr>
              <w:t>3</w:t>
            </w:r>
          </w:p>
        </w:tc>
        <w:tc>
          <w:tcPr>
            <w:tcW w:w="0" w:type="auto"/>
          </w:tcPr>
          <w:p w14:paraId="2A5D2F9D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</w:p>
        </w:tc>
        <w:tc>
          <w:tcPr>
            <w:tcW w:w="0" w:type="auto"/>
          </w:tcPr>
          <w:p w14:paraId="53F85CDF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3BA252E2" w14:textId="77777777" w:rsidTr="00882D2A">
        <w:tc>
          <w:tcPr>
            <w:tcW w:w="0" w:type="auto"/>
          </w:tcPr>
          <w:p w14:paraId="4722EB51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t>Education</w:t>
            </w:r>
          </w:p>
        </w:tc>
        <w:tc>
          <w:tcPr>
            <w:tcW w:w="0" w:type="auto"/>
          </w:tcPr>
          <w:p w14:paraId="21AA50E1" w14:textId="77777777" w:rsidR="00376F41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-.15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1DED8209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0.57</w:t>
            </w:r>
          </w:p>
        </w:tc>
      </w:tr>
      <w:tr w:rsidR="00376F41" w:rsidRPr="00267038" w14:paraId="6B6F3368" w14:textId="77777777" w:rsidTr="00882D2A">
        <w:tc>
          <w:tcPr>
            <w:tcW w:w="0" w:type="auto"/>
          </w:tcPr>
          <w:p w14:paraId="5D528A1B" w14:textId="0F7936ED" w:rsidR="00376F41" w:rsidRPr="00C52D65" w:rsidRDefault="00C52D65" w:rsidP="00927428">
            <w:pPr>
              <w:spacing w:line="360" w:lineRule="auto"/>
              <w:ind w:left="320" w:firstLine="0"/>
            </w:pPr>
            <w:r>
              <w:t>Financial</w:t>
            </w:r>
            <w:r w:rsidR="00376F41" w:rsidRPr="00C52D65">
              <w:t xml:space="preserve"> situation</w:t>
            </w:r>
          </w:p>
        </w:tc>
        <w:tc>
          <w:tcPr>
            <w:tcW w:w="0" w:type="auto"/>
          </w:tcPr>
          <w:p w14:paraId="42891E20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-.13</w:t>
            </w:r>
            <w:r w:rsidRPr="002A658A">
              <w:rPr>
                <w:vertAlign w:val="superscript"/>
              </w:rPr>
              <w:t>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2155962E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0.57</w:t>
            </w:r>
          </w:p>
        </w:tc>
      </w:tr>
      <w:tr w:rsidR="00376F41" w:rsidRPr="00267038" w14:paraId="7EFAD5CA" w14:textId="77777777" w:rsidTr="00882D2A">
        <w:tc>
          <w:tcPr>
            <w:tcW w:w="0" w:type="auto"/>
          </w:tcPr>
          <w:p w14:paraId="24140EAD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t>ASD</w:t>
            </w:r>
          </w:p>
        </w:tc>
        <w:tc>
          <w:tcPr>
            <w:tcW w:w="0" w:type="auto"/>
          </w:tcPr>
          <w:p w14:paraId="3083B9EC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.35</w:t>
            </w:r>
            <w:r w:rsidRPr="002A658A">
              <w:rPr>
                <w:vertAlign w:val="superscript"/>
              </w:rPr>
              <w:t>***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4880599E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0.55</w:t>
            </w:r>
          </w:p>
        </w:tc>
      </w:tr>
      <w:tr w:rsidR="00376F41" w:rsidRPr="00267038" w14:paraId="5DD92DA2" w14:textId="77777777" w:rsidTr="00882D2A">
        <w:tc>
          <w:tcPr>
            <w:tcW w:w="0" w:type="auto"/>
          </w:tcPr>
          <w:p w14:paraId="77E8ACF3" w14:textId="05643479" w:rsidR="00376F41" w:rsidRPr="00C52D65" w:rsidRDefault="008C5FB3" w:rsidP="00927428">
            <w:pPr>
              <w:spacing w:line="360" w:lineRule="auto"/>
              <w:ind w:left="320" w:firstLine="0"/>
            </w:pPr>
            <w:r w:rsidRPr="00C52D65">
              <w:t>Stressful</w:t>
            </w:r>
            <w:r w:rsidR="00376F41" w:rsidRPr="00C52D65">
              <w:t xml:space="preserve"> events before T1</w:t>
            </w:r>
          </w:p>
        </w:tc>
        <w:tc>
          <w:tcPr>
            <w:tcW w:w="0" w:type="auto"/>
          </w:tcPr>
          <w:p w14:paraId="343FEF2C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-.16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13C73F6E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0.53</w:t>
            </w:r>
          </w:p>
        </w:tc>
      </w:tr>
      <w:tr w:rsidR="00376F41" w:rsidRPr="00267038" w14:paraId="0108CF16" w14:textId="77777777" w:rsidTr="00882D2A">
        <w:tc>
          <w:tcPr>
            <w:tcW w:w="0" w:type="auto"/>
          </w:tcPr>
          <w:p w14:paraId="6FB89569" w14:textId="0CAED59A" w:rsidR="00376F41" w:rsidRPr="00C52D65" w:rsidRDefault="008C5FB3" w:rsidP="00927428">
            <w:pPr>
              <w:spacing w:line="360" w:lineRule="auto"/>
              <w:ind w:left="320" w:firstLine="0"/>
            </w:pPr>
            <w:r w:rsidRPr="00C52D65">
              <w:t>Stressful</w:t>
            </w:r>
            <w:r w:rsidR="00376F41" w:rsidRPr="00C52D65">
              <w:t xml:space="preserve"> events since T1</w:t>
            </w:r>
          </w:p>
        </w:tc>
        <w:tc>
          <w:tcPr>
            <w:tcW w:w="0" w:type="auto"/>
          </w:tcPr>
          <w:p w14:paraId="1748DD20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.11</w:t>
            </w:r>
            <w:r w:rsidRPr="002A658A">
              <w:rPr>
                <w:vertAlign w:val="superscript"/>
              </w:rPr>
              <w:t>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6157D164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0.53</w:t>
            </w:r>
          </w:p>
        </w:tc>
      </w:tr>
      <w:tr w:rsidR="00376F41" w:rsidRPr="00267038" w14:paraId="217F81B0" w14:textId="77777777" w:rsidTr="00882D2A">
        <w:tc>
          <w:tcPr>
            <w:tcW w:w="0" w:type="auto"/>
          </w:tcPr>
          <w:p w14:paraId="49FD25BB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sym w:font="Symbol" w:char="F044"/>
            </w:r>
            <w:r w:rsidRPr="00C52D65">
              <w:t>R2</w:t>
            </w:r>
          </w:p>
        </w:tc>
        <w:tc>
          <w:tcPr>
            <w:tcW w:w="0" w:type="auto"/>
          </w:tcPr>
          <w:p w14:paraId="0F9D4D41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.030</w:t>
            </w:r>
            <w:r w:rsidRPr="002A658A">
              <w:rPr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20A97F25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6EFD8101" w14:textId="77777777" w:rsidTr="00882D2A">
        <w:tc>
          <w:tcPr>
            <w:tcW w:w="0" w:type="auto"/>
          </w:tcPr>
          <w:p w14:paraId="339F0F36" w14:textId="77777777" w:rsidR="00376F41" w:rsidRPr="00C52D65" w:rsidRDefault="00376F41">
            <w:pPr>
              <w:spacing w:line="360" w:lineRule="auto"/>
              <w:ind w:firstLine="0"/>
            </w:pPr>
            <w:r w:rsidRPr="00C52D65">
              <w:t xml:space="preserve">Step </w:t>
            </w:r>
            <w:r w:rsidRPr="00C52D65">
              <w:rPr>
                <w:rtl/>
              </w:rPr>
              <w:t>4</w:t>
            </w:r>
          </w:p>
        </w:tc>
        <w:tc>
          <w:tcPr>
            <w:tcW w:w="0" w:type="auto"/>
          </w:tcPr>
          <w:p w14:paraId="78174F06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</w:p>
        </w:tc>
        <w:tc>
          <w:tcPr>
            <w:tcW w:w="0" w:type="auto"/>
          </w:tcPr>
          <w:p w14:paraId="313F932A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2FE20F6E" w14:textId="77777777" w:rsidTr="00882D2A">
        <w:tc>
          <w:tcPr>
            <w:tcW w:w="0" w:type="auto"/>
          </w:tcPr>
          <w:p w14:paraId="0E4AFFE6" w14:textId="77777777" w:rsidR="00376F41" w:rsidRPr="00C52D65" w:rsidRDefault="00376F41" w:rsidP="00927428">
            <w:pPr>
              <w:spacing w:line="360" w:lineRule="auto"/>
              <w:ind w:left="320" w:firstLine="0"/>
            </w:pPr>
            <w:r w:rsidRPr="00C52D65">
              <w:t>Education</w:t>
            </w:r>
          </w:p>
        </w:tc>
        <w:tc>
          <w:tcPr>
            <w:tcW w:w="0" w:type="auto"/>
          </w:tcPr>
          <w:p w14:paraId="6E47C9D5" w14:textId="77777777" w:rsidR="00376F41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-.15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5316E1D2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0.57</w:t>
            </w:r>
          </w:p>
        </w:tc>
      </w:tr>
      <w:tr w:rsidR="00376F41" w:rsidRPr="00267038" w14:paraId="531C4D1D" w14:textId="77777777" w:rsidTr="00882D2A">
        <w:tc>
          <w:tcPr>
            <w:tcW w:w="0" w:type="auto"/>
          </w:tcPr>
          <w:p w14:paraId="0E76B625" w14:textId="383CDCC4" w:rsidR="00376F41" w:rsidRPr="00C52D65" w:rsidRDefault="00C52D65" w:rsidP="00927428">
            <w:pPr>
              <w:spacing w:line="360" w:lineRule="auto"/>
              <w:ind w:left="320" w:firstLine="0"/>
            </w:pPr>
            <w:r>
              <w:t>Financial</w:t>
            </w:r>
            <w:r w:rsidR="00376F41" w:rsidRPr="00C52D65">
              <w:t xml:space="preserve"> situation</w:t>
            </w:r>
          </w:p>
        </w:tc>
        <w:tc>
          <w:tcPr>
            <w:tcW w:w="0" w:type="auto"/>
          </w:tcPr>
          <w:p w14:paraId="7B367258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-.12</w:t>
            </w:r>
            <w:r w:rsidRPr="002A658A">
              <w:rPr>
                <w:vertAlign w:val="superscript"/>
              </w:rPr>
              <w:t>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72CD900E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0.56</w:t>
            </w:r>
          </w:p>
        </w:tc>
      </w:tr>
      <w:tr w:rsidR="00376F41" w:rsidRPr="00267038" w14:paraId="6E38C750" w14:textId="77777777" w:rsidTr="00882D2A">
        <w:tc>
          <w:tcPr>
            <w:tcW w:w="0" w:type="auto"/>
          </w:tcPr>
          <w:p w14:paraId="7FC73E41" w14:textId="77777777" w:rsidR="00376F41" w:rsidRPr="00D34F3E" w:rsidRDefault="00376F41" w:rsidP="00927428">
            <w:pPr>
              <w:spacing w:line="360" w:lineRule="auto"/>
              <w:ind w:left="320" w:firstLine="0"/>
            </w:pPr>
            <w:r w:rsidRPr="00D34F3E">
              <w:t>ASD</w:t>
            </w:r>
          </w:p>
        </w:tc>
        <w:tc>
          <w:tcPr>
            <w:tcW w:w="0" w:type="auto"/>
          </w:tcPr>
          <w:p w14:paraId="19AC32F6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.33</w:t>
            </w:r>
            <w:r w:rsidRPr="002A658A">
              <w:rPr>
                <w:vertAlign w:val="superscript"/>
              </w:rPr>
              <w:t>***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7E2BB7D8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0.55</w:t>
            </w:r>
          </w:p>
        </w:tc>
      </w:tr>
      <w:tr w:rsidR="00376F41" w:rsidRPr="00267038" w14:paraId="44C32503" w14:textId="77777777" w:rsidTr="00882D2A">
        <w:tc>
          <w:tcPr>
            <w:tcW w:w="0" w:type="auto"/>
          </w:tcPr>
          <w:p w14:paraId="13432CFE" w14:textId="3974912F" w:rsidR="00376F41" w:rsidRPr="00D34F3E" w:rsidRDefault="008C5FB3" w:rsidP="00927428">
            <w:pPr>
              <w:spacing w:line="360" w:lineRule="auto"/>
              <w:ind w:left="320" w:firstLine="0"/>
            </w:pPr>
            <w:r>
              <w:t>Stressful</w:t>
            </w:r>
            <w:r w:rsidR="00376F41">
              <w:t xml:space="preserve"> events before T1</w:t>
            </w:r>
          </w:p>
        </w:tc>
        <w:tc>
          <w:tcPr>
            <w:tcW w:w="0" w:type="auto"/>
          </w:tcPr>
          <w:p w14:paraId="1321D987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-.17</w:t>
            </w:r>
            <w:r w:rsidRPr="002A658A">
              <w:rPr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14A2CDF0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0.56</w:t>
            </w:r>
          </w:p>
        </w:tc>
      </w:tr>
      <w:tr w:rsidR="00376F41" w:rsidRPr="00267038" w14:paraId="788CF720" w14:textId="77777777" w:rsidTr="00882D2A">
        <w:tc>
          <w:tcPr>
            <w:tcW w:w="0" w:type="auto"/>
          </w:tcPr>
          <w:p w14:paraId="0D6FC01B" w14:textId="3F0B58BC" w:rsidR="00376F41" w:rsidRPr="00D34F3E" w:rsidRDefault="008C5FB3" w:rsidP="00927428">
            <w:pPr>
              <w:spacing w:line="360" w:lineRule="auto"/>
              <w:ind w:left="320" w:firstLine="0"/>
            </w:pPr>
            <w:r>
              <w:t>Stressful</w:t>
            </w:r>
            <w:r w:rsidR="00376F41">
              <w:t xml:space="preserve"> events since T1</w:t>
            </w:r>
          </w:p>
        </w:tc>
        <w:tc>
          <w:tcPr>
            <w:tcW w:w="0" w:type="auto"/>
          </w:tcPr>
          <w:p w14:paraId="13298163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.13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3A556192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0.53</w:t>
            </w:r>
          </w:p>
        </w:tc>
      </w:tr>
      <w:tr w:rsidR="00376F41" w:rsidRPr="00267038" w14:paraId="057DCAB4" w14:textId="77777777" w:rsidTr="00882D2A">
        <w:trPr>
          <w:trHeight w:val="198"/>
        </w:trPr>
        <w:tc>
          <w:tcPr>
            <w:tcW w:w="0" w:type="auto"/>
          </w:tcPr>
          <w:p w14:paraId="52F185B4" w14:textId="14E8F6FB" w:rsidR="00376F41" w:rsidRPr="00D34F3E" w:rsidRDefault="00376F41" w:rsidP="00927428">
            <w:pPr>
              <w:spacing w:line="360" w:lineRule="auto"/>
              <w:ind w:left="320" w:firstLine="0"/>
            </w:pPr>
            <w:r w:rsidRPr="00D34F3E">
              <w:t>ASD</w:t>
            </w:r>
            <w:r w:rsidRPr="00D34F3E">
              <w:rPr>
                <w:rtl/>
              </w:rPr>
              <w:t xml:space="preserve"> </w:t>
            </w:r>
            <w:r w:rsidRPr="00D34F3E">
              <w:t>x</w:t>
            </w:r>
            <w:r w:rsidRPr="00D34F3E">
              <w:rPr>
                <w:rtl/>
              </w:rPr>
              <w:t xml:space="preserve"> </w:t>
            </w:r>
            <w:r w:rsidR="008C5FB3">
              <w:t>Stressful</w:t>
            </w:r>
            <w:r>
              <w:t xml:space="preserve"> events since T1</w:t>
            </w:r>
          </w:p>
        </w:tc>
        <w:tc>
          <w:tcPr>
            <w:tcW w:w="0" w:type="auto"/>
          </w:tcPr>
          <w:p w14:paraId="16A326A1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-.14</w:t>
            </w:r>
            <w:r w:rsidRPr="002A658A">
              <w:rPr>
                <w:vertAlign w:val="superscript"/>
              </w:rPr>
              <w:t>**</w:t>
            </w:r>
            <w:r w:rsidRPr="00D34F3E">
              <w:t xml:space="preserve"> </w:t>
            </w:r>
          </w:p>
        </w:tc>
        <w:tc>
          <w:tcPr>
            <w:tcW w:w="0" w:type="auto"/>
          </w:tcPr>
          <w:p w14:paraId="0C0DB8F8" w14:textId="77777777" w:rsidR="00376F41" w:rsidRPr="00D34F3E" w:rsidRDefault="00376F41" w:rsidP="00927428">
            <w:pPr>
              <w:spacing w:line="360" w:lineRule="auto"/>
              <w:ind w:firstLine="0"/>
            </w:pPr>
            <w:r w:rsidRPr="00D34F3E">
              <w:t>0.56</w:t>
            </w:r>
          </w:p>
        </w:tc>
      </w:tr>
      <w:tr w:rsidR="00376F41" w:rsidRPr="00267038" w14:paraId="287086F4" w14:textId="77777777" w:rsidTr="00882D2A">
        <w:tc>
          <w:tcPr>
            <w:tcW w:w="0" w:type="auto"/>
          </w:tcPr>
          <w:p w14:paraId="45D60F3E" w14:textId="77777777" w:rsidR="00376F41" w:rsidRPr="00D34F3E" w:rsidRDefault="00376F41" w:rsidP="00927428">
            <w:pPr>
              <w:spacing w:line="360" w:lineRule="auto"/>
              <w:ind w:left="320" w:firstLine="0"/>
            </w:pPr>
            <w:r w:rsidRPr="00D34F3E">
              <w:sym w:font="Symbol" w:char="F044"/>
            </w:r>
            <w:r w:rsidRPr="00882D2A">
              <w:t>R2</w:t>
            </w:r>
          </w:p>
        </w:tc>
        <w:tc>
          <w:tcPr>
            <w:tcW w:w="0" w:type="auto"/>
          </w:tcPr>
          <w:p w14:paraId="40138BAD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D34F3E">
              <w:t>.017</w:t>
            </w:r>
            <w:r w:rsidRPr="00882D2A">
              <w:rPr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48E230A2" w14:textId="77777777" w:rsidR="00376F41" w:rsidRPr="00D34F3E" w:rsidRDefault="00376F41" w:rsidP="00927428">
            <w:pPr>
              <w:spacing w:line="360" w:lineRule="auto"/>
              <w:ind w:firstLine="0"/>
            </w:pPr>
          </w:p>
        </w:tc>
      </w:tr>
      <w:tr w:rsidR="00376F41" w:rsidRPr="00267038" w14:paraId="1767281B" w14:textId="77777777" w:rsidTr="007C087F">
        <w:tc>
          <w:tcPr>
            <w:tcW w:w="0" w:type="auto"/>
            <w:tcBorders>
              <w:bottom w:val="single" w:sz="4" w:space="0" w:color="auto"/>
            </w:tcBorders>
          </w:tcPr>
          <w:p w14:paraId="7FF5F8C8" w14:textId="77777777" w:rsidR="00376F41" w:rsidRPr="00D34F3E" w:rsidRDefault="00376F41">
            <w:pPr>
              <w:spacing w:line="360" w:lineRule="auto"/>
              <w:ind w:firstLine="0"/>
            </w:pPr>
            <w:r>
              <w:t>The entire model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A560F10" w14:textId="77777777" w:rsidR="00376F41" w:rsidRPr="00D34F3E" w:rsidRDefault="00376F41" w:rsidP="00927428">
            <w:pPr>
              <w:tabs>
                <w:tab w:val="decimal" w:pos="595"/>
              </w:tabs>
              <w:spacing w:line="360" w:lineRule="auto"/>
              <w:ind w:firstLine="0"/>
            </w:pPr>
            <w:r w:rsidRPr="00882D2A">
              <w:rPr>
                <w:i/>
                <w:iCs/>
              </w:rPr>
              <w:t>R</w:t>
            </w:r>
            <w:r w:rsidRPr="00D34F3E">
              <w:rPr>
                <w:vertAlign w:val="superscript"/>
              </w:rPr>
              <w:t xml:space="preserve">2 </w:t>
            </w:r>
            <w:r w:rsidRPr="00D34F3E">
              <w:t>= .293</w:t>
            </w:r>
          </w:p>
          <w:p w14:paraId="728C9CC5" w14:textId="77777777" w:rsidR="00376F41" w:rsidRPr="00D34F3E" w:rsidRDefault="00376F41">
            <w:pPr>
              <w:tabs>
                <w:tab w:val="decimal" w:pos="595"/>
              </w:tabs>
              <w:spacing w:line="360" w:lineRule="auto"/>
              <w:ind w:firstLine="0"/>
            </w:pPr>
            <w:r w:rsidRPr="00882D2A">
              <w:rPr>
                <w:i/>
                <w:iCs/>
              </w:rPr>
              <w:t>F</w:t>
            </w:r>
            <w:r w:rsidRPr="00D34F3E">
              <w:t>(6,294)= 19.14</w:t>
            </w:r>
            <w:r w:rsidRPr="00882D2A">
              <w:rPr>
                <w:vertAlign w:val="superscript"/>
              </w:rPr>
              <w:t>***</w:t>
            </w:r>
          </w:p>
        </w:tc>
      </w:tr>
    </w:tbl>
    <w:p w14:paraId="4F1E7565" w14:textId="7B8B2C70" w:rsidR="00184298" w:rsidRDefault="00574863" w:rsidP="0071513D">
      <w:pPr>
        <w:spacing w:line="360" w:lineRule="auto"/>
        <w:ind w:firstLine="0"/>
      </w:pPr>
      <w:r w:rsidRPr="00882D2A">
        <w:rPr>
          <w:vertAlign w:val="superscript"/>
        </w:rPr>
        <w:t>*</w:t>
      </w:r>
      <w:r w:rsidRPr="00882D2A">
        <w:rPr>
          <w:i/>
          <w:iCs/>
        </w:rPr>
        <w:t>p</w:t>
      </w:r>
      <w:r w:rsidR="00376F41">
        <w:t xml:space="preserve"> </w:t>
      </w:r>
      <w:r w:rsidRPr="00D34F3E">
        <w:t>&lt;</w:t>
      </w:r>
      <w:r w:rsidR="00376F41">
        <w:t xml:space="preserve"> </w:t>
      </w:r>
      <w:r w:rsidRPr="00D34F3E">
        <w:t xml:space="preserve">.05, </w:t>
      </w:r>
      <w:r w:rsidRPr="00882D2A">
        <w:rPr>
          <w:vertAlign w:val="superscript"/>
        </w:rPr>
        <w:t>**</w:t>
      </w:r>
      <w:r w:rsidRPr="00882D2A">
        <w:rPr>
          <w:i/>
          <w:iCs/>
        </w:rPr>
        <w:t>p</w:t>
      </w:r>
      <w:r w:rsidR="00376F41">
        <w:t xml:space="preserve"> </w:t>
      </w:r>
      <w:r w:rsidRPr="00D34F3E">
        <w:t>&lt;</w:t>
      </w:r>
      <w:r w:rsidR="00376F41">
        <w:t xml:space="preserve"> </w:t>
      </w:r>
      <w:r w:rsidRPr="00D34F3E">
        <w:t xml:space="preserve">.01, </w:t>
      </w:r>
      <w:r w:rsidRPr="00882D2A">
        <w:rPr>
          <w:vertAlign w:val="superscript"/>
        </w:rPr>
        <w:t>***</w:t>
      </w:r>
      <w:r w:rsidRPr="00882D2A">
        <w:rPr>
          <w:i/>
          <w:iCs/>
        </w:rPr>
        <w:t>p</w:t>
      </w:r>
      <w:r w:rsidR="00376F41">
        <w:t xml:space="preserve"> </w:t>
      </w:r>
      <w:r w:rsidRPr="00D34F3E">
        <w:t>&lt;</w:t>
      </w:r>
      <w:r w:rsidR="00376F41">
        <w:t xml:space="preserve"> </w:t>
      </w:r>
      <w:r w:rsidRPr="00D34F3E">
        <w:t>.001</w:t>
      </w:r>
      <w:r w:rsidR="00184298">
        <w:br w:type="page"/>
      </w:r>
    </w:p>
    <w:p w14:paraId="7421BA20" w14:textId="56A69AA7" w:rsidR="00184298" w:rsidRDefault="00184298" w:rsidP="00927428"/>
    <w:p w14:paraId="5D80B436" w14:textId="095DEBF7" w:rsidR="0071513D" w:rsidRPr="001D77E5" w:rsidRDefault="0071513D" w:rsidP="0071513D">
      <w:pPr>
        <w:ind w:firstLine="0"/>
        <w:rPr>
          <w:b/>
          <w:bCs/>
        </w:rPr>
      </w:pPr>
      <w:r w:rsidRPr="001D77E5">
        <w:rPr>
          <w:b/>
          <w:bCs/>
        </w:rPr>
        <w:t xml:space="preserve">Figure </w:t>
      </w:r>
      <w:r w:rsidR="008C5FB3">
        <w:rPr>
          <w:b/>
          <w:bCs/>
        </w:rPr>
        <w:t>1</w:t>
      </w:r>
    </w:p>
    <w:p w14:paraId="4CEE54C3" w14:textId="41AC7C68" w:rsidR="00184298" w:rsidRPr="003E18DB" w:rsidRDefault="0071513D" w:rsidP="00927428">
      <w:pPr>
        <w:ind w:firstLine="0"/>
      </w:pPr>
      <w:r w:rsidRPr="001D77E5">
        <w:rPr>
          <w:i/>
          <w:iCs/>
        </w:rPr>
        <w:t xml:space="preserve">The Moderating Effect of </w:t>
      </w:r>
      <w:r w:rsidR="008C5FB3">
        <w:rPr>
          <w:i/>
          <w:iCs/>
        </w:rPr>
        <w:t>Stressful</w:t>
      </w:r>
      <w:r w:rsidRPr="001D77E5">
        <w:rPr>
          <w:i/>
          <w:iCs/>
        </w:rPr>
        <w:t xml:space="preserve"> Events from T1 and the Relationship between ASD </w:t>
      </w:r>
      <w:r w:rsidR="008C5FB3" w:rsidRPr="003E18DB">
        <w:rPr>
          <w:noProof/>
        </w:rPr>
        <w:drawing>
          <wp:anchor distT="0" distB="0" distL="114300" distR="114300" simplePos="0" relativeHeight="251659264" behindDoc="0" locked="0" layoutInCell="1" allowOverlap="0" wp14:anchorId="1AD32845" wp14:editId="1AAACEAC">
            <wp:simplePos x="0" y="0"/>
            <wp:positionH relativeFrom="column">
              <wp:posOffset>752475</wp:posOffset>
            </wp:positionH>
            <wp:positionV relativeFrom="line">
              <wp:posOffset>417195</wp:posOffset>
            </wp:positionV>
            <wp:extent cx="4296410" cy="3257550"/>
            <wp:effectExtent l="0" t="0" r="889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5">
        <w:rPr>
          <w:i/>
          <w:iCs/>
        </w:rPr>
        <w:t>and PTS</w:t>
      </w:r>
    </w:p>
    <w:p w14:paraId="6E81651C" w14:textId="77777777" w:rsidR="00D7755E" w:rsidRPr="003E18DB" w:rsidRDefault="00D7755E" w:rsidP="000F52E1"/>
    <w:p w14:paraId="4D8CCD6A" w14:textId="77777777" w:rsidR="005D5D20" w:rsidRPr="00D34F3E" w:rsidRDefault="005D5D20" w:rsidP="00927428"/>
    <w:sectPr w:rsidR="005D5D20" w:rsidRPr="00D34F3E" w:rsidSect="00927428">
      <w:footerReference w:type="even" r:id="rId46"/>
      <w:footerReference w:type="default" r:id="rId47"/>
      <w:pgSz w:w="11906" w:h="16838"/>
      <w:pgMar w:top="1440" w:right="1800" w:bottom="1440" w:left="1800" w:header="708" w:footer="708" w:gutter="0"/>
      <w:pgNumType w:start="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D4A9" w14:textId="77777777" w:rsidR="00503398" w:rsidRDefault="00503398" w:rsidP="0008606B">
      <w:r>
        <w:separator/>
      </w:r>
    </w:p>
  </w:endnote>
  <w:endnote w:type="continuationSeparator" w:id="0">
    <w:p w14:paraId="71911066" w14:textId="77777777" w:rsidR="00503398" w:rsidRDefault="00503398" w:rsidP="0008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01473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8953E" w14:textId="3A9EBEA1" w:rsidR="00A265D0" w:rsidRDefault="00A265D0" w:rsidP="001C28E8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5847E" w14:textId="77777777" w:rsidR="00A265D0" w:rsidRDefault="00A26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97095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56CEF5" w14:textId="53B3E632" w:rsidR="00A265D0" w:rsidRDefault="00A265D0" w:rsidP="001C28E8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34FBB"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74E5F555" w14:textId="098CA070" w:rsidR="00A265D0" w:rsidRDefault="00A265D0" w:rsidP="0008606B">
    <w:pPr>
      <w:pStyle w:val="Footer"/>
    </w:pPr>
  </w:p>
  <w:p w14:paraId="3501AA00" w14:textId="77777777" w:rsidR="00A265D0" w:rsidRDefault="00A265D0" w:rsidP="00086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7882" w14:textId="77777777" w:rsidR="00503398" w:rsidRDefault="00503398" w:rsidP="0008606B">
      <w:r>
        <w:separator/>
      </w:r>
    </w:p>
  </w:footnote>
  <w:footnote w:type="continuationSeparator" w:id="0">
    <w:p w14:paraId="28183FD9" w14:textId="77777777" w:rsidR="00503398" w:rsidRDefault="00503398" w:rsidP="0008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8EB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2E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A06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024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FE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EC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48C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0A7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8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6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4256"/>
    <w:multiLevelType w:val="hybridMultilevel"/>
    <w:tmpl w:val="0572519E"/>
    <w:lvl w:ilvl="0" w:tplc="8E12ED7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2F762E6"/>
    <w:multiLevelType w:val="multilevel"/>
    <w:tmpl w:val="9E9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153806"/>
    <w:multiLevelType w:val="multilevel"/>
    <w:tmpl w:val="18A8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2B168D"/>
    <w:multiLevelType w:val="multilevel"/>
    <w:tmpl w:val="9B08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6F3392"/>
    <w:multiLevelType w:val="multilevel"/>
    <w:tmpl w:val="3C64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681217"/>
    <w:multiLevelType w:val="multilevel"/>
    <w:tmpl w:val="7FD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8B50F5"/>
    <w:multiLevelType w:val="multilevel"/>
    <w:tmpl w:val="38E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24935"/>
    <w:multiLevelType w:val="hybridMultilevel"/>
    <w:tmpl w:val="5D2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2135D"/>
    <w:multiLevelType w:val="multilevel"/>
    <w:tmpl w:val="25AC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4634A8"/>
    <w:multiLevelType w:val="multilevel"/>
    <w:tmpl w:val="C3D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E97B84"/>
    <w:multiLevelType w:val="multilevel"/>
    <w:tmpl w:val="9ED856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21DF2910"/>
    <w:multiLevelType w:val="multilevel"/>
    <w:tmpl w:val="21DA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5A12B1"/>
    <w:multiLevelType w:val="multilevel"/>
    <w:tmpl w:val="799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421A4"/>
    <w:multiLevelType w:val="multilevel"/>
    <w:tmpl w:val="77A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93E34"/>
    <w:multiLevelType w:val="multilevel"/>
    <w:tmpl w:val="19D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A0FD8"/>
    <w:multiLevelType w:val="multilevel"/>
    <w:tmpl w:val="25B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56666"/>
    <w:multiLevelType w:val="multilevel"/>
    <w:tmpl w:val="3DB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A0BEA"/>
    <w:multiLevelType w:val="multilevel"/>
    <w:tmpl w:val="741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54AF6"/>
    <w:multiLevelType w:val="multilevel"/>
    <w:tmpl w:val="1F4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20BEA"/>
    <w:multiLevelType w:val="hybridMultilevel"/>
    <w:tmpl w:val="50566B98"/>
    <w:lvl w:ilvl="0" w:tplc="F22E8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87213"/>
    <w:multiLevelType w:val="multilevel"/>
    <w:tmpl w:val="2D44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628CD"/>
    <w:multiLevelType w:val="multilevel"/>
    <w:tmpl w:val="EA02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5665D"/>
    <w:multiLevelType w:val="multilevel"/>
    <w:tmpl w:val="9C9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86467A"/>
    <w:multiLevelType w:val="multilevel"/>
    <w:tmpl w:val="16F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B3E8E"/>
    <w:multiLevelType w:val="hybridMultilevel"/>
    <w:tmpl w:val="ACAA94B2"/>
    <w:lvl w:ilvl="0" w:tplc="2A00C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AF5F5F"/>
    <w:multiLevelType w:val="multilevel"/>
    <w:tmpl w:val="24E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240A07"/>
    <w:multiLevelType w:val="hybridMultilevel"/>
    <w:tmpl w:val="BBD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52211"/>
    <w:multiLevelType w:val="multilevel"/>
    <w:tmpl w:val="415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D425B"/>
    <w:multiLevelType w:val="multilevel"/>
    <w:tmpl w:val="9EE0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9D1632"/>
    <w:multiLevelType w:val="multilevel"/>
    <w:tmpl w:val="6C8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F5256"/>
    <w:multiLevelType w:val="hybridMultilevel"/>
    <w:tmpl w:val="E814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2D2F"/>
    <w:multiLevelType w:val="multilevel"/>
    <w:tmpl w:val="2BE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38"/>
  </w:num>
  <w:num w:numId="5">
    <w:abstractNumId w:val="30"/>
  </w:num>
  <w:num w:numId="6">
    <w:abstractNumId w:val="12"/>
  </w:num>
  <w:num w:numId="7">
    <w:abstractNumId w:val="10"/>
  </w:num>
  <w:num w:numId="8">
    <w:abstractNumId w:val="29"/>
  </w:num>
  <w:num w:numId="9">
    <w:abstractNumId w:val="34"/>
  </w:num>
  <w:num w:numId="10">
    <w:abstractNumId w:val="13"/>
  </w:num>
  <w:num w:numId="11">
    <w:abstractNumId w:val="32"/>
  </w:num>
  <w:num w:numId="12">
    <w:abstractNumId w:val="33"/>
  </w:num>
  <w:num w:numId="13">
    <w:abstractNumId w:val="37"/>
  </w:num>
  <w:num w:numId="14">
    <w:abstractNumId w:val="16"/>
  </w:num>
  <w:num w:numId="15">
    <w:abstractNumId w:val="22"/>
  </w:num>
  <w:num w:numId="16">
    <w:abstractNumId w:val="28"/>
  </w:num>
  <w:num w:numId="17">
    <w:abstractNumId w:val="21"/>
  </w:num>
  <w:num w:numId="18">
    <w:abstractNumId w:val="15"/>
  </w:num>
  <w:num w:numId="19">
    <w:abstractNumId w:val="39"/>
  </w:num>
  <w:num w:numId="20">
    <w:abstractNumId w:val="23"/>
  </w:num>
  <w:num w:numId="21">
    <w:abstractNumId w:val="20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6"/>
  </w:num>
  <w:num w:numId="27">
    <w:abstractNumId w:val="24"/>
  </w:num>
  <w:num w:numId="28">
    <w:abstractNumId w:val="17"/>
  </w:num>
  <w:num w:numId="29">
    <w:abstractNumId w:val="40"/>
  </w:num>
  <w:num w:numId="30">
    <w:abstractNumId w:val="11"/>
  </w:num>
  <w:num w:numId="31">
    <w:abstractNumId w:val="4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5"/>
    <w:rsid w:val="00002DD3"/>
    <w:rsid w:val="00003AAE"/>
    <w:rsid w:val="00004434"/>
    <w:rsid w:val="00007925"/>
    <w:rsid w:val="00014247"/>
    <w:rsid w:val="000149E1"/>
    <w:rsid w:val="0001554D"/>
    <w:rsid w:val="00023624"/>
    <w:rsid w:val="00026A5C"/>
    <w:rsid w:val="00027C91"/>
    <w:rsid w:val="0003066C"/>
    <w:rsid w:val="00030A98"/>
    <w:rsid w:val="00031E0B"/>
    <w:rsid w:val="000328A7"/>
    <w:rsid w:val="00033CED"/>
    <w:rsid w:val="000340A4"/>
    <w:rsid w:val="0004126B"/>
    <w:rsid w:val="000430F7"/>
    <w:rsid w:val="00046761"/>
    <w:rsid w:val="00050C09"/>
    <w:rsid w:val="000556DD"/>
    <w:rsid w:val="0005789C"/>
    <w:rsid w:val="00066612"/>
    <w:rsid w:val="00066939"/>
    <w:rsid w:val="00070DB9"/>
    <w:rsid w:val="00070F63"/>
    <w:rsid w:val="000728A7"/>
    <w:rsid w:val="00072984"/>
    <w:rsid w:val="00072BD3"/>
    <w:rsid w:val="0007378D"/>
    <w:rsid w:val="0007692F"/>
    <w:rsid w:val="00080686"/>
    <w:rsid w:val="0008606B"/>
    <w:rsid w:val="000873A3"/>
    <w:rsid w:val="00090596"/>
    <w:rsid w:val="000914EC"/>
    <w:rsid w:val="00094106"/>
    <w:rsid w:val="000979CC"/>
    <w:rsid w:val="000A06F0"/>
    <w:rsid w:val="000A0FC7"/>
    <w:rsid w:val="000A5EBD"/>
    <w:rsid w:val="000B2494"/>
    <w:rsid w:val="000B409F"/>
    <w:rsid w:val="000B64B4"/>
    <w:rsid w:val="000C0BF5"/>
    <w:rsid w:val="000C0D69"/>
    <w:rsid w:val="000C254C"/>
    <w:rsid w:val="000C37B8"/>
    <w:rsid w:val="000D0266"/>
    <w:rsid w:val="000D033E"/>
    <w:rsid w:val="000D04CC"/>
    <w:rsid w:val="000E1674"/>
    <w:rsid w:val="000E2BB2"/>
    <w:rsid w:val="000E4BE3"/>
    <w:rsid w:val="000E5813"/>
    <w:rsid w:val="000E678C"/>
    <w:rsid w:val="000F307F"/>
    <w:rsid w:val="000F52E1"/>
    <w:rsid w:val="00100E8F"/>
    <w:rsid w:val="00102177"/>
    <w:rsid w:val="00103F6A"/>
    <w:rsid w:val="00106F72"/>
    <w:rsid w:val="00107FF5"/>
    <w:rsid w:val="001105ED"/>
    <w:rsid w:val="00110AA5"/>
    <w:rsid w:val="00110BB3"/>
    <w:rsid w:val="0011180D"/>
    <w:rsid w:val="00111C9B"/>
    <w:rsid w:val="00112A9D"/>
    <w:rsid w:val="00113CC4"/>
    <w:rsid w:val="001169AF"/>
    <w:rsid w:val="00116BEA"/>
    <w:rsid w:val="00116DE2"/>
    <w:rsid w:val="00124862"/>
    <w:rsid w:val="00131567"/>
    <w:rsid w:val="001351B8"/>
    <w:rsid w:val="00142759"/>
    <w:rsid w:val="00143BFF"/>
    <w:rsid w:val="00144BCA"/>
    <w:rsid w:val="00151B70"/>
    <w:rsid w:val="001531DE"/>
    <w:rsid w:val="001536AF"/>
    <w:rsid w:val="001570DB"/>
    <w:rsid w:val="0016364A"/>
    <w:rsid w:val="0016389B"/>
    <w:rsid w:val="001640F8"/>
    <w:rsid w:val="00167870"/>
    <w:rsid w:val="00173B6D"/>
    <w:rsid w:val="00174B49"/>
    <w:rsid w:val="001756AF"/>
    <w:rsid w:val="00175FCC"/>
    <w:rsid w:val="00176B29"/>
    <w:rsid w:val="00177B66"/>
    <w:rsid w:val="001815AB"/>
    <w:rsid w:val="00184298"/>
    <w:rsid w:val="0018493D"/>
    <w:rsid w:val="001870E8"/>
    <w:rsid w:val="001925DE"/>
    <w:rsid w:val="001955E2"/>
    <w:rsid w:val="001A018A"/>
    <w:rsid w:val="001A0FB5"/>
    <w:rsid w:val="001A6FEC"/>
    <w:rsid w:val="001B005F"/>
    <w:rsid w:val="001B0470"/>
    <w:rsid w:val="001B20EC"/>
    <w:rsid w:val="001B4F57"/>
    <w:rsid w:val="001B5C40"/>
    <w:rsid w:val="001C1D69"/>
    <w:rsid w:val="001C28E8"/>
    <w:rsid w:val="001C6966"/>
    <w:rsid w:val="001C7C06"/>
    <w:rsid w:val="001D033E"/>
    <w:rsid w:val="001D2E1D"/>
    <w:rsid w:val="001E1B58"/>
    <w:rsid w:val="001E4CAA"/>
    <w:rsid w:val="001E624A"/>
    <w:rsid w:val="001E69BF"/>
    <w:rsid w:val="001E6B62"/>
    <w:rsid w:val="001E7C72"/>
    <w:rsid w:val="001F0751"/>
    <w:rsid w:val="001F177A"/>
    <w:rsid w:val="001F187E"/>
    <w:rsid w:val="001F1EFE"/>
    <w:rsid w:val="001F3A31"/>
    <w:rsid w:val="001F5A04"/>
    <w:rsid w:val="001F7112"/>
    <w:rsid w:val="00200261"/>
    <w:rsid w:val="00200EAF"/>
    <w:rsid w:val="00201D15"/>
    <w:rsid w:val="002066C8"/>
    <w:rsid w:val="00207DD7"/>
    <w:rsid w:val="0021151E"/>
    <w:rsid w:val="00213457"/>
    <w:rsid w:val="00220588"/>
    <w:rsid w:val="002234AA"/>
    <w:rsid w:val="00223CEA"/>
    <w:rsid w:val="00224CE9"/>
    <w:rsid w:val="00226E80"/>
    <w:rsid w:val="002330BD"/>
    <w:rsid w:val="00244080"/>
    <w:rsid w:val="0024591C"/>
    <w:rsid w:val="0024631C"/>
    <w:rsid w:val="00246A9A"/>
    <w:rsid w:val="00247214"/>
    <w:rsid w:val="0025030B"/>
    <w:rsid w:val="00251DC9"/>
    <w:rsid w:val="0025631E"/>
    <w:rsid w:val="002578CA"/>
    <w:rsid w:val="00263C92"/>
    <w:rsid w:val="00266FC0"/>
    <w:rsid w:val="00267038"/>
    <w:rsid w:val="0026728E"/>
    <w:rsid w:val="00270328"/>
    <w:rsid w:val="00270632"/>
    <w:rsid w:val="00272D57"/>
    <w:rsid w:val="00273A64"/>
    <w:rsid w:val="002758AC"/>
    <w:rsid w:val="0028342E"/>
    <w:rsid w:val="00283C38"/>
    <w:rsid w:val="00284589"/>
    <w:rsid w:val="0029094B"/>
    <w:rsid w:val="00294A50"/>
    <w:rsid w:val="00295ABC"/>
    <w:rsid w:val="00296D02"/>
    <w:rsid w:val="002A019B"/>
    <w:rsid w:val="002A09E0"/>
    <w:rsid w:val="002A4F20"/>
    <w:rsid w:val="002A4FF2"/>
    <w:rsid w:val="002A5C2A"/>
    <w:rsid w:val="002A6893"/>
    <w:rsid w:val="002A73C6"/>
    <w:rsid w:val="002B0990"/>
    <w:rsid w:val="002B152C"/>
    <w:rsid w:val="002B540F"/>
    <w:rsid w:val="002B5909"/>
    <w:rsid w:val="002B6411"/>
    <w:rsid w:val="002C1A47"/>
    <w:rsid w:val="002C3127"/>
    <w:rsid w:val="002C54F6"/>
    <w:rsid w:val="002C7388"/>
    <w:rsid w:val="002D4970"/>
    <w:rsid w:val="002E07D4"/>
    <w:rsid w:val="002E567E"/>
    <w:rsid w:val="002E6BD5"/>
    <w:rsid w:val="002F4420"/>
    <w:rsid w:val="002F4CCF"/>
    <w:rsid w:val="003002D1"/>
    <w:rsid w:val="00301B0B"/>
    <w:rsid w:val="003027C1"/>
    <w:rsid w:val="003030EC"/>
    <w:rsid w:val="00303F0E"/>
    <w:rsid w:val="00307E21"/>
    <w:rsid w:val="003107EE"/>
    <w:rsid w:val="00313092"/>
    <w:rsid w:val="003138E1"/>
    <w:rsid w:val="00314048"/>
    <w:rsid w:val="00314679"/>
    <w:rsid w:val="003160B4"/>
    <w:rsid w:val="00320EA2"/>
    <w:rsid w:val="0032402E"/>
    <w:rsid w:val="00324E6B"/>
    <w:rsid w:val="00324E6C"/>
    <w:rsid w:val="00327989"/>
    <w:rsid w:val="00333188"/>
    <w:rsid w:val="00334422"/>
    <w:rsid w:val="003349FE"/>
    <w:rsid w:val="00335E4E"/>
    <w:rsid w:val="00345647"/>
    <w:rsid w:val="00346737"/>
    <w:rsid w:val="003505A5"/>
    <w:rsid w:val="00351E2B"/>
    <w:rsid w:val="003550C3"/>
    <w:rsid w:val="003569ED"/>
    <w:rsid w:val="00357257"/>
    <w:rsid w:val="003574C0"/>
    <w:rsid w:val="00362411"/>
    <w:rsid w:val="00362C29"/>
    <w:rsid w:val="0036329D"/>
    <w:rsid w:val="00364F51"/>
    <w:rsid w:val="00373A1F"/>
    <w:rsid w:val="00376F41"/>
    <w:rsid w:val="00385010"/>
    <w:rsid w:val="00385D67"/>
    <w:rsid w:val="003875BA"/>
    <w:rsid w:val="003908CF"/>
    <w:rsid w:val="00392D98"/>
    <w:rsid w:val="003937AB"/>
    <w:rsid w:val="00395ED5"/>
    <w:rsid w:val="00397884"/>
    <w:rsid w:val="003A0BD7"/>
    <w:rsid w:val="003A0D91"/>
    <w:rsid w:val="003A1A04"/>
    <w:rsid w:val="003A20DF"/>
    <w:rsid w:val="003A4CB8"/>
    <w:rsid w:val="003A62C6"/>
    <w:rsid w:val="003A7038"/>
    <w:rsid w:val="003B08F8"/>
    <w:rsid w:val="003B14E6"/>
    <w:rsid w:val="003B1F17"/>
    <w:rsid w:val="003B3FFD"/>
    <w:rsid w:val="003B70CD"/>
    <w:rsid w:val="003B7169"/>
    <w:rsid w:val="003C075F"/>
    <w:rsid w:val="003C1E41"/>
    <w:rsid w:val="003C2E4F"/>
    <w:rsid w:val="003C4005"/>
    <w:rsid w:val="003C79DB"/>
    <w:rsid w:val="003D1BC9"/>
    <w:rsid w:val="003D2D72"/>
    <w:rsid w:val="003D42CE"/>
    <w:rsid w:val="003D45AA"/>
    <w:rsid w:val="003D4BEC"/>
    <w:rsid w:val="003D5FAD"/>
    <w:rsid w:val="003D6154"/>
    <w:rsid w:val="003D6165"/>
    <w:rsid w:val="003D7CBF"/>
    <w:rsid w:val="003E0881"/>
    <w:rsid w:val="003E1114"/>
    <w:rsid w:val="003E18DB"/>
    <w:rsid w:val="003E284D"/>
    <w:rsid w:val="003E4673"/>
    <w:rsid w:val="003E4997"/>
    <w:rsid w:val="003E7DF1"/>
    <w:rsid w:val="003F0ECE"/>
    <w:rsid w:val="003F25C5"/>
    <w:rsid w:val="003F2AFB"/>
    <w:rsid w:val="003F3666"/>
    <w:rsid w:val="003F39A6"/>
    <w:rsid w:val="003F40C0"/>
    <w:rsid w:val="003F55D9"/>
    <w:rsid w:val="003F5F58"/>
    <w:rsid w:val="003F6388"/>
    <w:rsid w:val="003F7450"/>
    <w:rsid w:val="003F7CD8"/>
    <w:rsid w:val="004018E4"/>
    <w:rsid w:val="00401B9E"/>
    <w:rsid w:val="004033D2"/>
    <w:rsid w:val="00403A02"/>
    <w:rsid w:val="004048FF"/>
    <w:rsid w:val="00404D6D"/>
    <w:rsid w:val="0040540C"/>
    <w:rsid w:val="00410333"/>
    <w:rsid w:val="00410B06"/>
    <w:rsid w:val="00412CF1"/>
    <w:rsid w:val="00422563"/>
    <w:rsid w:val="00424AD6"/>
    <w:rsid w:val="00424DC6"/>
    <w:rsid w:val="00425A24"/>
    <w:rsid w:val="00425CD8"/>
    <w:rsid w:val="004329A8"/>
    <w:rsid w:val="00432F31"/>
    <w:rsid w:val="00434E26"/>
    <w:rsid w:val="004365F8"/>
    <w:rsid w:val="00436B90"/>
    <w:rsid w:val="00440195"/>
    <w:rsid w:val="00443395"/>
    <w:rsid w:val="00446B4A"/>
    <w:rsid w:val="00446D5F"/>
    <w:rsid w:val="00450501"/>
    <w:rsid w:val="00452C08"/>
    <w:rsid w:val="00453313"/>
    <w:rsid w:val="004544F8"/>
    <w:rsid w:val="004549C9"/>
    <w:rsid w:val="00464726"/>
    <w:rsid w:val="00467985"/>
    <w:rsid w:val="00470345"/>
    <w:rsid w:val="004716CA"/>
    <w:rsid w:val="00473C1E"/>
    <w:rsid w:val="00473DA9"/>
    <w:rsid w:val="00474E2F"/>
    <w:rsid w:val="00476446"/>
    <w:rsid w:val="0047649E"/>
    <w:rsid w:val="004807DF"/>
    <w:rsid w:val="00480E59"/>
    <w:rsid w:val="00480FEF"/>
    <w:rsid w:val="00483428"/>
    <w:rsid w:val="00483B1C"/>
    <w:rsid w:val="00487F7C"/>
    <w:rsid w:val="00490F39"/>
    <w:rsid w:val="00491D96"/>
    <w:rsid w:val="0049366A"/>
    <w:rsid w:val="004955D0"/>
    <w:rsid w:val="0049701F"/>
    <w:rsid w:val="004A03E4"/>
    <w:rsid w:val="004A16FE"/>
    <w:rsid w:val="004A27AF"/>
    <w:rsid w:val="004A295E"/>
    <w:rsid w:val="004A3DD9"/>
    <w:rsid w:val="004A7EBD"/>
    <w:rsid w:val="004B0505"/>
    <w:rsid w:val="004C168D"/>
    <w:rsid w:val="004C3F98"/>
    <w:rsid w:val="004C5926"/>
    <w:rsid w:val="004C66B8"/>
    <w:rsid w:val="004D1F1D"/>
    <w:rsid w:val="004D5FE3"/>
    <w:rsid w:val="004D617B"/>
    <w:rsid w:val="004E375D"/>
    <w:rsid w:val="004E4AA6"/>
    <w:rsid w:val="004E4B73"/>
    <w:rsid w:val="004E4B95"/>
    <w:rsid w:val="004E5D08"/>
    <w:rsid w:val="004E694C"/>
    <w:rsid w:val="004E6A31"/>
    <w:rsid w:val="004F0425"/>
    <w:rsid w:val="004F0DD8"/>
    <w:rsid w:val="004F28E0"/>
    <w:rsid w:val="004F2E4E"/>
    <w:rsid w:val="004F41DF"/>
    <w:rsid w:val="004F5234"/>
    <w:rsid w:val="004F5728"/>
    <w:rsid w:val="004F5EFD"/>
    <w:rsid w:val="004F62B3"/>
    <w:rsid w:val="00502068"/>
    <w:rsid w:val="00503398"/>
    <w:rsid w:val="0050660E"/>
    <w:rsid w:val="00506B20"/>
    <w:rsid w:val="00511E1B"/>
    <w:rsid w:val="0051254A"/>
    <w:rsid w:val="0051461F"/>
    <w:rsid w:val="00516D66"/>
    <w:rsid w:val="00520C1D"/>
    <w:rsid w:val="00521238"/>
    <w:rsid w:val="00521AC6"/>
    <w:rsid w:val="00521ECF"/>
    <w:rsid w:val="00522F27"/>
    <w:rsid w:val="00524C54"/>
    <w:rsid w:val="00526B78"/>
    <w:rsid w:val="0052710B"/>
    <w:rsid w:val="005279E4"/>
    <w:rsid w:val="0053274E"/>
    <w:rsid w:val="00532B2D"/>
    <w:rsid w:val="00533FA1"/>
    <w:rsid w:val="005342DA"/>
    <w:rsid w:val="0053431C"/>
    <w:rsid w:val="00535911"/>
    <w:rsid w:val="00535918"/>
    <w:rsid w:val="00537685"/>
    <w:rsid w:val="00541966"/>
    <w:rsid w:val="00542E99"/>
    <w:rsid w:val="0054641D"/>
    <w:rsid w:val="00546980"/>
    <w:rsid w:val="005469C7"/>
    <w:rsid w:val="00547BEE"/>
    <w:rsid w:val="005513E7"/>
    <w:rsid w:val="0055561E"/>
    <w:rsid w:val="00555887"/>
    <w:rsid w:val="0055645D"/>
    <w:rsid w:val="00561525"/>
    <w:rsid w:val="00574863"/>
    <w:rsid w:val="00582B46"/>
    <w:rsid w:val="00585C99"/>
    <w:rsid w:val="00586813"/>
    <w:rsid w:val="005937CA"/>
    <w:rsid w:val="005940BE"/>
    <w:rsid w:val="0059527A"/>
    <w:rsid w:val="005A2C43"/>
    <w:rsid w:val="005A3B68"/>
    <w:rsid w:val="005A4B2C"/>
    <w:rsid w:val="005A62CB"/>
    <w:rsid w:val="005B0A27"/>
    <w:rsid w:val="005B3510"/>
    <w:rsid w:val="005B48EE"/>
    <w:rsid w:val="005B4B62"/>
    <w:rsid w:val="005B59D4"/>
    <w:rsid w:val="005B7E75"/>
    <w:rsid w:val="005C0EBC"/>
    <w:rsid w:val="005C2F63"/>
    <w:rsid w:val="005C3B8D"/>
    <w:rsid w:val="005D103D"/>
    <w:rsid w:val="005D1846"/>
    <w:rsid w:val="005D28D9"/>
    <w:rsid w:val="005D2BFF"/>
    <w:rsid w:val="005D2D19"/>
    <w:rsid w:val="005D38BA"/>
    <w:rsid w:val="005D401B"/>
    <w:rsid w:val="005D5D20"/>
    <w:rsid w:val="005D62A3"/>
    <w:rsid w:val="005E1CDF"/>
    <w:rsid w:val="005E353C"/>
    <w:rsid w:val="005E703A"/>
    <w:rsid w:val="005F1212"/>
    <w:rsid w:val="005F1DB3"/>
    <w:rsid w:val="005F33AB"/>
    <w:rsid w:val="005F71D1"/>
    <w:rsid w:val="005F79E4"/>
    <w:rsid w:val="00600285"/>
    <w:rsid w:val="0060047E"/>
    <w:rsid w:val="006020E4"/>
    <w:rsid w:val="00602A04"/>
    <w:rsid w:val="00604BFF"/>
    <w:rsid w:val="00605215"/>
    <w:rsid w:val="006062B3"/>
    <w:rsid w:val="006072C8"/>
    <w:rsid w:val="0061229E"/>
    <w:rsid w:val="00612662"/>
    <w:rsid w:val="00615092"/>
    <w:rsid w:val="006153AE"/>
    <w:rsid w:val="00616578"/>
    <w:rsid w:val="0061796C"/>
    <w:rsid w:val="00617FE9"/>
    <w:rsid w:val="0062222E"/>
    <w:rsid w:val="0062230C"/>
    <w:rsid w:val="00623D27"/>
    <w:rsid w:val="00624382"/>
    <w:rsid w:val="00631122"/>
    <w:rsid w:val="0063254B"/>
    <w:rsid w:val="00637106"/>
    <w:rsid w:val="00642871"/>
    <w:rsid w:val="00644012"/>
    <w:rsid w:val="00645FE0"/>
    <w:rsid w:val="006472B5"/>
    <w:rsid w:val="006502EB"/>
    <w:rsid w:val="0065165F"/>
    <w:rsid w:val="00652099"/>
    <w:rsid w:val="006571B3"/>
    <w:rsid w:val="00657AFA"/>
    <w:rsid w:val="006601B4"/>
    <w:rsid w:val="006623D8"/>
    <w:rsid w:val="0066240F"/>
    <w:rsid w:val="006646A6"/>
    <w:rsid w:val="006659EF"/>
    <w:rsid w:val="006669A2"/>
    <w:rsid w:val="00667502"/>
    <w:rsid w:val="00671DBC"/>
    <w:rsid w:val="006743A8"/>
    <w:rsid w:val="0067447E"/>
    <w:rsid w:val="00674641"/>
    <w:rsid w:val="006761FC"/>
    <w:rsid w:val="006801C3"/>
    <w:rsid w:val="00680321"/>
    <w:rsid w:val="00680439"/>
    <w:rsid w:val="0068167E"/>
    <w:rsid w:val="00681B06"/>
    <w:rsid w:val="006826D4"/>
    <w:rsid w:val="00683066"/>
    <w:rsid w:val="00684CC5"/>
    <w:rsid w:val="00685436"/>
    <w:rsid w:val="00687A34"/>
    <w:rsid w:val="00690AF9"/>
    <w:rsid w:val="00691C77"/>
    <w:rsid w:val="00696013"/>
    <w:rsid w:val="006A0F3A"/>
    <w:rsid w:val="006A4A76"/>
    <w:rsid w:val="006A6BE5"/>
    <w:rsid w:val="006B30A9"/>
    <w:rsid w:val="006B39FB"/>
    <w:rsid w:val="006B4F4D"/>
    <w:rsid w:val="006B6AB1"/>
    <w:rsid w:val="006C168D"/>
    <w:rsid w:val="006C1A9E"/>
    <w:rsid w:val="006C1D34"/>
    <w:rsid w:val="006C72A4"/>
    <w:rsid w:val="006D0DE9"/>
    <w:rsid w:val="006D28DF"/>
    <w:rsid w:val="006D4007"/>
    <w:rsid w:val="006D7204"/>
    <w:rsid w:val="006E02C0"/>
    <w:rsid w:val="006E44B7"/>
    <w:rsid w:val="006E4B60"/>
    <w:rsid w:val="006E6766"/>
    <w:rsid w:val="006E7C07"/>
    <w:rsid w:val="006F2F75"/>
    <w:rsid w:val="006F367A"/>
    <w:rsid w:val="006F6E39"/>
    <w:rsid w:val="006F6F68"/>
    <w:rsid w:val="006F7BEC"/>
    <w:rsid w:val="006F7C26"/>
    <w:rsid w:val="00700092"/>
    <w:rsid w:val="0070117D"/>
    <w:rsid w:val="007014CD"/>
    <w:rsid w:val="00701F1A"/>
    <w:rsid w:val="00706BAE"/>
    <w:rsid w:val="007071C4"/>
    <w:rsid w:val="007104D7"/>
    <w:rsid w:val="0071070A"/>
    <w:rsid w:val="0071222A"/>
    <w:rsid w:val="007127EB"/>
    <w:rsid w:val="007139F4"/>
    <w:rsid w:val="00713BBE"/>
    <w:rsid w:val="0071513D"/>
    <w:rsid w:val="007159E4"/>
    <w:rsid w:val="00716428"/>
    <w:rsid w:val="00724113"/>
    <w:rsid w:val="0072416B"/>
    <w:rsid w:val="00724AFA"/>
    <w:rsid w:val="00725206"/>
    <w:rsid w:val="00725814"/>
    <w:rsid w:val="00734078"/>
    <w:rsid w:val="00734C32"/>
    <w:rsid w:val="00736DF5"/>
    <w:rsid w:val="00744C71"/>
    <w:rsid w:val="00744E01"/>
    <w:rsid w:val="00745DD3"/>
    <w:rsid w:val="00750F60"/>
    <w:rsid w:val="00750FE5"/>
    <w:rsid w:val="00751258"/>
    <w:rsid w:val="00752391"/>
    <w:rsid w:val="0075600D"/>
    <w:rsid w:val="007561A0"/>
    <w:rsid w:val="007562BD"/>
    <w:rsid w:val="007574F9"/>
    <w:rsid w:val="0076423A"/>
    <w:rsid w:val="007644E4"/>
    <w:rsid w:val="00764611"/>
    <w:rsid w:val="007759A4"/>
    <w:rsid w:val="0078018A"/>
    <w:rsid w:val="007804A6"/>
    <w:rsid w:val="00782361"/>
    <w:rsid w:val="00783BA4"/>
    <w:rsid w:val="00787158"/>
    <w:rsid w:val="00791BC6"/>
    <w:rsid w:val="007921D5"/>
    <w:rsid w:val="0079472B"/>
    <w:rsid w:val="007957B4"/>
    <w:rsid w:val="0079775B"/>
    <w:rsid w:val="007A0783"/>
    <w:rsid w:val="007A243D"/>
    <w:rsid w:val="007A37C7"/>
    <w:rsid w:val="007A4C4C"/>
    <w:rsid w:val="007A698A"/>
    <w:rsid w:val="007A6B5A"/>
    <w:rsid w:val="007B1B54"/>
    <w:rsid w:val="007B1ED9"/>
    <w:rsid w:val="007B47D4"/>
    <w:rsid w:val="007B57A2"/>
    <w:rsid w:val="007B5D9D"/>
    <w:rsid w:val="007B70C1"/>
    <w:rsid w:val="007B78B5"/>
    <w:rsid w:val="007C0514"/>
    <w:rsid w:val="007C087F"/>
    <w:rsid w:val="007C1EB2"/>
    <w:rsid w:val="007C66AA"/>
    <w:rsid w:val="007C6C17"/>
    <w:rsid w:val="007C76A2"/>
    <w:rsid w:val="007D03F5"/>
    <w:rsid w:val="007E059F"/>
    <w:rsid w:val="007E1760"/>
    <w:rsid w:val="007E20F0"/>
    <w:rsid w:val="007E3604"/>
    <w:rsid w:val="007F2333"/>
    <w:rsid w:val="007F3E85"/>
    <w:rsid w:val="007F4974"/>
    <w:rsid w:val="007F5AE6"/>
    <w:rsid w:val="007F6D75"/>
    <w:rsid w:val="00801092"/>
    <w:rsid w:val="0080126A"/>
    <w:rsid w:val="00804E38"/>
    <w:rsid w:val="00805F78"/>
    <w:rsid w:val="0080773C"/>
    <w:rsid w:val="008120A1"/>
    <w:rsid w:val="00812ADB"/>
    <w:rsid w:val="00812E27"/>
    <w:rsid w:val="00814A0B"/>
    <w:rsid w:val="00815393"/>
    <w:rsid w:val="0081562C"/>
    <w:rsid w:val="0082289B"/>
    <w:rsid w:val="0082385C"/>
    <w:rsid w:val="008270FD"/>
    <w:rsid w:val="008300EB"/>
    <w:rsid w:val="0083035F"/>
    <w:rsid w:val="00830A15"/>
    <w:rsid w:val="00832BDE"/>
    <w:rsid w:val="00832C26"/>
    <w:rsid w:val="00837379"/>
    <w:rsid w:val="00837F1F"/>
    <w:rsid w:val="00841855"/>
    <w:rsid w:val="0084229C"/>
    <w:rsid w:val="00843CA3"/>
    <w:rsid w:val="00847095"/>
    <w:rsid w:val="00847A4B"/>
    <w:rsid w:val="008510A4"/>
    <w:rsid w:val="0085123F"/>
    <w:rsid w:val="0085250D"/>
    <w:rsid w:val="008550F7"/>
    <w:rsid w:val="008560AE"/>
    <w:rsid w:val="00860945"/>
    <w:rsid w:val="00862AAE"/>
    <w:rsid w:val="008720B0"/>
    <w:rsid w:val="00872723"/>
    <w:rsid w:val="00872B9F"/>
    <w:rsid w:val="00874589"/>
    <w:rsid w:val="008767B2"/>
    <w:rsid w:val="008775FA"/>
    <w:rsid w:val="00877BAE"/>
    <w:rsid w:val="008826D5"/>
    <w:rsid w:val="00882D2A"/>
    <w:rsid w:val="008841F4"/>
    <w:rsid w:val="00884923"/>
    <w:rsid w:val="00885906"/>
    <w:rsid w:val="00890AFE"/>
    <w:rsid w:val="00891B11"/>
    <w:rsid w:val="00892600"/>
    <w:rsid w:val="00893F51"/>
    <w:rsid w:val="008946A5"/>
    <w:rsid w:val="008A2D83"/>
    <w:rsid w:val="008A3F38"/>
    <w:rsid w:val="008A4719"/>
    <w:rsid w:val="008A5701"/>
    <w:rsid w:val="008A60C0"/>
    <w:rsid w:val="008B0C8B"/>
    <w:rsid w:val="008B1149"/>
    <w:rsid w:val="008B2FE1"/>
    <w:rsid w:val="008B57B1"/>
    <w:rsid w:val="008C4595"/>
    <w:rsid w:val="008C5FB3"/>
    <w:rsid w:val="008C6498"/>
    <w:rsid w:val="008C6F81"/>
    <w:rsid w:val="008D4972"/>
    <w:rsid w:val="008E6DC1"/>
    <w:rsid w:val="008E7076"/>
    <w:rsid w:val="008E7CAA"/>
    <w:rsid w:val="008F0516"/>
    <w:rsid w:val="008F1BE5"/>
    <w:rsid w:val="008F25E8"/>
    <w:rsid w:val="008F4ECC"/>
    <w:rsid w:val="009014C5"/>
    <w:rsid w:val="00905367"/>
    <w:rsid w:val="0090549C"/>
    <w:rsid w:val="009070D8"/>
    <w:rsid w:val="0092246B"/>
    <w:rsid w:val="0092322A"/>
    <w:rsid w:val="00924DEB"/>
    <w:rsid w:val="0092566E"/>
    <w:rsid w:val="00927428"/>
    <w:rsid w:val="00927A0E"/>
    <w:rsid w:val="009300EB"/>
    <w:rsid w:val="00932EF9"/>
    <w:rsid w:val="00935278"/>
    <w:rsid w:val="0093686E"/>
    <w:rsid w:val="00937577"/>
    <w:rsid w:val="00940719"/>
    <w:rsid w:val="00951DD0"/>
    <w:rsid w:val="00952BC4"/>
    <w:rsid w:val="00954C5C"/>
    <w:rsid w:val="009559B0"/>
    <w:rsid w:val="00957DA7"/>
    <w:rsid w:val="00961762"/>
    <w:rsid w:val="0097175A"/>
    <w:rsid w:val="00973275"/>
    <w:rsid w:val="0097533F"/>
    <w:rsid w:val="009774B9"/>
    <w:rsid w:val="00980829"/>
    <w:rsid w:val="009833BF"/>
    <w:rsid w:val="00984999"/>
    <w:rsid w:val="009937DD"/>
    <w:rsid w:val="009958C6"/>
    <w:rsid w:val="00995BAC"/>
    <w:rsid w:val="009A37D3"/>
    <w:rsid w:val="009A6382"/>
    <w:rsid w:val="009A71DD"/>
    <w:rsid w:val="009A7BB1"/>
    <w:rsid w:val="009B4FC1"/>
    <w:rsid w:val="009B53C2"/>
    <w:rsid w:val="009C013C"/>
    <w:rsid w:val="009C4C64"/>
    <w:rsid w:val="009C775F"/>
    <w:rsid w:val="009C7AE6"/>
    <w:rsid w:val="009D25B4"/>
    <w:rsid w:val="009D2A45"/>
    <w:rsid w:val="009D33DC"/>
    <w:rsid w:val="009D4BC3"/>
    <w:rsid w:val="009D4E60"/>
    <w:rsid w:val="009D5731"/>
    <w:rsid w:val="009D6081"/>
    <w:rsid w:val="009E0FF9"/>
    <w:rsid w:val="009E2737"/>
    <w:rsid w:val="009E2E49"/>
    <w:rsid w:val="009F7EE7"/>
    <w:rsid w:val="00A017AC"/>
    <w:rsid w:val="00A03EBE"/>
    <w:rsid w:val="00A04F6B"/>
    <w:rsid w:val="00A05030"/>
    <w:rsid w:val="00A05EED"/>
    <w:rsid w:val="00A064E1"/>
    <w:rsid w:val="00A0762D"/>
    <w:rsid w:val="00A076C9"/>
    <w:rsid w:val="00A078DA"/>
    <w:rsid w:val="00A14078"/>
    <w:rsid w:val="00A17901"/>
    <w:rsid w:val="00A25870"/>
    <w:rsid w:val="00A265D0"/>
    <w:rsid w:val="00A26F57"/>
    <w:rsid w:val="00A27FD5"/>
    <w:rsid w:val="00A304F9"/>
    <w:rsid w:val="00A31D2B"/>
    <w:rsid w:val="00A341CB"/>
    <w:rsid w:val="00A4279D"/>
    <w:rsid w:val="00A450BA"/>
    <w:rsid w:val="00A456DA"/>
    <w:rsid w:val="00A462CD"/>
    <w:rsid w:val="00A54C96"/>
    <w:rsid w:val="00A557D6"/>
    <w:rsid w:val="00A60E3A"/>
    <w:rsid w:val="00A61E22"/>
    <w:rsid w:val="00A627F7"/>
    <w:rsid w:val="00A646AF"/>
    <w:rsid w:val="00A650AA"/>
    <w:rsid w:val="00A663EB"/>
    <w:rsid w:val="00A67BCB"/>
    <w:rsid w:val="00A7000F"/>
    <w:rsid w:val="00A70C04"/>
    <w:rsid w:val="00A73B5E"/>
    <w:rsid w:val="00A73D7D"/>
    <w:rsid w:val="00A74948"/>
    <w:rsid w:val="00A74B35"/>
    <w:rsid w:val="00A74D4F"/>
    <w:rsid w:val="00A77B56"/>
    <w:rsid w:val="00A80223"/>
    <w:rsid w:val="00A8084A"/>
    <w:rsid w:val="00A82DB6"/>
    <w:rsid w:val="00A83462"/>
    <w:rsid w:val="00A84BDF"/>
    <w:rsid w:val="00A84FD5"/>
    <w:rsid w:val="00A874DF"/>
    <w:rsid w:val="00A903ED"/>
    <w:rsid w:val="00A94BFE"/>
    <w:rsid w:val="00A9665F"/>
    <w:rsid w:val="00A97381"/>
    <w:rsid w:val="00AA0769"/>
    <w:rsid w:val="00AA47BB"/>
    <w:rsid w:val="00AA63FD"/>
    <w:rsid w:val="00AB434B"/>
    <w:rsid w:val="00AB5829"/>
    <w:rsid w:val="00AB6B8F"/>
    <w:rsid w:val="00AC05EC"/>
    <w:rsid w:val="00AC2034"/>
    <w:rsid w:val="00AC4C98"/>
    <w:rsid w:val="00AC6206"/>
    <w:rsid w:val="00AC7E8D"/>
    <w:rsid w:val="00AD0944"/>
    <w:rsid w:val="00AD5C1C"/>
    <w:rsid w:val="00AD5EFE"/>
    <w:rsid w:val="00AD6E5F"/>
    <w:rsid w:val="00AE5099"/>
    <w:rsid w:val="00AE76C1"/>
    <w:rsid w:val="00AF35DA"/>
    <w:rsid w:val="00AF4756"/>
    <w:rsid w:val="00AF61FD"/>
    <w:rsid w:val="00AF7283"/>
    <w:rsid w:val="00B00D74"/>
    <w:rsid w:val="00B1052B"/>
    <w:rsid w:val="00B11022"/>
    <w:rsid w:val="00B14015"/>
    <w:rsid w:val="00B155E0"/>
    <w:rsid w:val="00B16AEB"/>
    <w:rsid w:val="00B17AB2"/>
    <w:rsid w:val="00B22763"/>
    <w:rsid w:val="00B301A4"/>
    <w:rsid w:val="00B30751"/>
    <w:rsid w:val="00B3090F"/>
    <w:rsid w:val="00B33134"/>
    <w:rsid w:val="00B34FBB"/>
    <w:rsid w:val="00B37B1D"/>
    <w:rsid w:val="00B37E05"/>
    <w:rsid w:val="00B40A71"/>
    <w:rsid w:val="00B40C43"/>
    <w:rsid w:val="00B43673"/>
    <w:rsid w:val="00B4671A"/>
    <w:rsid w:val="00B47285"/>
    <w:rsid w:val="00B47F48"/>
    <w:rsid w:val="00B5233C"/>
    <w:rsid w:val="00B5647B"/>
    <w:rsid w:val="00B600C0"/>
    <w:rsid w:val="00B603C3"/>
    <w:rsid w:val="00B626E3"/>
    <w:rsid w:val="00B642E8"/>
    <w:rsid w:val="00B64385"/>
    <w:rsid w:val="00B66BA5"/>
    <w:rsid w:val="00B67919"/>
    <w:rsid w:val="00B67AB0"/>
    <w:rsid w:val="00B7297F"/>
    <w:rsid w:val="00B72BED"/>
    <w:rsid w:val="00B7666C"/>
    <w:rsid w:val="00B80D05"/>
    <w:rsid w:val="00B83432"/>
    <w:rsid w:val="00B83CFE"/>
    <w:rsid w:val="00B85490"/>
    <w:rsid w:val="00B93D23"/>
    <w:rsid w:val="00B955EE"/>
    <w:rsid w:val="00B96B0B"/>
    <w:rsid w:val="00B97A84"/>
    <w:rsid w:val="00BA048A"/>
    <w:rsid w:val="00BA0B7D"/>
    <w:rsid w:val="00BA2E05"/>
    <w:rsid w:val="00BA38C7"/>
    <w:rsid w:val="00BA4383"/>
    <w:rsid w:val="00BA518E"/>
    <w:rsid w:val="00BA5AD0"/>
    <w:rsid w:val="00BA690B"/>
    <w:rsid w:val="00BA6FDF"/>
    <w:rsid w:val="00BB3A9E"/>
    <w:rsid w:val="00BB4638"/>
    <w:rsid w:val="00BC01FA"/>
    <w:rsid w:val="00BC07CC"/>
    <w:rsid w:val="00BC1133"/>
    <w:rsid w:val="00BC1680"/>
    <w:rsid w:val="00BC3AEB"/>
    <w:rsid w:val="00BC5077"/>
    <w:rsid w:val="00BC66FE"/>
    <w:rsid w:val="00BC729D"/>
    <w:rsid w:val="00BD1BEE"/>
    <w:rsid w:val="00BD24CC"/>
    <w:rsid w:val="00BD2A20"/>
    <w:rsid w:val="00BD2F1B"/>
    <w:rsid w:val="00BE3304"/>
    <w:rsid w:val="00BE3DC7"/>
    <w:rsid w:val="00BE42B4"/>
    <w:rsid w:val="00BE5FEB"/>
    <w:rsid w:val="00BE6BC2"/>
    <w:rsid w:val="00BE72F1"/>
    <w:rsid w:val="00BF7D1F"/>
    <w:rsid w:val="00C0031A"/>
    <w:rsid w:val="00C037D3"/>
    <w:rsid w:val="00C07BFA"/>
    <w:rsid w:val="00C10259"/>
    <w:rsid w:val="00C109E9"/>
    <w:rsid w:val="00C12FF0"/>
    <w:rsid w:val="00C147B7"/>
    <w:rsid w:val="00C15576"/>
    <w:rsid w:val="00C2080C"/>
    <w:rsid w:val="00C21870"/>
    <w:rsid w:val="00C25103"/>
    <w:rsid w:val="00C269A2"/>
    <w:rsid w:val="00C324B3"/>
    <w:rsid w:val="00C32D5D"/>
    <w:rsid w:val="00C32D7A"/>
    <w:rsid w:val="00C344CD"/>
    <w:rsid w:val="00C3500A"/>
    <w:rsid w:val="00C36895"/>
    <w:rsid w:val="00C36F69"/>
    <w:rsid w:val="00C41591"/>
    <w:rsid w:val="00C425B2"/>
    <w:rsid w:val="00C4440E"/>
    <w:rsid w:val="00C44FE3"/>
    <w:rsid w:val="00C52D65"/>
    <w:rsid w:val="00C54981"/>
    <w:rsid w:val="00C62F5F"/>
    <w:rsid w:val="00C64211"/>
    <w:rsid w:val="00C64722"/>
    <w:rsid w:val="00C65A86"/>
    <w:rsid w:val="00C66474"/>
    <w:rsid w:val="00C71873"/>
    <w:rsid w:val="00C739E1"/>
    <w:rsid w:val="00C74C35"/>
    <w:rsid w:val="00C74DFC"/>
    <w:rsid w:val="00C775AA"/>
    <w:rsid w:val="00C838C5"/>
    <w:rsid w:val="00C8449B"/>
    <w:rsid w:val="00C84E6A"/>
    <w:rsid w:val="00C85F0B"/>
    <w:rsid w:val="00C86A5C"/>
    <w:rsid w:val="00C86CD0"/>
    <w:rsid w:val="00C87048"/>
    <w:rsid w:val="00C907D7"/>
    <w:rsid w:val="00C91AB4"/>
    <w:rsid w:val="00C93292"/>
    <w:rsid w:val="00C93363"/>
    <w:rsid w:val="00CA5C33"/>
    <w:rsid w:val="00CA6A5C"/>
    <w:rsid w:val="00CA6F53"/>
    <w:rsid w:val="00CA7D17"/>
    <w:rsid w:val="00CB2456"/>
    <w:rsid w:val="00CB4A55"/>
    <w:rsid w:val="00CC3EF2"/>
    <w:rsid w:val="00CC44DA"/>
    <w:rsid w:val="00CD2648"/>
    <w:rsid w:val="00CD33AC"/>
    <w:rsid w:val="00CD4132"/>
    <w:rsid w:val="00CD44A6"/>
    <w:rsid w:val="00CD48C4"/>
    <w:rsid w:val="00CD53C0"/>
    <w:rsid w:val="00CD5948"/>
    <w:rsid w:val="00CD6A5A"/>
    <w:rsid w:val="00CE1A7C"/>
    <w:rsid w:val="00CE7A98"/>
    <w:rsid w:val="00CF14F0"/>
    <w:rsid w:val="00CF25D4"/>
    <w:rsid w:val="00CF63A9"/>
    <w:rsid w:val="00CF73BC"/>
    <w:rsid w:val="00D00ABC"/>
    <w:rsid w:val="00D015DB"/>
    <w:rsid w:val="00D02669"/>
    <w:rsid w:val="00D06E81"/>
    <w:rsid w:val="00D1055C"/>
    <w:rsid w:val="00D115F4"/>
    <w:rsid w:val="00D130B3"/>
    <w:rsid w:val="00D140D1"/>
    <w:rsid w:val="00D16F82"/>
    <w:rsid w:val="00D17C8D"/>
    <w:rsid w:val="00D238E9"/>
    <w:rsid w:val="00D34F3E"/>
    <w:rsid w:val="00D34F50"/>
    <w:rsid w:val="00D35072"/>
    <w:rsid w:val="00D3613E"/>
    <w:rsid w:val="00D3667D"/>
    <w:rsid w:val="00D37466"/>
    <w:rsid w:val="00D42BCD"/>
    <w:rsid w:val="00D42CC6"/>
    <w:rsid w:val="00D44AFE"/>
    <w:rsid w:val="00D44BA4"/>
    <w:rsid w:val="00D475B3"/>
    <w:rsid w:val="00D50417"/>
    <w:rsid w:val="00D543B9"/>
    <w:rsid w:val="00D559F0"/>
    <w:rsid w:val="00D62D8A"/>
    <w:rsid w:val="00D63080"/>
    <w:rsid w:val="00D63412"/>
    <w:rsid w:val="00D72101"/>
    <w:rsid w:val="00D7405C"/>
    <w:rsid w:val="00D7755E"/>
    <w:rsid w:val="00D812E8"/>
    <w:rsid w:val="00D82AE3"/>
    <w:rsid w:val="00D83246"/>
    <w:rsid w:val="00D84668"/>
    <w:rsid w:val="00D855AC"/>
    <w:rsid w:val="00D864CD"/>
    <w:rsid w:val="00D93B83"/>
    <w:rsid w:val="00D974C0"/>
    <w:rsid w:val="00DA212D"/>
    <w:rsid w:val="00DA25B9"/>
    <w:rsid w:val="00DA5F99"/>
    <w:rsid w:val="00DA68BF"/>
    <w:rsid w:val="00DA7CFB"/>
    <w:rsid w:val="00DB61D5"/>
    <w:rsid w:val="00DB7DFB"/>
    <w:rsid w:val="00DC4014"/>
    <w:rsid w:val="00DC4A07"/>
    <w:rsid w:val="00DD1F72"/>
    <w:rsid w:val="00DD22AB"/>
    <w:rsid w:val="00DD3C69"/>
    <w:rsid w:val="00DD7F63"/>
    <w:rsid w:val="00DE44F2"/>
    <w:rsid w:val="00DE6D30"/>
    <w:rsid w:val="00DF10A3"/>
    <w:rsid w:val="00DF5C11"/>
    <w:rsid w:val="00E03C22"/>
    <w:rsid w:val="00E03D8C"/>
    <w:rsid w:val="00E04B83"/>
    <w:rsid w:val="00E04CDE"/>
    <w:rsid w:val="00E10AC4"/>
    <w:rsid w:val="00E15ED6"/>
    <w:rsid w:val="00E21CDA"/>
    <w:rsid w:val="00E34E22"/>
    <w:rsid w:val="00E401AC"/>
    <w:rsid w:val="00E4071D"/>
    <w:rsid w:val="00E41ADE"/>
    <w:rsid w:val="00E4206B"/>
    <w:rsid w:val="00E458AD"/>
    <w:rsid w:val="00E46B4A"/>
    <w:rsid w:val="00E50E96"/>
    <w:rsid w:val="00E552BF"/>
    <w:rsid w:val="00E55F80"/>
    <w:rsid w:val="00E6271F"/>
    <w:rsid w:val="00E6380E"/>
    <w:rsid w:val="00E63D23"/>
    <w:rsid w:val="00E647E2"/>
    <w:rsid w:val="00E715DA"/>
    <w:rsid w:val="00E76229"/>
    <w:rsid w:val="00E80885"/>
    <w:rsid w:val="00E900DF"/>
    <w:rsid w:val="00E96E65"/>
    <w:rsid w:val="00E96F24"/>
    <w:rsid w:val="00EA0D67"/>
    <w:rsid w:val="00EA1E31"/>
    <w:rsid w:val="00EA4119"/>
    <w:rsid w:val="00EA41F4"/>
    <w:rsid w:val="00EA7004"/>
    <w:rsid w:val="00EB67AC"/>
    <w:rsid w:val="00EC1B13"/>
    <w:rsid w:val="00EC1B1C"/>
    <w:rsid w:val="00EC3D81"/>
    <w:rsid w:val="00EC4B5A"/>
    <w:rsid w:val="00EC4CD3"/>
    <w:rsid w:val="00EC4ED1"/>
    <w:rsid w:val="00EC7096"/>
    <w:rsid w:val="00ED0184"/>
    <w:rsid w:val="00ED5A2F"/>
    <w:rsid w:val="00ED63B0"/>
    <w:rsid w:val="00ED6D55"/>
    <w:rsid w:val="00ED7170"/>
    <w:rsid w:val="00EE0FC9"/>
    <w:rsid w:val="00EE1289"/>
    <w:rsid w:val="00EE2D19"/>
    <w:rsid w:val="00EE3FC3"/>
    <w:rsid w:val="00EE7895"/>
    <w:rsid w:val="00EF2786"/>
    <w:rsid w:val="00EF28BB"/>
    <w:rsid w:val="00EF2DE5"/>
    <w:rsid w:val="00EF5216"/>
    <w:rsid w:val="00F00CA8"/>
    <w:rsid w:val="00F02349"/>
    <w:rsid w:val="00F045C2"/>
    <w:rsid w:val="00F04902"/>
    <w:rsid w:val="00F14A56"/>
    <w:rsid w:val="00F15030"/>
    <w:rsid w:val="00F212F1"/>
    <w:rsid w:val="00F3288A"/>
    <w:rsid w:val="00F34887"/>
    <w:rsid w:val="00F34DFA"/>
    <w:rsid w:val="00F34FAA"/>
    <w:rsid w:val="00F377BD"/>
    <w:rsid w:val="00F37B92"/>
    <w:rsid w:val="00F41BBD"/>
    <w:rsid w:val="00F41DDB"/>
    <w:rsid w:val="00F42312"/>
    <w:rsid w:val="00F429D2"/>
    <w:rsid w:val="00F42E31"/>
    <w:rsid w:val="00F45B09"/>
    <w:rsid w:val="00F50E48"/>
    <w:rsid w:val="00F5277B"/>
    <w:rsid w:val="00F52B26"/>
    <w:rsid w:val="00F52E2F"/>
    <w:rsid w:val="00F53F54"/>
    <w:rsid w:val="00F56445"/>
    <w:rsid w:val="00F56B15"/>
    <w:rsid w:val="00F57043"/>
    <w:rsid w:val="00F575AB"/>
    <w:rsid w:val="00F601C0"/>
    <w:rsid w:val="00F608D8"/>
    <w:rsid w:val="00F62824"/>
    <w:rsid w:val="00F652EA"/>
    <w:rsid w:val="00F665AD"/>
    <w:rsid w:val="00F66A1A"/>
    <w:rsid w:val="00F76838"/>
    <w:rsid w:val="00F77E48"/>
    <w:rsid w:val="00F801C3"/>
    <w:rsid w:val="00F80C9F"/>
    <w:rsid w:val="00F81517"/>
    <w:rsid w:val="00F84FCE"/>
    <w:rsid w:val="00F868D0"/>
    <w:rsid w:val="00F87204"/>
    <w:rsid w:val="00F90E07"/>
    <w:rsid w:val="00F933EB"/>
    <w:rsid w:val="00F94EA8"/>
    <w:rsid w:val="00FA05DA"/>
    <w:rsid w:val="00FA0C81"/>
    <w:rsid w:val="00FA29C2"/>
    <w:rsid w:val="00FA3D1E"/>
    <w:rsid w:val="00FA3D9F"/>
    <w:rsid w:val="00FA4B38"/>
    <w:rsid w:val="00FA78DA"/>
    <w:rsid w:val="00FA7A7D"/>
    <w:rsid w:val="00FA7FE9"/>
    <w:rsid w:val="00FB215E"/>
    <w:rsid w:val="00FB37F3"/>
    <w:rsid w:val="00FB58C1"/>
    <w:rsid w:val="00FB66EE"/>
    <w:rsid w:val="00FB68EA"/>
    <w:rsid w:val="00FB7E99"/>
    <w:rsid w:val="00FC4A68"/>
    <w:rsid w:val="00FC5EDE"/>
    <w:rsid w:val="00FD07AE"/>
    <w:rsid w:val="00FD0C5B"/>
    <w:rsid w:val="00FD2909"/>
    <w:rsid w:val="00FD3E21"/>
    <w:rsid w:val="00FD5284"/>
    <w:rsid w:val="00FD6747"/>
    <w:rsid w:val="00FD76EA"/>
    <w:rsid w:val="00FE0E25"/>
    <w:rsid w:val="00FE1114"/>
    <w:rsid w:val="00FE1716"/>
    <w:rsid w:val="00FE5667"/>
    <w:rsid w:val="00FE65B9"/>
    <w:rsid w:val="00FE695D"/>
    <w:rsid w:val="00FF0621"/>
    <w:rsid w:val="00FF1889"/>
    <w:rsid w:val="00FF3220"/>
    <w:rsid w:val="00FF32CA"/>
    <w:rsid w:val="00FF5CE6"/>
    <w:rsid w:val="00FF6E68"/>
    <w:rsid w:val="00FF733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CA27"/>
  <w15:docId w15:val="{F386E756-4807-4395-9EE8-86719216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06B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606B"/>
    <w:pPr>
      <w:keepNext/>
      <w:keepLines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D5FE3"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685"/>
    <w:pPr>
      <w:ind w:firstLine="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9C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rsid w:val="006623D8"/>
    <w:rPr>
      <w:rFonts w:cs="Times New Roman"/>
    </w:rPr>
  </w:style>
  <w:style w:type="character" w:styleId="Emphasis">
    <w:name w:val="Emphasis"/>
    <w:uiPriority w:val="20"/>
    <w:qFormat/>
    <w:rsid w:val="001E69BF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E69BF"/>
    <w:pPr>
      <w:ind w:left="720"/>
      <w:contextualSpacing/>
    </w:pPr>
  </w:style>
  <w:style w:type="character" w:customStyle="1" w:styleId="surname">
    <w:name w:val="surname"/>
    <w:rsid w:val="000340A4"/>
  </w:style>
  <w:style w:type="character" w:customStyle="1" w:styleId="person-name">
    <w:name w:val="person-name"/>
    <w:basedOn w:val="DefaultParagraphFont"/>
    <w:rsid w:val="0055561E"/>
  </w:style>
  <w:style w:type="character" w:customStyle="1" w:styleId="givennames">
    <w:name w:val="givennames"/>
    <w:basedOn w:val="DefaultParagraphFont"/>
    <w:rsid w:val="0055561E"/>
  </w:style>
  <w:style w:type="character" w:styleId="Hyperlink">
    <w:name w:val="Hyperlink"/>
    <w:basedOn w:val="DefaultParagraphFont"/>
    <w:uiPriority w:val="99"/>
    <w:unhideWhenUsed/>
    <w:rsid w:val="003E7DF1"/>
    <w:rPr>
      <w:strike w:val="0"/>
      <w:dstrike w:val="0"/>
      <w:color w:val="316C9D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5789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5789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89C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9"/>
    <w:rsid w:val="000860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D5FE3"/>
    <w:rPr>
      <w:rFonts w:asciiTheme="majorBidi" w:eastAsia="Calibri" w:hAnsiTheme="majorBidi" w:cstheme="majorBidi"/>
      <w:b/>
      <w:bCs/>
      <w:sz w:val="24"/>
      <w:szCs w:val="24"/>
    </w:rPr>
  </w:style>
  <w:style w:type="character" w:customStyle="1" w:styleId="referencediv">
    <w:name w:val="referencediv"/>
    <w:basedOn w:val="DefaultParagraphFont"/>
    <w:rsid w:val="003B3FFD"/>
  </w:style>
  <w:style w:type="character" w:customStyle="1" w:styleId="blockspan">
    <w:name w:val="blockspan"/>
    <w:basedOn w:val="DefaultParagraphFont"/>
    <w:rsid w:val="003B3FFD"/>
  </w:style>
  <w:style w:type="character" w:styleId="Strong">
    <w:name w:val="Strong"/>
    <w:basedOn w:val="DefaultParagraphFont"/>
    <w:uiPriority w:val="22"/>
    <w:qFormat/>
    <w:rsid w:val="003B3FF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F4EC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F4ECC"/>
    <w:pPr>
      <w:spacing w:line="240" w:lineRule="auto"/>
      <w:ind w:firstLine="426"/>
    </w:pPr>
    <w:rPr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33C"/>
    <w:pPr>
      <w:bidi/>
      <w:spacing w:after="200"/>
      <w:ind w:firstLine="0"/>
      <w:jc w:val="right"/>
    </w:pPr>
    <w:rPr>
      <w:rFonts w:ascii="Calibri" w:eastAsia="Calibri" w:hAnsi="Calibri" w:cs="Arial"/>
      <w:b/>
      <w:bCs/>
      <w:sz w:val="20"/>
      <w:szCs w:val="20"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33C"/>
    <w:rPr>
      <w:rFonts w:ascii="Calibri" w:eastAsia="Calibri" w:hAnsi="Calibri" w:cs="Arial"/>
      <w:b/>
      <w:bCs/>
      <w:sz w:val="20"/>
      <w:szCs w:val="20"/>
      <w:lang w:bidi="ar-SA"/>
    </w:rPr>
  </w:style>
  <w:style w:type="character" w:customStyle="1" w:styleId="element-citation">
    <w:name w:val="element-citation"/>
    <w:basedOn w:val="DefaultParagraphFont"/>
    <w:rsid w:val="00351E2B"/>
  </w:style>
  <w:style w:type="character" w:customStyle="1" w:styleId="ref-journal">
    <w:name w:val="ref-journal"/>
    <w:basedOn w:val="DefaultParagraphFont"/>
    <w:rsid w:val="00351E2B"/>
  </w:style>
  <w:style w:type="character" w:customStyle="1" w:styleId="ref-vol">
    <w:name w:val="ref-vol"/>
    <w:basedOn w:val="DefaultParagraphFont"/>
    <w:rsid w:val="00351E2B"/>
  </w:style>
  <w:style w:type="character" w:customStyle="1" w:styleId="ej-keyword">
    <w:name w:val="ej-keyword"/>
    <w:basedOn w:val="DefaultParagraphFont"/>
    <w:rsid w:val="009A71DD"/>
  </w:style>
  <w:style w:type="character" w:customStyle="1" w:styleId="hlfld-contribauthor">
    <w:name w:val="hlfld-contribauthor"/>
    <w:rsid w:val="007127EB"/>
  </w:style>
  <w:style w:type="character" w:customStyle="1" w:styleId="nlmgiven-names">
    <w:name w:val="nlm_given-names"/>
    <w:rsid w:val="007127EB"/>
  </w:style>
  <w:style w:type="character" w:customStyle="1" w:styleId="nlmyear">
    <w:name w:val="nlm_year"/>
    <w:rsid w:val="007127EB"/>
  </w:style>
  <w:style w:type="character" w:customStyle="1" w:styleId="nlmarticle-title">
    <w:name w:val="nlm_article-title"/>
    <w:rsid w:val="007127EB"/>
  </w:style>
  <w:style w:type="character" w:customStyle="1" w:styleId="nlmfpage">
    <w:name w:val="nlm_fpage"/>
    <w:rsid w:val="007127EB"/>
  </w:style>
  <w:style w:type="character" w:customStyle="1" w:styleId="nlmlpage">
    <w:name w:val="nlm_lpage"/>
    <w:rsid w:val="007127EB"/>
  </w:style>
  <w:style w:type="character" w:customStyle="1" w:styleId="nlmpublisher-name">
    <w:name w:val="nlm_publisher-name"/>
    <w:basedOn w:val="DefaultParagraphFont"/>
    <w:rsid w:val="007127EB"/>
  </w:style>
  <w:style w:type="paragraph" w:styleId="Revision">
    <w:name w:val="Revision"/>
    <w:hidden/>
    <w:uiPriority w:val="99"/>
    <w:semiHidden/>
    <w:rsid w:val="00877BAE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376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lmpublisher-loc">
    <w:name w:val="nlm_publisher-loc"/>
    <w:basedOn w:val="DefaultParagraphFont"/>
    <w:rsid w:val="00464726"/>
  </w:style>
  <w:style w:type="paragraph" w:customStyle="1" w:styleId="dx-doi">
    <w:name w:val="dx-doi"/>
    <w:basedOn w:val="Normal"/>
    <w:rsid w:val="00BC07CC"/>
    <w:pPr>
      <w:spacing w:before="100" w:beforeAutospacing="1" w:after="100" w:afterAutospacing="1" w:line="240" w:lineRule="auto"/>
      <w:ind w:firstLine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F75"/>
    <w:rPr>
      <w:color w:val="605E5C"/>
      <w:shd w:val="clear" w:color="auto" w:fill="E1DFDD"/>
    </w:rPr>
  </w:style>
  <w:style w:type="paragraph" w:customStyle="1" w:styleId="apareference">
    <w:name w:val="apa reference"/>
    <w:basedOn w:val="Normal"/>
    <w:qFormat/>
    <w:rsid w:val="00537685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1C28E8"/>
  </w:style>
  <w:style w:type="character" w:customStyle="1" w:styleId="1">
    <w:name w:val="אזכור לא מזוהה1"/>
    <w:basedOn w:val="DefaultParagraphFont"/>
    <w:uiPriority w:val="99"/>
    <w:semiHidden/>
    <w:unhideWhenUsed/>
    <w:rsid w:val="004365F8"/>
    <w:rPr>
      <w:color w:val="605E5C"/>
      <w:shd w:val="clear" w:color="auto" w:fill="E1DFDD"/>
    </w:rPr>
  </w:style>
  <w:style w:type="character" w:customStyle="1" w:styleId="text1">
    <w:name w:val="text1"/>
    <w:uiPriority w:val="99"/>
    <w:rsid w:val="00F57043"/>
    <w:rPr>
      <w:rFonts w:ascii="Arial" w:hAnsi="Arial"/>
      <w:color w:val="000000"/>
      <w:sz w:val="18"/>
      <w:u w:val="none"/>
      <w:effect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71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11595007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23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8850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8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12683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4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44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6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536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360282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931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316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2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5646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046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6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706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03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1147682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76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5591279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50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6943349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85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6704387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82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16740018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6/ajp.156.6.902" TargetMode="External"/><Relationship Id="rId18" Type="http://schemas.openxmlformats.org/officeDocument/2006/relationships/hyperlink" Target="https://doi.org/10.1002/da.20737" TargetMode="External"/><Relationship Id="rId26" Type="http://schemas.openxmlformats.org/officeDocument/2006/relationships/hyperlink" Target="https://doi.org/10.1080/15299732.2019.1597810" TargetMode="External"/><Relationship Id="rId39" Type="http://schemas.openxmlformats.org/officeDocument/2006/relationships/hyperlink" Target="https://doi.org/10.1080/19322880802231759" TargetMode="External"/><Relationship Id="rId21" Type="http://schemas.openxmlformats.org/officeDocument/2006/relationships/hyperlink" Target="https://doi.org/10.1007/s10869-013-9308-7" TargetMode="External"/><Relationship Id="rId34" Type="http://schemas.openxmlformats.org/officeDocument/2006/relationships/hyperlink" Target="http://www.ncbi.nlm.nih.gov/pubmed?term=Fauerbach%20JA%5BAuthor%5D&amp;cauthor=true&amp;cauthor_uid=18182894" TargetMode="External"/><Relationship Id="rId42" Type="http://schemas.openxmlformats.org/officeDocument/2006/relationships/hyperlink" Target="https://psycnet.apa.org/doi/10.1007/s10880-011-9255-2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1920-018-0976-x" TargetMode="External"/><Relationship Id="rId29" Type="http://schemas.openxmlformats.org/officeDocument/2006/relationships/hyperlink" Target="https://doi.org/10.1097/nmd.0000000000000581" TargetMode="External"/><Relationship Id="rId11" Type="http://schemas.openxmlformats.org/officeDocument/2006/relationships/hyperlink" Target="https://psycnet.apa.org/doi/10.1037/0003-066X.59.1.20" TargetMode="External"/><Relationship Id="rId24" Type="http://schemas.openxmlformats.org/officeDocument/2006/relationships/hyperlink" Target="https://doi.org/10.1007/s10862-018-9682-6" TargetMode="External"/><Relationship Id="rId32" Type="http://schemas.openxmlformats.org/officeDocument/2006/relationships/hyperlink" Target="http://www.ncbi.nlm.nih.gov/pubmed?term=Bresnick%20MG%5BAuthor%5D&amp;cauthor=true&amp;cauthor_uid=18182894" TargetMode="External"/><Relationship Id="rId37" Type="http://schemas.openxmlformats.org/officeDocument/2006/relationships/hyperlink" Target="https://www.researchgate.net/deref/http%3A%2F%2Fdx.doi.org%2F10.1037%2F0003-066X.61.1.10?_sg%5B0%5D=1UBtfHsmOVjp9gyfp-uf6LySnW2d5TrEzamn3cpXWEPbAIkNbSxJy8GgMk39fz-8vq6d4mJMdS-R6g0TCGL_J4mEhg.YWPpG685B35Q17vKXLt1_wDom0W_iKJygQ4UP_n9nFcj1pd6R1gujxx0Xlxl_YYtr0cwyjTe_j5ocMwSBx78ew" TargetMode="External"/><Relationship Id="rId40" Type="http://schemas.openxmlformats.org/officeDocument/2006/relationships/hyperlink" Target="https://doi.org/10.1016/s0140-6736(02)11142-1" TargetMode="External"/><Relationship Id="rId45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/10.1016/j.copsyc.2017.01.005" TargetMode="External"/><Relationship Id="rId23" Type="http://schemas.openxmlformats.org/officeDocument/2006/relationships/hyperlink" Target="https://doi.org/10.1016/j.socscimed.2011.10.022" TargetMode="External"/><Relationship Id="rId28" Type="http://schemas.openxmlformats.org/officeDocument/2006/relationships/hyperlink" Target="https://doi.org/10.1016/j.psyneuen.2008.08.013" TargetMode="External"/><Relationship Id="rId36" Type="http://schemas.openxmlformats.org/officeDocument/2006/relationships/hyperlink" Target="https://doi.org/10.1097/bcr.0b013e31815f59c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080/10615806.2015.1053806" TargetMode="External"/><Relationship Id="rId19" Type="http://schemas.openxmlformats.org/officeDocument/2006/relationships/hyperlink" Target="https://psycnet.apa.org/doi/10.1037/1040-3590.12.1.61" TargetMode="External"/><Relationship Id="rId31" Type="http://schemas.openxmlformats.org/officeDocument/2006/relationships/hyperlink" Target="https://doi.org/10.3389/fpsyt.2017.00055" TargetMode="External"/><Relationship Id="rId44" Type="http://schemas.openxmlformats.org/officeDocument/2006/relationships/hyperlink" Target="https://doi.org/10.1007/BF02102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1061-4087.51.2.72" TargetMode="External"/><Relationship Id="rId14" Type="http://schemas.openxmlformats.org/officeDocument/2006/relationships/hyperlink" Target="http://dx.doi.org/10.1037/tra0000107" TargetMode="External"/><Relationship Id="rId22" Type="http://schemas.openxmlformats.org/officeDocument/2006/relationships/hyperlink" Target="https://doi.org/10.1093/milmed/143.2.107" TargetMode="External"/><Relationship Id="rId27" Type="http://schemas.openxmlformats.org/officeDocument/2006/relationships/hyperlink" Target="https://doi.org/10.1037/mil0000092" TargetMode="External"/><Relationship Id="rId30" Type="http://schemas.openxmlformats.org/officeDocument/2006/relationships/hyperlink" Target="%20https://doi.org/10.1080/15325024.2013.873223" TargetMode="External"/><Relationship Id="rId35" Type="http://schemas.openxmlformats.org/officeDocument/2006/relationships/hyperlink" Target="http://journals.lww.com/burncareresearch/pages/default.aspx" TargetMode="External"/><Relationship Id="rId43" Type="http://schemas.openxmlformats.org/officeDocument/2006/relationships/hyperlink" Target="https://doi.org/10.1111/j.1464-597.2007.00299.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:10.1001/jama.1994.035201000960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psycnet.apa.org/doi/10.1037/a0017829" TargetMode="External"/><Relationship Id="rId17" Type="http://schemas.openxmlformats.org/officeDocument/2006/relationships/hyperlink" Target="https://doi.org/10.4088/JCP.13m08731" TargetMode="External"/><Relationship Id="rId25" Type="http://schemas.openxmlformats.org/officeDocument/2006/relationships/hyperlink" Target="https://psycnet.apa.org/doi/10.1037/tra0000063" TargetMode="External"/><Relationship Id="rId33" Type="http://schemas.openxmlformats.org/officeDocument/2006/relationships/hyperlink" Target="http://www.ncbi.nlm.nih.gov/pubmed?term=Wiechman%20Askay%20SA%5BAuthor%5D&amp;cauthor=true&amp;cauthor_uid=18182894" TargetMode="External"/><Relationship Id="rId38" Type="http://schemas.openxmlformats.org/officeDocument/2006/relationships/hyperlink" Target="https://www.researchgate.net/deref/http%3A%2F%2Fdx.doi.org%2F10.1037%2Fa0021344?_sg%5B0%5D=IT_IrhyOhVcJ-CfVGY3ckH3kS3inhmgX_4RxpZ3t8fkR4B_T2ckzA8_C0VPC5wCm1efMBs2bcp1aO9RBgQ-QTPnuMg.r7PL0sHBlctT6UCX1ByD3vOlzKkBE11uCucCzJLfX1bJT35__-lBp475EYHEdBPHnjUYP1pQe9BP8ws-6zgdBQ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psycnet.apa.org/doi/10.1207/s15327965pli1501_03" TargetMode="External"/><Relationship Id="rId41" Type="http://schemas.openxmlformats.org/officeDocument/2006/relationships/hyperlink" Target="https://psycnet.apa.org/doi/10.1037/str00000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4B63-4652-4D9B-B2A2-301D26D7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7785</Words>
  <Characters>38927</Characters>
  <Application>Microsoft Office Word</Application>
  <DocSecurity>0</DocSecurity>
  <Lines>324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Amnon</dc:creator>
  <cp:lastModifiedBy>Amnon</cp:lastModifiedBy>
  <cp:revision>3</cp:revision>
  <cp:lastPrinted>2015-08-14T15:46:00Z</cp:lastPrinted>
  <dcterms:created xsi:type="dcterms:W3CDTF">2021-03-11T17:54:00Z</dcterms:created>
  <dcterms:modified xsi:type="dcterms:W3CDTF">2021-03-11T17:55:00Z</dcterms:modified>
</cp:coreProperties>
</file>