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B5F6" w14:textId="0B214F76" w:rsidR="00F86261" w:rsidRDefault="00F86261" w:rsidP="00F86261">
      <w:pPr>
        <w:rPr>
          <w:rFonts w:ascii="Palatino Linotype" w:hAnsi="Palatino Linotype"/>
          <w:color w:val="000000" w:themeColor="text1"/>
          <w:sz w:val="24"/>
          <w:lang w:val="en-GB"/>
        </w:rPr>
      </w:pP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This </w:t>
      </w:r>
      <w:r>
        <w:rPr>
          <w:rFonts w:ascii="Palatino Linotype" w:hAnsi="Palatino Linotype"/>
          <w:color w:val="000000" w:themeColor="text1"/>
          <w:sz w:val="24"/>
          <w:lang w:val="en-US"/>
        </w:rPr>
        <w:t>paper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aims to investigate the metamorphosis of a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halakhic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case </w:t>
      </w:r>
      <w:r>
        <w:rPr>
          <w:rFonts w:ascii="Palatino Linotype" w:hAnsi="Palatino Linotype"/>
          <w:color w:val="000000" w:themeColor="text1"/>
          <w:sz w:val="24"/>
          <w:lang w:val="en-GB"/>
        </w:rPr>
        <w:t xml:space="preserve">of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a </w:t>
      </w:r>
      <w:r w:rsidRPr="009C58BC">
        <w:rPr>
          <w:rFonts w:ascii="Palatino Linotype" w:hAnsi="Palatino Linotype" w:cstheme="majorHAnsi"/>
          <w:i/>
          <w:iCs/>
          <w:color w:val="000000" w:themeColor="text1"/>
          <w:sz w:val="24"/>
          <w:szCs w:val="24"/>
          <w:lang w:val="en-GB" w:eastAsia="nl-BE" w:bidi="yi-Hebr"/>
        </w:rPr>
        <w:t>kohen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 (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>priest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)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who is an androgynous,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or, in modern terms, an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intersex person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.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This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kohen,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who has both a male reproductive organ and a female one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,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can be sexually active both as a man and as a woman.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The halakhic case analysed in the light of rabbinic perception of sexual intercourse.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The textual evidence for the androgynous case has been chosen diachronically from early rabbinic literature in transmission to a paragraph from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sixth-century work </w:t>
      </w:r>
      <w:r w:rsidRPr="00854340">
        <w:rPr>
          <w:rFonts w:ascii="Palatino Linotype" w:hAnsi="Palatino Linotype"/>
          <w:i/>
          <w:color w:val="000000" w:themeColor="text1"/>
          <w:sz w:val="24"/>
          <w:lang w:val="en-GB"/>
        </w:rPr>
        <w:t>Ma'asim le Bnei Eretz Israel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>, composed in the Land of Israel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. We also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aim to explore the gender politics and strategies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motivating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the different usages of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term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androgynous and show the dynamics of its development from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third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to the sixth centuries. </w:t>
      </w:r>
    </w:p>
    <w:p w14:paraId="17F20B28" w14:textId="3BA2B43B" w:rsidR="00F86261" w:rsidRDefault="00F86261" w:rsidP="00F86261">
      <w:pPr>
        <w:rPr>
          <w:rFonts w:ascii="Palatino Linotype" w:hAnsi="Palatino Linotype"/>
          <w:color w:val="000000" w:themeColor="text1"/>
          <w:sz w:val="24"/>
          <w:lang w:val="en-GB"/>
        </w:rPr>
      </w:pPr>
    </w:p>
    <w:p w14:paraId="6BE905D6" w14:textId="50EB861D" w:rsidR="00F86261" w:rsidRPr="00F86261" w:rsidRDefault="007D3941" w:rsidP="00F86261">
      <w:pPr>
        <w:rPr>
          <w:lang w:val="fr-FR"/>
        </w:rPr>
      </w:pPr>
      <w:r>
        <w:rPr>
          <w:lang w:val="fr-FR"/>
        </w:rPr>
        <w:t xml:space="preserve"> </w:t>
      </w:r>
      <w:bookmarkStart w:id="0" w:name="_GoBack"/>
      <w:bookmarkEnd w:id="0"/>
    </w:p>
    <w:sectPr w:rsidR="00F86261" w:rsidRPr="00F862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A73E5" w14:textId="77777777" w:rsidR="00403ACF" w:rsidRDefault="00403ACF" w:rsidP="00F86261">
      <w:pPr>
        <w:spacing w:after="0" w:line="240" w:lineRule="auto"/>
      </w:pPr>
      <w:r>
        <w:separator/>
      </w:r>
    </w:p>
  </w:endnote>
  <w:endnote w:type="continuationSeparator" w:id="0">
    <w:p w14:paraId="5CE4609C" w14:textId="77777777" w:rsidR="00403ACF" w:rsidRDefault="00403ACF" w:rsidP="00F8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BD4E0" w14:textId="77777777" w:rsidR="00403ACF" w:rsidRDefault="00403ACF" w:rsidP="00F86261">
      <w:pPr>
        <w:spacing w:after="0" w:line="240" w:lineRule="auto"/>
      </w:pPr>
      <w:r>
        <w:separator/>
      </w:r>
    </w:p>
  </w:footnote>
  <w:footnote w:type="continuationSeparator" w:id="0">
    <w:p w14:paraId="07D79460" w14:textId="77777777" w:rsidR="00403ACF" w:rsidRDefault="00403ACF" w:rsidP="00F8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Y2NTEzNTI3MjRX0lEKTi0uzszPAykwrAUAQqMb8CwAAAA="/>
  </w:docVars>
  <w:rsids>
    <w:rsidRoot w:val="00F86261"/>
    <w:rsid w:val="00192EC0"/>
    <w:rsid w:val="00403ACF"/>
    <w:rsid w:val="007D3941"/>
    <w:rsid w:val="00E036B9"/>
    <w:rsid w:val="00F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A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"/>
    <w:basedOn w:val="a"/>
    <w:link w:val="a4"/>
    <w:uiPriority w:val="99"/>
    <w:unhideWhenUsed/>
    <w:rsid w:val="00F86261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טקסט הערת שוליים תו"/>
    <w:aliases w:val=" Char תו"/>
    <w:basedOn w:val="a0"/>
    <w:link w:val="a3"/>
    <w:uiPriority w:val="99"/>
    <w:rsid w:val="00F86261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862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"/>
    <w:basedOn w:val="a"/>
    <w:link w:val="a4"/>
    <w:uiPriority w:val="99"/>
    <w:unhideWhenUsed/>
    <w:rsid w:val="00F86261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טקסט הערת שוליים תו"/>
    <w:aliases w:val=" Char תו"/>
    <w:basedOn w:val="a0"/>
    <w:link w:val="a3"/>
    <w:uiPriority w:val="99"/>
    <w:rsid w:val="00F86261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8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Hebrew University of Jerusalem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 Kiperwasser</dc:creator>
  <cp:lastModifiedBy>user</cp:lastModifiedBy>
  <cp:revision>2</cp:revision>
  <dcterms:created xsi:type="dcterms:W3CDTF">2022-03-30T09:46:00Z</dcterms:created>
  <dcterms:modified xsi:type="dcterms:W3CDTF">2022-03-30T09:46:00Z</dcterms:modified>
</cp:coreProperties>
</file>