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4E02" w14:textId="263511F5" w:rsidR="00A3292A" w:rsidRPr="00786DFE" w:rsidRDefault="00A3292A" w:rsidP="00A3292A">
      <w:pPr>
        <w:shd w:val="clear" w:color="auto" w:fill="FFFFFF"/>
        <w:contextualSpacing/>
        <w:jc w:val="center"/>
        <w:rPr>
          <w:rFonts w:asciiTheme="majorBidi" w:hAnsiTheme="majorBidi" w:cstheme="majorBidi"/>
          <w:b/>
          <w:bCs/>
          <w:sz w:val="24"/>
          <w:szCs w:val="24"/>
        </w:rPr>
      </w:pPr>
      <w:r w:rsidRPr="00786DFE">
        <w:rPr>
          <w:rFonts w:asciiTheme="majorBidi" w:hAnsiTheme="majorBidi" w:cstheme="majorBidi"/>
          <w:b/>
          <w:bCs/>
          <w:sz w:val="24"/>
          <w:szCs w:val="24"/>
        </w:rPr>
        <w:t xml:space="preserve">Just talk to them! The importance of </w:t>
      </w:r>
      <w:r w:rsidR="0035194E" w:rsidRPr="00D6016D">
        <w:rPr>
          <w:rFonts w:asciiTheme="majorBidi" w:hAnsiTheme="majorBidi" w:cstheme="majorBidi"/>
          <w:b/>
          <w:bCs/>
          <w:sz w:val="24"/>
          <w:szCs w:val="24"/>
        </w:rPr>
        <w:t>p</w:t>
      </w:r>
      <w:r w:rsidR="0035194E" w:rsidRPr="00D6016D">
        <w:rPr>
          <w:rFonts w:asciiTheme="majorBidi" w:hAnsiTheme="majorBidi" w:cstheme="majorBidi"/>
          <w:b/>
          <w:bCs/>
          <w:sz w:val="24"/>
          <w:szCs w:val="24"/>
        </w:rPr>
        <w:t>arent</w:t>
      </w:r>
      <w:r w:rsidR="0035194E" w:rsidRPr="00786DFE">
        <w:rPr>
          <w:rFonts w:asciiTheme="majorBidi" w:hAnsiTheme="majorBidi" w:cstheme="majorBidi"/>
          <w:b/>
          <w:bCs/>
          <w:sz w:val="24"/>
          <w:szCs w:val="24"/>
        </w:rPr>
        <w:t xml:space="preserve"> </w:t>
      </w:r>
      <w:r w:rsidR="0035194E">
        <w:rPr>
          <w:rFonts w:asciiTheme="majorBidi" w:hAnsiTheme="majorBidi" w:cstheme="majorBidi"/>
          <w:b/>
          <w:bCs/>
          <w:sz w:val="24"/>
          <w:szCs w:val="24"/>
        </w:rPr>
        <w:t xml:space="preserve">and </w:t>
      </w:r>
      <w:r w:rsidRPr="00786DFE">
        <w:rPr>
          <w:rFonts w:asciiTheme="majorBidi" w:hAnsiTheme="majorBidi" w:cstheme="majorBidi"/>
          <w:b/>
          <w:bCs/>
          <w:sz w:val="24"/>
          <w:szCs w:val="24"/>
        </w:rPr>
        <w:t>teacher-</w:t>
      </w:r>
      <w:r w:rsidR="00D6016D">
        <w:rPr>
          <w:rFonts w:asciiTheme="majorBidi" w:hAnsiTheme="majorBidi" w:cstheme="majorBidi"/>
          <w:b/>
          <w:bCs/>
          <w:sz w:val="24"/>
          <w:szCs w:val="24"/>
        </w:rPr>
        <w:t xml:space="preserve">child </w:t>
      </w:r>
      <w:r w:rsidRPr="00786DFE">
        <w:rPr>
          <w:rFonts w:asciiTheme="majorBidi" w:hAnsiTheme="majorBidi" w:cstheme="majorBidi"/>
          <w:b/>
          <w:bCs/>
          <w:sz w:val="24"/>
          <w:szCs w:val="24"/>
        </w:rPr>
        <w:t>communication in addressing child sexual abuse and assault</w:t>
      </w:r>
    </w:p>
    <w:p w14:paraId="44F210E1" w14:textId="1AD394C2" w:rsidR="0035194E" w:rsidRPr="003B683B" w:rsidRDefault="0035194E" w:rsidP="003B683B">
      <w:pPr>
        <w:bidi/>
        <w:ind w:firstLine="0"/>
        <w:rPr>
          <w:rFonts w:asciiTheme="majorBidi" w:hAnsiTheme="majorBidi" w:cstheme="majorBidi" w:hint="cs"/>
          <w:b/>
          <w:bCs/>
          <w:sz w:val="24"/>
          <w:szCs w:val="24"/>
          <w:rtl/>
        </w:rPr>
      </w:pPr>
    </w:p>
    <w:p w14:paraId="46E47829" w14:textId="77777777" w:rsidR="00A3292A" w:rsidRPr="00786DFE" w:rsidRDefault="00A3292A" w:rsidP="00A3292A">
      <w:pPr>
        <w:ind w:firstLine="0"/>
        <w:contextualSpacing/>
        <w:jc w:val="center"/>
        <w:rPr>
          <w:rFonts w:asciiTheme="majorBidi" w:hAnsiTheme="majorBidi" w:cstheme="majorBidi"/>
          <w:b/>
          <w:bCs/>
          <w:sz w:val="24"/>
          <w:szCs w:val="24"/>
          <w:rtl/>
        </w:rPr>
      </w:pPr>
      <w:r w:rsidRPr="00786DFE">
        <w:rPr>
          <w:rFonts w:asciiTheme="majorBidi" w:hAnsiTheme="majorBidi" w:cstheme="majorBidi"/>
          <w:b/>
          <w:bCs/>
          <w:sz w:val="24"/>
          <w:szCs w:val="24"/>
        </w:rPr>
        <w:t>INTRODUCTION</w:t>
      </w:r>
    </w:p>
    <w:p w14:paraId="45E2A69E" w14:textId="77777777" w:rsidR="00A3292A" w:rsidRPr="00786DFE" w:rsidRDefault="00A3292A" w:rsidP="00A3292A">
      <w:pPr>
        <w:contextualSpacing/>
        <w:rPr>
          <w:rFonts w:asciiTheme="majorBidi" w:hAnsiTheme="majorBidi" w:cstheme="majorBidi"/>
          <w:sz w:val="24"/>
          <w:szCs w:val="24"/>
        </w:rPr>
      </w:pPr>
      <w:r w:rsidRPr="00786DFE">
        <w:rPr>
          <w:rFonts w:asciiTheme="majorBidi" w:hAnsiTheme="majorBidi" w:cstheme="majorBidi"/>
          <w:sz w:val="24"/>
          <w:szCs w:val="24"/>
        </w:rPr>
        <w:t>Child sexual abuse (CSA) is a worldwide health problem with long-term negative effects on survivors’ mental, psychological, physical, and sexual health.</w:t>
      </w:r>
      <w:r w:rsidRPr="00786DFE">
        <w:rPr>
          <w:rFonts w:asciiTheme="majorBidi" w:hAnsiTheme="majorBidi" w:cstheme="majorBidi"/>
          <w:sz w:val="24"/>
          <w:szCs w:val="24"/>
          <w:shd w:val="clear" w:color="auto" w:fill="FFFFFF"/>
        </w:rPr>
        <w:t xml:space="preserve"> </w:t>
      </w:r>
      <w:r w:rsidRPr="00786DFE">
        <w:rPr>
          <w:rFonts w:asciiTheme="majorBidi" w:hAnsiTheme="majorBidi" w:cstheme="majorBidi"/>
          <w:sz w:val="24"/>
          <w:szCs w:val="24"/>
        </w:rPr>
        <w:t>According to the World Health Organization (WHO</w:t>
      </w:r>
      <w:r w:rsidRPr="00786DFE">
        <w:rPr>
          <w:rFonts w:asciiTheme="majorBidi" w:hAnsiTheme="majorBidi" w:cstheme="majorBidi"/>
          <w:noProof/>
          <w:sz w:val="24"/>
          <w:szCs w:val="24"/>
        </w:rPr>
        <w:t>, 1999</w:t>
      </w:r>
      <w:r w:rsidRPr="00786DFE">
        <w:rPr>
          <w:rFonts w:asciiTheme="majorBidi" w:hAnsiTheme="majorBidi" w:cstheme="majorBidi"/>
          <w:sz w:val="24"/>
          <w:szCs w:val="24"/>
        </w:rPr>
        <w:t xml:space="preserve">), “Child sexual abuse is 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person.” </w:t>
      </w:r>
      <w:bookmarkStart w:id="0" w:name="_Hlk44052085"/>
      <w:bookmarkStart w:id="1" w:name="_Hlk515220371"/>
      <w:r w:rsidRPr="00786DFE">
        <w:rPr>
          <w:rFonts w:asciiTheme="majorBidi" w:hAnsiTheme="majorBidi" w:cstheme="majorBidi"/>
          <w:sz w:val="24"/>
          <w:szCs w:val="24"/>
        </w:rPr>
        <w:t>For the purposes of this study, CSA includes offenses carried out by juvenile/peer offenders, and thus the word “assault” is added to the term: CSAA.</w:t>
      </w:r>
    </w:p>
    <w:p w14:paraId="231EE08E" w14:textId="77777777" w:rsidR="00A3292A" w:rsidRPr="00786DFE" w:rsidRDefault="00A3292A" w:rsidP="00A3292A">
      <w:pPr>
        <w:contextualSpacing/>
        <w:rPr>
          <w:rFonts w:asciiTheme="majorBidi" w:hAnsiTheme="majorBidi" w:cstheme="majorBidi"/>
          <w:sz w:val="24"/>
          <w:szCs w:val="24"/>
        </w:rPr>
      </w:pPr>
      <w:r w:rsidRPr="00786DFE">
        <w:rPr>
          <w:rFonts w:asciiTheme="majorBidi" w:hAnsiTheme="majorBidi" w:cstheme="majorBidi"/>
          <w:sz w:val="24"/>
          <w:szCs w:val="24"/>
        </w:rPr>
        <w:t xml:space="preserve">To date, researchers have focused extensively on estimating the prevalence of CSA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meta-analysis","type":"article-journal","volume":"58"},"uris":["http://www.mendeley.com/documents/?uuid=f761b4ba-dbfc-3ae3-8c06-f9c9da6c7d6a"]},{"id":"ITEM-2","itemData":{"DOI":"10.1177/1077559511403920","abstract":"Our comprehensive meta-analysis combined prevalence figures of childhood sexual abuse (CSA) reported in 217 publications published between 1980 and 2008, including 331 independent samples with a total of 9,911,748 participants. The overall estimated CSA prevalence was 127/1000 in self-report studies and 4/1000 in informant studies. Self-reported CSA was more common among female (180/1000) than among male participants (76/1000). Lowest rates for both girls (113/1000) and boys (41/1000) were found in Asia, and highest rates were found for girls in Australia (215/1000) and for boys in Africa (193/1000). The results of our meta-analysis confirm that CSA is a global problem of considerable extent, but also show that methodological issues dras-tically influence the self-reported prevalence of CSA.","author":[{"dropping-particle":"","family":"Stoltenborgh","given":"Marije","non-dropping-particle":"","parse-names":false,"suffix":""},{"dropping-particle":"","family":"Ijzendoorn","given":"Marinus H","non-dropping-particle":"Van","parse-names":false,"suffix":""},{"dropping-particle":"","family":"Euser","given":"Eveline M","non-dropping-particle":"","parse-names":false,"suffix":""},{"dropping-particle":"","family":"Bakermans-Kranenburg","given":"Marian J","non-dropping-particle":"","parse-names":false,"suffix":""}],"container-title":"Child Maltreatment","id":"ITEM-2","issue":"2","issued":{"date-parts":[["2011"]]},"page":"79-101","title":"A global perspective on child sexual abuse: Meta-analysis of prevalence around the world","type":"article-journal","volume":"16"},"uris":["http://www.mendeley.com/documents/?uuid=a31b95ea-57d2-3dc2-9d4b-3bc53a9d5384"]},{"id":"ITEM-3","itemData":{"DOI":"10.4103/2249-4863.148139","ISSN":"2249-4863","PMID":"25657958","abstract":"Child sexual abuse (CSA) is a universal problem with grave life-long outcomes. The estimates vary widely depending on the country under study, the definitions used, the type of CSA studied, the extent of coverage, and quality of data. This study intended to assess the magnitude and the issues related to CSA. We searched databases such as PubMed, Google scholar, web (newspaper reports), and government websites. The relevant data was extracted from these sources for gathering evidence on CSA and secondary data analysis was done. The prevalence of CSA was found to be high in India as well as throughout the world. CSA is an extensive problem and even the lowest prevalence includes a huge number of victims. It also has various adverse effects on the psychological, physical, behavioral, and interpersonal well-being of the victim. Hence, stringent measures should be taken for the prevention and control of this hidden public health issue.","author":[{"dropping-particle":"","family":"Singh","given":"Mannat Mohanjeet","non-dropping-particle":"","parse-names":false,"suffix":""},{"dropping-particle":"","family":"Parsekar","given":"Shradha S","non-dropping-particle":"","parse-names":false,"suffix":""},{"dropping-particle":"","family":"Nair","given":"Sreekumaran N","non-dropping-particle":"","parse-names":false,"suffix":""}],"container-title":"Journal of family medicine and primary care","id":"ITEM-3","issue":"4","issued":{"date-parts":[["2014"]]},"page":"430-5","publisher":"Wolters Kluwer -- Medknow Publications","title":"An epidemiological overview of child sexual abuse.","type":"article-journal","volume":"3"},"uris":["http://www.mendeley.com/documents/?uuid=0a56a226-1df6-3382-b6c8-04288e775e39"]},{"id":"ITEM-4","itemData":{"DOI":"10.1016/S0145-2134(99)00026-5","ISSN":"01452134","abstract":"Objective: We interviewed a U.S. national sample of women, aged 18 years and older to determine the prevalence and characteristics of childhood sexual abuse. We also examined which family and background variables were predictive of CSA in this sample. Method: The study employed a series of detailed descriptive questions regarding childhood sexual experiences that were administered in a highly structured format by trained female interviewers. CSA prevalence rates were calculated using two definitions of CSA, one of which was slightly more inclusive. Results: Prevalence rates for the more inclusive CSA definition ranged from 21% to 32%, depending on how respondents who provided incomplete information about their sexual experiences were classified. The less inclusive CSA definition resulted in prevalence rates ranging from 15% to 26%. Additional information about the types of abuse experienced, perpetrator characteristics, age at first abuse, and physical and affective consequences of the abusive experiences are reported. The risk of CSA was related to higher scores on a measure of father's rejection, and the interaction between parental drinking status and whether the respondent had lived with both parents during childhood. Further analysis of this interaction suggests that when respondents reported living with both biological parents, they were most at risk for CSA when their father was a nondrinker and their mother was a drinker.","author":[{"dropping-particle":"","family":"Vogeltanz","given":"Nancy D.","non-dropping-particle":"","parse-names":false,"suffix":""},{"dropping-particle":"","family":"Wilsnack","given":"Sharon C.","non-dropping-particle":"","parse-names":false,"suffix":""},{"dropping-particle":"","family":"Harris","given":"T. Robert","non-dropping-particle":"","parse-names":false,"suffix":""},{"dropping-particle":"","family":"Wilsnack","given":"Richard W.","non-dropping-particle":"","parse-names":false,"suffix":""},{"dropping-particle":"","family":"Wonderlich","given":"Stephen A.","non-dropping-particle":"","parse-names":false,"suffix":""},{"dropping-particle":"","family":"Kristjanson","given":"Arlinda F.","non-dropping-particle":"","parse-names":false,"suffix":""}],"container-title":"Child Abuse and Neglect","id":"ITEM-4","issue":"6","issued":{"date-parts":[["1999"]]},"page":"579-592","title":"Prevalence and risk factors for childhood sexual abuse in women: National survey findings","type":"article-journal","volume":"23"},"uris":["http://www.mendeley.com/documents/?uuid=47b44e2c-02c5-47ae-b798-674fcae75ac8"]}],"mendeley":{"formattedCitation":"(Barth et al., 2013; Singh et al., 2014; Stoltenborgh et al., 2011; Vogeltanz et al., 1999)","plainTextFormattedCitation":"(Barth et al., 2013; Singh et al., 2014; Stoltenborgh et al., 2011; Vogeltanz et al., 1999)","previouslyFormattedCitation":"(Barth et al., 2013; Singh et al., 2014; Stoltenborgh et al., 2011; Vogeltanz et al., 1999)"},"properties":{"noteIndex":0},"schema":"https://github.com/citation-style-language/schema/raw/master/csl-citation.json"}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(Barth et al., 2013; Singh et al., 2014; Stoltenborgh et al., 2011; Vogeltanz et al., 1999)</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Estimates of CSAA prevalence worldwide range from 8% to 31% for girls and from 3% to 17% for boys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meta-analysis","type":"article-journal","volume":"58"},"uris":["http://www.mendeley.com/documents/?uuid=f761b4ba-dbfc-3ae3-8c06-f9c9da6c7d6a"]}],"mendeley":{"formattedCitation":"(Barth et al., 2013)","plainTextFormattedCitation":"(Barth et al., 2013)","previouslyFormattedCitation":"(Barth et al., 2013)"},"properties":{"noteIndex":0},"schema":"https://github.com/citation-style-language/schema/raw/master/csl-citation.json"}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(Barth et al., 2013)</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Pereda et al.’s meta-analysis of the worldwide prevalence of CSAA (covering 22 countries) revealed that 7.9% of men and 19.7% of women had suffered sexual abuse before the age of eighteen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{"citationItems":[{"id":"ITEM-1","itemData":{"DOI":"10.1016/J.CHIABU.2008.07.007","ISSN":"0145-2134","abstract":"OBJECTIVE\nThe purpose of this paper was to compare the prevalence rates of child sexual abuse reported by [Finkelhor, D. (1994). The international epidemiology of child sexual abuse. Child Abuse &amp; Neglect, 18 (5), 409–417] with those found in recent publications in order to confirm the widespread prevalence of child sexual abuse. \n\nMETHODS\nRelevant articles about prevalence of child sexual abuse were identified through searches of computerized databases and a handsearch of Child Abuse &amp; Neglect and the Journal of Child Sexual Abuse. \n\nRESULTS\nThirty-eight independent articles were identified, corresponding to 39 prevalence studies; these articles report the prevalence of childhood sexual abuse in 21 different countries, ranging from 0 to 53% for women and 0 to 60% for men. \n\nCONCLUSIONS\nComparison of the present study with that of [Finkelhor, D. (1994). The international epidemiology of child sexual abuse. Child Abuse &amp; Neglect, 18 (5), 409–417] shows a similarity between prevalence distributions; there appears to be a general pattern that remains more or less constant over the years, especially in women. \n\nPRACTICE IMPLICATIONS\nTwelve years after the first revision study about the international prevalence of child sexual abuse, there is still a need for new data about this topic. The present study shows child sexual abuse is still a widespread problem in the society. In this research, carried out on 38 independent studies, there is new data for 21 countries over the world, being especially relevant the results obtained from other countries different from those pertaining to North America or Europe. It is important to point out the high prevalence found in most of the countries, so this information could be a new warning to make society and governments aware of this problem and undertake actions to prevent sexual abuse in childhood.","author":[{"dropping-particle":"","family":"Pereda","given":"Noemí","non-dropping-particle":"","parse-names":false,"suffix":""},{"dropping-particle":"","family":"Guilera","given":"Georgina","non-dropping-particle":"","parse-names":false,"suffix":""},{"dropping-particle":"","family":"Forns","given":"Maria","non-dropping-particle":"","parse-names":false,"suffix":""},{"dropping-particle":"","family":"Gómez-Benito","given":"Juana","non-dropping-particle":"","parse-names":false,"suffix":""}],"container-title":"Child Abuse &amp; Neglect","id":"ITEM-1","issue":"6","issued":{"date-parts":[["2009","6","1"]]},"page":"331-342","publisher":"Pergamon","title":"The international epidemiology of child sexual abuse: A continuation of Finkelhor (1994)","type":"article-journal","volume":"33"},"uris":["http://www.mendeley.com/documents/?uuid=07f85eef-7caa-303d-b6e6-05958e7c18da"]}],"mendeley":{"formattedCitation":"(Pereda et al., 2009)","plainTextFormattedCitation":"(Pereda et al., 2009)","previouslyFormattedCitation":"(Pereda et al., 2009)"},"properties":{"noteIndex":0},"schema":"https://github.com/citation-style-language/schema/raw/master/csl-citation.json"}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(Pereda et al., 2009)</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In Israel, one out of four adults reports having been sexually abused as a child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{"citationItems":[{"id":"ITEM-1","itemData":{"DOI":"10.1016/S0145-2134(00)00128-9","ISSN":"0145-2134","abstract":"Objective: To determine the prevalence of a history of child sexual abuse (CSA) in a random sample of adult patients presenting for routine health care to family practice clinics in Israel. Method: One thousand and five randomly selected patients aged 18 to 55, attending 48 clinics, participated in this questionnaire study. Results: Twenty-five percent indicated that they had been sexually abused as children. More women reported CSA (p &lt; .0001) than men, as did women originating from Western countries (p = .02) and those with more than 12 years of education (p = .01). There were no significant associations between CSA and the other socio-demographic variables examined. Fondling was the most common and intercourse the least common activity experienced. Forty-five percent of the perpetrators were previously known. The mean age at which the child sexual abuse began varied between 10 and 14. Only 45% of the subjects had ever told anyone about the experience. Conclusions: Since no other prevalence study has been reported to date in Israel, these findings suggest that as in other Western countries CSA is a relatively common problem. Family physicians and other health professionals should be aware of this high prevalence and its known potential for initial and long-term deleterious outcomes. Objectif: Déterminer la prévalence des antécédents d’abus sexuels dans un échantillon aléatoire de patients adultes recevant des soins courants dans une clinique de médecine familiale en Israël. Méthode: Mille cinq patients dans 48 cliniques ont été choisis de façon aléatoire pour participer à cette étude en répondant à un questionnaire. Ils étaient âgés entre 18 et 55 ans. Résultats: Vingt-cinq pour cent ont affirmé qu’ils avaient été abusés sexuellement durant leur enfance. Le nombre de femmes était plus considérable (p &lt; .0001) que celui des hommes. Les femmes venant de pays occidentaux (= .02) et celles qui comptaient plus de 12 ans de scolarité étaient plus nombreuses. On a remarqué aucune association importante entre les abus sexuels et les autres variables socio-démographiques. Les attouchements sont le type d’abus le plus fréquent tandis que la relation sexuelle s’avère le type d’agression le moins fréquent. Quarante-cinq pour cent des agresseurs connaissaient leur victime. Le début des agressions varie entre 10 et 14 ans. Seulement 45 pour cent des victimes ont confié leur agression à quelqu’un. Conclusions: Alors qu’on ne connaı̂t aucune autre étude en Israël sur…","author":[{"dropping-particle":"","family":"Schein","given":"Moshe","non-dropping-particle":"","parse-names":false,"suffix":""},{"dropping-particle":"","family":"Biderman","given":"Aya","non-dropping-particle":"","parse-names":false,"suffix":""},{"dropping-particle":"","family":"Baras","given":"Mario","non-dropping-particle":"","parse-names":false,"suffix":""},{"dropping-particle":"","family":"Bennett","given":"Larry","non-dropping-particle":"","parse-names":false,"suffix":""},{"dropping-particle":"","family":"Bisharat","given":"Bishara","non-dropping-particle":"","parse-names":false,"suffix":""},{"dropping-particle":"","family":"Borkan","given":"Jeff","non-dropping-particle":"","parse-names":false,"suffix":""},{"dropping-particle":"","family":"Fogelman","given":"Yaacov","non-dropping-particle":"","parse-names":false,"suffix":""},{"dropping-particle":"","family":"Gordon","given":"Lois","non-dropping-particle":"","parse-names":false,"suffix":""},{"dropping-particle":"","family":"Steinmetz","given":"Dov","non-dropping-particle":"","parse-names":false,"suffix":""},{"dropping-particle":"","family":"Kitai","given":"Eli","non-dropping-particle":"","parse-names":false,"suffix":""}],"container-title":"Child Abuse &amp; Neglect","id":"ITEM-1","issue":"5","issued":{"date-parts":[["2000","5","1"]]},"page":"667-675","publisher":"Pergamon","title":"The prevalence of a history of child sexual abuse among adults visiting family practitioners in Israel","type":"article-journal","volume":"24"},"uris":["http://www.mendeley.com/documents/?uuid=77b85ba1-b369-350a-b90d-def5d85a54c3"]}],"mendeley":{"formattedCitation":"(Schein et al., 2000)","plainTextFormattedCitation":"(Schein et al., 2000)","previouslyFormattedCitation":"(Schein et al., 2000)"},"properties":{"noteIndex":0},"schema":"https://github.com/citation-style-language/schema/raw/master/csl-citation.json"}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(Schein et al., 2000)</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w:t>
      </w:r>
      <w:bookmarkEnd w:id="0"/>
      <w:r w:rsidRPr="00786DFE">
        <w:rPr>
          <w:rFonts w:asciiTheme="majorBidi" w:hAnsiTheme="majorBidi" w:cstheme="majorBidi"/>
          <w:sz w:val="24"/>
          <w:szCs w:val="24"/>
        </w:rPr>
        <w:t xml:space="preserve">In the Jewish population, no gender differences have been found in CSAA rates (17.6% for boys and 17.7% for girls), whereas among the Arab population, these rates are significantly higher among boys (28.4%) than among girls </w:t>
      </w:r>
      <w:r w:rsidRPr="00786DFE">
        <w:rPr>
          <w:rFonts w:asciiTheme="majorBidi" w:hAnsiTheme="majorBidi" w:cstheme="majorBidi"/>
          <w:sz w:val="24"/>
          <w:szCs w:val="24"/>
        </w:rPr>
        <w:lastRenderedPageBreak/>
        <w:t xml:space="preserve">(18.7%)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(Lev-Wiesel et al., 2018)</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In a recent national study on child maltreatment in Israel, 18.7% of Israeli children aged between 12 and 17 reported having been sexually abused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(Lev-Wiesel et al., 2018)</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Prior research has indicated that CSAA has significant negative effects in both the short and long term, including post-traumatic stress disorder (PTSD),</w:t>
      </w:r>
      <w:bookmarkEnd w:id="1"/>
      <w:r w:rsidRPr="00786DFE">
        <w:rPr>
          <w:rFonts w:asciiTheme="majorBidi" w:hAnsiTheme="majorBidi" w:cstheme="majorBidi"/>
          <w:sz w:val="24"/>
          <w:szCs w:val="24"/>
        </w:rPr>
        <w:t xml:space="preserve"> various psychiatric disorders, such as depression, anxiety, suicide and suicide attempts, substance use, neurobiological effects, poor physical health, eating disorders, and psychosomatic physical complaints and conditions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{"citationItems":[{"id":"ITEM-1","itemData":{"DOI":"10.1097/01.CHI.0000037029.04952.72","abstract":"Objective: To provide clinicians with current information on prevalence, risk factors, outcomes, treatment, and preven-tion of child sexual abuse (CSA). To examine the best-documented examples of psychopathology attributable to CSA. Method: Computer literature searches of Medline and PSYCInfo for key words. All English-language articles published after 1989 containing empirical data pertaining to CSA were reviewed. Results: CSA constitutes approximately 10% of officially substantiated child maltreatment cases, numbering approximately 88,000 in 2000. Adjusted prevalence rates are 16.8% and 7.9% for adult women and men, respectively. Risk factors include gender, age, disabilities, and parental dysfunc-tion. A range of symptoms and disorders has been associated with CSA, but depression in adults and sexualized behav-iors in children are the best-documented outcomes. To date, cognitive-behavioral therapy (CBT) of the child and a nonoffending parent is the most effective treatment. Prevention efforts have focused on child education to increase aware-ness and home visitation to decrease risk factors. Conclusions: CSA is a significant risk factor for psychopathology, especially depression and substance abuse. Preliminary research indicates that CBT is effective for some symptoms, but longitudinal follow-up and large-scale \" effectiveness \" studies are needed. Prevention programs have promise, but eval-uations to date are limited. J. Am. Acad. Child Adolesc. Psychiatry, 2003, 42(3):269–278.","author":[{"dropping-particle":"","family":"Putnam","given":"Frank W","non-dropping-particle":"","parse-names":false,"suffix":""}],"container-title":"Journal of the American Academy of Child and Adolescent Psychiatry","id":"ITEM-1","issue":"3","issued":{"date-parts":[["2003"]]},"page":"269-278","title":"Ten-year research update review: Child sexual abuse","type":"article-journal","volume":"42"},"uris":["http://www.mendeley.com/documents/?uuid=0eb52d92-d9c4-3f12-9739-020412bbac8e"]},{"id":"ITEM-2","itemData":{"author":[{"dropping-particle":"","family":"Briere","given":"John","non-dropping-particle":"","parse-names":false,"suffix":""},{"dropping-particle":"","family":"Runtz","given":"MARSHA","non-dropping-particle":"","parse-names":false,"suffix":""}],"container-title":"Journal of Interpersonal Violence","id":"ITEM-2","issue":"3","issued":{"date-parts":[["1993"]]},"page":"312-330","title":"Childhood sexual abuse: Long-term sequelae and implications for psychological assessment","type":"article-journal","volume":"8"},"uris":["http://www.mendeley.com/documents/?uuid=5eefd8e0-d9d3-4922-ba63-7afe7c966345"]}],"mendeley":{"formattedCitation":"(Briere &amp; Runtz, 1993; Putnam, 2003)","plainTextFormattedCitation":"(Briere &amp; Runtz, 1993; Putnam, 2003)","previouslyFormattedCitation":"(Briere &amp; Runtz, 1993; Putnam, 2003)"},"properties":{"noteIndex":0},"schema":"https://github.com/citation-style-language/schema/raw/master/csl-citation.json"}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(Briere &amp; Runtz, 1993; Putnam, 2003)</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w:t>
      </w:r>
    </w:p>
    <w:p w14:paraId="7299634D" w14:textId="77777777" w:rsidR="00A3292A" w:rsidRPr="00786DFE" w:rsidRDefault="00A3292A" w:rsidP="00A3292A">
      <w:pPr>
        <w:pStyle w:val="NormalWeb"/>
        <w:shd w:val="clear" w:color="auto" w:fill="FFFFFF"/>
        <w:spacing w:before="24" w:beforeAutospacing="0" w:after="24" w:afterAutospacing="0" w:line="480" w:lineRule="auto"/>
        <w:ind w:firstLine="720"/>
        <w:contextualSpacing/>
        <w:rPr>
          <w:rFonts w:asciiTheme="majorBidi" w:hAnsiTheme="majorBidi" w:cstheme="majorBidi"/>
        </w:rPr>
      </w:pPr>
      <w:r w:rsidRPr="00786DFE">
        <w:rPr>
          <w:rFonts w:asciiTheme="majorBidi" w:hAnsiTheme="majorBidi" w:cstheme="majorBidi"/>
        </w:rPr>
        <w:t>Teachers play a key role in preventing and disclosing CSAA. In fact, in a recent study, Goldschmidt-</w:t>
      </w:r>
      <w:proofErr w:type="spellStart"/>
      <w:r w:rsidRPr="00786DFE">
        <w:rPr>
          <w:rFonts w:asciiTheme="majorBidi" w:hAnsiTheme="majorBidi" w:cstheme="majorBidi"/>
        </w:rPr>
        <w:t>Gjerløw</w:t>
      </w:r>
      <w:proofErr w:type="spellEnd"/>
      <w:r w:rsidRPr="00786DFE">
        <w:rPr>
          <w:rFonts w:asciiTheme="majorBidi" w:hAnsiTheme="majorBidi" w:cstheme="majorBidi"/>
        </w:rPr>
        <w:t xml:space="preserve"> highlights the importance of children’s rights and teachers’ responsibilities in addressing the topic of CSAA in schools </w:t>
      </w:r>
      <w:r w:rsidRPr="00786DFE">
        <w:rPr>
          <w:rFonts w:asciiTheme="majorBidi" w:hAnsiTheme="majorBidi" w:cstheme="majorBidi"/>
        </w:rPr>
        <w:fldChar w:fldCharType="begin" w:fldLock="1"/>
      </w:r>
      <w:r w:rsidRPr="00786DFE">
        <w:rPr>
          <w:rFonts w:asciiTheme="majorBidi" w:hAnsiTheme="majorBidi" w:cstheme="majorBidi"/>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abuse?","type":"article-journal","volume":"2"},"uris":["http://www.mendeley.com/documents/?uuid=b033bf89-f225-4cbd-b393-d3545127172a"]}],"mendeley":{"formattedCitation":"(Goldschmidt-Gjerløw, 2019)","plainTextFormattedCitation":"(Goldschmidt-Gjerløw, 2019)","previouslyFormattedCitation":"(Goldschmidt-Gjerløw, 2019)"},"properties":{"noteIndex":0},"schema":"https://github.com/citation-style-language/schema/raw/master/csl-citation.json"}</w:instrText>
      </w:r>
      <w:r w:rsidRPr="00786DFE">
        <w:rPr>
          <w:rFonts w:asciiTheme="majorBidi" w:hAnsiTheme="majorBidi" w:cstheme="majorBidi"/>
        </w:rPr>
        <w:fldChar w:fldCharType="separate"/>
      </w:r>
      <w:r w:rsidRPr="00786DFE">
        <w:rPr>
          <w:rFonts w:asciiTheme="majorBidi" w:hAnsiTheme="majorBidi" w:cstheme="majorBidi"/>
          <w:noProof/>
        </w:rPr>
        <w:t>(Goldschmidt-Gjerløw, 2019)</w:t>
      </w:r>
      <w:r w:rsidRPr="00786DFE">
        <w:rPr>
          <w:rFonts w:asciiTheme="majorBidi" w:hAnsiTheme="majorBidi" w:cstheme="majorBidi"/>
        </w:rPr>
        <w:fldChar w:fldCharType="end"/>
      </w:r>
      <w:r w:rsidRPr="00786DFE">
        <w:rPr>
          <w:rFonts w:asciiTheme="majorBidi" w:hAnsiTheme="majorBidi" w:cstheme="majorBidi"/>
        </w:rPr>
        <w:t xml:space="preserve">. As teachers spend several hours a day with their pupils, it is important that they discuss CSAA with them in appropriate and useful ways. Such discussions help to prevent this type of abuse, as pupils become informed about CSAA, what relationships are characteristic between the abuser and the victim, and what victims can do to break out of this pattern. Conversations about CSAA between teachers and pupils can equip pupils with greater protection and safety, and by openly discussing CSAA, teachers can become more alert to signs indicating that a pupil is being subjected to violence or abuse, and this helps to promote (and facilitate) victims’ disclosure of CSAA. </w:t>
      </w:r>
    </w:p>
    <w:p w14:paraId="01837843" w14:textId="77777777" w:rsidR="00A3292A" w:rsidRPr="00786DFE" w:rsidRDefault="00A3292A" w:rsidP="00A3292A">
      <w:pPr>
        <w:contextualSpacing/>
        <w:rPr>
          <w:rFonts w:asciiTheme="majorBidi" w:hAnsiTheme="majorBidi" w:cstheme="majorBidi"/>
          <w:sz w:val="24"/>
          <w:szCs w:val="24"/>
        </w:rPr>
      </w:pPr>
      <w:r w:rsidRPr="00786DFE">
        <w:rPr>
          <w:rFonts w:asciiTheme="majorBidi" w:hAnsiTheme="majorBidi" w:cstheme="majorBidi"/>
          <w:sz w:val="24"/>
          <w:szCs w:val="24"/>
        </w:rPr>
        <w:t xml:space="preserve">A timely disclosure of CSAA, combined with an appropriate response, can potentially reduce the risk of subsequent sexual exploitation/revictimization, and put an end to the suffering inflicted by offenders. It is therefore imperative that responsible and trusted adults in children’s lives learn how to encourage genuine disclosure of CSAA. Previous research shows that children do not often disclose their </w:t>
      </w:r>
      <w:r w:rsidRPr="00786DFE">
        <w:rPr>
          <w:rFonts w:asciiTheme="majorBidi" w:hAnsiTheme="majorBidi" w:cstheme="majorBidi"/>
          <w:sz w:val="24"/>
          <w:szCs w:val="24"/>
        </w:rPr>
        <w:lastRenderedPageBreak/>
        <w:t xml:space="preserve">CSAA experience to teachers. In a national study conducted in the United States, it was found that 66.3% of </w:t>
      </w:r>
      <w:r w:rsidRPr="00786DFE">
        <w:rPr>
          <w:rFonts w:asciiTheme="majorBidi" w:hAnsiTheme="majorBidi" w:cstheme="majorBidi"/>
          <w:bCs/>
          <w:sz w:val="24"/>
          <w:szCs w:val="24"/>
        </w:rPr>
        <w:t xml:space="preserve">youths aged between ten and 17 years did not report cases of sexual abuse to a parent or any other adult. However, of those who did disclose offenses, 31% disclosed to their parents, 19.1% to the police, and 21.8% to a teacher </w:t>
      </w:r>
      <w:r w:rsidRPr="00786DFE">
        <w:rPr>
          <w:rFonts w:asciiTheme="majorBidi" w:hAnsiTheme="majorBidi" w:cstheme="majorBidi"/>
          <w:bCs/>
          <w:sz w:val="24"/>
          <w:szCs w:val="24"/>
        </w:rPr>
        <w:fldChar w:fldCharType="begin" w:fldLock="1"/>
      </w:r>
      <w:r w:rsidRPr="00786DFE">
        <w:rPr>
          <w:rFonts w:asciiTheme="majorBidi" w:hAnsiTheme="majorBidi" w:cstheme="majorBidi"/>
          <w:bCs/>
          <w:sz w:val="24"/>
          <w:szCs w:val="24"/>
        </w:rPr>
        <w:instrText>ADDIN CSL_CITATION {"citationItems":[{"id":"ITEM-1","itemData":{"DOI":"10.1177/1077559519873975","ISSN":"15526119","abstract":"The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Maltreatment","id":"ITEM-1","issued":{"date-parts":[["2019"]]},"title":"Sexal abuse and assault in a large national sample of children and adolescents","type":"article-journal"},"uris":["http://www.mendeley.com/documents/?uuid=46db646d-71cb-4fb5-8bfd-d9d50c2091a3"]}],"mendeley":{"formattedCitation":"(Gewirtz-Meydan &amp; Finkelhor, 2019)","plainTextFormattedCitation":"(Gewirtz-Meydan &amp; Finkelhor, 2019)","previouslyFormattedCitation":"(Gewirtz-Meydan &amp; Finkelhor, 2019)"},"properties":{"noteIndex":0},"schema":"https://github.com/citation-style-language/schema/raw/master/csl-citation.json"}</w:instrText>
      </w:r>
      <w:r w:rsidRPr="00786DFE">
        <w:rPr>
          <w:rFonts w:asciiTheme="majorBidi" w:hAnsiTheme="majorBidi" w:cstheme="majorBidi"/>
          <w:bCs/>
          <w:sz w:val="24"/>
          <w:szCs w:val="24"/>
        </w:rPr>
        <w:fldChar w:fldCharType="separate"/>
      </w:r>
      <w:r w:rsidRPr="00786DFE">
        <w:rPr>
          <w:rFonts w:asciiTheme="majorBidi" w:hAnsiTheme="majorBidi" w:cstheme="majorBidi"/>
          <w:bCs/>
          <w:noProof/>
          <w:sz w:val="24"/>
          <w:szCs w:val="24"/>
        </w:rPr>
        <w:t>(Gewirtz-Meydan &amp; Finkelhor, 2019)</w:t>
      </w:r>
      <w:r w:rsidRPr="00786DFE">
        <w:rPr>
          <w:rFonts w:asciiTheme="majorBidi" w:hAnsiTheme="majorBidi" w:cstheme="majorBidi"/>
          <w:bCs/>
          <w:sz w:val="24"/>
          <w:szCs w:val="24"/>
        </w:rPr>
        <w:fldChar w:fldCharType="end"/>
      </w:r>
      <w:r w:rsidRPr="00786DFE">
        <w:rPr>
          <w:rFonts w:asciiTheme="majorBidi" w:hAnsiTheme="majorBidi" w:cstheme="majorBidi"/>
          <w:bCs/>
          <w:sz w:val="24"/>
          <w:szCs w:val="24"/>
        </w:rPr>
        <w:t xml:space="preserve">. Similarly, in another study involving CSAA survivors, </w:t>
      </w:r>
      <w:r w:rsidRPr="00786DFE">
        <w:rPr>
          <w:rFonts w:asciiTheme="majorBidi" w:hAnsiTheme="majorBidi" w:cstheme="majorBidi"/>
          <w:sz w:val="24"/>
          <w:szCs w:val="24"/>
        </w:rPr>
        <w:t xml:space="preserve">75% of respondents did not disclose abuse during their childhood. Of the 25% of survivors who reported having told someone about the abuse, only 7% disclosed episodes to their teacher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guardians","type":"article-journal","volume":"14"},"uris":["http://www.mendeley.com/documents/?uuid=cca8ac1b-b99f-3db8-938a-8c6bc7cd6fd5"]}],"mendeley":{"formattedCitation":"(Wager, 2015)","plainTextFormattedCitation":"(Wager, 2015)","previouslyFormattedCitation":"(Wager, 2015)"},"properties":{"noteIndex":0},"schema":"https://github.com/citation-style-language/schema/raw/master/csl-citation.json"}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(Wager, 2015)</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Findings from </w:t>
      </w:r>
      <w:proofErr w:type="spellStart"/>
      <w:r w:rsidRPr="00786DFE">
        <w:rPr>
          <w:rFonts w:asciiTheme="majorBidi" w:hAnsiTheme="majorBidi" w:cstheme="majorBidi"/>
          <w:sz w:val="24"/>
          <w:szCs w:val="24"/>
        </w:rPr>
        <w:t>Alaggia’s</w:t>
      </w:r>
      <w:proofErr w:type="spellEnd"/>
      <w:r w:rsidRPr="00786DFE">
        <w:rPr>
          <w:rFonts w:asciiTheme="majorBidi" w:hAnsiTheme="majorBidi" w:cstheme="majorBidi"/>
          <w:sz w:val="24"/>
          <w:szCs w:val="24"/>
        </w:rPr>
        <w:t xml:space="preserve">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{"citationItems":[{"id":"ITEM-1","itemData":{"ISSN":"17198429","PMID":"20119565","abstract":"Objectives: Research continues to indicate a concerning number of children and youth, between 60-80%, withhold disclosure until adulthood suggesting that many children endure prolonged victimization or never receive necessary intervention. The study aim was to qualitatively identify factors that impede or promote child sexual abuse (CSA) disclosure. Methods: Using a phenomenological design, forty adult survivors of CSA were interviewed about their disclosure experiences to provide retrospective accounts of their childhood and adolescent abuse experiences, disclosure attempts, and meaning-making of these experiences. Results: Findings show that disclosure is multiply determined by a complex interplay of factors related to child characteristics, family environment, community influences, and cultural and societal attitudes. An ecological analysis is offered to understand these complexities. Unless barriers to disclosure are eradicated, negative effects of CSA can persist manifesting in serious mental health issues. Conclusions: Practitioners can expect to work with children, adolescents and adults who have withheld disclosure or attempted to tell over time having experienced a wide range of responses. Multi-level intervention is recommended at the individual, community and macrolevels. Future investigations should focus on how to identify and measure the impact of community and macro level factors on disclosure, aspects that have received much less attention.","author":[{"dropping-particle":"","family":"Alaggia","given":"Ramona","non-dropping-particle":"","parse-names":false,"suffix":""}],"container-title":"Journal of the Canadian Academy of Child and Adolescent Psychiatry","id":"ITEM-1","issue":"1","issued":{"date-parts":[["2010"]]},"page":"32-39","title":"An ecological analysis of child sexual abuse disclosure: Considerations for child and adolescent mental health","type":"article-journal","volume":"19"},"uris":["http://www.mendeley.com/documents/?uuid=c00488c7-04cf-32d0-a92c-6f8540797480"]}],"mendeley":{"formattedCitation":"(Alaggia, 2010)","manualFormatting":"(2010)","plainTextFormattedCitation":"(Alaggia, 2010)","previouslyFormattedCitation":"(Alaggia, 2010)"},"properties":{"noteIndex":0},"schema":"https://github.com/citation-style-language/schema/raw/master/csl-citation.json"}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(2010)</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study on adult survivors suggest that there is an expectation that teachers should recognize distress in their pupils, along with the assumption directly asking students about the cause would help provoke a disclosure. </w:t>
      </w:r>
    </w:p>
    <w:p w14:paraId="2BA95C69" w14:textId="77777777" w:rsidR="00A3292A" w:rsidRPr="00786DFE" w:rsidRDefault="00A3292A" w:rsidP="00A3292A">
      <w:pPr>
        <w:contextualSpacing/>
        <w:rPr>
          <w:rFonts w:asciiTheme="majorBidi" w:hAnsiTheme="majorBidi" w:cstheme="majorBidi"/>
          <w:sz w:val="24"/>
          <w:szCs w:val="24"/>
        </w:rPr>
      </w:pPr>
      <w:r w:rsidRPr="00786DFE">
        <w:rPr>
          <w:rFonts w:asciiTheme="majorBidi" w:hAnsiTheme="majorBidi" w:cstheme="majorBidi"/>
          <w:sz w:val="24"/>
          <w:szCs w:val="24"/>
        </w:rPr>
        <w:t xml:space="preserve">It is regrettable that children do not feel comfortable discussing CSAA with their teachers or disclosing cases of abuse to them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(Schönbucher et al., 2012)</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Children and adolescents need adults from all spheres of their life – including parents, teachers, police, magistrates, and health-care providers – to openly discuss and sensitively respond to CSAA. The current study sought to examine the factors that facilitate this kind of open discussion between teachers and pupils. While previous research in this area has focused mainly on the perspective of either pupils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(Schönbucher et al., 2012)</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or teachers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{"citationItems":[{"id":"ITEM-1","itemData":{"DOI":"10.1007/s10212-011-0059-4","ISSN":"02562928","abstract":"Teacher-educators need ways of assessing the adequacy of university curriculum and the extent to which student-teachers meet learning objectives. One potentially useful tool is Anderson and Krathwohl's (Addison Wesley Longman, New York, 2001) theoretical framework, which can be applied to assess student-teachers' knowledge types and their cognitive processes in critical pre-service curriculum areas such as child sexual abuse and personal safety. This study aims to illustrate the use of Anderson and Krathwohl's framework in assessing student-teachers' learning of pedagogies in relation to child sexual abuse and personal safety. Participants were a final year cohort of 122 Bachelor of Education (Primary School) students at an Australian university. Student-teachers' essays regarding the pedagogical practices that they would implement in teaching about child sexual abuse and personal safety were content analysed using Anderson and Krathwohl's framework. Pedagogies identified by the student-teachers were unevenly distributed across the cells within the theoretical framework. Well-represented pedagogies tended to reflect mid-level cognitive processes (those of understand, apply, and analyse), and low to midlevel knowledge types (those of factual, conceptual, and procedural). Under-represented were pedagogies reflecting higher-level cognition such as creating (in all four knowledge types) and evaluation (of factual and conceptual knowledge). The findings provide a basis for assessing the adequacy of current university teacher-education curriculum structures. Student-teachers' understandings of under-used theoretical and pedagogical strategies can be identified as a guide to enhance their cognitive processes and knowledge dimensions. This study illustrates a method that has applicability as a diagnostic and assessment tool across a wide range of pre-service teacher education curriculum areas. © Instituto Superior de Psicologia Aplicada, Lisboa, Portugal and Springer Science+Business Media BV 2011.","author":[{"dropping-particle":"","family":"Goldman","given":"Juliette D.G.","non-dropping-particle":"","parse-names":false,"suffix":""},{"dropping-particle":"","family":"Bradley","given":"Graham L.","non-dropping-particle":"","parse-names":false,"suffix":""}],"container-title":"European Journal of Psychology of Education","id":"ITEM-1","issue":"4","issued":{"date-parts":[["2011"]]},"page":"479-493","title":"Assessing primary school student-teachers' pedagogic implementations in child sexual abuse protection education","type":"article-journal","volume":"26"},"uris":["http://www.mendeley.com/documents/?uuid=659d2c52-2bea-4726-8588-acbc9f47ed7f"]},{"id":"ITEM-2","itemData":{"DOI":"10.1016/j.childyouth.2019.104465","ISSN":"01907409","abstract":"Children's educators are on the front line of child sexual abuse (CSA). By confronting cases in their everyday work in the school, they hold the potential to be agents of social change – to promote detection, disclosure and intervention. However, research on the experience of such educators contending with CSA is limited both conceptually and methodologically. The purpose of the present study was to describe and analyze the experiences of Israeli educators coping with CSA disclosure. The following research questions were explored: (1) How is CSA disclosure perceived and experienced by children's educators in their daily work? (2) How does CSA disclosure affect these educators in their professional and personal lives? The findings are based on semi-structured interviews conducted with 20 children's educators. Results indicate that their core experience is loneliness when facing the victim, when confronting his or her parents, when facing authority figures inside and outside of school, and when dealing with the effect on their personal lives. In coping with this loneliness, educators adopt three main styles: “lone rider” (self-coping); “layperson” (experiencing themselves as lacking the ability and knowledge to cope); and “buck-passer” (rapid shifting of responsibility). Implications for future research, policy, and practice are discussed.","author":[{"dropping-particle":"","family":"Tener","given":"Dafna","non-dropping-particle":"","parse-names":false,"suffix":""},{"dropping-particle":"","family":"Sigad","given":"Laura","non-dropping-particle":"","parse-names":false,"suffix":""}],"container-title":"Children and Youth Services Review","id":"ITEM-2","issue":"April","issued":{"date-parts":[["2019"]]},"page":"104465","publisher":"Elsevier","title":"“I felt like I was thrown into a deep well”: Educators coping with child sexual abuse disclosure","type":"article-journal","volume":"106"},"uris":["http://www.mendeley.com/documents/?uuid=6767db65-331e-49de-8dbb-1969a98d8b24"]}],"mendeley":{"formattedCitation":"(Goldman &amp; Bradley, 2011; Tener &amp; Sigad, 2019)","plainTextFormattedCitation":"(Goldman &amp; Bradley, 2011; Tener &amp; Sigad, 2019)","previouslyFormattedCitation":"(Goldman &amp; Bradley, 2011; Tener &amp; Sigad, 2019)"},"properties":{"noteIndex":0},"schema":"https://github.com/citation-style-language/schema/raw/master/csl-citation.json"}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(Goldman &amp; Bradley, 2011; Tener &amp; Sigad, 2019)</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there is a growing need for studies that integrate the perceptions of both pupils and teachers to examine the gap between them. This research addresses this gap by examining the perceptions of both pupils and their homeroom teachers in the discussion on CSAA. </w:t>
      </w:r>
    </w:p>
    <w:p w14:paraId="1B4AF938" w14:textId="77777777" w:rsidR="00A3292A" w:rsidRPr="00786DFE" w:rsidRDefault="00A3292A" w:rsidP="00A3292A">
      <w:pPr>
        <w:contextualSpacing/>
        <w:rPr>
          <w:rFonts w:asciiTheme="majorBidi" w:eastAsia="Times New Roman" w:hAnsiTheme="majorBidi" w:cstheme="majorBidi"/>
          <w:sz w:val="24"/>
          <w:szCs w:val="24"/>
          <w:rtl/>
        </w:rPr>
      </w:pPr>
      <w:r w:rsidRPr="00786DFE">
        <w:rPr>
          <w:rFonts w:asciiTheme="majorBidi" w:hAnsiTheme="majorBidi" w:cstheme="majorBidi"/>
          <w:sz w:val="24"/>
          <w:szCs w:val="24"/>
        </w:rPr>
        <w:t xml:space="preserve">The study examines teachers’ mediation strategies regarding CSAA and how they correlate with pupils’ perceptions of teacher support and acceptance. It is based </w:t>
      </w:r>
      <w:r w:rsidRPr="00786DFE">
        <w:rPr>
          <w:rFonts w:asciiTheme="majorBidi" w:hAnsiTheme="majorBidi" w:cstheme="majorBidi"/>
          <w:sz w:val="24"/>
          <w:szCs w:val="24"/>
        </w:rPr>
        <w:lastRenderedPageBreak/>
        <w:t xml:space="preserve">on three core strategies of mediation: </w:t>
      </w:r>
      <w:r w:rsidRPr="00786DFE">
        <w:rPr>
          <w:rFonts w:asciiTheme="majorBidi" w:eastAsia="Times New Roman" w:hAnsiTheme="majorBidi" w:cstheme="majorBidi"/>
          <w:sz w:val="24"/>
          <w:szCs w:val="24"/>
        </w:rPr>
        <w:t xml:space="preserve">restrictive, negative active, and positive active </w:t>
      </w:r>
      <w:r w:rsidRPr="00786DFE">
        <w:rPr>
          <w:rFonts w:asciiTheme="majorBidi" w:eastAsia="Times New Roman" w:hAnsiTheme="majorBidi" w:cstheme="majorBidi"/>
          <w:sz w:val="24"/>
          <w:szCs w:val="24"/>
        </w:rPr>
        <w:fldChar w:fldCharType="begin" w:fldLock="1"/>
      </w:r>
      <w:r w:rsidRPr="00786DFE">
        <w:rPr>
          <w:rFonts w:asciiTheme="majorBidi" w:eastAsia="Times New Roman" w:hAnsiTheme="majorBidi" w:cstheme="majorBidi"/>
          <w:sz w:val="24"/>
          <w:szCs w:val="24"/>
        </w:rPr>
        <w:instrText>ADDIN CSL_CITATION {"citationItems":[{"id":"ITEM-1","itemData":{"DOI":"10.1177/009365099026002002","ISSN":"00936502","abstract":"A survey of 394 parents and children in 2nd through 6th grades was conducted to explore the relations between parental mediation of violent television and children's generalized and TV-induced aggr...","author":[{"dropping-particle":"","family":"Nathanson","given":"Amy I.","non-dropping-particle":"","parse-names":false,"suffix":""}],"container-title":"http://dx.doi.org/10.1177/009365099026002002","id":"ITEM-1","issue":"2","issued":{"date-parts":[["2016","6","29"]]},"page":"124-143","publisher":"Sage PublicationsLondon","title":"Identifying and Explaining the Relationship Between Parental Mediation and Children's Aggression:","type":"article-journal","volume":"26"},"uris":["http://www.mendeley.com/documents/?uuid=c01ef9d2-4ee3-37d1-9555-edac4afc0aed"]},{"id":"ITEM-2","itemData":{"DOI":"10.1080/0092623X.2020.1835759","ISSN":"15210715","PMID":"33107785","abstract":"Approximately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exposure–restrictive and negative active. These findings provide an opportunity for therapists as well as parents to gain a better insight into the link between psychopathology, parenting styles and the ability to regulate pornography exposure among children.","author":[{"dropping-particle":"","family":"Efrati","given":"Yaniv","non-dropping-particle":"","parse-names":false,"suffix":""},{"dropping-particle":"","family":"Boniel-Nissim","given":"Meyran","non-dropping-particle":"","parse-names":false,"suffix":""}],"container-title":"Journal of Sex and Marital Therapy","id":"ITEM-2","issue":"2","issued":{"date-parts":[["2021"]]},"page":"117-129","publisher":"Routledge","title":"Parents’ Psychopathology Promotes the Adoption of Ineffective Pornography-Related Parenting Mediation Strategies","type":"article-journal","volume":"47"},"uris":["http://www.mendeley.com/documents/?uuid=4c610910-8aa5-42da-9a8a-8de9f1087fe7"]},{"id":"ITEM-3","itemData":{"DOI":"10.1080/00224499.2019.1590795","ISSN":"15598519","PMID":"30925073","abstract":"Communication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Research","id":"ITEM-3","issue":"1","issued":{"date-parts":[["2020"]]},"page":"42-51","publisher":"Taylor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 Efrati &amp; Boniel-Nissim, 2021; Nathanson, 2016)","plainTextFormattedCitation":"(Boniel-Nissim et al., 2020; Efrati &amp; Boniel-Nissim, 2021; Nathanson, 2016)","previouslyFormattedCitation":"(Boniel-Nissim et al., 2020; Efrati &amp; Boniel-Nissim, 2021; Nathanson, 2016)"},"properties":{"noteIndex":0},"schema":"https://github.com/citation-style-language/schema/raw/master/csl-citation.json"}</w:instrText>
      </w:r>
      <w:r w:rsidRPr="00786DFE">
        <w:rPr>
          <w:rFonts w:asciiTheme="majorBidi" w:eastAsia="Times New Roman" w:hAnsiTheme="majorBidi" w:cstheme="majorBidi"/>
          <w:sz w:val="24"/>
          <w:szCs w:val="24"/>
        </w:rPr>
        <w:fldChar w:fldCharType="separate"/>
      </w:r>
      <w:r w:rsidRPr="00786DFE">
        <w:rPr>
          <w:rFonts w:asciiTheme="majorBidi" w:eastAsia="Times New Roman" w:hAnsiTheme="majorBidi" w:cstheme="majorBidi"/>
          <w:noProof/>
          <w:sz w:val="24"/>
          <w:szCs w:val="24"/>
        </w:rPr>
        <w:t>(Boniel-Nissim et al., 2020; Efrati &amp; Boniel-Nissim, 2021; Nathanson, 2016)</w:t>
      </w:r>
      <w:r w:rsidRPr="00786DFE">
        <w:rPr>
          <w:rFonts w:asciiTheme="majorBidi" w:eastAsia="Times New Roman" w:hAnsiTheme="majorBidi" w:cstheme="majorBidi"/>
          <w:sz w:val="24"/>
          <w:szCs w:val="24"/>
        </w:rPr>
        <w:fldChar w:fldCharType="end"/>
      </w:r>
      <w:r w:rsidRPr="00786DFE">
        <w:rPr>
          <w:rFonts w:asciiTheme="majorBidi" w:eastAsia="Times New Roman" w:hAnsiTheme="majorBidi" w:cstheme="majorBidi"/>
          <w:sz w:val="24"/>
          <w:szCs w:val="24"/>
        </w:rPr>
        <w:t>. Restrictive</w:t>
      </w:r>
      <w:r w:rsidRPr="00786DFE">
        <w:rPr>
          <w:rFonts w:asciiTheme="majorBidi" w:hAnsiTheme="majorBidi" w:cstheme="majorBidi"/>
          <w:sz w:val="24"/>
          <w:szCs w:val="24"/>
        </w:rPr>
        <w:t xml:space="preserve"> mediation focuses on rules and boundaries and is not really a forum for open discussion, but rather, is intended to convey a clear message that sexual harassment is illegal and against the law. Discussions on CSAA from a n</w:t>
      </w:r>
      <w:r w:rsidRPr="00786DFE">
        <w:rPr>
          <w:rFonts w:asciiTheme="majorBidi" w:eastAsia="Times New Roman" w:hAnsiTheme="majorBidi" w:cstheme="majorBidi"/>
          <w:sz w:val="24"/>
          <w:szCs w:val="24"/>
        </w:rPr>
        <w:t xml:space="preserve">egative active mediation approach focus on the negative aspects of CSAA (i.e., explaining why such behaviors are dangerous and harmful). Finally, a positive active approach emphasizes on healthy and beneficial sexual behaviors (e.g., discussing sex as something potentially wonderful and joyful, and advising children and young people to contact an adult if anybody ever touches them without their consent, or if sex ever feels unpleasant). </w:t>
      </w:r>
    </w:p>
    <w:p w14:paraId="2647ACDA" w14:textId="77777777" w:rsidR="00A3292A" w:rsidRPr="00786DFE" w:rsidRDefault="00A3292A" w:rsidP="00A3292A">
      <w:pPr>
        <w:contextualSpacing/>
        <w:rPr>
          <w:rFonts w:asciiTheme="majorBidi" w:eastAsia="Times New Roman" w:hAnsiTheme="majorBidi" w:cstheme="majorBidi"/>
          <w:sz w:val="24"/>
          <w:szCs w:val="24"/>
        </w:rPr>
      </w:pPr>
      <w:r w:rsidRPr="00786DFE">
        <w:rPr>
          <w:rFonts w:asciiTheme="majorBidi" w:eastAsia="Times New Roman" w:hAnsiTheme="majorBidi" w:cstheme="majorBidi"/>
          <w:sz w:val="24"/>
          <w:szCs w:val="24"/>
        </w:rPr>
        <w:t xml:space="preserve">Research examining mediation strategies focuses mostly on parents </w:t>
      </w:r>
      <w:r w:rsidRPr="00786DFE">
        <w:rPr>
          <w:rFonts w:asciiTheme="majorBidi" w:eastAsia="Times New Roman" w:hAnsiTheme="majorBidi" w:cstheme="majorBidi"/>
          <w:sz w:val="24"/>
          <w:szCs w:val="24"/>
        </w:rPr>
        <w:fldChar w:fldCharType="begin" w:fldLock="1"/>
      </w:r>
      <w:r w:rsidRPr="00786DFE">
        <w:rPr>
          <w:rFonts w:asciiTheme="majorBidi" w:eastAsia="Times New Roman" w:hAnsiTheme="majorBidi" w:cstheme="majorBidi"/>
          <w:sz w:val="24"/>
          <w:szCs w:val="24"/>
        </w:rPr>
        <w:instrText>ADDIN CSL_CITATION {"citationItems":[{"id":"ITEM-1","itemData":{"DOI":"10.1080/17482798.2016.1203807","ISSN":"17482801","abstract":"This study examines parental mediation of children’s digital technology use and factors associated with it. A survey of 557 parents of primary school children in Singapore revealed that parents tend to utilize simpler mediation strategies to supervise and control their children’s digital technology use. Findings also suggest that parental mediation is more a function of parents’ usage of digital technology and parent–child interaction patterns rather than parent–child demographic characteristics.","author":[{"dropping-particle":"","family":"Shin","given":"Wonsun","non-dropping-particle":"","parse-names":false,"suffix":""},{"dropping-particle":"","family":"Li","given":"Benjamin","non-dropping-particle":"","parse-names":false,"suffix":""}],"container-title":"Journal of Children and Media","id":"ITEM-1","issue":"1","issued":{"date-parts":[["2017"]]},"page":"1-19","title":"Parental mediation of children’s digital technology use in Singapore","type":"article-journal","volume":"11"},"uris":["http://www.mendeley.com/documents/?uuid=b3b6ef94-7b0f-4687-8357-e22faa9a4f74"]},{"id":"ITEM-2","itemData":{"DOI":"10.1016/j.compedu.2016.03.012","ISSN":"03601315","abstract":"This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Education","id":"ITEM-2","issued":{"date-parts":[["2016"]]},"page":"206-212","publisher":"Elsevier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 Shin &amp; Li, 2017)","plainTextFormattedCitation":"(Chen &amp; Chng, 2016; Shin &amp; Li, 2017)","previouslyFormattedCitation":"(Chen &amp; Chng, 2016; Shin &amp; Li, 2017)"},"properties":{"noteIndex":0},"schema":"https://github.com/citation-style-language/schema/raw/master/csl-citation.json"}</w:instrText>
      </w:r>
      <w:r w:rsidRPr="00786DFE">
        <w:rPr>
          <w:rFonts w:asciiTheme="majorBidi" w:eastAsia="Times New Roman" w:hAnsiTheme="majorBidi" w:cstheme="majorBidi"/>
          <w:sz w:val="24"/>
          <w:szCs w:val="24"/>
        </w:rPr>
        <w:fldChar w:fldCharType="separate"/>
      </w:r>
      <w:r w:rsidRPr="00786DFE">
        <w:rPr>
          <w:rFonts w:asciiTheme="majorBidi" w:eastAsia="Times New Roman" w:hAnsiTheme="majorBidi" w:cstheme="majorBidi"/>
          <w:noProof/>
          <w:sz w:val="24"/>
          <w:szCs w:val="24"/>
        </w:rPr>
        <w:t>(Chen &amp; Chng, 2016; Shin &amp; Li, 2017)</w:t>
      </w:r>
      <w:r w:rsidRPr="00786DFE">
        <w:rPr>
          <w:rFonts w:asciiTheme="majorBidi" w:eastAsia="Times New Roman" w:hAnsiTheme="majorBidi" w:cstheme="majorBidi"/>
          <w:sz w:val="24"/>
          <w:szCs w:val="24"/>
        </w:rPr>
        <w:fldChar w:fldCharType="end"/>
      </w:r>
      <w:r w:rsidRPr="00786DFE">
        <w:rPr>
          <w:rFonts w:asciiTheme="majorBidi" w:eastAsia="Times New Roman" w:hAnsiTheme="majorBidi" w:cstheme="majorBidi"/>
          <w:sz w:val="24"/>
          <w:szCs w:val="24"/>
        </w:rPr>
        <w:t xml:space="preserve"> and on media usage and risk behaviors online </w:t>
      </w:r>
      <w:r w:rsidRPr="00786DFE">
        <w:rPr>
          <w:rFonts w:asciiTheme="majorBidi" w:eastAsia="Times New Roman" w:hAnsiTheme="majorBidi" w:cstheme="majorBidi"/>
          <w:sz w:val="24"/>
          <w:szCs w:val="24"/>
        </w:rPr>
        <w:fldChar w:fldCharType="begin" w:fldLock="1"/>
      </w:r>
      <w:r w:rsidRPr="00786DFE">
        <w:rPr>
          <w:rFonts w:asciiTheme="majorBidi" w:eastAsia="Times New Roman" w:hAnsiTheme="majorBidi" w:cstheme="majorBidi"/>
          <w:sz w:val="24"/>
          <w:szCs w:val="24"/>
        </w:rPr>
        <w:instrText>ADDIN CSL_CITATION {"citationItems":[{"id":"ITEM-1","itemData":{"DOI":"10.1080/08838150802437396","ISSN":"08838151","abstract":"This article examines parental regulation of children and teenagers' online activities. A national survey of 1511 children and 906 parents found that 12-17-year-olds encounter a range of online risks. Parents implement a range of strategies, favoring active co-use and interaction rules over technical restrictions using filters or monitoring software, but these were not necessarily effective in reducing risk. Parental restriction of online peer-to-peer interactions was associated with reduced risk but other mediation strategies, including the widely practiced active co-use, were not. These findings challenge researchers to identify effective strategies without impeding teenagers' freedom to interact with their peers online.","author":[{"dropping-particle":"","family":"Livingstone","given":"Sonia","non-dropping-particle":"","parse-names":false,"suffix":""},{"dropping-particle":"","family":"Helsper","given":"Ellen J.","non-dropping-particle":"","parse-names":false,"suffix":""}],"container-title":"Journal of Broadcasting and Electronic Media","id":"ITEM-1","issue":"4","issued":{"date-parts":[["2008"]]},"page":"581-599","title":"Parental mediation of children's internet use","type":"article-journal","volume":"52"},"uris":["http://www.mendeley.com/documents/?uuid=61a93fc9-54b4-4c86-a9fd-0408933ea3b8"]}],"mendeley":{"formattedCitation":"(Livingstone &amp; Helsper, 2008)","plainTextFormattedCitation":"(Livingstone &amp; Helsper, 2008)","previouslyFormattedCitation":"(Livingstone &amp; Helsper, 2008)"},"properties":{"noteIndex":0},"schema":"https://github.com/citation-style-language/schema/raw/master/csl-citation.json"}</w:instrText>
      </w:r>
      <w:r w:rsidRPr="00786DFE">
        <w:rPr>
          <w:rFonts w:asciiTheme="majorBidi" w:eastAsia="Times New Roman" w:hAnsiTheme="majorBidi" w:cstheme="majorBidi"/>
          <w:sz w:val="24"/>
          <w:szCs w:val="24"/>
        </w:rPr>
        <w:fldChar w:fldCharType="separate"/>
      </w:r>
      <w:r w:rsidRPr="00786DFE">
        <w:rPr>
          <w:rFonts w:asciiTheme="majorBidi" w:eastAsia="Times New Roman" w:hAnsiTheme="majorBidi" w:cstheme="majorBidi"/>
          <w:noProof/>
          <w:sz w:val="24"/>
          <w:szCs w:val="24"/>
        </w:rPr>
        <w:t>(Livingstone &amp; Helsper, 2008)</w:t>
      </w:r>
      <w:r w:rsidRPr="00786DFE">
        <w:rPr>
          <w:rFonts w:asciiTheme="majorBidi" w:eastAsia="Times New Roman" w:hAnsiTheme="majorBidi" w:cstheme="majorBidi"/>
          <w:sz w:val="24"/>
          <w:szCs w:val="24"/>
        </w:rPr>
        <w:fldChar w:fldCharType="end"/>
      </w:r>
      <w:r w:rsidRPr="00786DFE">
        <w:rPr>
          <w:rFonts w:asciiTheme="majorBidi" w:eastAsia="Times New Roman" w:hAnsiTheme="majorBidi" w:cstheme="majorBidi"/>
          <w:sz w:val="24"/>
          <w:szCs w:val="24"/>
        </w:rPr>
        <w:t xml:space="preserve">. Findings on different mediation styles are mixed, with some studies suggesting that the positive active approach is associated with the most positive outcomes </w:t>
      </w:r>
      <w:r w:rsidRPr="00786DFE">
        <w:rPr>
          <w:rFonts w:asciiTheme="majorBidi" w:eastAsia="Times New Roman" w:hAnsiTheme="majorBidi" w:cstheme="majorBidi"/>
          <w:sz w:val="24"/>
          <w:szCs w:val="24"/>
        </w:rPr>
        <w:fldChar w:fldCharType="begin" w:fldLock="1"/>
      </w:r>
      <w:r w:rsidRPr="00786DFE">
        <w:rPr>
          <w:rFonts w:asciiTheme="majorBidi" w:eastAsia="Times New Roman" w:hAnsiTheme="majorBidi" w:cstheme="majorBidi"/>
          <w:sz w:val="24"/>
          <w:szCs w:val="24"/>
        </w:rPr>
        <w:instrText>ADDIN CSL_CITATION {"citationItems":[{"id":"ITEM-1","itemData":{"DOI":"10.1207/s15506878jobem4502_1","ISSN":"15506878","abstract":"A survey of 394 parents and second- through sixth-grade children was conducted to understand why parents mediate violent television and how children interpret mediation messages. The study found that parents with negative attitudes toward violent television used active and restrictive mediation and parents with positive attitudes used coviewing. According to children, restrictive mediation signaled parental disapproval of the content but active mediation and coviewing served as endorsements. © 2001 Broadcast Education Association.","author":[{"dropping-particle":"","family":"Nathanson","given":"Amy I.","non-dropping-particle":"","parse-names":false,"suffix":""}],"container-title":"Journal of Broadcasting and Electronic Media","id":"ITEM-1","issue":"2","issued":{"date-parts":[["2001"]]},"page":"201-220","title":"Parent and child perspectives on the presence and meaning of parental television mediation","type":"article-journal","volume":"45"},"uris":["http://www.mendeley.com/documents/?uuid=9bd359a1-36ad-4e91-813f-cd72314e3eca"]}],"mendeley":{"formattedCitation":"(Nathanson, 2001)","plainTextFormattedCitation":"(Nathanson, 2001)","previouslyFormattedCitation":"(Nathanson, 2001)"},"properties":{"noteIndex":0},"schema":"https://github.com/citation-style-language/schema/raw/master/csl-citation.json"}</w:instrText>
      </w:r>
      <w:r w:rsidRPr="00786DFE">
        <w:rPr>
          <w:rFonts w:asciiTheme="majorBidi" w:eastAsia="Times New Roman" w:hAnsiTheme="majorBidi" w:cstheme="majorBidi"/>
          <w:sz w:val="24"/>
          <w:szCs w:val="24"/>
        </w:rPr>
        <w:fldChar w:fldCharType="separate"/>
      </w:r>
      <w:r w:rsidRPr="00786DFE">
        <w:rPr>
          <w:rFonts w:asciiTheme="majorBidi" w:eastAsia="Times New Roman" w:hAnsiTheme="majorBidi" w:cstheme="majorBidi"/>
          <w:noProof/>
          <w:sz w:val="24"/>
          <w:szCs w:val="24"/>
        </w:rPr>
        <w:t>(Nathanson, 2001)</w:t>
      </w:r>
      <w:r w:rsidRPr="00786DFE">
        <w:rPr>
          <w:rFonts w:asciiTheme="majorBidi" w:eastAsia="Times New Roman" w:hAnsiTheme="majorBidi" w:cstheme="majorBidi"/>
          <w:sz w:val="24"/>
          <w:szCs w:val="24"/>
        </w:rPr>
        <w:fldChar w:fldCharType="end"/>
      </w:r>
      <w:r w:rsidRPr="00786DFE">
        <w:rPr>
          <w:rFonts w:asciiTheme="majorBidi" w:eastAsia="Times New Roman" w:hAnsiTheme="majorBidi" w:cstheme="majorBidi"/>
          <w:sz w:val="24"/>
          <w:szCs w:val="24"/>
        </w:rPr>
        <w:t xml:space="preserve"> and others indicating that a combination of different mediation strategies is most beneficial </w:t>
      </w:r>
      <w:r w:rsidRPr="00786DFE">
        <w:rPr>
          <w:rFonts w:asciiTheme="majorBidi" w:eastAsia="Times New Roman" w:hAnsiTheme="majorBidi" w:cstheme="majorBidi"/>
          <w:sz w:val="24"/>
          <w:szCs w:val="24"/>
        </w:rPr>
        <w:fldChar w:fldCharType="begin" w:fldLock="1"/>
      </w:r>
      <w:r w:rsidRPr="00786DFE">
        <w:rPr>
          <w:rFonts w:asciiTheme="majorBidi" w:eastAsia="Times New Roman"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Pr="00786DFE">
        <w:rPr>
          <w:rFonts w:asciiTheme="majorBidi" w:eastAsia="Times New Roman" w:hAnsiTheme="majorBidi" w:cstheme="majorBidi"/>
          <w:sz w:val="24"/>
          <w:szCs w:val="24"/>
        </w:rPr>
        <w:fldChar w:fldCharType="separate"/>
      </w:r>
      <w:r w:rsidRPr="00786DFE">
        <w:rPr>
          <w:rFonts w:asciiTheme="majorBidi" w:eastAsia="Times New Roman" w:hAnsiTheme="majorBidi" w:cstheme="majorBidi"/>
          <w:noProof/>
          <w:sz w:val="24"/>
          <w:szCs w:val="24"/>
        </w:rPr>
        <w:t>(Chen &amp; Chng, 2016)</w:t>
      </w:r>
      <w:r w:rsidRPr="00786DFE">
        <w:rPr>
          <w:rFonts w:asciiTheme="majorBidi" w:eastAsia="Times New Roman" w:hAnsiTheme="majorBidi" w:cstheme="majorBidi"/>
          <w:sz w:val="24"/>
          <w:szCs w:val="24"/>
        </w:rPr>
        <w:fldChar w:fldCharType="end"/>
      </w:r>
      <w:r w:rsidRPr="00786DFE">
        <w:rPr>
          <w:rFonts w:asciiTheme="majorBidi" w:eastAsia="Times New Roman" w:hAnsiTheme="majorBidi" w:cstheme="majorBidi"/>
          <w:sz w:val="24"/>
          <w:szCs w:val="24"/>
        </w:rPr>
        <w:t>.</w:t>
      </w:r>
    </w:p>
    <w:p w14:paraId="00510966" w14:textId="77777777" w:rsidR="00AA7402" w:rsidRDefault="00AA7402" w:rsidP="00AA7402">
      <w:pPr>
        <w:contextualSpacing/>
        <w:rPr>
          <w:rFonts w:asciiTheme="majorBidi" w:hAnsiTheme="majorBidi" w:cstheme="majorBidi" w:hint="cs"/>
          <w:b/>
          <w:bCs/>
          <w:sz w:val="24"/>
          <w:szCs w:val="24"/>
          <w:rtl/>
        </w:rPr>
      </w:pPr>
    </w:p>
    <w:p w14:paraId="7D4AEF41" w14:textId="5AC96A36" w:rsidR="00A3292A" w:rsidRPr="00786DFE" w:rsidRDefault="00A3292A" w:rsidP="00A3292A">
      <w:pPr>
        <w:ind w:firstLine="0"/>
        <w:contextualSpacing/>
        <w:jc w:val="center"/>
        <w:rPr>
          <w:rFonts w:asciiTheme="majorBidi" w:hAnsiTheme="majorBidi" w:cstheme="majorBidi"/>
          <w:b/>
          <w:bCs/>
          <w:sz w:val="24"/>
          <w:szCs w:val="24"/>
        </w:rPr>
      </w:pPr>
      <w:r w:rsidRPr="00786DFE">
        <w:rPr>
          <w:rFonts w:asciiTheme="majorBidi" w:hAnsiTheme="majorBidi" w:cstheme="majorBidi"/>
          <w:b/>
          <w:bCs/>
          <w:sz w:val="24"/>
          <w:szCs w:val="24"/>
        </w:rPr>
        <w:t>DISCUSSION</w:t>
      </w:r>
    </w:p>
    <w:p w14:paraId="3EC97FF5" w14:textId="77777777" w:rsidR="00A3292A" w:rsidRPr="00786DFE" w:rsidRDefault="00A3292A" w:rsidP="00A3292A">
      <w:pPr>
        <w:contextualSpacing/>
        <w:rPr>
          <w:rFonts w:asciiTheme="majorBidi" w:hAnsiTheme="majorBidi" w:cstheme="majorBidi"/>
          <w:sz w:val="24"/>
          <w:szCs w:val="24"/>
        </w:rPr>
      </w:pPr>
      <w:r w:rsidRPr="00786DFE">
        <w:rPr>
          <w:rFonts w:asciiTheme="majorBidi" w:hAnsiTheme="majorBidi" w:cstheme="majorBidi"/>
          <w:sz w:val="24"/>
          <w:szCs w:val="24"/>
        </w:rPr>
        <w:t xml:space="preserve">The current study highlights the mediation of teachers in the discussion on CSAA as a key factor that could contribute to prevention and disclosure of CSAA. In this research, we focused on two questions: (a) Do teachers’ reports on the level of CSAA mediation differ from pupils’ perceptions of CSAA mediation? (b) What predicts pupils’ perceptions of CSAA mediation? To this end, we conducted a study involving two sample populations: 756 pupils and their homeroom teachers (66 in </w:t>
      </w:r>
      <w:r w:rsidRPr="00786DFE">
        <w:rPr>
          <w:rFonts w:asciiTheme="majorBidi" w:hAnsiTheme="majorBidi" w:cstheme="majorBidi"/>
          <w:sz w:val="24"/>
          <w:szCs w:val="24"/>
        </w:rPr>
        <w:lastRenderedPageBreak/>
        <w:t xml:space="preserve">total). We were thus able to examine the perceptions of CSAA mediation from the perspectives of both pupils and teachers separately. We also examined which of the following factors predict pupils’ perceptions of CSAA mediation: </w:t>
      </w:r>
      <w:r w:rsidRPr="00786DFE">
        <w:rPr>
          <w:rFonts w:asciiTheme="majorBidi" w:eastAsia="Times New Roman" w:hAnsiTheme="majorBidi" w:cstheme="majorBidi"/>
          <w:sz w:val="24"/>
          <w:szCs w:val="24"/>
        </w:rPr>
        <w:t xml:space="preserve">teachers’ perceived susceptibility of CSAA, quality of teacher-pupil communication in general and specifically about CSAA, teachers’ support in general and specifically about CSAA, and </w:t>
      </w:r>
      <w:r w:rsidRPr="00786DFE">
        <w:rPr>
          <w:rFonts w:asciiTheme="majorBidi" w:hAnsiTheme="majorBidi" w:cstheme="majorBidi"/>
          <w:sz w:val="24"/>
          <w:szCs w:val="24"/>
        </w:rPr>
        <w:t>acceptance or rejection (measure of attachment) exhibited by teachers</w:t>
      </w:r>
      <w:r w:rsidRPr="00786DFE">
        <w:rPr>
          <w:rFonts w:asciiTheme="majorBidi" w:eastAsia="Times New Roman" w:hAnsiTheme="majorBidi" w:cstheme="majorBidi"/>
          <w:sz w:val="24"/>
          <w:szCs w:val="24"/>
        </w:rPr>
        <w:t>.</w:t>
      </w:r>
    </w:p>
    <w:p w14:paraId="533EB0D8" w14:textId="77777777" w:rsidR="00A3292A" w:rsidRPr="00786DFE" w:rsidRDefault="00A3292A" w:rsidP="00A3292A">
      <w:pPr>
        <w:ind w:firstLine="0"/>
        <w:contextualSpacing/>
        <w:rPr>
          <w:rFonts w:asciiTheme="majorBidi" w:hAnsiTheme="majorBidi" w:cstheme="majorBidi"/>
          <w:sz w:val="24"/>
          <w:szCs w:val="24"/>
          <w:rtl/>
        </w:rPr>
      </w:pPr>
      <w:r w:rsidRPr="00786DFE">
        <w:rPr>
          <w:rFonts w:asciiTheme="majorBidi" w:hAnsiTheme="majorBidi" w:cstheme="majorBidi"/>
          <w:sz w:val="24"/>
          <w:szCs w:val="24"/>
        </w:rPr>
        <w:tab/>
        <w:t xml:space="preserve">Unsurprisingly, and in keeping with predictions, teachers reported significantly higher levels of CSAA mediation (via all strategies) than did pupils. In other words, teachers believe they mediate and discuss CSAA with their pupils much more than their pupils say they do. However, when these conversations do occur, the quality of sexual-harassment-related support perceived by pupils is higher. Also, surprisingly, and contrary to the hypothesis, there was not a significant difference between the mediation strategies used by teachers (restrictive, active positive or negative mediation) in their scores for predicting pupils’ perceived quality of sexual-harassment-related support. Thus, </w:t>
      </w:r>
      <w:proofErr w:type="gramStart"/>
      <w:r w:rsidRPr="00786DFE">
        <w:rPr>
          <w:rFonts w:asciiTheme="majorBidi" w:hAnsiTheme="majorBidi" w:cstheme="majorBidi"/>
          <w:sz w:val="24"/>
          <w:szCs w:val="24"/>
        </w:rPr>
        <w:t>as long as</w:t>
      </w:r>
      <w:proofErr w:type="gramEnd"/>
      <w:r w:rsidRPr="00786DFE">
        <w:rPr>
          <w:rFonts w:asciiTheme="majorBidi" w:hAnsiTheme="majorBidi" w:cstheme="majorBidi"/>
          <w:sz w:val="24"/>
          <w:szCs w:val="24"/>
        </w:rPr>
        <w:t xml:space="preserve"> teachers discuss CSAA-related issues, regardless of how they do so, these discussions have a positive effect on pupils. This finding corresponds with earlier studies that found both active and restrictive mediation to be positively predictive of online self-regulation and emotion regulation among children and young people, and negatively predictive of impulsivity levels in a longitudinal study</w:t>
      </w:r>
      <w:r w:rsidRPr="00786DFE">
        <w:rPr>
          <w:rFonts w:asciiTheme="majorBidi" w:hAnsiTheme="majorBidi" w:cstheme="majorBidi"/>
          <w:sz w:val="24"/>
          <w:szCs w:val="24"/>
          <w:rtl/>
        </w:rPr>
        <w:t xml:space="preserve">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(Chen &amp; Chng, 2016)</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This was also demonstrated in a study examining the mediation of teachers with regard to risks and opportunities presented by the media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{"citationItems":[{"id":"ITEM-1","itemData":{"ISSN":"1988-3293","abstract":"RESUMEN Estudios con niños y adolescentes han mostrado que los profesores son uno de los agentes de quien reciben la mediación en el uso de los medios. Sin embargo, poco se conoce sobre las prácticas de mediación docente. El objetivo de este estudio es aproximar la práctica docente con el concepto de mediación a través de, en primer lugar, la sistematización de un conjunto de competencias curriculares relacionadas con los medios, con el objetivo de maximizar las oportunidades y minimizar los riesgos en el comportamiento mediático de los jóvenes. Posteriormente, se examinan las características de los profesores para buscar asociaciones con la mediación de riesgos y oportunidades del uso de los medios por parte de los estudiantes. Se analizaron datos recogidos en una encuesta con 315 profesores en Alemania. Los resultados del análisis de regresión muestran que los profesores están más comprometidos en maximizar las oportunidades y minimizar los riesgos cuando utilizan las TIC con más frecuencia, consideran importantes las respectivas competencias, colaboran con colegas, no enseñan asignaturas en STEM y no trabajan en escuelas del tipo Gymnasium. Haber recibido capacitación relacionada con las TIC fue un factor significativo solo de la mediación de oportunidades, mientras que la edad fue un factor significativo solo de la mediación de riesgos. Finalmente, se discuten cómo el concepto de mediación puede contribuir al desarrollo de los profesores como educadores de medios. ABSTRACT 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co…","author":[{"dropping-particle":"","family":"Berger","given":"Priscila","non-dropping-particle":"","parse-names":false,"suffix":""}],"container-title":"Comunicar","id":"ITEM-1","issued":{"date-parts":[["2020"]]},"page":"47-56","title":"Teachers' mediation practice: Opportunities and risks for youth media behavior","type":"article-journal"},"uris":["http://www.mendeley.com/documents/?uuid=8c7aeaa1-7c21-4063-8f10-b8fb40ef832d"]}],"mendeley":{"formattedCitation":"(Berger, 2020)","plainTextFormattedCitation":"(Berger, 2020)","previouslyFormattedCitation":"(Berger, 2020)"},"properties":{"noteIndex":0},"schema":"https://github.com/citation-style-language/schema/raw/master/csl-citation.json"}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(Berger, 2020)</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 suggesting that different mediation strategies do not compete with each other in teachers’ practices. </w:t>
      </w:r>
    </w:p>
    <w:p w14:paraId="27133C51" w14:textId="77777777" w:rsidR="00A3292A" w:rsidRPr="00786DFE" w:rsidRDefault="00A3292A" w:rsidP="00A3292A">
      <w:pPr>
        <w:contextualSpacing/>
        <w:rPr>
          <w:rFonts w:asciiTheme="majorBidi" w:hAnsiTheme="majorBidi" w:cstheme="majorBidi"/>
          <w:sz w:val="24"/>
          <w:szCs w:val="24"/>
        </w:rPr>
      </w:pPr>
      <w:r w:rsidRPr="00786DFE">
        <w:rPr>
          <w:rFonts w:asciiTheme="majorBidi" w:hAnsiTheme="majorBidi" w:cstheme="majorBidi"/>
          <w:sz w:val="24"/>
          <w:szCs w:val="24"/>
        </w:rPr>
        <w:t xml:space="preserve">These findings correspond with previous studies indicating the importance and positive effects of discussions between teachers and pupils on CSAA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abuse?","type":"article-journal","volume":"2"},"uris":["http://www.mendeley.com/documents/?uuid=b033bf89-f225-4cbd-b393-d3545127172a"]}],"mendeley":{"formattedCitation":"(Goldschmidt-Gjerløw, 2019)","plainTextFormattedCitation":"(Goldschmidt-Gjerløw, 2019)","previouslyFormattedCitation":"(Goldschmidt-Gjerløw, 2019)"},"properties":{"noteIndex":0},"schema":"https://github.com/citation-style-language/schema/raw/master/csl-citation.json"}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(Goldschmidt-</w:t>
      </w:r>
      <w:r w:rsidRPr="00786DFE">
        <w:rPr>
          <w:rFonts w:asciiTheme="majorBidi" w:hAnsiTheme="majorBidi" w:cstheme="majorBidi"/>
          <w:noProof/>
          <w:sz w:val="24"/>
          <w:szCs w:val="24"/>
        </w:rPr>
        <w:lastRenderedPageBreak/>
        <w:t>Gjerløw, 2019)</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xml:space="preserve">. It is important to note that while these interactions are highly meaningful, they are rarely initiated by pupils. Previous research shows that pupils do not approach their teachers to talk about CSAA issues, in part because they believe that their teachers tolerate such behavior (Doty et al., 2017) or because CSAA is a taboo subject </w:t>
      </w:r>
      <w:r w:rsidRPr="00786DFE">
        <w:rPr>
          <w:rFonts w:asciiTheme="majorBidi" w:hAnsiTheme="majorBidi" w:cstheme="majorBidi"/>
          <w:sz w:val="24"/>
          <w:szCs w:val="24"/>
        </w:rPr>
        <w:fldChar w:fldCharType="begin" w:fldLock="1"/>
      </w:r>
      <w:r w:rsidRPr="00786DFE">
        <w:rPr>
          <w:rFonts w:asciiTheme="majorBidi" w:hAnsiTheme="majorBidi" w:cstheme="majorBidi"/>
          <w:sz w:val="24"/>
          <w:szCs w:val="24"/>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abuse?","type":"article-journal","volume":"2"},"uris":["http://www.mendeley.com/documents/?uuid=b033bf89-f225-4cbd-b393-d3545127172a"]}],"mendeley":{"formattedCitation":"(Goldschmidt-Gjerløw, 2019)","plainTextFormattedCitation":"(Goldschmidt-Gjerløw, 2019)","previouslyFormattedCitation":"(Goldschmidt-Gjerløw, 2019)"},"properties":{"noteIndex":0},"schema":"https://github.com/citation-style-language/schema/raw/master/csl-citation.json"}</w:instrText>
      </w:r>
      <w:r w:rsidRPr="00786DFE">
        <w:rPr>
          <w:rFonts w:asciiTheme="majorBidi" w:hAnsiTheme="majorBidi" w:cstheme="majorBidi"/>
          <w:sz w:val="24"/>
          <w:szCs w:val="24"/>
        </w:rPr>
        <w:fldChar w:fldCharType="separate"/>
      </w:r>
      <w:r w:rsidRPr="00786DFE">
        <w:rPr>
          <w:rFonts w:asciiTheme="majorBidi" w:hAnsiTheme="majorBidi" w:cstheme="majorBidi"/>
          <w:noProof/>
          <w:sz w:val="24"/>
          <w:szCs w:val="24"/>
        </w:rPr>
        <w:t>(Goldschmidt-Gjerløw, 2019)</w:t>
      </w:r>
      <w:r w:rsidRPr="00786DFE">
        <w:rPr>
          <w:rFonts w:asciiTheme="majorBidi" w:hAnsiTheme="majorBidi" w:cstheme="majorBidi"/>
          <w:sz w:val="24"/>
          <w:szCs w:val="24"/>
        </w:rPr>
        <w:fldChar w:fldCharType="end"/>
      </w:r>
      <w:r w:rsidRPr="00786DFE">
        <w:rPr>
          <w:rFonts w:asciiTheme="majorBidi" w:hAnsiTheme="majorBidi" w:cstheme="majorBidi"/>
          <w:sz w:val="24"/>
          <w:szCs w:val="24"/>
        </w:rPr>
        <w:t>. It is also possible that teachers who feel</w:t>
      </w:r>
      <w:r w:rsidRPr="00786DFE">
        <w:rPr>
          <w:rFonts w:asciiTheme="majorBidi" w:hAnsiTheme="majorBidi" w:cstheme="majorBidi"/>
          <w:color w:val="000000"/>
          <w:sz w:val="24"/>
          <w:szCs w:val="24"/>
        </w:rPr>
        <w:t xml:space="preserve"> anxious about CSAA may convey a sense of nervousness to their young students as well as lack experience referring to child welfare authorities should the need arise </w:t>
      </w:r>
      <w:r w:rsidRPr="00786DFE">
        <w:rPr>
          <w:rFonts w:asciiTheme="majorBidi" w:hAnsiTheme="majorBidi" w:cstheme="majorBidi"/>
          <w:color w:val="000000"/>
          <w:sz w:val="24"/>
          <w:szCs w:val="24"/>
        </w:rPr>
        <w:fldChar w:fldCharType="begin" w:fldLock="1"/>
      </w:r>
      <w:r w:rsidRPr="00786DFE">
        <w:rPr>
          <w:rFonts w:asciiTheme="majorBidi" w:hAnsiTheme="majorBidi" w:cstheme="majorBidi"/>
          <w:color w:val="000000"/>
          <w:sz w:val="24"/>
          <w:szCs w:val="24"/>
        </w:rPr>
        <w:instrText>ADDIN CSL_CITATION {"citationItems":[{"id":"ITEM-1","itemData":{"DOI":"10.14221/ajte.2012v37n11.5","ISSN":"1835517X","abstract":"In response to the diverse number of child sexual abuse (CSA) prevention programs currently implemented in school contexts, this paper examines key considerations for selecting such initiatives and the multiplicity of understandings required to inform facilitation of contextually relevant prevention curriculum. First, the paper examines concerns about the lack of explicit professional development for educators concerning child protection, and the need to develop understandings about prevention program best practices within pre-service and in-service training. Second, drawing on a systematic review of literature, the paper identifies five key considerations to inform teachers' selection and facilitation of CSA prevention curriculum in school contexts. Third, the paper advances calls by Wurtele (2009) and presents CSA prevention 'best practices' overview and 'model programs' list for professionals such as teachers.","author":[{"dropping-particle":"","family":"Scholes","given":"Laura","non-dropping-particle":"","parse-names":false,"suffix":""},{"dropping-particle":"","family":"Jones","given":"Christian","non-dropping-particle":"","parse-names":false,"suffix":""},{"dropping-particle":"","family":"Stieler-Hunt","given":"Colleen","non-dropping-particle":"","parse-names":false,"suffix":""},{"dropping-particle":"","family":"Rolfe","given":"Ben","non-dropping-particle":"","parse-names":false,"suffix":""},{"dropping-particle":"","family":"Pozzebon","given":"Kay","non-dropping-particle":"","parse-names":false,"suffix":""}],"container-title":"Australian Journal of Teacher Education","id":"ITEM-1","issue":"11","issued":{"date-parts":[["2012"]]},"page":"104-131","title":"The teachers' role in child sexual abuse prevention programs: Implications for teacher education","type":"article-journal","volume":"37"},"uris":["http://www.mendeley.com/documents/?uuid=42dadbc2-a439-48ba-a74e-cadc8eed6c84"]}],"mendeley":{"formattedCitation":"(Scholes et al., 2012)","plainTextFormattedCitation":"(Scholes et al., 2012)","previouslyFormattedCitation":"(Scholes et al., 2012)"},"properties":{"noteIndex":0},"schema":"https://github.com/citation-style-language/schema/raw/master/csl-citation.json"}</w:instrText>
      </w:r>
      <w:r w:rsidRPr="00786DFE">
        <w:rPr>
          <w:rFonts w:asciiTheme="majorBidi" w:hAnsiTheme="majorBidi" w:cstheme="majorBidi"/>
          <w:color w:val="000000"/>
          <w:sz w:val="24"/>
          <w:szCs w:val="24"/>
        </w:rPr>
        <w:fldChar w:fldCharType="separate"/>
      </w:r>
      <w:r w:rsidRPr="00786DFE">
        <w:rPr>
          <w:rFonts w:asciiTheme="majorBidi" w:hAnsiTheme="majorBidi" w:cstheme="majorBidi"/>
          <w:noProof/>
          <w:color w:val="000000"/>
          <w:sz w:val="24"/>
          <w:szCs w:val="24"/>
        </w:rPr>
        <w:t>(Scholes et al., 2012)</w:t>
      </w:r>
      <w:r w:rsidRPr="00786DFE">
        <w:rPr>
          <w:rFonts w:asciiTheme="majorBidi" w:hAnsiTheme="majorBidi" w:cstheme="majorBidi"/>
          <w:color w:val="000000"/>
          <w:sz w:val="24"/>
          <w:szCs w:val="24"/>
        </w:rPr>
        <w:fldChar w:fldCharType="end"/>
      </w:r>
      <w:r w:rsidRPr="00786DFE">
        <w:rPr>
          <w:rFonts w:asciiTheme="majorBidi" w:hAnsiTheme="majorBidi" w:cstheme="majorBidi"/>
          <w:color w:val="000000"/>
          <w:sz w:val="24"/>
          <w:szCs w:val="24"/>
        </w:rPr>
        <w:t>.</w:t>
      </w:r>
      <w:r w:rsidRPr="00786DFE">
        <w:rPr>
          <w:rFonts w:asciiTheme="majorBidi" w:hAnsiTheme="majorBidi" w:cstheme="majorBidi"/>
          <w:sz w:val="24"/>
          <w:szCs w:val="24"/>
        </w:rPr>
        <w:t xml:space="preserve"> Teachers’ own reports of better CSAA-related support were linked with more perceived active-negative mediation. That is, when teachers describe the risks of CSAA, they perceive themselves as being more supportive. Perhaps the taboo around sexuality, and the embarrassment teachers feel about these issues, leads them to discuss CSAA by placing it in the context of laws and guidelines rather than feelings.</w:t>
      </w:r>
    </w:p>
    <w:p w14:paraId="27FDADD8" w14:textId="77777777" w:rsidR="00A3292A" w:rsidRPr="00786DFE" w:rsidRDefault="00A3292A" w:rsidP="00A3292A">
      <w:pPr>
        <w:contextualSpacing/>
        <w:rPr>
          <w:rFonts w:asciiTheme="majorBidi" w:hAnsiTheme="majorBidi" w:cstheme="majorBidi"/>
          <w:sz w:val="24"/>
          <w:szCs w:val="24"/>
        </w:rPr>
      </w:pPr>
      <w:r w:rsidRPr="00786DFE">
        <w:rPr>
          <w:rFonts w:asciiTheme="majorBidi" w:hAnsiTheme="majorBidi" w:cstheme="majorBidi"/>
          <w:sz w:val="24"/>
          <w:szCs w:val="24"/>
        </w:rPr>
        <w:t xml:space="preserve">Finally, we found that when the teacher is perceived as accepting and available (and therefore approachable) in the pupil’s eyes, the mediation of CSAA is perceived as active (positive or negative) and not restrictive. While this association can be bidirectional, a clear picture arises from the association between active mediation and a higher level of perceived teacher acceptance and availability from the pupil’s viewpoint. Restrictive mediation in which the teacher focuses only on rules and laws can seem formal, impersonal, and emotionless. Thus, it makes sense that when the teacher is seen as offering a “safe place” and emotionally available to the student, the mediation perceived will also seem active. </w:t>
      </w:r>
    </w:p>
    <w:p w14:paraId="4A02F6B5" w14:textId="77777777" w:rsidR="00A3292A" w:rsidRPr="00786DFE" w:rsidRDefault="00A3292A" w:rsidP="00A3292A">
      <w:pPr>
        <w:contextualSpacing/>
        <w:rPr>
          <w:rFonts w:asciiTheme="majorBidi" w:eastAsia="Times New Roman" w:hAnsiTheme="majorBidi" w:cstheme="majorBidi"/>
          <w:sz w:val="24"/>
          <w:szCs w:val="24"/>
        </w:rPr>
      </w:pPr>
      <w:r w:rsidRPr="00786DFE">
        <w:rPr>
          <w:rFonts w:asciiTheme="majorBidi" w:eastAsia="Times New Roman" w:hAnsiTheme="majorBidi" w:cstheme="majorBidi"/>
          <w:sz w:val="24"/>
          <w:szCs w:val="24"/>
        </w:rPr>
        <w:t xml:space="preserve">Overall, the findings from the current study are encouraging. While we assumed that only a specific type of discussion between teachers and pupils in relation to CSAA would be beneficial, our findings show that any type of discussion is </w:t>
      </w:r>
      <w:r w:rsidRPr="00786DFE">
        <w:rPr>
          <w:rFonts w:asciiTheme="majorBidi" w:eastAsia="Times New Roman" w:hAnsiTheme="majorBidi" w:cstheme="majorBidi"/>
          <w:sz w:val="24"/>
          <w:szCs w:val="24"/>
        </w:rPr>
        <w:lastRenderedPageBreak/>
        <w:t xml:space="preserve">beneficial to pupils and predicts feelings of being supported and accepted among pupils. Perhaps pupils are eager to discuss CSAA with their teachers, and the discussion itself, no matter what type of mediation is employed, and whatever the focus, gives the pupil a sense of security and visibility. </w:t>
      </w:r>
    </w:p>
    <w:p w14:paraId="0FAA7EC4" w14:textId="2C206B92" w:rsidR="0047715A" w:rsidRDefault="00A3292A" w:rsidP="00A3292A">
      <w:r w:rsidRPr="00786DFE">
        <w:rPr>
          <w:rFonts w:asciiTheme="majorBidi" w:hAnsiTheme="majorBidi" w:cstheme="majorBidi"/>
          <w:sz w:val="24"/>
          <w:szCs w:val="24"/>
        </w:rPr>
        <w:t xml:space="preserve">Finally, boys perceived the restrictive type of mediation more than girls. This is perhaps because of gender constructs in which boys are perceived as “perpetrators” more often than they are seen as “victims.” Thus, it could be said that it makes more sense for teachers to approach male pupils from within a more restrictive mediation framework in relation to CSAA. This finding corresponds with other studies examining </w:t>
      </w:r>
      <w:r w:rsidRPr="00786DFE">
        <w:rPr>
          <w:rFonts w:asciiTheme="majorBidi" w:hAnsiTheme="majorBidi" w:cstheme="majorBidi"/>
          <w:color w:val="222222"/>
          <w:sz w:val="24"/>
          <w:szCs w:val="24"/>
          <w:shd w:val="clear" w:color="auto" w:fill="FFFFFF"/>
        </w:rPr>
        <w:t xml:space="preserve">parents’ communication with adolescent children about sex, which found gender differences: parents communicate more about </w:t>
      </w:r>
      <w:r w:rsidRPr="00786DFE">
        <w:rPr>
          <w:rFonts w:asciiTheme="majorBidi" w:hAnsiTheme="majorBidi" w:cstheme="majorBidi"/>
          <w:sz w:val="24"/>
          <w:szCs w:val="24"/>
        </w:rPr>
        <w:t>sexual risks than positive sexual topics and</w:t>
      </w:r>
      <w:r w:rsidRPr="00786DFE">
        <w:rPr>
          <w:rFonts w:asciiTheme="majorBidi" w:hAnsiTheme="majorBidi" w:cstheme="majorBidi"/>
          <w:color w:val="222222"/>
          <w:sz w:val="24"/>
          <w:szCs w:val="24"/>
          <w:shd w:val="clear" w:color="auto" w:fill="FFFFFF"/>
        </w:rPr>
        <w:t xml:space="preserve"> the</w:t>
      </w:r>
      <w:r w:rsidRPr="00786DFE">
        <w:rPr>
          <w:rFonts w:asciiTheme="majorBidi" w:hAnsiTheme="majorBidi" w:cstheme="majorBidi"/>
          <w:sz w:val="24"/>
          <w:szCs w:val="24"/>
        </w:rPr>
        <w:t xml:space="preserve"> largest discrepancy in discussing these different types of topics was found in mother-daughter communication</w:t>
      </w:r>
    </w:p>
    <w:p w14:paraId="29E7F5DA" w14:textId="77777777" w:rsidR="00645422" w:rsidRDefault="00645422" w:rsidP="00645422">
      <w:pPr>
        <w:bidi/>
        <w:ind w:firstLine="0"/>
        <w:rPr>
          <w:rFonts w:hint="cs"/>
          <w:b/>
          <w:bCs/>
          <w:rtl/>
        </w:rPr>
      </w:pPr>
    </w:p>
    <w:p w14:paraId="39AB8A8A" w14:textId="42CF7AA5" w:rsidR="00645422" w:rsidRPr="00645422" w:rsidRDefault="00645422" w:rsidP="00645422">
      <w:pPr>
        <w:bidi/>
        <w:ind w:firstLine="0"/>
        <w:rPr>
          <w:rFonts w:hint="cs"/>
          <w:b/>
          <w:bCs/>
          <w:rtl/>
        </w:rPr>
      </w:pPr>
      <w:r w:rsidRPr="00645422">
        <w:rPr>
          <w:rFonts w:hint="cs"/>
          <w:b/>
          <w:bCs/>
          <w:rtl/>
        </w:rPr>
        <w:t>מקומם של ההורים בנושא פגיעות והטרדות מיניות בקרב ילדים</w:t>
      </w:r>
    </w:p>
    <w:p w14:paraId="6726130A" w14:textId="438446D5" w:rsidR="003B683B" w:rsidRPr="009850C8" w:rsidRDefault="000C58CD" w:rsidP="003B683B">
      <w:pPr>
        <w:contextualSpacing/>
        <w:rPr>
          <w:rFonts w:ascii="Times New Roman" w:hAnsi="Times New Roman" w:cs="Times New Roman"/>
          <w:sz w:val="24"/>
          <w:szCs w:val="24"/>
        </w:rPr>
      </w:pPr>
      <w:r>
        <w:rPr>
          <w:rFonts w:ascii="Times New Roman" w:hAnsi="Times New Roman" w:cs="Times New Roman"/>
          <w:sz w:val="24"/>
          <w:szCs w:val="24"/>
        </w:rPr>
        <w:t>P</w:t>
      </w:r>
      <w:r w:rsidR="003B683B" w:rsidRPr="009850C8">
        <w:rPr>
          <w:rFonts w:ascii="Times New Roman" w:hAnsi="Times New Roman" w:cs="Times New Roman"/>
          <w:sz w:val="24"/>
          <w:szCs w:val="24"/>
        </w:rPr>
        <w:t>arents may serve as valuable agents in the sexual education of their adolescent children (Rogers, Padilla-Walker, &amp; Hurst, 2020) by sharing information in a developmentally appropriate way to facilitate healthy sexual development (Flores &amp; Barroso, 2017). As stated in a recent review on the pivotal importance of family processes in sexual development, “family matters” (</w:t>
      </w:r>
      <w:proofErr w:type="spellStart"/>
      <w:r w:rsidR="003B683B" w:rsidRPr="009850C8">
        <w:rPr>
          <w:rFonts w:ascii="Times New Roman" w:hAnsi="Times New Roman" w:cs="Times New Roman"/>
          <w:sz w:val="24"/>
          <w:szCs w:val="24"/>
        </w:rPr>
        <w:t>Kaestle</w:t>
      </w:r>
      <w:proofErr w:type="spellEnd"/>
      <w:r w:rsidR="003B683B" w:rsidRPr="009850C8">
        <w:rPr>
          <w:rFonts w:ascii="Times New Roman" w:hAnsi="Times New Roman" w:cs="Times New Roman"/>
          <w:sz w:val="24"/>
          <w:szCs w:val="24"/>
        </w:rPr>
        <w:t xml:space="preserve">, Allen, </w:t>
      </w:r>
      <w:proofErr w:type="spellStart"/>
      <w:r w:rsidR="003B683B" w:rsidRPr="009850C8">
        <w:rPr>
          <w:rFonts w:ascii="Times New Roman" w:hAnsi="Times New Roman" w:cs="Times New Roman"/>
          <w:sz w:val="24"/>
          <w:szCs w:val="24"/>
        </w:rPr>
        <w:t>Wesche</w:t>
      </w:r>
      <w:proofErr w:type="spellEnd"/>
      <w:r w:rsidR="003B683B" w:rsidRPr="009850C8">
        <w:rPr>
          <w:rFonts w:ascii="Times New Roman" w:hAnsi="Times New Roman" w:cs="Times New Roman"/>
          <w:sz w:val="24"/>
          <w:szCs w:val="24"/>
        </w:rPr>
        <w:t xml:space="preserve"> &amp; </w:t>
      </w:r>
      <w:proofErr w:type="spellStart"/>
      <w:r w:rsidR="003B683B" w:rsidRPr="009850C8">
        <w:rPr>
          <w:rFonts w:ascii="Times New Roman" w:hAnsi="Times New Roman" w:cs="Times New Roman"/>
          <w:sz w:val="24"/>
          <w:szCs w:val="24"/>
        </w:rPr>
        <w:t>Grafsky</w:t>
      </w:r>
      <w:proofErr w:type="spellEnd"/>
      <w:r w:rsidR="003B683B" w:rsidRPr="009850C8">
        <w:rPr>
          <w:rFonts w:ascii="Times New Roman" w:hAnsi="Times New Roman" w:cs="Times New Roman"/>
          <w:sz w:val="24"/>
          <w:szCs w:val="24"/>
        </w:rPr>
        <w:t>, 2021). Nevertheless, despite hundreds of studies over the past 40 years that have examined parent-child sex-related communication (Rogers et al., 2020) and the acknowledgement that the key family process in healthy sexual development is sexual communication (</w:t>
      </w:r>
      <w:proofErr w:type="spellStart"/>
      <w:r w:rsidR="003B683B" w:rsidRPr="009850C8">
        <w:rPr>
          <w:rFonts w:ascii="Times New Roman" w:hAnsi="Times New Roman" w:cs="Times New Roman"/>
          <w:sz w:val="24"/>
          <w:szCs w:val="24"/>
        </w:rPr>
        <w:t>Kaestle</w:t>
      </w:r>
      <w:proofErr w:type="spellEnd"/>
      <w:r w:rsidR="003B683B" w:rsidRPr="009850C8">
        <w:rPr>
          <w:rFonts w:ascii="Times New Roman" w:hAnsi="Times New Roman" w:cs="Times New Roman"/>
          <w:sz w:val="24"/>
          <w:szCs w:val="24"/>
        </w:rPr>
        <w:t xml:space="preserve"> et al., 2021), it is still unclear </w:t>
      </w:r>
      <w:r w:rsidR="003B683B" w:rsidRPr="009850C8">
        <w:rPr>
          <w:rFonts w:asciiTheme="majorBidi" w:hAnsiTheme="majorBidi" w:cstheme="majorBidi"/>
          <w:sz w:val="24"/>
          <w:szCs w:val="24"/>
        </w:rPr>
        <w:t xml:space="preserve">whether parents correctly perceive the quality of sex-related communication with their children. Because </w:t>
      </w:r>
      <w:r w:rsidR="003B683B" w:rsidRPr="009850C8">
        <w:rPr>
          <w:rFonts w:asciiTheme="majorBidi" w:hAnsiTheme="majorBidi" w:cstheme="majorBidi"/>
          <w:sz w:val="24"/>
          <w:szCs w:val="24"/>
        </w:rPr>
        <w:lastRenderedPageBreak/>
        <w:t xml:space="preserve">synchronicity and high congruence between parent-child perceptions are vital for beneficial communication and healthy sex-related outcomes (such as safe sex; </w:t>
      </w:r>
      <w:proofErr w:type="spellStart"/>
      <w:r w:rsidR="003B683B" w:rsidRPr="009850C8">
        <w:rPr>
          <w:rFonts w:asciiTheme="majorBidi" w:hAnsiTheme="majorBidi" w:cstheme="majorBidi"/>
          <w:sz w:val="24"/>
          <w:szCs w:val="24"/>
        </w:rPr>
        <w:t>Bonafide</w:t>
      </w:r>
      <w:proofErr w:type="spellEnd"/>
      <w:r w:rsidR="003B683B" w:rsidRPr="009850C8">
        <w:rPr>
          <w:rFonts w:asciiTheme="majorBidi" w:hAnsiTheme="majorBidi" w:cstheme="majorBidi"/>
          <w:sz w:val="24"/>
          <w:szCs w:val="24"/>
        </w:rPr>
        <w:t xml:space="preserve">, </w:t>
      </w:r>
      <w:proofErr w:type="spellStart"/>
      <w:r w:rsidR="003B683B" w:rsidRPr="009850C8">
        <w:rPr>
          <w:rFonts w:asciiTheme="majorBidi" w:hAnsiTheme="majorBidi" w:cstheme="majorBidi"/>
          <w:sz w:val="24"/>
          <w:szCs w:val="24"/>
        </w:rPr>
        <w:t>Vanable</w:t>
      </w:r>
      <w:proofErr w:type="spellEnd"/>
      <w:r w:rsidR="003B683B" w:rsidRPr="009850C8">
        <w:rPr>
          <w:rFonts w:asciiTheme="majorBidi" w:hAnsiTheme="majorBidi" w:cstheme="majorBidi"/>
          <w:sz w:val="24"/>
          <w:szCs w:val="24"/>
        </w:rPr>
        <w:t xml:space="preserve">, &amp; Carey, 2020) such investigation is crucial. </w:t>
      </w:r>
    </w:p>
    <w:p w14:paraId="3AB54DF6" w14:textId="77777777" w:rsidR="003B683B" w:rsidRPr="009850C8" w:rsidRDefault="003B683B" w:rsidP="003B683B">
      <w:pPr>
        <w:contextualSpacing/>
        <w:rPr>
          <w:rFonts w:ascii="Times New Roman" w:hAnsi="Times New Roman" w:cs="Times New Roman"/>
          <w:sz w:val="24"/>
          <w:szCs w:val="24"/>
        </w:rPr>
      </w:pPr>
      <w:r w:rsidRPr="009850C8">
        <w:rPr>
          <w:rFonts w:ascii="Times New Roman" w:hAnsi="Times New Roman" w:cs="Times New Roman"/>
          <w:sz w:val="24"/>
          <w:szCs w:val="24"/>
        </w:rPr>
        <w:t xml:space="preserve">Parent-adolescent communication is part of a social-ecological framework that affect the sexual development during adolescence (Bronfenbrenner, 1979; Baldry et al., 2015; Committee on the Biological Prevention et al., 2016; Cross et al., 2015; Hong &amp; </w:t>
      </w:r>
      <w:proofErr w:type="spellStart"/>
      <w:r w:rsidRPr="009850C8">
        <w:rPr>
          <w:rFonts w:ascii="Times New Roman" w:hAnsi="Times New Roman" w:cs="Times New Roman"/>
          <w:sz w:val="24"/>
          <w:szCs w:val="24"/>
        </w:rPr>
        <w:t>Espelage</w:t>
      </w:r>
      <w:proofErr w:type="spellEnd"/>
      <w:r w:rsidRPr="009850C8">
        <w:rPr>
          <w:rFonts w:ascii="Times New Roman" w:hAnsi="Times New Roman" w:cs="Times New Roman"/>
          <w:sz w:val="24"/>
          <w:szCs w:val="24"/>
        </w:rPr>
        <w:t>, 2012). This framework comprised systems of influence in an adolescent’s life and explains how interactions between the adolescent and each of the systems affect the adolescent’s growth and development. The systems begin with the adolescent at the center and his or her internal dynamics, perceptions, and characteristics, and extends through family (microsystem), community (mesosystem), society and government (</w:t>
      </w:r>
      <w:proofErr w:type="spellStart"/>
      <w:r w:rsidRPr="009850C8">
        <w:rPr>
          <w:rFonts w:ascii="Times New Roman" w:hAnsi="Times New Roman" w:cs="Times New Roman"/>
          <w:sz w:val="24"/>
          <w:szCs w:val="24"/>
        </w:rPr>
        <w:t>exosystem</w:t>
      </w:r>
      <w:proofErr w:type="spellEnd"/>
      <w:r w:rsidRPr="009850C8">
        <w:rPr>
          <w:rFonts w:ascii="Times New Roman" w:hAnsi="Times New Roman" w:cs="Times New Roman"/>
          <w:sz w:val="24"/>
          <w:szCs w:val="24"/>
        </w:rPr>
        <w:t>), and culture, beliefs, and values (macrosystem) (Bronfenbrenner, 1979). Interactions between an adolescent and his or her parents comprise part of the microsystem, which was highlighted as crucial to sexual development via the effects of parent-child sex-related communication (</w:t>
      </w:r>
      <w:proofErr w:type="spellStart"/>
      <w:r w:rsidRPr="009850C8">
        <w:rPr>
          <w:rFonts w:ascii="Times New Roman" w:hAnsi="Times New Roman" w:cs="Times New Roman"/>
          <w:sz w:val="24"/>
          <w:szCs w:val="24"/>
        </w:rPr>
        <w:t>Kaestle</w:t>
      </w:r>
      <w:proofErr w:type="spellEnd"/>
      <w:r w:rsidRPr="009850C8">
        <w:rPr>
          <w:rFonts w:ascii="Times New Roman" w:hAnsi="Times New Roman" w:cs="Times New Roman"/>
          <w:sz w:val="24"/>
          <w:szCs w:val="24"/>
        </w:rPr>
        <w:t xml:space="preserve"> et al., 2021).</w:t>
      </w:r>
    </w:p>
    <w:p w14:paraId="587C9C59" w14:textId="77777777" w:rsidR="003B683B" w:rsidRPr="006C704D" w:rsidRDefault="003B683B" w:rsidP="003B683B">
      <w:pPr>
        <w:ind w:firstLine="0"/>
        <w:contextualSpacing/>
        <w:rPr>
          <w:rFonts w:ascii="Times New Roman" w:hAnsi="Times New Roman" w:cs="Times New Roman"/>
          <w:b/>
          <w:bCs/>
          <w:sz w:val="24"/>
          <w:szCs w:val="24"/>
        </w:rPr>
      </w:pPr>
      <w:r w:rsidRPr="006C704D">
        <w:rPr>
          <w:rFonts w:asciiTheme="majorBidi" w:hAnsiTheme="majorBidi" w:cstheme="majorBidi"/>
          <w:b/>
          <w:bCs/>
          <w:sz w:val="24"/>
          <w:szCs w:val="24"/>
        </w:rPr>
        <w:t>Parent-child quality of sex-related communication</w:t>
      </w:r>
    </w:p>
    <w:p w14:paraId="3F86F533" w14:textId="77777777" w:rsidR="003B683B" w:rsidRPr="009850C8" w:rsidRDefault="003B683B" w:rsidP="003B683B">
      <w:pPr>
        <w:contextualSpacing/>
        <w:rPr>
          <w:rFonts w:ascii="Times New Roman" w:hAnsi="Times New Roman" w:cs="Times New Roman"/>
          <w:sz w:val="24"/>
          <w:szCs w:val="24"/>
          <w:rtl/>
        </w:rPr>
      </w:pPr>
      <w:r w:rsidRPr="009850C8">
        <w:rPr>
          <w:rFonts w:ascii="Times New Roman" w:hAnsi="Times New Roman" w:cs="Times New Roman"/>
          <w:sz w:val="24"/>
          <w:szCs w:val="24"/>
        </w:rPr>
        <w:t xml:space="preserve">The effects of parent-child sex-related communication on adolescents’ sexual development is tremendous and occur via several facets (Evans, Widman, </w:t>
      </w:r>
      <w:proofErr w:type="spellStart"/>
      <w:r w:rsidRPr="009850C8">
        <w:rPr>
          <w:rFonts w:ascii="Times New Roman" w:hAnsi="Times New Roman" w:cs="Times New Roman"/>
          <w:sz w:val="24"/>
          <w:szCs w:val="24"/>
        </w:rPr>
        <w:t>Kamke</w:t>
      </w:r>
      <w:proofErr w:type="spellEnd"/>
      <w:r w:rsidRPr="009850C8">
        <w:rPr>
          <w:rFonts w:ascii="Times New Roman" w:hAnsi="Times New Roman" w:cs="Times New Roman"/>
          <w:sz w:val="24"/>
          <w:szCs w:val="24"/>
        </w:rPr>
        <w:t xml:space="preserve"> &amp; Stewart, 2020). First, parents play an important role in the process of sexual socialization by impacting their children’s sexual cognitions (</w:t>
      </w:r>
      <w:proofErr w:type="spellStart"/>
      <w:r w:rsidRPr="009850C8">
        <w:rPr>
          <w:rFonts w:ascii="Times New Roman" w:hAnsi="Times New Roman" w:cs="Times New Roman"/>
          <w:sz w:val="24"/>
          <w:szCs w:val="24"/>
        </w:rPr>
        <w:t>Buhi</w:t>
      </w:r>
      <w:proofErr w:type="spellEnd"/>
      <w:r w:rsidRPr="009850C8">
        <w:rPr>
          <w:rFonts w:ascii="Times New Roman" w:hAnsi="Times New Roman" w:cs="Times New Roman"/>
          <w:sz w:val="24"/>
          <w:szCs w:val="24"/>
        </w:rPr>
        <w:t xml:space="preserve"> &amp; Goodson, 2007; Rogers, 2017). Specially, parents serve as social agents who mold their children’s sexual-related attitudes (positive or negative evaluation of a particular behavior such as condom use), perceived norms (the perceived prevalence and normativity of the behavior such as condom use, and the perceived approval or disapproval from others </w:t>
      </w:r>
      <w:r w:rsidRPr="009850C8">
        <w:rPr>
          <w:rFonts w:ascii="Times New Roman" w:hAnsi="Times New Roman" w:cs="Times New Roman"/>
          <w:sz w:val="24"/>
          <w:szCs w:val="24"/>
        </w:rPr>
        <w:lastRenderedPageBreak/>
        <w:t xml:space="preserve">regarding performance of the behavior), and self-efficacy (one’s perceived ability to perform or refrain from a behavior). Through changes in these sexual cognitions, parents could also shape adolescents’ sexual behavior such as the onset of sexual activity, condom use and risky sexual behavior (Albanese, De Blasio, &amp; Sestito, 2016; </w:t>
      </w:r>
      <w:proofErr w:type="spellStart"/>
      <w:r w:rsidRPr="009850C8">
        <w:rPr>
          <w:rFonts w:ascii="Times New Roman" w:hAnsi="Times New Roman" w:cs="Times New Roman"/>
          <w:sz w:val="24"/>
          <w:szCs w:val="24"/>
        </w:rPr>
        <w:t>Dittus</w:t>
      </w:r>
      <w:proofErr w:type="spellEnd"/>
      <w:r w:rsidRPr="009850C8">
        <w:rPr>
          <w:rFonts w:ascii="Times New Roman" w:hAnsi="Times New Roman" w:cs="Times New Roman"/>
          <w:sz w:val="24"/>
          <w:szCs w:val="24"/>
        </w:rPr>
        <w:t xml:space="preserve"> et al., 2015; Holman &amp; Koenig </w:t>
      </w:r>
      <w:proofErr w:type="spellStart"/>
      <w:r w:rsidRPr="009850C8">
        <w:rPr>
          <w:rFonts w:ascii="Times New Roman" w:hAnsi="Times New Roman" w:cs="Times New Roman"/>
          <w:sz w:val="24"/>
          <w:szCs w:val="24"/>
        </w:rPr>
        <w:t>Kellas</w:t>
      </w:r>
      <w:proofErr w:type="spellEnd"/>
      <w:r w:rsidRPr="009850C8">
        <w:rPr>
          <w:rFonts w:ascii="Times New Roman" w:hAnsi="Times New Roman" w:cs="Times New Roman"/>
          <w:sz w:val="24"/>
          <w:szCs w:val="24"/>
        </w:rPr>
        <w:t xml:space="preserve">, 2018; </w:t>
      </w:r>
      <w:proofErr w:type="spellStart"/>
      <w:r w:rsidRPr="009850C8">
        <w:rPr>
          <w:rFonts w:ascii="Times New Roman" w:hAnsi="Times New Roman" w:cs="Times New Roman"/>
          <w:sz w:val="24"/>
          <w:szCs w:val="24"/>
        </w:rPr>
        <w:t>Kågesten</w:t>
      </w:r>
      <w:proofErr w:type="spellEnd"/>
      <w:r w:rsidRPr="009850C8">
        <w:rPr>
          <w:rFonts w:ascii="Times New Roman" w:hAnsi="Times New Roman" w:cs="Times New Roman"/>
          <w:sz w:val="24"/>
          <w:szCs w:val="24"/>
        </w:rPr>
        <w:t xml:space="preserve"> et al., 2016; Rogers, 2017; van de </w:t>
      </w:r>
      <w:proofErr w:type="spellStart"/>
      <w:r w:rsidRPr="009850C8">
        <w:rPr>
          <w:rFonts w:ascii="Times New Roman" w:hAnsi="Times New Roman" w:cs="Times New Roman"/>
          <w:sz w:val="24"/>
          <w:szCs w:val="24"/>
        </w:rPr>
        <w:t>Bongardt</w:t>
      </w:r>
      <w:proofErr w:type="spellEnd"/>
      <w:r w:rsidRPr="009850C8">
        <w:rPr>
          <w:rFonts w:ascii="Times New Roman" w:hAnsi="Times New Roman" w:cs="Times New Roman"/>
          <w:sz w:val="24"/>
          <w:szCs w:val="24"/>
        </w:rPr>
        <w:t xml:space="preserve">, Reitz, </w:t>
      </w:r>
      <w:proofErr w:type="spellStart"/>
      <w:r w:rsidRPr="009850C8">
        <w:rPr>
          <w:rFonts w:ascii="Times New Roman" w:hAnsi="Times New Roman" w:cs="Times New Roman"/>
          <w:sz w:val="24"/>
          <w:szCs w:val="24"/>
        </w:rPr>
        <w:t>Sandfort</w:t>
      </w:r>
      <w:proofErr w:type="spellEnd"/>
      <w:r w:rsidRPr="009850C8">
        <w:rPr>
          <w:rFonts w:ascii="Times New Roman" w:hAnsi="Times New Roman" w:cs="Times New Roman"/>
          <w:sz w:val="24"/>
          <w:szCs w:val="24"/>
        </w:rPr>
        <w:t xml:space="preserve">, &amp; </w:t>
      </w:r>
      <w:proofErr w:type="spellStart"/>
      <w:r w:rsidRPr="009850C8">
        <w:rPr>
          <w:rFonts w:ascii="Times New Roman" w:hAnsi="Times New Roman" w:cs="Times New Roman"/>
          <w:sz w:val="24"/>
          <w:szCs w:val="24"/>
        </w:rPr>
        <w:t>Deković</w:t>
      </w:r>
      <w:proofErr w:type="spellEnd"/>
      <w:r w:rsidRPr="009850C8">
        <w:rPr>
          <w:rFonts w:ascii="Times New Roman" w:hAnsi="Times New Roman" w:cs="Times New Roman"/>
          <w:sz w:val="24"/>
          <w:szCs w:val="24"/>
        </w:rPr>
        <w:t>, 2015). For instance, a meta-analysis (</w:t>
      </w:r>
      <w:proofErr w:type="spellStart"/>
      <w:r w:rsidRPr="009850C8">
        <w:rPr>
          <w:rFonts w:ascii="Times New Roman" w:hAnsi="Times New Roman" w:cs="Times New Roman"/>
          <w:sz w:val="24"/>
          <w:szCs w:val="24"/>
        </w:rPr>
        <w:t>Albarracín</w:t>
      </w:r>
      <w:proofErr w:type="spellEnd"/>
      <w:r w:rsidRPr="009850C8">
        <w:rPr>
          <w:rFonts w:ascii="Times New Roman" w:hAnsi="Times New Roman" w:cs="Times New Roman"/>
          <w:sz w:val="24"/>
          <w:szCs w:val="24"/>
        </w:rPr>
        <w:t xml:space="preserve"> et al., 2001) of roughly 100 studies found that attitudes toward condoms (</w:t>
      </w:r>
      <w:proofErr w:type="spellStart"/>
      <w:r w:rsidRPr="009850C8">
        <w:rPr>
          <w:rFonts w:ascii="Times New Roman" w:hAnsi="Times New Roman" w:cs="Times New Roman"/>
          <w:i/>
          <w:iCs/>
          <w:sz w:val="24"/>
          <w:szCs w:val="24"/>
        </w:rPr>
        <w:t>r</w:t>
      </w:r>
      <w:r w:rsidRPr="009850C8">
        <w:rPr>
          <w:rFonts w:ascii="Times New Roman" w:hAnsi="Times New Roman" w:cs="Times New Roman"/>
          <w:sz w:val="24"/>
          <w:szCs w:val="24"/>
          <w:vertAlign w:val="subscript"/>
        </w:rPr>
        <w:t>mean</w:t>
      </w:r>
      <w:proofErr w:type="spellEnd"/>
      <w:r w:rsidRPr="009850C8">
        <w:rPr>
          <w:rFonts w:ascii="Times New Roman" w:hAnsi="Times New Roman" w:cs="Times New Roman"/>
          <w:sz w:val="24"/>
          <w:szCs w:val="24"/>
        </w:rPr>
        <w:t xml:space="preserve"> = .58), perceived norms of condom use (</w:t>
      </w:r>
      <w:proofErr w:type="spellStart"/>
      <w:r w:rsidRPr="009850C8">
        <w:rPr>
          <w:rFonts w:ascii="Times New Roman" w:hAnsi="Times New Roman" w:cs="Times New Roman"/>
          <w:i/>
          <w:iCs/>
          <w:sz w:val="24"/>
          <w:szCs w:val="24"/>
        </w:rPr>
        <w:t>r</w:t>
      </w:r>
      <w:r w:rsidRPr="009850C8">
        <w:rPr>
          <w:rFonts w:ascii="Times New Roman" w:hAnsi="Times New Roman" w:cs="Times New Roman"/>
          <w:sz w:val="24"/>
          <w:szCs w:val="24"/>
          <w:vertAlign w:val="subscript"/>
        </w:rPr>
        <w:t>mean</w:t>
      </w:r>
      <w:proofErr w:type="spellEnd"/>
      <w:r w:rsidRPr="009850C8">
        <w:rPr>
          <w:rFonts w:ascii="Times New Roman" w:hAnsi="Times New Roman" w:cs="Times New Roman"/>
          <w:sz w:val="24"/>
          <w:szCs w:val="24"/>
        </w:rPr>
        <w:t xml:space="preserve"> = .39), and perceived behavioral control over the use of condoms (</w:t>
      </w:r>
      <w:proofErr w:type="spellStart"/>
      <w:r w:rsidRPr="009850C8">
        <w:rPr>
          <w:rFonts w:ascii="Times New Roman" w:hAnsi="Times New Roman" w:cs="Times New Roman"/>
          <w:i/>
          <w:iCs/>
          <w:sz w:val="24"/>
          <w:szCs w:val="24"/>
        </w:rPr>
        <w:t>r</w:t>
      </w:r>
      <w:r w:rsidRPr="009850C8">
        <w:rPr>
          <w:rFonts w:ascii="Times New Roman" w:hAnsi="Times New Roman" w:cs="Times New Roman"/>
          <w:sz w:val="24"/>
          <w:szCs w:val="24"/>
          <w:vertAlign w:val="subscript"/>
        </w:rPr>
        <w:t>mean</w:t>
      </w:r>
      <w:proofErr w:type="spellEnd"/>
      <w:r w:rsidRPr="009850C8">
        <w:rPr>
          <w:rFonts w:ascii="Times New Roman" w:hAnsi="Times New Roman" w:cs="Times New Roman"/>
          <w:sz w:val="24"/>
          <w:szCs w:val="24"/>
        </w:rPr>
        <w:t xml:space="preserve"> = .45) significantly and strongly predict the intention to use condoms.  In addition, parents’ effects on their children’s sexual socialization are dynamic processes that occur over time (mostly during middle and high school) such that parents tailor their conversations with their children about sexual behavior according to the developmental stage of the child (Grossman, Jenkins, &amp; Richer, 2018).</w:t>
      </w:r>
      <w:r w:rsidRPr="009850C8">
        <w:rPr>
          <w:rFonts w:ascii="Times New Roman" w:hAnsi="Times New Roman" w:cs="Times New Roman" w:hint="cs"/>
          <w:sz w:val="24"/>
          <w:szCs w:val="24"/>
          <w:rtl/>
        </w:rPr>
        <w:t xml:space="preserve"> </w:t>
      </w:r>
      <w:r w:rsidRPr="009850C8">
        <w:rPr>
          <w:rFonts w:ascii="Times New Roman" w:hAnsi="Times New Roman" w:cs="Times New Roman" w:hint="cs"/>
          <w:sz w:val="24"/>
          <w:szCs w:val="24"/>
        </w:rPr>
        <w:t>F</w:t>
      </w:r>
      <w:r w:rsidRPr="009850C8">
        <w:rPr>
          <w:rFonts w:ascii="Times New Roman" w:hAnsi="Times New Roman" w:cs="Times New Roman"/>
          <w:sz w:val="24"/>
          <w:szCs w:val="24"/>
        </w:rPr>
        <w:t xml:space="preserve">or example, although talking about the readiness for sex, and sexual risk and protection remain unchanged throughout early and late adolescence, the discussion about dating and relationships does </w:t>
      </w:r>
      <w:proofErr w:type="gramStart"/>
      <w:r w:rsidRPr="009850C8">
        <w:rPr>
          <w:rFonts w:ascii="Times New Roman" w:hAnsi="Times New Roman" w:cs="Times New Roman"/>
          <w:sz w:val="24"/>
          <w:szCs w:val="24"/>
        </w:rPr>
        <w:t>change:</w:t>
      </w:r>
      <w:proofErr w:type="gramEnd"/>
      <w:r w:rsidRPr="009850C8">
        <w:rPr>
          <w:rFonts w:ascii="Times New Roman" w:hAnsi="Times New Roman" w:cs="Times New Roman"/>
          <w:sz w:val="24"/>
          <w:szCs w:val="24"/>
        </w:rPr>
        <w:t xml:space="preserve"> at early adolescence the most common focus of conversation revolve around rules for teen dating and relationships, while at late adolescence conversations focused more on teens’ interest or involvement in dating and how to have a healthy relationship.</w:t>
      </w:r>
    </w:p>
    <w:p w14:paraId="37796A76" w14:textId="77777777" w:rsidR="003B683B" w:rsidRPr="009850C8" w:rsidRDefault="003B683B" w:rsidP="003B683B">
      <w:pPr>
        <w:contextualSpacing/>
        <w:rPr>
          <w:rFonts w:ascii="Times New Roman" w:hAnsi="Times New Roman" w:cs="Times New Roman"/>
          <w:sz w:val="24"/>
          <w:szCs w:val="24"/>
        </w:rPr>
      </w:pPr>
      <w:r w:rsidRPr="009850C8">
        <w:rPr>
          <w:rFonts w:ascii="Times New Roman" w:hAnsi="Times New Roman" w:cs="Times New Roman"/>
          <w:sz w:val="24"/>
          <w:szCs w:val="24"/>
        </w:rPr>
        <w:t xml:space="preserve">Second, parent-child sexual communication can serve as a model for adolescents’ communication with relationship partners, which is associated with reduced sexual risk-taking and increased sexual satisfaction (Frederick, Lever, Gillespie, &amp; Garcia, 2017; Widman, </w:t>
      </w:r>
      <w:proofErr w:type="spellStart"/>
      <w:r w:rsidRPr="009850C8">
        <w:rPr>
          <w:rFonts w:ascii="Times New Roman" w:hAnsi="Times New Roman" w:cs="Times New Roman"/>
          <w:sz w:val="24"/>
          <w:szCs w:val="24"/>
        </w:rPr>
        <w:t>Choukas</w:t>
      </w:r>
      <w:proofErr w:type="spellEnd"/>
      <w:r w:rsidRPr="009850C8">
        <w:rPr>
          <w:rFonts w:ascii="Times New Roman" w:hAnsi="Times New Roman" w:cs="Times New Roman"/>
          <w:sz w:val="24"/>
          <w:szCs w:val="24"/>
        </w:rPr>
        <w:t xml:space="preserve">-Bradley, Helms, </w:t>
      </w:r>
      <w:proofErr w:type="spellStart"/>
      <w:r w:rsidRPr="009850C8">
        <w:rPr>
          <w:rFonts w:ascii="Times New Roman" w:hAnsi="Times New Roman" w:cs="Times New Roman"/>
          <w:sz w:val="24"/>
          <w:szCs w:val="24"/>
        </w:rPr>
        <w:t>Golin</w:t>
      </w:r>
      <w:proofErr w:type="spellEnd"/>
      <w:r w:rsidRPr="009850C8">
        <w:rPr>
          <w:rFonts w:ascii="Times New Roman" w:hAnsi="Times New Roman" w:cs="Times New Roman"/>
          <w:sz w:val="24"/>
          <w:szCs w:val="24"/>
        </w:rPr>
        <w:t xml:space="preserve">, &amp; </w:t>
      </w:r>
      <w:proofErr w:type="spellStart"/>
      <w:r w:rsidRPr="009850C8">
        <w:rPr>
          <w:rFonts w:ascii="Times New Roman" w:hAnsi="Times New Roman" w:cs="Times New Roman"/>
          <w:sz w:val="24"/>
          <w:szCs w:val="24"/>
        </w:rPr>
        <w:t>Prinstein</w:t>
      </w:r>
      <w:proofErr w:type="spellEnd"/>
      <w:r w:rsidRPr="009850C8">
        <w:rPr>
          <w:rFonts w:ascii="Times New Roman" w:hAnsi="Times New Roman" w:cs="Times New Roman"/>
          <w:sz w:val="24"/>
          <w:szCs w:val="24"/>
        </w:rPr>
        <w:t xml:space="preserve">, 2014). For example, </w:t>
      </w:r>
      <w:proofErr w:type="gramStart"/>
      <w:r w:rsidRPr="009850C8">
        <w:rPr>
          <w:rFonts w:ascii="Times New Roman" w:hAnsi="Times New Roman" w:cs="Times New Roman"/>
          <w:sz w:val="24"/>
          <w:szCs w:val="24"/>
        </w:rPr>
        <w:t>a research</w:t>
      </w:r>
      <w:proofErr w:type="gramEnd"/>
      <w:r w:rsidRPr="009850C8">
        <w:rPr>
          <w:rFonts w:ascii="Times New Roman" w:hAnsi="Times New Roman" w:cs="Times New Roman"/>
          <w:sz w:val="24"/>
          <w:szCs w:val="24"/>
        </w:rPr>
        <w:t xml:space="preserve"> on a sample of 603 youth (aged 12 to 15) found that higher quality of parent-child communication about sex was linked with more sexual </w:t>
      </w:r>
      <w:r w:rsidRPr="009850C8">
        <w:rPr>
          <w:rFonts w:ascii="Times New Roman" w:hAnsi="Times New Roman" w:cs="Times New Roman"/>
          <w:sz w:val="24"/>
          <w:szCs w:val="24"/>
        </w:rPr>
        <w:lastRenderedPageBreak/>
        <w:t xml:space="preserve">topics that were discussed with dating partners (e.g., use of condoms, birth controls, risk of pregnancy; </w:t>
      </w:r>
      <w:r w:rsidRPr="009850C8">
        <w:rPr>
          <w:rFonts w:ascii="Times New Roman" w:hAnsi="Times New Roman" w:cs="Times New Roman"/>
          <w:i/>
          <w:iCs/>
          <w:sz w:val="24"/>
          <w:szCs w:val="24"/>
        </w:rPr>
        <w:t>Odds ratio</w:t>
      </w:r>
      <w:r w:rsidRPr="009850C8">
        <w:rPr>
          <w:rFonts w:ascii="Times New Roman" w:hAnsi="Times New Roman" w:cs="Times New Roman"/>
          <w:sz w:val="24"/>
          <w:szCs w:val="24"/>
        </w:rPr>
        <w:t xml:space="preserve"> = 1.09), and in turn with more frequent condom use (</w:t>
      </w:r>
      <w:r w:rsidRPr="009850C8">
        <w:rPr>
          <w:rFonts w:ascii="Times New Roman" w:hAnsi="Times New Roman" w:cs="Times New Roman"/>
          <w:i/>
          <w:iCs/>
          <w:sz w:val="24"/>
          <w:szCs w:val="24"/>
        </w:rPr>
        <w:t>r</w:t>
      </w:r>
      <w:r w:rsidRPr="009850C8">
        <w:rPr>
          <w:rFonts w:ascii="Times New Roman" w:hAnsi="Times New Roman" w:cs="Times New Roman"/>
          <w:sz w:val="24"/>
          <w:szCs w:val="24"/>
        </w:rPr>
        <w:t xml:space="preserve"> = .31; Widman et al., 2014).  </w:t>
      </w:r>
    </w:p>
    <w:p w14:paraId="47F60EE7" w14:textId="77777777" w:rsidR="003B683B" w:rsidRPr="009850C8" w:rsidRDefault="003B683B" w:rsidP="003B683B">
      <w:pPr>
        <w:contextualSpacing/>
        <w:rPr>
          <w:rFonts w:asciiTheme="majorBidi" w:hAnsiTheme="majorBidi" w:cstheme="majorBidi"/>
          <w:sz w:val="24"/>
          <w:szCs w:val="24"/>
          <w:rtl/>
        </w:rPr>
      </w:pPr>
      <w:r w:rsidRPr="009850C8">
        <w:rPr>
          <w:rFonts w:asciiTheme="majorBidi" w:hAnsiTheme="majorBidi" w:cstheme="majorBidi"/>
          <w:sz w:val="24"/>
          <w:szCs w:val="24"/>
        </w:rPr>
        <w:t xml:space="preserve">Recently, research has indicated that not every adolescent enjoys the benefits of </w:t>
      </w:r>
      <w:r w:rsidRPr="009850C8">
        <w:rPr>
          <w:rFonts w:ascii="Times New Roman" w:hAnsi="Times New Roman" w:cs="Times New Roman"/>
          <w:sz w:val="24"/>
          <w:szCs w:val="24"/>
        </w:rPr>
        <w:t>parent-child communication about sex</w:t>
      </w:r>
      <w:r w:rsidRPr="009850C8">
        <w:rPr>
          <w:rFonts w:asciiTheme="majorBidi" w:hAnsiTheme="majorBidi" w:cstheme="majorBidi"/>
          <w:sz w:val="24"/>
          <w:szCs w:val="24"/>
        </w:rPr>
        <w:t xml:space="preserve"> (</w:t>
      </w:r>
      <w:proofErr w:type="spellStart"/>
      <w:r w:rsidRPr="009850C8">
        <w:rPr>
          <w:rFonts w:asciiTheme="majorBidi" w:hAnsiTheme="majorBidi" w:cstheme="majorBidi"/>
          <w:sz w:val="24"/>
          <w:szCs w:val="24"/>
        </w:rPr>
        <w:t>Bonafide</w:t>
      </w:r>
      <w:proofErr w:type="spellEnd"/>
      <w:r w:rsidRPr="009850C8">
        <w:rPr>
          <w:rFonts w:asciiTheme="majorBidi" w:hAnsiTheme="majorBidi" w:cstheme="majorBidi"/>
          <w:sz w:val="24"/>
          <w:szCs w:val="24"/>
        </w:rPr>
        <w:t xml:space="preserve"> et al., 2020); It was found that to savor the many benefits of </w:t>
      </w:r>
      <w:r w:rsidRPr="009850C8">
        <w:rPr>
          <w:rFonts w:ascii="Times New Roman" w:hAnsi="Times New Roman" w:cs="Times New Roman"/>
          <w:sz w:val="24"/>
          <w:szCs w:val="24"/>
        </w:rPr>
        <w:t>parent-child communication about sex</w:t>
      </w:r>
      <w:r w:rsidRPr="009850C8">
        <w:rPr>
          <w:rFonts w:asciiTheme="majorBidi" w:hAnsiTheme="majorBidi" w:cstheme="majorBidi"/>
          <w:sz w:val="24"/>
          <w:szCs w:val="24"/>
        </w:rPr>
        <w:t xml:space="preserve">, high congruence in the perceptions of the quality of the communication between parent and child is vital. For example, </w:t>
      </w:r>
      <w:proofErr w:type="gramStart"/>
      <w:r w:rsidRPr="009850C8">
        <w:rPr>
          <w:rFonts w:asciiTheme="majorBidi" w:hAnsiTheme="majorBidi" w:cstheme="majorBidi"/>
          <w:sz w:val="24"/>
          <w:szCs w:val="24"/>
        </w:rPr>
        <w:t>a research</w:t>
      </w:r>
      <w:proofErr w:type="gramEnd"/>
      <w:r w:rsidRPr="009850C8">
        <w:rPr>
          <w:rFonts w:asciiTheme="majorBidi" w:hAnsiTheme="majorBidi" w:cstheme="majorBidi"/>
          <w:sz w:val="24"/>
          <w:szCs w:val="24"/>
        </w:rPr>
        <w:t xml:space="preserve"> on 125 parent-child dyads (children ages ranged between 11 and 17 years) revealed that adolescents’ perception of </w:t>
      </w:r>
      <w:r w:rsidRPr="009850C8">
        <w:rPr>
          <w:rFonts w:ascii="Times New Roman" w:hAnsi="Times New Roman" w:cs="Times New Roman"/>
          <w:sz w:val="24"/>
          <w:szCs w:val="24"/>
        </w:rPr>
        <w:t>parent-child communication about sex</w:t>
      </w:r>
      <w:r w:rsidRPr="009850C8">
        <w:rPr>
          <w:rFonts w:asciiTheme="majorBidi" w:hAnsiTheme="majorBidi" w:cstheme="majorBidi"/>
          <w:sz w:val="24"/>
          <w:szCs w:val="24"/>
        </w:rPr>
        <w:t xml:space="preserve"> was linked with lower prevalence of condomless sex (i.e., fewer sexual risky behaviors) only among those who had high agreement with their parents regarding the quality of the communication (</w:t>
      </w:r>
      <w:r w:rsidRPr="009850C8">
        <w:rPr>
          <w:rFonts w:asciiTheme="majorBidi" w:hAnsiTheme="majorBidi" w:cstheme="majorBidi"/>
          <w:i/>
          <w:iCs/>
          <w:sz w:val="24"/>
          <w:szCs w:val="24"/>
        </w:rPr>
        <w:t>b</w:t>
      </w:r>
      <w:r w:rsidRPr="009850C8">
        <w:rPr>
          <w:rFonts w:asciiTheme="majorBidi" w:hAnsiTheme="majorBidi" w:cstheme="majorBidi"/>
          <w:sz w:val="24"/>
          <w:szCs w:val="24"/>
        </w:rPr>
        <w:t xml:space="preserve"> = -0.13). In contrast, adolescents’ perception of </w:t>
      </w:r>
      <w:r w:rsidRPr="009850C8">
        <w:rPr>
          <w:rFonts w:ascii="Times New Roman" w:hAnsi="Times New Roman" w:cs="Times New Roman"/>
          <w:sz w:val="24"/>
          <w:szCs w:val="24"/>
        </w:rPr>
        <w:t>parent-child communication about sex</w:t>
      </w:r>
      <w:r w:rsidRPr="009850C8">
        <w:rPr>
          <w:rFonts w:asciiTheme="majorBidi" w:hAnsiTheme="majorBidi" w:cstheme="majorBidi"/>
          <w:sz w:val="24"/>
          <w:szCs w:val="24"/>
        </w:rPr>
        <w:t xml:space="preserve"> did not predict the prevalence of condomless sex among those who had low agreement with their parents about the quality of the communication (</w:t>
      </w:r>
      <w:r w:rsidRPr="009850C8">
        <w:rPr>
          <w:rFonts w:asciiTheme="majorBidi" w:hAnsiTheme="majorBidi" w:cstheme="majorBidi"/>
          <w:i/>
          <w:iCs/>
          <w:sz w:val="24"/>
          <w:szCs w:val="24"/>
        </w:rPr>
        <w:t>b</w:t>
      </w:r>
      <w:r w:rsidRPr="009850C8">
        <w:rPr>
          <w:rFonts w:asciiTheme="majorBidi" w:hAnsiTheme="majorBidi" w:cstheme="majorBidi"/>
          <w:sz w:val="24"/>
          <w:szCs w:val="24"/>
        </w:rPr>
        <w:t xml:space="preserve"> = 0.02). </w:t>
      </w:r>
    </w:p>
    <w:p w14:paraId="45A68C2F" w14:textId="77777777" w:rsidR="003B683B" w:rsidRDefault="003B683B" w:rsidP="003B683B">
      <w:pPr>
        <w:ind w:firstLine="0"/>
        <w:contextualSpacing/>
      </w:pPr>
    </w:p>
    <w:p w14:paraId="215CBFDE" w14:textId="77777777" w:rsidR="003B683B" w:rsidRDefault="003B683B" w:rsidP="003B683B">
      <w:pPr>
        <w:ind w:firstLine="0"/>
        <w:contextualSpacing/>
        <w:rPr>
          <w:rFonts w:asciiTheme="majorBidi" w:hAnsiTheme="majorBidi" w:cstheme="majorBidi"/>
          <w:b/>
          <w:bCs/>
          <w:sz w:val="24"/>
          <w:szCs w:val="24"/>
        </w:rPr>
      </w:pPr>
      <w:r>
        <w:t>The fact that parents can be taught to communicate effectively with children about topics related to sexuality (Schuster et al. 2008) suggests potential for teaching parents how to talk with their children about CSA and ways to prevent it. The potential benefits of family-based interventions include the ability of caregivers to repeat prevention messages at different times in a child’s development and matching the youth’s readiness to receive such information with the level of information provided (</w:t>
      </w:r>
      <w:proofErr w:type="spellStart"/>
      <w:r>
        <w:t>DiIorio</w:t>
      </w:r>
      <w:proofErr w:type="spellEnd"/>
      <w:r>
        <w:t xml:space="preserve"> et al. 2002). Parent discussion of these topics with children will likely be most effective if parents are taught to communicate in a manner that is both warm and firm.</w:t>
      </w:r>
    </w:p>
    <w:p w14:paraId="1BB0C298" w14:textId="4D400921" w:rsidR="003B683B" w:rsidRDefault="003B683B" w:rsidP="00A3292A"/>
    <w:p w14:paraId="2CAB0B5C" w14:textId="77777777" w:rsidR="00D53ABE" w:rsidRDefault="00D53ABE" w:rsidP="00A3292A">
      <w:pPr>
        <w:rPr>
          <w:rFonts w:hint="cs"/>
          <w:rtl/>
        </w:rPr>
      </w:pPr>
    </w:p>
    <w:sectPr w:rsidR="00D53ABE" w:rsidSect="000103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f90d833a.I">
    <w:altName w:val="Cambria"/>
    <w:panose1 w:val="00000000000000000000"/>
    <w:charset w:val="00"/>
    <w:family w:val="roman"/>
    <w:notTrueType/>
    <w:pitch w:val="default"/>
    <w:sig w:usb0="00000003" w:usb1="00000000" w:usb2="00000000" w:usb3="00000000" w:csb0="00000001" w:csb1="00000000"/>
  </w:font>
  <w:font w:name="AdvOT5843c571">
    <w:altName w:val="Cambria"/>
    <w:panose1 w:val="00000000000000000000"/>
    <w:charset w:val="00"/>
    <w:family w:val="roman"/>
    <w:notTrueType/>
    <w:pitch w:val="default"/>
    <w:sig w:usb0="00000003" w:usb1="00000000" w:usb2="00000000" w:usb3="00000000" w:csb0="00000001" w:csb1="00000000"/>
  </w:font>
  <w:font w:name="AdvOT5843c571+03">
    <w:altName w:val="Cambria"/>
    <w:panose1 w:val="00000000000000000000"/>
    <w:charset w:val="00"/>
    <w:family w:val="roman"/>
    <w:notTrueType/>
    <w:pitch w:val="default"/>
  </w:font>
  <w:font w:name="AdvOT5843c571+20">
    <w:altName w:val="Cambria"/>
    <w:panose1 w:val="00000000000000000000"/>
    <w:charset w:val="00"/>
    <w:family w:val="roman"/>
    <w:notTrueType/>
    <w:pitch w:val="default"/>
    <w:sig w:usb0="00000003" w:usb1="00000000" w:usb2="00000000" w:usb3="00000000" w:csb0="00000001" w:csb1="00000000"/>
  </w:font>
  <w:font w:name="AdvOT1ef757c0+20">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618D"/>
    <w:multiLevelType w:val="hybridMultilevel"/>
    <w:tmpl w:val="1118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863B7"/>
    <w:multiLevelType w:val="multilevel"/>
    <w:tmpl w:val="663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0596F"/>
    <w:multiLevelType w:val="hybridMultilevel"/>
    <w:tmpl w:val="5FACD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D5FAA"/>
    <w:multiLevelType w:val="hybridMultilevel"/>
    <w:tmpl w:val="F7EE2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70A33"/>
    <w:multiLevelType w:val="multilevel"/>
    <w:tmpl w:val="DAC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82"/>
    <w:rsid w:val="0001034C"/>
    <w:rsid w:val="000C58CD"/>
    <w:rsid w:val="0035194E"/>
    <w:rsid w:val="003B683B"/>
    <w:rsid w:val="0047715A"/>
    <w:rsid w:val="00645422"/>
    <w:rsid w:val="00A26C64"/>
    <w:rsid w:val="00A3292A"/>
    <w:rsid w:val="00AA7402"/>
    <w:rsid w:val="00CD6482"/>
    <w:rsid w:val="00D53ABE"/>
    <w:rsid w:val="00D601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5883"/>
  <w15:chartTrackingRefBased/>
  <w15:docId w15:val="{E667D4B8-3E95-4E55-BAC0-62E715B8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92A"/>
    <w:pPr>
      <w:spacing w:after="0" w:line="480" w:lineRule="auto"/>
      <w:ind w:firstLine="720"/>
    </w:pPr>
  </w:style>
  <w:style w:type="paragraph" w:styleId="2">
    <w:name w:val="heading 2"/>
    <w:basedOn w:val="a"/>
    <w:link w:val="20"/>
    <w:uiPriority w:val="9"/>
    <w:qFormat/>
    <w:rsid w:val="00A3292A"/>
    <w:pPr>
      <w:spacing w:before="100" w:beforeAutospacing="1" w:after="100" w:afterAutospacing="1" w:line="240" w:lineRule="auto"/>
      <w:ind w:firstLine="0"/>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A3292A"/>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A3292A"/>
    <w:rPr>
      <w:rFonts w:ascii="Times New Roman" w:eastAsia="Times New Roman" w:hAnsi="Times New Roman" w:cs="Times New Roman"/>
      <w:b/>
      <w:bCs/>
      <w:sz w:val="36"/>
      <w:szCs w:val="36"/>
    </w:rPr>
  </w:style>
  <w:style w:type="character" w:customStyle="1" w:styleId="50">
    <w:name w:val="כותרת 5 תו"/>
    <w:basedOn w:val="a0"/>
    <w:link w:val="5"/>
    <w:uiPriority w:val="9"/>
    <w:semiHidden/>
    <w:rsid w:val="00A3292A"/>
    <w:rPr>
      <w:rFonts w:asciiTheme="majorHAnsi" w:eastAsiaTheme="majorEastAsia" w:hAnsiTheme="majorHAnsi" w:cstheme="majorBidi"/>
      <w:color w:val="2F5496" w:themeColor="accent1" w:themeShade="BF"/>
    </w:rPr>
  </w:style>
  <w:style w:type="paragraph" w:customStyle="1" w:styleId="EndNoteBibliographyTitle">
    <w:name w:val="EndNote Bibliography Title"/>
    <w:basedOn w:val="a"/>
    <w:link w:val="EndNoteBibliographyTitle0"/>
    <w:rsid w:val="00A3292A"/>
    <w:pPr>
      <w:jc w:val="center"/>
    </w:pPr>
    <w:rPr>
      <w:rFonts w:ascii="Times New Roman" w:hAnsi="Times New Roman" w:cs="Times New Roman"/>
      <w:noProof/>
      <w:sz w:val="24"/>
    </w:rPr>
  </w:style>
  <w:style w:type="character" w:customStyle="1" w:styleId="EndNoteBibliographyTitle0">
    <w:name w:val="EndNote Bibliography Title תו"/>
    <w:basedOn w:val="a0"/>
    <w:link w:val="EndNoteBibliographyTitle"/>
    <w:rsid w:val="00A3292A"/>
    <w:rPr>
      <w:rFonts w:ascii="Times New Roman" w:hAnsi="Times New Roman" w:cs="Times New Roman"/>
      <w:noProof/>
      <w:sz w:val="24"/>
    </w:rPr>
  </w:style>
  <w:style w:type="paragraph" w:customStyle="1" w:styleId="EndNoteBibliography">
    <w:name w:val="EndNote Bibliography"/>
    <w:basedOn w:val="a"/>
    <w:link w:val="EndNoteBibliography0"/>
    <w:rsid w:val="00A3292A"/>
    <w:rPr>
      <w:rFonts w:ascii="Times New Roman" w:hAnsi="Times New Roman" w:cs="Times New Roman"/>
      <w:noProof/>
      <w:sz w:val="24"/>
    </w:rPr>
  </w:style>
  <w:style w:type="character" w:customStyle="1" w:styleId="EndNoteBibliography0">
    <w:name w:val="EndNote Bibliography תו"/>
    <w:basedOn w:val="a0"/>
    <w:link w:val="EndNoteBibliography"/>
    <w:rsid w:val="00A3292A"/>
    <w:rPr>
      <w:rFonts w:ascii="Times New Roman" w:hAnsi="Times New Roman" w:cs="Times New Roman"/>
      <w:noProof/>
      <w:sz w:val="24"/>
    </w:rPr>
  </w:style>
  <w:style w:type="character" w:styleId="Hyperlink">
    <w:name w:val="Hyperlink"/>
    <w:basedOn w:val="a0"/>
    <w:uiPriority w:val="99"/>
    <w:unhideWhenUsed/>
    <w:rsid w:val="00A3292A"/>
    <w:rPr>
      <w:color w:val="0563C1" w:themeColor="hyperlink"/>
      <w:u w:val="single"/>
    </w:rPr>
  </w:style>
  <w:style w:type="character" w:customStyle="1" w:styleId="UnresolvedMention1">
    <w:name w:val="Unresolved Mention1"/>
    <w:basedOn w:val="a0"/>
    <w:uiPriority w:val="99"/>
    <w:semiHidden/>
    <w:unhideWhenUsed/>
    <w:rsid w:val="00A3292A"/>
    <w:rPr>
      <w:color w:val="605E5C"/>
      <w:shd w:val="clear" w:color="auto" w:fill="E1DFDD"/>
    </w:rPr>
  </w:style>
  <w:style w:type="paragraph" w:styleId="a3">
    <w:name w:val="annotation text"/>
    <w:basedOn w:val="a"/>
    <w:link w:val="a4"/>
    <w:uiPriority w:val="99"/>
    <w:unhideWhenUsed/>
    <w:rsid w:val="00A3292A"/>
    <w:pPr>
      <w:spacing w:before="120" w:after="120"/>
      <w:jc w:val="both"/>
    </w:pPr>
    <w:rPr>
      <w:rFonts w:ascii="Arial" w:eastAsiaTheme="minorEastAsia" w:hAnsi="Arial" w:cs="Arial"/>
      <w:lang w:eastAsia="en-GB"/>
    </w:rPr>
  </w:style>
  <w:style w:type="character" w:customStyle="1" w:styleId="a4">
    <w:name w:val="טקסט הערה תו"/>
    <w:basedOn w:val="a0"/>
    <w:link w:val="a3"/>
    <w:uiPriority w:val="99"/>
    <w:rsid w:val="00A3292A"/>
    <w:rPr>
      <w:rFonts w:ascii="Arial" w:eastAsiaTheme="minorEastAsia" w:hAnsi="Arial" w:cs="Arial"/>
      <w:lang w:eastAsia="en-GB"/>
    </w:rPr>
  </w:style>
  <w:style w:type="character" w:customStyle="1" w:styleId="fontstyle01">
    <w:name w:val="fontstyle01"/>
    <w:basedOn w:val="a0"/>
    <w:rsid w:val="00A3292A"/>
    <w:rPr>
      <w:rFonts w:ascii="AdvOTf90d833a.I" w:hAnsi="AdvOTf90d833a.I" w:hint="default"/>
      <w:b w:val="0"/>
      <w:bCs w:val="0"/>
      <w:i w:val="0"/>
      <w:iCs w:val="0"/>
      <w:color w:val="000000"/>
      <w:sz w:val="20"/>
      <w:szCs w:val="20"/>
    </w:rPr>
  </w:style>
  <w:style w:type="character" w:customStyle="1" w:styleId="fontstyle21">
    <w:name w:val="fontstyle21"/>
    <w:basedOn w:val="a0"/>
    <w:rsid w:val="00A3292A"/>
    <w:rPr>
      <w:rFonts w:ascii="AdvOT5843c571" w:hAnsi="AdvOT5843c571" w:hint="default"/>
      <w:b w:val="0"/>
      <w:bCs w:val="0"/>
      <w:i w:val="0"/>
      <w:iCs w:val="0"/>
      <w:color w:val="000000"/>
      <w:sz w:val="20"/>
      <w:szCs w:val="20"/>
    </w:rPr>
  </w:style>
  <w:style w:type="character" w:customStyle="1" w:styleId="fontstyle31">
    <w:name w:val="fontstyle31"/>
    <w:basedOn w:val="a0"/>
    <w:rsid w:val="00A3292A"/>
    <w:rPr>
      <w:rFonts w:ascii="AdvOT5843c571+03" w:hAnsi="AdvOT5843c571+03" w:hint="default"/>
      <w:b w:val="0"/>
      <w:bCs w:val="0"/>
      <w:i w:val="0"/>
      <w:iCs w:val="0"/>
      <w:color w:val="000000"/>
      <w:sz w:val="20"/>
      <w:szCs w:val="20"/>
    </w:rPr>
  </w:style>
  <w:style w:type="character" w:customStyle="1" w:styleId="fontstyle41">
    <w:name w:val="fontstyle41"/>
    <w:basedOn w:val="a0"/>
    <w:rsid w:val="00A3292A"/>
    <w:rPr>
      <w:rFonts w:ascii="AdvOT5843c571+20" w:hAnsi="AdvOT5843c571+20" w:hint="default"/>
      <w:b w:val="0"/>
      <w:bCs w:val="0"/>
      <w:i w:val="0"/>
      <w:iCs w:val="0"/>
      <w:color w:val="000000"/>
      <w:sz w:val="20"/>
      <w:szCs w:val="20"/>
    </w:rPr>
  </w:style>
  <w:style w:type="character" w:customStyle="1" w:styleId="fontstyle11">
    <w:name w:val="fontstyle11"/>
    <w:basedOn w:val="a0"/>
    <w:rsid w:val="00A3292A"/>
    <w:rPr>
      <w:rFonts w:ascii="AdvOT1ef757c0+20" w:hAnsi="AdvOT1ef757c0+20" w:hint="default"/>
      <w:b w:val="0"/>
      <w:bCs w:val="0"/>
      <w:i w:val="0"/>
      <w:iCs w:val="0"/>
      <w:color w:val="000000"/>
      <w:sz w:val="20"/>
      <w:szCs w:val="20"/>
    </w:rPr>
  </w:style>
  <w:style w:type="paragraph" w:styleId="NormalWeb">
    <w:name w:val="Normal (Web)"/>
    <w:basedOn w:val="a"/>
    <w:uiPriority w:val="99"/>
    <w:unhideWhenUsed/>
    <w:rsid w:val="00A3292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a5">
    <w:name w:val="Strong"/>
    <w:basedOn w:val="a0"/>
    <w:uiPriority w:val="22"/>
    <w:qFormat/>
    <w:rsid w:val="00A3292A"/>
    <w:rPr>
      <w:b/>
      <w:bCs/>
    </w:rPr>
  </w:style>
  <w:style w:type="character" w:styleId="a6">
    <w:name w:val="Emphasis"/>
    <w:basedOn w:val="a0"/>
    <w:uiPriority w:val="20"/>
    <w:qFormat/>
    <w:rsid w:val="00A3292A"/>
    <w:rPr>
      <w:i/>
      <w:iCs/>
    </w:rPr>
  </w:style>
  <w:style w:type="character" w:customStyle="1" w:styleId="ad-label">
    <w:name w:val="ad-label"/>
    <w:basedOn w:val="a0"/>
    <w:rsid w:val="00A3292A"/>
  </w:style>
  <w:style w:type="paragraph" w:styleId="a7">
    <w:name w:val="header"/>
    <w:basedOn w:val="a"/>
    <w:link w:val="a8"/>
    <w:uiPriority w:val="99"/>
    <w:unhideWhenUsed/>
    <w:rsid w:val="00A3292A"/>
    <w:pPr>
      <w:tabs>
        <w:tab w:val="center" w:pos="4680"/>
        <w:tab w:val="right" w:pos="9360"/>
      </w:tabs>
      <w:spacing w:line="240" w:lineRule="auto"/>
    </w:pPr>
  </w:style>
  <w:style w:type="character" w:customStyle="1" w:styleId="a8">
    <w:name w:val="כותרת עליונה תו"/>
    <w:basedOn w:val="a0"/>
    <w:link w:val="a7"/>
    <w:uiPriority w:val="99"/>
    <w:rsid w:val="00A3292A"/>
  </w:style>
  <w:style w:type="paragraph" w:styleId="a9">
    <w:name w:val="footer"/>
    <w:basedOn w:val="a"/>
    <w:link w:val="aa"/>
    <w:uiPriority w:val="99"/>
    <w:unhideWhenUsed/>
    <w:rsid w:val="00A3292A"/>
    <w:pPr>
      <w:tabs>
        <w:tab w:val="center" w:pos="4680"/>
        <w:tab w:val="right" w:pos="9360"/>
      </w:tabs>
      <w:spacing w:line="240" w:lineRule="auto"/>
    </w:pPr>
  </w:style>
  <w:style w:type="character" w:customStyle="1" w:styleId="aa">
    <w:name w:val="כותרת תחתונה תו"/>
    <w:basedOn w:val="a0"/>
    <w:link w:val="a9"/>
    <w:uiPriority w:val="99"/>
    <w:rsid w:val="00A3292A"/>
  </w:style>
  <w:style w:type="paragraph" w:styleId="ab">
    <w:name w:val="Revision"/>
    <w:hidden/>
    <w:uiPriority w:val="99"/>
    <w:semiHidden/>
    <w:rsid w:val="00A3292A"/>
    <w:pPr>
      <w:spacing w:after="0" w:line="240" w:lineRule="auto"/>
    </w:pPr>
  </w:style>
  <w:style w:type="character" w:styleId="ac">
    <w:name w:val="annotation reference"/>
    <w:basedOn w:val="a0"/>
    <w:uiPriority w:val="99"/>
    <w:semiHidden/>
    <w:unhideWhenUsed/>
    <w:rsid w:val="00A3292A"/>
    <w:rPr>
      <w:sz w:val="16"/>
      <w:szCs w:val="16"/>
    </w:rPr>
  </w:style>
  <w:style w:type="paragraph" w:styleId="ad">
    <w:name w:val="annotation subject"/>
    <w:basedOn w:val="a3"/>
    <w:next w:val="a3"/>
    <w:link w:val="ae"/>
    <w:uiPriority w:val="99"/>
    <w:semiHidden/>
    <w:unhideWhenUsed/>
    <w:rsid w:val="00A3292A"/>
    <w:pPr>
      <w:spacing w:before="0" w:after="0" w:line="240" w:lineRule="auto"/>
      <w:jc w:val="left"/>
    </w:pPr>
    <w:rPr>
      <w:rFonts w:asciiTheme="minorHAnsi" w:eastAsiaTheme="minorHAnsi" w:hAnsiTheme="minorHAnsi" w:cstheme="minorBidi"/>
      <w:b/>
      <w:bCs/>
      <w:sz w:val="20"/>
      <w:szCs w:val="20"/>
      <w:lang w:eastAsia="en-US"/>
    </w:rPr>
  </w:style>
  <w:style w:type="character" w:customStyle="1" w:styleId="ae">
    <w:name w:val="נושא הערה תו"/>
    <w:basedOn w:val="a4"/>
    <w:link w:val="ad"/>
    <w:uiPriority w:val="99"/>
    <w:semiHidden/>
    <w:rsid w:val="00A3292A"/>
    <w:rPr>
      <w:rFonts w:ascii="Arial" w:eastAsiaTheme="minorEastAsia" w:hAnsi="Arial" w:cs="Arial"/>
      <w:b/>
      <w:bCs/>
      <w:sz w:val="20"/>
      <w:szCs w:val="20"/>
      <w:lang w:eastAsia="en-GB"/>
    </w:rPr>
  </w:style>
  <w:style w:type="paragraph" w:styleId="af">
    <w:name w:val="Balloon Text"/>
    <w:basedOn w:val="a"/>
    <w:link w:val="af0"/>
    <w:uiPriority w:val="99"/>
    <w:semiHidden/>
    <w:unhideWhenUsed/>
    <w:rsid w:val="00A3292A"/>
    <w:pPr>
      <w:spacing w:line="240" w:lineRule="auto"/>
    </w:pPr>
    <w:rPr>
      <w:rFonts w:ascii="Tahoma" w:hAnsi="Tahoma" w:cs="Tahoma"/>
      <w:sz w:val="16"/>
      <w:szCs w:val="16"/>
    </w:rPr>
  </w:style>
  <w:style w:type="character" w:customStyle="1" w:styleId="af0">
    <w:name w:val="טקסט בלונים תו"/>
    <w:basedOn w:val="a0"/>
    <w:link w:val="af"/>
    <w:uiPriority w:val="99"/>
    <w:semiHidden/>
    <w:rsid w:val="00A3292A"/>
    <w:rPr>
      <w:rFonts w:ascii="Tahoma" w:hAnsi="Tahoma" w:cs="Tahoma"/>
      <w:sz w:val="16"/>
      <w:szCs w:val="16"/>
    </w:rPr>
  </w:style>
  <w:style w:type="paragraph" w:styleId="af1">
    <w:name w:val="List Paragraph"/>
    <w:basedOn w:val="a"/>
    <w:uiPriority w:val="34"/>
    <w:qFormat/>
    <w:rsid w:val="00A3292A"/>
    <w:pPr>
      <w:bidi/>
      <w:spacing w:after="160" w:line="259" w:lineRule="auto"/>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10</Pages>
  <Words>15548</Words>
  <Characters>77741</Characters>
  <Application>Microsoft Office Word</Application>
  <DocSecurity>0</DocSecurity>
  <Lines>647</Lines>
  <Paragraphs>186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YANIV EFRATI</dc:creator>
  <cp:keywords/>
  <dc:description/>
  <cp:lastModifiedBy>YANIV EFRATI</cp:lastModifiedBy>
  <cp:revision>3</cp:revision>
  <dcterms:created xsi:type="dcterms:W3CDTF">2022-03-20T07:45:00Z</dcterms:created>
  <dcterms:modified xsi:type="dcterms:W3CDTF">2022-03-30T12:08:00Z</dcterms:modified>
</cp:coreProperties>
</file>