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14BC" w14:textId="77777777" w:rsidR="0083020E" w:rsidRPr="00667764" w:rsidRDefault="0083020E" w:rsidP="0083020E">
      <w:pPr>
        <w:spacing w:line="360" w:lineRule="auto"/>
        <w:rPr>
          <w:rFonts w:ascii="Arial" w:hAnsi="Arial" w:cs="Arial"/>
          <w:sz w:val="28"/>
          <w:szCs w:val="28"/>
        </w:rPr>
      </w:pPr>
    </w:p>
    <w:p w14:paraId="20474E56" w14:textId="77777777" w:rsidR="0083020E" w:rsidRPr="00667764" w:rsidRDefault="0083020E" w:rsidP="0083020E">
      <w:pPr>
        <w:spacing w:line="360" w:lineRule="auto"/>
        <w:jc w:val="center"/>
        <w:rPr>
          <w:rFonts w:ascii="Arial" w:eastAsia="Times New Roman" w:hAnsi="Arial" w:cs="Arial"/>
          <w:sz w:val="32"/>
          <w:szCs w:val="32"/>
          <w:lang w:eastAsia="en-GB"/>
        </w:rPr>
      </w:pPr>
      <w:r w:rsidRPr="00667764">
        <w:rPr>
          <w:rFonts w:ascii="Arial" w:eastAsia="Times New Roman" w:hAnsi="Arial" w:cs="Arial"/>
          <w:sz w:val="32"/>
          <w:szCs w:val="32"/>
          <w:lang w:eastAsia="en-GB"/>
        </w:rPr>
        <w:t>COVID-19 Recovery: Building future pandemic preparedness and understanding citizen engagement in the USA and UK</w:t>
      </w:r>
    </w:p>
    <w:p w14:paraId="217B5459" w14:textId="77777777" w:rsidR="006E2447" w:rsidRDefault="006E2447" w:rsidP="0083020E">
      <w:pPr>
        <w:spacing w:line="360" w:lineRule="auto"/>
        <w:jc w:val="center"/>
        <w:rPr>
          <w:rFonts w:ascii="Arial" w:hAnsi="Arial" w:cs="Arial"/>
          <w:sz w:val="32"/>
          <w:szCs w:val="32"/>
        </w:rPr>
      </w:pPr>
    </w:p>
    <w:p w14:paraId="55CCD8FB" w14:textId="77777777" w:rsidR="006E2447" w:rsidRDefault="006E2447" w:rsidP="006E2447">
      <w:pPr>
        <w:pBdr>
          <w:top w:val="single" w:sz="12" w:space="1" w:color="2F5496" w:themeColor="accent1" w:themeShade="BF"/>
        </w:pBdr>
        <w:spacing w:line="360" w:lineRule="auto"/>
        <w:jc w:val="center"/>
        <w:rPr>
          <w:rFonts w:ascii="Arial" w:hAnsi="Arial" w:cs="Arial"/>
          <w:sz w:val="32"/>
          <w:szCs w:val="32"/>
        </w:rPr>
      </w:pPr>
    </w:p>
    <w:p w14:paraId="210791A4" w14:textId="135F9B13" w:rsidR="0083020E" w:rsidRPr="006E2447" w:rsidRDefault="0083020E" w:rsidP="0083020E">
      <w:pPr>
        <w:spacing w:line="360" w:lineRule="auto"/>
        <w:jc w:val="center"/>
        <w:rPr>
          <w:rFonts w:ascii="Arial" w:eastAsia="Times New Roman" w:hAnsi="Arial" w:cs="Arial"/>
          <w:b/>
          <w:bCs/>
          <w:color w:val="2F5496" w:themeColor="accent1" w:themeShade="BF"/>
          <w:sz w:val="32"/>
          <w:szCs w:val="32"/>
          <w:lang w:eastAsia="en-GB"/>
        </w:rPr>
      </w:pPr>
      <w:r w:rsidRPr="006E2447">
        <w:rPr>
          <w:rFonts w:ascii="Arial" w:eastAsia="Times New Roman" w:hAnsi="Arial" w:cs="Arial"/>
          <w:b/>
          <w:bCs/>
          <w:color w:val="2F5496" w:themeColor="accent1" w:themeShade="BF"/>
          <w:sz w:val="32"/>
          <w:szCs w:val="32"/>
          <w:lang w:eastAsia="en-GB"/>
        </w:rPr>
        <w:t>Overcoming barriers to vaccination by empowering citizens to make deliberate choices</w:t>
      </w:r>
    </w:p>
    <w:p w14:paraId="3A6B06F0" w14:textId="77777777" w:rsidR="0083020E" w:rsidRPr="00667764" w:rsidRDefault="0083020E" w:rsidP="0083020E">
      <w:pPr>
        <w:spacing w:line="360" w:lineRule="auto"/>
        <w:jc w:val="center"/>
        <w:rPr>
          <w:rFonts w:ascii="Arial" w:hAnsi="Arial" w:cs="Arial"/>
          <w:sz w:val="28"/>
          <w:szCs w:val="28"/>
        </w:rPr>
      </w:pPr>
    </w:p>
    <w:p w14:paraId="36F5EE2B" w14:textId="26F72A27" w:rsidR="0083020E" w:rsidRDefault="006E2447" w:rsidP="0083020E">
      <w:pPr>
        <w:spacing w:line="36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 xml:space="preserve">British Academy </w:t>
      </w:r>
      <w:r w:rsidR="0083020E">
        <w:rPr>
          <w:rFonts w:ascii="Arial" w:eastAsia="Times New Roman" w:hAnsi="Arial" w:cs="Arial"/>
          <w:sz w:val="28"/>
          <w:szCs w:val="28"/>
          <w:lang w:eastAsia="en-GB"/>
        </w:rPr>
        <w:t xml:space="preserve">Project </w:t>
      </w:r>
      <w:r>
        <w:rPr>
          <w:rFonts w:ascii="Arial" w:eastAsia="Times New Roman" w:hAnsi="Arial" w:cs="Arial"/>
          <w:sz w:val="28"/>
          <w:szCs w:val="28"/>
          <w:lang w:eastAsia="en-GB"/>
        </w:rPr>
        <w:t>R</w:t>
      </w:r>
      <w:r w:rsidR="0083020E">
        <w:rPr>
          <w:rFonts w:ascii="Arial" w:eastAsia="Times New Roman" w:hAnsi="Arial" w:cs="Arial"/>
          <w:sz w:val="28"/>
          <w:szCs w:val="28"/>
          <w:lang w:eastAsia="en-GB"/>
        </w:rPr>
        <w:t xml:space="preserve">eference: </w:t>
      </w:r>
      <w:r w:rsidR="0083020E" w:rsidRPr="00667764">
        <w:rPr>
          <w:rFonts w:ascii="Arial" w:eastAsia="Times New Roman" w:hAnsi="Arial" w:cs="Arial"/>
          <w:sz w:val="28"/>
          <w:szCs w:val="28"/>
          <w:lang w:eastAsia="en-GB"/>
        </w:rPr>
        <w:t>COVG7210005</w:t>
      </w:r>
    </w:p>
    <w:p w14:paraId="2D025D0F" w14:textId="77777777" w:rsidR="006E2447" w:rsidRPr="00667764" w:rsidRDefault="006E2447" w:rsidP="006E2447">
      <w:pPr>
        <w:spacing w:line="360" w:lineRule="auto"/>
        <w:jc w:val="center"/>
        <w:rPr>
          <w:rFonts w:ascii="Arial" w:eastAsia="Times New Roman" w:hAnsi="Arial" w:cs="Arial"/>
          <w:sz w:val="28"/>
          <w:szCs w:val="28"/>
          <w:lang w:eastAsia="en-GB"/>
        </w:rPr>
      </w:pPr>
    </w:p>
    <w:p w14:paraId="1797E2F9" w14:textId="77777777" w:rsidR="0083020E" w:rsidRPr="00667764" w:rsidRDefault="0083020E" w:rsidP="006E2447">
      <w:pPr>
        <w:spacing w:line="360" w:lineRule="auto"/>
        <w:jc w:val="center"/>
        <w:rPr>
          <w:rFonts w:ascii="Arial" w:hAnsi="Arial" w:cs="Arial"/>
          <w:sz w:val="28"/>
          <w:szCs w:val="28"/>
        </w:rPr>
      </w:pPr>
    </w:p>
    <w:p w14:paraId="38EB311D" w14:textId="77777777" w:rsidR="0083020E" w:rsidRPr="00667764" w:rsidRDefault="0083020E" w:rsidP="0083020E">
      <w:pPr>
        <w:spacing w:line="360" w:lineRule="auto"/>
        <w:jc w:val="center"/>
        <w:rPr>
          <w:rFonts w:ascii="Arial" w:hAnsi="Arial" w:cs="Arial"/>
          <w:sz w:val="28"/>
          <w:szCs w:val="28"/>
        </w:rPr>
      </w:pPr>
      <w:r w:rsidRPr="00667764">
        <w:rPr>
          <w:rFonts w:ascii="Arial" w:hAnsi="Arial" w:cs="Arial"/>
          <w:sz w:val="28"/>
          <w:szCs w:val="28"/>
        </w:rPr>
        <w:t>PI: Professor Peter John</w:t>
      </w:r>
    </w:p>
    <w:p w14:paraId="31C80A64" w14:textId="77777777" w:rsidR="0083020E" w:rsidRPr="00667764" w:rsidRDefault="0083020E" w:rsidP="0083020E">
      <w:pPr>
        <w:spacing w:line="360" w:lineRule="auto"/>
        <w:jc w:val="center"/>
        <w:rPr>
          <w:rFonts w:ascii="Arial" w:hAnsi="Arial" w:cs="Arial"/>
          <w:sz w:val="28"/>
          <w:szCs w:val="28"/>
        </w:rPr>
      </w:pPr>
      <w:r w:rsidRPr="00667764">
        <w:rPr>
          <w:rFonts w:ascii="Arial" w:hAnsi="Arial" w:cs="Arial"/>
          <w:sz w:val="28"/>
          <w:szCs w:val="28"/>
        </w:rPr>
        <w:t>Co-I: Professor Peter John Loewen</w:t>
      </w:r>
    </w:p>
    <w:p w14:paraId="62436489" w14:textId="77777777" w:rsidR="0083020E" w:rsidRPr="00667764" w:rsidRDefault="0083020E" w:rsidP="0083020E">
      <w:pPr>
        <w:spacing w:line="360" w:lineRule="auto"/>
        <w:jc w:val="center"/>
        <w:rPr>
          <w:rFonts w:ascii="Arial" w:hAnsi="Arial" w:cs="Arial"/>
          <w:sz w:val="28"/>
          <w:szCs w:val="28"/>
        </w:rPr>
      </w:pPr>
      <w:r w:rsidRPr="00667764">
        <w:rPr>
          <w:rFonts w:ascii="Arial" w:hAnsi="Arial" w:cs="Arial"/>
          <w:sz w:val="28"/>
          <w:szCs w:val="28"/>
        </w:rPr>
        <w:t>Co-I: Dr Manu Savani</w:t>
      </w:r>
    </w:p>
    <w:p w14:paraId="4E74BD2D" w14:textId="77777777" w:rsidR="0083020E" w:rsidRPr="00667764" w:rsidRDefault="0083020E" w:rsidP="0083020E">
      <w:pPr>
        <w:spacing w:line="360" w:lineRule="auto"/>
        <w:jc w:val="center"/>
        <w:rPr>
          <w:rFonts w:ascii="Arial" w:hAnsi="Arial" w:cs="Arial"/>
          <w:sz w:val="28"/>
          <w:szCs w:val="28"/>
        </w:rPr>
      </w:pPr>
    </w:p>
    <w:p w14:paraId="6F8A4647" w14:textId="77777777" w:rsidR="0083020E" w:rsidRPr="00667764" w:rsidRDefault="0083020E" w:rsidP="0083020E">
      <w:pPr>
        <w:spacing w:line="360" w:lineRule="auto"/>
        <w:jc w:val="center"/>
        <w:rPr>
          <w:rFonts w:ascii="Arial" w:hAnsi="Arial" w:cs="Arial"/>
          <w:sz w:val="28"/>
          <w:szCs w:val="28"/>
        </w:rPr>
      </w:pPr>
      <w:r w:rsidRPr="00667764">
        <w:rPr>
          <w:rFonts w:ascii="Arial" w:hAnsi="Arial" w:cs="Arial"/>
          <w:sz w:val="28"/>
          <w:szCs w:val="28"/>
        </w:rPr>
        <w:t>Research Team:</w:t>
      </w:r>
    </w:p>
    <w:p w14:paraId="26B71751" w14:textId="77777777" w:rsidR="0083020E" w:rsidRPr="00667764" w:rsidRDefault="0083020E" w:rsidP="0083020E">
      <w:pPr>
        <w:spacing w:line="360" w:lineRule="auto"/>
        <w:jc w:val="center"/>
        <w:rPr>
          <w:rFonts w:ascii="Arial" w:hAnsi="Arial" w:cs="Arial"/>
          <w:sz w:val="28"/>
          <w:szCs w:val="28"/>
        </w:rPr>
      </w:pPr>
      <w:r w:rsidRPr="00667764">
        <w:rPr>
          <w:rFonts w:ascii="Arial" w:hAnsi="Arial" w:cs="Arial"/>
          <w:sz w:val="28"/>
          <w:szCs w:val="28"/>
        </w:rPr>
        <w:t xml:space="preserve">Professor Brendan </w:t>
      </w:r>
      <w:proofErr w:type="spellStart"/>
      <w:r w:rsidRPr="00667764">
        <w:rPr>
          <w:rFonts w:ascii="Arial" w:hAnsi="Arial" w:cs="Arial"/>
          <w:sz w:val="28"/>
          <w:szCs w:val="28"/>
        </w:rPr>
        <w:t>Nyhan</w:t>
      </w:r>
      <w:proofErr w:type="spellEnd"/>
    </w:p>
    <w:p w14:paraId="59064C46" w14:textId="77777777" w:rsidR="0083020E" w:rsidRPr="00667764" w:rsidRDefault="0083020E" w:rsidP="0083020E">
      <w:pPr>
        <w:spacing w:line="360" w:lineRule="auto"/>
        <w:jc w:val="center"/>
        <w:rPr>
          <w:rFonts w:ascii="Arial" w:hAnsi="Arial" w:cs="Arial"/>
          <w:sz w:val="28"/>
          <w:szCs w:val="28"/>
        </w:rPr>
      </w:pPr>
      <w:r w:rsidRPr="00667764">
        <w:rPr>
          <w:rFonts w:ascii="Arial" w:hAnsi="Arial" w:cs="Arial"/>
          <w:sz w:val="28"/>
          <w:szCs w:val="28"/>
        </w:rPr>
        <w:t>Dr John McAndrews</w:t>
      </w:r>
    </w:p>
    <w:p w14:paraId="61A90F11" w14:textId="77777777" w:rsidR="0083020E" w:rsidRDefault="0083020E" w:rsidP="0083020E">
      <w:pPr>
        <w:spacing w:line="360" w:lineRule="auto"/>
        <w:jc w:val="center"/>
        <w:rPr>
          <w:rFonts w:ascii="Arial" w:hAnsi="Arial" w:cs="Arial"/>
          <w:sz w:val="28"/>
          <w:szCs w:val="28"/>
        </w:rPr>
      </w:pPr>
      <w:proofErr w:type="spellStart"/>
      <w:r w:rsidRPr="00667764">
        <w:rPr>
          <w:rFonts w:ascii="Arial" w:hAnsi="Arial" w:cs="Arial"/>
          <w:sz w:val="28"/>
          <w:szCs w:val="28"/>
        </w:rPr>
        <w:t>Sanchayan</w:t>
      </w:r>
      <w:proofErr w:type="spellEnd"/>
      <w:r w:rsidRPr="00667764">
        <w:rPr>
          <w:rFonts w:ascii="Arial" w:hAnsi="Arial" w:cs="Arial"/>
          <w:sz w:val="28"/>
          <w:szCs w:val="28"/>
        </w:rPr>
        <w:t xml:space="preserve"> Banerjee</w:t>
      </w:r>
    </w:p>
    <w:p w14:paraId="2DB3DFC3" w14:textId="77777777" w:rsidR="0083020E" w:rsidRDefault="0083020E" w:rsidP="0083020E">
      <w:pPr>
        <w:spacing w:line="360" w:lineRule="auto"/>
        <w:jc w:val="center"/>
        <w:rPr>
          <w:rFonts w:ascii="Arial" w:hAnsi="Arial" w:cs="Arial"/>
          <w:sz w:val="28"/>
          <w:szCs w:val="28"/>
        </w:rPr>
      </w:pPr>
      <w:r w:rsidRPr="00667764">
        <w:rPr>
          <w:rFonts w:ascii="Arial" w:hAnsi="Arial" w:cs="Arial"/>
          <w:sz w:val="28"/>
          <w:szCs w:val="28"/>
        </w:rPr>
        <w:t>Richard Koenig</w:t>
      </w:r>
    </w:p>
    <w:p w14:paraId="689BF47C" w14:textId="756A1EAE" w:rsidR="0083020E" w:rsidRDefault="0083020E" w:rsidP="006E2447">
      <w:pPr>
        <w:pBdr>
          <w:bottom w:val="single" w:sz="12" w:space="1" w:color="2F5496" w:themeColor="accent1" w:themeShade="BF"/>
        </w:pBdr>
        <w:spacing w:line="360" w:lineRule="auto"/>
        <w:jc w:val="center"/>
        <w:rPr>
          <w:rFonts w:ascii="Arial" w:hAnsi="Arial" w:cs="Arial"/>
          <w:sz w:val="28"/>
          <w:szCs w:val="28"/>
        </w:rPr>
      </w:pPr>
      <w:r>
        <w:rPr>
          <w:rFonts w:ascii="Arial" w:hAnsi="Arial" w:cs="Arial"/>
          <w:sz w:val="28"/>
          <w:szCs w:val="28"/>
        </w:rPr>
        <w:t>Blake Lee-Whiting</w:t>
      </w:r>
    </w:p>
    <w:p w14:paraId="0327EB1B" w14:textId="77777777" w:rsidR="006E2447" w:rsidRPr="00667764" w:rsidRDefault="006E2447" w:rsidP="006E2447">
      <w:pPr>
        <w:pBdr>
          <w:bottom w:val="single" w:sz="12" w:space="1" w:color="2F5496" w:themeColor="accent1" w:themeShade="BF"/>
        </w:pBdr>
        <w:spacing w:line="360" w:lineRule="auto"/>
        <w:jc w:val="center"/>
        <w:rPr>
          <w:rFonts w:ascii="Arial" w:hAnsi="Arial" w:cs="Arial"/>
          <w:sz w:val="28"/>
          <w:szCs w:val="28"/>
        </w:rPr>
      </w:pPr>
    </w:p>
    <w:p w14:paraId="41FF1F2D" w14:textId="77777777" w:rsidR="0083020E" w:rsidRDefault="0083020E" w:rsidP="0083020E">
      <w:pPr>
        <w:spacing w:line="360" w:lineRule="auto"/>
        <w:jc w:val="center"/>
        <w:rPr>
          <w:rFonts w:ascii="Arial" w:hAnsi="Arial" w:cs="Arial"/>
          <w:sz w:val="28"/>
          <w:szCs w:val="28"/>
        </w:rPr>
      </w:pPr>
    </w:p>
    <w:p w14:paraId="735BCAED" w14:textId="1CCEFF80" w:rsidR="0083020E" w:rsidRPr="006E2447" w:rsidRDefault="0083020E" w:rsidP="0083020E">
      <w:pPr>
        <w:spacing w:line="360" w:lineRule="auto"/>
        <w:jc w:val="center"/>
        <w:rPr>
          <w:rFonts w:ascii="Arial" w:hAnsi="Arial" w:cs="Arial"/>
          <w:b/>
          <w:bCs/>
          <w:color w:val="2F5496" w:themeColor="accent1" w:themeShade="BF"/>
          <w:sz w:val="28"/>
          <w:szCs w:val="28"/>
        </w:rPr>
      </w:pPr>
      <w:r w:rsidRPr="006E2447">
        <w:rPr>
          <w:rFonts w:ascii="Arial" w:hAnsi="Arial" w:cs="Arial"/>
          <w:b/>
          <w:bCs/>
          <w:color w:val="2F5496" w:themeColor="accent1" w:themeShade="BF"/>
          <w:sz w:val="28"/>
          <w:szCs w:val="28"/>
        </w:rPr>
        <w:t>Summary Report</w:t>
      </w:r>
    </w:p>
    <w:p w14:paraId="2384CE2D" w14:textId="470F68BA" w:rsidR="0083020E" w:rsidRPr="006E2447" w:rsidRDefault="002713BA" w:rsidP="0083020E">
      <w:pPr>
        <w:spacing w:line="360" w:lineRule="auto"/>
        <w:jc w:val="center"/>
        <w:rPr>
          <w:rFonts w:ascii="Arial" w:hAnsi="Arial" w:cs="Arial"/>
          <w:b/>
          <w:bCs/>
          <w:color w:val="2F5496" w:themeColor="accent1" w:themeShade="BF"/>
          <w:sz w:val="28"/>
          <w:szCs w:val="28"/>
        </w:rPr>
      </w:pPr>
      <w:r>
        <w:rPr>
          <w:rFonts w:ascii="Arial" w:hAnsi="Arial" w:cs="Arial"/>
          <w:b/>
          <w:bCs/>
          <w:color w:val="2F5496" w:themeColor="accent1" w:themeShade="BF"/>
          <w:sz w:val="28"/>
          <w:szCs w:val="28"/>
        </w:rPr>
        <w:t>18</w:t>
      </w:r>
      <w:r w:rsidR="0083020E" w:rsidRPr="006E2447">
        <w:rPr>
          <w:rFonts w:ascii="Arial" w:hAnsi="Arial" w:cs="Arial"/>
          <w:b/>
          <w:bCs/>
          <w:color w:val="2F5496" w:themeColor="accent1" w:themeShade="BF"/>
          <w:sz w:val="28"/>
          <w:szCs w:val="28"/>
        </w:rPr>
        <w:t xml:space="preserve"> March 2022</w:t>
      </w:r>
    </w:p>
    <w:p w14:paraId="5A235EAF" w14:textId="77777777" w:rsidR="0083020E" w:rsidRDefault="0083020E">
      <w:pPr>
        <w:rPr>
          <w:rFonts w:ascii="Arial" w:hAnsi="Arial" w:cs="Arial"/>
          <w:b/>
          <w:bCs/>
          <w:sz w:val="28"/>
          <w:szCs w:val="28"/>
        </w:rPr>
      </w:pPr>
      <w:r>
        <w:rPr>
          <w:rFonts w:ascii="Arial" w:hAnsi="Arial" w:cs="Arial"/>
          <w:b/>
          <w:bCs/>
          <w:sz w:val="28"/>
          <w:szCs w:val="28"/>
        </w:rPr>
        <w:br w:type="page"/>
      </w:r>
    </w:p>
    <w:p w14:paraId="52951E04" w14:textId="65F8CD35" w:rsidR="0083020E" w:rsidRPr="006E2447" w:rsidRDefault="0083020E" w:rsidP="0083020E">
      <w:pPr>
        <w:spacing w:line="360" w:lineRule="auto"/>
        <w:jc w:val="both"/>
        <w:rPr>
          <w:rFonts w:ascii="Arial" w:hAnsi="Arial" w:cs="Arial"/>
          <w:b/>
          <w:bCs/>
          <w:color w:val="2F5496" w:themeColor="accent1" w:themeShade="BF"/>
          <w:sz w:val="28"/>
          <w:szCs w:val="28"/>
        </w:rPr>
      </w:pPr>
      <w:r w:rsidRPr="006E2447">
        <w:rPr>
          <w:rFonts w:ascii="Arial" w:hAnsi="Arial" w:cs="Arial"/>
          <w:b/>
          <w:bCs/>
          <w:color w:val="2F5496" w:themeColor="accent1" w:themeShade="BF"/>
          <w:sz w:val="28"/>
          <w:szCs w:val="28"/>
        </w:rPr>
        <w:lastRenderedPageBreak/>
        <w:t>Introduction</w:t>
      </w:r>
    </w:p>
    <w:p w14:paraId="3DAD70F8" w14:textId="77777777" w:rsidR="0083020E" w:rsidRPr="001166ED" w:rsidRDefault="0083020E" w:rsidP="0083020E">
      <w:pPr>
        <w:rPr>
          <w:rFonts w:ascii="Arial" w:hAnsi="Arial" w:cs="Arial"/>
        </w:rPr>
      </w:pPr>
    </w:p>
    <w:p w14:paraId="41D3BB0D" w14:textId="68023119" w:rsidR="0083020E" w:rsidRPr="001166ED" w:rsidRDefault="0083020E" w:rsidP="00AB6E02">
      <w:pPr>
        <w:jc w:val="both"/>
        <w:rPr>
          <w:rFonts w:ascii="Arial" w:hAnsi="Arial" w:cs="Arial"/>
        </w:rPr>
      </w:pPr>
      <w:r w:rsidRPr="001166ED">
        <w:rPr>
          <w:rFonts w:ascii="Arial" w:hAnsi="Arial" w:cs="Arial"/>
        </w:rPr>
        <w:t xml:space="preserve">We are moving into a new phase of the Covid-19 pandemic. Two years on from the first policy measures </w:t>
      </w:r>
      <w:r w:rsidR="006057AC">
        <w:rPr>
          <w:rFonts w:ascii="Arial" w:hAnsi="Arial" w:cs="Arial"/>
        </w:rPr>
        <w:t xml:space="preserve">that were </w:t>
      </w:r>
      <w:r w:rsidRPr="001166ED">
        <w:rPr>
          <w:rFonts w:ascii="Arial" w:hAnsi="Arial" w:cs="Arial"/>
        </w:rPr>
        <w:t>implemented to contain the virus, we are searching for ‘Covid-normal’. The development of Covid-19 vaccines makes it possible now for citizens to learn to</w:t>
      </w:r>
      <w:r>
        <w:rPr>
          <w:rFonts w:ascii="Arial" w:hAnsi="Arial" w:cs="Arial"/>
        </w:rPr>
        <w:t xml:space="preserve"> </w:t>
      </w:r>
      <w:r w:rsidRPr="008A4CD3">
        <w:rPr>
          <w:rFonts w:ascii="Arial" w:hAnsi="Arial" w:cs="Arial"/>
        </w:rPr>
        <w:t>adapt to</w:t>
      </w:r>
      <w:r>
        <w:rPr>
          <w:rFonts w:ascii="Arial" w:hAnsi="Arial" w:cs="Arial"/>
        </w:rPr>
        <w:t xml:space="preserve"> </w:t>
      </w:r>
      <w:r w:rsidRPr="001166ED">
        <w:rPr>
          <w:rFonts w:ascii="Arial" w:hAnsi="Arial" w:cs="Arial"/>
        </w:rPr>
        <w:t xml:space="preserve">the virus. </w:t>
      </w:r>
      <w:r>
        <w:rPr>
          <w:rFonts w:ascii="Arial" w:hAnsi="Arial" w:cs="Arial"/>
        </w:rPr>
        <w:t>W</w:t>
      </w:r>
      <w:r w:rsidRPr="001166ED">
        <w:rPr>
          <w:rFonts w:ascii="Arial" w:hAnsi="Arial" w:cs="Arial"/>
        </w:rPr>
        <w:t xml:space="preserve">hile the rollout of vaccines was the game-changer, across the G7 we see levels of </w:t>
      </w:r>
      <w:r>
        <w:rPr>
          <w:rFonts w:ascii="Arial" w:hAnsi="Arial" w:cs="Arial"/>
        </w:rPr>
        <w:t xml:space="preserve">public </w:t>
      </w:r>
      <w:r w:rsidRPr="001166ED">
        <w:rPr>
          <w:rFonts w:ascii="Arial" w:hAnsi="Arial" w:cs="Arial"/>
        </w:rPr>
        <w:t>resistance both to taking the vaccination at all, and to taking up boosters. To be able to live with Covid while pursuing social and economic prosperity, the challenge is to maintain energetic and effective vaccine engagement strategies</w:t>
      </w:r>
      <w:r>
        <w:rPr>
          <w:rFonts w:ascii="Arial" w:hAnsi="Arial" w:cs="Arial"/>
        </w:rPr>
        <w:t>, when public interest may be moving to other issues</w:t>
      </w:r>
      <w:r w:rsidR="00FB3CC4">
        <w:rPr>
          <w:rFonts w:ascii="Arial" w:hAnsi="Arial" w:cs="Arial"/>
        </w:rPr>
        <w:t xml:space="preserve"> now that the regulation</w:t>
      </w:r>
      <w:r w:rsidR="00547E6F">
        <w:rPr>
          <w:rFonts w:ascii="Arial" w:hAnsi="Arial" w:cs="Arial"/>
        </w:rPr>
        <w:t>s</w:t>
      </w:r>
      <w:r w:rsidR="00FB3CC4">
        <w:rPr>
          <w:rFonts w:ascii="Arial" w:hAnsi="Arial" w:cs="Arial"/>
        </w:rPr>
        <w:t xml:space="preserve"> around COVID </w:t>
      </w:r>
      <w:r w:rsidR="00547E6F">
        <w:rPr>
          <w:rFonts w:ascii="Arial" w:hAnsi="Arial" w:cs="Arial"/>
        </w:rPr>
        <w:t>are</w:t>
      </w:r>
      <w:r w:rsidR="00FB3CC4">
        <w:rPr>
          <w:rFonts w:ascii="Arial" w:hAnsi="Arial" w:cs="Arial"/>
        </w:rPr>
        <w:t xml:space="preserve"> being relaxed</w:t>
      </w:r>
      <w:r w:rsidRPr="001166ED">
        <w:rPr>
          <w:rFonts w:ascii="Arial" w:hAnsi="Arial" w:cs="Arial"/>
        </w:rPr>
        <w:t>.</w:t>
      </w:r>
    </w:p>
    <w:p w14:paraId="0217B437" w14:textId="626944BF" w:rsidR="0083020E" w:rsidRDefault="0083020E" w:rsidP="00AB6E02">
      <w:pPr>
        <w:rPr>
          <w:rFonts w:ascii="Arial" w:hAnsi="Arial" w:cs="Arial"/>
          <w:sz w:val="28"/>
          <w:szCs w:val="28"/>
        </w:rPr>
      </w:pPr>
    </w:p>
    <w:p w14:paraId="182F0200" w14:textId="08CA693F" w:rsidR="0023630D" w:rsidRDefault="0083020E" w:rsidP="0023630D">
      <w:pPr>
        <w:jc w:val="both"/>
        <w:rPr>
          <w:rFonts w:ascii="Arial" w:hAnsi="Arial" w:cs="Arial"/>
        </w:rPr>
      </w:pPr>
      <w:r w:rsidRPr="001166ED">
        <w:rPr>
          <w:rFonts w:ascii="Arial" w:hAnsi="Arial" w:cs="Arial"/>
        </w:rPr>
        <w:t xml:space="preserve">Our research investigates </w:t>
      </w:r>
      <w:r>
        <w:rPr>
          <w:rFonts w:ascii="Arial" w:hAnsi="Arial" w:cs="Arial"/>
        </w:rPr>
        <w:t xml:space="preserve">the nature of vaccine engagement strategies employed </w:t>
      </w:r>
      <w:r w:rsidR="0023630D">
        <w:rPr>
          <w:rFonts w:ascii="Arial" w:hAnsi="Arial" w:cs="Arial"/>
        </w:rPr>
        <w:t xml:space="preserve">from </w:t>
      </w:r>
      <w:r>
        <w:rPr>
          <w:rFonts w:ascii="Arial" w:hAnsi="Arial" w:cs="Arial"/>
        </w:rPr>
        <w:t xml:space="preserve">December 2020 to February 2022. </w:t>
      </w:r>
      <w:r w:rsidR="0023630D">
        <w:rPr>
          <w:rFonts w:ascii="Arial" w:hAnsi="Arial" w:cs="Arial"/>
        </w:rPr>
        <w:t xml:space="preserve">This report summarises key findings from three timely exercises: </w:t>
      </w:r>
    </w:p>
    <w:p w14:paraId="5E6C82E7" w14:textId="77777777" w:rsidR="0023630D" w:rsidRDefault="0023630D" w:rsidP="006E67E0">
      <w:pPr>
        <w:pStyle w:val="ListParagraph"/>
        <w:numPr>
          <w:ilvl w:val="0"/>
          <w:numId w:val="14"/>
        </w:numPr>
        <w:jc w:val="both"/>
        <w:rPr>
          <w:rFonts w:ascii="Arial" w:hAnsi="Arial" w:cs="Arial"/>
        </w:rPr>
      </w:pPr>
      <w:r>
        <w:rPr>
          <w:rFonts w:ascii="Arial" w:hAnsi="Arial" w:cs="Arial"/>
        </w:rPr>
        <w:t>A</w:t>
      </w:r>
      <w:r w:rsidRPr="00045C21">
        <w:rPr>
          <w:rFonts w:ascii="Arial" w:hAnsi="Arial" w:cs="Arial"/>
        </w:rPr>
        <w:t xml:space="preserve"> policy mapping of vaccine engagement strategies across the </w:t>
      </w:r>
      <w:proofErr w:type="gramStart"/>
      <w:r w:rsidRPr="00045C21">
        <w:rPr>
          <w:rFonts w:ascii="Arial" w:hAnsi="Arial" w:cs="Arial"/>
        </w:rPr>
        <w:t>G7</w:t>
      </w:r>
      <w:r>
        <w:rPr>
          <w:rFonts w:ascii="Arial" w:hAnsi="Arial" w:cs="Arial"/>
        </w:rPr>
        <w:t>;</w:t>
      </w:r>
      <w:proofErr w:type="gramEnd"/>
      <w:r w:rsidRPr="00045C21">
        <w:rPr>
          <w:rFonts w:ascii="Arial" w:hAnsi="Arial" w:cs="Arial"/>
        </w:rPr>
        <w:t xml:space="preserve"> </w:t>
      </w:r>
    </w:p>
    <w:p w14:paraId="03E6CE02" w14:textId="77777777" w:rsidR="0023630D" w:rsidRDefault="0023630D" w:rsidP="006E67E0">
      <w:pPr>
        <w:pStyle w:val="ListParagraph"/>
        <w:numPr>
          <w:ilvl w:val="0"/>
          <w:numId w:val="14"/>
        </w:numPr>
        <w:jc w:val="both"/>
        <w:rPr>
          <w:rFonts w:ascii="Arial" w:hAnsi="Arial" w:cs="Arial"/>
        </w:rPr>
      </w:pPr>
      <w:r>
        <w:rPr>
          <w:rFonts w:ascii="Arial" w:hAnsi="Arial" w:cs="Arial"/>
        </w:rPr>
        <w:t>A cross-country survey of over 23,000 people in the G7 countries; and</w:t>
      </w:r>
    </w:p>
    <w:p w14:paraId="4879E064" w14:textId="4DCBBCB4" w:rsidR="0023630D" w:rsidRPr="00045C21" w:rsidRDefault="00011239" w:rsidP="0023630D">
      <w:pPr>
        <w:pStyle w:val="ListParagraph"/>
        <w:numPr>
          <w:ilvl w:val="0"/>
          <w:numId w:val="14"/>
        </w:numPr>
        <w:jc w:val="both"/>
        <w:rPr>
          <w:rFonts w:ascii="Arial" w:hAnsi="Arial" w:cs="Arial"/>
        </w:rPr>
      </w:pPr>
      <w:r>
        <w:rPr>
          <w:rFonts w:ascii="Arial" w:hAnsi="Arial" w:cs="Arial"/>
        </w:rPr>
        <w:t>Three large-scale s</w:t>
      </w:r>
      <w:r w:rsidR="0023630D">
        <w:rPr>
          <w:rFonts w:ascii="Arial" w:hAnsi="Arial" w:cs="Arial"/>
        </w:rPr>
        <w:t>urvey experiments that test whether persuasive policy measures including nudges can change attitudes and intentions to take up Covid-19 vaccines and boosters</w:t>
      </w:r>
    </w:p>
    <w:p w14:paraId="7B7F3804" w14:textId="578F2C64" w:rsidR="0083020E" w:rsidRDefault="009601F3" w:rsidP="00AB6E02">
      <w:pPr>
        <w:jc w:val="both"/>
        <w:rPr>
          <w:rFonts w:ascii="Arial" w:hAnsi="Arial" w:cs="Arial"/>
        </w:rPr>
      </w:pPr>
      <w:r>
        <w:rPr>
          <w:rFonts w:ascii="Arial" w:hAnsi="Arial" w:cs="Arial"/>
        </w:rPr>
        <w:t xml:space="preserve">For more </w:t>
      </w:r>
      <w:r w:rsidR="0023630D">
        <w:rPr>
          <w:rFonts w:ascii="Arial" w:hAnsi="Arial" w:cs="Arial"/>
        </w:rPr>
        <w:t xml:space="preserve">detailed </w:t>
      </w:r>
      <w:r>
        <w:rPr>
          <w:rFonts w:ascii="Arial" w:hAnsi="Arial" w:cs="Arial"/>
        </w:rPr>
        <w:t xml:space="preserve">discussion of methodology, data, and results, please see the accompanying Final Report for the research project. </w:t>
      </w:r>
    </w:p>
    <w:p w14:paraId="3C738028" w14:textId="77777777" w:rsidR="0083020E" w:rsidRDefault="0083020E" w:rsidP="00AB6E02">
      <w:pPr>
        <w:jc w:val="both"/>
        <w:rPr>
          <w:rFonts w:ascii="Arial" w:hAnsi="Arial" w:cs="Arial"/>
          <w:sz w:val="28"/>
          <w:szCs w:val="28"/>
        </w:rPr>
      </w:pPr>
    </w:p>
    <w:p w14:paraId="13C0F458" w14:textId="77777777" w:rsidR="00546817" w:rsidRDefault="00546817" w:rsidP="00AB6E02">
      <w:pPr>
        <w:rPr>
          <w:rFonts w:ascii="Arial" w:hAnsi="Arial" w:cs="Arial"/>
          <w:b/>
          <w:bCs/>
          <w:color w:val="2F5496" w:themeColor="accent1" w:themeShade="BF"/>
          <w:sz w:val="28"/>
          <w:szCs w:val="28"/>
        </w:rPr>
      </w:pPr>
    </w:p>
    <w:p w14:paraId="3781A396" w14:textId="74A4141A" w:rsidR="00AB6E02" w:rsidRDefault="00AB6E02" w:rsidP="00AB6E02">
      <w:pPr>
        <w:jc w:val="both"/>
        <w:rPr>
          <w:rFonts w:ascii="Arial" w:hAnsi="Arial" w:cs="Arial"/>
          <w:b/>
          <w:bCs/>
          <w:color w:val="2F5496" w:themeColor="accent1" w:themeShade="BF"/>
          <w:sz w:val="28"/>
          <w:szCs w:val="28"/>
        </w:rPr>
      </w:pPr>
      <w:r w:rsidRPr="00AB6E02">
        <w:rPr>
          <w:rFonts w:ascii="Arial" w:hAnsi="Arial" w:cs="Arial"/>
          <w:b/>
          <w:bCs/>
          <w:color w:val="2F5496" w:themeColor="accent1" w:themeShade="BF"/>
          <w:sz w:val="28"/>
          <w:szCs w:val="28"/>
        </w:rPr>
        <w:t>Vaccine engagement across the G7</w:t>
      </w:r>
    </w:p>
    <w:p w14:paraId="1EC79608" w14:textId="69D36AD3" w:rsidR="00AB6E02" w:rsidRDefault="00AB6E02" w:rsidP="00AB6E02">
      <w:pPr>
        <w:jc w:val="both"/>
        <w:rPr>
          <w:rFonts w:ascii="Arial" w:hAnsi="Arial" w:cs="Arial"/>
          <w:b/>
          <w:bCs/>
          <w:color w:val="2F5496" w:themeColor="accent1" w:themeShade="BF"/>
          <w:sz w:val="28"/>
          <w:szCs w:val="28"/>
        </w:rPr>
      </w:pPr>
    </w:p>
    <w:p w14:paraId="633ED101" w14:textId="55F559A7" w:rsidR="00AB6E02" w:rsidRDefault="00AB6E02" w:rsidP="00EC5205">
      <w:pPr>
        <w:jc w:val="both"/>
        <w:rPr>
          <w:rFonts w:ascii="Arial" w:hAnsi="Arial" w:cs="Arial"/>
        </w:rPr>
      </w:pPr>
      <w:r>
        <w:rPr>
          <w:rFonts w:ascii="Arial" w:hAnsi="Arial" w:cs="Arial"/>
        </w:rPr>
        <w:t>V</w:t>
      </w:r>
      <w:r w:rsidRPr="001166ED">
        <w:rPr>
          <w:rFonts w:ascii="Arial" w:hAnsi="Arial" w:cs="Arial"/>
        </w:rPr>
        <w:t xml:space="preserve">accination uptake </w:t>
      </w:r>
      <w:r>
        <w:rPr>
          <w:rFonts w:ascii="Arial" w:hAnsi="Arial" w:cs="Arial"/>
        </w:rPr>
        <w:t xml:space="preserve">accelerated in all G7 nations during </w:t>
      </w:r>
      <w:r w:rsidR="00F24DEE">
        <w:rPr>
          <w:rFonts w:ascii="Arial" w:hAnsi="Arial" w:cs="Arial"/>
        </w:rPr>
        <w:t xml:space="preserve">early </w:t>
      </w:r>
      <w:r>
        <w:rPr>
          <w:rFonts w:ascii="Arial" w:hAnsi="Arial" w:cs="Arial"/>
        </w:rPr>
        <w:t>2021</w:t>
      </w:r>
      <w:r w:rsidR="00F24DEE">
        <w:rPr>
          <w:rFonts w:ascii="Arial" w:hAnsi="Arial" w:cs="Arial"/>
        </w:rPr>
        <w:t>, followed by a slowing down from</w:t>
      </w:r>
      <w:r>
        <w:rPr>
          <w:rFonts w:ascii="Arial" w:hAnsi="Arial" w:cs="Arial"/>
        </w:rPr>
        <w:t xml:space="preserve"> </w:t>
      </w:r>
      <w:r w:rsidR="00F24DEE">
        <w:rPr>
          <w:rFonts w:ascii="Arial" w:hAnsi="Arial" w:cs="Arial"/>
        </w:rPr>
        <w:t xml:space="preserve">summer 2021 </w:t>
      </w:r>
      <w:r>
        <w:rPr>
          <w:rFonts w:ascii="Arial" w:hAnsi="Arial" w:cs="Arial"/>
        </w:rPr>
        <w:t xml:space="preserve">(see Figure 1). While the number of vaccine doses administered increased during the winter of 2021/22, very likely linked to the new risks of infection that the Omicron-variant posed, the share of the population who are fully vaccinated remains below 85% </w:t>
      </w:r>
      <w:r w:rsidR="0025700D">
        <w:rPr>
          <w:rFonts w:ascii="Arial" w:hAnsi="Arial" w:cs="Arial"/>
        </w:rPr>
        <w:t>(</w:t>
      </w:r>
      <w:r>
        <w:rPr>
          <w:rFonts w:ascii="Arial" w:hAnsi="Arial" w:cs="Arial"/>
        </w:rPr>
        <w:t xml:space="preserve">as of </w:t>
      </w:r>
      <w:r w:rsidR="0025700D">
        <w:rPr>
          <w:rFonts w:ascii="Arial" w:hAnsi="Arial" w:cs="Arial"/>
        </w:rPr>
        <w:t>23</w:t>
      </w:r>
      <w:r>
        <w:rPr>
          <w:rFonts w:ascii="Arial" w:hAnsi="Arial" w:cs="Arial"/>
        </w:rPr>
        <w:t xml:space="preserve"> </w:t>
      </w:r>
      <w:r w:rsidR="0025700D">
        <w:rPr>
          <w:rFonts w:ascii="Arial" w:hAnsi="Arial" w:cs="Arial"/>
        </w:rPr>
        <w:t>February</w:t>
      </w:r>
      <w:r>
        <w:rPr>
          <w:rFonts w:ascii="Arial" w:hAnsi="Arial" w:cs="Arial"/>
        </w:rPr>
        <w:t xml:space="preserve"> 2022</w:t>
      </w:r>
      <w:r w:rsidR="0025700D">
        <w:rPr>
          <w:rFonts w:ascii="Arial" w:hAnsi="Arial" w:cs="Arial"/>
        </w:rPr>
        <w:t xml:space="preserve">, see </w:t>
      </w:r>
      <w:r>
        <w:rPr>
          <w:rFonts w:ascii="Arial" w:hAnsi="Arial" w:cs="Arial"/>
        </w:rPr>
        <w:t xml:space="preserve">Figure 2). </w:t>
      </w:r>
    </w:p>
    <w:p w14:paraId="4900C253" w14:textId="589416A7" w:rsidR="00AB6E02" w:rsidRDefault="00AB6E02" w:rsidP="00EC5205">
      <w:pPr>
        <w:jc w:val="both"/>
        <w:rPr>
          <w:rFonts w:ascii="Arial" w:hAnsi="Arial" w:cs="Arial"/>
        </w:rPr>
      </w:pPr>
    </w:p>
    <w:p w14:paraId="0F25503B" w14:textId="77777777" w:rsidR="00011239" w:rsidRDefault="00011239" w:rsidP="00011239">
      <w:pPr>
        <w:jc w:val="both"/>
        <w:rPr>
          <w:rFonts w:ascii="Arial" w:hAnsi="Arial" w:cs="Arial"/>
        </w:rPr>
      </w:pPr>
      <w:r>
        <w:rPr>
          <w:rFonts w:ascii="Arial" w:hAnsi="Arial" w:cs="Arial"/>
        </w:rPr>
        <w:t>Canada leads the way with 81% of people having completed the initial vaccination protocol. The UK was briefly ahead among the G7 nations during July 2021; but with uptake showing signs of slowing since September 2021, the UK now reports the sixth lowest full vaccination rate of the G7. The UK, with 72% fully vaccinated, is ahead of the United States</w:t>
      </w:r>
      <w:r w:rsidRPr="00F12FB9">
        <w:rPr>
          <w:rFonts w:ascii="Arial" w:hAnsi="Arial" w:cs="Arial"/>
        </w:rPr>
        <w:t xml:space="preserve"> </w:t>
      </w:r>
      <w:r>
        <w:rPr>
          <w:rFonts w:ascii="Arial" w:hAnsi="Arial" w:cs="Arial"/>
        </w:rPr>
        <w:t xml:space="preserve">only, which lags considerably at 65%. </w:t>
      </w:r>
    </w:p>
    <w:p w14:paraId="4435F2BD" w14:textId="77777777" w:rsidR="00011239" w:rsidRDefault="00011239" w:rsidP="00EC5205">
      <w:pPr>
        <w:jc w:val="both"/>
        <w:rPr>
          <w:rFonts w:ascii="Arial" w:hAnsi="Arial" w:cs="Arial"/>
        </w:rPr>
      </w:pPr>
    </w:p>
    <w:p w14:paraId="15BB0167" w14:textId="77777777" w:rsidR="00011239" w:rsidRDefault="00011239">
      <w:pPr>
        <w:rPr>
          <w:rFonts w:ascii="Arial" w:hAnsi="Arial" w:cs="Arial"/>
        </w:rPr>
      </w:pPr>
      <w:r>
        <w:rPr>
          <w:rFonts w:ascii="Arial" w:hAnsi="Arial" w:cs="Arial"/>
        </w:rPr>
        <w:br w:type="page"/>
      </w:r>
    </w:p>
    <w:p w14:paraId="1B38755D" w14:textId="73516C77" w:rsidR="00AB6E02" w:rsidRDefault="00AB6E02" w:rsidP="00AB6E02">
      <w:pPr>
        <w:spacing w:line="276" w:lineRule="auto"/>
        <w:jc w:val="both"/>
        <w:rPr>
          <w:rFonts w:ascii="Arial" w:hAnsi="Arial" w:cs="Arial"/>
        </w:rPr>
      </w:pPr>
      <w:r>
        <w:rPr>
          <w:rFonts w:ascii="Arial" w:hAnsi="Arial" w:cs="Arial"/>
        </w:rPr>
        <w:lastRenderedPageBreak/>
        <w:t>Figure 1</w:t>
      </w:r>
      <w:r w:rsidR="00794FBA">
        <w:rPr>
          <w:rStyle w:val="FootnoteReference"/>
          <w:rFonts w:ascii="Arial" w:hAnsi="Arial" w:cs="Arial"/>
        </w:rPr>
        <w:footnoteReference w:id="2"/>
      </w:r>
    </w:p>
    <w:p w14:paraId="420F5FFA" w14:textId="06055747" w:rsidR="00AB6E02" w:rsidRDefault="00AB6E02" w:rsidP="00AB6E02">
      <w:pPr>
        <w:spacing w:line="276" w:lineRule="auto"/>
        <w:jc w:val="center"/>
        <w:rPr>
          <w:rFonts w:ascii="Arial" w:hAnsi="Arial" w:cs="Arial"/>
        </w:rPr>
      </w:pPr>
      <w:r>
        <w:rPr>
          <w:rFonts w:ascii="Arial" w:hAnsi="Arial" w:cs="Arial"/>
          <w:noProof/>
        </w:rPr>
        <w:drawing>
          <wp:inline distT="0" distB="0" distL="0" distR="0" wp14:anchorId="15F20228" wp14:editId="044A0451">
            <wp:extent cx="5359400" cy="3782931"/>
            <wp:effectExtent l="0" t="0" r="0" b="190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4000" cy="3828529"/>
                    </a:xfrm>
                    <a:prstGeom prst="rect">
                      <a:avLst/>
                    </a:prstGeom>
                  </pic:spPr>
                </pic:pic>
              </a:graphicData>
            </a:graphic>
          </wp:inline>
        </w:drawing>
      </w:r>
    </w:p>
    <w:p w14:paraId="45189E5F" w14:textId="77777777" w:rsidR="00E94E8A" w:rsidRDefault="00E94E8A" w:rsidP="00EB6A9B">
      <w:pPr>
        <w:jc w:val="both"/>
        <w:rPr>
          <w:rFonts w:ascii="Arial" w:hAnsi="Arial" w:cs="Arial"/>
        </w:rPr>
      </w:pPr>
    </w:p>
    <w:p w14:paraId="63F1EBBA" w14:textId="77777777" w:rsidR="00E94E8A" w:rsidRDefault="00E94E8A" w:rsidP="00EB6A9B">
      <w:pPr>
        <w:jc w:val="both"/>
        <w:rPr>
          <w:rFonts w:ascii="Arial" w:hAnsi="Arial" w:cs="Arial"/>
        </w:rPr>
      </w:pPr>
    </w:p>
    <w:p w14:paraId="52ED2A9E" w14:textId="45F3808F" w:rsidR="00E94E8A" w:rsidRDefault="00E94E8A" w:rsidP="00E94E8A">
      <w:pPr>
        <w:jc w:val="both"/>
        <w:rPr>
          <w:rFonts w:ascii="Arial" w:hAnsi="Arial" w:cs="Arial"/>
        </w:rPr>
      </w:pPr>
      <w:r>
        <w:rPr>
          <w:rFonts w:ascii="Arial" w:hAnsi="Arial" w:cs="Arial"/>
        </w:rPr>
        <w:t>The success of vaccination efforts across the G7 deserves praise. But</w:t>
      </w:r>
      <w:r w:rsidR="00523E9F">
        <w:rPr>
          <w:rFonts w:ascii="Arial" w:hAnsi="Arial" w:cs="Arial"/>
        </w:rPr>
        <w:t>,</w:t>
      </w:r>
      <w:r>
        <w:rPr>
          <w:rFonts w:ascii="Arial" w:hAnsi="Arial" w:cs="Arial"/>
        </w:rPr>
        <w:t xml:space="preserve"> as Figure 2 shows, there is more to be done. In our survey, which is representative of the populations in G7 countries, we find that 13% of people remain unvaccinated. The vast majority of the</w:t>
      </w:r>
      <w:r w:rsidR="002516E5">
        <w:rPr>
          <w:rFonts w:ascii="Arial" w:hAnsi="Arial" w:cs="Arial"/>
        </w:rPr>
        <w:t xml:space="preserve"> unvaccinated</w:t>
      </w:r>
      <w:r>
        <w:rPr>
          <w:rFonts w:ascii="Arial" w:hAnsi="Arial" w:cs="Arial"/>
        </w:rPr>
        <w:t xml:space="preserve"> say they did not want to receive the vaccine (87%). People who have still not received any Covid-19 vaccination are becoming harder to reach and to persuade. Attention is growing for younger age groups too, as vaccination eligibility is expanded to include children of younger ages. </w:t>
      </w:r>
      <w:proofErr w:type="gramStart"/>
      <w:r>
        <w:rPr>
          <w:rFonts w:ascii="Arial" w:hAnsi="Arial" w:cs="Arial"/>
        </w:rPr>
        <w:t>Policy</w:t>
      </w:r>
      <w:r w:rsidR="00FB3CC4">
        <w:rPr>
          <w:rFonts w:ascii="Arial" w:hAnsi="Arial" w:cs="Arial"/>
        </w:rPr>
        <w:t>-</w:t>
      </w:r>
      <w:r>
        <w:rPr>
          <w:rFonts w:ascii="Arial" w:hAnsi="Arial" w:cs="Arial"/>
        </w:rPr>
        <w:t>makers</w:t>
      </w:r>
      <w:proofErr w:type="gramEnd"/>
      <w:r>
        <w:rPr>
          <w:rFonts w:ascii="Arial" w:hAnsi="Arial" w:cs="Arial"/>
        </w:rPr>
        <w:t xml:space="preserve"> now need to address the dual goals of encouraging people to take up the vaccine for themselves and their children. </w:t>
      </w:r>
    </w:p>
    <w:p w14:paraId="51BFED29" w14:textId="77777777" w:rsidR="00D7380D" w:rsidRDefault="00D7380D" w:rsidP="00E94E8A">
      <w:pPr>
        <w:jc w:val="both"/>
        <w:rPr>
          <w:rFonts w:ascii="Arial" w:hAnsi="Arial" w:cs="Arial"/>
        </w:rPr>
      </w:pPr>
    </w:p>
    <w:p w14:paraId="356B333E" w14:textId="17292842" w:rsidR="00A548E6" w:rsidRDefault="00A548E6">
      <w:pPr>
        <w:rPr>
          <w:rFonts w:ascii="Arial" w:hAnsi="Arial" w:cs="Arial"/>
          <w:color w:val="000000" w:themeColor="text1"/>
        </w:rPr>
      </w:pPr>
    </w:p>
    <w:p w14:paraId="369296F1" w14:textId="77777777" w:rsidR="00546817" w:rsidRDefault="00546817" w:rsidP="00AB6E02">
      <w:pPr>
        <w:jc w:val="both"/>
        <w:rPr>
          <w:rFonts w:ascii="Arial" w:hAnsi="Arial" w:cs="Arial"/>
          <w:color w:val="000000" w:themeColor="text1"/>
        </w:rPr>
      </w:pPr>
    </w:p>
    <w:p w14:paraId="459CA21A" w14:textId="77777777" w:rsidR="00011239" w:rsidRDefault="00011239">
      <w:pPr>
        <w:rPr>
          <w:rFonts w:ascii="Arial" w:hAnsi="Arial" w:cs="Arial"/>
          <w:color w:val="000000" w:themeColor="text1"/>
        </w:rPr>
      </w:pPr>
      <w:r>
        <w:rPr>
          <w:rFonts w:ascii="Arial" w:hAnsi="Arial" w:cs="Arial"/>
          <w:color w:val="000000" w:themeColor="text1"/>
        </w:rPr>
        <w:br w:type="page"/>
      </w:r>
    </w:p>
    <w:p w14:paraId="44D10077" w14:textId="6E9AD9A6" w:rsidR="00AB6E02" w:rsidRPr="0025700D" w:rsidRDefault="0025700D" w:rsidP="00AB6E02">
      <w:pPr>
        <w:jc w:val="both"/>
        <w:rPr>
          <w:rFonts w:ascii="Arial" w:hAnsi="Arial" w:cs="Arial"/>
          <w:color w:val="000000" w:themeColor="text1"/>
        </w:rPr>
      </w:pPr>
      <w:r w:rsidRPr="0025700D">
        <w:rPr>
          <w:rFonts w:ascii="Arial" w:hAnsi="Arial" w:cs="Arial"/>
          <w:color w:val="000000" w:themeColor="text1"/>
        </w:rPr>
        <w:lastRenderedPageBreak/>
        <w:t>Figure 2</w:t>
      </w:r>
      <w:r w:rsidR="00794FBA">
        <w:rPr>
          <w:rStyle w:val="FootnoteReference"/>
          <w:rFonts w:ascii="Arial" w:hAnsi="Arial" w:cs="Arial"/>
          <w:color w:val="000000" w:themeColor="text1"/>
        </w:rPr>
        <w:footnoteReference w:id="3"/>
      </w:r>
    </w:p>
    <w:p w14:paraId="58F1AF94" w14:textId="4AE9B38E" w:rsidR="00AB6E02" w:rsidRDefault="00AB6E02" w:rsidP="00AB6E02">
      <w:pPr>
        <w:jc w:val="both"/>
        <w:rPr>
          <w:rFonts w:ascii="Arial" w:hAnsi="Arial" w:cs="Arial"/>
          <w:b/>
          <w:bCs/>
          <w:color w:val="2F5496" w:themeColor="accent1" w:themeShade="BF"/>
          <w:sz w:val="28"/>
          <w:szCs w:val="28"/>
        </w:rPr>
      </w:pPr>
      <w:r>
        <w:rPr>
          <w:rFonts w:ascii="Arial" w:hAnsi="Arial" w:cs="Arial"/>
          <w:noProof/>
        </w:rPr>
        <w:drawing>
          <wp:inline distT="0" distB="0" distL="0" distR="0" wp14:anchorId="029A32EB" wp14:editId="7937013F">
            <wp:extent cx="5731510" cy="4045691"/>
            <wp:effectExtent l="0" t="0" r="0" b="5715"/>
            <wp:docPr id="24" name="Picture 2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045691"/>
                    </a:xfrm>
                    <a:prstGeom prst="rect">
                      <a:avLst/>
                    </a:prstGeom>
                  </pic:spPr>
                </pic:pic>
              </a:graphicData>
            </a:graphic>
          </wp:inline>
        </w:drawing>
      </w:r>
    </w:p>
    <w:p w14:paraId="7554681E" w14:textId="5C152EC5" w:rsidR="0025700D" w:rsidRDefault="0025700D" w:rsidP="00EC5205">
      <w:pPr>
        <w:jc w:val="both"/>
        <w:rPr>
          <w:rFonts w:ascii="Arial" w:hAnsi="Arial" w:cs="Arial"/>
        </w:rPr>
      </w:pPr>
    </w:p>
    <w:p w14:paraId="02BC52F5" w14:textId="77777777" w:rsidR="00E94E8A" w:rsidRDefault="00E94E8A" w:rsidP="00EC5205">
      <w:pPr>
        <w:jc w:val="both"/>
        <w:rPr>
          <w:rFonts w:ascii="Arial" w:hAnsi="Arial" w:cs="Arial"/>
          <w:b/>
          <w:bCs/>
          <w:color w:val="2F5496" w:themeColor="accent1" w:themeShade="BF"/>
          <w:sz w:val="28"/>
          <w:szCs w:val="28"/>
        </w:rPr>
      </w:pPr>
    </w:p>
    <w:p w14:paraId="3CF228AA" w14:textId="77777777" w:rsidR="00546817" w:rsidRDefault="00546817" w:rsidP="00EC5205">
      <w:pPr>
        <w:jc w:val="both"/>
        <w:rPr>
          <w:rFonts w:ascii="Arial" w:hAnsi="Arial" w:cs="Arial"/>
          <w:b/>
          <w:bCs/>
          <w:color w:val="2F5496" w:themeColor="accent1" w:themeShade="BF"/>
          <w:sz w:val="28"/>
          <w:szCs w:val="28"/>
        </w:rPr>
      </w:pPr>
    </w:p>
    <w:p w14:paraId="07A4AC44" w14:textId="30B57910" w:rsidR="00EC5205" w:rsidRDefault="00EC5205" w:rsidP="00EC5205">
      <w:pPr>
        <w:jc w:val="both"/>
        <w:rPr>
          <w:rFonts w:ascii="Arial" w:hAnsi="Arial" w:cs="Arial"/>
          <w:b/>
          <w:bCs/>
          <w:color w:val="2F5496" w:themeColor="accent1" w:themeShade="BF"/>
          <w:sz w:val="28"/>
          <w:szCs w:val="28"/>
        </w:rPr>
      </w:pPr>
      <w:r>
        <w:rPr>
          <w:rFonts w:ascii="Arial" w:hAnsi="Arial" w:cs="Arial"/>
          <w:b/>
          <w:bCs/>
          <w:color w:val="2F5496" w:themeColor="accent1" w:themeShade="BF"/>
          <w:sz w:val="28"/>
          <w:szCs w:val="28"/>
        </w:rPr>
        <w:t>Policies used to promote v</w:t>
      </w:r>
      <w:r w:rsidRPr="00AB6E02">
        <w:rPr>
          <w:rFonts w:ascii="Arial" w:hAnsi="Arial" w:cs="Arial"/>
          <w:b/>
          <w:bCs/>
          <w:color w:val="2F5496" w:themeColor="accent1" w:themeShade="BF"/>
          <w:sz w:val="28"/>
          <w:szCs w:val="28"/>
        </w:rPr>
        <w:t>accine engagement</w:t>
      </w:r>
    </w:p>
    <w:p w14:paraId="33B025BE" w14:textId="77777777" w:rsidR="00EC5205" w:rsidRDefault="00EC5205" w:rsidP="00EC5205">
      <w:pPr>
        <w:jc w:val="both"/>
        <w:rPr>
          <w:rFonts w:ascii="Arial" w:hAnsi="Arial" w:cs="Arial"/>
        </w:rPr>
      </w:pPr>
    </w:p>
    <w:p w14:paraId="60CEC84F" w14:textId="353171E6" w:rsidR="00EC5205" w:rsidRDefault="00EC5205" w:rsidP="00EC5205">
      <w:pPr>
        <w:jc w:val="both"/>
        <w:rPr>
          <w:rFonts w:ascii="Arial" w:hAnsi="Arial" w:cs="Arial"/>
        </w:rPr>
      </w:pPr>
      <w:r>
        <w:rPr>
          <w:rFonts w:ascii="Arial" w:hAnsi="Arial" w:cs="Arial"/>
        </w:rPr>
        <w:t>G7 governments have approached vaccin</w:t>
      </w:r>
      <w:r w:rsidR="00E612F8">
        <w:rPr>
          <w:rFonts w:ascii="Arial" w:hAnsi="Arial" w:cs="Arial"/>
        </w:rPr>
        <w:t>e</w:t>
      </w:r>
      <w:r>
        <w:rPr>
          <w:rFonts w:ascii="Arial" w:hAnsi="Arial" w:cs="Arial"/>
        </w:rPr>
        <w:t xml:space="preserve"> rollouts with energy and pace. With the sheer range of initiatives to enable and encourage vaccine take-up, it is </w:t>
      </w:r>
      <w:r w:rsidR="00F24DEE">
        <w:rPr>
          <w:rFonts w:ascii="Arial" w:hAnsi="Arial" w:cs="Arial"/>
        </w:rPr>
        <w:t>timely</w:t>
      </w:r>
      <w:r>
        <w:rPr>
          <w:rFonts w:ascii="Arial" w:hAnsi="Arial" w:cs="Arial"/>
        </w:rPr>
        <w:t xml:space="preserve"> to take stock of what has been carried out and identify lessons for future policy.</w:t>
      </w:r>
      <w:r w:rsidR="00F24DEE">
        <w:rPr>
          <w:rFonts w:ascii="Arial" w:hAnsi="Arial" w:cs="Arial"/>
        </w:rPr>
        <w:t xml:space="preserve"> </w:t>
      </w:r>
      <w:r>
        <w:rPr>
          <w:rFonts w:ascii="Arial" w:hAnsi="Arial" w:cs="Arial"/>
        </w:rPr>
        <w:t>We synthesis</w:t>
      </w:r>
      <w:r w:rsidR="00E612F8">
        <w:rPr>
          <w:rFonts w:ascii="Arial" w:hAnsi="Arial" w:cs="Arial"/>
        </w:rPr>
        <w:t>ed</w:t>
      </w:r>
      <w:r>
        <w:rPr>
          <w:rFonts w:ascii="Arial" w:hAnsi="Arial" w:cs="Arial"/>
        </w:rPr>
        <w:t xml:space="preserve"> policy actions across the G7</w:t>
      </w:r>
      <w:r w:rsidR="00E612F8">
        <w:rPr>
          <w:rFonts w:ascii="Arial" w:hAnsi="Arial" w:cs="Arial"/>
        </w:rPr>
        <w:t xml:space="preserve"> taken or announced</w:t>
      </w:r>
      <w:r>
        <w:rPr>
          <w:rFonts w:ascii="Arial" w:hAnsi="Arial" w:cs="Arial"/>
        </w:rPr>
        <w:t xml:space="preserve"> from December 2020 to February 2022. </w:t>
      </w:r>
    </w:p>
    <w:p w14:paraId="616A6B95" w14:textId="77777777" w:rsidR="00423413" w:rsidRDefault="00423413" w:rsidP="00EC5205">
      <w:pPr>
        <w:jc w:val="both"/>
        <w:rPr>
          <w:rFonts w:ascii="Arial" w:hAnsi="Arial" w:cs="Arial"/>
        </w:rPr>
      </w:pPr>
    </w:p>
    <w:p w14:paraId="27569224" w14:textId="7CB63677" w:rsidR="0083020E" w:rsidRPr="001166ED" w:rsidRDefault="0083020E" w:rsidP="00E612F8">
      <w:pPr>
        <w:jc w:val="both"/>
        <w:rPr>
          <w:rFonts w:ascii="Arial" w:hAnsi="Arial" w:cs="Arial"/>
        </w:rPr>
      </w:pPr>
      <w:r>
        <w:rPr>
          <w:rFonts w:ascii="Arial" w:hAnsi="Arial" w:cs="Arial"/>
        </w:rPr>
        <w:t>Our policy mapping exercise shows that:</w:t>
      </w:r>
    </w:p>
    <w:p w14:paraId="3F313A88" w14:textId="77777777" w:rsidR="0083020E" w:rsidRDefault="0083020E" w:rsidP="00E612F8">
      <w:pPr>
        <w:pStyle w:val="ListParagraph"/>
        <w:jc w:val="both"/>
        <w:rPr>
          <w:rFonts w:ascii="Arial" w:hAnsi="Arial" w:cs="Arial"/>
        </w:rPr>
      </w:pPr>
    </w:p>
    <w:p w14:paraId="5E9F49DF" w14:textId="7814F0AD" w:rsidR="0083020E" w:rsidRDefault="0083020E" w:rsidP="00E612F8">
      <w:pPr>
        <w:pStyle w:val="ListParagraph"/>
        <w:numPr>
          <w:ilvl w:val="0"/>
          <w:numId w:val="1"/>
        </w:numPr>
        <w:ind w:left="360"/>
        <w:jc w:val="both"/>
        <w:rPr>
          <w:rFonts w:ascii="Arial" w:hAnsi="Arial" w:cs="Arial"/>
        </w:rPr>
      </w:pPr>
      <w:r>
        <w:rPr>
          <w:rFonts w:ascii="Arial" w:hAnsi="Arial" w:cs="Arial"/>
        </w:rPr>
        <w:t xml:space="preserve">Three broad policy types have been used to promote vaccine engagement. These are (1) rules, laws and mandates; (2) incentives; and (3) measures to inform and persuade </w:t>
      </w:r>
      <w:proofErr w:type="gramStart"/>
      <w:r>
        <w:rPr>
          <w:rFonts w:ascii="Arial" w:hAnsi="Arial" w:cs="Arial"/>
        </w:rPr>
        <w:t>people, and</w:t>
      </w:r>
      <w:proofErr w:type="gramEnd"/>
      <w:r>
        <w:rPr>
          <w:rFonts w:ascii="Arial" w:hAnsi="Arial" w:cs="Arial"/>
        </w:rPr>
        <w:t xml:space="preserve"> improve the accessibility of the vaccine. The G7 nations have made use of</w:t>
      </w:r>
      <w:r w:rsidR="00F24DEE">
        <w:rPr>
          <w:rFonts w:ascii="Arial" w:hAnsi="Arial" w:cs="Arial"/>
        </w:rPr>
        <w:t xml:space="preserve"> all </w:t>
      </w:r>
      <w:r>
        <w:rPr>
          <w:rFonts w:ascii="Arial" w:hAnsi="Arial" w:cs="Arial"/>
        </w:rPr>
        <w:t>these policy instruments to varying degrees.</w:t>
      </w:r>
    </w:p>
    <w:p w14:paraId="1FE1E161" w14:textId="77777777" w:rsidR="0083020E" w:rsidRPr="00B072E9" w:rsidRDefault="0083020E" w:rsidP="00E612F8">
      <w:pPr>
        <w:jc w:val="both"/>
        <w:rPr>
          <w:rFonts w:ascii="Arial" w:hAnsi="Arial" w:cs="Arial"/>
        </w:rPr>
      </w:pPr>
    </w:p>
    <w:p w14:paraId="37901942" w14:textId="25C89DEC" w:rsidR="0083020E" w:rsidRDefault="0083020E" w:rsidP="00E612F8">
      <w:pPr>
        <w:pStyle w:val="ListParagraph"/>
        <w:numPr>
          <w:ilvl w:val="0"/>
          <w:numId w:val="1"/>
        </w:numPr>
        <w:ind w:left="360"/>
        <w:jc w:val="both"/>
        <w:rPr>
          <w:rFonts w:ascii="Arial" w:hAnsi="Arial" w:cs="Arial"/>
        </w:rPr>
      </w:pPr>
      <w:r w:rsidRPr="001166ED">
        <w:rPr>
          <w:rFonts w:ascii="Arial" w:hAnsi="Arial" w:cs="Arial"/>
        </w:rPr>
        <w:t xml:space="preserve">A common </w:t>
      </w:r>
      <w:r>
        <w:rPr>
          <w:rFonts w:ascii="Arial" w:hAnsi="Arial" w:cs="Arial"/>
        </w:rPr>
        <w:t>example of a vaccine</w:t>
      </w:r>
      <w:r w:rsidRPr="001166ED">
        <w:rPr>
          <w:rFonts w:ascii="Arial" w:hAnsi="Arial" w:cs="Arial"/>
        </w:rPr>
        <w:t xml:space="preserve"> mandat</w:t>
      </w:r>
      <w:r>
        <w:rPr>
          <w:rFonts w:ascii="Arial" w:hAnsi="Arial" w:cs="Arial"/>
        </w:rPr>
        <w:t>e</w:t>
      </w:r>
      <w:r w:rsidRPr="001166ED">
        <w:rPr>
          <w:rFonts w:ascii="Arial" w:hAnsi="Arial" w:cs="Arial"/>
        </w:rPr>
        <w:t xml:space="preserve"> </w:t>
      </w:r>
      <w:r>
        <w:rPr>
          <w:rFonts w:ascii="Arial" w:hAnsi="Arial" w:cs="Arial"/>
        </w:rPr>
        <w:t>is a</w:t>
      </w:r>
      <w:r w:rsidRPr="001166ED">
        <w:rPr>
          <w:rFonts w:ascii="Arial" w:hAnsi="Arial" w:cs="Arial"/>
        </w:rPr>
        <w:t xml:space="preserve"> Covid pass</w:t>
      </w:r>
      <w:r>
        <w:rPr>
          <w:rFonts w:ascii="Arial" w:hAnsi="Arial" w:cs="Arial"/>
        </w:rPr>
        <w:t xml:space="preserve"> </w:t>
      </w:r>
      <w:r w:rsidR="00F24DEE">
        <w:rPr>
          <w:rFonts w:ascii="Arial" w:hAnsi="Arial" w:cs="Arial"/>
        </w:rPr>
        <w:t>demonstrating</w:t>
      </w:r>
      <w:r>
        <w:rPr>
          <w:rFonts w:ascii="Arial" w:hAnsi="Arial" w:cs="Arial"/>
        </w:rPr>
        <w:t xml:space="preserve"> proof of vaccination. This</w:t>
      </w:r>
      <w:r w:rsidRPr="001166ED">
        <w:rPr>
          <w:rFonts w:ascii="Arial" w:hAnsi="Arial" w:cs="Arial"/>
        </w:rPr>
        <w:t xml:space="preserve"> has incentivised vaccine take-up and</w:t>
      </w:r>
      <w:r>
        <w:rPr>
          <w:rFonts w:ascii="Arial" w:hAnsi="Arial" w:cs="Arial"/>
        </w:rPr>
        <w:t>,</w:t>
      </w:r>
      <w:r w:rsidRPr="001166ED">
        <w:rPr>
          <w:rFonts w:ascii="Arial" w:hAnsi="Arial" w:cs="Arial"/>
        </w:rPr>
        <w:t xml:space="preserve"> in many countries</w:t>
      </w:r>
      <w:r>
        <w:rPr>
          <w:rFonts w:ascii="Arial" w:hAnsi="Arial" w:cs="Arial"/>
        </w:rPr>
        <w:t>,</w:t>
      </w:r>
      <w:r w:rsidRPr="001166ED">
        <w:rPr>
          <w:rFonts w:ascii="Arial" w:hAnsi="Arial" w:cs="Arial"/>
        </w:rPr>
        <w:t xml:space="preserve"> remains crucial for leading a Covid-normal life</w:t>
      </w:r>
      <w:r>
        <w:rPr>
          <w:rFonts w:ascii="Arial" w:hAnsi="Arial" w:cs="Arial"/>
        </w:rPr>
        <w:t>, such as accessing public spaces and transport, and continuing to work in some sectors</w:t>
      </w:r>
      <w:r w:rsidRPr="001166ED">
        <w:rPr>
          <w:rFonts w:ascii="Arial" w:hAnsi="Arial" w:cs="Arial"/>
        </w:rPr>
        <w:t xml:space="preserve">. </w:t>
      </w:r>
      <w:r>
        <w:rPr>
          <w:rFonts w:ascii="Arial" w:hAnsi="Arial" w:cs="Arial"/>
        </w:rPr>
        <w:t xml:space="preserve">Stronger mandates have been </w:t>
      </w:r>
      <w:r>
        <w:rPr>
          <w:rFonts w:ascii="Arial" w:hAnsi="Arial" w:cs="Arial"/>
        </w:rPr>
        <w:lastRenderedPageBreak/>
        <w:t>applied in some countries, which target key sectors such as healthcare or education, and people of certain age groups</w:t>
      </w:r>
      <w:r w:rsidR="004F1BCC">
        <w:rPr>
          <w:rFonts w:ascii="Arial" w:hAnsi="Arial" w:cs="Arial"/>
        </w:rPr>
        <w:t xml:space="preserve"> (such as the over-50s in Italy)</w:t>
      </w:r>
      <w:r>
        <w:rPr>
          <w:rFonts w:ascii="Arial" w:hAnsi="Arial" w:cs="Arial"/>
        </w:rPr>
        <w:t>.</w:t>
      </w:r>
    </w:p>
    <w:p w14:paraId="2E25DCB5" w14:textId="77777777" w:rsidR="0083020E" w:rsidRDefault="0083020E" w:rsidP="00E612F8">
      <w:pPr>
        <w:pStyle w:val="ListParagraph"/>
        <w:ind w:left="360"/>
        <w:jc w:val="both"/>
        <w:rPr>
          <w:rFonts w:ascii="Arial" w:hAnsi="Arial" w:cs="Arial"/>
        </w:rPr>
      </w:pPr>
    </w:p>
    <w:p w14:paraId="7D90DC86" w14:textId="3495B3C2" w:rsidR="0083020E" w:rsidRDefault="0083020E" w:rsidP="00E612F8">
      <w:pPr>
        <w:pStyle w:val="ListParagraph"/>
        <w:numPr>
          <w:ilvl w:val="0"/>
          <w:numId w:val="1"/>
        </w:numPr>
        <w:ind w:left="360"/>
        <w:jc w:val="both"/>
        <w:rPr>
          <w:rFonts w:ascii="Arial" w:hAnsi="Arial" w:cs="Arial"/>
        </w:rPr>
      </w:pPr>
      <w:r>
        <w:rPr>
          <w:rFonts w:ascii="Arial" w:hAnsi="Arial" w:cs="Arial"/>
        </w:rPr>
        <w:t xml:space="preserve">Financial incentives have been </w:t>
      </w:r>
      <w:r w:rsidR="00547E6F">
        <w:rPr>
          <w:rFonts w:ascii="Arial" w:hAnsi="Arial" w:cs="Arial"/>
        </w:rPr>
        <w:t>implemented</w:t>
      </w:r>
      <w:r>
        <w:rPr>
          <w:rFonts w:ascii="Arial" w:hAnsi="Arial" w:cs="Arial"/>
        </w:rPr>
        <w:t xml:space="preserve"> in some places, often localised and small-scale interventions. These range from the nominal (such as rewards in kind for showing proof of vaccination) to more significant (including holidays, scholarships, and large lottery cash prizes). Vaccines have been made available without user fees. </w:t>
      </w:r>
    </w:p>
    <w:p w14:paraId="3968F98A" w14:textId="77777777" w:rsidR="0083020E" w:rsidRPr="00100175" w:rsidRDefault="0083020E" w:rsidP="00E612F8">
      <w:pPr>
        <w:pStyle w:val="ListParagraph"/>
        <w:ind w:left="360"/>
        <w:rPr>
          <w:rFonts w:ascii="Arial" w:hAnsi="Arial" w:cs="Arial"/>
        </w:rPr>
      </w:pPr>
    </w:p>
    <w:p w14:paraId="0B39FC87" w14:textId="56620F0A" w:rsidR="0083020E" w:rsidRPr="001166ED" w:rsidRDefault="0083020E" w:rsidP="00E612F8">
      <w:pPr>
        <w:pStyle w:val="ListParagraph"/>
        <w:numPr>
          <w:ilvl w:val="0"/>
          <w:numId w:val="1"/>
        </w:numPr>
        <w:ind w:left="360"/>
        <w:jc w:val="both"/>
        <w:rPr>
          <w:rFonts w:ascii="Arial" w:hAnsi="Arial" w:cs="Arial"/>
        </w:rPr>
      </w:pPr>
      <w:r>
        <w:rPr>
          <w:rFonts w:ascii="Arial" w:hAnsi="Arial" w:cs="Arial"/>
        </w:rPr>
        <w:t>The accessibility of vaccines has been supported through a range of measures. Mass vaccination centres, drop-in vaccination centres which do not require any appointment, and the expansion of vaccine providers across healthcare centres have all aimed to overcome practical barriers and change the choice architecture for vaccination decisions.</w:t>
      </w:r>
    </w:p>
    <w:p w14:paraId="4A996EE8" w14:textId="77777777" w:rsidR="0083020E" w:rsidRDefault="0083020E" w:rsidP="00E612F8">
      <w:pPr>
        <w:pStyle w:val="ListParagraph"/>
        <w:ind w:left="360"/>
        <w:jc w:val="both"/>
        <w:rPr>
          <w:rFonts w:ascii="Arial" w:hAnsi="Arial" w:cs="Arial"/>
        </w:rPr>
      </w:pPr>
    </w:p>
    <w:p w14:paraId="7B408608" w14:textId="77777777" w:rsidR="0083020E" w:rsidRDefault="0083020E" w:rsidP="00E612F8">
      <w:pPr>
        <w:pStyle w:val="ListParagraph"/>
        <w:numPr>
          <w:ilvl w:val="0"/>
          <w:numId w:val="1"/>
        </w:numPr>
        <w:ind w:left="360"/>
        <w:jc w:val="both"/>
        <w:rPr>
          <w:rFonts w:ascii="Arial" w:hAnsi="Arial" w:cs="Arial"/>
        </w:rPr>
      </w:pPr>
      <w:r w:rsidRPr="001166ED">
        <w:rPr>
          <w:rFonts w:ascii="Arial" w:hAnsi="Arial" w:cs="Arial"/>
        </w:rPr>
        <w:t xml:space="preserve">National and local information campaigns and public health messaging have underpinned </w:t>
      </w:r>
      <w:r>
        <w:rPr>
          <w:rFonts w:ascii="Arial" w:hAnsi="Arial" w:cs="Arial"/>
        </w:rPr>
        <w:t xml:space="preserve">government policies in successive </w:t>
      </w:r>
      <w:r w:rsidRPr="001166ED">
        <w:rPr>
          <w:rFonts w:ascii="Arial" w:hAnsi="Arial" w:cs="Arial"/>
        </w:rPr>
        <w:t xml:space="preserve">phases of the pandemic. A range of strategies have been drawn upon, </w:t>
      </w:r>
      <w:r>
        <w:rPr>
          <w:rFonts w:ascii="Arial" w:hAnsi="Arial" w:cs="Arial"/>
        </w:rPr>
        <w:t xml:space="preserve">often </w:t>
      </w:r>
      <w:r w:rsidRPr="001166ED">
        <w:rPr>
          <w:rFonts w:ascii="Arial" w:hAnsi="Arial" w:cs="Arial"/>
        </w:rPr>
        <w:t xml:space="preserve">appealing to </w:t>
      </w:r>
      <w:r>
        <w:rPr>
          <w:rFonts w:ascii="Arial" w:hAnsi="Arial" w:cs="Arial"/>
        </w:rPr>
        <w:t xml:space="preserve">humour and </w:t>
      </w:r>
      <w:r w:rsidRPr="001166ED">
        <w:rPr>
          <w:rFonts w:ascii="Arial" w:hAnsi="Arial" w:cs="Arial"/>
        </w:rPr>
        <w:t>emotions such as fear, as well as emphasising solidarity and the need for collective action. Campaigns have made use of key ‘messengers’ for public health advice, allowing for more tailored targeting of vulnerable groups and those who are more hesitant about vaccinations.</w:t>
      </w:r>
    </w:p>
    <w:p w14:paraId="7562D33E" w14:textId="54115FC1" w:rsidR="0083020E" w:rsidRDefault="0083020E" w:rsidP="00E612F8">
      <w:pPr>
        <w:jc w:val="both"/>
        <w:rPr>
          <w:rFonts w:ascii="Arial" w:hAnsi="Arial" w:cs="Arial"/>
        </w:rPr>
      </w:pPr>
    </w:p>
    <w:p w14:paraId="399359F6" w14:textId="77777777" w:rsidR="008D30A5" w:rsidRDefault="008D30A5" w:rsidP="00E612F8">
      <w:pPr>
        <w:jc w:val="both"/>
        <w:rPr>
          <w:rFonts w:ascii="Arial" w:hAnsi="Arial" w:cs="Arial"/>
        </w:rPr>
      </w:pPr>
    </w:p>
    <w:p w14:paraId="2076007E" w14:textId="77777777" w:rsidR="00546817" w:rsidRDefault="00546817" w:rsidP="00E612F8">
      <w:pPr>
        <w:jc w:val="both"/>
        <w:rPr>
          <w:rFonts w:ascii="Arial" w:hAnsi="Arial" w:cs="Arial"/>
          <w:b/>
          <w:bCs/>
          <w:color w:val="2F5496" w:themeColor="accent1" w:themeShade="BF"/>
          <w:sz w:val="28"/>
          <w:szCs w:val="28"/>
        </w:rPr>
      </w:pPr>
    </w:p>
    <w:p w14:paraId="6234C213" w14:textId="310ED108" w:rsidR="00E612F8" w:rsidRPr="00E612F8" w:rsidRDefault="00E612F8" w:rsidP="00E612F8">
      <w:pPr>
        <w:jc w:val="both"/>
        <w:rPr>
          <w:rFonts w:ascii="Arial" w:hAnsi="Arial" w:cs="Arial"/>
          <w:b/>
          <w:bCs/>
          <w:color w:val="2F5496" w:themeColor="accent1" w:themeShade="BF"/>
          <w:sz w:val="28"/>
          <w:szCs w:val="28"/>
        </w:rPr>
      </w:pPr>
      <w:r w:rsidRPr="00E612F8">
        <w:rPr>
          <w:rFonts w:ascii="Arial" w:hAnsi="Arial" w:cs="Arial"/>
          <w:b/>
          <w:bCs/>
          <w:color w:val="2F5496" w:themeColor="accent1" w:themeShade="BF"/>
          <w:sz w:val="28"/>
          <w:szCs w:val="28"/>
        </w:rPr>
        <w:t>Harder and softer vaccine engagement approaches</w:t>
      </w:r>
    </w:p>
    <w:p w14:paraId="6994598F" w14:textId="77777777" w:rsidR="00E612F8" w:rsidRPr="00B072E9" w:rsidRDefault="00E612F8" w:rsidP="00E612F8">
      <w:pPr>
        <w:jc w:val="both"/>
        <w:rPr>
          <w:rFonts w:ascii="Arial" w:hAnsi="Arial" w:cs="Arial"/>
        </w:rPr>
      </w:pPr>
    </w:p>
    <w:p w14:paraId="6475710C" w14:textId="4E1394DB" w:rsidR="00E612F8" w:rsidRDefault="00E612F8" w:rsidP="00E612F8">
      <w:pPr>
        <w:jc w:val="both"/>
        <w:rPr>
          <w:rFonts w:ascii="Arial" w:hAnsi="Arial" w:cs="Arial"/>
        </w:rPr>
      </w:pPr>
      <w:r>
        <w:rPr>
          <w:rFonts w:ascii="Arial" w:hAnsi="Arial" w:cs="Arial"/>
        </w:rPr>
        <w:t>A</w:t>
      </w:r>
      <w:r w:rsidRPr="00E866D7">
        <w:rPr>
          <w:rFonts w:ascii="Arial" w:hAnsi="Arial" w:cs="Arial"/>
        </w:rPr>
        <w:t>ll policy initiatives aim to change public behaviour, in pursuit of policy goal</w:t>
      </w:r>
      <w:r w:rsidR="00523E9F">
        <w:rPr>
          <w:rFonts w:ascii="Arial" w:hAnsi="Arial" w:cs="Arial"/>
        </w:rPr>
        <w:t>s</w:t>
      </w:r>
      <w:r w:rsidRPr="00E866D7">
        <w:rPr>
          <w:rFonts w:ascii="Arial" w:hAnsi="Arial" w:cs="Arial"/>
        </w:rPr>
        <w:t>. Different policy actions involve different levels of coercion</w:t>
      </w:r>
      <w:r w:rsidR="00523E9F">
        <w:rPr>
          <w:rFonts w:ascii="Arial" w:hAnsi="Arial" w:cs="Arial"/>
        </w:rPr>
        <w:t xml:space="preserve">, </w:t>
      </w:r>
      <w:r w:rsidRPr="00E866D7">
        <w:rPr>
          <w:rFonts w:ascii="Arial" w:hAnsi="Arial" w:cs="Arial"/>
        </w:rPr>
        <w:t>and place different degrees of obligation on the individual to take notice and act accordingly. Policies that require less from the public</w:t>
      </w:r>
      <w:r w:rsidR="00523E9F">
        <w:rPr>
          <w:rFonts w:ascii="Arial" w:hAnsi="Arial" w:cs="Arial"/>
        </w:rPr>
        <w:t xml:space="preserve">, relying more on </w:t>
      </w:r>
      <w:r w:rsidR="00523E9F" w:rsidRPr="00E866D7">
        <w:rPr>
          <w:rFonts w:ascii="Arial" w:hAnsi="Arial" w:cs="Arial"/>
        </w:rPr>
        <w:t>persuasion</w:t>
      </w:r>
      <w:r w:rsidR="00523E9F">
        <w:rPr>
          <w:rFonts w:ascii="Arial" w:hAnsi="Arial" w:cs="Arial"/>
        </w:rPr>
        <w:t>,</w:t>
      </w:r>
      <w:r w:rsidRPr="00E866D7">
        <w:rPr>
          <w:rFonts w:ascii="Arial" w:hAnsi="Arial" w:cs="Arial"/>
        </w:rPr>
        <w:t xml:space="preserve"> have been described as ‘softer’, while those that mandate action are ‘harder’. </w:t>
      </w:r>
    </w:p>
    <w:p w14:paraId="049E444D" w14:textId="77777777" w:rsidR="00E612F8" w:rsidRDefault="00E612F8" w:rsidP="00E612F8">
      <w:pPr>
        <w:jc w:val="both"/>
        <w:rPr>
          <w:rFonts w:ascii="Arial" w:hAnsi="Arial" w:cs="Arial"/>
        </w:rPr>
      </w:pPr>
    </w:p>
    <w:p w14:paraId="6B4EF8EB" w14:textId="0F3DE589" w:rsidR="0083020E" w:rsidRPr="00E612F8" w:rsidRDefault="0083020E" w:rsidP="00E612F8">
      <w:pPr>
        <w:jc w:val="both"/>
        <w:rPr>
          <w:rFonts w:ascii="Arial" w:hAnsi="Arial" w:cs="Arial"/>
        </w:rPr>
      </w:pPr>
      <w:r w:rsidRPr="00E612F8">
        <w:rPr>
          <w:rFonts w:ascii="Arial" w:hAnsi="Arial" w:cs="Arial"/>
        </w:rPr>
        <w:t xml:space="preserve">G7 countries can be divided into two broad groups: those that have favoured harder </w:t>
      </w:r>
      <w:r w:rsidR="00E612F8">
        <w:rPr>
          <w:rFonts w:ascii="Arial" w:hAnsi="Arial" w:cs="Arial"/>
        </w:rPr>
        <w:t xml:space="preserve">or softer </w:t>
      </w:r>
      <w:r w:rsidRPr="00E612F8">
        <w:rPr>
          <w:rFonts w:ascii="Arial" w:hAnsi="Arial" w:cs="Arial"/>
        </w:rPr>
        <w:t xml:space="preserve">policy approaches. </w:t>
      </w:r>
      <w:r w:rsidR="00E612F8" w:rsidRPr="00E612F8">
        <w:rPr>
          <w:rFonts w:ascii="Arial" w:hAnsi="Arial" w:cs="Arial"/>
        </w:rPr>
        <w:t>Canada, France, Germany</w:t>
      </w:r>
      <w:r w:rsidR="007A353F">
        <w:rPr>
          <w:rFonts w:ascii="Arial" w:hAnsi="Arial" w:cs="Arial"/>
        </w:rPr>
        <w:t>,</w:t>
      </w:r>
      <w:r w:rsidR="00E612F8" w:rsidRPr="00E612F8">
        <w:rPr>
          <w:rFonts w:ascii="Arial" w:hAnsi="Arial" w:cs="Arial"/>
        </w:rPr>
        <w:t xml:space="preserve"> and Italy belong to the group favouring harder policy approaches</w:t>
      </w:r>
      <w:r w:rsidR="00E612F8">
        <w:rPr>
          <w:rFonts w:ascii="Arial" w:hAnsi="Arial" w:cs="Arial"/>
        </w:rPr>
        <w:t>. These countries</w:t>
      </w:r>
      <w:r w:rsidR="00E612F8" w:rsidRPr="00E612F8">
        <w:rPr>
          <w:rFonts w:ascii="Arial" w:hAnsi="Arial" w:cs="Arial"/>
        </w:rPr>
        <w:t xml:space="preserve"> </w:t>
      </w:r>
      <w:r w:rsidRPr="00E612F8">
        <w:rPr>
          <w:rFonts w:ascii="Arial" w:hAnsi="Arial" w:cs="Arial"/>
        </w:rPr>
        <w:t xml:space="preserve">have introduced nation and sector-wide mandates, employed strict rules around vaccination status to access public venues, and </w:t>
      </w:r>
      <w:r w:rsidR="00E612F8">
        <w:rPr>
          <w:rFonts w:ascii="Arial" w:hAnsi="Arial" w:cs="Arial"/>
        </w:rPr>
        <w:t xml:space="preserve">with rules </w:t>
      </w:r>
      <w:r w:rsidRPr="00E612F8">
        <w:rPr>
          <w:rFonts w:ascii="Arial" w:hAnsi="Arial" w:cs="Arial"/>
        </w:rPr>
        <w:t>tighte</w:t>
      </w:r>
      <w:r w:rsidR="00E612F8">
        <w:rPr>
          <w:rFonts w:ascii="Arial" w:hAnsi="Arial" w:cs="Arial"/>
        </w:rPr>
        <w:t>ning further recently</w:t>
      </w:r>
      <w:r w:rsidRPr="00E612F8">
        <w:rPr>
          <w:rFonts w:ascii="Arial" w:hAnsi="Arial" w:cs="Arial"/>
        </w:rPr>
        <w:t xml:space="preserve">. </w:t>
      </w:r>
      <w:r w:rsidR="00E612F8" w:rsidRPr="00E612F8">
        <w:rPr>
          <w:rFonts w:ascii="Arial" w:hAnsi="Arial" w:cs="Arial"/>
        </w:rPr>
        <w:t>Japan, the UK</w:t>
      </w:r>
      <w:r w:rsidR="007A353F">
        <w:rPr>
          <w:rFonts w:ascii="Arial" w:hAnsi="Arial" w:cs="Arial"/>
        </w:rPr>
        <w:t>,</w:t>
      </w:r>
      <w:r w:rsidR="00E612F8" w:rsidRPr="00E612F8">
        <w:rPr>
          <w:rFonts w:ascii="Arial" w:hAnsi="Arial" w:cs="Arial"/>
        </w:rPr>
        <w:t xml:space="preserve"> and the US are in the group favouring softer policy approaches. </w:t>
      </w:r>
      <w:r w:rsidR="00E612F8">
        <w:rPr>
          <w:rFonts w:ascii="Arial" w:hAnsi="Arial" w:cs="Arial"/>
        </w:rPr>
        <w:t>These c</w:t>
      </w:r>
      <w:r w:rsidRPr="00E612F8">
        <w:rPr>
          <w:rFonts w:ascii="Arial" w:hAnsi="Arial" w:cs="Arial"/>
        </w:rPr>
        <w:t xml:space="preserve">ountries do not use nation-wide mandates, have less strict rules linking vaccination status to access to public spaces, and </w:t>
      </w:r>
      <w:r w:rsidR="00E612F8">
        <w:rPr>
          <w:rFonts w:ascii="Arial" w:hAnsi="Arial" w:cs="Arial"/>
        </w:rPr>
        <w:t xml:space="preserve">now </w:t>
      </w:r>
      <w:r w:rsidRPr="00E612F8">
        <w:rPr>
          <w:rFonts w:ascii="Arial" w:hAnsi="Arial" w:cs="Arial"/>
        </w:rPr>
        <w:t xml:space="preserve">show signs of relaxing </w:t>
      </w:r>
      <w:r w:rsidR="00E612F8">
        <w:rPr>
          <w:rFonts w:ascii="Arial" w:hAnsi="Arial" w:cs="Arial"/>
        </w:rPr>
        <w:t xml:space="preserve">these </w:t>
      </w:r>
      <w:r w:rsidRPr="00E612F8">
        <w:rPr>
          <w:rFonts w:ascii="Arial" w:hAnsi="Arial" w:cs="Arial"/>
        </w:rPr>
        <w:t xml:space="preserve">rules. </w:t>
      </w:r>
    </w:p>
    <w:p w14:paraId="4FB031E7" w14:textId="77777777" w:rsidR="0083020E" w:rsidRPr="001166ED" w:rsidRDefault="0083020E" w:rsidP="00E612F8">
      <w:pPr>
        <w:jc w:val="both"/>
        <w:rPr>
          <w:rFonts w:ascii="Arial" w:hAnsi="Arial" w:cs="Arial"/>
        </w:rPr>
      </w:pPr>
    </w:p>
    <w:p w14:paraId="4D789A25" w14:textId="2D3E3B20" w:rsidR="009601F3" w:rsidRDefault="0083020E" w:rsidP="009601F3">
      <w:pPr>
        <w:jc w:val="both"/>
        <w:rPr>
          <w:rFonts w:ascii="Arial" w:hAnsi="Arial" w:cs="Arial"/>
        </w:rPr>
      </w:pPr>
      <w:r>
        <w:rPr>
          <w:rFonts w:ascii="Arial" w:hAnsi="Arial" w:cs="Arial"/>
        </w:rPr>
        <w:t>The G7 countries taking harder approaches have higher vaccination rates</w:t>
      </w:r>
      <w:r w:rsidR="009601F3">
        <w:rPr>
          <w:rFonts w:ascii="Arial" w:hAnsi="Arial" w:cs="Arial"/>
        </w:rPr>
        <w:t xml:space="preserve"> on average, and lower shares of the population who are unvaccinated (see Table 1)</w:t>
      </w:r>
      <w:r>
        <w:rPr>
          <w:rFonts w:ascii="Arial" w:hAnsi="Arial" w:cs="Arial"/>
        </w:rPr>
        <w:t xml:space="preserve">. </w:t>
      </w:r>
      <w:r w:rsidR="002C583B">
        <w:rPr>
          <w:rFonts w:ascii="Arial" w:hAnsi="Arial" w:cs="Arial"/>
        </w:rPr>
        <w:t>There are also differences in some attitudes, for example when asked about the balance between saving lives and preserving personal autonomy, people in countries with a harder policy approach were more likely to agree that saving lives should be prioritised.</w:t>
      </w:r>
      <w:r w:rsidR="001A7A90">
        <w:rPr>
          <w:rFonts w:ascii="Arial" w:hAnsi="Arial" w:cs="Arial"/>
        </w:rPr>
        <w:t xml:space="preserve"> The take-up of booster vaccines is also higher in countries that favour harder policy approaches</w:t>
      </w:r>
      <w:r w:rsidR="00FE6D78">
        <w:rPr>
          <w:rFonts w:ascii="Arial" w:hAnsi="Arial" w:cs="Arial"/>
        </w:rPr>
        <w:t xml:space="preserve">, with the US and Japan notably </w:t>
      </w:r>
      <w:proofErr w:type="gramStart"/>
      <w:r w:rsidR="00FE6D78">
        <w:rPr>
          <w:rFonts w:ascii="Arial" w:hAnsi="Arial" w:cs="Arial"/>
        </w:rPr>
        <w:t>lagging behind</w:t>
      </w:r>
      <w:proofErr w:type="gramEnd"/>
      <w:r w:rsidR="00FE6D78">
        <w:rPr>
          <w:rFonts w:ascii="Arial" w:hAnsi="Arial" w:cs="Arial"/>
        </w:rPr>
        <w:t xml:space="preserve"> the G7 (see Figure 3)</w:t>
      </w:r>
      <w:r w:rsidR="001A7A90">
        <w:rPr>
          <w:rFonts w:ascii="Arial" w:hAnsi="Arial" w:cs="Arial"/>
        </w:rPr>
        <w:t xml:space="preserve">. </w:t>
      </w:r>
    </w:p>
    <w:p w14:paraId="564A0DA8" w14:textId="4C06DCBF" w:rsidR="009601F3" w:rsidRDefault="009601F3" w:rsidP="009601F3">
      <w:pPr>
        <w:jc w:val="both"/>
        <w:rPr>
          <w:rFonts w:ascii="Arial" w:hAnsi="Arial" w:cs="Arial"/>
        </w:rPr>
      </w:pPr>
    </w:p>
    <w:p w14:paraId="3E4F63E1" w14:textId="3A9B9295" w:rsidR="00A548E6" w:rsidRDefault="00A548E6" w:rsidP="009601F3">
      <w:pPr>
        <w:jc w:val="both"/>
        <w:rPr>
          <w:rFonts w:ascii="Arial" w:hAnsi="Arial" w:cs="Arial"/>
        </w:rPr>
      </w:pPr>
    </w:p>
    <w:p w14:paraId="7D5326A8" w14:textId="77777777" w:rsidR="00A548E6" w:rsidRDefault="00A548E6" w:rsidP="009601F3">
      <w:pPr>
        <w:jc w:val="both"/>
        <w:rPr>
          <w:rFonts w:ascii="Arial" w:hAnsi="Arial" w:cs="Arial"/>
        </w:rPr>
      </w:pPr>
    </w:p>
    <w:p w14:paraId="0942C9B5" w14:textId="656BA0B7" w:rsidR="009601F3" w:rsidRPr="00DF5407" w:rsidRDefault="009601F3" w:rsidP="009601F3">
      <w:pPr>
        <w:jc w:val="both"/>
        <w:rPr>
          <w:rFonts w:ascii="Arial" w:hAnsi="Arial" w:cs="Arial"/>
          <w:sz w:val="22"/>
          <w:szCs w:val="22"/>
        </w:rPr>
      </w:pPr>
      <w:r w:rsidRPr="00DF5407">
        <w:rPr>
          <w:rFonts w:ascii="Arial" w:hAnsi="Arial" w:cs="Arial"/>
          <w:sz w:val="22"/>
          <w:szCs w:val="22"/>
        </w:rPr>
        <w:t>Table 1: Differences between countries that favour harder and softer policy approaches to vaccine engagement</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219"/>
        <w:gridCol w:w="2011"/>
        <w:gridCol w:w="1796"/>
      </w:tblGrid>
      <w:tr w:rsidR="009601F3" w:rsidRPr="00DF5407" w14:paraId="5010648E" w14:textId="77777777" w:rsidTr="00FE6D78">
        <w:trPr>
          <w:jc w:val="center"/>
        </w:trPr>
        <w:tc>
          <w:tcPr>
            <w:tcW w:w="5219" w:type="dxa"/>
            <w:tcBorders>
              <w:top w:val="single" w:sz="4" w:space="0" w:color="auto"/>
              <w:left w:val="nil"/>
              <w:bottom w:val="single" w:sz="4" w:space="0" w:color="auto"/>
            </w:tcBorders>
          </w:tcPr>
          <w:p w14:paraId="6240D262" w14:textId="77777777" w:rsidR="009601F3" w:rsidRPr="00DF5407" w:rsidRDefault="009601F3" w:rsidP="006C7D34">
            <w:pPr>
              <w:jc w:val="center"/>
              <w:rPr>
                <w:rFonts w:ascii="Arial" w:hAnsi="Arial" w:cs="Arial"/>
                <w:bCs/>
                <w:sz w:val="22"/>
                <w:szCs w:val="22"/>
              </w:rPr>
            </w:pPr>
          </w:p>
        </w:tc>
        <w:tc>
          <w:tcPr>
            <w:tcW w:w="2011" w:type="dxa"/>
            <w:tcBorders>
              <w:top w:val="single" w:sz="4" w:space="0" w:color="auto"/>
              <w:left w:val="nil"/>
              <w:bottom w:val="single" w:sz="4" w:space="0" w:color="auto"/>
            </w:tcBorders>
            <w:vAlign w:val="center"/>
          </w:tcPr>
          <w:p w14:paraId="6BD3EB31" w14:textId="77777777" w:rsidR="009601F3" w:rsidRPr="00DF5407" w:rsidRDefault="009601F3" w:rsidP="006C7D34">
            <w:pPr>
              <w:jc w:val="center"/>
              <w:rPr>
                <w:rFonts w:ascii="Arial" w:hAnsi="Arial" w:cs="Arial"/>
                <w:bCs/>
                <w:sz w:val="22"/>
                <w:szCs w:val="22"/>
              </w:rPr>
            </w:pPr>
          </w:p>
          <w:p w14:paraId="3BF29EBA"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Favour harder policy approaches</w:t>
            </w:r>
          </w:p>
          <w:p w14:paraId="65C01D02"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(Canada, France, Germany, Italy)</w:t>
            </w:r>
          </w:p>
          <w:p w14:paraId="1625D4F5" w14:textId="77777777" w:rsidR="009601F3" w:rsidRPr="00DF5407" w:rsidRDefault="009601F3" w:rsidP="006C7D34">
            <w:pPr>
              <w:jc w:val="center"/>
              <w:rPr>
                <w:rFonts w:ascii="Arial" w:hAnsi="Arial" w:cs="Arial"/>
                <w:bCs/>
                <w:sz w:val="22"/>
                <w:szCs w:val="22"/>
              </w:rPr>
            </w:pPr>
          </w:p>
        </w:tc>
        <w:tc>
          <w:tcPr>
            <w:tcW w:w="1796" w:type="dxa"/>
            <w:tcBorders>
              <w:top w:val="single" w:sz="4" w:space="0" w:color="auto"/>
              <w:bottom w:val="single" w:sz="4" w:space="0" w:color="auto"/>
            </w:tcBorders>
          </w:tcPr>
          <w:p w14:paraId="44677ED0" w14:textId="77777777" w:rsidR="009601F3" w:rsidRPr="00DF5407" w:rsidRDefault="009601F3" w:rsidP="006C7D34">
            <w:pPr>
              <w:jc w:val="center"/>
              <w:rPr>
                <w:rFonts w:ascii="Arial" w:hAnsi="Arial" w:cs="Arial"/>
                <w:bCs/>
                <w:sz w:val="22"/>
                <w:szCs w:val="22"/>
              </w:rPr>
            </w:pPr>
          </w:p>
          <w:p w14:paraId="5178DA29"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 xml:space="preserve">Favour softer policy approaches </w:t>
            </w:r>
          </w:p>
          <w:p w14:paraId="2456469D"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(Japan, UK, US)</w:t>
            </w:r>
          </w:p>
          <w:p w14:paraId="1CDFC835" w14:textId="77777777" w:rsidR="009601F3" w:rsidRPr="00DF5407" w:rsidRDefault="009601F3" w:rsidP="006C7D34">
            <w:pPr>
              <w:jc w:val="center"/>
              <w:rPr>
                <w:rFonts w:ascii="Arial" w:hAnsi="Arial" w:cs="Arial"/>
                <w:bCs/>
                <w:sz w:val="22"/>
                <w:szCs w:val="22"/>
              </w:rPr>
            </w:pPr>
          </w:p>
        </w:tc>
      </w:tr>
      <w:tr w:rsidR="009601F3" w:rsidRPr="00DF5407" w14:paraId="452DB7B5" w14:textId="77777777" w:rsidTr="00FE6D78">
        <w:trPr>
          <w:jc w:val="center"/>
        </w:trPr>
        <w:tc>
          <w:tcPr>
            <w:tcW w:w="5219" w:type="dxa"/>
            <w:tcBorders>
              <w:top w:val="single" w:sz="4" w:space="0" w:color="auto"/>
              <w:left w:val="nil"/>
              <w:bottom w:val="single" w:sz="4" w:space="0" w:color="auto"/>
            </w:tcBorders>
            <w:vAlign w:val="center"/>
          </w:tcPr>
          <w:p w14:paraId="1FEE8A7B" w14:textId="77777777" w:rsidR="009601F3" w:rsidRPr="00DF5407" w:rsidRDefault="009601F3" w:rsidP="006C7D34">
            <w:pPr>
              <w:rPr>
                <w:rFonts w:ascii="Arial" w:hAnsi="Arial" w:cs="Arial"/>
                <w:bCs/>
                <w:sz w:val="22"/>
                <w:szCs w:val="22"/>
              </w:rPr>
            </w:pPr>
            <w:r w:rsidRPr="00DF5407">
              <w:rPr>
                <w:rFonts w:ascii="Arial" w:hAnsi="Arial" w:cs="Arial"/>
                <w:bCs/>
                <w:sz w:val="22"/>
                <w:szCs w:val="22"/>
              </w:rPr>
              <w:t>1. People who have had at least one vaccination</w:t>
            </w:r>
          </w:p>
        </w:tc>
        <w:tc>
          <w:tcPr>
            <w:tcW w:w="2011" w:type="dxa"/>
            <w:tcBorders>
              <w:top w:val="single" w:sz="4" w:space="0" w:color="auto"/>
              <w:left w:val="nil"/>
              <w:bottom w:val="single" w:sz="4" w:space="0" w:color="auto"/>
            </w:tcBorders>
            <w:vAlign w:val="center"/>
          </w:tcPr>
          <w:p w14:paraId="1D4363EE"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89%</w:t>
            </w:r>
          </w:p>
        </w:tc>
        <w:tc>
          <w:tcPr>
            <w:tcW w:w="1796" w:type="dxa"/>
            <w:tcBorders>
              <w:top w:val="single" w:sz="4" w:space="0" w:color="auto"/>
              <w:bottom w:val="single" w:sz="4" w:space="0" w:color="auto"/>
            </w:tcBorders>
            <w:vAlign w:val="center"/>
          </w:tcPr>
          <w:p w14:paraId="3D5D73BC"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84%</w:t>
            </w:r>
          </w:p>
        </w:tc>
      </w:tr>
      <w:tr w:rsidR="009601F3" w:rsidRPr="00DF5407" w14:paraId="1E7141BE" w14:textId="77777777" w:rsidTr="00FE6D78">
        <w:trPr>
          <w:jc w:val="center"/>
        </w:trPr>
        <w:tc>
          <w:tcPr>
            <w:tcW w:w="5219" w:type="dxa"/>
            <w:tcBorders>
              <w:top w:val="single" w:sz="4" w:space="0" w:color="auto"/>
              <w:left w:val="nil"/>
              <w:bottom w:val="single" w:sz="4" w:space="0" w:color="auto"/>
            </w:tcBorders>
            <w:vAlign w:val="center"/>
          </w:tcPr>
          <w:p w14:paraId="05ED6E61" w14:textId="77777777" w:rsidR="009601F3" w:rsidRPr="00DF5407" w:rsidRDefault="009601F3" w:rsidP="006C7D34">
            <w:pPr>
              <w:rPr>
                <w:rFonts w:ascii="Arial" w:hAnsi="Arial" w:cs="Arial"/>
                <w:bCs/>
                <w:sz w:val="22"/>
                <w:szCs w:val="22"/>
              </w:rPr>
            </w:pPr>
            <w:r w:rsidRPr="00DF5407">
              <w:rPr>
                <w:rFonts w:ascii="Arial" w:hAnsi="Arial" w:cs="Arial"/>
                <w:bCs/>
                <w:sz w:val="22"/>
                <w:szCs w:val="22"/>
              </w:rPr>
              <w:t>2. People who have not received any vaccination</w:t>
            </w:r>
          </w:p>
        </w:tc>
        <w:tc>
          <w:tcPr>
            <w:tcW w:w="2011" w:type="dxa"/>
            <w:tcBorders>
              <w:top w:val="single" w:sz="4" w:space="0" w:color="auto"/>
              <w:left w:val="nil"/>
              <w:bottom w:val="single" w:sz="4" w:space="0" w:color="auto"/>
            </w:tcBorders>
            <w:vAlign w:val="center"/>
          </w:tcPr>
          <w:p w14:paraId="00B027A1"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11%</w:t>
            </w:r>
          </w:p>
        </w:tc>
        <w:tc>
          <w:tcPr>
            <w:tcW w:w="1796" w:type="dxa"/>
            <w:tcBorders>
              <w:top w:val="single" w:sz="4" w:space="0" w:color="auto"/>
              <w:bottom w:val="single" w:sz="4" w:space="0" w:color="auto"/>
            </w:tcBorders>
            <w:vAlign w:val="center"/>
          </w:tcPr>
          <w:p w14:paraId="00ECFB4C"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16%</w:t>
            </w:r>
          </w:p>
        </w:tc>
      </w:tr>
      <w:tr w:rsidR="009601F3" w:rsidRPr="00DF5407" w14:paraId="67231FE2" w14:textId="77777777" w:rsidTr="00FE6D78">
        <w:trPr>
          <w:jc w:val="center"/>
        </w:trPr>
        <w:tc>
          <w:tcPr>
            <w:tcW w:w="5219" w:type="dxa"/>
            <w:tcBorders>
              <w:top w:val="single" w:sz="4" w:space="0" w:color="auto"/>
              <w:left w:val="nil"/>
              <w:bottom w:val="single" w:sz="4" w:space="0" w:color="auto"/>
            </w:tcBorders>
            <w:vAlign w:val="center"/>
          </w:tcPr>
          <w:p w14:paraId="79F3DEA9" w14:textId="77777777" w:rsidR="009601F3" w:rsidRPr="00DF5407" w:rsidRDefault="009601F3" w:rsidP="006C7D34">
            <w:pPr>
              <w:rPr>
                <w:rFonts w:ascii="Arial" w:hAnsi="Arial" w:cs="Arial"/>
                <w:bCs/>
                <w:sz w:val="22"/>
                <w:szCs w:val="22"/>
              </w:rPr>
            </w:pPr>
            <w:r w:rsidRPr="00DF5407">
              <w:rPr>
                <w:rFonts w:ascii="Arial" w:hAnsi="Arial" w:cs="Arial"/>
                <w:bCs/>
                <w:sz w:val="22"/>
                <w:szCs w:val="22"/>
              </w:rPr>
              <w:t>3. Unvaccinated who do not want to be vaccinated</w:t>
            </w:r>
          </w:p>
        </w:tc>
        <w:tc>
          <w:tcPr>
            <w:tcW w:w="2011" w:type="dxa"/>
            <w:tcBorders>
              <w:top w:val="single" w:sz="4" w:space="0" w:color="auto"/>
              <w:left w:val="nil"/>
              <w:bottom w:val="single" w:sz="4" w:space="0" w:color="auto"/>
            </w:tcBorders>
            <w:vAlign w:val="center"/>
          </w:tcPr>
          <w:p w14:paraId="1BB1F9A3"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87%</w:t>
            </w:r>
          </w:p>
        </w:tc>
        <w:tc>
          <w:tcPr>
            <w:tcW w:w="1796" w:type="dxa"/>
            <w:tcBorders>
              <w:top w:val="single" w:sz="4" w:space="0" w:color="auto"/>
              <w:bottom w:val="single" w:sz="4" w:space="0" w:color="auto"/>
            </w:tcBorders>
            <w:vAlign w:val="center"/>
          </w:tcPr>
          <w:p w14:paraId="15C2A43B"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81%</w:t>
            </w:r>
          </w:p>
        </w:tc>
      </w:tr>
      <w:tr w:rsidR="009601F3" w:rsidRPr="00DF5407" w14:paraId="753B39CA" w14:textId="77777777" w:rsidTr="00FE6D78">
        <w:trPr>
          <w:jc w:val="center"/>
        </w:trPr>
        <w:tc>
          <w:tcPr>
            <w:tcW w:w="5219" w:type="dxa"/>
            <w:tcBorders>
              <w:top w:val="single" w:sz="4" w:space="0" w:color="auto"/>
              <w:left w:val="nil"/>
              <w:bottom w:val="single" w:sz="4" w:space="0" w:color="auto"/>
            </w:tcBorders>
            <w:vAlign w:val="center"/>
          </w:tcPr>
          <w:p w14:paraId="498B00A3" w14:textId="77777777" w:rsidR="009601F3" w:rsidRPr="00DF5407" w:rsidRDefault="009601F3" w:rsidP="006C7D34">
            <w:pPr>
              <w:rPr>
                <w:rFonts w:ascii="Arial" w:hAnsi="Arial" w:cs="Arial"/>
                <w:bCs/>
                <w:sz w:val="22"/>
                <w:szCs w:val="22"/>
              </w:rPr>
            </w:pPr>
            <w:r w:rsidRPr="00DF5407">
              <w:rPr>
                <w:rFonts w:ascii="Arial" w:hAnsi="Arial" w:cs="Arial"/>
                <w:bCs/>
                <w:sz w:val="22"/>
                <w:szCs w:val="22"/>
              </w:rPr>
              <w:t>4. Agree that saving lives should be prioritised over personal liberty (0 to 10, with 10 being strong agreement)</w:t>
            </w:r>
          </w:p>
        </w:tc>
        <w:tc>
          <w:tcPr>
            <w:tcW w:w="2011" w:type="dxa"/>
            <w:tcBorders>
              <w:top w:val="single" w:sz="4" w:space="0" w:color="auto"/>
              <w:left w:val="nil"/>
              <w:bottom w:val="single" w:sz="4" w:space="0" w:color="auto"/>
            </w:tcBorders>
            <w:vAlign w:val="center"/>
          </w:tcPr>
          <w:p w14:paraId="74A43764"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6.8</w:t>
            </w:r>
          </w:p>
        </w:tc>
        <w:tc>
          <w:tcPr>
            <w:tcW w:w="1796" w:type="dxa"/>
            <w:tcBorders>
              <w:top w:val="single" w:sz="4" w:space="0" w:color="auto"/>
              <w:bottom w:val="single" w:sz="4" w:space="0" w:color="auto"/>
            </w:tcBorders>
            <w:vAlign w:val="center"/>
          </w:tcPr>
          <w:p w14:paraId="5AEDF0C9" w14:textId="77777777" w:rsidR="009601F3" w:rsidRPr="00DF5407" w:rsidRDefault="009601F3" w:rsidP="006C7D34">
            <w:pPr>
              <w:jc w:val="center"/>
              <w:rPr>
                <w:rFonts w:ascii="Arial" w:hAnsi="Arial" w:cs="Arial"/>
                <w:bCs/>
                <w:sz w:val="22"/>
                <w:szCs w:val="22"/>
              </w:rPr>
            </w:pPr>
            <w:r w:rsidRPr="00DF5407">
              <w:rPr>
                <w:rFonts w:ascii="Arial" w:hAnsi="Arial" w:cs="Arial"/>
                <w:bCs/>
                <w:sz w:val="22"/>
                <w:szCs w:val="22"/>
              </w:rPr>
              <w:t>6.3</w:t>
            </w:r>
          </w:p>
        </w:tc>
      </w:tr>
    </w:tbl>
    <w:p w14:paraId="387EACD6" w14:textId="3AC0C5B9" w:rsidR="00FE6D78" w:rsidRDefault="00FE6D78" w:rsidP="009601F3">
      <w:pPr>
        <w:jc w:val="both"/>
        <w:rPr>
          <w:rFonts w:ascii="Arial" w:hAnsi="Arial" w:cs="Arial"/>
        </w:rPr>
      </w:pPr>
    </w:p>
    <w:p w14:paraId="106E1237" w14:textId="77777777" w:rsidR="00DF5407" w:rsidRDefault="00DF5407" w:rsidP="009601F3">
      <w:pPr>
        <w:jc w:val="both"/>
        <w:rPr>
          <w:rFonts w:ascii="Arial" w:hAnsi="Arial" w:cs="Arial"/>
        </w:rPr>
      </w:pPr>
    </w:p>
    <w:p w14:paraId="4119E100" w14:textId="77777777" w:rsidR="00546817" w:rsidRDefault="00546817" w:rsidP="009601F3">
      <w:pPr>
        <w:jc w:val="both"/>
        <w:rPr>
          <w:rFonts w:ascii="Arial" w:hAnsi="Arial" w:cs="Arial"/>
        </w:rPr>
      </w:pPr>
    </w:p>
    <w:p w14:paraId="6C0CC3D7" w14:textId="77777777" w:rsidR="00546817" w:rsidRDefault="00546817" w:rsidP="009601F3">
      <w:pPr>
        <w:jc w:val="both"/>
        <w:rPr>
          <w:rFonts w:ascii="Arial" w:hAnsi="Arial" w:cs="Arial"/>
        </w:rPr>
      </w:pPr>
    </w:p>
    <w:p w14:paraId="7B87DA50" w14:textId="7E45F869" w:rsidR="001A7A90" w:rsidRDefault="001A7A90" w:rsidP="009601F3">
      <w:pPr>
        <w:jc w:val="both"/>
        <w:rPr>
          <w:rFonts w:ascii="Arial" w:hAnsi="Arial" w:cs="Arial"/>
        </w:rPr>
      </w:pPr>
      <w:r>
        <w:rPr>
          <w:rFonts w:ascii="Arial" w:hAnsi="Arial" w:cs="Arial"/>
        </w:rPr>
        <w:t>Figure 3</w:t>
      </w:r>
      <w:r w:rsidR="006D7E6D">
        <w:rPr>
          <w:rStyle w:val="FootnoteReference"/>
          <w:rFonts w:ascii="Arial" w:hAnsi="Arial" w:cs="Arial"/>
        </w:rPr>
        <w:footnoteReference w:id="4"/>
      </w:r>
    </w:p>
    <w:p w14:paraId="57D72D58" w14:textId="74F37204" w:rsidR="001A7A90" w:rsidRDefault="001A7A90" w:rsidP="001A7A90">
      <w:pPr>
        <w:jc w:val="center"/>
        <w:rPr>
          <w:rFonts w:ascii="Arial" w:hAnsi="Arial" w:cs="Arial"/>
        </w:rPr>
      </w:pPr>
      <w:r>
        <w:rPr>
          <w:rFonts w:ascii="Arial" w:hAnsi="Arial" w:cs="Arial"/>
          <w:noProof/>
          <w:sz w:val="28"/>
          <w:szCs w:val="28"/>
        </w:rPr>
        <w:drawing>
          <wp:inline distT="0" distB="0" distL="0" distR="0" wp14:anchorId="3A69F69E" wp14:editId="7C4E953F">
            <wp:extent cx="5913225" cy="4174066"/>
            <wp:effectExtent l="0" t="0" r="5080" b="4445"/>
            <wp:docPr id="26" name="Picture 2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3154" cy="4188134"/>
                    </a:xfrm>
                    <a:prstGeom prst="rect">
                      <a:avLst/>
                    </a:prstGeom>
                  </pic:spPr>
                </pic:pic>
              </a:graphicData>
            </a:graphic>
          </wp:inline>
        </w:drawing>
      </w:r>
    </w:p>
    <w:p w14:paraId="55CAFE81" w14:textId="77777777" w:rsidR="00DF5407" w:rsidRDefault="00DF5407" w:rsidP="009601F3">
      <w:pPr>
        <w:jc w:val="both"/>
        <w:rPr>
          <w:rFonts w:ascii="Arial" w:hAnsi="Arial" w:cs="Arial"/>
        </w:rPr>
      </w:pPr>
    </w:p>
    <w:p w14:paraId="76FD7E47" w14:textId="2A1F9532" w:rsidR="002C583B" w:rsidRDefault="00011239" w:rsidP="009601F3">
      <w:pPr>
        <w:jc w:val="both"/>
        <w:rPr>
          <w:rFonts w:ascii="Arial" w:hAnsi="Arial" w:cs="Arial"/>
        </w:rPr>
      </w:pPr>
      <w:r>
        <w:rPr>
          <w:rFonts w:ascii="Arial" w:hAnsi="Arial" w:cs="Arial"/>
        </w:rPr>
        <w:lastRenderedPageBreak/>
        <w:t xml:space="preserve">The </w:t>
      </w:r>
      <w:r w:rsidR="0083020E">
        <w:rPr>
          <w:rFonts w:ascii="Arial" w:hAnsi="Arial" w:cs="Arial"/>
        </w:rPr>
        <w:t xml:space="preserve">distinction </w:t>
      </w:r>
      <w:r>
        <w:rPr>
          <w:rFonts w:ascii="Arial" w:hAnsi="Arial" w:cs="Arial"/>
        </w:rPr>
        <w:t xml:space="preserve">between hard and soft approaches </w:t>
      </w:r>
      <w:r w:rsidR="0083020E">
        <w:rPr>
          <w:rFonts w:ascii="Arial" w:hAnsi="Arial" w:cs="Arial"/>
        </w:rPr>
        <w:t xml:space="preserve">is useful, but </w:t>
      </w:r>
      <w:r w:rsidR="007A353F">
        <w:rPr>
          <w:rFonts w:ascii="Arial" w:hAnsi="Arial" w:cs="Arial"/>
        </w:rPr>
        <w:t xml:space="preserve">it </w:t>
      </w:r>
      <w:r w:rsidR="0083020E">
        <w:rPr>
          <w:rFonts w:ascii="Arial" w:hAnsi="Arial" w:cs="Arial"/>
        </w:rPr>
        <w:t xml:space="preserve">does not directly predict vaccination engagement success. </w:t>
      </w:r>
      <w:r w:rsidR="002C583B">
        <w:rPr>
          <w:rFonts w:ascii="Arial" w:hAnsi="Arial" w:cs="Arial"/>
        </w:rPr>
        <w:t xml:space="preserve">There are exceptions to the broad trends that emerge from our comparison of countries that favour harder or softer approaches. </w:t>
      </w:r>
      <w:r w:rsidR="0083020E">
        <w:rPr>
          <w:rFonts w:ascii="Arial" w:hAnsi="Arial" w:cs="Arial"/>
        </w:rPr>
        <w:t xml:space="preserve">In Japan we observe a far softer policy approach than Italy, yet the share of people with a complete initial vaccine protocol are very similar (not so for boosters, however). </w:t>
      </w:r>
      <w:r w:rsidR="001A7A90">
        <w:rPr>
          <w:rFonts w:ascii="Arial" w:hAnsi="Arial" w:cs="Arial"/>
        </w:rPr>
        <w:t>Amongst the unvaccinated, however, those in countries with a harder policy approach are more likely to indicate vaccine refusal. It is not clear whether these attitudes are a result of the policy measures; it might also be understood as evidence of more resistant attitudes in a smaller minority of unvaccinated people</w:t>
      </w:r>
      <w:r w:rsidR="00FE6D78">
        <w:rPr>
          <w:rFonts w:ascii="Arial" w:hAnsi="Arial" w:cs="Arial"/>
        </w:rPr>
        <w:t>.</w:t>
      </w:r>
    </w:p>
    <w:p w14:paraId="09039915" w14:textId="77777777" w:rsidR="002C583B" w:rsidRDefault="002C583B" w:rsidP="009601F3">
      <w:pPr>
        <w:jc w:val="both"/>
        <w:rPr>
          <w:rFonts w:ascii="Arial" w:hAnsi="Arial" w:cs="Arial"/>
        </w:rPr>
      </w:pPr>
    </w:p>
    <w:p w14:paraId="6379C9B9" w14:textId="18AB55A4" w:rsidR="0083020E" w:rsidRDefault="0083020E" w:rsidP="009601F3">
      <w:pPr>
        <w:jc w:val="both"/>
        <w:rPr>
          <w:rFonts w:ascii="Arial" w:hAnsi="Arial" w:cs="Arial"/>
        </w:rPr>
      </w:pPr>
      <w:r>
        <w:rPr>
          <w:rFonts w:ascii="Arial" w:hAnsi="Arial" w:cs="Arial"/>
        </w:rPr>
        <w:t xml:space="preserve">While evidence shows a positive and significant impact of announcing and introducing vaccine mandates in some G7 countries, we are now also observing political fallout from </w:t>
      </w:r>
      <w:r w:rsidR="002C583B">
        <w:rPr>
          <w:rFonts w:ascii="Arial" w:hAnsi="Arial" w:cs="Arial"/>
        </w:rPr>
        <w:t>some</w:t>
      </w:r>
      <w:r>
        <w:rPr>
          <w:rFonts w:ascii="Arial" w:hAnsi="Arial" w:cs="Arial"/>
        </w:rPr>
        <w:t xml:space="preserve"> hard policies, such as public protests in Canada and France</w:t>
      </w:r>
      <w:r w:rsidR="002C583B">
        <w:rPr>
          <w:rFonts w:ascii="Arial" w:hAnsi="Arial" w:cs="Arial"/>
        </w:rPr>
        <w:t xml:space="preserve"> during February 2022</w:t>
      </w:r>
      <w:r>
        <w:rPr>
          <w:rFonts w:ascii="Arial" w:hAnsi="Arial" w:cs="Arial"/>
        </w:rPr>
        <w:t xml:space="preserve">. The optimal trade-off between public health and personal freedoms continues to challenge decision makers. With highly vocal and organised pockets of vaccine resistance appearing, these challenges are likely to remain for the foreseeable future and can be expected to constrain the extent to which </w:t>
      </w:r>
      <w:r w:rsidR="002C583B">
        <w:rPr>
          <w:rFonts w:ascii="Arial" w:hAnsi="Arial" w:cs="Arial"/>
        </w:rPr>
        <w:t xml:space="preserve">harder </w:t>
      </w:r>
      <w:r>
        <w:rPr>
          <w:rFonts w:ascii="Arial" w:hAnsi="Arial" w:cs="Arial"/>
        </w:rPr>
        <w:t xml:space="preserve">vaccine engagement policies may </w:t>
      </w:r>
      <w:r w:rsidR="002C583B">
        <w:rPr>
          <w:rFonts w:ascii="Arial" w:hAnsi="Arial" w:cs="Arial"/>
        </w:rPr>
        <w:t>be pursued</w:t>
      </w:r>
      <w:r>
        <w:rPr>
          <w:rFonts w:ascii="Arial" w:hAnsi="Arial" w:cs="Arial"/>
        </w:rPr>
        <w:t xml:space="preserve"> during 2022. </w:t>
      </w:r>
    </w:p>
    <w:p w14:paraId="4B0946A2" w14:textId="76B4F82A" w:rsidR="00DB6F17" w:rsidRDefault="00DB6F17" w:rsidP="0083020E">
      <w:pPr>
        <w:spacing w:line="276" w:lineRule="auto"/>
        <w:jc w:val="both"/>
        <w:rPr>
          <w:rFonts w:ascii="Arial" w:hAnsi="Arial" w:cs="Arial"/>
        </w:rPr>
      </w:pPr>
    </w:p>
    <w:p w14:paraId="2BFF3777" w14:textId="77777777" w:rsidR="00A548E6" w:rsidRDefault="00A548E6" w:rsidP="0083020E">
      <w:pPr>
        <w:spacing w:line="276" w:lineRule="auto"/>
        <w:jc w:val="both"/>
        <w:rPr>
          <w:rFonts w:ascii="Arial" w:hAnsi="Arial" w:cs="Arial"/>
        </w:rPr>
      </w:pPr>
    </w:p>
    <w:p w14:paraId="5D7B1C5F" w14:textId="40C1F469" w:rsidR="00537BE8" w:rsidRPr="00537BE8" w:rsidRDefault="00537BE8" w:rsidP="0083020E">
      <w:pPr>
        <w:spacing w:line="276" w:lineRule="auto"/>
        <w:jc w:val="both"/>
        <w:rPr>
          <w:rFonts w:ascii="Arial" w:hAnsi="Arial" w:cs="Arial"/>
          <w:b/>
          <w:bCs/>
          <w:color w:val="2F5496" w:themeColor="accent1" w:themeShade="BF"/>
          <w:sz w:val="28"/>
          <w:szCs w:val="28"/>
        </w:rPr>
      </w:pPr>
      <w:r w:rsidRPr="00537BE8">
        <w:rPr>
          <w:rFonts w:ascii="Arial" w:hAnsi="Arial" w:cs="Arial"/>
          <w:b/>
          <w:bCs/>
          <w:color w:val="2F5496" w:themeColor="accent1" w:themeShade="BF"/>
          <w:sz w:val="28"/>
          <w:szCs w:val="28"/>
        </w:rPr>
        <w:t>Attitudes towards Covid-19 vaccines</w:t>
      </w:r>
      <w:r w:rsidR="00CA0178">
        <w:rPr>
          <w:rFonts w:ascii="Arial" w:hAnsi="Arial" w:cs="Arial"/>
          <w:b/>
          <w:bCs/>
          <w:color w:val="2F5496" w:themeColor="accent1" w:themeShade="BF"/>
          <w:sz w:val="28"/>
          <w:szCs w:val="28"/>
        </w:rPr>
        <w:t xml:space="preserve"> </w:t>
      </w:r>
    </w:p>
    <w:p w14:paraId="4F52B4F2" w14:textId="68D7156E" w:rsidR="00537BE8" w:rsidRDefault="00537BE8" w:rsidP="0083020E">
      <w:pPr>
        <w:spacing w:line="276" w:lineRule="auto"/>
        <w:jc w:val="both"/>
        <w:rPr>
          <w:rFonts w:ascii="Arial" w:hAnsi="Arial" w:cs="Arial"/>
        </w:rPr>
      </w:pPr>
    </w:p>
    <w:p w14:paraId="32840F8C" w14:textId="49DEBB19" w:rsidR="005965E7" w:rsidRDefault="00653EEE" w:rsidP="00653EEE">
      <w:pPr>
        <w:jc w:val="both"/>
        <w:rPr>
          <w:rFonts w:ascii="Arial" w:hAnsi="Arial" w:cs="Arial"/>
        </w:rPr>
      </w:pPr>
      <w:r>
        <w:rPr>
          <w:rFonts w:ascii="Arial" w:hAnsi="Arial" w:cs="Arial"/>
        </w:rPr>
        <w:t>Our survey</w:t>
      </w:r>
      <w:r w:rsidR="00384AC9">
        <w:rPr>
          <w:rFonts w:ascii="Arial" w:hAnsi="Arial" w:cs="Arial"/>
        </w:rPr>
        <w:t xml:space="preserve"> gathers data from 23,309 respondents from across the G7 countries. The data</w:t>
      </w:r>
      <w:r w:rsidR="005965E7">
        <w:rPr>
          <w:rFonts w:ascii="Arial" w:hAnsi="Arial" w:cs="Arial"/>
        </w:rPr>
        <w:t xml:space="preserve"> was collected through an online survey</w:t>
      </w:r>
      <w:r w:rsidR="00384AC9">
        <w:rPr>
          <w:rFonts w:ascii="Arial" w:hAnsi="Arial" w:cs="Arial"/>
        </w:rPr>
        <w:t xml:space="preserve"> </w:t>
      </w:r>
      <w:r w:rsidR="005965E7">
        <w:rPr>
          <w:rFonts w:ascii="Arial" w:hAnsi="Arial" w:cs="Arial"/>
        </w:rPr>
        <w:t xml:space="preserve">that was fielded during January-February 2022 to all seven countries. Our dataset </w:t>
      </w:r>
      <w:r w:rsidR="00384AC9">
        <w:rPr>
          <w:rFonts w:ascii="Arial" w:hAnsi="Arial" w:cs="Arial"/>
        </w:rPr>
        <w:t>is a representative sample</w:t>
      </w:r>
      <w:r w:rsidR="003117A6">
        <w:rPr>
          <w:rFonts w:ascii="Arial" w:hAnsi="Arial" w:cs="Arial"/>
        </w:rPr>
        <w:t xml:space="preserve"> designed to approximate key socio-demographic features in each country, namely for</w:t>
      </w:r>
      <w:r w:rsidR="00384AC9">
        <w:rPr>
          <w:rFonts w:ascii="Arial" w:hAnsi="Arial" w:cs="Arial"/>
        </w:rPr>
        <w:t xml:space="preserve"> gender, age</w:t>
      </w:r>
      <w:r w:rsidR="00FB3CC4">
        <w:rPr>
          <w:rFonts w:ascii="Arial" w:hAnsi="Arial" w:cs="Arial"/>
        </w:rPr>
        <w:t>,</w:t>
      </w:r>
      <w:r w:rsidR="00384AC9">
        <w:rPr>
          <w:rFonts w:ascii="Arial" w:hAnsi="Arial" w:cs="Arial"/>
        </w:rPr>
        <w:t xml:space="preserve"> </w:t>
      </w:r>
      <w:r w:rsidR="003117A6">
        <w:rPr>
          <w:rFonts w:ascii="Arial" w:hAnsi="Arial" w:cs="Arial"/>
        </w:rPr>
        <w:t xml:space="preserve">sub-national region, </w:t>
      </w:r>
      <w:r w:rsidR="00384AC9">
        <w:rPr>
          <w:rFonts w:ascii="Arial" w:hAnsi="Arial" w:cs="Arial"/>
        </w:rPr>
        <w:t>and education</w:t>
      </w:r>
      <w:r w:rsidR="005965E7">
        <w:rPr>
          <w:rFonts w:ascii="Arial" w:hAnsi="Arial" w:cs="Arial"/>
        </w:rPr>
        <w:t>. It</w:t>
      </w:r>
      <w:r w:rsidR="00384AC9">
        <w:rPr>
          <w:rFonts w:ascii="Arial" w:hAnsi="Arial" w:cs="Arial"/>
        </w:rPr>
        <w:t xml:space="preserve"> offers unique insights into people’s experiences and attitudes towards Covid-19. </w:t>
      </w:r>
      <w:r w:rsidR="00496CC7">
        <w:rPr>
          <w:rFonts w:ascii="Arial" w:hAnsi="Arial" w:cs="Arial"/>
        </w:rPr>
        <w:t xml:space="preserve">Further data </w:t>
      </w:r>
      <w:r w:rsidR="004212A9">
        <w:rPr>
          <w:rFonts w:ascii="Arial" w:hAnsi="Arial" w:cs="Arial"/>
        </w:rPr>
        <w:t>are</w:t>
      </w:r>
      <w:r w:rsidR="00496CC7">
        <w:rPr>
          <w:rFonts w:ascii="Arial" w:hAnsi="Arial" w:cs="Arial"/>
        </w:rPr>
        <w:t xml:space="preserve"> being collected. </w:t>
      </w:r>
    </w:p>
    <w:p w14:paraId="523437A9" w14:textId="77777777" w:rsidR="005965E7" w:rsidRDefault="005965E7" w:rsidP="00653EEE">
      <w:pPr>
        <w:jc w:val="both"/>
        <w:rPr>
          <w:rFonts w:ascii="Arial" w:hAnsi="Arial" w:cs="Arial"/>
        </w:rPr>
      </w:pPr>
    </w:p>
    <w:p w14:paraId="1E5DFFAE" w14:textId="00012A15" w:rsidR="00653EEE" w:rsidRDefault="005965E7" w:rsidP="00653EEE">
      <w:pPr>
        <w:jc w:val="both"/>
        <w:rPr>
          <w:rFonts w:ascii="Arial" w:hAnsi="Arial" w:cs="Arial"/>
        </w:rPr>
      </w:pPr>
      <w:r>
        <w:rPr>
          <w:rFonts w:ascii="Arial" w:hAnsi="Arial" w:cs="Arial"/>
        </w:rPr>
        <w:t>We</w:t>
      </w:r>
      <w:r w:rsidR="00653EEE">
        <w:rPr>
          <w:rFonts w:ascii="Arial" w:hAnsi="Arial" w:cs="Arial"/>
        </w:rPr>
        <w:t xml:space="preserve"> present</w:t>
      </w:r>
      <w:r>
        <w:rPr>
          <w:rFonts w:ascii="Arial" w:hAnsi="Arial" w:cs="Arial"/>
        </w:rPr>
        <w:t xml:space="preserve"> below</w:t>
      </w:r>
      <w:r w:rsidR="00653EEE">
        <w:rPr>
          <w:rFonts w:ascii="Arial" w:hAnsi="Arial" w:cs="Arial"/>
        </w:rPr>
        <w:t xml:space="preserve"> </w:t>
      </w:r>
      <w:r>
        <w:rPr>
          <w:rFonts w:ascii="Arial" w:hAnsi="Arial" w:cs="Arial"/>
        </w:rPr>
        <w:t>some compelling</w:t>
      </w:r>
      <w:r w:rsidR="00653EEE">
        <w:rPr>
          <w:rFonts w:ascii="Arial" w:hAnsi="Arial" w:cs="Arial"/>
        </w:rPr>
        <w:t xml:space="preserve"> </w:t>
      </w:r>
      <w:r w:rsidR="00384AC9">
        <w:rPr>
          <w:rFonts w:ascii="Arial" w:hAnsi="Arial" w:cs="Arial"/>
        </w:rPr>
        <w:t xml:space="preserve">themes </w:t>
      </w:r>
      <w:r>
        <w:rPr>
          <w:rFonts w:ascii="Arial" w:hAnsi="Arial" w:cs="Arial"/>
        </w:rPr>
        <w:t>that emerge from th</w:t>
      </w:r>
      <w:r w:rsidR="004A5C5C">
        <w:rPr>
          <w:rFonts w:ascii="Arial" w:hAnsi="Arial" w:cs="Arial"/>
        </w:rPr>
        <w:t>is seven-country</w:t>
      </w:r>
      <w:r>
        <w:rPr>
          <w:rFonts w:ascii="Arial" w:hAnsi="Arial" w:cs="Arial"/>
        </w:rPr>
        <w:t xml:space="preserve"> data</w:t>
      </w:r>
      <w:r w:rsidR="004A5C5C">
        <w:rPr>
          <w:rFonts w:ascii="Arial" w:hAnsi="Arial" w:cs="Arial"/>
        </w:rPr>
        <w:t>set</w:t>
      </w:r>
      <w:r w:rsidR="00384AC9">
        <w:rPr>
          <w:rFonts w:ascii="Arial" w:hAnsi="Arial" w:cs="Arial"/>
        </w:rPr>
        <w:t>, which relate</w:t>
      </w:r>
      <w:r w:rsidR="00653EEE">
        <w:rPr>
          <w:rFonts w:ascii="Arial" w:hAnsi="Arial" w:cs="Arial"/>
        </w:rPr>
        <w:t xml:space="preserve"> an individual’s social, political</w:t>
      </w:r>
      <w:r w:rsidR="007A353F">
        <w:rPr>
          <w:rFonts w:ascii="Arial" w:hAnsi="Arial" w:cs="Arial"/>
        </w:rPr>
        <w:t>,</w:t>
      </w:r>
      <w:r w:rsidR="00653EEE">
        <w:rPr>
          <w:rFonts w:ascii="Arial" w:hAnsi="Arial" w:cs="Arial"/>
        </w:rPr>
        <w:t xml:space="preserve"> and demographic characteristics </w:t>
      </w:r>
      <w:r w:rsidR="00384AC9">
        <w:rPr>
          <w:rFonts w:ascii="Arial" w:hAnsi="Arial" w:cs="Arial"/>
        </w:rPr>
        <w:t>with their</w:t>
      </w:r>
      <w:r w:rsidR="00653EEE">
        <w:rPr>
          <w:rFonts w:ascii="Arial" w:hAnsi="Arial" w:cs="Arial"/>
        </w:rPr>
        <w:t xml:space="preserve"> attitudes towards Covid-19 vaccines</w:t>
      </w:r>
      <w:r w:rsidR="00384AC9">
        <w:rPr>
          <w:rFonts w:ascii="Arial" w:hAnsi="Arial" w:cs="Arial"/>
        </w:rPr>
        <w:t>, as well as vaccination status</w:t>
      </w:r>
      <w:r w:rsidR="00653EEE">
        <w:rPr>
          <w:rFonts w:ascii="Arial" w:hAnsi="Arial" w:cs="Arial"/>
        </w:rPr>
        <w:t xml:space="preserve">. The relationships reported demonstrate correlation and </w:t>
      </w:r>
      <w:r w:rsidR="00384AC9">
        <w:rPr>
          <w:rFonts w:ascii="Arial" w:hAnsi="Arial" w:cs="Arial"/>
        </w:rPr>
        <w:t>should not</w:t>
      </w:r>
      <w:r w:rsidR="00653EEE">
        <w:rPr>
          <w:rFonts w:ascii="Arial" w:hAnsi="Arial" w:cs="Arial"/>
        </w:rPr>
        <w:t xml:space="preserve"> be used to infer cause and effect.</w:t>
      </w:r>
    </w:p>
    <w:p w14:paraId="3B89D736" w14:textId="77777777" w:rsidR="00DB6F17" w:rsidRDefault="00DB6F17" w:rsidP="00DE3A9F">
      <w:pPr>
        <w:jc w:val="both"/>
        <w:rPr>
          <w:rFonts w:ascii="Arial" w:hAnsi="Arial" w:cs="Arial"/>
          <w:b/>
          <w:bCs/>
          <w:color w:val="2F5496" w:themeColor="accent1" w:themeShade="BF"/>
        </w:rPr>
      </w:pPr>
    </w:p>
    <w:p w14:paraId="15649E40" w14:textId="7BCD9BF7" w:rsidR="00DB6F17" w:rsidRDefault="00DB6F17" w:rsidP="00DE3A9F">
      <w:pPr>
        <w:jc w:val="both"/>
        <w:rPr>
          <w:rFonts w:ascii="Arial" w:hAnsi="Arial" w:cs="Arial"/>
          <w:b/>
          <w:bCs/>
          <w:i/>
          <w:iCs/>
          <w:color w:val="2F5496" w:themeColor="accent1" w:themeShade="BF"/>
        </w:rPr>
      </w:pPr>
      <w:r w:rsidRPr="00DE3A9F">
        <w:rPr>
          <w:rFonts w:ascii="Arial" w:hAnsi="Arial" w:cs="Arial"/>
          <w:b/>
          <w:bCs/>
          <w:i/>
          <w:iCs/>
          <w:color w:val="2F5496" w:themeColor="accent1" w:themeShade="BF"/>
        </w:rPr>
        <w:t>Who takes up the vaccine?</w:t>
      </w:r>
    </w:p>
    <w:p w14:paraId="19E55CFA" w14:textId="77777777" w:rsidR="007432E0" w:rsidRPr="00DB6F17" w:rsidRDefault="007432E0" w:rsidP="00DE3A9F">
      <w:pPr>
        <w:jc w:val="both"/>
        <w:rPr>
          <w:rFonts w:ascii="Arial" w:hAnsi="Arial" w:cs="Arial"/>
          <w:b/>
          <w:bCs/>
          <w:i/>
          <w:iCs/>
          <w:color w:val="2F5496" w:themeColor="accent1" w:themeShade="BF"/>
        </w:rPr>
      </w:pPr>
    </w:p>
    <w:p w14:paraId="66C98342" w14:textId="2BE5C2E7" w:rsidR="00DE3A9F" w:rsidRDefault="00DB6F17" w:rsidP="00DE3A9F">
      <w:pPr>
        <w:pStyle w:val="ListParagraph"/>
        <w:numPr>
          <w:ilvl w:val="0"/>
          <w:numId w:val="6"/>
        </w:numPr>
        <w:jc w:val="both"/>
        <w:rPr>
          <w:rFonts w:ascii="Arial" w:hAnsi="Arial" w:cs="Arial"/>
        </w:rPr>
      </w:pPr>
      <w:r>
        <w:rPr>
          <w:rFonts w:ascii="Arial" w:hAnsi="Arial" w:cs="Arial"/>
        </w:rPr>
        <w:t xml:space="preserve">People who are fully vaccinated are likely to be aged over 35, educated to university/college level, </w:t>
      </w:r>
      <w:r w:rsidR="002A4607">
        <w:rPr>
          <w:rFonts w:ascii="Arial" w:hAnsi="Arial" w:cs="Arial"/>
        </w:rPr>
        <w:t xml:space="preserve">and </w:t>
      </w:r>
      <w:r>
        <w:rPr>
          <w:rFonts w:ascii="Arial" w:hAnsi="Arial" w:cs="Arial"/>
        </w:rPr>
        <w:t>in full time employment</w:t>
      </w:r>
      <w:r w:rsidR="00DE3A9F">
        <w:rPr>
          <w:rFonts w:ascii="Arial" w:hAnsi="Arial" w:cs="Arial"/>
        </w:rPr>
        <w:t>.</w:t>
      </w:r>
      <w:r w:rsidR="00C37EA0">
        <w:rPr>
          <w:rFonts w:ascii="Arial" w:hAnsi="Arial" w:cs="Arial"/>
        </w:rPr>
        <w:t xml:space="preserve"> They are slightly more likely to be female</w:t>
      </w:r>
      <w:r w:rsidR="002A4607">
        <w:rPr>
          <w:rFonts w:ascii="Arial" w:hAnsi="Arial" w:cs="Arial"/>
        </w:rPr>
        <w:t xml:space="preserve"> (but this varies by country)</w:t>
      </w:r>
      <w:r w:rsidR="00C37EA0">
        <w:rPr>
          <w:rFonts w:ascii="Arial" w:hAnsi="Arial" w:cs="Arial"/>
        </w:rPr>
        <w:t>.</w:t>
      </w:r>
    </w:p>
    <w:p w14:paraId="30F407D1" w14:textId="4F427FF8" w:rsidR="00DE3A9F" w:rsidRDefault="00C37EA0" w:rsidP="00DE3A9F">
      <w:pPr>
        <w:pStyle w:val="ListParagraph"/>
        <w:numPr>
          <w:ilvl w:val="0"/>
          <w:numId w:val="6"/>
        </w:numPr>
        <w:jc w:val="both"/>
        <w:rPr>
          <w:rFonts w:ascii="Arial" w:hAnsi="Arial" w:cs="Arial"/>
        </w:rPr>
      </w:pPr>
      <w:r>
        <w:rPr>
          <w:rFonts w:ascii="Arial" w:hAnsi="Arial" w:cs="Arial"/>
        </w:rPr>
        <w:t>Vaccinated respondents</w:t>
      </w:r>
      <w:r w:rsidR="00DE3A9F">
        <w:rPr>
          <w:rFonts w:ascii="Arial" w:hAnsi="Arial" w:cs="Arial"/>
        </w:rPr>
        <w:t xml:space="preserve"> believe that ‘saving lives is more important than personal liberty’; and take lower levels of risk in their day to day lives.</w:t>
      </w:r>
    </w:p>
    <w:p w14:paraId="583467B4" w14:textId="77777777" w:rsidR="00DE3A9F" w:rsidRDefault="00DE3A9F" w:rsidP="00DE3A9F">
      <w:pPr>
        <w:pStyle w:val="ListParagraph"/>
        <w:numPr>
          <w:ilvl w:val="0"/>
          <w:numId w:val="6"/>
        </w:numPr>
        <w:jc w:val="both"/>
        <w:rPr>
          <w:rFonts w:ascii="Arial" w:hAnsi="Arial" w:cs="Arial"/>
        </w:rPr>
      </w:pPr>
      <w:r>
        <w:rPr>
          <w:rFonts w:ascii="Arial" w:hAnsi="Arial" w:cs="Arial"/>
        </w:rPr>
        <w:t xml:space="preserve">They are more likely to rely on conventional media than social media for news on the coronavirus. </w:t>
      </w:r>
    </w:p>
    <w:p w14:paraId="2F95C680" w14:textId="77777777" w:rsidR="00DE3A9F" w:rsidRDefault="00DE3A9F" w:rsidP="00DE3A9F">
      <w:pPr>
        <w:pStyle w:val="ListParagraph"/>
        <w:numPr>
          <w:ilvl w:val="0"/>
          <w:numId w:val="6"/>
        </w:numPr>
        <w:jc w:val="both"/>
        <w:rPr>
          <w:rFonts w:ascii="Arial" w:hAnsi="Arial" w:cs="Arial"/>
        </w:rPr>
      </w:pPr>
      <w:r>
        <w:rPr>
          <w:rFonts w:ascii="Arial" w:hAnsi="Arial" w:cs="Arial"/>
        </w:rPr>
        <w:t xml:space="preserve">They are significantly more likely to trust in the vaccines, and to trust in institutions generally. </w:t>
      </w:r>
    </w:p>
    <w:p w14:paraId="5C6EEA6B" w14:textId="4F4FA334" w:rsidR="00DE3A9F" w:rsidRDefault="00DE3A9F" w:rsidP="00DE3A9F">
      <w:pPr>
        <w:pStyle w:val="ListParagraph"/>
        <w:numPr>
          <w:ilvl w:val="0"/>
          <w:numId w:val="6"/>
        </w:numPr>
        <w:jc w:val="both"/>
        <w:rPr>
          <w:rFonts w:ascii="Arial" w:hAnsi="Arial" w:cs="Arial"/>
        </w:rPr>
      </w:pPr>
      <w:r>
        <w:rPr>
          <w:rFonts w:ascii="Arial" w:hAnsi="Arial" w:cs="Arial"/>
        </w:rPr>
        <w:t xml:space="preserve">The vaccinated are more likely to identify on the left of a left-right political </w:t>
      </w:r>
      <w:r w:rsidR="00C37EA0">
        <w:rPr>
          <w:rFonts w:ascii="Arial" w:hAnsi="Arial" w:cs="Arial"/>
        </w:rPr>
        <w:t>scale and</w:t>
      </w:r>
      <w:r>
        <w:rPr>
          <w:rFonts w:ascii="Arial" w:hAnsi="Arial" w:cs="Arial"/>
        </w:rPr>
        <w:t xml:space="preserve"> identify less strongly with any party they express an affiliation with. </w:t>
      </w:r>
    </w:p>
    <w:p w14:paraId="0F2D364D" w14:textId="2872EF66" w:rsidR="00DB6F17" w:rsidRDefault="00DE3A9F" w:rsidP="00DE3A9F">
      <w:pPr>
        <w:pStyle w:val="ListParagraph"/>
        <w:numPr>
          <w:ilvl w:val="0"/>
          <w:numId w:val="6"/>
        </w:numPr>
        <w:jc w:val="both"/>
        <w:rPr>
          <w:rFonts w:ascii="Arial" w:hAnsi="Arial" w:cs="Arial"/>
        </w:rPr>
      </w:pPr>
      <w:r>
        <w:rPr>
          <w:rFonts w:ascii="Arial" w:hAnsi="Arial" w:cs="Arial"/>
        </w:rPr>
        <w:t>Vaccinated people are less likely to describe themselves as religious</w:t>
      </w:r>
      <w:r w:rsidR="00C37EA0">
        <w:rPr>
          <w:rFonts w:ascii="Arial" w:hAnsi="Arial" w:cs="Arial"/>
        </w:rPr>
        <w:t xml:space="preserve">. </w:t>
      </w:r>
    </w:p>
    <w:p w14:paraId="7D81C4B6" w14:textId="7AE58788" w:rsidR="000F3EE7" w:rsidRPr="000F3EE7" w:rsidRDefault="000F3EE7" w:rsidP="0083020E">
      <w:pPr>
        <w:spacing w:line="276" w:lineRule="auto"/>
        <w:jc w:val="both"/>
        <w:rPr>
          <w:rFonts w:ascii="Arial" w:hAnsi="Arial" w:cs="Arial"/>
          <w:color w:val="2F5496" w:themeColor="accent1" w:themeShade="BF"/>
        </w:rPr>
      </w:pPr>
      <w:r w:rsidRPr="000F3EE7">
        <w:rPr>
          <w:rFonts w:ascii="Arial" w:hAnsi="Arial" w:cs="Arial"/>
          <w:b/>
          <w:bCs/>
          <w:i/>
          <w:iCs/>
          <w:color w:val="2F5496" w:themeColor="accent1" w:themeShade="BF"/>
        </w:rPr>
        <w:lastRenderedPageBreak/>
        <w:t>Trust</w:t>
      </w:r>
    </w:p>
    <w:p w14:paraId="07893E15" w14:textId="77777777" w:rsidR="000F3EE7" w:rsidRDefault="000F3EE7" w:rsidP="00EB6A9B">
      <w:pPr>
        <w:jc w:val="both"/>
        <w:rPr>
          <w:rFonts w:ascii="Arial" w:hAnsi="Arial" w:cs="Arial"/>
        </w:rPr>
      </w:pPr>
    </w:p>
    <w:p w14:paraId="6D679F89" w14:textId="497CA3F4" w:rsidR="000F3EE7" w:rsidRPr="00D404ED" w:rsidRDefault="00537BE8" w:rsidP="00D404ED">
      <w:pPr>
        <w:pStyle w:val="ListParagraph"/>
        <w:numPr>
          <w:ilvl w:val="0"/>
          <w:numId w:val="5"/>
        </w:numPr>
        <w:jc w:val="both"/>
        <w:rPr>
          <w:rFonts w:ascii="Arial" w:hAnsi="Arial" w:cs="Arial"/>
        </w:rPr>
      </w:pPr>
      <w:r w:rsidRPr="000F3EE7">
        <w:rPr>
          <w:rFonts w:ascii="Arial" w:hAnsi="Arial" w:cs="Arial"/>
        </w:rPr>
        <w:t xml:space="preserve">Trust in the vaccines is </w:t>
      </w:r>
      <w:r w:rsidR="002931B6">
        <w:rPr>
          <w:rFonts w:ascii="Arial" w:hAnsi="Arial" w:cs="Arial"/>
        </w:rPr>
        <w:t xml:space="preserve">reasonably </w:t>
      </w:r>
      <w:r w:rsidRPr="000F3EE7">
        <w:rPr>
          <w:rFonts w:ascii="Arial" w:hAnsi="Arial" w:cs="Arial"/>
        </w:rPr>
        <w:t>high</w:t>
      </w:r>
      <w:r w:rsidR="00F677AC" w:rsidRPr="000F3EE7">
        <w:rPr>
          <w:rFonts w:ascii="Arial" w:hAnsi="Arial" w:cs="Arial"/>
        </w:rPr>
        <w:t>, with</w:t>
      </w:r>
      <w:r w:rsidRPr="000F3EE7">
        <w:rPr>
          <w:rFonts w:ascii="Arial" w:hAnsi="Arial" w:cs="Arial"/>
        </w:rPr>
        <w:t xml:space="preserve"> </w:t>
      </w:r>
      <w:r w:rsidR="00F677AC" w:rsidRPr="000F3EE7">
        <w:rPr>
          <w:rFonts w:ascii="Arial" w:hAnsi="Arial" w:cs="Arial"/>
        </w:rPr>
        <w:t>78% of our survey saying that in general they trust Covid-19 vaccines.</w:t>
      </w:r>
      <w:r w:rsidRPr="000F3EE7">
        <w:rPr>
          <w:rFonts w:ascii="Arial" w:hAnsi="Arial" w:cs="Arial"/>
        </w:rPr>
        <w:t xml:space="preserve"> </w:t>
      </w:r>
      <w:r w:rsidR="00F677AC" w:rsidRPr="000F3EE7">
        <w:rPr>
          <w:rFonts w:ascii="Arial" w:hAnsi="Arial" w:cs="Arial"/>
        </w:rPr>
        <w:t>But</w:t>
      </w:r>
      <w:r w:rsidRPr="000F3EE7">
        <w:rPr>
          <w:rFonts w:ascii="Arial" w:hAnsi="Arial" w:cs="Arial"/>
        </w:rPr>
        <w:t xml:space="preserve"> this means nearly a fifth of residents across the G7 do not trust the vaccines. </w:t>
      </w:r>
      <w:r w:rsidRPr="00D404ED">
        <w:rPr>
          <w:rFonts w:ascii="Arial" w:hAnsi="Arial" w:cs="Arial"/>
        </w:rPr>
        <w:t>Trust</w:t>
      </w:r>
      <w:r w:rsidR="00F677AC" w:rsidRPr="00D404ED">
        <w:rPr>
          <w:rFonts w:ascii="Arial" w:hAnsi="Arial" w:cs="Arial"/>
        </w:rPr>
        <w:t xml:space="preserve"> in the vaccines</w:t>
      </w:r>
      <w:r w:rsidRPr="00D404ED">
        <w:rPr>
          <w:rFonts w:ascii="Arial" w:hAnsi="Arial" w:cs="Arial"/>
        </w:rPr>
        <w:t xml:space="preserve"> is lowest in France (</w:t>
      </w:r>
      <w:r w:rsidR="00F677AC" w:rsidRPr="00D404ED">
        <w:rPr>
          <w:rFonts w:ascii="Arial" w:hAnsi="Arial" w:cs="Arial"/>
        </w:rPr>
        <w:t>6</w:t>
      </w:r>
      <w:r w:rsidRPr="00D404ED">
        <w:rPr>
          <w:rFonts w:ascii="Arial" w:hAnsi="Arial" w:cs="Arial"/>
        </w:rPr>
        <w:t>7</w:t>
      </w:r>
      <w:r w:rsidR="00F677AC" w:rsidRPr="00D404ED">
        <w:rPr>
          <w:rFonts w:ascii="Arial" w:hAnsi="Arial" w:cs="Arial"/>
        </w:rPr>
        <w:t>%</w:t>
      </w:r>
      <w:r w:rsidRPr="00D404ED">
        <w:rPr>
          <w:rFonts w:ascii="Arial" w:hAnsi="Arial" w:cs="Arial"/>
        </w:rPr>
        <w:t>)</w:t>
      </w:r>
      <w:r w:rsidR="00F677AC" w:rsidRPr="00D404ED">
        <w:rPr>
          <w:rFonts w:ascii="Arial" w:hAnsi="Arial" w:cs="Arial"/>
        </w:rPr>
        <w:t xml:space="preserve"> and the US (71%), </w:t>
      </w:r>
      <w:r w:rsidRPr="00D404ED">
        <w:rPr>
          <w:rFonts w:ascii="Arial" w:hAnsi="Arial" w:cs="Arial"/>
        </w:rPr>
        <w:t>with Italy (</w:t>
      </w:r>
      <w:r w:rsidR="00F677AC" w:rsidRPr="00D404ED">
        <w:rPr>
          <w:rFonts w:ascii="Arial" w:hAnsi="Arial" w:cs="Arial"/>
        </w:rPr>
        <w:t>85%</w:t>
      </w:r>
      <w:r w:rsidRPr="00D404ED">
        <w:rPr>
          <w:rFonts w:ascii="Arial" w:hAnsi="Arial" w:cs="Arial"/>
        </w:rPr>
        <w:t>), and the UK (</w:t>
      </w:r>
      <w:r w:rsidR="00F677AC" w:rsidRPr="00D404ED">
        <w:rPr>
          <w:rFonts w:ascii="Arial" w:hAnsi="Arial" w:cs="Arial"/>
        </w:rPr>
        <w:t>85%</w:t>
      </w:r>
      <w:r w:rsidRPr="00D404ED">
        <w:rPr>
          <w:rFonts w:ascii="Arial" w:hAnsi="Arial" w:cs="Arial"/>
        </w:rPr>
        <w:t xml:space="preserve">) </w:t>
      </w:r>
      <w:r w:rsidR="00F677AC" w:rsidRPr="00D404ED">
        <w:rPr>
          <w:rFonts w:ascii="Arial" w:hAnsi="Arial" w:cs="Arial"/>
        </w:rPr>
        <w:t>recording the highest</w:t>
      </w:r>
      <w:r w:rsidRPr="00D404ED">
        <w:rPr>
          <w:rFonts w:ascii="Arial" w:hAnsi="Arial" w:cs="Arial"/>
        </w:rPr>
        <w:t xml:space="preserve"> levels of trust.</w:t>
      </w:r>
      <w:r w:rsidR="00F677AC" w:rsidRPr="00D404ED">
        <w:rPr>
          <w:rFonts w:ascii="Arial" w:hAnsi="Arial" w:cs="Arial"/>
        </w:rPr>
        <w:t xml:space="preserve"> </w:t>
      </w:r>
    </w:p>
    <w:p w14:paraId="41EF34AA" w14:textId="55FE0DBB" w:rsidR="00D404ED" w:rsidRDefault="00D404ED" w:rsidP="00D404ED">
      <w:pPr>
        <w:pStyle w:val="ListParagraph"/>
        <w:numPr>
          <w:ilvl w:val="0"/>
          <w:numId w:val="5"/>
        </w:numPr>
        <w:jc w:val="both"/>
        <w:rPr>
          <w:rFonts w:ascii="Arial" w:hAnsi="Arial" w:cs="Arial"/>
        </w:rPr>
      </w:pPr>
      <w:r>
        <w:rPr>
          <w:rFonts w:ascii="Arial" w:hAnsi="Arial" w:cs="Arial"/>
        </w:rPr>
        <w:t>Women trust the vaccine less than men. Across the G7, 75% of women say they trust in the vaccine compared to 81% of men. Trust amongst women is lowest in France (</w:t>
      </w:r>
      <w:r w:rsidR="002931B6">
        <w:rPr>
          <w:rFonts w:ascii="Arial" w:hAnsi="Arial" w:cs="Arial"/>
        </w:rPr>
        <w:t xml:space="preserve">where only </w:t>
      </w:r>
      <w:r>
        <w:rPr>
          <w:rFonts w:ascii="Arial" w:hAnsi="Arial" w:cs="Arial"/>
        </w:rPr>
        <w:t>62% of women say they trust the vaccine) and the US (65%</w:t>
      </w:r>
      <w:r w:rsidR="002931B6">
        <w:rPr>
          <w:rFonts w:ascii="Arial" w:hAnsi="Arial" w:cs="Arial"/>
        </w:rPr>
        <w:t>)</w:t>
      </w:r>
      <w:r>
        <w:rPr>
          <w:rFonts w:ascii="Arial" w:hAnsi="Arial" w:cs="Arial"/>
        </w:rPr>
        <w:t xml:space="preserve">, and highest in the UK (84%). </w:t>
      </w:r>
    </w:p>
    <w:p w14:paraId="187C1EEB" w14:textId="0F6869C2" w:rsidR="00384AC9" w:rsidRDefault="00F677AC" w:rsidP="00384AC9">
      <w:pPr>
        <w:pStyle w:val="ListParagraph"/>
        <w:numPr>
          <w:ilvl w:val="0"/>
          <w:numId w:val="5"/>
        </w:numPr>
        <w:jc w:val="both"/>
        <w:rPr>
          <w:rFonts w:ascii="Arial" w:hAnsi="Arial" w:cs="Arial"/>
        </w:rPr>
      </w:pPr>
      <w:r w:rsidRPr="000F3EE7">
        <w:rPr>
          <w:rFonts w:ascii="Arial" w:hAnsi="Arial" w:cs="Arial"/>
        </w:rPr>
        <w:t xml:space="preserve">Most people identified </w:t>
      </w:r>
      <w:r w:rsidR="00537BE8" w:rsidRPr="000F3EE7">
        <w:rPr>
          <w:rFonts w:ascii="Arial" w:hAnsi="Arial" w:cs="Arial"/>
        </w:rPr>
        <w:t xml:space="preserve">public health professionals (their doctor or health care provider) as </w:t>
      </w:r>
      <w:r w:rsidRPr="000F3EE7">
        <w:rPr>
          <w:rFonts w:ascii="Arial" w:hAnsi="Arial" w:cs="Arial"/>
        </w:rPr>
        <w:t>the figure</w:t>
      </w:r>
      <w:r w:rsidR="00537BE8" w:rsidRPr="000F3EE7">
        <w:rPr>
          <w:rFonts w:ascii="Arial" w:hAnsi="Arial" w:cs="Arial"/>
        </w:rPr>
        <w:t xml:space="preserve"> they trust</w:t>
      </w:r>
      <w:r w:rsidRPr="000F3EE7">
        <w:rPr>
          <w:rFonts w:ascii="Arial" w:hAnsi="Arial" w:cs="Arial"/>
        </w:rPr>
        <w:t>ed</w:t>
      </w:r>
      <w:r w:rsidR="00537BE8" w:rsidRPr="000F3EE7">
        <w:rPr>
          <w:rFonts w:ascii="Arial" w:hAnsi="Arial" w:cs="Arial"/>
        </w:rPr>
        <w:t xml:space="preserve"> the most to decide whether to have a COVID-19 vaccine or </w:t>
      </w:r>
      <w:r w:rsidRPr="000F3EE7">
        <w:rPr>
          <w:rFonts w:ascii="Arial" w:hAnsi="Arial" w:cs="Arial"/>
        </w:rPr>
        <w:t>a</w:t>
      </w:r>
      <w:r w:rsidR="00537BE8" w:rsidRPr="000F3EE7">
        <w:rPr>
          <w:rFonts w:ascii="Arial" w:hAnsi="Arial" w:cs="Arial"/>
        </w:rPr>
        <w:t xml:space="preserve"> booster</w:t>
      </w:r>
      <w:r w:rsidRPr="000F3EE7">
        <w:rPr>
          <w:rFonts w:ascii="Arial" w:hAnsi="Arial" w:cs="Arial"/>
        </w:rPr>
        <w:t>.</w:t>
      </w:r>
      <w:r w:rsidR="00345DD4">
        <w:rPr>
          <w:rFonts w:ascii="Arial" w:hAnsi="Arial" w:cs="Arial"/>
        </w:rPr>
        <w:t xml:space="preserve"> This was particularly true for older respondents (83% of those aged 65+ selected a public health messenger)</w:t>
      </w:r>
      <w:r w:rsidR="00246D40">
        <w:rPr>
          <w:rFonts w:ascii="Arial" w:hAnsi="Arial" w:cs="Arial"/>
        </w:rPr>
        <w:t>. Younger people were more likely than older people to choose local messengers as the figures they would trust the most (</w:t>
      </w:r>
      <w:r w:rsidR="00345DD4">
        <w:rPr>
          <w:rFonts w:ascii="Arial" w:hAnsi="Arial" w:cs="Arial"/>
        </w:rPr>
        <w:t xml:space="preserve">26% of </w:t>
      </w:r>
      <w:proofErr w:type="gramStart"/>
      <w:r w:rsidR="00345DD4">
        <w:rPr>
          <w:rFonts w:ascii="Arial" w:hAnsi="Arial" w:cs="Arial"/>
        </w:rPr>
        <w:t>18-24</w:t>
      </w:r>
      <w:r w:rsidR="00547E6F">
        <w:rPr>
          <w:rFonts w:ascii="Arial" w:hAnsi="Arial" w:cs="Arial"/>
        </w:rPr>
        <w:t>-</w:t>
      </w:r>
      <w:r w:rsidR="00345DD4">
        <w:rPr>
          <w:rFonts w:ascii="Arial" w:hAnsi="Arial" w:cs="Arial"/>
        </w:rPr>
        <w:t>year olds</w:t>
      </w:r>
      <w:proofErr w:type="gramEnd"/>
      <w:r w:rsidR="00246D40">
        <w:rPr>
          <w:rFonts w:ascii="Arial" w:hAnsi="Arial" w:cs="Arial"/>
        </w:rPr>
        <w:t>).</w:t>
      </w:r>
    </w:p>
    <w:p w14:paraId="4E135654" w14:textId="13BA00FA" w:rsidR="00CA0178" w:rsidRDefault="002931B6" w:rsidP="004C1C8A">
      <w:pPr>
        <w:pStyle w:val="ListParagraph"/>
        <w:numPr>
          <w:ilvl w:val="0"/>
          <w:numId w:val="5"/>
        </w:numPr>
        <w:jc w:val="both"/>
        <w:rPr>
          <w:rFonts w:ascii="Arial" w:hAnsi="Arial" w:cs="Arial"/>
        </w:rPr>
      </w:pPr>
      <w:r>
        <w:rPr>
          <w:rFonts w:ascii="Arial" w:hAnsi="Arial" w:cs="Arial"/>
        </w:rPr>
        <w:t xml:space="preserve">Being a parent </w:t>
      </w:r>
      <w:r w:rsidR="004C1C8A">
        <w:rPr>
          <w:rFonts w:ascii="Arial" w:hAnsi="Arial" w:cs="Arial"/>
        </w:rPr>
        <w:t>appears to be</w:t>
      </w:r>
      <w:r>
        <w:rPr>
          <w:rFonts w:ascii="Arial" w:hAnsi="Arial" w:cs="Arial"/>
        </w:rPr>
        <w:t xml:space="preserve"> </w:t>
      </w:r>
      <w:r w:rsidR="004C1C8A">
        <w:rPr>
          <w:rFonts w:ascii="Arial" w:hAnsi="Arial" w:cs="Arial"/>
        </w:rPr>
        <w:t xml:space="preserve">slightly but </w:t>
      </w:r>
      <w:r>
        <w:rPr>
          <w:rFonts w:ascii="Arial" w:hAnsi="Arial" w:cs="Arial"/>
        </w:rPr>
        <w:t xml:space="preserve">negatively associated with trust in the vaccine overall. </w:t>
      </w:r>
      <w:r w:rsidR="00287D52">
        <w:rPr>
          <w:rFonts w:ascii="Arial" w:hAnsi="Arial" w:cs="Arial"/>
        </w:rPr>
        <w:t xml:space="preserve">However, parents are more likely to have received at least one vaccination. </w:t>
      </w:r>
      <w:r w:rsidR="008D01EA">
        <w:rPr>
          <w:rFonts w:ascii="Arial" w:hAnsi="Arial" w:cs="Arial"/>
        </w:rPr>
        <w:t xml:space="preserve">Together, our </w:t>
      </w:r>
      <w:r w:rsidR="00287D52">
        <w:rPr>
          <w:rFonts w:ascii="Arial" w:hAnsi="Arial" w:cs="Arial"/>
        </w:rPr>
        <w:t>finding</w:t>
      </w:r>
      <w:r w:rsidR="008D01EA">
        <w:rPr>
          <w:rFonts w:ascii="Arial" w:hAnsi="Arial" w:cs="Arial"/>
        </w:rPr>
        <w:t>s</w:t>
      </w:r>
      <w:r w:rsidR="004C1C8A">
        <w:rPr>
          <w:rFonts w:ascii="Arial" w:hAnsi="Arial" w:cs="Arial"/>
        </w:rPr>
        <w:t xml:space="preserve"> might indicate </w:t>
      </w:r>
      <w:r w:rsidR="008D01EA">
        <w:rPr>
          <w:rFonts w:ascii="Arial" w:hAnsi="Arial" w:cs="Arial"/>
        </w:rPr>
        <w:t>that vaccination decisions for children require different (and more) deliberation than a vaccination decision for themselves. This warrants</w:t>
      </w:r>
      <w:r w:rsidR="00287D52">
        <w:rPr>
          <w:rFonts w:ascii="Arial" w:hAnsi="Arial" w:cs="Arial"/>
        </w:rPr>
        <w:t xml:space="preserve"> </w:t>
      </w:r>
      <w:r w:rsidR="00DC4159">
        <w:rPr>
          <w:rFonts w:ascii="Arial" w:hAnsi="Arial" w:cs="Arial"/>
        </w:rPr>
        <w:t xml:space="preserve">consideration of </w:t>
      </w:r>
      <w:r w:rsidR="00287D52">
        <w:rPr>
          <w:rFonts w:ascii="Arial" w:hAnsi="Arial" w:cs="Arial"/>
        </w:rPr>
        <w:t xml:space="preserve">careful health communications </w:t>
      </w:r>
      <w:r w:rsidR="008D01EA">
        <w:rPr>
          <w:rFonts w:ascii="Arial" w:hAnsi="Arial" w:cs="Arial"/>
        </w:rPr>
        <w:t>for</w:t>
      </w:r>
      <w:r w:rsidR="00287D52">
        <w:rPr>
          <w:rFonts w:ascii="Arial" w:hAnsi="Arial" w:cs="Arial"/>
        </w:rPr>
        <w:t xml:space="preserve"> parents</w:t>
      </w:r>
      <w:r w:rsidR="008D01EA">
        <w:rPr>
          <w:rFonts w:ascii="Arial" w:hAnsi="Arial" w:cs="Arial"/>
        </w:rPr>
        <w:t xml:space="preserve">. </w:t>
      </w:r>
    </w:p>
    <w:p w14:paraId="5156F3CA" w14:textId="08660D27" w:rsidR="002931B6" w:rsidRPr="004C1C8A" w:rsidRDefault="004C1C8A" w:rsidP="00DF5407">
      <w:pPr>
        <w:pStyle w:val="ListParagraph"/>
        <w:ind w:left="360"/>
        <w:jc w:val="both"/>
        <w:rPr>
          <w:rFonts w:ascii="Arial" w:hAnsi="Arial" w:cs="Arial"/>
        </w:rPr>
      </w:pPr>
      <w:r>
        <w:rPr>
          <w:rFonts w:ascii="Arial" w:hAnsi="Arial" w:cs="Arial"/>
        </w:rPr>
        <w:t xml:space="preserve"> </w:t>
      </w:r>
    </w:p>
    <w:p w14:paraId="69AC2B64" w14:textId="77777777" w:rsidR="00547E6F" w:rsidRDefault="00547E6F" w:rsidP="00DF5407">
      <w:pPr>
        <w:jc w:val="both"/>
        <w:rPr>
          <w:rFonts w:ascii="Arial" w:hAnsi="Arial" w:cs="Arial"/>
        </w:rPr>
      </w:pPr>
    </w:p>
    <w:p w14:paraId="5CF08C4F" w14:textId="77777777" w:rsidR="004212A9" w:rsidRDefault="004212A9" w:rsidP="00DF5407">
      <w:pPr>
        <w:jc w:val="both"/>
        <w:rPr>
          <w:rFonts w:ascii="Arial" w:hAnsi="Arial" w:cs="Arial"/>
        </w:rPr>
      </w:pPr>
    </w:p>
    <w:p w14:paraId="04B3A419" w14:textId="00BC9018" w:rsidR="00537BE8" w:rsidRDefault="00CA0178" w:rsidP="00DF5407">
      <w:pPr>
        <w:jc w:val="both"/>
        <w:rPr>
          <w:rFonts w:ascii="Arial" w:hAnsi="Arial" w:cs="Arial"/>
        </w:rPr>
      </w:pPr>
      <w:r>
        <w:rPr>
          <w:rFonts w:ascii="Arial" w:hAnsi="Arial" w:cs="Arial"/>
        </w:rPr>
        <w:t>Figure 4</w:t>
      </w:r>
    </w:p>
    <w:p w14:paraId="33D8F045" w14:textId="24864782" w:rsidR="00547E6F" w:rsidRDefault="00547E6F" w:rsidP="00DF5407">
      <w:pPr>
        <w:jc w:val="both"/>
        <w:rPr>
          <w:rFonts w:ascii="Arial" w:hAnsi="Arial" w:cs="Arial"/>
        </w:rPr>
      </w:pPr>
    </w:p>
    <w:p w14:paraId="4E7201CB" w14:textId="77777777" w:rsidR="00547E6F" w:rsidRPr="00DF5407" w:rsidRDefault="00547E6F" w:rsidP="00DF5407">
      <w:pPr>
        <w:jc w:val="both"/>
        <w:rPr>
          <w:rFonts w:ascii="Arial" w:hAnsi="Arial" w:cs="Arial"/>
        </w:rPr>
      </w:pPr>
    </w:p>
    <w:p w14:paraId="2CABB6E6" w14:textId="70327A04" w:rsidR="00CA0178" w:rsidRDefault="00CA0178" w:rsidP="00DF5407">
      <w:pPr>
        <w:pStyle w:val="ListParagraph"/>
        <w:jc w:val="center"/>
        <w:rPr>
          <w:rFonts w:ascii="Arial" w:hAnsi="Arial" w:cs="Arial"/>
        </w:rPr>
      </w:pPr>
      <w:r>
        <w:rPr>
          <w:noProof/>
        </w:rPr>
        <w:drawing>
          <wp:inline distT="0" distB="0" distL="0" distR="0" wp14:anchorId="6798CC1B" wp14:editId="43F9A2EB">
            <wp:extent cx="4292600" cy="2091266"/>
            <wp:effectExtent l="0" t="0" r="12700" b="17145"/>
            <wp:docPr id="12" name="Chart 12">
              <a:extLst xmlns:a="http://schemas.openxmlformats.org/drawingml/2006/main">
                <a:ext uri="{FF2B5EF4-FFF2-40B4-BE49-F238E27FC236}">
                  <a16:creationId xmlns:a16="http://schemas.microsoft.com/office/drawing/2014/main" id="{876830F2-47B2-3E4F-BB99-29333D457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7FDD6B" w14:textId="77777777" w:rsidR="00CA0178" w:rsidRDefault="00CA0178" w:rsidP="000F3EE7">
      <w:pPr>
        <w:pStyle w:val="ListParagraph"/>
        <w:jc w:val="both"/>
        <w:rPr>
          <w:rFonts w:ascii="Arial" w:hAnsi="Arial" w:cs="Arial"/>
        </w:rPr>
      </w:pPr>
    </w:p>
    <w:p w14:paraId="25369E89" w14:textId="63E2CE66" w:rsidR="00CA0178" w:rsidRDefault="00CA0178" w:rsidP="00C164C0">
      <w:pPr>
        <w:jc w:val="both"/>
        <w:rPr>
          <w:rFonts w:ascii="Arial" w:hAnsi="Arial" w:cs="Arial"/>
          <w:b/>
          <w:bCs/>
          <w:i/>
          <w:iCs/>
          <w:color w:val="2F5496" w:themeColor="accent1" w:themeShade="BF"/>
        </w:rPr>
      </w:pPr>
    </w:p>
    <w:p w14:paraId="4155CEB7" w14:textId="77777777" w:rsidR="00547E6F" w:rsidRDefault="00547E6F" w:rsidP="00DF5407">
      <w:pPr>
        <w:jc w:val="both"/>
        <w:rPr>
          <w:rFonts w:ascii="Arial" w:hAnsi="Arial" w:cs="Arial"/>
          <w:b/>
          <w:bCs/>
          <w:i/>
          <w:iCs/>
          <w:color w:val="2F5496" w:themeColor="accent1" w:themeShade="BF"/>
        </w:rPr>
      </w:pPr>
    </w:p>
    <w:p w14:paraId="6805C77F" w14:textId="77777777" w:rsidR="00546817" w:rsidRDefault="00546817" w:rsidP="00DF5407">
      <w:pPr>
        <w:jc w:val="both"/>
        <w:rPr>
          <w:rFonts w:ascii="Arial" w:hAnsi="Arial" w:cs="Arial"/>
          <w:b/>
          <w:bCs/>
          <w:i/>
          <w:iCs/>
          <w:color w:val="2F5496" w:themeColor="accent1" w:themeShade="BF"/>
        </w:rPr>
      </w:pPr>
    </w:p>
    <w:p w14:paraId="20192583" w14:textId="77777777" w:rsidR="00546817" w:rsidRDefault="00546817" w:rsidP="00DF5407">
      <w:pPr>
        <w:jc w:val="both"/>
        <w:rPr>
          <w:rFonts w:ascii="Arial" w:hAnsi="Arial" w:cs="Arial"/>
          <w:b/>
          <w:bCs/>
          <w:i/>
          <w:iCs/>
          <w:color w:val="2F5496" w:themeColor="accent1" w:themeShade="BF"/>
        </w:rPr>
      </w:pPr>
    </w:p>
    <w:p w14:paraId="255AFF3B" w14:textId="77777777" w:rsidR="00546817" w:rsidRDefault="00546817" w:rsidP="00DF5407">
      <w:pPr>
        <w:jc w:val="both"/>
        <w:rPr>
          <w:rFonts w:ascii="Arial" w:hAnsi="Arial" w:cs="Arial"/>
          <w:b/>
          <w:bCs/>
          <w:i/>
          <w:iCs/>
          <w:color w:val="2F5496" w:themeColor="accent1" w:themeShade="BF"/>
        </w:rPr>
      </w:pPr>
    </w:p>
    <w:p w14:paraId="6D8C57C1" w14:textId="77777777" w:rsidR="00546817" w:rsidRDefault="00546817" w:rsidP="00DF5407">
      <w:pPr>
        <w:jc w:val="both"/>
        <w:rPr>
          <w:rFonts w:ascii="Arial" w:hAnsi="Arial" w:cs="Arial"/>
          <w:b/>
          <w:bCs/>
          <w:i/>
          <w:iCs/>
          <w:color w:val="2F5496" w:themeColor="accent1" w:themeShade="BF"/>
        </w:rPr>
      </w:pPr>
    </w:p>
    <w:p w14:paraId="39F249BE" w14:textId="77777777" w:rsidR="00546817" w:rsidRDefault="00546817" w:rsidP="00DF5407">
      <w:pPr>
        <w:jc w:val="both"/>
        <w:rPr>
          <w:rFonts w:ascii="Arial" w:hAnsi="Arial" w:cs="Arial"/>
          <w:b/>
          <w:bCs/>
          <w:i/>
          <w:iCs/>
          <w:color w:val="2F5496" w:themeColor="accent1" w:themeShade="BF"/>
        </w:rPr>
      </w:pPr>
    </w:p>
    <w:p w14:paraId="722C6311" w14:textId="77777777" w:rsidR="00546817" w:rsidRDefault="00546817" w:rsidP="00DF5407">
      <w:pPr>
        <w:jc w:val="both"/>
        <w:rPr>
          <w:rFonts w:ascii="Arial" w:hAnsi="Arial" w:cs="Arial"/>
          <w:b/>
          <w:bCs/>
          <w:i/>
          <w:iCs/>
          <w:color w:val="2F5496" w:themeColor="accent1" w:themeShade="BF"/>
        </w:rPr>
      </w:pPr>
    </w:p>
    <w:p w14:paraId="023B3770" w14:textId="77777777" w:rsidR="00546817" w:rsidRDefault="00546817" w:rsidP="00DF5407">
      <w:pPr>
        <w:jc w:val="both"/>
        <w:rPr>
          <w:rFonts w:ascii="Arial" w:hAnsi="Arial" w:cs="Arial"/>
          <w:b/>
          <w:bCs/>
          <w:i/>
          <w:iCs/>
          <w:color w:val="2F5496" w:themeColor="accent1" w:themeShade="BF"/>
        </w:rPr>
      </w:pPr>
    </w:p>
    <w:p w14:paraId="368E2D79" w14:textId="34CA8660" w:rsidR="00DF5407" w:rsidRDefault="00DF5407" w:rsidP="00DF5407">
      <w:pPr>
        <w:jc w:val="both"/>
        <w:rPr>
          <w:rFonts w:ascii="Arial" w:hAnsi="Arial" w:cs="Arial"/>
          <w:b/>
          <w:bCs/>
          <w:i/>
          <w:iCs/>
          <w:color w:val="2F5496" w:themeColor="accent1" w:themeShade="BF"/>
        </w:rPr>
      </w:pPr>
      <w:r w:rsidRPr="00DF5407">
        <w:rPr>
          <w:rFonts w:ascii="Arial" w:hAnsi="Arial" w:cs="Arial"/>
          <w:b/>
          <w:bCs/>
          <w:i/>
          <w:iCs/>
          <w:color w:val="2F5496" w:themeColor="accent1" w:themeShade="BF"/>
        </w:rPr>
        <w:t>Political beliefs and perceptions</w:t>
      </w:r>
    </w:p>
    <w:p w14:paraId="0773394D" w14:textId="77777777" w:rsidR="00DF5407" w:rsidRPr="00DF5407" w:rsidRDefault="00DF5407" w:rsidP="00DF5407">
      <w:pPr>
        <w:jc w:val="both"/>
        <w:rPr>
          <w:rFonts w:ascii="Arial" w:hAnsi="Arial" w:cs="Arial"/>
          <w:color w:val="2F5496" w:themeColor="accent1" w:themeShade="BF"/>
        </w:rPr>
      </w:pPr>
    </w:p>
    <w:p w14:paraId="6A69F73E" w14:textId="77777777" w:rsidR="00DF5407" w:rsidRDefault="00DF5407" w:rsidP="00DF5407">
      <w:pPr>
        <w:pStyle w:val="ListParagraph"/>
        <w:numPr>
          <w:ilvl w:val="0"/>
          <w:numId w:val="4"/>
        </w:numPr>
        <w:jc w:val="both"/>
        <w:rPr>
          <w:rFonts w:ascii="Arial" w:hAnsi="Arial" w:cs="Arial"/>
        </w:rPr>
      </w:pPr>
      <w:r>
        <w:rPr>
          <w:rFonts w:ascii="Arial" w:hAnsi="Arial" w:cs="Arial"/>
        </w:rPr>
        <w:t xml:space="preserve">Political beliefs are significantly associated with trust in the vaccine and vaccination status. </w:t>
      </w:r>
    </w:p>
    <w:p w14:paraId="7E3EEF2B" w14:textId="77777777" w:rsidR="00DF5407" w:rsidRDefault="00DF5407" w:rsidP="00DF5407">
      <w:pPr>
        <w:pStyle w:val="ListParagraph"/>
        <w:numPr>
          <w:ilvl w:val="0"/>
          <w:numId w:val="4"/>
        </w:numPr>
        <w:jc w:val="both"/>
        <w:rPr>
          <w:rFonts w:ascii="Arial" w:hAnsi="Arial" w:cs="Arial"/>
        </w:rPr>
      </w:pPr>
      <w:r>
        <w:rPr>
          <w:rFonts w:ascii="Arial" w:hAnsi="Arial" w:cs="Arial"/>
        </w:rPr>
        <w:t xml:space="preserve">Those who trust the vaccine are more likely to score themselves on the left of a left-right political spectrum. </w:t>
      </w:r>
    </w:p>
    <w:p w14:paraId="4F6A492B" w14:textId="77777777" w:rsidR="00DF5407" w:rsidRDefault="00DF5407" w:rsidP="00DF5407">
      <w:pPr>
        <w:pStyle w:val="ListParagraph"/>
        <w:numPr>
          <w:ilvl w:val="0"/>
          <w:numId w:val="4"/>
        </w:numPr>
        <w:jc w:val="both"/>
        <w:rPr>
          <w:rFonts w:ascii="Arial" w:hAnsi="Arial" w:cs="Arial"/>
        </w:rPr>
      </w:pPr>
      <w:r>
        <w:rPr>
          <w:rFonts w:ascii="Arial" w:hAnsi="Arial" w:cs="Arial"/>
        </w:rPr>
        <w:t>Those who are unvaccinated are more likely to score themselves on the right of a left-right political spectrum.</w:t>
      </w:r>
    </w:p>
    <w:p w14:paraId="3B85DCE6" w14:textId="47B80F44" w:rsidR="00DF5407" w:rsidRDefault="00DF5407" w:rsidP="00DF5407">
      <w:pPr>
        <w:pStyle w:val="ListParagraph"/>
        <w:numPr>
          <w:ilvl w:val="0"/>
          <w:numId w:val="4"/>
        </w:numPr>
        <w:jc w:val="both"/>
        <w:rPr>
          <w:rFonts w:ascii="Arial" w:hAnsi="Arial" w:cs="Arial"/>
        </w:rPr>
      </w:pPr>
      <w:r>
        <w:rPr>
          <w:rFonts w:ascii="Arial" w:hAnsi="Arial" w:cs="Arial"/>
        </w:rPr>
        <w:t>Those who believe their community is likely to be ignored by politicians are less likely to trust Covid-19 vaccines and are less likely to be vaccinated.</w:t>
      </w:r>
    </w:p>
    <w:p w14:paraId="19783B13" w14:textId="77777777" w:rsidR="00DF5407" w:rsidRDefault="00DF5407" w:rsidP="00DF5407">
      <w:pPr>
        <w:jc w:val="both"/>
        <w:rPr>
          <w:rFonts w:ascii="Arial" w:hAnsi="Arial" w:cs="Arial"/>
          <w:b/>
          <w:bCs/>
          <w:i/>
          <w:iCs/>
          <w:color w:val="2F5496" w:themeColor="accent1" w:themeShade="BF"/>
          <w:highlight w:val="yellow"/>
        </w:rPr>
      </w:pPr>
    </w:p>
    <w:p w14:paraId="0F151332" w14:textId="77777777" w:rsidR="00DF5407" w:rsidRDefault="00DF5407" w:rsidP="00C164C0">
      <w:pPr>
        <w:jc w:val="both"/>
        <w:rPr>
          <w:rFonts w:ascii="Arial" w:hAnsi="Arial" w:cs="Arial"/>
          <w:b/>
          <w:bCs/>
          <w:i/>
          <w:iCs/>
          <w:color w:val="2F5496" w:themeColor="accent1" w:themeShade="BF"/>
        </w:rPr>
      </w:pPr>
    </w:p>
    <w:p w14:paraId="071BBB82" w14:textId="77777777" w:rsidR="00547E6F" w:rsidRDefault="00547E6F" w:rsidP="00C164C0">
      <w:pPr>
        <w:jc w:val="both"/>
        <w:rPr>
          <w:rFonts w:ascii="Arial" w:hAnsi="Arial" w:cs="Arial"/>
          <w:b/>
          <w:bCs/>
          <w:i/>
          <w:iCs/>
          <w:color w:val="2F5496" w:themeColor="accent1" w:themeShade="BF"/>
        </w:rPr>
      </w:pPr>
    </w:p>
    <w:p w14:paraId="512DA0CB" w14:textId="77777777" w:rsidR="00547E6F" w:rsidRDefault="00547E6F" w:rsidP="00C164C0">
      <w:pPr>
        <w:jc w:val="both"/>
        <w:rPr>
          <w:rFonts w:ascii="Arial" w:hAnsi="Arial" w:cs="Arial"/>
          <w:b/>
          <w:bCs/>
          <w:i/>
          <w:iCs/>
          <w:color w:val="2F5496" w:themeColor="accent1" w:themeShade="BF"/>
        </w:rPr>
      </w:pPr>
    </w:p>
    <w:p w14:paraId="03A60EB0" w14:textId="308254A2" w:rsidR="000F3EE7" w:rsidRPr="000F3EE7" w:rsidRDefault="000F3EE7" w:rsidP="00C164C0">
      <w:pPr>
        <w:jc w:val="both"/>
        <w:rPr>
          <w:rFonts w:ascii="Arial" w:hAnsi="Arial" w:cs="Arial"/>
          <w:color w:val="2F5496" w:themeColor="accent1" w:themeShade="BF"/>
        </w:rPr>
      </w:pPr>
      <w:r>
        <w:rPr>
          <w:rFonts w:ascii="Arial" w:hAnsi="Arial" w:cs="Arial"/>
          <w:b/>
          <w:bCs/>
          <w:i/>
          <w:iCs/>
          <w:color w:val="2F5496" w:themeColor="accent1" w:themeShade="BF"/>
        </w:rPr>
        <w:t>Media</w:t>
      </w:r>
    </w:p>
    <w:p w14:paraId="56CFF991" w14:textId="77777777" w:rsidR="000F3EE7" w:rsidRDefault="000F3EE7" w:rsidP="00C164C0">
      <w:pPr>
        <w:pStyle w:val="ListParagraph"/>
        <w:jc w:val="both"/>
        <w:rPr>
          <w:rFonts w:ascii="Arial" w:hAnsi="Arial" w:cs="Arial"/>
        </w:rPr>
      </w:pPr>
    </w:p>
    <w:p w14:paraId="454B135C" w14:textId="7B78FFAD" w:rsidR="000F3EE7" w:rsidRDefault="00537BE8" w:rsidP="00C164C0">
      <w:pPr>
        <w:pStyle w:val="ListParagraph"/>
        <w:numPr>
          <w:ilvl w:val="0"/>
          <w:numId w:val="4"/>
        </w:numPr>
        <w:jc w:val="both"/>
        <w:rPr>
          <w:rFonts w:ascii="Arial" w:hAnsi="Arial" w:cs="Arial"/>
        </w:rPr>
      </w:pPr>
      <w:r>
        <w:rPr>
          <w:rFonts w:ascii="Arial" w:hAnsi="Arial" w:cs="Arial"/>
        </w:rPr>
        <w:t>A</w:t>
      </w:r>
      <w:r w:rsidRPr="005453E1">
        <w:rPr>
          <w:rFonts w:ascii="Arial" w:hAnsi="Arial" w:cs="Arial"/>
        </w:rPr>
        <w:t xml:space="preserve"> large majority (</w:t>
      </w:r>
      <w:r w:rsidR="000F3EE7">
        <w:rPr>
          <w:rFonts w:ascii="Arial" w:hAnsi="Arial" w:cs="Arial"/>
        </w:rPr>
        <w:t>81%</w:t>
      </w:r>
      <w:r w:rsidRPr="005453E1">
        <w:rPr>
          <w:rFonts w:ascii="Arial" w:hAnsi="Arial" w:cs="Arial"/>
        </w:rPr>
        <w:t xml:space="preserve">) across the G7 </w:t>
      </w:r>
      <w:r w:rsidR="000F3EE7">
        <w:rPr>
          <w:rFonts w:ascii="Arial" w:hAnsi="Arial" w:cs="Arial"/>
        </w:rPr>
        <w:t>used conventional sources such as radio, newspapers</w:t>
      </w:r>
      <w:r w:rsidR="008919C6">
        <w:rPr>
          <w:rFonts w:ascii="Arial" w:hAnsi="Arial" w:cs="Arial"/>
        </w:rPr>
        <w:t>,</w:t>
      </w:r>
      <w:r w:rsidR="000F3EE7">
        <w:rPr>
          <w:rFonts w:ascii="Arial" w:hAnsi="Arial" w:cs="Arial"/>
        </w:rPr>
        <w:t xml:space="preserve"> and television as their</w:t>
      </w:r>
      <w:r w:rsidRPr="005453E1">
        <w:rPr>
          <w:rFonts w:ascii="Arial" w:hAnsi="Arial" w:cs="Arial"/>
        </w:rPr>
        <w:t xml:space="preserve"> primary </w:t>
      </w:r>
      <w:r w:rsidR="000F3EE7" w:rsidRPr="005453E1">
        <w:rPr>
          <w:rFonts w:ascii="Arial" w:hAnsi="Arial" w:cs="Arial"/>
        </w:rPr>
        <w:t xml:space="preserve">news </w:t>
      </w:r>
      <w:r w:rsidRPr="005453E1">
        <w:rPr>
          <w:rFonts w:ascii="Arial" w:hAnsi="Arial" w:cs="Arial"/>
        </w:rPr>
        <w:t xml:space="preserve">source on the coronavirus. </w:t>
      </w:r>
    </w:p>
    <w:p w14:paraId="1EF5C833" w14:textId="411A7E03" w:rsidR="000F3EE7" w:rsidRDefault="000F3EE7" w:rsidP="00C164C0">
      <w:pPr>
        <w:pStyle w:val="ListParagraph"/>
        <w:numPr>
          <w:ilvl w:val="0"/>
          <w:numId w:val="4"/>
        </w:numPr>
        <w:jc w:val="both"/>
        <w:rPr>
          <w:rFonts w:ascii="Arial" w:hAnsi="Arial" w:cs="Arial"/>
        </w:rPr>
      </w:pPr>
      <w:r>
        <w:rPr>
          <w:rFonts w:ascii="Arial" w:hAnsi="Arial" w:cs="Arial"/>
        </w:rPr>
        <w:t xml:space="preserve">But a sizeable minority of people relied on </w:t>
      </w:r>
      <w:r w:rsidR="00537BE8" w:rsidRPr="005453E1">
        <w:rPr>
          <w:rFonts w:ascii="Arial" w:hAnsi="Arial" w:cs="Arial"/>
        </w:rPr>
        <w:t>social media</w:t>
      </w:r>
      <w:r>
        <w:rPr>
          <w:rFonts w:ascii="Arial" w:hAnsi="Arial" w:cs="Arial"/>
        </w:rPr>
        <w:t xml:space="preserve"> as their primary news source, including platforms like Whatsapp. </w:t>
      </w:r>
      <w:r w:rsidR="0090170B">
        <w:rPr>
          <w:rFonts w:ascii="Arial" w:hAnsi="Arial" w:cs="Arial"/>
        </w:rPr>
        <w:t xml:space="preserve">This trend was more pronounced in the US and Canada </w:t>
      </w:r>
      <w:r w:rsidR="008D01EA">
        <w:rPr>
          <w:rFonts w:ascii="Arial" w:hAnsi="Arial" w:cs="Arial"/>
        </w:rPr>
        <w:t>(see Figure 5).</w:t>
      </w:r>
      <w:r w:rsidR="0090170B">
        <w:rPr>
          <w:rFonts w:ascii="Arial" w:hAnsi="Arial" w:cs="Arial"/>
        </w:rPr>
        <w:t xml:space="preserve"> </w:t>
      </w:r>
    </w:p>
    <w:p w14:paraId="50B4F6CD" w14:textId="4534359E" w:rsidR="00547E6F" w:rsidRDefault="00547E6F" w:rsidP="00547E6F">
      <w:pPr>
        <w:pStyle w:val="ListParagraph"/>
        <w:numPr>
          <w:ilvl w:val="0"/>
          <w:numId w:val="4"/>
        </w:numPr>
        <w:jc w:val="both"/>
        <w:rPr>
          <w:rFonts w:ascii="Arial" w:hAnsi="Arial" w:cs="Arial"/>
        </w:rPr>
      </w:pPr>
      <w:r>
        <w:rPr>
          <w:rFonts w:ascii="Arial" w:hAnsi="Arial" w:cs="Arial"/>
        </w:rPr>
        <w:t>Rel</w:t>
      </w:r>
      <w:r w:rsidR="006E67E0">
        <w:rPr>
          <w:rFonts w:ascii="Arial" w:hAnsi="Arial" w:cs="Arial"/>
        </w:rPr>
        <w:t>ying</w:t>
      </w:r>
      <w:r>
        <w:rPr>
          <w:rFonts w:ascii="Arial" w:hAnsi="Arial" w:cs="Arial"/>
        </w:rPr>
        <w:t xml:space="preserve"> on social media as the primary source of Covid-19 news is negatively associated with vaccination status</w:t>
      </w:r>
      <w:r w:rsidR="004212A9">
        <w:rPr>
          <w:rFonts w:ascii="Arial" w:hAnsi="Arial" w:cs="Arial"/>
        </w:rPr>
        <w:t xml:space="preserve"> and</w:t>
      </w:r>
      <w:r>
        <w:rPr>
          <w:rFonts w:ascii="Arial" w:hAnsi="Arial" w:cs="Arial"/>
        </w:rPr>
        <w:t xml:space="preserve"> levels of trust in the vaccine.</w:t>
      </w:r>
    </w:p>
    <w:p w14:paraId="3061E136" w14:textId="77777777" w:rsidR="004212A9" w:rsidRDefault="004212A9" w:rsidP="004212A9">
      <w:pPr>
        <w:pStyle w:val="ListParagraph"/>
        <w:ind w:left="360"/>
        <w:jc w:val="both"/>
        <w:rPr>
          <w:rFonts w:ascii="Arial" w:hAnsi="Arial" w:cs="Arial"/>
        </w:rPr>
      </w:pPr>
    </w:p>
    <w:p w14:paraId="7AAB032F" w14:textId="744330D3" w:rsidR="00537BE8" w:rsidRDefault="00537BE8" w:rsidP="00547E6F">
      <w:pPr>
        <w:pStyle w:val="ListParagraph"/>
        <w:ind w:left="360"/>
        <w:jc w:val="both"/>
        <w:rPr>
          <w:rFonts w:ascii="Arial" w:hAnsi="Arial" w:cs="Arial"/>
        </w:rPr>
      </w:pPr>
    </w:p>
    <w:p w14:paraId="739F7A7C" w14:textId="77777777" w:rsidR="008D01EA" w:rsidRPr="0090170B" w:rsidRDefault="008D01EA" w:rsidP="00DF5407">
      <w:pPr>
        <w:pStyle w:val="ListParagraph"/>
        <w:ind w:left="360"/>
        <w:jc w:val="both"/>
        <w:rPr>
          <w:rFonts w:ascii="Arial" w:hAnsi="Arial" w:cs="Arial"/>
        </w:rPr>
      </w:pPr>
    </w:p>
    <w:p w14:paraId="2A43C40A" w14:textId="015066E6" w:rsidR="00C164C0" w:rsidRDefault="008D01EA" w:rsidP="00C164C0">
      <w:pPr>
        <w:jc w:val="both"/>
        <w:rPr>
          <w:rFonts w:ascii="Arial" w:hAnsi="Arial" w:cs="Arial"/>
        </w:rPr>
      </w:pPr>
      <w:r>
        <w:rPr>
          <w:rFonts w:ascii="Arial" w:hAnsi="Arial" w:cs="Arial"/>
        </w:rPr>
        <w:t>Figure 5</w:t>
      </w:r>
    </w:p>
    <w:p w14:paraId="04883AAF" w14:textId="77777777" w:rsidR="00546817" w:rsidRDefault="00546817" w:rsidP="00C164C0">
      <w:pPr>
        <w:jc w:val="both"/>
        <w:rPr>
          <w:rFonts w:ascii="Arial" w:hAnsi="Arial" w:cs="Arial"/>
        </w:rPr>
      </w:pPr>
    </w:p>
    <w:p w14:paraId="57153877" w14:textId="1FDC6A36" w:rsidR="00C164C0" w:rsidRPr="00C164C0" w:rsidRDefault="008D01EA" w:rsidP="00DF5407">
      <w:pPr>
        <w:jc w:val="center"/>
        <w:rPr>
          <w:rFonts w:ascii="Arial" w:hAnsi="Arial" w:cs="Arial"/>
        </w:rPr>
      </w:pPr>
      <w:r>
        <w:rPr>
          <w:noProof/>
        </w:rPr>
        <w:drawing>
          <wp:inline distT="0" distB="0" distL="0" distR="0" wp14:anchorId="50239F5C" wp14:editId="2C51C876">
            <wp:extent cx="4555067" cy="2438400"/>
            <wp:effectExtent l="0" t="0" r="17145" b="12700"/>
            <wp:docPr id="2" name="Chart 2">
              <a:extLst xmlns:a="http://schemas.openxmlformats.org/drawingml/2006/main">
                <a:ext uri="{FF2B5EF4-FFF2-40B4-BE49-F238E27FC236}">
                  <a16:creationId xmlns:a16="http://schemas.microsoft.com/office/drawing/2014/main" id="{056DE97C-7B79-694F-AA2B-D726C12E28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A61372" w14:textId="4F2F9A0F" w:rsidR="00537BE8" w:rsidRDefault="00537BE8" w:rsidP="00DB6F17">
      <w:pPr>
        <w:jc w:val="both"/>
        <w:rPr>
          <w:rFonts w:ascii="Arial" w:hAnsi="Arial" w:cs="Arial"/>
        </w:rPr>
      </w:pPr>
    </w:p>
    <w:p w14:paraId="139B6046" w14:textId="77777777" w:rsidR="008D30A5" w:rsidRDefault="008D30A5" w:rsidP="008D30A5">
      <w:pPr>
        <w:jc w:val="both"/>
        <w:rPr>
          <w:rFonts w:ascii="Arial" w:hAnsi="Arial" w:cs="Arial"/>
          <w:b/>
          <w:bCs/>
          <w:i/>
          <w:iCs/>
          <w:color w:val="2F5496" w:themeColor="accent1" w:themeShade="BF"/>
        </w:rPr>
      </w:pPr>
    </w:p>
    <w:p w14:paraId="2FA13D8A" w14:textId="77777777" w:rsidR="00546817" w:rsidRDefault="00546817" w:rsidP="00DB6F17">
      <w:pPr>
        <w:jc w:val="both"/>
        <w:rPr>
          <w:rFonts w:ascii="Arial" w:hAnsi="Arial" w:cs="Arial"/>
          <w:b/>
          <w:bCs/>
          <w:i/>
          <w:iCs/>
          <w:color w:val="2F5496" w:themeColor="accent1" w:themeShade="BF"/>
        </w:rPr>
      </w:pPr>
    </w:p>
    <w:p w14:paraId="1971A2CF" w14:textId="77777777" w:rsidR="005750BD" w:rsidRDefault="005750BD">
      <w:pPr>
        <w:rPr>
          <w:rFonts w:ascii="Arial" w:hAnsi="Arial" w:cs="Arial"/>
          <w:b/>
          <w:bCs/>
          <w:i/>
          <w:iCs/>
          <w:color w:val="2F5496" w:themeColor="accent1" w:themeShade="BF"/>
        </w:rPr>
      </w:pPr>
      <w:r>
        <w:rPr>
          <w:rFonts w:ascii="Arial" w:hAnsi="Arial" w:cs="Arial"/>
          <w:b/>
          <w:bCs/>
          <w:i/>
          <w:iCs/>
          <w:color w:val="2F5496" w:themeColor="accent1" w:themeShade="BF"/>
        </w:rPr>
        <w:br w:type="page"/>
      </w:r>
    </w:p>
    <w:p w14:paraId="57C237DF" w14:textId="79B114A3" w:rsidR="0090170B" w:rsidRDefault="0090170B" w:rsidP="00DB6F17">
      <w:pPr>
        <w:jc w:val="both"/>
        <w:rPr>
          <w:rFonts w:ascii="Arial" w:hAnsi="Arial" w:cs="Arial"/>
          <w:b/>
          <w:bCs/>
          <w:i/>
          <w:iCs/>
          <w:color w:val="2F5496" w:themeColor="accent1" w:themeShade="BF"/>
        </w:rPr>
      </w:pPr>
      <w:r w:rsidRPr="00DF5407">
        <w:rPr>
          <w:rFonts w:ascii="Arial" w:hAnsi="Arial" w:cs="Arial"/>
          <w:b/>
          <w:bCs/>
          <w:i/>
          <w:iCs/>
          <w:color w:val="2F5496" w:themeColor="accent1" w:themeShade="BF"/>
        </w:rPr>
        <w:lastRenderedPageBreak/>
        <w:t>Worry and Optimism</w:t>
      </w:r>
    </w:p>
    <w:p w14:paraId="3E2C53C6" w14:textId="77777777" w:rsidR="008F2044" w:rsidRPr="000F3EE7" w:rsidRDefault="008F2044" w:rsidP="00DB6F17">
      <w:pPr>
        <w:jc w:val="both"/>
        <w:rPr>
          <w:rFonts w:ascii="Arial" w:hAnsi="Arial" w:cs="Arial"/>
          <w:color w:val="2F5496" w:themeColor="accent1" w:themeShade="BF"/>
        </w:rPr>
      </w:pPr>
    </w:p>
    <w:p w14:paraId="0B764C93" w14:textId="364CE8AD" w:rsidR="008F2044" w:rsidRPr="008F2044" w:rsidRDefault="001237C0" w:rsidP="008F2044">
      <w:pPr>
        <w:pStyle w:val="ListParagraph"/>
        <w:numPr>
          <w:ilvl w:val="0"/>
          <w:numId w:val="4"/>
        </w:numPr>
        <w:jc w:val="both"/>
        <w:rPr>
          <w:rFonts w:ascii="Arial" w:hAnsi="Arial" w:cs="Arial"/>
        </w:rPr>
      </w:pPr>
      <w:r w:rsidRPr="008F2044">
        <w:rPr>
          <w:rFonts w:ascii="Arial" w:eastAsia="Times New Roman" w:hAnsi="Arial" w:cs="Arial"/>
          <w:color w:val="000000"/>
          <w:bdr w:val="none" w:sz="0" w:space="0" w:color="auto" w:frame="1"/>
          <w:lang w:eastAsia="en-GB"/>
        </w:rPr>
        <w:t>People worry about the side effects of the coronavirus, but this varies from one country to the next. On a scale of 0 to 10, with a higher score indicating more worry, the G7 average was 4.9. Countries with France (5.7) and Italy (5.4) score high whereas the UK (4.1) and Canada (4,4) have lower levels of worry.</w:t>
      </w:r>
    </w:p>
    <w:p w14:paraId="3F870971" w14:textId="77777777" w:rsidR="008F2044" w:rsidRPr="008F2044" w:rsidRDefault="008F2044" w:rsidP="008F2044">
      <w:pPr>
        <w:pStyle w:val="ListParagraph"/>
        <w:ind w:left="360"/>
        <w:jc w:val="both"/>
        <w:rPr>
          <w:rFonts w:ascii="Arial" w:hAnsi="Arial" w:cs="Arial"/>
        </w:rPr>
      </w:pPr>
    </w:p>
    <w:p w14:paraId="6C37754F" w14:textId="49A7893C" w:rsidR="001237C0" w:rsidRPr="008F2044" w:rsidRDefault="001237C0" w:rsidP="008F2044">
      <w:pPr>
        <w:pStyle w:val="ListParagraph"/>
        <w:numPr>
          <w:ilvl w:val="0"/>
          <w:numId w:val="4"/>
        </w:numPr>
        <w:jc w:val="both"/>
        <w:rPr>
          <w:rFonts w:ascii="Arial" w:hAnsi="Arial" w:cs="Arial"/>
        </w:rPr>
      </w:pPr>
      <w:r w:rsidRPr="008F2044">
        <w:rPr>
          <w:rFonts w:ascii="Arial" w:eastAsia="Times New Roman" w:hAnsi="Arial" w:cs="Arial"/>
          <w:color w:val="000000"/>
          <w:bdr w:val="none" w:sz="0" w:space="0" w:color="auto" w:frame="1"/>
          <w:lang w:eastAsia="en-GB"/>
        </w:rPr>
        <w:t>There is considerable optimism over the potential of future vaccines</w:t>
      </w:r>
      <w:r w:rsidR="007648BA">
        <w:rPr>
          <w:rFonts w:ascii="Arial" w:eastAsia="Times New Roman" w:hAnsi="Arial" w:cs="Arial"/>
          <w:color w:val="000000"/>
          <w:bdr w:val="none" w:sz="0" w:space="0" w:color="auto" w:frame="1"/>
          <w:lang w:eastAsia="en-GB"/>
        </w:rPr>
        <w:t>. People tend to agree that Covid-19</w:t>
      </w:r>
      <w:r w:rsidRPr="008F2044">
        <w:rPr>
          <w:rFonts w:ascii="Arial" w:eastAsia="Times New Roman" w:hAnsi="Arial" w:cs="Arial"/>
          <w:color w:val="000000"/>
          <w:bdr w:val="none" w:sz="0" w:space="0" w:color="auto" w:frame="1"/>
          <w:lang w:eastAsia="en-GB"/>
        </w:rPr>
        <w:t xml:space="preserve"> vaccines </w:t>
      </w:r>
      <w:r w:rsidR="007648BA">
        <w:rPr>
          <w:rFonts w:ascii="Arial" w:eastAsia="Times New Roman" w:hAnsi="Arial" w:cs="Arial"/>
          <w:color w:val="000000"/>
          <w:bdr w:val="none" w:sz="0" w:space="0" w:color="auto" w:frame="1"/>
          <w:lang w:eastAsia="en-GB"/>
        </w:rPr>
        <w:t xml:space="preserve">12 months from now </w:t>
      </w:r>
      <w:r w:rsidRPr="008F2044">
        <w:rPr>
          <w:rFonts w:ascii="Arial" w:eastAsia="Times New Roman" w:hAnsi="Arial" w:cs="Arial"/>
          <w:color w:val="000000"/>
          <w:bdr w:val="none" w:sz="0" w:space="0" w:color="auto" w:frame="1"/>
          <w:lang w:eastAsia="en-GB"/>
        </w:rPr>
        <w:t>will be more effective</w:t>
      </w:r>
      <w:r w:rsidR="007648BA">
        <w:rPr>
          <w:rFonts w:ascii="Arial" w:eastAsia="Times New Roman" w:hAnsi="Arial" w:cs="Arial"/>
          <w:color w:val="000000"/>
          <w:bdr w:val="none" w:sz="0" w:space="0" w:color="auto" w:frame="1"/>
          <w:lang w:eastAsia="en-GB"/>
        </w:rPr>
        <w:t xml:space="preserve"> than those available today (see Figure 6)</w:t>
      </w:r>
      <w:r w:rsidRPr="008F2044">
        <w:rPr>
          <w:rFonts w:ascii="Arial" w:eastAsia="Times New Roman" w:hAnsi="Arial" w:cs="Arial"/>
          <w:color w:val="000000"/>
          <w:bdr w:val="none" w:sz="0" w:space="0" w:color="auto" w:frame="1"/>
          <w:lang w:eastAsia="en-GB"/>
        </w:rPr>
        <w:t xml:space="preserve">. The main exception to this pattern is Japan where the average </w:t>
      </w:r>
      <w:r w:rsidR="007648BA">
        <w:rPr>
          <w:rFonts w:ascii="Arial" w:eastAsia="Times New Roman" w:hAnsi="Arial" w:cs="Arial"/>
          <w:color w:val="000000"/>
          <w:bdr w:val="none" w:sz="0" w:space="0" w:color="auto" w:frame="1"/>
          <w:lang w:eastAsia="en-GB"/>
        </w:rPr>
        <w:t>score</w:t>
      </w:r>
      <w:r w:rsidRPr="008F2044">
        <w:rPr>
          <w:rFonts w:ascii="Arial" w:eastAsia="Times New Roman" w:hAnsi="Arial" w:cs="Arial"/>
          <w:color w:val="000000"/>
          <w:bdr w:val="none" w:sz="0" w:space="0" w:color="auto" w:frame="1"/>
          <w:lang w:eastAsia="en-GB"/>
        </w:rPr>
        <w:t xml:space="preserve"> (4.</w:t>
      </w:r>
      <w:r w:rsidR="007648BA">
        <w:rPr>
          <w:rFonts w:ascii="Arial" w:eastAsia="Times New Roman" w:hAnsi="Arial" w:cs="Arial"/>
          <w:color w:val="000000"/>
          <w:bdr w:val="none" w:sz="0" w:space="0" w:color="auto" w:frame="1"/>
          <w:lang w:eastAsia="en-GB"/>
        </w:rPr>
        <w:t>4 on a scale of 0 to 10) is lower than the G7 average (5.7), and considerably lower than in Italy (6.4), Germany and the UK (6.0)</w:t>
      </w:r>
      <w:r w:rsidRPr="008F2044">
        <w:rPr>
          <w:rFonts w:ascii="inherit" w:eastAsia="Times New Roman" w:hAnsi="inherit" w:cs="Calibri"/>
          <w:color w:val="000000"/>
          <w:bdr w:val="none" w:sz="0" w:space="0" w:color="auto" w:frame="1"/>
          <w:lang w:eastAsia="en-GB"/>
        </w:rPr>
        <w:t>.</w:t>
      </w:r>
    </w:p>
    <w:p w14:paraId="3320011A" w14:textId="76F4D9C9" w:rsidR="00C37EA0" w:rsidRDefault="00C37EA0" w:rsidP="00537BE8">
      <w:pPr>
        <w:pStyle w:val="ListParagraph"/>
        <w:spacing w:line="276" w:lineRule="auto"/>
        <w:jc w:val="both"/>
        <w:rPr>
          <w:rFonts w:ascii="Arial" w:hAnsi="Arial" w:cs="Arial"/>
          <w:b/>
          <w:bCs/>
        </w:rPr>
      </w:pPr>
    </w:p>
    <w:p w14:paraId="28C4DABA" w14:textId="77777777" w:rsidR="004212A9" w:rsidRDefault="004212A9" w:rsidP="007648BA">
      <w:pPr>
        <w:jc w:val="both"/>
        <w:rPr>
          <w:rFonts w:ascii="Arial" w:hAnsi="Arial" w:cs="Arial"/>
        </w:rPr>
      </w:pPr>
    </w:p>
    <w:p w14:paraId="2A53EA2F" w14:textId="360995CE" w:rsidR="008D30A5" w:rsidRPr="007648BA" w:rsidRDefault="007648BA" w:rsidP="007648BA">
      <w:pPr>
        <w:jc w:val="both"/>
        <w:rPr>
          <w:rFonts w:ascii="Arial" w:hAnsi="Arial" w:cs="Arial"/>
        </w:rPr>
      </w:pPr>
      <w:r w:rsidRPr="007648BA">
        <w:rPr>
          <w:rFonts w:ascii="Arial" w:hAnsi="Arial" w:cs="Arial"/>
        </w:rPr>
        <w:t>Figure 6</w:t>
      </w:r>
    </w:p>
    <w:p w14:paraId="6381ECD3" w14:textId="24FBAD16" w:rsidR="00546817" w:rsidRDefault="007648BA" w:rsidP="007648BA">
      <w:pPr>
        <w:spacing w:before="200" w:after="200"/>
        <w:jc w:val="center"/>
        <w:rPr>
          <w:rFonts w:ascii="Arial" w:hAnsi="Arial" w:cs="Arial"/>
          <w:b/>
          <w:bCs/>
          <w:color w:val="2F5496" w:themeColor="accent1" w:themeShade="BF"/>
          <w:sz w:val="28"/>
          <w:szCs w:val="28"/>
        </w:rPr>
      </w:pPr>
      <w:r>
        <w:rPr>
          <w:noProof/>
        </w:rPr>
        <w:drawing>
          <wp:inline distT="0" distB="0" distL="0" distR="0" wp14:anchorId="662BE1D5" wp14:editId="3C83951A">
            <wp:extent cx="4705350" cy="2895600"/>
            <wp:effectExtent l="0" t="0" r="6350" b="12700"/>
            <wp:docPr id="4" name="Chart 4">
              <a:extLst xmlns:a="http://schemas.openxmlformats.org/drawingml/2006/main">
                <a:ext uri="{FF2B5EF4-FFF2-40B4-BE49-F238E27FC236}">
                  <a16:creationId xmlns:a16="http://schemas.microsoft.com/office/drawing/2014/main" id="{9E692FC6-1C99-5449-A4F9-799F5832DB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004682" w14:textId="77777777" w:rsidR="007648BA" w:rsidRDefault="007648BA" w:rsidP="00BE7520">
      <w:pPr>
        <w:spacing w:before="200" w:after="200"/>
        <w:jc w:val="both"/>
        <w:rPr>
          <w:rFonts w:ascii="Arial" w:hAnsi="Arial" w:cs="Arial"/>
          <w:b/>
          <w:bCs/>
          <w:color w:val="2F5496" w:themeColor="accent1" w:themeShade="BF"/>
          <w:sz w:val="28"/>
          <w:szCs w:val="28"/>
        </w:rPr>
      </w:pPr>
    </w:p>
    <w:p w14:paraId="32DBFE40" w14:textId="75767F58" w:rsidR="00BE7520" w:rsidRDefault="00BE7520" w:rsidP="00BE7520">
      <w:pPr>
        <w:spacing w:before="200" w:after="200"/>
        <w:jc w:val="both"/>
        <w:rPr>
          <w:rFonts w:ascii="Arial" w:hAnsi="Arial" w:cs="Arial"/>
          <w:b/>
          <w:bCs/>
          <w:color w:val="2F5496" w:themeColor="accent1" w:themeShade="BF"/>
          <w:sz w:val="28"/>
          <w:szCs w:val="28"/>
        </w:rPr>
      </w:pPr>
      <w:r>
        <w:rPr>
          <w:rFonts w:ascii="Arial" w:hAnsi="Arial" w:cs="Arial"/>
          <w:b/>
          <w:bCs/>
          <w:color w:val="2F5496" w:themeColor="accent1" w:themeShade="BF"/>
          <w:sz w:val="28"/>
          <w:szCs w:val="28"/>
        </w:rPr>
        <w:t>Public acceptance of stringent policy</w:t>
      </w:r>
    </w:p>
    <w:p w14:paraId="62FD3AD9" w14:textId="63D1629A" w:rsidR="003023CD" w:rsidRDefault="00BE7520" w:rsidP="00BE7520">
      <w:pPr>
        <w:spacing w:before="200" w:after="200"/>
        <w:jc w:val="both"/>
        <w:rPr>
          <w:rFonts w:ascii="Arial" w:hAnsi="Arial" w:cs="Arial"/>
        </w:rPr>
      </w:pPr>
      <w:r>
        <w:rPr>
          <w:rFonts w:ascii="Arial" w:hAnsi="Arial" w:cs="Arial"/>
        </w:rPr>
        <w:t>Our survey included a</w:t>
      </w:r>
      <w:r w:rsidRPr="00A27D7A">
        <w:rPr>
          <w:rFonts w:ascii="Arial" w:hAnsi="Arial" w:cs="Arial"/>
        </w:rPr>
        <w:t xml:space="preserve"> </w:t>
      </w:r>
      <w:r>
        <w:rPr>
          <w:rFonts w:ascii="Arial" w:hAnsi="Arial" w:cs="Arial"/>
        </w:rPr>
        <w:t xml:space="preserve">randomised </w:t>
      </w:r>
      <w:r w:rsidRPr="00A27D7A">
        <w:rPr>
          <w:rFonts w:ascii="Arial" w:hAnsi="Arial" w:cs="Arial"/>
        </w:rPr>
        <w:t xml:space="preserve">experiment to evaluate the effect of vaccine effectiveness </w:t>
      </w:r>
      <w:r>
        <w:rPr>
          <w:rFonts w:ascii="Arial" w:hAnsi="Arial" w:cs="Arial"/>
        </w:rPr>
        <w:t xml:space="preserve">information </w:t>
      </w:r>
      <w:r w:rsidRPr="00A27D7A">
        <w:rPr>
          <w:rFonts w:ascii="Arial" w:hAnsi="Arial" w:cs="Arial"/>
        </w:rPr>
        <w:t>on citizens’ support for policy stringency.</w:t>
      </w:r>
      <w:r>
        <w:rPr>
          <w:rFonts w:ascii="Arial" w:hAnsi="Arial" w:cs="Arial"/>
        </w:rPr>
        <w:t xml:space="preserve"> This relationship is an important one, given the trade-off that vaccine engagement strategies </w:t>
      </w:r>
      <w:proofErr w:type="gramStart"/>
      <w:r>
        <w:rPr>
          <w:rFonts w:ascii="Arial" w:hAnsi="Arial" w:cs="Arial"/>
        </w:rPr>
        <w:t>have to</w:t>
      </w:r>
      <w:proofErr w:type="gramEnd"/>
      <w:r>
        <w:rPr>
          <w:rFonts w:ascii="Arial" w:hAnsi="Arial" w:cs="Arial"/>
        </w:rPr>
        <w:t xml:space="preserve"> navigate between personal autonomy and the public health protections afforded by vaccinations. In delivering public health, societies around the world have</w:t>
      </w:r>
      <w:r w:rsidRPr="007F2D84">
        <w:rPr>
          <w:rFonts w:ascii="Arial" w:hAnsi="Arial" w:cs="Arial"/>
        </w:rPr>
        <w:t xml:space="preserve"> </w:t>
      </w:r>
      <w:r>
        <w:rPr>
          <w:rFonts w:ascii="Arial" w:hAnsi="Arial" w:cs="Arial"/>
        </w:rPr>
        <w:t xml:space="preserve">accepted </w:t>
      </w:r>
      <w:r w:rsidR="003023CD">
        <w:rPr>
          <w:rFonts w:ascii="Arial" w:hAnsi="Arial" w:cs="Arial"/>
        </w:rPr>
        <w:t xml:space="preserve">new forms of government intervention </w:t>
      </w:r>
      <w:r>
        <w:rPr>
          <w:rFonts w:ascii="Arial" w:hAnsi="Arial" w:cs="Arial"/>
        </w:rPr>
        <w:t xml:space="preserve">in </w:t>
      </w:r>
      <w:r w:rsidR="003023CD">
        <w:rPr>
          <w:rFonts w:ascii="Arial" w:hAnsi="Arial" w:cs="Arial"/>
        </w:rPr>
        <w:t>their</w:t>
      </w:r>
      <w:r>
        <w:rPr>
          <w:rFonts w:ascii="Arial" w:hAnsi="Arial" w:cs="Arial"/>
        </w:rPr>
        <w:t xml:space="preserve"> lives</w:t>
      </w:r>
      <w:r w:rsidR="003023CD">
        <w:rPr>
          <w:rFonts w:ascii="Arial" w:hAnsi="Arial" w:cs="Arial"/>
        </w:rPr>
        <w:t>, with policies that</w:t>
      </w:r>
      <w:r>
        <w:rPr>
          <w:rFonts w:ascii="Arial" w:hAnsi="Arial" w:cs="Arial"/>
        </w:rPr>
        <w:t xml:space="preserve"> may be seen as paternalistic</w:t>
      </w:r>
      <w:r w:rsidR="003023CD">
        <w:rPr>
          <w:rFonts w:ascii="Arial" w:hAnsi="Arial" w:cs="Arial"/>
        </w:rPr>
        <w:t xml:space="preserve"> or even coercive</w:t>
      </w:r>
      <w:r>
        <w:rPr>
          <w:rFonts w:ascii="Arial" w:hAnsi="Arial" w:cs="Arial"/>
        </w:rPr>
        <w:t xml:space="preserve">. </w:t>
      </w:r>
    </w:p>
    <w:p w14:paraId="14FDE24D" w14:textId="27C77565" w:rsidR="00BE7520" w:rsidRDefault="00BE7520" w:rsidP="00BE7520">
      <w:pPr>
        <w:spacing w:before="200" w:after="200"/>
        <w:jc w:val="both"/>
        <w:rPr>
          <w:rFonts w:ascii="Arial" w:hAnsi="Arial" w:cs="Arial"/>
        </w:rPr>
      </w:pPr>
      <w:r>
        <w:rPr>
          <w:rFonts w:ascii="Arial" w:hAnsi="Arial" w:cs="Arial"/>
        </w:rPr>
        <w:t xml:space="preserve">What determines whether people will accept this intrusion </w:t>
      </w:r>
      <w:r w:rsidR="003023CD">
        <w:rPr>
          <w:rFonts w:ascii="Arial" w:hAnsi="Arial" w:cs="Arial"/>
        </w:rPr>
        <w:t>that accompanies harder policy measures</w:t>
      </w:r>
      <w:r>
        <w:rPr>
          <w:rFonts w:ascii="Arial" w:hAnsi="Arial" w:cs="Arial"/>
        </w:rPr>
        <w:t>? We consider th</w:t>
      </w:r>
      <w:r w:rsidR="003023CD">
        <w:rPr>
          <w:rFonts w:ascii="Arial" w:hAnsi="Arial" w:cs="Arial"/>
        </w:rPr>
        <w:t>i</w:t>
      </w:r>
      <w:r>
        <w:rPr>
          <w:rFonts w:ascii="Arial" w:hAnsi="Arial" w:cs="Arial"/>
        </w:rPr>
        <w:t xml:space="preserve">s question by looking at vaccine effectiveness. A more effective vaccine promises more health benefits – </w:t>
      </w:r>
      <w:r w:rsidR="003023CD">
        <w:rPr>
          <w:rFonts w:ascii="Arial" w:hAnsi="Arial" w:cs="Arial"/>
        </w:rPr>
        <w:t>would this make</w:t>
      </w:r>
      <w:r>
        <w:rPr>
          <w:rFonts w:ascii="Arial" w:hAnsi="Arial" w:cs="Arial"/>
        </w:rPr>
        <w:t xml:space="preserve"> </w:t>
      </w:r>
      <w:r w:rsidR="003023CD">
        <w:rPr>
          <w:rFonts w:ascii="Arial" w:hAnsi="Arial" w:cs="Arial"/>
        </w:rPr>
        <w:t>people more likely to accept the ‘lives versus liberty’ trade-off in the form of more stringent vaccine engagement policies?</w:t>
      </w:r>
    </w:p>
    <w:p w14:paraId="7E20985D" w14:textId="7EF9D725" w:rsidR="008B4372" w:rsidRDefault="003023CD" w:rsidP="003023CD">
      <w:pPr>
        <w:spacing w:before="200" w:after="200"/>
        <w:jc w:val="both"/>
        <w:rPr>
          <w:rFonts w:ascii="Arial" w:hAnsi="Arial" w:cs="Arial"/>
        </w:rPr>
      </w:pPr>
      <w:r>
        <w:rPr>
          <w:rFonts w:ascii="Arial" w:hAnsi="Arial" w:cs="Arial"/>
        </w:rPr>
        <w:lastRenderedPageBreak/>
        <w:t>We offered hypothetical information vignettes to our survey respondent. These varied, on a random basis, the level of vaccine effectiveness from 50% to 90%</w:t>
      </w:r>
      <w:r w:rsidR="00D7380D">
        <w:rPr>
          <w:rFonts w:ascii="Arial" w:hAnsi="Arial" w:cs="Arial"/>
        </w:rPr>
        <w:t xml:space="preserve"> (in steps of 10 percentage point)</w:t>
      </w:r>
      <w:r>
        <w:rPr>
          <w:rFonts w:ascii="Arial" w:hAnsi="Arial" w:cs="Arial"/>
        </w:rPr>
        <w:t>.</w:t>
      </w:r>
      <w:r w:rsidR="00D7380D">
        <w:rPr>
          <w:rFonts w:ascii="Arial" w:hAnsi="Arial" w:cs="Arial"/>
        </w:rPr>
        <w:t xml:space="preserve"> Each respondent would </w:t>
      </w:r>
      <w:r w:rsidR="00CB133B">
        <w:rPr>
          <w:rFonts w:ascii="Arial" w:hAnsi="Arial" w:cs="Arial"/>
        </w:rPr>
        <w:t>be informed of a particular</w:t>
      </w:r>
      <w:r>
        <w:rPr>
          <w:rFonts w:ascii="Arial" w:hAnsi="Arial" w:cs="Arial"/>
        </w:rPr>
        <w:t xml:space="preserve"> </w:t>
      </w:r>
      <w:r w:rsidR="00CB133B">
        <w:rPr>
          <w:rFonts w:ascii="Arial" w:hAnsi="Arial" w:cs="Arial"/>
        </w:rPr>
        <w:t xml:space="preserve">vaccine effectiveness level. </w:t>
      </w:r>
      <w:r>
        <w:rPr>
          <w:rFonts w:ascii="Arial" w:hAnsi="Arial" w:cs="Arial"/>
        </w:rPr>
        <w:t xml:space="preserve">We </w:t>
      </w:r>
      <w:r w:rsidR="00CB133B">
        <w:rPr>
          <w:rFonts w:ascii="Arial" w:hAnsi="Arial" w:cs="Arial"/>
        </w:rPr>
        <w:t xml:space="preserve">then </w:t>
      </w:r>
      <w:r>
        <w:rPr>
          <w:rFonts w:ascii="Arial" w:hAnsi="Arial" w:cs="Arial"/>
        </w:rPr>
        <w:t xml:space="preserve">asked respondents whether they would support a series of policy instruments the government might use to encourage vaccination take-up: </w:t>
      </w:r>
      <w:r w:rsidR="008B4372">
        <w:rPr>
          <w:rFonts w:ascii="Arial" w:hAnsi="Arial" w:cs="Arial"/>
        </w:rPr>
        <w:t xml:space="preserve">(1) </w:t>
      </w:r>
      <w:r>
        <w:rPr>
          <w:rFonts w:ascii="Arial" w:hAnsi="Arial" w:cs="Arial"/>
        </w:rPr>
        <w:t>making boosters f</w:t>
      </w:r>
      <w:r w:rsidRPr="003023CD">
        <w:rPr>
          <w:rFonts w:ascii="Arial" w:hAnsi="Arial" w:cs="Arial"/>
        </w:rPr>
        <w:t>reely available</w:t>
      </w:r>
      <w:r>
        <w:rPr>
          <w:rFonts w:ascii="Arial" w:hAnsi="Arial" w:cs="Arial"/>
        </w:rPr>
        <w:t>;</w:t>
      </w:r>
      <w:r w:rsidRPr="003023CD">
        <w:rPr>
          <w:rFonts w:ascii="Arial" w:hAnsi="Arial" w:cs="Arial"/>
        </w:rPr>
        <w:t xml:space="preserve"> </w:t>
      </w:r>
      <w:r w:rsidR="008B4372">
        <w:rPr>
          <w:rFonts w:ascii="Arial" w:hAnsi="Arial" w:cs="Arial"/>
        </w:rPr>
        <w:t xml:space="preserve">(2) </w:t>
      </w:r>
      <w:r>
        <w:rPr>
          <w:rFonts w:ascii="Arial" w:hAnsi="Arial" w:cs="Arial"/>
        </w:rPr>
        <w:t>b</w:t>
      </w:r>
      <w:r w:rsidRPr="00F21F52">
        <w:rPr>
          <w:rFonts w:ascii="Arial" w:hAnsi="Arial" w:cs="Arial"/>
        </w:rPr>
        <w:t>anning the unvaccinated from entering public spaces or using public modes of transport</w:t>
      </w:r>
      <w:r>
        <w:rPr>
          <w:rFonts w:ascii="Arial" w:hAnsi="Arial" w:cs="Arial"/>
        </w:rPr>
        <w:t xml:space="preserve">; </w:t>
      </w:r>
      <w:r w:rsidR="008B4372">
        <w:rPr>
          <w:rFonts w:ascii="Arial" w:hAnsi="Arial" w:cs="Arial"/>
        </w:rPr>
        <w:t xml:space="preserve">(3) </w:t>
      </w:r>
      <w:r>
        <w:rPr>
          <w:rFonts w:ascii="Arial" w:hAnsi="Arial" w:cs="Arial"/>
        </w:rPr>
        <w:t>e</w:t>
      </w:r>
      <w:r w:rsidRPr="003023CD">
        <w:rPr>
          <w:rFonts w:ascii="Arial" w:hAnsi="Arial" w:cs="Arial"/>
        </w:rPr>
        <w:t>mployer mandates for boosters</w:t>
      </w:r>
      <w:r>
        <w:rPr>
          <w:rFonts w:ascii="Arial" w:hAnsi="Arial" w:cs="Arial"/>
        </w:rPr>
        <w:t>; and</w:t>
      </w:r>
      <w:r w:rsidR="008B4372">
        <w:rPr>
          <w:rFonts w:ascii="Arial" w:hAnsi="Arial" w:cs="Arial"/>
        </w:rPr>
        <w:t xml:space="preserve"> (4)</w:t>
      </w:r>
      <w:r>
        <w:rPr>
          <w:rFonts w:ascii="Arial" w:hAnsi="Arial" w:cs="Arial"/>
        </w:rPr>
        <w:t xml:space="preserve"> </w:t>
      </w:r>
      <w:r w:rsidRPr="003023CD">
        <w:rPr>
          <w:rFonts w:ascii="Arial" w:hAnsi="Arial" w:cs="Arial"/>
        </w:rPr>
        <w:t>fines for the unvaccinated</w:t>
      </w:r>
      <w:r>
        <w:rPr>
          <w:rFonts w:ascii="Arial" w:hAnsi="Arial" w:cs="Arial"/>
        </w:rPr>
        <w:t xml:space="preserve">. These are all measures that have been announced, considered, or implemented in G7 countries. </w:t>
      </w:r>
    </w:p>
    <w:p w14:paraId="00E88063" w14:textId="1263F184" w:rsidR="003023CD" w:rsidRDefault="003023CD" w:rsidP="008B4372">
      <w:pPr>
        <w:spacing w:before="200" w:after="200"/>
        <w:jc w:val="both"/>
        <w:rPr>
          <w:rFonts w:ascii="Arial" w:hAnsi="Arial" w:cs="Arial"/>
        </w:rPr>
      </w:pPr>
      <w:r>
        <w:rPr>
          <w:rFonts w:ascii="Arial" w:hAnsi="Arial" w:cs="Arial"/>
        </w:rPr>
        <w:t xml:space="preserve">If </w:t>
      </w:r>
      <w:r w:rsidR="008B4372">
        <w:rPr>
          <w:rFonts w:ascii="Arial" w:hAnsi="Arial" w:cs="Arial"/>
        </w:rPr>
        <w:t>a respondent</w:t>
      </w:r>
      <w:r>
        <w:rPr>
          <w:rFonts w:ascii="Arial" w:hAnsi="Arial" w:cs="Arial"/>
        </w:rPr>
        <w:t xml:space="preserve"> supported measures</w:t>
      </w:r>
      <w:r w:rsidR="008B4372">
        <w:rPr>
          <w:rFonts w:ascii="Arial" w:hAnsi="Arial" w:cs="Arial"/>
        </w:rPr>
        <w:t xml:space="preserve"> two, three or four</w:t>
      </w:r>
      <w:r>
        <w:rPr>
          <w:rFonts w:ascii="Arial" w:hAnsi="Arial" w:cs="Arial"/>
        </w:rPr>
        <w:t xml:space="preserve">, they </w:t>
      </w:r>
      <w:r w:rsidR="008B4372">
        <w:rPr>
          <w:rFonts w:ascii="Arial" w:hAnsi="Arial" w:cs="Arial"/>
        </w:rPr>
        <w:t xml:space="preserve">were supporting more stringent policies. The question is whether being informed that the vaccine was less or more effective made any impact on a person’s willingness to accept hard policies such as mandates and fines. </w:t>
      </w:r>
      <w:r>
        <w:rPr>
          <w:rFonts w:ascii="Arial" w:hAnsi="Arial" w:cs="Arial"/>
        </w:rPr>
        <w:t>Five key findings emerge:</w:t>
      </w:r>
    </w:p>
    <w:p w14:paraId="5391BFF2" w14:textId="4CA662D6" w:rsidR="008B4372" w:rsidRDefault="008B4372" w:rsidP="00DF5407">
      <w:pPr>
        <w:pStyle w:val="ListParagraph"/>
        <w:numPr>
          <w:ilvl w:val="0"/>
          <w:numId w:val="9"/>
        </w:numPr>
        <w:spacing w:before="200" w:after="200"/>
        <w:jc w:val="both"/>
        <w:rPr>
          <w:rFonts w:ascii="Arial" w:hAnsi="Arial" w:cs="Arial"/>
        </w:rPr>
      </w:pPr>
      <w:r>
        <w:rPr>
          <w:rFonts w:ascii="Arial" w:hAnsi="Arial" w:cs="Arial"/>
        </w:rPr>
        <w:t>Our respondents tend to favour less stringent policy. The average scores on policy support range from just over 1.5 to just under 1.6., which are reasonably low values on a scale of 0 to 4. The close clustering of scores suggests support for policy stringency does not change radically based on information about vaccine effectiveness.</w:t>
      </w:r>
      <w:r w:rsidRPr="008B4372">
        <w:rPr>
          <w:rFonts w:ascii="Arial" w:hAnsi="Arial" w:cs="Arial"/>
        </w:rPr>
        <w:t xml:space="preserve"> </w:t>
      </w:r>
      <w:r>
        <w:rPr>
          <w:rFonts w:ascii="Arial" w:hAnsi="Arial" w:cs="Arial"/>
        </w:rPr>
        <w:t>But some significant changes are apparent.</w:t>
      </w:r>
    </w:p>
    <w:p w14:paraId="197D76F1" w14:textId="77777777" w:rsidR="008B4372" w:rsidRDefault="008B4372" w:rsidP="008B4372">
      <w:pPr>
        <w:pStyle w:val="ListParagraph"/>
        <w:spacing w:before="200" w:after="200"/>
        <w:ind w:left="360"/>
        <w:jc w:val="both"/>
        <w:rPr>
          <w:rFonts w:ascii="Arial" w:hAnsi="Arial" w:cs="Arial"/>
        </w:rPr>
      </w:pPr>
    </w:p>
    <w:p w14:paraId="7D48AEB9" w14:textId="6127FC49" w:rsidR="008B4372" w:rsidRDefault="008B4372" w:rsidP="00DF5407">
      <w:pPr>
        <w:pStyle w:val="ListParagraph"/>
        <w:numPr>
          <w:ilvl w:val="0"/>
          <w:numId w:val="9"/>
        </w:numPr>
        <w:spacing w:before="200" w:after="200"/>
        <w:jc w:val="both"/>
        <w:rPr>
          <w:rFonts w:ascii="Arial" w:hAnsi="Arial" w:cs="Arial"/>
        </w:rPr>
      </w:pPr>
      <w:r>
        <w:rPr>
          <w:rFonts w:ascii="Arial" w:hAnsi="Arial" w:cs="Arial"/>
        </w:rPr>
        <w:t>A more effective</w:t>
      </w:r>
      <w:r w:rsidRPr="00A27D7A">
        <w:rPr>
          <w:rFonts w:ascii="Arial" w:hAnsi="Arial" w:cs="Arial"/>
        </w:rPr>
        <w:t xml:space="preserve"> vaccine leads to </w:t>
      </w:r>
      <w:r>
        <w:rPr>
          <w:rFonts w:ascii="Arial" w:hAnsi="Arial" w:cs="Arial"/>
        </w:rPr>
        <w:t>higher</w:t>
      </w:r>
      <w:r w:rsidRPr="00A27D7A">
        <w:rPr>
          <w:rFonts w:ascii="Arial" w:hAnsi="Arial" w:cs="Arial"/>
        </w:rPr>
        <w:t xml:space="preserve"> support for stringent vaccine policies</w:t>
      </w:r>
      <w:r>
        <w:rPr>
          <w:rFonts w:ascii="Arial" w:hAnsi="Arial" w:cs="Arial"/>
        </w:rPr>
        <w:t>, but</w:t>
      </w:r>
      <w:r w:rsidRPr="00A27D7A">
        <w:rPr>
          <w:rFonts w:ascii="Arial" w:hAnsi="Arial" w:cs="Arial"/>
        </w:rPr>
        <w:t xml:space="preserve"> only when vaccine effectiveness reaches a threshold value of 70</w:t>
      </w:r>
      <w:r>
        <w:rPr>
          <w:rFonts w:ascii="Arial" w:hAnsi="Arial" w:cs="Arial"/>
        </w:rPr>
        <w:t>% effectiveness</w:t>
      </w:r>
      <w:r w:rsidRPr="00A27D7A">
        <w:rPr>
          <w:rFonts w:ascii="Arial" w:hAnsi="Arial" w:cs="Arial"/>
        </w:rPr>
        <w:t>.</w:t>
      </w:r>
    </w:p>
    <w:p w14:paraId="6863F1BB" w14:textId="77777777" w:rsidR="008B4372" w:rsidRDefault="008B4372" w:rsidP="008B4372">
      <w:pPr>
        <w:pStyle w:val="ListParagraph"/>
        <w:spacing w:before="200" w:after="200"/>
        <w:ind w:left="360"/>
        <w:jc w:val="both"/>
        <w:rPr>
          <w:rFonts w:ascii="Arial" w:hAnsi="Arial" w:cs="Arial"/>
        </w:rPr>
      </w:pPr>
    </w:p>
    <w:p w14:paraId="5D3D7CF5" w14:textId="77777777" w:rsidR="008B4372" w:rsidRPr="00D269FF" w:rsidRDefault="008B4372" w:rsidP="00DF5407">
      <w:pPr>
        <w:pStyle w:val="ListParagraph"/>
        <w:numPr>
          <w:ilvl w:val="0"/>
          <w:numId w:val="9"/>
        </w:numPr>
        <w:spacing w:before="200" w:after="200"/>
        <w:jc w:val="both"/>
        <w:rPr>
          <w:rFonts w:ascii="Arial" w:hAnsi="Arial" w:cs="Arial"/>
        </w:rPr>
      </w:pPr>
      <w:r w:rsidRPr="00D269FF">
        <w:rPr>
          <w:rFonts w:ascii="Arial" w:hAnsi="Arial" w:cs="Arial"/>
        </w:rPr>
        <w:t>There is no additional effect on support for policy stringency beyond this threshold level of 70% effectiveness. In other words, respondents do not support stringent policies any differently when the vaccine is 80% or 90% effective</w:t>
      </w:r>
      <w:r>
        <w:rPr>
          <w:rFonts w:ascii="Arial" w:hAnsi="Arial" w:cs="Arial"/>
        </w:rPr>
        <w:t xml:space="preserve"> – the positive effect of this information plateaus after the 70% threshold</w:t>
      </w:r>
      <w:r w:rsidRPr="00D269FF">
        <w:rPr>
          <w:rFonts w:ascii="Arial" w:hAnsi="Arial" w:cs="Arial"/>
        </w:rPr>
        <w:t xml:space="preserve">. </w:t>
      </w:r>
    </w:p>
    <w:p w14:paraId="1AEF9DAB" w14:textId="77777777" w:rsidR="008B4372" w:rsidRDefault="008B4372" w:rsidP="008B4372">
      <w:pPr>
        <w:pStyle w:val="ListParagraph"/>
        <w:spacing w:before="200" w:after="200"/>
        <w:ind w:left="360"/>
        <w:jc w:val="both"/>
        <w:rPr>
          <w:rFonts w:ascii="Arial" w:hAnsi="Arial" w:cs="Arial"/>
        </w:rPr>
      </w:pPr>
    </w:p>
    <w:p w14:paraId="75807AB7" w14:textId="4E4772C5" w:rsidR="008B4372" w:rsidRDefault="00242448" w:rsidP="00DF5407">
      <w:pPr>
        <w:pStyle w:val="ListParagraph"/>
        <w:numPr>
          <w:ilvl w:val="0"/>
          <w:numId w:val="9"/>
        </w:numPr>
        <w:spacing w:before="200" w:after="200"/>
        <w:jc w:val="both"/>
        <w:rPr>
          <w:rFonts w:ascii="Arial" w:hAnsi="Arial" w:cs="Arial"/>
        </w:rPr>
      </w:pPr>
      <w:r>
        <w:rPr>
          <w:rFonts w:ascii="Arial" w:hAnsi="Arial" w:cs="Arial"/>
        </w:rPr>
        <w:t>Different people have different attitudes towards these</w:t>
      </w:r>
      <w:r w:rsidR="008B4372">
        <w:rPr>
          <w:rFonts w:ascii="Arial" w:hAnsi="Arial" w:cs="Arial"/>
        </w:rPr>
        <w:t xml:space="preserve"> stringent policies. </w:t>
      </w:r>
      <w:r>
        <w:rPr>
          <w:rFonts w:ascii="Arial" w:hAnsi="Arial" w:cs="Arial"/>
        </w:rPr>
        <w:t>O</w:t>
      </w:r>
      <w:r w:rsidR="008B4372" w:rsidRPr="00D269FF">
        <w:rPr>
          <w:rFonts w:ascii="Arial" w:hAnsi="Arial" w:cs="Arial"/>
        </w:rPr>
        <w:t>lder adults</w:t>
      </w:r>
      <w:r w:rsidR="008B4372">
        <w:rPr>
          <w:rFonts w:ascii="Arial" w:hAnsi="Arial" w:cs="Arial"/>
        </w:rPr>
        <w:t xml:space="preserve"> </w:t>
      </w:r>
      <w:r w:rsidR="008B4372" w:rsidRPr="00D269FF">
        <w:rPr>
          <w:rFonts w:ascii="Arial" w:hAnsi="Arial" w:cs="Arial"/>
        </w:rPr>
        <w:t>support more stringent policies</w:t>
      </w:r>
      <w:r w:rsidR="008B4372">
        <w:rPr>
          <w:rFonts w:ascii="Arial" w:hAnsi="Arial" w:cs="Arial"/>
        </w:rPr>
        <w:t xml:space="preserve"> than the young</w:t>
      </w:r>
      <w:r>
        <w:rPr>
          <w:rFonts w:ascii="Arial" w:hAnsi="Arial" w:cs="Arial"/>
        </w:rPr>
        <w:t>;</w:t>
      </w:r>
      <w:r w:rsidR="008B4372">
        <w:rPr>
          <w:rFonts w:ascii="Arial" w:hAnsi="Arial" w:cs="Arial"/>
        </w:rPr>
        <w:t xml:space="preserve"> and </w:t>
      </w:r>
      <w:r w:rsidR="008B4372" w:rsidRPr="00D269FF">
        <w:rPr>
          <w:rFonts w:ascii="Arial" w:hAnsi="Arial" w:cs="Arial"/>
        </w:rPr>
        <w:t>males</w:t>
      </w:r>
      <w:r w:rsidR="008B4372">
        <w:rPr>
          <w:rFonts w:ascii="Arial" w:hAnsi="Arial" w:cs="Arial"/>
        </w:rPr>
        <w:t xml:space="preserve"> support more stringent policies than female.</w:t>
      </w:r>
      <w:r w:rsidR="008B4372" w:rsidRPr="00D269FF">
        <w:rPr>
          <w:rFonts w:ascii="Arial" w:hAnsi="Arial" w:cs="Arial"/>
        </w:rPr>
        <w:t xml:space="preserve"> </w:t>
      </w:r>
      <w:r w:rsidR="008B4372">
        <w:rPr>
          <w:rFonts w:ascii="Arial" w:hAnsi="Arial" w:cs="Arial"/>
        </w:rPr>
        <w:t>P</w:t>
      </w:r>
      <w:r w:rsidR="008B4372" w:rsidRPr="00D269FF">
        <w:rPr>
          <w:rFonts w:ascii="Arial" w:hAnsi="Arial" w:cs="Arial"/>
        </w:rPr>
        <w:t xml:space="preserve">eople who have </w:t>
      </w:r>
      <w:r w:rsidR="008B4372">
        <w:rPr>
          <w:rFonts w:ascii="Arial" w:hAnsi="Arial" w:cs="Arial"/>
        </w:rPr>
        <w:t>already received a booster are likely to support more stringent policies than those who have not. Finally,</w:t>
      </w:r>
      <w:r w:rsidR="008B4372" w:rsidRPr="00D269FF">
        <w:rPr>
          <w:rFonts w:ascii="Arial" w:hAnsi="Arial" w:cs="Arial"/>
        </w:rPr>
        <w:t xml:space="preserve"> </w:t>
      </w:r>
      <w:r w:rsidR="008B4372">
        <w:rPr>
          <w:rFonts w:ascii="Arial" w:hAnsi="Arial" w:cs="Arial"/>
        </w:rPr>
        <w:t>people</w:t>
      </w:r>
      <w:r w:rsidR="008B4372" w:rsidRPr="00D269FF">
        <w:rPr>
          <w:rFonts w:ascii="Arial" w:hAnsi="Arial" w:cs="Arial"/>
        </w:rPr>
        <w:t xml:space="preserve"> who </w:t>
      </w:r>
      <w:r w:rsidR="008B4372">
        <w:rPr>
          <w:rFonts w:ascii="Arial" w:hAnsi="Arial" w:cs="Arial"/>
        </w:rPr>
        <w:t xml:space="preserve">said they </w:t>
      </w:r>
      <w:r w:rsidR="008B4372" w:rsidRPr="00D269FF">
        <w:rPr>
          <w:rFonts w:ascii="Arial" w:hAnsi="Arial" w:cs="Arial"/>
        </w:rPr>
        <w:t xml:space="preserve">trust </w:t>
      </w:r>
      <w:r w:rsidR="008B4372">
        <w:rPr>
          <w:rFonts w:ascii="Arial" w:hAnsi="Arial" w:cs="Arial"/>
        </w:rPr>
        <w:t xml:space="preserve">the </w:t>
      </w:r>
      <w:r w:rsidR="008B4372" w:rsidRPr="00D269FF">
        <w:rPr>
          <w:rFonts w:ascii="Arial" w:hAnsi="Arial" w:cs="Arial"/>
        </w:rPr>
        <w:t>vaccine</w:t>
      </w:r>
      <w:r w:rsidR="008B4372">
        <w:rPr>
          <w:rFonts w:ascii="Arial" w:hAnsi="Arial" w:cs="Arial"/>
        </w:rPr>
        <w:t xml:space="preserve"> in general were likely to support more stringent policies than those who did not trust the vaccine.</w:t>
      </w:r>
    </w:p>
    <w:p w14:paraId="5CF0B743" w14:textId="77777777" w:rsidR="008B4372" w:rsidRPr="00A01471" w:rsidRDefault="008B4372" w:rsidP="008B4372">
      <w:pPr>
        <w:pStyle w:val="ListParagraph"/>
        <w:rPr>
          <w:rFonts w:ascii="Arial" w:hAnsi="Arial" w:cs="Arial"/>
        </w:rPr>
      </w:pPr>
    </w:p>
    <w:p w14:paraId="40665960" w14:textId="1CA809F7" w:rsidR="008B4372" w:rsidRPr="00DF5407" w:rsidRDefault="008B4372" w:rsidP="00DF5407">
      <w:pPr>
        <w:pStyle w:val="ListParagraph"/>
        <w:numPr>
          <w:ilvl w:val="0"/>
          <w:numId w:val="9"/>
        </w:numPr>
        <w:spacing w:before="200" w:after="200"/>
        <w:jc w:val="both"/>
        <w:rPr>
          <w:rFonts w:ascii="Arial" w:hAnsi="Arial" w:cs="Arial"/>
        </w:rPr>
      </w:pPr>
      <w:r w:rsidRPr="00A01471">
        <w:rPr>
          <w:rFonts w:ascii="Arial" w:hAnsi="Arial" w:cs="Arial"/>
        </w:rPr>
        <w:t>UK respondents are the least likely to support stringent vaccine policies compared to all other G7 countries, including Japan and the US which share the UK’s overall policy approach of favouring softer policies. This supports the idea that the UK’s vaccine engagement approach may be a good fit with public acceptance and attitudes on harder and softer policy measures.</w:t>
      </w:r>
    </w:p>
    <w:p w14:paraId="4376E0A4" w14:textId="3204FE1C" w:rsidR="003726FD" w:rsidRPr="003726FD" w:rsidRDefault="003726FD" w:rsidP="003726FD">
      <w:pPr>
        <w:jc w:val="both"/>
        <w:rPr>
          <w:rFonts w:ascii="Arial" w:hAnsi="Arial" w:cs="Arial"/>
        </w:rPr>
      </w:pPr>
      <w:r w:rsidRPr="003726FD">
        <w:rPr>
          <w:rFonts w:ascii="Arial" w:hAnsi="Arial" w:cs="Arial"/>
          <w:color w:val="000000" w:themeColor="text1"/>
        </w:rPr>
        <w:t>In a separate</w:t>
      </w:r>
      <w:r>
        <w:rPr>
          <w:rFonts w:ascii="Arial" w:hAnsi="Arial" w:cs="Arial"/>
          <w:color w:val="000000" w:themeColor="text1"/>
        </w:rPr>
        <w:t xml:space="preserve"> experimental study, we investigated the effects of different policy measures on individuals’ support for vaccine engagement policies. </w:t>
      </w:r>
      <w:r w:rsidRPr="003726FD">
        <w:rPr>
          <w:rFonts w:ascii="Arial" w:hAnsi="Arial" w:cs="Arial"/>
          <w:color w:val="000000" w:themeColor="text1"/>
        </w:rPr>
        <w:t xml:space="preserve">We implemented a </w:t>
      </w:r>
      <w:r w:rsidRPr="003726FD">
        <w:rPr>
          <w:rFonts w:ascii="Arial" w:hAnsi="Arial" w:cs="Arial"/>
        </w:rPr>
        <w:t>conjoint</w:t>
      </w:r>
      <w:r w:rsidR="008242F8">
        <w:rPr>
          <w:rFonts w:ascii="Arial" w:hAnsi="Arial" w:cs="Arial"/>
        </w:rPr>
        <w:t xml:space="preserve"> experiment</w:t>
      </w:r>
      <w:r w:rsidRPr="003726FD">
        <w:rPr>
          <w:rFonts w:ascii="Arial" w:hAnsi="Arial" w:cs="Arial"/>
        </w:rPr>
        <w:t xml:space="preserve">, which is an increasingly common type of survey experiment that allows researchers to estimate the effects of different policy design features on individual preferences. Respondents were presented with a future scenario where the government is seeking to promote booster vaccines against new variants of COVID-19.  We asked our respondents to choose between a pair of hypothetical vaccine policies. The features of the policies were randomly varied.  Afterwards, participants were asked which of the two policies they preferred and how much they supported </w:t>
      </w:r>
      <w:r w:rsidRPr="003726FD">
        <w:rPr>
          <w:rFonts w:ascii="Arial" w:hAnsi="Arial" w:cs="Arial"/>
        </w:rPr>
        <w:lastRenderedPageBreak/>
        <w:t xml:space="preserve">each policy.  Participants repeated this task three times. </w:t>
      </w:r>
      <w:r w:rsidRPr="003726FD">
        <w:rPr>
          <w:rFonts w:ascii="Arial" w:hAnsi="Arial" w:cs="Arial"/>
          <w:color w:val="000000" w:themeColor="text1"/>
        </w:rPr>
        <w:t>T</w:t>
      </w:r>
      <w:r w:rsidRPr="003726FD">
        <w:rPr>
          <w:rFonts w:ascii="Arial" w:hAnsi="Arial" w:cs="Arial"/>
        </w:rPr>
        <w:t>hree main findings arise from this experiment:</w:t>
      </w:r>
    </w:p>
    <w:p w14:paraId="613A77CF" w14:textId="77777777" w:rsidR="003726FD" w:rsidRDefault="003726FD" w:rsidP="003726FD">
      <w:pPr>
        <w:jc w:val="both"/>
      </w:pPr>
    </w:p>
    <w:p w14:paraId="252D2959" w14:textId="77777777" w:rsidR="00686578" w:rsidRPr="00686578" w:rsidRDefault="00686578" w:rsidP="003726FD">
      <w:pPr>
        <w:pStyle w:val="ListParagraph"/>
        <w:numPr>
          <w:ilvl w:val="0"/>
          <w:numId w:val="13"/>
        </w:numPr>
        <w:jc w:val="both"/>
        <w:rPr>
          <w:rFonts w:ascii="Arial" w:hAnsi="Arial" w:cs="Arial"/>
          <w:color w:val="000000" w:themeColor="text1"/>
        </w:rPr>
      </w:pPr>
      <w:r w:rsidRPr="00686578">
        <w:rPr>
          <w:rFonts w:ascii="Arial" w:hAnsi="Arial" w:cs="Arial"/>
        </w:rPr>
        <w:t>P</w:t>
      </w:r>
      <w:r w:rsidR="003726FD" w:rsidRPr="00686578">
        <w:rPr>
          <w:rFonts w:ascii="Arial" w:hAnsi="Arial" w:cs="Arial"/>
        </w:rPr>
        <w:t>olicies that allowed people to schedule their own vaccine appointments increased public support</w:t>
      </w:r>
      <w:r w:rsidRPr="00686578">
        <w:rPr>
          <w:rFonts w:ascii="Arial" w:hAnsi="Arial" w:cs="Arial"/>
        </w:rPr>
        <w:t>,</w:t>
      </w:r>
      <w:r w:rsidR="003726FD" w:rsidRPr="00686578">
        <w:rPr>
          <w:rFonts w:ascii="Arial" w:hAnsi="Arial" w:cs="Arial"/>
        </w:rPr>
        <w:t xml:space="preserve"> compared to policies in which a local clinic would initiate contact to schedule an appointment.  </w:t>
      </w:r>
    </w:p>
    <w:p w14:paraId="6FC28C18" w14:textId="77777777" w:rsidR="00686578" w:rsidRPr="00686578" w:rsidRDefault="00686578" w:rsidP="00686578">
      <w:pPr>
        <w:pStyle w:val="ListParagraph"/>
        <w:ind w:left="360"/>
        <w:jc w:val="both"/>
        <w:rPr>
          <w:rFonts w:ascii="Arial" w:hAnsi="Arial" w:cs="Arial"/>
          <w:color w:val="000000" w:themeColor="text1"/>
        </w:rPr>
      </w:pPr>
    </w:p>
    <w:p w14:paraId="2EF33E0C" w14:textId="77777777" w:rsidR="00686578" w:rsidRPr="00686578" w:rsidRDefault="00686578" w:rsidP="003726FD">
      <w:pPr>
        <w:pStyle w:val="ListParagraph"/>
        <w:numPr>
          <w:ilvl w:val="0"/>
          <w:numId w:val="13"/>
        </w:numPr>
        <w:jc w:val="both"/>
        <w:rPr>
          <w:rFonts w:ascii="Arial" w:hAnsi="Arial" w:cs="Arial"/>
          <w:color w:val="000000" w:themeColor="text1"/>
        </w:rPr>
      </w:pPr>
      <w:r w:rsidRPr="00686578">
        <w:rPr>
          <w:rFonts w:ascii="Arial" w:hAnsi="Arial" w:cs="Arial"/>
        </w:rPr>
        <w:t>P</w:t>
      </w:r>
      <w:r w:rsidR="003726FD" w:rsidRPr="00686578">
        <w:rPr>
          <w:rFonts w:ascii="Arial" w:hAnsi="Arial" w:cs="Arial"/>
        </w:rPr>
        <w:t>olicies that offered people automatic reminders to get the booster</w:t>
      </w:r>
      <w:r w:rsidRPr="00686578">
        <w:rPr>
          <w:rFonts w:ascii="Arial" w:hAnsi="Arial" w:cs="Arial"/>
        </w:rPr>
        <w:t xml:space="preserve"> also</w:t>
      </w:r>
      <w:r w:rsidR="003726FD" w:rsidRPr="00686578">
        <w:rPr>
          <w:rFonts w:ascii="Arial" w:hAnsi="Arial" w:cs="Arial"/>
        </w:rPr>
        <w:t xml:space="preserve"> increased public support</w:t>
      </w:r>
      <w:r w:rsidRPr="00686578">
        <w:rPr>
          <w:rFonts w:ascii="Arial" w:hAnsi="Arial" w:cs="Arial"/>
        </w:rPr>
        <w:t>,</w:t>
      </w:r>
      <w:r w:rsidR="003726FD" w:rsidRPr="00686578">
        <w:rPr>
          <w:rFonts w:ascii="Arial" w:hAnsi="Arial" w:cs="Arial"/>
        </w:rPr>
        <w:t xml:space="preserve"> relative to policies that offered no such reminders.  </w:t>
      </w:r>
    </w:p>
    <w:p w14:paraId="44A01BDD" w14:textId="77777777" w:rsidR="00686578" w:rsidRPr="00686578" w:rsidRDefault="00686578" w:rsidP="00686578">
      <w:pPr>
        <w:pStyle w:val="ListParagraph"/>
        <w:rPr>
          <w:rFonts w:ascii="Arial" w:hAnsi="Arial" w:cs="Arial"/>
        </w:rPr>
      </w:pPr>
    </w:p>
    <w:p w14:paraId="5DD8096A" w14:textId="77777777" w:rsidR="00686578" w:rsidRPr="00686578" w:rsidRDefault="003726FD" w:rsidP="003726FD">
      <w:pPr>
        <w:pStyle w:val="ListParagraph"/>
        <w:numPr>
          <w:ilvl w:val="0"/>
          <w:numId w:val="13"/>
        </w:numPr>
        <w:jc w:val="both"/>
        <w:rPr>
          <w:rFonts w:ascii="Arial" w:hAnsi="Arial" w:cs="Arial"/>
          <w:color w:val="000000" w:themeColor="text1"/>
        </w:rPr>
      </w:pPr>
      <w:r w:rsidRPr="00686578">
        <w:rPr>
          <w:rFonts w:ascii="Arial" w:hAnsi="Arial" w:cs="Arial"/>
        </w:rPr>
        <w:t xml:space="preserve">Third, policies that included government-issued fines for eligible people who did not get the booster reduced public support -- compared to policies that did not include such fines. </w:t>
      </w:r>
    </w:p>
    <w:p w14:paraId="3BFD69E5" w14:textId="77777777" w:rsidR="00686578" w:rsidRPr="00686578" w:rsidRDefault="00686578" w:rsidP="00686578">
      <w:pPr>
        <w:jc w:val="both"/>
        <w:rPr>
          <w:rFonts w:ascii="Arial" w:hAnsi="Arial" w:cs="Arial"/>
        </w:rPr>
      </w:pPr>
    </w:p>
    <w:p w14:paraId="2F91DAEA" w14:textId="68C3224A" w:rsidR="003726FD" w:rsidRPr="00686578" w:rsidRDefault="00686578" w:rsidP="00686578">
      <w:pPr>
        <w:jc w:val="both"/>
        <w:rPr>
          <w:rFonts w:ascii="Arial" w:hAnsi="Arial" w:cs="Arial"/>
          <w:color w:val="000000" w:themeColor="text1"/>
        </w:rPr>
      </w:pPr>
      <w:r w:rsidRPr="00686578">
        <w:rPr>
          <w:rFonts w:ascii="Arial" w:hAnsi="Arial" w:cs="Arial"/>
        </w:rPr>
        <w:t>T</w:t>
      </w:r>
      <w:r w:rsidR="003726FD" w:rsidRPr="00686578">
        <w:rPr>
          <w:rFonts w:ascii="Arial" w:hAnsi="Arial" w:cs="Arial"/>
        </w:rPr>
        <w:t>he prevailing message of the</w:t>
      </w:r>
      <w:r w:rsidR="008242F8">
        <w:rPr>
          <w:rFonts w:ascii="Arial" w:hAnsi="Arial" w:cs="Arial"/>
        </w:rPr>
        <w:t xml:space="preserve"> conjoint</w:t>
      </w:r>
      <w:r w:rsidR="003726FD" w:rsidRPr="00686578">
        <w:rPr>
          <w:rFonts w:ascii="Arial" w:hAnsi="Arial" w:cs="Arial"/>
        </w:rPr>
        <w:t xml:space="preserve"> experiment is </w:t>
      </w:r>
      <w:r w:rsidRPr="00686578">
        <w:rPr>
          <w:rFonts w:ascii="Arial" w:hAnsi="Arial" w:cs="Arial"/>
        </w:rPr>
        <w:t>that</w:t>
      </w:r>
      <w:r w:rsidR="003726FD" w:rsidRPr="00686578">
        <w:rPr>
          <w:rFonts w:ascii="Arial" w:hAnsi="Arial" w:cs="Arial"/>
        </w:rPr>
        <w:t xml:space="preserve"> </w:t>
      </w:r>
      <w:r w:rsidRPr="00686578">
        <w:rPr>
          <w:rFonts w:ascii="Arial" w:hAnsi="Arial" w:cs="Arial"/>
        </w:rPr>
        <w:t>people</w:t>
      </w:r>
      <w:r w:rsidR="003726FD" w:rsidRPr="00686578">
        <w:rPr>
          <w:rFonts w:ascii="Arial" w:hAnsi="Arial" w:cs="Arial"/>
        </w:rPr>
        <w:t xml:space="preserve"> wanted governments to use a ‘light touch’ approach to managing vaccine booster policy in this hypothetical future scenario.</w:t>
      </w:r>
    </w:p>
    <w:p w14:paraId="374C6C39" w14:textId="77777777" w:rsidR="003726FD" w:rsidRPr="00686578" w:rsidRDefault="003726FD">
      <w:pPr>
        <w:rPr>
          <w:rFonts w:ascii="Arial" w:hAnsi="Arial" w:cs="Arial"/>
          <w:color w:val="000000" w:themeColor="text1"/>
        </w:rPr>
      </w:pPr>
    </w:p>
    <w:p w14:paraId="2B0FC592" w14:textId="171B3028" w:rsidR="003726FD" w:rsidRPr="00686578" w:rsidRDefault="003726FD">
      <w:pPr>
        <w:rPr>
          <w:rFonts w:ascii="Arial" w:hAnsi="Arial" w:cs="Arial"/>
          <w:color w:val="2F5496" w:themeColor="accent1" w:themeShade="BF"/>
        </w:rPr>
      </w:pPr>
    </w:p>
    <w:p w14:paraId="09133844" w14:textId="77777777" w:rsidR="003726FD" w:rsidRPr="003726FD" w:rsidRDefault="003726FD">
      <w:pPr>
        <w:rPr>
          <w:rFonts w:ascii="Arial" w:hAnsi="Arial" w:cs="Arial"/>
          <w:color w:val="2F5496" w:themeColor="accent1" w:themeShade="BF"/>
        </w:rPr>
      </w:pPr>
    </w:p>
    <w:p w14:paraId="65898DDE" w14:textId="76583151" w:rsidR="00BE7520" w:rsidRPr="00C37EA0" w:rsidRDefault="00BE7520" w:rsidP="00BE7520">
      <w:pPr>
        <w:spacing w:line="276" w:lineRule="auto"/>
        <w:jc w:val="both"/>
        <w:rPr>
          <w:rFonts w:ascii="Arial" w:hAnsi="Arial" w:cs="Arial"/>
          <w:b/>
          <w:bCs/>
          <w:color w:val="2F5496" w:themeColor="accent1" w:themeShade="BF"/>
          <w:sz w:val="28"/>
          <w:szCs w:val="28"/>
        </w:rPr>
      </w:pPr>
      <w:r w:rsidRPr="00DF5407">
        <w:rPr>
          <w:rFonts w:ascii="Arial" w:hAnsi="Arial" w:cs="Arial"/>
          <w:b/>
          <w:bCs/>
          <w:color w:val="2F5496" w:themeColor="accent1" w:themeShade="BF"/>
          <w:sz w:val="28"/>
          <w:szCs w:val="28"/>
        </w:rPr>
        <w:t>Nudging people to vaccinate</w:t>
      </w:r>
    </w:p>
    <w:p w14:paraId="121A460C" w14:textId="1C826486" w:rsidR="00BE7520" w:rsidRDefault="00BE7520" w:rsidP="0083020E">
      <w:pPr>
        <w:spacing w:line="276" w:lineRule="auto"/>
        <w:jc w:val="both"/>
        <w:rPr>
          <w:rFonts w:ascii="Arial" w:hAnsi="Arial" w:cs="Arial"/>
        </w:rPr>
      </w:pPr>
    </w:p>
    <w:p w14:paraId="0947012C" w14:textId="2C52FAF1" w:rsidR="00971BDC" w:rsidRDefault="00971BDC" w:rsidP="00971BDC">
      <w:pPr>
        <w:spacing w:before="200" w:after="200"/>
        <w:jc w:val="both"/>
        <w:rPr>
          <w:rFonts w:ascii="Arial" w:hAnsi="Arial" w:cs="Arial"/>
        </w:rPr>
      </w:pPr>
      <w:r>
        <w:rPr>
          <w:rFonts w:ascii="Arial" w:hAnsi="Arial" w:cs="Arial"/>
        </w:rPr>
        <w:t xml:space="preserve">Nudges are widely used to promote health behaviour change, including vaccinations. They are interventions that encourage and persuade change, without altering financial incentives through fines or rewards, or mandating action through rules and regulations. The term nudge is an umbrella term for an array of different measures, from personalised text messages to commitment contracts. </w:t>
      </w:r>
    </w:p>
    <w:p w14:paraId="0D6B9625" w14:textId="3A2F757F" w:rsidR="00971BDC" w:rsidRDefault="00971BDC" w:rsidP="00DF5407">
      <w:pPr>
        <w:spacing w:before="200" w:after="200"/>
        <w:jc w:val="both"/>
        <w:rPr>
          <w:rFonts w:ascii="Arial" w:hAnsi="Arial" w:cs="Arial"/>
        </w:rPr>
      </w:pPr>
      <w:r>
        <w:rPr>
          <w:rFonts w:ascii="Arial" w:hAnsi="Arial" w:cs="Arial"/>
        </w:rPr>
        <w:t xml:space="preserve">We </w:t>
      </w:r>
      <w:proofErr w:type="gramStart"/>
      <w:r w:rsidR="006B5550">
        <w:rPr>
          <w:rFonts w:ascii="Arial" w:hAnsi="Arial" w:cs="Arial"/>
        </w:rPr>
        <w:t>looked into</w:t>
      </w:r>
      <w:proofErr w:type="gramEnd"/>
      <w:r>
        <w:rPr>
          <w:rFonts w:ascii="Arial" w:hAnsi="Arial" w:cs="Arial"/>
        </w:rPr>
        <w:t xml:space="preserve"> how nudges can and should be designed both to improve vaccination engagement, and in a way that empowers personal choice rather than quietly bypasses it (as some nudges, like defaults, might</w:t>
      </w:r>
      <w:r w:rsidR="006B5550">
        <w:rPr>
          <w:rFonts w:ascii="Arial" w:hAnsi="Arial" w:cs="Arial"/>
        </w:rPr>
        <w:t xml:space="preserve"> be considered to</w:t>
      </w:r>
      <w:r>
        <w:rPr>
          <w:rFonts w:ascii="Arial" w:hAnsi="Arial" w:cs="Arial"/>
        </w:rPr>
        <w:t xml:space="preserve">). More deliberative approaches are often lauded for their ability to prompt deeper thought and consideration over personal decisions. Such strategies, termed ‘thinks’, have been combined with nudges in other settings, but might also serve as alternatives to nudges. </w:t>
      </w:r>
    </w:p>
    <w:p w14:paraId="736BD378" w14:textId="77777777" w:rsidR="00971BDC" w:rsidRDefault="00971BDC" w:rsidP="00DF5407">
      <w:pPr>
        <w:spacing w:before="200" w:after="200"/>
        <w:jc w:val="both"/>
        <w:rPr>
          <w:rFonts w:ascii="Arial" w:hAnsi="Arial" w:cs="Arial"/>
        </w:rPr>
      </w:pPr>
      <w:r>
        <w:rPr>
          <w:rFonts w:ascii="Arial" w:hAnsi="Arial" w:cs="Arial"/>
        </w:rPr>
        <w:t>With relatively little evidence on how these design features might matter for vaccination behaviours, our question was: are nudges that incorporate some element of personal deliberation (reflection) on the health decision more effective as vaccine engagement strategies?</w:t>
      </w:r>
    </w:p>
    <w:p w14:paraId="5B44E1D1" w14:textId="49BB6DFD" w:rsidR="004A37A7" w:rsidRDefault="006B5550" w:rsidP="006B5550">
      <w:pPr>
        <w:spacing w:before="200" w:after="200"/>
        <w:jc w:val="both"/>
        <w:rPr>
          <w:rFonts w:ascii="Arial" w:hAnsi="Arial" w:cs="Arial"/>
        </w:rPr>
      </w:pPr>
      <w:r>
        <w:rPr>
          <w:rFonts w:ascii="Arial" w:hAnsi="Arial" w:cs="Arial"/>
        </w:rPr>
        <w:t xml:space="preserve">In a second survey experiment, we </w:t>
      </w:r>
      <w:r w:rsidRPr="00A27D7A">
        <w:rPr>
          <w:rFonts w:ascii="Arial" w:hAnsi="Arial" w:cs="Arial"/>
        </w:rPr>
        <w:t>evaluate</w:t>
      </w:r>
      <w:r>
        <w:rPr>
          <w:rFonts w:ascii="Arial" w:hAnsi="Arial" w:cs="Arial"/>
        </w:rPr>
        <w:t>d</w:t>
      </w:r>
      <w:r w:rsidRPr="00A27D7A">
        <w:rPr>
          <w:rFonts w:ascii="Arial" w:hAnsi="Arial" w:cs="Arial"/>
        </w:rPr>
        <w:t xml:space="preserve"> the effect of</w:t>
      </w:r>
      <w:r>
        <w:rPr>
          <w:rFonts w:ascii="Arial" w:hAnsi="Arial" w:cs="Arial"/>
        </w:rPr>
        <w:t xml:space="preserve"> different nudge</w:t>
      </w:r>
      <w:r w:rsidRPr="00A27D7A">
        <w:rPr>
          <w:rFonts w:ascii="Arial" w:hAnsi="Arial" w:cs="Arial"/>
        </w:rPr>
        <w:t xml:space="preserve"> </w:t>
      </w:r>
      <w:r>
        <w:rPr>
          <w:rFonts w:ascii="Arial" w:hAnsi="Arial" w:cs="Arial"/>
        </w:rPr>
        <w:t xml:space="preserve">designs </w:t>
      </w:r>
      <w:r w:rsidRPr="00A27D7A">
        <w:rPr>
          <w:rFonts w:ascii="Arial" w:hAnsi="Arial" w:cs="Arial"/>
        </w:rPr>
        <w:t xml:space="preserve">on </w:t>
      </w:r>
      <w:r>
        <w:rPr>
          <w:rFonts w:ascii="Arial" w:hAnsi="Arial" w:cs="Arial"/>
        </w:rPr>
        <w:t xml:space="preserve">two important outcomes: </w:t>
      </w:r>
      <w:r w:rsidRPr="00A27D7A">
        <w:rPr>
          <w:rFonts w:ascii="Arial" w:hAnsi="Arial" w:cs="Arial"/>
        </w:rPr>
        <w:t>(1)</w:t>
      </w:r>
      <w:r>
        <w:rPr>
          <w:rFonts w:ascii="Arial" w:hAnsi="Arial" w:cs="Arial"/>
        </w:rPr>
        <w:t xml:space="preserve"> the individual’s</w:t>
      </w:r>
      <w:r w:rsidRPr="00A27D7A">
        <w:rPr>
          <w:rFonts w:ascii="Arial" w:hAnsi="Arial" w:cs="Arial"/>
        </w:rPr>
        <w:t xml:space="preserve"> intentions to be vaccinated </w:t>
      </w:r>
      <w:r>
        <w:rPr>
          <w:rFonts w:ascii="Arial" w:hAnsi="Arial" w:cs="Arial"/>
        </w:rPr>
        <w:t xml:space="preserve">at the next opportunity, </w:t>
      </w:r>
      <w:r w:rsidRPr="00A27D7A">
        <w:rPr>
          <w:rFonts w:ascii="Arial" w:hAnsi="Arial" w:cs="Arial"/>
        </w:rPr>
        <w:t xml:space="preserve">and (2) support for </w:t>
      </w:r>
      <w:r>
        <w:rPr>
          <w:rFonts w:ascii="Arial" w:hAnsi="Arial" w:cs="Arial"/>
        </w:rPr>
        <w:t>the</w:t>
      </w:r>
      <w:r w:rsidRPr="00A27D7A">
        <w:rPr>
          <w:rFonts w:ascii="Arial" w:hAnsi="Arial" w:cs="Arial"/>
        </w:rPr>
        <w:t xml:space="preserve"> vaccine polic</w:t>
      </w:r>
      <w:r>
        <w:rPr>
          <w:rFonts w:ascii="Arial" w:hAnsi="Arial" w:cs="Arial"/>
        </w:rPr>
        <w:t>y nudge</w:t>
      </w:r>
      <w:r w:rsidRPr="00A27D7A">
        <w:rPr>
          <w:rFonts w:ascii="Arial" w:hAnsi="Arial" w:cs="Arial"/>
        </w:rPr>
        <w:t>.</w:t>
      </w:r>
      <w:r>
        <w:rPr>
          <w:rFonts w:ascii="Arial" w:hAnsi="Arial" w:cs="Arial"/>
        </w:rPr>
        <w:t xml:space="preserve"> Once again</w:t>
      </w:r>
      <w:r w:rsidR="00034AA2">
        <w:rPr>
          <w:rFonts w:ascii="Arial" w:hAnsi="Arial" w:cs="Arial"/>
        </w:rPr>
        <w:t>,</w:t>
      </w:r>
      <w:r>
        <w:rPr>
          <w:rFonts w:ascii="Arial" w:hAnsi="Arial" w:cs="Arial"/>
        </w:rPr>
        <w:t xml:space="preserve"> our respondents were randomly assigned to receive an information vignette. The vignette they saw determined whether they were asked about a nudge strategy, a reflection strategy, a nudge plus reflection strategy, or a control group with no nudge. The hypothetical scenario that respondents were given asked involved calling their local clinic to book a booster shot.  The control group received an instruction on how to do this. The nudge group were automatically enrolled to receive an appointment. The reflection group </w:t>
      </w:r>
      <w:r>
        <w:rPr>
          <w:rFonts w:ascii="Arial" w:hAnsi="Arial" w:cs="Arial"/>
        </w:rPr>
        <w:lastRenderedPageBreak/>
        <w:t>were not automatically enrolled</w:t>
      </w:r>
      <w:r w:rsidR="004A37A7">
        <w:rPr>
          <w:rFonts w:ascii="Arial" w:hAnsi="Arial" w:cs="Arial"/>
        </w:rPr>
        <w:t xml:space="preserve"> </w:t>
      </w:r>
      <w:r>
        <w:rPr>
          <w:rFonts w:ascii="Arial" w:hAnsi="Arial" w:cs="Arial"/>
        </w:rPr>
        <w:t xml:space="preserve">but were asked to think about this policy for encouraging boosters. And finally, the nudge plus reflection group were automatically enrolled and asked to </w:t>
      </w:r>
      <w:r w:rsidR="004A37A7">
        <w:rPr>
          <w:rFonts w:ascii="Arial" w:hAnsi="Arial" w:cs="Arial"/>
        </w:rPr>
        <w:t>think about</w:t>
      </w:r>
      <w:r>
        <w:rPr>
          <w:rFonts w:ascii="Arial" w:hAnsi="Arial" w:cs="Arial"/>
        </w:rPr>
        <w:t xml:space="preserve"> the </w:t>
      </w:r>
      <w:r w:rsidR="004A37A7">
        <w:rPr>
          <w:rFonts w:ascii="Arial" w:hAnsi="Arial" w:cs="Arial"/>
        </w:rPr>
        <w:t>fact that this automatic enrolment was in place.</w:t>
      </w:r>
    </w:p>
    <w:p w14:paraId="353E552A" w14:textId="095270DF" w:rsidR="006B5550" w:rsidRPr="00A27D7A" w:rsidRDefault="004A37A7" w:rsidP="00DF5407">
      <w:pPr>
        <w:spacing w:before="200" w:after="200"/>
        <w:jc w:val="both"/>
        <w:rPr>
          <w:rFonts w:ascii="Arial" w:hAnsi="Arial" w:cs="Arial"/>
        </w:rPr>
      </w:pPr>
      <w:r w:rsidRPr="00F45266">
        <w:rPr>
          <w:rFonts w:ascii="Arial" w:hAnsi="Arial" w:cs="Arial"/>
        </w:rPr>
        <w:t>Our findings sho</w:t>
      </w:r>
      <w:r w:rsidR="00F45266">
        <w:rPr>
          <w:rFonts w:ascii="Arial" w:hAnsi="Arial" w:cs="Arial"/>
        </w:rPr>
        <w:t xml:space="preserve">w that </w:t>
      </w:r>
      <w:r w:rsidR="00F45266" w:rsidRPr="00F45266">
        <w:rPr>
          <w:rFonts w:ascii="Arial" w:hAnsi="Arial" w:cs="Arial"/>
        </w:rPr>
        <w:t>the default nudge backfires, with or without reflection, compared to the status quo. Put simply, automatically scheduling booster appointments significantly reduces respondents self-reported intentions to get the booster. Yet when respondents are made to think about the nudge, their approval for the policy, relative to the standalone nudge, increases significantly by 6 percentage points. Respondents who reflect on the nudge evaluate the government's action positively, relative to the standalone nudge scenario</w:t>
      </w:r>
      <w:r>
        <w:rPr>
          <w:rFonts w:ascii="Arial" w:hAnsi="Arial" w:cs="Arial"/>
        </w:rPr>
        <w:t xml:space="preserve"> </w:t>
      </w:r>
      <w:r w:rsidR="00DF5407">
        <w:rPr>
          <w:rFonts w:ascii="Arial" w:hAnsi="Arial" w:cs="Arial"/>
        </w:rPr>
        <w:t>(even if they personally did not embrace the nudge).</w:t>
      </w:r>
    </w:p>
    <w:p w14:paraId="7DF17EDB" w14:textId="3DA8674F" w:rsidR="002A4607" w:rsidRDefault="002A4607" w:rsidP="0083020E">
      <w:pPr>
        <w:spacing w:line="276" w:lineRule="auto"/>
        <w:jc w:val="both"/>
        <w:rPr>
          <w:rFonts w:ascii="Arial" w:hAnsi="Arial" w:cs="Arial"/>
        </w:rPr>
      </w:pPr>
    </w:p>
    <w:p w14:paraId="00900FDB" w14:textId="77777777" w:rsidR="005750BD" w:rsidRDefault="005750BD" w:rsidP="0083020E">
      <w:pPr>
        <w:spacing w:line="276" w:lineRule="auto"/>
        <w:jc w:val="both"/>
        <w:rPr>
          <w:rFonts w:ascii="Arial" w:hAnsi="Arial" w:cs="Arial"/>
        </w:rPr>
      </w:pPr>
    </w:p>
    <w:p w14:paraId="6A196349" w14:textId="347F0160" w:rsidR="0083020E" w:rsidRPr="00FE6D78" w:rsidRDefault="00FE6D78">
      <w:pPr>
        <w:rPr>
          <w:rFonts w:ascii="Arial" w:hAnsi="Arial" w:cs="Arial"/>
          <w:b/>
          <w:bCs/>
          <w:color w:val="2F5496" w:themeColor="accent1" w:themeShade="BF"/>
          <w:sz w:val="28"/>
          <w:szCs w:val="28"/>
        </w:rPr>
      </w:pPr>
      <w:r w:rsidRPr="00FE6D78">
        <w:rPr>
          <w:rFonts w:ascii="Arial" w:hAnsi="Arial" w:cs="Arial"/>
          <w:b/>
          <w:bCs/>
          <w:color w:val="2F5496" w:themeColor="accent1" w:themeShade="BF"/>
          <w:sz w:val="28"/>
          <w:szCs w:val="28"/>
        </w:rPr>
        <w:t>Insights and lessons for the UK</w:t>
      </w:r>
      <w:r w:rsidR="00BE1CF0">
        <w:rPr>
          <w:rFonts w:ascii="Arial" w:hAnsi="Arial" w:cs="Arial"/>
          <w:b/>
          <w:bCs/>
          <w:color w:val="2F5496" w:themeColor="accent1" w:themeShade="BF"/>
          <w:sz w:val="28"/>
          <w:szCs w:val="28"/>
        </w:rPr>
        <w:t xml:space="preserve"> </w:t>
      </w:r>
    </w:p>
    <w:p w14:paraId="297EB134" w14:textId="7C60DC26" w:rsidR="00FE6D78" w:rsidRDefault="00FE6D78">
      <w:pPr>
        <w:rPr>
          <w:rFonts w:ascii="Arial" w:hAnsi="Arial" w:cs="Arial"/>
          <w:sz w:val="28"/>
          <w:szCs w:val="28"/>
        </w:rPr>
      </w:pPr>
    </w:p>
    <w:p w14:paraId="02B74757" w14:textId="4DA485F9" w:rsidR="00FE6D78" w:rsidRDefault="00FE6D78" w:rsidP="00FE6D78">
      <w:pPr>
        <w:jc w:val="both"/>
        <w:rPr>
          <w:rFonts w:ascii="Arial" w:hAnsi="Arial" w:cs="Arial"/>
        </w:rPr>
      </w:pPr>
      <w:r>
        <w:rPr>
          <w:rFonts w:ascii="Arial" w:hAnsi="Arial" w:cs="Arial"/>
        </w:rPr>
        <w:t xml:space="preserve">Countries with a softer approach report a lower average vaccination rate in our survey. However, the UK compares favourably with the other countries (Japan and the US) that also take a softer policy approach, particularly with the booster vaccines. Unlike some countries taking a harder policy approach, the UK has not experienced the level of public protest and unrest observed in Canada and France in February 2022. The softer policy approach in the UK also seems to fit with slightly lower public agreement for prioritising lives over personal liberty. Our survey evidence highlights that trust in the vaccine remains high. The UK has thus far avoided the degree of vaccine hesitancy observed in the US. We do not see as strong a degree of vaccine refusal among women, compared to France. </w:t>
      </w:r>
    </w:p>
    <w:p w14:paraId="4C389199" w14:textId="77777777" w:rsidR="00FE6D78" w:rsidRDefault="00FE6D78" w:rsidP="00FE6D78">
      <w:pPr>
        <w:jc w:val="both"/>
        <w:rPr>
          <w:rFonts w:ascii="Arial" w:hAnsi="Arial" w:cs="Arial"/>
        </w:rPr>
      </w:pPr>
    </w:p>
    <w:p w14:paraId="31366EE1" w14:textId="04991434" w:rsidR="00FE6D78" w:rsidRDefault="00FE6D78" w:rsidP="00FE6D78">
      <w:pPr>
        <w:jc w:val="both"/>
        <w:rPr>
          <w:rFonts w:ascii="Arial" w:hAnsi="Arial" w:cs="Arial"/>
        </w:rPr>
      </w:pPr>
      <w:r>
        <w:rPr>
          <w:rFonts w:ascii="Arial" w:hAnsi="Arial" w:cs="Arial"/>
        </w:rPr>
        <w:t>What could the UK do differently in future, learning from policy experiences of other G7 countries?</w:t>
      </w:r>
    </w:p>
    <w:p w14:paraId="4CA94A2E" w14:textId="2C2A401F" w:rsidR="00FE6D78" w:rsidRDefault="00FE6D78" w:rsidP="00FE6D78">
      <w:pPr>
        <w:jc w:val="both"/>
        <w:rPr>
          <w:rFonts w:ascii="Arial" w:hAnsi="Arial" w:cs="Arial"/>
        </w:rPr>
      </w:pPr>
    </w:p>
    <w:p w14:paraId="6BEAA8C5" w14:textId="26EA33CC" w:rsidR="00BE1CF0" w:rsidRPr="00BE1CF0" w:rsidRDefault="00BE1CF0" w:rsidP="00FE6D78">
      <w:pPr>
        <w:jc w:val="both"/>
        <w:rPr>
          <w:rFonts w:ascii="Arial" w:hAnsi="Arial" w:cs="Arial"/>
          <w:b/>
          <w:bCs/>
          <w:i/>
          <w:iCs/>
          <w:color w:val="2F5496" w:themeColor="accent1" w:themeShade="BF"/>
        </w:rPr>
      </w:pPr>
      <w:r w:rsidRPr="00BE1CF0">
        <w:rPr>
          <w:rFonts w:ascii="Arial" w:hAnsi="Arial" w:cs="Arial"/>
          <w:b/>
          <w:bCs/>
          <w:i/>
          <w:iCs/>
          <w:color w:val="2F5496" w:themeColor="accent1" w:themeShade="BF"/>
        </w:rPr>
        <w:t>Policy actions and initiatives</w:t>
      </w:r>
    </w:p>
    <w:p w14:paraId="01D1DD60" w14:textId="77777777" w:rsidR="00BE1CF0" w:rsidRDefault="00BE1CF0" w:rsidP="00FE6D78">
      <w:pPr>
        <w:jc w:val="both"/>
        <w:rPr>
          <w:rFonts w:ascii="Arial" w:hAnsi="Arial" w:cs="Arial"/>
        </w:rPr>
      </w:pPr>
    </w:p>
    <w:p w14:paraId="1048857C" w14:textId="2F76C7D7" w:rsidR="00FE6D78" w:rsidRDefault="00FE6D78" w:rsidP="00FE6D78">
      <w:pPr>
        <w:pStyle w:val="ListParagraph"/>
        <w:numPr>
          <w:ilvl w:val="0"/>
          <w:numId w:val="3"/>
        </w:numPr>
        <w:jc w:val="both"/>
        <w:rPr>
          <w:rFonts w:ascii="Arial" w:hAnsi="Arial" w:cs="Arial"/>
        </w:rPr>
      </w:pPr>
      <w:r>
        <w:rPr>
          <w:rFonts w:ascii="Arial" w:hAnsi="Arial" w:cs="Arial"/>
        </w:rPr>
        <w:t xml:space="preserve">As Covid rules in general grow more relaxed, for example around self-isolation and testing, the UK may want to consider the use of positive incentives to encourage ongoing vaccine uptake particularly among the young. Canada and the US display an imaginative range of incentives schemes from lotteries awarding cash prizes, to recreational activities and holidays, to educational scholarships. These are largely untested in the </w:t>
      </w:r>
      <w:proofErr w:type="gramStart"/>
      <w:r>
        <w:rPr>
          <w:rFonts w:ascii="Arial" w:hAnsi="Arial" w:cs="Arial"/>
        </w:rPr>
        <w:t>UK, but</w:t>
      </w:r>
      <w:proofErr w:type="gramEnd"/>
      <w:r>
        <w:rPr>
          <w:rFonts w:ascii="Arial" w:hAnsi="Arial" w:cs="Arial"/>
        </w:rPr>
        <w:t xml:space="preserve"> may hold promise. </w:t>
      </w:r>
    </w:p>
    <w:p w14:paraId="7ADD5200" w14:textId="77777777" w:rsidR="00BE1CF0" w:rsidRDefault="00BE1CF0" w:rsidP="00BE1CF0">
      <w:pPr>
        <w:pStyle w:val="ListParagraph"/>
        <w:ind w:left="360"/>
        <w:jc w:val="both"/>
        <w:rPr>
          <w:rFonts w:ascii="Arial" w:hAnsi="Arial" w:cs="Arial"/>
        </w:rPr>
      </w:pPr>
    </w:p>
    <w:p w14:paraId="44ACD721" w14:textId="4949CEAE" w:rsidR="00BE1CF0" w:rsidRDefault="00FE6D78" w:rsidP="00BE1CF0">
      <w:pPr>
        <w:pStyle w:val="ListParagraph"/>
        <w:numPr>
          <w:ilvl w:val="0"/>
          <w:numId w:val="3"/>
        </w:numPr>
        <w:jc w:val="both"/>
        <w:rPr>
          <w:rFonts w:ascii="Arial" w:hAnsi="Arial" w:cs="Arial"/>
        </w:rPr>
      </w:pPr>
      <w:r>
        <w:rPr>
          <w:rFonts w:ascii="Arial" w:hAnsi="Arial" w:cs="Arial"/>
        </w:rPr>
        <w:t xml:space="preserve">A number of countries have linked sporting and cultural events to vaccination campaigns, in a bid to raise and maintain the salience of the vaccine and perhaps link vaccination to freedom to enjoy life </w:t>
      </w:r>
      <w:proofErr w:type="gramStart"/>
      <w:r>
        <w:rPr>
          <w:rFonts w:ascii="Arial" w:hAnsi="Arial" w:cs="Arial"/>
        </w:rPr>
        <w:t>fully, and</w:t>
      </w:r>
      <w:proofErr w:type="gramEnd"/>
      <w:r>
        <w:rPr>
          <w:rFonts w:ascii="Arial" w:hAnsi="Arial" w:cs="Arial"/>
        </w:rPr>
        <w:t xml:space="preserve"> participate in national events. Anecdotal evidence suggests that these campaigns are </w:t>
      </w:r>
      <w:proofErr w:type="gramStart"/>
      <w:r>
        <w:rPr>
          <w:rFonts w:ascii="Arial" w:hAnsi="Arial" w:cs="Arial"/>
        </w:rPr>
        <w:t>effective, and</w:t>
      </w:r>
      <w:proofErr w:type="gramEnd"/>
      <w:r>
        <w:rPr>
          <w:rFonts w:ascii="Arial" w:hAnsi="Arial" w:cs="Arial"/>
        </w:rPr>
        <w:t xml:space="preserve"> could be particularly valuable in promoting vaccinations amongst young people. </w:t>
      </w:r>
    </w:p>
    <w:p w14:paraId="2F8ACE71" w14:textId="3E913517" w:rsidR="00653EEE" w:rsidRDefault="00653EEE" w:rsidP="00653EEE">
      <w:pPr>
        <w:jc w:val="both"/>
        <w:rPr>
          <w:rFonts w:ascii="Arial" w:hAnsi="Arial" w:cs="Arial"/>
        </w:rPr>
      </w:pPr>
    </w:p>
    <w:p w14:paraId="0E2BA318" w14:textId="77777777" w:rsidR="005966A4" w:rsidRPr="001A6CF8" w:rsidRDefault="005966A4" w:rsidP="005966A4">
      <w:pPr>
        <w:pStyle w:val="ListParagraph"/>
        <w:numPr>
          <w:ilvl w:val="0"/>
          <w:numId w:val="3"/>
        </w:numPr>
        <w:jc w:val="both"/>
        <w:rPr>
          <w:rFonts w:ascii="Arial" w:hAnsi="Arial" w:cs="Arial"/>
        </w:rPr>
      </w:pPr>
      <w:r>
        <w:rPr>
          <w:rFonts w:ascii="Arial" w:hAnsi="Arial" w:cs="Arial"/>
        </w:rPr>
        <w:t xml:space="preserve">The second most common reason for not being vaccinated is ‘lack of time’, and this is arguably something that could be addressed through persuasive policy approaches. Nudges that remove administrative barriers and make vaccination an easier and more convenient process may more easily reach these unvaccinated </w:t>
      </w:r>
      <w:r>
        <w:rPr>
          <w:rFonts w:ascii="Arial" w:hAnsi="Arial" w:cs="Arial"/>
        </w:rPr>
        <w:lastRenderedPageBreak/>
        <w:t xml:space="preserve">people. The UK has done well to improve access to vaccines including through mass vaccination centres during 2021, an enhanced network of community pharmacies for the booster programme over 2021/22, and NHS text message communications. Borrowing from G7 countries such as Germany and Japan, the UK may want to consider extending the venues at which vaccines can be received to include other healthcare professions; and like Italy and France plan for pop-up vaccination campaigns over the summer that particularly appeal to younger age groups.  </w:t>
      </w:r>
    </w:p>
    <w:p w14:paraId="034D2A75" w14:textId="77777777" w:rsidR="005966A4" w:rsidRDefault="005966A4" w:rsidP="00653EEE">
      <w:pPr>
        <w:jc w:val="both"/>
        <w:rPr>
          <w:rFonts w:ascii="Arial" w:hAnsi="Arial" w:cs="Arial"/>
          <w:b/>
          <w:bCs/>
          <w:i/>
          <w:iCs/>
          <w:color w:val="2F5496" w:themeColor="accent1" w:themeShade="BF"/>
        </w:rPr>
      </w:pPr>
    </w:p>
    <w:p w14:paraId="02938708" w14:textId="13CA5E40" w:rsidR="005966A4" w:rsidRDefault="005966A4" w:rsidP="005966A4">
      <w:pPr>
        <w:pStyle w:val="ListParagraph"/>
        <w:numPr>
          <w:ilvl w:val="0"/>
          <w:numId w:val="3"/>
        </w:numPr>
        <w:jc w:val="both"/>
        <w:rPr>
          <w:rFonts w:ascii="Arial" w:hAnsi="Arial" w:cs="Arial"/>
        </w:rPr>
      </w:pPr>
      <w:r>
        <w:rPr>
          <w:rFonts w:ascii="Arial" w:hAnsi="Arial" w:cs="Arial"/>
        </w:rPr>
        <w:t>Public expectations are important for decision makers to be aware of. 2022 promises to be a year of ongoing policy evolution as G7 countries consider the rollout, continued implementation, or rollback, of policy measures. In general, people expect Governments will recommend a further booster shot in 2022, and that vaccine passes will continue to be in use. Respondents from the UK, USA and Japan are consistently below the G7 average in these expectations, which raises questions for future public acceptance of these measures. Overall, people have optimistic expectations about vaccines but expect government controls over policy, especially in Canada, France, and Germany.</w:t>
      </w:r>
    </w:p>
    <w:p w14:paraId="567B8ABD" w14:textId="77777777" w:rsidR="00F45266" w:rsidRPr="00DF5407" w:rsidRDefault="00F45266" w:rsidP="00DF5407">
      <w:pPr>
        <w:pStyle w:val="ListParagraph"/>
        <w:rPr>
          <w:rFonts w:ascii="Arial" w:hAnsi="Arial" w:cs="Arial"/>
        </w:rPr>
      </w:pPr>
    </w:p>
    <w:p w14:paraId="558E7DC3" w14:textId="5DE9BE4A" w:rsidR="00F45266" w:rsidRPr="00653EEE" w:rsidRDefault="00F45266" w:rsidP="005966A4">
      <w:pPr>
        <w:pStyle w:val="ListParagraph"/>
        <w:numPr>
          <w:ilvl w:val="0"/>
          <w:numId w:val="3"/>
        </w:numPr>
        <w:jc w:val="both"/>
        <w:rPr>
          <w:rFonts w:ascii="Arial" w:hAnsi="Arial" w:cs="Arial"/>
        </w:rPr>
      </w:pPr>
      <w:r>
        <w:rPr>
          <w:rFonts w:ascii="Arial" w:hAnsi="Arial" w:cs="Arial"/>
        </w:rPr>
        <w:t>As the ask for citizens become</w:t>
      </w:r>
      <w:r w:rsidR="003117A6">
        <w:rPr>
          <w:rFonts w:ascii="Arial" w:hAnsi="Arial" w:cs="Arial"/>
        </w:rPr>
        <w:t>s</w:t>
      </w:r>
      <w:r>
        <w:rPr>
          <w:rFonts w:ascii="Arial" w:hAnsi="Arial" w:cs="Arial"/>
        </w:rPr>
        <w:t xml:space="preserve"> more complex after the acute period of the pandemic, we show that governments can build long-term support for nudge policies by asking citizens to think</w:t>
      </w:r>
      <w:r w:rsidR="0042224E">
        <w:rPr>
          <w:rFonts w:ascii="Arial" w:hAnsi="Arial" w:cs="Arial"/>
        </w:rPr>
        <w:t xml:space="preserve"> about nudges (nudge plus).</w:t>
      </w:r>
    </w:p>
    <w:p w14:paraId="55985492" w14:textId="77777777" w:rsidR="005966A4" w:rsidRDefault="005966A4" w:rsidP="00653EEE">
      <w:pPr>
        <w:jc w:val="both"/>
        <w:rPr>
          <w:rFonts w:ascii="Arial" w:hAnsi="Arial" w:cs="Arial"/>
          <w:b/>
          <w:bCs/>
          <w:i/>
          <w:iCs/>
          <w:color w:val="2F5496" w:themeColor="accent1" w:themeShade="BF"/>
        </w:rPr>
      </w:pPr>
    </w:p>
    <w:p w14:paraId="31A775C7" w14:textId="77777777" w:rsidR="00546817" w:rsidRDefault="00546817" w:rsidP="00653EEE">
      <w:pPr>
        <w:jc w:val="both"/>
        <w:rPr>
          <w:rFonts w:ascii="Arial" w:hAnsi="Arial" w:cs="Arial"/>
          <w:b/>
          <w:bCs/>
          <w:i/>
          <w:iCs/>
          <w:color w:val="2F5496" w:themeColor="accent1" w:themeShade="BF"/>
        </w:rPr>
      </w:pPr>
    </w:p>
    <w:p w14:paraId="63AE809B" w14:textId="05448B7A" w:rsidR="002931B6" w:rsidRDefault="002931B6" w:rsidP="00653EEE">
      <w:pPr>
        <w:jc w:val="both"/>
        <w:rPr>
          <w:rFonts w:ascii="Arial" w:hAnsi="Arial" w:cs="Arial"/>
          <w:b/>
          <w:bCs/>
          <w:i/>
          <w:iCs/>
          <w:color w:val="2F5496" w:themeColor="accent1" w:themeShade="BF"/>
        </w:rPr>
      </w:pPr>
      <w:r w:rsidRPr="002931B6">
        <w:rPr>
          <w:rFonts w:ascii="Arial" w:hAnsi="Arial" w:cs="Arial"/>
          <w:b/>
          <w:bCs/>
          <w:i/>
          <w:iCs/>
          <w:color w:val="2F5496" w:themeColor="accent1" w:themeShade="BF"/>
        </w:rPr>
        <w:t>Reaching the unvaccinated</w:t>
      </w:r>
    </w:p>
    <w:p w14:paraId="10362B38" w14:textId="77777777" w:rsidR="002931B6" w:rsidRPr="002931B6" w:rsidRDefault="002931B6" w:rsidP="00653EEE">
      <w:pPr>
        <w:jc w:val="both"/>
        <w:rPr>
          <w:rFonts w:ascii="Arial" w:hAnsi="Arial" w:cs="Arial"/>
          <w:b/>
          <w:bCs/>
          <w:i/>
          <w:iCs/>
          <w:color w:val="2F5496" w:themeColor="accent1" w:themeShade="BF"/>
        </w:rPr>
      </w:pPr>
    </w:p>
    <w:p w14:paraId="440580C7" w14:textId="0B06124F" w:rsidR="002931B6" w:rsidRDefault="00FE6D78" w:rsidP="004C1C8A">
      <w:pPr>
        <w:pStyle w:val="ListParagraph"/>
        <w:numPr>
          <w:ilvl w:val="0"/>
          <w:numId w:val="3"/>
        </w:numPr>
        <w:jc w:val="both"/>
        <w:rPr>
          <w:rFonts w:ascii="Arial" w:hAnsi="Arial" w:cs="Arial"/>
        </w:rPr>
      </w:pPr>
      <w:r>
        <w:rPr>
          <w:rFonts w:ascii="Arial" w:hAnsi="Arial" w:cs="Arial"/>
        </w:rPr>
        <w:t xml:space="preserve">The share of people in the UK who are unvaccinated – approximately 10% in our survey data – is relatively low in the G7, and this is welcome. The two major reasons given for not having received a vaccine yet is not wanting to, and lack of time. The direct refusal of a vaccine suggests that hesitancy may be hardening amongst a minority of people. We need to be realistic about the level of behaviour change softer policies can leverage amongst groups who actively oppose the vaccine. This resistance will not necessarily be fixed through harder policies such as mandates. </w:t>
      </w:r>
    </w:p>
    <w:p w14:paraId="30FA90B8" w14:textId="77777777" w:rsidR="007852F0" w:rsidRPr="004C1C8A" w:rsidRDefault="007852F0" w:rsidP="00DF5407">
      <w:pPr>
        <w:pStyle w:val="ListParagraph"/>
        <w:ind w:left="360"/>
        <w:jc w:val="both"/>
        <w:rPr>
          <w:rFonts w:ascii="Arial" w:hAnsi="Arial" w:cs="Arial"/>
        </w:rPr>
      </w:pPr>
    </w:p>
    <w:p w14:paraId="2426BBD1" w14:textId="2FB21559" w:rsidR="00FE6D78" w:rsidRDefault="00FE6D78" w:rsidP="00FE6D78">
      <w:pPr>
        <w:pStyle w:val="ListParagraph"/>
        <w:numPr>
          <w:ilvl w:val="0"/>
          <w:numId w:val="3"/>
        </w:numPr>
        <w:jc w:val="both"/>
        <w:rPr>
          <w:rFonts w:ascii="Arial" w:hAnsi="Arial" w:cs="Arial"/>
        </w:rPr>
      </w:pPr>
      <w:r>
        <w:rPr>
          <w:rFonts w:ascii="Arial" w:hAnsi="Arial" w:cs="Arial"/>
        </w:rPr>
        <w:t xml:space="preserve">More granular insights into anti-vaccination groups and </w:t>
      </w:r>
      <w:r w:rsidR="007852F0">
        <w:rPr>
          <w:rFonts w:ascii="Arial" w:hAnsi="Arial" w:cs="Arial"/>
        </w:rPr>
        <w:t xml:space="preserve">vaccine-hesitant </w:t>
      </w:r>
      <w:r>
        <w:rPr>
          <w:rFonts w:ascii="Arial" w:hAnsi="Arial" w:cs="Arial"/>
        </w:rPr>
        <w:t xml:space="preserve">attitudes </w:t>
      </w:r>
      <w:r w:rsidR="003117A6">
        <w:rPr>
          <w:rFonts w:ascii="Arial" w:hAnsi="Arial" w:cs="Arial"/>
        </w:rPr>
        <w:t>are</w:t>
      </w:r>
      <w:r>
        <w:rPr>
          <w:rFonts w:ascii="Arial" w:hAnsi="Arial" w:cs="Arial"/>
        </w:rPr>
        <w:t xml:space="preserve"> needed to design effective policy.</w:t>
      </w:r>
      <w:r w:rsidR="002931B6">
        <w:rPr>
          <w:rFonts w:ascii="Arial" w:hAnsi="Arial" w:cs="Arial"/>
        </w:rPr>
        <w:t xml:space="preserve"> </w:t>
      </w:r>
      <w:r w:rsidR="007852F0">
        <w:rPr>
          <w:rFonts w:ascii="Arial" w:hAnsi="Arial" w:cs="Arial"/>
        </w:rPr>
        <w:t>This involves a</w:t>
      </w:r>
      <w:r w:rsidR="004C1C8A">
        <w:rPr>
          <w:rFonts w:ascii="Arial" w:hAnsi="Arial" w:cs="Arial"/>
        </w:rPr>
        <w:t xml:space="preserve"> more targeted understanding and approach for people who remain unvaccinated</w:t>
      </w:r>
      <w:r w:rsidR="007852F0">
        <w:rPr>
          <w:rFonts w:ascii="Arial" w:hAnsi="Arial" w:cs="Arial"/>
        </w:rPr>
        <w:t xml:space="preserve"> – a group </w:t>
      </w:r>
      <w:r w:rsidR="004C1C8A">
        <w:rPr>
          <w:rFonts w:ascii="Arial" w:hAnsi="Arial" w:cs="Arial"/>
        </w:rPr>
        <w:t xml:space="preserve">who may be more diverse than they are often portrayed as. </w:t>
      </w:r>
      <w:r w:rsidR="002931B6">
        <w:rPr>
          <w:rFonts w:ascii="Arial" w:hAnsi="Arial" w:cs="Arial"/>
        </w:rPr>
        <w:t>Our survey shows that ethnic minorities should be considered carefully by sub-group. In the UK, for example, British Indians report slightly higher than average vaccination rates, while other minority ethnic groups report lower vaccination rates and may express more vaccine hesitancy.</w:t>
      </w:r>
      <w:r w:rsidR="007852F0">
        <w:rPr>
          <w:rFonts w:ascii="Arial" w:hAnsi="Arial" w:cs="Arial"/>
        </w:rPr>
        <w:t xml:space="preserve"> Younger people demonstrate different attitudes towards trusted messengers, which should be explored further to persuade higher uptake by the under-35s. And while parents are more likely to be vaccinated themselves, there may be lingering concerns around the vaccine for younger children, </w:t>
      </w:r>
      <w:r w:rsidR="00CC7464">
        <w:rPr>
          <w:rFonts w:ascii="Arial" w:hAnsi="Arial" w:cs="Arial"/>
        </w:rPr>
        <w:t xml:space="preserve">which will require targeted interventions. </w:t>
      </w:r>
      <w:r w:rsidR="007852F0">
        <w:rPr>
          <w:rFonts w:ascii="Arial" w:hAnsi="Arial" w:cs="Arial"/>
        </w:rPr>
        <w:t xml:space="preserve"> </w:t>
      </w:r>
      <w:r w:rsidR="004C1C8A">
        <w:rPr>
          <w:rFonts w:ascii="Arial" w:hAnsi="Arial" w:cs="Arial"/>
        </w:rPr>
        <w:t xml:space="preserve">  </w:t>
      </w:r>
    </w:p>
    <w:p w14:paraId="533176FF" w14:textId="77777777" w:rsidR="00BE1CF0" w:rsidRDefault="00BE1CF0" w:rsidP="00DF5407"/>
    <w:p w14:paraId="35C2DC5F" w14:textId="77777777" w:rsidR="00546817" w:rsidRDefault="00546817" w:rsidP="002E231C">
      <w:pPr>
        <w:pStyle w:val="ListParagraph"/>
        <w:ind w:left="360"/>
        <w:rPr>
          <w:rFonts w:ascii="Arial" w:hAnsi="Arial" w:cs="Arial"/>
          <w:b/>
          <w:bCs/>
          <w:i/>
          <w:iCs/>
          <w:color w:val="2F5496" w:themeColor="accent1" w:themeShade="BF"/>
        </w:rPr>
      </w:pPr>
    </w:p>
    <w:p w14:paraId="0226DB34" w14:textId="77777777" w:rsidR="000E7DD0" w:rsidRDefault="000E7DD0">
      <w:pPr>
        <w:rPr>
          <w:rFonts w:ascii="Arial" w:hAnsi="Arial" w:cs="Arial"/>
          <w:b/>
          <w:bCs/>
          <w:i/>
          <w:iCs/>
          <w:color w:val="2F5496" w:themeColor="accent1" w:themeShade="BF"/>
        </w:rPr>
      </w:pPr>
      <w:r>
        <w:rPr>
          <w:rFonts w:ascii="Arial" w:hAnsi="Arial" w:cs="Arial"/>
          <w:b/>
          <w:bCs/>
          <w:i/>
          <w:iCs/>
          <w:color w:val="2F5496" w:themeColor="accent1" w:themeShade="BF"/>
        </w:rPr>
        <w:br w:type="page"/>
      </w:r>
    </w:p>
    <w:p w14:paraId="4E5A023A" w14:textId="7109058D" w:rsidR="005966A4" w:rsidRPr="00546817" w:rsidRDefault="00BE1CF0" w:rsidP="00546817">
      <w:pPr>
        <w:rPr>
          <w:rFonts w:ascii="Arial" w:hAnsi="Arial" w:cs="Arial"/>
          <w:b/>
          <w:bCs/>
          <w:i/>
          <w:iCs/>
          <w:color w:val="2F5496" w:themeColor="accent1" w:themeShade="BF"/>
        </w:rPr>
      </w:pPr>
      <w:r w:rsidRPr="00546817">
        <w:rPr>
          <w:rFonts w:ascii="Arial" w:hAnsi="Arial" w:cs="Arial"/>
          <w:b/>
          <w:bCs/>
          <w:i/>
          <w:iCs/>
          <w:color w:val="2F5496" w:themeColor="accent1" w:themeShade="BF"/>
        </w:rPr>
        <w:lastRenderedPageBreak/>
        <w:t>Evidence</w:t>
      </w:r>
    </w:p>
    <w:p w14:paraId="53045019" w14:textId="77777777" w:rsidR="00BE1CF0" w:rsidRDefault="00BE1CF0" w:rsidP="00BE1CF0">
      <w:pPr>
        <w:pStyle w:val="ListParagraph"/>
        <w:ind w:left="360"/>
        <w:jc w:val="both"/>
        <w:rPr>
          <w:rFonts w:ascii="Arial" w:hAnsi="Arial" w:cs="Arial"/>
        </w:rPr>
      </w:pPr>
    </w:p>
    <w:p w14:paraId="40A055E9" w14:textId="77777777" w:rsidR="005966A4" w:rsidRDefault="005966A4" w:rsidP="005966A4">
      <w:pPr>
        <w:pStyle w:val="ListParagraph"/>
        <w:numPr>
          <w:ilvl w:val="0"/>
          <w:numId w:val="3"/>
        </w:numPr>
        <w:jc w:val="both"/>
        <w:rPr>
          <w:rFonts w:ascii="Arial" w:hAnsi="Arial" w:cs="Arial"/>
        </w:rPr>
      </w:pPr>
      <w:r w:rsidRPr="005966A4">
        <w:rPr>
          <w:rFonts w:ascii="Arial" w:hAnsi="Arial" w:cs="Arial"/>
        </w:rPr>
        <w:t>The diverse range of policy approaches and governments’ willingness to initiate new vaccine engagement strategies lend themselves to rigorous and significant testing. The scholarly literature is catching up, but there remains a dearth of evidence investigating how effective different policy instruments have been, leaving many questions unanswered in how they should be taken forward in future.</w:t>
      </w:r>
    </w:p>
    <w:p w14:paraId="2B3361C5" w14:textId="77777777" w:rsidR="002745A2" w:rsidRPr="00DF5407" w:rsidRDefault="005966A4" w:rsidP="00DF5407">
      <w:pPr>
        <w:pStyle w:val="ListParagraph"/>
        <w:ind w:left="360"/>
        <w:jc w:val="both"/>
      </w:pPr>
      <w:r w:rsidRPr="005966A4">
        <w:rPr>
          <w:rFonts w:ascii="Arial" w:hAnsi="Arial" w:cs="Arial"/>
        </w:rPr>
        <w:t xml:space="preserve"> </w:t>
      </w:r>
    </w:p>
    <w:p w14:paraId="0E298747" w14:textId="581C9954" w:rsidR="002745A2" w:rsidRPr="00DF5407" w:rsidRDefault="002745A2" w:rsidP="002745A2">
      <w:pPr>
        <w:pStyle w:val="ListParagraph"/>
        <w:numPr>
          <w:ilvl w:val="0"/>
          <w:numId w:val="3"/>
        </w:numPr>
        <w:jc w:val="both"/>
      </w:pPr>
      <w:r w:rsidRPr="002745A2">
        <w:rPr>
          <w:rFonts w:ascii="Arial" w:hAnsi="Arial" w:cs="Arial"/>
        </w:rPr>
        <w:t>We need more</w:t>
      </w:r>
      <w:r w:rsidR="003117A6">
        <w:rPr>
          <w:rFonts w:ascii="Arial" w:hAnsi="Arial" w:cs="Arial"/>
        </w:rPr>
        <w:t xml:space="preserve"> and</w:t>
      </w:r>
      <w:r w:rsidRPr="002745A2">
        <w:rPr>
          <w:rFonts w:ascii="Arial" w:hAnsi="Arial" w:cs="Arial"/>
        </w:rPr>
        <w:t xml:space="preserve"> rigorous evidence on persuasive and informational policy tools. This could be gathered using small-scale field </w:t>
      </w:r>
      <w:proofErr w:type="gramStart"/>
      <w:r w:rsidRPr="002745A2">
        <w:rPr>
          <w:rFonts w:ascii="Arial" w:hAnsi="Arial" w:cs="Arial"/>
        </w:rPr>
        <w:t>experiments, and</w:t>
      </w:r>
      <w:proofErr w:type="gramEnd"/>
      <w:r w:rsidRPr="002745A2">
        <w:rPr>
          <w:rFonts w:ascii="Arial" w:hAnsi="Arial" w:cs="Arial"/>
        </w:rPr>
        <w:t xml:space="preserve"> would do well to move beyond the mass public to focus more carefully on specific communities that</w:t>
      </w:r>
      <w:r>
        <w:rPr>
          <w:rFonts w:ascii="Arial" w:hAnsi="Arial" w:cs="Arial"/>
        </w:rPr>
        <w:t xml:space="preserve"> </w:t>
      </w:r>
      <w:r w:rsidRPr="002745A2">
        <w:rPr>
          <w:rFonts w:ascii="Arial" w:hAnsi="Arial" w:cs="Arial"/>
        </w:rPr>
        <w:t>express ongoing concern and resistance to Covid-19 vaccination</w:t>
      </w:r>
      <w:r>
        <w:rPr>
          <w:rFonts w:ascii="Arial" w:hAnsi="Arial" w:cs="Arial"/>
        </w:rPr>
        <w:t xml:space="preserve">. </w:t>
      </w:r>
    </w:p>
    <w:p w14:paraId="6A3768C9" w14:textId="77777777" w:rsidR="002745A2" w:rsidRPr="00DF5407" w:rsidRDefault="002745A2" w:rsidP="00DF5407">
      <w:pPr>
        <w:pStyle w:val="ListParagraph"/>
        <w:rPr>
          <w:rFonts w:ascii="Arial" w:hAnsi="Arial" w:cs="Arial"/>
        </w:rPr>
      </w:pPr>
    </w:p>
    <w:p w14:paraId="3CC12F69" w14:textId="43D64533" w:rsidR="002745A2" w:rsidRPr="002745A2" w:rsidRDefault="002745A2" w:rsidP="002745A2">
      <w:pPr>
        <w:pStyle w:val="ListParagraph"/>
        <w:numPr>
          <w:ilvl w:val="0"/>
          <w:numId w:val="3"/>
        </w:numPr>
        <w:jc w:val="both"/>
      </w:pPr>
      <w:r>
        <w:rPr>
          <w:rFonts w:ascii="Arial" w:hAnsi="Arial" w:cs="Arial"/>
        </w:rPr>
        <w:t>Mu</w:t>
      </w:r>
      <w:r w:rsidRPr="00121776">
        <w:rPr>
          <w:rFonts w:ascii="Arial" w:hAnsi="Arial" w:cs="Arial"/>
        </w:rPr>
        <w:t xml:space="preserve">ch </w:t>
      </w:r>
      <w:r>
        <w:rPr>
          <w:rFonts w:ascii="Arial" w:hAnsi="Arial" w:cs="Arial"/>
        </w:rPr>
        <w:t>could</w:t>
      </w:r>
      <w:r w:rsidRPr="00121776">
        <w:rPr>
          <w:rFonts w:ascii="Arial" w:hAnsi="Arial" w:cs="Arial"/>
        </w:rPr>
        <w:t xml:space="preserve"> be gained from a coordinated effort to evaluate local-level interventions through randomised control trials and experimental approaches. Doing this over multiple sites allows for important lessons on how well certain interventions travel across social and political contexts. The experimental approach allows for rigorous inference of the effectiveness of a particular policy approach, such as a nudge or an incentive scheme, which will be reported on later.</w:t>
      </w:r>
    </w:p>
    <w:p w14:paraId="43483806" w14:textId="5A44968D" w:rsidR="005966A4" w:rsidRPr="005966A4" w:rsidRDefault="005966A4" w:rsidP="00DF5407">
      <w:pPr>
        <w:pStyle w:val="ListParagraph"/>
        <w:ind w:left="360"/>
        <w:jc w:val="both"/>
        <w:rPr>
          <w:rFonts w:ascii="Arial" w:hAnsi="Arial" w:cs="Arial"/>
        </w:rPr>
      </w:pPr>
    </w:p>
    <w:p w14:paraId="1F3CACDD" w14:textId="77777777" w:rsidR="002745A2" w:rsidRDefault="005966A4" w:rsidP="002745A2">
      <w:pPr>
        <w:pStyle w:val="ListParagraph"/>
        <w:numPr>
          <w:ilvl w:val="0"/>
          <w:numId w:val="3"/>
        </w:numPr>
        <w:jc w:val="both"/>
        <w:rPr>
          <w:rFonts w:ascii="Arial" w:hAnsi="Arial" w:cs="Arial"/>
        </w:rPr>
      </w:pPr>
      <w:r>
        <w:rPr>
          <w:rFonts w:ascii="Arial" w:hAnsi="Arial" w:cs="Arial"/>
        </w:rPr>
        <w:t>R</w:t>
      </w:r>
      <w:r w:rsidRPr="00DF5407">
        <w:rPr>
          <w:rFonts w:ascii="Arial" w:hAnsi="Arial" w:cs="Arial"/>
        </w:rPr>
        <w:t>esearch</w:t>
      </w:r>
      <w:r>
        <w:rPr>
          <w:rFonts w:ascii="Arial" w:hAnsi="Arial" w:cs="Arial"/>
        </w:rPr>
        <w:t xml:space="preserve"> sustained over time</w:t>
      </w:r>
      <w:r w:rsidR="002745A2">
        <w:rPr>
          <w:rFonts w:ascii="Arial" w:hAnsi="Arial" w:cs="Arial"/>
        </w:rPr>
        <w:t>,</w:t>
      </w:r>
      <w:r>
        <w:rPr>
          <w:rFonts w:ascii="Arial" w:hAnsi="Arial" w:cs="Arial"/>
        </w:rPr>
        <w:t xml:space="preserve"> in the form of longitudinal surveys and panel research</w:t>
      </w:r>
      <w:r w:rsidR="002745A2">
        <w:rPr>
          <w:rFonts w:ascii="Arial" w:hAnsi="Arial" w:cs="Arial"/>
        </w:rPr>
        <w:t>, can help improve our knowledge of</w:t>
      </w:r>
      <w:r w:rsidRPr="00DF5407">
        <w:rPr>
          <w:rFonts w:ascii="Arial" w:hAnsi="Arial" w:cs="Arial"/>
        </w:rPr>
        <w:t xml:space="preserve"> vaccine engagement policies over time</w:t>
      </w:r>
      <w:r w:rsidR="002745A2">
        <w:rPr>
          <w:rFonts w:ascii="Arial" w:hAnsi="Arial" w:cs="Arial"/>
        </w:rPr>
        <w:t>. This would allow us to</w:t>
      </w:r>
      <w:r w:rsidRPr="00DF5407">
        <w:rPr>
          <w:rFonts w:ascii="Arial" w:hAnsi="Arial" w:cs="Arial"/>
        </w:rPr>
        <w:t xml:space="preserve"> investigat</w:t>
      </w:r>
      <w:r w:rsidR="002745A2">
        <w:rPr>
          <w:rFonts w:ascii="Arial" w:hAnsi="Arial" w:cs="Arial"/>
        </w:rPr>
        <w:t>e</w:t>
      </w:r>
      <w:r w:rsidRPr="00DF5407">
        <w:rPr>
          <w:rFonts w:ascii="Arial" w:hAnsi="Arial" w:cs="Arial"/>
        </w:rPr>
        <w:t xml:space="preserve"> potential compliance fatigue with harder policy instruments</w:t>
      </w:r>
      <w:r w:rsidR="002745A2">
        <w:rPr>
          <w:rFonts w:ascii="Arial" w:hAnsi="Arial" w:cs="Arial"/>
        </w:rPr>
        <w:t xml:space="preserve">; </w:t>
      </w:r>
      <w:r w:rsidRPr="00DF5407">
        <w:rPr>
          <w:rFonts w:ascii="Arial" w:hAnsi="Arial" w:cs="Arial"/>
        </w:rPr>
        <w:t>which policies manage to hold the public’s attention for longer</w:t>
      </w:r>
      <w:r w:rsidR="002745A2">
        <w:rPr>
          <w:rFonts w:ascii="Arial" w:hAnsi="Arial" w:cs="Arial"/>
        </w:rPr>
        <w:t>; and</w:t>
      </w:r>
      <w:r w:rsidRPr="00DF5407">
        <w:rPr>
          <w:rFonts w:ascii="Arial" w:hAnsi="Arial" w:cs="Arial"/>
        </w:rPr>
        <w:t xml:space="preserve">, </w:t>
      </w:r>
      <w:r w:rsidR="002745A2">
        <w:rPr>
          <w:rFonts w:ascii="Arial" w:hAnsi="Arial" w:cs="Arial"/>
        </w:rPr>
        <w:t>importantly,</w:t>
      </w:r>
      <w:r w:rsidRPr="00DF5407">
        <w:rPr>
          <w:rFonts w:ascii="Arial" w:hAnsi="Arial" w:cs="Arial"/>
        </w:rPr>
        <w:t xml:space="preserve"> the evolution of attitudes amongst those who are hesitant but open to being persuaded to take a vaccine.</w:t>
      </w:r>
    </w:p>
    <w:p w14:paraId="527BB619" w14:textId="77777777" w:rsidR="002745A2" w:rsidRDefault="002745A2" w:rsidP="00DF5407">
      <w:pPr>
        <w:pStyle w:val="ListParagraph"/>
        <w:ind w:left="360"/>
        <w:jc w:val="both"/>
        <w:rPr>
          <w:rFonts w:ascii="Arial" w:hAnsi="Arial" w:cs="Arial"/>
        </w:rPr>
      </w:pPr>
    </w:p>
    <w:p w14:paraId="5BF2F05D" w14:textId="1CDF9D0B" w:rsidR="002745A2" w:rsidRDefault="002745A2">
      <w:pPr>
        <w:rPr>
          <w:rFonts w:ascii="Arial" w:hAnsi="Arial" w:cs="Arial"/>
        </w:rPr>
      </w:pPr>
    </w:p>
    <w:p w14:paraId="4998726E" w14:textId="6B6FDE19" w:rsidR="005750BD" w:rsidRDefault="005750BD">
      <w:pPr>
        <w:rPr>
          <w:rFonts w:ascii="Arial" w:hAnsi="Arial" w:cs="Arial"/>
        </w:rPr>
      </w:pPr>
    </w:p>
    <w:p w14:paraId="56FAE5FF" w14:textId="77777777" w:rsidR="00546817" w:rsidRDefault="00546817" w:rsidP="00423413">
      <w:pPr>
        <w:rPr>
          <w:rFonts w:ascii="Arial" w:hAnsi="Arial" w:cs="Arial"/>
          <w:b/>
          <w:bCs/>
          <w:color w:val="2F5496" w:themeColor="accent1" w:themeShade="BF"/>
          <w:sz w:val="28"/>
          <w:szCs w:val="28"/>
        </w:rPr>
      </w:pPr>
    </w:p>
    <w:p w14:paraId="79A00AFD" w14:textId="77777777" w:rsidR="006E67E0" w:rsidRDefault="006E67E0">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br w:type="page"/>
      </w:r>
    </w:p>
    <w:p w14:paraId="0417E35A" w14:textId="7D928909" w:rsidR="00423413" w:rsidRPr="006E2447" w:rsidRDefault="00423413" w:rsidP="00423413">
      <w:pPr>
        <w:rPr>
          <w:rFonts w:ascii="Arial" w:hAnsi="Arial" w:cs="Arial"/>
          <w:b/>
          <w:bCs/>
          <w:color w:val="2F5496" w:themeColor="accent1" w:themeShade="BF"/>
          <w:sz w:val="28"/>
          <w:szCs w:val="28"/>
        </w:rPr>
      </w:pPr>
      <w:r w:rsidRPr="006E2447">
        <w:rPr>
          <w:rFonts w:ascii="Arial" w:hAnsi="Arial" w:cs="Arial"/>
          <w:b/>
          <w:bCs/>
          <w:color w:val="2F5496" w:themeColor="accent1" w:themeShade="BF"/>
          <w:sz w:val="28"/>
          <w:szCs w:val="28"/>
        </w:rPr>
        <w:lastRenderedPageBreak/>
        <w:t>Research team</w:t>
      </w:r>
    </w:p>
    <w:p w14:paraId="23799B7C" w14:textId="77777777" w:rsidR="00423413" w:rsidRDefault="00423413" w:rsidP="00423413">
      <w:pPr>
        <w:jc w:val="both"/>
        <w:rPr>
          <w:rFonts w:ascii="Arial" w:hAnsi="Arial" w:cs="Arial"/>
        </w:rPr>
      </w:pPr>
    </w:p>
    <w:p w14:paraId="0B4EA8D6" w14:textId="4983E59C" w:rsidR="00423413" w:rsidRPr="00F8133D" w:rsidRDefault="00423413" w:rsidP="00423413">
      <w:pPr>
        <w:jc w:val="both"/>
        <w:rPr>
          <w:rFonts w:ascii="Arial" w:hAnsi="Arial" w:cs="Arial"/>
        </w:rPr>
      </w:pPr>
      <w:r w:rsidRPr="00F8133D">
        <w:rPr>
          <w:rFonts w:ascii="Arial" w:hAnsi="Arial" w:cs="Arial"/>
        </w:rPr>
        <w:t xml:space="preserve">Our </w:t>
      </w:r>
      <w:r>
        <w:rPr>
          <w:rFonts w:ascii="Arial" w:hAnsi="Arial" w:cs="Arial"/>
        </w:rPr>
        <w:t>research builds on an international collaborative effort across King</w:t>
      </w:r>
      <w:r w:rsidR="003117A6">
        <w:rPr>
          <w:rFonts w:ascii="Arial" w:hAnsi="Arial" w:cs="Arial"/>
        </w:rPr>
        <w:t>’</w:t>
      </w:r>
      <w:r>
        <w:rPr>
          <w:rFonts w:ascii="Arial" w:hAnsi="Arial" w:cs="Arial"/>
        </w:rPr>
        <w:t xml:space="preserve">s College London, Brunel University London, the LSE, the University of Toronto, and Dartmouth College. Design and delivery of our research is thanks to a tremendous team effort from all members (in alphabetical order): </w:t>
      </w:r>
      <w:proofErr w:type="spellStart"/>
      <w:r>
        <w:rPr>
          <w:rFonts w:ascii="Arial" w:hAnsi="Arial" w:cs="Arial"/>
        </w:rPr>
        <w:t>Sanchayan</w:t>
      </w:r>
      <w:proofErr w:type="spellEnd"/>
      <w:r>
        <w:rPr>
          <w:rFonts w:ascii="Arial" w:hAnsi="Arial" w:cs="Arial"/>
        </w:rPr>
        <w:t xml:space="preserve"> Banerjee, Peter John, Richard Koenig, Blake Lee-Whiting, Peter John Loewen, John McAndrews, Brendan </w:t>
      </w:r>
      <w:proofErr w:type="spellStart"/>
      <w:r>
        <w:rPr>
          <w:rFonts w:ascii="Arial" w:hAnsi="Arial" w:cs="Arial"/>
        </w:rPr>
        <w:t>Nyhan</w:t>
      </w:r>
      <w:proofErr w:type="spellEnd"/>
      <w:r>
        <w:rPr>
          <w:rFonts w:ascii="Arial" w:hAnsi="Arial" w:cs="Arial"/>
        </w:rPr>
        <w:t xml:space="preserve">, and Manu </w:t>
      </w:r>
      <w:proofErr w:type="spellStart"/>
      <w:r>
        <w:rPr>
          <w:rFonts w:ascii="Arial" w:hAnsi="Arial" w:cs="Arial"/>
        </w:rPr>
        <w:t>Savani</w:t>
      </w:r>
      <w:proofErr w:type="spellEnd"/>
      <w:r>
        <w:rPr>
          <w:rFonts w:ascii="Arial" w:hAnsi="Arial" w:cs="Arial"/>
        </w:rPr>
        <w:t xml:space="preserve">. We would like to acknowledge the excellent work of the PEARL lab in Toronto; support from the LSE behavioural economics lab; and data collection by </w:t>
      </w:r>
      <w:proofErr w:type="spellStart"/>
      <w:r>
        <w:rPr>
          <w:rFonts w:ascii="Arial" w:hAnsi="Arial" w:cs="Arial"/>
        </w:rPr>
        <w:t>Dynata</w:t>
      </w:r>
      <w:proofErr w:type="spellEnd"/>
      <w:r>
        <w:rPr>
          <w:rFonts w:ascii="Arial" w:hAnsi="Arial" w:cs="Arial"/>
        </w:rPr>
        <w:t xml:space="preserve">. We would also like to express our gratitude for outstanding research assistance from </w:t>
      </w:r>
      <w:proofErr w:type="spellStart"/>
      <w:r>
        <w:rPr>
          <w:rFonts w:ascii="Arial" w:hAnsi="Arial" w:cs="Arial"/>
        </w:rPr>
        <w:t>J</w:t>
      </w:r>
      <w:r w:rsidRPr="00056BCD">
        <w:rPr>
          <w:rFonts w:ascii="Arial" w:hAnsi="Arial" w:cs="Arial"/>
        </w:rPr>
        <w:t>onta</w:t>
      </w:r>
      <w:proofErr w:type="spellEnd"/>
      <w:r>
        <w:rPr>
          <w:rFonts w:ascii="Arial" w:hAnsi="Arial" w:cs="Arial"/>
        </w:rPr>
        <w:t xml:space="preserve"> K</w:t>
      </w:r>
      <w:r w:rsidRPr="00056BCD">
        <w:rPr>
          <w:rFonts w:ascii="Arial" w:hAnsi="Arial" w:cs="Arial"/>
        </w:rPr>
        <w:t>amara</w:t>
      </w:r>
      <w:r>
        <w:rPr>
          <w:rFonts w:ascii="Arial" w:hAnsi="Arial" w:cs="Arial"/>
        </w:rPr>
        <w:t>,</w:t>
      </w:r>
      <w:r w:rsidRPr="009601F3">
        <w:rPr>
          <w:rFonts w:ascii="Arial" w:hAnsi="Arial" w:cs="Arial"/>
        </w:rPr>
        <w:t xml:space="preserve"> </w:t>
      </w:r>
      <w:r>
        <w:rPr>
          <w:rFonts w:ascii="Arial" w:hAnsi="Arial" w:cs="Arial"/>
        </w:rPr>
        <w:t xml:space="preserve">Lucia </w:t>
      </w:r>
      <w:proofErr w:type="spellStart"/>
      <w:r>
        <w:rPr>
          <w:rFonts w:ascii="Arial" w:hAnsi="Arial" w:cs="Arial"/>
        </w:rPr>
        <w:t>Letsch</w:t>
      </w:r>
      <w:proofErr w:type="spellEnd"/>
      <w:r>
        <w:rPr>
          <w:rFonts w:ascii="Arial" w:hAnsi="Arial" w:cs="Arial"/>
        </w:rPr>
        <w:t xml:space="preserve">, Celine Mano, and Bea Thomson. For enquiries or further information please contact </w:t>
      </w:r>
      <w:hyperlink r:id="rId17" w:history="1">
        <w:r w:rsidRPr="00821B7C">
          <w:rPr>
            <w:rStyle w:val="Hyperlink"/>
            <w:rFonts w:ascii="Arial" w:hAnsi="Arial" w:cs="Arial"/>
          </w:rPr>
          <w:t>peter.john@kcl.ac.uk</w:t>
        </w:r>
      </w:hyperlink>
      <w:r>
        <w:rPr>
          <w:rFonts w:ascii="Arial" w:hAnsi="Arial" w:cs="Arial"/>
        </w:rPr>
        <w:t xml:space="preserve"> or </w:t>
      </w:r>
      <w:hyperlink r:id="rId18" w:history="1">
        <w:r w:rsidRPr="00821B7C">
          <w:rPr>
            <w:rStyle w:val="Hyperlink"/>
            <w:rFonts w:ascii="Arial" w:hAnsi="Arial" w:cs="Arial"/>
          </w:rPr>
          <w:t>manu.savani@brunel.ac.uk</w:t>
        </w:r>
      </w:hyperlink>
      <w:r>
        <w:rPr>
          <w:rFonts w:ascii="Arial" w:hAnsi="Arial" w:cs="Arial"/>
        </w:rPr>
        <w:t xml:space="preserve">. </w:t>
      </w:r>
    </w:p>
    <w:p w14:paraId="63AFC37A" w14:textId="77777777" w:rsidR="00423413" w:rsidRDefault="00423413" w:rsidP="00423413">
      <w:pPr>
        <w:jc w:val="both"/>
        <w:rPr>
          <w:rFonts w:ascii="Arial" w:hAnsi="Arial" w:cs="Arial"/>
        </w:rPr>
      </w:pPr>
    </w:p>
    <w:p w14:paraId="68EAFFD3" w14:textId="77777777" w:rsidR="00423413" w:rsidRDefault="00423413" w:rsidP="00423413">
      <w:pPr>
        <w:jc w:val="both"/>
        <w:rPr>
          <w:rFonts w:ascii="Arial" w:hAnsi="Arial" w:cs="Arial"/>
        </w:rPr>
      </w:pPr>
      <w:r>
        <w:rPr>
          <w:rFonts w:ascii="Arial" w:hAnsi="Arial" w:cs="Arial"/>
        </w:rPr>
        <w:t xml:space="preserve">We are grateful to the British Academy for this opportunity and generous funding, with particular thanks to Flora Langley and Hugo Clarke for their guidance throughout the project. We appreciate the comments and suggestions of an anonymous peer reviewer on earlier work. </w:t>
      </w:r>
    </w:p>
    <w:p w14:paraId="63F121EE" w14:textId="27565169" w:rsidR="008D30A5" w:rsidRDefault="008D30A5" w:rsidP="008D30A5"/>
    <w:p w14:paraId="357E03E2" w14:textId="77777777" w:rsidR="006E67E0" w:rsidRDefault="006E67E0" w:rsidP="008D30A5"/>
    <w:p w14:paraId="1A6E1241" w14:textId="4364B8FA" w:rsidR="004015A6" w:rsidRDefault="004015A6" w:rsidP="004015A6">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t>References</w:t>
      </w:r>
    </w:p>
    <w:p w14:paraId="0A191734" w14:textId="681422A4" w:rsidR="004015A6" w:rsidRDefault="004015A6" w:rsidP="004015A6">
      <w:pPr>
        <w:rPr>
          <w:rFonts w:ascii="Arial" w:hAnsi="Arial" w:cs="Arial"/>
          <w:b/>
          <w:bCs/>
          <w:color w:val="2F5496" w:themeColor="accent1" w:themeShade="BF"/>
          <w:sz w:val="28"/>
          <w:szCs w:val="28"/>
        </w:rPr>
      </w:pPr>
    </w:p>
    <w:p w14:paraId="001EC317" w14:textId="51BFA418" w:rsidR="004015A6" w:rsidRPr="00747930" w:rsidRDefault="004015A6" w:rsidP="004015A6">
      <w:pPr>
        <w:rPr>
          <w:rFonts w:ascii="Arial" w:hAnsi="Arial" w:cs="Arial"/>
          <w:b/>
          <w:bCs/>
          <w:sz w:val="22"/>
          <w:szCs w:val="22"/>
        </w:rPr>
      </w:pPr>
      <w:r w:rsidRPr="00747930">
        <w:rPr>
          <w:rFonts w:asciiTheme="minorBidi" w:eastAsia="Times New Roman" w:hAnsiTheme="minorBidi"/>
          <w:sz w:val="22"/>
          <w:szCs w:val="22"/>
          <w:lang w:eastAsia="en-GB"/>
        </w:rPr>
        <w:t>Mathieu, E., Ritchie, H., Ortiz-Ospina, E. et al. (2021) ‘</w:t>
      </w:r>
      <w:hyperlink r:id="rId19" w:tgtFrame="_blank" w:history="1">
        <w:r w:rsidRPr="00747930">
          <w:rPr>
            <w:rFonts w:asciiTheme="minorBidi" w:eastAsia="Times New Roman" w:hAnsiTheme="minorBidi"/>
            <w:sz w:val="22"/>
            <w:szCs w:val="22"/>
            <w:u w:val="single"/>
            <w:lang w:eastAsia="en-GB"/>
          </w:rPr>
          <w:t xml:space="preserve">A global database of COVID-19 </w:t>
        </w:r>
        <w:proofErr w:type="gramStart"/>
        <w:r w:rsidRPr="00747930">
          <w:rPr>
            <w:rFonts w:asciiTheme="minorBidi" w:eastAsia="Times New Roman" w:hAnsiTheme="minorBidi"/>
            <w:sz w:val="22"/>
            <w:szCs w:val="22"/>
            <w:u w:val="single"/>
            <w:lang w:eastAsia="en-GB"/>
          </w:rPr>
          <w:t>vaccinations’</w:t>
        </w:r>
        <w:proofErr w:type="gramEnd"/>
        <w:r w:rsidRPr="00747930">
          <w:rPr>
            <w:rFonts w:asciiTheme="minorBidi" w:eastAsia="Times New Roman" w:hAnsiTheme="minorBidi"/>
            <w:sz w:val="22"/>
            <w:szCs w:val="22"/>
            <w:u w:val="single"/>
            <w:lang w:eastAsia="en-GB"/>
          </w:rPr>
          <w:t xml:space="preserve">. </w:t>
        </w:r>
        <w:r w:rsidRPr="00747930">
          <w:rPr>
            <w:rFonts w:asciiTheme="minorBidi" w:eastAsia="Times New Roman" w:hAnsiTheme="minorBidi"/>
            <w:i/>
            <w:iCs/>
            <w:sz w:val="22"/>
            <w:szCs w:val="22"/>
            <w:u w:val="single"/>
            <w:lang w:eastAsia="en-GB"/>
          </w:rPr>
          <w:t xml:space="preserve">Nat Hum </w:t>
        </w:r>
        <w:proofErr w:type="spellStart"/>
        <w:r w:rsidRPr="00747930">
          <w:rPr>
            <w:rFonts w:asciiTheme="minorBidi" w:eastAsia="Times New Roman" w:hAnsiTheme="minorBidi"/>
            <w:i/>
            <w:iCs/>
            <w:sz w:val="22"/>
            <w:szCs w:val="22"/>
            <w:u w:val="single"/>
            <w:lang w:eastAsia="en-GB"/>
          </w:rPr>
          <w:t>Behav</w:t>
        </w:r>
        <w:proofErr w:type="spellEnd"/>
      </w:hyperlink>
      <w:r w:rsidRPr="00747930">
        <w:rPr>
          <w:rFonts w:asciiTheme="minorBidi" w:eastAsia="Times New Roman" w:hAnsiTheme="minorBidi"/>
          <w:sz w:val="22"/>
          <w:szCs w:val="22"/>
          <w:u w:val="single"/>
          <w:lang w:eastAsia="en-GB"/>
        </w:rPr>
        <w:t>, 5, pp. 947-953.</w:t>
      </w:r>
    </w:p>
    <w:p w14:paraId="6D0E9AB1" w14:textId="77777777" w:rsidR="007A5E87" w:rsidRDefault="007A5E87" w:rsidP="006E67E0">
      <w:pPr>
        <w:ind w:hanging="426"/>
        <w:rPr>
          <w:rFonts w:ascii="Arial" w:eastAsia="Times New Roman" w:hAnsi="Arial" w:cs="Arial"/>
          <w:sz w:val="22"/>
          <w:szCs w:val="22"/>
          <w:lang w:eastAsia="en-GB"/>
        </w:rPr>
      </w:pPr>
    </w:p>
    <w:p w14:paraId="0B4DF6A0" w14:textId="4C9436FE" w:rsidR="006D7E6D" w:rsidRPr="00747930" w:rsidRDefault="004015A6" w:rsidP="007A5E87">
      <w:pPr>
        <w:rPr>
          <w:rFonts w:asciiTheme="minorBidi" w:hAnsiTheme="minorBidi"/>
          <w:i/>
          <w:iCs/>
          <w:sz w:val="22"/>
          <w:szCs w:val="22"/>
          <w:shd w:val="clear" w:color="auto" w:fill="FFFFFF"/>
        </w:rPr>
      </w:pPr>
      <w:r w:rsidRPr="00747930">
        <w:rPr>
          <w:rFonts w:ascii="Arial" w:eastAsia="Times New Roman" w:hAnsi="Arial" w:cs="Arial"/>
          <w:sz w:val="22"/>
          <w:szCs w:val="22"/>
          <w:lang w:eastAsia="en-GB"/>
        </w:rPr>
        <w:t xml:space="preserve">Our World in Data (2022) </w:t>
      </w:r>
      <w:hyperlink r:id="rId20" w:history="1">
        <w:r w:rsidRPr="00747930">
          <w:rPr>
            <w:rStyle w:val="Hyperlink"/>
            <w:rFonts w:ascii="Arial" w:eastAsia="Times New Roman" w:hAnsi="Arial" w:cs="Arial"/>
            <w:i/>
            <w:iCs/>
            <w:color w:val="auto"/>
            <w:sz w:val="22"/>
            <w:szCs w:val="22"/>
            <w:lang w:eastAsia="en-GB"/>
          </w:rPr>
          <w:t>COVID-19 vaccine boosters administered per 100 people</w:t>
        </w:r>
      </w:hyperlink>
      <w:r w:rsidRPr="00747930">
        <w:rPr>
          <w:rFonts w:ascii="Arial" w:eastAsia="Times New Roman" w:hAnsi="Arial" w:cs="Arial"/>
          <w:sz w:val="22"/>
          <w:szCs w:val="22"/>
          <w:lang w:eastAsia="en-GB"/>
        </w:rPr>
        <w:t xml:space="preserve"> </w:t>
      </w:r>
      <w:r w:rsidRPr="00747930">
        <w:rPr>
          <w:rFonts w:ascii="Arial" w:hAnsi="Arial" w:cs="Arial"/>
          <w:sz w:val="22"/>
          <w:szCs w:val="22"/>
          <w:lang w:eastAsia="en-GB"/>
        </w:rPr>
        <w:t>[accessed 23/02/2022]</w:t>
      </w:r>
      <w:r w:rsidRPr="00747930">
        <w:rPr>
          <w:rFonts w:asciiTheme="minorBidi" w:hAnsiTheme="minorBidi"/>
          <w:i/>
          <w:iCs/>
          <w:sz w:val="22"/>
          <w:szCs w:val="22"/>
          <w:shd w:val="clear" w:color="auto" w:fill="FFFFFF"/>
        </w:rPr>
        <w:t>.</w:t>
      </w:r>
    </w:p>
    <w:p w14:paraId="70AAA7CC" w14:textId="5B6E1AA7" w:rsidR="004015A6" w:rsidRPr="00747930" w:rsidRDefault="004015A6" w:rsidP="008D30A5">
      <w:pPr>
        <w:rPr>
          <w:rFonts w:asciiTheme="minorBidi" w:hAnsiTheme="minorBidi"/>
          <w:i/>
          <w:iCs/>
          <w:sz w:val="22"/>
          <w:szCs w:val="22"/>
          <w:shd w:val="clear" w:color="auto" w:fill="FFFFFF"/>
        </w:rPr>
      </w:pPr>
    </w:p>
    <w:p w14:paraId="2A016983" w14:textId="0E76BC63" w:rsidR="004015A6" w:rsidRPr="00747930" w:rsidRDefault="004015A6" w:rsidP="007A5E87">
      <w:pPr>
        <w:rPr>
          <w:sz w:val="22"/>
          <w:szCs w:val="22"/>
        </w:rPr>
      </w:pPr>
      <w:r w:rsidRPr="00747930">
        <w:rPr>
          <w:rFonts w:ascii="Arial" w:eastAsia="Times New Roman" w:hAnsi="Arial" w:cs="Arial"/>
          <w:sz w:val="22"/>
          <w:szCs w:val="22"/>
          <w:lang w:eastAsia="en-GB"/>
        </w:rPr>
        <w:t xml:space="preserve">Our World in Data (2022) </w:t>
      </w:r>
      <w:hyperlink r:id="rId21" w:history="1">
        <w:r w:rsidRPr="00747930">
          <w:rPr>
            <w:rStyle w:val="Hyperlink"/>
            <w:rFonts w:ascii="Arial" w:hAnsi="Arial" w:cs="Arial"/>
            <w:i/>
            <w:iCs/>
            <w:color w:val="auto"/>
            <w:sz w:val="22"/>
            <w:szCs w:val="22"/>
            <w:lang w:eastAsia="en-GB"/>
          </w:rPr>
          <w:t>Share of people who completed the initial COVID-19 vaccination</w:t>
        </w:r>
        <w:r w:rsidRPr="00747930">
          <w:rPr>
            <w:rStyle w:val="Hyperlink"/>
            <w:rFonts w:ascii="Arial" w:hAnsi="Arial" w:cs="Arial"/>
            <w:i/>
            <w:iCs/>
            <w:color w:val="auto"/>
            <w:sz w:val="22"/>
            <w:szCs w:val="22"/>
            <w:lang w:eastAsia="en-GB"/>
          </w:rPr>
          <w:br/>
          <w:t>protocol</w:t>
        </w:r>
      </w:hyperlink>
      <w:r w:rsidRPr="00747930">
        <w:rPr>
          <w:rFonts w:ascii="Arial" w:hAnsi="Arial" w:cs="Arial"/>
          <w:i/>
          <w:iCs/>
          <w:sz w:val="22"/>
          <w:szCs w:val="22"/>
          <w:lang w:eastAsia="en-GB"/>
        </w:rPr>
        <w:t xml:space="preserve"> </w:t>
      </w:r>
      <w:r w:rsidRPr="00747930">
        <w:rPr>
          <w:rFonts w:ascii="Arial" w:hAnsi="Arial" w:cs="Arial"/>
          <w:sz w:val="22"/>
          <w:szCs w:val="22"/>
          <w:lang w:eastAsia="en-GB"/>
        </w:rPr>
        <w:t>[accessed 23/02/2022]</w:t>
      </w:r>
      <w:r w:rsidRPr="00747930">
        <w:rPr>
          <w:rFonts w:asciiTheme="minorBidi" w:hAnsiTheme="minorBidi"/>
          <w:i/>
          <w:iCs/>
          <w:sz w:val="22"/>
          <w:szCs w:val="22"/>
          <w:shd w:val="clear" w:color="auto" w:fill="FFFFFF"/>
        </w:rPr>
        <w:t>.</w:t>
      </w:r>
      <w:r w:rsidRPr="00747930">
        <w:rPr>
          <w:rFonts w:asciiTheme="minorBidi" w:hAnsiTheme="minorBidi"/>
          <w:i/>
          <w:iCs/>
          <w:sz w:val="22"/>
          <w:szCs w:val="22"/>
          <w:shd w:val="clear" w:color="auto" w:fill="FFFFFF"/>
        </w:rPr>
        <w:br/>
      </w:r>
    </w:p>
    <w:sectPr w:rsidR="004015A6" w:rsidRPr="00747930" w:rsidSect="006E2447">
      <w:footerReference w:type="even" r:id="rId22"/>
      <w:footerReference w:type="default" r:id="rId23"/>
      <w:pgSz w:w="11906" w:h="16838"/>
      <w:pgMar w:top="1440" w:right="1440" w:bottom="1440" w:left="1440" w:header="708" w:footer="708"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41E0" w14:textId="77777777" w:rsidR="00B149C5" w:rsidRDefault="00B149C5">
      <w:r>
        <w:separator/>
      </w:r>
    </w:p>
  </w:endnote>
  <w:endnote w:type="continuationSeparator" w:id="0">
    <w:p w14:paraId="05A8C8EE" w14:textId="77777777" w:rsidR="00B149C5" w:rsidRDefault="00B149C5">
      <w:r>
        <w:continuationSeparator/>
      </w:r>
    </w:p>
  </w:endnote>
  <w:endnote w:type="continuationNotice" w:id="1">
    <w:p w14:paraId="6E44DF4A" w14:textId="77777777" w:rsidR="00B149C5" w:rsidRDefault="00B14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050819"/>
      <w:docPartObj>
        <w:docPartGallery w:val="Page Numbers (Bottom of Page)"/>
        <w:docPartUnique/>
      </w:docPartObj>
    </w:sdtPr>
    <w:sdtEndPr>
      <w:rPr>
        <w:rStyle w:val="PageNumber"/>
      </w:rPr>
    </w:sdtEndPr>
    <w:sdtContent>
      <w:p w14:paraId="65A894CA" w14:textId="77777777" w:rsidR="006C7D34" w:rsidRDefault="00A548E6" w:rsidP="006C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60EC84" w14:textId="77777777" w:rsidR="006C7D34" w:rsidRDefault="006C7D34" w:rsidP="006C7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1893514"/>
      <w:docPartObj>
        <w:docPartGallery w:val="Page Numbers (Bottom of Page)"/>
        <w:docPartUnique/>
      </w:docPartObj>
    </w:sdtPr>
    <w:sdtEndPr>
      <w:rPr>
        <w:rStyle w:val="PageNumber"/>
      </w:rPr>
    </w:sdtEndPr>
    <w:sdtContent>
      <w:p w14:paraId="7F4A5411" w14:textId="77777777" w:rsidR="006C7D34" w:rsidRDefault="00A548E6" w:rsidP="006C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880CDB" w14:textId="77777777" w:rsidR="006C7D34" w:rsidRDefault="006C7D34" w:rsidP="006C7D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4509" w14:textId="77777777" w:rsidR="00B149C5" w:rsidRDefault="00B149C5">
      <w:r>
        <w:separator/>
      </w:r>
    </w:p>
  </w:footnote>
  <w:footnote w:type="continuationSeparator" w:id="0">
    <w:p w14:paraId="71A09298" w14:textId="77777777" w:rsidR="00B149C5" w:rsidRDefault="00B149C5">
      <w:r>
        <w:continuationSeparator/>
      </w:r>
    </w:p>
  </w:footnote>
  <w:footnote w:type="continuationNotice" w:id="1">
    <w:p w14:paraId="77CDAA9E" w14:textId="77777777" w:rsidR="00B149C5" w:rsidRDefault="00B149C5"/>
  </w:footnote>
  <w:footnote w:id="2">
    <w:p w14:paraId="72C09BB9" w14:textId="5F92A9CA" w:rsidR="002B626B" w:rsidRPr="00747930" w:rsidRDefault="00794FBA" w:rsidP="00747930">
      <w:pPr>
        <w:rPr>
          <w:rFonts w:asciiTheme="minorBidi" w:hAnsiTheme="minorBidi"/>
          <w:b/>
          <w:bCs/>
          <w:color w:val="555555"/>
          <w:sz w:val="22"/>
          <w:szCs w:val="22"/>
        </w:rPr>
      </w:pPr>
      <w:r>
        <w:rPr>
          <w:rStyle w:val="FootnoteReference"/>
        </w:rPr>
        <w:footnoteRef/>
      </w:r>
      <w:r>
        <w:t xml:space="preserve"> </w:t>
      </w:r>
      <w:r w:rsidR="002B626B" w:rsidRPr="00747930">
        <w:rPr>
          <w:rFonts w:ascii="Arial" w:eastAsia="Times New Roman" w:hAnsi="Arial" w:cs="Arial"/>
          <w:color w:val="000000" w:themeColor="text1"/>
          <w:sz w:val="20"/>
          <w:szCs w:val="20"/>
          <w:lang w:eastAsia="en-GB"/>
        </w:rPr>
        <w:t xml:space="preserve">Our World in Data (2022) </w:t>
      </w:r>
      <w:hyperlink r:id="rId1" w:history="1">
        <w:r w:rsidR="002B626B" w:rsidRPr="00747930">
          <w:rPr>
            <w:rStyle w:val="Hyperlink"/>
            <w:rFonts w:ascii="Arial" w:hAnsi="Arial" w:cs="Arial"/>
            <w:i/>
            <w:iCs/>
            <w:sz w:val="20"/>
            <w:szCs w:val="20"/>
            <w:lang w:eastAsia="en-GB"/>
          </w:rPr>
          <w:t>Share of people who completed the initial COVID-19 vaccination</w:t>
        </w:r>
        <w:r w:rsidR="002B626B" w:rsidRPr="00747930">
          <w:rPr>
            <w:rStyle w:val="Hyperlink"/>
            <w:rFonts w:ascii="Arial" w:hAnsi="Arial" w:cs="Arial"/>
            <w:i/>
            <w:iCs/>
            <w:sz w:val="20"/>
            <w:szCs w:val="20"/>
            <w:lang w:eastAsia="en-GB"/>
          </w:rPr>
          <w:br/>
          <w:t>protocol</w:t>
        </w:r>
      </w:hyperlink>
      <w:r w:rsidR="002B626B" w:rsidRPr="004015A6">
        <w:rPr>
          <w:rFonts w:ascii="Arial" w:hAnsi="Arial" w:cs="Arial"/>
          <w:i/>
          <w:iCs/>
          <w:color w:val="000000" w:themeColor="text1"/>
          <w:sz w:val="20"/>
          <w:szCs w:val="20"/>
          <w:lang w:eastAsia="en-GB"/>
        </w:rPr>
        <w:t xml:space="preserve"> </w:t>
      </w:r>
      <w:r w:rsidR="002B626B" w:rsidRPr="00747930">
        <w:rPr>
          <w:rFonts w:ascii="Arial" w:hAnsi="Arial" w:cs="Arial"/>
          <w:color w:val="000000" w:themeColor="text1"/>
          <w:sz w:val="20"/>
          <w:szCs w:val="20"/>
          <w:lang w:eastAsia="en-GB"/>
        </w:rPr>
        <w:t>[</w:t>
      </w:r>
      <w:r w:rsidR="002B626B" w:rsidRPr="004015A6">
        <w:rPr>
          <w:rFonts w:ascii="Arial" w:hAnsi="Arial" w:cs="Arial"/>
          <w:color w:val="000000" w:themeColor="text1"/>
          <w:sz w:val="20"/>
          <w:szCs w:val="20"/>
          <w:lang w:eastAsia="en-GB"/>
        </w:rPr>
        <w:t>accessed 23/02/2022</w:t>
      </w:r>
      <w:r w:rsidR="002B626B" w:rsidRPr="00747930">
        <w:rPr>
          <w:rFonts w:ascii="Arial" w:hAnsi="Arial" w:cs="Arial"/>
          <w:color w:val="000000" w:themeColor="text1"/>
          <w:sz w:val="20"/>
          <w:szCs w:val="20"/>
          <w:lang w:eastAsia="en-GB"/>
        </w:rPr>
        <w:t>]</w:t>
      </w:r>
      <w:r w:rsidR="002B626B" w:rsidRPr="00747930">
        <w:rPr>
          <w:rFonts w:asciiTheme="minorBidi" w:hAnsiTheme="minorBidi"/>
          <w:i/>
          <w:iCs/>
          <w:color w:val="555555"/>
          <w:sz w:val="20"/>
          <w:szCs w:val="20"/>
          <w:shd w:val="clear" w:color="auto" w:fill="FFFFFF"/>
        </w:rPr>
        <w:t>.</w:t>
      </w:r>
      <w:r w:rsidR="002B626B" w:rsidRPr="00747930">
        <w:rPr>
          <w:rFonts w:asciiTheme="minorBidi" w:hAnsiTheme="minorBidi"/>
          <w:i/>
          <w:iCs/>
          <w:color w:val="555555"/>
          <w:sz w:val="22"/>
          <w:szCs w:val="22"/>
          <w:shd w:val="clear" w:color="auto" w:fill="FFFFFF"/>
        </w:rPr>
        <w:br/>
      </w:r>
    </w:p>
    <w:p w14:paraId="735FE8D3" w14:textId="05A55FF6" w:rsidR="002B626B" w:rsidRPr="002B626B" w:rsidRDefault="002B626B" w:rsidP="00747930">
      <w:pPr>
        <w:rPr>
          <w:rFonts w:ascii="Lato" w:hAnsi="Lato"/>
          <w:color w:val="666666"/>
          <w:sz w:val="19"/>
          <w:szCs w:val="19"/>
        </w:rPr>
      </w:pPr>
    </w:p>
    <w:p w14:paraId="507F4EC9" w14:textId="4173DE63" w:rsidR="00794FBA" w:rsidRPr="00747930" w:rsidRDefault="00794FBA">
      <w:pPr>
        <w:pStyle w:val="FootnoteText"/>
        <w:rPr>
          <w:i/>
          <w:iCs/>
        </w:rPr>
      </w:pPr>
    </w:p>
  </w:footnote>
  <w:footnote w:id="3">
    <w:p w14:paraId="54822EE0" w14:textId="0E011797" w:rsidR="00794FBA" w:rsidRPr="00794FBA" w:rsidRDefault="00794FBA">
      <w:pPr>
        <w:pStyle w:val="FootnoteText"/>
      </w:pPr>
      <w:r>
        <w:rPr>
          <w:rStyle w:val="FootnoteReference"/>
        </w:rPr>
        <w:footnoteRef/>
      </w:r>
      <w:r>
        <w:t xml:space="preserve"> </w:t>
      </w:r>
      <w:r w:rsidRPr="00747930">
        <w:rPr>
          <w:rFonts w:asciiTheme="minorBidi" w:eastAsia="Times New Roman" w:hAnsiTheme="minorBidi"/>
          <w:color w:val="000000" w:themeColor="text1"/>
          <w:lang w:eastAsia="en-GB"/>
        </w:rPr>
        <w:t>Mathieu, E., Ritchie, H., Ortiz-Ospina, E. et al.</w:t>
      </w:r>
      <w:r w:rsidR="00BF194C" w:rsidRPr="00747930">
        <w:rPr>
          <w:rFonts w:asciiTheme="minorBidi" w:eastAsia="Times New Roman" w:hAnsiTheme="minorBidi"/>
          <w:color w:val="000000" w:themeColor="text1"/>
          <w:lang w:eastAsia="en-GB"/>
        </w:rPr>
        <w:t xml:space="preserve"> (2021)</w:t>
      </w:r>
      <w:r w:rsidRPr="00747930">
        <w:rPr>
          <w:rFonts w:asciiTheme="minorBidi" w:eastAsia="Times New Roman" w:hAnsiTheme="minorBidi"/>
          <w:color w:val="000000" w:themeColor="text1"/>
          <w:lang w:eastAsia="en-GB"/>
        </w:rPr>
        <w:t> </w:t>
      </w:r>
      <w:r w:rsidR="00BF194C" w:rsidRPr="00747930">
        <w:rPr>
          <w:rFonts w:asciiTheme="minorBidi" w:eastAsia="Times New Roman" w:hAnsiTheme="minorBidi"/>
          <w:color w:val="000000" w:themeColor="text1"/>
          <w:lang w:eastAsia="en-GB"/>
        </w:rPr>
        <w:t>‘</w:t>
      </w:r>
      <w:hyperlink r:id="rId2" w:tgtFrame="_blank" w:history="1">
        <w:r w:rsidRPr="00747930">
          <w:rPr>
            <w:rFonts w:asciiTheme="minorBidi" w:eastAsia="Times New Roman" w:hAnsiTheme="minorBidi"/>
            <w:color w:val="000000" w:themeColor="text1"/>
            <w:u w:val="single"/>
            <w:lang w:eastAsia="en-GB"/>
          </w:rPr>
          <w:t xml:space="preserve">A global database of COVID-19 </w:t>
        </w:r>
        <w:proofErr w:type="gramStart"/>
        <w:r w:rsidRPr="00747930">
          <w:rPr>
            <w:rFonts w:asciiTheme="minorBidi" w:eastAsia="Times New Roman" w:hAnsiTheme="minorBidi"/>
            <w:color w:val="000000" w:themeColor="text1"/>
            <w:u w:val="single"/>
            <w:lang w:eastAsia="en-GB"/>
          </w:rPr>
          <w:t>vaccinations</w:t>
        </w:r>
        <w:r w:rsidR="00BF194C" w:rsidRPr="00747930">
          <w:rPr>
            <w:rFonts w:asciiTheme="minorBidi" w:eastAsia="Times New Roman" w:hAnsiTheme="minorBidi"/>
            <w:color w:val="000000" w:themeColor="text1"/>
            <w:u w:val="single"/>
            <w:lang w:eastAsia="en-GB"/>
          </w:rPr>
          <w:t>’</w:t>
        </w:r>
        <w:proofErr w:type="gramEnd"/>
        <w:r w:rsidRPr="00747930">
          <w:rPr>
            <w:rFonts w:asciiTheme="minorBidi" w:eastAsia="Times New Roman" w:hAnsiTheme="minorBidi"/>
            <w:color w:val="000000" w:themeColor="text1"/>
            <w:u w:val="single"/>
            <w:lang w:eastAsia="en-GB"/>
          </w:rPr>
          <w:t xml:space="preserve">. </w:t>
        </w:r>
        <w:r w:rsidRPr="00747930">
          <w:rPr>
            <w:rFonts w:asciiTheme="minorBidi" w:eastAsia="Times New Roman" w:hAnsiTheme="minorBidi"/>
            <w:i/>
            <w:iCs/>
            <w:color w:val="000000" w:themeColor="text1"/>
            <w:u w:val="single"/>
            <w:lang w:eastAsia="en-GB"/>
          </w:rPr>
          <w:t xml:space="preserve">Nat Hum </w:t>
        </w:r>
        <w:proofErr w:type="spellStart"/>
        <w:r w:rsidRPr="00747930">
          <w:rPr>
            <w:rFonts w:asciiTheme="minorBidi" w:eastAsia="Times New Roman" w:hAnsiTheme="minorBidi"/>
            <w:i/>
            <w:iCs/>
            <w:color w:val="000000" w:themeColor="text1"/>
            <w:u w:val="single"/>
            <w:lang w:eastAsia="en-GB"/>
          </w:rPr>
          <w:t>Behav</w:t>
        </w:r>
        <w:proofErr w:type="spellEnd"/>
      </w:hyperlink>
      <w:r w:rsidR="00BF194C" w:rsidRPr="00747930">
        <w:rPr>
          <w:rFonts w:asciiTheme="minorBidi" w:eastAsia="Times New Roman" w:hAnsiTheme="minorBidi"/>
          <w:color w:val="000000" w:themeColor="text1"/>
          <w:u w:val="single"/>
          <w:lang w:eastAsia="en-GB"/>
        </w:rPr>
        <w:t>, 5, pp. 947-953.</w:t>
      </w:r>
    </w:p>
  </w:footnote>
  <w:footnote w:id="4">
    <w:p w14:paraId="5D57D073" w14:textId="0FD2CF11" w:rsidR="006D7E6D" w:rsidRPr="006D7E6D" w:rsidRDefault="006D7E6D">
      <w:pPr>
        <w:pStyle w:val="FootnoteText"/>
      </w:pPr>
      <w:r>
        <w:rPr>
          <w:rStyle w:val="FootnoteReference"/>
        </w:rPr>
        <w:footnoteRef/>
      </w:r>
      <w:r>
        <w:t xml:space="preserve"> </w:t>
      </w:r>
      <w:r w:rsidRPr="00747930">
        <w:rPr>
          <w:rFonts w:ascii="Arial" w:eastAsia="Times New Roman" w:hAnsi="Arial" w:cs="Arial"/>
          <w:color w:val="000000" w:themeColor="text1"/>
          <w:lang w:eastAsia="en-GB"/>
        </w:rPr>
        <w:t>Our World in Data (2022)</w:t>
      </w:r>
      <w:r w:rsidRPr="004015A6">
        <w:rPr>
          <w:rFonts w:ascii="Arial" w:eastAsia="Times New Roman" w:hAnsi="Arial" w:cs="Arial"/>
          <w:color w:val="000000" w:themeColor="text1"/>
          <w:lang w:eastAsia="en-GB"/>
        </w:rPr>
        <w:t xml:space="preserve"> </w:t>
      </w:r>
      <w:hyperlink r:id="rId3" w:history="1">
        <w:r w:rsidRPr="004015A6">
          <w:rPr>
            <w:rStyle w:val="Hyperlink"/>
            <w:rFonts w:ascii="Arial" w:eastAsia="Times New Roman" w:hAnsi="Arial" w:cs="Arial"/>
            <w:i/>
            <w:iCs/>
            <w:lang w:eastAsia="en-GB"/>
          </w:rPr>
          <w:t>COVID-19 vaccine boosters administered per 100 people</w:t>
        </w:r>
      </w:hyperlink>
      <w:r w:rsidRPr="004015A6">
        <w:rPr>
          <w:rFonts w:ascii="Arial" w:eastAsia="Times New Roman" w:hAnsi="Arial" w:cs="Arial"/>
          <w:color w:val="000000" w:themeColor="text1"/>
          <w:lang w:eastAsia="en-GB"/>
        </w:rPr>
        <w:t xml:space="preserve"> </w:t>
      </w:r>
      <w:r w:rsidRPr="00747930">
        <w:rPr>
          <w:rFonts w:ascii="Arial" w:hAnsi="Arial" w:cs="Arial"/>
          <w:color w:val="000000" w:themeColor="text1"/>
          <w:lang w:eastAsia="en-GB"/>
        </w:rPr>
        <w:t>[</w:t>
      </w:r>
      <w:r w:rsidRPr="004015A6">
        <w:rPr>
          <w:rFonts w:ascii="Arial" w:hAnsi="Arial" w:cs="Arial"/>
          <w:color w:val="000000" w:themeColor="text1"/>
          <w:lang w:eastAsia="en-GB"/>
        </w:rPr>
        <w:t>accessed 23/02/2022</w:t>
      </w:r>
      <w:r w:rsidRPr="00747930">
        <w:rPr>
          <w:rFonts w:ascii="Arial" w:hAnsi="Arial" w:cs="Arial"/>
          <w:color w:val="000000" w:themeColor="text1"/>
          <w:lang w:eastAsia="en-GB"/>
        </w:rPr>
        <w:t>]</w:t>
      </w:r>
      <w:r w:rsidRPr="00747930">
        <w:rPr>
          <w:rFonts w:asciiTheme="minorBidi" w:hAnsiTheme="minorBidi"/>
          <w:i/>
          <w:iCs/>
          <w:color w:val="555555"/>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580"/>
    <w:multiLevelType w:val="hybridMultilevel"/>
    <w:tmpl w:val="443AB0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B82D6B"/>
    <w:multiLevelType w:val="hybridMultilevel"/>
    <w:tmpl w:val="4B821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D13C83"/>
    <w:multiLevelType w:val="hybridMultilevel"/>
    <w:tmpl w:val="53D0D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054A3"/>
    <w:multiLevelType w:val="hybridMultilevel"/>
    <w:tmpl w:val="6DFA80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1249EA"/>
    <w:multiLevelType w:val="hybridMultilevel"/>
    <w:tmpl w:val="D5327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8A2971"/>
    <w:multiLevelType w:val="hybridMultilevel"/>
    <w:tmpl w:val="13063B1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C44176"/>
    <w:multiLevelType w:val="hybridMultilevel"/>
    <w:tmpl w:val="1CFEB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66377"/>
    <w:multiLevelType w:val="hybridMultilevel"/>
    <w:tmpl w:val="9BFCBBEE"/>
    <w:lvl w:ilvl="0" w:tplc="0538AFBE">
      <w:start w:val="1"/>
      <w:numFmt w:val="decimal"/>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A0001"/>
    <w:multiLevelType w:val="hybridMultilevel"/>
    <w:tmpl w:val="94C28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372B51"/>
    <w:multiLevelType w:val="hybridMultilevel"/>
    <w:tmpl w:val="0F685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771674"/>
    <w:multiLevelType w:val="hybridMultilevel"/>
    <w:tmpl w:val="3A88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C53D9"/>
    <w:multiLevelType w:val="hybridMultilevel"/>
    <w:tmpl w:val="D2080BAE"/>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2E4DD0"/>
    <w:multiLevelType w:val="multilevel"/>
    <w:tmpl w:val="CCDE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0A77A9"/>
    <w:multiLevelType w:val="multilevel"/>
    <w:tmpl w:val="C9D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8"/>
  </w:num>
  <w:num w:numId="4">
    <w:abstractNumId w:val="6"/>
  </w:num>
  <w:num w:numId="5">
    <w:abstractNumId w:val="1"/>
  </w:num>
  <w:num w:numId="6">
    <w:abstractNumId w:val="9"/>
  </w:num>
  <w:num w:numId="7">
    <w:abstractNumId w:val="3"/>
  </w:num>
  <w:num w:numId="8">
    <w:abstractNumId w:val="0"/>
  </w:num>
  <w:num w:numId="9">
    <w:abstractNumId w:val="5"/>
  </w:num>
  <w:num w:numId="10">
    <w:abstractNumId w:val="7"/>
  </w:num>
  <w:num w:numId="11">
    <w:abstractNumId w:val="12"/>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0E"/>
    <w:rsid w:val="00011239"/>
    <w:rsid w:val="00022B25"/>
    <w:rsid w:val="00034AA2"/>
    <w:rsid w:val="00057021"/>
    <w:rsid w:val="000A1B05"/>
    <w:rsid w:val="000D4365"/>
    <w:rsid w:val="000D5E68"/>
    <w:rsid w:val="000E10B4"/>
    <w:rsid w:val="000E3A24"/>
    <w:rsid w:val="000E7DD0"/>
    <w:rsid w:val="000F3EE7"/>
    <w:rsid w:val="00102773"/>
    <w:rsid w:val="001237C0"/>
    <w:rsid w:val="001A0C80"/>
    <w:rsid w:val="001A7A90"/>
    <w:rsid w:val="001C670D"/>
    <w:rsid w:val="00206FDF"/>
    <w:rsid w:val="0023630D"/>
    <w:rsid w:val="00242448"/>
    <w:rsid w:val="00246D40"/>
    <w:rsid w:val="002516E5"/>
    <w:rsid w:val="00251916"/>
    <w:rsid w:val="0025700D"/>
    <w:rsid w:val="002713BA"/>
    <w:rsid w:val="0027427A"/>
    <w:rsid w:val="002745A2"/>
    <w:rsid w:val="00287D52"/>
    <w:rsid w:val="002931B6"/>
    <w:rsid w:val="002A4607"/>
    <w:rsid w:val="002B43C7"/>
    <w:rsid w:val="002B626B"/>
    <w:rsid w:val="002C583B"/>
    <w:rsid w:val="002E231C"/>
    <w:rsid w:val="003023CD"/>
    <w:rsid w:val="0030264A"/>
    <w:rsid w:val="003117A6"/>
    <w:rsid w:val="0033637E"/>
    <w:rsid w:val="00345DD4"/>
    <w:rsid w:val="003726FD"/>
    <w:rsid w:val="00384AC9"/>
    <w:rsid w:val="003D6483"/>
    <w:rsid w:val="003E18F2"/>
    <w:rsid w:val="004015A6"/>
    <w:rsid w:val="00407A64"/>
    <w:rsid w:val="004212A9"/>
    <w:rsid w:val="0042224E"/>
    <w:rsid w:val="00423413"/>
    <w:rsid w:val="00496CC7"/>
    <w:rsid w:val="004A37A7"/>
    <w:rsid w:val="004A5C5C"/>
    <w:rsid w:val="004C1C8A"/>
    <w:rsid w:val="004F1BCC"/>
    <w:rsid w:val="00523E9F"/>
    <w:rsid w:val="00537BE8"/>
    <w:rsid w:val="00546817"/>
    <w:rsid w:val="00547E6F"/>
    <w:rsid w:val="00560FCD"/>
    <w:rsid w:val="005750BD"/>
    <w:rsid w:val="005965E7"/>
    <w:rsid w:val="005966A4"/>
    <w:rsid w:val="005B6141"/>
    <w:rsid w:val="006057AC"/>
    <w:rsid w:val="006057FA"/>
    <w:rsid w:val="00624BA1"/>
    <w:rsid w:val="00653EEE"/>
    <w:rsid w:val="0068331C"/>
    <w:rsid w:val="00686578"/>
    <w:rsid w:val="006B5550"/>
    <w:rsid w:val="006C7D34"/>
    <w:rsid w:val="006D7E6D"/>
    <w:rsid w:val="006E2447"/>
    <w:rsid w:val="006E67E0"/>
    <w:rsid w:val="007432E0"/>
    <w:rsid w:val="00747930"/>
    <w:rsid w:val="007648BA"/>
    <w:rsid w:val="007852F0"/>
    <w:rsid w:val="00794FBA"/>
    <w:rsid w:val="007A353F"/>
    <w:rsid w:val="007A5E87"/>
    <w:rsid w:val="007F3DCC"/>
    <w:rsid w:val="008242F8"/>
    <w:rsid w:val="0083020E"/>
    <w:rsid w:val="00865B4B"/>
    <w:rsid w:val="008811E9"/>
    <w:rsid w:val="0088234E"/>
    <w:rsid w:val="008919C6"/>
    <w:rsid w:val="008B4372"/>
    <w:rsid w:val="008D01EA"/>
    <w:rsid w:val="008D30A5"/>
    <w:rsid w:val="008E61AA"/>
    <w:rsid w:val="008F2044"/>
    <w:rsid w:val="0090170B"/>
    <w:rsid w:val="009601F3"/>
    <w:rsid w:val="00971BDC"/>
    <w:rsid w:val="009F1390"/>
    <w:rsid w:val="00A43DC5"/>
    <w:rsid w:val="00A548E6"/>
    <w:rsid w:val="00A75861"/>
    <w:rsid w:val="00AB6E02"/>
    <w:rsid w:val="00AB7B03"/>
    <w:rsid w:val="00AF11F9"/>
    <w:rsid w:val="00B149C5"/>
    <w:rsid w:val="00B77957"/>
    <w:rsid w:val="00BC6E05"/>
    <w:rsid w:val="00BE1CF0"/>
    <w:rsid w:val="00BE7520"/>
    <w:rsid w:val="00BF194C"/>
    <w:rsid w:val="00C164C0"/>
    <w:rsid w:val="00C26B45"/>
    <w:rsid w:val="00C34B50"/>
    <w:rsid w:val="00C37EA0"/>
    <w:rsid w:val="00C47ED2"/>
    <w:rsid w:val="00C908FB"/>
    <w:rsid w:val="00CA0178"/>
    <w:rsid w:val="00CB133B"/>
    <w:rsid w:val="00CB1B2A"/>
    <w:rsid w:val="00CC1E34"/>
    <w:rsid w:val="00CC38D2"/>
    <w:rsid w:val="00CC7464"/>
    <w:rsid w:val="00D014B6"/>
    <w:rsid w:val="00D25398"/>
    <w:rsid w:val="00D404ED"/>
    <w:rsid w:val="00D634CC"/>
    <w:rsid w:val="00D7380D"/>
    <w:rsid w:val="00DA7CD4"/>
    <w:rsid w:val="00DB6F17"/>
    <w:rsid w:val="00DC4159"/>
    <w:rsid w:val="00DE3A9F"/>
    <w:rsid w:val="00DF5407"/>
    <w:rsid w:val="00E11E40"/>
    <w:rsid w:val="00E179A6"/>
    <w:rsid w:val="00E612F8"/>
    <w:rsid w:val="00E75D4C"/>
    <w:rsid w:val="00E94E8A"/>
    <w:rsid w:val="00EB6A9B"/>
    <w:rsid w:val="00EC5205"/>
    <w:rsid w:val="00EC70D0"/>
    <w:rsid w:val="00F24DEE"/>
    <w:rsid w:val="00F41F34"/>
    <w:rsid w:val="00F45266"/>
    <w:rsid w:val="00F657B0"/>
    <w:rsid w:val="00F677AC"/>
    <w:rsid w:val="00FB3CC4"/>
    <w:rsid w:val="00FE6D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9A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20E"/>
  </w:style>
  <w:style w:type="paragraph" w:styleId="Heading1">
    <w:name w:val="heading 1"/>
    <w:basedOn w:val="Normal"/>
    <w:link w:val="Heading1Char"/>
    <w:uiPriority w:val="9"/>
    <w:qFormat/>
    <w:rsid w:val="002B626B"/>
    <w:pPr>
      <w:spacing w:before="100" w:beforeAutospacing="1" w:after="100" w:afterAutospacing="1"/>
      <w:outlineLvl w:val="0"/>
    </w:pPr>
    <w:rPr>
      <w:rFonts w:ascii="Times New Roman" w:eastAsia="Times New Roman" w:hAnsi="Times New Roman" w:cs="Times New Roman"/>
      <w:b/>
      <w:bCs/>
      <w:kern w:val="36"/>
      <w:sz w:val="48"/>
      <w:szCs w:val="48"/>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020E"/>
    <w:pPr>
      <w:tabs>
        <w:tab w:val="center" w:pos="4513"/>
        <w:tab w:val="right" w:pos="9026"/>
      </w:tabs>
    </w:pPr>
  </w:style>
  <w:style w:type="character" w:customStyle="1" w:styleId="FooterChar">
    <w:name w:val="Footer Char"/>
    <w:basedOn w:val="DefaultParagraphFont"/>
    <w:link w:val="Footer"/>
    <w:uiPriority w:val="99"/>
    <w:rsid w:val="0083020E"/>
  </w:style>
  <w:style w:type="character" w:styleId="PageNumber">
    <w:name w:val="page number"/>
    <w:basedOn w:val="DefaultParagraphFont"/>
    <w:uiPriority w:val="99"/>
    <w:semiHidden/>
    <w:unhideWhenUsed/>
    <w:rsid w:val="0083020E"/>
  </w:style>
  <w:style w:type="paragraph" w:styleId="ListParagraph">
    <w:name w:val="List Paragraph"/>
    <w:basedOn w:val="Normal"/>
    <w:uiPriority w:val="34"/>
    <w:qFormat/>
    <w:rsid w:val="0083020E"/>
    <w:pPr>
      <w:ind w:left="720"/>
      <w:contextualSpacing/>
    </w:pPr>
  </w:style>
  <w:style w:type="table" w:styleId="TableGrid">
    <w:name w:val="Table Grid"/>
    <w:basedOn w:val="TableNormal"/>
    <w:uiPriority w:val="39"/>
    <w:rsid w:val="009601F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1F3"/>
    <w:rPr>
      <w:color w:val="0563C1" w:themeColor="hyperlink"/>
      <w:u w:val="single"/>
    </w:rPr>
  </w:style>
  <w:style w:type="character" w:styleId="UnresolvedMention">
    <w:name w:val="Unresolved Mention"/>
    <w:basedOn w:val="DefaultParagraphFont"/>
    <w:uiPriority w:val="99"/>
    <w:semiHidden/>
    <w:unhideWhenUsed/>
    <w:rsid w:val="009601F3"/>
    <w:rPr>
      <w:color w:val="605E5C"/>
      <w:shd w:val="clear" w:color="auto" w:fill="E1DFDD"/>
    </w:rPr>
  </w:style>
  <w:style w:type="paragraph" w:styleId="Revision">
    <w:name w:val="Revision"/>
    <w:hidden/>
    <w:uiPriority w:val="99"/>
    <w:semiHidden/>
    <w:rsid w:val="008B4372"/>
  </w:style>
  <w:style w:type="character" w:styleId="CommentReference">
    <w:name w:val="annotation reference"/>
    <w:basedOn w:val="DefaultParagraphFont"/>
    <w:uiPriority w:val="99"/>
    <w:semiHidden/>
    <w:unhideWhenUsed/>
    <w:rsid w:val="00251916"/>
    <w:rPr>
      <w:sz w:val="16"/>
      <w:szCs w:val="16"/>
    </w:rPr>
  </w:style>
  <w:style w:type="paragraph" w:styleId="CommentText">
    <w:name w:val="annotation text"/>
    <w:basedOn w:val="Normal"/>
    <w:link w:val="CommentTextChar"/>
    <w:uiPriority w:val="99"/>
    <w:unhideWhenUsed/>
    <w:rsid w:val="00251916"/>
    <w:rPr>
      <w:sz w:val="20"/>
      <w:szCs w:val="20"/>
    </w:rPr>
  </w:style>
  <w:style w:type="character" w:customStyle="1" w:styleId="CommentTextChar">
    <w:name w:val="Comment Text Char"/>
    <w:basedOn w:val="DefaultParagraphFont"/>
    <w:link w:val="CommentText"/>
    <w:uiPriority w:val="99"/>
    <w:rsid w:val="00251916"/>
    <w:rPr>
      <w:sz w:val="20"/>
      <w:szCs w:val="20"/>
    </w:rPr>
  </w:style>
  <w:style w:type="paragraph" w:styleId="CommentSubject">
    <w:name w:val="annotation subject"/>
    <w:basedOn w:val="CommentText"/>
    <w:next w:val="CommentText"/>
    <w:link w:val="CommentSubjectChar"/>
    <w:uiPriority w:val="99"/>
    <w:semiHidden/>
    <w:unhideWhenUsed/>
    <w:rsid w:val="00251916"/>
    <w:rPr>
      <w:b/>
      <w:bCs/>
    </w:rPr>
  </w:style>
  <w:style w:type="character" w:customStyle="1" w:styleId="CommentSubjectChar">
    <w:name w:val="Comment Subject Char"/>
    <w:basedOn w:val="CommentTextChar"/>
    <w:link w:val="CommentSubject"/>
    <w:uiPriority w:val="99"/>
    <w:semiHidden/>
    <w:rsid w:val="00251916"/>
    <w:rPr>
      <w:b/>
      <w:bCs/>
      <w:sz w:val="20"/>
      <w:szCs w:val="20"/>
    </w:rPr>
  </w:style>
  <w:style w:type="paragraph" w:styleId="Header">
    <w:name w:val="header"/>
    <w:basedOn w:val="Normal"/>
    <w:link w:val="HeaderChar"/>
    <w:uiPriority w:val="99"/>
    <w:semiHidden/>
    <w:unhideWhenUsed/>
    <w:rsid w:val="00AB7B03"/>
    <w:pPr>
      <w:tabs>
        <w:tab w:val="center" w:pos="4513"/>
        <w:tab w:val="right" w:pos="9026"/>
      </w:tabs>
    </w:pPr>
  </w:style>
  <w:style w:type="character" w:customStyle="1" w:styleId="HeaderChar">
    <w:name w:val="Header Char"/>
    <w:basedOn w:val="DefaultParagraphFont"/>
    <w:link w:val="Header"/>
    <w:uiPriority w:val="99"/>
    <w:semiHidden/>
    <w:rsid w:val="00AB7B03"/>
  </w:style>
  <w:style w:type="paragraph" w:styleId="FootnoteText">
    <w:name w:val="footnote text"/>
    <w:basedOn w:val="Normal"/>
    <w:link w:val="FootnoteTextChar"/>
    <w:uiPriority w:val="99"/>
    <w:semiHidden/>
    <w:unhideWhenUsed/>
    <w:rsid w:val="00794FBA"/>
    <w:rPr>
      <w:sz w:val="20"/>
      <w:szCs w:val="20"/>
    </w:rPr>
  </w:style>
  <w:style w:type="character" w:customStyle="1" w:styleId="FootnoteTextChar">
    <w:name w:val="Footnote Text Char"/>
    <w:basedOn w:val="DefaultParagraphFont"/>
    <w:link w:val="FootnoteText"/>
    <w:uiPriority w:val="99"/>
    <w:semiHidden/>
    <w:rsid w:val="00794FBA"/>
    <w:rPr>
      <w:sz w:val="20"/>
      <w:szCs w:val="20"/>
    </w:rPr>
  </w:style>
  <w:style w:type="character" w:styleId="FootnoteReference">
    <w:name w:val="footnote reference"/>
    <w:basedOn w:val="DefaultParagraphFont"/>
    <w:uiPriority w:val="99"/>
    <w:semiHidden/>
    <w:unhideWhenUsed/>
    <w:rsid w:val="00794FBA"/>
    <w:rPr>
      <w:vertAlign w:val="superscript"/>
    </w:rPr>
  </w:style>
  <w:style w:type="character" w:customStyle="1" w:styleId="Heading1Char">
    <w:name w:val="Heading 1 Char"/>
    <w:basedOn w:val="DefaultParagraphFont"/>
    <w:link w:val="Heading1"/>
    <w:uiPriority w:val="9"/>
    <w:rsid w:val="002B626B"/>
    <w:rPr>
      <w:rFonts w:ascii="Times New Roman" w:eastAsia="Times New Roman" w:hAnsi="Times New Roman" w:cs="Times New Roman"/>
      <w:b/>
      <w:bCs/>
      <w:kern w:val="36"/>
      <w:sz w:val="48"/>
      <w:szCs w:val="48"/>
      <w:lang w:val="de-CH" w:eastAsia="de-CH"/>
    </w:rPr>
  </w:style>
  <w:style w:type="paragraph" w:styleId="NormalWeb">
    <w:name w:val="Normal (Web)"/>
    <w:basedOn w:val="Normal"/>
    <w:uiPriority w:val="99"/>
    <w:semiHidden/>
    <w:unhideWhenUsed/>
    <w:rsid w:val="002B626B"/>
    <w:pPr>
      <w:spacing w:before="100" w:beforeAutospacing="1" w:after="100" w:afterAutospacing="1"/>
    </w:pPr>
    <w:rPr>
      <w:rFonts w:ascii="Times New Roman" w:eastAsia="Times New Roman" w:hAnsi="Times New Roman" w:cs="Times New Roman"/>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673">
      <w:bodyDiv w:val="1"/>
      <w:marLeft w:val="0"/>
      <w:marRight w:val="0"/>
      <w:marTop w:val="0"/>
      <w:marBottom w:val="0"/>
      <w:divBdr>
        <w:top w:val="none" w:sz="0" w:space="0" w:color="auto"/>
        <w:left w:val="none" w:sz="0" w:space="0" w:color="auto"/>
        <w:bottom w:val="none" w:sz="0" w:space="0" w:color="auto"/>
        <w:right w:val="none" w:sz="0" w:space="0" w:color="auto"/>
      </w:divBdr>
    </w:div>
    <w:div w:id="3352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anu.savani@brunel.ac.uk" TargetMode="External"/><Relationship Id="rId3" Type="http://schemas.openxmlformats.org/officeDocument/2006/relationships/customXml" Target="../customXml/item3.xml"/><Relationship Id="rId21" Type="http://schemas.openxmlformats.org/officeDocument/2006/relationships/hyperlink" Target="https://ourworldindata.org/grapher/share-people-fully-vaccinated-covid?country=CAN~JPN~ITA~FRA~DEU~GBR~US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eter.john@kcl.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ourworldindata.org/grapher/covid-vaccine-booster-doses-per-capita?country=CAN~ITA~DEU~GBR~USA~FRA~JP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i.org/10.1038/s41562-021-0112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urworldindata.org/grapher/covid-vaccine-booster-doses-per-capita?country=CAN~ITA~DEU~GBR~USA~FRA~JPN" TargetMode="External"/><Relationship Id="rId2" Type="http://schemas.openxmlformats.org/officeDocument/2006/relationships/hyperlink" Target="https://doi.org/10.1038/s41562-021-01122-8" TargetMode="External"/><Relationship Id="rId1" Type="http://schemas.openxmlformats.org/officeDocument/2006/relationships/hyperlink" Target="https://ourworldindata.org/grapher/share-people-fully-vaccinated-covid?country=CAN~JPN~ITA~FRA~DEU~GBR~US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hitensavani\Manu\Documents\BA%20Covid%202021-22\Final%20country%20charts\France_covid_data_feb_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hitensavani\Manu\Documents\BA%20Covid%202021-22\Social%20media%20usag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Proportion</a:t>
            </a:r>
            <a:r>
              <a:rPr lang="en-GB" sz="1100" baseline="0">
                <a:latin typeface="Arial" panose="020B0604020202020204" pitchFamily="34" charset="0"/>
                <a:cs typeface="Arial" panose="020B0604020202020204" pitchFamily="34" charset="0"/>
              </a:rPr>
              <a:t> of women who trust the vaccine in general</a:t>
            </a:r>
          </a:p>
          <a:p>
            <a:pPr>
              <a:defRPr sz="1100">
                <a:latin typeface="Arial" panose="020B0604020202020204" pitchFamily="34" charset="0"/>
                <a:cs typeface="Arial" panose="020B0604020202020204" pitchFamily="34" charset="0"/>
              </a:defRPr>
            </a:pPr>
            <a:r>
              <a:rPr lang="en-GB" sz="1100" baseline="0">
                <a:latin typeface="Arial" panose="020B0604020202020204" pitchFamily="34" charset="0"/>
                <a:cs typeface="Arial" panose="020B0604020202020204" pitchFamily="34" charset="0"/>
              </a:rPr>
              <a:t>(as % of female respondents in each country) </a:t>
            </a:r>
            <a:endParaRPr lang="en-GB"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Sheet1!$A$3:$A$9</c:f>
              <c:strCache>
                <c:ptCount val="7"/>
                <c:pt idx="0">
                  <c:v>Canada</c:v>
                </c:pt>
                <c:pt idx="1">
                  <c:v>France</c:v>
                </c:pt>
                <c:pt idx="2">
                  <c:v>Germany</c:v>
                </c:pt>
                <c:pt idx="3">
                  <c:v>Italy</c:v>
                </c:pt>
                <c:pt idx="4">
                  <c:v>Japan</c:v>
                </c:pt>
                <c:pt idx="5">
                  <c:v>UK</c:v>
                </c:pt>
                <c:pt idx="6">
                  <c:v>US</c:v>
                </c:pt>
              </c:strCache>
            </c:strRef>
          </c:cat>
          <c:val>
            <c:numRef>
              <c:f>Sheet1!$B$3:$B$9</c:f>
              <c:numCache>
                <c:formatCode>General</c:formatCode>
                <c:ptCount val="7"/>
                <c:pt idx="0">
                  <c:v>82.1</c:v>
                </c:pt>
                <c:pt idx="1">
                  <c:v>61.8</c:v>
                </c:pt>
                <c:pt idx="2">
                  <c:v>74.7</c:v>
                </c:pt>
                <c:pt idx="3">
                  <c:v>82.8</c:v>
                </c:pt>
                <c:pt idx="4">
                  <c:v>75.900000000000006</c:v>
                </c:pt>
                <c:pt idx="5">
                  <c:v>83.8</c:v>
                </c:pt>
                <c:pt idx="6">
                  <c:v>65.5</c:v>
                </c:pt>
              </c:numCache>
            </c:numRef>
          </c:val>
          <c:extLst>
            <c:ext xmlns:c16="http://schemas.microsoft.com/office/drawing/2014/chart" uri="{C3380CC4-5D6E-409C-BE32-E72D297353CC}">
              <c16:uniqueId val="{00000000-37C2-084D-990A-37341D00C0AE}"/>
            </c:ext>
          </c:extLst>
        </c:ser>
        <c:dLbls>
          <c:dLblPos val="outEnd"/>
          <c:showLegendKey val="0"/>
          <c:showVal val="1"/>
          <c:showCatName val="0"/>
          <c:showSerName val="0"/>
          <c:showPercent val="0"/>
          <c:showBubbleSize val="0"/>
        </c:dLbls>
        <c:gapWidth val="219"/>
        <c:overlap val="-27"/>
        <c:axId val="404426480"/>
        <c:axId val="404421952"/>
      </c:barChart>
      <c:catAx>
        <c:axId val="40442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4421952"/>
        <c:crosses val="autoZero"/>
        <c:auto val="1"/>
        <c:lblAlgn val="ctr"/>
        <c:lblOffset val="100"/>
        <c:noMultiLvlLbl val="0"/>
      </c:catAx>
      <c:valAx>
        <c:axId val="404421952"/>
        <c:scaling>
          <c:orientation val="minMax"/>
        </c:scaling>
        <c:delete val="1"/>
        <c:axPos val="l"/>
        <c:numFmt formatCode="General" sourceLinked="1"/>
        <c:majorTickMark val="none"/>
        <c:minorTickMark val="none"/>
        <c:tickLblPos val="nextTo"/>
        <c:crossAx val="404426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t>People using social media as a primary news source on Covid-19 (%)</a:t>
            </a:r>
          </a:p>
        </c:rich>
      </c:tx>
      <c:layout>
        <c:manualLayout>
          <c:xMode val="edge"/>
          <c:yMode val="edge"/>
          <c:x val="0.15487510936132984"/>
          <c:y val="2.3148148148148147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3.0555555555555555E-2"/>
          <c:y val="0.14430555555555555"/>
          <c:w val="0.93611111111111112"/>
          <c:h val="0.7483333333333332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Canada</c:v>
                </c:pt>
                <c:pt idx="1">
                  <c:v>France</c:v>
                </c:pt>
                <c:pt idx="2">
                  <c:v>Germany</c:v>
                </c:pt>
                <c:pt idx="3">
                  <c:v>Italy</c:v>
                </c:pt>
                <c:pt idx="4">
                  <c:v>Japan</c:v>
                </c:pt>
                <c:pt idx="5">
                  <c:v>UK</c:v>
                </c:pt>
                <c:pt idx="6">
                  <c:v>US</c:v>
                </c:pt>
              </c:strCache>
            </c:strRef>
          </c:cat>
          <c:val>
            <c:numRef>
              <c:f>Sheet1!$B$2:$B$8</c:f>
              <c:numCache>
                <c:formatCode>General</c:formatCode>
                <c:ptCount val="7"/>
                <c:pt idx="0">
                  <c:v>25</c:v>
                </c:pt>
                <c:pt idx="1">
                  <c:v>17</c:v>
                </c:pt>
                <c:pt idx="2">
                  <c:v>16</c:v>
                </c:pt>
                <c:pt idx="3">
                  <c:v>14</c:v>
                </c:pt>
                <c:pt idx="4">
                  <c:v>19</c:v>
                </c:pt>
                <c:pt idx="5">
                  <c:v>19</c:v>
                </c:pt>
                <c:pt idx="6">
                  <c:v>25</c:v>
                </c:pt>
              </c:numCache>
            </c:numRef>
          </c:val>
          <c:extLst>
            <c:ext xmlns:c16="http://schemas.microsoft.com/office/drawing/2014/chart" uri="{C3380CC4-5D6E-409C-BE32-E72D297353CC}">
              <c16:uniqueId val="{00000000-D010-724A-A059-0085F7D4805E}"/>
            </c:ext>
          </c:extLst>
        </c:ser>
        <c:dLbls>
          <c:showLegendKey val="0"/>
          <c:showVal val="0"/>
          <c:showCatName val="0"/>
          <c:showSerName val="0"/>
          <c:showPercent val="0"/>
          <c:showBubbleSize val="0"/>
        </c:dLbls>
        <c:gapWidth val="219"/>
        <c:overlap val="-27"/>
        <c:axId val="248323328"/>
        <c:axId val="248305424"/>
      </c:barChart>
      <c:catAx>
        <c:axId val="24832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8305424"/>
        <c:crosses val="autoZero"/>
        <c:auto val="1"/>
        <c:lblAlgn val="ctr"/>
        <c:lblOffset val="100"/>
        <c:noMultiLvlLbl val="0"/>
      </c:catAx>
      <c:valAx>
        <c:axId val="248305424"/>
        <c:scaling>
          <c:orientation val="minMax"/>
        </c:scaling>
        <c:delete val="1"/>
        <c:axPos val="l"/>
        <c:numFmt formatCode="General" sourceLinked="1"/>
        <c:majorTickMark val="none"/>
        <c:minorTickMark val="none"/>
        <c:tickLblPos val="nextTo"/>
        <c:crossAx val="248323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Expect</a:t>
            </a:r>
            <a:r>
              <a:rPr lang="en-GB" sz="1200" baseline="0">
                <a:latin typeface="Arial" panose="020B0604020202020204" pitchFamily="34" charset="0"/>
                <a:cs typeface="Arial" panose="020B0604020202020204" pitchFamily="34" charset="0"/>
              </a:rPr>
              <a:t> that Covid-19 vaccine available in 12 months will be more effective than vaccines today</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Canada</c:v>
                </c:pt>
                <c:pt idx="1">
                  <c:v>France</c:v>
                </c:pt>
                <c:pt idx="2">
                  <c:v>Germany</c:v>
                </c:pt>
                <c:pt idx="3">
                  <c:v>Italy</c:v>
                </c:pt>
                <c:pt idx="4">
                  <c:v>Japan</c:v>
                </c:pt>
                <c:pt idx="5">
                  <c:v>UK</c:v>
                </c:pt>
                <c:pt idx="6">
                  <c:v>US</c:v>
                </c:pt>
              </c:strCache>
            </c:strRef>
          </c:cat>
          <c:val>
            <c:numRef>
              <c:f>Sheet1!$E$2:$E$8</c:f>
              <c:numCache>
                <c:formatCode>General</c:formatCode>
                <c:ptCount val="7"/>
                <c:pt idx="0">
                  <c:v>5.9</c:v>
                </c:pt>
                <c:pt idx="1">
                  <c:v>5.6</c:v>
                </c:pt>
                <c:pt idx="2">
                  <c:v>6</c:v>
                </c:pt>
                <c:pt idx="3">
                  <c:v>6.4</c:v>
                </c:pt>
                <c:pt idx="4">
                  <c:v>4.4000000000000004</c:v>
                </c:pt>
                <c:pt idx="5">
                  <c:v>6</c:v>
                </c:pt>
                <c:pt idx="6">
                  <c:v>5.6</c:v>
                </c:pt>
              </c:numCache>
            </c:numRef>
          </c:val>
          <c:extLst>
            <c:ext xmlns:c16="http://schemas.microsoft.com/office/drawing/2014/chart" uri="{C3380CC4-5D6E-409C-BE32-E72D297353CC}">
              <c16:uniqueId val="{00000000-2687-2041-BA8E-7543F0C3B1AE}"/>
            </c:ext>
          </c:extLst>
        </c:ser>
        <c:dLbls>
          <c:dLblPos val="outEnd"/>
          <c:showLegendKey val="0"/>
          <c:showVal val="1"/>
          <c:showCatName val="0"/>
          <c:showSerName val="0"/>
          <c:showPercent val="0"/>
          <c:showBubbleSize val="0"/>
        </c:dLbls>
        <c:gapWidth val="219"/>
        <c:overlap val="-27"/>
        <c:axId val="1960011920"/>
        <c:axId val="1960013568"/>
      </c:barChart>
      <c:catAx>
        <c:axId val="196001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60013568"/>
        <c:crosses val="autoZero"/>
        <c:auto val="1"/>
        <c:lblAlgn val="ctr"/>
        <c:lblOffset val="100"/>
        <c:noMultiLvlLbl val="0"/>
      </c:catAx>
      <c:valAx>
        <c:axId val="1960013568"/>
        <c:scaling>
          <c:orientation val="minMax"/>
        </c:scaling>
        <c:delete val="1"/>
        <c:axPos val="l"/>
        <c:numFmt formatCode="General" sourceLinked="1"/>
        <c:majorTickMark val="none"/>
        <c:minorTickMark val="none"/>
        <c:tickLblPos val="nextTo"/>
        <c:crossAx val="196001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1133FAA646447B1F506C0CC1AD96D" ma:contentTypeVersion="13" ma:contentTypeDescription="Create a new document." ma:contentTypeScope="" ma:versionID="c040fcb4c860ba097a802c2f8a245c60">
  <xsd:schema xmlns:xsd="http://www.w3.org/2001/XMLSchema" xmlns:xs="http://www.w3.org/2001/XMLSchema" xmlns:p="http://schemas.microsoft.com/office/2006/metadata/properties" xmlns:ns2="5542781d-72a5-46d9-8093-0fa1f196d6ef" xmlns:ns3="50a1e848-e179-4a22-99c5-517bb1bb7459" targetNamespace="http://schemas.microsoft.com/office/2006/metadata/properties" ma:root="true" ma:fieldsID="3a63ddc064dad64d80a5a27564b83438" ns2:_="" ns3:_="">
    <xsd:import namespace="5542781d-72a5-46d9-8093-0fa1f196d6ef"/>
    <xsd:import namespace="50a1e848-e179-4a22-99c5-517bb1bb74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781d-72a5-46d9-8093-0fa1f196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1e848-e179-4a22-99c5-517bb1bb74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542781d-72a5-46d9-8093-0fa1f196d6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98235-9E0D-4B7C-9B7D-273BD60FA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781d-72a5-46d9-8093-0fa1f196d6ef"/>
    <ds:schemaRef ds:uri="50a1e848-e179-4a22-99c5-517bb1bb7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59F91-376A-4A57-B14D-A459FC627B9A}">
  <ds:schemaRefs>
    <ds:schemaRef ds:uri="http://schemas.openxmlformats.org/officeDocument/2006/bibliography"/>
  </ds:schemaRefs>
</ds:datastoreItem>
</file>

<file path=customXml/itemProps3.xml><?xml version="1.0" encoding="utf-8"?>
<ds:datastoreItem xmlns:ds="http://schemas.openxmlformats.org/officeDocument/2006/customXml" ds:itemID="{BF83E4D0-3B49-43C7-B38E-8B8983E644BD}">
  <ds:schemaRefs>
    <ds:schemaRef ds:uri="http://schemas.microsoft.com/office/2006/metadata/properties"/>
    <ds:schemaRef ds:uri="http://schemas.microsoft.com/office/infopath/2007/PartnerControls"/>
    <ds:schemaRef ds:uri="5542781d-72a5-46d9-8093-0fa1f196d6ef"/>
  </ds:schemaRefs>
</ds:datastoreItem>
</file>

<file path=customXml/itemProps4.xml><?xml version="1.0" encoding="utf-8"?>
<ds:datastoreItem xmlns:ds="http://schemas.openxmlformats.org/officeDocument/2006/customXml" ds:itemID="{93EE69D6-64AA-4E85-9467-92304E867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4613</Words>
  <Characters>26295</Characters>
  <Application>Microsoft Office Word</Application>
  <DocSecurity>0</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2022-03-18T12:03:00Z</dcterms:created>
  <dcterms:modified xsi:type="dcterms:W3CDTF">2022-03-18T12:03:00Z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0x0101009FD1133FAA646447B1F506C0CC1AD96D</vt:lpwstr>
  </property>
</Properties>
</file>