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36C" w:rsidRDefault="0030436C" w:rsidP="0030436C">
      <w:pPr>
        <w:pStyle w:val="NormalWeb"/>
        <w:bidi/>
        <w:spacing w:before="0" w:beforeAutospacing="0" w:after="0" w:afterAutospacing="0" w:line="480" w:lineRule="auto"/>
        <w:jc w:val="both"/>
        <w:rPr>
          <w:rFonts w:asciiTheme="majorBidi" w:hAnsiTheme="majorBidi" w:cs="David"/>
          <w:rtl/>
        </w:rPr>
      </w:pPr>
      <w:proofErr w:type="spellStart"/>
      <w:r w:rsidRPr="00247C3F">
        <w:rPr>
          <w:rFonts w:asciiTheme="majorBidi" w:hAnsiTheme="majorBidi" w:cs="David"/>
          <w:rtl/>
        </w:rPr>
        <w:t>השֶרינג</w:t>
      </w:r>
      <w:proofErr w:type="spellEnd"/>
      <w:r>
        <w:rPr>
          <w:rFonts w:asciiTheme="majorBidi" w:hAnsiTheme="majorBidi" w:cs="David" w:hint="cs"/>
          <w:rtl/>
        </w:rPr>
        <w:t xml:space="preserve"> בטיפול, כפרקטיקה שאינה תחומה בהכרח לשלב ספציפי ושנהוגה בקשת רחבה של טיפוליים קבוצתיים, הוא אמצעי טיפולי לקידום מגע עם רגשות, מודעות וביטוי עצמי בקרב המשתתפים, לצד ביסוס האמון ותחושת הקרבה בינם לבין חבריהם לקבוצה (</w:t>
      </w:r>
      <w:r>
        <w:rPr>
          <w:rFonts w:asciiTheme="majorBidi" w:hAnsiTheme="majorBidi" w:cstheme="majorBidi"/>
        </w:rPr>
        <w:t>Lupton, 1998; Moskowitz, 2001</w:t>
      </w:r>
      <w:r>
        <w:rPr>
          <w:rFonts w:asciiTheme="majorBidi" w:hAnsiTheme="majorBidi" w:cs="David" w:hint="cs"/>
          <w:rtl/>
        </w:rPr>
        <w:t>). זהו אמצעי לביטוי</w:t>
      </w:r>
      <w:r>
        <w:rPr>
          <w:rFonts w:asciiTheme="majorBidi" w:hAnsiTheme="majorBidi" w:cs="David" w:hint="cs"/>
          <w:rtl/>
        </w:rPr>
        <w:t>,</w:t>
      </w:r>
      <w:r>
        <w:rPr>
          <w:rFonts w:asciiTheme="majorBidi" w:hAnsiTheme="majorBidi" w:cs="David" w:hint="cs"/>
          <w:rtl/>
        </w:rPr>
        <w:t xml:space="preserve"> ובה בעת לכינון של אינטימיות, הן במובן התוך-אישי של העמקת המגע עם רגשות והן במובן הקבוצתי של חיזוק ה</w:t>
      </w:r>
      <w:r>
        <w:rPr>
          <w:rFonts w:asciiTheme="majorBidi" w:hAnsiTheme="majorBidi" w:cs="David" w:hint="cs"/>
          <w:rtl/>
        </w:rPr>
        <w:t>קשר</w:t>
      </w:r>
      <w:r>
        <w:rPr>
          <w:rFonts w:asciiTheme="majorBidi" w:hAnsiTheme="majorBidi" w:cs="David" w:hint="cs"/>
          <w:rtl/>
        </w:rPr>
        <w:t xml:space="preserve"> הבין-אישי (</w:t>
      </w:r>
      <w:r>
        <w:rPr>
          <w:rFonts w:asciiTheme="majorBidi" w:hAnsiTheme="majorBidi" w:cs="David"/>
        </w:rPr>
        <w:t>John, 2016</w:t>
      </w:r>
      <w:r>
        <w:rPr>
          <w:rFonts w:asciiTheme="majorBidi" w:hAnsiTheme="majorBidi" w:cs="David" w:hint="cs"/>
          <w:rtl/>
        </w:rPr>
        <w:t xml:space="preserve">). </w:t>
      </w:r>
      <w:proofErr w:type="spellStart"/>
      <w:r w:rsidRPr="00247C3F">
        <w:rPr>
          <w:rFonts w:asciiTheme="majorBidi" w:hAnsiTheme="majorBidi" w:cs="David"/>
          <w:rtl/>
        </w:rPr>
        <w:t>השֶרינג</w:t>
      </w:r>
      <w:proofErr w:type="spellEnd"/>
      <w:r>
        <w:rPr>
          <w:rFonts w:asciiTheme="majorBidi" w:hAnsiTheme="majorBidi" w:cs="David" w:hint="cs"/>
          <w:rtl/>
        </w:rPr>
        <w:t xml:space="preserve"> ממלא תפקיד מובהק ומשמעותי בקידום רבים מהגורמים הטיפוליים בטיפול קבוצתי המוצגים על-ידי יאלום</w:t>
      </w:r>
      <w:r w:rsidRPr="0030436C">
        <w:rPr>
          <w:rFonts w:asciiTheme="majorBidi" w:hAnsiTheme="majorBidi" w:cs="David" w:hint="cs"/>
          <w:color w:val="FF0000"/>
          <w:rtl/>
        </w:rPr>
        <w:t xml:space="preserve"> </w:t>
      </w:r>
      <w:r>
        <w:rPr>
          <w:rFonts w:asciiTheme="majorBidi" w:hAnsiTheme="majorBidi" w:cs="David" w:hint="cs"/>
          <w:rtl/>
        </w:rPr>
        <w:t>(</w:t>
      </w:r>
      <w:proofErr w:type="spellStart"/>
      <w:r w:rsidRPr="00247C3F">
        <w:rPr>
          <w:rFonts w:asciiTheme="majorBidi" w:hAnsiTheme="majorBidi" w:cs="David"/>
        </w:rPr>
        <w:t>Yalom</w:t>
      </w:r>
      <w:proofErr w:type="spellEnd"/>
      <w:r w:rsidRPr="00247C3F">
        <w:rPr>
          <w:rFonts w:asciiTheme="majorBidi" w:hAnsiTheme="majorBidi" w:cs="David"/>
        </w:rPr>
        <w:t>, 1983,1995</w:t>
      </w:r>
      <w:r>
        <w:rPr>
          <w:rFonts w:asciiTheme="majorBidi" w:hAnsiTheme="majorBidi" w:cs="David" w:hint="cs"/>
          <w:rtl/>
        </w:rPr>
        <w:t xml:space="preserve">). לכל אלו משמעות רבה בהקשרים של מצוקה אקוטית כמו זו </w:t>
      </w:r>
      <w:r w:rsidRPr="00321242">
        <w:rPr>
          <w:rFonts w:asciiTheme="majorBidi" w:hAnsiTheme="majorBidi" w:cs="David" w:hint="cs"/>
          <w:rtl/>
        </w:rPr>
        <w:t xml:space="preserve">שביטוייה מתוארים </w:t>
      </w:r>
      <w:r>
        <w:rPr>
          <w:rFonts w:asciiTheme="majorBidi" w:hAnsiTheme="majorBidi" w:cs="David" w:hint="cs"/>
          <w:rtl/>
        </w:rPr>
        <w:t>במאמר</w:t>
      </w:r>
      <w:r w:rsidRPr="00321242">
        <w:rPr>
          <w:rFonts w:asciiTheme="majorBidi" w:hAnsiTheme="majorBidi" w:cs="David" w:hint="cs"/>
          <w:rtl/>
        </w:rPr>
        <w:t>.</w:t>
      </w:r>
    </w:p>
    <w:p w:rsidR="0030436C" w:rsidRPr="000F1EE8" w:rsidRDefault="0030436C" w:rsidP="008E7EDD">
      <w:pPr>
        <w:pStyle w:val="NormalWeb"/>
        <w:bidi/>
        <w:spacing w:before="0" w:beforeAutospacing="0" w:after="0" w:afterAutospacing="0" w:line="480" w:lineRule="auto"/>
        <w:jc w:val="both"/>
        <w:rPr>
          <w:rFonts w:asciiTheme="majorBidi" w:hAnsiTheme="majorBidi" w:cs="David"/>
          <w:rtl/>
        </w:rPr>
      </w:pPr>
      <w:r w:rsidRPr="00321242">
        <w:rPr>
          <w:rFonts w:asciiTheme="majorBidi" w:hAnsiTheme="majorBidi" w:cs="David" w:hint="cs"/>
          <w:rtl/>
        </w:rPr>
        <w:t xml:space="preserve">יתרה </w:t>
      </w:r>
      <w:r>
        <w:rPr>
          <w:rFonts w:asciiTheme="majorBidi" w:hAnsiTheme="majorBidi" w:cs="David" w:hint="cs"/>
          <w:rtl/>
        </w:rPr>
        <w:t>מזו, ה</w:t>
      </w:r>
      <w:r w:rsidRPr="00321242">
        <w:rPr>
          <w:rFonts w:asciiTheme="majorBidi" w:hAnsiTheme="majorBidi" w:cs="David" w:hint="cs"/>
          <w:rtl/>
        </w:rPr>
        <w:t>שיתוף ברגשות בקבוצה הטיפולית</w:t>
      </w:r>
      <w:r>
        <w:rPr>
          <w:rFonts w:asciiTheme="majorBidi" w:hAnsiTheme="majorBidi" w:cs="David" w:hint="cs"/>
          <w:rtl/>
        </w:rPr>
        <w:t xml:space="preserve">, ופעולתו לביסוס המודעות, הביטוי העצמי, הקרבה והאמון בקבוצה, </w:t>
      </w:r>
      <w:r w:rsidRPr="00321242">
        <w:rPr>
          <w:rFonts w:asciiTheme="majorBidi" w:hAnsiTheme="majorBidi" w:cs="David" w:hint="cs"/>
          <w:rtl/>
        </w:rPr>
        <w:t>הולמים את ה</w:t>
      </w:r>
      <w:r w:rsidRPr="00321242">
        <w:rPr>
          <w:rFonts w:asciiTheme="majorBidi" w:hAnsiTheme="majorBidi" w:cs="David"/>
          <w:rtl/>
        </w:rPr>
        <w:t>יעדים</w:t>
      </w:r>
      <w:r>
        <w:rPr>
          <w:rFonts w:asciiTheme="majorBidi" w:hAnsiTheme="majorBidi" w:cs="David" w:hint="cs"/>
          <w:rtl/>
        </w:rPr>
        <w:t xml:space="preserve"> הקונקרטיים אותם מגדיר יאלום</w:t>
      </w:r>
      <w:r w:rsidRPr="000F1EE8">
        <w:rPr>
          <w:rFonts w:asciiTheme="majorBidi" w:hAnsiTheme="majorBidi" w:cs="David"/>
          <w:rtl/>
        </w:rPr>
        <w:t xml:space="preserve"> לטיפ</w:t>
      </w:r>
      <w:r>
        <w:rPr>
          <w:rFonts w:asciiTheme="majorBidi" w:hAnsiTheme="majorBidi" w:cs="David"/>
          <w:rtl/>
        </w:rPr>
        <w:t>ול קבוצתי בתוך מסגרות אשפוזיות</w:t>
      </w:r>
      <w:r w:rsidRPr="000F1EE8">
        <w:rPr>
          <w:rFonts w:asciiTheme="majorBidi" w:hAnsiTheme="majorBidi" w:cs="David"/>
          <w:rtl/>
        </w:rPr>
        <w:t xml:space="preserve"> (</w:t>
      </w:r>
      <w:proofErr w:type="spellStart"/>
      <w:r w:rsidRPr="000F1EE8">
        <w:rPr>
          <w:rFonts w:asciiTheme="majorBidi" w:hAnsiTheme="majorBidi" w:cs="David"/>
        </w:rPr>
        <w:t>Yalom</w:t>
      </w:r>
      <w:proofErr w:type="spellEnd"/>
      <w:r w:rsidRPr="000F1EE8">
        <w:rPr>
          <w:rFonts w:asciiTheme="majorBidi" w:hAnsiTheme="majorBidi" w:cs="David"/>
        </w:rPr>
        <w:t>, 1983, 1995</w:t>
      </w:r>
      <w:r w:rsidRPr="000F1EE8">
        <w:rPr>
          <w:rFonts w:asciiTheme="majorBidi" w:hAnsiTheme="majorBidi" w:cs="David"/>
          <w:rtl/>
        </w:rPr>
        <w:t>).</w:t>
      </w:r>
    </w:p>
    <w:p w:rsidR="0030436C" w:rsidRDefault="0030436C" w:rsidP="008E7EDD">
      <w:pPr>
        <w:pStyle w:val="NormalWeb"/>
        <w:bidi/>
        <w:spacing w:before="0" w:beforeAutospacing="0" w:after="0" w:afterAutospacing="0" w:line="480" w:lineRule="auto"/>
        <w:jc w:val="both"/>
        <w:rPr>
          <w:rFonts w:asciiTheme="majorBidi" w:hAnsiTheme="majorBidi" w:cs="David"/>
          <w:rtl/>
        </w:rPr>
      </w:pPr>
      <w:r>
        <w:rPr>
          <w:rFonts w:asciiTheme="majorBidi" w:hAnsiTheme="majorBidi" w:cs="David" w:hint="cs"/>
          <w:rtl/>
        </w:rPr>
        <w:t xml:space="preserve"> </w:t>
      </w:r>
      <w:proofErr w:type="spellStart"/>
      <w:r w:rsidRPr="00247C3F">
        <w:rPr>
          <w:rFonts w:asciiTheme="majorBidi" w:hAnsiTheme="majorBidi" w:cs="David"/>
          <w:rtl/>
        </w:rPr>
        <w:t>השֶרינג</w:t>
      </w:r>
      <w:proofErr w:type="spellEnd"/>
      <w:r>
        <w:rPr>
          <w:rFonts w:asciiTheme="majorBidi" w:hAnsiTheme="majorBidi" w:cs="David" w:hint="cs"/>
          <w:rtl/>
        </w:rPr>
        <w:t xml:space="preserve"> </w:t>
      </w:r>
      <w:proofErr w:type="spellStart"/>
      <w:r>
        <w:rPr>
          <w:rFonts w:asciiTheme="majorBidi" w:hAnsiTheme="majorBidi" w:cs="David" w:hint="cs"/>
          <w:rtl/>
        </w:rPr>
        <w:t>הפסיכודרמטי</w:t>
      </w:r>
      <w:proofErr w:type="spellEnd"/>
      <w:r>
        <w:rPr>
          <w:rFonts w:asciiTheme="majorBidi" w:hAnsiTheme="majorBidi" w:cs="David" w:hint="cs"/>
          <w:rtl/>
        </w:rPr>
        <w:t xml:space="preserve">, המתקיים כשלב מובחן מיד לאחר עבודת הפרוטגוניסט, מוסיף על כל אלו נדבכים חשובים. במרכזם ההתגייסות של חברי הקבוצה למען הפרוטגוניסט, ההדהוד של תכנים מעבודתו </w:t>
      </w:r>
      <w:proofErr w:type="spellStart"/>
      <w:r>
        <w:rPr>
          <w:rFonts w:asciiTheme="majorBidi" w:hAnsiTheme="majorBidi" w:cs="David" w:hint="cs"/>
          <w:rtl/>
        </w:rPr>
        <w:t>הפסיכודרמטית</w:t>
      </w:r>
      <w:proofErr w:type="spellEnd"/>
      <w:r>
        <w:rPr>
          <w:rFonts w:asciiTheme="majorBidi" w:hAnsiTheme="majorBidi" w:cs="David" w:hint="cs"/>
          <w:rtl/>
        </w:rPr>
        <w:t xml:space="preserve"> והאינטגרציה המתאפשרת בעקבות כך. </w:t>
      </w:r>
      <w:proofErr w:type="spellStart"/>
      <w:r>
        <w:rPr>
          <w:rFonts w:asciiTheme="majorBidi" w:hAnsiTheme="majorBidi" w:cs="David" w:hint="cs"/>
          <w:rtl/>
        </w:rPr>
        <w:t>קלרמן</w:t>
      </w:r>
      <w:proofErr w:type="spellEnd"/>
      <w:r>
        <w:rPr>
          <w:rFonts w:asciiTheme="majorBidi" w:hAnsiTheme="majorBidi" w:cs="David" w:hint="cs"/>
          <w:rtl/>
        </w:rPr>
        <w:t xml:space="preserve"> (</w:t>
      </w:r>
      <w:proofErr w:type="spellStart"/>
      <w:r>
        <w:rPr>
          <w:rFonts w:asciiTheme="majorBidi" w:hAnsiTheme="majorBidi" w:cs="David"/>
        </w:rPr>
        <w:t>Kellermann</w:t>
      </w:r>
      <w:proofErr w:type="spellEnd"/>
      <w:r>
        <w:rPr>
          <w:rFonts w:asciiTheme="majorBidi" w:hAnsiTheme="majorBidi" w:cs="David"/>
        </w:rPr>
        <w:t>, 1992</w:t>
      </w:r>
      <w:r>
        <w:rPr>
          <w:rFonts w:asciiTheme="majorBidi" w:hAnsiTheme="majorBidi" w:cs="David" w:hint="cs"/>
          <w:rtl/>
        </w:rPr>
        <w:t xml:space="preserve">) מדגיש את התיקוף הקיומי, האוניברסלי, שהקבוצה מעניקה לפרוטגוניסט באמצעות </w:t>
      </w:r>
      <w:proofErr w:type="spellStart"/>
      <w:r w:rsidRPr="00247C3F">
        <w:rPr>
          <w:rFonts w:asciiTheme="majorBidi" w:hAnsiTheme="majorBidi" w:cs="David"/>
          <w:rtl/>
        </w:rPr>
        <w:t>השֶרינג</w:t>
      </w:r>
      <w:proofErr w:type="spellEnd"/>
      <w:r>
        <w:rPr>
          <w:rFonts w:asciiTheme="majorBidi" w:hAnsiTheme="majorBidi" w:cs="David" w:hint="cs"/>
          <w:rtl/>
        </w:rPr>
        <w:t xml:space="preserve">, ואת האופן בו משמש </w:t>
      </w:r>
      <w:proofErr w:type="spellStart"/>
      <w:r w:rsidRPr="00247C3F">
        <w:rPr>
          <w:rFonts w:asciiTheme="majorBidi" w:hAnsiTheme="majorBidi" w:cs="David"/>
          <w:rtl/>
        </w:rPr>
        <w:t>השֶרינג</w:t>
      </w:r>
      <w:proofErr w:type="spellEnd"/>
      <w:r>
        <w:rPr>
          <w:rFonts w:asciiTheme="majorBidi" w:hAnsiTheme="majorBidi" w:cs="David" w:hint="cs"/>
          <w:rtl/>
        </w:rPr>
        <w:t xml:space="preserve"> </w:t>
      </w:r>
      <w:proofErr w:type="spellStart"/>
      <w:r>
        <w:rPr>
          <w:rFonts w:asciiTheme="majorBidi" w:hAnsiTheme="majorBidi" w:cs="David" w:hint="cs"/>
          <w:rtl/>
        </w:rPr>
        <w:t>הפסיכודרמטי</w:t>
      </w:r>
      <w:proofErr w:type="spellEnd"/>
      <w:r>
        <w:rPr>
          <w:rFonts w:asciiTheme="majorBidi" w:hAnsiTheme="majorBidi" w:cs="David" w:hint="cs"/>
          <w:rtl/>
        </w:rPr>
        <w:t xml:space="preserve"> כאמצעי להזדהות אישית ורגשית עם הפרוטגוניסט (זאת במובחן </w:t>
      </w:r>
      <w:proofErr w:type="spellStart"/>
      <w:r>
        <w:rPr>
          <w:rFonts w:asciiTheme="majorBidi" w:hAnsiTheme="majorBidi" w:cs="David" w:hint="cs"/>
          <w:rtl/>
        </w:rPr>
        <w:t>מהפרוססינג</w:t>
      </w:r>
      <w:proofErr w:type="spellEnd"/>
      <w:r>
        <w:rPr>
          <w:rFonts w:asciiTheme="majorBidi" w:hAnsiTheme="majorBidi" w:cs="David" w:hint="cs"/>
          <w:rtl/>
        </w:rPr>
        <w:t xml:space="preserve"> המתקיים במסגרות הכשרה בפסיכודרמה, שאמנם גם בו מתקיים הדהוד לעבודת הפרוטגוניסט אך באופן מרוחק ואינטלקטואלי הנוגד לעתים קרובות את האקלים התומך והמקבל של </w:t>
      </w:r>
      <w:proofErr w:type="spellStart"/>
      <w:r w:rsidRPr="00247C3F">
        <w:rPr>
          <w:rFonts w:asciiTheme="majorBidi" w:hAnsiTheme="majorBidi" w:cs="David"/>
          <w:rtl/>
        </w:rPr>
        <w:t>השֶרינג</w:t>
      </w:r>
      <w:proofErr w:type="spellEnd"/>
      <w:r>
        <w:rPr>
          <w:rFonts w:asciiTheme="majorBidi" w:hAnsiTheme="majorBidi" w:cs="David" w:hint="cs"/>
          <w:rtl/>
        </w:rPr>
        <w:t>).</w:t>
      </w:r>
    </w:p>
    <w:p w:rsidR="0030436C" w:rsidRDefault="0030436C" w:rsidP="008E7EDD">
      <w:pPr>
        <w:pStyle w:val="NormalWeb"/>
        <w:bidi/>
        <w:spacing w:before="0" w:beforeAutospacing="0" w:after="0" w:afterAutospacing="0" w:line="480" w:lineRule="auto"/>
        <w:jc w:val="both"/>
        <w:rPr>
          <w:rFonts w:asciiTheme="majorBidi" w:hAnsiTheme="majorBidi" w:cs="David"/>
          <w:rtl/>
        </w:rPr>
      </w:pPr>
      <w:r>
        <w:rPr>
          <w:rFonts w:asciiTheme="majorBidi" w:hAnsiTheme="majorBidi" w:cs="David" w:hint="cs"/>
          <w:rtl/>
        </w:rPr>
        <w:t>בקבוצת המאושפזים המוצגת</w:t>
      </w:r>
      <w:r w:rsidR="008E7EDD">
        <w:rPr>
          <w:rFonts w:asciiTheme="majorBidi" w:hAnsiTheme="majorBidi" w:cs="David" w:hint="cs"/>
          <w:rtl/>
        </w:rPr>
        <w:t xml:space="preserve"> במאמר</w:t>
      </w:r>
      <w:r>
        <w:rPr>
          <w:rFonts w:asciiTheme="majorBidi" w:hAnsiTheme="majorBidi" w:cs="David" w:hint="cs"/>
          <w:rtl/>
        </w:rPr>
        <w:t xml:space="preserve"> מרחב העבודה התחלק פעמים רבות בין כל המשתתפים ולא היה נתון בהכרח לעבודה </w:t>
      </w:r>
      <w:proofErr w:type="spellStart"/>
      <w:r>
        <w:rPr>
          <w:rFonts w:asciiTheme="majorBidi" w:hAnsiTheme="majorBidi" w:cs="David" w:hint="cs"/>
          <w:rtl/>
        </w:rPr>
        <w:t>פסיכודרמטית</w:t>
      </w:r>
      <w:proofErr w:type="spellEnd"/>
      <w:r>
        <w:rPr>
          <w:rFonts w:asciiTheme="majorBidi" w:hAnsiTheme="majorBidi" w:cs="David" w:hint="cs"/>
          <w:rtl/>
        </w:rPr>
        <w:t xml:space="preserve"> של פרוטגוניסט אחד. עם זאת, הביטויים התדירים של מצוקה, של רגש או צורך אקוטי מצד משתתפים בקבוצה, הביאו מדי מפגש (לעתים מספר פעמים במפגש) להופעה בלתי מתוכננת של פרוטגוניסט, אולי פרוטגוניסט לרגע, שביטא בקבוצה באמצעים </w:t>
      </w:r>
      <w:proofErr w:type="spellStart"/>
      <w:r>
        <w:rPr>
          <w:rFonts w:asciiTheme="majorBidi" w:hAnsiTheme="majorBidi" w:cs="David" w:hint="cs"/>
          <w:rtl/>
        </w:rPr>
        <w:t>פסיכודרמטיים</w:t>
      </w:r>
      <w:proofErr w:type="spellEnd"/>
      <w:r>
        <w:rPr>
          <w:rFonts w:asciiTheme="majorBidi" w:hAnsiTheme="majorBidi" w:cs="David" w:hint="cs"/>
          <w:rtl/>
        </w:rPr>
        <w:t xml:space="preserve"> ואחרים רגש או חוויה; תוכן חי שנגע בחברים לקבוצה, בתכנים החיים שלהם, והוגש על-ידם </w:t>
      </w:r>
      <w:r w:rsidR="008E7EDD">
        <w:rPr>
          <w:rFonts w:asciiTheme="majorBidi" w:hAnsiTheme="majorBidi" w:cs="David" w:hint="cs"/>
          <w:rtl/>
        </w:rPr>
        <w:t>כ</w:t>
      </w:r>
      <w:bookmarkStart w:id="0" w:name="_GoBack"/>
      <w:bookmarkEnd w:id="0"/>
      <w:r>
        <w:rPr>
          <w:rFonts w:asciiTheme="majorBidi" w:hAnsiTheme="majorBidi" w:cs="David"/>
        </w:rPr>
        <w:t>share-back</w:t>
      </w:r>
      <w:r>
        <w:rPr>
          <w:rFonts w:asciiTheme="majorBidi" w:hAnsiTheme="majorBidi" w:cs="David" w:hint="cs"/>
          <w:rtl/>
        </w:rPr>
        <w:t xml:space="preserve"> במונחיו של אולסון (</w:t>
      </w:r>
      <w:r>
        <w:rPr>
          <w:rFonts w:asciiTheme="majorBidi" w:hAnsiTheme="majorBidi" w:cs="David"/>
        </w:rPr>
        <w:t>Olsson, 2017</w:t>
      </w:r>
      <w:r>
        <w:rPr>
          <w:rFonts w:asciiTheme="majorBidi" w:hAnsiTheme="majorBidi" w:cs="David" w:hint="cs"/>
          <w:rtl/>
        </w:rPr>
        <w:t>).</w:t>
      </w:r>
    </w:p>
    <w:p w:rsidR="000D735C" w:rsidRPr="0030436C" w:rsidRDefault="0030436C" w:rsidP="0030436C">
      <w:pPr>
        <w:pStyle w:val="NormalWeb"/>
        <w:bidi/>
        <w:spacing w:before="0" w:beforeAutospacing="0" w:after="0" w:afterAutospacing="0" w:line="480" w:lineRule="auto"/>
        <w:jc w:val="both"/>
        <w:rPr>
          <w:rFonts w:asciiTheme="majorBidi" w:hAnsiTheme="majorBidi" w:cs="David"/>
        </w:rPr>
      </w:pPr>
      <w:r>
        <w:rPr>
          <w:rFonts w:asciiTheme="majorBidi" w:hAnsiTheme="majorBidi" w:cs="David" w:hint="cs"/>
          <w:rtl/>
        </w:rPr>
        <w:t xml:space="preserve">שיתוף זה נעשה לעתים באופן ספונטני, ביוזמה של משתתפים, אך פעמים רבות היה לכך מרחב מובנה ומובחן; מרחב של שיתוף בקבוצה, בין אם במסגרת "הדופק" הקבוצתי בתחילתם של מפגשים (במסגרת זו השיתוף היה בעיקר בחוויות הנוגעות באשפוז, בשהייה בבית-החולים) ובין </w:t>
      </w:r>
      <w:r>
        <w:rPr>
          <w:rFonts w:asciiTheme="majorBidi" w:hAnsiTheme="majorBidi" w:cs="David" w:hint="cs"/>
          <w:rtl/>
        </w:rPr>
        <w:lastRenderedPageBreak/>
        <w:t xml:space="preserve">אם  במסגרת מובנה של </w:t>
      </w:r>
      <w:r w:rsidRPr="00247C3F">
        <w:rPr>
          <w:rFonts w:asciiTheme="majorBidi" w:hAnsiTheme="majorBidi" w:cs="David"/>
          <w:rtl/>
        </w:rPr>
        <w:t>שֶרינג</w:t>
      </w:r>
      <w:r>
        <w:rPr>
          <w:rFonts w:asciiTheme="majorBidi" w:hAnsiTheme="majorBidi" w:cs="David" w:hint="cs"/>
          <w:rtl/>
        </w:rPr>
        <w:t xml:space="preserve"> לקראת סוף המפגש הקבוצתי. מרחב מובנה זה של שיתוף בסיומם של מפגשים, לא תמיד ענה על כל המאפיינים של "שלב השיתוף" שמגיע לאחר עבודת הפרוטגוניסט בפסיכודרמה הקלאסית. עם זאת, ובמובחן מהשיתוף שהתקיים בתחילתם של מפגשים, הוא ניזון מהעבודה שהתקיימה בקבוצה, נטה להיות אינטגרטיבי יותר באופן שבו תכני השיתוף הדהדו זה את זה, וסייע למסגר את חוויית העבודה האישית והקבוצתית שהתקיימה במפגש כבעלת משמעות, ולצבוע אותה בגוונים של שותפות, זיקה בין-אישית, אנושיות ותקווה. בכך, שימש </w:t>
      </w:r>
      <w:proofErr w:type="spellStart"/>
      <w:r w:rsidRPr="00247C3F">
        <w:rPr>
          <w:rFonts w:asciiTheme="majorBidi" w:hAnsiTheme="majorBidi" w:cs="David"/>
          <w:rtl/>
        </w:rPr>
        <w:t>השֶרינג</w:t>
      </w:r>
      <w:proofErr w:type="spellEnd"/>
      <w:r>
        <w:rPr>
          <w:rFonts w:asciiTheme="majorBidi" w:hAnsiTheme="majorBidi" w:cs="David" w:hint="cs"/>
          <w:rtl/>
        </w:rPr>
        <w:t xml:space="preserve"> גם כמרחב של "סגירה" המסייע לרכך את המעבר המחודש, ה</w:t>
      </w:r>
      <w:r>
        <w:rPr>
          <w:rFonts w:asciiTheme="majorBidi" w:hAnsiTheme="majorBidi" w:cs="David"/>
        </w:rPr>
        <w:t>"reentry"</w:t>
      </w:r>
      <w:r>
        <w:rPr>
          <w:rFonts w:asciiTheme="majorBidi" w:hAnsiTheme="majorBidi" w:cs="David" w:hint="cs"/>
          <w:rtl/>
        </w:rPr>
        <w:t xml:space="preserve"> (</w:t>
      </w:r>
      <w:proofErr w:type="spellStart"/>
      <w:r>
        <w:rPr>
          <w:rFonts w:asciiTheme="majorBidi" w:hAnsiTheme="majorBidi" w:cs="David"/>
        </w:rPr>
        <w:t>Blatner</w:t>
      </w:r>
      <w:proofErr w:type="spellEnd"/>
      <w:r>
        <w:rPr>
          <w:rFonts w:asciiTheme="majorBidi" w:hAnsiTheme="majorBidi" w:cs="David"/>
        </w:rPr>
        <w:t>, 1996</w:t>
      </w:r>
      <w:r>
        <w:rPr>
          <w:rFonts w:asciiTheme="majorBidi" w:hAnsiTheme="majorBidi" w:cs="David" w:hint="cs"/>
          <w:rtl/>
        </w:rPr>
        <w:t>) להוויית האשפוז בבית-החולים הפסיכיאטרי.</w:t>
      </w:r>
    </w:p>
    <w:sectPr w:rsidR="000D735C" w:rsidRPr="0030436C" w:rsidSect="004B26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6C"/>
    <w:rsid w:val="000D735C"/>
    <w:rsid w:val="0030436C"/>
    <w:rsid w:val="004B269B"/>
    <w:rsid w:val="004D1073"/>
    <w:rsid w:val="008E7E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30436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30436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449</Words>
  <Characters>2248</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yiftron</dc:creator>
  <cp:lastModifiedBy>yiftron</cp:lastModifiedBy>
  <cp:revision>1</cp:revision>
  <dcterms:created xsi:type="dcterms:W3CDTF">2022-04-14T14:52:00Z</dcterms:created>
  <dcterms:modified xsi:type="dcterms:W3CDTF">2022-04-14T15:18:00Z</dcterms:modified>
</cp:coreProperties>
</file>