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E120" w14:textId="77777777" w:rsidR="00B84EBA" w:rsidRPr="00B84EBA" w:rsidRDefault="00B84EBA" w:rsidP="00B84EBA">
      <w:pPr>
        <w:bidi w:val="0"/>
        <w:spacing w:line="360" w:lineRule="auto"/>
        <w:rPr>
          <w:rFonts w:asciiTheme="majorBidi" w:hAnsiTheme="majorBidi" w:cstheme="majorBidi"/>
          <w:b/>
          <w:bCs/>
          <w:color w:val="222222"/>
          <w:sz w:val="28"/>
          <w:szCs w:val="28"/>
          <w:shd w:val="clear" w:color="auto" w:fill="FFFFFF"/>
        </w:rPr>
      </w:pPr>
      <w:r w:rsidRPr="00B84EBA">
        <w:rPr>
          <w:rFonts w:asciiTheme="majorBidi" w:hAnsiTheme="majorBidi" w:cstheme="majorBidi"/>
          <w:b/>
          <w:bCs/>
          <w:color w:val="222222"/>
          <w:sz w:val="28"/>
          <w:szCs w:val="28"/>
          <w:shd w:val="clear" w:color="auto" w:fill="FFFFFF"/>
        </w:rPr>
        <w:t>Methods</w:t>
      </w:r>
    </w:p>
    <w:p w14:paraId="031276EC" w14:textId="77777777" w:rsidR="00B84EBA" w:rsidRPr="00B84EBA" w:rsidRDefault="00B84EBA" w:rsidP="00B84EBA">
      <w:pPr>
        <w:autoSpaceDE w:val="0"/>
        <w:autoSpaceDN w:val="0"/>
        <w:bidi w:val="0"/>
        <w:adjustRightInd w:val="0"/>
        <w:spacing w:after="0" w:line="360" w:lineRule="auto"/>
        <w:jc w:val="both"/>
        <w:rPr>
          <w:rFonts w:asciiTheme="majorBidi" w:hAnsiTheme="majorBidi" w:cstheme="majorBidi"/>
          <w:b/>
          <w:bCs/>
          <w:color w:val="222222"/>
          <w:sz w:val="24"/>
          <w:szCs w:val="24"/>
          <w:shd w:val="clear" w:color="auto" w:fill="FFFFFF"/>
        </w:rPr>
      </w:pPr>
      <w:r w:rsidRPr="00B84EBA">
        <w:rPr>
          <w:rFonts w:asciiTheme="majorBidi" w:hAnsiTheme="majorBidi" w:cstheme="majorBidi"/>
          <w:b/>
          <w:bCs/>
          <w:color w:val="222222"/>
          <w:sz w:val="24"/>
          <w:szCs w:val="24"/>
          <w:shd w:val="clear" w:color="auto" w:fill="FFFFFF"/>
        </w:rPr>
        <w:t>Participants and Design</w:t>
      </w:r>
    </w:p>
    <w:p w14:paraId="0FE16AC1" w14:textId="14865416" w:rsidR="00722FBC" w:rsidRPr="00722FBC" w:rsidRDefault="00B84EBA" w:rsidP="00722FBC">
      <w:pPr>
        <w:autoSpaceDE w:val="0"/>
        <w:autoSpaceDN w:val="0"/>
        <w:bidi w:val="0"/>
        <w:adjustRightInd w:val="0"/>
        <w:spacing w:before="240" w:line="360" w:lineRule="auto"/>
        <w:jc w:val="both"/>
        <w:rPr>
          <w:rFonts w:asciiTheme="majorBidi" w:hAnsiTheme="majorBidi" w:cstheme="majorBidi"/>
          <w:color w:val="222222"/>
          <w:sz w:val="24"/>
          <w:szCs w:val="24"/>
          <w:shd w:val="clear" w:color="auto" w:fill="FFFFFF"/>
        </w:rPr>
      </w:pPr>
      <w:r w:rsidRPr="00B84EBA">
        <w:rPr>
          <w:rFonts w:asciiTheme="majorBidi" w:hAnsiTheme="majorBidi" w:cstheme="majorBidi"/>
          <w:color w:val="222222"/>
          <w:sz w:val="24"/>
          <w:szCs w:val="24"/>
          <w:shd w:val="clear" w:color="auto" w:fill="FFFFFF"/>
        </w:rPr>
        <w:t>This prospective cohort study included patients with local tumors and hematologic malignant neoplasms receiving intravenous treatment administered at the infusional ambulatory unit of the oncology center Emek medical center, Afula, Israel (</w:t>
      </w:r>
      <w:r w:rsidRPr="00B84EBA">
        <w:rPr>
          <w:rFonts w:asciiTheme="majorBidi" w:hAnsiTheme="majorBidi" w:cstheme="majorBidi"/>
          <w:b/>
          <w:bCs/>
          <w:sz w:val="24"/>
          <w:szCs w:val="24"/>
          <w:shd w:val="clear" w:color="auto" w:fill="FFFFFF"/>
        </w:rPr>
        <w:t>Table-1</w:t>
      </w:r>
      <w:r w:rsidRPr="00B84EBA">
        <w:rPr>
          <w:rFonts w:asciiTheme="majorBidi" w:hAnsiTheme="majorBidi" w:cstheme="majorBidi"/>
          <w:color w:val="222222"/>
          <w:sz w:val="24"/>
          <w:szCs w:val="24"/>
          <w:shd w:val="clear" w:color="auto" w:fill="FFFFFF"/>
        </w:rPr>
        <w:t xml:space="preserve">). </w:t>
      </w:r>
      <w:r w:rsidR="00722FBC">
        <w:rPr>
          <w:rFonts w:asciiTheme="majorBidi" w:hAnsiTheme="majorBidi" w:cstheme="majorBidi"/>
          <w:color w:val="FF0000"/>
          <w:sz w:val="24"/>
          <w:szCs w:val="24"/>
          <w:shd w:val="clear" w:color="auto" w:fill="FFFFFF"/>
        </w:rPr>
        <w:t>Non-oncological donors and oncology patients participants</w:t>
      </w:r>
      <w:r w:rsidRPr="00B84EBA">
        <w:rPr>
          <w:rFonts w:asciiTheme="majorBidi" w:hAnsiTheme="majorBidi" w:cstheme="majorBidi"/>
          <w:color w:val="222222"/>
          <w:sz w:val="24"/>
          <w:szCs w:val="24"/>
          <w:shd w:val="clear" w:color="auto" w:fill="FFFFFF"/>
        </w:rPr>
        <w:t xml:space="preserve"> with</w:t>
      </w:r>
      <w:r w:rsidR="00722FBC">
        <w:rPr>
          <w:rFonts w:asciiTheme="majorBidi" w:hAnsiTheme="majorBidi" w:cstheme="majorBidi"/>
          <w:color w:val="222222"/>
          <w:sz w:val="24"/>
          <w:szCs w:val="24"/>
          <w:shd w:val="clear" w:color="auto" w:fill="FFFFFF"/>
        </w:rPr>
        <w:t xml:space="preserve"> no </w:t>
      </w:r>
      <w:r w:rsidRPr="00B84EBA">
        <w:rPr>
          <w:rFonts w:asciiTheme="majorBidi" w:hAnsiTheme="majorBidi" w:cstheme="majorBidi"/>
          <w:color w:val="222222"/>
          <w:sz w:val="24"/>
          <w:szCs w:val="24"/>
          <w:shd w:val="clear" w:color="auto" w:fill="FFFFFF"/>
        </w:rPr>
        <w:t>records of previous COVID-19 infections</w:t>
      </w:r>
      <w:r w:rsidR="00722FBC">
        <w:rPr>
          <w:rFonts w:asciiTheme="majorBidi" w:hAnsiTheme="majorBidi" w:cstheme="majorBidi"/>
          <w:color w:val="222222"/>
          <w:sz w:val="24"/>
          <w:szCs w:val="24"/>
          <w:shd w:val="clear" w:color="auto" w:fill="FFFFFF"/>
        </w:rPr>
        <w:t xml:space="preserve">, </w:t>
      </w:r>
      <w:r w:rsidRPr="00B84EBA">
        <w:rPr>
          <w:rFonts w:asciiTheme="majorBidi" w:hAnsiTheme="majorBidi" w:cstheme="majorBidi"/>
          <w:color w:val="222222"/>
          <w:sz w:val="24"/>
          <w:szCs w:val="24"/>
          <w:shd w:val="clear" w:color="auto" w:fill="FFFFFF"/>
        </w:rPr>
        <w:t xml:space="preserve">vaccinated with </w:t>
      </w:r>
      <w:r w:rsidR="00722FBC">
        <w:rPr>
          <w:rFonts w:asciiTheme="majorBidi" w:hAnsiTheme="majorBidi" w:cstheme="majorBidi"/>
          <w:color w:val="222222"/>
          <w:sz w:val="24"/>
          <w:szCs w:val="24"/>
          <w:shd w:val="clear" w:color="auto" w:fill="FFFFFF"/>
        </w:rPr>
        <w:t xml:space="preserve">the </w:t>
      </w:r>
      <w:r w:rsidR="00722FBC" w:rsidRPr="00B84EBA">
        <w:rPr>
          <w:rFonts w:asciiTheme="majorBidi" w:hAnsiTheme="majorBidi" w:cstheme="majorBidi"/>
          <w:color w:val="222222"/>
          <w:sz w:val="24"/>
          <w:szCs w:val="24"/>
          <w:shd w:val="clear" w:color="auto" w:fill="FFFFFF"/>
        </w:rPr>
        <w:t xml:space="preserve">second </w:t>
      </w:r>
      <w:r w:rsidRPr="00B84EBA">
        <w:rPr>
          <w:rFonts w:asciiTheme="majorBidi" w:hAnsiTheme="majorBidi" w:cstheme="majorBidi"/>
          <w:color w:val="222222"/>
          <w:sz w:val="24"/>
          <w:szCs w:val="24"/>
          <w:shd w:val="clear" w:color="auto" w:fill="FFFFFF"/>
        </w:rPr>
        <w:t xml:space="preserve">BNT162b2 dose </w:t>
      </w:r>
      <w:r w:rsidR="00722FBC">
        <w:rPr>
          <w:rFonts w:asciiTheme="majorBidi" w:hAnsiTheme="majorBidi" w:cstheme="majorBidi"/>
          <w:color w:val="222222"/>
          <w:sz w:val="24"/>
          <w:szCs w:val="24"/>
          <w:shd w:val="clear" w:color="auto" w:fill="FFFFFF"/>
        </w:rPr>
        <w:t xml:space="preserve">and </w:t>
      </w:r>
      <w:r w:rsidRPr="00B84EBA">
        <w:rPr>
          <w:rFonts w:asciiTheme="majorBidi" w:hAnsiTheme="majorBidi" w:cstheme="majorBidi"/>
          <w:color w:val="222222"/>
          <w:sz w:val="24"/>
          <w:szCs w:val="24"/>
          <w:shd w:val="clear" w:color="auto" w:fill="FFFFFF"/>
        </w:rPr>
        <w:t xml:space="preserve">eligible for </w:t>
      </w:r>
      <w:r w:rsidR="00722FBC">
        <w:rPr>
          <w:rFonts w:asciiTheme="majorBidi" w:hAnsiTheme="majorBidi" w:cstheme="majorBidi"/>
          <w:color w:val="222222"/>
          <w:sz w:val="24"/>
          <w:szCs w:val="24"/>
          <w:shd w:val="clear" w:color="auto" w:fill="FFFFFF"/>
        </w:rPr>
        <w:t xml:space="preserve">the </w:t>
      </w:r>
      <w:r w:rsidRPr="00B84EBA">
        <w:rPr>
          <w:rFonts w:asciiTheme="majorBidi" w:hAnsiTheme="majorBidi" w:cstheme="majorBidi"/>
          <w:color w:val="222222"/>
          <w:sz w:val="24"/>
          <w:szCs w:val="24"/>
          <w:shd w:val="clear" w:color="auto" w:fill="FFFFFF"/>
        </w:rPr>
        <w:t>BNT162b2 booster</w:t>
      </w:r>
      <w:r w:rsidR="00722FBC">
        <w:rPr>
          <w:rFonts w:asciiTheme="majorBidi" w:hAnsiTheme="majorBidi" w:cstheme="majorBidi"/>
          <w:color w:val="222222"/>
          <w:sz w:val="24"/>
          <w:szCs w:val="24"/>
          <w:shd w:val="clear" w:color="auto" w:fill="FFFFFF"/>
        </w:rPr>
        <w:t xml:space="preserve"> dose,</w:t>
      </w:r>
      <w:r w:rsidRPr="00B84EBA">
        <w:rPr>
          <w:rFonts w:asciiTheme="majorBidi" w:hAnsiTheme="majorBidi" w:cstheme="majorBidi"/>
          <w:color w:val="222222"/>
          <w:sz w:val="24"/>
          <w:szCs w:val="24"/>
          <w:shd w:val="clear" w:color="auto" w:fill="FFFFFF"/>
        </w:rPr>
        <w:t xml:space="preserve"> were enrolled </w:t>
      </w:r>
      <w:r w:rsidR="00722FBC">
        <w:rPr>
          <w:rFonts w:asciiTheme="majorBidi" w:hAnsiTheme="majorBidi" w:cstheme="majorBidi"/>
          <w:color w:val="FF0000"/>
          <w:sz w:val="24"/>
          <w:szCs w:val="24"/>
          <w:shd w:val="clear" w:color="auto" w:fill="FFFFFF"/>
        </w:rPr>
        <w:t xml:space="preserve">in the study </w:t>
      </w:r>
      <w:r w:rsidRPr="00722FBC">
        <w:rPr>
          <w:rFonts w:asciiTheme="majorBidi" w:hAnsiTheme="majorBidi" w:cstheme="majorBidi"/>
          <w:color w:val="FF0000"/>
          <w:sz w:val="24"/>
          <w:szCs w:val="24"/>
          <w:shd w:val="clear" w:color="auto" w:fill="FFFFFF"/>
        </w:rPr>
        <w:t>during their routine visit</w:t>
      </w:r>
      <w:r w:rsidR="00722FBC" w:rsidRPr="00722FBC">
        <w:rPr>
          <w:rFonts w:asciiTheme="majorBidi" w:hAnsiTheme="majorBidi" w:cstheme="majorBidi"/>
          <w:color w:val="FF0000"/>
          <w:sz w:val="24"/>
          <w:szCs w:val="24"/>
          <w:shd w:val="clear" w:color="auto" w:fill="FFFFFF"/>
        </w:rPr>
        <w:t>s</w:t>
      </w:r>
      <w:r w:rsidRPr="00722FBC">
        <w:rPr>
          <w:rFonts w:asciiTheme="majorBidi" w:hAnsiTheme="majorBidi" w:cstheme="majorBidi"/>
          <w:color w:val="FF0000"/>
          <w:sz w:val="24"/>
          <w:szCs w:val="24"/>
          <w:shd w:val="clear" w:color="auto" w:fill="FFFFFF"/>
        </w:rPr>
        <w:t xml:space="preserve"> to the </w:t>
      </w:r>
      <w:r w:rsidR="00722FBC" w:rsidRPr="00722FBC">
        <w:rPr>
          <w:rFonts w:asciiTheme="majorBidi" w:hAnsiTheme="majorBidi" w:cstheme="majorBidi"/>
          <w:color w:val="FF0000"/>
          <w:sz w:val="24"/>
          <w:szCs w:val="24"/>
          <w:shd w:val="clear" w:color="auto" w:fill="FFFFFF"/>
        </w:rPr>
        <w:t xml:space="preserve">HaEmek hospital </w:t>
      </w:r>
      <w:r w:rsidRPr="00722FBC">
        <w:rPr>
          <w:rFonts w:asciiTheme="majorBidi" w:hAnsiTheme="majorBidi" w:cstheme="majorBidi"/>
          <w:color w:val="FF0000"/>
          <w:sz w:val="24"/>
          <w:szCs w:val="24"/>
          <w:shd w:val="clear" w:color="auto" w:fill="FFFFFF"/>
        </w:rPr>
        <w:t>oncology center or</w:t>
      </w:r>
      <w:r w:rsidR="00722FBC" w:rsidRPr="00722FBC">
        <w:rPr>
          <w:rFonts w:asciiTheme="majorBidi" w:hAnsiTheme="majorBidi" w:cstheme="majorBidi"/>
          <w:color w:val="FF0000"/>
          <w:sz w:val="24"/>
          <w:szCs w:val="24"/>
          <w:shd w:val="clear" w:color="auto" w:fill="FFFFFF"/>
        </w:rPr>
        <w:t xml:space="preserve"> </w:t>
      </w:r>
      <w:r w:rsidRPr="00722FBC">
        <w:rPr>
          <w:rFonts w:asciiTheme="majorBidi" w:hAnsiTheme="majorBidi" w:cstheme="majorBidi"/>
          <w:color w:val="FF0000"/>
          <w:sz w:val="24"/>
          <w:szCs w:val="24"/>
          <w:shd w:val="clear" w:color="auto" w:fill="FFFFFF"/>
        </w:rPr>
        <w:t xml:space="preserve">our certified clinic for cannabis </w:t>
      </w:r>
      <w:r w:rsidR="00722FBC" w:rsidRPr="00722FBC">
        <w:rPr>
          <w:rFonts w:asciiTheme="majorBidi" w:hAnsiTheme="majorBidi" w:cstheme="majorBidi"/>
          <w:color w:val="FF0000"/>
          <w:sz w:val="24"/>
          <w:szCs w:val="24"/>
          <w:shd w:val="clear" w:color="auto" w:fill="FFFFFF"/>
        </w:rPr>
        <w:t>treatment and licensing</w:t>
      </w:r>
      <w:r w:rsidR="00722FBC">
        <w:rPr>
          <w:rFonts w:asciiTheme="majorBidi" w:hAnsiTheme="majorBidi" w:cstheme="majorBidi"/>
          <w:color w:val="222222"/>
          <w:sz w:val="24"/>
          <w:szCs w:val="24"/>
          <w:shd w:val="clear" w:color="auto" w:fill="FFFFFF"/>
        </w:rPr>
        <w:t xml:space="preserve">. </w:t>
      </w:r>
      <w:r w:rsidR="00722FBC" w:rsidRPr="00722FBC">
        <w:rPr>
          <w:rFonts w:asciiTheme="majorBidi" w:hAnsiTheme="majorBidi" w:cstheme="majorBidi"/>
          <w:color w:val="FF0000"/>
          <w:sz w:val="24"/>
          <w:szCs w:val="24"/>
          <w:shd w:val="clear" w:color="auto" w:fill="FFFFFF"/>
        </w:rPr>
        <w:t xml:space="preserve">We also categorized study participants according to their Medical Cannabis licensing and consumption routine. The study included four groups divided participants into four distinct groups: (i) Non-oncological users, (ii) non-oncological non-users, (iii) Oncology patients users, and (iv) Oncology patients non-users. </w:t>
      </w:r>
      <w:r w:rsidRPr="00722FBC">
        <w:rPr>
          <w:rFonts w:asciiTheme="majorBidi" w:hAnsiTheme="majorBidi" w:cstheme="majorBidi"/>
          <w:color w:val="FF0000"/>
          <w:sz w:val="24"/>
          <w:szCs w:val="24"/>
          <w:shd w:val="clear" w:color="auto" w:fill="FFFFFF"/>
        </w:rPr>
        <w:t xml:space="preserve">Within the cannabis users groups, the mean daily dosage was 1gr (30 gr monthly prescription). </w:t>
      </w:r>
      <w:bookmarkStart w:id="0" w:name="_Hlk94450610"/>
      <w:r w:rsidR="00722FBC" w:rsidRPr="00B84EBA">
        <w:rPr>
          <w:rFonts w:asciiTheme="majorBidi" w:hAnsiTheme="majorBidi" w:cstheme="majorBidi"/>
          <w:color w:val="222222"/>
          <w:sz w:val="24"/>
          <w:szCs w:val="24"/>
          <w:shd w:val="clear" w:color="auto" w:fill="FFFFFF"/>
        </w:rPr>
        <w:t>All study donors agreed and signed an informed content included in the study protocol authorized and approved by the institutional ethical committee (</w:t>
      </w:r>
      <w:r w:rsidR="00722FBC" w:rsidRPr="00B84EBA">
        <w:rPr>
          <w:rFonts w:asciiTheme="majorBidi" w:hAnsiTheme="majorBidi" w:cstheme="majorBidi"/>
          <w:b/>
          <w:bCs/>
          <w:color w:val="222222"/>
          <w:sz w:val="24"/>
          <w:szCs w:val="24"/>
          <w:shd w:val="clear" w:color="auto" w:fill="FFFFFF"/>
        </w:rPr>
        <w:t>0133-21-EMC</w:t>
      </w:r>
      <w:r w:rsidR="00722FBC" w:rsidRPr="00B84EBA">
        <w:rPr>
          <w:rFonts w:asciiTheme="majorBidi" w:hAnsiTheme="majorBidi" w:cstheme="majorBidi"/>
          <w:color w:val="222222"/>
          <w:sz w:val="24"/>
          <w:szCs w:val="24"/>
          <w:shd w:val="clear" w:color="auto" w:fill="FFFFFF"/>
        </w:rPr>
        <w:t xml:space="preserve">). </w:t>
      </w:r>
      <w:bookmarkEnd w:id="0"/>
    </w:p>
    <w:p w14:paraId="02ECBE5D" w14:textId="0EC58336" w:rsidR="00B84EBA" w:rsidRPr="00722FBC" w:rsidRDefault="00722FBC" w:rsidP="00E43899">
      <w:pPr>
        <w:autoSpaceDE w:val="0"/>
        <w:autoSpaceDN w:val="0"/>
        <w:bidi w:val="0"/>
        <w:adjustRightInd w:val="0"/>
        <w:spacing w:before="240" w:line="360" w:lineRule="auto"/>
        <w:ind w:firstLine="720"/>
        <w:jc w:val="both"/>
        <w:rPr>
          <w:rFonts w:asciiTheme="majorBidi" w:hAnsiTheme="majorBidi" w:cstheme="majorBidi"/>
          <w:color w:val="222222"/>
          <w:sz w:val="24"/>
          <w:szCs w:val="24"/>
          <w:shd w:val="clear" w:color="auto" w:fill="FFFFFF"/>
        </w:rPr>
      </w:pPr>
      <w:r w:rsidRPr="00E43899">
        <w:rPr>
          <w:rFonts w:asciiTheme="majorBidi" w:hAnsiTheme="majorBidi" w:cstheme="majorBidi"/>
          <w:color w:val="FF0000"/>
          <w:sz w:val="24"/>
          <w:szCs w:val="24"/>
          <w:shd w:val="clear" w:color="auto" w:fill="FFFFFF"/>
        </w:rPr>
        <w:t>Peripheral blood samples were taken first before administration of the BNT162b2 booster dose and for a second time from 31 to 122 days after the BNT162b2 booster dose. When measurements or sampling (e.g., before- BNT162b2 booster or after- BNT162b2 booster dose) could not be achieved due to donor disease status or unavailability, we present the donor as a single time point and analyzed data accordingly. The hospital clinical laboratories performed standard clinical complete blood counts (CBC) measurement</w:t>
      </w:r>
      <w:r w:rsidR="00B84EBA" w:rsidRPr="00E43899">
        <w:rPr>
          <w:rFonts w:asciiTheme="majorBidi" w:hAnsiTheme="majorBidi" w:cstheme="majorBidi"/>
          <w:color w:val="FF0000"/>
          <w:sz w:val="24"/>
          <w:szCs w:val="24"/>
          <w:shd w:val="clear" w:color="auto" w:fill="FFFFFF"/>
        </w:rPr>
        <w:t>s (Clalit, EMEK medical center</w:t>
      </w:r>
      <w:r w:rsidRPr="00E43899">
        <w:rPr>
          <w:rFonts w:asciiTheme="majorBidi" w:hAnsiTheme="majorBidi" w:cstheme="majorBidi"/>
          <w:color w:val="FF0000"/>
          <w:sz w:val="24"/>
          <w:szCs w:val="24"/>
          <w:shd w:val="clear" w:color="auto" w:fill="FFFFFF"/>
        </w:rPr>
        <w:t>, Israel</w:t>
      </w:r>
      <w:r w:rsidR="00B84EBA" w:rsidRPr="00E43899">
        <w:rPr>
          <w:rFonts w:asciiTheme="majorBidi" w:hAnsiTheme="majorBidi" w:cstheme="majorBidi"/>
          <w:color w:val="FF0000"/>
          <w:sz w:val="24"/>
          <w:szCs w:val="24"/>
          <w:shd w:val="clear" w:color="auto" w:fill="FFFFFF"/>
        </w:rPr>
        <w:t xml:space="preserve">) </w:t>
      </w:r>
      <w:r w:rsidRPr="00E43899">
        <w:rPr>
          <w:rFonts w:asciiTheme="majorBidi" w:hAnsiTheme="majorBidi" w:cstheme="majorBidi"/>
          <w:color w:val="FF0000"/>
          <w:sz w:val="24"/>
          <w:szCs w:val="24"/>
          <w:shd w:val="clear" w:color="auto" w:fill="FFFFFF"/>
        </w:rPr>
        <w:t xml:space="preserve">for all Peripheral blood samples. </w:t>
      </w:r>
      <w:r>
        <w:rPr>
          <w:rFonts w:asciiTheme="majorBidi" w:hAnsiTheme="majorBidi" w:cstheme="majorBidi"/>
          <w:color w:val="222222"/>
          <w:sz w:val="24"/>
          <w:szCs w:val="24"/>
          <w:shd w:val="clear" w:color="auto" w:fill="FFFFFF"/>
        </w:rPr>
        <w:t xml:space="preserve">Anti-Covid-19 </w:t>
      </w:r>
      <w:r w:rsidR="00B84EBA" w:rsidRPr="00B84EBA">
        <w:rPr>
          <w:rFonts w:asciiTheme="majorBidi" w:hAnsiTheme="majorBidi" w:cstheme="majorBidi"/>
          <w:color w:val="222222"/>
          <w:sz w:val="24"/>
          <w:szCs w:val="24"/>
          <w:shd w:val="clear" w:color="auto" w:fill="FFFFFF"/>
        </w:rPr>
        <w:t xml:space="preserve">IgG titers </w:t>
      </w:r>
      <w:r w:rsidRPr="00B84EBA">
        <w:rPr>
          <w:rFonts w:asciiTheme="majorBidi" w:hAnsiTheme="majorBidi" w:cstheme="majorBidi"/>
          <w:color w:val="222222"/>
          <w:sz w:val="24"/>
          <w:szCs w:val="24"/>
          <w:shd w:val="clear" w:color="auto" w:fill="FFFFFF"/>
        </w:rPr>
        <w:t xml:space="preserve">were </w:t>
      </w:r>
      <w:r w:rsidR="00E43899">
        <w:rPr>
          <w:rFonts w:asciiTheme="majorBidi" w:hAnsiTheme="majorBidi" w:cstheme="majorBidi"/>
          <w:color w:val="222222"/>
          <w:sz w:val="24"/>
          <w:szCs w:val="24"/>
          <w:shd w:val="clear" w:color="auto" w:fill="FFFFFF"/>
        </w:rPr>
        <w:t>quantified</w:t>
      </w:r>
      <w:r>
        <w:rPr>
          <w:rFonts w:asciiTheme="majorBidi" w:hAnsiTheme="majorBidi" w:cstheme="majorBidi"/>
          <w:color w:val="222222"/>
          <w:sz w:val="24"/>
          <w:szCs w:val="24"/>
          <w:shd w:val="clear" w:color="auto" w:fill="FFFFFF"/>
        </w:rPr>
        <w:t xml:space="preserve"> </w:t>
      </w:r>
      <w:r w:rsidR="00E43899">
        <w:rPr>
          <w:rFonts w:asciiTheme="majorBidi" w:hAnsiTheme="majorBidi" w:cstheme="majorBidi"/>
          <w:color w:val="222222"/>
          <w:sz w:val="24"/>
          <w:szCs w:val="24"/>
          <w:shd w:val="clear" w:color="auto" w:fill="FFFFFF"/>
        </w:rPr>
        <w:t xml:space="preserve">using only blood samples taken after the </w:t>
      </w:r>
      <w:r w:rsidR="00E43899" w:rsidRPr="00E43899">
        <w:rPr>
          <w:rFonts w:asciiTheme="majorBidi" w:hAnsiTheme="majorBidi" w:cstheme="majorBidi"/>
          <w:color w:val="FF0000"/>
          <w:sz w:val="24"/>
          <w:szCs w:val="24"/>
          <w:shd w:val="clear" w:color="auto" w:fill="FFFFFF"/>
        </w:rPr>
        <w:t>BNT162b2 booster</w:t>
      </w:r>
      <w:r w:rsidR="00E43899">
        <w:rPr>
          <w:rFonts w:asciiTheme="majorBidi" w:hAnsiTheme="majorBidi" w:cstheme="majorBidi"/>
          <w:color w:val="222222"/>
          <w:sz w:val="24"/>
          <w:szCs w:val="24"/>
          <w:shd w:val="clear" w:color="auto" w:fill="FFFFFF"/>
        </w:rPr>
        <w:t xml:space="preserve"> dose with</w:t>
      </w:r>
      <w:r w:rsidR="00E43899" w:rsidRPr="00E43899">
        <w:rPr>
          <w:rFonts w:asciiTheme="majorBidi" w:hAnsiTheme="majorBidi" w:cstheme="majorBidi"/>
          <w:color w:val="222222"/>
          <w:sz w:val="24"/>
          <w:szCs w:val="24"/>
          <w:shd w:val="clear" w:color="auto" w:fill="FFFFFF"/>
        </w:rPr>
        <w:t xml:space="preserve"> one standard uniformed method </w:t>
      </w:r>
      <w:r w:rsidR="00E43899">
        <w:rPr>
          <w:rFonts w:asciiTheme="majorBidi" w:hAnsiTheme="majorBidi" w:cstheme="majorBidi"/>
          <w:color w:val="222222"/>
          <w:sz w:val="24"/>
          <w:szCs w:val="24"/>
          <w:shd w:val="clear" w:color="auto" w:fill="FFFFFF"/>
        </w:rPr>
        <w:t>with an FDA-approved clinical laboratory test. For measuring</w:t>
      </w:r>
      <w:r>
        <w:rPr>
          <w:rFonts w:asciiTheme="majorBidi" w:hAnsiTheme="majorBidi" w:cstheme="majorBidi"/>
          <w:color w:val="222222"/>
          <w:sz w:val="24"/>
          <w:szCs w:val="24"/>
          <w:shd w:val="clear" w:color="auto" w:fill="FFFFFF"/>
        </w:rPr>
        <w:t xml:space="preserve"> IgG </w:t>
      </w:r>
      <w:r w:rsidR="00E43899">
        <w:rPr>
          <w:rFonts w:asciiTheme="majorBidi" w:hAnsiTheme="majorBidi" w:cstheme="majorBidi"/>
          <w:color w:val="222222"/>
          <w:sz w:val="24"/>
          <w:szCs w:val="24"/>
          <w:shd w:val="clear" w:color="auto" w:fill="FFFFFF"/>
        </w:rPr>
        <w:t>levels</w:t>
      </w:r>
      <w:r>
        <w:rPr>
          <w:rFonts w:asciiTheme="majorBidi" w:hAnsiTheme="majorBidi" w:cstheme="majorBidi"/>
          <w:color w:val="222222"/>
          <w:sz w:val="24"/>
          <w:szCs w:val="24"/>
          <w:shd w:val="clear" w:color="auto" w:fill="FFFFFF"/>
        </w:rPr>
        <w:t xml:space="preserve"> against the spike receptor-binding domain (RBD)</w:t>
      </w:r>
      <w:r w:rsidRPr="00B84EBA">
        <w:rPr>
          <w:rFonts w:asciiTheme="majorBidi" w:hAnsiTheme="majorBidi" w:cstheme="majorBidi"/>
          <w:color w:val="222731"/>
          <w:sz w:val="24"/>
          <w:szCs w:val="24"/>
          <w:shd w:val="clear" w:color="auto" w:fill="FFFFFF"/>
        </w:rPr>
        <w:t xml:space="preserve"> of SARS-CoV-2</w:t>
      </w:r>
      <w:r w:rsidR="00E43899">
        <w:rPr>
          <w:rFonts w:asciiTheme="majorBidi" w:hAnsiTheme="majorBidi" w:cstheme="majorBidi"/>
          <w:color w:val="222222"/>
          <w:sz w:val="24"/>
          <w:szCs w:val="24"/>
          <w:shd w:val="clear" w:color="auto" w:fill="FFFFFF"/>
        </w:rPr>
        <w:t>,</w:t>
      </w:r>
      <w:r w:rsidRPr="00B84EBA">
        <w:rPr>
          <w:rFonts w:asciiTheme="majorBidi" w:hAnsiTheme="majorBidi" w:cstheme="majorBidi"/>
          <w:color w:val="222222"/>
          <w:sz w:val="24"/>
          <w:szCs w:val="24"/>
          <w:shd w:val="clear" w:color="auto" w:fill="FFFFFF"/>
        </w:rPr>
        <w:t xml:space="preserve"> </w:t>
      </w:r>
      <w:r w:rsidR="00E43899">
        <w:rPr>
          <w:rFonts w:asciiTheme="majorBidi" w:hAnsiTheme="majorBidi" w:cstheme="majorBidi"/>
          <w:color w:val="222222"/>
          <w:sz w:val="24"/>
          <w:szCs w:val="24"/>
          <w:shd w:val="clear" w:color="auto" w:fill="FFFFFF"/>
        </w:rPr>
        <w:t xml:space="preserve">we used </w:t>
      </w:r>
      <w:r w:rsidR="00E43899">
        <w:rPr>
          <w:rFonts w:asciiTheme="majorBidi" w:hAnsiTheme="majorBidi" w:cstheme="majorBidi"/>
          <w:color w:val="222731"/>
          <w:sz w:val="24"/>
          <w:szCs w:val="24"/>
          <w:shd w:val="clear" w:color="auto" w:fill="FFFFFF"/>
        </w:rPr>
        <w:t xml:space="preserve">the </w:t>
      </w:r>
      <w:r w:rsidRPr="00B84EBA">
        <w:rPr>
          <w:rFonts w:asciiTheme="majorBidi" w:hAnsiTheme="majorBidi" w:cstheme="majorBidi"/>
          <w:color w:val="222731"/>
          <w:sz w:val="24"/>
          <w:szCs w:val="24"/>
          <w:shd w:val="clear" w:color="auto" w:fill="FFFFFF"/>
        </w:rPr>
        <w:t>SARS-CoV-2 IgG</w:t>
      </w:r>
      <w:r>
        <w:rPr>
          <w:rFonts w:asciiTheme="majorBidi" w:hAnsiTheme="majorBidi" w:cstheme="majorBidi"/>
          <w:color w:val="222731"/>
          <w:sz w:val="24"/>
          <w:szCs w:val="24"/>
          <w:shd w:val="clear" w:color="auto" w:fill="FFFFFF"/>
        </w:rPr>
        <w:t xml:space="preserve"> </w:t>
      </w:r>
      <w:r w:rsidR="00E43899" w:rsidRPr="00E43899">
        <w:rPr>
          <w:rFonts w:asciiTheme="majorBidi" w:hAnsiTheme="majorBidi" w:cstheme="majorBidi"/>
          <w:color w:val="FF0000"/>
          <w:sz w:val="24"/>
          <w:szCs w:val="24"/>
          <w:shd w:val="clear" w:color="auto" w:fill="FFFFFF"/>
        </w:rPr>
        <w:t>immunoassay serology assays (Alinity-Abbott Core Laboratory</w:t>
      </w:r>
      <w:r w:rsidR="00E43899">
        <w:rPr>
          <w:rFonts w:asciiTheme="majorBidi" w:hAnsiTheme="majorBidi" w:cstheme="majorBidi"/>
          <w:color w:val="FF0000"/>
          <w:sz w:val="24"/>
          <w:szCs w:val="24"/>
          <w:shd w:val="clear" w:color="auto" w:fill="FFFFFF"/>
        </w:rPr>
        <w:t>, USA</w:t>
      </w:r>
      <w:r w:rsidR="00E43899" w:rsidRPr="00E43899">
        <w:rPr>
          <w:rFonts w:asciiTheme="majorBidi" w:hAnsiTheme="majorBidi" w:cstheme="majorBidi"/>
          <w:color w:val="FF0000"/>
          <w:sz w:val="24"/>
          <w:szCs w:val="24"/>
          <w:shd w:val="clear" w:color="auto" w:fill="FFFFFF"/>
        </w:rPr>
        <w:t>)</w:t>
      </w:r>
      <w:r>
        <w:rPr>
          <w:rFonts w:asciiTheme="majorBidi" w:hAnsiTheme="majorBidi" w:cstheme="majorBidi"/>
          <w:color w:val="222222"/>
          <w:sz w:val="24"/>
          <w:szCs w:val="24"/>
          <w:shd w:val="clear" w:color="auto" w:fill="FFFFFF"/>
        </w:rPr>
        <w:t>.</w:t>
      </w:r>
      <w:r w:rsidR="00B84EBA" w:rsidRPr="00B84EBA">
        <w:rPr>
          <w:rFonts w:asciiTheme="majorBidi" w:hAnsiTheme="majorBidi" w:cstheme="majorBidi"/>
          <w:color w:val="222731"/>
          <w:sz w:val="24"/>
          <w:szCs w:val="24"/>
          <w:shd w:val="clear" w:color="auto" w:fill="FFFFFF"/>
        </w:rPr>
        <w:t xml:space="preserve"> </w:t>
      </w:r>
      <w:r>
        <w:rPr>
          <w:rFonts w:asciiTheme="majorBidi" w:hAnsiTheme="majorBidi" w:cstheme="majorBidi"/>
          <w:color w:val="222731"/>
          <w:sz w:val="24"/>
          <w:szCs w:val="24"/>
          <w:shd w:val="clear" w:color="auto" w:fill="FFFFFF"/>
        </w:rPr>
        <w:t xml:space="preserve">According to the </w:t>
      </w:r>
      <w:r w:rsidR="00B84EBA" w:rsidRPr="00B84EBA">
        <w:rPr>
          <w:rFonts w:asciiTheme="majorBidi" w:hAnsiTheme="majorBidi" w:cstheme="majorBidi"/>
          <w:color w:val="222731"/>
          <w:sz w:val="24"/>
          <w:szCs w:val="24"/>
          <w:shd w:val="clear" w:color="auto" w:fill="FFFFFF"/>
        </w:rPr>
        <w:t>manufacturer protocol limitation of</w:t>
      </w:r>
      <w:r w:rsidR="00B84EBA" w:rsidRPr="00B84EBA">
        <w:rPr>
          <w:rFonts w:asciiTheme="majorBidi" w:hAnsiTheme="majorBidi" w:cstheme="majorBidi"/>
          <w:color w:val="222222"/>
          <w:sz w:val="24"/>
          <w:szCs w:val="24"/>
          <w:shd w:val="clear" w:color="auto" w:fill="FFFFFF"/>
        </w:rPr>
        <w:t xml:space="preserve"> the procedure, Min values for Seropositive detection were determined as 50 arbitrary units per milliliter (Au/ml), and max detection values </w:t>
      </w:r>
      <w:r>
        <w:rPr>
          <w:rFonts w:asciiTheme="majorBidi" w:hAnsiTheme="majorBidi" w:cstheme="majorBidi"/>
          <w:color w:val="222222"/>
          <w:sz w:val="24"/>
          <w:szCs w:val="24"/>
          <w:shd w:val="clear" w:color="auto" w:fill="FFFFFF"/>
        </w:rPr>
        <w:t>we</w:t>
      </w:r>
      <w:r w:rsidR="00B84EBA" w:rsidRPr="00B84EBA">
        <w:rPr>
          <w:rFonts w:asciiTheme="majorBidi" w:hAnsiTheme="majorBidi" w:cstheme="majorBidi"/>
          <w:color w:val="222222"/>
          <w:sz w:val="24"/>
          <w:szCs w:val="24"/>
          <w:shd w:val="clear" w:color="auto" w:fill="FFFFFF"/>
        </w:rPr>
        <w:t xml:space="preserve">re set as 40,000 (Au/ml). All serologic tests were conducted at the </w:t>
      </w:r>
      <w:r w:rsidR="00B84EBA" w:rsidRPr="00B84EBA">
        <w:rPr>
          <w:rFonts w:asciiTheme="majorBidi" w:hAnsiTheme="majorBidi" w:cstheme="majorBidi"/>
          <w:color w:val="222222"/>
          <w:sz w:val="24"/>
          <w:szCs w:val="24"/>
          <w:shd w:val="clear" w:color="auto" w:fill="FFFFFF"/>
        </w:rPr>
        <w:lastRenderedPageBreak/>
        <w:t>Emek medical center Immunology diagnostic laboratory, authorized by the Israeli health ministry for Covid-19 serology tests.</w:t>
      </w:r>
    </w:p>
    <w:p w14:paraId="0EC7CED6" w14:textId="77777777" w:rsidR="00D27F9E" w:rsidRDefault="00D27F9E" w:rsidP="00D27F9E">
      <w:pPr>
        <w:bidi w:val="0"/>
        <w:spacing w:line="360" w:lineRule="auto"/>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Statistical analysis</w:t>
      </w:r>
    </w:p>
    <w:p w14:paraId="2256A45C" w14:textId="77777777" w:rsidR="00D27F9E" w:rsidRDefault="00D27F9E" w:rsidP="00D27F9E">
      <w:pPr>
        <w:bidi w:val="0"/>
        <w:spacing w:line="360" w:lineRule="auto"/>
        <w:ind w:firstLine="720"/>
        <w:jc w:val="both"/>
        <w:rPr>
          <w:rFonts w:asciiTheme="majorBidi" w:hAnsiTheme="majorBidi" w:cstheme="majorBidi"/>
          <w:b/>
          <w:bCs/>
          <w:color w:val="222222"/>
          <w:sz w:val="24"/>
          <w:szCs w:val="24"/>
          <w:shd w:val="clear" w:color="auto" w:fill="FFFFFF"/>
        </w:rPr>
      </w:pPr>
      <w:r>
        <w:rPr>
          <w:rFonts w:asciiTheme="majorBidi" w:hAnsiTheme="majorBidi" w:cstheme="majorBidi"/>
          <w:color w:val="222222"/>
          <w:sz w:val="24"/>
          <w:szCs w:val="24"/>
          <w:shd w:val="clear" w:color="auto" w:fill="FFFFFF"/>
        </w:rPr>
        <w:t xml:space="preserve">We performed a two-way analysis of variance (ANOVA, with an unbalanced design) on the study sample divided into four groups (oncology patients, oncology + cannabis use, non-oncology patients, non-oncology + cannabis users). We tested whether different groups were associated with significantly different IgG titers expected values. </w:t>
      </w:r>
      <w:r>
        <w:rPr>
          <w:rFonts w:asciiTheme="majorBidi" w:hAnsiTheme="majorBidi" w:cstheme="majorBidi"/>
          <w:color w:val="FF0000"/>
          <w:sz w:val="24"/>
          <w:szCs w:val="24"/>
        </w:rPr>
        <w:t>Significance level was set at a typical 0.05 value</w:t>
      </w:r>
      <w:r>
        <w:rPr>
          <w:rFonts w:asciiTheme="majorBidi" w:hAnsiTheme="majorBidi" w:cstheme="majorBidi"/>
          <w:color w:val="222222"/>
          <w:sz w:val="24"/>
          <w:szCs w:val="24"/>
        </w:rPr>
        <w:t xml:space="preserve">. Similarly, we applied two-way ANOVA on CBC blood parameters. </w:t>
      </w:r>
      <w:r>
        <w:rPr>
          <w:rFonts w:asciiTheme="majorBidi" w:hAnsiTheme="majorBidi" w:cstheme="majorBidi"/>
          <w:color w:val="FF0000"/>
          <w:sz w:val="24"/>
          <w:szCs w:val="24"/>
        </w:rPr>
        <w:t>We divided participants into two groups: i) high IgG responders, i.e., participants with IgG titers &gt;4000; and ii) low IgG responders with IgG titers &lt;4000</w:t>
      </w:r>
      <w:r>
        <w:rPr>
          <w:rFonts w:asciiTheme="majorBidi" w:hAnsiTheme="majorBidi" w:cstheme="majorBidi"/>
          <w:color w:val="222222"/>
          <w:sz w:val="24"/>
          <w:szCs w:val="24"/>
        </w:rPr>
        <w:t xml:space="preserve">. We tested whether high and low IgG responders had different CBC concentrations (both before </w:t>
      </w:r>
      <w:r>
        <w:rPr>
          <w:rFonts w:asciiTheme="majorBidi" w:hAnsiTheme="majorBidi" w:cstheme="majorBidi"/>
          <w:color w:val="FF0000"/>
          <w:sz w:val="24"/>
          <w:szCs w:val="24"/>
        </w:rPr>
        <w:t xml:space="preserve">and/or </w:t>
      </w:r>
      <w:r>
        <w:rPr>
          <w:rFonts w:asciiTheme="majorBidi" w:hAnsiTheme="majorBidi" w:cstheme="majorBidi"/>
          <w:color w:val="222222"/>
          <w:sz w:val="24"/>
          <w:szCs w:val="24"/>
        </w:rPr>
        <w:t>after</w:t>
      </w:r>
      <w:r>
        <w:rPr>
          <w:rFonts w:asciiTheme="majorBidi" w:hAnsiTheme="majorBidi" w:cstheme="majorBidi"/>
          <w:color w:val="222222"/>
          <w:sz w:val="24"/>
          <w:szCs w:val="24"/>
          <w:shd w:val="clear" w:color="auto" w:fill="FFFFFF"/>
        </w:rPr>
        <w:t xml:space="preserve"> the 3rd booster dose). A logistic regression was used to test if and how the incidence (%) of high responders (IgG&gt;4000) changed over time (where time is the number of days from vaccination to the measurement of anti-COVID-19 immunoglobulin G (IgG)). Model parameters were reported on dedicated tables (supplementary material). Data were processed and analyzed with R statistical software (R Foundation for Statistical Computing, Vienna, Austria; package: Tidyverse, TableOne, Stats, sjPlot).</w:t>
      </w:r>
    </w:p>
    <w:p w14:paraId="70EC353C" w14:textId="77777777" w:rsidR="00D27F9E" w:rsidRDefault="00D27F9E" w:rsidP="00D27F9E">
      <w:pPr>
        <w:bidi w:val="0"/>
        <w:spacing w:line="360" w:lineRule="auto"/>
        <w:rPr>
          <w:sz w:val="24"/>
          <w:szCs w:val="24"/>
        </w:rPr>
      </w:pPr>
    </w:p>
    <w:p w14:paraId="6F6F7FC6" w14:textId="77777777" w:rsidR="00B84EBA" w:rsidRPr="00B84EBA" w:rsidRDefault="00B84EBA" w:rsidP="00D27F9E">
      <w:pPr>
        <w:bidi w:val="0"/>
        <w:spacing w:line="360" w:lineRule="auto"/>
        <w:jc w:val="both"/>
        <w:rPr>
          <w:sz w:val="24"/>
          <w:szCs w:val="24"/>
        </w:rPr>
      </w:pPr>
    </w:p>
    <w:sectPr w:rsidR="00B84EBA" w:rsidRPr="00B84EBA" w:rsidSect="003E5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zNrA0tjQysbCwMDZV0lEKTi0uzszPAykwrgUAtBYU5SwAAAA="/>
  </w:docVars>
  <w:rsids>
    <w:rsidRoot w:val="00B84EBA"/>
    <w:rsid w:val="003E5A67"/>
    <w:rsid w:val="00722FBC"/>
    <w:rsid w:val="00B84EBA"/>
    <w:rsid w:val="00D27F9E"/>
    <w:rsid w:val="00E43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2A8C"/>
  <w15:chartTrackingRefBased/>
  <w15:docId w15:val="{F3B1B43A-DCAB-4B55-A83B-CC143F05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E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4EBA"/>
    <w:pPr>
      <w:autoSpaceDE w:val="0"/>
      <w:autoSpaceDN w:val="0"/>
      <w:adjustRightInd w:val="0"/>
      <w:spacing w:after="0" w:line="240" w:lineRule="auto"/>
    </w:pPr>
    <w:rPr>
      <w:rFonts w:ascii="Shaker 2 Lancet" w:hAnsi="Shaker 2 Lancet" w:cs="Shaker 2 Lance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5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628</Words>
  <Characters>3140</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 Cohen‬‏</dc:creator>
  <cp:keywords/>
  <dc:description/>
  <cp:lastModifiedBy>‪Idan Cohen‬‏</cp:lastModifiedBy>
  <cp:revision>4</cp:revision>
  <dcterms:created xsi:type="dcterms:W3CDTF">2022-04-28T08:40:00Z</dcterms:created>
  <dcterms:modified xsi:type="dcterms:W3CDTF">2022-04-28T15:26:00Z</dcterms:modified>
</cp:coreProperties>
</file>